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rPr>
          <w:rFonts w:ascii="Times New Roman"/>
          <w:sz w:val="20"/>
        </w:rPr>
      </w:pPr>
    </w:p>
    <w:p>
      <w:pPr>
        <w:pStyle w:val="9"/>
        <w:rPr>
          <w:rFonts w:ascii="Times New Roman"/>
          <w:sz w:val="20"/>
        </w:rPr>
      </w:pPr>
    </w:p>
    <w:p>
      <w:pPr>
        <w:spacing w:before="112"/>
        <w:ind w:right="57"/>
        <w:jc w:val="center"/>
        <w:rPr>
          <w:rFonts w:hint="eastAsia" w:eastAsia="仿宋"/>
          <w:b/>
          <w:sz w:val="40"/>
          <w:lang w:val="en-US" w:eastAsia="zh-CN"/>
        </w:rPr>
      </w:pPr>
      <w:r>
        <w:rPr>
          <w:rFonts w:hint="eastAsia"/>
          <w:b/>
          <w:sz w:val="44"/>
          <w:szCs w:val="24"/>
          <w:lang w:eastAsia="zh-CN"/>
        </w:rPr>
        <w:t>喀什经济开发区临港片区物业服务项目(二次）</w:t>
      </w:r>
    </w:p>
    <w:p>
      <w:pPr>
        <w:spacing w:before="111"/>
        <w:ind w:left="550" w:right="57"/>
        <w:jc w:val="center"/>
        <w:rPr>
          <w:b/>
          <w:sz w:val="40"/>
        </w:rPr>
      </w:pPr>
    </w:p>
    <w:p>
      <w:pPr>
        <w:spacing w:before="111"/>
        <w:ind w:left="550" w:right="57"/>
        <w:jc w:val="center"/>
        <w:rPr>
          <w:rFonts w:hint="eastAsia" w:eastAsia="仿宋"/>
          <w:b/>
          <w:sz w:val="40"/>
          <w:lang w:val="en-US" w:eastAsia="zh-CN"/>
        </w:rPr>
      </w:pPr>
      <w:r>
        <w:rPr>
          <w:b/>
          <w:sz w:val="40"/>
        </w:rPr>
        <w:t>项目编号：</w:t>
      </w:r>
      <w:r>
        <w:rPr>
          <w:rFonts w:hint="eastAsia"/>
          <w:b/>
          <w:sz w:val="40"/>
          <w:lang w:eastAsia="zh-CN"/>
        </w:rPr>
        <w:t>KSJJKFQZFCG(GK）2022-005-1</w:t>
      </w:r>
    </w:p>
    <w:p>
      <w:pPr>
        <w:pStyle w:val="9"/>
        <w:spacing w:before="5"/>
        <w:rPr>
          <w:b/>
          <w:sz w:val="53"/>
        </w:rPr>
      </w:pPr>
    </w:p>
    <w:p>
      <w:pPr>
        <w:spacing w:line="552" w:lineRule="auto"/>
        <w:ind w:left="4460" w:right="3978"/>
        <w:jc w:val="center"/>
        <w:rPr>
          <w:b/>
          <w:sz w:val="48"/>
        </w:rPr>
      </w:pPr>
      <w:r>
        <w:rPr>
          <w:b/>
          <w:sz w:val="48"/>
        </w:rPr>
        <w:t>招标文件第一册</w:t>
      </w:r>
    </w:p>
    <w:p>
      <w:pPr>
        <w:pStyle w:val="9"/>
        <w:rPr>
          <w:b/>
          <w:sz w:val="48"/>
        </w:rPr>
      </w:pPr>
    </w:p>
    <w:p>
      <w:pPr>
        <w:pStyle w:val="9"/>
        <w:rPr>
          <w:b/>
          <w:sz w:val="48"/>
        </w:rPr>
      </w:pPr>
    </w:p>
    <w:p>
      <w:pPr>
        <w:pStyle w:val="9"/>
        <w:spacing w:before="7"/>
        <w:rPr>
          <w:b/>
          <w:sz w:val="70"/>
        </w:rPr>
      </w:pPr>
    </w:p>
    <w:p>
      <w:pPr>
        <w:tabs>
          <w:tab w:val="left" w:pos="2408"/>
          <w:tab w:val="left" w:pos="3162"/>
        </w:tabs>
        <w:spacing w:before="1"/>
        <w:ind w:left="1657"/>
        <w:rPr>
          <w:b/>
          <w:sz w:val="30"/>
        </w:rPr>
      </w:pPr>
      <w:r>
        <w:rPr>
          <w:b/>
          <w:sz w:val="30"/>
        </w:rPr>
        <w:t>采</w:t>
      </w:r>
      <w:r>
        <w:rPr>
          <w:b/>
          <w:sz w:val="30"/>
        </w:rPr>
        <w:tab/>
      </w:r>
      <w:r>
        <w:rPr>
          <w:b/>
          <w:sz w:val="30"/>
        </w:rPr>
        <w:t>购</w:t>
      </w:r>
      <w:r>
        <w:rPr>
          <w:b/>
          <w:sz w:val="30"/>
        </w:rPr>
        <w:tab/>
      </w:r>
      <w:r>
        <w:rPr>
          <w:b/>
          <w:sz w:val="30"/>
        </w:rPr>
        <w:t>人：</w:t>
      </w:r>
      <w:r>
        <w:rPr>
          <w:rFonts w:hint="eastAsia"/>
          <w:b/>
          <w:sz w:val="30"/>
          <w:u w:val="single"/>
        </w:rPr>
        <w:t>喀什经济开发区空港产业物流区管理服务中心</w:t>
      </w:r>
    </w:p>
    <w:p>
      <w:pPr>
        <w:pStyle w:val="9"/>
        <w:spacing w:before="2"/>
        <w:rPr>
          <w:b/>
          <w:sz w:val="14"/>
        </w:rPr>
      </w:pPr>
    </w:p>
    <w:p>
      <w:pPr>
        <w:spacing w:before="58"/>
        <w:ind w:left="1657"/>
        <w:rPr>
          <w:b/>
          <w:sz w:val="30"/>
        </w:rPr>
      </w:pPr>
      <w:r>
        <w:rPr>
          <w:b/>
          <w:sz w:val="30"/>
        </w:rPr>
        <w:t>采购代理机构：</w:t>
      </w:r>
      <w:r>
        <w:rPr>
          <w:rFonts w:hint="eastAsia"/>
          <w:b/>
          <w:sz w:val="30"/>
          <w:u w:val="single"/>
        </w:rPr>
        <w:t>衡正国际工程咨询有限公司</w:t>
      </w:r>
    </w:p>
    <w:p>
      <w:pPr>
        <w:pStyle w:val="9"/>
        <w:spacing w:before="9"/>
        <w:rPr>
          <w:b/>
          <w:sz w:val="12"/>
        </w:rPr>
      </w:pPr>
    </w:p>
    <w:p>
      <w:pPr>
        <w:tabs>
          <w:tab w:val="left" w:pos="2408"/>
          <w:tab w:val="left" w:pos="3162"/>
        </w:tabs>
        <w:spacing w:before="58" w:line="324" w:lineRule="auto"/>
        <w:ind w:left="1657" w:right="1628"/>
        <w:rPr>
          <w:b/>
          <w:sz w:val="30"/>
          <w:u w:val="single"/>
        </w:rPr>
      </w:pPr>
      <w:r>
        <w:rPr>
          <w:b/>
          <w:sz w:val="30"/>
        </w:rPr>
        <w:t>代理机构地址：</w:t>
      </w:r>
      <w:r>
        <w:rPr>
          <w:rFonts w:hint="eastAsia"/>
          <w:b/>
          <w:sz w:val="30"/>
          <w:u w:val="single"/>
        </w:rPr>
        <w:t>新疆喀什地区喀什经济开发区深喀大道总部经济区陕西大厦19层06号</w:t>
      </w:r>
    </w:p>
    <w:p>
      <w:pPr>
        <w:tabs>
          <w:tab w:val="left" w:pos="2408"/>
          <w:tab w:val="left" w:pos="3162"/>
        </w:tabs>
        <w:spacing w:before="58" w:line="324" w:lineRule="auto"/>
        <w:ind w:left="1657" w:right="1628"/>
        <w:rPr>
          <w:b/>
          <w:sz w:val="30"/>
          <w:lang w:val="en-US"/>
        </w:rPr>
      </w:pPr>
      <w:r>
        <w:rPr>
          <w:b/>
          <w:sz w:val="30"/>
        </w:rPr>
        <w:t>联</w:t>
      </w:r>
      <w:r>
        <w:rPr>
          <w:b/>
          <w:sz w:val="30"/>
        </w:rPr>
        <w:tab/>
      </w:r>
      <w:r>
        <w:rPr>
          <w:b/>
          <w:sz w:val="30"/>
        </w:rPr>
        <w:t>系</w:t>
      </w:r>
      <w:r>
        <w:rPr>
          <w:b/>
          <w:sz w:val="30"/>
        </w:rPr>
        <w:tab/>
      </w:r>
      <w:r>
        <w:rPr>
          <w:b/>
          <w:sz w:val="30"/>
        </w:rPr>
        <w:t>人：</w:t>
      </w:r>
      <w:r>
        <w:rPr>
          <w:rFonts w:hint="eastAsia"/>
          <w:b/>
          <w:sz w:val="30"/>
          <w:u w:val="single"/>
          <w:lang w:val="en-US"/>
        </w:rPr>
        <w:t>许紫娟</w:t>
      </w:r>
    </w:p>
    <w:p>
      <w:pPr>
        <w:tabs>
          <w:tab w:val="left" w:pos="2259"/>
        </w:tabs>
        <w:spacing w:before="107"/>
        <w:ind w:left="1657"/>
        <w:rPr>
          <w:b/>
          <w:sz w:val="30"/>
          <w:lang w:val="en-US"/>
        </w:rPr>
      </w:pPr>
      <w:r>
        <w:rPr>
          <w:b/>
          <w:sz w:val="30"/>
        </w:rPr>
        <w:t>联</w:t>
      </w:r>
      <w:r>
        <w:rPr>
          <w:b/>
          <w:sz w:val="30"/>
        </w:rPr>
        <w:tab/>
      </w:r>
      <w:r>
        <w:rPr>
          <w:b/>
          <w:sz w:val="30"/>
        </w:rPr>
        <w:t>系</w:t>
      </w:r>
      <w:r>
        <w:rPr>
          <w:b/>
          <w:spacing w:val="-1"/>
          <w:sz w:val="30"/>
        </w:rPr>
        <w:t xml:space="preserve"> </w:t>
      </w:r>
      <w:r>
        <w:rPr>
          <w:b/>
          <w:sz w:val="30"/>
        </w:rPr>
        <w:t>电 话：</w:t>
      </w:r>
      <w:r>
        <w:rPr>
          <w:b/>
          <w:sz w:val="30"/>
          <w:u w:val="single"/>
        </w:rPr>
        <w:t>1</w:t>
      </w:r>
      <w:r>
        <w:rPr>
          <w:rFonts w:hint="eastAsia"/>
          <w:b/>
          <w:sz w:val="30"/>
          <w:u w:val="single"/>
          <w:lang w:val="en-US"/>
        </w:rPr>
        <w:t>5609941765</w:t>
      </w:r>
    </w:p>
    <w:p>
      <w:pPr>
        <w:pStyle w:val="9"/>
        <w:rPr>
          <w:b/>
          <w:sz w:val="20"/>
        </w:rPr>
      </w:pPr>
    </w:p>
    <w:p>
      <w:pPr>
        <w:pStyle w:val="9"/>
        <w:rPr>
          <w:b/>
          <w:sz w:val="20"/>
        </w:rPr>
      </w:pPr>
    </w:p>
    <w:p>
      <w:pPr>
        <w:pStyle w:val="9"/>
        <w:spacing w:before="7"/>
        <w:rPr>
          <w:b/>
          <w:sz w:val="27"/>
        </w:rPr>
      </w:pPr>
    </w:p>
    <w:p>
      <w:pPr>
        <w:tabs>
          <w:tab w:val="left" w:pos="602"/>
        </w:tabs>
        <w:spacing w:before="58"/>
        <w:ind w:right="57" w:firstLine="3335" w:firstLineChars="1100"/>
        <w:jc w:val="both"/>
        <w:rPr>
          <w:b/>
          <w:sz w:val="30"/>
        </w:rPr>
      </w:pPr>
      <w:r>
        <w:rPr>
          <w:b/>
          <w:spacing w:val="1"/>
          <w:sz w:val="30"/>
        </w:rPr>
        <w:t xml:space="preserve"> </w:t>
      </w:r>
      <w:r>
        <w:rPr>
          <w:b/>
          <w:sz w:val="30"/>
        </w:rPr>
        <w:t>日</w:t>
      </w:r>
      <w:r>
        <w:rPr>
          <w:b/>
          <w:spacing w:val="-3"/>
          <w:sz w:val="30"/>
        </w:rPr>
        <w:t xml:space="preserve"> </w:t>
      </w:r>
      <w:r>
        <w:rPr>
          <w:b/>
          <w:sz w:val="30"/>
        </w:rPr>
        <w:t>期：</w:t>
      </w:r>
      <w:r>
        <w:rPr>
          <w:b/>
          <w:sz w:val="30"/>
          <w:u w:val="single"/>
        </w:rPr>
        <w:t>202</w:t>
      </w:r>
      <w:r>
        <w:rPr>
          <w:rFonts w:hint="eastAsia"/>
          <w:b/>
          <w:sz w:val="30"/>
          <w:u w:val="single"/>
          <w:lang w:val="en-US"/>
        </w:rPr>
        <w:t>2</w:t>
      </w:r>
      <w:r>
        <w:rPr>
          <w:b/>
          <w:sz w:val="30"/>
          <w:u w:val="single"/>
        </w:rPr>
        <w:t>年</w:t>
      </w:r>
      <w:r>
        <w:rPr>
          <w:b/>
          <w:spacing w:val="-75"/>
          <w:sz w:val="30"/>
          <w:u w:val="single"/>
        </w:rPr>
        <w:t xml:space="preserve"> </w:t>
      </w:r>
      <w:r>
        <w:rPr>
          <w:rFonts w:hint="eastAsia"/>
          <w:b/>
          <w:sz w:val="30"/>
          <w:u w:val="single"/>
          <w:lang w:val="en-US"/>
        </w:rPr>
        <w:t>0</w:t>
      </w:r>
      <w:r>
        <w:rPr>
          <w:rFonts w:hint="eastAsia"/>
          <w:b/>
          <w:sz w:val="30"/>
          <w:u w:val="single"/>
          <w:lang w:val="en-US" w:eastAsia="zh-CN"/>
        </w:rPr>
        <w:t>7</w:t>
      </w:r>
      <w:r>
        <w:rPr>
          <w:b/>
          <w:sz w:val="30"/>
          <w:u w:val="single"/>
        </w:rPr>
        <w:t>月</w:t>
      </w:r>
    </w:p>
    <w:p>
      <w:pPr>
        <w:jc w:val="center"/>
        <w:rPr>
          <w:sz w:val="30"/>
        </w:rPr>
        <w:sectPr>
          <w:type w:val="continuous"/>
          <w:pgSz w:w="11910" w:h="16840"/>
          <w:pgMar w:top="1580" w:right="800" w:bottom="280" w:left="740" w:header="720" w:footer="720" w:gutter="0"/>
          <w:cols w:space="720" w:num="1"/>
        </w:sectPr>
      </w:pPr>
    </w:p>
    <w:p>
      <w:pPr>
        <w:pStyle w:val="9"/>
        <w:spacing w:before="55"/>
        <w:ind w:left="4912"/>
        <w:rPr>
          <w:b/>
          <w:bCs/>
        </w:rPr>
      </w:pPr>
      <w:r>
        <w:rPr>
          <w:b/>
          <w:bCs/>
        </w:rPr>
        <w:t>目录</w:t>
      </w:r>
    </w:p>
    <w:sdt>
      <w:sdtPr>
        <w:id w:val="1"/>
        <w:docPartObj>
          <w:docPartGallery w:val="Table of Contents"/>
          <w:docPartUnique/>
        </w:docPartObj>
      </w:sdtPr>
      <w:sdtContent>
        <w:p>
          <w:pPr>
            <w:pStyle w:val="14"/>
            <w:tabs>
              <w:tab w:val="left" w:pos="9248"/>
            </w:tabs>
          </w:pPr>
          <w:r>
            <w:fldChar w:fldCharType="begin"/>
          </w:r>
          <w:r>
            <w:instrText xml:space="preserve"> HYPERLINK \l "_bookmark0" </w:instrText>
          </w:r>
          <w:r>
            <w:fldChar w:fldCharType="separate"/>
          </w:r>
          <w:r>
            <w:t>第</w:t>
          </w:r>
          <w:r>
            <w:rPr>
              <w:spacing w:val="-60"/>
            </w:rPr>
            <w:t xml:space="preserve"> </w:t>
          </w:r>
          <w:r>
            <w:t>1</w:t>
          </w:r>
          <w:r>
            <w:rPr>
              <w:spacing w:val="-60"/>
            </w:rPr>
            <w:t xml:space="preserve"> </w:t>
          </w:r>
          <w:r>
            <w:t>章 投标人须知</w:t>
          </w:r>
          <w:r>
            <w:tab/>
          </w:r>
          <w:r>
            <w:t>2</w:t>
          </w:r>
          <w:r>
            <w:fldChar w:fldCharType="end"/>
          </w:r>
        </w:p>
        <w:p>
          <w:pPr>
            <w:pStyle w:val="14"/>
            <w:tabs>
              <w:tab w:val="left" w:pos="4297"/>
              <w:tab w:val="left" w:pos="9128"/>
            </w:tabs>
            <w:spacing w:before="4"/>
          </w:pPr>
          <w:r>
            <w:fldChar w:fldCharType="begin"/>
          </w:r>
          <w:r>
            <w:instrText xml:space="preserve"> HYPERLINK \l "_bookmark1" </w:instrText>
          </w:r>
          <w:r>
            <w:fldChar w:fldCharType="separate"/>
          </w:r>
          <w:r>
            <w:t>第</w:t>
          </w:r>
          <w:r>
            <w:rPr>
              <w:spacing w:val="-60"/>
            </w:rPr>
            <w:t xml:space="preserve"> </w:t>
          </w:r>
          <w:r>
            <w:t>2</w:t>
          </w:r>
          <w:r>
            <w:rPr>
              <w:spacing w:val="-60"/>
            </w:rPr>
            <w:t xml:space="preserve"> </w:t>
          </w:r>
          <w:r>
            <w:t>章 投标文件格式</w:t>
          </w:r>
          <w:r>
            <w:tab/>
          </w:r>
          <w:r>
            <w:tab/>
          </w:r>
          <w:r>
            <w:t>17</w:t>
          </w:r>
          <w:r>
            <w:fldChar w:fldCharType="end"/>
          </w:r>
        </w:p>
        <w:p>
          <w:pPr>
            <w:pStyle w:val="14"/>
            <w:tabs>
              <w:tab w:val="left" w:pos="9128"/>
            </w:tabs>
          </w:pPr>
          <w:r>
            <w:fldChar w:fldCharType="begin"/>
          </w:r>
          <w:r>
            <w:instrText xml:space="preserve"> HYPERLINK \l "_bookmark2" </w:instrText>
          </w:r>
          <w:r>
            <w:fldChar w:fldCharType="separate"/>
          </w:r>
          <w:r>
            <w:t>第</w:t>
          </w:r>
          <w:r>
            <w:rPr>
              <w:spacing w:val="-60"/>
            </w:rPr>
            <w:t xml:space="preserve"> </w:t>
          </w:r>
          <w:r>
            <w:t>3</w:t>
          </w:r>
          <w:r>
            <w:rPr>
              <w:spacing w:val="-60"/>
            </w:rPr>
            <w:t xml:space="preserve"> </w:t>
          </w:r>
          <w:r>
            <w:t xml:space="preserve">章 </w:t>
          </w:r>
          <w:r>
            <w:rPr>
              <w:rFonts w:hint="eastAsia"/>
              <w:lang w:val="en-US"/>
            </w:rPr>
            <w:t>招标公告</w:t>
          </w:r>
          <w:r>
            <w:tab/>
          </w:r>
          <w:r>
            <w:t>42</w:t>
          </w:r>
          <w:r>
            <w:fldChar w:fldCharType="end"/>
          </w:r>
        </w:p>
        <w:p>
          <w:pPr>
            <w:pStyle w:val="14"/>
            <w:tabs>
              <w:tab w:val="left" w:pos="9128"/>
            </w:tabs>
          </w:pPr>
          <w:r>
            <w:fldChar w:fldCharType="begin"/>
          </w:r>
          <w:r>
            <w:instrText xml:space="preserve"> HYPERLINK \l "_bookmark10" </w:instrText>
          </w:r>
          <w:r>
            <w:fldChar w:fldCharType="separate"/>
          </w:r>
          <w:r>
            <w:t>第</w:t>
          </w:r>
          <w:r>
            <w:rPr>
              <w:rFonts w:hint="eastAsia"/>
              <w:lang w:val="en-US"/>
            </w:rPr>
            <w:t>4</w:t>
          </w:r>
          <w:r>
            <w:t>章</w:t>
          </w:r>
          <w:r>
            <w:rPr>
              <w:rFonts w:hint="eastAsia"/>
              <w:lang w:val="en-US"/>
            </w:rPr>
            <w:t xml:space="preserve">  </w:t>
          </w:r>
          <w:r>
            <w:t>投标人须知资料表</w:t>
          </w:r>
          <w:r>
            <w:tab/>
          </w:r>
          <w:r>
            <w:t>44</w:t>
          </w:r>
          <w:r>
            <w:fldChar w:fldCharType="end"/>
          </w:r>
        </w:p>
        <w:p>
          <w:pPr>
            <w:pStyle w:val="14"/>
            <w:tabs>
              <w:tab w:val="left" w:pos="9128"/>
            </w:tabs>
            <w:spacing w:before="4"/>
          </w:pPr>
          <w:r>
            <w:fldChar w:fldCharType="begin"/>
          </w:r>
          <w:r>
            <w:instrText xml:space="preserve"> HYPERLINK \l "_bookmark11" </w:instrText>
          </w:r>
          <w:r>
            <w:fldChar w:fldCharType="separate"/>
          </w:r>
          <w:r>
            <w:t>第</w:t>
          </w:r>
          <w:r>
            <w:rPr>
              <w:rFonts w:hint="eastAsia"/>
              <w:lang w:val="en-US"/>
            </w:rPr>
            <w:t>5</w:t>
          </w:r>
          <w:r>
            <w:t>章</w:t>
          </w:r>
          <w:r>
            <w:rPr>
              <w:rFonts w:hint="eastAsia"/>
              <w:lang w:val="en-US"/>
            </w:rPr>
            <w:t xml:space="preserve">   </w:t>
          </w:r>
          <w:r>
            <w:t>服务需求</w:t>
          </w:r>
          <w:r>
            <w:tab/>
          </w:r>
          <w:r>
            <w:t>48</w:t>
          </w:r>
          <w:r>
            <w:fldChar w:fldCharType="end"/>
          </w:r>
        </w:p>
        <w:p>
          <w:pPr>
            <w:pStyle w:val="14"/>
            <w:tabs>
              <w:tab w:val="left" w:pos="2017"/>
              <w:tab w:val="left" w:pos="9128"/>
            </w:tabs>
          </w:pPr>
          <w:r>
            <w:fldChar w:fldCharType="begin"/>
          </w:r>
          <w:r>
            <w:instrText xml:space="preserve"> HYPERLINK \l "_bookmark12" </w:instrText>
          </w:r>
          <w:r>
            <w:fldChar w:fldCharType="separate"/>
          </w:r>
          <w:r>
            <w:t>第</w:t>
          </w:r>
          <w:r>
            <w:rPr>
              <w:rFonts w:hint="eastAsia"/>
              <w:lang w:val="en-US"/>
            </w:rPr>
            <w:t>6</w:t>
          </w:r>
          <w:r>
            <w:t>章</w:t>
          </w:r>
          <w:r>
            <w:tab/>
          </w:r>
          <w:r>
            <w:t>评审方法和标准</w:t>
          </w:r>
          <w:r>
            <w:tab/>
          </w:r>
          <w:r>
            <w:t>50</w:t>
          </w:r>
          <w:r>
            <w:fldChar w:fldCharType="end"/>
          </w:r>
        </w:p>
        <w:p>
          <w:pPr>
            <w:pStyle w:val="14"/>
            <w:tabs>
              <w:tab w:val="left" w:pos="2017"/>
              <w:tab w:val="left" w:pos="9128"/>
            </w:tabs>
          </w:pPr>
          <w:r>
            <w:fldChar w:fldCharType="begin"/>
          </w:r>
          <w:r>
            <w:instrText xml:space="preserve"> HYPERLINK \l "_bookmark13" </w:instrText>
          </w:r>
          <w:r>
            <w:fldChar w:fldCharType="separate"/>
          </w:r>
          <w:r>
            <w:t>第</w:t>
          </w:r>
          <w:r>
            <w:rPr>
              <w:rFonts w:hint="eastAsia"/>
              <w:lang w:val="en-US"/>
            </w:rPr>
            <w:t>7</w:t>
          </w:r>
          <w:r>
            <w:t>章</w:t>
          </w:r>
          <w:r>
            <w:tab/>
          </w:r>
          <w:r>
            <w:t>确定中标</w:t>
          </w:r>
          <w:r>
            <w:tab/>
          </w:r>
          <w:r>
            <w:t>59</w:t>
          </w:r>
          <w:r>
            <w:fldChar w:fldCharType="end"/>
          </w:r>
        </w:p>
        <w:p>
          <w:pPr>
            <w:pStyle w:val="14"/>
            <w:tabs>
              <w:tab w:val="left" w:pos="9128"/>
            </w:tabs>
          </w:pPr>
          <w:r>
            <w:fldChar w:fldCharType="begin"/>
          </w:r>
          <w:r>
            <w:instrText xml:space="preserve"> HYPERLINK \l "_bookmark15" </w:instrText>
          </w:r>
          <w:r>
            <w:fldChar w:fldCharType="separate"/>
          </w:r>
          <w:r>
            <w:t>第三册</w:t>
          </w:r>
          <w:r>
            <w:tab/>
          </w:r>
          <w:r>
            <w:t>61</w:t>
          </w:r>
          <w:r>
            <w:fldChar w:fldCharType="end"/>
          </w:r>
        </w:p>
        <w:p>
          <w:pPr>
            <w:pStyle w:val="14"/>
            <w:tabs>
              <w:tab w:val="left" w:pos="9128"/>
            </w:tabs>
            <w:spacing w:before="4"/>
          </w:pPr>
          <w:r>
            <w:fldChar w:fldCharType="begin"/>
          </w:r>
          <w:r>
            <w:instrText xml:space="preserve"> HYPERLINK \l "_bookmark16" </w:instrText>
          </w:r>
          <w:r>
            <w:fldChar w:fldCharType="separate"/>
          </w:r>
          <w:r>
            <w:t>第</w:t>
          </w:r>
          <w:r>
            <w:rPr>
              <w:spacing w:val="-60"/>
            </w:rPr>
            <w:t xml:space="preserve"> </w:t>
          </w:r>
          <w:r>
            <w:t>8</w:t>
          </w:r>
          <w:r>
            <w:rPr>
              <w:spacing w:val="-60"/>
            </w:rPr>
            <w:t xml:space="preserve"> </w:t>
          </w:r>
          <w:r>
            <w:t>章 政府采购合同</w:t>
          </w:r>
          <w:r>
            <w:tab/>
          </w:r>
          <w:r>
            <w:t>62</w:t>
          </w:r>
          <w:r>
            <w:fldChar w:fldCharType="end"/>
          </w:r>
        </w:p>
        <w:p>
          <w:pPr>
            <w:pStyle w:val="14"/>
            <w:tabs>
              <w:tab w:val="left" w:pos="9128"/>
            </w:tabs>
            <w:spacing w:before="4"/>
          </w:pPr>
          <w:r>
            <w:fldChar w:fldCharType="begin"/>
          </w:r>
          <w:r>
            <w:instrText xml:space="preserve"> HYPERLINK \l "_bookmark17" </w:instrText>
          </w:r>
          <w:r>
            <w:fldChar w:fldCharType="separate"/>
          </w:r>
          <w:r>
            <w:t>第一部分 合同书</w:t>
          </w:r>
          <w:r>
            <w:tab/>
          </w:r>
          <w:r>
            <w:t>62</w:t>
          </w:r>
          <w:r>
            <w:fldChar w:fldCharType="end"/>
          </w:r>
        </w:p>
        <w:p>
          <w:pPr>
            <w:pStyle w:val="14"/>
            <w:tabs>
              <w:tab w:val="left" w:pos="9128"/>
            </w:tabs>
          </w:pPr>
          <w:r>
            <w:fldChar w:fldCharType="begin"/>
          </w:r>
          <w:r>
            <w:instrText xml:space="preserve"> HYPERLINK \l "_bookmark18" </w:instrText>
          </w:r>
          <w:r>
            <w:fldChar w:fldCharType="separate"/>
          </w:r>
          <w:r>
            <w:t>第二部分 合同一般条款</w:t>
          </w:r>
          <w:r>
            <w:tab/>
          </w:r>
          <w:r>
            <w:t>67</w:t>
          </w:r>
          <w:r>
            <w:fldChar w:fldCharType="end"/>
          </w:r>
        </w:p>
        <w:p>
          <w:pPr>
            <w:pStyle w:val="14"/>
            <w:tabs>
              <w:tab w:val="left" w:pos="9128"/>
            </w:tabs>
          </w:pPr>
          <w:r>
            <w:fldChar w:fldCharType="begin"/>
          </w:r>
          <w:r>
            <w:instrText xml:space="preserve"> HYPERLINK \l "_bookmark19" </w:instrText>
          </w:r>
          <w:r>
            <w:fldChar w:fldCharType="separate"/>
          </w:r>
          <w:r>
            <w:t>2.1 定义</w:t>
          </w:r>
          <w:r>
            <w:tab/>
          </w:r>
          <w:r>
            <w:t>67</w:t>
          </w:r>
          <w:r>
            <w:fldChar w:fldCharType="end"/>
          </w:r>
        </w:p>
        <w:p>
          <w:pPr>
            <w:pStyle w:val="14"/>
            <w:numPr>
              <w:ilvl w:val="1"/>
              <w:numId w:val="1"/>
            </w:numPr>
            <w:tabs>
              <w:tab w:val="left" w:pos="1538"/>
              <w:tab w:val="left" w:pos="9128"/>
            </w:tabs>
            <w:spacing w:before="4"/>
            <w:ind w:hanging="481"/>
          </w:pPr>
          <w:r>
            <w:fldChar w:fldCharType="begin"/>
          </w:r>
          <w:r>
            <w:instrText xml:space="preserve"> HYPERLINK \l "_bookmark20" </w:instrText>
          </w:r>
          <w:r>
            <w:fldChar w:fldCharType="separate"/>
          </w:r>
          <w:r>
            <w:t>技术规范</w:t>
          </w:r>
          <w:r>
            <w:tab/>
          </w:r>
          <w:r>
            <w:t>68</w:t>
          </w:r>
          <w:r>
            <w:fldChar w:fldCharType="end"/>
          </w:r>
        </w:p>
        <w:p>
          <w:pPr>
            <w:pStyle w:val="14"/>
            <w:numPr>
              <w:ilvl w:val="1"/>
              <w:numId w:val="1"/>
            </w:numPr>
            <w:tabs>
              <w:tab w:val="left" w:pos="1538"/>
              <w:tab w:val="left" w:pos="9128"/>
            </w:tabs>
            <w:spacing w:before="4"/>
            <w:ind w:hanging="481"/>
          </w:pPr>
          <w:r>
            <w:fldChar w:fldCharType="begin"/>
          </w:r>
          <w:r>
            <w:instrText xml:space="preserve"> HYPERLINK \l "_bookmark21" </w:instrText>
          </w:r>
          <w:r>
            <w:fldChar w:fldCharType="separate"/>
          </w:r>
          <w:r>
            <w:t>知识产权</w:t>
          </w:r>
          <w:r>
            <w:tab/>
          </w:r>
          <w:r>
            <w:t>68</w:t>
          </w:r>
          <w:r>
            <w:fldChar w:fldCharType="end"/>
          </w:r>
        </w:p>
        <w:p>
          <w:pPr>
            <w:pStyle w:val="14"/>
            <w:numPr>
              <w:ilvl w:val="1"/>
              <w:numId w:val="2"/>
            </w:numPr>
            <w:tabs>
              <w:tab w:val="left" w:pos="1538"/>
              <w:tab w:val="left" w:pos="9128"/>
            </w:tabs>
            <w:ind w:hanging="481"/>
          </w:pPr>
          <w:r>
            <w:fldChar w:fldCharType="begin"/>
          </w:r>
          <w:r>
            <w:instrText xml:space="preserve"> HYPERLINK \l "_bookmark22" </w:instrText>
          </w:r>
          <w:r>
            <w:fldChar w:fldCharType="separate"/>
          </w:r>
          <w:r>
            <w:t>结算方式和付款条件</w:t>
          </w:r>
          <w:r>
            <w:tab/>
          </w:r>
          <w:r>
            <w:t>68</w:t>
          </w:r>
          <w:r>
            <w:fldChar w:fldCharType="end"/>
          </w:r>
        </w:p>
        <w:p>
          <w:pPr>
            <w:pStyle w:val="14"/>
            <w:numPr>
              <w:ilvl w:val="1"/>
              <w:numId w:val="2"/>
            </w:numPr>
            <w:tabs>
              <w:tab w:val="left" w:pos="1538"/>
              <w:tab w:val="left" w:pos="9128"/>
            </w:tabs>
            <w:spacing w:before="4"/>
            <w:ind w:hanging="481"/>
          </w:pPr>
          <w:r>
            <w:fldChar w:fldCharType="begin"/>
          </w:r>
          <w:r>
            <w:instrText xml:space="preserve"> HYPERLINK \l "_bookmark25" </w:instrText>
          </w:r>
          <w:r>
            <w:fldChar w:fldCharType="separate"/>
          </w:r>
          <w:r>
            <w:t>技术资料和保密义务</w:t>
          </w:r>
          <w:r>
            <w:tab/>
          </w:r>
          <w:r>
            <w:t>68</w:t>
          </w:r>
          <w:r>
            <w:fldChar w:fldCharType="end"/>
          </w:r>
        </w:p>
        <w:p>
          <w:pPr>
            <w:pStyle w:val="14"/>
            <w:numPr>
              <w:ilvl w:val="1"/>
              <w:numId w:val="2"/>
            </w:numPr>
            <w:tabs>
              <w:tab w:val="left" w:pos="1538"/>
              <w:tab w:val="left" w:pos="9128"/>
            </w:tabs>
            <w:ind w:hanging="481"/>
          </w:pPr>
          <w:r>
            <w:fldChar w:fldCharType="begin"/>
          </w:r>
          <w:r>
            <w:instrText xml:space="preserve"> HYPERLINK \l "_bookmark26" </w:instrText>
          </w:r>
          <w:r>
            <w:fldChar w:fldCharType="separate"/>
          </w:r>
          <w:r>
            <w:t>质量保证</w:t>
          </w:r>
          <w:r>
            <w:tab/>
          </w:r>
          <w:r>
            <w:t>69</w:t>
          </w:r>
          <w:r>
            <w:fldChar w:fldCharType="end"/>
          </w:r>
        </w:p>
        <w:p>
          <w:pPr>
            <w:pStyle w:val="14"/>
            <w:numPr>
              <w:ilvl w:val="1"/>
              <w:numId w:val="2"/>
            </w:numPr>
            <w:tabs>
              <w:tab w:val="left" w:pos="1538"/>
              <w:tab w:val="left" w:pos="9128"/>
            </w:tabs>
            <w:spacing w:before="4"/>
            <w:ind w:hanging="481"/>
          </w:pPr>
          <w:r>
            <w:fldChar w:fldCharType="begin"/>
          </w:r>
          <w:r>
            <w:instrText xml:space="preserve"> HYPERLINK \l "_bookmark27" </w:instrText>
          </w:r>
          <w:r>
            <w:fldChar w:fldCharType="separate"/>
          </w:r>
          <w:r>
            <w:t>延迟履行</w:t>
          </w:r>
          <w:r>
            <w:tab/>
          </w:r>
          <w:r>
            <w:t>69</w:t>
          </w:r>
          <w:r>
            <w:fldChar w:fldCharType="end"/>
          </w:r>
        </w:p>
        <w:p>
          <w:pPr>
            <w:pStyle w:val="14"/>
            <w:numPr>
              <w:ilvl w:val="1"/>
              <w:numId w:val="2"/>
            </w:numPr>
            <w:tabs>
              <w:tab w:val="left" w:pos="1538"/>
              <w:tab w:val="left" w:pos="9128"/>
            </w:tabs>
            <w:ind w:hanging="481"/>
          </w:pPr>
          <w:r>
            <w:fldChar w:fldCharType="begin"/>
          </w:r>
          <w:r>
            <w:instrText xml:space="preserve"> HYPERLINK \l "_bookmark28" </w:instrText>
          </w:r>
          <w:r>
            <w:fldChar w:fldCharType="separate"/>
          </w:r>
          <w:r>
            <w:t>合同变更</w:t>
          </w:r>
          <w:r>
            <w:tab/>
          </w:r>
          <w:r>
            <w:t>69</w:t>
          </w:r>
          <w:r>
            <w:fldChar w:fldCharType="end"/>
          </w:r>
        </w:p>
        <w:p>
          <w:pPr>
            <w:pStyle w:val="14"/>
            <w:numPr>
              <w:ilvl w:val="1"/>
              <w:numId w:val="2"/>
            </w:numPr>
            <w:tabs>
              <w:tab w:val="left" w:pos="1658"/>
              <w:tab w:val="left" w:pos="9128"/>
            </w:tabs>
            <w:spacing w:before="4"/>
            <w:ind w:left="1657" w:hanging="601"/>
          </w:pPr>
          <w:r>
            <w:fldChar w:fldCharType="begin"/>
          </w:r>
          <w:r>
            <w:instrText xml:space="preserve"> HYPERLINK \l "_bookmark29" </w:instrText>
          </w:r>
          <w:r>
            <w:fldChar w:fldCharType="separate"/>
          </w:r>
          <w:r>
            <w:t>合同转让和分包</w:t>
          </w:r>
          <w:r>
            <w:tab/>
          </w:r>
          <w:r>
            <w:t>70</w:t>
          </w:r>
          <w:r>
            <w:fldChar w:fldCharType="end"/>
          </w:r>
        </w:p>
        <w:p>
          <w:pPr>
            <w:pStyle w:val="14"/>
            <w:numPr>
              <w:ilvl w:val="1"/>
              <w:numId w:val="2"/>
            </w:numPr>
            <w:tabs>
              <w:tab w:val="left" w:pos="1658"/>
              <w:tab w:val="left" w:pos="9128"/>
            </w:tabs>
            <w:ind w:left="1657" w:hanging="601"/>
          </w:pPr>
          <w:r>
            <w:fldChar w:fldCharType="begin"/>
          </w:r>
          <w:r>
            <w:instrText xml:space="preserve"> HYPERLINK \l "_bookmark30" </w:instrText>
          </w:r>
          <w:r>
            <w:fldChar w:fldCharType="separate"/>
          </w:r>
          <w:r>
            <w:t>不可抗力</w:t>
          </w:r>
          <w:r>
            <w:tab/>
          </w:r>
          <w:r>
            <w:t>70</w:t>
          </w:r>
          <w:r>
            <w:fldChar w:fldCharType="end"/>
          </w:r>
        </w:p>
        <w:p>
          <w:pPr>
            <w:pStyle w:val="14"/>
            <w:tabs>
              <w:tab w:val="left" w:pos="9128"/>
            </w:tabs>
            <w:spacing w:before="4"/>
          </w:pPr>
          <w:r>
            <w:fldChar w:fldCharType="begin"/>
          </w:r>
          <w:r>
            <w:instrText xml:space="preserve"> HYPERLINK \l "_bookmark31" </w:instrText>
          </w:r>
          <w:r>
            <w:fldChar w:fldCharType="separate"/>
          </w:r>
          <w:r>
            <w:t>2.12 税费</w:t>
          </w:r>
          <w:r>
            <w:tab/>
          </w:r>
          <w:r>
            <w:t>70</w:t>
          </w:r>
          <w:r>
            <w:fldChar w:fldCharType="end"/>
          </w:r>
        </w:p>
        <w:p>
          <w:pPr>
            <w:pStyle w:val="14"/>
            <w:numPr>
              <w:ilvl w:val="1"/>
              <w:numId w:val="3"/>
            </w:numPr>
            <w:tabs>
              <w:tab w:val="left" w:pos="1658"/>
              <w:tab w:val="left" w:pos="9128"/>
            </w:tabs>
            <w:ind w:hanging="601"/>
          </w:pPr>
          <w:r>
            <w:fldChar w:fldCharType="begin"/>
          </w:r>
          <w:r>
            <w:instrText xml:space="preserve"> HYPERLINK \l "_bookmark32" </w:instrText>
          </w:r>
          <w:r>
            <w:fldChar w:fldCharType="separate"/>
          </w:r>
          <w:r>
            <w:t>乙方破产</w:t>
          </w:r>
          <w:r>
            <w:tab/>
          </w:r>
          <w:r>
            <w:t>70</w:t>
          </w:r>
          <w:r>
            <w:fldChar w:fldCharType="end"/>
          </w:r>
        </w:p>
        <w:p>
          <w:pPr>
            <w:pStyle w:val="14"/>
            <w:numPr>
              <w:ilvl w:val="1"/>
              <w:numId w:val="3"/>
            </w:numPr>
            <w:tabs>
              <w:tab w:val="left" w:pos="1658"/>
              <w:tab w:val="left" w:pos="9128"/>
            </w:tabs>
            <w:spacing w:before="4"/>
            <w:ind w:hanging="601"/>
          </w:pPr>
          <w:r>
            <w:fldChar w:fldCharType="begin"/>
          </w:r>
          <w:r>
            <w:instrText xml:space="preserve"> HYPERLINK \l "_bookmark33" </w:instrText>
          </w:r>
          <w:r>
            <w:fldChar w:fldCharType="separate"/>
          </w:r>
          <w:r>
            <w:t>合同中止、终止</w:t>
          </w:r>
          <w:r>
            <w:tab/>
          </w:r>
          <w:r>
            <w:t>70</w:t>
          </w:r>
          <w:r>
            <w:fldChar w:fldCharType="end"/>
          </w:r>
        </w:p>
        <w:p>
          <w:pPr>
            <w:pStyle w:val="14"/>
            <w:numPr>
              <w:ilvl w:val="1"/>
              <w:numId w:val="3"/>
            </w:numPr>
            <w:tabs>
              <w:tab w:val="left" w:pos="1658"/>
              <w:tab w:val="left" w:pos="9128"/>
            </w:tabs>
            <w:ind w:hanging="601"/>
          </w:pPr>
          <w:r>
            <w:fldChar w:fldCharType="begin"/>
          </w:r>
          <w:r>
            <w:instrText xml:space="preserve"> HYPERLINK \l "_bookmark34" </w:instrText>
          </w:r>
          <w:r>
            <w:fldChar w:fldCharType="separate"/>
          </w:r>
          <w:r>
            <w:t>检验和验收</w:t>
          </w:r>
          <w:r>
            <w:tab/>
          </w:r>
          <w:r>
            <w:t>71</w:t>
          </w:r>
          <w:r>
            <w:fldChar w:fldCharType="end"/>
          </w:r>
        </w:p>
        <w:p>
          <w:pPr>
            <w:pStyle w:val="14"/>
            <w:numPr>
              <w:ilvl w:val="1"/>
              <w:numId w:val="3"/>
            </w:numPr>
            <w:tabs>
              <w:tab w:val="left" w:pos="1658"/>
              <w:tab w:val="left" w:pos="9128"/>
            </w:tabs>
            <w:spacing w:before="4"/>
            <w:ind w:hanging="601"/>
          </w:pPr>
          <w:r>
            <w:fldChar w:fldCharType="begin"/>
          </w:r>
          <w:r>
            <w:instrText xml:space="preserve"> HYPERLINK \l "_bookmark35" </w:instrText>
          </w:r>
          <w:r>
            <w:fldChar w:fldCharType="separate"/>
          </w:r>
          <w:r>
            <w:t>通知和送达</w:t>
          </w:r>
          <w:r>
            <w:tab/>
          </w:r>
          <w:r>
            <w:t>71</w:t>
          </w:r>
          <w:r>
            <w:fldChar w:fldCharType="end"/>
          </w:r>
        </w:p>
        <w:p>
          <w:pPr>
            <w:pStyle w:val="14"/>
            <w:numPr>
              <w:ilvl w:val="1"/>
              <w:numId w:val="3"/>
            </w:numPr>
            <w:tabs>
              <w:tab w:val="left" w:pos="1658"/>
              <w:tab w:val="left" w:pos="9128"/>
            </w:tabs>
            <w:ind w:hanging="601"/>
          </w:pPr>
          <w:r>
            <w:fldChar w:fldCharType="begin"/>
          </w:r>
          <w:r>
            <w:instrText xml:space="preserve"> HYPERLINK \l "_bookmark36" </w:instrText>
          </w:r>
          <w:r>
            <w:fldChar w:fldCharType="separate"/>
          </w:r>
          <w:r>
            <w:t>合同使用的文字和适用的法律</w:t>
          </w:r>
          <w:r>
            <w:tab/>
          </w:r>
          <w:r>
            <w:t>71</w:t>
          </w:r>
          <w:r>
            <w:fldChar w:fldCharType="end"/>
          </w:r>
        </w:p>
        <w:p>
          <w:pPr>
            <w:pStyle w:val="14"/>
            <w:numPr>
              <w:ilvl w:val="1"/>
              <w:numId w:val="3"/>
            </w:numPr>
            <w:tabs>
              <w:tab w:val="left" w:pos="1658"/>
              <w:tab w:val="left" w:pos="9128"/>
            </w:tabs>
            <w:spacing w:before="4"/>
            <w:ind w:hanging="601"/>
          </w:pPr>
          <w:r>
            <w:fldChar w:fldCharType="begin"/>
          </w:r>
          <w:r>
            <w:instrText xml:space="preserve"> HYPERLINK \l "_bookmark37" </w:instrText>
          </w:r>
          <w:r>
            <w:fldChar w:fldCharType="separate"/>
          </w:r>
          <w:r>
            <w:t>履约保证金</w:t>
          </w:r>
          <w:r>
            <w:tab/>
          </w:r>
          <w:r>
            <w:t>71</w:t>
          </w:r>
          <w:r>
            <w:fldChar w:fldCharType="end"/>
          </w:r>
        </w:p>
        <w:p>
          <w:pPr>
            <w:pStyle w:val="14"/>
            <w:tabs>
              <w:tab w:val="left" w:pos="2257"/>
              <w:tab w:val="left" w:pos="9128"/>
            </w:tabs>
            <w:sectPr>
              <w:footerReference r:id="rId3" w:type="default"/>
              <w:pgSz w:w="11910" w:h="16840"/>
              <w:pgMar w:top="1480" w:right="800" w:bottom="1180" w:left="740" w:header="0" w:footer="1000" w:gutter="0"/>
              <w:pgNumType w:start="1"/>
              <w:cols w:space="720" w:num="1"/>
            </w:sectPr>
          </w:pPr>
          <w:r>
            <w:fldChar w:fldCharType="begin"/>
          </w:r>
          <w:r>
            <w:instrText xml:space="preserve"> HYPERLINK \l "_bookmark38" </w:instrText>
          </w:r>
          <w:r>
            <w:fldChar w:fldCharType="separate"/>
          </w:r>
          <w:r>
            <w:t>第三部分</w:t>
          </w:r>
          <w:r>
            <w:tab/>
          </w:r>
          <w:r>
            <w:t>合同专用条款</w:t>
          </w:r>
          <w:r>
            <w:tab/>
          </w:r>
          <w:r>
            <w:t>72</w:t>
          </w:r>
          <w:r>
            <w:fldChar w:fldCharType="end"/>
          </w:r>
        </w:p>
      </w:sdtContent>
    </w:sdt>
    <w:p>
      <w:pPr>
        <w:pStyle w:val="3"/>
        <w:tabs>
          <w:tab w:val="left" w:pos="1221"/>
        </w:tabs>
        <w:ind w:firstLine="4176" w:firstLineChars="1300"/>
        <w:jc w:val="both"/>
      </w:pPr>
      <w:r>
        <w:t>第1章</w:t>
      </w:r>
      <w:r>
        <w:tab/>
      </w:r>
      <w:bookmarkStart w:id="0" w:name="第1章__投标人须知"/>
      <w:bookmarkEnd w:id="0"/>
      <w:bookmarkStart w:id="1" w:name="_bookmark0"/>
      <w:bookmarkEnd w:id="1"/>
      <w:r>
        <w:t>投标人须知</w:t>
      </w:r>
    </w:p>
    <w:p>
      <w:pPr>
        <w:pStyle w:val="9"/>
        <w:spacing w:before="11"/>
        <w:rPr>
          <w:b/>
          <w:sz w:val="42"/>
        </w:rPr>
      </w:pPr>
    </w:p>
    <w:p>
      <w:pPr>
        <w:tabs>
          <w:tab w:val="left" w:pos="1303"/>
        </w:tabs>
        <w:ind w:left="600"/>
        <w:jc w:val="center"/>
        <w:rPr>
          <w:b/>
          <w:sz w:val="28"/>
        </w:rPr>
      </w:pPr>
      <w:bookmarkStart w:id="2" w:name="一___总_则"/>
      <w:bookmarkEnd w:id="2"/>
      <w:r>
        <w:rPr>
          <w:b/>
          <w:sz w:val="28"/>
        </w:rPr>
        <w:t>一</w:t>
      </w:r>
      <w:r>
        <w:rPr>
          <w:b/>
          <w:sz w:val="28"/>
        </w:rPr>
        <w:tab/>
      </w:r>
      <w:r>
        <w:rPr>
          <w:b/>
          <w:sz w:val="28"/>
        </w:rPr>
        <w:t>总 则</w:t>
      </w:r>
    </w:p>
    <w:p>
      <w:pPr>
        <w:pStyle w:val="9"/>
        <w:spacing w:before="11"/>
        <w:rPr>
          <w:b/>
          <w:sz w:val="34"/>
        </w:rPr>
      </w:pPr>
    </w:p>
    <w:p>
      <w:pPr>
        <w:pStyle w:val="22"/>
        <w:numPr>
          <w:ilvl w:val="0"/>
          <w:numId w:val="4"/>
        </w:numPr>
        <w:tabs>
          <w:tab w:val="left" w:pos="1301"/>
        </w:tabs>
        <w:rPr>
          <w:b/>
          <w:sz w:val="24"/>
        </w:rPr>
      </w:pPr>
      <w:bookmarkStart w:id="3" w:name="1.采购人、采购代理机构及投标人"/>
      <w:bookmarkEnd w:id="3"/>
      <w:r>
        <w:rPr>
          <w:b/>
          <w:sz w:val="24"/>
        </w:rPr>
        <w:t>采购人、采购代理机构及投标人</w:t>
      </w:r>
    </w:p>
    <w:p>
      <w:pPr>
        <w:pStyle w:val="22"/>
        <w:numPr>
          <w:ilvl w:val="1"/>
          <w:numId w:val="4"/>
        </w:numPr>
        <w:tabs>
          <w:tab w:val="left" w:pos="1957"/>
          <w:tab w:val="left" w:pos="1958"/>
        </w:tabs>
        <w:spacing w:before="5" w:line="242" w:lineRule="auto"/>
        <w:ind w:right="1117" w:hanging="898"/>
        <w:rPr>
          <w:rFonts w:ascii="黑体" w:eastAsia="黑体"/>
          <w:sz w:val="24"/>
        </w:rPr>
      </w:pPr>
      <w:r>
        <w:rPr>
          <w:sz w:val="24"/>
        </w:rPr>
        <w:t>采购人：是指依法开展政府采购活动的国家机关、事业单位、团体组织。</w:t>
      </w:r>
    </w:p>
    <w:p>
      <w:pPr>
        <w:pStyle w:val="9"/>
        <w:spacing w:before="3"/>
        <w:ind w:left="1957"/>
      </w:pPr>
      <w:r>
        <w:t>本项目的采购人见</w:t>
      </w:r>
      <w:r>
        <w:rPr>
          <w:u w:val="single"/>
        </w:rPr>
        <w:t>投标人须知资料表</w:t>
      </w:r>
      <w:r>
        <w:t>。</w:t>
      </w:r>
    </w:p>
    <w:p>
      <w:pPr>
        <w:pStyle w:val="22"/>
        <w:numPr>
          <w:ilvl w:val="1"/>
          <w:numId w:val="4"/>
        </w:numPr>
        <w:tabs>
          <w:tab w:val="left" w:pos="1957"/>
          <w:tab w:val="left" w:pos="1958"/>
        </w:tabs>
        <w:spacing w:before="4" w:line="242" w:lineRule="auto"/>
        <w:ind w:right="1115" w:hanging="898"/>
        <w:rPr>
          <w:rFonts w:ascii="黑体" w:eastAsia="黑体"/>
          <w:sz w:val="24"/>
        </w:rPr>
      </w:pPr>
      <w:r>
        <w:rPr>
          <w:sz w:val="24"/>
        </w:rPr>
        <w:t>采购代理机构：是指在集中采购机构或从事采购代理业务的社会中介机构。本项目的采购代理机构见</w:t>
      </w:r>
      <w:r>
        <w:rPr>
          <w:sz w:val="24"/>
          <w:u w:val="single"/>
        </w:rPr>
        <w:t>投标人须知资料表</w:t>
      </w:r>
      <w:r>
        <w:rPr>
          <w:sz w:val="24"/>
        </w:rPr>
        <w:t>。</w:t>
      </w:r>
    </w:p>
    <w:p>
      <w:pPr>
        <w:pStyle w:val="22"/>
        <w:numPr>
          <w:ilvl w:val="1"/>
          <w:numId w:val="4"/>
        </w:numPr>
        <w:tabs>
          <w:tab w:val="left" w:pos="1957"/>
          <w:tab w:val="left" w:pos="1958"/>
        </w:tabs>
        <w:spacing w:before="3" w:line="242" w:lineRule="auto"/>
        <w:ind w:right="1117"/>
        <w:rPr>
          <w:sz w:val="24"/>
        </w:rPr>
      </w:pPr>
      <w:r>
        <w:rPr>
          <w:sz w:val="24"/>
        </w:rPr>
        <w:t>投标人：是指向采购人提供货物、工程或者服务的法人、非法人组织或者自然人。本项目的投标人及其报价货物须满足以下条件：</w:t>
      </w:r>
    </w:p>
    <w:p>
      <w:pPr>
        <w:pStyle w:val="22"/>
        <w:numPr>
          <w:ilvl w:val="2"/>
          <w:numId w:val="4"/>
        </w:numPr>
        <w:tabs>
          <w:tab w:val="left" w:pos="1907"/>
          <w:tab w:val="left" w:pos="1908"/>
        </w:tabs>
        <w:spacing w:before="3" w:line="242" w:lineRule="auto"/>
        <w:ind w:right="1115" w:hanging="850"/>
        <w:rPr>
          <w:sz w:val="24"/>
        </w:rPr>
      </w:pPr>
      <w:r>
        <w:rPr>
          <w:spacing w:val="-7"/>
          <w:sz w:val="24"/>
        </w:rPr>
        <w:t>在中华人民共和国境内注册，能够独立承担民事责任，有生产或供应能</w:t>
      </w:r>
      <w:r>
        <w:rPr>
          <w:sz w:val="24"/>
        </w:rPr>
        <w:t>力的本国投标人。</w:t>
      </w:r>
    </w:p>
    <w:p>
      <w:pPr>
        <w:pStyle w:val="22"/>
        <w:numPr>
          <w:ilvl w:val="2"/>
          <w:numId w:val="4"/>
        </w:numPr>
        <w:tabs>
          <w:tab w:val="left" w:pos="1897"/>
          <w:tab w:val="left" w:pos="1898"/>
        </w:tabs>
        <w:spacing w:before="3" w:line="242" w:lineRule="auto"/>
        <w:ind w:left="1957" w:right="995"/>
        <w:rPr>
          <w:sz w:val="24"/>
        </w:rPr>
      </w:pPr>
      <w:r>
        <w:rPr>
          <w:spacing w:val="-16"/>
          <w:sz w:val="24"/>
        </w:rPr>
        <w:t xml:space="preserve">具备《中华人民共和国政府采购法》第二十二条关于投标人条件的规定， </w:t>
      </w:r>
      <w:r>
        <w:rPr>
          <w:sz w:val="24"/>
        </w:rPr>
        <w:t>遵守本项目采购人本级和上级财政部门政府采购的有关规定。</w:t>
      </w:r>
    </w:p>
    <w:p>
      <w:pPr>
        <w:pStyle w:val="22"/>
        <w:numPr>
          <w:ilvl w:val="2"/>
          <w:numId w:val="4"/>
        </w:numPr>
        <w:tabs>
          <w:tab w:val="left" w:pos="2017"/>
          <w:tab w:val="left" w:pos="2018"/>
        </w:tabs>
        <w:spacing w:before="3"/>
        <w:ind w:left="2017" w:hanging="961"/>
        <w:rPr>
          <w:sz w:val="24"/>
        </w:rPr>
      </w:pPr>
      <w:r>
        <w:rPr>
          <w:sz w:val="24"/>
        </w:rPr>
        <w:t>以采购代理机构认可的方式获得了本项目的招标文件。</w:t>
      </w:r>
    </w:p>
    <w:p>
      <w:pPr>
        <w:pStyle w:val="22"/>
        <w:numPr>
          <w:ilvl w:val="2"/>
          <w:numId w:val="4"/>
        </w:numPr>
        <w:tabs>
          <w:tab w:val="left" w:pos="2017"/>
          <w:tab w:val="left" w:pos="2018"/>
        </w:tabs>
        <w:spacing w:before="4"/>
        <w:ind w:left="2017" w:hanging="961"/>
        <w:rPr>
          <w:sz w:val="24"/>
        </w:rPr>
      </w:pPr>
      <w:r>
        <w:rPr>
          <w:sz w:val="24"/>
        </w:rPr>
        <w:t>符合</w:t>
      </w:r>
      <w:r>
        <w:rPr>
          <w:sz w:val="24"/>
          <w:u w:val="single"/>
        </w:rPr>
        <w:t>投标人须知资料表</w:t>
      </w:r>
      <w:r>
        <w:rPr>
          <w:sz w:val="24"/>
        </w:rPr>
        <w:t>中规定的其他要求。</w:t>
      </w:r>
    </w:p>
    <w:p>
      <w:pPr>
        <w:pStyle w:val="22"/>
        <w:numPr>
          <w:ilvl w:val="2"/>
          <w:numId w:val="4"/>
        </w:numPr>
        <w:tabs>
          <w:tab w:val="left" w:pos="2019"/>
          <w:tab w:val="left" w:pos="2020"/>
        </w:tabs>
        <w:spacing w:before="5" w:line="242" w:lineRule="auto"/>
        <w:ind w:left="1957" w:right="1115"/>
        <w:rPr>
          <w:sz w:val="24"/>
        </w:rPr>
      </w:pPr>
      <w:r>
        <w:tab/>
      </w:r>
      <w:r>
        <w:rPr>
          <w:sz w:val="24"/>
        </w:rPr>
        <w:t>若</w:t>
      </w:r>
      <w:r>
        <w:rPr>
          <w:sz w:val="24"/>
          <w:u w:val="single"/>
        </w:rPr>
        <w:t>投标人须知资料表</w:t>
      </w:r>
      <w:r>
        <w:rPr>
          <w:spacing w:val="-1"/>
          <w:sz w:val="24"/>
        </w:rPr>
        <w:t>中写明允许采购进口产品，投标人应保证所投产</w:t>
      </w:r>
      <w:r>
        <w:rPr>
          <w:sz w:val="24"/>
        </w:rPr>
        <w:t>品可履行合法报通关手续进入中国关境内。</w:t>
      </w:r>
    </w:p>
    <w:p>
      <w:pPr>
        <w:pStyle w:val="9"/>
        <w:spacing w:before="3" w:line="242" w:lineRule="auto"/>
        <w:ind w:left="1955" w:right="1117"/>
      </w:pPr>
      <w:r>
        <w:rPr>
          <w:spacing w:val="4"/>
        </w:rPr>
        <w:t>若</w:t>
      </w:r>
      <w:r>
        <w:rPr>
          <w:u w:val="single"/>
        </w:rPr>
        <w:t>投标人须知资料表</w:t>
      </w:r>
      <w:r>
        <w:t>中未写明允许采购进口产品，如投标人所投产品为进口产品，其报价将被认定为</w:t>
      </w:r>
      <w:r>
        <w:rPr>
          <w:b/>
        </w:rPr>
        <w:t>投标无效</w:t>
      </w:r>
      <w:r>
        <w:t>。</w:t>
      </w:r>
    </w:p>
    <w:p>
      <w:pPr>
        <w:pStyle w:val="22"/>
        <w:numPr>
          <w:ilvl w:val="2"/>
          <w:numId w:val="4"/>
        </w:numPr>
        <w:tabs>
          <w:tab w:val="left" w:pos="1897"/>
          <w:tab w:val="left" w:pos="1898"/>
        </w:tabs>
        <w:spacing w:before="2" w:line="242" w:lineRule="auto"/>
        <w:ind w:left="1897" w:right="1115" w:hanging="840"/>
        <w:rPr>
          <w:sz w:val="24"/>
        </w:rPr>
      </w:pPr>
      <w:r>
        <w:rPr>
          <w:sz w:val="24"/>
        </w:rPr>
        <w:t>若</w:t>
      </w:r>
      <w:r>
        <w:rPr>
          <w:sz w:val="24"/>
          <w:u w:val="single"/>
        </w:rPr>
        <w:t>投标人须知资料表</w:t>
      </w:r>
      <w:r>
        <w:rPr>
          <w:spacing w:val="-7"/>
          <w:sz w:val="24"/>
        </w:rPr>
        <w:t>中写明专门面向中小企业采购的，如投标人为非中</w:t>
      </w:r>
      <w:r>
        <w:rPr>
          <w:sz w:val="24"/>
        </w:rPr>
        <w:t>小企业且所投产品为非中小企业产品，其报价将被认定为</w:t>
      </w:r>
      <w:r>
        <w:rPr>
          <w:b/>
          <w:sz w:val="24"/>
        </w:rPr>
        <w:t>投标无效</w:t>
      </w:r>
      <w:r>
        <w:rPr>
          <w:sz w:val="24"/>
        </w:rPr>
        <w:t>。</w:t>
      </w:r>
    </w:p>
    <w:p>
      <w:pPr>
        <w:pStyle w:val="22"/>
        <w:numPr>
          <w:ilvl w:val="1"/>
          <w:numId w:val="4"/>
        </w:numPr>
        <w:tabs>
          <w:tab w:val="left" w:pos="2017"/>
          <w:tab w:val="left" w:pos="2018"/>
        </w:tabs>
        <w:spacing w:before="3"/>
        <w:ind w:left="2017" w:hanging="961"/>
        <w:rPr>
          <w:sz w:val="24"/>
        </w:rPr>
      </w:pPr>
      <w:r>
        <w:rPr>
          <w:sz w:val="24"/>
        </w:rPr>
        <w:t>如</w:t>
      </w:r>
      <w:r>
        <w:rPr>
          <w:sz w:val="24"/>
          <w:u w:val="single"/>
        </w:rPr>
        <w:t>投标人须知资料表</w:t>
      </w:r>
      <w:r>
        <w:rPr>
          <w:sz w:val="24"/>
        </w:rPr>
        <w:t>中允许联合体报价，对联合体规定如下：</w:t>
      </w:r>
    </w:p>
    <w:p>
      <w:pPr>
        <w:pStyle w:val="22"/>
        <w:numPr>
          <w:ilvl w:val="2"/>
          <w:numId w:val="4"/>
        </w:numPr>
        <w:tabs>
          <w:tab w:val="left" w:pos="2017"/>
          <w:tab w:val="left" w:pos="2018"/>
        </w:tabs>
        <w:spacing w:before="5"/>
        <w:ind w:left="2017" w:hanging="961"/>
        <w:rPr>
          <w:sz w:val="24"/>
        </w:rPr>
      </w:pPr>
      <w:r>
        <w:rPr>
          <w:spacing w:val="-5"/>
          <w:sz w:val="24"/>
        </w:rPr>
        <w:t>两个以上投标人可以组成一个报价联合体，以一个投标人的身份报价。</w:t>
      </w:r>
    </w:p>
    <w:p>
      <w:pPr>
        <w:pStyle w:val="22"/>
        <w:numPr>
          <w:ilvl w:val="2"/>
          <w:numId w:val="4"/>
        </w:numPr>
        <w:tabs>
          <w:tab w:val="left" w:pos="2020"/>
        </w:tabs>
        <w:spacing w:before="4" w:line="242" w:lineRule="auto"/>
        <w:ind w:left="1957" w:right="1115"/>
        <w:jc w:val="both"/>
        <w:rPr>
          <w:sz w:val="24"/>
        </w:rPr>
      </w:pPr>
      <w:r>
        <w:tab/>
      </w:r>
      <w:r>
        <w:rPr>
          <w:spacing w:val="-1"/>
          <w:sz w:val="24"/>
        </w:rPr>
        <w:t>联合体各方均应符合《中华人民共和国政府采购法》第二十二条规定</w:t>
      </w:r>
      <w:r>
        <w:rPr>
          <w:sz w:val="24"/>
        </w:rPr>
        <w:t>的条件。</w:t>
      </w:r>
    </w:p>
    <w:p>
      <w:pPr>
        <w:pStyle w:val="22"/>
        <w:numPr>
          <w:ilvl w:val="2"/>
          <w:numId w:val="4"/>
        </w:numPr>
        <w:tabs>
          <w:tab w:val="left" w:pos="2020"/>
        </w:tabs>
        <w:spacing w:before="3" w:line="242" w:lineRule="auto"/>
        <w:ind w:left="1957" w:right="1117"/>
        <w:jc w:val="both"/>
        <w:rPr>
          <w:sz w:val="24"/>
        </w:rPr>
      </w:pPr>
      <w:r>
        <w:tab/>
      </w:r>
      <w:r>
        <w:rPr>
          <w:spacing w:val="-1"/>
          <w:sz w:val="24"/>
        </w:rPr>
        <w:t>采购人根据采购项目对投标人的特殊要求，联合体中至少应当有一方</w:t>
      </w:r>
      <w:r>
        <w:rPr>
          <w:sz w:val="24"/>
        </w:rPr>
        <w:t>符合相关规定。</w:t>
      </w:r>
    </w:p>
    <w:p>
      <w:pPr>
        <w:pStyle w:val="22"/>
        <w:numPr>
          <w:ilvl w:val="2"/>
          <w:numId w:val="4"/>
        </w:numPr>
        <w:tabs>
          <w:tab w:val="left" w:pos="2020"/>
        </w:tabs>
        <w:spacing w:before="3" w:line="242" w:lineRule="auto"/>
        <w:ind w:left="1957" w:right="1115"/>
        <w:jc w:val="both"/>
        <w:rPr>
          <w:sz w:val="24"/>
        </w:rPr>
      </w:pPr>
      <w:r>
        <w:tab/>
      </w:r>
      <w:r>
        <w:rPr>
          <w:spacing w:val="-1"/>
          <w:sz w:val="24"/>
        </w:rPr>
        <w:t>联合体各方应签订共同报价协议，明确约定联合体各方承担的工作和</w:t>
      </w:r>
      <w:r>
        <w:rPr>
          <w:sz w:val="24"/>
        </w:rPr>
        <w:t>相应的责任，并将共同报价协议连同作为投标文件第一部分的内容提交。</w:t>
      </w:r>
    </w:p>
    <w:p>
      <w:pPr>
        <w:pStyle w:val="22"/>
        <w:numPr>
          <w:ilvl w:val="2"/>
          <w:numId w:val="4"/>
        </w:numPr>
        <w:tabs>
          <w:tab w:val="left" w:pos="2020"/>
        </w:tabs>
        <w:spacing w:before="4" w:line="242" w:lineRule="auto"/>
        <w:ind w:left="1957" w:right="1117"/>
        <w:jc w:val="both"/>
        <w:rPr>
          <w:sz w:val="24"/>
        </w:rPr>
      </w:pPr>
      <w:r>
        <w:tab/>
      </w:r>
      <w:r>
        <w:rPr>
          <w:spacing w:val="-1"/>
          <w:sz w:val="24"/>
        </w:rPr>
        <w:t>大中型企业、其他自然人、法人或者非法人组织与小型、微型企业组</w:t>
      </w:r>
      <w:r>
        <w:rPr>
          <w:sz w:val="24"/>
        </w:rPr>
        <w:t>成联合体共同参加报价，共同报价协议中应写明小型、微型企业的协议合同金额占到共同报价协议报价总金额的比例。</w:t>
      </w:r>
    </w:p>
    <w:p>
      <w:pPr>
        <w:pStyle w:val="22"/>
        <w:numPr>
          <w:ilvl w:val="2"/>
          <w:numId w:val="4"/>
        </w:numPr>
        <w:tabs>
          <w:tab w:val="left" w:pos="1898"/>
        </w:tabs>
        <w:spacing w:before="4" w:line="242" w:lineRule="auto"/>
        <w:ind w:left="1957" w:right="1115"/>
        <w:jc w:val="both"/>
        <w:rPr>
          <w:sz w:val="24"/>
        </w:rPr>
      </w:pPr>
      <w:r>
        <w:rPr>
          <w:spacing w:val="-5"/>
          <w:sz w:val="24"/>
        </w:rPr>
        <w:t>联合体中有同类资质的投标人按照联合体分工承担相同工作的，按照较</w:t>
      </w:r>
      <w:r>
        <w:rPr>
          <w:sz w:val="24"/>
        </w:rPr>
        <w:t>低的资质等级确定联合体的资质等级。</w:t>
      </w:r>
    </w:p>
    <w:p>
      <w:pPr>
        <w:pStyle w:val="22"/>
        <w:numPr>
          <w:ilvl w:val="2"/>
          <w:numId w:val="4"/>
        </w:numPr>
        <w:tabs>
          <w:tab w:val="left" w:pos="1898"/>
        </w:tabs>
        <w:spacing w:before="3" w:line="242" w:lineRule="auto"/>
        <w:ind w:left="1957" w:right="1115"/>
        <w:jc w:val="both"/>
        <w:rPr>
          <w:sz w:val="24"/>
        </w:rPr>
      </w:pPr>
      <w:r>
        <w:rPr>
          <w:spacing w:val="-7"/>
          <w:sz w:val="24"/>
        </w:rPr>
        <w:t>以联合体形式参加政府采购活动的，联合体各方不得再单独参加或者与</w:t>
      </w:r>
      <w:r>
        <w:rPr>
          <w:sz w:val="24"/>
        </w:rPr>
        <w:t>其他投标人另外组成联合体参加本项目报价，否则相关报价将被认定为</w:t>
      </w:r>
      <w:r>
        <w:rPr>
          <w:b/>
          <w:sz w:val="24"/>
        </w:rPr>
        <w:t>投标无效</w:t>
      </w:r>
      <w:r>
        <w:rPr>
          <w:sz w:val="24"/>
        </w:rPr>
        <w:t>。</w:t>
      </w:r>
    </w:p>
    <w:p>
      <w:pPr>
        <w:spacing w:line="242" w:lineRule="auto"/>
        <w:jc w:val="both"/>
        <w:rPr>
          <w:sz w:val="24"/>
        </w:rPr>
        <w:sectPr>
          <w:pgSz w:w="11910" w:h="16840"/>
          <w:pgMar w:top="1580" w:right="800" w:bottom="1180" w:left="740" w:header="0" w:footer="1000" w:gutter="0"/>
          <w:cols w:space="720" w:num="1"/>
        </w:sectPr>
      </w:pPr>
    </w:p>
    <w:p>
      <w:pPr>
        <w:pStyle w:val="22"/>
        <w:numPr>
          <w:ilvl w:val="2"/>
          <w:numId w:val="4"/>
        </w:numPr>
        <w:tabs>
          <w:tab w:val="left" w:pos="2018"/>
        </w:tabs>
        <w:spacing w:before="44"/>
        <w:ind w:left="2017" w:hanging="961"/>
        <w:jc w:val="both"/>
        <w:rPr>
          <w:sz w:val="24"/>
        </w:rPr>
      </w:pPr>
      <w:r>
        <w:rPr>
          <w:sz w:val="24"/>
        </w:rPr>
        <w:t>对联合体报价的其他资格要求见</w:t>
      </w:r>
      <w:r>
        <w:rPr>
          <w:sz w:val="24"/>
          <w:u w:val="single"/>
        </w:rPr>
        <w:t>投标人须知资料表</w:t>
      </w:r>
      <w:r>
        <w:rPr>
          <w:sz w:val="24"/>
        </w:rPr>
        <w:t>。</w:t>
      </w:r>
    </w:p>
    <w:p>
      <w:pPr>
        <w:pStyle w:val="22"/>
        <w:numPr>
          <w:ilvl w:val="1"/>
          <w:numId w:val="4"/>
        </w:numPr>
        <w:tabs>
          <w:tab w:val="left" w:pos="1898"/>
        </w:tabs>
        <w:spacing w:before="4" w:line="242" w:lineRule="auto"/>
        <w:ind w:right="1115"/>
        <w:jc w:val="both"/>
        <w:rPr>
          <w:sz w:val="24"/>
        </w:rPr>
      </w:pPr>
      <w:r>
        <w:rPr>
          <w:spacing w:val="-6"/>
          <w:sz w:val="24"/>
        </w:rPr>
        <w:t>单位负责人为同一人或者存在直接控股、管理关系的不同投标人，其相</w:t>
      </w:r>
      <w:r>
        <w:rPr>
          <w:sz w:val="24"/>
        </w:rPr>
        <w:t>关报价将被认定为</w:t>
      </w:r>
      <w:r>
        <w:rPr>
          <w:b/>
          <w:sz w:val="24"/>
        </w:rPr>
        <w:t>投标无效</w:t>
      </w:r>
      <w:r>
        <w:rPr>
          <w:sz w:val="24"/>
        </w:rPr>
        <w:t>。</w:t>
      </w:r>
    </w:p>
    <w:p>
      <w:pPr>
        <w:pStyle w:val="22"/>
        <w:numPr>
          <w:ilvl w:val="1"/>
          <w:numId w:val="4"/>
        </w:numPr>
        <w:tabs>
          <w:tab w:val="left" w:pos="1898"/>
        </w:tabs>
        <w:spacing w:before="3" w:line="242" w:lineRule="auto"/>
        <w:ind w:right="1115"/>
        <w:jc w:val="both"/>
        <w:rPr>
          <w:sz w:val="24"/>
        </w:rPr>
      </w:pPr>
      <w:r>
        <w:rPr>
          <w:spacing w:val="-7"/>
          <w:sz w:val="24"/>
        </w:rPr>
        <w:t>为本项目提供过整体设计、规范编制或者项目管理、监理、检测等服务</w:t>
      </w:r>
      <w:r>
        <w:rPr>
          <w:sz w:val="24"/>
        </w:rPr>
        <w:t>的投标人，不得再参加本项目上述服务以外的其他采购活动。否则其报价将被认定为</w:t>
      </w:r>
      <w:r>
        <w:rPr>
          <w:b/>
          <w:sz w:val="24"/>
        </w:rPr>
        <w:t>投标无效</w:t>
      </w:r>
      <w:r>
        <w:rPr>
          <w:sz w:val="24"/>
        </w:rPr>
        <w:t>。</w:t>
      </w:r>
    </w:p>
    <w:p>
      <w:pPr>
        <w:pStyle w:val="22"/>
        <w:numPr>
          <w:ilvl w:val="1"/>
          <w:numId w:val="4"/>
        </w:numPr>
        <w:tabs>
          <w:tab w:val="left" w:pos="1958"/>
        </w:tabs>
        <w:spacing w:before="4" w:line="242" w:lineRule="auto"/>
        <w:ind w:right="1117"/>
        <w:jc w:val="both"/>
        <w:rPr>
          <w:sz w:val="24"/>
        </w:rPr>
      </w:pPr>
      <w:r>
        <w:rPr>
          <w:sz w:val="24"/>
        </w:rPr>
        <w:t>投标人在报价过程中不得向采购人提供、给予任何有价值的物品，影响其正常决策行为。一经发现，其将被认定为</w:t>
      </w:r>
      <w:r>
        <w:rPr>
          <w:b/>
          <w:sz w:val="24"/>
        </w:rPr>
        <w:t>投标无效</w:t>
      </w:r>
      <w:r>
        <w:rPr>
          <w:sz w:val="24"/>
        </w:rPr>
        <w:t>。</w:t>
      </w:r>
    </w:p>
    <w:p>
      <w:pPr>
        <w:pStyle w:val="22"/>
        <w:numPr>
          <w:ilvl w:val="0"/>
          <w:numId w:val="4"/>
        </w:numPr>
        <w:tabs>
          <w:tab w:val="left" w:pos="1301"/>
        </w:tabs>
        <w:spacing w:before="3"/>
        <w:rPr>
          <w:b/>
          <w:sz w:val="24"/>
        </w:rPr>
      </w:pPr>
      <w:bookmarkStart w:id="4" w:name="2.资金来源"/>
      <w:bookmarkEnd w:id="4"/>
      <w:r>
        <w:rPr>
          <w:b/>
          <w:sz w:val="24"/>
        </w:rPr>
        <w:t>资金来源</w:t>
      </w:r>
    </w:p>
    <w:p>
      <w:pPr>
        <w:pStyle w:val="22"/>
        <w:numPr>
          <w:ilvl w:val="1"/>
          <w:numId w:val="4"/>
        </w:numPr>
        <w:tabs>
          <w:tab w:val="left" w:pos="1957"/>
          <w:tab w:val="left" w:pos="1958"/>
        </w:tabs>
        <w:spacing w:before="4"/>
        <w:ind w:hanging="901"/>
        <w:rPr>
          <w:sz w:val="24"/>
        </w:rPr>
      </w:pPr>
      <w:r>
        <w:rPr>
          <w:sz w:val="24"/>
        </w:rPr>
        <w:t>本项目的采购人已获得足以支付本次招标后所签订的合同项下的资金</w:t>
      </w:r>
    </w:p>
    <w:p>
      <w:pPr>
        <w:pStyle w:val="9"/>
        <w:spacing w:before="5" w:line="242" w:lineRule="auto"/>
        <w:ind w:left="1957" w:right="1117"/>
      </w:pPr>
      <w:r>
        <w:t>（包括财政性资金和本项目采购中无法与财政性资金分割的非财政性资金）。</w:t>
      </w:r>
    </w:p>
    <w:p>
      <w:pPr>
        <w:pStyle w:val="22"/>
        <w:numPr>
          <w:ilvl w:val="1"/>
          <w:numId w:val="4"/>
        </w:numPr>
        <w:tabs>
          <w:tab w:val="left" w:pos="1897"/>
          <w:tab w:val="left" w:pos="1898"/>
        </w:tabs>
        <w:spacing w:before="3"/>
        <w:ind w:left="1897" w:hanging="841"/>
        <w:rPr>
          <w:sz w:val="24"/>
        </w:rPr>
      </w:pPr>
      <w:r>
        <w:rPr>
          <w:sz w:val="24"/>
        </w:rPr>
        <w:t>项目预算金额和分项或分包最高限价</w:t>
      </w:r>
      <w:r>
        <w:rPr>
          <w:sz w:val="24"/>
          <w:u w:val="single"/>
        </w:rPr>
        <w:t>见投标人须知资料表</w:t>
      </w:r>
      <w:r>
        <w:rPr>
          <w:sz w:val="24"/>
        </w:rPr>
        <w:t>。</w:t>
      </w:r>
    </w:p>
    <w:p>
      <w:pPr>
        <w:pStyle w:val="22"/>
        <w:numPr>
          <w:ilvl w:val="1"/>
          <w:numId w:val="4"/>
        </w:numPr>
        <w:tabs>
          <w:tab w:val="left" w:pos="1897"/>
          <w:tab w:val="left" w:pos="1898"/>
        </w:tabs>
        <w:spacing w:before="4" w:line="242" w:lineRule="auto"/>
        <w:ind w:right="1026"/>
        <w:rPr>
          <w:sz w:val="24"/>
        </w:rPr>
      </w:pPr>
      <w:r>
        <w:rPr>
          <w:spacing w:val="-1"/>
          <w:sz w:val="24"/>
        </w:rPr>
        <w:t xml:space="preserve">投标人报价超过招标文件规定的预算金额或者分项、分包最高限价的， </w:t>
      </w:r>
      <w:r>
        <w:rPr>
          <w:sz w:val="24"/>
        </w:rPr>
        <w:t>其报价将被认定为</w:t>
      </w:r>
      <w:r>
        <w:rPr>
          <w:b/>
          <w:sz w:val="24"/>
        </w:rPr>
        <w:t>投标无效</w:t>
      </w:r>
      <w:r>
        <w:rPr>
          <w:sz w:val="24"/>
        </w:rPr>
        <w:t>。</w:t>
      </w:r>
    </w:p>
    <w:p>
      <w:pPr>
        <w:pStyle w:val="22"/>
        <w:numPr>
          <w:ilvl w:val="0"/>
          <w:numId w:val="4"/>
        </w:numPr>
        <w:tabs>
          <w:tab w:val="left" w:pos="1301"/>
        </w:tabs>
        <w:spacing w:before="3"/>
        <w:rPr>
          <w:b/>
          <w:sz w:val="24"/>
        </w:rPr>
      </w:pPr>
      <w:bookmarkStart w:id="5" w:name="3.投标费用"/>
      <w:bookmarkEnd w:id="5"/>
      <w:r>
        <w:rPr>
          <w:b/>
          <w:sz w:val="24"/>
        </w:rPr>
        <w:t>投标费用</w:t>
      </w:r>
    </w:p>
    <w:p>
      <w:pPr>
        <w:pStyle w:val="9"/>
        <w:spacing w:before="5" w:line="242" w:lineRule="auto"/>
        <w:ind w:left="1957" w:right="1117"/>
      </w:pPr>
      <w:r>
        <w:t>不论报价的结果如何，投标人应承担所有与准备和参加报价有关的费用。</w:t>
      </w:r>
    </w:p>
    <w:p>
      <w:pPr>
        <w:pStyle w:val="22"/>
        <w:numPr>
          <w:ilvl w:val="0"/>
          <w:numId w:val="4"/>
        </w:numPr>
        <w:tabs>
          <w:tab w:val="left" w:pos="1301"/>
        </w:tabs>
        <w:spacing w:before="3"/>
        <w:rPr>
          <w:b/>
          <w:sz w:val="24"/>
        </w:rPr>
      </w:pPr>
      <w:bookmarkStart w:id="6" w:name="4.适用法律"/>
      <w:bookmarkEnd w:id="6"/>
      <w:r>
        <w:rPr>
          <w:b/>
          <w:sz w:val="24"/>
        </w:rPr>
        <w:t>适用法律</w:t>
      </w:r>
    </w:p>
    <w:p>
      <w:pPr>
        <w:pStyle w:val="9"/>
        <w:spacing w:before="4" w:line="242" w:lineRule="auto"/>
        <w:ind w:left="1957" w:right="995" w:hanging="60"/>
      </w:pPr>
      <w:r>
        <w:rPr>
          <w:spacing w:val="-20"/>
        </w:rPr>
        <w:t>本项目采购人、采购代理机构、投标人、评标委员会的相关行为均受《中</w:t>
      </w:r>
      <w:r>
        <w:rPr>
          <w:spacing w:val="-24"/>
        </w:rPr>
        <w:t>华人民共和国政府采购法》、《中华人民共和国政府采购法实施条例》、</w:t>
      </w:r>
      <w:r>
        <w:rPr>
          <w:spacing w:val="1"/>
        </w:rPr>
        <w:t xml:space="preserve">中华人民共和国财政部令第 </w:t>
      </w:r>
      <w:r>
        <w:t>74</w:t>
      </w:r>
      <w:r>
        <w:rPr>
          <w:spacing w:val="-1"/>
        </w:rPr>
        <w:t xml:space="preserve"> 号《政府采购非招标采购方式管理办</w:t>
      </w:r>
    </w:p>
    <w:p>
      <w:pPr>
        <w:pStyle w:val="9"/>
        <w:spacing w:before="4" w:line="242" w:lineRule="auto"/>
        <w:ind w:left="1957" w:right="1115"/>
        <w:jc w:val="both"/>
      </w:pPr>
      <w:r>
        <w:rPr>
          <w:spacing w:val="-10"/>
        </w:rPr>
        <w:t xml:space="preserve">法》、中华人民共和国财政部令第 </w:t>
      </w:r>
      <w:r>
        <w:t>87</w:t>
      </w:r>
      <w:r>
        <w:rPr>
          <w:spacing w:val="-9"/>
        </w:rPr>
        <w:t xml:space="preserve"> 号--政府采购货物和服务招标报</w:t>
      </w:r>
      <w:r>
        <w:t>价管理办法及本项目本级和上级财政部门政府采购有关规定的约束， 其权利受到上述法律法规的保护。</w:t>
      </w:r>
    </w:p>
    <w:p>
      <w:pPr>
        <w:pStyle w:val="9"/>
        <w:spacing w:before="11"/>
        <w:rPr>
          <w:sz w:val="34"/>
        </w:rPr>
      </w:pPr>
    </w:p>
    <w:p>
      <w:pPr>
        <w:tabs>
          <w:tab w:val="left" w:pos="1301"/>
        </w:tabs>
        <w:ind w:left="598"/>
        <w:jc w:val="center"/>
        <w:rPr>
          <w:b/>
          <w:sz w:val="28"/>
        </w:rPr>
      </w:pPr>
      <w:bookmarkStart w:id="7" w:name="二___招标文件"/>
      <w:bookmarkEnd w:id="7"/>
      <w:r>
        <w:rPr>
          <w:b/>
          <w:sz w:val="28"/>
        </w:rPr>
        <w:t>二</w:t>
      </w:r>
      <w:r>
        <w:rPr>
          <w:b/>
          <w:sz w:val="28"/>
        </w:rPr>
        <w:tab/>
      </w:r>
      <w:r>
        <w:rPr>
          <w:b/>
          <w:sz w:val="28"/>
        </w:rPr>
        <w:t>招标文件</w:t>
      </w:r>
    </w:p>
    <w:p>
      <w:pPr>
        <w:pStyle w:val="9"/>
        <w:spacing w:before="11"/>
        <w:rPr>
          <w:b/>
          <w:sz w:val="34"/>
        </w:rPr>
      </w:pPr>
    </w:p>
    <w:p>
      <w:pPr>
        <w:pStyle w:val="22"/>
        <w:numPr>
          <w:ilvl w:val="0"/>
          <w:numId w:val="4"/>
        </w:numPr>
        <w:tabs>
          <w:tab w:val="left" w:pos="1301"/>
        </w:tabs>
        <w:spacing w:before="1"/>
        <w:rPr>
          <w:b/>
          <w:sz w:val="24"/>
        </w:rPr>
      </w:pPr>
      <w:bookmarkStart w:id="8" w:name="5.招标文件构成"/>
      <w:bookmarkEnd w:id="8"/>
      <w:r>
        <w:rPr>
          <w:b/>
          <w:sz w:val="24"/>
        </w:rPr>
        <w:t>招标文件构成</w:t>
      </w:r>
    </w:p>
    <w:p>
      <w:pPr>
        <w:pStyle w:val="22"/>
        <w:numPr>
          <w:ilvl w:val="1"/>
          <w:numId w:val="4"/>
        </w:numPr>
        <w:tabs>
          <w:tab w:val="left" w:pos="1957"/>
          <w:tab w:val="left" w:pos="1958"/>
        </w:tabs>
        <w:spacing w:before="4" w:line="242" w:lineRule="auto"/>
        <w:ind w:left="1955" w:right="4326" w:hanging="898"/>
        <w:rPr>
          <w:sz w:val="24"/>
        </w:rPr>
      </w:pPr>
      <w:r>
        <w:rPr>
          <w:spacing w:val="-6"/>
          <w:sz w:val="24"/>
        </w:rPr>
        <w:t xml:space="preserve">招标文件分为三册共 </w:t>
      </w:r>
      <w:r>
        <w:rPr>
          <w:rFonts w:hint="eastAsia"/>
          <w:sz w:val="24"/>
          <w:lang w:val="en-US"/>
        </w:rPr>
        <w:t>8</w:t>
      </w:r>
      <w:r>
        <w:rPr>
          <w:spacing w:val="-10"/>
          <w:sz w:val="24"/>
        </w:rPr>
        <w:t xml:space="preserve"> 章，内容如下： </w:t>
      </w:r>
      <w:r>
        <w:rPr>
          <w:sz w:val="24"/>
        </w:rPr>
        <w:t>第一册</w:t>
      </w:r>
    </w:p>
    <w:p>
      <w:pPr>
        <w:pStyle w:val="9"/>
        <w:tabs>
          <w:tab w:val="left" w:pos="2857"/>
        </w:tabs>
        <w:spacing w:before="3" w:line="242" w:lineRule="auto"/>
        <w:ind w:left="1957" w:right="6066" w:hanging="51"/>
      </w:pPr>
      <w:r>
        <w:t>第</w:t>
      </w:r>
      <w:r>
        <w:rPr>
          <w:spacing w:val="-60"/>
        </w:rPr>
        <w:t xml:space="preserve"> </w:t>
      </w:r>
      <w:r>
        <w:t>1</w:t>
      </w:r>
      <w:r>
        <w:rPr>
          <w:spacing w:val="-60"/>
        </w:rPr>
        <w:t xml:space="preserve"> </w:t>
      </w:r>
      <w:r>
        <w:t>章</w:t>
      </w:r>
      <w:r>
        <w:tab/>
      </w:r>
      <w:r>
        <w:t>投标人须知 第</w:t>
      </w:r>
      <w:r>
        <w:rPr>
          <w:spacing w:val="-60"/>
        </w:rPr>
        <w:t xml:space="preserve"> </w:t>
      </w:r>
      <w:r>
        <w:t>2</w:t>
      </w:r>
      <w:r>
        <w:rPr>
          <w:spacing w:val="-60"/>
        </w:rPr>
        <w:t xml:space="preserve"> </w:t>
      </w:r>
      <w:r>
        <w:t>章</w:t>
      </w:r>
      <w:r>
        <w:rPr>
          <w:spacing w:val="60"/>
        </w:rPr>
        <w:t xml:space="preserve"> </w:t>
      </w:r>
      <w:r>
        <w:t>投标文件格</w:t>
      </w:r>
      <w:r>
        <w:rPr>
          <w:spacing w:val="-17"/>
        </w:rPr>
        <w:t>式</w:t>
      </w:r>
      <w:r>
        <w:t>第二册</w:t>
      </w:r>
    </w:p>
    <w:p>
      <w:pPr>
        <w:pStyle w:val="9"/>
        <w:spacing w:before="4"/>
        <w:ind w:left="1957"/>
        <w:rPr>
          <w:lang w:val="en-US"/>
        </w:rPr>
      </w:pPr>
      <w:r>
        <w:t xml:space="preserve">第 3 章 </w:t>
      </w:r>
      <w:r>
        <w:rPr>
          <w:rFonts w:hint="eastAsia"/>
          <w:lang w:val="en-US"/>
        </w:rPr>
        <w:t>招标公告</w:t>
      </w:r>
    </w:p>
    <w:p>
      <w:pPr>
        <w:pStyle w:val="9"/>
        <w:spacing w:before="5" w:line="242" w:lineRule="auto"/>
        <w:ind w:left="1957" w:right="5519"/>
      </w:pPr>
      <w:r>
        <w:t>第 4 章 投标人须知资料表第 5 章 服务要求</w:t>
      </w:r>
    </w:p>
    <w:p>
      <w:pPr>
        <w:pStyle w:val="9"/>
        <w:spacing w:before="3" w:line="242" w:lineRule="auto"/>
        <w:ind w:left="1957" w:right="5759"/>
      </w:pPr>
      <w:r>
        <w:t>第 6 章 评审方法和标准第 7 章</w:t>
      </w:r>
      <w:r>
        <w:rPr>
          <w:rFonts w:hint="eastAsia"/>
          <w:lang w:val="en-US"/>
        </w:rPr>
        <w:t xml:space="preserve"> </w:t>
      </w:r>
      <w:r>
        <w:t>确定中标</w:t>
      </w:r>
    </w:p>
    <w:p>
      <w:pPr>
        <w:pStyle w:val="9"/>
        <w:spacing w:before="2"/>
        <w:ind w:left="1957"/>
      </w:pPr>
      <w:r>
        <w:t>第三册</w:t>
      </w:r>
    </w:p>
    <w:p>
      <w:pPr>
        <w:pStyle w:val="9"/>
        <w:spacing w:before="5"/>
        <w:ind w:left="1983"/>
      </w:pPr>
      <w:r>
        <w:t>第 8 章</w:t>
      </w:r>
      <w:r>
        <w:rPr>
          <w:rFonts w:hint="eastAsia"/>
          <w:lang w:val="en-US"/>
        </w:rPr>
        <w:t xml:space="preserve"> </w:t>
      </w:r>
      <w:r>
        <w:t>政府采购合同格式</w:t>
      </w:r>
    </w:p>
    <w:p>
      <w:pPr>
        <w:pStyle w:val="22"/>
        <w:numPr>
          <w:ilvl w:val="1"/>
          <w:numId w:val="4"/>
        </w:numPr>
        <w:tabs>
          <w:tab w:val="left" w:pos="1957"/>
          <w:tab w:val="left" w:pos="1958"/>
        </w:tabs>
        <w:spacing w:before="4"/>
        <w:ind w:hanging="901"/>
        <w:rPr>
          <w:sz w:val="24"/>
        </w:rPr>
      </w:pPr>
      <w:r>
        <w:rPr>
          <w:sz w:val="24"/>
        </w:rPr>
        <w:t>如本文件的前后内容不一致，以最后描述为准。</w:t>
      </w:r>
    </w:p>
    <w:p>
      <w:pPr>
        <w:pStyle w:val="22"/>
        <w:numPr>
          <w:ilvl w:val="1"/>
          <w:numId w:val="4"/>
        </w:numPr>
        <w:tabs>
          <w:tab w:val="left" w:pos="1897"/>
          <w:tab w:val="left" w:pos="1898"/>
        </w:tabs>
        <w:spacing w:before="5" w:line="242" w:lineRule="auto"/>
        <w:ind w:right="1115"/>
        <w:rPr>
          <w:sz w:val="24"/>
        </w:rPr>
      </w:pPr>
      <w:r>
        <w:rPr>
          <w:spacing w:val="-6"/>
          <w:sz w:val="24"/>
        </w:rPr>
        <w:t>投标人应认真阅读招标文件所有的事项、格式、条款和技术规范等。如</w:t>
      </w:r>
      <w:r>
        <w:rPr>
          <w:sz w:val="24"/>
        </w:rPr>
        <w:t>投标人没有按照招标文件要求提交全部资料，或者投标文件没有对招</w:t>
      </w:r>
    </w:p>
    <w:p>
      <w:pPr>
        <w:spacing w:line="242" w:lineRule="auto"/>
        <w:rPr>
          <w:sz w:val="24"/>
        </w:rPr>
        <w:sectPr>
          <w:pgSz w:w="11910" w:h="16840"/>
          <w:pgMar w:top="1180" w:right="800" w:bottom="1180" w:left="740" w:header="0" w:footer="1000" w:gutter="0"/>
          <w:cols w:space="720" w:num="1"/>
        </w:sectPr>
      </w:pPr>
    </w:p>
    <w:p>
      <w:pPr>
        <w:pStyle w:val="9"/>
        <w:spacing w:before="44" w:line="242" w:lineRule="auto"/>
        <w:ind w:left="1957" w:right="1115"/>
      </w:pPr>
      <w:r>
        <w:t>标文件在各方面都做出实质性响应，可能导致其报价将被认定为</w:t>
      </w:r>
      <w:r>
        <w:rPr>
          <w:b/>
        </w:rPr>
        <w:t>投标无效</w:t>
      </w:r>
      <w:r>
        <w:t>。</w:t>
      </w:r>
    </w:p>
    <w:p>
      <w:pPr>
        <w:pStyle w:val="22"/>
        <w:numPr>
          <w:ilvl w:val="0"/>
          <w:numId w:val="4"/>
        </w:numPr>
        <w:tabs>
          <w:tab w:val="left" w:pos="1301"/>
        </w:tabs>
        <w:spacing w:before="2"/>
        <w:rPr>
          <w:b/>
          <w:sz w:val="24"/>
        </w:rPr>
      </w:pPr>
      <w:bookmarkStart w:id="9" w:name="6.招标文件的澄清与修改"/>
      <w:bookmarkEnd w:id="9"/>
      <w:r>
        <w:rPr>
          <w:b/>
          <w:sz w:val="24"/>
        </w:rPr>
        <w:t>招标文件的澄清与修改</w:t>
      </w:r>
    </w:p>
    <w:p>
      <w:pPr>
        <w:pStyle w:val="22"/>
        <w:numPr>
          <w:ilvl w:val="1"/>
          <w:numId w:val="4"/>
        </w:numPr>
        <w:tabs>
          <w:tab w:val="left" w:pos="1791"/>
          <w:tab w:val="left" w:pos="1792"/>
        </w:tabs>
        <w:spacing w:before="5" w:line="242" w:lineRule="auto"/>
        <w:ind w:left="1844" w:right="995" w:hanging="788"/>
        <w:rPr>
          <w:sz w:val="21"/>
        </w:rPr>
      </w:pPr>
      <w:r>
        <w:rPr>
          <w:spacing w:val="-1"/>
          <w:sz w:val="24"/>
        </w:rPr>
        <w:t>提交投标文件截止之日前，澄清或者修改的内容可能影响投标文件编制</w:t>
      </w:r>
      <w:r>
        <w:rPr>
          <w:spacing w:val="-6"/>
          <w:sz w:val="24"/>
        </w:rPr>
        <w:t>的，采购人、采购代理机构或者评标委员会应当在提交投标文件截止之</w:t>
      </w:r>
      <w:r>
        <w:rPr>
          <w:spacing w:val="-33"/>
          <w:sz w:val="24"/>
        </w:rPr>
        <w:t xml:space="preserve">日 </w:t>
      </w:r>
      <w:r>
        <w:rPr>
          <w:sz w:val="24"/>
        </w:rPr>
        <w:t>15</w:t>
      </w:r>
      <w:r>
        <w:rPr>
          <w:spacing w:val="-18"/>
          <w:sz w:val="24"/>
        </w:rPr>
        <w:t xml:space="preserve"> 日前，以书面形式通知所有接收招标文件的投标人，不足 </w:t>
      </w:r>
      <w:r>
        <w:rPr>
          <w:sz w:val="24"/>
        </w:rPr>
        <w:t>15</w:t>
      </w:r>
      <w:r>
        <w:rPr>
          <w:spacing w:val="-19"/>
          <w:sz w:val="24"/>
        </w:rPr>
        <w:t xml:space="preserve"> 日的， </w:t>
      </w:r>
      <w:r>
        <w:rPr>
          <w:sz w:val="24"/>
        </w:rPr>
        <w:t>应当顺延提交投标文件截止之日。</w:t>
      </w:r>
    </w:p>
    <w:p>
      <w:pPr>
        <w:pStyle w:val="22"/>
        <w:numPr>
          <w:ilvl w:val="1"/>
          <w:numId w:val="4"/>
        </w:numPr>
        <w:tabs>
          <w:tab w:val="left" w:pos="1898"/>
        </w:tabs>
        <w:spacing w:before="6" w:line="242" w:lineRule="auto"/>
        <w:ind w:left="1897" w:right="995" w:hanging="840"/>
        <w:jc w:val="both"/>
        <w:rPr>
          <w:sz w:val="24"/>
        </w:rPr>
      </w:pPr>
      <w:r>
        <w:rPr>
          <w:sz w:val="24"/>
        </w:rPr>
        <w:t>采购人、采购代理机构或者评标委员会可主动地或在解答投标人提出的</w:t>
      </w:r>
      <w:r>
        <w:rPr>
          <w:spacing w:val="-10"/>
          <w:sz w:val="24"/>
        </w:rPr>
        <w:t>澄清问题时对招标文件进行澄清或修改。采购代理机构将以发布澄清</w:t>
      </w:r>
      <w:r>
        <w:rPr>
          <w:sz w:val="24"/>
        </w:rPr>
        <w:t>（</w:t>
      </w:r>
      <w:r>
        <w:rPr>
          <w:spacing w:val="-16"/>
          <w:sz w:val="24"/>
        </w:rPr>
        <w:t>更</w:t>
      </w:r>
      <w:r>
        <w:rPr>
          <w:sz w:val="24"/>
        </w:rPr>
        <w:t>正）公告的方式，澄清或修改招标文件，澄清或修改内容作为招标文件的组成部分。</w:t>
      </w:r>
    </w:p>
    <w:p>
      <w:pPr>
        <w:pStyle w:val="22"/>
        <w:numPr>
          <w:ilvl w:val="1"/>
          <w:numId w:val="4"/>
        </w:numPr>
        <w:tabs>
          <w:tab w:val="left" w:pos="1898"/>
        </w:tabs>
        <w:spacing w:before="5" w:line="242" w:lineRule="auto"/>
        <w:ind w:left="1897" w:right="1026" w:hanging="840"/>
        <w:jc w:val="both"/>
        <w:rPr>
          <w:sz w:val="24"/>
        </w:rPr>
      </w:pPr>
      <w:r>
        <w:rPr>
          <w:spacing w:val="-1"/>
          <w:sz w:val="24"/>
        </w:rPr>
        <w:t>澄清或者修改的内容可能影响投标文件编制的，采购代理机构将以书面形式通知所有购买招标文件的潜在投标人，并对其具有约束力。投标人</w:t>
      </w:r>
      <w:r>
        <w:rPr>
          <w:sz w:val="24"/>
        </w:rPr>
        <w:t>在收到上述通知后，应及时向采购代理机构回函确认。</w:t>
      </w:r>
    </w:p>
    <w:p>
      <w:pPr>
        <w:pStyle w:val="22"/>
        <w:numPr>
          <w:ilvl w:val="0"/>
          <w:numId w:val="4"/>
        </w:numPr>
        <w:tabs>
          <w:tab w:val="left" w:pos="1301"/>
        </w:tabs>
        <w:spacing w:before="5"/>
        <w:rPr>
          <w:b/>
          <w:sz w:val="24"/>
        </w:rPr>
      </w:pPr>
      <w:bookmarkStart w:id="10" w:name="7.投标截止时间的顺延"/>
      <w:bookmarkEnd w:id="10"/>
      <w:r>
        <w:rPr>
          <w:b/>
          <w:sz w:val="24"/>
        </w:rPr>
        <w:t>投标截止时间的顺延</w:t>
      </w:r>
    </w:p>
    <w:p>
      <w:pPr>
        <w:pStyle w:val="9"/>
        <w:spacing w:before="4" w:line="242" w:lineRule="auto"/>
        <w:ind w:left="1957" w:right="1117"/>
      </w:pPr>
      <w:r>
        <w:t>为使投标人准备报价时有足够的时间对招标文件的澄清或者修改部分进行研究，采购人将依法决定是否顺延投标截止时间。</w:t>
      </w:r>
    </w:p>
    <w:p>
      <w:pPr>
        <w:tabs>
          <w:tab w:val="left" w:pos="4851"/>
        </w:tabs>
        <w:spacing w:before="133"/>
        <w:ind w:left="4148"/>
        <w:rPr>
          <w:b/>
          <w:sz w:val="28"/>
        </w:rPr>
      </w:pPr>
      <w:bookmarkStart w:id="11" w:name="三___投标文件的编制"/>
      <w:bookmarkEnd w:id="11"/>
      <w:r>
        <w:rPr>
          <w:b/>
          <w:sz w:val="28"/>
        </w:rPr>
        <w:t>三</w:t>
      </w:r>
      <w:r>
        <w:rPr>
          <w:b/>
          <w:sz w:val="28"/>
        </w:rPr>
        <w:tab/>
      </w:r>
      <w:r>
        <w:rPr>
          <w:b/>
          <w:sz w:val="28"/>
        </w:rPr>
        <w:t>投标文件的编制</w:t>
      </w:r>
    </w:p>
    <w:p>
      <w:pPr>
        <w:pStyle w:val="9"/>
        <w:spacing w:before="11"/>
        <w:rPr>
          <w:b/>
          <w:sz w:val="34"/>
        </w:rPr>
      </w:pPr>
    </w:p>
    <w:p>
      <w:pPr>
        <w:pStyle w:val="22"/>
        <w:numPr>
          <w:ilvl w:val="0"/>
          <w:numId w:val="4"/>
        </w:numPr>
        <w:tabs>
          <w:tab w:val="left" w:pos="1958"/>
        </w:tabs>
        <w:spacing w:before="1"/>
        <w:ind w:left="1957" w:hanging="901"/>
        <w:jc w:val="both"/>
        <w:rPr>
          <w:b/>
          <w:sz w:val="24"/>
        </w:rPr>
      </w:pPr>
      <w:bookmarkStart w:id="12" w:name="8.投标范围及投标文件中标准和计量单位的使用"/>
      <w:bookmarkEnd w:id="12"/>
      <w:r>
        <w:rPr>
          <w:b/>
          <w:w w:val="95"/>
          <w:sz w:val="24"/>
        </w:rPr>
        <w:t>投标范围及投标文件中标准和计量单位的使用</w:t>
      </w:r>
    </w:p>
    <w:p>
      <w:pPr>
        <w:pStyle w:val="22"/>
        <w:numPr>
          <w:ilvl w:val="1"/>
          <w:numId w:val="4"/>
        </w:numPr>
        <w:tabs>
          <w:tab w:val="left" w:pos="1958"/>
        </w:tabs>
        <w:spacing w:before="4" w:line="242" w:lineRule="auto"/>
        <w:ind w:right="1115"/>
        <w:jc w:val="both"/>
        <w:rPr>
          <w:sz w:val="24"/>
        </w:rPr>
      </w:pPr>
      <w:r>
        <w:rPr>
          <w:sz w:val="24"/>
        </w:rPr>
        <w:t>项目有分包的，投标人可对招标文件其中某一个或几个分包货物进行报价，除非在</w:t>
      </w:r>
      <w:r>
        <w:rPr>
          <w:sz w:val="24"/>
          <w:u w:val="single"/>
        </w:rPr>
        <w:t>投标人须知资料表</w:t>
      </w:r>
      <w:r>
        <w:rPr>
          <w:sz w:val="24"/>
        </w:rPr>
        <w:t>中另有规定。</w:t>
      </w:r>
    </w:p>
    <w:p>
      <w:pPr>
        <w:pStyle w:val="22"/>
        <w:numPr>
          <w:ilvl w:val="1"/>
          <w:numId w:val="4"/>
        </w:numPr>
        <w:tabs>
          <w:tab w:val="left" w:pos="2020"/>
        </w:tabs>
        <w:spacing w:before="3" w:line="242" w:lineRule="auto"/>
        <w:ind w:right="1115"/>
        <w:jc w:val="both"/>
        <w:rPr>
          <w:sz w:val="24"/>
        </w:rPr>
      </w:pPr>
      <w:r>
        <w:tab/>
      </w:r>
      <w:r>
        <w:rPr>
          <w:sz w:val="24"/>
        </w:rPr>
        <w:t>投标人应当对所投分包招标文件中“服务需求”所列的所有内容进行报价，如仅响应某一包中的部分内容，其该包报价将被认定为</w:t>
      </w:r>
      <w:r>
        <w:rPr>
          <w:b/>
          <w:spacing w:val="1"/>
          <w:sz w:val="24"/>
        </w:rPr>
        <w:t>投标无效</w:t>
      </w:r>
      <w:r>
        <w:rPr>
          <w:spacing w:val="1"/>
          <w:sz w:val="24"/>
        </w:rPr>
        <w:t>。</w:t>
      </w:r>
    </w:p>
    <w:p>
      <w:pPr>
        <w:pStyle w:val="22"/>
        <w:numPr>
          <w:ilvl w:val="1"/>
          <w:numId w:val="4"/>
        </w:numPr>
        <w:tabs>
          <w:tab w:val="left" w:pos="2020"/>
        </w:tabs>
        <w:spacing w:before="4" w:line="242" w:lineRule="auto"/>
        <w:ind w:right="1115"/>
        <w:jc w:val="both"/>
        <w:rPr>
          <w:sz w:val="24"/>
        </w:rPr>
      </w:pPr>
      <w:r>
        <w:tab/>
      </w:r>
      <w:r>
        <w:rPr>
          <w:spacing w:val="-7"/>
          <w:sz w:val="24"/>
        </w:rPr>
        <w:t xml:space="preserve">无论招标文件第 </w:t>
      </w:r>
      <w:r>
        <w:rPr>
          <w:sz w:val="24"/>
        </w:rPr>
        <w:t>5</w:t>
      </w:r>
      <w:r>
        <w:rPr>
          <w:spacing w:val="-9"/>
          <w:sz w:val="24"/>
        </w:rPr>
        <w:t xml:space="preserve"> 章货物需求一览表及技术规格中是否要求，投标人</w:t>
      </w:r>
      <w:r>
        <w:rPr>
          <w:sz w:val="24"/>
        </w:rPr>
        <w:t>所投货物均应符合国家强制性标准。</w:t>
      </w:r>
    </w:p>
    <w:p>
      <w:pPr>
        <w:pStyle w:val="22"/>
        <w:numPr>
          <w:ilvl w:val="1"/>
          <w:numId w:val="4"/>
        </w:numPr>
        <w:tabs>
          <w:tab w:val="left" w:pos="2020"/>
        </w:tabs>
        <w:spacing w:before="3" w:line="242" w:lineRule="auto"/>
        <w:ind w:right="1115"/>
        <w:jc w:val="both"/>
        <w:rPr>
          <w:sz w:val="24"/>
        </w:rPr>
      </w:pPr>
      <w:r>
        <w:tab/>
      </w:r>
      <w:r>
        <w:rPr>
          <w:spacing w:val="-1"/>
          <w:sz w:val="24"/>
        </w:rPr>
        <w:t>除招标文件中有特殊要求外，投标文件中所使用的计量单位，应采用</w:t>
      </w:r>
      <w:r>
        <w:rPr>
          <w:sz w:val="24"/>
        </w:rPr>
        <w:t>中华人民共和国法定计量单位。</w:t>
      </w:r>
    </w:p>
    <w:p>
      <w:pPr>
        <w:pStyle w:val="22"/>
        <w:numPr>
          <w:ilvl w:val="0"/>
          <w:numId w:val="4"/>
        </w:numPr>
        <w:tabs>
          <w:tab w:val="left" w:pos="1299"/>
        </w:tabs>
        <w:spacing w:before="3"/>
        <w:ind w:left="1298" w:hanging="242"/>
        <w:rPr>
          <w:b/>
          <w:sz w:val="24"/>
        </w:rPr>
      </w:pPr>
      <w:bookmarkStart w:id="13" w:name="9.投标文件构成"/>
      <w:bookmarkEnd w:id="13"/>
      <w:r>
        <w:rPr>
          <w:b/>
          <w:sz w:val="24"/>
        </w:rPr>
        <w:t>投标文件构成</w:t>
      </w:r>
    </w:p>
    <w:p>
      <w:pPr>
        <w:pStyle w:val="22"/>
        <w:tabs>
          <w:tab w:val="left" w:pos="2017"/>
          <w:tab w:val="left" w:pos="2018"/>
        </w:tabs>
        <w:spacing w:before="4" w:line="242" w:lineRule="auto"/>
        <w:ind w:left="959" w:leftChars="436" w:right="1121" w:firstLine="239" w:firstLineChars="100"/>
        <w:rPr>
          <w:b/>
          <w:spacing w:val="-1"/>
          <w:sz w:val="24"/>
          <w:u w:val="single"/>
          <w:lang w:val="en-US"/>
        </w:rPr>
      </w:pPr>
    </w:p>
    <w:p>
      <w:pPr>
        <w:pStyle w:val="22"/>
        <w:tabs>
          <w:tab w:val="left" w:pos="2017"/>
          <w:tab w:val="left" w:pos="2018"/>
        </w:tabs>
        <w:spacing w:before="4" w:line="242" w:lineRule="auto"/>
        <w:ind w:left="959" w:leftChars="436" w:right="1121" w:firstLine="239" w:firstLineChars="100"/>
        <w:rPr>
          <w:b/>
          <w:sz w:val="24"/>
          <w:highlight w:val="yellow"/>
        </w:rPr>
      </w:pPr>
      <w:bookmarkStart w:id="317" w:name="_GoBack"/>
      <w:r>
        <w:rPr>
          <w:rFonts w:hint="eastAsia"/>
          <w:b/>
          <w:spacing w:val="-1"/>
          <w:sz w:val="24"/>
          <w:u w:val="single"/>
          <w:lang w:val="en-US"/>
        </w:rPr>
        <w:t>9.1</w:t>
      </w:r>
      <w:r>
        <w:rPr>
          <w:b/>
          <w:spacing w:val="-1"/>
          <w:sz w:val="24"/>
          <w:u w:val="single"/>
        </w:rPr>
        <w:t>投标人应完整地按招标文件提供的投标文件格式及要求编写投标文件</w:t>
      </w:r>
      <w:r>
        <w:rPr>
          <w:b/>
          <w:sz w:val="24"/>
          <w:u w:val="single"/>
        </w:rPr>
        <w:t>，投标文件应包括</w:t>
      </w:r>
      <w:r>
        <w:rPr>
          <w:rFonts w:hint="eastAsia" w:ascii="宋体" w:hAnsi="宋体" w:eastAsia="宋体"/>
          <w:b/>
          <w:sz w:val="24"/>
          <w:u w:val="single"/>
        </w:rPr>
        <w:t>“</w:t>
      </w:r>
      <w:r>
        <w:rPr>
          <w:b/>
          <w:sz w:val="24"/>
          <w:u w:val="single"/>
        </w:rPr>
        <w:t>开标一览表及资格证明文件</w:t>
      </w:r>
      <w:r>
        <w:rPr>
          <w:rFonts w:hint="eastAsia" w:ascii="宋体" w:hAnsi="宋体" w:eastAsia="宋体"/>
          <w:b/>
          <w:sz w:val="24"/>
          <w:u w:val="single"/>
        </w:rPr>
        <w:t>”</w:t>
      </w:r>
      <w:r>
        <w:rPr>
          <w:b/>
          <w:spacing w:val="-2"/>
          <w:sz w:val="24"/>
          <w:u w:val="single"/>
        </w:rPr>
        <w:t>和“商务及技术文</w:t>
      </w:r>
      <w:r>
        <w:rPr>
          <w:b/>
          <w:sz w:val="24"/>
          <w:u w:val="single"/>
        </w:rPr>
        <w:t>件”两部分。</w:t>
      </w:r>
    </w:p>
    <w:p>
      <w:pPr>
        <w:pStyle w:val="22"/>
        <w:tabs>
          <w:tab w:val="left" w:pos="1897"/>
          <w:tab w:val="left" w:pos="1898"/>
        </w:tabs>
        <w:spacing w:before="5"/>
        <w:ind w:left="1056" w:firstLine="0"/>
        <w:rPr>
          <w:sz w:val="24"/>
        </w:rPr>
      </w:pPr>
      <w:r>
        <w:rPr>
          <w:rFonts w:hint="eastAsia"/>
          <w:sz w:val="24"/>
          <w:lang w:val="en-US"/>
        </w:rPr>
        <w:t xml:space="preserve">9.2 </w:t>
      </w:r>
      <w:r>
        <w:rPr>
          <w:sz w:val="24"/>
        </w:rPr>
        <w:t>上述文件应按照招标文件规定的格式填写、签署和盖章。</w:t>
      </w:r>
    </w:p>
    <w:bookmarkEnd w:id="317"/>
    <w:p>
      <w:pPr>
        <w:pStyle w:val="22"/>
        <w:tabs>
          <w:tab w:val="left" w:pos="1897"/>
          <w:tab w:val="left" w:pos="1898"/>
        </w:tabs>
        <w:spacing w:before="5"/>
        <w:ind w:left="1056" w:firstLine="0"/>
        <w:rPr>
          <w:sz w:val="24"/>
        </w:rPr>
      </w:pPr>
    </w:p>
    <w:p>
      <w:pPr>
        <w:pStyle w:val="22"/>
        <w:numPr>
          <w:ilvl w:val="0"/>
          <w:numId w:val="4"/>
        </w:numPr>
        <w:tabs>
          <w:tab w:val="left" w:pos="1957"/>
          <w:tab w:val="left" w:pos="1958"/>
        </w:tabs>
        <w:spacing w:before="4"/>
        <w:ind w:left="1957" w:hanging="901"/>
        <w:rPr>
          <w:b/>
          <w:sz w:val="24"/>
        </w:rPr>
      </w:pPr>
      <w:bookmarkStart w:id="14" w:name="10.证明投标文件的合格性和符合招标文件规定的技术文件"/>
      <w:bookmarkEnd w:id="14"/>
      <w:r>
        <w:rPr>
          <w:b/>
          <w:w w:val="95"/>
          <w:sz w:val="24"/>
        </w:rPr>
        <w:t>证明投标文件的合格性和符合招标文件规定的技术文件</w:t>
      </w:r>
    </w:p>
    <w:p>
      <w:pPr>
        <w:pStyle w:val="22"/>
        <w:numPr>
          <w:ilvl w:val="1"/>
          <w:numId w:val="4"/>
        </w:numPr>
        <w:tabs>
          <w:tab w:val="left" w:pos="1957"/>
          <w:tab w:val="left" w:pos="1958"/>
        </w:tabs>
        <w:spacing w:before="5" w:line="242" w:lineRule="auto"/>
        <w:ind w:right="1115"/>
        <w:rPr>
          <w:sz w:val="24"/>
        </w:rPr>
      </w:pPr>
      <w:r>
        <w:rPr>
          <w:sz w:val="24"/>
        </w:rPr>
        <w:t>投标人应提交证明文件，证明其报价内容符合招标文件规定。该证明文件是投标文件的一部分。</w:t>
      </w:r>
    </w:p>
    <w:p>
      <w:pPr>
        <w:pStyle w:val="22"/>
        <w:numPr>
          <w:ilvl w:val="1"/>
          <w:numId w:val="4"/>
        </w:numPr>
        <w:tabs>
          <w:tab w:val="left" w:pos="1957"/>
          <w:tab w:val="left" w:pos="1958"/>
        </w:tabs>
        <w:spacing w:before="2"/>
        <w:ind w:hanging="901"/>
        <w:rPr>
          <w:sz w:val="24"/>
        </w:rPr>
      </w:pPr>
      <w:r>
        <w:rPr>
          <w:sz w:val="24"/>
        </w:rPr>
        <w:t>上款所述的证明文件，可以是文字资料、图纸和数据</w:t>
      </w:r>
      <w:r>
        <w:rPr>
          <w:rFonts w:hint="eastAsia"/>
          <w:sz w:val="24"/>
        </w:rPr>
        <w:t>。</w:t>
      </w:r>
    </w:p>
    <w:p>
      <w:pPr>
        <w:spacing w:line="242" w:lineRule="auto"/>
        <w:jc w:val="both"/>
        <w:rPr>
          <w:sz w:val="24"/>
        </w:rPr>
        <w:sectPr>
          <w:pgSz w:w="11910" w:h="16840"/>
          <w:pgMar w:top="1180" w:right="800" w:bottom="1180" w:left="740" w:header="0" w:footer="1000" w:gutter="0"/>
          <w:cols w:space="720" w:num="1"/>
        </w:sectPr>
      </w:pPr>
    </w:p>
    <w:p>
      <w:pPr>
        <w:ind w:left="1057"/>
        <w:rPr>
          <w:b/>
          <w:sz w:val="24"/>
        </w:rPr>
      </w:pPr>
      <w:bookmarkStart w:id="15" w:name="11投标报价"/>
      <w:bookmarkEnd w:id="15"/>
      <w:r>
        <w:rPr>
          <w:b/>
          <w:sz w:val="24"/>
        </w:rPr>
        <w:t>11投标报价</w:t>
      </w:r>
    </w:p>
    <w:p>
      <w:pPr>
        <w:pStyle w:val="22"/>
        <w:numPr>
          <w:ilvl w:val="1"/>
          <w:numId w:val="5"/>
        </w:numPr>
        <w:tabs>
          <w:tab w:val="left" w:pos="1958"/>
        </w:tabs>
        <w:spacing w:before="5" w:line="242" w:lineRule="auto"/>
        <w:ind w:right="1115"/>
        <w:jc w:val="both"/>
        <w:rPr>
          <w:sz w:val="24"/>
        </w:rPr>
      </w:pPr>
      <w:r>
        <w:rPr>
          <w:sz w:val="24"/>
        </w:rPr>
        <w:t>所有报价均以人民币报价。投标人的响应报价应遵守《中华人民共和国价格法》。同时，根据《中华人民共和国政府采购法》第二条的规定，为保证公平竞争，如有货物主体部分的赠与行为，其报价将被认定为</w:t>
      </w:r>
      <w:r>
        <w:rPr>
          <w:b/>
          <w:sz w:val="24"/>
        </w:rPr>
        <w:t>投标无效</w:t>
      </w:r>
      <w:r>
        <w:rPr>
          <w:sz w:val="24"/>
        </w:rPr>
        <w:t>。</w:t>
      </w:r>
    </w:p>
    <w:p>
      <w:pPr>
        <w:pStyle w:val="22"/>
        <w:numPr>
          <w:ilvl w:val="1"/>
          <w:numId w:val="5"/>
        </w:numPr>
        <w:tabs>
          <w:tab w:val="left" w:pos="1958"/>
        </w:tabs>
        <w:spacing w:before="5" w:line="242" w:lineRule="auto"/>
        <w:ind w:right="1115"/>
        <w:jc w:val="both"/>
        <w:rPr>
          <w:sz w:val="24"/>
        </w:rPr>
      </w:pPr>
      <w:r>
        <w:rPr>
          <w:sz w:val="24"/>
        </w:rPr>
        <w:t>投标人应在投标分项报价表上标明</w:t>
      </w:r>
      <w:r>
        <w:rPr>
          <w:rFonts w:hint="eastAsia"/>
          <w:sz w:val="24"/>
        </w:rPr>
        <w:t>分项</w:t>
      </w:r>
      <w:r>
        <w:rPr>
          <w:sz w:val="24"/>
        </w:rPr>
        <w:t>服务的单价（</w:t>
      </w:r>
      <w:r>
        <w:rPr>
          <w:spacing w:val="2"/>
          <w:sz w:val="24"/>
        </w:rPr>
        <w:t>如适用）和总价，并由法定代表人或其授权代表签署。</w:t>
      </w:r>
    </w:p>
    <w:p>
      <w:pPr>
        <w:pStyle w:val="22"/>
        <w:numPr>
          <w:ilvl w:val="1"/>
          <w:numId w:val="5"/>
        </w:numPr>
        <w:tabs>
          <w:tab w:val="left" w:pos="1958"/>
        </w:tabs>
        <w:spacing w:before="3"/>
        <w:ind w:hanging="901"/>
        <w:jc w:val="both"/>
        <w:rPr>
          <w:sz w:val="24"/>
        </w:rPr>
      </w:pPr>
      <w:r>
        <w:rPr>
          <w:sz w:val="24"/>
        </w:rPr>
        <w:t>采购人接受具有附加条件的报价</w:t>
      </w:r>
      <w:r>
        <w:rPr>
          <w:rFonts w:hint="eastAsia"/>
          <w:sz w:val="24"/>
        </w:rPr>
        <w:t>。</w:t>
      </w:r>
    </w:p>
    <w:p>
      <w:pPr>
        <w:pStyle w:val="22"/>
        <w:numPr>
          <w:ilvl w:val="1"/>
          <w:numId w:val="5"/>
        </w:numPr>
        <w:tabs>
          <w:tab w:val="left" w:pos="1958"/>
        </w:tabs>
        <w:spacing w:before="4" w:line="242" w:lineRule="auto"/>
        <w:ind w:right="1115"/>
        <w:jc w:val="both"/>
        <w:rPr>
          <w:sz w:val="24"/>
        </w:rPr>
      </w:pPr>
      <w:r>
        <w:rPr>
          <w:sz w:val="24"/>
        </w:rPr>
        <w:t>投标人所报的各分项报价单价在合同履行过程中是固定不变的，不得以任何理由予以变更。任何包含价格调整要求的报价，其报价将被认定为</w:t>
      </w:r>
      <w:r>
        <w:rPr>
          <w:b/>
          <w:sz w:val="24"/>
        </w:rPr>
        <w:t>投标无效</w:t>
      </w:r>
      <w:r>
        <w:rPr>
          <w:sz w:val="24"/>
        </w:rPr>
        <w:t>。</w:t>
      </w:r>
    </w:p>
    <w:p>
      <w:pPr>
        <w:pStyle w:val="22"/>
        <w:numPr>
          <w:ilvl w:val="1"/>
          <w:numId w:val="5"/>
        </w:numPr>
        <w:tabs>
          <w:tab w:val="left" w:pos="2018"/>
        </w:tabs>
        <w:spacing w:before="124" w:line="242" w:lineRule="auto"/>
        <w:ind w:left="1057" w:right="2084" w:firstLine="0"/>
        <w:jc w:val="both"/>
        <w:rPr>
          <w:b/>
          <w:sz w:val="24"/>
        </w:rPr>
      </w:pPr>
      <w:r>
        <w:rPr>
          <w:b/>
          <w:spacing w:val="-1"/>
          <w:sz w:val="24"/>
          <w:u w:val="single"/>
        </w:rPr>
        <w:t>参加公开招标活动的投标人应当一次报出不得更改的价格。</w:t>
      </w:r>
      <w:bookmarkStart w:id="16" w:name="12.投标保证金"/>
      <w:bookmarkEnd w:id="16"/>
      <w:r>
        <w:rPr>
          <w:b/>
          <w:sz w:val="24"/>
        </w:rPr>
        <w:t>12.投标保证金</w:t>
      </w:r>
    </w:p>
    <w:p>
      <w:pPr>
        <w:pStyle w:val="22"/>
        <w:numPr>
          <w:ilvl w:val="1"/>
          <w:numId w:val="6"/>
        </w:numPr>
        <w:tabs>
          <w:tab w:val="left" w:pos="1958"/>
        </w:tabs>
        <w:spacing w:before="3" w:line="242" w:lineRule="auto"/>
        <w:ind w:right="1117"/>
        <w:jc w:val="both"/>
        <w:rPr>
          <w:sz w:val="24"/>
        </w:rPr>
      </w:pPr>
      <w:r>
        <w:rPr>
          <w:sz w:val="24"/>
        </w:rPr>
        <w:t>投标人应提交</w:t>
      </w:r>
      <w:r>
        <w:rPr>
          <w:sz w:val="24"/>
          <w:u w:val="single"/>
        </w:rPr>
        <w:t>投标人须知资料表</w:t>
      </w:r>
      <w:r>
        <w:rPr>
          <w:sz w:val="24"/>
        </w:rPr>
        <w:t>中规定的投标保证金，并作为其报价的一部分。</w:t>
      </w:r>
    </w:p>
    <w:p>
      <w:pPr>
        <w:pStyle w:val="22"/>
        <w:numPr>
          <w:ilvl w:val="1"/>
          <w:numId w:val="6"/>
        </w:numPr>
        <w:tabs>
          <w:tab w:val="left" w:pos="1958"/>
        </w:tabs>
        <w:spacing w:before="3"/>
        <w:ind w:hanging="901"/>
        <w:jc w:val="both"/>
        <w:rPr>
          <w:sz w:val="24"/>
        </w:rPr>
      </w:pPr>
      <w:r>
        <w:rPr>
          <w:sz w:val="24"/>
        </w:rPr>
        <w:t>投标人存在下列情形的，投标保证金不予退还：</w:t>
      </w:r>
    </w:p>
    <w:p>
      <w:pPr>
        <w:pStyle w:val="22"/>
        <w:numPr>
          <w:ilvl w:val="2"/>
          <w:numId w:val="6"/>
        </w:numPr>
        <w:tabs>
          <w:tab w:val="left" w:pos="2437"/>
        </w:tabs>
        <w:spacing w:before="4"/>
        <w:ind w:hanging="602"/>
        <w:rPr>
          <w:sz w:val="24"/>
        </w:rPr>
      </w:pPr>
      <w:r>
        <w:rPr>
          <w:sz w:val="24"/>
        </w:rPr>
        <w:t>在投标有效期内，撤销报价的；</w:t>
      </w:r>
    </w:p>
    <w:p>
      <w:pPr>
        <w:pStyle w:val="22"/>
        <w:numPr>
          <w:ilvl w:val="2"/>
          <w:numId w:val="6"/>
        </w:numPr>
        <w:tabs>
          <w:tab w:val="left" w:pos="2437"/>
        </w:tabs>
        <w:spacing w:before="5"/>
        <w:ind w:hanging="602"/>
        <w:rPr>
          <w:sz w:val="24"/>
        </w:rPr>
      </w:pPr>
      <w:r>
        <w:rPr>
          <w:spacing w:val="-6"/>
          <w:sz w:val="24"/>
        </w:rPr>
        <w:t xml:space="preserve">中标后不按本须知第 </w:t>
      </w:r>
      <w:r>
        <w:rPr>
          <w:sz w:val="24"/>
        </w:rPr>
        <w:t>30</w:t>
      </w:r>
      <w:r>
        <w:rPr>
          <w:spacing w:val="-8"/>
          <w:sz w:val="24"/>
        </w:rPr>
        <w:t xml:space="preserve"> 条的规定与采购人签订合同的；</w:t>
      </w:r>
    </w:p>
    <w:p>
      <w:pPr>
        <w:pStyle w:val="22"/>
        <w:numPr>
          <w:ilvl w:val="2"/>
          <w:numId w:val="6"/>
        </w:numPr>
        <w:tabs>
          <w:tab w:val="left" w:pos="2437"/>
        </w:tabs>
        <w:spacing w:before="4"/>
        <w:ind w:hanging="602"/>
        <w:rPr>
          <w:sz w:val="24"/>
        </w:rPr>
      </w:pPr>
      <w:r>
        <w:rPr>
          <w:spacing w:val="-6"/>
          <w:sz w:val="24"/>
        </w:rPr>
        <w:t xml:space="preserve">中标后不按本须知第 </w:t>
      </w:r>
      <w:r>
        <w:rPr>
          <w:sz w:val="24"/>
        </w:rPr>
        <w:t>31</w:t>
      </w:r>
      <w:r>
        <w:rPr>
          <w:spacing w:val="-8"/>
          <w:sz w:val="24"/>
        </w:rPr>
        <w:t xml:space="preserve"> 条的规定提交履约保证金的；</w:t>
      </w:r>
    </w:p>
    <w:p>
      <w:pPr>
        <w:pStyle w:val="22"/>
        <w:numPr>
          <w:ilvl w:val="2"/>
          <w:numId w:val="6"/>
        </w:numPr>
        <w:tabs>
          <w:tab w:val="left" w:pos="2437"/>
        </w:tabs>
        <w:spacing w:before="5"/>
        <w:ind w:hanging="602"/>
        <w:rPr>
          <w:sz w:val="24"/>
        </w:rPr>
      </w:pPr>
      <w:r>
        <w:rPr>
          <w:spacing w:val="-6"/>
          <w:sz w:val="24"/>
        </w:rPr>
        <w:t xml:space="preserve">中标后不按本须知第 </w:t>
      </w:r>
      <w:r>
        <w:rPr>
          <w:sz w:val="24"/>
        </w:rPr>
        <w:t>32</w:t>
      </w:r>
      <w:r>
        <w:rPr>
          <w:spacing w:val="-8"/>
          <w:sz w:val="24"/>
        </w:rPr>
        <w:t xml:space="preserve"> 条的规定缴纳中标服务费的；</w:t>
      </w:r>
    </w:p>
    <w:p>
      <w:pPr>
        <w:pStyle w:val="22"/>
        <w:numPr>
          <w:ilvl w:val="2"/>
          <w:numId w:val="6"/>
        </w:numPr>
        <w:tabs>
          <w:tab w:val="left" w:pos="2437"/>
        </w:tabs>
        <w:spacing w:before="4"/>
        <w:ind w:hanging="602"/>
        <w:rPr>
          <w:sz w:val="24"/>
        </w:rPr>
      </w:pPr>
      <w:r>
        <w:rPr>
          <w:sz w:val="24"/>
        </w:rPr>
        <w:t>投标人在投标文件中提供虚假材料的；</w:t>
      </w:r>
    </w:p>
    <w:p>
      <w:pPr>
        <w:pStyle w:val="22"/>
        <w:numPr>
          <w:ilvl w:val="2"/>
          <w:numId w:val="6"/>
        </w:numPr>
        <w:tabs>
          <w:tab w:val="left" w:pos="2437"/>
        </w:tabs>
        <w:spacing w:before="5"/>
        <w:ind w:hanging="602"/>
        <w:rPr>
          <w:sz w:val="24"/>
        </w:rPr>
      </w:pPr>
      <w:r>
        <w:rPr>
          <w:sz w:val="24"/>
        </w:rPr>
        <w:t>投标人与采购人、其他投标人或者采购代理机构恶意串通的；</w:t>
      </w:r>
    </w:p>
    <w:p>
      <w:pPr>
        <w:pStyle w:val="22"/>
        <w:numPr>
          <w:ilvl w:val="2"/>
          <w:numId w:val="6"/>
        </w:numPr>
        <w:tabs>
          <w:tab w:val="left" w:pos="2437"/>
        </w:tabs>
        <w:spacing w:before="4"/>
        <w:ind w:hanging="602"/>
        <w:rPr>
          <w:sz w:val="24"/>
        </w:rPr>
      </w:pPr>
      <w:r>
        <w:rPr>
          <w:sz w:val="24"/>
        </w:rPr>
        <w:t>存在其他违法违规行为的。</w:t>
      </w:r>
    </w:p>
    <w:p>
      <w:pPr>
        <w:pStyle w:val="22"/>
        <w:numPr>
          <w:ilvl w:val="1"/>
          <w:numId w:val="6"/>
        </w:numPr>
        <w:tabs>
          <w:tab w:val="left" w:pos="1958"/>
        </w:tabs>
        <w:spacing w:before="5" w:line="242" w:lineRule="auto"/>
        <w:ind w:right="1115"/>
        <w:jc w:val="both"/>
        <w:rPr>
          <w:sz w:val="24"/>
        </w:rPr>
      </w:pPr>
      <w:r>
        <w:rPr>
          <w:sz w:val="24"/>
        </w:rPr>
        <w:t>政府采购信用担保试点范围内的项目，接受符合财政部门规定的政府采购报价担保函原件。</w:t>
      </w:r>
    </w:p>
    <w:p>
      <w:pPr>
        <w:pStyle w:val="22"/>
        <w:numPr>
          <w:ilvl w:val="1"/>
          <w:numId w:val="6"/>
        </w:numPr>
        <w:tabs>
          <w:tab w:val="left" w:pos="1958"/>
        </w:tabs>
        <w:spacing w:before="3" w:line="242" w:lineRule="auto"/>
        <w:ind w:right="1117"/>
        <w:jc w:val="both"/>
        <w:rPr>
          <w:sz w:val="24"/>
        </w:rPr>
      </w:pPr>
      <w:r>
        <w:rPr>
          <w:spacing w:val="-5"/>
          <w:sz w:val="24"/>
        </w:rPr>
        <w:t xml:space="preserve">投标人未按本须知第 </w:t>
      </w:r>
      <w:r>
        <w:rPr>
          <w:sz w:val="24"/>
        </w:rPr>
        <w:t>12.1</w:t>
      </w:r>
      <w:r>
        <w:rPr>
          <w:spacing w:val="-35"/>
          <w:sz w:val="24"/>
        </w:rPr>
        <w:t xml:space="preserve"> 和 </w:t>
      </w:r>
      <w:r>
        <w:rPr>
          <w:sz w:val="24"/>
        </w:rPr>
        <w:t>12.3</w:t>
      </w:r>
      <w:r>
        <w:rPr>
          <w:spacing w:val="-6"/>
          <w:sz w:val="24"/>
        </w:rPr>
        <w:t xml:space="preserve"> 条规定提交投标保证金的，其报价将被认定为</w:t>
      </w:r>
      <w:r>
        <w:rPr>
          <w:b/>
          <w:spacing w:val="-6"/>
          <w:sz w:val="24"/>
        </w:rPr>
        <w:t>投标无效</w:t>
      </w:r>
      <w:r>
        <w:rPr>
          <w:spacing w:val="-6"/>
          <w:sz w:val="24"/>
        </w:rPr>
        <w:t>。</w:t>
      </w:r>
    </w:p>
    <w:p>
      <w:pPr>
        <w:pStyle w:val="22"/>
        <w:numPr>
          <w:ilvl w:val="2"/>
          <w:numId w:val="7"/>
        </w:numPr>
        <w:tabs>
          <w:tab w:val="left" w:pos="2018"/>
        </w:tabs>
        <w:spacing w:before="3"/>
        <w:ind w:hanging="961"/>
        <w:jc w:val="both"/>
        <w:rPr>
          <w:spacing w:val="-10"/>
          <w:sz w:val="24"/>
        </w:rPr>
      </w:pPr>
      <w:r>
        <w:rPr>
          <w:sz w:val="24"/>
        </w:rPr>
        <w:t>采用电汇、网银形式的，一般可以实时入账。</w:t>
      </w:r>
    </w:p>
    <w:p>
      <w:pPr>
        <w:pStyle w:val="22"/>
        <w:numPr>
          <w:ilvl w:val="2"/>
          <w:numId w:val="7"/>
        </w:numPr>
        <w:tabs>
          <w:tab w:val="left" w:pos="2018"/>
        </w:tabs>
        <w:spacing w:before="3"/>
        <w:ind w:hanging="961"/>
        <w:jc w:val="both"/>
        <w:rPr>
          <w:spacing w:val="-10"/>
          <w:sz w:val="24"/>
        </w:rPr>
      </w:pPr>
      <w:r>
        <w:rPr>
          <w:sz w:val="24"/>
        </w:rPr>
        <w:t>采用支票形式的，投标人则应充分考虑支票入账时间，以确保投标保证金能按时进入指定账户。根据银行信息交换和付款时间，支票从递</w:t>
      </w:r>
      <w:r>
        <w:rPr>
          <w:spacing w:val="-6"/>
          <w:sz w:val="24"/>
        </w:rPr>
        <w:t xml:space="preserve">交至实际入账一般需要 </w:t>
      </w:r>
      <w:r>
        <w:rPr>
          <w:sz w:val="24"/>
        </w:rPr>
        <w:t>4-5</w:t>
      </w:r>
      <w:r>
        <w:rPr>
          <w:spacing w:val="-8"/>
          <w:sz w:val="24"/>
        </w:rPr>
        <w:t xml:space="preserve"> 个工作日。如投标人未及时提交支票或支票不符合银行委托收款要求（如污损、折叠、胶装等），导致投标保</w:t>
      </w:r>
      <w:r>
        <w:rPr>
          <w:spacing w:val="-16"/>
          <w:sz w:val="24"/>
        </w:rPr>
        <w:t xml:space="preserve">证金不能按时进入指定账户的，将按照招标文件的第 </w:t>
      </w:r>
      <w:r>
        <w:rPr>
          <w:sz w:val="24"/>
        </w:rPr>
        <w:t>22.2</w:t>
      </w:r>
      <w:r>
        <w:rPr>
          <w:spacing w:val="-13"/>
          <w:sz w:val="24"/>
        </w:rPr>
        <w:t xml:space="preserve"> 条相关规定</w:t>
      </w:r>
      <w:r>
        <w:rPr>
          <w:rFonts w:hint="eastAsia"/>
          <w:spacing w:val="-13"/>
          <w:sz w:val="24"/>
        </w:rPr>
        <w:t>处理。</w:t>
      </w:r>
    </w:p>
    <w:p>
      <w:pPr>
        <w:pStyle w:val="22"/>
        <w:numPr>
          <w:ilvl w:val="1"/>
          <w:numId w:val="6"/>
        </w:numPr>
        <w:tabs>
          <w:tab w:val="left" w:pos="1897"/>
          <w:tab w:val="left" w:pos="1898"/>
        </w:tabs>
        <w:spacing w:before="4" w:line="242" w:lineRule="auto"/>
        <w:ind w:right="1115"/>
        <w:rPr>
          <w:spacing w:val="-10"/>
          <w:sz w:val="24"/>
        </w:rPr>
      </w:pPr>
      <w:r>
        <w:rPr>
          <w:spacing w:val="-10"/>
          <w:sz w:val="24"/>
        </w:rPr>
        <w:t>联合体报价的，可以由联合体中的一方或者共同提交投标保证金。以一方名义提交投标保证金的，对联合体各方均具有约束力。</w:t>
      </w:r>
      <w:r>
        <w:rPr>
          <w:rFonts w:hint="eastAsia"/>
          <w:spacing w:val="-10"/>
          <w:sz w:val="24"/>
          <w:lang w:val="en-US"/>
        </w:rPr>
        <w:t>联合体参与投标的，应以联合体牵头人的名义参与投标提交保证金，并在联合体协议中明确。</w:t>
      </w:r>
    </w:p>
    <w:p>
      <w:pPr>
        <w:pStyle w:val="22"/>
        <w:numPr>
          <w:ilvl w:val="1"/>
          <w:numId w:val="6"/>
        </w:numPr>
        <w:tabs>
          <w:tab w:val="left" w:pos="1897"/>
          <w:tab w:val="left" w:pos="1898"/>
        </w:tabs>
        <w:spacing w:before="4" w:line="242" w:lineRule="auto"/>
        <w:ind w:right="1115"/>
        <w:rPr>
          <w:spacing w:val="-10"/>
          <w:sz w:val="24"/>
        </w:rPr>
      </w:pPr>
      <w:r>
        <w:rPr>
          <w:spacing w:val="-10"/>
          <w:sz w:val="24"/>
        </w:rPr>
        <w:t>投标保证金的退还</w:t>
      </w:r>
    </w:p>
    <w:p>
      <w:pPr>
        <w:pStyle w:val="22"/>
        <w:tabs>
          <w:tab w:val="left" w:pos="1897"/>
          <w:tab w:val="left" w:pos="1898"/>
        </w:tabs>
        <w:spacing w:before="4" w:line="242" w:lineRule="auto"/>
        <w:ind w:left="1936" w:leftChars="480" w:right="1115" w:hanging="880" w:hangingChars="400"/>
        <w:rPr>
          <w:spacing w:val="-10"/>
          <w:sz w:val="24"/>
        </w:rPr>
      </w:pPr>
      <w:r>
        <w:rPr>
          <w:rFonts w:hint="eastAsia"/>
          <w:spacing w:val="-10"/>
          <w:sz w:val="24"/>
          <w:lang w:val="en-US"/>
        </w:rPr>
        <w:t xml:space="preserve">12.6.1  </w:t>
      </w:r>
      <w:r>
        <w:rPr>
          <w:spacing w:val="-10"/>
          <w:sz w:val="24"/>
        </w:rPr>
        <w:t>中标人应在与采购人签订合同之日起 5 个工作日内，及时联系保证金收受机构办理投标保证金无息退还手续。</w:t>
      </w:r>
    </w:p>
    <w:p>
      <w:pPr>
        <w:pStyle w:val="22"/>
        <w:tabs>
          <w:tab w:val="left" w:pos="1897"/>
          <w:tab w:val="left" w:pos="1898"/>
        </w:tabs>
        <w:spacing w:before="4" w:line="242" w:lineRule="auto"/>
        <w:ind w:left="1936" w:leftChars="480" w:right="1115" w:hanging="880" w:hangingChars="400"/>
        <w:rPr>
          <w:spacing w:val="-10"/>
          <w:sz w:val="24"/>
        </w:rPr>
      </w:pPr>
      <w:r>
        <w:rPr>
          <w:rFonts w:hint="eastAsia"/>
          <w:spacing w:val="-10"/>
          <w:sz w:val="24"/>
          <w:lang w:val="en-US"/>
        </w:rPr>
        <w:t xml:space="preserve">12.6.2  </w:t>
      </w:r>
      <w:r>
        <w:rPr>
          <w:spacing w:val="-10"/>
          <w:sz w:val="24"/>
        </w:rPr>
        <w:t>未中标人的投标保证金将在成交通知书发出之日暨成交结果公告公布之日起 5 个工作日内无息退还。投标人应及时联系保证金收受机构办理退还投标保证金手续。</w:t>
      </w:r>
    </w:p>
    <w:p>
      <w:pPr>
        <w:pStyle w:val="22"/>
        <w:tabs>
          <w:tab w:val="left" w:pos="1897"/>
          <w:tab w:val="left" w:pos="1898"/>
        </w:tabs>
        <w:spacing w:before="4" w:line="242" w:lineRule="auto"/>
        <w:ind w:left="1057" w:right="1115" w:firstLine="0"/>
        <w:rPr>
          <w:spacing w:val="-10"/>
          <w:sz w:val="24"/>
        </w:rPr>
      </w:pPr>
      <w:r>
        <w:rPr>
          <w:rFonts w:hint="eastAsia"/>
          <w:spacing w:val="-10"/>
          <w:sz w:val="24"/>
          <w:lang w:val="en-US"/>
        </w:rPr>
        <w:t xml:space="preserve">12.6.3  </w:t>
      </w:r>
      <w:r>
        <w:rPr>
          <w:spacing w:val="-10"/>
          <w:sz w:val="24"/>
        </w:rPr>
        <w:t>政府采购报价担保函不予退回。</w:t>
      </w:r>
    </w:p>
    <w:p>
      <w:pPr>
        <w:pStyle w:val="22"/>
        <w:numPr>
          <w:ilvl w:val="1"/>
          <w:numId w:val="6"/>
        </w:numPr>
        <w:tabs>
          <w:tab w:val="left" w:pos="1897"/>
          <w:tab w:val="left" w:pos="1898"/>
        </w:tabs>
        <w:spacing w:before="4" w:line="242" w:lineRule="auto"/>
        <w:ind w:right="1115"/>
        <w:rPr>
          <w:spacing w:val="-10"/>
          <w:sz w:val="24"/>
        </w:rPr>
      </w:pPr>
      <w:r>
        <w:rPr>
          <w:spacing w:val="-10"/>
          <w:sz w:val="24"/>
        </w:rPr>
        <w:t>因投标人自身原因导致无法及时退还的，采购人或采购代理机构将不承担相应责任。</w:t>
      </w:r>
    </w:p>
    <w:p>
      <w:pPr>
        <w:pStyle w:val="22"/>
        <w:numPr>
          <w:ilvl w:val="0"/>
          <w:numId w:val="8"/>
        </w:numPr>
        <w:tabs>
          <w:tab w:val="left" w:pos="1421"/>
        </w:tabs>
        <w:spacing w:before="3"/>
        <w:rPr>
          <w:b/>
        </w:rPr>
      </w:pPr>
      <w:bookmarkStart w:id="17" w:name="13.投标有效期"/>
      <w:bookmarkEnd w:id="17"/>
      <w:r>
        <w:rPr>
          <w:b/>
          <w:sz w:val="24"/>
        </w:rPr>
        <w:t>投标有效期</w:t>
      </w:r>
    </w:p>
    <w:p>
      <w:pPr>
        <w:pStyle w:val="22"/>
        <w:numPr>
          <w:ilvl w:val="1"/>
          <w:numId w:val="8"/>
        </w:numPr>
        <w:tabs>
          <w:tab w:val="left" w:pos="1957"/>
          <w:tab w:val="left" w:pos="1958"/>
        </w:tabs>
        <w:spacing w:before="4" w:line="242" w:lineRule="auto"/>
        <w:ind w:right="1117"/>
        <w:rPr>
          <w:sz w:val="24"/>
        </w:rPr>
      </w:pPr>
      <w:r>
        <w:rPr>
          <w:spacing w:val="1"/>
          <w:sz w:val="24"/>
        </w:rPr>
        <w:t>报价应在</w:t>
      </w:r>
      <w:r>
        <w:rPr>
          <w:sz w:val="24"/>
          <w:u w:val="single"/>
        </w:rPr>
        <w:t>投标人须知资料表</w:t>
      </w:r>
      <w:r>
        <w:rPr>
          <w:sz w:val="24"/>
        </w:rPr>
        <w:t>中规定时间内保持有效。投标有效期不满足要求的报价，其报价将被认定为</w:t>
      </w:r>
      <w:r>
        <w:rPr>
          <w:b/>
          <w:sz w:val="24"/>
        </w:rPr>
        <w:t>投标无效</w:t>
      </w:r>
      <w:r>
        <w:rPr>
          <w:sz w:val="24"/>
        </w:rPr>
        <w:t>。</w:t>
      </w:r>
    </w:p>
    <w:p>
      <w:pPr>
        <w:pStyle w:val="22"/>
        <w:numPr>
          <w:ilvl w:val="1"/>
          <w:numId w:val="8"/>
        </w:numPr>
        <w:tabs>
          <w:tab w:val="left" w:pos="1957"/>
          <w:tab w:val="left" w:pos="1958"/>
        </w:tabs>
        <w:spacing w:before="3" w:line="242" w:lineRule="auto"/>
        <w:ind w:right="995"/>
        <w:rPr>
          <w:sz w:val="24"/>
        </w:rPr>
      </w:pPr>
      <w:r>
        <w:rPr>
          <w:spacing w:val="-4"/>
          <w:sz w:val="24"/>
        </w:rPr>
        <w:t xml:space="preserve">为保证有充分时间签订合同，采购人或采购代理机构可根据实际情况， </w:t>
      </w:r>
      <w:r>
        <w:rPr>
          <w:sz w:val="24"/>
        </w:rPr>
        <w:t>在原投标有效期截止之前，要求投标人延长投标文件的有效期。接受该要求的投标人将不会被要求和允许修正其报价，且本须知中有关投标保证金的要求须在延长的有效期内继续有效。投标人可以拒绝延长投标有效期的要求，其投标保证金将及时无息退还。上述要求和答复都应以书面形式提交。</w:t>
      </w:r>
    </w:p>
    <w:p>
      <w:pPr>
        <w:pStyle w:val="22"/>
        <w:numPr>
          <w:ilvl w:val="0"/>
          <w:numId w:val="8"/>
        </w:numPr>
        <w:tabs>
          <w:tab w:val="left" w:pos="1421"/>
        </w:tabs>
        <w:spacing w:before="9"/>
        <w:rPr>
          <w:b/>
        </w:rPr>
      </w:pPr>
      <w:bookmarkStart w:id="18" w:name="14.投标文件的签署及规定"/>
      <w:bookmarkEnd w:id="18"/>
      <w:r>
        <w:rPr>
          <w:b/>
          <w:sz w:val="24"/>
        </w:rPr>
        <w:t>投标文件的签署及规定</w:t>
      </w:r>
    </w:p>
    <w:p>
      <w:pPr>
        <w:pStyle w:val="22"/>
        <w:tabs>
          <w:tab w:val="left" w:pos="1958"/>
        </w:tabs>
        <w:spacing w:before="3" w:line="242" w:lineRule="auto"/>
        <w:ind w:left="1057" w:right="1117" w:firstLine="0"/>
        <w:jc w:val="both"/>
        <w:rPr>
          <w:sz w:val="24"/>
        </w:rPr>
      </w:pPr>
      <w:r>
        <w:rPr>
          <w:rFonts w:hint="eastAsia"/>
          <w:sz w:val="24"/>
        </w:rPr>
        <w:t>14.1</w:t>
      </w:r>
      <w:r>
        <w:rPr>
          <w:rFonts w:hint="eastAsia"/>
          <w:sz w:val="24"/>
        </w:rPr>
        <w:tab/>
      </w:r>
      <w:r>
        <w:rPr>
          <w:rFonts w:hint="eastAsia"/>
          <w:sz w:val="24"/>
        </w:rPr>
        <w:t>投标人应按投标人须知资料表中的规定，准备和递交投标文件资格证明文件、商务</w:t>
      </w:r>
      <w:r>
        <w:rPr>
          <w:sz w:val="24"/>
        </w:rPr>
        <w:t>和技术文件</w:t>
      </w:r>
      <w:r>
        <w:rPr>
          <w:rFonts w:hint="eastAsia"/>
          <w:sz w:val="24"/>
        </w:rPr>
        <w:t>。</w:t>
      </w:r>
    </w:p>
    <w:p>
      <w:pPr>
        <w:pStyle w:val="22"/>
        <w:tabs>
          <w:tab w:val="left" w:pos="1958"/>
        </w:tabs>
        <w:spacing w:before="3" w:line="242" w:lineRule="auto"/>
        <w:ind w:left="1057" w:right="1117" w:firstLine="0"/>
        <w:jc w:val="both"/>
        <w:rPr>
          <w:sz w:val="24"/>
        </w:rPr>
      </w:pPr>
      <w:r>
        <w:rPr>
          <w:rFonts w:hint="eastAsia"/>
          <w:sz w:val="24"/>
        </w:rPr>
        <w:t>14.2</w:t>
      </w:r>
      <w:r>
        <w:rPr>
          <w:rFonts w:hint="eastAsia"/>
          <w:sz w:val="24"/>
        </w:rPr>
        <w:tab/>
      </w:r>
      <w:r>
        <w:rPr>
          <w:rFonts w:hint="eastAsia"/>
          <w:sz w:val="24"/>
        </w:rPr>
        <w:t>投标文件的法定代表人或经其正式委托代理人按招标文件规定在投标文件上签字并加盖单位印章。委托代理人须有“法定代表人授权委托书”（投标文件格式二），将其附在投标文件中。如对投标文件进行了修改，则应由投标人的法定代表人或其委托代理人在每一修改处签字。</w:t>
      </w:r>
    </w:p>
    <w:p>
      <w:pPr>
        <w:pStyle w:val="22"/>
        <w:tabs>
          <w:tab w:val="left" w:pos="1958"/>
        </w:tabs>
        <w:spacing w:before="3" w:line="242" w:lineRule="auto"/>
        <w:ind w:left="1057" w:right="1117" w:firstLine="0"/>
        <w:jc w:val="both"/>
        <w:rPr>
          <w:sz w:val="24"/>
        </w:rPr>
      </w:pPr>
      <w:r>
        <w:rPr>
          <w:sz w:val="24"/>
        </w:rPr>
        <w:t xml:space="preserve">14.3   </w:t>
      </w:r>
      <w:r>
        <w:rPr>
          <w:rFonts w:hint="eastAsia"/>
          <w:sz w:val="24"/>
        </w:rPr>
        <w:t>上传电子文件</w:t>
      </w:r>
    </w:p>
    <w:p>
      <w:pPr>
        <w:pStyle w:val="22"/>
        <w:tabs>
          <w:tab w:val="left" w:pos="1958"/>
        </w:tabs>
        <w:spacing w:before="3" w:line="242" w:lineRule="auto"/>
        <w:ind w:left="1057" w:right="1117" w:firstLine="0"/>
        <w:jc w:val="both"/>
        <w:rPr>
          <w:sz w:val="24"/>
        </w:rPr>
      </w:pPr>
      <w:r>
        <w:rPr>
          <w:rFonts w:hint="eastAsia"/>
          <w:sz w:val="24"/>
        </w:rPr>
        <w:t>14.</w:t>
      </w:r>
      <w:r>
        <w:rPr>
          <w:sz w:val="24"/>
        </w:rPr>
        <w:t>4</w:t>
      </w:r>
      <w:r>
        <w:rPr>
          <w:rFonts w:hint="eastAsia"/>
          <w:sz w:val="24"/>
        </w:rPr>
        <w:tab/>
      </w:r>
      <w:r>
        <w:rPr>
          <w:rFonts w:hint="eastAsia"/>
          <w:sz w:val="24"/>
        </w:rPr>
        <w:t>投标文件因字迹潦草、表达不清或</w:t>
      </w:r>
      <w:r>
        <w:rPr>
          <w:sz w:val="24"/>
        </w:rPr>
        <w:t>装订不当</w:t>
      </w:r>
      <w:r>
        <w:rPr>
          <w:rFonts w:hint="eastAsia"/>
          <w:sz w:val="24"/>
        </w:rPr>
        <w:t>所引起的后果由投标人负责。</w:t>
      </w:r>
    </w:p>
    <w:p>
      <w:pPr>
        <w:pStyle w:val="9"/>
        <w:spacing w:before="7"/>
      </w:pPr>
    </w:p>
    <w:p>
      <w:pPr>
        <w:tabs>
          <w:tab w:val="left" w:pos="1209"/>
        </w:tabs>
        <w:spacing w:before="1"/>
        <w:ind w:left="607"/>
        <w:jc w:val="center"/>
        <w:rPr>
          <w:b/>
          <w:sz w:val="24"/>
        </w:rPr>
      </w:pPr>
      <w:bookmarkStart w:id="19" w:name="四___投标文件的递交"/>
      <w:bookmarkEnd w:id="19"/>
      <w:r>
        <w:rPr>
          <w:b/>
          <w:sz w:val="24"/>
        </w:rPr>
        <w:t>四</w:t>
      </w:r>
      <w:r>
        <w:rPr>
          <w:b/>
          <w:sz w:val="24"/>
        </w:rPr>
        <w:tab/>
      </w:r>
      <w:r>
        <w:rPr>
          <w:b/>
          <w:sz w:val="24"/>
        </w:rPr>
        <w:t>投标文件的递交</w:t>
      </w:r>
    </w:p>
    <w:p>
      <w:pPr>
        <w:pStyle w:val="9"/>
        <w:spacing w:before="8"/>
        <w:rPr>
          <w:b/>
        </w:rPr>
      </w:pPr>
    </w:p>
    <w:p>
      <w:pPr>
        <w:pStyle w:val="22"/>
        <w:numPr>
          <w:ilvl w:val="0"/>
          <w:numId w:val="8"/>
        </w:numPr>
        <w:tabs>
          <w:tab w:val="left" w:pos="1421"/>
        </w:tabs>
        <w:spacing w:before="1"/>
        <w:rPr>
          <w:b/>
        </w:rPr>
      </w:pPr>
      <w:bookmarkStart w:id="20" w:name="15.投标文件的密封和标记"/>
      <w:bookmarkEnd w:id="20"/>
      <w:r>
        <w:rPr>
          <w:b/>
          <w:sz w:val="24"/>
        </w:rPr>
        <w:t>投标文件的密封和标记</w:t>
      </w:r>
    </w:p>
    <w:p>
      <w:pPr>
        <w:pStyle w:val="22"/>
        <w:tabs>
          <w:tab w:val="left" w:pos="1421"/>
        </w:tabs>
        <w:spacing w:before="3"/>
        <w:ind w:left="1057" w:firstLine="0"/>
        <w:rPr>
          <w:b/>
          <w:bCs/>
          <w:sz w:val="24"/>
          <w:u w:val="single"/>
          <w:lang w:val="en-US"/>
        </w:rPr>
      </w:pPr>
      <w:bookmarkStart w:id="21" w:name="16.投标截止"/>
      <w:bookmarkEnd w:id="21"/>
      <w:r>
        <w:rPr>
          <w:rFonts w:hint="eastAsia" w:ascii="仿宋_GB2312" w:hAnsi="宋体" w:eastAsia="仿宋_GB2312"/>
          <w:sz w:val="24"/>
        </w:rPr>
        <w:t xml:space="preserve">15.1 </w:t>
      </w:r>
      <w:r>
        <w:rPr>
          <w:rFonts w:hint="eastAsia"/>
          <w:b/>
          <w:bCs/>
          <w:sz w:val="24"/>
          <w:u w:val="single"/>
        </w:rPr>
        <w:t>为方便</w:t>
      </w:r>
      <w:r>
        <w:rPr>
          <w:rFonts w:hint="eastAsia"/>
          <w:b/>
          <w:bCs/>
          <w:sz w:val="24"/>
          <w:u w:val="single"/>
          <w:lang w:val="en-US"/>
        </w:rPr>
        <w:t>评审</w:t>
      </w:r>
      <w:r>
        <w:rPr>
          <w:rFonts w:hint="eastAsia"/>
          <w:b/>
          <w:bCs/>
          <w:sz w:val="24"/>
          <w:u w:val="single"/>
        </w:rPr>
        <w:t>及进行资格审查，</w:t>
      </w:r>
      <w:r>
        <w:rPr>
          <w:rFonts w:hint="eastAsia"/>
          <w:b/>
          <w:bCs/>
          <w:sz w:val="24"/>
          <w:u w:val="single"/>
          <w:lang w:val="en-US"/>
        </w:rPr>
        <w:t>投标人须在投标截止时间前完成在系统上递交电子投标文件。投标人的电子投标文件是经过CA证书加密后上传提交的，任何单位或个人均无法在投标截止时间之前查看或篡改，不存在泄密风险。（严格按照政采云电子投标流程制作并上传电子投标文件）</w:t>
      </w:r>
    </w:p>
    <w:p>
      <w:pPr>
        <w:pStyle w:val="22"/>
        <w:tabs>
          <w:tab w:val="left" w:pos="1421"/>
        </w:tabs>
        <w:spacing w:before="3"/>
        <w:ind w:left="1057" w:firstLine="0"/>
        <w:rPr>
          <w:b/>
          <w:bCs/>
          <w:sz w:val="24"/>
          <w:u w:val="single"/>
          <w:lang w:val="en-US"/>
        </w:rPr>
      </w:pPr>
      <w:r>
        <w:rPr>
          <w:rFonts w:hint="eastAsia"/>
          <w:b/>
          <w:bCs/>
          <w:sz w:val="24"/>
          <w:lang w:val="en-US"/>
        </w:rPr>
        <w:t xml:space="preserve">15.2  </w:t>
      </w:r>
      <w:r>
        <w:rPr>
          <w:rFonts w:hint="eastAsia"/>
          <w:b/>
          <w:bCs/>
          <w:sz w:val="24"/>
          <w:u w:val="single"/>
          <w:lang w:val="en-US"/>
        </w:rPr>
        <w:t>资格证明文件密封装订在其他响应文件中，其投标将被认定为投标无效</w:t>
      </w:r>
      <w:r>
        <w:rPr>
          <w:rFonts w:hint="eastAsia"/>
          <w:b/>
          <w:bCs/>
          <w:sz w:val="24"/>
          <w:lang w:val="en-US"/>
        </w:rPr>
        <w:t>。</w:t>
      </w:r>
    </w:p>
    <w:p>
      <w:pPr>
        <w:pStyle w:val="22"/>
        <w:tabs>
          <w:tab w:val="left" w:pos="1421"/>
        </w:tabs>
        <w:spacing w:before="3"/>
        <w:ind w:left="1057" w:firstLine="0"/>
        <w:rPr>
          <w:b/>
        </w:rPr>
      </w:pPr>
      <w:r>
        <w:rPr>
          <w:rFonts w:hint="eastAsia"/>
          <w:b/>
          <w:sz w:val="24"/>
          <w:lang w:val="en-US"/>
        </w:rPr>
        <w:t>16.</w:t>
      </w:r>
      <w:r>
        <w:rPr>
          <w:b/>
          <w:sz w:val="24"/>
        </w:rPr>
        <w:t>投标截止</w:t>
      </w:r>
    </w:p>
    <w:p>
      <w:pPr>
        <w:pStyle w:val="22"/>
        <w:tabs>
          <w:tab w:val="left" w:pos="1958"/>
        </w:tabs>
        <w:spacing w:before="4" w:line="242" w:lineRule="auto"/>
        <w:ind w:left="1776" w:leftChars="480" w:right="1115" w:hanging="720" w:hangingChars="300"/>
        <w:jc w:val="both"/>
        <w:rPr>
          <w:sz w:val="24"/>
        </w:rPr>
      </w:pPr>
      <w:r>
        <w:rPr>
          <w:rFonts w:hint="eastAsia"/>
          <w:sz w:val="24"/>
        </w:rPr>
        <w:t>16.1</w:t>
      </w:r>
      <w:r>
        <w:rPr>
          <w:rFonts w:hint="eastAsia"/>
          <w:sz w:val="24"/>
        </w:rPr>
        <w:tab/>
      </w:r>
      <w:r>
        <w:rPr>
          <w:rFonts w:hint="eastAsia"/>
          <w:sz w:val="24"/>
        </w:rPr>
        <w:t>投标人应在投标人须知资料表中规定的截止时间前，将投标文件递交</w:t>
      </w:r>
      <w:r>
        <w:rPr>
          <w:rFonts w:hint="eastAsia"/>
          <w:sz w:val="24"/>
          <w:lang w:val="en-US"/>
        </w:rPr>
        <w:t xml:space="preserve"> </w:t>
      </w:r>
      <w:r>
        <w:rPr>
          <w:rFonts w:hint="eastAsia"/>
          <w:sz w:val="24"/>
        </w:rPr>
        <w:t>到招标公告中规定的地点。</w:t>
      </w:r>
    </w:p>
    <w:p>
      <w:pPr>
        <w:pStyle w:val="22"/>
        <w:tabs>
          <w:tab w:val="left" w:pos="1958"/>
        </w:tabs>
        <w:spacing w:before="4" w:line="242" w:lineRule="auto"/>
        <w:ind w:left="1776" w:leftChars="480" w:right="1115" w:hanging="720" w:hangingChars="300"/>
        <w:jc w:val="both"/>
        <w:rPr>
          <w:sz w:val="24"/>
        </w:rPr>
      </w:pPr>
      <w:r>
        <w:rPr>
          <w:rFonts w:hint="eastAsia"/>
          <w:sz w:val="24"/>
        </w:rPr>
        <w:t>16.2</w:t>
      </w:r>
      <w:r>
        <w:rPr>
          <w:rFonts w:hint="eastAsia"/>
          <w:sz w:val="24"/>
        </w:rPr>
        <w:tab/>
      </w:r>
      <w:r>
        <w:rPr>
          <w:rFonts w:hint="eastAsia"/>
          <w:sz w:val="24"/>
        </w:rPr>
        <w:t>采购人和</w:t>
      </w:r>
      <w:r>
        <w:rPr>
          <w:sz w:val="24"/>
        </w:rPr>
        <w:t>采购代理机构</w:t>
      </w:r>
      <w:r>
        <w:rPr>
          <w:rFonts w:hint="eastAsia"/>
          <w:sz w:val="24"/>
        </w:rPr>
        <w:t>有权按本须知的规定，延迟投标截止时间。在此情况下，采购人、</w:t>
      </w:r>
      <w:r>
        <w:rPr>
          <w:sz w:val="24"/>
        </w:rPr>
        <w:t>采购代理机构</w:t>
      </w:r>
      <w:r>
        <w:rPr>
          <w:rFonts w:hint="eastAsia"/>
          <w:sz w:val="24"/>
        </w:rPr>
        <w:t>和投标人受投标截止时间制约的所有权利和义务均应延长至新的截止时间。</w:t>
      </w:r>
    </w:p>
    <w:p>
      <w:pPr>
        <w:pStyle w:val="22"/>
        <w:tabs>
          <w:tab w:val="left" w:pos="1958"/>
        </w:tabs>
        <w:spacing w:before="4" w:line="242" w:lineRule="auto"/>
        <w:ind w:left="1057" w:right="1115" w:firstLine="0"/>
        <w:jc w:val="both"/>
        <w:rPr>
          <w:sz w:val="24"/>
        </w:rPr>
      </w:pPr>
      <w:r>
        <w:rPr>
          <w:rFonts w:hint="eastAsia"/>
          <w:sz w:val="24"/>
        </w:rPr>
        <w:t>16.3</w:t>
      </w:r>
      <w:r>
        <w:rPr>
          <w:rFonts w:hint="eastAsia"/>
          <w:sz w:val="24"/>
          <w:lang w:val="en-US"/>
        </w:rPr>
        <w:t xml:space="preserve">  </w:t>
      </w:r>
      <w:r>
        <w:rPr>
          <w:rFonts w:hint="eastAsia"/>
          <w:sz w:val="24"/>
        </w:rPr>
        <w:t>采购人和</w:t>
      </w:r>
      <w:r>
        <w:rPr>
          <w:sz w:val="24"/>
        </w:rPr>
        <w:t>采购代理机构</w:t>
      </w:r>
      <w:r>
        <w:rPr>
          <w:rFonts w:hint="eastAsia"/>
          <w:sz w:val="24"/>
        </w:rPr>
        <w:t>将拒绝接收在投标截止时间后送达的投标文件。</w:t>
      </w:r>
    </w:p>
    <w:p>
      <w:pPr>
        <w:pStyle w:val="22"/>
        <w:tabs>
          <w:tab w:val="left" w:pos="1421"/>
        </w:tabs>
        <w:spacing w:before="3"/>
        <w:ind w:left="1057" w:firstLine="0"/>
        <w:rPr>
          <w:b/>
        </w:rPr>
      </w:pPr>
      <w:bookmarkStart w:id="22" w:name="17.投标文件的接收、修改与撤回"/>
      <w:bookmarkEnd w:id="22"/>
      <w:r>
        <w:rPr>
          <w:rFonts w:hint="eastAsia"/>
          <w:b/>
          <w:sz w:val="24"/>
          <w:lang w:val="en-US"/>
        </w:rPr>
        <w:t xml:space="preserve">17. </w:t>
      </w:r>
      <w:r>
        <w:rPr>
          <w:b/>
          <w:sz w:val="24"/>
        </w:rPr>
        <w:t>投标文件的接收、修改与撤回</w:t>
      </w:r>
    </w:p>
    <w:p>
      <w:pPr>
        <w:pStyle w:val="22"/>
        <w:tabs>
          <w:tab w:val="left" w:pos="1957"/>
          <w:tab w:val="left" w:pos="1958"/>
        </w:tabs>
        <w:spacing w:before="5" w:line="242" w:lineRule="auto"/>
        <w:ind w:left="1057" w:right="1117" w:firstLine="0"/>
        <w:rPr>
          <w:sz w:val="24"/>
        </w:rPr>
      </w:pPr>
      <w:r>
        <w:rPr>
          <w:rFonts w:hint="eastAsia"/>
          <w:sz w:val="24"/>
          <w:lang w:val="en-US"/>
        </w:rPr>
        <w:t xml:space="preserve">17.1 </w:t>
      </w:r>
      <w:r>
        <w:rPr>
          <w:sz w:val="24"/>
        </w:rPr>
        <w:t>在投标截止时间后送达的投标文件的，采购人和采购代理机构将拒绝接收。</w:t>
      </w:r>
    </w:p>
    <w:p>
      <w:pPr>
        <w:pStyle w:val="22"/>
        <w:tabs>
          <w:tab w:val="left" w:pos="1957"/>
          <w:tab w:val="left" w:pos="1958"/>
        </w:tabs>
        <w:spacing w:before="5" w:line="242" w:lineRule="auto"/>
        <w:ind w:left="1057" w:right="1117" w:firstLine="0"/>
        <w:rPr>
          <w:sz w:val="18"/>
        </w:rPr>
      </w:pPr>
      <w:r>
        <w:rPr>
          <w:rFonts w:hint="eastAsia"/>
          <w:sz w:val="24"/>
          <w:lang w:val="en-US"/>
        </w:rPr>
        <w:t xml:space="preserve">17.2 </w:t>
      </w:r>
      <w:r>
        <w:rPr>
          <w:sz w:val="24"/>
        </w:rPr>
        <w:t>采购人或者采购代理机构收到投标文件后，应当如实记载投标文件的送达时间和密封情况。</w:t>
      </w:r>
    </w:p>
    <w:p>
      <w:pPr>
        <w:pStyle w:val="9"/>
        <w:spacing w:before="8"/>
      </w:pPr>
    </w:p>
    <w:p>
      <w:pPr>
        <w:pStyle w:val="22"/>
        <w:tabs>
          <w:tab w:val="left" w:pos="1898"/>
        </w:tabs>
        <w:spacing w:line="242" w:lineRule="auto"/>
        <w:ind w:left="1988" w:leftChars="500" w:right="1115" w:hanging="888" w:hangingChars="400"/>
        <w:jc w:val="both"/>
        <w:rPr>
          <w:sz w:val="24"/>
        </w:rPr>
      </w:pPr>
      <w:r>
        <w:rPr>
          <w:rFonts w:hint="eastAsia"/>
          <w:spacing w:val="-9"/>
          <w:sz w:val="24"/>
          <w:lang w:val="en-US"/>
        </w:rPr>
        <w:t xml:space="preserve">17.3   </w:t>
      </w:r>
      <w:r>
        <w:rPr>
          <w:spacing w:val="-9"/>
          <w:sz w:val="24"/>
        </w:rPr>
        <w:t>递交投标文件以后，如果投标人要进行修改或撤回报价，须提出书面申</w:t>
      </w:r>
      <w:r>
        <w:rPr>
          <w:spacing w:val="-6"/>
          <w:sz w:val="24"/>
        </w:rPr>
        <w:t>请并在投标截止时间前送达采购活动地点，投标人对投标文件的修改或</w:t>
      </w:r>
      <w:r>
        <w:rPr>
          <w:sz w:val="24"/>
        </w:rPr>
        <w:t>撤回通知应按本须知规定编制、密封、标记。</w:t>
      </w:r>
    </w:p>
    <w:p>
      <w:pPr>
        <w:pStyle w:val="9"/>
        <w:spacing w:before="4"/>
        <w:ind w:left="1912"/>
      </w:pPr>
      <w:r>
        <w:t>采购人和采购代理机构将予以接收，并视为投标文件的组成部分。</w:t>
      </w:r>
    </w:p>
    <w:p>
      <w:pPr>
        <w:pStyle w:val="22"/>
        <w:tabs>
          <w:tab w:val="left" w:pos="1957"/>
          <w:tab w:val="left" w:pos="1958"/>
        </w:tabs>
        <w:spacing w:before="5" w:line="242" w:lineRule="auto"/>
        <w:ind w:left="2060" w:leftChars="500" w:right="1117" w:hanging="960" w:hangingChars="400"/>
        <w:rPr>
          <w:sz w:val="24"/>
        </w:rPr>
      </w:pPr>
      <w:r>
        <w:rPr>
          <w:rFonts w:hint="eastAsia"/>
          <w:sz w:val="24"/>
          <w:lang w:val="en-US"/>
        </w:rPr>
        <w:t xml:space="preserve">17.4   </w:t>
      </w:r>
      <w:r>
        <w:rPr>
          <w:sz w:val="24"/>
        </w:rPr>
        <w:t>在投标截止期之后，采购人和采购代理机构不接受投标人主动对其投标文件做任何修改。</w:t>
      </w:r>
    </w:p>
    <w:p>
      <w:pPr>
        <w:pStyle w:val="22"/>
        <w:tabs>
          <w:tab w:val="left" w:pos="1957"/>
          <w:tab w:val="left" w:pos="1958"/>
        </w:tabs>
        <w:spacing w:before="3"/>
        <w:ind w:left="1100" w:firstLine="0"/>
      </w:pPr>
      <w:r>
        <w:rPr>
          <w:rFonts w:hint="eastAsia"/>
          <w:sz w:val="24"/>
          <w:lang w:val="en-US"/>
        </w:rPr>
        <w:t xml:space="preserve">17.5   </w:t>
      </w:r>
      <w:r>
        <w:rPr>
          <w:sz w:val="24"/>
        </w:rPr>
        <w:t>采购人和采购代理机构对所接收投标文件概不退回。</w:t>
      </w:r>
    </w:p>
    <w:p>
      <w:pPr>
        <w:tabs>
          <w:tab w:val="left" w:pos="5305"/>
        </w:tabs>
        <w:spacing w:before="1"/>
        <w:ind w:left="4703"/>
        <w:rPr>
          <w:b/>
          <w:sz w:val="28"/>
        </w:rPr>
      </w:pPr>
      <w:bookmarkStart w:id="23" w:name="五___采购活动"/>
      <w:bookmarkEnd w:id="23"/>
      <w:r>
        <w:rPr>
          <w:b/>
          <w:sz w:val="24"/>
        </w:rPr>
        <w:t>五</w:t>
      </w:r>
      <w:r>
        <w:rPr>
          <w:b/>
          <w:sz w:val="24"/>
        </w:rPr>
        <w:tab/>
      </w:r>
      <w:r>
        <w:rPr>
          <w:b/>
          <w:sz w:val="24"/>
        </w:rPr>
        <w:t>采购活动</w:t>
      </w:r>
    </w:p>
    <w:p>
      <w:pPr>
        <w:pStyle w:val="22"/>
        <w:tabs>
          <w:tab w:val="left" w:pos="1478"/>
        </w:tabs>
        <w:ind w:left="1056" w:firstLine="0"/>
        <w:rPr>
          <w:rFonts w:ascii="宋体" w:eastAsia="宋体"/>
          <w:b/>
          <w:sz w:val="24"/>
        </w:rPr>
      </w:pPr>
      <w:bookmarkStart w:id="24" w:name="18.采购活动"/>
      <w:bookmarkEnd w:id="24"/>
      <w:r>
        <w:rPr>
          <w:rFonts w:hint="eastAsia"/>
          <w:b/>
          <w:sz w:val="24"/>
          <w:lang w:val="en-US"/>
        </w:rPr>
        <w:t>18.</w:t>
      </w:r>
      <w:r>
        <w:rPr>
          <w:b/>
          <w:sz w:val="24"/>
        </w:rPr>
        <w:t>采购活动</w:t>
      </w:r>
    </w:p>
    <w:p>
      <w:pPr>
        <w:pStyle w:val="22"/>
        <w:tabs>
          <w:tab w:val="left" w:pos="1897"/>
          <w:tab w:val="left" w:pos="1898"/>
        </w:tabs>
        <w:spacing w:before="124" w:line="242" w:lineRule="auto"/>
        <w:ind w:left="2084" w:leftChars="500" w:right="1115" w:hanging="984" w:hangingChars="400"/>
        <w:rPr>
          <w:spacing w:val="3"/>
          <w:sz w:val="24"/>
          <w:szCs w:val="24"/>
        </w:rPr>
      </w:pPr>
      <w:r>
        <w:rPr>
          <w:rFonts w:hint="eastAsia"/>
          <w:spacing w:val="3"/>
          <w:sz w:val="24"/>
          <w:lang w:val="en-US"/>
        </w:rPr>
        <w:t xml:space="preserve">18.1   </w:t>
      </w:r>
      <w:r>
        <w:rPr>
          <w:spacing w:val="3"/>
          <w:sz w:val="24"/>
          <w:szCs w:val="24"/>
        </w:rPr>
        <w:t>采购人和采购代理机构将按</w:t>
      </w:r>
      <w:r>
        <w:rPr>
          <w:spacing w:val="4"/>
          <w:sz w:val="24"/>
          <w:szCs w:val="24"/>
          <w:u w:val="single"/>
        </w:rPr>
        <w:t>投标人须知资料表</w:t>
      </w:r>
      <w:r>
        <w:rPr>
          <w:spacing w:val="3"/>
          <w:sz w:val="24"/>
          <w:szCs w:val="24"/>
        </w:rPr>
        <w:t>中规定的时间和地点组织</w:t>
      </w:r>
      <w:r>
        <w:rPr>
          <w:rFonts w:hint="eastAsia"/>
          <w:sz w:val="24"/>
        </w:rPr>
        <w:t>公开开标</w:t>
      </w:r>
      <w:r>
        <w:rPr>
          <w:spacing w:val="3"/>
          <w:sz w:val="24"/>
          <w:szCs w:val="24"/>
        </w:rPr>
        <w:t>并邀请所有投标人代表参加。</w:t>
      </w:r>
    </w:p>
    <w:p>
      <w:pPr>
        <w:pStyle w:val="22"/>
        <w:tabs>
          <w:tab w:val="left" w:pos="1897"/>
          <w:tab w:val="left" w:pos="1898"/>
        </w:tabs>
        <w:spacing w:before="124" w:line="242" w:lineRule="auto"/>
        <w:ind w:left="2059" w:leftChars="936" w:right="1115" w:firstLine="0"/>
        <w:rPr>
          <w:spacing w:val="3"/>
          <w:sz w:val="24"/>
          <w:szCs w:val="24"/>
        </w:rPr>
      </w:pPr>
      <w:r>
        <w:rPr>
          <w:spacing w:val="3"/>
          <w:sz w:val="24"/>
          <w:szCs w:val="24"/>
        </w:rPr>
        <w:t>投标人不足 3 家的，不得开展采购活动。</w:t>
      </w:r>
    </w:p>
    <w:p>
      <w:pPr>
        <w:pStyle w:val="22"/>
        <w:tabs>
          <w:tab w:val="left" w:pos="1897"/>
          <w:tab w:val="left" w:pos="1898"/>
        </w:tabs>
        <w:spacing w:before="124" w:line="242" w:lineRule="auto"/>
        <w:ind w:left="2059" w:leftChars="936" w:right="1115" w:firstLine="0"/>
        <w:rPr>
          <w:sz w:val="24"/>
          <w:szCs w:val="24"/>
        </w:rPr>
      </w:pPr>
      <w:r>
        <w:rPr>
          <w:spacing w:val="3"/>
          <w:sz w:val="24"/>
          <w:szCs w:val="24"/>
        </w:rPr>
        <w:t>采购活动开始时，由采购人或采购代理机构当众拆封投标文件第一部分，宣读投标人名称、报价价格及招标文件</w:t>
      </w:r>
      <w:r>
        <w:rPr>
          <w:sz w:val="24"/>
          <w:szCs w:val="24"/>
        </w:rPr>
        <w:t>规定的内容。对于投标人在投标截止期前递交的报价声明，在采购活动开始时当众宣读，评审时有效。</w:t>
      </w:r>
    </w:p>
    <w:p>
      <w:pPr>
        <w:pStyle w:val="9"/>
        <w:spacing w:line="303" w:lineRule="exact"/>
        <w:ind w:left="1955"/>
      </w:pPr>
      <w:r>
        <w:t>未宣读报价价格、价格折扣等实质内容，评审时不予承认。</w:t>
      </w:r>
    </w:p>
    <w:p>
      <w:pPr>
        <w:pStyle w:val="22"/>
        <w:tabs>
          <w:tab w:val="left" w:pos="2019"/>
          <w:tab w:val="left" w:pos="2020"/>
        </w:tabs>
        <w:spacing w:before="31" w:line="266" w:lineRule="auto"/>
        <w:ind w:left="2060" w:leftChars="500" w:right="1117" w:hanging="960" w:hangingChars="400"/>
        <w:rPr>
          <w:sz w:val="24"/>
          <w:szCs w:val="24"/>
        </w:rPr>
      </w:pPr>
      <w:r>
        <w:rPr>
          <w:rFonts w:hint="eastAsia"/>
          <w:sz w:val="24"/>
          <w:szCs w:val="24"/>
          <w:lang w:val="en-US"/>
        </w:rPr>
        <w:t>18.2</w:t>
      </w:r>
      <w:r>
        <w:rPr>
          <w:sz w:val="24"/>
          <w:szCs w:val="24"/>
        </w:rPr>
        <w:tab/>
      </w:r>
      <w:r>
        <w:rPr>
          <w:spacing w:val="-1"/>
          <w:sz w:val="24"/>
          <w:szCs w:val="24"/>
        </w:rPr>
        <w:t>采购人或采购代理机构将对采购活动过程进行记录，由参加采购活动</w:t>
      </w:r>
      <w:r>
        <w:rPr>
          <w:rFonts w:hint="eastAsia"/>
          <w:spacing w:val="-1"/>
          <w:sz w:val="24"/>
          <w:szCs w:val="24"/>
          <w:lang w:val="en-US"/>
        </w:rPr>
        <w:t xml:space="preserve"> </w:t>
      </w:r>
      <w:r>
        <w:rPr>
          <w:sz w:val="24"/>
          <w:szCs w:val="24"/>
        </w:rPr>
        <w:t>的各投标人代表和相关工作人员签字确认，并存档备查。</w:t>
      </w:r>
    </w:p>
    <w:p>
      <w:pPr>
        <w:pStyle w:val="22"/>
        <w:tabs>
          <w:tab w:val="left" w:pos="2017"/>
          <w:tab w:val="left" w:pos="2018"/>
        </w:tabs>
        <w:spacing w:line="264" w:lineRule="auto"/>
        <w:ind w:left="2060" w:leftChars="500" w:right="995" w:hanging="960" w:hangingChars="400"/>
        <w:rPr>
          <w:sz w:val="24"/>
          <w:szCs w:val="24"/>
        </w:rPr>
      </w:pPr>
      <w:r>
        <w:rPr>
          <w:rFonts w:hint="eastAsia"/>
          <w:sz w:val="24"/>
          <w:szCs w:val="24"/>
          <w:lang w:val="en-US"/>
        </w:rPr>
        <w:t>18.3</w:t>
      </w:r>
      <w:r>
        <w:rPr>
          <w:sz w:val="24"/>
          <w:szCs w:val="24"/>
        </w:rPr>
        <w:tab/>
      </w:r>
      <w:r>
        <w:rPr>
          <w:spacing w:val="-5"/>
          <w:sz w:val="24"/>
          <w:szCs w:val="24"/>
        </w:rPr>
        <w:t>投标人代表对采购活动过程和采购活动记录有疑义，以及认为采购人、</w:t>
      </w:r>
      <w:r>
        <w:rPr>
          <w:sz w:val="24"/>
          <w:szCs w:val="24"/>
        </w:rPr>
        <w:t>采购代理机构相关工作人员有需要回避的情形的，应当场提出询问或者回避申请。</w:t>
      </w:r>
    </w:p>
    <w:p>
      <w:pPr>
        <w:pStyle w:val="22"/>
        <w:tabs>
          <w:tab w:val="left" w:pos="1421"/>
        </w:tabs>
        <w:spacing w:before="4"/>
        <w:ind w:left="1057" w:firstLine="0"/>
        <w:rPr>
          <w:b/>
        </w:rPr>
      </w:pPr>
      <w:bookmarkStart w:id="25" w:name="19.资格审查及组建评标委员会"/>
      <w:bookmarkEnd w:id="25"/>
      <w:r>
        <w:rPr>
          <w:rFonts w:hint="eastAsia"/>
          <w:b/>
          <w:sz w:val="24"/>
          <w:lang w:val="en-US"/>
        </w:rPr>
        <w:t>19.</w:t>
      </w:r>
      <w:r>
        <w:rPr>
          <w:b/>
          <w:sz w:val="24"/>
        </w:rPr>
        <w:t>资格审查及组建评标委员会</w:t>
      </w:r>
    </w:p>
    <w:p>
      <w:pPr>
        <w:pStyle w:val="22"/>
        <w:tabs>
          <w:tab w:val="left" w:pos="2019"/>
          <w:tab w:val="left" w:pos="2020"/>
        </w:tabs>
        <w:spacing w:before="31" w:line="266" w:lineRule="auto"/>
        <w:ind w:left="2060" w:leftChars="500" w:right="995" w:hanging="960" w:hangingChars="400"/>
        <w:rPr>
          <w:sz w:val="24"/>
        </w:rPr>
      </w:pPr>
      <w:r>
        <w:rPr>
          <w:rFonts w:hint="eastAsia"/>
          <w:sz w:val="24"/>
          <w:lang w:val="en-US"/>
        </w:rPr>
        <w:t xml:space="preserve">19.1    </w:t>
      </w:r>
      <w:r>
        <w:rPr>
          <w:rFonts w:hint="eastAsia" w:ascii="仿宋_GB2312" w:hAnsi="宋体" w:eastAsia="仿宋_GB2312"/>
          <w:sz w:val="24"/>
        </w:rPr>
        <w:t>采购人或采购代理机构依据法律法规和招标文件中规定的内</w:t>
      </w:r>
      <w:r>
        <w:rPr>
          <w:rFonts w:ascii="仿宋_GB2312" w:hAnsi="宋体" w:eastAsia="仿宋_GB2312"/>
          <w:sz w:val="24"/>
        </w:rPr>
        <w:t>容</w:t>
      </w:r>
      <w:r>
        <w:rPr>
          <w:rFonts w:hint="eastAsia" w:ascii="仿宋_GB2312" w:hAnsi="宋体" w:eastAsia="仿宋_GB2312"/>
          <w:sz w:val="24"/>
        </w:rPr>
        <w:t>，对投标人及其货物的资格进行审查，未</w:t>
      </w:r>
      <w:r>
        <w:rPr>
          <w:rFonts w:ascii="仿宋_GB2312" w:hAnsi="宋体" w:eastAsia="仿宋_GB2312"/>
          <w:sz w:val="24"/>
        </w:rPr>
        <w:t>通过资格审查的投标人</w:t>
      </w:r>
      <w:r>
        <w:rPr>
          <w:rFonts w:hint="eastAsia" w:ascii="仿宋_GB2312" w:hAnsi="宋体" w:eastAsia="仿宋_GB2312"/>
          <w:sz w:val="24"/>
        </w:rPr>
        <w:t>不</w:t>
      </w:r>
      <w:r>
        <w:rPr>
          <w:rFonts w:ascii="仿宋_GB2312" w:hAnsi="宋体" w:eastAsia="仿宋_GB2312"/>
          <w:sz w:val="24"/>
        </w:rPr>
        <w:t>进入评标；通过资格审查的投标人少于</w:t>
      </w:r>
      <w:r>
        <w:rPr>
          <w:rFonts w:hint="eastAsia" w:ascii="仿宋_GB2312" w:hAnsi="宋体" w:eastAsia="仿宋_GB2312"/>
          <w:sz w:val="24"/>
        </w:rPr>
        <w:t>不足</w:t>
      </w:r>
      <w:r>
        <w:rPr>
          <w:rFonts w:ascii="仿宋_GB2312" w:hAnsi="宋体" w:eastAsia="仿宋_GB2312"/>
          <w:sz w:val="24"/>
        </w:rPr>
        <w:t>三家的，不</w:t>
      </w:r>
      <w:r>
        <w:rPr>
          <w:rFonts w:hint="eastAsia" w:ascii="仿宋_GB2312" w:hAnsi="宋体" w:eastAsia="仿宋_GB2312"/>
          <w:sz w:val="24"/>
        </w:rPr>
        <w:t>得评标。</w:t>
      </w:r>
      <w:r>
        <w:rPr>
          <w:rFonts w:hint="eastAsia"/>
          <w:sz w:val="24"/>
          <w:u w:val="single"/>
        </w:rPr>
        <w:t xml:space="preserve"> </w:t>
      </w:r>
      <w:r>
        <w:rPr>
          <w:rFonts w:hint="eastAsia"/>
          <w:b/>
          <w:color w:val="000000"/>
          <w:sz w:val="24"/>
          <w:u w:val="single"/>
        </w:rPr>
        <w:t>未按要求提供资格审查资料的投标人或其中一项未通过的投标人，将视为资格审查不合格，未能通过资格审查的投标人不进入下一轮评审。</w:t>
      </w:r>
    </w:p>
    <w:p>
      <w:pPr>
        <w:pStyle w:val="22"/>
        <w:tabs>
          <w:tab w:val="left" w:pos="2019"/>
          <w:tab w:val="left" w:pos="2020"/>
        </w:tabs>
        <w:spacing w:before="31" w:line="266" w:lineRule="auto"/>
        <w:ind w:left="2064" w:leftChars="500" w:right="995" w:hanging="964" w:hangingChars="400"/>
        <w:rPr>
          <w:b/>
          <w:sz w:val="24"/>
          <w:lang w:val="en-US"/>
        </w:rPr>
      </w:pPr>
      <w:r>
        <w:rPr>
          <w:rFonts w:hint="eastAsia"/>
          <w:b/>
          <w:sz w:val="24"/>
          <w:lang w:val="en-US"/>
        </w:rPr>
        <w:t>供应商必须符合《中华人民共和国政府采购法》第二十二条的相关规定：</w:t>
      </w:r>
    </w:p>
    <w:p>
      <w:pPr>
        <w:spacing w:line="400" w:lineRule="exact"/>
        <w:ind w:firstLine="964" w:firstLineChars="400"/>
        <w:rPr>
          <w:b/>
          <w:color w:val="000000"/>
          <w:sz w:val="24"/>
          <w:lang w:val="en-US"/>
        </w:rPr>
      </w:pPr>
      <w:r>
        <w:rPr>
          <w:rFonts w:hint="eastAsia"/>
          <w:b/>
          <w:color w:val="000000"/>
          <w:sz w:val="24"/>
          <w:lang w:val="en-US"/>
        </w:rPr>
        <w:t>（1）联合体投标授权书及联合体投标协议书（如有）；</w:t>
      </w:r>
    </w:p>
    <w:p>
      <w:pPr>
        <w:spacing w:line="400" w:lineRule="exact"/>
        <w:ind w:firstLine="964" w:firstLineChars="400"/>
        <w:rPr>
          <w:b/>
          <w:color w:val="000000"/>
          <w:sz w:val="24"/>
          <w:lang w:val="en-US"/>
        </w:rPr>
      </w:pPr>
      <w:r>
        <w:rPr>
          <w:rFonts w:hint="eastAsia"/>
          <w:b/>
          <w:color w:val="000000"/>
          <w:sz w:val="24"/>
          <w:lang w:val="en-US"/>
        </w:rPr>
        <w:t>（2）具有独立承担民事责任</w:t>
      </w:r>
      <w:r>
        <w:rPr>
          <w:rFonts w:hint="eastAsia"/>
          <w:b/>
          <w:sz w:val="24"/>
          <w:lang w:val="en-US"/>
        </w:rPr>
        <w:t>的能力（三</w:t>
      </w:r>
      <w:r>
        <w:rPr>
          <w:rFonts w:hint="eastAsia"/>
          <w:b/>
          <w:color w:val="000000"/>
          <w:sz w:val="24"/>
          <w:lang w:val="en-US"/>
        </w:rPr>
        <w:t>证合一的营业执照）；</w:t>
      </w:r>
    </w:p>
    <w:p>
      <w:pPr>
        <w:spacing w:line="400" w:lineRule="exact"/>
        <w:ind w:left="1923" w:leftChars="436" w:hanging="964" w:hangingChars="400"/>
        <w:rPr>
          <w:b/>
          <w:color w:val="000000"/>
          <w:sz w:val="24"/>
          <w:lang w:val="en-US"/>
        </w:rPr>
      </w:pPr>
      <w:r>
        <w:rPr>
          <w:rFonts w:hint="eastAsia"/>
          <w:b/>
          <w:color w:val="000000"/>
          <w:sz w:val="24"/>
          <w:lang w:val="en-US"/>
        </w:rPr>
        <w:t>（3）法定代表人</w:t>
      </w:r>
      <w:r>
        <w:rPr>
          <w:rFonts w:hint="eastAsia"/>
          <w:b/>
          <w:color w:val="000000"/>
          <w:sz w:val="24"/>
          <w:lang w:val="en-US" w:eastAsia="zh-CN"/>
        </w:rPr>
        <w:t>参加投标的</w:t>
      </w:r>
      <w:r>
        <w:rPr>
          <w:rFonts w:hint="eastAsia"/>
          <w:b/>
          <w:color w:val="000000"/>
          <w:sz w:val="24"/>
          <w:lang w:val="en-US"/>
        </w:rPr>
        <w:t>提供法定代表人身份证明及</w:t>
      </w:r>
      <w:r>
        <w:rPr>
          <w:rFonts w:hint="eastAsia"/>
          <w:b/>
          <w:color w:val="000000"/>
          <w:sz w:val="24"/>
          <w:lang w:val="en-US" w:eastAsia="zh-CN"/>
        </w:rPr>
        <w:t>法人</w:t>
      </w:r>
      <w:r>
        <w:rPr>
          <w:rFonts w:hint="eastAsia"/>
          <w:b/>
          <w:color w:val="000000"/>
          <w:sz w:val="24"/>
          <w:lang w:val="en-US"/>
        </w:rPr>
        <w:t>身份证</w:t>
      </w:r>
      <w:r>
        <w:rPr>
          <w:rFonts w:hint="eastAsia"/>
          <w:b/>
          <w:color w:val="000000"/>
          <w:sz w:val="24"/>
          <w:lang w:val="en-US" w:eastAsia="zh-CN"/>
        </w:rPr>
        <w:t>，被授权委托人参加投标的提供法人授权委托书及被授权人和法人身份证</w:t>
      </w:r>
      <w:r>
        <w:rPr>
          <w:rFonts w:hint="eastAsia"/>
          <w:b/>
          <w:color w:val="000000"/>
          <w:sz w:val="24"/>
          <w:lang w:val="en-US"/>
        </w:rPr>
        <w:t>；；</w:t>
      </w:r>
    </w:p>
    <w:p>
      <w:pPr>
        <w:spacing w:line="400" w:lineRule="exact"/>
        <w:ind w:left="1923" w:leftChars="436" w:hanging="964" w:hangingChars="400"/>
        <w:rPr>
          <w:b/>
          <w:color w:val="000000"/>
          <w:sz w:val="24"/>
          <w:lang w:val="en-US"/>
        </w:rPr>
      </w:pPr>
      <w:r>
        <w:rPr>
          <w:rFonts w:hint="eastAsia"/>
          <w:b/>
          <w:color w:val="000000"/>
          <w:sz w:val="24"/>
          <w:lang w:val="en-US"/>
        </w:rPr>
        <w:t>（4）被授权委托人在本单位缴纳的近2个月（2022年4月～5月）的社保证明（单位社保缴费凭证和个人明细表）；</w:t>
      </w:r>
    </w:p>
    <w:p>
      <w:pPr>
        <w:spacing w:line="400" w:lineRule="exact"/>
        <w:ind w:left="1923" w:leftChars="436" w:hanging="964" w:hangingChars="400"/>
        <w:rPr>
          <w:b/>
          <w:color w:val="000000"/>
          <w:sz w:val="24"/>
          <w:lang w:val="en-US"/>
        </w:rPr>
      </w:pPr>
      <w:r>
        <w:rPr>
          <w:rFonts w:hint="eastAsia"/>
          <w:b/>
          <w:color w:val="000000"/>
          <w:sz w:val="24"/>
          <w:lang w:val="en-US"/>
        </w:rPr>
        <w:t>（5）具有税务局开具依法缴纳近三个月（2022年3月～5月）完税证明</w:t>
      </w:r>
      <w:r>
        <w:rPr>
          <w:rFonts w:hint="eastAsia"/>
          <w:b/>
          <w:sz w:val="24"/>
          <w:lang w:val="en-US"/>
        </w:rPr>
        <w:t>及</w:t>
      </w:r>
      <w:r>
        <w:rPr>
          <w:rFonts w:hint="eastAsia"/>
          <w:b/>
          <w:sz w:val="24"/>
          <w:lang w:val="en-US" w:eastAsia="zh-CN"/>
        </w:rPr>
        <w:t>2021年或2020年财务审计报告</w:t>
      </w:r>
      <w:r>
        <w:rPr>
          <w:rFonts w:hint="eastAsia"/>
          <w:b/>
          <w:color w:val="000000"/>
          <w:sz w:val="24"/>
          <w:lang w:val="en-US"/>
        </w:rPr>
        <w:t>（新成立公司须提供银行资信证明）；</w:t>
      </w:r>
    </w:p>
    <w:p>
      <w:pPr>
        <w:spacing w:line="400" w:lineRule="exact"/>
        <w:ind w:left="1682" w:leftChars="436" w:hanging="723" w:hangingChars="300"/>
        <w:rPr>
          <w:b/>
          <w:color w:val="000000"/>
          <w:sz w:val="24"/>
          <w:lang w:val="en-US"/>
        </w:rPr>
      </w:pPr>
      <w:r>
        <w:rPr>
          <w:rFonts w:hint="eastAsia"/>
          <w:b/>
          <w:color w:val="000000"/>
          <w:sz w:val="24"/>
          <w:lang w:val="en-US"/>
        </w:rPr>
        <w:t>（6）供应商在“信用中国”（www.creditchina.gov.cn）和中国政府采购网（www.ccgp.gov.cn）网站上未列入失信被执行人、</w:t>
      </w:r>
      <w:r>
        <w:rPr>
          <w:rFonts w:hint="eastAsia"/>
          <w:b/>
          <w:color w:val="000000"/>
          <w:sz w:val="24"/>
          <w:lang w:val="en-US" w:eastAsia="zh-CN"/>
        </w:rPr>
        <w:t>税收违法黑名单</w:t>
      </w:r>
      <w:r>
        <w:rPr>
          <w:rFonts w:hint="eastAsia"/>
          <w:b/>
          <w:color w:val="000000"/>
          <w:sz w:val="24"/>
          <w:lang w:val="en-US"/>
        </w:rPr>
        <w:t>、政府采购严重违法失信行为记录名单（财库[2016]125号）（需提供网上截图加盖公章）；</w:t>
      </w:r>
    </w:p>
    <w:p>
      <w:pPr>
        <w:spacing w:line="400" w:lineRule="exact"/>
        <w:ind w:left="1682" w:leftChars="436" w:hanging="723" w:hangingChars="300"/>
        <w:rPr>
          <w:b/>
          <w:color w:val="000000"/>
          <w:sz w:val="24"/>
          <w:lang w:val="en-US"/>
        </w:rPr>
      </w:pPr>
      <w:r>
        <w:rPr>
          <w:rFonts w:hint="eastAsia"/>
          <w:b/>
          <w:color w:val="000000"/>
          <w:sz w:val="24"/>
          <w:lang w:val="en-US"/>
        </w:rPr>
        <w:t>（7）</w:t>
      </w:r>
      <w:r>
        <w:rPr>
          <w:rFonts w:hint="eastAsia"/>
          <w:b/>
          <w:color w:val="000000"/>
          <w:sz w:val="24"/>
          <w:lang w:val="en-US" w:eastAsia="zh-CN"/>
        </w:rPr>
        <w:t>参加采购活动前三年内（2019年6月至今）</w:t>
      </w:r>
      <w:r>
        <w:rPr>
          <w:rFonts w:hint="eastAsia"/>
          <w:b/>
          <w:color w:val="000000"/>
          <w:sz w:val="24"/>
          <w:lang w:val="en-US"/>
        </w:rPr>
        <w:t>，在经营活动中无重大违法声明(受行政主管部门的处罚不能参加投标)；</w:t>
      </w:r>
    </w:p>
    <w:p>
      <w:pPr>
        <w:spacing w:line="400" w:lineRule="exact"/>
        <w:ind w:firstLine="964" w:firstLineChars="400"/>
        <w:rPr>
          <w:b/>
          <w:color w:val="000000"/>
          <w:sz w:val="24"/>
          <w:lang w:val="en-US"/>
        </w:rPr>
      </w:pPr>
      <w:r>
        <w:rPr>
          <w:rFonts w:hint="eastAsia"/>
          <w:b/>
          <w:color w:val="000000"/>
          <w:sz w:val="24"/>
          <w:lang w:val="en-US"/>
        </w:rPr>
        <w:t>（8）投标单位（供应商）具备针对本次采购项目《反商业贿赂承诺书》；</w:t>
      </w:r>
    </w:p>
    <w:p>
      <w:pPr>
        <w:spacing w:line="400" w:lineRule="exact"/>
        <w:ind w:firstLine="964" w:firstLineChars="400"/>
        <w:rPr>
          <w:b/>
          <w:color w:val="000000"/>
          <w:sz w:val="24"/>
          <w:lang w:val="en-US"/>
        </w:rPr>
      </w:pPr>
      <w:r>
        <w:rPr>
          <w:rFonts w:hint="eastAsia"/>
          <w:b/>
          <w:color w:val="000000"/>
          <w:sz w:val="24"/>
          <w:lang w:val="en-US"/>
        </w:rPr>
        <w:t>（9）投标保证金收据或投标保函；</w:t>
      </w:r>
    </w:p>
    <w:p>
      <w:pPr>
        <w:spacing w:line="400" w:lineRule="exact"/>
        <w:ind w:firstLine="964" w:firstLineChars="400"/>
        <w:rPr>
          <w:b/>
          <w:color w:val="000000"/>
          <w:sz w:val="24"/>
          <w:lang w:val="en-US"/>
        </w:rPr>
      </w:pPr>
      <w:r>
        <w:rPr>
          <w:rFonts w:hint="eastAsia"/>
          <w:b/>
          <w:color w:val="000000"/>
          <w:sz w:val="24"/>
          <w:lang w:val="en-US"/>
        </w:rPr>
        <w:t>（10）本项目接受联合体投标。</w:t>
      </w:r>
    </w:p>
    <w:p>
      <w:pPr>
        <w:pStyle w:val="22"/>
        <w:tabs>
          <w:tab w:val="left" w:pos="1900"/>
        </w:tabs>
        <w:spacing w:before="36" w:line="264" w:lineRule="auto"/>
        <w:ind w:left="2076" w:leftChars="500" w:right="1115" w:hanging="976" w:hangingChars="400"/>
        <w:jc w:val="both"/>
        <w:rPr>
          <w:sz w:val="24"/>
        </w:rPr>
      </w:pPr>
      <w:r>
        <w:rPr>
          <w:rFonts w:hint="eastAsia"/>
          <w:spacing w:val="2"/>
          <w:sz w:val="24"/>
          <w:lang w:val="en-US"/>
        </w:rPr>
        <w:t xml:space="preserve">19.2   </w:t>
      </w:r>
      <w:r>
        <w:rPr>
          <w:spacing w:val="2"/>
          <w:sz w:val="24"/>
        </w:rPr>
        <w:t>采购人或采购代理机构将在采购活动前</w:t>
      </w:r>
      <w:r>
        <w:rPr>
          <w:sz w:val="24"/>
        </w:rPr>
        <w:t>1</w:t>
      </w:r>
      <w:r>
        <w:rPr>
          <w:spacing w:val="-6"/>
          <w:sz w:val="24"/>
        </w:rPr>
        <w:t>个工作日至投标截止后</w:t>
      </w:r>
      <w:r>
        <w:rPr>
          <w:sz w:val="24"/>
        </w:rPr>
        <w:t>1</w:t>
      </w:r>
      <w:r>
        <w:rPr>
          <w:spacing w:val="-34"/>
          <w:sz w:val="24"/>
        </w:rPr>
        <w:t xml:space="preserve"> 小时</w:t>
      </w:r>
      <w:r>
        <w:rPr>
          <w:spacing w:val="-7"/>
          <w:sz w:val="24"/>
        </w:rPr>
        <w:t>的期间内查询投标人的信用记录。投标人存在不良信用记录的，其报价</w:t>
      </w:r>
      <w:r>
        <w:rPr>
          <w:sz w:val="24"/>
        </w:rPr>
        <w:t>将被认定为</w:t>
      </w:r>
      <w:r>
        <w:rPr>
          <w:b/>
          <w:sz w:val="24"/>
        </w:rPr>
        <w:t>投标无效</w:t>
      </w:r>
      <w:r>
        <w:rPr>
          <w:sz w:val="24"/>
        </w:rPr>
        <w:t>。</w:t>
      </w:r>
    </w:p>
    <w:p>
      <w:pPr>
        <w:pStyle w:val="22"/>
        <w:numPr>
          <w:ilvl w:val="2"/>
          <w:numId w:val="9"/>
        </w:numPr>
        <w:tabs>
          <w:tab w:val="left" w:pos="1903"/>
        </w:tabs>
        <w:spacing w:before="5" w:line="264" w:lineRule="auto"/>
        <w:ind w:right="1117" w:hanging="855"/>
        <w:jc w:val="both"/>
        <w:rPr>
          <w:sz w:val="24"/>
        </w:rPr>
      </w:pPr>
      <w:r>
        <w:rPr>
          <w:sz w:val="24"/>
        </w:rPr>
        <w:t>不良信用记录指：投标人在中国政府采购网</w:t>
      </w:r>
      <w:r>
        <w:fldChar w:fldCharType="begin"/>
      </w:r>
      <w:r>
        <w:instrText xml:space="preserve"> HYPERLINK "http://www.ccgp.gov.cn/" \h </w:instrText>
      </w:r>
      <w:r>
        <w:fldChar w:fldCharType="separate"/>
      </w:r>
      <w:r>
        <w:rPr>
          <w:sz w:val="24"/>
        </w:rPr>
        <w:t>（www.ccgp.gov.cn</w:t>
      </w:r>
      <w:r>
        <w:rPr>
          <w:sz w:val="24"/>
        </w:rPr>
        <w:fldChar w:fldCharType="end"/>
      </w:r>
      <w:r>
        <w:rPr>
          <w:sz w:val="24"/>
        </w:rPr>
        <w:t>）</w:t>
      </w:r>
      <w:r>
        <w:rPr>
          <w:spacing w:val="-6"/>
          <w:sz w:val="24"/>
        </w:rPr>
        <w:t>被列</w:t>
      </w:r>
      <w:r>
        <w:rPr>
          <w:sz w:val="24"/>
        </w:rPr>
        <w:t>入政府采购严重违法失信行为记录名单， 或在“ 信用中国” 网站</w:t>
      </w:r>
    </w:p>
    <w:p>
      <w:pPr>
        <w:pStyle w:val="9"/>
        <w:spacing w:before="3" w:line="264" w:lineRule="auto"/>
        <w:ind w:left="1914" w:right="1115"/>
        <w:jc w:val="both"/>
      </w:pPr>
      <w:r>
        <w:fldChar w:fldCharType="begin"/>
      </w:r>
      <w:r>
        <w:instrText xml:space="preserve"> HYPERLINK "http://www.creditchina.gov.cn/" \h </w:instrText>
      </w:r>
      <w:r>
        <w:fldChar w:fldCharType="separate"/>
      </w:r>
      <w:r>
        <w:rPr>
          <w:spacing w:val="-3"/>
        </w:rPr>
        <w:t>（www.creditchina.gov.cn</w:t>
      </w:r>
      <w:r>
        <w:rPr>
          <w:spacing w:val="-3"/>
        </w:rPr>
        <w:fldChar w:fldCharType="end"/>
      </w:r>
      <w:r>
        <w:rPr>
          <w:spacing w:val="-3"/>
        </w:rPr>
        <w:t>）</w:t>
      </w:r>
      <w:r>
        <w:rPr>
          <w:spacing w:val="-7"/>
        </w:rPr>
        <w:t>被列入失信被执行人、</w:t>
      </w:r>
      <w:r>
        <w:rPr>
          <w:rFonts w:hint="eastAsia"/>
          <w:spacing w:val="-7"/>
          <w:lang w:eastAsia="zh-CN"/>
        </w:rPr>
        <w:t>税收违法黑名单</w:t>
      </w:r>
      <w:r>
        <w:rPr>
          <w:spacing w:val="-11"/>
        </w:rPr>
        <w:t>，以及存在《中华人民共和国政府采购法实施条例》第十九</w:t>
      </w:r>
      <w:r>
        <w:t>条规定的行政处罚记录。</w:t>
      </w:r>
    </w:p>
    <w:p>
      <w:pPr>
        <w:pStyle w:val="9"/>
        <w:spacing w:before="5" w:line="266" w:lineRule="auto"/>
        <w:ind w:left="1904" w:right="1025" w:hanging="5"/>
      </w:pPr>
      <w:r>
        <w:t>以联合体形式参加报价的，联合体任何成员存在以上不良信用记录的， 联合体报价将被认定为</w:t>
      </w:r>
      <w:r>
        <w:rPr>
          <w:b/>
        </w:rPr>
        <w:t>投标无效</w:t>
      </w:r>
      <w:r>
        <w:t>。</w:t>
      </w:r>
    </w:p>
    <w:p>
      <w:pPr>
        <w:pStyle w:val="22"/>
        <w:numPr>
          <w:ilvl w:val="2"/>
          <w:numId w:val="9"/>
        </w:numPr>
        <w:tabs>
          <w:tab w:val="left" w:pos="1898"/>
        </w:tabs>
        <w:spacing w:line="266" w:lineRule="auto"/>
        <w:ind w:left="1907" w:right="995" w:hanging="850"/>
        <w:jc w:val="both"/>
        <w:rPr>
          <w:sz w:val="24"/>
        </w:rPr>
      </w:pPr>
      <w:r>
        <w:rPr>
          <w:spacing w:val="-1"/>
          <w:sz w:val="24"/>
        </w:rPr>
        <w:t>查询及记录方式：采购人或采购代理机构经办人将查询网页打印、签字</w:t>
      </w:r>
      <w:r>
        <w:rPr>
          <w:spacing w:val="-2"/>
          <w:sz w:val="24"/>
        </w:rPr>
        <w:t>并存档备查。投标人不良信用记录以采购人或采购代理机构查询结果为</w:t>
      </w:r>
      <w:r>
        <w:rPr>
          <w:sz w:val="24"/>
        </w:rPr>
        <w:t>准。</w:t>
      </w:r>
    </w:p>
    <w:p>
      <w:pPr>
        <w:pStyle w:val="9"/>
        <w:spacing w:before="55"/>
        <w:ind w:left="1907"/>
      </w:pPr>
      <w:r>
        <w:t>在本招标文件规定的查询时间之后，网站信息发生的任何变更均不再作</w:t>
      </w:r>
    </w:p>
    <w:p>
      <w:pPr>
        <w:pStyle w:val="9"/>
        <w:spacing w:before="55"/>
        <w:ind w:left="1907"/>
      </w:pPr>
      <w:r>
        <w:t>为评标依据。</w:t>
      </w:r>
    </w:p>
    <w:p>
      <w:pPr>
        <w:pStyle w:val="9"/>
        <w:spacing w:before="33" w:line="264" w:lineRule="auto"/>
        <w:ind w:left="1907" w:right="995"/>
      </w:pPr>
      <w:r>
        <w:t>投标人自行提供的与网站信息不一致的其他证明材料亦不作为资格审查依据。</w:t>
      </w:r>
    </w:p>
    <w:p>
      <w:pPr>
        <w:spacing w:line="240" w:lineRule="atLeast"/>
        <w:ind w:left="1003" w:leftChars="456"/>
        <w:rPr>
          <w:spacing w:val="-12"/>
          <w:sz w:val="24"/>
        </w:rPr>
      </w:pPr>
      <w:r>
        <w:rPr>
          <w:rFonts w:hint="eastAsia"/>
          <w:spacing w:val="-11"/>
          <w:sz w:val="24"/>
          <w:lang w:val="en-US"/>
        </w:rPr>
        <w:t xml:space="preserve">19.3   </w:t>
      </w:r>
      <w:r>
        <w:rPr>
          <w:spacing w:val="-11"/>
          <w:sz w:val="24"/>
        </w:rPr>
        <w:t>按照《中华人民共和国政府采购法》、《中华人民共和国政府采购法实</w:t>
      </w:r>
      <w:r>
        <w:rPr>
          <w:spacing w:val="-12"/>
          <w:sz w:val="24"/>
        </w:rPr>
        <w:t>施条例》</w:t>
      </w:r>
    </w:p>
    <w:p>
      <w:pPr>
        <w:spacing w:line="240" w:lineRule="atLeast"/>
        <w:ind w:left="1003" w:leftChars="456" w:firstLine="654" w:firstLineChars="300"/>
        <w:rPr>
          <w:spacing w:val="-11"/>
          <w:sz w:val="24"/>
        </w:rPr>
      </w:pPr>
      <w:r>
        <w:rPr>
          <w:spacing w:val="-11"/>
          <w:sz w:val="24"/>
        </w:rPr>
        <w:t>及本项目本级和上级财政部门的有关规定依法组建的评标委员会，负责评标工作。</w:t>
      </w:r>
      <w:bookmarkStart w:id="26" w:name="20.投标文件符合性审查与澄清"/>
      <w:bookmarkEnd w:id="26"/>
    </w:p>
    <w:p>
      <w:pPr>
        <w:spacing w:line="240" w:lineRule="atLeast"/>
        <w:ind w:left="1003" w:leftChars="456" w:firstLine="657" w:firstLineChars="300"/>
        <w:rPr>
          <w:b/>
          <w:bCs/>
          <w:spacing w:val="-11"/>
          <w:sz w:val="24"/>
        </w:rPr>
      </w:pPr>
      <w:r>
        <w:rPr>
          <w:rFonts w:hint="eastAsia"/>
          <w:b/>
          <w:bCs/>
          <w:spacing w:val="-11"/>
          <w:sz w:val="24"/>
        </w:rPr>
        <w:t>本项目评标委员会成员</w:t>
      </w:r>
      <w:r>
        <w:rPr>
          <w:rFonts w:hint="eastAsia"/>
          <w:b/>
          <w:bCs/>
          <w:spacing w:val="-11"/>
          <w:sz w:val="24"/>
          <w:lang w:val="en-US"/>
        </w:rPr>
        <w:t>5</w:t>
      </w:r>
      <w:r>
        <w:rPr>
          <w:rFonts w:hint="eastAsia"/>
          <w:b/>
          <w:bCs/>
          <w:spacing w:val="-11"/>
          <w:sz w:val="24"/>
        </w:rPr>
        <w:t>名，其中招标人代表 0 人，政采云平台随机抽取专家</w:t>
      </w:r>
      <w:r>
        <w:rPr>
          <w:rFonts w:hint="eastAsia"/>
          <w:b/>
          <w:bCs/>
          <w:spacing w:val="-11"/>
          <w:sz w:val="24"/>
          <w:lang w:val="en-US"/>
        </w:rPr>
        <w:t>5</w:t>
      </w:r>
      <w:r>
        <w:rPr>
          <w:rFonts w:hint="eastAsia"/>
          <w:b/>
          <w:bCs/>
          <w:spacing w:val="-11"/>
          <w:sz w:val="24"/>
        </w:rPr>
        <w:t>人。</w:t>
      </w:r>
    </w:p>
    <w:p>
      <w:pPr>
        <w:pStyle w:val="22"/>
        <w:tabs>
          <w:tab w:val="left" w:pos="1897"/>
          <w:tab w:val="left" w:pos="1898"/>
        </w:tabs>
        <w:spacing w:before="3" w:line="266" w:lineRule="auto"/>
        <w:ind w:left="0" w:right="1115" w:firstLine="964" w:firstLineChars="400"/>
        <w:rPr>
          <w:b/>
          <w:sz w:val="24"/>
        </w:rPr>
      </w:pPr>
      <w:r>
        <w:rPr>
          <w:b/>
          <w:sz w:val="24"/>
        </w:rPr>
        <w:t>20.投标文件符合性审查与澄清</w:t>
      </w:r>
    </w:p>
    <w:p>
      <w:pPr>
        <w:pStyle w:val="22"/>
        <w:tabs>
          <w:tab w:val="left" w:pos="1898"/>
        </w:tabs>
        <w:spacing w:line="266" w:lineRule="auto"/>
        <w:ind w:left="1960" w:leftChars="480" w:right="1115" w:hanging="904" w:hangingChars="400"/>
        <w:jc w:val="both"/>
        <w:rPr>
          <w:sz w:val="24"/>
          <w:szCs w:val="24"/>
        </w:rPr>
      </w:pPr>
      <w:r>
        <w:rPr>
          <w:rFonts w:hint="eastAsia"/>
          <w:spacing w:val="-7"/>
          <w:sz w:val="24"/>
          <w:szCs w:val="24"/>
          <w:lang w:val="en-US"/>
        </w:rPr>
        <w:t xml:space="preserve">20.1   </w:t>
      </w:r>
      <w:r>
        <w:rPr>
          <w:spacing w:val="-7"/>
          <w:sz w:val="24"/>
          <w:szCs w:val="24"/>
        </w:rPr>
        <w:t>符合性审查是指依据招标文件的规定，从投标文件的有效性和完整性对</w:t>
      </w:r>
      <w:r>
        <w:rPr>
          <w:sz w:val="24"/>
          <w:szCs w:val="24"/>
        </w:rPr>
        <w:t>招标文件的响应程度进行审查，以确定是否对招标文件的实质性要求做出响应。</w:t>
      </w:r>
    </w:p>
    <w:p>
      <w:pPr>
        <w:pStyle w:val="22"/>
        <w:tabs>
          <w:tab w:val="left" w:pos="1958"/>
        </w:tabs>
        <w:spacing w:line="304" w:lineRule="exact"/>
        <w:ind w:left="1056" w:firstLine="0"/>
        <w:jc w:val="both"/>
        <w:rPr>
          <w:sz w:val="24"/>
          <w:szCs w:val="24"/>
        </w:rPr>
      </w:pPr>
      <w:r>
        <w:rPr>
          <w:rFonts w:hint="eastAsia"/>
          <w:sz w:val="24"/>
          <w:szCs w:val="24"/>
          <w:lang w:val="en-US"/>
        </w:rPr>
        <w:t xml:space="preserve">20.2   </w:t>
      </w:r>
      <w:r>
        <w:rPr>
          <w:sz w:val="24"/>
          <w:szCs w:val="24"/>
        </w:rPr>
        <w:t>投标文件的澄清</w:t>
      </w:r>
    </w:p>
    <w:p>
      <w:pPr>
        <w:pStyle w:val="22"/>
        <w:tabs>
          <w:tab w:val="left" w:pos="2019"/>
          <w:tab w:val="left" w:pos="2020"/>
        </w:tabs>
        <w:spacing w:before="30" w:line="266" w:lineRule="auto"/>
        <w:ind w:left="2016" w:leftChars="480" w:right="995" w:hanging="960" w:hangingChars="400"/>
        <w:rPr>
          <w:sz w:val="24"/>
          <w:szCs w:val="24"/>
        </w:rPr>
      </w:pPr>
      <w:r>
        <w:rPr>
          <w:rFonts w:hint="eastAsia"/>
          <w:sz w:val="24"/>
          <w:szCs w:val="24"/>
          <w:lang w:val="en-US"/>
        </w:rPr>
        <w:t xml:space="preserve">20.2.1 </w:t>
      </w:r>
      <w:r>
        <w:rPr>
          <w:sz w:val="24"/>
          <w:szCs w:val="24"/>
        </w:rPr>
        <w:t>在采购活动期间，评标委员会将以书面方式要求投标人对其投标文件中含义不明确、对同类问题表述不一致或者有明显文字和计算错误的内容，以及评标委员会认为投标人的报价明显低于其他通过符合性检</w:t>
      </w:r>
      <w:r>
        <w:rPr>
          <w:spacing w:val="-5"/>
          <w:sz w:val="24"/>
          <w:szCs w:val="24"/>
        </w:rPr>
        <w:t>查投标人的报价，有可能影响履约的情况作必要的澄清、说明或补正。</w:t>
      </w:r>
      <w:r>
        <w:rPr>
          <w:sz w:val="24"/>
          <w:szCs w:val="24"/>
        </w:rPr>
        <w:t>投标人的澄清、说明或补正应在评标委员会规定的时间内以书面方式进行，并不得超出投标文件范围或者改变投标文件的实质性内容。</w:t>
      </w:r>
    </w:p>
    <w:p>
      <w:pPr>
        <w:pStyle w:val="22"/>
        <w:tabs>
          <w:tab w:val="left" w:pos="2017"/>
          <w:tab w:val="left" w:pos="2018"/>
        </w:tabs>
        <w:spacing w:line="300" w:lineRule="exact"/>
        <w:ind w:left="1056" w:firstLine="0"/>
        <w:rPr>
          <w:sz w:val="24"/>
          <w:szCs w:val="24"/>
        </w:rPr>
      </w:pPr>
      <w:r>
        <w:rPr>
          <w:rFonts w:hint="eastAsia"/>
          <w:sz w:val="24"/>
          <w:szCs w:val="24"/>
          <w:lang w:val="en-US"/>
        </w:rPr>
        <w:t xml:space="preserve">20.2.2  </w:t>
      </w:r>
      <w:r>
        <w:rPr>
          <w:sz w:val="24"/>
          <w:szCs w:val="24"/>
        </w:rPr>
        <w:t>投标人的的澄清、说明或补正将作为投标文件的一部分。</w:t>
      </w:r>
    </w:p>
    <w:p>
      <w:pPr>
        <w:pStyle w:val="22"/>
        <w:tabs>
          <w:tab w:val="left" w:pos="1777"/>
          <w:tab w:val="left" w:pos="1778"/>
        </w:tabs>
        <w:spacing w:before="33"/>
        <w:ind w:left="1056" w:firstLine="0"/>
        <w:rPr>
          <w:sz w:val="24"/>
        </w:rPr>
      </w:pPr>
      <w:r>
        <w:rPr>
          <w:rFonts w:hint="eastAsia"/>
          <w:sz w:val="24"/>
          <w:lang w:val="en-US"/>
        </w:rPr>
        <w:t xml:space="preserve">20.3 </w:t>
      </w:r>
      <w:r>
        <w:rPr>
          <w:sz w:val="24"/>
        </w:rPr>
        <w:t>投标文件报价出现前后不一致的，按照下列规定修正：</w:t>
      </w:r>
    </w:p>
    <w:p>
      <w:pPr>
        <w:pStyle w:val="9"/>
        <w:spacing w:before="31" w:line="266" w:lineRule="auto"/>
        <w:ind w:left="2077" w:right="1045" w:hanging="202"/>
      </w:pPr>
      <w:r>
        <w:t>（一）投标文件中开标一览表（报价表）内容与投标文件中相应内容不一致的，以开标一览表（报价表）为准；</w:t>
      </w:r>
    </w:p>
    <w:p>
      <w:pPr>
        <w:pStyle w:val="9"/>
        <w:spacing w:line="306" w:lineRule="exact"/>
        <w:ind w:left="1897"/>
      </w:pPr>
      <w:r>
        <w:t>（二）大写金额和小写金额不一致的，以大写金额为准；</w:t>
      </w:r>
    </w:p>
    <w:p>
      <w:pPr>
        <w:pStyle w:val="9"/>
        <w:spacing w:before="31" w:line="266" w:lineRule="auto"/>
        <w:ind w:left="2077" w:right="1048" w:hanging="209"/>
      </w:pPr>
      <w:r>
        <w:t>（三）单价金额小数点或者百分比有明显错位的，以开标一览表的总价为准，并修改单价；</w:t>
      </w:r>
    </w:p>
    <w:p>
      <w:pPr>
        <w:pStyle w:val="9"/>
        <w:spacing w:line="266" w:lineRule="auto"/>
        <w:ind w:left="1957" w:right="995" w:hanging="130"/>
      </w:pPr>
      <w:r>
        <w:t>（四</w:t>
      </w:r>
      <w:r>
        <w:rPr>
          <w:spacing w:val="-72"/>
        </w:rPr>
        <w:t>）</w:t>
      </w:r>
      <w:r>
        <w:rPr>
          <w:spacing w:val="-5"/>
        </w:rPr>
        <w:t>总价金额与按单价汇总金额不一致的，以单价金额计算结果为准。</w:t>
      </w:r>
      <w:r>
        <w:t>同时出现两种以上不一致的，按照前款规定的顺序修正。修正后的报</w:t>
      </w:r>
      <w:r>
        <w:rPr>
          <w:spacing w:val="-16"/>
        </w:rPr>
        <w:t xml:space="preserve">价按照第 </w:t>
      </w:r>
      <w:r>
        <w:t>20.2</w:t>
      </w:r>
      <w:r>
        <w:rPr>
          <w:spacing w:val="-17"/>
        </w:rPr>
        <w:t xml:space="preserve"> 条的规定经投标人确认后产生约束力，投标人不确认的， </w:t>
      </w:r>
      <w:r>
        <w:t>其报价将被认定为</w:t>
      </w:r>
      <w:r>
        <w:rPr>
          <w:b/>
        </w:rPr>
        <w:t>投标无效</w:t>
      </w:r>
      <w:r>
        <w:t>。</w:t>
      </w:r>
    </w:p>
    <w:p>
      <w:pPr>
        <w:pStyle w:val="9"/>
        <w:spacing w:line="301" w:lineRule="exact"/>
        <w:ind w:left="1912"/>
      </w:pPr>
      <w:r>
        <w:t>对不同文字文本投标文件的解释发生异议的，以中文文本为准。</w:t>
      </w:r>
    </w:p>
    <w:p>
      <w:pPr>
        <w:pStyle w:val="22"/>
        <w:tabs>
          <w:tab w:val="left" w:pos="1898"/>
        </w:tabs>
        <w:spacing w:line="264" w:lineRule="auto"/>
        <w:ind w:left="1863" w:leftChars="436" w:right="1115" w:hanging="904" w:hangingChars="400"/>
        <w:jc w:val="both"/>
        <w:rPr>
          <w:sz w:val="24"/>
        </w:rPr>
      </w:pPr>
      <w:r>
        <w:rPr>
          <w:rFonts w:hint="eastAsia"/>
          <w:spacing w:val="-7"/>
          <w:sz w:val="24"/>
          <w:lang w:val="en-US"/>
        </w:rPr>
        <w:t xml:space="preserve">20.4    </w:t>
      </w:r>
      <w:r>
        <w:rPr>
          <w:sz w:val="24"/>
        </w:rPr>
        <w:t>投标人所投产品如被列入财政部与国家主管部门颁发的节能产品目录</w:t>
      </w:r>
    </w:p>
    <w:p>
      <w:pPr>
        <w:pStyle w:val="9"/>
        <w:spacing w:before="55" w:line="266" w:lineRule="auto"/>
        <w:ind w:left="1957" w:right="1115"/>
      </w:pPr>
      <w:r>
        <w:t xml:space="preserve">或环境标志产品目录或无线局域网产品目录，应提供相关证明，在评标时予以优先采购，具体优先采购办法见第六章评审方法和标准。 </w:t>
      </w:r>
    </w:p>
    <w:p>
      <w:pPr>
        <w:spacing w:line="300" w:lineRule="exact"/>
        <w:ind w:left="1057"/>
        <w:rPr>
          <w:b/>
          <w:sz w:val="24"/>
        </w:rPr>
      </w:pPr>
      <w:bookmarkStart w:id="27" w:name="21.投标偏离"/>
      <w:bookmarkEnd w:id="27"/>
      <w:r>
        <w:rPr>
          <w:b/>
          <w:w w:val="95"/>
          <w:sz w:val="24"/>
        </w:rPr>
        <w:t>21.投标偏离</w:t>
      </w:r>
    </w:p>
    <w:p>
      <w:pPr>
        <w:pStyle w:val="9"/>
        <w:spacing w:before="33" w:line="266" w:lineRule="auto"/>
        <w:ind w:left="1057" w:right="1061" w:firstLine="806"/>
        <w:rPr>
          <w:b/>
        </w:rPr>
      </w:pPr>
      <w:r>
        <w:rPr>
          <w:spacing w:val="-1"/>
        </w:rPr>
        <w:t>评标委员会可以接受投标文件中不构成实质性偏离的不正规或不一致。</w:t>
      </w:r>
      <w:bookmarkStart w:id="28" w:name="22.投标无效"/>
      <w:bookmarkEnd w:id="28"/>
      <w:r>
        <w:rPr>
          <w:b/>
        </w:rPr>
        <w:t>22.投标无效</w:t>
      </w:r>
    </w:p>
    <w:p>
      <w:pPr>
        <w:pStyle w:val="22"/>
        <w:tabs>
          <w:tab w:val="left" w:pos="1850"/>
        </w:tabs>
        <w:spacing w:line="266" w:lineRule="auto"/>
        <w:ind w:left="1698" w:leftChars="458" w:right="1110" w:hanging="690" w:hangingChars="300"/>
        <w:jc w:val="both"/>
        <w:rPr>
          <w:sz w:val="24"/>
        </w:rPr>
      </w:pPr>
      <w:r>
        <w:rPr>
          <w:rFonts w:hint="eastAsia"/>
          <w:spacing w:val="-5"/>
          <w:sz w:val="24"/>
          <w:lang w:val="en-US"/>
        </w:rPr>
        <w:t xml:space="preserve">22.1  </w:t>
      </w:r>
      <w:r>
        <w:rPr>
          <w:spacing w:val="-5"/>
          <w:sz w:val="24"/>
        </w:rPr>
        <w:t>在比较与评价之前，根据本须知的规定，评标委员会要审查每份投标文</w:t>
      </w:r>
      <w:r>
        <w:rPr>
          <w:spacing w:val="-7"/>
          <w:sz w:val="24"/>
        </w:rPr>
        <w:t>件是否实质上响应了招标文件的要求。实质上响应的报价应该是与招标</w:t>
      </w:r>
      <w:r>
        <w:rPr>
          <w:spacing w:val="-8"/>
          <w:sz w:val="24"/>
        </w:rPr>
        <w:t>文件要求的全部条款、条件和规格相符，没有重大偏离的报价。对关键</w:t>
      </w:r>
      <w:r>
        <w:rPr>
          <w:spacing w:val="-7"/>
          <w:sz w:val="24"/>
        </w:rPr>
        <w:t>条款的偏离，将被认定为</w:t>
      </w:r>
      <w:r>
        <w:rPr>
          <w:b/>
          <w:sz w:val="24"/>
        </w:rPr>
        <w:t>投标无效</w:t>
      </w:r>
      <w:r>
        <w:rPr>
          <w:spacing w:val="-9"/>
          <w:sz w:val="24"/>
        </w:rPr>
        <w:t>。投标人不得通过修正或撤销不符合</w:t>
      </w:r>
      <w:r>
        <w:rPr>
          <w:sz w:val="24"/>
        </w:rPr>
        <w:t>要求的偏离，从而使其报价成为实质上响应的报价。</w:t>
      </w:r>
    </w:p>
    <w:p>
      <w:pPr>
        <w:pStyle w:val="9"/>
        <w:spacing w:line="271" w:lineRule="exact"/>
        <w:ind w:firstLine="1840" w:firstLineChars="800"/>
        <w:rPr>
          <w:spacing w:val="-5"/>
          <w:szCs w:val="22"/>
        </w:rPr>
      </w:pPr>
      <w:r>
        <w:rPr>
          <w:spacing w:val="-5"/>
          <w:szCs w:val="22"/>
        </w:rPr>
        <w:t>评标委员会决定报价的响应性只根据招标文件要求、投标文件内容及财</w:t>
      </w:r>
    </w:p>
    <w:p>
      <w:pPr>
        <w:pStyle w:val="9"/>
        <w:spacing w:before="1"/>
        <w:ind w:left="1849"/>
        <w:rPr>
          <w:spacing w:val="-5"/>
          <w:szCs w:val="22"/>
        </w:rPr>
      </w:pPr>
      <w:r>
        <w:rPr>
          <w:spacing w:val="-5"/>
          <w:szCs w:val="22"/>
        </w:rPr>
        <w:t>政主管部门指定相关信息发布媒体。</w:t>
      </w:r>
    </w:p>
    <w:p>
      <w:pPr>
        <w:pStyle w:val="22"/>
        <w:tabs>
          <w:tab w:val="left" w:pos="1957"/>
          <w:tab w:val="left" w:pos="1958"/>
        </w:tabs>
        <w:spacing w:before="5" w:line="242" w:lineRule="auto"/>
        <w:ind w:left="1776" w:leftChars="480" w:right="1109" w:hanging="720" w:hangingChars="300"/>
        <w:rPr>
          <w:sz w:val="24"/>
        </w:rPr>
      </w:pPr>
      <w:r>
        <w:rPr>
          <w:rFonts w:hint="eastAsia"/>
          <w:sz w:val="24"/>
          <w:lang w:val="en-US"/>
        </w:rPr>
        <w:t xml:space="preserve">22.2  </w:t>
      </w:r>
      <w:r>
        <w:rPr>
          <w:sz w:val="24"/>
        </w:rPr>
        <w:t>如发现下列情况之一的，其报价将被认定为</w:t>
      </w:r>
      <w:r>
        <w:rPr>
          <w:b/>
          <w:spacing w:val="2"/>
          <w:sz w:val="24"/>
        </w:rPr>
        <w:t>投标无效</w:t>
      </w:r>
      <w:r>
        <w:rPr>
          <w:spacing w:val="3"/>
          <w:sz w:val="24"/>
        </w:rPr>
        <w:t>：（</w:t>
      </w:r>
      <w:r>
        <w:rPr>
          <w:b/>
          <w:spacing w:val="1"/>
          <w:sz w:val="24"/>
        </w:rPr>
        <w:t>以下情形应当在招标文件中规定，并以醒目的方式标明</w:t>
      </w:r>
      <w:r>
        <w:rPr>
          <w:spacing w:val="1"/>
          <w:sz w:val="24"/>
        </w:rPr>
        <w:t>）</w:t>
      </w:r>
    </w:p>
    <w:p>
      <w:pPr>
        <w:pStyle w:val="22"/>
        <w:numPr>
          <w:ilvl w:val="2"/>
          <w:numId w:val="10"/>
        </w:numPr>
        <w:tabs>
          <w:tab w:val="left" w:pos="2628"/>
        </w:tabs>
        <w:spacing w:before="2"/>
        <w:ind w:hanging="671"/>
        <w:rPr>
          <w:sz w:val="24"/>
        </w:rPr>
      </w:pPr>
      <w:r>
        <w:rPr>
          <w:sz w:val="24"/>
        </w:rPr>
        <w:t>未按招标文件规定的形式和金额提交投标保证金的；</w:t>
      </w:r>
    </w:p>
    <w:p>
      <w:pPr>
        <w:pStyle w:val="22"/>
        <w:numPr>
          <w:ilvl w:val="2"/>
          <w:numId w:val="10"/>
        </w:numPr>
        <w:tabs>
          <w:tab w:val="left" w:pos="2628"/>
        </w:tabs>
        <w:spacing w:before="5"/>
        <w:ind w:hanging="671"/>
        <w:rPr>
          <w:sz w:val="24"/>
        </w:rPr>
      </w:pPr>
      <w:r>
        <w:rPr>
          <w:sz w:val="24"/>
        </w:rPr>
        <w:t>未按照招标文件规定要求签署、盖章的；</w:t>
      </w:r>
    </w:p>
    <w:p>
      <w:pPr>
        <w:pStyle w:val="22"/>
        <w:numPr>
          <w:ilvl w:val="2"/>
          <w:numId w:val="10"/>
        </w:numPr>
        <w:tabs>
          <w:tab w:val="left" w:pos="2628"/>
        </w:tabs>
        <w:spacing w:before="4"/>
        <w:ind w:hanging="671"/>
        <w:rPr>
          <w:sz w:val="24"/>
        </w:rPr>
      </w:pPr>
      <w:r>
        <w:rPr>
          <w:sz w:val="24"/>
        </w:rPr>
        <w:t>未满足招标文件中技术条款的实质性要求；</w:t>
      </w:r>
    </w:p>
    <w:p>
      <w:pPr>
        <w:pStyle w:val="22"/>
        <w:numPr>
          <w:ilvl w:val="2"/>
          <w:numId w:val="10"/>
        </w:numPr>
        <w:tabs>
          <w:tab w:val="left" w:pos="2628"/>
        </w:tabs>
        <w:spacing w:before="5"/>
        <w:ind w:hanging="671"/>
        <w:rPr>
          <w:sz w:val="24"/>
        </w:rPr>
      </w:pPr>
      <w:r>
        <w:rPr>
          <w:sz w:val="24"/>
        </w:rPr>
        <w:t>与其他投标人串通报价，或者与招标人串通报价；</w:t>
      </w:r>
    </w:p>
    <w:p>
      <w:pPr>
        <w:pStyle w:val="22"/>
        <w:numPr>
          <w:ilvl w:val="2"/>
          <w:numId w:val="10"/>
        </w:numPr>
        <w:tabs>
          <w:tab w:val="left" w:pos="2628"/>
        </w:tabs>
        <w:spacing w:before="4"/>
        <w:ind w:hanging="671"/>
        <w:rPr>
          <w:sz w:val="24"/>
        </w:rPr>
      </w:pPr>
      <w:r>
        <w:rPr>
          <w:sz w:val="24"/>
        </w:rPr>
        <w:t>属于招标文件规定的其他</w:t>
      </w:r>
      <w:r>
        <w:rPr>
          <w:b/>
          <w:sz w:val="24"/>
        </w:rPr>
        <w:t>投标无效</w:t>
      </w:r>
      <w:r>
        <w:rPr>
          <w:sz w:val="24"/>
        </w:rPr>
        <w:t>情形；</w:t>
      </w:r>
    </w:p>
    <w:p>
      <w:pPr>
        <w:pStyle w:val="22"/>
        <w:numPr>
          <w:ilvl w:val="2"/>
          <w:numId w:val="10"/>
        </w:numPr>
        <w:tabs>
          <w:tab w:val="left" w:pos="2628"/>
        </w:tabs>
        <w:spacing w:before="5" w:line="242" w:lineRule="auto"/>
        <w:ind w:left="2137" w:right="1115" w:hanging="180"/>
        <w:jc w:val="both"/>
        <w:rPr>
          <w:sz w:val="24"/>
        </w:rPr>
      </w:pPr>
      <w:r>
        <w:rPr>
          <w:spacing w:val="3"/>
          <w:sz w:val="24"/>
        </w:rPr>
        <w:t>评标委员会认为投标人的报价明显低于其他通过符合性检查投</w:t>
      </w:r>
      <w:r>
        <w:rPr>
          <w:spacing w:val="-10"/>
          <w:sz w:val="24"/>
        </w:rPr>
        <w:t>标人的报价，有可能影响履约的，且投标人未按照规定证明其报价合</w:t>
      </w:r>
      <w:r>
        <w:rPr>
          <w:sz w:val="24"/>
        </w:rPr>
        <w:t>理性的；</w:t>
      </w:r>
    </w:p>
    <w:p>
      <w:pPr>
        <w:pStyle w:val="22"/>
        <w:numPr>
          <w:ilvl w:val="2"/>
          <w:numId w:val="10"/>
        </w:numPr>
        <w:tabs>
          <w:tab w:val="left" w:pos="2628"/>
        </w:tabs>
        <w:spacing w:before="4"/>
        <w:ind w:hanging="671"/>
        <w:jc w:val="both"/>
        <w:rPr>
          <w:sz w:val="24"/>
        </w:rPr>
      </w:pPr>
      <w:r>
        <w:rPr>
          <w:sz w:val="24"/>
        </w:rPr>
        <w:t>投标文件含有采购人不能接受的附加条件的；</w:t>
      </w:r>
    </w:p>
    <w:p>
      <w:pPr>
        <w:pStyle w:val="22"/>
        <w:numPr>
          <w:ilvl w:val="2"/>
          <w:numId w:val="10"/>
        </w:numPr>
        <w:tabs>
          <w:tab w:val="left" w:pos="2628"/>
        </w:tabs>
        <w:spacing w:before="5" w:line="242" w:lineRule="auto"/>
        <w:ind w:left="1057" w:right="2216" w:firstLine="900"/>
        <w:jc w:val="both"/>
        <w:rPr>
          <w:sz w:val="21"/>
        </w:rPr>
      </w:pPr>
      <w:r>
        <w:rPr>
          <w:spacing w:val="-1"/>
          <w:sz w:val="24"/>
        </w:rPr>
        <w:t>不符合法规和招标文件中规定的其他实质性要求的。</w:t>
      </w:r>
      <w:r>
        <w:rPr>
          <w:sz w:val="24"/>
        </w:rPr>
        <w:t>23.比较与评价</w:t>
      </w:r>
    </w:p>
    <w:p>
      <w:pPr>
        <w:pStyle w:val="22"/>
        <w:numPr>
          <w:ilvl w:val="1"/>
          <w:numId w:val="11"/>
        </w:numPr>
        <w:tabs>
          <w:tab w:val="left" w:pos="1958"/>
        </w:tabs>
        <w:spacing w:before="3" w:line="242" w:lineRule="auto"/>
        <w:ind w:right="1117"/>
        <w:jc w:val="both"/>
        <w:rPr>
          <w:sz w:val="24"/>
        </w:rPr>
      </w:pPr>
      <w:r>
        <w:rPr>
          <w:sz w:val="24"/>
        </w:rPr>
        <w:t>经符合性审查合格的投标文件，评标委员会将根据招标文件确定的评审方法和标准，对其技术部分和商务部分作进一步的比较和评价。</w:t>
      </w:r>
    </w:p>
    <w:p>
      <w:pPr>
        <w:pStyle w:val="22"/>
        <w:numPr>
          <w:ilvl w:val="1"/>
          <w:numId w:val="11"/>
        </w:numPr>
        <w:tabs>
          <w:tab w:val="left" w:pos="1958"/>
        </w:tabs>
        <w:spacing w:before="2" w:line="242" w:lineRule="auto"/>
        <w:ind w:right="1115"/>
        <w:jc w:val="both"/>
        <w:rPr>
          <w:sz w:val="24"/>
        </w:rPr>
      </w:pPr>
      <w:r>
        <w:rPr>
          <w:sz w:val="24"/>
        </w:rPr>
        <w:t>评标严格按照招标文件的要求和条件进行。根据实际情况，在</w:t>
      </w:r>
      <w:r>
        <w:rPr>
          <w:spacing w:val="1"/>
          <w:sz w:val="24"/>
          <w:u w:val="single"/>
        </w:rPr>
        <w:t>投标人</w:t>
      </w:r>
      <w:r>
        <w:rPr>
          <w:sz w:val="24"/>
          <w:u w:val="single"/>
        </w:rPr>
        <w:t>须知资料表</w:t>
      </w:r>
      <w:r>
        <w:rPr>
          <w:sz w:val="24"/>
        </w:rPr>
        <w:t>中规定采用下列一种评审方法，详细评标标准见招标文件第六章：</w:t>
      </w:r>
    </w:p>
    <w:p>
      <w:pPr>
        <w:pStyle w:val="9"/>
        <w:spacing w:before="5" w:line="242" w:lineRule="auto"/>
        <w:ind w:left="1955" w:right="1117" w:hanging="180"/>
        <w:jc w:val="both"/>
      </w:pPr>
      <w:r>
        <w:t>（1） 最低评标价法，是指投标文件满足招标文件全部实质性要求，且响应报价最低的投标人为中标候选人的评审方法。</w:t>
      </w:r>
    </w:p>
    <w:p>
      <w:pPr>
        <w:pStyle w:val="8"/>
        <w:ind w:left="1918" w:leftChars="872" w:firstLine="0"/>
        <w:rPr>
          <w:bCs/>
          <w:spacing w:val="-3"/>
          <w:sz w:val="24"/>
        </w:rPr>
      </w:pPr>
      <w:r>
        <w:rPr>
          <w:rFonts w:hint="eastAsia"/>
          <w:bCs/>
          <w:spacing w:val="-3"/>
          <w:sz w:val="24"/>
        </w:rPr>
        <w:t>（2） 综合评分法，是指响应文件满足磋商文件全部实质性要求，且按照评审因素的量化指标评审得分最高的投标人为中标候选人的评标方法。</w:t>
      </w:r>
    </w:p>
    <w:p>
      <w:pPr>
        <w:pStyle w:val="8"/>
        <w:ind w:firstLine="1880" w:firstLineChars="800"/>
        <w:rPr>
          <w:b/>
          <w:spacing w:val="-3"/>
          <w:sz w:val="24"/>
          <w:u w:val="single"/>
        </w:rPr>
      </w:pPr>
      <w:r>
        <w:rPr>
          <w:rFonts w:hint="eastAsia"/>
          <w:b/>
          <w:spacing w:val="-3"/>
          <w:sz w:val="24"/>
          <w:u w:val="single"/>
        </w:rPr>
        <w:t xml:space="preserve">本项目采用招标方式：公开招标，评分方法：综合评分法 </w:t>
      </w:r>
    </w:p>
    <w:p>
      <w:pPr>
        <w:pStyle w:val="8"/>
        <w:ind w:firstLine="1880" w:firstLineChars="800"/>
        <w:rPr>
          <w:b/>
          <w:spacing w:val="-3"/>
          <w:sz w:val="24"/>
          <w:u w:val="single"/>
        </w:rPr>
      </w:pPr>
      <w:r>
        <w:rPr>
          <w:rFonts w:hint="eastAsia"/>
          <w:b/>
          <w:spacing w:val="-3"/>
          <w:sz w:val="24"/>
          <w:u w:val="single"/>
          <w:lang w:val="en-US"/>
        </w:rPr>
        <w:t>1、</w:t>
      </w:r>
      <w:r>
        <w:rPr>
          <w:rFonts w:hint="eastAsia"/>
          <w:b/>
          <w:spacing w:val="-3"/>
          <w:sz w:val="24"/>
          <w:u w:val="single"/>
        </w:rPr>
        <w:t>价格因素：</w:t>
      </w:r>
      <w:r>
        <w:rPr>
          <w:rFonts w:hint="eastAsia"/>
          <w:b/>
          <w:spacing w:val="-3"/>
          <w:sz w:val="24"/>
          <w:u w:val="single"/>
          <w:lang w:val="en-US"/>
        </w:rPr>
        <w:t>15</w:t>
      </w:r>
      <w:r>
        <w:rPr>
          <w:rFonts w:hint="eastAsia"/>
          <w:b/>
          <w:spacing w:val="-3"/>
          <w:sz w:val="24"/>
          <w:u w:val="single"/>
        </w:rPr>
        <w:t>分</w:t>
      </w:r>
    </w:p>
    <w:p>
      <w:pPr>
        <w:pStyle w:val="8"/>
        <w:ind w:firstLine="1880" w:firstLineChars="800"/>
        <w:rPr>
          <w:b/>
          <w:spacing w:val="-3"/>
          <w:sz w:val="24"/>
          <w:u w:val="single"/>
        </w:rPr>
      </w:pPr>
      <w:r>
        <w:rPr>
          <w:rFonts w:hint="eastAsia"/>
          <w:b/>
          <w:spacing w:val="-3"/>
          <w:sz w:val="24"/>
          <w:u w:val="single"/>
          <w:lang w:val="en-US"/>
        </w:rPr>
        <w:t>2、</w:t>
      </w:r>
      <w:r>
        <w:rPr>
          <w:rFonts w:hint="eastAsia"/>
          <w:b/>
          <w:spacing w:val="-3"/>
          <w:sz w:val="24"/>
          <w:u w:val="single"/>
        </w:rPr>
        <w:t>商务因素：</w:t>
      </w:r>
      <w:r>
        <w:rPr>
          <w:rFonts w:hint="eastAsia"/>
          <w:b/>
          <w:spacing w:val="-3"/>
          <w:sz w:val="24"/>
          <w:u w:val="single"/>
          <w:lang w:val="en-US" w:eastAsia="zh-CN"/>
        </w:rPr>
        <w:t>35</w:t>
      </w:r>
      <w:r>
        <w:rPr>
          <w:rFonts w:hint="eastAsia"/>
          <w:b/>
          <w:spacing w:val="-3"/>
          <w:sz w:val="24"/>
          <w:u w:val="single"/>
        </w:rPr>
        <w:t>分</w:t>
      </w:r>
    </w:p>
    <w:p>
      <w:pPr>
        <w:pStyle w:val="8"/>
        <w:ind w:firstLine="1880" w:firstLineChars="800"/>
        <w:rPr>
          <w:b/>
          <w:spacing w:val="-3"/>
          <w:sz w:val="24"/>
          <w:u w:val="single"/>
        </w:rPr>
      </w:pPr>
      <w:r>
        <w:rPr>
          <w:rFonts w:hint="eastAsia"/>
          <w:b/>
          <w:spacing w:val="-3"/>
          <w:sz w:val="24"/>
          <w:u w:val="single"/>
          <w:lang w:val="en-US"/>
        </w:rPr>
        <w:t>3、</w:t>
      </w:r>
      <w:r>
        <w:rPr>
          <w:rFonts w:hint="eastAsia"/>
          <w:b/>
          <w:spacing w:val="-3"/>
          <w:sz w:val="24"/>
          <w:u w:val="single"/>
        </w:rPr>
        <w:t>技术因素：</w:t>
      </w:r>
      <w:r>
        <w:rPr>
          <w:rFonts w:hint="eastAsia"/>
          <w:b/>
          <w:spacing w:val="-3"/>
          <w:sz w:val="24"/>
          <w:u w:val="single"/>
          <w:lang w:val="en-US" w:eastAsia="zh-CN"/>
        </w:rPr>
        <w:t>50</w:t>
      </w:r>
      <w:r>
        <w:rPr>
          <w:rFonts w:hint="eastAsia"/>
          <w:b/>
          <w:spacing w:val="-3"/>
          <w:sz w:val="24"/>
          <w:u w:val="single"/>
        </w:rPr>
        <w:t>分</w:t>
      </w:r>
    </w:p>
    <w:p>
      <w:pPr>
        <w:pStyle w:val="22"/>
        <w:tabs>
          <w:tab w:val="left" w:pos="2375"/>
          <w:tab w:val="left" w:pos="2376"/>
        </w:tabs>
        <w:spacing w:before="91"/>
        <w:ind w:left="0" w:firstLine="936" w:firstLineChars="400"/>
        <w:rPr>
          <w:sz w:val="24"/>
        </w:rPr>
      </w:pPr>
      <w:r>
        <w:rPr>
          <w:rFonts w:hint="eastAsia"/>
          <w:bCs/>
          <w:spacing w:val="-3"/>
          <w:sz w:val="24"/>
          <w:lang w:val="en-US"/>
        </w:rPr>
        <w:t xml:space="preserve">23.3   </w:t>
      </w:r>
      <w:r>
        <w:rPr>
          <w:bCs/>
          <w:spacing w:val="-3"/>
          <w:sz w:val="24"/>
          <w:u w:val="single"/>
        </w:rPr>
        <w:t>根据《政府采购促进中小企业发展</w:t>
      </w:r>
      <w:r>
        <w:rPr>
          <w:bCs/>
          <w:spacing w:val="-10"/>
          <w:sz w:val="24"/>
        </w:rPr>
        <w:t>暂行</w:t>
      </w:r>
      <w:r>
        <w:rPr>
          <w:spacing w:val="-10"/>
          <w:sz w:val="24"/>
        </w:rPr>
        <w:t>办法</w:t>
      </w:r>
      <w:r>
        <w:rPr>
          <w:spacing w:val="-178"/>
          <w:sz w:val="24"/>
        </w:rPr>
        <w:t>》</w:t>
      </w:r>
      <w:r>
        <w:rPr>
          <w:sz w:val="24"/>
        </w:rPr>
        <w:t>（财库[2011]181</w:t>
      </w:r>
      <w:r>
        <w:rPr>
          <w:spacing w:val="-30"/>
          <w:sz w:val="24"/>
        </w:rPr>
        <w:t xml:space="preserve"> 号</w:t>
      </w:r>
      <w:r>
        <w:rPr>
          <w:spacing w:val="-120"/>
          <w:sz w:val="24"/>
        </w:rPr>
        <w:t>）</w:t>
      </w:r>
      <w:r>
        <w:rPr>
          <w:sz w:val="24"/>
        </w:rPr>
        <w:t>、</w:t>
      </w:r>
    </w:p>
    <w:p>
      <w:pPr>
        <w:pStyle w:val="9"/>
        <w:spacing w:before="91"/>
        <w:ind w:left="1535"/>
      </w:pPr>
      <w:r>
        <w:rPr>
          <w:spacing w:val="-3"/>
        </w:rPr>
        <w:t>《财政部 司法部关于政府采购支持监狱企业发展有关问题的通知》</w:t>
      </w:r>
      <w:r>
        <w:t>（财库</w:t>
      </w:r>
    </w:p>
    <w:p>
      <w:pPr>
        <w:pStyle w:val="9"/>
        <w:spacing w:before="52" w:line="312" w:lineRule="auto"/>
        <w:ind w:left="1535" w:right="1148"/>
        <w:rPr>
          <w:sz w:val="17"/>
        </w:rPr>
      </w:pPr>
      <w:r>
        <w:t>〔2014</w:t>
      </w:r>
      <w:r>
        <w:rPr>
          <w:spacing w:val="-10"/>
        </w:rPr>
        <w:t>〕</w:t>
      </w:r>
      <w:r>
        <w:t>68</w:t>
      </w:r>
      <w:r>
        <w:rPr>
          <w:spacing w:val="-30"/>
        </w:rPr>
        <w:t xml:space="preserve"> 号</w:t>
      </w:r>
      <w:r>
        <w:rPr>
          <w:spacing w:val="-10"/>
        </w:rPr>
        <w:t>）</w:t>
      </w:r>
      <w:r>
        <w:rPr>
          <w:spacing w:val="-4"/>
        </w:rPr>
        <w:t>和《三部门联合发布关于促进残疾人就业政府采购政策的</w:t>
      </w:r>
      <w:r>
        <w:t>通知》（财库〔2017〕141</w:t>
      </w:r>
      <w:r>
        <w:rPr>
          <w:spacing w:val="-30"/>
        </w:rPr>
        <w:t xml:space="preserve"> 号</w:t>
      </w:r>
      <w:r>
        <w:t>）的规定，对满足价格扣除条件且在投标文件中提交了《投标人企业类型声明函》或省级以上监狱管理局、戒毒管理局（含新疆生产建设兵团）出具的属于监狱企业的证明文件的投标人，其响应报价扣除 6-10%后参与评审。</w:t>
      </w:r>
    </w:p>
    <w:p>
      <w:pPr>
        <w:pStyle w:val="22"/>
        <w:tabs>
          <w:tab w:val="left" w:pos="1420"/>
        </w:tabs>
        <w:ind w:left="0" w:firstLine="723" w:firstLineChars="300"/>
        <w:rPr>
          <w:b/>
          <w:sz w:val="24"/>
        </w:rPr>
      </w:pPr>
      <w:bookmarkStart w:id="29" w:name="24.采购活动终止"/>
      <w:bookmarkEnd w:id="29"/>
      <w:r>
        <w:rPr>
          <w:rFonts w:hint="eastAsia"/>
          <w:b/>
          <w:sz w:val="24"/>
          <w:lang w:val="en-US"/>
        </w:rPr>
        <w:t>24.</w:t>
      </w:r>
      <w:r>
        <w:rPr>
          <w:b/>
          <w:sz w:val="24"/>
        </w:rPr>
        <w:t>采购活动终止</w:t>
      </w:r>
    </w:p>
    <w:p>
      <w:pPr>
        <w:spacing w:line="240" w:lineRule="atLeast"/>
        <w:ind w:left="1118" w:leftChars="508" w:firstLine="180" w:firstLineChars="75"/>
        <w:rPr>
          <w:rFonts w:ascii="仿宋_GB2312" w:hAnsi="宋体" w:eastAsia="仿宋_GB2312"/>
          <w:sz w:val="24"/>
        </w:rPr>
      </w:pPr>
      <w:bookmarkStart w:id="30" w:name="25.保密原则"/>
      <w:bookmarkEnd w:id="30"/>
      <w:r>
        <w:rPr>
          <w:rFonts w:hint="eastAsia" w:ascii="仿宋_GB2312" w:hAnsi="宋体" w:eastAsia="仿宋_GB2312"/>
          <w:sz w:val="24"/>
        </w:rPr>
        <w:t xml:space="preserve">出现下列情形之一，将导致项目废标： </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lang w:val="en-US"/>
        </w:rPr>
        <w:t xml:space="preserve">   </w:t>
      </w:r>
      <w:r>
        <w:rPr>
          <w:rFonts w:hint="eastAsia" w:ascii="仿宋_GB2312" w:hAnsi="宋体" w:eastAsia="仿宋_GB2312"/>
          <w:sz w:val="24"/>
        </w:rPr>
        <w:t>（1）符合专业条件的供应商或者对招标文件做实质性响应的供应商不足三家；</w:t>
      </w:r>
    </w:p>
    <w:p>
      <w:pPr>
        <w:spacing w:line="240" w:lineRule="atLeast"/>
        <w:ind w:left="900" w:hanging="900" w:hangingChars="375"/>
        <w:rPr>
          <w:rFonts w:ascii="仿宋_GB2312" w:hAnsi="宋体" w:eastAsia="仿宋_GB2312"/>
          <w:sz w:val="24"/>
        </w:rPr>
      </w:pPr>
      <w:r>
        <w:rPr>
          <w:rFonts w:hint="eastAsia" w:ascii="仿宋_GB2312" w:hAnsi="宋体" w:eastAsia="仿宋_GB2312"/>
          <w:sz w:val="24"/>
        </w:rPr>
        <w:tab/>
      </w:r>
      <w:r>
        <w:rPr>
          <w:rFonts w:hint="eastAsia" w:ascii="仿宋_GB2312" w:hAnsi="宋体" w:eastAsia="仿宋_GB2312"/>
          <w:sz w:val="24"/>
          <w:lang w:val="en-US"/>
        </w:rPr>
        <w:t xml:space="preserve">   </w:t>
      </w:r>
      <w:r>
        <w:rPr>
          <w:rFonts w:hint="eastAsia" w:ascii="仿宋_GB2312" w:hAnsi="宋体" w:eastAsia="仿宋_GB2312"/>
          <w:sz w:val="24"/>
        </w:rPr>
        <w:t>（2）出现影响采购公正的违法、违规行为的；</w:t>
      </w:r>
    </w:p>
    <w:p>
      <w:pPr>
        <w:spacing w:line="240" w:lineRule="atLeast"/>
        <w:ind w:firstLine="1320" w:firstLineChars="550"/>
        <w:rPr>
          <w:rFonts w:ascii="仿宋_GB2312" w:hAnsi="宋体" w:eastAsia="仿宋_GB2312"/>
          <w:sz w:val="24"/>
        </w:rPr>
      </w:pPr>
      <w:r>
        <w:rPr>
          <w:rFonts w:hint="eastAsia" w:ascii="仿宋_GB2312" w:hAnsi="宋体" w:eastAsia="仿宋_GB2312"/>
          <w:sz w:val="24"/>
        </w:rPr>
        <w:t>（3）投标人的报价均超过了采购预算，采购人不能支付的；</w:t>
      </w:r>
    </w:p>
    <w:p>
      <w:pPr>
        <w:spacing w:line="240" w:lineRule="atLeast"/>
        <w:ind w:firstLine="1320" w:firstLineChars="550"/>
        <w:rPr>
          <w:b/>
          <w:sz w:val="24"/>
        </w:rPr>
      </w:pPr>
      <w:r>
        <w:rPr>
          <w:rFonts w:hint="eastAsia" w:ascii="仿宋_GB2312" w:hAnsi="宋体" w:eastAsia="仿宋_GB2312"/>
          <w:sz w:val="24"/>
        </w:rPr>
        <w:t>（4）因重大变故，采购任务取消的。</w:t>
      </w:r>
    </w:p>
    <w:p>
      <w:pPr>
        <w:pStyle w:val="22"/>
        <w:tabs>
          <w:tab w:val="left" w:pos="2499"/>
        </w:tabs>
        <w:spacing w:before="4"/>
        <w:ind w:left="0" w:firstLine="723" w:firstLineChars="300"/>
        <w:rPr>
          <w:b/>
          <w:sz w:val="24"/>
        </w:rPr>
      </w:pPr>
      <w:r>
        <w:rPr>
          <w:b/>
          <w:sz w:val="24"/>
        </w:rPr>
        <w:t>25.保密原则</w:t>
      </w:r>
    </w:p>
    <w:p>
      <w:pPr>
        <w:pStyle w:val="22"/>
        <w:numPr>
          <w:ilvl w:val="1"/>
          <w:numId w:val="12"/>
        </w:numPr>
        <w:tabs>
          <w:tab w:val="left" w:pos="1957"/>
          <w:tab w:val="left" w:pos="1958"/>
        </w:tabs>
        <w:spacing w:before="2"/>
        <w:ind w:hanging="901"/>
        <w:rPr>
          <w:sz w:val="24"/>
        </w:rPr>
      </w:pPr>
      <w:r>
        <w:rPr>
          <w:sz w:val="24"/>
        </w:rPr>
        <w:t>评审将在严格保密的情况下进行。</w:t>
      </w:r>
    </w:p>
    <w:p>
      <w:pPr>
        <w:pStyle w:val="22"/>
        <w:numPr>
          <w:ilvl w:val="1"/>
          <w:numId w:val="12"/>
        </w:numPr>
        <w:tabs>
          <w:tab w:val="left" w:pos="1957"/>
          <w:tab w:val="left" w:pos="1958"/>
        </w:tabs>
        <w:spacing w:before="5" w:line="242" w:lineRule="auto"/>
        <w:ind w:right="1115"/>
        <w:rPr>
          <w:sz w:val="24"/>
        </w:rPr>
      </w:pPr>
      <w:r>
        <w:rPr>
          <w:sz w:val="24"/>
        </w:rPr>
        <w:t>政府采购评审专家应当遵守评审工作纪律，不得泄露评审文件、评审情况和评审中获悉的商业秘密。</w:t>
      </w:r>
    </w:p>
    <w:p>
      <w:pPr>
        <w:pStyle w:val="22"/>
        <w:tabs>
          <w:tab w:val="left" w:pos="1957"/>
          <w:tab w:val="left" w:pos="1958"/>
        </w:tabs>
        <w:spacing w:before="5" w:line="242" w:lineRule="auto"/>
        <w:ind w:left="1057" w:right="1115" w:firstLine="0"/>
        <w:rPr>
          <w:sz w:val="24"/>
        </w:rPr>
      </w:pPr>
    </w:p>
    <w:p>
      <w:pPr>
        <w:pStyle w:val="9"/>
        <w:spacing w:before="7"/>
      </w:pPr>
    </w:p>
    <w:p>
      <w:pPr>
        <w:tabs>
          <w:tab w:val="left" w:pos="1207"/>
        </w:tabs>
        <w:ind w:left="605"/>
        <w:jc w:val="center"/>
        <w:rPr>
          <w:b/>
          <w:sz w:val="24"/>
        </w:rPr>
      </w:pPr>
      <w:bookmarkStart w:id="31" w:name="六___确定中标"/>
      <w:bookmarkEnd w:id="31"/>
      <w:r>
        <w:rPr>
          <w:b/>
          <w:sz w:val="24"/>
        </w:rPr>
        <w:t>六</w:t>
      </w:r>
      <w:r>
        <w:rPr>
          <w:b/>
          <w:sz w:val="24"/>
        </w:rPr>
        <w:tab/>
      </w:r>
      <w:r>
        <w:rPr>
          <w:b/>
          <w:sz w:val="24"/>
        </w:rPr>
        <w:t>确定中标</w:t>
      </w:r>
    </w:p>
    <w:p>
      <w:pPr>
        <w:pStyle w:val="9"/>
        <w:spacing w:before="9"/>
        <w:rPr>
          <w:b/>
        </w:rPr>
      </w:pPr>
    </w:p>
    <w:p>
      <w:pPr>
        <w:pStyle w:val="22"/>
        <w:numPr>
          <w:ilvl w:val="0"/>
          <w:numId w:val="13"/>
        </w:numPr>
        <w:tabs>
          <w:tab w:val="left" w:pos="1420"/>
        </w:tabs>
        <w:rPr>
          <w:b/>
          <w:sz w:val="24"/>
        </w:rPr>
      </w:pPr>
      <w:bookmarkStart w:id="32" w:name="26.中标候选人的确定原则及标准"/>
      <w:bookmarkEnd w:id="32"/>
      <w:r>
        <w:rPr>
          <w:b/>
          <w:sz w:val="24"/>
        </w:rPr>
        <w:t>中标候选人的确定原则及标准</w:t>
      </w:r>
    </w:p>
    <w:p>
      <w:pPr>
        <w:pStyle w:val="9"/>
        <w:spacing w:before="5" w:line="242" w:lineRule="auto"/>
        <w:ind w:left="1957" w:right="1115"/>
        <w:jc w:val="both"/>
      </w:pPr>
      <w:r>
        <w:rPr>
          <w:spacing w:val="-20"/>
        </w:rPr>
        <w:t xml:space="preserve">除第 </w:t>
      </w:r>
      <w:r>
        <w:t>28</w:t>
      </w:r>
      <w:r>
        <w:rPr>
          <w:spacing w:val="-11"/>
        </w:rPr>
        <w:t xml:space="preserve"> 条规定外，对实质上响应招标文件的投标人按下列方法进行排</w:t>
      </w:r>
      <w:r>
        <w:t>序，确定中标候选人：</w:t>
      </w:r>
    </w:p>
    <w:p>
      <w:pPr>
        <w:pStyle w:val="9"/>
        <w:spacing w:before="3" w:line="242" w:lineRule="auto"/>
        <w:ind w:left="1957" w:right="1115"/>
        <w:jc w:val="both"/>
        <w:rPr>
          <w:spacing w:val="-3"/>
        </w:rPr>
      </w:pPr>
      <w:r>
        <w:rPr>
          <w:rFonts w:hint="eastAsia"/>
          <w:spacing w:val="-3"/>
        </w:rPr>
        <w:t>（1）采用最低评标价法的，除了算术修正和落实政府采购政策需进行的价格扣除外，不对投标人的投标价格进行任何调整。评标结果按修正和扣除后的投标报价由低到高顺序排列。报价相同的处理方式详见招标文件第6章。</w:t>
      </w:r>
    </w:p>
    <w:p>
      <w:pPr>
        <w:pStyle w:val="9"/>
        <w:spacing w:before="3" w:line="242" w:lineRule="auto"/>
        <w:ind w:left="1957" w:right="1115"/>
        <w:jc w:val="both"/>
      </w:pPr>
      <w:r>
        <w:rPr>
          <w:rFonts w:hint="eastAsia"/>
          <w:spacing w:val="-3"/>
        </w:rPr>
        <w:t>（2）采用综合评分法的，评标结果按评审后得分由高到低顺序排列。得分相同的，按修正和扣除后的投标报价由低到高顺序排列。得分与投标报价均相同的处理方式详见方式详见招标文件第6章。</w:t>
      </w:r>
    </w:p>
    <w:p>
      <w:pPr>
        <w:pStyle w:val="22"/>
        <w:numPr>
          <w:ilvl w:val="0"/>
          <w:numId w:val="13"/>
        </w:numPr>
        <w:tabs>
          <w:tab w:val="left" w:pos="1420"/>
        </w:tabs>
        <w:spacing w:before="4"/>
        <w:rPr>
          <w:b/>
          <w:sz w:val="24"/>
        </w:rPr>
      </w:pPr>
      <w:bookmarkStart w:id="33" w:name="27.确定中标候选人和中标人"/>
      <w:bookmarkEnd w:id="33"/>
      <w:r>
        <w:rPr>
          <w:b/>
          <w:sz w:val="24"/>
        </w:rPr>
        <w:t>确定中标候选人和中标人</w:t>
      </w:r>
    </w:p>
    <w:p>
      <w:pPr>
        <w:pStyle w:val="9"/>
        <w:spacing w:before="5" w:line="242" w:lineRule="auto"/>
        <w:ind w:left="1957" w:right="1115" w:hanging="60"/>
        <w:jc w:val="both"/>
      </w:pPr>
      <w:r>
        <w:rPr>
          <w:rFonts w:hint="eastAsia"/>
        </w:rPr>
        <w:t>评标委员会将根据评标标准，按</w:t>
      </w:r>
      <w:r>
        <w:rPr>
          <w:rFonts w:hint="eastAsia"/>
          <w:u w:val="single"/>
        </w:rPr>
        <w:t>投标人须知资料表</w:t>
      </w:r>
      <w:r>
        <w:rPr>
          <w:rFonts w:hint="eastAsia"/>
        </w:rPr>
        <w:t>中规定数量推荐中标候选人；或根据采购人的委托，直接确定中标人。</w:t>
      </w:r>
    </w:p>
    <w:p>
      <w:pPr>
        <w:pStyle w:val="22"/>
        <w:numPr>
          <w:ilvl w:val="0"/>
          <w:numId w:val="13"/>
        </w:numPr>
        <w:tabs>
          <w:tab w:val="left" w:pos="1420"/>
        </w:tabs>
        <w:spacing w:before="7"/>
        <w:rPr>
          <w:b/>
          <w:sz w:val="24"/>
        </w:rPr>
      </w:pPr>
      <w:bookmarkStart w:id="34" w:name="28.采购任务取消"/>
      <w:bookmarkEnd w:id="34"/>
      <w:r>
        <w:rPr>
          <w:b/>
          <w:sz w:val="24"/>
        </w:rPr>
        <w:t>采购任务取消</w:t>
      </w:r>
    </w:p>
    <w:p>
      <w:pPr>
        <w:pStyle w:val="9"/>
        <w:spacing w:before="4" w:line="242" w:lineRule="auto"/>
        <w:ind w:left="1957" w:right="1117"/>
      </w:pPr>
      <w:r>
        <w:t>因重大变故采购任务取消时，采购人有权拒绝任何投标人中标，且对受影响的投标人不承担任何责任。</w:t>
      </w:r>
    </w:p>
    <w:p>
      <w:pPr>
        <w:pStyle w:val="22"/>
        <w:numPr>
          <w:ilvl w:val="0"/>
          <w:numId w:val="13"/>
        </w:numPr>
        <w:tabs>
          <w:tab w:val="left" w:pos="1420"/>
        </w:tabs>
        <w:spacing w:before="3"/>
        <w:rPr>
          <w:b/>
          <w:sz w:val="24"/>
        </w:rPr>
      </w:pPr>
      <w:bookmarkStart w:id="35" w:name="29.中标通知书和中标结果通知书"/>
      <w:bookmarkEnd w:id="35"/>
      <w:r>
        <w:rPr>
          <w:b/>
          <w:sz w:val="24"/>
        </w:rPr>
        <w:t>中标通知书和中标结果通知书</w:t>
      </w:r>
    </w:p>
    <w:p>
      <w:pPr>
        <w:pStyle w:val="22"/>
        <w:numPr>
          <w:ilvl w:val="1"/>
          <w:numId w:val="13"/>
        </w:numPr>
        <w:tabs>
          <w:tab w:val="left" w:pos="1957"/>
          <w:tab w:val="left" w:pos="1958"/>
        </w:tabs>
        <w:spacing w:before="5" w:line="242" w:lineRule="auto"/>
        <w:ind w:right="1117"/>
        <w:rPr>
          <w:sz w:val="24"/>
        </w:rPr>
      </w:pPr>
      <w:r>
        <w:rPr>
          <w:sz w:val="24"/>
        </w:rPr>
        <w:t>在投标有效期内，中标人确定后，采购人或者采购代理机构发布成交公告，同时以书面形式向中标人发出成交通知书。</w:t>
      </w:r>
    </w:p>
    <w:p>
      <w:pPr>
        <w:pStyle w:val="22"/>
        <w:numPr>
          <w:ilvl w:val="1"/>
          <w:numId w:val="13"/>
        </w:numPr>
        <w:tabs>
          <w:tab w:val="left" w:pos="1957"/>
          <w:tab w:val="left" w:pos="1958"/>
        </w:tabs>
        <w:spacing w:before="3"/>
        <w:ind w:hanging="901"/>
        <w:rPr>
          <w:sz w:val="24"/>
        </w:rPr>
      </w:pPr>
      <w:r>
        <w:rPr>
          <w:sz w:val="24"/>
        </w:rPr>
        <w:t>成交通知书是合同的组成部分。</w:t>
      </w:r>
    </w:p>
    <w:p>
      <w:pPr>
        <w:pStyle w:val="22"/>
        <w:numPr>
          <w:ilvl w:val="1"/>
          <w:numId w:val="13"/>
        </w:numPr>
        <w:tabs>
          <w:tab w:val="left" w:pos="2019"/>
          <w:tab w:val="left" w:pos="2020"/>
        </w:tabs>
        <w:spacing w:before="4" w:line="242" w:lineRule="auto"/>
        <w:ind w:right="1115"/>
        <w:rPr>
          <w:sz w:val="24"/>
        </w:rPr>
      </w:pPr>
      <w:r>
        <w:tab/>
      </w:r>
      <w:r>
        <w:rPr>
          <w:spacing w:val="-1"/>
          <w:sz w:val="24"/>
        </w:rPr>
        <w:t>成交结果通知书和成交通知书同时发出。成交结果通知书中将告知未</w:t>
      </w:r>
      <w:r>
        <w:rPr>
          <w:sz w:val="24"/>
        </w:rPr>
        <w:t>通过资格审查的投标人未通过的原因。</w:t>
      </w:r>
    </w:p>
    <w:p>
      <w:pPr>
        <w:pStyle w:val="22"/>
        <w:numPr>
          <w:ilvl w:val="0"/>
          <w:numId w:val="13"/>
        </w:numPr>
        <w:tabs>
          <w:tab w:val="left" w:pos="1420"/>
        </w:tabs>
        <w:spacing w:before="3"/>
        <w:rPr>
          <w:b/>
          <w:sz w:val="24"/>
        </w:rPr>
      </w:pPr>
      <w:bookmarkStart w:id="36" w:name="30.签订合同"/>
      <w:bookmarkEnd w:id="36"/>
      <w:r>
        <w:rPr>
          <w:b/>
          <w:sz w:val="24"/>
        </w:rPr>
        <w:t>签订合同</w:t>
      </w:r>
    </w:p>
    <w:p>
      <w:pPr>
        <w:pStyle w:val="22"/>
        <w:numPr>
          <w:ilvl w:val="1"/>
          <w:numId w:val="13"/>
        </w:numPr>
        <w:tabs>
          <w:tab w:val="left" w:pos="1957"/>
          <w:tab w:val="left" w:pos="1958"/>
        </w:tabs>
        <w:spacing w:before="4"/>
        <w:ind w:hanging="901"/>
        <w:rPr>
          <w:sz w:val="24"/>
        </w:rPr>
      </w:pPr>
      <w:r>
        <w:rPr>
          <w:spacing w:val="-4"/>
          <w:sz w:val="24"/>
        </w:rPr>
        <w:t xml:space="preserve">中标人应当自发出成交通知书之日起 </w:t>
      </w:r>
      <w:r>
        <w:rPr>
          <w:sz w:val="24"/>
        </w:rPr>
        <w:t>30</w:t>
      </w:r>
      <w:r>
        <w:rPr>
          <w:spacing w:val="-8"/>
          <w:sz w:val="24"/>
        </w:rPr>
        <w:t xml:space="preserve"> 日内，与采购人签订合同。</w:t>
      </w:r>
    </w:p>
    <w:p>
      <w:pPr>
        <w:pStyle w:val="22"/>
        <w:numPr>
          <w:ilvl w:val="1"/>
          <w:numId w:val="13"/>
        </w:numPr>
        <w:tabs>
          <w:tab w:val="left" w:pos="1898"/>
        </w:tabs>
        <w:spacing w:before="44" w:line="242" w:lineRule="auto"/>
        <w:ind w:right="1115"/>
        <w:jc w:val="both"/>
        <w:rPr>
          <w:sz w:val="24"/>
        </w:rPr>
      </w:pPr>
      <w:r>
        <w:rPr>
          <w:spacing w:val="-5"/>
          <w:sz w:val="24"/>
        </w:rPr>
        <w:t>招标文件、中标人的投标文件及其澄清文件等，均为签订合同的依据。</w:t>
      </w:r>
      <w:r>
        <w:rPr>
          <w:spacing w:val="-7"/>
          <w:sz w:val="24"/>
        </w:rPr>
        <w:t>中标人拒绝与采购人签订合同的，采购人可以按照评审报告推荐的中标</w:t>
      </w:r>
      <w:r>
        <w:rPr>
          <w:sz w:val="24"/>
        </w:rPr>
        <w:t>候选人名单排序，确定下一中标候选人为中标人，也可以重新开展政府采购活动。</w:t>
      </w:r>
    </w:p>
    <w:p>
      <w:pPr>
        <w:pStyle w:val="22"/>
        <w:numPr>
          <w:ilvl w:val="1"/>
          <w:numId w:val="13"/>
        </w:numPr>
        <w:tabs>
          <w:tab w:val="left" w:pos="1898"/>
        </w:tabs>
        <w:spacing w:before="4" w:line="242" w:lineRule="auto"/>
        <w:ind w:right="1105"/>
        <w:jc w:val="both"/>
        <w:rPr>
          <w:sz w:val="24"/>
        </w:rPr>
      </w:pPr>
      <w:r>
        <w:rPr>
          <w:sz w:val="24"/>
        </w:rPr>
        <w:t>当出现法规规定的</w:t>
      </w:r>
      <w:r>
        <w:rPr>
          <w:b/>
          <w:sz w:val="24"/>
        </w:rPr>
        <w:t>成交无效或成交结果无效</w:t>
      </w:r>
      <w:r>
        <w:rPr>
          <w:spacing w:val="-12"/>
          <w:sz w:val="24"/>
        </w:rPr>
        <w:t>情形时，采购人可与排名下</w:t>
      </w:r>
      <w:r>
        <w:rPr>
          <w:sz w:val="24"/>
        </w:rPr>
        <w:t>一位的中标候选人另行签订合同，或依法重新开展采购活动。</w:t>
      </w:r>
    </w:p>
    <w:p>
      <w:pPr>
        <w:pStyle w:val="22"/>
        <w:numPr>
          <w:ilvl w:val="0"/>
          <w:numId w:val="13"/>
        </w:numPr>
        <w:tabs>
          <w:tab w:val="left" w:pos="1420"/>
        </w:tabs>
        <w:spacing w:before="3"/>
        <w:rPr>
          <w:b/>
          <w:sz w:val="24"/>
        </w:rPr>
      </w:pPr>
      <w:bookmarkStart w:id="37" w:name="31.履约保证金"/>
      <w:bookmarkEnd w:id="37"/>
      <w:r>
        <w:rPr>
          <w:rFonts w:hint="eastAsia"/>
          <w:b/>
          <w:sz w:val="24"/>
          <w:lang w:val="en-US"/>
        </w:rPr>
        <w:t xml:space="preserve">   </w:t>
      </w:r>
      <w:r>
        <w:rPr>
          <w:b/>
          <w:sz w:val="24"/>
        </w:rPr>
        <w:t>履约保证金</w:t>
      </w:r>
    </w:p>
    <w:p>
      <w:pPr>
        <w:pStyle w:val="22"/>
        <w:numPr>
          <w:ilvl w:val="1"/>
          <w:numId w:val="13"/>
        </w:numPr>
        <w:tabs>
          <w:tab w:val="left" w:pos="1958"/>
        </w:tabs>
        <w:spacing w:before="4" w:line="242" w:lineRule="auto"/>
        <w:ind w:right="1115"/>
        <w:jc w:val="both"/>
        <w:rPr>
          <w:sz w:val="24"/>
        </w:rPr>
      </w:pPr>
      <w:r>
        <w:rPr>
          <w:sz w:val="24"/>
        </w:rPr>
        <w:t>中标人应按照</w:t>
      </w:r>
      <w:r>
        <w:rPr>
          <w:sz w:val="24"/>
          <w:u w:val="single"/>
        </w:rPr>
        <w:t>投标人须知资料表</w:t>
      </w:r>
      <w:r>
        <w:rPr>
          <w:sz w:val="24"/>
        </w:rPr>
        <w:t>规定向采购人缴纳履约保证金（</w:t>
      </w:r>
      <w:r>
        <w:rPr>
          <w:spacing w:val="2"/>
          <w:sz w:val="24"/>
        </w:rPr>
        <w:t>如采</w:t>
      </w:r>
      <w:r>
        <w:rPr>
          <w:spacing w:val="-3"/>
          <w:sz w:val="24"/>
        </w:rPr>
        <w:t xml:space="preserve">用保函形式，格式见本章附件 </w:t>
      </w:r>
      <w:r>
        <w:rPr>
          <w:sz w:val="24"/>
        </w:rPr>
        <w:t>1）。</w:t>
      </w:r>
    </w:p>
    <w:p>
      <w:pPr>
        <w:pStyle w:val="22"/>
        <w:numPr>
          <w:ilvl w:val="1"/>
          <w:numId w:val="13"/>
        </w:numPr>
        <w:tabs>
          <w:tab w:val="left" w:pos="1958"/>
        </w:tabs>
        <w:spacing w:before="3" w:line="242" w:lineRule="auto"/>
        <w:ind w:right="1115"/>
        <w:jc w:val="both"/>
        <w:rPr>
          <w:sz w:val="24"/>
        </w:rPr>
      </w:pPr>
      <w:r>
        <w:rPr>
          <w:spacing w:val="-5"/>
          <w:sz w:val="24"/>
        </w:rPr>
        <w:t xml:space="preserve">政府采购利用担保试点范围内的项目，除 </w:t>
      </w:r>
      <w:r>
        <w:rPr>
          <w:sz w:val="24"/>
        </w:rPr>
        <w:t>31.1</w:t>
      </w:r>
      <w:r>
        <w:rPr>
          <w:spacing w:val="-10"/>
          <w:sz w:val="24"/>
        </w:rPr>
        <w:t xml:space="preserve"> 规定的情形外，中标人</w:t>
      </w:r>
      <w:r>
        <w:rPr>
          <w:sz w:val="24"/>
        </w:rPr>
        <w:t>也可以按照财政部门的规定，向采购人提供合格的履约担保函</w:t>
      </w:r>
      <w:r>
        <w:rPr>
          <w:spacing w:val="4"/>
          <w:sz w:val="24"/>
        </w:rPr>
        <w:t>（</w:t>
      </w:r>
      <w:r>
        <w:rPr>
          <w:sz w:val="24"/>
        </w:rPr>
        <w:t>格式</w:t>
      </w:r>
      <w:r>
        <w:rPr>
          <w:spacing w:val="-10"/>
          <w:sz w:val="24"/>
        </w:rPr>
        <w:t xml:space="preserve">见本章附件 </w:t>
      </w:r>
      <w:r>
        <w:rPr>
          <w:sz w:val="24"/>
        </w:rPr>
        <w:t>2）。</w:t>
      </w:r>
    </w:p>
    <w:p>
      <w:pPr>
        <w:pStyle w:val="22"/>
        <w:numPr>
          <w:ilvl w:val="1"/>
          <w:numId w:val="13"/>
        </w:numPr>
        <w:tabs>
          <w:tab w:val="left" w:pos="1912"/>
        </w:tabs>
        <w:spacing w:before="4" w:line="242" w:lineRule="auto"/>
        <w:ind w:right="1115"/>
        <w:jc w:val="both"/>
        <w:rPr>
          <w:sz w:val="24"/>
        </w:rPr>
      </w:pPr>
      <w:r>
        <w:rPr>
          <w:sz w:val="24"/>
        </w:rPr>
        <w:t>如果中标人没有按照上述履约保证金的规定执行，将视为放弃中标资格，中标人的投标保证金将不予退还。在此情况下，采购人可确定下一候选人为中标人，也可以重新开展采购活动。</w:t>
      </w:r>
    </w:p>
    <w:p>
      <w:pPr>
        <w:pStyle w:val="22"/>
        <w:numPr>
          <w:ilvl w:val="0"/>
          <w:numId w:val="13"/>
        </w:numPr>
        <w:tabs>
          <w:tab w:val="left" w:pos="1420"/>
        </w:tabs>
        <w:spacing w:before="5"/>
        <w:rPr>
          <w:b/>
          <w:sz w:val="24"/>
        </w:rPr>
      </w:pPr>
      <w:bookmarkStart w:id="38" w:name="32.中标服务费"/>
      <w:bookmarkEnd w:id="38"/>
      <w:r>
        <w:rPr>
          <w:rFonts w:hint="eastAsia"/>
          <w:b/>
          <w:sz w:val="24"/>
          <w:lang w:val="en-US"/>
        </w:rPr>
        <w:t xml:space="preserve">   </w:t>
      </w:r>
      <w:r>
        <w:rPr>
          <w:b/>
          <w:sz w:val="24"/>
        </w:rPr>
        <w:t>中标服务费</w:t>
      </w:r>
    </w:p>
    <w:p>
      <w:pPr>
        <w:pStyle w:val="9"/>
        <w:spacing w:before="4" w:line="242" w:lineRule="auto"/>
        <w:ind w:left="1679" w:leftChars="763" w:right="1117"/>
      </w:pPr>
      <w:r>
        <w:t>中标人须按照</w:t>
      </w:r>
      <w:r>
        <w:rPr>
          <w:u w:val="single"/>
        </w:rPr>
        <w:t>投标人须知资料表</w:t>
      </w:r>
      <w:r>
        <w:t>规定，向采购代理机构支付中标服务费。</w:t>
      </w:r>
    </w:p>
    <w:p>
      <w:pPr>
        <w:pStyle w:val="22"/>
        <w:numPr>
          <w:ilvl w:val="0"/>
          <w:numId w:val="13"/>
        </w:numPr>
        <w:tabs>
          <w:tab w:val="left" w:pos="1420"/>
        </w:tabs>
        <w:spacing w:before="3"/>
        <w:rPr>
          <w:b/>
          <w:sz w:val="24"/>
        </w:rPr>
      </w:pPr>
      <w:bookmarkStart w:id="39" w:name="33.政府采购信用担保"/>
      <w:bookmarkEnd w:id="39"/>
      <w:r>
        <w:rPr>
          <w:b/>
          <w:sz w:val="24"/>
        </w:rPr>
        <w:t>政府采购信用担保</w:t>
      </w:r>
    </w:p>
    <w:p>
      <w:pPr>
        <w:pStyle w:val="22"/>
        <w:numPr>
          <w:ilvl w:val="1"/>
          <w:numId w:val="13"/>
        </w:numPr>
        <w:tabs>
          <w:tab w:val="left" w:pos="1897"/>
          <w:tab w:val="left" w:pos="1898"/>
        </w:tabs>
        <w:spacing w:before="4"/>
        <w:ind w:left="1897" w:hanging="841"/>
        <w:rPr>
          <w:sz w:val="24"/>
        </w:rPr>
      </w:pPr>
      <w:r>
        <w:rPr>
          <w:sz w:val="24"/>
        </w:rPr>
        <w:t>本项目是否属于信用担保试点范围见</w:t>
      </w:r>
      <w:r>
        <w:rPr>
          <w:sz w:val="24"/>
          <w:u w:val="single"/>
        </w:rPr>
        <w:t>投标人须知资料表</w:t>
      </w:r>
      <w:r>
        <w:rPr>
          <w:sz w:val="24"/>
        </w:rPr>
        <w:t>。</w:t>
      </w:r>
    </w:p>
    <w:p>
      <w:pPr>
        <w:pStyle w:val="22"/>
        <w:numPr>
          <w:ilvl w:val="1"/>
          <w:numId w:val="13"/>
        </w:numPr>
        <w:tabs>
          <w:tab w:val="left" w:pos="1897"/>
          <w:tab w:val="left" w:pos="1898"/>
        </w:tabs>
        <w:spacing w:before="5" w:line="242" w:lineRule="auto"/>
        <w:ind w:left="1907" w:right="1115" w:hanging="850"/>
        <w:rPr>
          <w:sz w:val="24"/>
        </w:rPr>
      </w:pPr>
      <w:r>
        <w:rPr>
          <w:spacing w:val="-7"/>
          <w:sz w:val="24"/>
        </w:rPr>
        <w:t>如属于政府采购信用担保试点范围内，中小型企业投标人可以自由按照</w:t>
      </w:r>
      <w:r>
        <w:rPr>
          <w:sz w:val="24"/>
        </w:rPr>
        <w:t>财政部门的规定，采用报价担保、履约担保和融资担保。</w:t>
      </w:r>
    </w:p>
    <w:p>
      <w:pPr>
        <w:pStyle w:val="22"/>
        <w:numPr>
          <w:ilvl w:val="2"/>
          <w:numId w:val="13"/>
        </w:numPr>
        <w:tabs>
          <w:tab w:val="left" w:pos="1898"/>
        </w:tabs>
        <w:spacing w:before="3"/>
        <w:ind w:hanging="841"/>
        <w:rPr>
          <w:sz w:val="24"/>
        </w:rPr>
      </w:pPr>
      <w:r>
        <w:rPr>
          <w:sz w:val="24"/>
        </w:rPr>
        <w:t>投标人递交的报价担保函和履约担保函应符合本招标文件的规定。</w:t>
      </w:r>
    </w:p>
    <w:p>
      <w:pPr>
        <w:pStyle w:val="22"/>
        <w:numPr>
          <w:ilvl w:val="2"/>
          <w:numId w:val="13"/>
        </w:numPr>
        <w:tabs>
          <w:tab w:val="left" w:pos="1898"/>
        </w:tabs>
        <w:spacing w:before="4"/>
        <w:ind w:hanging="841"/>
        <w:rPr>
          <w:sz w:val="24"/>
        </w:rPr>
      </w:pPr>
      <w:r>
        <w:rPr>
          <w:sz w:val="24"/>
        </w:rPr>
        <w:t>中标人可以采取融资担保的形式为政府采购项目履约进行融资。</w:t>
      </w:r>
    </w:p>
    <w:p>
      <w:pPr>
        <w:pStyle w:val="22"/>
        <w:numPr>
          <w:ilvl w:val="2"/>
          <w:numId w:val="13"/>
        </w:numPr>
        <w:tabs>
          <w:tab w:val="left" w:pos="1898"/>
        </w:tabs>
        <w:spacing w:before="5" w:line="242" w:lineRule="auto"/>
        <w:ind w:left="1057" w:right="1986" w:firstLine="0"/>
        <w:rPr>
          <w:b/>
          <w:sz w:val="24"/>
        </w:rPr>
      </w:pPr>
      <w:r>
        <w:rPr>
          <w:sz w:val="24"/>
        </w:rPr>
        <w:t>合格的政府采购专业信用担保机构名单见</w:t>
      </w:r>
      <w:r>
        <w:rPr>
          <w:sz w:val="24"/>
          <w:u w:val="single"/>
        </w:rPr>
        <w:t>投标人须知资料表</w:t>
      </w:r>
      <w:r>
        <w:rPr>
          <w:spacing w:val="-17"/>
          <w:sz w:val="24"/>
        </w:rPr>
        <w:t>。</w:t>
      </w:r>
      <w:bookmarkStart w:id="40" w:name="34.廉洁自律规定"/>
      <w:bookmarkEnd w:id="40"/>
      <w:r>
        <w:rPr>
          <w:b/>
          <w:sz w:val="24"/>
        </w:rPr>
        <w:t>34.廉洁自律规定</w:t>
      </w:r>
    </w:p>
    <w:p>
      <w:pPr>
        <w:pStyle w:val="22"/>
        <w:tabs>
          <w:tab w:val="left" w:pos="1897"/>
          <w:tab w:val="left" w:pos="1898"/>
        </w:tabs>
        <w:spacing w:before="3" w:line="242" w:lineRule="auto"/>
        <w:ind w:left="1057" w:right="1115" w:firstLine="0"/>
        <w:rPr>
          <w:sz w:val="24"/>
        </w:rPr>
      </w:pPr>
      <w:r>
        <w:rPr>
          <w:rFonts w:hint="eastAsia"/>
          <w:spacing w:val="-5"/>
          <w:sz w:val="24"/>
          <w:lang w:val="en-US"/>
        </w:rPr>
        <w:t xml:space="preserve">34.1  </w:t>
      </w:r>
      <w:r>
        <w:rPr>
          <w:spacing w:val="-5"/>
          <w:sz w:val="24"/>
        </w:rPr>
        <w:t>采购代理机构工作人员不得以不正当手段获取政府采购代理业务，不得</w:t>
      </w:r>
      <w:r>
        <w:rPr>
          <w:sz w:val="24"/>
        </w:rPr>
        <w:t>与采购人、投标人恶意串通操纵政府采购活动。</w:t>
      </w:r>
    </w:p>
    <w:p>
      <w:pPr>
        <w:pStyle w:val="22"/>
        <w:tabs>
          <w:tab w:val="left" w:pos="1897"/>
          <w:tab w:val="left" w:pos="1898"/>
        </w:tabs>
        <w:spacing w:before="2" w:line="242" w:lineRule="auto"/>
        <w:ind w:left="1057" w:right="1026" w:firstLine="0"/>
        <w:rPr>
          <w:sz w:val="24"/>
        </w:rPr>
      </w:pPr>
      <w:r>
        <w:rPr>
          <w:rFonts w:hint="eastAsia"/>
          <w:spacing w:val="-1"/>
          <w:sz w:val="24"/>
          <w:lang w:val="en-US"/>
        </w:rPr>
        <w:t xml:space="preserve">34.2  </w:t>
      </w:r>
      <w:r>
        <w:rPr>
          <w:spacing w:val="-1"/>
          <w:sz w:val="24"/>
        </w:rPr>
        <w:t>采购代理机构工作人员不得接受采购人或者投标人组织的宴请、旅游、</w:t>
      </w:r>
      <w:r>
        <w:rPr>
          <w:sz w:val="24"/>
        </w:rPr>
        <w:t>娱乐，不得收受礼品、现金、有价证券等，不得向采购人或者投标人报销应当由个人承担的费用。</w:t>
      </w:r>
    </w:p>
    <w:p>
      <w:pPr>
        <w:pStyle w:val="22"/>
        <w:tabs>
          <w:tab w:val="left" w:pos="1897"/>
          <w:tab w:val="left" w:pos="1898"/>
        </w:tabs>
        <w:spacing w:before="5" w:line="242" w:lineRule="auto"/>
        <w:ind w:left="1057" w:right="1115" w:firstLine="0"/>
        <w:rPr>
          <w:sz w:val="24"/>
        </w:rPr>
      </w:pPr>
      <w:r>
        <w:rPr>
          <w:rFonts w:hint="eastAsia"/>
          <w:spacing w:val="-6"/>
          <w:sz w:val="24"/>
          <w:lang w:val="en-US"/>
        </w:rPr>
        <w:t xml:space="preserve">34.3  </w:t>
      </w:r>
      <w:r>
        <w:rPr>
          <w:spacing w:val="-6"/>
          <w:sz w:val="24"/>
        </w:rPr>
        <w:t>为强化采购代理机构内部监督机制，投标人可按</w:t>
      </w:r>
      <w:r>
        <w:rPr>
          <w:spacing w:val="-2"/>
          <w:sz w:val="24"/>
          <w:u w:val="single"/>
        </w:rPr>
        <w:t>投标人须知资料表中的</w:t>
      </w:r>
      <w:r>
        <w:rPr>
          <w:sz w:val="24"/>
        </w:rPr>
        <w:t>监督电话和邮箱，反映采购代理机构的廉洁自律等问题。</w:t>
      </w:r>
    </w:p>
    <w:p>
      <w:pPr>
        <w:pStyle w:val="22"/>
        <w:numPr>
          <w:ilvl w:val="0"/>
          <w:numId w:val="14"/>
        </w:numPr>
        <w:tabs>
          <w:tab w:val="left" w:pos="1420"/>
        </w:tabs>
        <w:spacing w:before="3"/>
        <w:rPr>
          <w:b/>
          <w:sz w:val="24"/>
        </w:rPr>
      </w:pPr>
      <w:bookmarkStart w:id="41" w:name="35.人员回避"/>
      <w:bookmarkEnd w:id="41"/>
      <w:r>
        <w:rPr>
          <w:b/>
          <w:sz w:val="24"/>
        </w:rPr>
        <w:t>人员回避</w:t>
      </w:r>
    </w:p>
    <w:p>
      <w:pPr>
        <w:pStyle w:val="9"/>
        <w:spacing w:before="4" w:line="242" w:lineRule="auto"/>
        <w:ind w:left="1439" w:leftChars="654" w:right="1115"/>
        <w:jc w:val="both"/>
      </w:pPr>
      <w:r>
        <w:t>投标人认为采购人员及其相关人员有法律法规所列与其他投标人有利害关系的，可以向采购人或采购代理机构书面提出回避申请，并说明理由。</w:t>
      </w:r>
    </w:p>
    <w:p>
      <w:pPr>
        <w:pStyle w:val="22"/>
        <w:numPr>
          <w:ilvl w:val="0"/>
          <w:numId w:val="14"/>
        </w:numPr>
        <w:tabs>
          <w:tab w:val="left" w:pos="1421"/>
        </w:tabs>
        <w:spacing w:before="4"/>
        <w:ind w:left="1421" w:hanging="364"/>
        <w:rPr>
          <w:b/>
          <w:sz w:val="24"/>
        </w:rPr>
      </w:pPr>
      <w:bookmarkStart w:id="42" w:name="36.质疑与接收"/>
      <w:bookmarkEnd w:id="42"/>
      <w:r>
        <w:rPr>
          <w:b/>
          <w:sz w:val="24"/>
        </w:rPr>
        <w:t>质疑与接收</w:t>
      </w:r>
    </w:p>
    <w:p>
      <w:pPr>
        <w:pStyle w:val="22"/>
        <w:numPr>
          <w:ilvl w:val="1"/>
          <w:numId w:val="14"/>
        </w:numPr>
        <w:tabs>
          <w:tab w:val="left" w:pos="1919"/>
          <w:tab w:val="left" w:pos="1920"/>
        </w:tabs>
        <w:spacing w:before="5" w:line="242" w:lineRule="auto"/>
        <w:ind w:right="1004" w:hanging="708"/>
        <w:rPr>
          <w:sz w:val="24"/>
        </w:rPr>
      </w:pPr>
      <w:r>
        <w:rPr>
          <w:spacing w:val="-1"/>
          <w:sz w:val="24"/>
        </w:rPr>
        <w:t xml:space="preserve">投标人认为招标文件、招标过程和成交结果使自己的权益受到损害的， </w:t>
      </w:r>
      <w:r>
        <w:rPr>
          <w:spacing w:val="-10"/>
          <w:sz w:val="24"/>
        </w:rPr>
        <w:t>可以根据《中华人民共和国政府采购法》、《中华人民共和国政府采购</w:t>
      </w:r>
      <w:r>
        <w:rPr>
          <w:spacing w:val="-13"/>
          <w:sz w:val="24"/>
        </w:rPr>
        <w:t>法实施条例》和《政府采购质疑和投诉办法》的有关规定，依法向采购人或其委托的采购代理机构提出质疑。</w:t>
      </w:r>
    </w:p>
    <w:p>
      <w:pPr>
        <w:pStyle w:val="22"/>
        <w:numPr>
          <w:ilvl w:val="1"/>
          <w:numId w:val="14"/>
        </w:numPr>
        <w:tabs>
          <w:tab w:val="left" w:pos="1920"/>
        </w:tabs>
        <w:spacing w:before="6" w:line="242" w:lineRule="auto"/>
        <w:ind w:right="1115" w:hanging="708"/>
        <w:jc w:val="both"/>
        <w:rPr>
          <w:sz w:val="24"/>
        </w:rPr>
      </w:pPr>
      <w:r>
        <w:rPr>
          <w:spacing w:val="-7"/>
          <w:sz w:val="24"/>
        </w:rPr>
        <w:t>质疑投标人应按照财政部制定的《政府采购质疑函范本》格式</w:t>
      </w:r>
      <w:r>
        <w:rPr>
          <w:sz w:val="24"/>
        </w:rPr>
        <w:t>（</w:t>
      </w:r>
      <w:r>
        <w:rPr>
          <w:spacing w:val="-6"/>
          <w:sz w:val="24"/>
        </w:rPr>
        <w:t>可从财</w:t>
      </w:r>
      <w:r>
        <w:rPr>
          <w:sz w:val="24"/>
        </w:rPr>
        <w:t>政部官方网站下载</w:t>
      </w:r>
      <w:r>
        <w:rPr>
          <w:spacing w:val="-24"/>
          <w:sz w:val="24"/>
        </w:rPr>
        <w:t>）</w:t>
      </w:r>
      <w:r>
        <w:rPr>
          <w:spacing w:val="-10"/>
          <w:sz w:val="24"/>
        </w:rPr>
        <w:t>和《政府采购质疑和投诉办法》的要求，在法定质</w:t>
      </w:r>
      <w:r>
        <w:rPr>
          <w:spacing w:val="-9"/>
          <w:sz w:val="24"/>
        </w:rPr>
        <w:t>疑期内以纸质形式提出质疑，针对同一采购程序环节的质疑应一次性提</w:t>
      </w:r>
      <w:r>
        <w:rPr>
          <w:sz w:val="24"/>
        </w:rPr>
        <w:t>出。</w:t>
      </w:r>
    </w:p>
    <w:p>
      <w:pPr>
        <w:pStyle w:val="9"/>
        <w:spacing w:before="44" w:line="242" w:lineRule="auto"/>
        <w:ind w:left="1909" w:right="1115" w:hanging="3"/>
      </w:pPr>
      <w:bookmarkStart w:id="43" w:name="附件1：履约保证金保函（格式）"/>
      <w:bookmarkEnd w:id="43"/>
      <w:r>
        <w:rPr>
          <w:spacing w:val="-8"/>
        </w:rPr>
        <w:t>超出法定质疑期的、重复提出的、分次提出的或内容、形式不符合《政</w:t>
      </w:r>
      <w:r>
        <w:t>府采购质疑和投诉办法》的，质疑投标人将依法承担不利后果。</w:t>
      </w:r>
    </w:p>
    <w:p>
      <w:pPr>
        <w:pStyle w:val="22"/>
        <w:numPr>
          <w:ilvl w:val="1"/>
          <w:numId w:val="14"/>
        </w:numPr>
        <w:tabs>
          <w:tab w:val="left" w:pos="1919"/>
          <w:tab w:val="left" w:pos="1920"/>
        </w:tabs>
        <w:spacing w:before="2" w:line="242" w:lineRule="auto"/>
        <w:ind w:right="1115" w:hanging="708"/>
        <w:rPr>
          <w:sz w:val="24"/>
        </w:rPr>
      </w:pPr>
      <w:r>
        <w:rPr>
          <w:spacing w:val="-8"/>
          <w:sz w:val="24"/>
        </w:rPr>
        <w:t>采购代理机构质疑函接收部门、联系电话和通讯地址, 见</w:t>
      </w:r>
      <w:r>
        <w:rPr>
          <w:spacing w:val="-3"/>
          <w:sz w:val="24"/>
          <w:u w:val="single"/>
        </w:rPr>
        <w:t>投标人须知资</w:t>
      </w:r>
      <w:r>
        <w:rPr>
          <w:spacing w:val="-220"/>
          <w:sz w:val="24"/>
          <w:u w:val="single"/>
        </w:rPr>
        <w:t>料</w:t>
      </w:r>
      <w:r>
        <w:rPr>
          <w:sz w:val="24"/>
          <w:u w:val="single"/>
        </w:rPr>
        <w:t>表。</w:t>
      </w:r>
    </w:p>
    <w:p>
      <w:pPr>
        <w:spacing w:line="242" w:lineRule="auto"/>
        <w:rPr>
          <w:sz w:val="24"/>
        </w:rPr>
        <w:sectPr>
          <w:footerReference r:id="rId4" w:type="default"/>
          <w:pgSz w:w="11910" w:h="16840"/>
          <w:pgMar w:top="1180" w:right="800" w:bottom="1180" w:left="740" w:header="0" w:footer="1000" w:gutter="0"/>
          <w:cols w:space="720" w:num="1"/>
        </w:sectPr>
      </w:pPr>
    </w:p>
    <w:p>
      <w:pPr>
        <w:spacing w:before="41"/>
        <w:ind w:left="1057"/>
        <w:rPr>
          <w:b/>
          <w:sz w:val="30"/>
        </w:rPr>
      </w:pPr>
      <w:bookmarkStart w:id="44" w:name="附件2：履约担保函格式"/>
      <w:bookmarkEnd w:id="44"/>
      <w:r>
        <w:rPr>
          <w:b/>
          <w:sz w:val="30"/>
        </w:rPr>
        <w:t>附件1：履约保证金保函（格式）</w:t>
      </w:r>
    </w:p>
    <w:p>
      <w:pPr>
        <w:spacing w:before="122"/>
        <w:ind w:left="592" w:right="57"/>
        <w:jc w:val="center"/>
        <w:rPr>
          <w:b/>
          <w:sz w:val="24"/>
        </w:rPr>
      </w:pPr>
      <w:r>
        <w:rPr>
          <w:b/>
          <w:sz w:val="24"/>
        </w:rPr>
        <w:t>（成交后开具）</w:t>
      </w:r>
    </w:p>
    <w:p>
      <w:pPr>
        <w:pStyle w:val="9"/>
        <w:spacing w:before="7"/>
        <w:rPr>
          <w:b/>
          <w:sz w:val="19"/>
        </w:rPr>
      </w:pPr>
    </w:p>
    <w:p>
      <w:pPr>
        <w:rPr>
          <w:sz w:val="19"/>
        </w:rPr>
        <w:sectPr>
          <w:pgSz w:w="11910" w:h="16840"/>
          <w:pgMar w:top="1300" w:right="800" w:bottom="1180" w:left="740" w:header="0" w:footer="1000" w:gutter="0"/>
          <w:cols w:space="720" w:num="1"/>
        </w:sectPr>
      </w:pPr>
    </w:p>
    <w:p>
      <w:pPr>
        <w:pStyle w:val="9"/>
        <w:spacing w:before="66"/>
        <w:ind w:left="1057"/>
      </w:pPr>
      <w:r>
        <w:t>致: (</w:t>
      </w:r>
      <w:r>
        <w:rPr>
          <w:u w:val="single"/>
        </w:rPr>
        <w:t>买方名称</w:t>
      </w:r>
      <w:r>
        <w:t>)</w:t>
      </w:r>
    </w:p>
    <w:p>
      <w:pPr>
        <w:pStyle w:val="9"/>
        <w:spacing w:before="6"/>
        <w:rPr>
          <w:sz w:val="29"/>
        </w:rPr>
      </w:pPr>
      <w:r>
        <w:br w:type="column"/>
      </w:r>
    </w:p>
    <w:p>
      <w:pPr>
        <w:pStyle w:val="9"/>
        <w:tabs>
          <w:tab w:val="left" w:pos="2583"/>
        </w:tabs>
        <w:spacing w:before="1"/>
        <w:ind w:left="1022"/>
      </w:pPr>
      <w:r>
        <w:rPr>
          <w:rFonts w:ascii="Times New Roman" w:eastAsia="Times New Roman"/>
          <w:u w:val="single"/>
        </w:rPr>
        <w:t xml:space="preserve"> </w:t>
      </w:r>
      <w:r>
        <w:rPr>
          <w:rFonts w:ascii="Times New Roman" w:eastAsia="Times New Roman"/>
          <w:u w:val="single"/>
        </w:rPr>
        <w:tab/>
      </w:r>
      <w:r>
        <w:t>号合同履约保函</w:t>
      </w:r>
    </w:p>
    <w:p>
      <w:pPr>
        <w:sectPr>
          <w:type w:val="continuous"/>
          <w:pgSz w:w="11910" w:h="16840"/>
          <w:pgMar w:top="1580" w:right="800" w:bottom="280" w:left="740" w:header="720" w:footer="720" w:gutter="0"/>
          <w:cols w:equalWidth="0" w:num="2">
            <w:col w:w="2738" w:space="40"/>
            <w:col w:w="7592"/>
          </w:cols>
        </w:sectPr>
      </w:pPr>
    </w:p>
    <w:p>
      <w:pPr>
        <w:pStyle w:val="9"/>
        <w:spacing w:before="11"/>
        <w:rPr>
          <w:sz w:val="18"/>
        </w:rPr>
      </w:pPr>
    </w:p>
    <w:p>
      <w:pPr>
        <w:pStyle w:val="9"/>
        <w:tabs>
          <w:tab w:val="left" w:pos="3522"/>
        </w:tabs>
        <w:spacing w:before="75" w:line="242" w:lineRule="auto"/>
        <w:ind w:left="1057" w:right="1115" w:firstLine="600"/>
        <w:jc w:val="both"/>
      </w:pPr>
      <w:r>
        <w:t>本保函作为贵方与(</w:t>
      </w:r>
      <w:r>
        <w:rPr>
          <w:u w:val="single"/>
        </w:rPr>
        <w:t>卖方名称</w:t>
      </w:r>
      <w:r>
        <w:t>)(以下简称卖方)于</w:t>
      </w:r>
      <w:r>
        <w:rPr>
          <w:u w:val="single"/>
        </w:rPr>
        <w:t xml:space="preserve">   </w:t>
      </w:r>
      <w:r>
        <w:rPr>
          <w:spacing w:val="6"/>
          <w:u w:val="single"/>
        </w:rPr>
        <w:t xml:space="preserve"> </w:t>
      </w:r>
      <w:r>
        <w:t>年</w:t>
      </w:r>
      <w:r>
        <w:rPr>
          <w:u w:val="single"/>
        </w:rPr>
        <w:t xml:space="preserve">    </w:t>
      </w:r>
      <w:r>
        <w:rPr>
          <w:spacing w:val="10"/>
          <w:u w:val="single"/>
        </w:rPr>
        <w:t xml:space="preserve"> </w:t>
      </w:r>
      <w:r>
        <w:t>月</w:t>
      </w:r>
      <w:r>
        <w:rPr>
          <w:u w:val="single"/>
        </w:rPr>
        <w:t xml:space="preserve">    </w:t>
      </w:r>
      <w:r>
        <w:rPr>
          <w:spacing w:val="9"/>
          <w:u w:val="single"/>
        </w:rPr>
        <w:t xml:space="preserve"> </w:t>
      </w:r>
      <w:r>
        <w:rPr>
          <w:spacing w:val="-12"/>
        </w:rPr>
        <w:t>日</w:t>
      </w:r>
      <w:r>
        <w:t>就</w:t>
      </w:r>
      <w:r>
        <w:rPr>
          <w:u w:val="single"/>
        </w:rPr>
        <w:t xml:space="preserve"> </w:t>
      </w:r>
      <w:r>
        <w:rPr>
          <w:u w:val="single"/>
        </w:rPr>
        <w:tab/>
      </w:r>
      <w:r>
        <w:t>项</w:t>
      </w:r>
      <w:r>
        <w:rPr>
          <w:spacing w:val="4"/>
        </w:rPr>
        <w:t>目(</w:t>
      </w:r>
      <w:r>
        <w:t>以</w:t>
      </w:r>
      <w:r>
        <w:rPr>
          <w:spacing w:val="4"/>
        </w:rPr>
        <w:t>下</w:t>
      </w:r>
      <w:r>
        <w:t>简</w:t>
      </w:r>
      <w:r>
        <w:rPr>
          <w:spacing w:val="4"/>
        </w:rPr>
        <w:t>称</w:t>
      </w:r>
      <w:r>
        <w:t>项</w:t>
      </w:r>
      <w:r>
        <w:rPr>
          <w:spacing w:val="4"/>
        </w:rPr>
        <w:t>目</w:t>
      </w:r>
      <w:r>
        <w:t>)项</w:t>
      </w:r>
      <w:r>
        <w:rPr>
          <w:spacing w:val="4"/>
        </w:rPr>
        <w:t>下</w:t>
      </w:r>
      <w:r>
        <w:t>提</w:t>
      </w:r>
      <w:r>
        <w:rPr>
          <w:spacing w:val="4"/>
        </w:rPr>
        <w:t>供</w:t>
      </w:r>
      <w:r>
        <w:t>(</w:t>
      </w:r>
      <w:r>
        <w:rPr>
          <w:u w:val="single"/>
        </w:rPr>
        <w:t>货</w:t>
      </w:r>
      <w:r>
        <w:rPr>
          <w:spacing w:val="4"/>
          <w:u w:val="single"/>
        </w:rPr>
        <w:t>物</w:t>
      </w:r>
      <w:r>
        <w:rPr>
          <w:u w:val="single"/>
        </w:rPr>
        <w:t>名</w:t>
      </w:r>
      <w:r>
        <w:rPr>
          <w:spacing w:val="4"/>
          <w:u w:val="single"/>
        </w:rPr>
        <w:t>称</w:t>
      </w:r>
      <w:r>
        <w:t>)(以</w:t>
      </w:r>
      <w:r>
        <w:rPr>
          <w:spacing w:val="4"/>
        </w:rPr>
        <w:t>下</w:t>
      </w:r>
      <w:r>
        <w:t>简</w:t>
      </w:r>
      <w:r>
        <w:rPr>
          <w:spacing w:val="4"/>
        </w:rPr>
        <w:t>称</w:t>
      </w:r>
      <w:r>
        <w:t>货物)签订的(</w:t>
      </w:r>
      <w:r>
        <w:rPr>
          <w:u w:val="single"/>
        </w:rPr>
        <w:t>合同号</w:t>
      </w:r>
      <w:r>
        <w:t>)号合同的履约保函。</w:t>
      </w:r>
    </w:p>
    <w:p>
      <w:pPr>
        <w:pStyle w:val="9"/>
        <w:spacing w:before="4" w:line="242" w:lineRule="auto"/>
        <w:ind w:left="1057" w:right="1115" w:firstLine="540"/>
        <w:jc w:val="both"/>
      </w:pPr>
      <w:r>
        <w:t>(</w:t>
      </w:r>
      <w:r>
        <w:rPr>
          <w:u w:val="single"/>
        </w:rPr>
        <w:t>出具保函的银行名称</w:t>
      </w:r>
      <w:r>
        <w:rPr>
          <w:spacing w:val="-4"/>
        </w:rPr>
        <w:t>)(以下简称银行)无条件地、不可撤销地具结保证本</w:t>
      </w:r>
      <w:r>
        <w:rPr>
          <w:spacing w:val="1"/>
        </w:rPr>
        <w:t>行、其继承人和受让人无追索地向贵方以(</w:t>
      </w:r>
      <w:r>
        <w:rPr>
          <w:spacing w:val="3"/>
          <w:u w:val="single"/>
        </w:rPr>
        <w:t>货币名称</w:t>
      </w:r>
      <w:r>
        <w:rPr>
          <w:spacing w:val="3"/>
        </w:rPr>
        <w:t>)支付总额不超过(</w:t>
      </w:r>
      <w:r>
        <w:rPr>
          <w:spacing w:val="2"/>
          <w:u w:val="single"/>
        </w:rPr>
        <w:t>货币数</w:t>
      </w:r>
      <w:r>
        <w:rPr>
          <w:spacing w:val="-232"/>
          <w:u w:val="single"/>
        </w:rPr>
        <w:t>量</w:t>
      </w:r>
      <w:r>
        <w:t>),即相当于合同价格的</w:t>
      </w:r>
      <w:r>
        <w:rPr>
          <w:spacing w:val="119"/>
          <w:u w:val="single"/>
        </w:rPr>
        <w:t xml:space="preserve"> </w:t>
      </w:r>
      <w:r>
        <w:t>%,并以此约定如下:</w:t>
      </w:r>
    </w:p>
    <w:p>
      <w:pPr>
        <w:pStyle w:val="22"/>
        <w:numPr>
          <w:ilvl w:val="2"/>
          <w:numId w:val="14"/>
        </w:numPr>
        <w:tabs>
          <w:tab w:val="left" w:pos="1845"/>
        </w:tabs>
        <w:spacing w:before="4" w:line="242" w:lineRule="auto"/>
        <w:ind w:right="1115" w:firstLine="0"/>
        <w:jc w:val="both"/>
        <w:rPr>
          <w:sz w:val="24"/>
        </w:rPr>
      </w:pPr>
      <w:r>
        <w:rPr>
          <w:spacing w:val="4"/>
          <w:sz w:val="24"/>
        </w:rPr>
        <w:t>只要贵方确定卖方未能忠实地履行所有合同文件的规定和双方此后一</w:t>
      </w:r>
      <w:r>
        <w:rPr>
          <w:sz w:val="24"/>
        </w:rPr>
        <w:t>致 同意的修改、补充和变动,包括更改和/或修补贵方认为有缺陷的货物</w:t>
      </w:r>
      <w:r>
        <w:rPr>
          <w:spacing w:val="2"/>
          <w:sz w:val="24"/>
        </w:rPr>
        <w:t>(以下简称违约),无论卖方有任何反对,本行将凭贵方关于卖方违约说明</w:t>
      </w:r>
      <w:r>
        <w:rPr>
          <w:sz w:val="24"/>
        </w:rPr>
        <w:t>的书面通知,立即按贵方提出的累计总额不超过上述金额的款项和按贵方通知规定的方式付给贵方。</w:t>
      </w:r>
    </w:p>
    <w:p>
      <w:pPr>
        <w:pStyle w:val="22"/>
        <w:numPr>
          <w:ilvl w:val="2"/>
          <w:numId w:val="14"/>
        </w:numPr>
        <w:tabs>
          <w:tab w:val="left" w:pos="1839"/>
        </w:tabs>
        <w:spacing w:before="7" w:line="242" w:lineRule="auto"/>
        <w:ind w:right="995" w:firstLine="0"/>
        <w:rPr>
          <w:sz w:val="24"/>
        </w:rPr>
      </w:pPr>
      <w:r>
        <w:rPr>
          <w:spacing w:val="-9"/>
          <w:sz w:val="24"/>
        </w:rPr>
        <w:t>本保函项下的任何支付应为免税和净值。对于现有或将来的税收、关税、</w:t>
      </w:r>
      <w:r>
        <w:rPr>
          <w:spacing w:val="-5"/>
          <w:sz w:val="24"/>
        </w:rPr>
        <w:t>收费、费用扣减或预提税款，不论这些款项是何种性质和由谁征收，都不应从本保函项下的支付中扣除。</w:t>
      </w:r>
    </w:p>
    <w:p>
      <w:pPr>
        <w:pStyle w:val="22"/>
        <w:numPr>
          <w:ilvl w:val="2"/>
          <w:numId w:val="14"/>
        </w:numPr>
        <w:tabs>
          <w:tab w:val="left" w:pos="1839"/>
        </w:tabs>
        <w:spacing w:before="4" w:line="242" w:lineRule="auto"/>
        <w:ind w:right="1115" w:firstLine="0"/>
        <w:jc w:val="both"/>
        <w:rPr>
          <w:sz w:val="24"/>
        </w:rPr>
      </w:pPr>
      <w:r>
        <w:rPr>
          <w:spacing w:val="-3"/>
          <w:sz w:val="24"/>
        </w:rPr>
        <w:t>本保函的条款构成本行无条件的、不可撤销的直接责任。对即将履行的</w:t>
      </w:r>
      <w:r>
        <w:rPr>
          <w:spacing w:val="-4"/>
          <w:sz w:val="24"/>
        </w:rPr>
        <w:t>合同条款的任何变更、贵方在时间上的宽限、或由贵方采取的如果没有本</w:t>
      </w:r>
      <w:r>
        <w:rPr>
          <w:spacing w:val="-3"/>
          <w:sz w:val="24"/>
        </w:rPr>
        <w:t>款可能免除本行责任的任何其它行为，均不能解除或免除本行在本保函项</w:t>
      </w:r>
      <w:r>
        <w:rPr>
          <w:sz w:val="24"/>
        </w:rPr>
        <w:t>下的责任。</w:t>
      </w:r>
    </w:p>
    <w:p>
      <w:pPr>
        <w:pStyle w:val="22"/>
        <w:numPr>
          <w:ilvl w:val="2"/>
          <w:numId w:val="14"/>
        </w:numPr>
        <w:tabs>
          <w:tab w:val="left" w:pos="1839"/>
        </w:tabs>
        <w:spacing w:before="6"/>
        <w:ind w:left="1838" w:hanging="242"/>
        <w:rPr>
          <w:sz w:val="24"/>
        </w:rPr>
      </w:pPr>
      <w:r>
        <w:rPr>
          <w:sz w:val="24"/>
        </w:rPr>
        <w:t>本保函在本合同规定的保证期期满前完全有效。</w:t>
      </w:r>
    </w:p>
    <w:p>
      <w:pPr>
        <w:pStyle w:val="9"/>
        <w:spacing w:before="9"/>
      </w:pPr>
    </w:p>
    <w:p>
      <w:pPr>
        <w:pStyle w:val="9"/>
        <w:ind w:left="1597"/>
      </w:pPr>
      <w:r>
        <w:t>谨启</w:t>
      </w:r>
    </w:p>
    <w:p>
      <w:pPr>
        <w:pStyle w:val="9"/>
        <w:tabs>
          <w:tab w:val="left" w:pos="7296"/>
        </w:tabs>
        <w:spacing w:before="5" w:line="242" w:lineRule="auto"/>
        <w:ind w:left="1597" w:right="3067"/>
        <w:jc w:val="both"/>
        <w:rPr>
          <w:rFonts w:ascii="Times New Roman" w:eastAsia="Times New Roman"/>
        </w:rPr>
      </w:pPr>
      <w:r>
        <w:rPr>
          <w:spacing w:val="-1"/>
        </w:rPr>
        <w:t>出</w:t>
      </w:r>
      <w:r>
        <w:t>具保函银行名称：</w:t>
      </w:r>
      <w:r>
        <w:rPr>
          <w:rFonts w:ascii="Times New Roman" w:eastAsia="Times New Roman"/>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27"/>
          <w:u w:val="single"/>
        </w:rPr>
        <w:t xml:space="preserve"> </w:t>
      </w:r>
      <w:r>
        <w:rPr>
          <w:spacing w:val="-1"/>
        </w:rPr>
        <w:t>签</w:t>
      </w:r>
      <w:r>
        <w:t>字人姓名和职务：</w:t>
      </w:r>
      <w:r>
        <w:rPr>
          <w:rFonts w:ascii="Times New Roman" w:eastAsia="Times New Roman"/>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27"/>
          <w:u w:val="single"/>
        </w:rPr>
        <w:t xml:space="preserve"> </w:t>
      </w:r>
      <w:r>
        <w:rPr>
          <w:spacing w:val="-1"/>
        </w:rPr>
        <w:t>签</w:t>
      </w:r>
      <w:r>
        <w:t>字人签名：</w:t>
      </w:r>
      <w:r>
        <w:rPr>
          <w:rFonts w:ascii="Times New Roman" w:eastAsia="Times New Roman"/>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33"/>
          <w:u w:val="single"/>
        </w:rPr>
        <w:t xml:space="preserve"> </w:t>
      </w:r>
      <w:r>
        <w:rPr>
          <w:spacing w:val="-1"/>
        </w:rPr>
        <w:t>公</w:t>
      </w:r>
      <w:r>
        <w:t>章：</w:t>
      </w:r>
      <w:r>
        <w:rPr>
          <w:rFonts w:ascii="Times New Roman" w:eastAsia="Times New Roman"/>
          <w:u w:val="single"/>
        </w:rPr>
        <w:t xml:space="preserve"> </w:t>
      </w:r>
      <w:r>
        <w:rPr>
          <w:rFonts w:ascii="Times New Roman" w:eastAsia="Times New Roman"/>
          <w:u w:val="single"/>
        </w:rPr>
        <w:tab/>
      </w:r>
    </w:p>
    <w:p>
      <w:pPr>
        <w:spacing w:line="242" w:lineRule="auto"/>
        <w:jc w:val="both"/>
        <w:rPr>
          <w:rFonts w:ascii="Times New Roman" w:eastAsia="Times New Roman"/>
        </w:rPr>
        <w:sectPr>
          <w:type w:val="continuous"/>
          <w:pgSz w:w="11910" w:h="16840"/>
          <w:pgMar w:top="1580" w:right="800" w:bottom="280" w:left="740" w:header="720" w:footer="720" w:gutter="0"/>
          <w:cols w:space="720" w:num="1"/>
        </w:sectPr>
      </w:pPr>
    </w:p>
    <w:p>
      <w:pPr>
        <w:spacing w:before="41"/>
        <w:ind w:left="654" w:right="57"/>
        <w:jc w:val="center"/>
        <w:rPr>
          <w:b/>
          <w:sz w:val="30"/>
        </w:rPr>
      </w:pPr>
      <w:r>
        <w:rPr>
          <w:b/>
          <w:sz w:val="30"/>
        </w:rPr>
        <w:t>附件2：履约担保函格式</w:t>
      </w:r>
    </w:p>
    <w:p>
      <w:pPr>
        <w:spacing w:before="240"/>
        <w:ind w:left="657" w:right="57"/>
        <w:jc w:val="center"/>
        <w:rPr>
          <w:b/>
          <w:sz w:val="30"/>
        </w:rPr>
      </w:pPr>
      <w:bookmarkStart w:id="45" w:name="（采用政府采购信用担保形式时使用）"/>
      <w:bookmarkEnd w:id="45"/>
      <w:r>
        <w:rPr>
          <w:b/>
          <w:sz w:val="30"/>
        </w:rPr>
        <w:t>（采用政府采购信用担保形式时使用）</w:t>
      </w:r>
    </w:p>
    <w:p>
      <w:pPr>
        <w:pStyle w:val="9"/>
        <w:spacing w:before="9"/>
        <w:rPr>
          <w:b/>
          <w:sz w:val="28"/>
        </w:rPr>
      </w:pPr>
    </w:p>
    <w:p>
      <w:pPr>
        <w:pStyle w:val="9"/>
        <w:spacing w:before="66"/>
        <w:ind w:left="1076" w:right="1137"/>
        <w:jc w:val="center"/>
      </w:pPr>
      <w:r>
        <w:t>政府采购履约担保函（项目用）</w:t>
      </w:r>
    </w:p>
    <w:p>
      <w:pPr>
        <w:pStyle w:val="9"/>
        <w:spacing w:before="4"/>
        <w:ind w:left="4766" w:right="57"/>
        <w:jc w:val="center"/>
      </w:pPr>
      <w:r>
        <w:t>编号：</w:t>
      </w:r>
    </w:p>
    <w:p>
      <w:pPr>
        <w:pStyle w:val="9"/>
        <w:spacing w:before="12"/>
        <w:rPr>
          <w:sz w:val="18"/>
        </w:rPr>
      </w:pPr>
    </w:p>
    <w:p>
      <w:pPr>
        <w:pStyle w:val="9"/>
        <w:tabs>
          <w:tab w:val="left" w:pos="3217"/>
        </w:tabs>
        <w:spacing w:before="74"/>
        <w:ind w:left="1056"/>
      </w:pPr>
      <w:r>
        <w:rPr>
          <w:rFonts w:ascii="Times New Roman" w:eastAsia="Times New Roman"/>
          <w:u w:val="single"/>
        </w:rPr>
        <w:t xml:space="preserve"> </w:t>
      </w:r>
      <w:r>
        <w:rPr>
          <w:rFonts w:ascii="Times New Roman" w:eastAsia="Times New Roman"/>
          <w:u w:val="single"/>
        </w:rPr>
        <w:tab/>
      </w:r>
      <w:r>
        <w:t>（采购人）：</w:t>
      </w:r>
    </w:p>
    <w:p>
      <w:pPr>
        <w:pStyle w:val="9"/>
        <w:spacing w:before="9"/>
      </w:pPr>
    </w:p>
    <w:p>
      <w:pPr>
        <w:pStyle w:val="9"/>
        <w:tabs>
          <w:tab w:val="left" w:pos="4191"/>
          <w:tab w:val="left" w:pos="5091"/>
        </w:tabs>
        <w:spacing w:line="242" w:lineRule="auto"/>
        <w:ind w:left="1057" w:right="1115" w:firstLine="480"/>
        <w:jc w:val="both"/>
      </w:pPr>
      <w:r>
        <w:t>鉴于你方与</w:t>
      </w:r>
      <w:r>
        <w:rPr>
          <w:u w:val="single"/>
        </w:rPr>
        <w:t xml:space="preserve"> </w:t>
      </w:r>
      <w:r>
        <w:rPr>
          <w:u w:val="single"/>
        </w:rPr>
        <w:tab/>
      </w:r>
      <w:r>
        <w:rPr>
          <w:u w:val="single"/>
        </w:rPr>
        <w:tab/>
      </w:r>
      <w:r>
        <w:rPr>
          <w:u w:val="single"/>
        </w:rPr>
        <w:t>（</w:t>
      </w:r>
      <w:r>
        <w:t>以下简称投标人</w:t>
      </w:r>
      <w:r>
        <w:rPr>
          <w:spacing w:val="-44"/>
        </w:rPr>
        <w:t>）</w:t>
      </w:r>
      <w:r>
        <w:t>于</w:t>
      </w:r>
      <w:r>
        <w:rPr>
          <w:spacing w:val="118"/>
          <w:u w:val="single"/>
        </w:rPr>
        <w:t xml:space="preserve"> </w:t>
      </w:r>
      <w:r>
        <w:t>年</w:t>
      </w:r>
      <w:r>
        <w:rPr>
          <w:spacing w:val="119"/>
          <w:u w:val="single"/>
        </w:rPr>
        <w:t xml:space="preserve"> </w:t>
      </w:r>
      <w:r>
        <w:t>月</w:t>
      </w:r>
      <w:r>
        <w:rPr>
          <w:u w:val="single"/>
        </w:rPr>
        <w:t xml:space="preserve">  </w:t>
      </w:r>
      <w:r>
        <w:t>日</w:t>
      </w:r>
      <w:r>
        <w:rPr>
          <w:spacing w:val="-13"/>
        </w:rPr>
        <w:t>签</w:t>
      </w:r>
      <w:r>
        <w:t xml:space="preserve">定编号为  </w:t>
      </w:r>
      <w:r>
        <w:rPr>
          <w:spacing w:val="2"/>
        </w:rPr>
        <w:t xml:space="preserve"> </w:t>
      </w:r>
      <w:r>
        <w:t>的《</w:t>
      </w:r>
      <w:r>
        <w:rPr>
          <w:u w:val="single"/>
        </w:rPr>
        <w:t xml:space="preserve"> </w:t>
      </w:r>
      <w:r>
        <w:rPr>
          <w:u w:val="single"/>
        </w:rPr>
        <w:tab/>
      </w:r>
      <w:r>
        <w:t>政府采购合同》（以下简称主合同），且依据</w:t>
      </w:r>
      <w:r>
        <w:rPr>
          <w:spacing w:val="-12"/>
        </w:rPr>
        <w:t>该</w:t>
      </w:r>
      <w:r>
        <w:t>合同的约定，投标人应在</w:t>
      </w:r>
      <w:r>
        <w:rPr>
          <w:spacing w:val="119"/>
          <w:u w:val="single"/>
        </w:rPr>
        <w:t xml:space="preserve"> </w:t>
      </w:r>
      <w:r>
        <w:t>年</w:t>
      </w:r>
    </w:p>
    <w:p>
      <w:pPr>
        <w:pStyle w:val="9"/>
        <w:tabs>
          <w:tab w:val="left" w:pos="1537"/>
          <w:tab w:val="left" w:pos="2137"/>
        </w:tabs>
        <w:spacing w:before="5" w:line="242" w:lineRule="auto"/>
        <w:ind w:left="1057" w:right="1115" w:hanging="1"/>
      </w:pPr>
      <w:r>
        <w:rPr>
          <w:rFonts w:ascii="Times New Roman" w:eastAsia="Times New Roman"/>
          <w:u w:val="single"/>
        </w:rPr>
        <w:t xml:space="preserve"> </w:t>
      </w:r>
      <w:r>
        <w:rPr>
          <w:rFonts w:ascii="Times New Roman" w:eastAsia="Times New Roman"/>
          <w:u w:val="single"/>
        </w:rPr>
        <w:tab/>
      </w:r>
      <w:r>
        <w:t>月</w:t>
      </w:r>
      <w:r>
        <w:rPr>
          <w:u w:val="single"/>
        </w:rPr>
        <w:t xml:space="preserve"> </w:t>
      </w:r>
      <w:r>
        <w:rPr>
          <w:u w:val="single"/>
        </w:rPr>
        <w:tab/>
      </w:r>
      <w:r>
        <w:t>日前向你方交纳履约保证金</w:t>
      </w:r>
      <w:r>
        <w:rPr>
          <w:spacing w:val="-89"/>
        </w:rPr>
        <w:t>，</w:t>
      </w:r>
      <w:r>
        <w:t>且可以履约担保函的形式交纳履约保</w:t>
      </w:r>
      <w:r>
        <w:rPr>
          <w:spacing w:val="-17"/>
        </w:rPr>
        <w:t>证</w:t>
      </w:r>
      <w:r>
        <w:t>金。应投标人的申请，我方以保证的方式向你方提供如下履约保证金担保：</w:t>
      </w:r>
    </w:p>
    <w:p>
      <w:pPr>
        <w:pStyle w:val="9"/>
        <w:spacing w:before="3"/>
        <w:ind w:left="1537"/>
      </w:pPr>
      <w:r>
        <w:t>一、保证责任的情形及保证金额</w:t>
      </w:r>
    </w:p>
    <w:p>
      <w:pPr>
        <w:pStyle w:val="9"/>
        <w:spacing w:before="4"/>
        <w:ind w:left="1537"/>
      </w:pPr>
      <w:r>
        <w:t>（一）在投标人出现下列情形之一时，我方承担保证责任：</w:t>
      </w:r>
    </w:p>
    <w:p>
      <w:pPr>
        <w:pStyle w:val="22"/>
        <w:numPr>
          <w:ilvl w:val="0"/>
          <w:numId w:val="15"/>
        </w:numPr>
        <w:tabs>
          <w:tab w:val="left" w:pos="1899"/>
        </w:tabs>
        <w:spacing w:before="5" w:line="242" w:lineRule="auto"/>
        <w:ind w:right="1115" w:firstLine="480"/>
        <w:rPr>
          <w:sz w:val="24"/>
        </w:rPr>
      </w:pPr>
      <w:r>
        <w:rPr>
          <w:spacing w:val="-5"/>
          <w:sz w:val="24"/>
        </w:rPr>
        <w:t>将中标项目转让给他人，或者在投标文件中未说明，且未经采购招标</w:t>
      </w:r>
      <w:r>
        <w:rPr>
          <w:spacing w:val="-4"/>
          <w:sz w:val="24"/>
        </w:rPr>
        <w:t>机构人同意，将中标项目分包给他人的；</w:t>
      </w:r>
    </w:p>
    <w:p>
      <w:pPr>
        <w:pStyle w:val="22"/>
        <w:numPr>
          <w:ilvl w:val="0"/>
          <w:numId w:val="15"/>
        </w:numPr>
        <w:tabs>
          <w:tab w:val="left" w:pos="1899"/>
        </w:tabs>
        <w:spacing w:before="2"/>
        <w:ind w:left="1898" w:hanging="362"/>
        <w:rPr>
          <w:sz w:val="24"/>
        </w:rPr>
      </w:pPr>
      <w:r>
        <w:rPr>
          <w:sz w:val="24"/>
        </w:rPr>
        <w:t>主合同约定的应当缴纳履约保证金的情形:</w:t>
      </w:r>
    </w:p>
    <w:p>
      <w:pPr>
        <w:ind w:firstLine="1200" w:firstLineChars="500"/>
        <w:rPr>
          <w:sz w:val="24"/>
        </w:rPr>
      </w:pPr>
      <w:r>
        <w:rPr>
          <w:rFonts w:hint="eastAsia"/>
          <w:sz w:val="24"/>
        </w:rPr>
        <w:t>（1）未按主合同约定的质量、数量和期限供应货物/提供服务/完成工程的；</w:t>
      </w:r>
    </w:p>
    <w:p>
      <w:pPr>
        <w:ind w:firstLine="1200" w:firstLineChars="500"/>
        <w:rPr>
          <w:sz w:val="24"/>
        </w:rPr>
      </w:pPr>
      <w:r>
        <w:rPr>
          <w:rFonts w:hint="eastAsia"/>
          <w:sz w:val="24"/>
        </w:rPr>
        <w:t>（2）</w:t>
      </w:r>
      <w:r>
        <w:rPr>
          <w:rFonts w:hint="eastAsia"/>
          <w:sz w:val="24"/>
          <w:u w:val="single"/>
        </w:rPr>
        <w:t xml:space="preserve">                                                           </w:t>
      </w:r>
      <w:r>
        <w:rPr>
          <w:rFonts w:hint="eastAsia"/>
          <w:sz w:val="24"/>
        </w:rPr>
        <w:t>。</w:t>
      </w:r>
    </w:p>
    <w:p>
      <w:pPr>
        <w:pStyle w:val="9"/>
        <w:tabs>
          <w:tab w:val="left" w:pos="3337"/>
          <w:tab w:val="left" w:pos="5497"/>
          <w:tab w:val="left" w:pos="8394"/>
        </w:tabs>
        <w:spacing w:before="5" w:line="242" w:lineRule="auto"/>
        <w:ind w:left="1057" w:right="1115" w:firstLine="480"/>
      </w:pPr>
      <w:r>
        <w:rPr>
          <w:spacing w:val="4"/>
        </w:rPr>
        <w:t>（二</w:t>
      </w:r>
      <w:r>
        <w:t>）</w:t>
      </w:r>
      <w:r>
        <w:rPr>
          <w:spacing w:val="4"/>
        </w:rPr>
        <w:t>我方的保</w:t>
      </w:r>
      <w:r>
        <w:t>证</w:t>
      </w:r>
      <w:r>
        <w:rPr>
          <w:spacing w:val="4"/>
        </w:rPr>
        <w:t>范围是主</w:t>
      </w:r>
      <w:r>
        <w:t>合</w:t>
      </w:r>
      <w:r>
        <w:rPr>
          <w:spacing w:val="4"/>
        </w:rPr>
        <w:t>同约定的</w:t>
      </w:r>
      <w:r>
        <w:t>合</w:t>
      </w:r>
      <w:r>
        <w:rPr>
          <w:spacing w:val="4"/>
        </w:rPr>
        <w:t>同价款总</w:t>
      </w:r>
      <w:r>
        <w:t>额</w:t>
      </w:r>
      <w:r>
        <w:rPr>
          <w:spacing w:val="4"/>
        </w:rPr>
        <w:t>的</w:t>
      </w:r>
      <w:r>
        <w:rPr>
          <w:spacing w:val="4"/>
          <w:u w:val="single"/>
        </w:rPr>
        <w:t xml:space="preserve"> </w:t>
      </w:r>
      <w:r>
        <w:rPr>
          <w:spacing w:val="4"/>
          <w:u w:val="single"/>
        </w:rPr>
        <w:tab/>
      </w:r>
      <w:r>
        <w:rPr>
          <w:spacing w:val="4"/>
        </w:rPr>
        <w:t>%数额</w:t>
      </w:r>
      <w:r>
        <w:rPr>
          <w:spacing w:val="-15"/>
        </w:rPr>
        <w:t>为</w:t>
      </w:r>
      <w:r>
        <w:t>元（大写</w:t>
      </w:r>
      <w:r>
        <w:rPr>
          <w:u w:val="single"/>
        </w:rPr>
        <w:t xml:space="preserve"> </w:t>
      </w:r>
      <w:r>
        <w:rPr>
          <w:u w:val="single"/>
        </w:rPr>
        <w:tab/>
      </w:r>
      <w:r>
        <w:t>），币种为</w:t>
      </w:r>
      <w:r>
        <w:rPr>
          <w:u w:val="single"/>
        </w:rPr>
        <w:t xml:space="preserve"> </w:t>
      </w:r>
      <w:r>
        <w:rPr>
          <w:u w:val="single"/>
        </w:rPr>
        <w:tab/>
      </w:r>
      <w:r>
        <w:t>。（即主合同履约保证金金额）</w:t>
      </w:r>
    </w:p>
    <w:p>
      <w:pPr>
        <w:pStyle w:val="9"/>
        <w:spacing w:before="3"/>
        <w:ind w:left="1537"/>
      </w:pPr>
      <w:r>
        <w:t>二、保证的方式及保证期间</w:t>
      </w:r>
    </w:p>
    <w:p>
      <w:pPr>
        <w:pStyle w:val="9"/>
        <w:spacing w:before="4"/>
        <w:ind w:left="1537"/>
      </w:pPr>
      <w:r>
        <w:t>我方保证的方式为：连带责任保证。</w:t>
      </w:r>
    </w:p>
    <w:p>
      <w:pPr>
        <w:pStyle w:val="9"/>
        <w:tabs>
          <w:tab w:val="left" w:pos="3337"/>
        </w:tabs>
        <w:spacing w:before="5" w:line="242" w:lineRule="auto"/>
        <w:ind w:left="1057" w:right="1115" w:firstLine="480"/>
      </w:pPr>
      <w:r>
        <w:t>我方保证的期间为</w:t>
      </w:r>
      <w:r>
        <w:rPr>
          <w:spacing w:val="-89"/>
        </w:rPr>
        <w:t>：</w:t>
      </w:r>
      <w:r>
        <w:t>自本合同生效之日起至投标人按照主合同约定的供货</w:t>
      </w:r>
      <w:r>
        <w:rPr>
          <w:spacing w:val="-17"/>
        </w:rPr>
        <w:t xml:space="preserve">/ </w:t>
      </w:r>
      <w:r>
        <w:t>完工期限届满后</w:t>
      </w:r>
      <w:r>
        <w:rPr>
          <w:u w:val="single"/>
        </w:rPr>
        <w:t xml:space="preserve"> </w:t>
      </w:r>
      <w:r>
        <w:rPr>
          <w:u w:val="single"/>
        </w:rPr>
        <w:tab/>
      </w:r>
      <w:r>
        <w:t>日内。</w:t>
      </w:r>
    </w:p>
    <w:p>
      <w:pPr>
        <w:pStyle w:val="9"/>
        <w:spacing w:before="3" w:line="242" w:lineRule="auto"/>
        <w:ind w:left="1057" w:right="1115" w:firstLine="480"/>
      </w:pPr>
      <w:r>
        <w:t>如果投标人未按主合同约定向贵方供应货物/提供服务/完成工程的，由我方在保证金额内向你方支付上述款项。</w:t>
      </w:r>
    </w:p>
    <w:p>
      <w:pPr>
        <w:pStyle w:val="9"/>
        <w:spacing w:before="2"/>
        <w:ind w:left="1537"/>
      </w:pPr>
      <w:r>
        <w:t>三、承担保证责任的程序</w:t>
      </w:r>
    </w:p>
    <w:p>
      <w:pPr>
        <w:pStyle w:val="22"/>
        <w:numPr>
          <w:ilvl w:val="0"/>
          <w:numId w:val="16"/>
        </w:numPr>
        <w:tabs>
          <w:tab w:val="left" w:pos="1899"/>
        </w:tabs>
        <w:spacing w:before="5" w:line="242" w:lineRule="auto"/>
        <w:ind w:right="1115" w:firstLine="480"/>
        <w:jc w:val="both"/>
        <w:rPr>
          <w:sz w:val="24"/>
        </w:rPr>
      </w:pPr>
      <w:r>
        <w:rPr>
          <w:spacing w:val="-4"/>
          <w:sz w:val="24"/>
        </w:rPr>
        <w:t>你方要求我方承担保证责任的，应在本保函保证期间内向我方发出书面索赔通知。索赔通知应写明要求索赔的金额，支付款项应到达的帐号。并附</w:t>
      </w:r>
      <w:r>
        <w:rPr>
          <w:spacing w:val="-3"/>
          <w:sz w:val="24"/>
        </w:rPr>
        <w:t>有证明投标人违约事实的证明材料。</w:t>
      </w:r>
    </w:p>
    <w:p>
      <w:pPr>
        <w:pStyle w:val="9"/>
        <w:spacing w:before="4" w:line="242" w:lineRule="auto"/>
        <w:ind w:left="1057" w:right="1115" w:firstLine="480"/>
        <w:jc w:val="both"/>
      </w:pPr>
      <w:r>
        <w:t>如果你方与投标人因货物质量问题产生争议， 你方还需同时提供部门出具的质量检测报告，或经诉讼（仲裁）程序裁决后的裁决书、调解书， 本保证人即按照检测结果或裁决书、调解书决定是否承担保证责任。</w:t>
      </w:r>
    </w:p>
    <w:p>
      <w:pPr>
        <w:pStyle w:val="22"/>
        <w:numPr>
          <w:ilvl w:val="0"/>
          <w:numId w:val="16"/>
        </w:numPr>
        <w:tabs>
          <w:tab w:val="left" w:pos="1972"/>
        </w:tabs>
        <w:spacing w:before="4" w:line="242" w:lineRule="auto"/>
        <w:ind w:right="1115" w:firstLine="480"/>
        <w:jc w:val="both"/>
        <w:rPr>
          <w:sz w:val="24"/>
        </w:rPr>
      </w:pPr>
      <w:r>
        <w:rPr>
          <w:spacing w:val="-3"/>
          <w:sz w:val="24"/>
        </w:rPr>
        <w:t>我方收到你方的书面索赔通知及相应证明材料，在</w:t>
      </w:r>
      <w:r>
        <w:rPr>
          <w:sz w:val="24"/>
          <w:u w:val="single"/>
        </w:rPr>
        <w:t xml:space="preserve">  </w:t>
      </w:r>
      <w:r>
        <w:rPr>
          <w:spacing w:val="14"/>
          <w:sz w:val="24"/>
        </w:rPr>
        <w:t xml:space="preserve"> 工作日内进行</w:t>
      </w:r>
      <w:r>
        <w:rPr>
          <w:sz w:val="24"/>
        </w:rPr>
        <w:t>核定后按照本保函的承诺承担保证责任。</w:t>
      </w:r>
    </w:p>
    <w:p>
      <w:pPr>
        <w:pStyle w:val="9"/>
        <w:spacing w:before="3"/>
        <w:ind w:left="1537"/>
      </w:pPr>
      <w:r>
        <w:t>四、保证责任的终止</w:t>
      </w:r>
    </w:p>
    <w:p>
      <w:pPr>
        <w:pStyle w:val="22"/>
        <w:numPr>
          <w:ilvl w:val="0"/>
          <w:numId w:val="17"/>
        </w:numPr>
        <w:tabs>
          <w:tab w:val="left" w:pos="1899"/>
        </w:tabs>
        <w:spacing w:before="5" w:line="242" w:lineRule="auto"/>
        <w:ind w:right="1115" w:firstLine="480"/>
        <w:jc w:val="both"/>
        <w:rPr>
          <w:sz w:val="24"/>
        </w:rPr>
      </w:pPr>
      <w:r>
        <w:rPr>
          <w:spacing w:val="-2"/>
          <w:sz w:val="24"/>
        </w:rPr>
        <w:t>保证期间届满你方未向我方书面主张保证责任的，自保证期间届满次</w:t>
      </w:r>
      <w:r>
        <w:rPr>
          <w:spacing w:val="-4"/>
          <w:sz w:val="24"/>
        </w:rPr>
        <w:t>日起，我方保证责任自动终止。保证期间届满前，主合同约定的货物</w:t>
      </w:r>
      <w:r>
        <w:rPr>
          <w:sz w:val="24"/>
        </w:rPr>
        <w:t>\工程\服</w:t>
      </w:r>
      <w:r>
        <w:rPr>
          <w:spacing w:val="-3"/>
          <w:sz w:val="24"/>
        </w:rPr>
        <w:t>务全部验收合格的，自验收合格日起，我方保证责任自动终止。</w:t>
      </w:r>
    </w:p>
    <w:p>
      <w:pPr>
        <w:pStyle w:val="22"/>
        <w:numPr>
          <w:ilvl w:val="0"/>
          <w:numId w:val="17"/>
        </w:numPr>
        <w:tabs>
          <w:tab w:val="left" w:pos="1899"/>
        </w:tabs>
        <w:spacing w:before="4" w:line="242" w:lineRule="auto"/>
        <w:ind w:right="1115" w:firstLine="480"/>
        <w:rPr>
          <w:sz w:val="24"/>
        </w:rPr>
      </w:pPr>
      <w:r>
        <w:rPr>
          <w:spacing w:val="-3"/>
          <w:sz w:val="24"/>
        </w:rPr>
        <w:t>我方按照本保函向你方履行了保证责任后，自我方向你方支付款项</w:t>
      </w:r>
      <w:r>
        <w:rPr>
          <w:sz w:val="24"/>
        </w:rPr>
        <w:t xml:space="preserve">（ </w:t>
      </w:r>
      <w:r>
        <w:rPr>
          <w:spacing w:val="-4"/>
          <w:sz w:val="24"/>
        </w:rPr>
        <w:t>支付款项从我方账户划出</w:t>
      </w:r>
      <w:r>
        <w:rPr>
          <w:sz w:val="24"/>
        </w:rPr>
        <w:t>）之日起，保证责任即终止。</w:t>
      </w:r>
    </w:p>
    <w:p>
      <w:pPr>
        <w:spacing w:line="242" w:lineRule="auto"/>
        <w:rPr>
          <w:sz w:val="24"/>
        </w:rPr>
        <w:sectPr>
          <w:pgSz w:w="11910" w:h="16840"/>
          <w:pgMar w:top="1300" w:right="800" w:bottom="1180" w:left="740" w:header="0" w:footer="1000" w:gutter="0"/>
          <w:cols w:space="720" w:num="1"/>
        </w:sectPr>
      </w:pPr>
    </w:p>
    <w:p>
      <w:pPr>
        <w:pStyle w:val="22"/>
        <w:numPr>
          <w:ilvl w:val="0"/>
          <w:numId w:val="17"/>
        </w:numPr>
        <w:tabs>
          <w:tab w:val="left" w:pos="1899"/>
        </w:tabs>
        <w:spacing w:before="44" w:line="242" w:lineRule="auto"/>
        <w:ind w:right="1115" w:firstLine="480"/>
        <w:rPr>
          <w:sz w:val="24"/>
        </w:rPr>
      </w:pPr>
      <w:bookmarkStart w:id="46" w:name="第2章投标文件格式________正本/副本"/>
      <w:bookmarkEnd w:id="46"/>
      <w:r>
        <w:rPr>
          <w:spacing w:val="-2"/>
          <w:sz w:val="24"/>
        </w:rPr>
        <w:t>按照法律法规的规定或出现应终止我方保证责任的其它情形的，我方</w:t>
      </w:r>
      <w:r>
        <w:rPr>
          <w:spacing w:val="-4"/>
          <w:sz w:val="24"/>
        </w:rPr>
        <w:t>在本保函项下的保证责任亦终止。</w:t>
      </w:r>
    </w:p>
    <w:p>
      <w:pPr>
        <w:pStyle w:val="22"/>
        <w:numPr>
          <w:ilvl w:val="0"/>
          <w:numId w:val="17"/>
        </w:numPr>
        <w:tabs>
          <w:tab w:val="left" w:pos="1899"/>
        </w:tabs>
        <w:spacing w:before="2" w:line="242" w:lineRule="auto"/>
        <w:ind w:right="1115" w:firstLine="480"/>
        <w:jc w:val="both"/>
        <w:rPr>
          <w:sz w:val="24"/>
        </w:rPr>
      </w:pPr>
      <w:r>
        <w:rPr>
          <w:spacing w:val="-5"/>
          <w:sz w:val="24"/>
        </w:rPr>
        <w:t>你方与投标人修改主合同，加重我方保证责任的，我方对加重部分不</w:t>
      </w:r>
      <w:r>
        <w:rPr>
          <w:spacing w:val="-4"/>
          <w:sz w:val="24"/>
        </w:rPr>
        <w:t>承担保证责任，但该等修改事先经我方书面同意的除外；你方与投标人修改主</w:t>
      </w:r>
      <w:r>
        <w:rPr>
          <w:spacing w:val="-3"/>
          <w:sz w:val="24"/>
        </w:rPr>
        <w:t>合同履行期限，我方保证期间仍依修改前的履行期限计算，但该等修改事先经我方书面同意的除外。</w:t>
      </w:r>
    </w:p>
    <w:p>
      <w:pPr>
        <w:pStyle w:val="9"/>
        <w:spacing w:before="6"/>
        <w:ind w:left="1537"/>
      </w:pPr>
      <w:r>
        <w:t>五、免责条款</w:t>
      </w:r>
    </w:p>
    <w:p>
      <w:pPr>
        <w:pStyle w:val="22"/>
        <w:numPr>
          <w:ilvl w:val="0"/>
          <w:numId w:val="18"/>
        </w:numPr>
        <w:tabs>
          <w:tab w:val="left" w:pos="1899"/>
        </w:tabs>
        <w:spacing w:before="5" w:line="242" w:lineRule="auto"/>
        <w:ind w:right="1115" w:firstLine="480"/>
        <w:rPr>
          <w:sz w:val="24"/>
        </w:rPr>
      </w:pPr>
      <w:r>
        <w:rPr>
          <w:spacing w:val="-2"/>
          <w:sz w:val="24"/>
        </w:rPr>
        <w:t>因你方违反主合同约定致使投标人不能履行义务的，我方不承担保证</w:t>
      </w:r>
      <w:r>
        <w:rPr>
          <w:spacing w:val="-6"/>
          <w:sz w:val="24"/>
        </w:rPr>
        <w:t>责任。</w:t>
      </w:r>
    </w:p>
    <w:p>
      <w:pPr>
        <w:pStyle w:val="22"/>
        <w:numPr>
          <w:ilvl w:val="0"/>
          <w:numId w:val="18"/>
        </w:numPr>
        <w:tabs>
          <w:tab w:val="left" w:pos="1899"/>
        </w:tabs>
        <w:spacing w:before="2" w:line="242" w:lineRule="auto"/>
        <w:ind w:right="1115" w:firstLine="480"/>
        <w:rPr>
          <w:sz w:val="24"/>
        </w:rPr>
      </w:pPr>
      <w:r>
        <w:rPr>
          <w:spacing w:val="-2"/>
          <w:sz w:val="24"/>
        </w:rPr>
        <w:t>依照法律法规的规定或你方与投标人的另行约定，全部或者部分免除</w:t>
      </w:r>
      <w:r>
        <w:rPr>
          <w:spacing w:val="-4"/>
          <w:sz w:val="24"/>
        </w:rPr>
        <w:t>投标人应缴纳的保证金义务的，我方亦免除相应的保证责任。</w:t>
      </w:r>
    </w:p>
    <w:p>
      <w:pPr>
        <w:pStyle w:val="22"/>
        <w:numPr>
          <w:ilvl w:val="0"/>
          <w:numId w:val="18"/>
        </w:numPr>
        <w:tabs>
          <w:tab w:val="left" w:pos="1899"/>
        </w:tabs>
        <w:spacing w:before="3" w:line="242" w:lineRule="auto"/>
        <w:ind w:left="1537" w:right="1266" w:firstLine="0"/>
        <w:rPr>
          <w:sz w:val="24"/>
        </w:rPr>
      </w:pPr>
      <w:r>
        <w:rPr>
          <w:spacing w:val="-1"/>
          <w:sz w:val="24"/>
        </w:rPr>
        <w:t>因不可抗力造成投标人不能履行供货义务的，我方不承担保证责任。</w:t>
      </w:r>
      <w:r>
        <w:rPr>
          <w:sz w:val="24"/>
        </w:rPr>
        <w:t>六、争议的解决</w:t>
      </w:r>
    </w:p>
    <w:p>
      <w:pPr>
        <w:pStyle w:val="9"/>
        <w:tabs>
          <w:tab w:val="left" w:pos="4657"/>
        </w:tabs>
        <w:spacing w:before="3" w:line="242" w:lineRule="auto"/>
        <w:ind w:left="1057" w:right="1115" w:firstLine="480"/>
      </w:pPr>
      <w:r>
        <w:t>因本保函发生的纠纷，由你我双方协商解决，协商不成的，通过诉讼程</w:t>
      </w:r>
      <w:r>
        <w:rPr>
          <w:spacing w:val="-12"/>
        </w:rPr>
        <w:t>序</w:t>
      </w:r>
      <w:r>
        <w:t>解决，诉讼管辖地法院为</w:t>
      </w:r>
      <w:r>
        <w:rPr>
          <w:u w:val="single"/>
        </w:rPr>
        <w:t xml:space="preserve"> </w:t>
      </w:r>
      <w:r>
        <w:rPr>
          <w:u w:val="single"/>
        </w:rPr>
        <w:tab/>
      </w:r>
      <w:r>
        <w:t>法院。</w:t>
      </w:r>
    </w:p>
    <w:p>
      <w:pPr>
        <w:pStyle w:val="9"/>
        <w:spacing w:before="3"/>
        <w:ind w:left="1537"/>
      </w:pPr>
      <w:r>
        <w:t>七、保函的生效</w:t>
      </w:r>
    </w:p>
    <w:p>
      <w:pPr>
        <w:pStyle w:val="9"/>
        <w:spacing w:before="4"/>
        <w:ind w:left="1537"/>
      </w:pPr>
      <w:r>
        <w:t>本保函自我方加盖公章之日起生效。</w:t>
      </w:r>
    </w:p>
    <w:p>
      <w:pPr>
        <w:pStyle w:val="9"/>
      </w:pPr>
    </w:p>
    <w:p>
      <w:pPr>
        <w:pStyle w:val="9"/>
        <w:spacing w:before="1"/>
        <w:rPr>
          <w:sz w:val="25"/>
        </w:rPr>
      </w:pPr>
    </w:p>
    <w:p>
      <w:pPr>
        <w:pStyle w:val="9"/>
        <w:ind w:left="6457"/>
      </w:pPr>
      <w:r>
        <w:t>保证人：（公章）</w:t>
      </w:r>
    </w:p>
    <w:p>
      <w:pPr>
        <w:pStyle w:val="9"/>
        <w:spacing w:before="9"/>
      </w:pPr>
    </w:p>
    <w:p>
      <w:pPr>
        <w:pStyle w:val="9"/>
        <w:tabs>
          <w:tab w:val="left" w:pos="839"/>
          <w:tab w:val="left" w:pos="1799"/>
        </w:tabs>
        <w:ind w:right="1146"/>
        <w:jc w:val="right"/>
      </w:pPr>
      <w:r>
        <w:t>年</w:t>
      </w:r>
      <w:r>
        <w:tab/>
      </w:r>
      <w:r>
        <w:t>月</w:t>
      </w:r>
      <w:r>
        <w:tab/>
      </w:r>
      <w:r>
        <w:t>日</w:t>
      </w:r>
    </w:p>
    <w:p>
      <w:pPr>
        <w:jc w:val="right"/>
        <w:sectPr>
          <w:pgSz w:w="11910" w:h="16840"/>
          <w:pgMar w:top="1180" w:right="800" w:bottom="1180" w:left="740" w:header="0" w:footer="1000" w:gutter="0"/>
          <w:cols w:space="720" w:num="1"/>
        </w:sectPr>
      </w:pPr>
    </w:p>
    <w:p>
      <w:pPr>
        <w:pStyle w:val="3"/>
        <w:tabs>
          <w:tab w:val="left" w:pos="4191"/>
          <w:tab w:val="left" w:pos="7403"/>
        </w:tabs>
        <w:spacing w:before="31"/>
        <w:ind w:left="2900" w:firstLine="321" w:firstLineChars="100"/>
        <w:jc w:val="left"/>
      </w:pPr>
      <w:r>
        <w:t>第2章</w:t>
      </w:r>
      <w:r>
        <w:tab/>
      </w:r>
      <w:bookmarkStart w:id="47" w:name="_bookmark1"/>
      <w:bookmarkEnd w:id="47"/>
      <w:r>
        <w:rPr>
          <w:rFonts w:hint="eastAsia"/>
          <w:lang w:val="en-US"/>
        </w:rPr>
        <w:t xml:space="preserve"> </w:t>
      </w:r>
      <w:r>
        <w:t>投标文件格式</w:t>
      </w:r>
      <w:r>
        <w:tab/>
      </w:r>
    </w:p>
    <w:p>
      <w:pPr>
        <w:pStyle w:val="9"/>
        <w:rPr>
          <w:b/>
          <w:sz w:val="32"/>
        </w:rPr>
      </w:pPr>
    </w:p>
    <w:p>
      <w:pPr>
        <w:pStyle w:val="9"/>
        <w:rPr>
          <w:b/>
          <w:sz w:val="32"/>
        </w:rPr>
      </w:pPr>
    </w:p>
    <w:p>
      <w:pPr>
        <w:pStyle w:val="9"/>
        <w:rPr>
          <w:b/>
          <w:sz w:val="32"/>
        </w:rPr>
      </w:pPr>
    </w:p>
    <w:p>
      <w:pPr>
        <w:pStyle w:val="9"/>
        <w:rPr>
          <w:b/>
          <w:sz w:val="32"/>
        </w:rPr>
      </w:pPr>
    </w:p>
    <w:p>
      <w:pPr>
        <w:pStyle w:val="9"/>
        <w:spacing w:before="9"/>
        <w:rPr>
          <w:b/>
          <w:sz w:val="25"/>
        </w:rPr>
      </w:pPr>
    </w:p>
    <w:p>
      <w:pPr>
        <w:ind w:left="3296"/>
        <w:rPr>
          <w:b/>
          <w:sz w:val="32"/>
        </w:rPr>
      </w:pPr>
      <w:r>
        <w:rPr>
          <w:b/>
          <w:sz w:val="32"/>
        </w:rPr>
        <w:t>*** *** *** *** 项目</w:t>
      </w:r>
    </w:p>
    <w:p>
      <w:pPr>
        <w:pStyle w:val="9"/>
        <w:rPr>
          <w:b/>
          <w:sz w:val="32"/>
        </w:rPr>
      </w:pPr>
    </w:p>
    <w:p>
      <w:pPr>
        <w:pStyle w:val="9"/>
        <w:spacing w:before="5"/>
        <w:rPr>
          <w:b/>
          <w:sz w:val="33"/>
        </w:rPr>
      </w:pPr>
    </w:p>
    <w:p>
      <w:pPr>
        <w:spacing w:before="1"/>
        <w:ind w:left="3296"/>
        <w:rPr>
          <w:b/>
          <w:sz w:val="32"/>
        </w:rPr>
      </w:pPr>
      <w:r>
        <w:rPr>
          <w:b/>
          <w:sz w:val="32"/>
        </w:rPr>
        <w:t>编号***********</w:t>
      </w:r>
    </w:p>
    <w:p>
      <w:pPr>
        <w:pStyle w:val="9"/>
        <w:rPr>
          <w:b/>
          <w:sz w:val="32"/>
        </w:rPr>
      </w:pPr>
    </w:p>
    <w:p>
      <w:pPr>
        <w:pStyle w:val="9"/>
        <w:spacing w:before="5"/>
        <w:rPr>
          <w:b/>
          <w:sz w:val="33"/>
        </w:rPr>
      </w:pPr>
    </w:p>
    <w:p>
      <w:pPr>
        <w:ind w:left="1076" w:right="2281"/>
        <w:jc w:val="center"/>
        <w:rPr>
          <w:b/>
          <w:sz w:val="32"/>
        </w:rPr>
      </w:pPr>
      <w:r>
        <w:rPr>
          <w:b/>
          <w:sz w:val="32"/>
        </w:rPr>
        <w:t>投标文件</w:t>
      </w:r>
    </w:p>
    <w:p>
      <w:pPr>
        <w:pStyle w:val="9"/>
        <w:rPr>
          <w:b/>
          <w:sz w:val="32"/>
        </w:rPr>
      </w:pPr>
    </w:p>
    <w:p>
      <w:pPr>
        <w:pStyle w:val="9"/>
        <w:rPr>
          <w:b/>
          <w:sz w:val="32"/>
        </w:rPr>
      </w:pPr>
    </w:p>
    <w:p>
      <w:pPr>
        <w:pStyle w:val="9"/>
        <w:rPr>
          <w:b/>
          <w:sz w:val="32"/>
        </w:rPr>
      </w:pPr>
    </w:p>
    <w:p>
      <w:pPr>
        <w:pStyle w:val="9"/>
        <w:spacing w:before="2"/>
        <w:rPr>
          <w:b/>
          <w:sz w:val="35"/>
        </w:rPr>
      </w:pPr>
    </w:p>
    <w:p>
      <w:pPr>
        <w:tabs>
          <w:tab w:val="left" w:pos="7239"/>
        </w:tabs>
        <w:spacing w:before="1"/>
        <w:ind w:left="1477"/>
        <w:rPr>
          <w:b/>
          <w:sz w:val="28"/>
        </w:rPr>
      </w:pPr>
      <w:r>
        <w:rPr>
          <w:b/>
          <w:sz w:val="28"/>
        </w:rPr>
        <w:t>投标人名称</w:t>
      </w:r>
      <w:r>
        <w:rPr>
          <w:b/>
          <w:spacing w:val="-3"/>
          <w:sz w:val="28"/>
        </w:rPr>
        <w:t>：</w:t>
      </w:r>
      <w:r>
        <w:rPr>
          <w:b/>
          <w:spacing w:val="-3"/>
          <w:sz w:val="28"/>
          <w:u w:val="single"/>
        </w:rPr>
        <w:t xml:space="preserve"> </w:t>
      </w:r>
      <w:r>
        <w:rPr>
          <w:b/>
          <w:spacing w:val="-3"/>
          <w:sz w:val="28"/>
          <w:u w:val="single"/>
        </w:rPr>
        <w:tab/>
      </w:r>
      <w:r>
        <w:rPr>
          <w:b/>
          <w:sz w:val="28"/>
        </w:rPr>
        <w:t>（公章）</w:t>
      </w:r>
    </w:p>
    <w:p>
      <w:pPr>
        <w:pStyle w:val="9"/>
        <w:spacing w:before="5"/>
        <w:rPr>
          <w:b/>
          <w:sz w:val="39"/>
        </w:rPr>
      </w:pPr>
    </w:p>
    <w:p>
      <w:pPr>
        <w:tabs>
          <w:tab w:val="left" w:pos="7448"/>
        </w:tabs>
        <w:ind w:left="1477"/>
        <w:rPr>
          <w:rFonts w:ascii="Times New Roman" w:eastAsia="Times New Roman"/>
          <w:b/>
          <w:sz w:val="28"/>
        </w:rPr>
      </w:pPr>
      <w:r>
        <w:rPr>
          <w:b/>
          <w:spacing w:val="-1"/>
          <w:w w:val="95"/>
          <w:sz w:val="28"/>
        </w:rPr>
        <w:t>项目名称：</w:t>
      </w:r>
      <w:r>
        <w:rPr>
          <w:rFonts w:ascii="Times New Roman" w:eastAsia="Times New Roman"/>
          <w:b/>
          <w:sz w:val="28"/>
          <w:u w:val="single"/>
        </w:rPr>
        <w:t xml:space="preserve"> </w:t>
      </w:r>
      <w:r>
        <w:rPr>
          <w:rFonts w:ascii="Times New Roman" w:eastAsia="Times New Roman"/>
          <w:b/>
          <w:sz w:val="28"/>
          <w:u w:val="single"/>
        </w:rPr>
        <w:tab/>
      </w:r>
    </w:p>
    <w:p>
      <w:pPr>
        <w:pStyle w:val="9"/>
        <w:spacing w:before="10"/>
        <w:rPr>
          <w:rFonts w:ascii="Times New Roman"/>
          <w:b/>
          <w:sz w:val="16"/>
        </w:rPr>
      </w:pPr>
    </w:p>
    <w:p>
      <w:pPr>
        <w:tabs>
          <w:tab w:val="left" w:pos="7448"/>
        </w:tabs>
        <w:spacing w:before="71"/>
        <w:ind w:left="1477"/>
        <w:rPr>
          <w:rFonts w:ascii="Times New Roman" w:eastAsia="Times New Roman"/>
          <w:b/>
          <w:sz w:val="28"/>
        </w:rPr>
      </w:pPr>
      <w:r>
        <w:rPr>
          <w:b/>
          <w:spacing w:val="-1"/>
          <w:w w:val="95"/>
          <w:sz w:val="28"/>
        </w:rPr>
        <w:t>项目编号：</w:t>
      </w:r>
      <w:r>
        <w:rPr>
          <w:rFonts w:ascii="Times New Roman" w:eastAsia="Times New Roman"/>
          <w:b/>
          <w:sz w:val="28"/>
          <w:u w:val="single"/>
        </w:rPr>
        <w:t xml:space="preserve"> </w:t>
      </w:r>
      <w:r>
        <w:rPr>
          <w:rFonts w:ascii="Times New Roman" w:eastAsia="Times New Roman"/>
          <w:b/>
          <w:sz w:val="28"/>
          <w:u w:val="single"/>
        </w:rPr>
        <w:tab/>
      </w:r>
    </w:p>
    <w:p>
      <w:pPr>
        <w:pStyle w:val="9"/>
        <w:spacing w:before="11"/>
        <w:rPr>
          <w:rFonts w:ascii="Times New Roman"/>
          <w:b/>
          <w:sz w:val="16"/>
        </w:rPr>
      </w:pPr>
    </w:p>
    <w:p>
      <w:pPr>
        <w:tabs>
          <w:tab w:val="left" w:pos="7448"/>
        </w:tabs>
        <w:spacing w:before="70"/>
        <w:ind w:left="1477"/>
        <w:rPr>
          <w:rFonts w:ascii="Times New Roman" w:eastAsia="Times New Roman"/>
          <w:b/>
          <w:sz w:val="28"/>
        </w:rPr>
      </w:pPr>
      <w:r>
        <w:rPr>
          <w:b/>
          <w:sz w:val="28"/>
        </w:rPr>
        <w:t>联</w:t>
      </w:r>
      <w:r>
        <w:rPr>
          <w:b/>
          <w:spacing w:val="-5"/>
          <w:sz w:val="28"/>
        </w:rPr>
        <w:t xml:space="preserve"> </w:t>
      </w:r>
      <w:r>
        <w:rPr>
          <w:b/>
          <w:sz w:val="28"/>
        </w:rPr>
        <w:t>系</w:t>
      </w:r>
      <w:r>
        <w:rPr>
          <w:b/>
          <w:spacing w:val="-1"/>
          <w:sz w:val="28"/>
        </w:rPr>
        <w:t xml:space="preserve"> </w:t>
      </w:r>
      <w:r>
        <w:rPr>
          <w:b/>
          <w:sz w:val="28"/>
        </w:rPr>
        <w:t>人：</w:t>
      </w:r>
      <w:r>
        <w:rPr>
          <w:rFonts w:ascii="Times New Roman" w:eastAsia="Times New Roman"/>
          <w:b/>
          <w:sz w:val="28"/>
          <w:u w:val="single"/>
        </w:rPr>
        <w:t xml:space="preserve"> </w:t>
      </w:r>
      <w:r>
        <w:rPr>
          <w:rFonts w:ascii="Times New Roman" w:eastAsia="Times New Roman"/>
          <w:b/>
          <w:sz w:val="28"/>
          <w:u w:val="single"/>
        </w:rPr>
        <w:tab/>
      </w:r>
    </w:p>
    <w:p>
      <w:pPr>
        <w:pStyle w:val="9"/>
        <w:spacing w:before="11"/>
        <w:rPr>
          <w:rFonts w:ascii="Times New Roman"/>
          <w:b/>
          <w:sz w:val="16"/>
        </w:rPr>
      </w:pPr>
    </w:p>
    <w:p>
      <w:pPr>
        <w:tabs>
          <w:tab w:val="left" w:pos="7448"/>
        </w:tabs>
        <w:spacing w:before="70"/>
        <w:ind w:left="1477"/>
        <w:rPr>
          <w:rFonts w:ascii="Times New Roman" w:eastAsia="Times New Roman"/>
          <w:b/>
          <w:sz w:val="28"/>
        </w:rPr>
      </w:pPr>
      <w:r>
        <w:rPr>
          <w:b/>
          <w:spacing w:val="-1"/>
          <w:w w:val="95"/>
          <w:sz w:val="28"/>
        </w:rPr>
        <w:t>联系电话：</w:t>
      </w:r>
      <w:r>
        <w:rPr>
          <w:rFonts w:ascii="Times New Roman" w:eastAsia="Times New Roman"/>
          <w:b/>
          <w:sz w:val="28"/>
          <w:u w:val="single"/>
        </w:rPr>
        <w:t xml:space="preserve"> </w:t>
      </w:r>
      <w:r>
        <w:rPr>
          <w:rFonts w:ascii="Times New Roman" w:eastAsia="Times New Roman"/>
          <w:b/>
          <w:sz w:val="28"/>
          <w:u w:val="single"/>
        </w:rPr>
        <w:tab/>
      </w:r>
    </w:p>
    <w:p>
      <w:pPr>
        <w:pStyle w:val="9"/>
        <w:rPr>
          <w:rFonts w:ascii="Times New Roman"/>
          <w:b/>
          <w:sz w:val="17"/>
        </w:rPr>
      </w:pPr>
    </w:p>
    <w:p>
      <w:pPr>
        <w:tabs>
          <w:tab w:val="left" w:pos="7448"/>
        </w:tabs>
        <w:spacing w:before="70"/>
        <w:ind w:left="1477"/>
        <w:rPr>
          <w:rFonts w:ascii="Times New Roman" w:eastAsia="Times New Roman"/>
          <w:b/>
          <w:sz w:val="28"/>
        </w:rPr>
      </w:pPr>
      <w:r>
        <w:rPr>
          <w:b/>
          <w:spacing w:val="-1"/>
          <w:w w:val="95"/>
          <w:sz w:val="28"/>
        </w:rPr>
        <w:t>联系地址：</w:t>
      </w:r>
      <w:r>
        <w:rPr>
          <w:rFonts w:ascii="Times New Roman" w:eastAsia="Times New Roman"/>
          <w:b/>
          <w:sz w:val="28"/>
          <w:u w:val="single"/>
        </w:rPr>
        <w:t xml:space="preserve"> </w:t>
      </w:r>
      <w:r>
        <w:rPr>
          <w:rFonts w:ascii="Times New Roman" w:eastAsia="Times New Roman"/>
          <w:b/>
          <w:sz w:val="28"/>
          <w:u w:val="single"/>
        </w:rPr>
        <w:tab/>
      </w:r>
    </w:p>
    <w:p>
      <w:pPr>
        <w:pStyle w:val="9"/>
        <w:rPr>
          <w:rFonts w:ascii="Times New Roman"/>
          <w:b/>
          <w:sz w:val="20"/>
        </w:rPr>
      </w:pPr>
    </w:p>
    <w:p>
      <w:pPr>
        <w:pStyle w:val="9"/>
        <w:rPr>
          <w:rFonts w:ascii="Times New Roman"/>
          <w:b/>
          <w:sz w:val="20"/>
        </w:rPr>
      </w:pPr>
    </w:p>
    <w:p>
      <w:pPr>
        <w:pStyle w:val="9"/>
        <w:rPr>
          <w:rFonts w:ascii="Times New Roman"/>
          <w:b/>
          <w:sz w:val="20"/>
        </w:rPr>
      </w:pPr>
    </w:p>
    <w:p>
      <w:pPr>
        <w:pStyle w:val="9"/>
        <w:rPr>
          <w:rFonts w:ascii="Times New Roman"/>
          <w:b/>
          <w:sz w:val="20"/>
        </w:rPr>
      </w:pPr>
    </w:p>
    <w:p>
      <w:pPr>
        <w:pStyle w:val="9"/>
        <w:rPr>
          <w:rFonts w:ascii="Times New Roman"/>
          <w:b/>
          <w:sz w:val="20"/>
        </w:rPr>
      </w:pPr>
    </w:p>
    <w:p>
      <w:pPr>
        <w:pStyle w:val="9"/>
        <w:rPr>
          <w:rFonts w:ascii="Times New Roman"/>
          <w:b/>
          <w:sz w:val="20"/>
        </w:rPr>
      </w:pPr>
    </w:p>
    <w:p>
      <w:pPr>
        <w:pStyle w:val="9"/>
        <w:rPr>
          <w:rFonts w:ascii="Times New Roman"/>
          <w:b/>
          <w:sz w:val="20"/>
        </w:rPr>
      </w:pPr>
    </w:p>
    <w:p>
      <w:pPr>
        <w:pStyle w:val="9"/>
        <w:rPr>
          <w:rFonts w:ascii="Times New Roman"/>
          <w:b/>
          <w:sz w:val="20"/>
        </w:rPr>
      </w:pPr>
    </w:p>
    <w:p>
      <w:pPr>
        <w:pStyle w:val="9"/>
        <w:rPr>
          <w:rFonts w:ascii="Times New Roman"/>
          <w:b/>
          <w:sz w:val="20"/>
        </w:rPr>
      </w:pPr>
    </w:p>
    <w:p>
      <w:pPr>
        <w:pStyle w:val="9"/>
        <w:rPr>
          <w:rFonts w:ascii="Times New Roman"/>
          <w:b/>
          <w:sz w:val="20"/>
        </w:rPr>
      </w:pPr>
    </w:p>
    <w:p>
      <w:pPr>
        <w:pStyle w:val="9"/>
        <w:rPr>
          <w:rFonts w:ascii="Times New Roman"/>
          <w:b/>
          <w:sz w:val="20"/>
        </w:rPr>
      </w:pPr>
    </w:p>
    <w:p>
      <w:pPr>
        <w:rPr>
          <w:sz w:val="28"/>
        </w:rPr>
        <w:sectPr>
          <w:pgSz w:w="11910" w:h="16840"/>
          <w:pgMar w:top="1300" w:right="800" w:bottom="1180" w:left="740" w:header="0" w:footer="1000" w:gutter="0"/>
          <w:cols w:space="720" w:num="1"/>
        </w:sectPr>
      </w:pPr>
    </w:p>
    <w:p>
      <w:pPr>
        <w:numPr>
          <w:ilvl w:val="0"/>
          <w:numId w:val="19"/>
        </w:numPr>
        <w:spacing w:before="55"/>
        <w:ind w:left="3503"/>
        <w:rPr>
          <w:b/>
          <w:sz w:val="24"/>
        </w:rPr>
      </w:pPr>
      <w:bookmarkStart w:id="48" w:name="第一部分_开标一览表及资格证明文件"/>
      <w:bookmarkEnd w:id="48"/>
      <w:r>
        <w:rPr>
          <w:b/>
          <w:sz w:val="24"/>
        </w:rPr>
        <w:t>开标一览表及资格证明文件</w:t>
      </w:r>
    </w:p>
    <w:p>
      <w:pPr>
        <w:spacing w:before="55"/>
        <w:rPr>
          <w:sz w:val="24"/>
          <w:szCs w:val="24"/>
        </w:rPr>
      </w:pPr>
    </w:p>
    <w:p>
      <w:pPr>
        <w:pStyle w:val="9"/>
        <w:spacing w:before="4"/>
        <w:ind w:firstLine="944" w:firstLineChars="400"/>
        <w:rPr>
          <w:spacing w:val="-2"/>
          <w:szCs w:val="22"/>
        </w:rPr>
      </w:pPr>
      <w:bookmarkStart w:id="49" w:name="1__开标一览表"/>
      <w:bookmarkEnd w:id="49"/>
      <w:r>
        <w:rPr>
          <w:spacing w:val="-2"/>
          <w:szCs w:val="22"/>
        </w:rPr>
        <w:t>1、开标一览表;</w:t>
      </w:r>
    </w:p>
    <w:p>
      <w:pPr>
        <w:spacing w:line="400" w:lineRule="exact"/>
        <w:ind w:firstLine="960" w:firstLineChars="400"/>
        <w:rPr>
          <w:spacing w:val="-2"/>
          <w:sz w:val="24"/>
          <w:lang w:val="en-US"/>
        </w:rPr>
      </w:pPr>
      <w:r>
        <w:rPr>
          <w:rFonts w:hint="eastAsia"/>
          <w:bCs/>
          <w:color w:val="000000"/>
          <w:sz w:val="24"/>
          <w:lang w:val="en-US"/>
        </w:rPr>
        <w:t>2、</w:t>
      </w:r>
      <w:r>
        <w:rPr>
          <w:rFonts w:hint="eastAsia"/>
          <w:spacing w:val="-2"/>
          <w:sz w:val="24"/>
          <w:lang w:val="en-US"/>
        </w:rPr>
        <w:t>具有独立承担民事责任的能力（三证合一的营业执照）；</w:t>
      </w:r>
    </w:p>
    <w:p>
      <w:pPr>
        <w:spacing w:line="400" w:lineRule="exact"/>
        <w:ind w:left="1903" w:leftChars="436" w:hanging="944" w:hangingChars="400"/>
        <w:rPr>
          <w:spacing w:val="-2"/>
          <w:sz w:val="24"/>
          <w:lang w:val="en-US"/>
        </w:rPr>
      </w:pPr>
      <w:r>
        <w:rPr>
          <w:rFonts w:hint="eastAsia"/>
          <w:spacing w:val="-2"/>
          <w:sz w:val="24"/>
          <w:lang w:val="en-US"/>
        </w:rPr>
        <w:t>3、法定代表人</w:t>
      </w:r>
      <w:r>
        <w:rPr>
          <w:rFonts w:hint="eastAsia"/>
          <w:spacing w:val="-2"/>
          <w:sz w:val="24"/>
          <w:lang w:val="en-US" w:eastAsia="zh-CN"/>
        </w:rPr>
        <w:t>参加投标的</w:t>
      </w:r>
      <w:r>
        <w:rPr>
          <w:rFonts w:hint="eastAsia"/>
          <w:spacing w:val="-2"/>
          <w:sz w:val="24"/>
          <w:lang w:val="en-US"/>
        </w:rPr>
        <w:t>提供法定代表人身份证明及</w:t>
      </w:r>
      <w:r>
        <w:rPr>
          <w:rFonts w:hint="eastAsia"/>
          <w:spacing w:val="-2"/>
          <w:sz w:val="24"/>
          <w:lang w:val="en-US" w:eastAsia="zh-CN"/>
        </w:rPr>
        <w:t>法人</w:t>
      </w:r>
      <w:r>
        <w:rPr>
          <w:rFonts w:hint="eastAsia"/>
          <w:spacing w:val="-2"/>
          <w:sz w:val="24"/>
          <w:lang w:val="en-US"/>
        </w:rPr>
        <w:t>身份证</w:t>
      </w:r>
      <w:r>
        <w:rPr>
          <w:rFonts w:hint="eastAsia"/>
          <w:spacing w:val="-2"/>
          <w:sz w:val="24"/>
          <w:lang w:val="en-US" w:eastAsia="zh-CN"/>
        </w:rPr>
        <w:t>，被授权委托人参加投标的提供法人授权委托书及被授权人和法人身份证</w:t>
      </w:r>
      <w:r>
        <w:rPr>
          <w:rFonts w:hint="eastAsia"/>
          <w:spacing w:val="-2"/>
          <w:sz w:val="24"/>
          <w:lang w:val="en-US"/>
        </w:rPr>
        <w:t>；；</w:t>
      </w:r>
    </w:p>
    <w:p>
      <w:pPr>
        <w:spacing w:line="400" w:lineRule="exact"/>
        <w:ind w:left="1903" w:leftChars="436" w:hanging="944" w:hangingChars="400"/>
        <w:rPr>
          <w:spacing w:val="-2"/>
          <w:sz w:val="24"/>
          <w:lang w:val="en-US"/>
        </w:rPr>
      </w:pPr>
      <w:r>
        <w:rPr>
          <w:rFonts w:hint="eastAsia"/>
          <w:spacing w:val="-2"/>
          <w:sz w:val="24"/>
          <w:lang w:val="en-US"/>
        </w:rPr>
        <w:t>4、被授权委托人在本单位缴纳的近2个月的（2022年4月～5月）社保证明（单位社保缴费凭证和个人明细表）；</w:t>
      </w:r>
    </w:p>
    <w:p>
      <w:pPr>
        <w:spacing w:line="400" w:lineRule="exact"/>
        <w:ind w:left="1903" w:leftChars="436" w:hanging="944" w:hangingChars="400"/>
        <w:rPr>
          <w:spacing w:val="-2"/>
          <w:sz w:val="24"/>
          <w:lang w:val="en-US"/>
        </w:rPr>
      </w:pPr>
      <w:r>
        <w:rPr>
          <w:rFonts w:hint="eastAsia"/>
          <w:spacing w:val="-2"/>
          <w:sz w:val="24"/>
          <w:lang w:val="en-US"/>
        </w:rPr>
        <w:t>5、具有税务局开具依法缴纳近三个月（2022年3月～5月）完税证明及</w:t>
      </w:r>
      <w:r>
        <w:rPr>
          <w:rFonts w:hint="eastAsia"/>
          <w:spacing w:val="-2"/>
          <w:sz w:val="24"/>
          <w:lang w:val="en-US" w:eastAsia="zh-CN"/>
        </w:rPr>
        <w:t>2021年或2020年财务审计报告</w:t>
      </w:r>
      <w:r>
        <w:rPr>
          <w:rFonts w:hint="eastAsia"/>
          <w:spacing w:val="-2"/>
          <w:sz w:val="24"/>
          <w:lang w:val="en-US"/>
        </w:rPr>
        <w:t>（新成立公司须提供银行资信证明）；</w:t>
      </w:r>
    </w:p>
    <w:p>
      <w:pPr>
        <w:spacing w:line="400" w:lineRule="exact"/>
        <w:ind w:left="1679" w:leftChars="436" w:hanging="720" w:hangingChars="300"/>
        <w:rPr>
          <w:spacing w:val="-2"/>
          <w:sz w:val="24"/>
          <w:lang w:val="en-US"/>
        </w:rPr>
      </w:pPr>
      <w:r>
        <w:rPr>
          <w:rFonts w:hint="eastAsia"/>
          <w:bCs/>
          <w:color w:val="000000"/>
          <w:sz w:val="24"/>
          <w:lang w:val="en-US"/>
        </w:rPr>
        <w:t>6</w:t>
      </w:r>
      <w:r>
        <w:rPr>
          <w:rFonts w:hint="eastAsia"/>
          <w:bCs/>
          <w:spacing w:val="-2"/>
          <w:sz w:val="24"/>
          <w:lang w:val="en-US"/>
        </w:rPr>
        <w:t>、</w:t>
      </w:r>
      <w:r>
        <w:rPr>
          <w:rFonts w:hint="eastAsia"/>
          <w:spacing w:val="-2"/>
          <w:sz w:val="24"/>
          <w:lang w:val="en-US"/>
        </w:rPr>
        <w:t>供应商在“信用中国”（www.creditchina.gov.cn）和中国政府采购网（www.ccgp.gov.cn）网站上未列入失信被执行人、</w:t>
      </w:r>
      <w:r>
        <w:rPr>
          <w:rFonts w:hint="eastAsia"/>
          <w:spacing w:val="-2"/>
          <w:sz w:val="24"/>
          <w:lang w:val="en-US" w:eastAsia="zh-CN"/>
        </w:rPr>
        <w:t>税收违法黑名单</w:t>
      </w:r>
      <w:r>
        <w:rPr>
          <w:rFonts w:hint="eastAsia"/>
          <w:spacing w:val="-2"/>
          <w:sz w:val="24"/>
          <w:lang w:val="en-US"/>
        </w:rPr>
        <w:t>、政府采购严重违法失信行为记录名单（财库[2016]125号）（需提供网上截图加盖公章）；</w:t>
      </w:r>
    </w:p>
    <w:p>
      <w:pPr>
        <w:spacing w:line="400" w:lineRule="exact"/>
        <w:ind w:left="1667" w:leftChars="436" w:hanging="708" w:hangingChars="300"/>
        <w:rPr>
          <w:spacing w:val="-2"/>
          <w:sz w:val="24"/>
          <w:lang w:val="en-US"/>
        </w:rPr>
      </w:pPr>
      <w:r>
        <w:rPr>
          <w:rFonts w:hint="eastAsia"/>
          <w:spacing w:val="-2"/>
          <w:sz w:val="24"/>
          <w:lang w:val="en-US"/>
        </w:rPr>
        <w:t>7、</w:t>
      </w:r>
      <w:r>
        <w:rPr>
          <w:rFonts w:hint="eastAsia"/>
          <w:spacing w:val="-2"/>
          <w:sz w:val="24"/>
          <w:lang w:val="en-US" w:eastAsia="zh-CN"/>
        </w:rPr>
        <w:t>参加采购活动前三年内（2019年6月至今）</w:t>
      </w:r>
      <w:r>
        <w:rPr>
          <w:rFonts w:hint="eastAsia"/>
          <w:spacing w:val="-2"/>
          <w:sz w:val="24"/>
          <w:lang w:val="en-US"/>
        </w:rPr>
        <w:t>，在经营活动中无重大违法声明(受行政主管部门的处罚不能参加投标)；</w:t>
      </w:r>
    </w:p>
    <w:p>
      <w:pPr>
        <w:pStyle w:val="9"/>
        <w:spacing w:before="4"/>
        <w:ind w:firstLine="944" w:firstLineChars="400"/>
        <w:rPr>
          <w:spacing w:val="-2"/>
          <w:szCs w:val="22"/>
          <w:lang w:val="en-US"/>
        </w:rPr>
      </w:pPr>
      <w:r>
        <w:rPr>
          <w:rFonts w:hint="eastAsia"/>
          <w:spacing w:val="-2"/>
          <w:szCs w:val="22"/>
          <w:lang w:val="en-US"/>
        </w:rPr>
        <w:t>8、投标单位（供应商）具备针对本次采购项目《反商业贿赂承诺书》；</w:t>
      </w:r>
    </w:p>
    <w:p>
      <w:pPr>
        <w:pStyle w:val="9"/>
        <w:spacing w:before="4"/>
        <w:ind w:firstLine="944" w:firstLineChars="400"/>
        <w:rPr>
          <w:spacing w:val="-2"/>
          <w:szCs w:val="22"/>
          <w:lang w:val="en-US"/>
        </w:rPr>
      </w:pPr>
      <w:r>
        <w:rPr>
          <w:rFonts w:hint="eastAsia"/>
          <w:spacing w:val="-2"/>
          <w:szCs w:val="22"/>
          <w:lang w:val="en-US"/>
        </w:rPr>
        <w:t>9、投标保证金收据或投标保函；</w:t>
      </w:r>
    </w:p>
    <w:p>
      <w:pPr>
        <w:pStyle w:val="9"/>
        <w:spacing w:before="4"/>
        <w:ind w:firstLine="944" w:firstLineChars="400"/>
        <w:rPr>
          <w:spacing w:val="-2"/>
          <w:szCs w:val="22"/>
          <w:lang w:val="en-US"/>
        </w:rPr>
      </w:pPr>
      <w:r>
        <w:rPr>
          <w:rFonts w:hint="eastAsia"/>
          <w:spacing w:val="-2"/>
          <w:szCs w:val="22"/>
          <w:lang w:val="en-US"/>
        </w:rPr>
        <w:t>10、联合体投标授权书及联合体投标协议书（如有）；</w:t>
      </w:r>
    </w:p>
    <w:p>
      <w:pPr>
        <w:pStyle w:val="9"/>
        <w:spacing w:before="4"/>
        <w:ind w:firstLine="944" w:firstLineChars="400"/>
        <w:rPr>
          <w:spacing w:val="-2"/>
          <w:szCs w:val="22"/>
        </w:rPr>
      </w:pPr>
      <w:r>
        <w:rPr>
          <w:rFonts w:hint="eastAsia"/>
          <w:spacing w:val="-2"/>
          <w:szCs w:val="22"/>
        </w:rPr>
        <w:t>1</w:t>
      </w:r>
      <w:r>
        <w:rPr>
          <w:rFonts w:hint="eastAsia"/>
          <w:spacing w:val="-2"/>
          <w:szCs w:val="22"/>
          <w:lang w:val="en-US"/>
        </w:rPr>
        <w:t>1</w:t>
      </w:r>
      <w:r>
        <w:rPr>
          <w:rFonts w:hint="eastAsia"/>
          <w:spacing w:val="-2"/>
          <w:szCs w:val="22"/>
        </w:rPr>
        <w:t>、投标人须知资料表要求的其他资格证明文件。</w:t>
      </w:r>
    </w:p>
    <w:p>
      <w:pPr>
        <w:tabs>
          <w:tab w:val="left" w:pos="5063"/>
        </w:tabs>
        <w:spacing w:before="55"/>
        <w:ind w:left="4703"/>
        <w:rPr>
          <w:b/>
          <w:sz w:val="24"/>
        </w:rPr>
      </w:pPr>
    </w:p>
    <w:p>
      <w:pPr>
        <w:tabs>
          <w:tab w:val="left" w:pos="5063"/>
        </w:tabs>
        <w:spacing w:before="55"/>
        <w:ind w:left="4703"/>
        <w:rPr>
          <w:b/>
          <w:sz w:val="24"/>
        </w:rPr>
      </w:pPr>
    </w:p>
    <w:p>
      <w:pPr>
        <w:tabs>
          <w:tab w:val="left" w:pos="5063"/>
        </w:tabs>
        <w:spacing w:before="55"/>
        <w:ind w:left="4703"/>
        <w:rPr>
          <w:b/>
          <w:sz w:val="24"/>
        </w:rPr>
      </w:pPr>
    </w:p>
    <w:p>
      <w:pPr>
        <w:tabs>
          <w:tab w:val="left" w:pos="5063"/>
        </w:tabs>
        <w:spacing w:before="55"/>
        <w:ind w:left="4703"/>
        <w:rPr>
          <w:b/>
          <w:sz w:val="24"/>
        </w:rPr>
      </w:pPr>
    </w:p>
    <w:p>
      <w:pPr>
        <w:tabs>
          <w:tab w:val="left" w:pos="5063"/>
        </w:tabs>
        <w:spacing w:before="55"/>
        <w:ind w:left="4703"/>
        <w:rPr>
          <w:b/>
          <w:sz w:val="24"/>
        </w:rPr>
      </w:pPr>
    </w:p>
    <w:p>
      <w:pPr>
        <w:tabs>
          <w:tab w:val="left" w:pos="5063"/>
        </w:tabs>
        <w:spacing w:before="55"/>
        <w:ind w:left="4703"/>
        <w:rPr>
          <w:b/>
          <w:sz w:val="24"/>
        </w:rPr>
      </w:pPr>
    </w:p>
    <w:p>
      <w:pPr>
        <w:tabs>
          <w:tab w:val="left" w:pos="5063"/>
        </w:tabs>
        <w:spacing w:before="55"/>
        <w:ind w:left="4703"/>
        <w:rPr>
          <w:b/>
          <w:sz w:val="24"/>
        </w:rPr>
      </w:pPr>
    </w:p>
    <w:p>
      <w:pPr>
        <w:tabs>
          <w:tab w:val="left" w:pos="5063"/>
        </w:tabs>
        <w:spacing w:before="55"/>
        <w:ind w:left="4703"/>
        <w:rPr>
          <w:b/>
          <w:sz w:val="24"/>
        </w:rPr>
      </w:pPr>
    </w:p>
    <w:p>
      <w:pPr>
        <w:tabs>
          <w:tab w:val="left" w:pos="5063"/>
        </w:tabs>
        <w:spacing w:before="55"/>
        <w:ind w:left="4703"/>
        <w:rPr>
          <w:b/>
          <w:sz w:val="24"/>
        </w:rPr>
      </w:pPr>
    </w:p>
    <w:p>
      <w:pPr>
        <w:tabs>
          <w:tab w:val="left" w:pos="5063"/>
        </w:tabs>
        <w:spacing w:before="55"/>
        <w:ind w:left="4703"/>
        <w:rPr>
          <w:b/>
          <w:sz w:val="24"/>
        </w:rPr>
      </w:pPr>
    </w:p>
    <w:p>
      <w:pPr>
        <w:tabs>
          <w:tab w:val="left" w:pos="5063"/>
        </w:tabs>
        <w:spacing w:before="55"/>
        <w:ind w:left="4703"/>
        <w:rPr>
          <w:b/>
          <w:sz w:val="24"/>
        </w:rPr>
      </w:pPr>
    </w:p>
    <w:p>
      <w:pPr>
        <w:tabs>
          <w:tab w:val="left" w:pos="5063"/>
        </w:tabs>
        <w:spacing w:before="55"/>
        <w:ind w:left="4703"/>
        <w:rPr>
          <w:b/>
          <w:sz w:val="24"/>
        </w:rPr>
      </w:pPr>
    </w:p>
    <w:p>
      <w:pPr>
        <w:tabs>
          <w:tab w:val="left" w:pos="5063"/>
        </w:tabs>
        <w:spacing w:before="55"/>
        <w:ind w:left="4703"/>
        <w:rPr>
          <w:b/>
          <w:sz w:val="24"/>
        </w:rPr>
      </w:pPr>
    </w:p>
    <w:p>
      <w:pPr>
        <w:tabs>
          <w:tab w:val="left" w:pos="5063"/>
        </w:tabs>
        <w:spacing w:before="55"/>
        <w:ind w:left="4703"/>
        <w:rPr>
          <w:b/>
          <w:sz w:val="24"/>
        </w:rPr>
      </w:pPr>
    </w:p>
    <w:p>
      <w:pPr>
        <w:tabs>
          <w:tab w:val="left" w:pos="5063"/>
        </w:tabs>
        <w:spacing w:before="55"/>
        <w:ind w:left="4703"/>
        <w:rPr>
          <w:b/>
          <w:sz w:val="24"/>
        </w:rPr>
      </w:pPr>
    </w:p>
    <w:p>
      <w:pPr>
        <w:tabs>
          <w:tab w:val="left" w:pos="5063"/>
        </w:tabs>
        <w:spacing w:before="55"/>
        <w:ind w:left="4703"/>
        <w:rPr>
          <w:b/>
          <w:sz w:val="24"/>
        </w:rPr>
      </w:pPr>
    </w:p>
    <w:p>
      <w:pPr>
        <w:tabs>
          <w:tab w:val="left" w:pos="5063"/>
        </w:tabs>
        <w:spacing w:before="55"/>
        <w:ind w:left="4703"/>
        <w:rPr>
          <w:b/>
          <w:sz w:val="24"/>
        </w:rPr>
      </w:pPr>
    </w:p>
    <w:p>
      <w:pPr>
        <w:tabs>
          <w:tab w:val="left" w:pos="5063"/>
        </w:tabs>
        <w:spacing w:before="55"/>
        <w:ind w:left="4703"/>
        <w:rPr>
          <w:b/>
          <w:sz w:val="24"/>
        </w:rPr>
      </w:pPr>
    </w:p>
    <w:p>
      <w:pPr>
        <w:pStyle w:val="2"/>
      </w:pPr>
    </w:p>
    <w:p>
      <w:pPr>
        <w:tabs>
          <w:tab w:val="left" w:pos="5063"/>
        </w:tabs>
        <w:spacing w:before="55"/>
        <w:ind w:left="4703"/>
        <w:rPr>
          <w:b/>
          <w:sz w:val="24"/>
        </w:rPr>
      </w:pPr>
      <w:r>
        <w:rPr>
          <w:b/>
          <w:sz w:val="24"/>
        </w:rPr>
        <w:t>1</w:t>
      </w:r>
      <w:r>
        <w:rPr>
          <w:b/>
          <w:sz w:val="24"/>
        </w:rPr>
        <w:tab/>
      </w:r>
      <w:r>
        <w:rPr>
          <w:b/>
          <w:sz w:val="24"/>
        </w:rPr>
        <w:t>开标一览表</w:t>
      </w:r>
    </w:p>
    <w:p>
      <w:pPr>
        <w:pStyle w:val="9"/>
        <w:rPr>
          <w:b/>
        </w:rPr>
      </w:pPr>
    </w:p>
    <w:p>
      <w:pPr>
        <w:pStyle w:val="9"/>
        <w:spacing w:before="1"/>
        <w:rPr>
          <w:b/>
          <w:sz w:val="25"/>
        </w:rPr>
      </w:pPr>
    </w:p>
    <w:p>
      <w:pPr>
        <w:ind w:left="662" w:right="57"/>
        <w:jc w:val="center"/>
        <w:rPr>
          <w:b/>
          <w:sz w:val="24"/>
        </w:rPr>
      </w:pPr>
      <w:r>
        <w:rPr>
          <w:b/>
          <w:sz w:val="24"/>
        </w:rPr>
        <w:t>开标一览表</w:t>
      </w:r>
    </w:p>
    <w:p>
      <w:pPr>
        <w:pStyle w:val="9"/>
        <w:rPr>
          <w:b/>
        </w:rPr>
      </w:pPr>
    </w:p>
    <w:p>
      <w:pPr>
        <w:pStyle w:val="9"/>
        <w:spacing w:before="1"/>
        <w:rPr>
          <w:b/>
          <w:sz w:val="25"/>
        </w:rPr>
      </w:pPr>
    </w:p>
    <w:p>
      <w:pPr>
        <w:pStyle w:val="9"/>
        <w:tabs>
          <w:tab w:val="left" w:pos="5197"/>
          <w:tab w:val="left" w:pos="8437"/>
        </w:tabs>
        <w:spacing w:line="242" w:lineRule="auto"/>
        <w:ind w:left="1597" w:right="1206" w:firstLine="240" w:firstLineChars="100"/>
      </w:pPr>
      <w:r>
        <w:t>项目名称：</w:t>
      </w:r>
      <w:r>
        <w:tab/>
      </w:r>
      <w:r>
        <w:rPr>
          <w:rFonts w:hint="eastAsia"/>
          <w:lang w:val="en-US"/>
        </w:rPr>
        <w:t xml:space="preserve">    </w:t>
      </w:r>
      <w:r>
        <w:t>采购编号：</w:t>
      </w:r>
      <w:r>
        <w:tab/>
      </w:r>
    </w:p>
    <w:p>
      <w:pPr>
        <w:pStyle w:val="9"/>
        <w:tabs>
          <w:tab w:val="left" w:pos="5197"/>
          <w:tab w:val="left" w:pos="8437"/>
        </w:tabs>
        <w:spacing w:line="242" w:lineRule="auto"/>
        <w:ind w:left="1597" w:right="1206"/>
        <w:rPr>
          <w:b/>
        </w:rPr>
      </w:pPr>
      <w:r>
        <w:rPr>
          <w:spacing w:val="-17"/>
        </w:rPr>
        <w:t xml:space="preserve"> </w:t>
      </w:r>
      <w:r>
        <w:rPr>
          <w:rFonts w:hint="eastAsia"/>
          <w:spacing w:val="-17"/>
          <w:lang w:val="en-US"/>
        </w:rPr>
        <w:t xml:space="preserve"> </w:t>
      </w:r>
      <w:r>
        <w:t>报价单位：人民币</w:t>
      </w:r>
      <w:r>
        <w:rPr>
          <w:spacing w:val="-1"/>
        </w:rPr>
        <w:t xml:space="preserve"> </w:t>
      </w:r>
      <w:r>
        <w:rPr>
          <w:rFonts w:hint="eastAsia"/>
          <w:spacing w:val="-1"/>
          <w:lang w:val="en-US"/>
        </w:rPr>
        <w:t xml:space="preserve">  </w:t>
      </w:r>
      <w:r>
        <w:rPr>
          <w:b/>
        </w:rPr>
        <w:t>元</w:t>
      </w:r>
    </w:p>
    <w:tbl>
      <w:tblPr>
        <w:tblStyle w:val="19"/>
        <w:tblW w:w="0" w:type="auto"/>
        <w:tblInd w:w="100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0"/>
        <w:gridCol w:w="2340"/>
        <w:gridCol w:w="1805"/>
        <w:gridCol w:w="1445"/>
        <w:gridCol w:w="1016"/>
        <w:gridCol w:w="11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62" w:hRule="atLeast"/>
        </w:trPr>
        <w:tc>
          <w:tcPr>
            <w:tcW w:w="1420" w:type="dxa"/>
            <w:tcBorders>
              <w:bottom w:val="single" w:color="000000" w:sz="8" w:space="0"/>
              <w:right w:val="single" w:color="000000" w:sz="8" w:space="0"/>
            </w:tcBorders>
          </w:tcPr>
          <w:p>
            <w:pPr>
              <w:pStyle w:val="23"/>
              <w:spacing w:before="176"/>
              <w:ind w:left="327"/>
              <w:rPr>
                <w:rFonts w:ascii="仿宋" w:eastAsia="仿宋"/>
                <w:sz w:val="24"/>
              </w:rPr>
            </w:pPr>
            <w:r>
              <w:rPr>
                <w:rFonts w:hint="eastAsia" w:ascii="仿宋" w:eastAsia="仿宋"/>
                <w:sz w:val="24"/>
              </w:rPr>
              <w:t>服务名称</w:t>
            </w:r>
          </w:p>
        </w:tc>
        <w:tc>
          <w:tcPr>
            <w:tcW w:w="2340" w:type="dxa"/>
            <w:tcBorders>
              <w:left w:val="single" w:color="000000" w:sz="8" w:space="0"/>
              <w:bottom w:val="single" w:color="000000" w:sz="8" w:space="0"/>
            </w:tcBorders>
          </w:tcPr>
          <w:p>
            <w:pPr>
              <w:pStyle w:val="23"/>
              <w:spacing w:before="176"/>
              <w:ind w:left="685"/>
              <w:rPr>
                <w:rFonts w:ascii="仿宋" w:eastAsia="仿宋"/>
                <w:sz w:val="24"/>
              </w:rPr>
            </w:pPr>
            <w:r>
              <w:rPr>
                <w:rFonts w:hint="eastAsia" w:ascii="仿宋" w:eastAsia="仿宋"/>
                <w:sz w:val="24"/>
              </w:rPr>
              <w:t>报价总价</w:t>
            </w:r>
          </w:p>
        </w:tc>
        <w:tc>
          <w:tcPr>
            <w:tcW w:w="1805" w:type="dxa"/>
            <w:tcBorders>
              <w:top w:val="single" w:color="000000" w:sz="8" w:space="0"/>
              <w:bottom w:val="single" w:color="000000" w:sz="8" w:space="0"/>
            </w:tcBorders>
          </w:tcPr>
          <w:p>
            <w:pPr>
              <w:pStyle w:val="23"/>
              <w:spacing w:before="176"/>
              <w:ind w:left="302"/>
              <w:rPr>
                <w:rFonts w:ascii="仿宋" w:eastAsia="仿宋"/>
                <w:sz w:val="24"/>
              </w:rPr>
            </w:pPr>
            <w:r>
              <w:rPr>
                <w:rFonts w:hint="eastAsia" w:ascii="仿宋" w:eastAsia="仿宋"/>
                <w:sz w:val="24"/>
              </w:rPr>
              <w:t>投标保证金</w:t>
            </w:r>
          </w:p>
        </w:tc>
        <w:tc>
          <w:tcPr>
            <w:tcW w:w="1445" w:type="dxa"/>
            <w:tcBorders>
              <w:top w:val="single" w:color="000000" w:sz="8" w:space="0"/>
              <w:bottom w:val="single" w:color="000000" w:sz="8" w:space="0"/>
            </w:tcBorders>
          </w:tcPr>
          <w:p>
            <w:pPr>
              <w:pStyle w:val="23"/>
              <w:spacing w:before="176"/>
              <w:ind w:left="241"/>
              <w:rPr>
                <w:rFonts w:ascii="仿宋" w:eastAsia="仿宋"/>
                <w:sz w:val="24"/>
              </w:rPr>
            </w:pPr>
            <w:r>
              <w:rPr>
                <w:rFonts w:hint="eastAsia" w:ascii="仿宋" w:eastAsia="仿宋"/>
                <w:sz w:val="24"/>
              </w:rPr>
              <w:t>履约期限</w:t>
            </w:r>
          </w:p>
        </w:tc>
        <w:tc>
          <w:tcPr>
            <w:tcW w:w="1016" w:type="dxa"/>
            <w:tcBorders>
              <w:top w:val="single" w:color="000000" w:sz="8" w:space="0"/>
              <w:bottom w:val="single" w:color="000000" w:sz="8" w:space="0"/>
            </w:tcBorders>
          </w:tcPr>
          <w:p>
            <w:pPr>
              <w:pStyle w:val="23"/>
              <w:spacing w:before="176"/>
              <w:ind w:left="28"/>
              <w:rPr>
                <w:rFonts w:ascii="仿宋" w:eastAsia="仿宋"/>
                <w:sz w:val="24"/>
              </w:rPr>
            </w:pPr>
            <w:r>
              <w:rPr>
                <w:rFonts w:hint="eastAsia" w:ascii="仿宋" w:eastAsia="仿宋"/>
                <w:sz w:val="24"/>
              </w:rPr>
              <w:t>履约地点</w:t>
            </w:r>
          </w:p>
        </w:tc>
        <w:tc>
          <w:tcPr>
            <w:tcW w:w="1129" w:type="dxa"/>
            <w:tcBorders>
              <w:top w:val="single" w:color="000000" w:sz="8" w:space="0"/>
              <w:bottom w:val="single" w:color="000000" w:sz="8" w:space="0"/>
              <w:right w:val="single" w:color="000000" w:sz="8" w:space="0"/>
            </w:tcBorders>
          </w:tcPr>
          <w:p>
            <w:pPr>
              <w:pStyle w:val="23"/>
              <w:spacing w:before="176"/>
              <w:ind w:left="322"/>
              <w:rPr>
                <w:rFonts w:ascii="仿宋" w:eastAsia="仿宋"/>
                <w:sz w:val="24"/>
              </w:rPr>
            </w:pPr>
            <w:r>
              <w:rPr>
                <w:rFonts w:hint="eastAsia" w:ascii="仿宋" w:eastAsia="仿宋"/>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0" w:hRule="atLeast"/>
        </w:trPr>
        <w:tc>
          <w:tcPr>
            <w:tcW w:w="1420" w:type="dxa"/>
            <w:tcBorders>
              <w:top w:val="single" w:color="000000" w:sz="8" w:space="0"/>
              <w:right w:val="single" w:color="000000" w:sz="8" w:space="0"/>
            </w:tcBorders>
          </w:tcPr>
          <w:p>
            <w:pPr>
              <w:pStyle w:val="23"/>
              <w:rPr>
                <w:rFonts w:ascii="Times New Roman"/>
              </w:rPr>
            </w:pPr>
          </w:p>
        </w:tc>
        <w:tc>
          <w:tcPr>
            <w:tcW w:w="2340" w:type="dxa"/>
            <w:tcBorders>
              <w:top w:val="single" w:color="000000" w:sz="8" w:space="0"/>
              <w:left w:val="single" w:color="000000" w:sz="8" w:space="0"/>
            </w:tcBorders>
          </w:tcPr>
          <w:p>
            <w:pPr>
              <w:pStyle w:val="23"/>
              <w:rPr>
                <w:rFonts w:ascii="仿宋"/>
                <w:b/>
                <w:sz w:val="24"/>
              </w:rPr>
            </w:pPr>
          </w:p>
          <w:p>
            <w:pPr>
              <w:pStyle w:val="23"/>
              <w:spacing w:before="202" w:line="242" w:lineRule="auto"/>
              <w:ind w:left="4" w:right="1598"/>
              <w:rPr>
                <w:rFonts w:ascii="仿宋" w:eastAsia="仿宋"/>
                <w:sz w:val="24"/>
              </w:rPr>
            </w:pPr>
            <w:r>
              <w:rPr>
                <w:rFonts w:hint="eastAsia" w:ascii="仿宋" w:eastAsia="仿宋"/>
                <w:sz w:val="24"/>
              </w:rPr>
              <w:t>大写： 小写：</w:t>
            </w:r>
          </w:p>
        </w:tc>
        <w:tc>
          <w:tcPr>
            <w:tcW w:w="1805" w:type="dxa"/>
            <w:tcBorders>
              <w:top w:val="single" w:color="000000" w:sz="8" w:space="0"/>
            </w:tcBorders>
          </w:tcPr>
          <w:p>
            <w:pPr>
              <w:pStyle w:val="23"/>
              <w:rPr>
                <w:rFonts w:ascii="Times New Roman"/>
              </w:rPr>
            </w:pPr>
          </w:p>
        </w:tc>
        <w:tc>
          <w:tcPr>
            <w:tcW w:w="1445" w:type="dxa"/>
            <w:tcBorders>
              <w:top w:val="single" w:color="000000" w:sz="8" w:space="0"/>
            </w:tcBorders>
          </w:tcPr>
          <w:p>
            <w:pPr>
              <w:pStyle w:val="23"/>
              <w:rPr>
                <w:rFonts w:ascii="Times New Roman"/>
              </w:rPr>
            </w:pPr>
          </w:p>
        </w:tc>
        <w:tc>
          <w:tcPr>
            <w:tcW w:w="1016" w:type="dxa"/>
            <w:tcBorders>
              <w:top w:val="single" w:color="000000" w:sz="8" w:space="0"/>
            </w:tcBorders>
          </w:tcPr>
          <w:p>
            <w:pPr>
              <w:pStyle w:val="23"/>
              <w:rPr>
                <w:rFonts w:ascii="Times New Roman"/>
              </w:rPr>
            </w:pPr>
          </w:p>
        </w:tc>
        <w:tc>
          <w:tcPr>
            <w:tcW w:w="1129" w:type="dxa"/>
            <w:tcBorders>
              <w:top w:val="single" w:color="000000" w:sz="8" w:space="0"/>
              <w:right w:val="single" w:color="000000" w:sz="8" w:space="0"/>
            </w:tcBorders>
          </w:tcPr>
          <w:p>
            <w:pPr>
              <w:pStyle w:val="23"/>
              <w:rPr>
                <w:rFonts w:ascii="Times New Roman"/>
              </w:rPr>
            </w:pPr>
          </w:p>
        </w:tc>
      </w:tr>
    </w:tbl>
    <w:p>
      <w:pPr>
        <w:pStyle w:val="9"/>
        <w:rPr>
          <w:b/>
        </w:rPr>
      </w:pPr>
    </w:p>
    <w:p>
      <w:pPr>
        <w:pStyle w:val="9"/>
        <w:spacing w:before="11"/>
        <w:rPr>
          <w:b/>
        </w:rPr>
      </w:pPr>
    </w:p>
    <w:p>
      <w:pPr>
        <w:pStyle w:val="9"/>
        <w:tabs>
          <w:tab w:val="left" w:pos="6696"/>
          <w:tab w:val="left" w:pos="7296"/>
        </w:tabs>
        <w:spacing w:line="242" w:lineRule="auto"/>
        <w:ind w:left="1597" w:right="3067"/>
        <w:rPr>
          <w:rFonts w:ascii="Times New Roman" w:eastAsia="Times New Roman"/>
          <w:spacing w:val="21"/>
          <w:u w:val="single"/>
        </w:rPr>
      </w:pPr>
      <w:r>
        <w:rPr>
          <w:spacing w:val="-1"/>
        </w:rPr>
        <w:t>投</w:t>
      </w:r>
      <w:r>
        <w:t>标人名称（单位盖章）：</w:t>
      </w:r>
      <w:r>
        <w:rPr>
          <w:rFonts w:ascii="Times New Roman" w:eastAsia="Times New Roman"/>
          <w:u w:val="single"/>
        </w:rPr>
        <w:t xml:space="preserve"> </w:t>
      </w:r>
      <w:r>
        <w:rPr>
          <w:rFonts w:hint="eastAsia" w:ascii="Times New Roman" w:eastAsia="宋体"/>
          <w:u w:val="single"/>
          <w:lang w:val="en-US"/>
        </w:rPr>
        <w:t xml:space="preserve">              </w:t>
      </w:r>
      <w:r>
        <w:rPr>
          <w:rFonts w:ascii="Times New Roman" w:eastAsia="Times New Roman"/>
          <w:spacing w:val="-1"/>
          <w:u w:val="single"/>
        </w:rPr>
        <w:t xml:space="preserve">                     </w:t>
      </w:r>
      <w:r>
        <w:rPr>
          <w:rFonts w:ascii="Times New Roman" w:eastAsia="Times New Roman"/>
          <w:spacing w:val="21"/>
          <w:u w:val="single"/>
        </w:rPr>
        <w:t xml:space="preserve"> </w:t>
      </w:r>
    </w:p>
    <w:p>
      <w:pPr>
        <w:pStyle w:val="9"/>
        <w:tabs>
          <w:tab w:val="left" w:pos="6696"/>
          <w:tab w:val="left" w:pos="7296"/>
        </w:tabs>
        <w:spacing w:line="242" w:lineRule="auto"/>
        <w:ind w:left="1597" w:right="3067"/>
        <w:rPr>
          <w:rFonts w:ascii="Times New Roman" w:eastAsia="Times New Roman"/>
          <w:spacing w:val="21"/>
          <w:u w:val="single"/>
        </w:rPr>
      </w:pPr>
    </w:p>
    <w:p>
      <w:pPr>
        <w:pStyle w:val="9"/>
        <w:tabs>
          <w:tab w:val="left" w:pos="6696"/>
          <w:tab w:val="left" w:pos="7296"/>
        </w:tabs>
        <w:spacing w:line="242" w:lineRule="auto"/>
        <w:ind w:left="1597" w:right="3067"/>
        <w:rPr>
          <w:rFonts w:ascii="Times New Roman" w:eastAsia="Times New Roman"/>
        </w:rPr>
      </w:pPr>
      <w:r>
        <w:rPr>
          <w:spacing w:val="-1"/>
        </w:rPr>
        <w:t>法</w:t>
      </w:r>
      <w:r>
        <w:t>定代表人或委托代理(签字):</w:t>
      </w:r>
      <w:r>
        <w:rPr>
          <w:rFonts w:ascii="Times New Roman" w:eastAsia="Times New Roman"/>
          <w:u w:val="single"/>
        </w:rPr>
        <w:t xml:space="preserve"> </w:t>
      </w:r>
      <w:r>
        <w:rPr>
          <w:rFonts w:ascii="Times New Roman" w:eastAsia="Times New Roman"/>
          <w:u w:val="single"/>
        </w:rPr>
        <w:tab/>
      </w:r>
    </w:p>
    <w:p>
      <w:pPr>
        <w:pStyle w:val="9"/>
        <w:spacing w:before="7"/>
        <w:rPr>
          <w:rFonts w:ascii="Times New Roman"/>
          <w:sz w:val="21"/>
        </w:rPr>
      </w:pPr>
    </w:p>
    <w:p>
      <w:pPr>
        <w:pStyle w:val="9"/>
        <w:spacing w:before="66"/>
        <w:ind w:left="909" w:right="3277"/>
        <w:jc w:val="center"/>
      </w:pPr>
      <w:r>
        <w:t>注:1、此表应按投标人须知的规定装订密封。</w:t>
      </w:r>
    </w:p>
    <w:p>
      <w:pPr>
        <w:pStyle w:val="9"/>
        <w:spacing w:before="5"/>
        <w:ind w:left="441" w:right="57"/>
        <w:jc w:val="center"/>
      </w:pPr>
      <w:r>
        <w:t>2、此表中，每包的报价总价应和投标分项报价表的总价相一致。</w:t>
      </w:r>
    </w:p>
    <w:p>
      <w:pPr>
        <w:jc w:val="center"/>
        <w:sectPr>
          <w:pgSz w:w="11910" w:h="16840"/>
          <w:pgMar w:top="1480" w:right="800" w:bottom="1180" w:left="740" w:header="0" w:footer="1000" w:gutter="0"/>
          <w:cols w:space="720" w:num="1"/>
        </w:sectPr>
      </w:pPr>
    </w:p>
    <w:p>
      <w:pPr>
        <w:pStyle w:val="9"/>
        <w:spacing w:before="9"/>
        <w:rPr>
          <w:sz w:val="15"/>
        </w:rPr>
      </w:pPr>
    </w:p>
    <w:p>
      <w:pPr>
        <w:spacing w:before="66"/>
        <w:ind w:left="1057"/>
        <w:rPr>
          <w:b/>
          <w:sz w:val="24"/>
        </w:rPr>
      </w:pPr>
      <w:r>
        <w:rPr>
          <w:sz w:val="24"/>
        </w:rPr>
        <w:t xml:space="preserve">2 </w:t>
      </w:r>
      <w:r>
        <w:rPr>
          <w:b/>
          <w:sz w:val="24"/>
        </w:rPr>
        <w:t>相应经营范围的营业执照副本复印件（三证合一）;</w:t>
      </w:r>
    </w:p>
    <w:p>
      <w:pPr>
        <w:pStyle w:val="9"/>
        <w:rPr>
          <w:b/>
        </w:rPr>
      </w:pPr>
    </w:p>
    <w:p>
      <w:pPr>
        <w:pStyle w:val="9"/>
        <w:rPr>
          <w:b/>
        </w:rPr>
      </w:pPr>
    </w:p>
    <w:p>
      <w:pPr>
        <w:pStyle w:val="9"/>
        <w:rPr>
          <w:b/>
        </w:rPr>
      </w:pPr>
    </w:p>
    <w:p>
      <w:pPr>
        <w:pStyle w:val="9"/>
        <w:spacing w:before="10"/>
        <w:rPr>
          <w:b/>
          <w:sz w:val="25"/>
        </w:rPr>
      </w:pPr>
    </w:p>
    <w:p>
      <w:pPr>
        <w:pStyle w:val="11"/>
        <w:tabs>
          <w:tab w:val="left" w:pos="5580"/>
        </w:tabs>
        <w:spacing w:line="240" w:lineRule="atLeast"/>
        <w:ind w:left="1105" w:leftChars="257" w:hanging="540"/>
        <w:rPr>
          <w:rFonts w:ascii="仿宋_GB2312" w:hAnsi="宋体" w:eastAsia="仿宋_GB2312"/>
          <w:sz w:val="24"/>
        </w:rPr>
      </w:pPr>
      <w:r>
        <w:t>说明：</w:t>
      </w:r>
      <w:r>
        <w:rPr>
          <w:rFonts w:hint="eastAsia" w:ascii="仿宋_GB2312" w:hAnsi="宋体" w:eastAsia="仿宋_GB2312"/>
          <w:sz w:val="24"/>
        </w:rPr>
        <w:t>1.提供有效的营业执照等证明文件复印件，复印件上应加盖本单位章。</w:t>
      </w:r>
    </w:p>
    <w:p>
      <w:pPr>
        <w:pStyle w:val="11"/>
        <w:tabs>
          <w:tab w:val="left" w:pos="5580"/>
        </w:tabs>
        <w:spacing w:line="240" w:lineRule="atLeast"/>
        <w:ind w:left="1105" w:leftChars="257" w:hanging="540"/>
        <w:rPr>
          <w:rFonts w:ascii="仿宋_GB2312" w:hAnsi="宋体" w:eastAsia="仿宋_GB2312"/>
          <w:sz w:val="24"/>
        </w:rPr>
      </w:pPr>
      <w:r>
        <w:rPr>
          <w:rFonts w:hint="eastAsia" w:ascii="仿宋_GB2312" w:hAnsi="宋体" w:eastAsia="仿宋_GB2312"/>
          <w:sz w:val="24"/>
        </w:rPr>
        <w:t xml:space="preserve">      2. 投标人为自然人的，应提供身份证明的复印件。</w:t>
      </w:r>
    </w:p>
    <w:p>
      <w:pPr>
        <w:pStyle w:val="11"/>
        <w:tabs>
          <w:tab w:val="left" w:pos="5580"/>
        </w:tabs>
        <w:spacing w:line="240" w:lineRule="atLeast"/>
        <w:ind w:left="1105" w:leftChars="257" w:hanging="540"/>
        <w:rPr>
          <w:rFonts w:ascii="仿宋_GB2312" w:hAnsi="宋体" w:eastAsia="仿宋_GB2312"/>
          <w:sz w:val="24"/>
        </w:rPr>
      </w:pPr>
      <w:r>
        <w:rPr>
          <w:rFonts w:hint="eastAsia" w:ascii="仿宋_GB2312" w:hAnsi="宋体" w:eastAsia="仿宋_GB2312"/>
          <w:sz w:val="24"/>
        </w:rPr>
        <w:t xml:space="preserve">      3.联合体投标应提供联合体各方满足以上要求的证明文件。</w:t>
      </w:r>
    </w:p>
    <w:p>
      <w:pPr>
        <w:pStyle w:val="9"/>
        <w:ind w:left="1057"/>
      </w:pPr>
    </w:p>
    <w:p>
      <w:pPr>
        <w:sectPr>
          <w:footerReference r:id="rId5" w:type="default"/>
          <w:pgSz w:w="11910" w:h="16840"/>
          <w:pgMar w:top="1580" w:right="800" w:bottom="1180" w:left="740" w:header="0" w:footer="1000" w:gutter="0"/>
          <w:pgNumType w:start="20"/>
          <w:cols w:space="720" w:num="1"/>
        </w:sectPr>
      </w:pPr>
    </w:p>
    <w:p>
      <w:pPr>
        <w:tabs>
          <w:tab w:val="left" w:pos="4463"/>
        </w:tabs>
        <w:spacing w:before="55"/>
        <w:rPr>
          <w:b/>
          <w:sz w:val="24"/>
          <w:lang w:val="en-US"/>
        </w:rPr>
      </w:pPr>
      <w:bookmarkStart w:id="50" w:name="3__法定代表人授权委托书"/>
      <w:bookmarkEnd w:id="50"/>
      <w:r>
        <w:rPr>
          <w:rFonts w:hint="eastAsia"/>
          <w:b/>
          <w:sz w:val="24"/>
          <w:lang w:val="en-US"/>
        </w:rPr>
        <w:t>3、法定代表人授权书及被委托人身份证（法定代表人投标提供法定代表人身份证明及身份证）</w:t>
      </w:r>
    </w:p>
    <w:p>
      <w:pPr>
        <w:pStyle w:val="5"/>
        <w:ind w:firstLine="0"/>
        <w:rPr>
          <w:rFonts w:ascii="仿宋_GB2312" w:hAnsi="宋体" w:eastAsia="仿宋_GB2312"/>
          <w:b/>
          <w:bCs/>
          <w:color w:val="558ED5" w:themeColor="text2" w:themeTint="99"/>
          <w:kern w:val="2"/>
          <w:szCs w:val="24"/>
          <w14:textFill>
            <w14:solidFill>
              <w14:schemeClr w14:val="tx2">
                <w14:lumMod w14:val="60000"/>
                <w14:lumOff w14:val="40000"/>
              </w14:schemeClr>
            </w14:solidFill>
          </w14:textFill>
        </w:rPr>
      </w:pPr>
      <w:r>
        <w:rPr>
          <w:rFonts w:hint="eastAsia" w:ascii="仿宋_GB2312" w:hAnsi="宋体" w:eastAsia="仿宋_GB2312"/>
          <w:b/>
          <w:bCs/>
          <w:kern w:val="2"/>
          <w:szCs w:val="24"/>
        </w:rPr>
        <w:t>(自然人投标的无需提供)</w:t>
      </w:r>
    </w:p>
    <w:p>
      <w:pPr>
        <w:tabs>
          <w:tab w:val="left" w:pos="4463"/>
        </w:tabs>
        <w:spacing w:before="55"/>
        <w:rPr>
          <w:b/>
          <w:sz w:val="24"/>
          <w:lang w:val="en-US"/>
        </w:rPr>
      </w:pPr>
    </w:p>
    <w:p>
      <w:pPr>
        <w:tabs>
          <w:tab w:val="left" w:pos="4463"/>
        </w:tabs>
        <w:spacing w:before="55"/>
        <w:jc w:val="center"/>
        <w:rPr>
          <w:b/>
          <w:sz w:val="24"/>
        </w:rPr>
      </w:pPr>
      <w:r>
        <w:rPr>
          <w:b/>
          <w:sz w:val="24"/>
        </w:rPr>
        <w:t>3</w:t>
      </w:r>
      <w:r>
        <w:rPr>
          <w:rFonts w:hint="eastAsia"/>
          <w:b/>
          <w:sz w:val="24"/>
          <w:lang w:val="en-US"/>
        </w:rPr>
        <w:t>.1</w:t>
      </w:r>
      <w:r>
        <w:rPr>
          <w:b/>
          <w:sz w:val="24"/>
        </w:rPr>
        <w:t>法定代表人授权委托书</w:t>
      </w:r>
    </w:p>
    <w:p>
      <w:pPr>
        <w:pStyle w:val="9"/>
        <w:rPr>
          <w:b/>
        </w:rPr>
      </w:pPr>
    </w:p>
    <w:p>
      <w:pPr>
        <w:pStyle w:val="9"/>
        <w:rPr>
          <w:b/>
        </w:rPr>
      </w:pPr>
    </w:p>
    <w:p>
      <w:pPr>
        <w:pStyle w:val="9"/>
        <w:spacing w:before="5"/>
        <w:rPr>
          <w:b/>
          <w:sz w:val="25"/>
        </w:rPr>
      </w:pPr>
    </w:p>
    <w:p>
      <w:pPr>
        <w:pStyle w:val="9"/>
        <w:spacing w:before="1" w:line="242" w:lineRule="auto"/>
        <w:ind w:left="1057" w:right="995" w:firstLine="480"/>
      </w:pPr>
      <w:r>
        <w:t>本授权书声明：注册于</w:t>
      </w:r>
      <w:r>
        <w:rPr>
          <w:u w:val="single"/>
        </w:rPr>
        <w:t>（国家或地区的名称）</w:t>
      </w:r>
      <w:r>
        <w:t>的（</w:t>
      </w:r>
      <w:r>
        <w:rPr>
          <w:u w:val="single"/>
        </w:rPr>
        <w:t>投标人</w:t>
      </w:r>
      <w:r>
        <w:t>）的在下面签字的（</w:t>
      </w:r>
      <w:r>
        <w:rPr>
          <w:u w:val="single"/>
        </w:rPr>
        <w:t>法人代表姓名、职务</w:t>
      </w:r>
      <w:r>
        <w:t>）代表我单位授权（</w:t>
      </w:r>
      <w:r>
        <w:rPr>
          <w:u w:val="single"/>
        </w:rPr>
        <w:t>单位名称</w:t>
      </w:r>
      <w:r>
        <w:t>）的在下面签字的（</w:t>
      </w:r>
      <w:r>
        <w:rPr>
          <w:spacing w:val="-66"/>
          <w:u w:val="single"/>
        </w:rPr>
        <w:t>被授</w:t>
      </w:r>
      <w:r>
        <w:rPr>
          <w:spacing w:val="-3"/>
          <w:u w:val="single"/>
        </w:rPr>
        <w:t>权人的姓名、职务</w:t>
      </w:r>
      <w:r>
        <w:rPr>
          <w:spacing w:val="-15"/>
        </w:rPr>
        <w:t>）</w:t>
      </w:r>
      <w:r>
        <w:rPr>
          <w:spacing w:val="-3"/>
        </w:rPr>
        <w:t>为我单位的合法代理人，就（</w:t>
      </w:r>
      <w:r>
        <w:rPr>
          <w:u w:val="single"/>
        </w:rPr>
        <w:t>项目名称</w:t>
      </w:r>
      <w:r>
        <w:rPr>
          <w:spacing w:val="-15"/>
        </w:rPr>
        <w:t>）的</w:t>
      </w:r>
      <w:r>
        <w:t>（</w:t>
      </w:r>
      <w:r>
        <w:rPr>
          <w:u w:val="single"/>
        </w:rPr>
        <w:t>合同名称</w:t>
      </w:r>
      <w:r>
        <w:t>） 报价，以我单位名义处理一切与之有关的事务。</w:t>
      </w:r>
    </w:p>
    <w:p>
      <w:pPr>
        <w:pStyle w:val="9"/>
        <w:spacing w:before="10"/>
      </w:pPr>
    </w:p>
    <w:p>
      <w:pPr>
        <w:pStyle w:val="9"/>
        <w:tabs>
          <w:tab w:val="left" w:pos="3937"/>
          <w:tab w:val="left" w:pos="4777"/>
          <w:tab w:val="left" w:pos="5617"/>
        </w:tabs>
        <w:ind w:left="1417"/>
      </w:pPr>
      <w:r>
        <w:t>本授权书于</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日签字生效,特此声明。</w:t>
      </w:r>
    </w:p>
    <w:p>
      <w:pPr>
        <w:pStyle w:val="9"/>
        <w:rPr>
          <w:sz w:val="26"/>
          <w:lang w:val="en-US"/>
        </w:rPr>
      </w:pPr>
      <w:r>
        <w:rPr>
          <w:rFonts w:hint="eastAsia"/>
          <w:lang w:val="en-US" w:bidi="ar-SA"/>
        </w:rPr>
        <mc:AlternateContent>
          <mc:Choice Requires="wps">
            <w:drawing>
              <wp:anchor distT="0" distB="0" distL="114300" distR="114300" simplePos="0" relativeHeight="251676672" behindDoc="0" locked="0" layoutInCell="1" allowOverlap="1">
                <wp:simplePos x="0" y="0"/>
                <wp:positionH relativeFrom="column">
                  <wp:posOffset>667385</wp:posOffset>
                </wp:positionH>
                <wp:positionV relativeFrom="paragraph">
                  <wp:posOffset>187325</wp:posOffset>
                </wp:positionV>
                <wp:extent cx="2745740" cy="1230630"/>
                <wp:effectExtent l="7620" t="7620" r="20320" b="11430"/>
                <wp:wrapNone/>
                <wp:docPr id="14" name="圆角矩形 14"/>
                <wp:cNvGraphicFramePr/>
                <a:graphic xmlns:a="http://schemas.openxmlformats.org/drawingml/2006/main">
                  <a:graphicData uri="http://schemas.microsoft.com/office/word/2010/wordprocessingShape">
                    <wps:wsp>
                      <wps:cNvSpPr/>
                      <wps:spPr>
                        <a:xfrm>
                          <a:off x="0" y="0"/>
                          <a:ext cx="2745740" cy="123063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法人身份证复印件正面</w:t>
                            </w:r>
                          </w:p>
                          <w:p/>
                        </w:txbxContent>
                      </wps:txbx>
                      <wps:bodyPr upright="1"/>
                    </wps:wsp>
                  </a:graphicData>
                </a:graphic>
              </wp:anchor>
            </w:drawing>
          </mc:Choice>
          <mc:Fallback>
            <w:pict>
              <v:roundrect id="_x0000_s1026" o:spid="_x0000_s1026" o:spt="2" style="position:absolute;left:0pt;margin-left:52.55pt;margin-top:14.75pt;height:96.9pt;width:216.2pt;z-index:251676672;mso-width-relative:page;mso-height-relative:page;" fillcolor="#FFFFFF" filled="t" stroked="t" coordsize="21600,21600" arcsize="0.166666666666667" o:gfxdata="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AY0cMDaAAAACgEAAA8AAAAAAAAAAQAgAAAAIgAAAGRycy9kb3ducmV2LnhtbFBLAQIUABQA&#10;AAAIAIdO4kCaPsySJwIAAFoEAAAOAAAAAAAAAAEAIAAAACkBAABkcnMvZTJvRG9jLnhtbFBLBQYA&#10;AAAABgAGAFkBAADC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法人身份证复印件正面</w:t>
                      </w:r>
                    </w:p>
                    <w:p/>
                  </w:txbxContent>
                </v:textbox>
              </v:roundrect>
            </w:pict>
          </mc:Fallback>
        </mc:AlternateContent>
      </w:r>
      <w:r>
        <w:rPr>
          <w:rFonts w:hint="eastAsia"/>
          <w:sz w:val="26"/>
          <w:lang w:val="en-US"/>
        </w:rPr>
        <w:t xml:space="preserve"> </w:t>
      </w:r>
    </w:p>
    <w:p>
      <w:pPr>
        <w:pStyle w:val="9"/>
        <w:rPr>
          <w:sz w:val="26"/>
          <w:lang w:val="en-US"/>
        </w:rPr>
      </w:pPr>
      <w:r>
        <w:rPr>
          <w:rFonts w:hint="eastAsia"/>
          <w:lang w:val="en-US" w:bidi="ar-SA"/>
        </w:rPr>
        <mc:AlternateContent>
          <mc:Choice Requires="wps">
            <w:drawing>
              <wp:anchor distT="0" distB="0" distL="114300" distR="114300" simplePos="0" relativeHeight="251677696" behindDoc="0" locked="0" layoutInCell="1" allowOverlap="1">
                <wp:simplePos x="0" y="0"/>
                <wp:positionH relativeFrom="column">
                  <wp:posOffset>3527425</wp:posOffset>
                </wp:positionH>
                <wp:positionV relativeFrom="paragraph">
                  <wp:posOffset>8890</wp:posOffset>
                </wp:positionV>
                <wp:extent cx="2745740" cy="1230630"/>
                <wp:effectExtent l="7620" t="7620" r="20320" b="11430"/>
                <wp:wrapNone/>
                <wp:docPr id="25" name="圆角矩形 25"/>
                <wp:cNvGraphicFramePr/>
                <a:graphic xmlns:a="http://schemas.openxmlformats.org/drawingml/2006/main">
                  <a:graphicData uri="http://schemas.microsoft.com/office/word/2010/wordprocessingShape">
                    <wps:wsp>
                      <wps:cNvSpPr/>
                      <wps:spPr>
                        <a:xfrm>
                          <a:off x="0" y="0"/>
                          <a:ext cx="2745740" cy="123063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法人身份证复印件正面</w:t>
                            </w:r>
                          </w:p>
                          <w:p/>
                        </w:txbxContent>
                      </wps:txbx>
                      <wps:bodyPr upright="1"/>
                    </wps:wsp>
                  </a:graphicData>
                </a:graphic>
              </wp:anchor>
            </w:drawing>
          </mc:Choice>
          <mc:Fallback>
            <w:pict>
              <v:roundrect id="_x0000_s1026" o:spid="_x0000_s1026" o:spt="2" style="position:absolute;left:0pt;margin-left:277.75pt;margin-top:0.7pt;height:96.9pt;width:216.2pt;z-index:251677696;mso-width-relative:page;mso-height-relative:page;" fillcolor="#FFFFFF" filled="t" stroked="t" coordsize="21600,21600" arcsize="0.166666666666667" o:gfxdata="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Al/h5dkAAAAJAQAADwAAAAAAAAABACAAAAAiAAAAZHJzL2Rvd25yZXYueG1sUEsBAhQAFAAA&#10;AAgAh07iQLnn3LwnAgAAWgQAAA4AAAAAAAAAAQAgAAAAKAEAAGRycy9lMm9Eb2MueG1sUEsFBgAA&#10;AAAGAAYAWQEAAMEFA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法人身份证复印件正面</w:t>
                      </w:r>
                    </w:p>
                    <w:p/>
                  </w:txbxContent>
                </v:textbox>
              </v:roundrect>
            </w:pict>
          </mc:Fallback>
        </mc:AlternateContent>
      </w:r>
    </w:p>
    <w:p>
      <w:pPr>
        <w:pStyle w:val="9"/>
        <w:rPr>
          <w:sz w:val="26"/>
          <w:lang w:val="en-US"/>
        </w:rPr>
      </w:pPr>
    </w:p>
    <w:p>
      <w:pPr>
        <w:pStyle w:val="9"/>
        <w:rPr>
          <w:sz w:val="26"/>
          <w:lang w:val="en-US"/>
        </w:rPr>
      </w:pPr>
    </w:p>
    <w:p>
      <w:pPr>
        <w:pStyle w:val="9"/>
        <w:rPr>
          <w:sz w:val="26"/>
          <w:lang w:val="en-US"/>
        </w:rPr>
      </w:pPr>
    </w:p>
    <w:p>
      <w:pPr>
        <w:pStyle w:val="9"/>
        <w:rPr>
          <w:sz w:val="26"/>
          <w:lang w:val="en-US"/>
        </w:rPr>
      </w:pPr>
    </w:p>
    <w:p>
      <w:pPr>
        <w:pStyle w:val="9"/>
        <w:rPr>
          <w:sz w:val="26"/>
          <w:lang w:val="en-US"/>
        </w:rPr>
      </w:pPr>
    </w:p>
    <w:p>
      <w:pPr>
        <w:pStyle w:val="9"/>
        <w:rPr>
          <w:sz w:val="26"/>
          <w:lang w:val="en-US"/>
        </w:rPr>
      </w:pPr>
      <w:r>
        <w:rPr>
          <w:rFonts w:hint="eastAsia"/>
          <w:lang w:val="en-US" w:bidi="ar-SA"/>
        </w:rPr>
        <mc:AlternateContent>
          <mc:Choice Requires="wps">
            <w:drawing>
              <wp:anchor distT="0" distB="0" distL="114300" distR="114300" simplePos="0" relativeHeight="251679744" behindDoc="0" locked="0" layoutInCell="1" allowOverlap="1">
                <wp:simplePos x="0" y="0"/>
                <wp:positionH relativeFrom="column">
                  <wp:posOffset>3517265</wp:posOffset>
                </wp:positionH>
                <wp:positionV relativeFrom="paragraph">
                  <wp:posOffset>141605</wp:posOffset>
                </wp:positionV>
                <wp:extent cx="2745740" cy="1230630"/>
                <wp:effectExtent l="7620" t="7620" r="20320" b="11430"/>
                <wp:wrapNone/>
                <wp:docPr id="32" name="圆角矩形 32"/>
                <wp:cNvGraphicFramePr/>
                <a:graphic xmlns:a="http://schemas.openxmlformats.org/drawingml/2006/main">
                  <a:graphicData uri="http://schemas.microsoft.com/office/word/2010/wordprocessingShape">
                    <wps:wsp>
                      <wps:cNvSpPr/>
                      <wps:spPr>
                        <a:xfrm>
                          <a:off x="0" y="0"/>
                          <a:ext cx="2745740" cy="123063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授权委托人身份证复印件反面</w:t>
                            </w:r>
                          </w:p>
                          <w:p/>
                        </w:txbxContent>
                      </wps:txbx>
                      <wps:bodyPr upright="1"/>
                    </wps:wsp>
                  </a:graphicData>
                </a:graphic>
              </wp:anchor>
            </w:drawing>
          </mc:Choice>
          <mc:Fallback>
            <w:pict>
              <v:roundrect id="_x0000_s1026" o:spid="_x0000_s1026" o:spt="2" style="position:absolute;left:0pt;margin-left:276.95pt;margin-top:11.15pt;height:96.9pt;width:216.2pt;z-index:251679744;mso-width-relative:page;mso-height-relative:page;" fillcolor="#FFFFFF" filled="t" stroked="t" coordsize="21600,21600" arcsize="0.166666666666667" o:gfxdata="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JcN7a2wAAAAoBAAAPAAAAAAAAAAEAIAAAACIAAABkcnMvZG93bnJldi54bWxQSwECFAAU&#10;AAAACACHTuJAPaN/MScCAABaBAAADgAAAAAAAAABACAAAAAqAQAAZHJzL2Uyb0RvYy54bWxQSwUG&#10;AAAAAAYABgBZAQAAwwU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授权委托人身份证复印件反面</w:t>
                      </w:r>
                    </w:p>
                    <w:p/>
                  </w:txbxContent>
                </v:textbox>
              </v:roundrect>
            </w:pict>
          </mc:Fallback>
        </mc:AlternateContent>
      </w:r>
      <w:r>
        <w:rPr>
          <w:rFonts w:hint="eastAsia"/>
          <w:lang w:val="en-US" w:bidi="ar-SA"/>
        </w:rPr>
        <mc:AlternateContent>
          <mc:Choice Requires="wps">
            <w:drawing>
              <wp:anchor distT="0" distB="0" distL="114300" distR="114300" simplePos="0" relativeHeight="251678720" behindDoc="0" locked="0" layoutInCell="1" allowOverlap="1">
                <wp:simplePos x="0" y="0"/>
                <wp:positionH relativeFrom="column">
                  <wp:posOffset>636905</wp:posOffset>
                </wp:positionH>
                <wp:positionV relativeFrom="paragraph">
                  <wp:posOffset>90805</wp:posOffset>
                </wp:positionV>
                <wp:extent cx="2745740" cy="1230630"/>
                <wp:effectExtent l="7620" t="7620" r="20320" b="11430"/>
                <wp:wrapNone/>
                <wp:docPr id="28" name="圆角矩形 28"/>
                <wp:cNvGraphicFramePr/>
                <a:graphic xmlns:a="http://schemas.openxmlformats.org/drawingml/2006/main">
                  <a:graphicData uri="http://schemas.microsoft.com/office/word/2010/wordprocessingShape">
                    <wps:wsp>
                      <wps:cNvSpPr/>
                      <wps:spPr>
                        <a:xfrm>
                          <a:off x="0" y="0"/>
                          <a:ext cx="2745740" cy="1230630"/>
                        </a:xfrm>
                        <a:prstGeom prst="roundRect">
                          <a:avLst>
                            <a:gd name="adj" fmla="val 16667"/>
                          </a:avLst>
                        </a:prstGeom>
                        <a:solidFill>
                          <a:srgbClr val="FFFFFF"/>
                        </a:solidFill>
                        <a:ln w="15875" cap="flat" cmpd="sng">
                          <a:solidFill>
                            <a:srgbClr val="808080"/>
                          </a:solidFill>
                          <a:prstDash val="solid"/>
                          <a:headEnd type="none" w="med" len="med"/>
                          <a:tailEnd type="none" w="med" len="med"/>
                        </a:ln>
                      </wps:spPr>
                      <wps:txb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授权委托人身份证复印件正面</w:t>
                            </w:r>
                          </w:p>
                          <w:p/>
                        </w:txbxContent>
                      </wps:txbx>
                      <wps:bodyPr upright="1"/>
                    </wps:wsp>
                  </a:graphicData>
                </a:graphic>
              </wp:anchor>
            </w:drawing>
          </mc:Choice>
          <mc:Fallback>
            <w:pict>
              <v:roundrect id="_x0000_s1026" o:spid="_x0000_s1026" o:spt="2" style="position:absolute;left:0pt;margin-left:50.15pt;margin-top:7.15pt;height:96.9pt;width:216.2pt;z-index:251678720;mso-width-relative:page;mso-height-relative:page;" fillcolor="#FFFFFF" filled="t" stroked="t" coordsize="21600,21600" arcsize="0.166666666666667" o:gfxdata="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H7Us5TaAAAACgEAAA8AAAAAAAAAAQAgAAAAIgAAAGRycy9kb3ducmV2LnhtbFBLAQIUABQA&#10;AAAIAIdO4kDNvI55JwIAAFoEAAAOAAAAAAAAAAEAIAAAACkBAABkcnMvZTJvRG9jLnhtbFBLBQYA&#10;AAAABgAGAFkBAADCBQAAAAA=&#10;">
                <v:fill on="t" focussize="0,0"/>
                <v:stroke weight="1.25pt" color="#808080" joinstyle="round"/>
                <v:imagedata o:title=""/>
                <o:lock v:ext="edit" aspectratio="f"/>
                <v:textbox>
                  <w:txbxContent>
                    <w:p>
                      <w:pPr>
                        <w:jc w:val="center"/>
                        <w:rPr>
                          <w:rFonts w:hAnsi="宋体"/>
                        </w:rPr>
                      </w:pPr>
                    </w:p>
                    <w:p>
                      <w:pPr>
                        <w:jc w:val="center"/>
                        <w:rPr>
                          <w:rFonts w:hAnsi="宋体"/>
                        </w:rPr>
                      </w:pPr>
                    </w:p>
                    <w:p>
                      <w:pPr>
                        <w:jc w:val="center"/>
                        <w:rPr>
                          <w:rFonts w:hAnsi="宋体"/>
                        </w:rPr>
                      </w:pPr>
                    </w:p>
                    <w:p>
                      <w:pPr>
                        <w:jc w:val="center"/>
                      </w:pPr>
                      <w:r>
                        <w:rPr>
                          <w:rFonts w:hint="eastAsia" w:hAnsi="宋体"/>
                        </w:rPr>
                        <w:t>授权委托人身份证复印件正面</w:t>
                      </w:r>
                    </w:p>
                    <w:p/>
                  </w:txbxContent>
                </v:textbox>
              </v:roundrect>
            </w:pict>
          </mc:Fallback>
        </mc:AlternateContent>
      </w:r>
    </w:p>
    <w:p>
      <w:pPr>
        <w:pStyle w:val="9"/>
        <w:rPr>
          <w:sz w:val="26"/>
          <w:lang w:val="en-US"/>
        </w:rPr>
      </w:pPr>
    </w:p>
    <w:p>
      <w:pPr>
        <w:pStyle w:val="9"/>
        <w:rPr>
          <w:sz w:val="26"/>
          <w:lang w:val="en-US"/>
        </w:rPr>
      </w:pPr>
    </w:p>
    <w:p>
      <w:pPr>
        <w:pStyle w:val="9"/>
        <w:rPr>
          <w:sz w:val="26"/>
        </w:rPr>
      </w:pPr>
    </w:p>
    <w:p>
      <w:pPr>
        <w:pStyle w:val="9"/>
        <w:spacing w:before="5"/>
        <w:rPr>
          <w:sz w:val="21"/>
        </w:rPr>
      </w:pPr>
    </w:p>
    <w:p>
      <w:pPr>
        <w:pStyle w:val="9"/>
        <w:tabs>
          <w:tab w:val="left" w:pos="7056"/>
          <w:tab w:val="left" w:pos="7236"/>
        </w:tabs>
        <w:spacing w:line="242" w:lineRule="auto"/>
        <w:ind w:left="1537" w:right="3127"/>
      </w:pPr>
    </w:p>
    <w:p>
      <w:pPr>
        <w:pStyle w:val="9"/>
        <w:tabs>
          <w:tab w:val="left" w:pos="7056"/>
          <w:tab w:val="left" w:pos="7236"/>
        </w:tabs>
        <w:spacing w:line="242" w:lineRule="auto"/>
        <w:ind w:left="1537" w:right="3127"/>
      </w:pPr>
    </w:p>
    <w:p>
      <w:pPr>
        <w:pStyle w:val="9"/>
        <w:tabs>
          <w:tab w:val="left" w:pos="7056"/>
          <w:tab w:val="left" w:pos="7236"/>
        </w:tabs>
        <w:spacing w:line="242" w:lineRule="auto"/>
        <w:ind w:left="1537" w:right="3127"/>
      </w:pPr>
    </w:p>
    <w:p>
      <w:pPr>
        <w:pStyle w:val="9"/>
        <w:tabs>
          <w:tab w:val="left" w:pos="7056"/>
          <w:tab w:val="left" w:pos="7236"/>
        </w:tabs>
        <w:spacing w:line="242" w:lineRule="auto"/>
        <w:ind w:left="1537" w:right="3127"/>
      </w:pPr>
    </w:p>
    <w:p>
      <w:pPr>
        <w:pStyle w:val="9"/>
        <w:tabs>
          <w:tab w:val="left" w:pos="7056"/>
          <w:tab w:val="left" w:pos="7236"/>
        </w:tabs>
        <w:spacing w:line="242" w:lineRule="auto"/>
        <w:ind w:left="1537" w:right="3127"/>
      </w:pPr>
      <w:r>
        <w:rPr>
          <w:lang w:val="en-US" w:bidi="ar-SA"/>
        </w:rPr>
        <mc:AlternateContent>
          <mc:Choice Requires="wpg">
            <w:drawing>
              <wp:anchor distT="0" distB="0" distL="114300" distR="114300" simplePos="0" relativeHeight="251659264" behindDoc="1" locked="0" layoutInCell="1" allowOverlap="1">
                <wp:simplePos x="0" y="0"/>
                <wp:positionH relativeFrom="page">
                  <wp:posOffset>1445260</wp:posOffset>
                </wp:positionH>
                <wp:positionV relativeFrom="paragraph">
                  <wp:posOffset>563880</wp:posOffset>
                </wp:positionV>
                <wp:extent cx="3581400" cy="7620"/>
                <wp:effectExtent l="0" t="0" r="0" b="0"/>
                <wp:wrapNone/>
                <wp:docPr id="6" name="组合 2"/>
                <wp:cNvGraphicFramePr/>
                <a:graphic xmlns:a="http://schemas.openxmlformats.org/drawingml/2006/main">
                  <a:graphicData uri="http://schemas.microsoft.com/office/word/2010/wordprocessingGroup">
                    <wpg:wgp>
                      <wpg:cNvGrpSpPr/>
                      <wpg:grpSpPr>
                        <a:xfrm>
                          <a:off x="0" y="0"/>
                          <a:ext cx="3581400" cy="7620"/>
                          <a:chOff x="2277" y="888"/>
                          <a:chExt cx="5640" cy="12"/>
                        </a:xfrm>
                      </wpg:grpSpPr>
                      <wps:wsp>
                        <wps:cNvPr id="2" name="直线 3"/>
                        <wps:cNvCnPr/>
                        <wps:spPr>
                          <a:xfrm>
                            <a:off x="3718" y="893"/>
                            <a:ext cx="4080" cy="0"/>
                          </a:xfrm>
                          <a:prstGeom prst="line">
                            <a:avLst/>
                          </a:prstGeom>
                          <a:ln w="3572" cap="flat" cmpd="sng">
                            <a:solidFill>
                              <a:srgbClr val="000000"/>
                            </a:solidFill>
                            <a:prstDash val="solid"/>
                            <a:headEnd type="none" w="med" len="med"/>
                            <a:tailEnd type="none" w="med" len="med"/>
                          </a:ln>
                        </wps:spPr>
                        <wps:bodyPr/>
                      </wps:wsp>
                      <wps:wsp>
                        <wps:cNvPr id="4" name="直线 4"/>
                        <wps:cNvCnPr/>
                        <wps:spPr>
                          <a:xfrm>
                            <a:off x="2277" y="894"/>
                            <a:ext cx="1200" cy="0"/>
                          </a:xfrm>
                          <a:prstGeom prst="line">
                            <a:avLst/>
                          </a:prstGeom>
                          <a:ln w="7620" cap="flat" cmpd="sng">
                            <a:solidFill>
                              <a:srgbClr val="EDEBE0"/>
                            </a:solidFill>
                            <a:prstDash val="solid"/>
                            <a:headEnd type="none" w="med" len="med"/>
                            <a:tailEnd type="none" w="med" len="med"/>
                          </a:ln>
                        </wps:spPr>
                        <wps:bodyPr/>
                      </wps:wsp>
                      <wps:wsp>
                        <wps:cNvPr id="5" name="直线 5"/>
                        <wps:cNvCnPr/>
                        <wps:spPr>
                          <a:xfrm>
                            <a:off x="3477" y="894"/>
                            <a:ext cx="4440" cy="0"/>
                          </a:xfrm>
                          <a:prstGeom prst="line">
                            <a:avLst/>
                          </a:prstGeom>
                          <a:ln w="7620" cap="flat" cmpd="sng">
                            <a:solidFill>
                              <a:srgbClr val="000000"/>
                            </a:solidFill>
                            <a:prstDash val="solid"/>
                            <a:headEnd type="none" w="med" len="med"/>
                            <a:tailEnd type="none" w="med" len="med"/>
                          </a:ln>
                        </wps:spPr>
                        <wps:bodyPr/>
                      </wps:wsp>
                    </wpg:wgp>
                  </a:graphicData>
                </a:graphic>
              </wp:anchor>
            </w:drawing>
          </mc:Choice>
          <mc:Fallback>
            <w:pict>
              <v:group id="组合 2" o:spid="_x0000_s1026" o:spt="203" style="position:absolute;left:0pt;margin-left:113.8pt;margin-top:44.4pt;height:0.6pt;width:282pt;mso-position-horizontal-relative:page;z-index:-251657216;mso-width-relative:page;mso-height-relative:page;" coordorigin="2277,888" coordsize="5640,12" o:gfxdata="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">
                <o:lock v:ext="edit" aspectratio="f"/>
                <v:line id="直线 3" o:spid="_x0000_s1026" o:spt="20" style="position:absolute;left:3718;top:893;height:0;width:4080;" filled="f" stroked="t" coordsize="21600,21600" o:gfxdata="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cPYvprsAAADa&#10;AAAADwAAAAAAAAABACAAAAAiAAAAZHJzL2Rvd25yZXYueG1sUEsBAhQAFAAAAAgAh07iQDMvBZ47&#10;AAAAOQAAABAAAAAAAAAAAQAgAAAACgEAAGRycy9zaGFwZXhtbC54bWxQSwUGAAAAAAYABgBbAQAA&#10;tAMAAAAA&#10;">
                  <v:fill on="f" focussize="0,0"/>
                  <v:stroke weight="0.281259842519685pt" color="#000000" joinstyle="round"/>
                  <v:imagedata o:title=""/>
                  <o:lock v:ext="edit" aspectratio="f"/>
                </v:line>
                <v:line id="直线 4" o:spid="_x0000_s1026" o:spt="20" style="position:absolute;left:2277;top:894;height:0;width:1200;" filled="f" stroked="t" coordsize="21600,21600" o:gfxdata="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BvTI74A&#10;AADaAAAADwAAAAAAAAABACAAAAAiAAAAZHJzL2Rvd25yZXYueG1sUEsBAhQAFAAAAAgAh07iQDMv&#10;BZ47AAAAOQAAABAAAAAAAAAAAQAgAAAADQEAAGRycy9zaGFwZXhtbC54bWxQSwUGAAAAAAYABgBb&#10;AQAAtwMAAAAA&#10;">
                  <v:fill on="f" focussize="0,0"/>
                  <v:stroke weight="0.6pt" color="#EDEBE0" joinstyle="round"/>
                  <v:imagedata o:title=""/>
                  <o:lock v:ext="edit" aspectratio="f"/>
                </v:line>
                <v:line id="直线 5" o:spid="_x0000_s1026" o:spt="20" style="position:absolute;left:3477;top:894;height:0;width:4440;" filled="f" stroked="t" coordsize="21600,21600" o:gfxdata="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zjmYW8AAAA&#10;2gAAAA8AAAAAAAAAAQAgAAAAIgAAAGRycy9kb3ducmV2LnhtbFBLAQIUABQAAAAIAIdO4kAzLwWe&#10;OwAAADkAAAAQAAAAAAAAAAEAIAAAAAsBAABkcnMvc2hhcGV4bWwueG1sUEsFBgAAAAAGAAYAWwEA&#10;ALUDAAAAAA==&#10;">
                  <v:fill on="f" focussize="0,0"/>
                  <v:stroke weight="0.6pt" color="#000000" joinstyle="round"/>
                  <v:imagedata o:title=""/>
                  <o:lock v:ext="edit" aspectratio="f"/>
                </v:line>
              </v:group>
            </w:pict>
          </mc:Fallback>
        </mc:AlternateContent>
      </w:r>
      <w:r>
        <w:t>投标人</w:t>
      </w:r>
      <w:r>
        <w:rPr>
          <w:u w:val="single"/>
        </w:rPr>
        <w:t>（盖单位章）;</w:t>
      </w:r>
      <w:r>
        <w:rPr>
          <w:u w:val="single"/>
        </w:rPr>
        <w:tab/>
      </w:r>
      <w:r>
        <w:rPr>
          <w:spacing w:val="-1"/>
          <w:u w:val="single"/>
        </w:rPr>
        <w:t xml:space="preserve">                         </w:t>
      </w:r>
      <w:r>
        <w:rPr>
          <w:spacing w:val="25"/>
          <w:u w:val="single"/>
        </w:rPr>
        <w:t xml:space="preserve"> </w:t>
      </w:r>
      <w:r>
        <w:rPr>
          <w:spacing w:val="-1"/>
        </w:rPr>
        <w:t>法</w:t>
      </w:r>
      <w:r>
        <w:t>定代表人（签字或签章）：</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身份证号码：</w:t>
      </w:r>
    </w:p>
    <w:p>
      <w:pPr>
        <w:pStyle w:val="9"/>
        <w:tabs>
          <w:tab w:val="left" w:pos="7176"/>
          <w:tab w:val="left" w:pos="7236"/>
        </w:tabs>
        <w:spacing w:before="4" w:line="242" w:lineRule="auto"/>
        <w:ind w:left="1537" w:right="3127"/>
        <w:jc w:val="both"/>
        <w:rPr>
          <w:rFonts w:ascii="Times New Roman" w:eastAsia="Times New Roman"/>
        </w:rPr>
      </w:pPr>
      <w:r>
        <w:rPr>
          <w:u w:val="single"/>
        </w:rPr>
        <w:t>委托代理人：</w:t>
      </w:r>
      <w:r>
        <w:rPr>
          <w:u w:val="single"/>
        </w:rPr>
        <w:tab/>
      </w:r>
      <w:r>
        <w:rPr>
          <w:rFonts w:hint="eastAsia"/>
          <w:u w:val="single"/>
          <w:lang w:val="en-US"/>
        </w:rPr>
        <w:t xml:space="preserve"> </w:t>
      </w:r>
      <w:r>
        <w:rPr>
          <w:u w:val="single"/>
        </w:rPr>
        <w:t>身份证号码：</w:t>
      </w:r>
      <w:r>
        <w:rPr>
          <w:u w:val="single"/>
        </w:rPr>
        <w:tab/>
      </w:r>
      <w:r>
        <w:rPr>
          <w:spacing w:val="-1"/>
          <w:u w:val="single"/>
        </w:rPr>
        <w:t xml:space="preserve">                                   </w:t>
      </w:r>
      <w:r>
        <w:rPr>
          <w:spacing w:val="35"/>
          <w:u w:val="single"/>
        </w:rPr>
        <w:t xml:space="preserve"> </w:t>
      </w:r>
      <w:r>
        <w:rPr>
          <w:spacing w:val="-1"/>
        </w:rPr>
        <w:t>详</w:t>
      </w:r>
      <w:r>
        <w:t>细通讯地址：</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邮 政 编</w:t>
      </w:r>
      <w:r>
        <w:rPr>
          <w:spacing w:val="-1"/>
        </w:rPr>
        <w:t xml:space="preserve"> </w:t>
      </w:r>
      <w:r>
        <w:t>码 ：</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 xml:space="preserve">传      </w:t>
      </w:r>
      <w:r>
        <w:rPr>
          <w:spacing w:val="119"/>
        </w:rPr>
        <w:t xml:space="preserve"> </w:t>
      </w:r>
      <w:r>
        <w:t>真：</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 xml:space="preserve">电     </w:t>
      </w:r>
      <w:r>
        <w:rPr>
          <w:spacing w:val="119"/>
        </w:rPr>
        <w:t xml:space="preserve"> </w:t>
      </w:r>
      <w:r>
        <w:t>话 ：</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p>
    <w:p>
      <w:pPr>
        <w:spacing w:line="242" w:lineRule="auto"/>
        <w:jc w:val="both"/>
        <w:rPr>
          <w:rFonts w:ascii="Times New Roman" w:eastAsia="Times New Roman"/>
        </w:rPr>
        <w:sectPr>
          <w:pgSz w:w="11910" w:h="16840"/>
          <w:pgMar w:top="1480" w:right="800" w:bottom="1180" w:left="740" w:header="0" w:footer="1000" w:gutter="0"/>
          <w:cols w:space="720" w:num="1"/>
        </w:sectPr>
      </w:pPr>
    </w:p>
    <w:p>
      <w:pPr>
        <w:spacing w:line="440" w:lineRule="exact"/>
        <w:jc w:val="center"/>
        <w:rPr>
          <w:b/>
          <w:bCs/>
          <w:sz w:val="24"/>
        </w:rPr>
      </w:pPr>
      <w:bookmarkStart w:id="51" w:name="_Toc15498"/>
      <w:bookmarkStart w:id="52" w:name="_Toc13996"/>
      <w:bookmarkStart w:id="53" w:name="_Toc5526"/>
      <w:bookmarkStart w:id="54" w:name="_Toc2262"/>
      <w:bookmarkStart w:id="55" w:name="_Toc21910"/>
      <w:bookmarkStart w:id="56" w:name="_Toc22222"/>
      <w:bookmarkStart w:id="57" w:name="_Toc23635"/>
      <w:bookmarkStart w:id="58" w:name="_Toc20323"/>
      <w:bookmarkStart w:id="59" w:name="_Toc8895"/>
      <w:r>
        <w:rPr>
          <w:rFonts w:hint="eastAsia"/>
          <w:b/>
          <w:bCs/>
          <w:sz w:val="24"/>
          <w:lang w:val="en-US"/>
        </w:rPr>
        <w:t xml:space="preserve">3.2 </w:t>
      </w:r>
      <w:r>
        <w:rPr>
          <w:rFonts w:hint="eastAsia"/>
          <w:b/>
          <w:bCs/>
          <w:sz w:val="24"/>
        </w:rPr>
        <w:t>法定代表人身份证明（</w:t>
      </w:r>
      <w:r>
        <w:rPr>
          <w:rFonts w:hint="eastAsia"/>
          <w:b/>
          <w:bCs/>
          <w:sz w:val="24"/>
          <w:lang w:val="en-US"/>
        </w:rPr>
        <w:t>法人投标用，自然人投标的无需提供</w:t>
      </w:r>
      <w:r>
        <w:rPr>
          <w:rFonts w:hint="eastAsia"/>
          <w:b/>
          <w:bCs/>
          <w:sz w:val="24"/>
        </w:rPr>
        <w:t>）</w:t>
      </w:r>
      <w:bookmarkEnd w:id="51"/>
      <w:bookmarkEnd w:id="52"/>
      <w:bookmarkEnd w:id="53"/>
      <w:bookmarkEnd w:id="54"/>
      <w:bookmarkEnd w:id="55"/>
      <w:bookmarkEnd w:id="56"/>
      <w:bookmarkEnd w:id="57"/>
      <w:bookmarkEnd w:id="58"/>
      <w:bookmarkEnd w:id="59"/>
    </w:p>
    <w:p/>
    <w:p>
      <w:pPr>
        <w:spacing w:line="360" w:lineRule="auto"/>
        <w:rPr>
          <w:sz w:val="24"/>
          <w:szCs w:val="20"/>
        </w:rPr>
      </w:pPr>
      <w:r>
        <w:rPr>
          <w:rFonts w:hint="eastAsia"/>
          <w:sz w:val="24"/>
        </w:rPr>
        <w:t xml:space="preserve"> </w:t>
      </w:r>
      <w:r>
        <w:rPr>
          <w:rFonts w:hint="eastAsia"/>
          <w:sz w:val="24"/>
          <w:lang w:val="en-US"/>
        </w:rPr>
        <w:t xml:space="preserve">   </w:t>
      </w:r>
      <w:r>
        <w:rPr>
          <w:rFonts w:hint="eastAsia"/>
          <w:sz w:val="24"/>
          <w:szCs w:val="20"/>
          <w:u w:val="single"/>
        </w:rPr>
        <w:t xml:space="preserve">              </w:t>
      </w:r>
      <w:r>
        <w:rPr>
          <w:rFonts w:hint="eastAsia"/>
          <w:sz w:val="24"/>
          <w:szCs w:val="20"/>
        </w:rPr>
        <w:t>同志，现任我单位</w:t>
      </w:r>
      <w:r>
        <w:rPr>
          <w:rFonts w:hint="eastAsia"/>
          <w:sz w:val="24"/>
          <w:szCs w:val="20"/>
          <w:u w:val="single"/>
        </w:rPr>
        <w:t xml:space="preserve">          </w:t>
      </w:r>
      <w:r>
        <w:rPr>
          <w:rFonts w:hint="eastAsia"/>
          <w:sz w:val="24"/>
          <w:szCs w:val="20"/>
        </w:rPr>
        <w:t>职务，为法定代表人，特此证明。</w:t>
      </w:r>
    </w:p>
    <w:p>
      <w:pPr>
        <w:spacing w:line="360" w:lineRule="auto"/>
        <w:ind w:firstLine="480" w:firstLineChars="200"/>
        <w:rPr>
          <w:sz w:val="24"/>
          <w:szCs w:val="20"/>
        </w:rPr>
      </w:pPr>
      <w:r>
        <w:rPr>
          <w:rFonts w:hint="eastAsia"/>
          <w:sz w:val="24"/>
          <w:szCs w:val="20"/>
        </w:rPr>
        <w:t>签发日期：</w:t>
      </w:r>
      <w:r>
        <w:rPr>
          <w:rFonts w:hint="eastAsia"/>
          <w:sz w:val="24"/>
          <w:szCs w:val="20"/>
          <w:u w:val="single"/>
        </w:rPr>
        <w:t xml:space="preserve">             </w:t>
      </w:r>
      <w:r>
        <w:rPr>
          <w:rFonts w:hint="eastAsia"/>
          <w:sz w:val="24"/>
          <w:szCs w:val="20"/>
        </w:rPr>
        <w:t xml:space="preserve">     单位：</w:t>
      </w:r>
      <w:r>
        <w:rPr>
          <w:rFonts w:hint="eastAsia"/>
          <w:sz w:val="24"/>
          <w:szCs w:val="20"/>
          <w:u w:val="single"/>
        </w:rPr>
        <w:t xml:space="preserve">           </w:t>
      </w:r>
    </w:p>
    <w:p>
      <w:pPr>
        <w:spacing w:line="360" w:lineRule="auto"/>
        <w:ind w:firstLine="480" w:firstLineChars="200"/>
        <w:rPr>
          <w:sz w:val="24"/>
          <w:szCs w:val="20"/>
          <w:u w:val="single"/>
          <w:lang w:val="en-US"/>
        </w:rPr>
      </w:pPr>
      <w:r>
        <w:rPr>
          <w:rFonts w:hint="eastAsia"/>
          <w:sz w:val="24"/>
          <w:szCs w:val="20"/>
        </w:rPr>
        <w:t>附：代表人性别：</w:t>
      </w:r>
      <w:r>
        <w:rPr>
          <w:rFonts w:hint="eastAsia"/>
          <w:sz w:val="24"/>
          <w:szCs w:val="20"/>
          <w:u w:val="single"/>
        </w:rPr>
        <w:t xml:space="preserve">         </w:t>
      </w:r>
      <w:r>
        <w:rPr>
          <w:rFonts w:hint="eastAsia"/>
          <w:sz w:val="24"/>
          <w:szCs w:val="20"/>
        </w:rPr>
        <w:t>年龄：</w:t>
      </w:r>
      <w:r>
        <w:rPr>
          <w:rFonts w:hint="eastAsia"/>
          <w:sz w:val="24"/>
          <w:szCs w:val="20"/>
          <w:u w:val="single"/>
        </w:rPr>
        <w:t xml:space="preserve">        </w:t>
      </w:r>
      <w:r>
        <w:rPr>
          <w:rFonts w:hint="eastAsia"/>
          <w:sz w:val="24"/>
          <w:szCs w:val="20"/>
        </w:rPr>
        <w:t>身份证号码：</w:t>
      </w:r>
      <w:r>
        <w:rPr>
          <w:rFonts w:hint="eastAsia"/>
          <w:sz w:val="24"/>
          <w:szCs w:val="20"/>
          <w:u w:val="single"/>
          <w:lang w:val="en-US"/>
        </w:rPr>
        <w:t xml:space="preserve">            </w:t>
      </w:r>
    </w:p>
    <w:p>
      <w:pPr>
        <w:spacing w:line="360" w:lineRule="auto"/>
        <w:ind w:firstLine="480" w:firstLineChars="200"/>
        <w:rPr>
          <w:sz w:val="24"/>
          <w:szCs w:val="20"/>
          <w:u w:val="single"/>
          <w:lang w:val="en-US"/>
        </w:rPr>
      </w:pPr>
      <w:r>
        <w:rPr>
          <w:rFonts w:hint="eastAsia"/>
          <w:sz w:val="24"/>
          <w:szCs w:val="20"/>
        </w:rPr>
        <w:t>联系电话：</w:t>
      </w:r>
      <w:r>
        <w:rPr>
          <w:rFonts w:hint="eastAsia"/>
          <w:sz w:val="24"/>
          <w:szCs w:val="20"/>
          <w:u w:val="single"/>
          <w:lang w:val="en-US"/>
        </w:rPr>
        <w:t xml:space="preserve">           </w:t>
      </w:r>
      <w:r>
        <w:rPr>
          <w:rFonts w:hint="eastAsia"/>
          <w:sz w:val="24"/>
          <w:szCs w:val="20"/>
        </w:rPr>
        <w:t>营业执照号码：</w:t>
      </w:r>
      <w:r>
        <w:rPr>
          <w:rFonts w:hint="eastAsia"/>
          <w:sz w:val="24"/>
          <w:szCs w:val="20"/>
          <w:u w:val="single"/>
        </w:rPr>
        <w:t xml:space="preserve">             </w:t>
      </w:r>
      <w:r>
        <w:rPr>
          <w:rFonts w:hint="eastAsia"/>
          <w:sz w:val="24"/>
          <w:szCs w:val="20"/>
        </w:rPr>
        <w:t xml:space="preserve"> 经济性质：</w:t>
      </w:r>
      <w:r>
        <w:rPr>
          <w:rFonts w:hint="eastAsia"/>
          <w:sz w:val="24"/>
          <w:szCs w:val="20"/>
          <w:u w:val="single"/>
          <w:lang w:val="en-US"/>
        </w:rPr>
        <w:t xml:space="preserve">       </w:t>
      </w:r>
    </w:p>
    <w:p>
      <w:pPr>
        <w:spacing w:line="360" w:lineRule="auto"/>
        <w:ind w:firstLine="240" w:firstLineChars="100"/>
        <w:rPr>
          <w:sz w:val="24"/>
          <w:szCs w:val="20"/>
        </w:rPr>
      </w:pPr>
      <w:r>
        <w:rPr>
          <w:rFonts w:hint="eastAsia"/>
          <w:sz w:val="24"/>
          <w:szCs w:val="20"/>
        </w:rPr>
        <w:t>说明：</w:t>
      </w:r>
    </w:p>
    <w:p>
      <w:pPr>
        <w:spacing w:line="360" w:lineRule="auto"/>
        <w:ind w:firstLine="480" w:firstLineChars="200"/>
        <w:rPr>
          <w:sz w:val="24"/>
          <w:szCs w:val="20"/>
        </w:rPr>
      </w:pPr>
      <w:r>
        <w:rPr>
          <w:rFonts w:hint="eastAsia"/>
          <w:sz w:val="24"/>
          <w:szCs w:val="20"/>
        </w:rPr>
        <w:t>1、法定代表人为企业事业单位、国家机关、社会团体的主要行政负责人。</w:t>
      </w:r>
    </w:p>
    <w:p>
      <w:pPr>
        <w:spacing w:line="360" w:lineRule="auto"/>
        <w:rPr>
          <w:sz w:val="24"/>
          <w:szCs w:val="20"/>
        </w:rPr>
      </w:pPr>
      <w:r>
        <w:rPr>
          <w:rFonts w:hint="eastAsia"/>
          <w:sz w:val="24"/>
          <w:szCs w:val="20"/>
        </w:rPr>
        <w:t xml:space="preserve">  </w:t>
      </w:r>
      <w:r>
        <w:rPr>
          <w:rFonts w:hint="eastAsia"/>
          <w:sz w:val="24"/>
          <w:szCs w:val="20"/>
          <w:lang w:val="en-US"/>
        </w:rPr>
        <w:t xml:space="preserve">  </w:t>
      </w:r>
      <w:r>
        <w:rPr>
          <w:rFonts w:hint="eastAsia"/>
          <w:sz w:val="24"/>
          <w:szCs w:val="20"/>
        </w:rPr>
        <w:t>2、内容必须填写真实、清楚、涂改无效，不得转让。</w:t>
      </w:r>
    </w:p>
    <w:p>
      <w:pPr>
        <w:spacing w:line="360" w:lineRule="auto"/>
        <w:ind w:firstLine="480" w:firstLineChars="200"/>
        <w:rPr>
          <w:sz w:val="24"/>
          <w:szCs w:val="20"/>
        </w:rPr>
      </w:pPr>
      <w:r>
        <w:rPr>
          <w:rFonts w:hint="eastAsia"/>
          <w:sz w:val="24"/>
          <w:szCs w:val="20"/>
        </w:rPr>
        <w:t>3、将此证明书原件提交采购代理机构作为投标文件附件。</w:t>
      </w:r>
    </w:p>
    <w:p>
      <w:pPr>
        <w:spacing w:line="360" w:lineRule="auto"/>
        <w:rPr>
          <w:sz w:val="24"/>
          <w:szCs w:val="20"/>
        </w:rPr>
      </w:pPr>
      <w:r>
        <w:rPr>
          <w:rFonts w:hint="eastAsia"/>
          <w:sz w:val="24"/>
          <w:szCs w:val="20"/>
        </w:rPr>
        <w:t xml:space="preserve">  (为避免废标，请供应商务必提供本附件)</w:t>
      </w:r>
    </w:p>
    <w:p>
      <w:pPr>
        <w:spacing w:line="360" w:lineRule="auto"/>
        <w:rPr>
          <w:sz w:val="24"/>
          <w:szCs w:val="20"/>
        </w:rPr>
      </w:pPr>
      <w:r>
        <w:rPr>
          <w:rFonts w:hint="eastAsia"/>
          <w:sz w:val="24"/>
          <w:szCs w:val="20"/>
          <w:lang w:val="en-US" w:bidi="ar-SA"/>
        </w:rPr>
        <mc:AlternateContent>
          <mc:Choice Requires="wps">
            <w:drawing>
              <wp:anchor distT="0" distB="0" distL="114300" distR="114300" simplePos="0" relativeHeight="251680768" behindDoc="0" locked="0" layoutInCell="1" allowOverlap="1">
                <wp:simplePos x="0" y="0"/>
                <wp:positionH relativeFrom="column">
                  <wp:posOffset>154305</wp:posOffset>
                </wp:positionH>
                <wp:positionV relativeFrom="paragraph">
                  <wp:posOffset>10795</wp:posOffset>
                </wp:positionV>
                <wp:extent cx="2333625" cy="1584325"/>
                <wp:effectExtent l="4445" t="4445" r="8890" b="11430"/>
                <wp:wrapNone/>
                <wp:docPr id="33" name="流程图: 可选过程 33"/>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wps:txbx>
                      <wps:bodyPr upright="1"/>
                    </wps:wsp>
                  </a:graphicData>
                </a:graphic>
              </wp:anchor>
            </w:drawing>
          </mc:Choice>
          <mc:Fallback>
            <w:pict>
              <v:shape id="_x0000_s1026" o:spid="_x0000_s1026" o:spt="176" type="#_x0000_t176" style="position:absolute;left:0pt;margin-left:12.15pt;margin-top:0.85pt;height:124.75pt;width:183.75pt;z-index:251680768;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5WTr11gAAAAgBAAAPAAAAAAAAAAEAIAAAACIAAABkcnMvZG93bnJldi54bWxQSwEC&#10;FAAUAAAACACHTuJAifLEpS8CAABgBAAADgAAAAAAAAABACAAAAAlAQAAZHJzL2Uyb0RvYy54bWxQ&#10;SwUGAAAAAAYABgBZAQAAx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w:t>
                      </w:r>
                    </w:p>
                  </w:txbxContent>
                </v:textbox>
              </v:shape>
            </w:pict>
          </mc:Fallback>
        </mc:AlternateContent>
      </w:r>
      <w:r>
        <w:rPr>
          <w:rFonts w:hint="eastAsia"/>
          <w:sz w:val="24"/>
          <w:szCs w:val="20"/>
          <w:lang w:val="en-US" w:bidi="ar-SA"/>
        </w:rPr>
        <mc:AlternateContent>
          <mc:Choice Requires="wps">
            <w:drawing>
              <wp:anchor distT="0" distB="0" distL="114300" distR="114300" simplePos="0" relativeHeight="251681792" behindDoc="0" locked="0" layoutInCell="1" allowOverlap="1">
                <wp:simplePos x="0" y="0"/>
                <wp:positionH relativeFrom="column">
                  <wp:posOffset>2918460</wp:posOffset>
                </wp:positionH>
                <wp:positionV relativeFrom="paragraph">
                  <wp:posOffset>28575</wp:posOffset>
                </wp:positionV>
                <wp:extent cx="2609850" cy="1557020"/>
                <wp:effectExtent l="7620" t="7620" r="19050" b="20320"/>
                <wp:wrapNone/>
                <wp:docPr id="34" name="圆角矩形 34"/>
                <wp:cNvGraphicFramePr/>
                <a:graphic xmlns:a="http://schemas.openxmlformats.org/drawingml/2006/main">
                  <a:graphicData uri="http://schemas.microsoft.com/office/word/2010/wordprocessingShape">
                    <wps:wsp>
                      <wps:cNvSpPr/>
                      <wps:spPr>
                        <a:xfrm>
                          <a:off x="0" y="0"/>
                          <a:ext cx="2609850" cy="1557020"/>
                        </a:xfrm>
                        <a:prstGeom prst="roundRect">
                          <a:avLst>
                            <a:gd name="adj" fmla="val 16667"/>
                          </a:avLst>
                        </a:prstGeom>
                        <a:solidFill>
                          <a:srgbClr val="FFFFFF"/>
                        </a:solidFill>
                        <a:ln w="15875" cap="flat" cmpd="sng">
                          <a:solidFill>
                            <a:srgbClr val="808080"/>
                          </a:solidFill>
                          <a:prstDash val="solid"/>
                          <a:headEnd type="none" w="med" len="med"/>
                          <a:tailEnd type="none" w="med" len="med"/>
                        </a:ln>
                        <a:effectLst/>
                      </wps:spPr>
                      <wps:txb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5"/>
                            </w:pPr>
                          </w:p>
                          <w:p>
                            <w:pPr>
                              <w:pStyle w:val="5"/>
                            </w:pPr>
                          </w:p>
                          <w:p>
                            <w:pPr>
                              <w:pStyle w:val="5"/>
                            </w:pPr>
                          </w:p>
                          <w:p>
                            <w:pPr>
                              <w:pStyle w:val="5"/>
                            </w:pPr>
                          </w:p>
                        </w:txbxContent>
                      </wps:txbx>
                      <wps:bodyPr upright="1"/>
                    </wps:wsp>
                  </a:graphicData>
                </a:graphic>
              </wp:anchor>
            </w:drawing>
          </mc:Choice>
          <mc:Fallback>
            <w:pict>
              <v:roundrect id="_x0000_s1026" o:spid="_x0000_s1026" o:spt="2" style="position:absolute;left:0pt;margin-left:229.8pt;margin-top:2.25pt;height:122.6pt;width:205.5pt;z-index:251681792;mso-width-relative:page;mso-height-relative:page;" fillcolor="#FFFFFF" filled="t" stroked="t" coordsize="21600,21600" arcsize="0.166666666666667" o:gfxdata="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I8vY1/aAAAACQEAAA8AAAAAAAAAAQAgAAAAIgAAAGRycy9kb3ducmV2LnhtbFBL&#10;AQIUABQAAAAIAIdO4kBRQubdLQIAAGgEAAAOAAAAAAAAAAEAIAAAACkBAABkcnMvZTJvRG9jLnht&#10;bFBLBQYAAAAABgAGAFkBAADIBQAAAAA=&#10;">
                <v:fill on="t" focussize="0,0"/>
                <v:stroke weight="1.25pt" color="#808080" joinstyle="round"/>
                <v:imagedata o:title=""/>
                <o:lock v:ext="edit" aspectratio="f"/>
                <v:textbox>
                  <w:txbxContent>
                    <w:p>
                      <w:pPr>
                        <w:jc w:val="center"/>
                        <w:rPr>
                          <w:rFonts w:hAnsi="宋体"/>
                          <w:szCs w:val="21"/>
                        </w:rPr>
                      </w:pPr>
                      <w:r>
                        <w:rPr>
                          <w:rFonts w:hint="eastAsia" w:hAnsi="宋体"/>
                          <w:szCs w:val="21"/>
                        </w:rPr>
                        <w:t xml:space="preserve">  </w:t>
                      </w:r>
                    </w:p>
                    <w:p>
                      <w:pPr>
                        <w:jc w:val="center"/>
                        <w:rPr>
                          <w:rFonts w:hAnsi="宋体"/>
                          <w:szCs w:val="21"/>
                        </w:rPr>
                      </w:pPr>
                    </w:p>
                    <w:p>
                      <w:pPr>
                        <w:jc w:val="center"/>
                        <w:rPr>
                          <w:rFonts w:hAnsi="宋体"/>
                          <w:szCs w:val="21"/>
                        </w:rPr>
                      </w:pPr>
                    </w:p>
                    <w:p>
                      <w:pPr>
                        <w:jc w:val="center"/>
                        <w:rPr>
                          <w:szCs w:val="21"/>
                        </w:rPr>
                      </w:pPr>
                      <w:r>
                        <w:rPr>
                          <w:rFonts w:hint="eastAsia" w:hAnsi="宋体"/>
                          <w:szCs w:val="21"/>
                        </w:rPr>
                        <w:t>法人身份证复印件反面</w:t>
                      </w:r>
                    </w:p>
                    <w:p/>
                    <w:p>
                      <w:pPr>
                        <w:pStyle w:val="5"/>
                      </w:pPr>
                    </w:p>
                    <w:p>
                      <w:pPr>
                        <w:pStyle w:val="5"/>
                      </w:pPr>
                    </w:p>
                    <w:p>
                      <w:pPr>
                        <w:pStyle w:val="5"/>
                      </w:pPr>
                    </w:p>
                    <w:p>
                      <w:pPr>
                        <w:pStyle w:val="5"/>
                      </w:pPr>
                    </w:p>
                  </w:txbxContent>
                </v:textbox>
              </v:roundrect>
            </w:pict>
          </mc:Fallback>
        </mc:AlternateContent>
      </w:r>
    </w:p>
    <w:p>
      <w:pPr>
        <w:spacing w:line="360" w:lineRule="auto"/>
        <w:rPr>
          <w:sz w:val="24"/>
          <w:szCs w:val="20"/>
        </w:rPr>
      </w:pPr>
    </w:p>
    <w:p>
      <w:pPr>
        <w:spacing w:line="360" w:lineRule="auto"/>
        <w:rPr>
          <w:sz w:val="24"/>
          <w:szCs w:val="20"/>
        </w:rPr>
      </w:pPr>
    </w:p>
    <w:p>
      <w:pPr>
        <w:adjustRightInd w:val="0"/>
        <w:spacing w:line="360" w:lineRule="auto"/>
        <w:ind w:right="246"/>
        <w:rPr>
          <w:sz w:val="24"/>
          <w:szCs w:val="20"/>
        </w:rPr>
      </w:pPr>
    </w:p>
    <w:p>
      <w:pPr>
        <w:adjustRightInd w:val="0"/>
        <w:spacing w:line="360" w:lineRule="auto"/>
        <w:ind w:right="246" w:firstLine="784" w:firstLineChars="327"/>
        <w:rPr>
          <w:sz w:val="24"/>
          <w:szCs w:val="20"/>
        </w:rPr>
      </w:pPr>
      <w:r>
        <w:rPr>
          <w:rFonts w:hint="eastAsia"/>
          <w:sz w:val="24"/>
          <w:szCs w:val="20"/>
        </w:rPr>
        <w:t xml:space="preserve">供应商（盖章）：                              </w:t>
      </w:r>
    </w:p>
    <w:p>
      <w:pPr>
        <w:adjustRightInd w:val="0"/>
        <w:snapToGrid w:val="0"/>
        <w:spacing w:line="360" w:lineRule="auto"/>
        <w:ind w:firstLine="784" w:firstLineChars="327"/>
        <w:rPr>
          <w:sz w:val="24"/>
          <w:szCs w:val="20"/>
        </w:rPr>
      </w:pPr>
    </w:p>
    <w:p>
      <w:pPr>
        <w:pStyle w:val="5"/>
        <w:rPr>
          <w:rFonts w:ascii="仿宋"/>
        </w:rPr>
      </w:pPr>
    </w:p>
    <w:p>
      <w:pPr>
        <w:adjustRightInd w:val="0"/>
        <w:snapToGrid w:val="0"/>
        <w:spacing w:line="360" w:lineRule="auto"/>
        <w:ind w:firstLine="784" w:firstLineChars="327"/>
        <w:rPr>
          <w:sz w:val="24"/>
          <w:szCs w:val="20"/>
        </w:rPr>
      </w:pPr>
      <w:r>
        <w:rPr>
          <w:rFonts w:hint="eastAsia"/>
          <w:sz w:val="24"/>
          <w:szCs w:val="20"/>
        </w:rPr>
        <w:t xml:space="preserve">法定代表人签字或盖章：                    </w:t>
      </w:r>
    </w:p>
    <w:p>
      <w:pPr>
        <w:adjustRightInd w:val="0"/>
        <w:snapToGrid w:val="0"/>
        <w:spacing w:line="360" w:lineRule="auto"/>
        <w:ind w:firstLine="784" w:firstLineChars="327"/>
        <w:rPr>
          <w:sz w:val="24"/>
          <w:szCs w:val="20"/>
        </w:rPr>
      </w:pPr>
      <w:r>
        <w:rPr>
          <w:rFonts w:hint="eastAsia"/>
          <w:sz w:val="24"/>
          <w:szCs w:val="20"/>
        </w:rPr>
        <w:t>日期：</w:t>
      </w:r>
      <w:r>
        <w:rPr>
          <w:rFonts w:hint="eastAsia"/>
          <w:sz w:val="24"/>
          <w:szCs w:val="20"/>
          <w:lang w:val="en-US"/>
        </w:rPr>
        <w:t xml:space="preserve">  年   月   日</w:t>
      </w:r>
      <w:r>
        <w:rPr>
          <w:rFonts w:hint="eastAsia"/>
          <w:sz w:val="24"/>
          <w:szCs w:val="20"/>
        </w:rPr>
        <w:t xml:space="preserve">                                       </w:t>
      </w:r>
    </w:p>
    <w:p>
      <w:pPr>
        <w:pStyle w:val="11"/>
        <w:tabs>
          <w:tab w:val="left" w:pos="5580"/>
        </w:tabs>
        <w:spacing w:line="240" w:lineRule="atLeast"/>
        <w:ind w:firstLine="360" w:firstLineChars="150"/>
        <w:rPr>
          <w:rFonts w:ascii="仿宋" w:hAnsi="仿宋"/>
          <w:sz w:val="24"/>
        </w:rPr>
      </w:pPr>
    </w:p>
    <w:p>
      <w:pPr>
        <w:pStyle w:val="9"/>
        <w:spacing w:before="6"/>
        <w:rPr>
          <w:rFonts w:ascii="Times New Roman"/>
          <w:sz w:val="17"/>
        </w:rPr>
      </w:pPr>
    </w:p>
    <w:p>
      <w:pPr>
        <w:pStyle w:val="9"/>
        <w:spacing w:before="6"/>
        <w:rPr>
          <w:rFonts w:ascii="Times New Roman"/>
          <w:sz w:val="17"/>
        </w:rPr>
      </w:pPr>
    </w:p>
    <w:p>
      <w:pPr>
        <w:pStyle w:val="9"/>
        <w:spacing w:before="6"/>
        <w:rPr>
          <w:rFonts w:ascii="Times New Roman"/>
          <w:sz w:val="17"/>
        </w:rPr>
      </w:pPr>
    </w:p>
    <w:p>
      <w:pPr>
        <w:pStyle w:val="9"/>
        <w:spacing w:before="6"/>
        <w:rPr>
          <w:rFonts w:ascii="Times New Roman"/>
          <w:sz w:val="17"/>
        </w:rPr>
      </w:pPr>
    </w:p>
    <w:p>
      <w:pPr>
        <w:pStyle w:val="9"/>
        <w:spacing w:before="6"/>
        <w:rPr>
          <w:rFonts w:ascii="Times New Roman"/>
          <w:sz w:val="17"/>
        </w:rPr>
      </w:pPr>
    </w:p>
    <w:p>
      <w:pPr>
        <w:pStyle w:val="9"/>
        <w:spacing w:before="6"/>
        <w:rPr>
          <w:rFonts w:ascii="Times New Roman"/>
          <w:sz w:val="17"/>
        </w:rPr>
      </w:pPr>
    </w:p>
    <w:p>
      <w:pPr>
        <w:pStyle w:val="9"/>
        <w:spacing w:before="6"/>
        <w:rPr>
          <w:rFonts w:ascii="Times New Roman"/>
          <w:sz w:val="17"/>
        </w:rPr>
      </w:pPr>
    </w:p>
    <w:p>
      <w:pPr>
        <w:pStyle w:val="9"/>
        <w:spacing w:before="6"/>
        <w:rPr>
          <w:rFonts w:ascii="Times New Roman"/>
          <w:sz w:val="17"/>
        </w:rPr>
      </w:pPr>
    </w:p>
    <w:p>
      <w:pPr>
        <w:pStyle w:val="9"/>
        <w:spacing w:before="6"/>
        <w:rPr>
          <w:rFonts w:ascii="Times New Roman"/>
          <w:sz w:val="17"/>
        </w:rPr>
      </w:pPr>
    </w:p>
    <w:p>
      <w:pPr>
        <w:pStyle w:val="9"/>
        <w:spacing w:before="6"/>
        <w:rPr>
          <w:rFonts w:ascii="Times New Roman"/>
          <w:sz w:val="17"/>
        </w:rPr>
      </w:pPr>
    </w:p>
    <w:p>
      <w:pPr>
        <w:pStyle w:val="9"/>
        <w:spacing w:before="6"/>
        <w:rPr>
          <w:rFonts w:ascii="Times New Roman"/>
          <w:sz w:val="17"/>
        </w:rPr>
      </w:pPr>
    </w:p>
    <w:p>
      <w:pPr>
        <w:pStyle w:val="9"/>
        <w:spacing w:before="6"/>
        <w:rPr>
          <w:rFonts w:ascii="Times New Roman"/>
          <w:sz w:val="17"/>
        </w:rPr>
      </w:pPr>
    </w:p>
    <w:p>
      <w:pPr>
        <w:pStyle w:val="9"/>
        <w:spacing w:before="6"/>
        <w:rPr>
          <w:rFonts w:ascii="Times New Roman"/>
          <w:sz w:val="17"/>
        </w:rPr>
      </w:pPr>
    </w:p>
    <w:p>
      <w:pPr>
        <w:pStyle w:val="9"/>
        <w:spacing w:before="6"/>
        <w:rPr>
          <w:rFonts w:ascii="Times New Roman"/>
          <w:sz w:val="17"/>
        </w:rPr>
      </w:pPr>
    </w:p>
    <w:p>
      <w:pPr>
        <w:pStyle w:val="9"/>
        <w:spacing w:before="6"/>
        <w:rPr>
          <w:rFonts w:ascii="Times New Roman"/>
          <w:sz w:val="17"/>
        </w:rPr>
      </w:pPr>
    </w:p>
    <w:p>
      <w:pPr>
        <w:pStyle w:val="9"/>
        <w:spacing w:before="6"/>
        <w:rPr>
          <w:rFonts w:ascii="Times New Roman"/>
          <w:sz w:val="17"/>
        </w:rPr>
      </w:pPr>
    </w:p>
    <w:p>
      <w:pPr>
        <w:pStyle w:val="9"/>
        <w:spacing w:before="6"/>
        <w:rPr>
          <w:rFonts w:ascii="Times New Roman"/>
          <w:sz w:val="17"/>
        </w:rPr>
      </w:pPr>
    </w:p>
    <w:p>
      <w:pPr>
        <w:pStyle w:val="9"/>
        <w:spacing w:before="6"/>
        <w:rPr>
          <w:rFonts w:ascii="Times New Roman"/>
          <w:sz w:val="17"/>
        </w:rPr>
      </w:pPr>
    </w:p>
    <w:p>
      <w:pPr>
        <w:pStyle w:val="9"/>
        <w:spacing w:before="6"/>
        <w:rPr>
          <w:rFonts w:ascii="Times New Roman"/>
          <w:sz w:val="17"/>
        </w:rPr>
      </w:pPr>
    </w:p>
    <w:p>
      <w:pPr>
        <w:pStyle w:val="9"/>
        <w:spacing w:before="6"/>
        <w:rPr>
          <w:rFonts w:ascii="Times New Roman"/>
          <w:sz w:val="17"/>
        </w:rPr>
      </w:pPr>
    </w:p>
    <w:p>
      <w:pPr>
        <w:pStyle w:val="9"/>
        <w:spacing w:before="6"/>
        <w:rPr>
          <w:rFonts w:ascii="Times New Roman"/>
          <w:sz w:val="17"/>
        </w:rPr>
      </w:pPr>
    </w:p>
    <w:p>
      <w:pPr>
        <w:pStyle w:val="9"/>
        <w:spacing w:before="6"/>
        <w:rPr>
          <w:rFonts w:ascii="Times New Roman"/>
          <w:sz w:val="17"/>
        </w:rPr>
      </w:pPr>
    </w:p>
    <w:p>
      <w:pPr>
        <w:pStyle w:val="9"/>
        <w:spacing w:before="6"/>
        <w:rPr>
          <w:rFonts w:ascii="Times New Roman"/>
          <w:sz w:val="17"/>
        </w:rPr>
      </w:pPr>
    </w:p>
    <w:p>
      <w:pPr>
        <w:pStyle w:val="11"/>
        <w:tabs>
          <w:tab w:val="left" w:pos="5580"/>
        </w:tabs>
        <w:spacing w:line="240" w:lineRule="atLeast"/>
        <w:ind w:left="540"/>
        <w:rPr>
          <w:rFonts w:ascii="仿宋_GB2312" w:hAnsi="宋体" w:eastAsia="仿宋_GB2312"/>
          <w:b/>
          <w:bCs/>
          <w:color w:val="558ED5" w:themeColor="text2" w:themeTint="99"/>
          <w:kern w:val="2"/>
          <w:sz w:val="24"/>
          <w:szCs w:val="28"/>
          <w:lang w:val="en-US"/>
          <w14:textFill>
            <w14:solidFill>
              <w14:schemeClr w14:val="tx2">
                <w14:lumMod w14:val="60000"/>
                <w14:lumOff w14:val="40000"/>
              </w14:schemeClr>
            </w14:solidFill>
          </w14:textFill>
        </w:rPr>
      </w:pPr>
      <w:bookmarkStart w:id="60" w:name="4__参加政府采购活动前3年内在经营活动中没有重大违法记录的书面声明"/>
      <w:bookmarkEnd w:id="60"/>
      <w:r>
        <w:rPr>
          <w:rFonts w:hint="eastAsia" w:ascii="仿宋_GB2312" w:hAnsi="宋体" w:eastAsia="仿宋_GB2312"/>
          <w:b/>
          <w:bCs/>
          <w:kern w:val="2"/>
          <w:sz w:val="24"/>
          <w:szCs w:val="28"/>
        </w:rPr>
        <w:t>4</w:t>
      </w:r>
      <w:r>
        <w:rPr>
          <w:rFonts w:hint="eastAsia" w:ascii="仿宋_GB2312" w:hAnsi="宋体" w:eastAsia="仿宋_GB2312"/>
          <w:b/>
          <w:bCs/>
          <w:color w:val="558ED5" w:themeColor="text2" w:themeTint="99"/>
          <w:kern w:val="2"/>
          <w:sz w:val="24"/>
          <w:szCs w:val="28"/>
          <w14:textFill>
            <w14:solidFill>
              <w14:schemeClr w14:val="tx2">
                <w14:lumMod w14:val="60000"/>
                <w14:lumOff w14:val="40000"/>
              </w14:schemeClr>
            </w14:solidFill>
          </w14:textFill>
        </w:rPr>
        <w:t xml:space="preserve"> </w:t>
      </w:r>
      <w:r>
        <w:rPr>
          <w:rFonts w:hint="eastAsia" w:ascii="仿宋_GB2312" w:hAnsi="宋体" w:eastAsia="仿宋_GB2312"/>
          <w:b/>
          <w:bCs/>
          <w:kern w:val="2"/>
          <w:sz w:val="24"/>
          <w:szCs w:val="28"/>
          <w:lang w:val="en-US"/>
        </w:rPr>
        <w:t>被授权委托人在本单位缴纳的近2个月（2022年4月～5月）的社保证明（单位社保缴费凭证和个人明细表）；</w:t>
      </w:r>
    </w:p>
    <w:p>
      <w:pPr>
        <w:pStyle w:val="11"/>
        <w:tabs>
          <w:tab w:val="left" w:pos="5580"/>
        </w:tabs>
        <w:spacing w:line="240" w:lineRule="atLeast"/>
        <w:ind w:left="540"/>
        <w:rPr>
          <w:rFonts w:ascii="仿宋_GB2312" w:hAnsi="宋体" w:eastAsia="仿宋_GB2312"/>
          <w:b/>
          <w:bCs/>
          <w:color w:val="558ED5" w:themeColor="text2" w:themeTint="99"/>
          <w:kern w:val="2"/>
          <w:sz w:val="24"/>
          <w:szCs w:val="28"/>
          <w14:textFill>
            <w14:solidFill>
              <w14:schemeClr w14:val="tx2">
                <w14:lumMod w14:val="60000"/>
                <w14:lumOff w14:val="40000"/>
              </w14:schemeClr>
            </w14:solidFill>
          </w14:textFill>
        </w:rPr>
      </w:pPr>
    </w:p>
    <w:p>
      <w:pPr>
        <w:pStyle w:val="11"/>
        <w:tabs>
          <w:tab w:val="left" w:pos="5580"/>
        </w:tabs>
        <w:spacing w:line="240" w:lineRule="atLeast"/>
        <w:ind w:left="540"/>
        <w:rPr>
          <w:rFonts w:ascii="仿宋_GB2312" w:hAnsi="宋体" w:eastAsia="仿宋_GB2312"/>
          <w:sz w:val="24"/>
        </w:rPr>
      </w:pPr>
    </w:p>
    <w:p>
      <w:pPr>
        <w:pStyle w:val="11"/>
        <w:tabs>
          <w:tab w:val="left" w:pos="5580"/>
        </w:tabs>
        <w:spacing w:line="240" w:lineRule="atLeast"/>
        <w:ind w:left="540"/>
        <w:rPr>
          <w:rFonts w:ascii="仿宋_GB2312" w:hAnsi="宋体" w:eastAsia="仿宋_GB2312"/>
          <w:sz w:val="24"/>
        </w:rPr>
      </w:pPr>
    </w:p>
    <w:p>
      <w:pPr>
        <w:pStyle w:val="11"/>
        <w:tabs>
          <w:tab w:val="left" w:pos="5580"/>
        </w:tabs>
        <w:spacing w:line="240" w:lineRule="atLeast"/>
        <w:ind w:left="540"/>
        <w:rPr>
          <w:rFonts w:ascii="仿宋_GB2312" w:hAnsi="宋体" w:eastAsia="仿宋_GB2312"/>
          <w:sz w:val="24"/>
        </w:rPr>
      </w:pPr>
      <w:r>
        <w:rPr>
          <w:rFonts w:hint="eastAsia" w:ascii="仿宋_GB2312" w:hAnsi="宋体" w:eastAsia="仿宋_GB2312"/>
          <w:sz w:val="24"/>
        </w:rPr>
        <w:t>说明：1.按照</w:t>
      </w:r>
      <w:r>
        <w:rPr>
          <w:rFonts w:hint="eastAsia" w:ascii="仿宋_GB2312" w:hAnsi="宋体" w:eastAsia="仿宋_GB2312"/>
          <w:sz w:val="24"/>
          <w:u w:val="single"/>
        </w:rPr>
        <w:t>投标人须知资料表</w:t>
      </w:r>
      <w:r>
        <w:rPr>
          <w:rFonts w:hint="eastAsia" w:ascii="仿宋_GB2312" w:hAnsi="宋体" w:eastAsia="仿宋_GB2312"/>
          <w:sz w:val="24"/>
        </w:rPr>
        <w:t>中的规定提供复印件。</w:t>
      </w:r>
    </w:p>
    <w:p>
      <w:pPr>
        <w:pStyle w:val="11"/>
        <w:tabs>
          <w:tab w:val="left" w:pos="5580"/>
        </w:tabs>
        <w:spacing w:line="240" w:lineRule="atLeast"/>
        <w:ind w:left="1105" w:leftChars="257" w:hanging="540"/>
        <w:rPr>
          <w:rFonts w:ascii="仿宋_GB2312" w:hAnsi="宋体" w:eastAsia="仿宋_GB2312"/>
          <w:sz w:val="24"/>
        </w:rPr>
      </w:pPr>
      <w:r>
        <w:rPr>
          <w:rFonts w:hint="eastAsia" w:ascii="仿宋_GB2312" w:hAnsi="宋体" w:eastAsia="仿宋_GB2312"/>
          <w:sz w:val="24"/>
        </w:rPr>
        <w:t xml:space="preserve">      2.复印件上应加盖本单位章。</w:t>
      </w:r>
    </w:p>
    <w:p>
      <w:pPr>
        <w:tabs>
          <w:tab w:val="left" w:pos="5580"/>
        </w:tabs>
        <w:spacing w:line="240" w:lineRule="atLeast"/>
        <w:ind w:left="1105" w:leftChars="257" w:hanging="540"/>
        <w:rPr>
          <w:rFonts w:ascii="仿宋_GB2312" w:eastAsia="仿宋_GB2312"/>
          <w:sz w:val="24"/>
        </w:rPr>
      </w:pPr>
      <w:r>
        <w:rPr>
          <w:rFonts w:hint="eastAsia" w:ascii="仿宋_GB2312" w:hAnsi="宋体" w:eastAsia="仿宋_GB2312"/>
          <w:sz w:val="24"/>
        </w:rPr>
        <w:t xml:space="preserve">      3.</w:t>
      </w:r>
      <w:r>
        <w:rPr>
          <w:rFonts w:hint="eastAsia" w:ascii="仿宋_GB2312" w:eastAsia="仿宋_GB2312"/>
          <w:sz w:val="24"/>
        </w:rPr>
        <w:t>如果是联合体投标，联合体各方均需提供上述证明。</w:t>
      </w:r>
    </w:p>
    <w:p>
      <w:pPr>
        <w:pStyle w:val="9"/>
        <w:spacing w:before="9"/>
        <w:rPr>
          <w:sz w:val="15"/>
        </w:rPr>
      </w:pPr>
    </w:p>
    <w:p>
      <w:pPr>
        <w:rPr>
          <w:sz w:val="15"/>
        </w:rPr>
      </w:pPr>
    </w:p>
    <w:p>
      <w:pPr>
        <w:pStyle w:val="5"/>
        <w:rPr>
          <w:sz w:val="15"/>
        </w:rPr>
      </w:pPr>
    </w:p>
    <w:p>
      <w:pPr>
        <w:rPr>
          <w:sz w:val="15"/>
        </w:rPr>
      </w:pPr>
    </w:p>
    <w:p>
      <w:pPr>
        <w:pStyle w:val="5"/>
        <w:rPr>
          <w:sz w:val="15"/>
        </w:rPr>
      </w:pPr>
    </w:p>
    <w:p>
      <w:pPr>
        <w:rPr>
          <w:sz w:val="15"/>
        </w:rPr>
      </w:pPr>
    </w:p>
    <w:p>
      <w:pPr>
        <w:pStyle w:val="5"/>
        <w:rPr>
          <w:sz w:val="15"/>
        </w:rPr>
      </w:pPr>
    </w:p>
    <w:p>
      <w:pPr>
        <w:rPr>
          <w:sz w:val="15"/>
        </w:rPr>
      </w:pPr>
    </w:p>
    <w:p>
      <w:pPr>
        <w:pStyle w:val="5"/>
        <w:rPr>
          <w:sz w:val="15"/>
        </w:rPr>
      </w:pPr>
    </w:p>
    <w:p>
      <w:pPr>
        <w:rPr>
          <w:sz w:val="15"/>
        </w:rPr>
      </w:pPr>
    </w:p>
    <w:p>
      <w:pPr>
        <w:pStyle w:val="5"/>
        <w:rPr>
          <w:sz w:val="15"/>
        </w:rPr>
      </w:pPr>
    </w:p>
    <w:p>
      <w:pPr>
        <w:rPr>
          <w:sz w:val="15"/>
        </w:rPr>
      </w:pPr>
    </w:p>
    <w:p>
      <w:pPr>
        <w:pStyle w:val="5"/>
        <w:rPr>
          <w:sz w:val="15"/>
        </w:rPr>
      </w:pPr>
    </w:p>
    <w:p>
      <w:pPr>
        <w:rPr>
          <w:sz w:val="15"/>
        </w:rPr>
      </w:pPr>
    </w:p>
    <w:p>
      <w:pPr>
        <w:pStyle w:val="5"/>
        <w:rPr>
          <w:sz w:val="15"/>
        </w:rPr>
      </w:pPr>
    </w:p>
    <w:p>
      <w:pPr>
        <w:rPr>
          <w:sz w:val="15"/>
        </w:rPr>
      </w:pPr>
    </w:p>
    <w:p>
      <w:pPr>
        <w:pStyle w:val="5"/>
        <w:rPr>
          <w:sz w:val="15"/>
        </w:rPr>
      </w:pPr>
    </w:p>
    <w:p>
      <w:pPr>
        <w:rPr>
          <w:sz w:val="15"/>
        </w:rPr>
      </w:pPr>
    </w:p>
    <w:p>
      <w:pPr>
        <w:pStyle w:val="5"/>
        <w:rPr>
          <w:sz w:val="15"/>
        </w:rPr>
      </w:pPr>
    </w:p>
    <w:p>
      <w:pPr>
        <w:rPr>
          <w:sz w:val="15"/>
        </w:rPr>
      </w:pPr>
    </w:p>
    <w:p>
      <w:pPr>
        <w:pStyle w:val="5"/>
      </w:pPr>
    </w:p>
    <w:p>
      <w:pPr>
        <w:spacing w:line="400" w:lineRule="exact"/>
        <w:ind w:left="1923" w:leftChars="436" w:hanging="964" w:hangingChars="400"/>
        <w:rPr>
          <w:rFonts w:ascii="仿宋_GB2312" w:hAnsi="宋体" w:eastAsia="仿宋_GB2312"/>
          <w:b/>
          <w:bCs/>
          <w:kern w:val="2"/>
          <w:sz w:val="24"/>
          <w:szCs w:val="28"/>
          <w:lang w:val="en-US"/>
        </w:rPr>
      </w:pPr>
      <w:r>
        <w:rPr>
          <w:rFonts w:hint="eastAsia" w:ascii="仿宋_GB2312" w:hAnsi="宋体" w:eastAsia="仿宋_GB2312"/>
          <w:b/>
          <w:bCs/>
          <w:kern w:val="2"/>
          <w:sz w:val="24"/>
          <w:szCs w:val="28"/>
          <w:lang w:val="en-US"/>
        </w:rPr>
        <w:t xml:space="preserve">5 </w:t>
      </w:r>
      <w:r>
        <w:rPr>
          <w:rFonts w:hint="eastAsia" w:ascii="仿宋_GB2312" w:hAnsi="宋体" w:eastAsia="仿宋_GB2312"/>
          <w:b/>
          <w:bCs/>
          <w:color w:val="558ED5" w:themeColor="text2" w:themeTint="99"/>
          <w:kern w:val="2"/>
          <w:sz w:val="24"/>
          <w:szCs w:val="28"/>
          <w:lang w:val="en-US"/>
          <w14:textFill>
            <w14:solidFill>
              <w14:schemeClr w14:val="tx2">
                <w14:lumMod w14:val="60000"/>
                <w14:lumOff w14:val="40000"/>
              </w14:schemeClr>
            </w14:solidFill>
          </w14:textFill>
        </w:rPr>
        <w:t xml:space="preserve"> </w:t>
      </w:r>
      <w:r>
        <w:rPr>
          <w:rFonts w:hint="eastAsia" w:ascii="仿宋_GB2312" w:hAnsi="宋体" w:eastAsia="仿宋_GB2312"/>
          <w:b/>
          <w:bCs/>
          <w:kern w:val="2"/>
          <w:sz w:val="24"/>
          <w:szCs w:val="28"/>
          <w:lang w:val="en-US"/>
        </w:rPr>
        <w:t>具有税务局开具依法缴纳近三个月（2022年3月～5月）完税证明及</w:t>
      </w:r>
      <w:r>
        <w:rPr>
          <w:rFonts w:hint="eastAsia" w:ascii="仿宋_GB2312" w:hAnsi="宋体" w:eastAsia="仿宋_GB2312"/>
          <w:b/>
          <w:bCs/>
          <w:kern w:val="2"/>
          <w:sz w:val="24"/>
          <w:szCs w:val="28"/>
          <w:lang w:val="en-US" w:eastAsia="zh-CN"/>
        </w:rPr>
        <w:t>2021年或2020年财务审计报告</w:t>
      </w:r>
      <w:r>
        <w:rPr>
          <w:rFonts w:hint="eastAsia" w:ascii="仿宋_GB2312" w:hAnsi="宋体" w:eastAsia="仿宋_GB2312"/>
          <w:b/>
          <w:bCs/>
          <w:kern w:val="2"/>
          <w:sz w:val="24"/>
          <w:szCs w:val="28"/>
          <w:lang w:val="en-US"/>
        </w:rPr>
        <w:t>（新成立公司须提供银行资信证明）；</w:t>
      </w:r>
    </w:p>
    <w:p>
      <w:pPr>
        <w:pStyle w:val="9"/>
        <w:spacing w:before="4"/>
        <w:ind w:firstLine="944" w:firstLineChars="400"/>
        <w:rPr>
          <w:spacing w:val="-2"/>
          <w:szCs w:val="22"/>
        </w:rPr>
      </w:pPr>
    </w:p>
    <w:p>
      <w:pPr>
        <w:pStyle w:val="9"/>
        <w:rPr>
          <w:b/>
        </w:rPr>
      </w:pPr>
    </w:p>
    <w:p>
      <w:pPr>
        <w:pStyle w:val="9"/>
        <w:rPr>
          <w:b/>
        </w:rPr>
      </w:pPr>
    </w:p>
    <w:p>
      <w:pPr>
        <w:pStyle w:val="9"/>
        <w:rPr>
          <w:b/>
        </w:rPr>
      </w:pPr>
    </w:p>
    <w:p>
      <w:pPr>
        <w:pStyle w:val="9"/>
        <w:rPr>
          <w:b/>
        </w:rPr>
      </w:pPr>
    </w:p>
    <w:p>
      <w:pPr>
        <w:pStyle w:val="9"/>
        <w:rPr>
          <w:b/>
        </w:rPr>
      </w:pPr>
    </w:p>
    <w:p>
      <w:pPr>
        <w:pStyle w:val="9"/>
        <w:rPr>
          <w:b/>
        </w:rPr>
      </w:pPr>
    </w:p>
    <w:p>
      <w:pPr>
        <w:pStyle w:val="9"/>
        <w:rPr>
          <w:b/>
        </w:rPr>
      </w:pPr>
    </w:p>
    <w:p>
      <w:pPr>
        <w:pStyle w:val="9"/>
        <w:rPr>
          <w:b/>
        </w:rPr>
      </w:pPr>
    </w:p>
    <w:p>
      <w:pPr>
        <w:pStyle w:val="9"/>
        <w:rPr>
          <w:b/>
        </w:rPr>
      </w:pPr>
    </w:p>
    <w:p>
      <w:pPr>
        <w:pStyle w:val="9"/>
        <w:rPr>
          <w:b/>
        </w:rPr>
      </w:pPr>
    </w:p>
    <w:p>
      <w:pPr>
        <w:pStyle w:val="9"/>
        <w:rPr>
          <w:b/>
        </w:rPr>
      </w:pPr>
    </w:p>
    <w:p>
      <w:pPr>
        <w:spacing w:line="242" w:lineRule="auto"/>
        <w:rPr>
          <w:sz w:val="24"/>
        </w:rPr>
        <w:sectPr>
          <w:pgSz w:w="11910" w:h="16840"/>
          <w:pgMar w:top="1580" w:right="800" w:bottom="1180" w:left="740" w:header="0" w:footer="1000" w:gutter="0"/>
          <w:cols w:space="720" w:num="1"/>
        </w:sectPr>
      </w:pPr>
    </w:p>
    <w:p>
      <w:pPr>
        <w:pStyle w:val="4"/>
        <w:spacing w:before="0" w:line="240" w:lineRule="atLeast"/>
        <w:jc w:val="both"/>
        <w:rPr>
          <w:sz w:val="24"/>
          <w:lang w:val="en-US"/>
        </w:rPr>
      </w:pPr>
      <w:bookmarkStart w:id="61" w:name="7_投标人在“信用中国”（www.creditchina.gov.cn）和中国政"/>
      <w:bookmarkEnd w:id="61"/>
    </w:p>
    <w:p>
      <w:pPr>
        <w:pStyle w:val="4"/>
        <w:spacing w:before="0" w:line="240" w:lineRule="atLeast"/>
        <w:jc w:val="both"/>
        <w:rPr>
          <w:sz w:val="24"/>
          <w:lang w:val="en-US"/>
        </w:rPr>
      </w:pPr>
    </w:p>
    <w:p>
      <w:pPr>
        <w:pStyle w:val="4"/>
        <w:spacing w:before="0" w:line="240" w:lineRule="atLeast"/>
        <w:jc w:val="both"/>
        <w:rPr>
          <w:sz w:val="24"/>
          <w:lang w:val="en-US"/>
        </w:rPr>
      </w:pPr>
    </w:p>
    <w:p>
      <w:pPr>
        <w:spacing w:line="400" w:lineRule="exact"/>
        <w:ind w:left="1923" w:leftChars="436" w:hanging="964" w:hangingChars="400"/>
        <w:rPr>
          <w:rFonts w:ascii="仿宋_GB2312" w:hAnsi="宋体" w:eastAsia="仿宋_GB2312"/>
          <w:b/>
          <w:bCs/>
          <w:kern w:val="2"/>
          <w:sz w:val="24"/>
          <w:szCs w:val="28"/>
          <w:lang w:val="en-US"/>
        </w:rPr>
      </w:pPr>
      <w:r>
        <w:rPr>
          <w:rFonts w:hint="eastAsia"/>
          <w:b/>
          <w:sz w:val="24"/>
          <w:lang w:val="en-US"/>
        </w:rPr>
        <w:t xml:space="preserve">6 </w:t>
      </w:r>
      <w:r>
        <w:rPr>
          <w:b/>
          <w:color w:val="558ED5" w:themeColor="text2" w:themeTint="99"/>
          <w:spacing w:val="4"/>
          <w:sz w:val="24"/>
          <w:lang w:val="en-US"/>
          <w14:textFill>
            <w14:solidFill>
              <w14:schemeClr w14:val="tx2">
                <w14:lumMod w14:val="60000"/>
                <w14:lumOff w14:val="40000"/>
              </w14:schemeClr>
            </w14:solidFill>
          </w14:textFill>
        </w:rPr>
        <w:t xml:space="preserve"> </w:t>
      </w:r>
      <w:r>
        <w:rPr>
          <w:rFonts w:hint="eastAsia" w:ascii="仿宋_GB2312" w:hAnsi="宋体" w:eastAsia="仿宋_GB2312"/>
          <w:b/>
          <w:bCs/>
          <w:kern w:val="2"/>
          <w:sz w:val="24"/>
          <w:szCs w:val="28"/>
          <w:lang w:val="en-US"/>
        </w:rPr>
        <w:t>供应商在“信用中国”（www.creditchina.gov.cn）和中国政府采购网（www.ccgp.gov.cn）网站上未列入失信被执行人、</w:t>
      </w:r>
      <w:r>
        <w:rPr>
          <w:rFonts w:hint="eastAsia" w:ascii="仿宋_GB2312" w:hAnsi="宋体" w:eastAsia="仿宋_GB2312"/>
          <w:b/>
          <w:bCs/>
          <w:kern w:val="2"/>
          <w:sz w:val="24"/>
          <w:szCs w:val="28"/>
          <w:lang w:val="en-US" w:eastAsia="zh-CN"/>
        </w:rPr>
        <w:t>税收违法黑名单</w:t>
      </w:r>
      <w:r>
        <w:rPr>
          <w:rFonts w:hint="eastAsia" w:ascii="仿宋_GB2312" w:hAnsi="宋体" w:eastAsia="仿宋_GB2312"/>
          <w:b/>
          <w:bCs/>
          <w:kern w:val="2"/>
          <w:sz w:val="24"/>
          <w:szCs w:val="28"/>
          <w:lang w:val="en-US"/>
        </w:rPr>
        <w:t>、政府采购严重违法失信行为记录名单（财库[2016]125号）（需提供网上截图加盖公章）；</w:t>
      </w:r>
    </w:p>
    <w:p>
      <w:pPr>
        <w:spacing w:line="400" w:lineRule="exact"/>
        <w:ind w:left="1923" w:leftChars="436" w:hanging="964" w:hangingChars="400"/>
        <w:rPr>
          <w:rFonts w:ascii="仿宋_GB2312" w:hAnsi="宋体" w:eastAsia="仿宋_GB2312"/>
          <w:b/>
          <w:bCs/>
          <w:kern w:val="2"/>
          <w:sz w:val="24"/>
          <w:szCs w:val="28"/>
          <w:lang w:val="en-US"/>
        </w:rPr>
      </w:pPr>
    </w:p>
    <w:p>
      <w:pPr>
        <w:rPr>
          <w:sz w:val="24"/>
          <w:lang w:val="en-US"/>
        </w:rPr>
      </w:pPr>
    </w:p>
    <w:p>
      <w:pPr>
        <w:pStyle w:val="5"/>
        <w:rPr>
          <w:lang w:val="en-US"/>
        </w:rPr>
      </w:pPr>
    </w:p>
    <w:p>
      <w:pPr>
        <w:rPr>
          <w:sz w:val="24"/>
          <w:lang w:val="en-US"/>
        </w:rPr>
      </w:pPr>
    </w:p>
    <w:p>
      <w:pPr>
        <w:pStyle w:val="5"/>
        <w:rPr>
          <w:lang w:val="en-US"/>
        </w:rPr>
      </w:pPr>
    </w:p>
    <w:p>
      <w:pPr>
        <w:rPr>
          <w:sz w:val="24"/>
          <w:lang w:val="en-US"/>
        </w:rPr>
      </w:pPr>
    </w:p>
    <w:p>
      <w:pPr>
        <w:pStyle w:val="5"/>
        <w:rPr>
          <w:lang w:val="en-US"/>
        </w:rPr>
      </w:pPr>
    </w:p>
    <w:p>
      <w:pPr>
        <w:rPr>
          <w:sz w:val="24"/>
          <w:lang w:val="en-US"/>
        </w:rPr>
      </w:pPr>
    </w:p>
    <w:p>
      <w:pPr>
        <w:pStyle w:val="5"/>
        <w:rPr>
          <w:lang w:val="en-US"/>
        </w:rPr>
      </w:pPr>
    </w:p>
    <w:p>
      <w:pPr>
        <w:spacing w:line="400" w:lineRule="exact"/>
        <w:ind w:left="1682" w:leftChars="436" w:hanging="723" w:hangingChars="300"/>
        <w:rPr>
          <w:rFonts w:ascii="仿宋_GB2312" w:hAnsi="宋体" w:eastAsia="仿宋_GB2312"/>
          <w:b/>
          <w:bCs/>
          <w:kern w:val="2"/>
          <w:sz w:val="24"/>
          <w:szCs w:val="28"/>
          <w:lang w:val="en-US"/>
        </w:rPr>
      </w:pPr>
      <w:r>
        <w:rPr>
          <w:rFonts w:hint="eastAsia" w:ascii="仿宋_GB2312" w:hAnsi="Arial" w:eastAsia="仿宋_GB2312"/>
          <w:b/>
          <w:sz w:val="24"/>
          <w:szCs w:val="20"/>
          <w:lang w:val="en-US"/>
        </w:rPr>
        <w:t xml:space="preserve">7  </w:t>
      </w:r>
      <w:r>
        <w:rPr>
          <w:rFonts w:hint="eastAsia" w:ascii="仿宋_GB2312" w:hAnsi="宋体" w:eastAsia="仿宋_GB2312"/>
          <w:b/>
          <w:bCs/>
          <w:kern w:val="2"/>
          <w:sz w:val="24"/>
          <w:szCs w:val="28"/>
          <w:lang w:val="en-US" w:eastAsia="zh-CN"/>
        </w:rPr>
        <w:t>参加采购活动前三年内（2019年6月至今）</w:t>
      </w:r>
      <w:r>
        <w:rPr>
          <w:rFonts w:hint="eastAsia" w:ascii="仿宋_GB2312" w:hAnsi="宋体" w:eastAsia="仿宋_GB2312"/>
          <w:b/>
          <w:bCs/>
          <w:kern w:val="2"/>
          <w:sz w:val="24"/>
          <w:szCs w:val="28"/>
          <w:lang w:val="en-US"/>
        </w:rPr>
        <w:t>，在经营活动中无重大违法声明(受行政主管部门的处罚不能参加投标)；</w:t>
      </w:r>
    </w:p>
    <w:p>
      <w:pPr>
        <w:spacing w:before="4" w:line="242" w:lineRule="auto"/>
        <w:ind w:left="1057" w:right="956"/>
        <w:jc w:val="both"/>
        <w:rPr>
          <w:sz w:val="24"/>
        </w:rPr>
      </w:pPr>
    </w:p>
    <w:p>
      <w:pPr>
        <w:rPr>
          <w:rFonts w:ascii="仿宋_GB2312" w:hAnsi="Arial" w:eastAsia="仿宋_GB2312"/>
          <w:b/>
          <w:color w:val="558ED5" w:themeColor="text2" w:themeTint="99"/>
          <w:sz w:val="24"/>
          <w:szCs w:val="20"/>
          <w14:textFill>
            <w14:solidFill>
              <w14:schemeClr w14:val="tx2">
                <w14:lumMod w14:val="60000"/>
                <w14:lumOff w14:val="40000"/>
              </w14:schemeClr>
            </w14:solidFill>
          </w14:textFill>
        </w:rPr>
      </w:pPr>
    </w:p>
    <w:p>
      <w:pPr>
        <w:pStyle w:val="11"/>
        <w:tabs>
          <w:tab w:val="left" w:pos="5580"/>
        </w:tabs>
        <w:spacing w:line="240" w:lineRule="atLeast"/>
        <w:ind w:left="1105" w:leftChars="257" w:hanging="540"/>
        <w:rPr>
          <w:rFonts w:ascii="仿宋_GB2312" w:hAnsi="宋体" w:eastAsia="仿宋_GB2312"/>
          <w:color w:val="558ED5" w:themeColor="text2" w:themeTint="99"/>
          <w:sz w:val="24"/>
          <w14:textFill>
            <w14:solidFill>
              <w14:schemeClr w14:val="tx2">
                <w14:lumMod w14:val="60000"/>
                <w14:lumOff w14:val="40000"/>
              </w14:schemeClr>
            </w14:solidFill>
          </w14:textFill>
        </w:rPr>
      </w:pPr>
    </w:p>
    <w:p>
      <w:pPr>
        <w:pStyle w:val="11"/>
        <w:tabs>
          <w:tab w:val="left" w:pos="5580"/>
        </w:tabs>
        <w:spacing w:line="240" w:lineRule="atLeast"/>
        <w:ind w:left="1105" w:leftChars="257" w:hanging="540"/>
        <w:rPr>
          <w:rFonts w:ascii="仿宋_GB2312" w:hAnsi="宋体" w:eastAsia="仿宋_GB2312"/>
          <w:sz w:val="24"/>
        </w:rPr>
      </w:pPr>
      <w:r>
        <w:rPr>
          <w:rFonts w:hint="eastAsia" w:ascii="仿宋_GB2312" w:hAnsi="宋体" w:eastAsia="仿宋_GB2312"/>
          <w:sz w:val="24"/>
        </w:rPr>
        <w:t>说明：1.投标</w:t>
      </w:r>
      <w:r>
        <w:rPr>
          <w:rFonts w:ascii="仿宋_GB2312" w:hAnsi="宋体" w:eastAsia="仿宋_GB2312"/>
          <w:sz w:val="24"/>
        </w:rPr>
        <w:t>人应</w:t>
      </w:r>
      <w:r>
        <w:rPr>
          <w:rFonts w:hint="eastAsia" w:ascii="仿宋_GB2312" w:hAnsi="宋体" w:eastAsia="仿宋_GB2312"/>
          <w:sz w:val="24"/>
        </w:rPr>
        <w:t>按照</w:t>
      </w:r>
      <w:r>
        <w:rPr>
          <w:rFonts w:ascii="仿宋_GB2312" w:hAnsi="宋体" w:eastAsia="仿宋_GB2312"/>
          <w:sz w:val="24"/>
        </w:rPr>
        <w:t>相关法</w:t>
      </w:r>
      <w:r>
        <w:rPr>
          <w:rFonts w:hint="eastAsia" w:ascii="仿宋_GB2312" w:hAnsi="宋体" w:eastAsia="仿宋_GB2312"/>
          <w:sz w:val="24"/>
        </w:rPr>
        <w:t>规</w:t>
      </w:r>
      <w:r>
        <w:rPr>
          <w:rFonts w:ascii="仿宋_GB2312" w:hAnsi="宋体" w:eastAsia="仿宋_GB2312"/>
          <w:sz w:val="24"/>
        </w:rPr>
        <w:t>规定如实作出说明。</w:t>
      </w:r>
    </w:p>
    <w:p>
      <w:pPr>
        <w:pStyle w:val="11"/>
        <w:tabs>
          <w:tab w:val="left" w:pos="5580"/>
        </w:tabs>
        <w:spacing w:line="240" w:lineRule="atLeast"/>
        <w:ind w:left="675" w:leftChars="307" w:firstLine="600" w:firstLineChars="250"/>
        <w:rPr>
          <w:rFonts w:ascii="仿宋_GB2312" w:hAnsi="宋体" w:eastAsia="仿宋_GB2312"/>
          <w:sz w:val="24"/>
        </w:rPr>
      </w:pPr>
      <w:r>
        <w:rPr>
          <w:rFonts w:ascii="仿宋_GB2312" w:hAnsi="宋体" w:eastAsia="仿宋_GB2312"/>
          <w:sz w:val="24"/>
        </w:rPr>
        <w:t>2</w:t>
      </w:r>
      <w:r>
        <w:rPr>
          <w:rFonts w:hint="eastAsia" w:ascii="仿宋_GB2312" w:hAnsi="宋体" w:eastAsia="仿宋_GB2312"/>
          <w:sz w:val="24"/>
        </w:rPr>
        <w:t>．按照招标文件的规定加盖单位章（自然人投标的无需盖章，需要签字）。</w:t>
      </w:r>
    </w:p>
    <w:p>
      <w:r>
        <w:rPr>
          <w:rFonts w:hint="eastAsia" w:ascii="仿宋_GB2312" w:hAnsi="宋体" w:eastAsia="仿宋_GB2312"/>
          <w:sz w:val="24"/>
        </w:rPr>
        <w:t xml:space="preserve">     </w:t>
      </w:r>
      <w:r>
        <w:rPr>
          <w:rFonts w:hint="eastAsia" w:ascii="仿宋_GB2312" w:hAnsi="宋体" w:eastAsia="仿宋_GB2312"/>
          <w:sz w:val="24"/>
          <w:lang w:val="en-US"/>
        </w:rPr>
        <w:t xml:space="preserve">    </w:t>
      </w:r>
      <w:r>
        <w:rPr>
          <w:rFonts w:hint="eastAsia" w:ascii="仿宋_GB2312" w:hAnsi="宋体" w:eastAsia="仿宋_GB2312"/>
          <w:sz w:val="24"/>
        </w:rPr>
        <w:t xml:space="preserve"> </w:t>
      </w:r>
      <w:r>
        <w:rPr>
          <w:rFonts w:hint="eastAsia" w:ascii="仿宋_GB2312" w:hAnsi="宋体" w:eastAsia="仿宋_GB2312"/>
          <w:sz w:val="24"/>
          <w:lang w:val="en-US"/>
        </w:rPr>
        <w:t xml:space="preserve"> </w:t>
      </w:r>
      <w:r>
        <w:rPr>
          <w:rFonts w:ascii="仿宋_GB2312" w:hAnsi="宋体" w:eastAsia="仿宋_GB2312"/>
          <w:sz w:val="24"/>
        </w:rPr>
        <w:t>3</w:t>
      </w:r>
      <w:r>
        <w:rPr>
          <w:rFonts w:hint="eastAsia" w:ascii="仿宋_GB2312" w:hAnsi="宋体" w:eastAsia="仿宋_GB2312"/>
          <w:sz w:val="24"/>
        </w:rPr>
        <w:t>.</w:t>
      </w:r>
      <w:r>
        <w:rPr>
          <w:rFonts w:hint="eastAsia" w:ascii="仿宋_GB2312" w:eastAsia="仿宋_GB2312"/>
          <w:sz w:val="24"/>
        </w:rPr>
        <w:t>如果是联合体投标，联合体各方均需提供上述证明。</w:t>
      </w:r>
    </w:p>
    <w:p>
      <w:pPr>
        <w:pStyle w:val="5"/>
      </w:pPr>
    </w:p>
    <w:p/>
    <w:p>
      <w:pPr>
        <w:pStyle w:val="5"/>
      </w:pPr>
    </w:p>
    <w:p/>
    <w:p>
      <w:pPr>
        <w:pStyle w:val="5"/>
      </w:pPr>
    </w:p>
    <w:p/>
    <w:p>
      <w:pPr>
        <w:pStyle w:val="5"/>
      </w:pPr>
    </w:p>
    <w:p/>
    <w:p>
      <w:pPr>
        <w:pStyle w:val="5"/>
      </w:pPr>
    </w:p>
    <w:p/>
    <w:p>
      <w:pPr>
        <w:spacing w:line="400" w:lineRule="exact"/>
        <w:ind w:firstLine="964" w:firstLineChars="400"/>
        <w:rPr>
          <w:rFonts w:ascii="仿宋_GB2312" w:hAnsi="宋体" w:eastAsia="仿宋_GB2312"/>
          <w:b/>
          <w:bCs/>
          <w:kern w:val="2"/>
          <w:sz w:val="24"/>
          <w:szCs w:val="28"/>
          <w:lang w:val="en-US"/>
        </w:rPr>
      </w:pPr>
      <w:r>
        <w:rPr>
          <w:rFonts w:hint="eastAsia" w:ascii="仿宋_GB2312" w:hAnsi="Arial" w:eastAsia="仿宋_GB2312"/>
          <w:b/>
          <w:sz w:val="24"/>
          <w:szCs w:val="20"/>
          <w:lang w:val="en-US"/>
        </w:rPr>
        <w:t>8</w:t>
      </w:r>
      <w:r>
        <w:rPr>
          <w:rFonts w:hint="eastAsia" w:ascii="仿宋_GB2312" w:hAnsi="Arial" w:eastAsia="仿宋_GB2312"/>
          <w:b/>
          <w:sz w:val="24"/>
          <w:szCs w:val="20"/>
        </w:rPr>
        <w:t xml:space="preserve">  </w:t>
      </w:r>
      <w:r>
        <w:rPr>
          <w:rFonts w:hint="eastAsia" w:ascii="仿宋_GB2312" w:hAnsi="宋体" w:eastAsia="仿宋_GB2312"/>
          <w:b/>
          <w:bCs/>
          <w:kern w:val="2"/>
          <w:sz w:val="24"/>
          <w:szCs w:val="28"/>
          <w:lang w:val="en-US"/>
        </w:rPr>
        <w:t>投标单位（供应商）具备针对本次采购项目《反商业贿赂承诺书》；</w:t>
      </w:r>
    </w:p>
    <w:p>
      <w:pPr>
        <w:rPr>
          <w:rFonts w:ascii="仿宋_GB2312" w:hAnsi="Arial" w:eastAsia="仿宋_GB2312"/>
          <w:b/>
          <w:color w:val="558ED5" w:themeColor="text2" w:themeTint="99"/>
          <w:sz w:val="24"/>
          <w:szCs w:val="20"/>
          <w14:textFill>
            <w14:solidFill>
              <w14:schemeClr w14:val="tx2">
                <w14:lumMod w14:val="60000"/>
                <w14:lumOff w14:val="40000"/>
              </w14:schemeClr>
            </w14:solidFill>
          </w14:textFill>
        </w:rPr>
      </w:pPr>
    </w:p>
    <w:p>
      <w:pPr>
        <w:pStyle w:val="5"/>
        <w:rPr>
          <w:color w:val="558ED5" w:themeColor="text2" w:themeTint="99"/>
          <w14:textFill>
            <w14:solidFill>
              <w14:schemeClr w14:val="tx2">
                <w14:lumMod w14:val="60000"/>
                <w14:lumOff w14:val="40000"/>
              </w14:schemeClr>
            </w14:solidFill>
          </w14:textFill>
        </w:rPr>
        <w:sectPr>
          <w:pgSz w:w="11910" w:h="16840"/>
          <w:pgMar w:top="1180" w:right="800" w:bottom="1180" w:left="740" w:header="0" w:footer="1000" w:gutter="0"/>
          <w:cols w:space="720" w:num="1"/>
        </w:sectPr>
      </w:pPr>
    </w:p>
    <w:p>
      <w:pPr>
        <w:pStyle w:val="9"/>
        <w:rPr>
          <w:b/>
          <w:sz w:val="20"/>
        </w:rPr>
      </w:pPr>
    </w:p>
    <w:p>
      <w:pPr>
        <w:pStyle w:val="9"/>
        <w:spacing w:before="4"/>
        <w:ind w:firstLine="3213" w:firstLineChars="1000"/>
        <w:jc w:val="both"/>
        <w:rPr>
          <w:b/>
          <w:bCs/>
          <w:spacing w:val="-2"/>
          <w:sz w:val="32"/>
          <w:szCs w:val="28"/>
          <w:lang w:val="en-US"/>
        </w:rPr>
      </w:pPr>
      <w:bookmarkStart w:id="62" w:name="8_投标保证金缴纳凭证复印件或报价担保函"/>
      <w:bookmarkEnd w:id="62"/>
      <w:r>
        <w:rPr>
          <w:rFonts w:hint="eastAsia"/>
          <w:b/>
          <w:sz w:val="32"/>
          <w:szCs w:val="32"/>
          <w:lang w:val="en-US"/>
        </w:rPr>
        <w:t>9</w:t>
      </w:r>
      <w:r>
        <w:rPr>
          <w:b/>
          <w:sz w:val="32"/>
          <w:szCs w:val="32"/>
        </w:rPr>
        <w:t xml:space="preserve"> </w:t>
      </w:r>
      <w:r>
        <w:rPr>
          <w:rFonts w:hint="eastAsia"/>
          <w:b/>
          <w:bCs/>
          <w:spacing w:val="-2"/>
          <w:sz w:val="32"/>
          <w:szCs w:val="28"/>
          <w:lang w:val="en-US"/>
        </w:rPr>
        <w:t>投标保证金收据或投标保函</w:t>
      </w:r>
    </w:p>
    <w:p>
      <w:pPr>
        <w:spacing w:before="22" w:line="278" w:lineRule="auto"/>
        <w:ind w:left="1057" w:right="1117" w:firstLine="420"/>
        <w:jc w:val="both"/>
        <w:rPr>
          <w:w w:val="95"/>
          <w:sz w:val="21"/>
        </w:rPr>
      </w:pPr>
    </w:p>
    <w:p>
      <w:pPr>
        <w:spacing w:before="22" w:line="278" w:lineRule="auto"/>
        <w:ind w:left="1057" w:right="1117" w:firstLine="420"/>
        <w:jc w:val="both"/>
        <w:rPr>
          <w:sz w:val="21"/>
        </w:rPr>
      </w:pPr>
      <w:r>
        <w:rPr>
          <w:w w:val="95"/>
          <w:sz w:val="21"/>
        </w:rPr>
        <w:t>投标人可将本项目投标保证金支付的保证金收据的复印件作为缴纳凭证装订在本部分，复印件上应加盖本单位章；使用银行保函等其他报价担保函的，应将担保函正本，装订在本部分正本中；如采用政府采</w:t>
      </w:r>
      <w:r>
        <w:rPr>
          <w:sz w:val="21"/>
        </w:rPr>
        <w:t>购信用担保形式的，应使用（投标文件格式三）,将原件装订在本部分正本中。</w:t>
      </w:r>
    </w:p>
    <w:p>
      <w:pPr>
        <w:pStyle w:val="9"/>
        <w:rPr>
          <w:sz w:val="20"/>
        </w:rPr>
      </w:pPr>
    </w:p>
    <w:p>
      <w:pPr>
        <w:spacing w:before="168"/>
        <w:ind w:left="3121"/>
        <w:jc w:val="both"/>
        <w:rPr>
          <w:sz w:val="28"/>
        </w:rPr>
      </w:pPr>
      <w:r>
        <w:rPr>
          <w:sz w:val="32"/>
          <w:szCs w:val="36"/>
        </w:rPr>
        <w:t>政府采购报价担保函 （项目用）</w:t>
      </w:r>
    </w:p>
    <w:p>
      <w:pPr>
        <w:spacing w:before="153"/>
        <w:ind w:right="1957"/>
        <w:jc w:val="right"/>
        <w:rPr>
          <w:sz w:val="21"/>
        </w:rPr>
      </w:pPr>
      <w:r>
        <w:rPr>
          <w:w w:val="95"/>
          <w:sz w:val="21"/>
        </w:rPr>
        <w:t>编号：</w:t>
      </w:r>
    </w:p>
    <w:p>
      <w:pPr>
        <w:pStyle w:val="9"/>
        <w:spacing w:before="9"/>
        <w:rPr>
          <w:sz w:val="21"/>
        </w:rPr>
      </w:pPr>
    </w:p>
    <w:p>
      <w:pPr>
        <w:tabs>
          <w:tab w:val="left" w:pos="2946"/>
        </w:tabs>
        <w:spacing w:before="77"/>
        <w:ind w:left="1056"/>
        <w:rPr>
          <w:sz w:val="21"/>
        </w:rPr>
      </w:pPr>
      <w:r>
        <w:rPr>
          <w:rFonts w:ascii="Times New Roman" w:eastAsia="Times New Roman"/>
          <w:w w:val="99"/>
          <w:sz w:val="21"/>
          <w:u w:val="single"/>
        </w:rPr>
        <w:t xml:space="preserve"> </w:t>
      </w:r>
      <w:r>
        <w:rPr>
          <w:rFonts w:ascii="Times New Roman" w:eastAsia="Times New Roman"/>
          <w:sz w:val="21"/>
          <w:u w:val="single"/>
        </w:rPr>
        <w:tab/>
      </w:r>
      <w:r>
        <w:rPr>
          <w:sz w:val="21"/>
        </w:rPr>
        <w:t>（采购人或采购代理机构）：</w:t>
      </w:r>
    </w:p>
    <w:p>
      <w:pPr>
        <w:pStyle w:val="9"/>
        <w:spacing w:before="9"/>
        <w:rPr>
          <w:sz w:val="27"/>
        </w:rPr>
      </w:pPr>
    </w:p>
    <w:p>
      <w:pPr>
        <w:tabs>
          <w:tab w:val="left" w:pos="3471"/>
          <w:tab w:val="left" w:pos="8300"/>
          <w:tab w:val="left" w:pos="9299"/>
        </w:tabs>
        <w:spacing w:line="278" w:lineRule="auto"/>
        <w:ind w:left="1057" w:right="1065" w:firstLine="420"/>
        <w:jc w:val="both"/>
        <w:rPr>
          <w:sz w:val="21"/>
        </w:rPr>
      </w:pPr>
      <w:r>
        <w:rPr>
          <w:sz w:val="21"/>
        </w:rPr>
        <w:t>鉴于</w:t>
      </w:r>
      <w:r>
        <w:rPr>
          <w:sz w:val="21"/>
          <w:u w:val="single"/>
        </w:rPr>
        <w:t xml:space="preserve"> </w:t>
      </w:r>
      <w:r>
        <w:rPr>
          <w:sz w:val="21"/>
          <w:u w:val="single"/>
        </w:rPr>
        <w:tab/>
      </w:r>
      <w:r>
        <w:rPr>
          <w:sz w:val="21"/>
        </w:rPr>
        <w:t>（以下简称“投标人”）拟参加编号为</w:t>
      </w:r>
      <w:r>
        <w:rPr>
          <w:sz w:val="21"/>
          <w:u w:val="single"/>
        </w:rPr>
        <w:t xml:space="preserve"> </w:t>
      </w:r>
      <w:r>
        <w:rPr>
          <w:sz w:val="21"/>
          <w:u w:val="single"/>
        </w:rPr>
        <w:tab/>
      </w:r>
      <w:r>
        <w:rPr>
          <w:sz w:val="21"/>
        </w:rPr>
        <w:t>的</w:t>
      </w:r>
      <w:r>
        <w:rPr>
          <w:sz w:val="21"/>
          <w:u w:val="single"/>
        </w:rPr>
        <w:tab/>
      </w:r>
      <w:r>
        <w:rPr>
          <w:sz w:val="21"/>
          <w:u w:val="single"/>
        </w:rPr>
        <w:t xml:space="preserve"> </w:t>
      </w:r>
      <w:r>
        <w:rPr>
          <w:sz w:val="21"/>
        </w:rPr>
        <w:t>项目（以下简称“本项目”）报价，根据本项目招标文件，投标人参加报价时应向你方交纳投标保证金，且可以报价担保函的形式交纳投标保证金。应投标人的申请，我方以保证的方式向你方提供如下投标保证金担保：</w:t>
      </w:r>
    </w:p>
    <w:p>
      <w:pPr>
        <w:spacing w:line="269" w:lineRule="exact"/>
        <w:ind w:left="1477"/>
        <w:rPr>
          <w:sz w:val="21"/>
        </w:rPr>
      </w:pPr>
      <w:r>
        <w:rPr>
          <w:sz w:val="21"/>
        </w:rPr>
        <w:t>一、保证责任的情形及保证金额</w:t>
      </w:r>
    </w:p>
    <w:p>
      <w:pPr>
        <w:spacing w:before="43"/>
        <w:ind w:left="1266"/>
        <w:rPr>
          <w:sz w:val="21"/>
        </w:rPr>
      </w:pPr>
      <w:r>
        <w:rPr>
          <w:sz w:val="21"/>
        </w:rPr>
        <w:t>（一）在投标人出现下列情形之一时，我方承担保证责任：</w:t>
      </w:r>
    </w:p>
    <w:p>
      <w:pPr>
        <w:pStyle w:val="22"/>
        <w:numPr>
          <w:ilvl w:val="0"/>
          <w:numId w:val="20"/>
        </w:numPr>
        <w:tabs>
          <w:tab w:val="left" w:pos="1791"/>
        </w:tabs>
        <w:spacing w:before="43"/>
        <w:rPr>
          <w:sz w:val="21"/>
        </w:rPr>
      </w:pPr>
      <w:r>
        <w:rPr>
          <w:sz w:val="21"/>
        </w:rPr>
        <w:t>中标后投标人无正当理由不与采购人或者采购代理机构签订《政府采购合同》；</w:t>
      </w:r>
    </w:p>
    <w:p>
      <w:pPr>
        <w:pStyle w:val="22"/>
        <w:numPr>
          <w:ilvl w:val="0"/>
          <w:numId w:val="20"/>
        </w:numPr>
        <w:tabs>
          <w:tab w:val="left" w:pos="1792"/>
        </w:tabs>
        <w:spacing w:before="43"/>
        <w:ind w:left="1792" w:hanging="315"/>
        <w:rPr>
          <w:sz w:val="21"/>
        </w:rPr>
      </w:pPr>
      <w:r>
        <w:rPr>
          <w:sz w:val="21"/>
        </w:rPr>
        <w:t>招标文件规定的投标人应当缴纳保证金的其他情形。</w:t>
      </w:r>
    </w:p>
    <w:p>
      <w:pPr>
        <w:tabs>
          <w:tab w:val="left" w:pos="6097"/>
          <w:tab w:val="left" w:pos="8197"/>
        </w:tabs>
        <w:spacing w:before="43" w:line="278" w:lineRule="auto"/>
        <w:ind w:left="1057" w:right="1117" w:firstLine="208"/>
        <w:rPr>
          <w:sz w:val="21"/>
        </w:rPr>
      </w:pPr>
      <w:r>
        <w:rPr>
          <w:sz w:val="21"/>
        </w:rPr>
        <w:t>（二）我方承担保证责任的最高金额为人民币</w:t>
      </w:r>
      <w:r>
        <w:rPr>
          <w:sz w:val="21"/>
          <w:u w:val="single"/>
        </w:rPr>
        <w:t xml:space="preserve"> </w:t>
      </w:r>
      <w:r>
        <w:rPr>
          <w:sz w:val="21"/>
          <w:u w:val="single"/>
        </w:rPr>
        <w:tab/>
      </w:r>
      <w:r>
        <w:rPr>
          <w:sz w:val="21"/>
        </w:rPr>
        <w:t>元（大写</w:t>
      </w:r>
      <w:r>
        <w:rPr>
          <w:sz w:val="21"/>
          <w:u w:val="single"/>
        </w:rPr>
        <w:t xml:space="preserve"> </w:t>
      </w:r>
      <w:r>
        <w:rPr>
          <w:sz w:val="21"/>
          <w:u w:val="single"/>
        </w:rPr>
        <w:tab/>
      </w:r>
      <w:r>
        <w:rPr>
          <w:sz w:val="21"/>
        </w:rPr>
        <w:t>），即本</w:t>
      </w:r>
      <w:r>
        <w:rPr>
          <w:spacing w:val="-15"/>
          <w:sz w:val="21"/>
        </w:rPr>
        <w:t>项</w:t>
      </w:r>
      <w:r>
        <w:rPr>
          <w:sz w:val="21"/>
        </w:rPr>
        <w:t>目的投标保证金金额。</w:t>
      </w:r>
    </w:p>
    <w:p>
      <w:pPr>
        <w:spacing w:line="269" w:lineRule="exact"/>
        <w:ind w:left="1477"/>
        <w:rPr>
          <w:sz w:val="21"/>
        </w:rPr>
      </w:pPr>
      <w:r>
        <w:rPr>
          <w:sz w:val="21"/>
        </w:rPr>
        <w:t>二、保证的方式及保证期间</w:t>
      </w:r>
    </w:p>
    <w:p>
      <w:pPr>
        <w:spacing w:before="43"/>
        <w:ind w:left="1477"/>
        <w:rPr>
          <w:sz w:val="21"/>
        </w:rPr>
      </w:pPr>
      <w:r>
        <w:rPr>
          <w:sz w:val="21"/>
        </w:rPr>
        <w:t>我方保证的方式为：连带责任保证。</w:t>
      </w:r>
    </w:p>
    <w:p>
      <w:pPr>
        <w:tabs>
          <w:tab w:val="left" w:pos="5677"/>
        </w:tabs>
        <w:spacing w:before="43" w:line="278" w:lineRule="auto"/>
        <w:ind w:left="1477" w:right="3848"/>
        <w:rPr>
          <w:sz w:val="21"/>
        </w:rPr>
      </w:pPr>
      <w:r>
        <w:rPr>
          <w:lang w:val="en-US" w:bidi="ar-SA"/>
        </w:rPr>
        <mc:AlternateContent>
          <mc:Choice Requires="wps">
            <w:drawing>
              <wp:anchor distT="0" distB="0" distL="114300" distR="114300" simplePos="0" relativeHeight="251682816" behindDoc="1" locked="0" layoutInCell="1" allowOverlap="1">
                <wp:simplePos x="0" y="0"/>
                <wp:positionH relativeFrom="page">
                  <wp:posOffset>3808095</wp:posOffset>
                </wp:positionH>
                <wp:positionV relativeFrom="paragraph">
                  <wp:posOffset>176530</wp:posOffset>
                </wp:positionV>
                <wp:extent cx="266700" cy="0"/>
                <wp:effectExtent l="0" t="0" r="0" b="0"/>
                <wp:wrapNone/>
                <wp:docPr id="7" name="直线 6"/>
                <wp:cNvGraphicFramePr/>
                <a:graphic xmlns:a="http://schemas.openxmlformats.org/drawingml/2006/main">
                  <a:graphicData uri="http://schemas.microsoft.com/office/word/2010/wordprocessingShape">
                    <wps:wsp>
                      <wps:cNvCnPr/>
                      <wps:spPr>
                        <a:xfrm>
                          <a:off x="0" y="0"/>
                          <a:ext cx="26670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id="直线 6" o:spid="_x0000_s1026" o:spt="20" style="position:absolute;left:0pt;margin-left:299.85pt;margin-top:13.9pt;height:0pt;width:21pt;mso-position-horizontal-relative:page;z-index:-251633664;mso-width-relative:page;mso-height-relative:page;" filled="f" stroked="t" coordsize="21600,21600" o:gfxdata="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vbRYG9cAAAAJAQAADwAA&#10;AAAAAAABACAAAAAiAAAAZHJzL2Rvd25yZXYueG1sUEsBAhQAFAAAAAgAh07iQDFn5UbeAQAAzgMA&#10;AA4AAAAAAAAAAQAgAAAAJgEAAGRycy9lMm9Eb2MueG1sUEsFBgAAAAAGAAYAWQEAAHYFAAAAAA==&#10;">
                <v:fill on="f" focussize="0,0"/>
                <v:stroke weight="0.48pt" color="#000000" joinstyle="round"/>
                <v:imagedata o:title=""/>
                <o:lock v:ext="edit" aspectratio="f"/>
              </v:line>
            </w:pict>
          </mc:Fallback>
        </mc:AlternateContent>
      </w:r>
      <w:r>
        <w:rPr>
          <w:sz w:val="21"/>
        </w:rPr>
        <w:t>我方的保证期间为：自本保函生效之日起</w:t>
      </w:r>
      <w:r>
        <w:rPr>
          <w:sz w:val="21"/>
        </w:rPr>
        <w:tab/>
      </w:r>
      <w:r>
        <w:rPr>
          <w:sz w:val="21"/>
        </w:rPr>
        <w:t>个月止</w:t>
      </w:r>
      <w:r>
        <w:rPr>
          <w:spacing w:val="-15"/>
          <w:sz w:val="21"/>
        </w:rPr>
        <w:t>。</w:t>
      </w:r>
      <w:r>
        <w:rPr>
          <w:sz w:val="21"/>
        </w:rPr>
        <w:t>三、承担保证责任的程序</w:t>
      </w:r>
    </w:p>
    <w:p>
      <w:pPr>
        <w:pStyle w:val="22"/>
        <w:numPr>
          <w:ilvl w:val="0"/>
          <w:numId w:val="21"/>
        </w:numPr>
        <w:tabs>
          <w:tab w:val="left" w:pos="1791"/>
        </w:tabs>
        <w:spacing w:line="278" w:lineRule="auto"/>
        <w:ind w:right="1014" w:firstLine="420"/>
        <w:rPr>
          <w:sz w:val="21"/>
        </w:rPr>
      </w:pPr>
      <w:r>
        <w:rPr>
          <w:w w:val="95"/>
          <w:sz w:val="21"/>
        </w:rPr>
        <w:t xml:space="preserve">你方要求我方承担保证责任的，应在本保函保证期间内向我方发出书面索赔通知。  </w:t>
      </w:r>
      <w:r>
        <w:rPr>
          <w:sz w:val="21"/>
        </w:rPr>
        <w:t>索赔通知应写明要求索赔的金额，支付款项应到达的账号，并附有证明投标人发生我方应承担保证责任情形的事实材料。</w:t>
      </w:r>
    </w:p>
    <w:p>
      <w:pPr>
        <w:pStyle w:val="22"/>
        <w:numPr>
          <w:ilvl w:val="0"/>
          <w:numId w:val="21"/>
        </w:numPr>
        <w:tabs>
          <w:tab w:val="left" w:pos="1791"/>
          <w:tab w:val="left" w:pos="6342"/>
        </w:tabs>
        <w:spacing w:line="278" w:lineRule="auto"/>
        <w:ind w:right="1115" w:firstLine="420"/>
        <w:rPr>
          <w:sz w:val="21"/>
        </w:rPr>
      </w:pPr>
      <w:r>
        <w:rPr>
          <w:lang w:val="en-US" w:bidi="ar-SA"/>
        </w:rPr>
        <mc:AlternateContent>
          <mc:Choice Requires="wps">
            <w:drawing>
              <wp:anchor distT="0" distB="0" distL="114300" distR="114300" simplePos="0" relativeHeight="251683840" behindDoc="1" locked="0" layoutInCell="1" allowOverlap="1">
                <wp:simplePos x="0" y="0"/>
                <wp:positionH relativeFrom="page">
                  <wp:posOffset>4097020</wp:posOffset>
                </wp:positionH>
                <wp:positionV relativeFrom="paragraph">
                  <wp:posOffset>149225</wp:posOffset>
                </wp:positionV>
                <wp:extent cx="399415" cy="0"/>
                <wp:effectExtent l="0" t="0" r="0" b="0"/>
                <wp:wrapNone/>
                <wp:docPr id="8" name="直线 7"/>
                <wp:cNvGraphicFramePr/>
                <a:graphic xmlns:a="http://schemas.openxmlformats.org/drawingml/2006/main">
                  <a:graphicData uri="http://schemas.microsoft.com/office/word/2010/wordprocessingShape">
                    <wps:wsp>
                      <wps:cNvCnPr/>
                      <wps:spPr>
                        <a:xfrm>
                          <a:off x="0" y="0"/>
                          <a:ext cx="399415"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id="直线 7" o:spid="_x0000_s1026" o:spt="20" style="position:absolute;left:0pt;margin-left:322.6pt;margin-top:11.75pt;height:0pt;width:31.45pt;mso-position-horizontal-relative:page;z-index:-251632640;mso-width-relative:page;mso-height-relative:page;" filled="f" stroked="t" coordsize="21600,21600" o:gfxdata="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NnAe39kAAAAJAQAA&#10;DwAAAAAAAAABACAAAAAiAAAAZHJzL2Rvd25yZXYueG1sUEsBAhQAFAAAAAgAh07iQLTDY+HfAQAA&#10;zgMAAA4AAAAAAAAAAQAgAAAAKAEAAGRycy9lMm9Eb2MueG1sUEsFBgAAAAAGAAYAWQEAAHkFAAAA&#10;AA==&#10;">
                <v:fill on="f" focussize="0,0"/>
                <v:stroke weight="0.48pt" color="#000000" joinstyle="round"/>
                <v:imagedata o:title=""/>
                <o:lock v:ext="edit" aspectratio="f"/>
              </v:line>
            </w:pict>
          </mc:Fallback>
        </mc:AlternateContent>
      </w:r>
      <w:r>
        <w:rPr>
          <w:sz w:val="21"/>
        </w:rPr>
        <w:t>我方在收到索赔通知及相关证明材料后</w:t>
      </w:r>
      <w:r>
        <w:rPr>
          <w:spacing w:val="-34"/>
          <w:sz w:val="21"/>
        </w:rPr>
        <w:t>，</w:t>
      </w:r>
      <w:r>
        <w:rPr>
          <w:sz w:val="21"/>
        </w:rPr>
        <w:t>在</w:t>
      </w:r>
      <w:r>
        <w:rPr>
          <w:sz w:val="21"/>
        </w:rPr>
        <w:tab/>
      </w:r>
      <w:r>
        <w:rPr>
          <w:sz w:val="21"/>
        </w:rPr>
        <w:t>个工作日内进行审查</w:t>
      </w:r>
      <w:r>
        <w:rPr>
          <w:spacing w:val="-34"/>
          <w:sz w:val="21"/>
        </w:rPr>
        <w:t>，</w:t>
      </w:r>
      <w:r>
        <w:rPr>
          <w:sz w:val="21"/>
        </w:rPr>
        <w:t>符合应</w:t>
      </w:r>
      <w:r>
        <w:rPr>
          <w:spacing w:val="-12"/>
          <w:sz w:val="21"/>
        </w:rPr>
        <w:t>承</w:t>
      </w:r>
      <w:r>
        <w:rPr>
          <w:sz w:val="21"/>
        </w:rPr>
        <w:t>担保证责任情形的，我方应按照你方的要求代投标人向你方支付投标保证金。</w:t>
      </w:r>
    </w:p>
    <w:p>
      <w:pPr>
        <w:spacing w:line="269" w:lineRule="exact"/>
        <w:ind w:left="1477"/>
        <w:rPr>
          <w:sz w:val="21"/>
        </w:rPr>
      </w:pPr>
      <w:r>
        <w:rPr>
          <w:sz w:val="21"/>
        </w:rPr>
        <w:t>四、保证责任的终止</w:t>
      </w:r>
    </w:p>
    <w:p>
      <w:pPr>
        <w:pStyle w:val="22"/>
        <w:numPr>
          <w:ilvl w:val="0"/>
          <w:numId w:val="22"/>
        </w:numPr>
        <w:tabs>
          <w:tab w:val="left" w:pos="1791"/>
        </w:tabs>
        <w:spacing w:before="42" w:line="278" w:lineRule="auto"/>
        <w:ind w:right="1117" w:firstLine="420"/>
        <w:rPr>
          <w:sz w:val="21"/>
        </w:rPr>
      </w:pPr>
      <w:r>
        <w:rPr>
          <w:spacing w:val="-3"/>
          <w:sz w:val="21"/>
        </w:rPr>
        <w:t>保证期间届满你方未向我方书面主张保证责任的，自保证期间届满次日起，我方保证责任自动终止。</w:t>
      </w:r>
    </w:p>
    <w:p>
      <w:pPr>
        <w:pStyle w:val="22"/>
        <w:numPr>
          <w:ilvl w:val="0"/>
          <w:numId w:val="22"/>
        </w:numPr>
        <w:tabs>
          <w:tab w:val="left" w:pos="1791"/>
        </w:tabs>
        <w:spacing w:line="278" w:lineRule="auto"/>
        <w:ind w:right="1115" w:firstLine="420"/>
        <w:rPr>
          <w:sz w:val="21"/>
        </w:rPr>
      </w:pPr>
      <w:r>
        <w:rPr>
          <w:spacing w:val="-3"/>
          <w:sz w:val="21"/>
        </w:rPr>
        <w:t>我方按照本保函向你贵方履行了保证责任后，自我方向你贵方支付款项</w:t>
      </w:r>
      <w:r>
        <w:rPr>
          <w:sz w:val="21"/>
        </w:rPr>
        <w:t>（支付款项从我方账户划出）之日起，保证责任终止。</w:t>
      </w:r>
    </w:p>
    <w:p>
      <w:pPr>
        <w:pStyle w:val="22"/>
        <w:numPr>
          <w:ilvl w:val="0"/>
          <w:numId w:val="22"/>
        </w:numPr>
        <w:tabs>
          <w:tab w:val="left" w:pos="1791"/>
        </w:tabs>
        <w:spacing w:line="278" w:lineRule="auto"/>
        <w:ind w:right="1117" w:firstLine="420"/>
        <w:rPr>
          <w:sz w:val="21"/>
        </w:rPr>
      </w:pPr>
      <w:r>
        <w:rPr>
          <w:spacing w:val="-2"/>
          <w:sz w:val="21"/>
        </w:rPr>
        <w:t>按照法律法规的规定或出现我方保证责任终止的其它情形的，我方在本保函项下的保证责任亦终止。</w:t>
      </w:r>
    </w:p>
    <w:p>
      <w:pPr>
        <w:spacing w:line="269" w:lineRule="exact"/>
        <w:ind w:left="1477"/>
        <w:rPr>
          <w:sz w:val="21"/>
        </w:rPr>
      </w:pPr>
      <w:r>
        <w:rPr>
          <w:sz w:val="21"/>
        </w:rPr>
        <w:t>五、免责条款</w:t>
      </w:r>
    </w:p>
    <w:p>
      <w:pPr>
        <w:pStyle w:val="22"/>
        <w:numPr>
          <w:ilvl w:val="0"/>
          <w:numId w:val="23"/>
        </w:numPr>
        <w:tabs>
          <w:tab w:val="left" w:pos="1791"/>
        </w:tabs>
        <w:spacing w:before="42" w:line="278" w:lineRule="auto"/>
        <w:ind w:right="1117" w:firstLine="420"/>
        <w:rPr>
          <w:sz w:val="21"/>
        </w:rPr>
      </w:pPr>
      <w:r>
        <w:rPr>
          <w:spacing w:val="-3"/>
          <w:sz w:val="21"/>
        </w:rPr>
        <w:t>依照法律规定或你方与投标人的另行约定，全部或者部分免除投标人投标保证金义务时，我方亦免除相应的保证责任。</w:t>
      </w:r>
    </w:p>
    <w:p>
      <w:pPr>
        <w:pStyle w:val="22"/>
        <w:numPr>
          <w:ilvl w:val="0"/>
          <w:numId w:val="23"/>
        </w:numPr>
        <w:tabs>
          <w:tab w:val="left" w:pos="1791"/>
        </w:tabs>
        <w:spacing w:line="269" w:lineRule="exact"/>
        <w:ind w:left="1790"/>
        <w:rPr>
          <w:sz w:val="21"/>
        </w:rPr>
      </w:pPr>
      <w:r>
        <w:rPr>
          <w:spacing w:val="-2"/>
          <w:sz w:val="21"/>
        </w:rPr>
        <w:t>因你方原因致使投标人发生本保函第一条第</w:t>
      </w:r>
      <w:r>
        <w:rPr>
          <w:sz w:val="21"/>
        </w:rPr>
        <w:t>（一</w:t>
      </w:r>
      <w:r>
        <w:rPr>
          <w:spacing w:val="-27"/>
          <w:sz w:val="21"/>
        </w:rPr>
        <w:t>）</w:t>
      </w:r>
      <w:r>
        <w:rPr>
          <w:spacing w:val="-4"/>
          <w:sz w:val="21"/>
        </w:rPr>
        <w:t>款约定情形的，我方不承担保证</w:t>
      </w:r>
    </w:p>
    <w:p>
      <w:pPr>
        <w:spacing w:line="269" w:lineRule="exact"/>
        <w:rPr>
          <w:sz w:val="21"/>
        </w:rPr>
        <w:sectPr>
          <w:pgSz w:w="11910" w:h="16840"/>
          <w:pgMar w:top="1580" w:right="800" w:bottom="1180" w:left="740" w:header="0" w:footer="1000" w:gutter="0"/>
          <w:cols w:space="720" w:num="1"/>
        </w:sectPr>
      </w:pPr>
    </w:p>
    <w:p>
      <w:pPr>
        <w:spacing w:before="42"/>
        <w:ind w:left="1057"/>
        <w:rPr>
          <w:sz w:val="21"/>
        </w:rPr>
      </w:pPr>
      <w:r>
        <w:rPr>
          <w:sz w:val="21"/>
        </w:rPr>
        <w:t>责任。</w:t>
      </w:r>
    </w:p>
    <w:p>
      <w:pPr>
        <w:pStyle w:val="22"/>
        <w:numPr>
          <w:ilvl w:val="0"/>
          <w:numId w:val="23"/>
        </w:numPr>
        <w:tabs>
          <w:tab w:val="left" w:pos="1791"/>
        </w:tabs>
        <w:spacing w:before="42"/>
        <w:ind w:left="1790"/>
        <w:rPr>
          <w:sz w:val="21"/>
        </w:rPr>
      </w:pPr>
      <w:r>
        <w:rPr>
          <w:sz w:val="21"/>
        </w:rPr>
        <w:t>因不可抗力造成投标人发生本保函第一条约定情形的，我方不承担保证责任。</w:t>
      </w:r>
    </w:p>
    <w:p>
      <w:pPr>
        <w:pStyle w:val="22"/>
        <w:numPr>
          <w:ilvl w:val="0"/>
          <w:numId w:val="23"/>
        </w:numPr>
        <w:tabs>
          <w:tab w:val="left" w:pos="1791"/>
        </w:tabs>
        <w:spacing w:before="43" w:line="278" w:lineRule="auto"/>
        <w:ind w:right="1115" w:firstLine="420"/>
        <w:rPr>
          <w:sz w:val="21"/>
        </w:rPr>
      </w:pPr>
      <w:r>
        <w:rPr>
          <w:spacing w:val="-3"/>
          <w:sz w:val="21"/>
        </w:rPr>
        <w:t>你方或其他有权机关对招标文件进行任何澄清或修改，加重我方保证责任的，我方对加重部分不承担保证责任，但该澄清或修改经我方事先书面同意的除外。</w:t>
      </w:r>
    </w:p>
    <w:p>
      <w:pPr>
        <w:spacing w:line="269" w:lineRule="exact"/>
        <w:ind w:left="1477"/>
        <w:rPr>
          <w:sz w:val="21"/>
        </w:rPr>
      </w:pPr>
      <w:r>
        <w:rPr>
          <w:sz w:val="21"/>
        </w:rPr>
        <w:t>六、争议的解决</w:t>
      </w:r>
    </w:p>
    <w:p>
      <w:pPr>
        <w:tabs>
          <w:tab w:val="left" w:pos="3366"/>
        </w:tabs>
        <w:spacing w:before="43" w:line="278" w:lineRule="auto"/>
        <w:ind w:left="1057" w:right="1117" w:firstLine="420"/>
        <w:rPr>
          <w:sz w:val="21"/>
        </w:rPr>
      </w:pPr>
      <w:r>
        <w:rPr>
          <w:w w:val="95"/>
          <w:sz w:val="21"/>
        </w:rPr>
        <w:t xml:space="preserve">因本保函发生的纠纷，由你我双方协商解决，协商不成的，通过诉讼程序解决，诉讼  </w:t>
      </w:r>
      <w:r>
        <w:rPr>
          <w:sz w:val="21"/>
        </w:rPr>
        <w:t>管辖地法院为</w:t>
      </w:r>
      <w:r>
        <w:rPr>
          <w:sz w:val="21"/>
          <w:u w:val="single"/>
        </w:rPr>
        <w:t xml:space="preserve"> </w:t>
      </w:r>
      <w:r>
        <w:rPr>
          <w:sz w:val="21"/>
          <w:u w:val="single"/>
        </w:rPr>
        <w:tab/>
      </w:r>
      <w:r>
        <w:rPr>
          <w:sz w:val="21"/>
        </w:rPr>
        <w:t>法院。</w:t>
      </w:r>
    </w:p>
    <w:p>
      <w:pPr>
        <w:spacing w:line="269" w:lineRule="exact"/>
        <w:ind w:left="1477"/>
        <w:rPr>
          <w:sz w:val="21"/>
        </w:rPr>
      </w:pPr>
      <w:r>
        <w:rPr>
          <w:sz w:val="21"/>
        </w:rPr>
        <w:t>七、保函的生效</w:t>
      </w:r>
    </w:p>
    <w:p>
      <w:pPr>
        <w:spacing w:before="43"/>
        <w:ind w:left="1477"/>
        <w:rPr>
          <w:sz w:val="21"/>
        </w:rPr>
      </w:pPr>
      <w:r>
        <w:rPr>
          <w:sz w:val="21"/>
        </w:rPr>
        <w:t>本保函自我方加盖公章之日起生效。</w:t>
      </w:r>
    </w:p>
    <w:p>
      <w:pPr>
        <w:spacing w:before="43"/>
        <w:ind w:left="6620"/>
        <w:rPr>
          <w:sz w:val="21"/>
        </w:rPr>
      </w:pPr>
      <w:r>
        <w:rPr>
          <w:sz w:val="21"/>
        </w:rPr>
        <w:t>保证人：（公章）</w:t>
      </w:r>
    </w:p>
    <w:p>
      <w:pPr>
        <w:pStyle w:val="9"/>
        <w:spacing w:before="9"/>
        <w:rPr>
          <w:sz w:val="27"/>
        </w:rPr>
      </w:pPr>
    </w:p>
    <w:p>
      <w:pPr>
        <w:tabs>
          <w:tab w:val="left" w:pos="7566"/>
          <w:tab w:val="left" w:pos="8406"/>
        </w:tabs>
        <w:ind w:left="6832"/>
        <w:rPr>
          <w:sz w:val="21"/>
        </w:rPr>
        <w:sectPr>
          <w:pgSz w:w="11910" w:h="16840"/>
          <w:pgMar w:top="1200" w:right="800" w:bottom="1180" w:left="740" w:header="0" w:footer="1000" w:gutter="0"/>
          <w:cols w:space="720" w:num="1"/>
        </w:sectPr>
      </w:pPr>
      <w:r>
        <w:rPr>
          <w:sz w:val="21"/>
        </w:rPr>
        <w:t>年</w:t>
      </w:r>
      <w:r>
        <w:rPr>
          <w:sz w:val="21"/>
        </w:rPr>
        <w:tab/>
      </w:r>
      <w:r>
        <w:rPr>
          <w:sz w:val="21"/>
        </w:rPr>
        <w:t>月</w:t>
      </w:r>
      <w:r>
        <w:rPr>
          <w:sz w:val="21"/>
        </w:rPr>
        <w:tab/>
      </w:r>
      <w:r>
        <w:rPr>
          <w:sz w:val="21"/>
        </w:rPr>
        <w:t>日</w:t>
      </w:r>
    </w:p>
    <w:p>
      <w:pPr>
        <w:pStyle w:val="9"/>
        <w:ind w:firstLine="1440" w:firstLineChars="600"/>
        <w:rPr>
          <w:rFonts w:ascii="宋体" w:hAnsi="宋体" w:eastAsia="宋体" w:cs="宋体"/>
          <w:bCs/>
          <w:color w:val="000000"/>
          <w:lang w:val="en-US"/>
        </w:rPr>
      </w:pPr>
      <w:bookmarkStart w:id="63" w:name="第二部分__商务及技术文件"/>
      <w:bookmarkEnd w:id="63"/>
      <w:r>
        <w:rPr>
          <w:rFonts w:hint="eastAsia" w:ascii="宋体" w:hAnsi="宋体" w:eastAsia="宋体" w:cs="宋体"/>
          <w:bCs/>
          <w:color w:val="000000"/>
          <w:lang w:val="en-US"/>
        </w:rPr>
        <w:t>10  联合体投标授权书及联合体投标协议书（如有）；</w:t>
      </w:r>
    </w:p>
    <w:p>
      <w:pPr>
        <w:pStyle w:val="9"/>
        <w:spacing w:before="4"/>
        <w:rPr>
          <w:rFonts w:ascii="宋体" w:hAnsi="宋体" w:eastAsia="宋体" w:cs="宋体"/>
          <w:bCs/>
          <w:highlight w:val="yellow"/>
        </w:rPr>
      </w:pPr>
    </w:p>
    <w:p>
      <w:pPr>
        <w:spacing w:before="66"/>
        <w:ind w:firstLine="3120" w:firstLineChars="1300"/>
        <w:jc w:val="both"/>
        <w:rPr>
          <w:rFonts w:ascii="宋体" w:hAnsi="宋体" w:eastAsia="宋体" w:cs="宋体"/>
          <w:bCs/>
          <w:color w:val="000000"/>
          <w:sz w:val="24"/>
          <w:szCs w:val="24"/>
          <w:lang w:val="en-US"/>
        </w:rPr>
      </w:pPr>
      <w:bookmarkStart w:id="64" w:name="10_投标人须知资料表要求的其他资格证明文件"/>
      <w:bookmarkEnd w:id="64"/>
      <w:r>
        <w:rPr>
          <w:rFonts w:hint="eastAsia" w:ascii="宋体" w:hAnsi="宋体" w:eastAsia="宋体" w:cs="宋体"/>
          <w:bCs/>
          <w:color w:val="000000"/>
          <w:sz w:val="24"/>
          <w:szCs w:val="24"/>
          <w:lang w:val="en-US"/>
        </w:rPr>
        <w:t>联合体投标授权书</w:t>
      </w:r>
    </w:p>
    <w:p>
      <w:pPr>
        <w:pStyle w:val="18"/>
        <w:ind w:left="440" w:firstLine="480"/>
        <w:rPr>
          <w:rFonts w:ascii="宋体" w:hAnsi="宋体" w:eastAsia="宋体" w:cs="宋体"/>
          <w:bCs/>
          <w:color w:val="000000"/>
          <w:sz w:val="24"/>
          <w:szCs w:val="24"/>
          <w:lang w:val="en-US"/>
        </w:rPr>
      </w:pPr>
    </w:p>
    <w:p>
      <w:pPr>
        <w:pStyle w:val="5"/>
        <w:spacing w:line="360" w:lineRule="auto"/>
        <w:rPr>
          <w:rFonts w:hAnsi="宋体" w:eastAsia="宋体" w:cs="宋体"/>
          <w:bCs/>
          <w:color w:val="000000"/>
          <w:szCs w:val="24"/>
          <w:lang w:val="en-US"/>
        </w:rPr>
      </w:pPr>
      <w:r>
        <w:rPr>
          <w:rFonts w:hint="eastAsia" w:hAnsi="宋体" w:eastAsia="宋体" w:cs="宋体"/>
          <w:bCs/>
          <w:color w:val="000000"/>
          <w:szCs w:val="24"/>
          <w:lang w:val="en-US"/>
        </w:rPr>
        <w:t xml:space="preserve">    本授权委托书声明：我</w:t>
      </w:r>
      <w:r>
        <w:rPr>
          <w:rFonts w:hint="eastAsia" w:hAnsi="宋体" w:eastAsia="宋体" w:cs="宋体"/>
          <w:bCs/>
          <w:color w:val="000000"/>
          <w:szCs w:val="24"/>
          <w:u w:val="single"/>
          <w:lang w:val="en-US"/>
        </w:rPr>
        <w:t xml:space="preserve">  （姓名）</w:t>
      </w:r>
      <w:r>
        <w:rPr>
          <w:rFonts w:hint="eastAsia" w:hAnsi="宋体" w:eastAsia="宋体" w:cs="宋体"/>
          <w:bCs/>
          <w:color w:val="000000"/>
          <w:szCs w:val="24"/>
          <w:lang w:val="en-US"/>
        </w:rPr>
        <w:t>系</w:t>
      </w:r>
      <w:r>
        <w:rPr>
          <w:rFonts w:hint="eastAsia" w:hAnsi="宋体" w:eastAsia="宋体" w:cs="宋体"/>
          <w:bCs/>
          <w:color w:val="000000"/>
          <w:szCs w:val="24"/>
          <w:u w:val="single"/>
          <w:lang w:val="en-US"/>
        </w:rPr>
        <w:t xml:space="preserve">   （投标人牵头人名称）</w:t>
      </w:r>
      <w:r>
        <w:rPr>
          <w:rFonts w:hint="eastAsia" w:hAnsi="宋体" w:eastAsia="宋体" w:cs="宋体"/>
          <w:bCs/>
          <w:color w:val="000000"/>
          <w:szCs w:val="24"/>
          <w:lang w:val="en-US"/>
        </w:rPr>
        <w:t xml:space="preserve">的法定代表人，我 </w:t>
      </w:r>
      <w:r>
        <w:rPr>
          <w:rFonts w:hint="eastAsia" w:hAnsi="宋体" w:eastAsia="宋体" w:cs="宋体"/>
          <w:bCs/>
          <w:color w:val="000000"/>
          <w:szCs w:val="24"/>
          <w:u w:val="single"/>
          <w:lang w:val="en-US"/>
        </w:rPr>
        <w:t xml:space="preserve">  （姓名）</w:t>
      </w:r>
      <w:r>
        <w:rPr>
          <w:rFonts w:hint="eastAsia" w:hAnsi="宋体" w:eastAsia="宋体" w:cs="宋体"/>
          <w:bCs/>
          <w:color w:val="000000"/>
          <w:szCs w:val="24"/>
          <w:lang w:val="en-US"/>
        </w:rPr>
        <w:t>系</w:t>
      </w:r>
      <w:r>
        <w:rPr>
          <w:rFonts w:hint="eastAsia" w:hAnsi="宋体" w:eastAsia="宋体" w:cs="宋体"/>
          <w:bCs/>
          <w:color w:val="000000"/>
          <w:szCs w:val="24"/>
          <w:u w:val="single"/>
          <w:lang w:val="en-US"/>
        </w:rPr>
        <w:t xml:space="preserve">    （投标人另一成员单位名称）</w:t>
      </w:r>
      <w:r>
        <w:rPr>
          <w:rFonts w:hint="eastAsia" w:hAnsi="宋体" w:eastAsia="宋体" w:cs="宋体"/>
          <w:bCs/>
          <w:color w:val="000000"/>
          <w:szCs w:val="24"/>
          <w:lang w:val="en-US"/>
        </w:rPr>
        <w:t>的法定代表人，现共同授权委托</w:t>
      </w:r>
      <w:r>
        <w:rPr>
          <w:rFonts w:hint="eastAsia" w:hAnsi="宋体" w:eastAsia="宋体" w:cs="宋体"/>
          <w:bCs/>
          <w:color w:val="000000"/>
          <w:szCs w:val="24"/>
          <w:u w:val="single"/>
          <w:lang w:val="en-US"/>
        </w:rPr>
        <w:t xml:space="preserve">   （投标人牵头人名称）</w:t>
      </w:r>
      <w:r>
        <w:rPr>
          <w:rFonts w:hint="eastAsia" w:hAnsi="宋体" w:eastAsia="宋体" w:cs="宋体"/>
          <w:bCs/>
          <w:color w:val="000000"/>
          <w:szCs w:val="24"/>
          <w:lang w:val="en-US"/>
        </w:rPr>
        <w:t>的</w:t>
      </w:r>
      <w:r>
        <w:rPr>
          <w:rFonts w:hint="eastAsia" w:hAnsi="宋体" w:eastAsia="宋体" w:cs="宋体"/>
          <w:bCs/>
          <w:color w:val="000000"/>
          <w:szCs w:val="24"/>
          <w:u w:val="single"/>
          <w:lang w:val="en-US"/>
        </w:rPr>
        <w:t xml:space="preserve">   （姓名）</w:t>
      </w:r>
      <w:r>
        <w:rPr>
          <w:rFonts w:hint="eastAsia" w:hAnsi="宋体" w:eastAsia="宋体" w:cs="宋体"/>
          <w:bCs/>
          <w:color w:val="000000"/>
          <w:szCs w:val="24"/>
          <w:lang w:val="en-US"/>
        </w:rPr>
        <w:t>为我联合体的法定代表人授权委托代理人。代理人根据授权，以联合体名义购买招标文件，签署、澄清、说明、补正、递交、撤回、修改</w:t>
      </w:r>
      <w:r>
        <w:rPr>
          <w:rFonts w:hint="eastAsia" w:hAnsi="宋体" w:eastAsia="宋体" w:cs="宋体"/>
          <w:bCs/>
          <w:color w:val="000000"/>
          <w:szCs w:val="24"/>
          <w:u w:val="single"/>
          <w:lang w:val="en-US"/>
        </w:rPr>
        <w:t xml:space="preserve">   （项目名称）</w:t>
      </w:r>
      <w:r>
        <w:rPr>
          <w:rFonts w:hint="eastAsia" w:hAnsi="宋体" w:eastAsia="宋体" w:cs="宋体"/>
          <w:bCs/>
          <w:color w:val="000000"/>
          <w:szCs w:val="24"/>
          <w:lang w:val="en-US"/>
        </w:rPr>
        <w:t>投标文件，出席开标会、签订合同和处理有关事宜，其签名真迹和印章如本授权委托书末尾所示，其法律后果由我联合体共同承担。</w:t>
      </w:r>
    </w:p>
    <w:p>
      <w:pPr>
        <w:pStyle w:val="6"/>
        <w:ind w:left="480" w:hanging="480"/>
        <w:rPr>
          <w:rFonts w:ascii="宋体" w:hAnsi="宋体" w:eastAsia="宋体" w:cs="宋体"/>
          <w:bCs/>
          <w:color w:val="000000"/>
          <w:sz w:val="24"/>
          <w:szCs w:val="24"/>
          <w:u w:val="single"/>
          <w:lang w:val="en-US"/>
        </w:rPr>
      </w:pPr>
      <w:r>
        <w:rPr>
          <w:rFonts w:hint="eastAsia" w:ascii="宋体" w:hAnsi="宋体" w:eastAsia="宋体" w:cs="宋体"/>
          <w:bCs/>
          <w:color w:val="000000"/>
          <w:sz w:val="24"/>
          <w:szCs w:val="24"/>
          <w:lang w:val="en-US"/>
        </w:rPr>
        <w:t xml:space="preserve">     委托期限：</w:t>
      </w:r>
      <w:r>
        <w:rPr>
          <w:rFonts w:hint="eastAsia" w:ascii="宋体" w:hAnsi="宋体" w:eastAsia="宋体" w:cs="宋体"/>
          <w:bCs/>
          <w:color w:val="000000"/>
          <w:sz w:val="24"/>
          <w:szCs w:val="24"/>
          <w:u w:val="single"/>
          <w:lang w:val="en-US"/>
        </w:rPr>
        <w:t xml:space="preserve">       </w:t>
      </w:r>
    </w:p>
    <w:p>
      <w:pPr>
        <w:pStyle w:val="6"/>
        <w:ind w:left="480" w:hanging="480"/>
        <w:rPr>
          <w:rFonts w:ascii="宋体" w:hAnsi="宋体" w:eastAsia="宋体" w:cs="宋体"/>
          <w:bCs/>
          <w:color w:val="000000"/>
          <w:sz w:val="24"/>
          <w:szCs w:val="24"/>
          <w:lang w:val="en-US"/>
        </w:rPr>
      </w:pPr>
      <w:r>
        <w:rPr>
          <w:rFonts w:hint="eastAsia" w:ascii="宋体" w:hAnsi="宋体" w:eastAsia="宋体" w:cs="宋体"/>
          <w:bCs/>
          <w:color w:val="000000"/>
          <w:sz w:val="24"/>
          <w:szCs w:val="24"/>
          <w:lang w:val="en-US"/>
        </w:rPr>
        <w:t xml:space="preserve">     代理人无转委托权。</w:t>
      </w:r>
    </w:p>
    <w:p>
      <w:pPr>
        <w:pStyle w:val="6"/>
        <w:ind w:left="0" w:firstLine="0" w:firstLineChars="0"/>
        <w:rPr>
          <w:rFonts w:ascii="宋体" w:hAnsi="宋体" w:eastAsia="宋体" w:cs="宋体"/>
          <w:bCs/>
          <w:color w:val="000000"/>
          <w:sz w:val="24"/>
          <w:szCs w:val="24"/>
          <w:lang w:val="en-US"/>
        </w:rPr>
      </w:pPr>
    </w:p>
    <w:p>
      <w:pPr>
        <w:pStyle w:val="6"/>
        <w:ind w:left="480" w:hanging="480"/>
        <w:rPr>
          <w:rFonts w:ascii="宋体" w:hAnsi="宋体" w:eastAsia="宋体" w:cs="宋体"/>
          <w:bCs/>
          <w:color w:val="000000"/>
          <w:sz w:val="24"/>
          <w:szCs w:val="24"/>
          <w:lang w:val="en-US"/>
        </w:rPr>
      </w:pPr>
    </w:p>
    <w:p>
      <w:pPr>
        <w:pStyle w:val="6"/>
        <w:ind w:left="480" w:hanging="480"/>
        <w:rPr>
          <w:rFonts w:ascii="宋体" w:hAnsi="宋体" w:eastAsia="宋体" w:cs="宋体"/>
          <w:bCs/>
          <w:color w:val="000000"/>
          <w:sz w:val="24"/>
          <w:szCs w:val="24"/>
          <w:lang w:val="en-US"/>
        </w:rPr>
      </w:pPr>
      <w:r>
        <w:rPr>
          <w:rFonts w:hint="eastAsia" w:ascii="宋体" w:hAnsi="宋体" w:eastAsia="宋体" w:cs="宋体"/>
          <w:bCs/>
          <w:color w:val="000000"/>
          <w:sz w:val="24"/>
          <w:szCs w:val="24"/>
          <w:lang w:val="en-US"/>
        </w:rPr>
        <w:t>投标人（牵头人）：</w:t>
      </w:r>
      <w:r>
        <w:rPr>
          <w:rFonts w:hint="eastAsia" w:ascii="宋体" w:hAnsi="宋体" w:eastAsia="宋体" w:cs="宋体"/>
          <w:bCs/>
          <w:color w:val="000000"/>
          <w:sz w:val="24"/>
          <w:szCs w:val="24"/>
          <w:u w:val="single"/>
          <w:lang w:val="en-US"/>
        </w:rPr>
        <w:t xml:space="preserve"> （盖单位公章） </w:t>
      </w:r>
      <w:r>
        <w:rPr>
          <w:rFonts w:hint="eastAsia" w:ascii="宋体" w:hAnsi="宋体" w:eastAsia="宋体" w:cs="宋体"/>
          <w:bCs/>
          <w:color w:val="000000"/>
          <w:sz w:val="24"/>
          <w:szCs w:val="24"/>
          <w:lang w:val="en-US"/>
        </w:rPr>
        <w:t xml:space="preserve">      投标人（成员）：</w:t>
      </w:r>
      <w:r>
        <w:rPr>
          <w:rFonts w:hint="eastAsia" w:ascii="宋体" w:hAnsi="宋体" w:eastAsia="宋体" w:cs="宋体"/>
          <w:bCs/>
          <w:color w:val="000000"/>
          <w:sz w:val="24"/>
          <w:szCs w:val="24"/>
          <w:u w:val="single"/>
          <w:lang w:val="en-US"/>
        </w:rPr>
        <w:t xml:space="preserve"> （盖单位公章）</w:t>
      </w:r>
    </w:p>
    <w:p>
      <w:pPr>
        <w:pStyle w:val="6"/>
        <w:ind w:left="480" w:hanging="480"/>
        <w:rPr>
          <w:rFonts w:ascii="宋体" w:hAnsi="宋体" w:eastAsia="宋体" w:cs="宋体"/>
          <w:bCs/>
          <w:color w:val="000000"/>
          <w:sz w:val="24"/>
          <w:szCs w:val="24"/>
          <w:lang w:val="en-US"/>
        </w:rPr>
      </w:pPr>
    </w:p>
    <w:p>
      <w:pPr>
        <w:pStyle w:val="6"/>
        <w:ind w:left="480" w:hanging="480"/>
        <w:rPr>
          <w:rFonts w:ascii="宋体" w:hAnsi="宋体" w:eastAsia="宋体" w:cs="宋体"/>
          <w:bCs/>
          <w:color w:val="000000"/>
          <w:sz w:val="24"/>
          <w:szCs w:val="24"/>
          <w:lang w:val="en-US"/>
        </w:rPr>
      </w:pPr>
      <w:r>
        <w:rPr>
          <w:rFonts w:hint="eastAsia" w:ascii="宋体" w:hAnsi="宋体" w:eastAsia="宋体" w:cs="宋体"/>
          <w:bCs/>
          <w:color w:val="000000"/>
          <w:sz w:val="24"/>
          <w:szCs w:val="24"/>
          <w:lang w:val="en-US"/>
        </w:rPr>
        <w:t>法定代表人：</w:t>
      </w:r>
      <w:r>
        <w:rPr>
          <w:rFonts w:hint="eastAsia" w:ascii="宋体" w:hAnsi="宋体" w:eastAsia="宋体" w:cs="宋体"/>
          <w:bCs/>
          <w:color w:val="000000"/>
          <w:sz w:val="24"/>
          <w:szCs w:val="24"/>
          <w:u w:val="single"/>
          <w:lang w:val="en-US"/>
        </w:rPr>
        <w:t xml:space="preserve">     </w:t>
      </w:r>
      <w:r>
        <w:rPr>
          <w:rFonts w:hint="eastAsia" w:ascii="宋体" w:hAnsi="宋体" w:eastAsia="宋体" w:cs="宋体"/>
          <w:bCs/>
          <w:color w:val="000000"/>
          <w:sz w:val="24"/>
          <w:szCs w:val="24"/>
          <w:lang w:val="en-US"/>
        </w:rPr>
        <w:t xml:space="preserve"> （签字）               法定代表人：</w:t>
      </w:r>
      <w:r>
        <w:rPr>
          <w:rFonts w:hint="eastAsia" w:ascii="宋体" w:hAnsi="宋体" w:eastAsia="宋体" w:cs="宋体"/>
          <w:bCs/>
          <w:color w:val="000000"/>
          <w:sz w:val="24"/>
          <w:szCs w:val="24"/>
          <w:u w:val="single"/>
          <w:lang w:val="en-US"/>
        </w:rPr>
        <w:t xml:space="preserve">      </w:t>
      </w:r>
      <w:r>
        <w:rPr>
          <w:rFonts w:hint="eastAsia" w:ascii="宋体" w:hAnsi="宋体" w:eastAsia="宋体" w:cs="宋体"/>
          <w:bCs/>
          <w:color w:val="000000"/>
          <w:sz w:val="24"/>
          <w:szCs w:val="24"/>
          <w:lang w:val="en-US"/>
        </w:rPr>
        <w:t>（签字）</w:t>
      </w:r>
    </w:p>
    <w:p>
      <w:pPr>
        <w:pStyle w:val="6"/>
        <w:ind w:left="480" w:hanging="480"/>
        <w:rPr>
          <w:rFonts w:ascii="宋体" w:hAnsi="宋体" w:eastAsia="宋体" w:cs="宋体"/>
          <w:bCs/>
          <w:color w:val="000000"/>
          <w:sz w:val="24"/>
          <w:szCs w:val="24"/>
          <w:lang w:val="en-US"/>
        </w:rPr>
      </w:pPr>
    </w:p>
    <w:p>
      <w:pPr>
        <w:pStyle w:val="6"/>
        <w:ind w:left="480" w:hanging="480"/>
        <w:rPr>
          <w:rFonts w:ascii="宋体" w:hAnsi="宋体" w:eastAsia="宋体" w:cs="宋体"/>
          <w:bCs/>
          <w:color w:val="000000"/>
          <w:sz w:val="24"/>
          <w:szCs w:val="24"/>
          <w:u w:val="single"/>
          <w:lang w:val="en-US"/>
        </w:rPr>
      </w:pPr>
      <w:r>
        <w:rPr>
          <w:rFonts w:hint="eastAsia" w:ascii="宋体" w:hAnsi="宋体" w:eastAsia="宋体" w:cs="宋体"/>
          <w:bCs/>
          <w:color w:val="000000"/>
          <w:sz w:val="24"/>
          <w:szCs w:val="24"/>
          <w:lang w:val="en-US"/>
        </w:rPr>
        <w:t>身份证号码：</w:t>
      </w:r>
      <w:r>
        <w:rPr>
          <w:rFonts w:hint="eastAsia" w:ascii="宋体" w:hAnsi="宋体" w:eastAsia="宋体" w:cs="宋体"/>
          <w:bCs/>
          <w:color w:val="000000"/>
          <w:sz w:val="24"/>
          <w:szCs w:val="24"/>
          <w:u w:val="single"/>
          <w:lang w:val="en-US"/>
        </w:rPr>
        <w:t xml:space="preserve">          </w:t>
      </w:r>
      <w:r>
        <w:rPr>
          <w:rFonts w:hint="eastAsia" w:ascii="宋体" w:hAnsi="宋体" w:eastAsia="宋体" w:cs="宋体"/>
          <w:bCs/>
          <w:color w:val="000000"/>
          <w:sz w:val="24"/>
          <w:szCs w:val="24"/>
          <w:lang w:val="en-US"/>
        </w:rPr>
        <w:t xml:space="preserve">                  身份证号码：</w:t>
      </w:r>
      <w:r>
        <w:rPr>
          <w:rFonts w:hint="eastAsia" w:ascii="宋体" w:hAnsi="宋体" w:eastAsia="宋体" w:cs="宋体"/>
          <w:bCs/>
          <w:color w:val="000000"/>
          <w:sz w:val="24"/>
          <w:szCs w:val="24"/>
          <w:u w:val="single"/>
          <w:lang w:val="en-US"/>
        </w:rPr>
        <w:t xml:space="preserve">             </w:t>
      </w:r>
    </w:p>
    <w:p>
      <w:pPr>
        <w:pStyle w:val="6"/>
        <w:ind w:left="480" w:hanging="480"/>
        <w:rPr>
          <w:rFonts w:ascii="宋体" w:hAnsi="宋体" w:eastAsia="宋体" w:cs="宋体"/>
          <w:bCs/>
          <w:color w:val="000000"/>
          <w:sz w:val="24"/>
          <w:szCs w:val="24"/>
          <w:lang w:val="en-US"/>
        </w:rPr>
      </w:pPr>
    </w:p>
    <w:p>
      <w:pPr>
        <w:pStyle w:val="6"/>
        <w:ind w:left="0" w:firstLine="0" w:firstLineChars="0"/>
        <w:rPr>
          <w:rFonts w:ascii="宋体" w:hAnsi="宋体" w:eastAsia="宋体" w:cs="宋体"/>
          <w:bCs/>
          <w:color w:val="000000"/>
          <w:sz w:val="24"/>
          <w:szCs w:val="24"/>
          <w:lang w:val="en-US"/>
        </w:rPr>
      </w:pPr>
    </w:p>
    <w:p>
      <w:pPr>
        <w:pStyle w:val="6"/>
        <w:ind w:left="480" w:hanging="480"/>
        <w:rPr>
          <w:rFonts w:ascii="宋体" w:hAnsi="宋体" w:eastAsia="宋体" w:cs="宋体"/>
          <w:bCs/>
          <w:color w:val="000000"/>
          <w:sz w:val="24"/>
          <w:szCs w:val="24"/>
          <w:lang w:val="en-US"/>
        </w:rPr>
      </w:pPr>
    </w:p>
    <w:p>
      <w:pPr>
        <w:pStyle w:val="6"/>
        <w:ind w:left="480" w:hanging="480"/>
        <w:rPr>
          <w:rFonts w:ascii="宋体" w:hAnsi="宋体" w:eastAsia="宋体" w:cs="宋体"/>
          <w:bCs/>
          <w:color w:val="000000"/>
          <w:sz w:val="24"/>
          <w:szCs w:val="24"/>
          <w:u w:val="single"/>
          <w:lang w:val="en-US"/>
        </w:rPr>
      </w:pPr>
      <w:r>
        <w:rPr>
          <w:rFonts w:hint="eastAsia" w:ascii="宋体" w:hAnsi="宋体" w:eastAsia="宋体" w:cs="宋体"/>
          <w:bCs/>
          <w:color w:val="000000"/>
          <w:sz w:val="24"/>
          <w:szCs w:val="24"/>
          <w:lang w:val="en-US"/>
        </w:rPr>
        <w:t>委托代理人：</w:t>
      </w:r>
      <w:r>
        <w:rPr>
          <w:rFonts w:hint="eastAsia" w:ascii="宋体" w:hAnsi="宋体" w:eastAsia="宋体" w:cs="宋体"/>
          <w:bCs/>
          <w:color w:val="000000"/>
          <w:sz w:val="24"/>
          <w:szCs w:val="24"/>
          <w:u w:val="single"/>
          <w:lang w:val="en-US"/>
        </w:rPr>
        <w:t xml:space="preserve">         </w:t>
      </w:r>
      <w:r>
        <w:rPr>
          <w:rFonts w:hint="eastAsia" w:ascii="宋体" w:hAnsi="宋体" w:eastAsia="宋体" w:cs="宋体"/>
          <w:bCs/>
          <w:color w:val="000000"/>
          <w:sz w:val="24"/>
          <w:szCs w:val="24"/>
          <w:lang w:val="en-US"/>
        </w:rPr>
        <w:t>（签字）</w:t>
      </w:r>
    </w:p>
    <w:p>
      <w:pPr>
        <w:pStyle w:val="6"/>
        <w:ind w:left="480" w:hanging="480"/>
        <w:rPr>
          <w:rFonts w:ascii="宋体" w:hAnsi="宋体" w:eastAsia="宋体" w:cs="宋体"/>
          <w:bCs/>
          <w:color w:val="000000"/>
          <w:sz w:val="24"/>
          <w:szCs w:val="24"/>
          <w:lang w:val="en-US"/>
        </w:rPr>
      </w:pPr>
    </w:p>
    <w:p>
      <w:pPr>
        <w:pStyle w:val="6"/>
        <w:ind w:left="480" w:hanging="480"/>
        <w:rPr>
          <w:rFonts w:ascii="宋体" w:hAnsi="宋体" w:eastAsia="宋体" w:cs="宋体"/>
          <w:bCs/>
          <w:color w:val="000000"/>
          <w:sz w:val="24"/>
          <w:szCs w:val="24"/>
          <w:u w:val="single"/>
          <w:lang w:val="en-US"/>
        </w:rPr>
      </w:pPr>
      <w:r>
        <w:rPr>
          <w:rFonts w:hint="eastAsia" w:ascii="宋体" w:hAnsi="宋体" w:eastAsia="宋体" w:cs="宋体"/>
          <w:bCs/>
          <w:color w:val="000000"/>
          <w:sz w:val="24"/>
          <w:szCs w:val="24"/>
          <w:lang w:val="en-US"/>
        </w:rPr>
        <w:t>身份证号码：</w:t>
      </w:r>
      <w:r>
        <w:rPr>
          <w:rFonts w:hint="eastAsia" w:ascii="宋体" w:hAnsi="宋体" w:eastAsia="宋体" w:cs="宋体"/>
          <w:bCs/>
          <w:color w:val="000000"/>
          <w:sz w:val="24"/>
          <w:szCs w:val="24"/>
          <w:u w:val="single"/>
          <w:lang w:val="en-US"/>
        </w:rPr>
        <w:t xml:space="preserve">              </w:t>
      </w:r>
    </w:p>
    <w:p>
      <w:pPr>
        <w:pStyle w:val="6"/>
        <w:ind w:left="480" w:hanging="480"/>
        <w:rPr>
          <w:rFonts w:ascii="宋体" w:hAnsi="宋体" w:eastAsia="宋体" w:cs="宋体"/>
          <w:bCs/>
          <w:color w:val="000000"/>
          <w:sz w:val="24"/>
          <w:szCs w:val="24"/>
          <w:lang w:val="en-US"/>
        </w:rPr>
      </w:pPr>
    </w:p>
    <w:p>
      <w:pPr>
        <w:pStyle w:val="6"/>
        <w:ind w:left="480" w:hanging="480"/>
        <w:rPr>
          <w:rFonts w:ascii="宋体" w:hAnsi="宋体" w:eastAsia="宋体" w:cs="宋体"/>
          <w:bCs/>
          <w:color w:val="000000"/>
          <w:sz w:val="24"/>
          <w:szCs w:val="24"/>
          <w:u w:val="single"/>
          <w:lang w:val="en-US"/>
        </w:rPr>
      </w:pPr>
      <w:r>
        <w:rPr>
          <w:rFonts w:hint="eastAsia" w:ascii="宋体" w:hAnsi="宋体" w:eastAsia="宋体" w:cs="宋体"/>
          <w:bCs/>
          <w:color w:val="000000"/>
          <w:sz w:val="24"/>
          <w:szCs w:val="24"/>
          <w:lang w:val="en-US"/>
        </w:rPr>
        <w:t xml:space="preserve">电      话： </w:t>
      </w:r>
      <w:r>
        <w:rPr>
          <w:rFonts w:hint="eastAsia" w:ascii="宋体" w:hAnsi="宋体" w:eastAsia="宋体" w:cs="宋体"/>
          <w:bCs/>
          <w:color w:val="000000"/>
          <w:sz w:val="24"/>
          <w:szCs w:val="24"/>
          <w:u w:val="single"/>
          <w:lang w:val="en-US"/>
        </w:rPr>
        <w:t xml:space="preserve">             </w:t>
      </w:r>
    </w:p>
    <w:p>
      <w:pPr>
        <w:pStyle w:val="6"/>
        <w:ind w:left="480" w:hanging="480"/>
        <w:rPr>
          <w:rFonts w:ascii="宋体" w:hAnsi="宋体" w:eastAsia="宋体" w:cs="宋体"/>
          <w:bCs/>
          <w:color w:val="000000"/>
          <w:sz w:val="24"/>
          <w:szCs w:val="24"/>
          <w:lang w:val="en-US"/>
        </w:rPr>
      </w:pPr>
    </w:p>
    <w:p>
      <w:pPr>
        <w:pStyle w:val="18"/>
        <w:ind w:left="440" w:firstLine="480"/>
        <w:rPr>
          <w:rFonts w:ascii="宋体" w:hAnsi="宋体" w:eastAsia="宋体" w:cs="宋体"/>
          <w:bCs/>
          <w:sz w:val="24"/>
          <w:szCs w:val="24"/>
          <w:lang w:val="en-US"/>
        </w:rPr>
      </w:pPr>
    </w:p>
    <w:p>
      <w:pPr>
        <w:pStyle w:val="18"/>
        <w:ind w:left="440" w:firstLine="480"/>
        <w:rPr>
          <w:rFonts w:ascii="宋体" w:hAnsi="宋体" w:eastAsia="宋体" w:cs="宋体"/>
          <w:bCs/>
          <w:sz w:val="24"/>
          <w:szCs w:val="24"/>
          <w:lang w:val="en-US"/>
        </w:rPr>
      </w:pPr>
      <w:r>
        <w:rPr>
          <w:rFonts w:hint="eastAsia" w:ascii="宋体" w:hAnsi="宋体" w:eastAsia="宋体" w:cs="宋体"/>
          <w:bCs/>
          <w:sz w:val="24"/>
          <w:szCs w:val="24"/>
          <w:lang w:val="en-US"/>
        </w:rPr>
        <w:t xml:space="preserve">                                           年    月    日</w:t>
      </w:r>
    </w:p>
    <w:p>
      <w:pPr>
        <w:pStyle w:val="5"/>
        <w:ind w:firstLine="0"/>
        <w:rPr>
          <w:rFonts w:hAnsi="宋体" w:eastAsia="宋体" w:cs="宋体"/>
          <w:bCs/>
          <w:szCs w:val="24"/>
          <w:lang w:val="en-US"/>
        </w:rPr>
      </w:pPr>
      <w:r>
        <w:rPr>
          <w:rFonts w:hint="eastAsia" w:hAnsi="宋体" w:eastAsia="宋体" w:cs="宋体"/>
          <w:bCs/>
          <w:szCs w:val="24"/>
          <w:lang w:val="en-US"/>
        </w:rPr>
        <w:t>说明：1.本招标项目只能委托投标人牵头人《委托代理人信息表》上的联系人作为委托代理人。</w:t>
      </w:r>
    </w:p>
    <w:p>
      <w:pPr>
        <w:pStyle w:val="6"/>
        <w:ind w:left="480" w:hanging="480"/>
        <w:rPr>
          <w:rFonts w:ascii="宋体" w:hAnsi="宋体" w:eastAsia="宋体" w:cs="宋体"/>
          <w:bCs/>
          <w:sz w:val="24"/>
          <w:szCs w:val="24"/>
          <w:lang w:val="en-US"/>
        </w:rPr>
      </w:pPr>
      <w:r>
        <w:rPr>
          <w:rFonts w:hint="eastAsia" w:ascii="宋体" w:hAnsi="宋体" w:eastAsia="宋体" w:cs="宋体"/>
          <w:bCs/>
          <w:sz w:val="24"/>
          <w:szCs w:val="24"/>
          <w:lang w:val="en-US"/>
        </w:rPr>
        <w:t>2.法定代表人和委托代理人必须在授权书上亲笔签名，不得使用私章，签字章、印鉴、影印等其它形式代替签名。</w:t>
      </w:r>
    </w:p>
    <w:p>
      <w:pPr>
        <w:pStyle w:val="6"/>
        <w:ind w:left="0" w:firstLine="0" w:firstLineChars="0"/>
        <w:rPr>
          <w:b/>
          <w:sz w:val="24"/>
          <w:lang w:val="en-US"/>
        </w:rPr>
      </w:pPr>
    </w:p>
    <w:p>
      <w:pPr>
        <w:pStyle w:val="26"/>
        <w:spacing w:line="360" w:lineRule="auto"/>
        <w:jc w:val="center"/>
        <w:rPr>
          <w:rFonts w:ascii="宋体" w:hAnsi="宋体" w:cs="宋体"/>
          <w:b/>
          <w:sz w:val="28"/>
          <w:szCs w:val="28"/>
        </w:rPr>
      </w:pPr>
    </w:p>
    <w:p>
      <w:pPr>
        <w:pStyle w:val="26"/>
        <w:spacing w:line="360" w:lineRule="auto"/>
        <w:jc w:val="center"/>
        <w:rPr>
          <w:rFonts w:ascii="宋体" w:hAnsi="宋体" w:cs="宋体"/>
          <w:b/>
          <w:sz w:val="28"/>
          <w:szCs w:val="28"/>
        </w:rPr>
      </w:pPr>
    </w:p>
    <w:p>
      <w:pPr>
        <w:pStyle w:val="26"/>
        <w:spacing w:line="360" w:lineRule="auto"/>
        <w:jc w:val="center"/>
        <w:rPr>
          <w:rFonts w:ascii="宋体" w:hAnsi="宋体" w:cs="宋体"/>
          <w:b/>
          <w:sz w:val="28"/>
          <w:szCs w:val="28"/>
        </w:rPr>
      </w:pPr>
    </w:p>
    <w:p>
      <w:pPr>
        <w:pStyle w:val="26"/>
        <w:spacing w:line="360" w:lineRule="auto"/>
        <w:jc w:val="center"/>
        <w:rPr>
          <w:rFonts w:ascii="宋体" w:hAnsi="宋体" w:cs="宋体"/>
          <w:b/>
          <w:sz w:val="28"/>
          <w:szCs w:val="28"/>
        </w:rPr>
      </w:pPr>
    </w:p>
    <w:p>
      <w:pPr>
        <w:pStyle w:val="26"/>
        <w:spacing w:line="360" w:lineRule="auto"/>
        <w:jc w:val="center"/>
        <w:rPr>
          <w:rFonts w:ascii="宋体" w:hAnsi="宋体" w:cs="宋体"/>
          <w:b/>
          <w:sz w:val="28"/>
          <w:szCs w:val="28"/>
          <w:highlight w:val="yellow"/>
        </w:rPr>
      </w:pPr>
      <w:r>
        <w:rPr>
          <w:rFonts w:hint="eastAsia" w:ascii="宋体" w:hAnsi="宋体" w:cs="宋体"/>
          <w:b/>
          <w:sz w:val="28"/>
          <w:szCs w:val="28"/>
        </w:rPr>
        <w:t>联合体投标协议书</w:t>
      </w:r>
    </w:p>
    <w:p>
      <w:pPr>
        <w:pStyle w:val="26"/>
        <w:widowControl/>
        <w:adjustRightInd w:val="0"/>
        <w:snapToGrid w:val="0"/>
        <w:spacing w:line="360" w:lineRule="auto"/>
        <w:ind w:firstLine="420"/>
        <w:jc w:val="center"/>
        <w:rPr>
          <w:rFonts w:ascii="宋体" w:hAnsi="宋体" w:cs="宋体"/>
          <w:b/>
          <w:sz w:val="24"/>
          <w:szCs w:val="21"/>
        </w:rPr>
      </w:pPr>
      <w:r>
        <w:rPr>
          <w:rFonts w:hint="eastAsia" w:ascii="宋体" w:hAnsi="宋体" w:cs="宋体"/>
          <w:b/>
          <w:bCs/>
          <w:sz w:val="32"/>
          <w:szCs w:val="32"/>
        </w:rPr>
        <w:t xml:space="preserve"> </w:t>
      </w:r>
    </w:p>
    <w:p>
      <w:pPr>
        <w:pStyle w:val="26"/>
        <w:adjustRightInd w:val="0"/>
        <w:snapToGrid w:val="0"/>
        <w:spacing w:before="120" w:beforeLines="50" w:line="360" w:lineRule="auto"/>
        <w:rPr>
          <w:rFonts w:ascii="宋体" w:hAnsi="宋体" w:cs="宋体"/>
          <w:szCs w:val="21"/>
        </w:rPr>
      </w:pPr>
      <w:r>
        <w:rPr>
          <w:rFonts w:hint="eastAsia" w:ascii="宋体" w:hAnsi="宋体" w:cs="宋体"/>
          <w:szCs w:val="21"/>
        </w:rPr>
        <w:t>致</w:t>
      </w:r>
      <w:r>
        <w:rPr>
          <w:rFonts w:hint="eastAsia" w:ascii="宋体" w:hAnsi="宋体" w:cs="宋体"/>
          <w:szCs w:val="21"/>
          <w:u w:val="single"/>
        </w:rPr>
        <w:t xml:space="preserve">                     （</w:t>
      </w:r>
      <w:r>
        <w:rPr>
          <w:rFonts w:hint="eastAsia" w:ascii="宋体" w:hAnsi="宋体" w:cs="宋体"/>
          <w:szCs w:val="21"/>
        </w:rPr>
        <w:t>采购代理机构）：</w:t>
      </w:r>
    </w:p>
    <w:p>
      <w:pPr>
        <w:pStyle w:val="26"/>
        <w:adjustRightInd w:val="0"/>
        <w:snapToGrid w:val="0"/>
        <w:spacing w:before="120" w:beforeLines="50" w:line="360" w:lineRule="auto"/>
        <w:ind w:firstLine="420" w:firstLineChars="200"/>
        <w:rPr>
          <w:rFonts w:ascii="宋体" w:hAnsi="宋体" w:cs="宋体"/>
          <w:szCs w:val="21"/>
        </w:rPr>
      </w:pPr>
      <w:r>
        <w:rPr>
          <w:rFonts w:hint="eastAsia" w:ascii="宋体" w:hAnsi="宋体" w:cs="宋体"/>
          <w:szCs w:val="21"/>
        </w:rPr>
        <w:t>经研究，我们决定自愿组成联合体共同申请参加</w:t>
      </w:r>
      <w:r>
        <w:rPr>
          <w:rFonts w:hint="eastAsia" w:ascii="宋体" w:hAnsi="宋体" w:cs="宋体"/>
          <w:szCs w:val="21"/>
          <w:u w:val="single"/>
        </w:rPr>
        <w:t xml:space="preserve">                    </w:t>
      </w:r>
      <w:r>
        <w:rPr>
          <w:rFonts w:hint="eastAsia" w:ascii="宋体" w:hAnsi="宋体" w:cs="宋体"/>
          <w:szCs w:val="21"/>
        </w:rPr>
        <w:t>（项目名称、政府采购编号、采购代理编号）项目的磋商。现就联合体事宜订立如下协议：</w:t>
      </w:r>
    </w:p>
    <w:p>
      <w:pPr>
        <w:pStyle w:val="26"/>
        <w:adjustRightInd w:val="0"/>
        <w:snapToGrid w:val="0"/>
        <w:spacing w:before="120" w:beforeLines="50" w:line="360" w:lineRule="auto"/>
        <w:ind w:firstLine="420" w:firstLineChars="200"/>
        <w:rPr>
          <w:rFonts w:ascii="宋体" w:hAnsi="宋体" w:cs="宋体"/>
          <w:szCs w:val="21"/>
          <w:u w:val="single"/>
        </w:rPr>
      </w:pPr>
      <w:r>
        <w:rPr>
          <w:rFonts w:hint="eastAsia" w:ascii="宋体" w:hAnsi="宋体" w:cs="宋体"/>
          <w:szCs w:val="21"/>
        </w:rPr>
        <w:t>一、联合体基本信息：</w:t>
      </w:r>
      <w:r>
        <w:rPr>
          <w:rFonts w:hint="eastAsia" w:ascii="宋体" w:hAnsi="宋体" w:cs="宋体"/>
          <w:szCs w:val="21"/>
          <w:u w:val="single"/>
        </w:rPr>
        <w:t xml:space="preserve">                      </w:t>
      </w:r>
      <w:r>
        <w:rPr>
          <w:rFonts w:hint="eastAsia" w:ascii="宋体" w:hAnsi="宋体" w:cs="宋体"/>
          <w:szCs w:val="21"/>
        </w:rPr>
        <w:t>（各方公司名称、地址、注册资金、营业执照、法定代表人姓名）。</w:t>
      </w:r>
    </w:p>
    <w:p>
      <w:pPr>
        <w:pStyle w:val="26"/>
        <w:adjustRightInd w:val="0"/>
        <w:snapToGrid w:val="0"/>
        <w:spacing w:before="120" w:beforeLines="50" w:line="360" w:lineRule="auto"/>
        <w:ind w:firstLine="420" w:firstLineChars="200"/>
        <w:rPr>
          <w:rFonts w:ascii="宋体" w:hAnsi="宋体" w:cs="宋体"/>
          <w:szCs w:val="21"/>
        </w:rPr>
      </w:pPr>
      <w:r>
        <w:rPr>
          <w:rFonts w:hint="eastAsia" w:ascii="宋体" w:hAnsi="宋体" w:cs="宋体"/>
          <w:szCs w:val="21"/>
        </w:rPr>
        <w:t>二、</w:t>
      </w:r>
      <w:r>
        <w:rPr>
          <w:rFonts w:hint="eastAsia" w:ascii="宋体" w:hAnsi="宋体" w:cs="宋体"/>
          <w:szCs w:val="21"/>
          <w:u w:val="single"/>
        </w:rPr>
        <w:t xml:space="preserve">      </w:t>
      </w:r>
      <w:r>
        <w:rPr>
          <w:rFonts w:hint="eastAsia" w:ascii="宋体" w:hAnsi="宋体" w:cs="宋体"/>
          <w:szCs w:val="21"/>
        </w:rPr>
        <w:t>（某成员单位名称）为</w:t>
      </w:r>
      <w:r>
        <w:rPr>
          <w:rFonts w:hint="eastAsia" w:ascii="宋体" w:hAnsi="宋体" w:cs="宋体"/>
          <w:szCs w:val="21"/>
          <w:u w:val="single"/>
        </w:rPr>
        <w:t xml:space="preserve">      </w:t>
      </w:r>
      <w:r>
        <w:rPr>
          <w:rFonts w:hint="eastAsia" w:ascii="宋体" w:hAnsi="宋体" w:cs="宋体"/>
          <w:szCs w:val="21"/>
        </w:rPr>
        <w:t>（联合体名称）牵头人。</w:t>
      </w:r>
    </w:p>
    <w:p>
      <w:pPr>
        <w:pStyle w:val="26"/>
        <w:adjustRightInd w:val="0"/>
        <w:snapToGrid w:val="0"/>
        <w:spacing w:before="120" w:beforeLines="50" w:line="360" w:lineRule="auto"/>
        <w:ind w:firstLine="420" w:firstLineChars="200"/>
        <w:rPr>
          <w:rFonts w:ascii="宋体" w:hAnsi="宋体" w:cs="宋体"/>
          <w:szCs w:val="21"/>
        </w:rPr>
      </w:pPr>
      <w:r>
        <w:rPr>
          <w:rFonts w:hint="eastAsia" w:ascii="宋体" w:hAnsi="宋体" w:cs="宋体"/>
          <w:szCs w:val="21"/>
        </w:rPr>
        <w:t>三、联合体牵头人合法代表联合体各成员负责本项目</w:t>
      </w:r>
      <w:r>
        <w:rPr>
          <w:rFonts w:hint="eastAsia" w:ascii="宋体" w:hAnsi="宋体" w:cs="宋体"/>
        </w:rPr>
        <w:t>响应</w:t>
      </w:r>
      <w:r>
        <w:rPr>
          <w:rFonts w:hint="eastAsia" w:ascii="宋体" w:hAnsi="宋体" w:cs="宋体"/>
          <w:szCs w:val="21"/>
        </w:rPr>
        <w:t>文件编制活动，代表联合体提交和接收相关的资料、信息及指示，并处理与磋商和成交有关的一切事务；联合体成交后，联合体牵头人负责合同订立和合同实施阶段的主办、组织和协调工作。</w:t>
      </w:r>
    </w:p>
    <w:p>
      <w:pPr>
        <w:pStyle w:val="26"/>
        <w:adjustRightInd w:val="0"/>
        <w:snapToGrid w:val="0"/>
        <w:spacing w:before="120" w:beforeLines="50" w:line="360" w:lineRule="auto"/>
        <w:ind w:firstLine="420" w:firstLineChars="200"/>
        <w:rPr>
          <w:rFonts w:ascii="宋体" w:hAnsi="宋体" w:cs="宋体"/>
          <w:szCs w:val="21"/>
        </w:rPr>
      </w:pPr>
      <w:r>
        <w:rPr>
          <w:rFonts w:hint="eastAsia" w:ascii="宋体" w:hAnsi="宋体" w:cs="宋体"/>
          <w:szCs w:val="21"/>
        </w:rPr>
        <w:t>四．联合体将严格按照磋商文件的各项要求，递交</w:t>
      </w:r>
      <w:r>
        <w:rPr>
          <w:rFonts w:hint="eastAsia" w:ascii="宋体" w:hAnsi="宋体" w:cs="宋体"/>
        </w:rPr>
        <w:t>响应</w:t>
      </w:r>
      <w:r>
        <w:rPr>
          <w:rFonts w:hint="eastAsia" w:ascii="宋体" w:hAnsi="宋体" w:cs="宋体"/>
          <w:szCs w:val="21"/>
        </w:rPr>
        <w:t>文件，参加磋商，履行成交义务和成交后的合同，并向采购人承担连带责任。</w:t>
      </w:r>
    </w:p>
    <w:p>
      <w:pPr>
        <w:pStyle w:val="26"/>
        <w:adjustRightInd w:val="0"/>
        <w:snapToGrid w:val="0"/>
        <w:spacing w:before="120" w:beforeLines="50" w:line="360" w:lineRule="auto"/>
        <w:ind w:firstLine="420" w:firstLineChars="200"/>
        <w:rPr>
          <w:rFonts w:ascii="宋体" w:hAnsi="宋体" w:cs="宋体"/>
          <w:szCs w:val="21"/>
          <w:u w:val="single"/>
        </w:rPr>
      </w:pPr>
      <w:r>
        <w:rPr>
          <w:rFonts w:hint="eastAsia" w:ascii="宋体" w:hAnsi="宋体" w:cs="宋体"/>
          <w:szCs w:val="21"/>
        </w:rPr>
        <w:t>五、联合体各成员单位内部的职责分工如下：</w:t>
      </w:r>
      <w:r>
        <w:rPr>
          <w:rFonts w:hint="eastAsia" w:ascii="宋体" w:hAnsi="宋体" w:cs="宋体"/>
          <w:szCs w:val="21"/>
          <w:u w:val="single"/>
        </w:rPr>
        <w:t xml:space="preserve">                             </w:t>
      </w:r>
      <w:r>
        <w:rPr>
          <w:rFonts w:hint="eastAsia" w:ascii="宋体" w:hAnsi="宋体" w:cs="宋体"/>
          <w:szCs w:val="21"/>
        </w:rPr>
        <w:t>。按照本条上述分工，联合体成员单位各自所承担的合同工作量比例如下：</w:t>
      </w:r>
      <w:r>
        <w:rPr>
          <w:rFonts w:hint="eastAsia" w:ascii="宋体" w:hAnsi="宋体" w:cs="宋体"/>
          <w:szCs w:val="21"/>
          <w:u w:val="single"/>
        </w:rPr>
        <w:t xml:space="preserve">                              </w:t>
      </w:r>
      <w:r>
        <w:rPr>
          <w:rFonts w:hint="eastAsia" w:ascii="宋体" w:hAnsi="宋体" w:cs="宋体"/>
          <w:szCs w:val="21"/>
        </w:rPr>
        <w:t>。</w:t>
      </w:r>
    </w:p>
    <w:p>
      <w:pPr>
        <w:pStyle w:val="26"/>
        <w:adjustRightInd w:val="0"/>
        <w:snapToGrid w:val="0"/>
        <w:spacing w:before="120" w:beforeLines="50" w:line="360" w:lineRule="auto"/>
        <w:ind w:firstLine="420" w:firstLineChars="200"/>
        <w:rPr>
          <w:rFonts w:ascii="宋体" w:hAnsi="宋体" w:cs="宋体"/>
          <w:szCs w:val="21"/>
        </w:rPr>
      </w:pPr>
      <w:r>
        <w:rPr>
          <w:rFonts w:hint="eastAsia" w:ascii="宋体" w:hAnsi="宋体" w:cs="宋体"/>
          <w:szCs w:val="21"/>
        </w:rPr>
        <w:t>六、本协议书自签署之日起生效，合同履行完毕后自动失效。</w:t>
      </w:r>
    </w:p>
    <w:p>
      <w:pPr>
        <w:pStyle w:val="26"/>
        <w:adjustRightInd w:val="0"/>
        <w:snapToGrid w:val="0"/>
        <w:spacing w:before="120" w:beforeLines="50" w:line="360" w:lineRule="auto"/>
        <w:ind w:firstLine="420" w:firstLineChars="200"/>
        <w:rPr>
          <w:rFonts w:ascii="宋体" w:hAnsi="宋体" w:cs="宋体"/>
          <w:szCs w:val="21"/>
        </w:rPr>
      </w:pPr>
      <w:r>
        <w:rPr>
          <w:rFonts w:hint="eastAsia" w:ascii="宋体" w:hAnsi="宋体" w:cs="宋体"/>
          <w:szCs w:val="21"/>
        </w:rPr>
        <w:t>七、本协议书一式</w:t>
      </w:r>
      <w:r>
        <w:rPr>
          <w:rFonts w:hint="eastAsia" w:ascii="宋体" w:hAnsi="宋体" w:cs="宋体"/>
          <w:szCs w:val="21"/>
          <w:u w:val="single"/>
        </w:rPr>
        <w:t xml:space="preserve">         </w:t>
      </w:r>
      <w:r>
        <w:rPr>
          <w:rFonts w:hint="eastAsia" w:ascii="宋体" w:hAnsi="宋体" w:cs="宋体"/>
          <w:szCs w:val="21"/>
        </w:rPr>
        <w:t>份，联合体成员和采购人各执一份。</w:t>
      </w:r>
    </w:p>
    <w:p>
      <w:pPr>
        <w:pStyle w:val="26"/>
        <w:tabs>
          <w:tab w:val="left" w:pos="3645"/>
        </w:tabs>
        <w:adjustRightInd w:val="0"/>
        <w:snapToGrid w:val="0"/>
        <w:spacing w:before="120" w:beforeLines="50" w:line="360" w:lineRule="auto"/>
        <w:ind w:firstLine="420" w:firstLineChars="200"/>
        <w:rPr>
          <w:rFonts w:ascii="宋体" w:hAnsi="宋体" w:cs="宋体"/>
          <w:szCs w:val="21"/>
        </w:rPr>
      </w:pPr>
      <w:r>
        <w:rPr>
          <w:rFonts w:hint="eastAsia" w:ascii="宋体" w:hAnsi="宋体" w:cs="宋体"/>
          <w:szCs w:val="21"/>
        </w:rPr>
        <w:tab/>
      </w:r>
    </w:p>
    <w:p>
      <w:pPr>
        <w:pStyle w:val="26"/>
        <w:adjustRightInd w:val="0"/>
        <w:snapToGrid w:val="0"/>
        <w:spacing w:line="360" w:lineRule="auto"/>
        <w:rPr>
          <w:rFonts w:ascii="宋体" w:hAnsi="宋体" w:cs="宋体"/>
          <w:szCs w:val="21"/>
        </w:rPr>
      </w:pPr>
      <w:r>
        <w:rPr>
          <w:rFonts w:hint="eastAsia" w:ascii="宋体" w:hAnsi="宋体" w:cs="宋体"/>
          <w:szCs w:val="21"/>
        </w:rPr>
        <w:t>牵头人名称（电子签章）：</w:t>
      </w:r>
    </w:p>
    <w:p>
      <w:pPr>
        <w:pStyle w:val="26"/>
        <w:adjustRightInd w:val="0"/>
        <w:snapToGrid w:val="0"/>
        <w:spacing w:line="360" w:lineRule="auto"/>
        <w:rPr>
          <w:rFonts w:ascii="宋体" w:hAnsi="宋体" w:cs="宋体"/>
          <w:szCs w:val="21"/>
        </w:rPr>
      </w:pPr>
      <w:r>
        <w:rPr>
          <w:rFonts w:hint="eastAsia" w:ascii="宋体" w:hAnsi="宋体" w:cs="宋体"/>
          <w:szCs w:val="21"/>
        </w:rPr>
        <w:t>法定代表人或其授权代表（电子签名）：</w:t>
      </w:r>
      <w:r>
        <w:rPr>
          <w:rFonts w:hint="eastAsia" w:ascii="宋体" w:hAnsi="宋体" w:cs="宋体"/>
          <w:szCs w:val="21"/>
          <w:u w:val="single"/>
        </w:rPr>
        <w:t xml:space="preserve">                     </w:t>
      </w:r>
    </w:p>
    <w:p>
      <w:pPr>
        <w:pStyle w:val="26"/>
        <w:adjustRightInd w:val="0"/>
        <w:snapToGrid w:val="0"/>
        <w:spacing w:line="360" w:lineRule="auto"/>
        <w:ind w:firstLine="1785" w:firstLineChars="850"/>
        <w:rPr>
          <w:rFonts w:ascii="宋体" w:hAnsi="宋体" w:cs="宋体"/>
          <w:szCs w:val="21"/>
        </w:rPr>
      </w:pPr>
    </w:p>
    <w:p>
      <w:pPr>
        <w:pStyle w:val="26"/>
        <w:adjustRightInd w:val="0"/>
        <w:snapToGrid w:val="0"/>
        <w:spacing w:line="360" w:lineRule="auto"/>
        <w:rPr>
          <w:rFonts w:ascii="宋体" w:hAnsi="宋体" w:cs="宋体"/>
          <w:szCs w:val="21"/>
        </w:rPr>
      </w:pPr>
      <w:r>
        <w:rPr>
          <w:rFonts w:hint="eastAsia" w:ascii="宋体" w:hAnsi="宋体" w:cs="宋体"/>
          <w:szCs w:val="21"/>
        </w:rPr>
        <w:t>成员二名称（电子签章）：</w:t>
      </w:r>
    </w:p>
    <w:p>
      <w:pPr>
        <w:pStyle w:val="26"/>
        <w:adjustRightInd w:val="0"/>
        <w:snapToGrid w:val="0"/>
        <w:spacing w:line="360" w:lineRule="auto"/>
        <w:rPr>
          <w:rFonts w:ascii="宋体" w:hAnsi="宋体" w:cs="宋体"/>
          <w:szCs w:val="21"/>
        </w:rPr>
      </w:pPr>
      <w:r>
        <w:rPr>
          <w:rFonts w:hint="eastAsia" w:ascii="宋体" w:hAnsi="宋体" w:cs="宋体"/>
          <w:szCs w:val="21"/>
        </w:rPr>
        <w:t>法定代表人或其授权代表（电子签名）：</w:t>
      </w:r>
      <w:r>
        <w:rPr>
          <w:rFonts w:hint="eastAsia" w:ascii="宋体" w:hAnsi="宋体" w:cs="宋体"/>
          <w:szCs w:val="21"/>
          <w:u w:val="single"/>
        </w:rPr>
        <w:t xml:space="preserve">                      </w:t>
      </w:r>
    </w:p>
    <w:p>
      <w:pPr>
        <w:pStyle w:val="26"/>
        <w:spacing w:line="360" w:lineRule="auto"/>
        <w:rPr>
          <w:rFonts w:ascii="宋体" w:hAnsi="宋体" w:cs="宋体"/>
        </w:rPr>
      </w:pPr>
    </w:p>
    <w:p>
      <w:pPr>
        <w:pStyle w:val="26"/>
        <w:spacing w:line="360" w:lineRule="auto"/>
        <w:rPr>
          <w:rFonts w:ascii="宋体" w:hAnsi="宋体" w:cs="宋体"/>
        </w:rPr>
      </w:pPr>
      <w:r>
        <w:rPr>
          <w:rFonts w:hint="eastAsia" w:ascii="宋体" w:hAnsi="宋体" w:cs="宋体"/>
        </w:rPr>
        <w:t xml:space="preserve">       年        月        日  </w:t>
      </w:r>
    </w:p>
    <w:p>
      <w:pPr>
        <w:pStyle w:val="26"/>
        <w:spacing w:line="360" w:lineRule="auto"/>
        <w:rPr>
          <w:rFonts w:ascii="宋体" w:hAnsi="宋体" w:cs="宋体"/>
        </w:rPr>
      </w:pPr>
      <w:r>
        <w:rPr>
          <w:rFonts w:hint="eastAsia" w:ascii="宋体" w:hAnsi="宋体" w:cs="宋体"/>
        </w:rPr>
        <w:t>备注：本协议书由授权代表签字的，应附法定代表人签字的授权委托书。</w:t>
      </w:r>
    </w:p>
    <w:p>
      <w:pPr>
        <w:spacing w:before="66"/>
        <w:ind w:firstLine="2200" w:firstLineChars="1000"/>
        <w:jc w:val="both"/>
        <w:rPr>
          <w:b/>
          <w:sz w:val="24"/>
          <w:lang w:val="en-US"/>
        </w:rPr>
      </w:pPr>
      <w:r>
        <w:rPr>
          <w:rFonts w:hint="eastAsia" w:ascii="宋体" w:hAnsi="宋体" w:eastAsia="宋体" w:cs="宋体"/>
        </w:rPr>
        <w:br w:type="page"/>
      </w:r>
    </w:p>
    <w:p>
      <w:pPr>
        <w:spacing w:before="66"/>
        <w:ind w:firstLine="2409" w:firstLineChars="1000"/>
        <w:jc w:val="both"/>
        <w:rPr>
          <w:b/>
          <w:color w:val="558ED5" w:themeColor="text2" w:themeTint="99"/>
          <w:sz w:val="24"/>
          <w14:textFill>
            <w14:solidFill>
              <w14:schemeClr w14:val="tx2">
                <w14:lumMod w14:val="60000"/>
                <w14:lumOff w14:val="40000"/>
              </w14:schemeClr>
            </w14:solidFill>
          </w14:textFill>
        </w:rPr>
      </w:pPr>
      <w:r>
        <w:rPr>
          <w:rFonts w:hint="eastAsia"/>
          <w:b/>
          <w:sz w:val="24"/>
          <w:lang w:val="en-US"/>
        </w:rPr>
        <w:t xml:space="preserve">11 </w:t>
      </w:r>
      <w:r>
        <w:rPr>
          <w:b/>
          <w:bCs/>
          <w:spacing w:val="-2"/>
          <w:sz w:val="24"/>
        </w:rPr>
        <w:t>投标人须知资料表要求的其他资格证明文件</w:t>
      </w:r>
      <w:r>
        <w:rPr>
          <w:rFonts w:hint="eastAsia"/>
          <w:b/>
          <w:bCs/>
          <w:spacing w:val="-2"/>
          <w:sz w:val="24"/>
        </w:rPr>
        <w:t>。</w:t>
      </w:r>
    </w:p>
    <w:p>
      <w:pPr>
        <w:pStyle w:val="22"/>
        <w:tabs>
          <w:tab w:val="left" w:pos="1420"/>
        </w:tabs>
        <w:ind w:left="1100" w:firstLine="0"/>
        <w:jc w:val="both"/>
        <w:rPr>
          <w:b/>
          <w:color w:val="558ED5" w:themeColor="text2" w:themeTint="99"/>
          <w:sz w:val="24"/>
          <w14:textFill>
            <w14:solidFill>
              <w14:schemeClr w14:val="tx2">
                <w14:lumMod w14:val="60000"/>
                <w14:lumOff w14:val="40000"/>
              </w14:schemeClr>
            </w14:solidFill>
          </w14:textFill>
        </w:rPr>
      </w:pPr>
    </w:p>
    <w:p>
      <w:pPr>
        <w:pStyle w:val="9"/>
        <w:rPr>
          <w:b/>
          <w:color w:val="558ED5" w:themeColor="text2" w:themeTint="99"/>
          <w14:textFill>
            <w14:solidFill>
              <w14:schemeClr w14:val="tx2">
                <w14:lumMod w14:val="60000"/>
                <w14:lumOff w14:val="40000"/>
              </w14:schemeClr>
            </w14:solidFill>
          </w14:textFill>
        </w:rPr>
      </w:pPr>
    </w:p>
    <w:p>
      <w:pPr>
        <w:pStyle w:val="9"/>
        <w:rPr>
          <w:b/>
        </w:rPr>
      </w:pPr>
    </w:p>
    <w:p>
      <w:pPr>
        <w:pStyle w:val="9"/>
        <w:spacing w:before="5"/>
        <w:rPr>
          <w:b/>
          <w:sz w:val="25"/>
        </w:rPr>
      </w:pPr>
    </w:p>
    <w:p>
      <w:pPr>
        <w:pStyle w:val="9"/>
        <w:spacing w:before="1" w:line="242" w:lineRule="auto"/>
        <w:ind w:left="2317" w:right="2286" w:hanging="720"/>
      </w:pPr>
      <w:r>
        <w:t>说明：1.应提供</w:t>
      </w:r>
      <w:r>
        <w:rPr>
          <w:u w:val="single"/>
        </w:rPr>
        <w:t>投标人须知资料表</w:t>
      </w:r>
      <w:r>
        <w:t>要求的其他资格证明文件。2.复印件上应加盖本单位章。</w:t>
      </w:r>
    </w:p>
    <w:p>
      <w:pPr>
        <w:pStyle w:val="9"/>
        <w:spacing w:before="2" w:line="242" w:lineRule="auto"/>
        <w:ind w:left="2317" w:right="1117" w:firstLine="62"/>
        <w:rPr>
          <w:highlight w:val="yellow"/>
          <w:lang w:val="en-US"/>
        </w:rPr>
      </w:pPr>
      <w:r>
        <w:t>3.如果是联合体报价，联合体各方需提供的满足招标文件要求的其他资格证明文件</w:t>
      </w:r>
      <w:r>
        <w:rPr>
          <w:rFonts w:hint="eastAsia"/>
        </w:rPr>
        <w:t>。</w:t>
      </w:r>
    </w:p>
    <w:p>
      <w:pPr>
        <w:spacing w:line="242" w:lineRule="auto"/>
        <w:rPr>
          <w:highlight w:val="yellow"/>
        </w:rPr>
        <w:sectPr>
          <w:footerReference r:id="rId6" w:type="default"/>
          <w:pgSz w:w="11910" w:h="16840"/>
          <w:pgMar w:top="1580" w:right="800" w:bottom="1180" w:left="740" w:header="0" w:footer="1000" w:gutter="0"/>
          <w:pgNumType w:start="27"/>
          <w:cols w:space="720" w:num="1"/>
        </w:sectPr>
      </w:pPr>
    </w:p>
    <w:p>
      <w:pPr>
        <w:tabs>
          <w:tab w:val="left" w:pos="5247"/>
        </w:tabs>
        <w:spacing w:before="45"/>
        <w:ind w:left="4043"/>
        <w:rPr>
          <w:b/>
          <w:sz w:val="24"/>
        </w:rPr>
      </w:pPr>
      <w:r>
        <w:rPr>
          <w:b/>
          <w:sz w:val="24"/>
        </w:rPr>
        <w:t>第二部分</w:t>
      </w:r>
      <w:r>
        <w:rPr>
          <w:b/>
          <w:sz w:val="24"/>
        </w:rPr>
        <w:tab/>
      </w:r>
      <w:r>
        <w:rPr>
          <w:b/>
          <w:sz w:val="24"/>
        </w:rPr>
        <w:t>商务及技术文件</w:t>
      </w:r>
    </w:p>
    <w:p>
      <w:pPr>
        <w:pStyle w:val="9"/>
        <w:spacing w:before="9"/>
        <w:rPr>
          <w:b/>
        </w:rPr>
      </w:pPr>
    </w:p>
    <w:p>
      <w:pPr>
        <w:pStyle w:val="9"/>
        <w:ind w:left="1597"/>
      </w:pPr>
      <w:r>
        <w:t>1、投标书（投标文件格式三）</w:t>
      </w:r>
    </w:p>
    <w:p>
      <w:pPr>
        <w:pStyle w:val="9"/>
        <w:spacing w:before="5"/>
        <w:ind w:left="1597"/>
      </w:pPr>
      <w:r>
        <w:t>2、投标保证金</w:t>
      </w:r>
      <w:r>
        <w:rPr>
          <w:rFonts w:hint="eastAsia"/>
        </w:rPr>
        <w:t>收据或投标保函</w:t>
      </w:r>
      <w:r>
        <w:t>复印件（投标文件格式四）</w:t>
      </w:r>
    </w:p>
    <w:p>
      <w:pPr>
        <w:pStyle w:val="9"/>
        <w:spacing w:before="4"/>
        <w:ind w:left="1597"/>
      </w:pPr>
      <w:r>
        <w:t>3、投标分项报价表（投标文件格式五）</w:t>
      </w:r>
    </w:p>
    <w:p>
      <w:pPr>
        <w:pStyle w:val="9"/>
        <w:spacing w:before="5"/>
        <w:ind w:left="1597"/>
        <w:rPr>
          <w:lang w:val="en-US"/>
        </w:rPr>
      </w:pPr>
      <w:r>
        <w:t>4、</w:t>
      </w:r>
      <w:r>
        <w:rPr>
          <w:rFonts w:hint="eastAsia"/>
        </w:rPr>
        <w:t>项目配备人员情况一览表</w:t>
      </w:r>
      <w:r>
        <w:rPr>
          <w:rFonts w:hint="eastAsia"/>
          <w:lang w:val="en-US"/>
        </w:rPr>
        <w:t xml:space="preserve"> </w:t>
      </w:r>
    </w:p>
    <w:p>
      <w:pPr>
        <w:pStyle w:val="9"/>
        <w:spacing w:before="5"/>
        <w:ind w:left="1597"/>
      </w:pPr>
      <w:r>
        <w:rPr>
          <w:rFonts w:hint="eastAsia"/>
          <w:lang w:val="en-US"/>
        </w:rPr>
        <w:t xml:space="preserve">5、绿化养护、环卫设备（工具）情况一览表 </w:t>
      </w:r>
    </w:p>
    <w:p>
      <w:pPr>
        <w:pStyle w:val="9"/>
        <w:spacing w:before="4" w:line="242" w:lineRule="auto"/>
        <w:ind w:left="2137" w:right="1115" w:hanging="540"/>
        <w:jc w:val="both"/>
      </w:pPr>
      <w:r>
        <w:rPr>
          <w:rFonts w:hint="eastAsia"/>
          <w:lang w:val="en-US"/>
        </w:rPr>
        <w:t>6</w:t>
      </w:r>
      <w:r>
        <w:t>、符合《政府采购促进中小企业发展暂行办法》、《关于政府采购支持</w:t>
      </w:r>
      <w:r>
        <w:rPr>
          <w:spacing w:val="-8"/>
        </w:rPr>
        <w:t>监狱企业发展有关问题的通知》和《三部门联合发布关于促进残疾人</w:t>
      </w:r>
      <w:r>
        <w:t>就业政府采购政策的通知》价格扣减条件的投标人须提交）</w:t>
      </w:r>
    </w:p>
    <w:p>
      <w:pPr>
        <w:pStyle w:val="22"/>
        <w:tabs>
          <w:tab w:val="left" w:pos="1957"/>
        </w:tabs>
        <w:spacing w:before="4"/>
        <w:ind w:left="1594" w:firstLine="0"/>
        <w:rPr>
          <w:sz w:val="24"/>
          <w:szCs w:val="24"/>
          <w:lang w:val="en-US"/>
        </w:rPr>
      </w:pPr>
      <w:r>
        <w:rPr>
          <w:rFonts w:hint="eastAsia"/>
          <w:sz w:val="24"/>
          <w:szCs w:val="24"/>
          <w:lang w:val="en-US"/>
        </w:rPr>
        <w:t>6-1《投标人企业类型声明函》（投标文件格式七）</w:t>
      </w:r>
    </w:p>
    <w:p>
      <w:pPr>
        <w:pStyle w:val="22"/>
        <w:tabs>
          <w:tab w:val="left" w:pos="1957"/>
        </w:tabs>
        <w:spacing w:before="5"/>
        <w:ind w:left="1540" w:firstLine="0"/>
        <w:rPr>
          <w:sz w:val="24"/>
          <w:szCs w:val="24"/>
          <w:lang w:val="en-US"/>
        </w:rPr>
      </w:pPr>
      <w:r>
        <w:rPr>
          <w:rFonts w:hint="eastAsia"/>
          <w:sz w:val="24"/>
          <w:szCs w:val="24"/>
          <w:lang w:val="en-US"/>
        </w:rPr>
        <w:t>6-2《制造商投标人企业类型声明函》（投标文件格式八）</w:t>
      </w:r>
    </w:p>
    <w:p>
      <w:pPr>
        <w:pStyle w:val="9"/>
        <w:spacing w:before="4"/>
        <w:ind w:left="1597"/>
        <w:rPr>
          <w:lang w:val="en-US"/>
        </w:rPr>
      </w:pPr>
      <w:r>
        <w:rPr>
          <w:rFonts w:hint="eastAsia"/>
          <w:lang w:val="en-US"/>
        </w:rPr>
        <w:t>7、投标人关联单位的说明（格式自拟）</w:t>
      </w:r>
    </w:p>
    <w:p>
      <w:pPr>
        <w:pStyle w:val="9"/>
        <w:spacing w:before="5"/>
        <w:ind w:left="1597"/>
        <w:rPr>
          <w:lang w:val="en-US"/>
        </w:rPr>
      </w:pPr>
      <w:r>
        <w:rPr>
          <w:rFonts w:hint="eastAsia"/>
          <w:lang w:val="en-US"/>
        </w:rPr>
        <w:t>8、投标文件还应包括投标人须知第 10 条的所有技术文件</w:t>
      </w:r>
    </w:p>
    <w:p>
      <w:pPr>
        <w:rPr>
          <w:sz w:val="24"/>
          <w:szCs w:val="24"/>
          <w:lang w:val="en-US"/>
        </w:rPr>
      </w:pPr>
      <w:r>
        <w:rPr>
          <w:rFonts w:hint="eastAsia"/>
          <w:sz w:val="24"/>
          <w:szCs w:val="24"/>
          <w:lang w:val="en-US"/>
        </w:rPr>
        <w:t xml:space="preserve">               9、投标单位（供应商）反商业贿赂承诺书</w:t>
      </w:r>
    </w:p>
    <w:p>
      <w:pPr>
        <w:pStyle w:val="8"/>
        <w:ind w:firstLine="1920" w:firstLineChars="800"/>
        <w:rPr>
          <w:sz w:val="24"/>
          <w:szCs w:val="24"/>
          <w:highlight w:val="yellow"/>
          <w:lang w:val="en-US"/>
        </w:rPr>
      </w:pPr>
      <w:r>
        <w:rPr>
          <w:rFonts w:hint="eastAsia"/>
          <w:sz w:val="24"/>
          <w:szCs w:val="24"/>
          <w:lang w:val="en-US"/>
        </w:rPr>
        <w:t>10.近三年业绩（2019年5月-至今）（格式自拟）</w:t>
      </w:r>
    </w:p>
    <w:p>
      <w:pPr>
        <w:spacing w:before="52"/>
        <w:ind w:right="1246" w:firstLine="1920" w:firstLineChars="800"/>
        <w:jc w:val="both"/>
        <w:rPr>
          <w:sz w:val="24"/>
          <w:szCs w:val="24"/>
          <w:lang w:val="en-US"/>
        </w:rPr>
      </w:pPr>
      <w:r>
        <w:rPr>
          <w:rFonts w:hint="eastAsia"/>
          <w:sz w:val="24"/>
          <w:szCs w:val="24"/>
          <w:lang w:val="en-US"/>
        </w:rPr>
        <w:t>11、绿化环卫服务一体化技术方案</w:t>
      </w:r>
    </w:p>
    <w:p>
      <w:pPr>
        <w:pStyle w:val="9"/>
        <w:spacing w:before="5"/>
        <w:ind w:left="1597"/>
        <w:rPr>
          <w:sz w:val="22"/>
          <w:szCs w:val="22"/>
          <w:lang w:val="en-US"/>
        </w:rPr>
      </w:pPr>
    </w:p>
    <w:p>
      <w:pPr>
        <w:sectPr>
          <w:pgSz w:w="11910" w:h="16840"/>
          <w:pgMar w:top="1380" w:right="800" w:bottom="1180" w:left="740" w:header="0" w:footer="1000" w:gutter="0"/>
          <w:cols w:space="720" w:num="1"/>
        </w:sectPr>
      </w:pPr>
    </w:p>
    <w:p>
      <w:pPr>
        <w:tabs>
          <w:tab w:val="left" w:pos="4285"/>
        </w:tabs>
        <w:spacing w:before="157"/>
        <w:ind w:left="3803"/>
        <w:rPr>
          <w:b/>
          <w:sz w:val="24"/>
        </w:rPr>
      </w:pPr>
      <w:bookmarkStart w:id="65" w:name="2___投标保证金缴纳凭证复印件或投标担保函"/>
      <w:bookmarkEnd w:id="65"/>
      <w:bookmarkStart w:id="66" w:name="1___投标书（投标文件格式三）"/>
      <w:bookmarkEnd w:id="66"/>
      <w:r>
        <w:rPr>
          <w:b/>
          <w:sz w:val="24"/>
        </w:rPr>
        <w:t>1</w:t>
      </w:r>
      <w:r>
        <w:rPr>
          <w:b/>
          <w:sz w:val="24"/>
        </w:rPr>
        <w:tab/>
      </w:r>
      <w:r>
        <w:rPr>
          <w:b/>
          <w:sz w:val="24"/>
        </w:rPr>
        <w:t>投标书（投标文件格式三）</w:t>
      </w:r>
    </w:p>
    <w:p>
      <w:pPr>
        <w:pStyle w:val="9"/>
        <w:spacing w:before="7"/>
        <w:rPr>
          <w:b/>
          <w:sz w:val="19"/>
        </w:rPr>
      </w:pPr>
    </w:p>
    <w:p>
      <w:pPr>
        <w:pStyle w:val="9"/>
        <w:spacing w:before="66"/>
        <w:ind w:left="1057"/>
      </w:pPr>
      <w:r>
        <w:t>致：</w:t>
      </w:r>
      <w:r>
        <w:rPr>
          <w:u w:val="single"/>
        </w:rPr>
        <w:t>采购代理机构</w:t>
      </w:r>
    </w:p>
    <w:p>
      <w:pPr>
        <w:pStyle w:val="9"/>
        <w:spacing w:before="7"/>
        <w:rPr>
          <w:sz w:val="19"/>
        </w:rPr>
      </w:pPr>
    </w:p>
    <w:p>
      <w:pPr>
        <w:pStyle w:val="9"/>
        <w:tabs>
          <w:tab w:val="left" w:pos="4914"/>
          <w:tab w:val="left" w:pos="8526"/>
        </w:tabs>
        <w:spacing w:before="56"/>
        <w:ind w:left="1060" w:right="1115" w:firstLine="480"/>
        <w:jc w:val="both"/>
      </w:pPr>
      <w:r>
        <w:rPr>
          <w:spacing w:val="4"/>
        </w:rPr>
        <w:t>根据贵</w:t>
      </w:r>
      <w:r>
        <w:t>方</w:t>
      </w:r>
      <w:r>
        <w:rPr>
          <w:spacing w:val="-6"/>
        </w:rPr>
        <w:t>(</w:t>
      </w:r>
      <w:r>
        <w:rPr>
          <w:spacing w:val="4"/>
        </w:rPr>
        <w:t>项目名称)项目的投标邀请(招标编号),签字代表(姓名、职务)      经正式授权并代表投标人（名称、地址）提交下述文件正本</w:t>
      </w:r>
      <w:r>
        <w:rPr>
          <w:spacing w:val="4"/>
          <w:u w:val="single"/>
        </w:rPr>
        <w:t xml:space="preserve">   </w:t>
      </w:r>
      <w:r>
        <w:rPr>
          <w:spacing w:val="4"/>
        </w:rPr>
        <w:t>份、副本     份及电子文档</w:t>
      </w:r>
      <w:r>
        <w:rPr>
          <w:spacing w:val="4"/>
          <w:u w:val="single"/>
        </w:rPr>
        <w:t xml:space="preserve">     </w:t>
      </w:r>
      <w:r>
        <w:rPr>
          <w:spacing w:val="4"/>
        </w:rPr>
        <w:t xml:space="preserve">份，并以 </w:t>
      </w:r>
      <w:r>
        <w:rPr>
          <w:spacing w:val="4"/>
        </w:rPr>
        <w:tab/>
      </w:r>
      <w:r>
        <w:rPr>
          <w:spacing w:val="4"/>
        </w:rPr>
        <w:t>形式</w:t>
      </w:r>
      <w:r>
        <w:t>出具的金额为人民币</w:t>
      </w:r>
      <w:r>
        <w:rPr>
          <w:u w:val="single"/>
        </w:rPr>
        <w:t xml:space="preserve"> </w:t>
      </w:r>
      <w:r>
        <w:rPr>
          <w:u w:val="single"/>
        </w:rPr>
        <w:tab/>
      </w:r>
      <w:r>
        <w:t>元的</w:t>
      </w:r>
      <w:r>
        <w:rPr>
          <w:spacing w:val="-17"/>
        </w:rPr>
        <w:t>投</w:t>
      </w:r>
      <w:r>
        <w:t>标保证金。</w:t>
      </w:r>
    </w:p>
    <w:p>
      <w:pPr>
        <w:pStyle w:val="9"/>
        <w:spacing w:before="3"/>
        <w:ind w:left="1597"/>
      </w:pPr>
      <w:r>
        <w:t>据此，签字代表宣布同意如下：</w:t>
      </w:r>
    </w:p>
    <w:p>
      <w:pPr>
        <w:pStyle w:val="22"/>
        <w:numPr>
          <w:ilvl w:val="0"/>
          <w:numId w:val="24"/>
        </w:numPr>
        <w:tabs>
          <w:tab w:val="left" w:pos="2205"/>
          <w:tab w:val="left" w:pos="6625"/>
        </w:tabs>
        <w:spacing w:before="4" w:line="242" w:lineRule="auto"/>
        <w:ind w:right="1098" w:hanging="228"/>
        <w:jc w:val="both"/>
        <w:rPr>
          <w:sz w:val="24"/>
        </w:rPr>
      </w:pPr>
      <w:r>
        <w:rPr>
          <w:sz w:val="24"/>
        </w:rPr>
        <w:t>附</w:t>
      </w:r>
      <w:r>
        <w:rPr>
          <w:spacing w:val="4"/>
          <w:sz w:val="24"/>
        </w:rPr>
        <w:t>投</w:t>
      </w:r>
      <w:r>
        <w:rPr>
          <w:sz w:val="24"/>
        </w:rPr>
        <w:t>标价格</w:t>
      </w:r>
      <w:r>
        <w:rPr>
          <w:spacing w:val="4"/>
          <w:sz w:val="24"/>
        </w:rPr>
        <w:t>表</w:t>
      </w:r>
      <w:r>
        <w:rPr>
          <w:sz w:val="24"/>
        </w:rPr>
        <w:t>中规定的</w:t>
      </w:r>
      <w:r>
        <w:rPr>
          <w:spacing w:val="4"/>
          <w:sz w:val="24"/>
        </w:rPr>
        <w:t>应</w:t>
      </w:r>
      <w:r>
        <w:rPr>
          <w:sz w:val="24"/>
        </w:rPr>
        <w:t>提供服务</w:t>
      </w:r>
      <w:r>
        <w:rPr>
          <w:spacing w:val="4"/>
          <w:sz w:val="24"/>
        </w:rPr>
        <w:t>的</w:t>
      </w:r>
      <w:r>
        <w:rPr>
          <w:sz w:val="24"/>
        </w:rPr>
        <w:t>投标</w:t>
      </w:r>
      <w:r>
        <w:rPr>
          <w:spacing w:val="4"/>
          <w:sz w:val="24"/>
        </w:rPr>
        <w:t>总</w:t>
      </w:r>
      <w:r>
        <w:rPr>
          <w:sz w:val="24"/>
        </w:rPr>
        <w:t>价详见</w:t>
      </w:r>
      <w:r>
        <w:rPr>
          <w:spacing w:val="4"/>
          <w:sz w:val="24"/>
        </w:rPr>
        <w:t>开</w:t>
      </w:r>
      <w:r>
        <w:rPr>
          <w:sz w:val="24"/>
        </w:rPr>
        <w:t>标一览</w:t>
      </w:r>
      <w:r>
        <w:rPr>
          <w:spacing w:val="4"/>
          <w:sz w:val="24"/>
        </w:rPr>
        <w:t>表</w:t>
      </w:r>
      <w:r>
        <w:rPr>
          <w:sz w:val="24"/>
        </w:rPr>
        <w:t>，</w:t>
      </w:r>
      <w:r>
        <w:rPr>
          <w:sz w:val="24"/>
          <w:u w:val="single"/>
        </w:rPr>
        <w:t>其</w:t>
      </w:r>
      <w:r>
        <w:rPr>
          <w:spacing w:val="-225"/>
          <w:sz w:val="24"/>
          <w:u w:val="single"/>
        </w:rPr>
        <w:t>中</w:t>
      </w:r>
      <w:r>
        <w:rPr>
          <w:sz w:val="24"/>
          <w:u w:val="single"/>
        </w:rPr>
        <w:t>由小型和</w:t>
      </w:r>
      <w:r>
        <w:rPr>
          <w:sz w:val="24"/>
        </w:rPr>
        <w:t>微型企业制造产品的价格为</w:t>
      </w:r>
      <w:r>
        <w:rPr>
          <w:sz w:val="24"/>
          <w:u w:val="single"/>
        </w:rPr>
        <w:t xml:space="preserve"> </w:t>
      </w:r>
      <w:r>
        <w:rPr>
          <w:sz w:val="24"/>
          <w:u w:val="single"/>
        </w:rPr>
        <w:tab/>
      </w:r>
      <w:r>
        <w:rPr>
          <w:sz w:val="24"/>
          <w:u w:val="single"/>
        </w:rPr>
        <w:t>（用文字和数字表示</w:t>
      </w:r>
      <w:r>
        <w:rPr>
          <w:spacing w:val="-9"/>
          <w:sz w:val="24"/>
          <w:u w:val="single"/>
        </w:rPr>
        <w:t>），</w:t>
      </w:r>
      <w:r>
        <w:rPr>
          <w:spacing w:val="-220"/>
          <w:sz w:val="24"/>
          <w:u w:val="single"/>
        </w:rPr>
        <w:t>占</w:t>
      </w:r>
      <w:r>
        <w:rPr>
          <w:sz w:val="24"/>
          <w:u w:val="single"/>
        </w:rPr>
        <w:t>投标总价 %</w:t>
      </w:r>
      <w:r>
        <w:rPr>
          <w:sz w:val="24"/>
        </w:rPr>
        <w:t>。</w:t>
      </w:r>
    </w:p>
    <w:p>
      <w:pPr>
        <w:pStyle w:val="22"/>
        <w:numPr>
          <w:ilvl w:val="0"/>
          <w:numId w:val="24"/>
        </w:numPr>
        <w:tabs>
          <w:tab w:val="left" w:pos="2199"/>
          <w:tab w:val="left" w:pos="6997"/>
        </w:tabs>
        <w:spacing w:before="4"/>
        <w:ind w:left="2198" w:hanging="602"/>
        <w:rPr>
          <w:sz w:val="24"/>
        </w:rPr>
      </w:pPr>
      <w:r>
        <w:rPr>
          <w:sz w:val="24"/>
        </w:rPr>
        <w:t>本投标有效期为自投标截止之日起</w:t>
      </w:r>
      <w:r>
        <w:rPr>
          <w:sz w:val="24"/>
          <w:u w:val="single"/>
        </w:rPr>
        <w:t xml:space="preserve"> </w:t>
      </w:r>
      <w:r>
        <w:rPr>
          <w:sz w:val="24"/>
          <w:u w:val="single"/>
        </w:rPr>
        <w:tab/>
      </w:r>
      <w:r>
        <w:rPr>
          <w:sz w:val="24"/>
        </w:rPr>
        <w:t>个日历日。</w:t>
      </w:r>
    </w:p>
    <w:p>
      <w:pPr>
        <w:pStyle w:val="22"/>
        <w:numPr>
          <w:ilvl w:val="0"/>
          <w:numId w:val="24"/>
        </w:numPr>
        <w:tabs>
          <w:tab w:val="left" w:pos="2205"/>
        </w:tabs>
        <w:spacing w:before="5" w:line="242" w:lineRule="auto"/>
        <w:ind w:left="2137" w:right="1115" w:hanging="540"/>
        <w:jc w:val="both"/>
        <w:rPr>
          <w:sz w:val="24"/>
        </w:rPr>
      </w:pPr>
      <w:r>
        <w:rPr>
          <w:sz w:val="24"/>
        </w:rPr>
        <w:t>联合体中的大中型企业和其他自然人、法人或者非法人组织，与联合体中的小型、微型企业之间</w:t>
      </w:r>
      <w:r>
        <w:rPr>
          <w:spacing w:val="5"/>
          <w:sz w:val="24"/>
          <w:u w:val="single"/>
        </w:rPr>
        <w:t xml:space="preserve">    </w:t>
      </w:r>
      <w:r>
        <w:rPr>
          <w:sz w:val="24"/>
          <w:u w:val="single"/>
        </w:rPr>
        <w:t>（</w:t>
      </w:r>
      <w:r>
        <w:rPr>
          <w:sz w:val="24"/>
        </w:rPr>
        <w:t>存在、不存在）投资关系（如果联合体的话）。</w:t>
      </w:r>
    </w:p>
    <w:p>
      <w:pPr>
        <w:pStyle w:val="22"/>
        <w:numPr>
          <w:ilvl w:val="0"/>
          <w:numId w:val="24"/>
        </w:numPr>
        <w:tabs>
          <w:tab w:val="left" w:pos="2205"/>
        </w:tabs>
        <w:spacing w:before="4" w:line="242" w:lineRule="auto"/>
        <w:ind w:left="2137" w:right="1117" w:hanging="540"/>
        <w:rPr>
          <w:sz w:val="24"/>
        </w:rPr>
      </w:pPr>
      <w:r>
        <w:rPr>
          <w:sz w:val="24"/>
        </w:rPr>
        <w:t>已详细审查全部招标文件，包括所有补充通知（如果有的话），完全理解并同意放弃对这方面有不明、误解和质疑的权力。</w:t>
      </w:r>
    </w:p>
    <w:p>
      <w:pPr>
        <w:pStyle w:val="22"/>
        <w:numPr>
          <w:ilvl w:val="0"/>
          <w:numId w:val="24"/>
        </w:numPr>
        <w:tabs>
          <w:tab w:val="left" w:pos="2199"/>
        </w:tabs>
        <w:spacing w:before="3"/>
        <w:ind w:left="2198" w:hanging="602"/>
        <w:rPr>
          <w:sz w:val="24"/>
        </w:rPr>
      </w:pPr>
      <w:r>
        <w:rPr>
          <w:sz w:val="24"/>
        </w:rPr>
        <w:t>在规定的开标时间后，遵守招标文件中有关保证金的规定。</w:t>
      </w:r>
    </w:p>
    <w:p>
      <w:pPr>
        <w:pStyle w:val="22"/>
        <w:numPr>
          <w:ilvl w:val="0"/>
          <w:numId w:val="24"/>
        </w:numPr>
        <w:tabs>
          <w:tab w:val="left" w:pos="2205"/>
        </w:tabs>
        <w:spacing w:before="4" w:line="242" w:lineRule="auto"/>
        <w:ind w:left="2137" w:right="1115" w:hanging="540"/>
        <w:jc w:val="both"/>
        <w:rPr>
          <w:sz w:val="24"/>
        </w:rPr>
      </w:pPr>
      <w:r>
        <w:rPr>
          <w:spacing w:val="-5"/>
          <w:sz w:val="24"/>
        </w:rPr>
        <w:t xml:space="preserve">根据投标人须知第 </w:t>
      </w:r>
      <w:r>
        <w:rPr>
          <w:sz w:val="24"/>
        </w:rPr>
        <w:t>1</w:t>
      </w:r>
      <w:r>
        <w:rPr>
          <w:spacing w:val="-5"/>
          <w:sz w:val="24"/>
        </w:rPr>
        <w:t xml:space="preserve"> 条规定，我方不是为本项目提供整体设计、规</w:t>
      </w:r>
      <w:r>
        <w:rPr>
          <w:spacing w:val="-12"/>
          <w:sz w:val="24"/>
        </w:rPr>
        <w:t>范编制或者项目管理、监理、检测等服务的供应商，我方不是采购代</w:t>
      </w:r>
      <w:r>
        <w:rPr>
          <w:sz w:val="24"/>
        </w:rPr>
        <w:t>理机构的附属机构。</w:t>
      </w:r>
    </w:p>
    <w:p>
      <w:pPr>
        <w:pStyle w:val="22"/>
        <w:numPr>
          <w:ilvl w:val="0"/>
          <w:numId w:val="24"/>
        </w:numPr>
        <w:tabs>
          <w:tab w:val="left" w:pos="2205"/>
        </w:tabs>
        <w:spacing w:before="5" w:line="242" w:lineRule="auto"/>
        <w:ind w:left="2137" w:right="1115" w:hanging="540"/>
        <w:rPr>
          <w:sz w:val="24"/>
        </w:rPr>
      </w:pPr>
      <w:r>
        <w:rPr>
          <w:sz w:val="24"/>
        </w:rPr>
        <w:t>在领取中标通知书的同时按招标文件规定的形式，向贵方一次性支付中标服务费。</w:t>
      </w:r>
    </w:p>
    <w:p>
      <w:pPr>
        <w:pStyle w:val="22"/>
        <w:numPr>
          <w:ilvl w:val="0"/>
          <w:numId w:val="24"/>
        </w:numPr>
        <w:tabs>
          <w:tab w:val="left" w:pos="2205"/>
        </w:tabs>
        <w:spacing w:before="3" w:line="242" w:lineRule="auto"/>
        <w:ind w:left="2137" w:right="1117" w:hanging="540"/>
        <w:rPr>
          <w:sz w:val="24"/>
        </w:rPr>
      </w:pPr>
      <w:r>
        <w:rPr>
          <w:sz w:val="24"/>
        </w:rPr>
        <w:t>按照贵方可能要求，提供与其投标有关的一切数据或资料，完全理解贵方不一定接受最低价的投标或收到的任何投标。</w:t>
      </w:r>
    </w:p>
    <w:p>
      <w:pPr>
        <w:pStyle w:val="22"/>
        <w:numPr>
          <w:ilvl w:val="0"/>
          <w:numId w:val="24"/>
        </w:numPr>
        <w:tabs>
          <w:tab w:val="left" w:pos="2199"/>
        </w:tabs>
        <w:spacing w:before="2"/>
        <w:ind w:left="2198" w:hanging="602"/>
        <w:rPr>
          <w:sz w:val="24"/>
        </w:rPr>
      </w:pPr>
      <w:r>
        <w:rPr>
          <w:sz w:val="24"/>
        </w:rPr>
        <w:t>按照招标文件的规定履行合同责任和义务。</w:t>
      </w:r>
    </w:p>
    <w:p>
      <w:pPr>
        <w:pStyle w:val="9"/>
        <w:spacing w:before="9"/>
      </w:pPr>
    </w:p>
    <w:p>
      <w:pPr>
        <w:pStyle w:val="9"/>
        <w:ind w:left="1199"/>
      </w:pPr>
      <w:r>
        <w:t>与本投标有关的一切正式往来信函请寄：</w:t>
      </w:r>
    </w:p>
    <w:p>
      <w:pPr>
        <w:pStyle w:val="9"/>
        <w:tabs>
          <w:tab w:val="left" w:pos="5376"/>
          <w:tab w:val="left" w:pos="5917"/>
          <w:tab w:val="left" w:pos="9307"/>
        </w:tabs>
        <w:spacing w:before="5" w:line="242" w:lineRule="auto"/>
        <w:ind w:left="1597" w:right="1056"/>
        <w:rPr>
          <w:rFonts w:ascii="Times New Roman" w:eastAsia="Times New Roman"/>
        </w:rPr>
      </w:pPr>
      <w:r>
        <w:t>地址：</w:t>
      </w:r>
      <w:r>
        <w:rPr>
          <w:u w:val="single"/>
        </w:rPr>
        <w:t xml:space="preserve"> </w:t>
      </w:r>
      <w:r>
        <w:rPr>
          <w:u w:val="single"/>
        </w:rPr>
        <w:tab/>
      </w:r>
      <w:r>
        <w:tab/>
      </w:r>
      <w:r>
        <w:rPr>
          <w:spacing w:val="-1"/>
        </w:rPr>
        <w:t>传</w:t>
      </w:r>
      <w:r>
        <w:t>真：</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电话：</w:t>
      </w:r>
      <w:r>
        <w:rPr>
          <w:u w:val="single"/>
        </w:rPr>
        <w:t xml:space="preserve"> </w:t>
      </w:r>
      <w:r>
        <w:rPr>
          <w:u w:val="single"/>
        </w:rPr>
        <w:tab/>
      </w:r>
      <w:r>
        <w:tab/>
      </w:r>
      <w:r>
        <w:rPr>
          <w:spacing w:val="-1"/>
        </w:rPr>
        <w:t>电</w:t>
      </w:r>
      <w:r>
        <w:t>子函件：</w:t>
      </w:r>
      <w:r>
        <w:rPr>
          <w:rFonts w:ascii="Times New Roman" w:eastAsia="Times New Roman"/>
          <w:u w:val="single"/>
        </w:rPr>
        <w:t xml:space="preserve"> </w:t>
      </w:r>
      <w:r>
        <w:rPr>
          <w:rFonts w:ascii="Times New Roman" w:eastAsia="Times New Roman"/>
          <w:u w:val="single"/>
        </w:rPr>
        <w:tab/>
      </w:r>
    </w:p>
    <w:p>
      <w:pPr>
        <w:pStyle w:val="9"/>
        <w:spacing w:before="7"/>
        <w:rPr>
          <w:rFonts w:ascii="Times New Roman"/>
          <w:sz w:val="21"/>
        </w:rPr>
      </w:pPr>
    </w:p>
    <w:p>
      <w:pPr>
        <w:pStyle w:val="9"/>
        <w:spacing w:before="66"/>
        <w:ind w:left="1597"/>
      </w:pPr>
      <w:r>
        <w:t>法定代表人或其委托代理人签字：-----------------</w:t>
      </w:r>
    </w:p>
    <w:p>
      <w:pPr>
        <w:pStyle w:val="9"/>
        <w:spacing w:before="5"/>
        <w:ind w:left="1597"/>
      </w:pPr>
      <w:r>
        <w:t>投标人名称（全称）：-----------------</w:t>
      </w:r>
    </w:p>
    <w:p>
      <w:pPr>
        <w:pStyle w:val="9"/>
        <w:tabs>
          <w:tab w:val="left" w:pos="6096"/>
        </w:tabs>
        <w:spacing w:before="4" w:line="242" w:lineRule="auto"/>
        <w:ind w:left="1597" w:right="4086"/>
      </w:pPr>
      <w:r>
        <w:rPr>
          <w:spacing w:val="-1"/>
        </w:rPr>
        <w:t>投</w:t>
      </w:r>
      <w:r>
        <w:t>标人开户银行（全称）：</w:t>
      </w:r>
      <w:r>
        <w:rPr>
          <w:rFonts w:ascii="Times New Roman" w:eastAsia="Times New Roman"/>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11"/>
          <w:u w:val="single"/>
        </w:rPr>
        <w:t xml:space="preserve"> </w:t>
      </w:r>
      <w:r>
        <w:rPr>
          <w:spacing w:val="-1"/>
        </w:rPr>
        <w:t>投</w:t>
      </w:r>
      <w:r>
        <w:t>标人银行帐号：</w:t>
      </w:r>
      <w:r>
        <w:rPr>
          <w:rFonts w:ascii="Times New Roman" w:eastAsia="Times New Roman"/>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19"/>
          <w:u w:val="single"/>
        </w:rPr>
        <w:t xml:space="preserve"> </w:t>
      </w:r>
      <w:r>
        <w:rPr>
          <w:spacing w:val="-1"/>
        </w:rPr>
        <w:t>投标</w:t>
      </w:r>
      <w:r>
        <w:t>人单位章：-------------------------</w:t>
      </w:r>
    </w:p>
    <w:p>
      <w:pPr>
        <w:pStyle w:val="9"/>
        <w:spacing w:before="5"/>
        <w:ind w:left="1597"/>
      </w:pPr>
      <w:r>
        <w:t>日期-：------------------------------</w:t>
      </w:r>
    </w:p>
    <w:p>
      <w:pPr>
        <w:sectPr>
          <w:pgSz w:w="11910" w:h="16840"/>
          <w:pgMar w:top="1580" w:right="800" w:bottom="1180" w:left="740" w:header="0" w:footer="1000" w:gutter="0"/>
          <w:cols w:space="720" w:num="1"/>
        </w:sectPr>
      </w:pPr>
    </w:p>
    <w:p>
      <w:pPr>
        <w:spacing w:before="45"/>
        <w:ind w:left="3083" w:firstLine="723" w:firstLineChars="300"/>
        <w:jc w:val="both"/>
        <w:rPr>
          <w:b/>
          <w:sz w:val="24"/>
        </w:rPr>
      </w:pPr>
      <w:r>
        <w:rPr>
          <w:b/>
          <w:sz w:val="24"/>
        </w:rPr>
        <w:t>2 投标保证金</w:t>
      </w:r>
      <w:r>
        <w:rPr>
          <w:rFonts w:hint="eastAsia"/>
          <w:b/>
          <w:sz w:val="24"/>
        </w:rPr>
        <w:t>收据或投标保函</w:t>
      </w:r>
    </w:p>
    <w:p>
      <w:pPr>
        <w:spacing w:before="23" w:line="278" w:lineRule="auto"/>
        <w:ind w:left="1057" w:right="1117" w:firstLine="420"/>
        <w:jc w:val="both"/>
        <w:rPr>
          <w:sz w:val="21"/>
        </w:rPr>
      </w:pPr>
      <w:r>
        <w:rPr>
          <w:w w:val="95"/>
          <w:sz w:val="21"/>
        </w:rPr>
        <w:t>投标人可将本项目投标保证金支付的保证金收据的复印件作为缴纳凭证装订在本部分，复印件上应加盖本单位章；使用银行保函等其他投标担保函的，应将担保函正本，装订在本部分正本中；如采用政府采购信用担保形式的，应</w:t>
      </w:r>
      <w:r>
        <w:rPr>
          <w:sz w:val="21"/>
        </w:rPr>
        <w:t>使用（投标文件格式三）,将原件装订在本部分正本中。</w:t>
      </w:r>
    </w:p>
    <w:p>
      <w:pPr>
        <w:spacing w:before="112"/>
        <w:ind w:left="554" w:right="613"/>
        <w:jc w:val="center"/>
        <w:rPr>
          <w:sz w:val="28"/>
        </w:rPr>
      </w:pPr>
      <w:r>
        <w:rPr>
          <w:sz w:val="28"/>
        </w:rPr>
        <w:t>政府采购投标担保函 （项目用）（投标文件格式四）</w:t>
      </w:r>
    </w:p>
    <w:p>
      <w:pPr>
        <w:jc w:val="center"/>
        <w:rPr>
          <w:sz w:val="28"/>
        </w:rPr>
        <w:sectPr>
          <w:footerReference r:id="rId7" w:type="default"/>
          <w:pgSz w:w="11910" w:h="16840"/>
          <w:pgMar w:top="1380" w:right="800" w:bottom="1180" w:left="740" w:header="0" w:footer="1000" w:gutter="0"/>
          <w:pgNumType w:start="30"/>
          <w:cols w:space="720" w:num="1"/>
        </w:sectPr>
      </w:pPr>
    </w:p>
    <w:p>
      <w:pPr>
        <w:pStyle w:val="9"/>
        <w:rPr>
          <w:sz w:val="22"/>
        </w:rPr>
      </w:pPr>
    </w:p>
    <w:p>
      <w:pPr>
        <w:tabs>
          <w:tab w:val="left" w:pos="3051"/>
        </w:tabs>
        <w:spacing w:before="183"/>
        <w:ind w:left="1160"/>
        <w:rPr>
          <w:sz w:val="21"/>
        </w:rPr>
      </w:pPr>
      <w:r>
        <w:rPr>
          <w:rFonts w:ascii="Times New Roman" w:eastAsia="Times New Roman"/>
          <w:w w:val="99"/>
          <w:sz w:val="21"/>
          <w:u w:val="single"/>
        </w:rPr>
        <w:t xml:space="preserve"> </w:t>
      </w:r>
      <w:r>
        <w:rPr>
          <w:rFonts w:ascii="Times New Roman" w:eastAsia="Times New Roman"/>
          <w:sz w:val="21"/>
          <w:u w:val="single"/>
        </w:rPr>
        <w:tab/>
      </w:r>
      <w:r>
        <w:rPr>
          <w:sz w:val="21"/>
        </w:rPr>
        <w:t>（采购人或采购代理机构）：</w:t>
      </w:r>
    </w:p>
    <w:p>
      <w:pPr>
        <w:spacing w:before="152"/>
        <w:ind w:left="1160"/>
        <w:rPr>
          <w:sz w:val="21"/>
        </w:rPr>
      </w:pPr>
      <w:r>
        <w:br w:type="column"/>
      </w:r>
      <w:r>
        <w:rPr>
          <w:sz w:val="21"/>
        </w:rPr>
        <w:t>编号：</w:t>
      </w:r>
    </w:p>
    <w:p>
      <w:pPr>
        <w:rPr>
          <w:sz w:val="21"/>
        </w:rPr>
        <w:sectPr>
          <w:type w:val="continuous"/>
          <w:pgSz w:w="11910" w:h="16840"/>
          <w:pgMar w:top="1580" w:right="800" w:bottom="280" w:left="740" w:header="720" w:footer="720" w:gutter="0"/>
          <w:cols w:equalWidth="0" w:num="2">
            <w:col w:w="5821" w:space="796"/>
            <w:col w:w="3753"/>
          </w:cols>
        </w:sectPr>
      </w:pPr>
    </w:p>
    <w:p>
      <w:pPr>
        <w:tabs>
          <w:tab w:val="left" w:pos="3471"/>
          <w:tab w:val="left" w:pos="8300"/>
          <w:tab w:val="left" w:pos="9299"/>
        </w:tabs>
        <w:spacing w:before="42" w:line="278" w:lineRule="auto"/>
        <w:ind w:left="1057" w:right="1065" w:firstLine="420"/>
        <w:jc w:val="both"/>
        <w:rPr>
          <w:sz w:val="21"/>
        </w:rPr>
      </w:pPr>
      <w:r>
        <w:rPr>
          <w:sz w:val="21"/>
        </w:rPr>
        <w:t>鉴于</w:t>
      </w:r>
      <w:r>
        <w:rPr>
          <w:sz w:val="21"/>
          <w:u w:val="single"/>
        </w:rPr>
        <w:t xml:space="preserve"> </w:t>
      </w:r>
      <w:r>
        <w:rPr>
          <w:sz w:val="21"/>
          <w:u w:val="single"/>
        </w:rPr>
        <w:tab/>
      </w:r>
      <w:r>
        <w:rPr>
          <w:sz w:val="21"/>
        </w:rPr>
        <w:t>（以下简称“投标人”）拟参加编号为</w:t>
      </w:r>
      <w:r>
        <w:rPr>
          <w:sz w:val="21"/>
          <w:u w:val="single"/>
        </w:rPr>
        <w:t xml:space="preserve"> </w:t>
      </w:r>
      <w:r>
        <w:rPr>
          <w:sz w:val="21"/>
          <w:u w:val="single"/>
        </w:rPr>
        <w:tab/>
      </w:r>
      <w:r>
        <w:rPr>
          <w:sz w:val="21"/>
        </w:rPr>
        <w:t>的</w:t>
      </w:r>
      <w:r>
        <w:rPr>
          <w:sz w:val="21"/>
          <w:u w:val="single"/>
        </w:rPr>
        <w:tab/>
      </w:r>
      <w:r>
        <w:rPr>
          <w:sz w:val="21"/>
          <w:u w:val="single"/>
        </w:rPr>
        <w:t xml:space="preserve"> </w:t>
      </w:r>
      <w:r>
        <w:rPr>
          <w:sz w:val="21"/>
        </w:rPr>
        <w:t>项目（以下简称“本项目”）投标，根据本项目招标文件，供应商参加投标时应向你方交纳投标保证金，且可以投标担保函的形式交纳投标保证金。应供应商的申请，我方以保证的方式向你方提供如下投标保证金担保：</w:t>
      </w:r>
    </w:p>
    <w:p>
      <w:pPr>
        <w:spacing w:line="269" w:lineRule="exact"/>
        <w:ind w:left="1477"/>
        <w:rPr>
          <w:sz w:val="21"/>
        </w:rPr>
      </w:pPr>
      <w:r>
        <w:rPr>
          <w:sz w:val="21"/>
        </w:rPr>
        <w:t>一、保证责任的情形及保证金额</w:t>
      </w:r>
    </w:p>
    <w:p>
      <w:pPr>
        <w:spacing w:before="43"/>
        <w:ind w:left="1266"/>
        <w:rPr>
          <w:sz w:val="21"/>
        </w:rPr>
      </w:pPr>
      <w:r>
        <w:rPr>
          <w:sz w:val="21"/>
        </w:rPr>
        <w:t>（一）在投标人出现下列情形之一时，我方承担保证责任：</w:t>
      </w:r>
    </w:p>
    <w:p>
      <w:pPr>
        <w:pStyle w:val="22"/>
        <w:numPr>
          <w:ilvl w:val="0"/>
          <w:numId w:val="25"/>
        </w:numPr>
        <w:tabs>
          <w:tab w:val="left" w:pos="1791"/>
        </w:tabs>
        <w:spacing w:before="43"/>
        <w:rPr>
          <w:sz w:val="21"/>
        </w:rPr>
      </w:pPr>
      <w:r>
        <w:rPr>
          <w:sz w:val="21"/>
        </w:rPr>
        <w:t>中标后投标人无正当理由不与采购人或者采购代理机构签订《政府采购合同》；</w:t>
      </w:r>
    </w:p>
    <w:p>
      <w:pPr>
        <w:pStyle w:val="22"/>
        <w:numPr>
          <w:ilvl w:val="0"/>
          <w:numId w:val="25"/>
        </w:numPr>
        <w:tabs>
          <w:tab w:val="left" w:pos="1791"/>
        </w:tabs>
        <w:spacing w:before="43"/>
        <w:rPr>
          <w:sz w:val="21"/>
        </w:rPr>
      </w:pPr>
      <w:r>
        <w:rPr>
          <w:sz w:val="21"/>
        </w:rPr>
        <w:t>招标文件规定的投标人应当缴纳保证金的其他情形。</w:t>
      </w:r>
    </w:p>
    <w:p>
      <w:pPr>
        <w:tabs>
          <w:tab w:val="left" w:pos="6097"/>
          <w:tab w:val="left" w:pos="8197"/>
        </w:tabs>
        <w:spacing w:before="43" w:line="278" w:lineRule="auto"/>
        <w:ind w:left="1057" w:right="1117" w:firstLine="208"/>
        <w:rPr>
          <w:sz w:val="21"/>
        </w:rPr>
      </w:pPr>
      <w:r>
        <w:rPr>
          <w:sz w:val="21"/>
        </w:rPr>
        <w:t>（二）我方承担保证责任的最高金额为人民币</w:t>
      </w:r>
      <w:r>
        <w:rPr>
          <w:sz w:val="21"/>
          <w:u w:val="single"/>
        </w:rPr>
        <w:t xml:space="preserve"> </w:t>
      </w:r>
      <w:r>
        <w:rPr>
          <w:sz w:val="21"/>
          <w:u w:val="single"/>
        </w:rPr>
        <w:tab/>
      </w:r>
      <w:r>
        <w:rPr>
          <w:sz w:val="21"/>
        </w:rPr>
        <w:t>元（大写</w:t>
      </w:r>
      <w:r>
        <w:rPr>
          <w:sz w:val="21"/>
          <w:u w:val="single"/>
        </w:rPr>
        <w:t xml:space="preserve"> </w:t>
      </w:r>
      <w:r>
        <w:rPr>
          <w:sz w:val="21"/>
          <w:u w:val="single"/>
        </w:rPr>
        <w:tab/>
      </w:r>
      <w:r>
        <w:rPr>
          <w:sz w:val="21"/>
        </w:rPr>
        <w:t>），即本</w:t>
      </w:r>
      <w:r>
        <w:rPr>
          <w:spacing w:val="-15"/>
          <w:sz w:val="21"/>
        </w:rPr>
        <w:t>项</w:t>
      </w:r>
      <w:r>
        <w:rPr>
          <w:sz w:val="21"/>
        </w:rPr>
        <w:t>目的投标保证金金额。</w:t>
      </w:r>
    </w:p>
    <w:p>
      <w:pPr>
        <w:spacing w:line="269" w:lineRule="exact"/>
        <w:ind w:left="1477"/>
        <w:rPr>
          <w:sz w:val="21"/>
        </w:rPr>
      </w:pPr>
      <w:r>
        <w:rPr>
          <w:sz w:val="21"/>
        </w:rPr>
        <w:t>二、保证的方式及保证期间</w:t>
      </w:r>
    </w:p>
    <w:p>
      <w:pPr>
        <w:spacing w:before="43"/>
        <w:ind w:left="1477"/>
        <w:rPr>
          <w:sz w:val="21"/>
        </w:rPr>
      </w:pPr>
      <w:r>
        <w:rPr>
          <w:sz w:val="21"/>
        </w:rPr>
        <w:t>我方保证的方式为：连带责任保证。</w:t>
      </w:r>
    </w:p>
    <w:p>
      <w:pPr>
        <w:tabs>
          <w:tab w:val="left" w:pos="5677"/>
        </w:tabs>
        <w:spacing w:before="43" w:line="278" w:lineRule="auto"/>
        <w:ind w:left="1477" w:right="3848"/>
        <w:rPr>
          <w:sz w:val="21"/>
        </w:rPr>
      </w:pPr>
      <w:r>
        <w:rPr>
          <w:lang w:val="en-US" w:bidi="ar-SA"/>
        </w:rPr>
        <mc:AlternateContent>
          <mc:Choice Requires="wps">
            <w:drawing>
              <wp:anchor distT="0" distB="0" distL="114300" distR="114300" simplePos="0" relativeHeight="251662336" behindDoc="1" locked="0" layoutInCell="1" allowOverlap="1">
                <wp:simplePos x="0" y="0"/>
                <wp:positionH relativeFrom="page">
                  <wp:posOffset>3808095</wp:posOffset>
                </wp:positionH>
                <wp:positionV relativeFrom="paragraph">
                  <wp:posOffset>174625</wp:posOffset>
                </wp:positionV>
                <wp:extent cx="266700" cy="0"/>
                <wp:effectExtent l="0" t="0" r="0" b="0"/>
                <wp:wrapNone/>
                <wp:docPr id="9" name="直线 8"/>
                <wp:cNvGraphicFramePr/>
                <a:graphic xmlns:a="http://schemas.openxmlformats.org/drawingml/2006/main">
                  <a:graphicData uri="http://schemas.microsoft.com/office/word/2010/wordprocessingShape">
                    <wps:wsp>
                      <wps:cNvCnPr/>
                      <wps:spPr>
                        <a:xfrm>
                          <a:off x="0" y="0"/>
                          <a:ext cx="26670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id="直线 8" o:spid="_x0000_s1026" o:spt="20" style="position:absolute;left:0pt;margin-left:299.85pt;margin-top:13.75pt;height:0pt;width:21pt;mso-position-horizontal-relative:page;z-index:-251654144;mso-width-relative:page;mso-height-relative:page;" filled="f" stroked="t" coordsize="21600,21600" o:gfxdata="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K4Z8/HYAAAACQEAAA8A&#10;AAAAAAAAAQAgAAAAIgAAAGRycy9kb3ducmV2LnhtbFBLAQIUABQAAAAIAIdO4kDRppcs3gEAAM4D&#10;AAAOAAAAAAAAAAEAIAAAACcBAABkcnMvZTJvRG9jLnhtbFBLBQYAAAAABgAGAFkBAAB3BQAAAAA=&#10;">
                <v:fill on="f" focussize="0,0"/>
                <v:stroke weight="0.48pt" color="#000000" joinstyle="round"/>
                <v:imagedata o:title=""/>
                <o:lock v:ext="edit" aspectratio="f"/>
              </v:line>
            </w:pict>
          </mc:Fallback>
        </mc:AlternateContent>
      </w:r>
      <w:r>
        <w:rPr>
          <w:sz w:val="21"/>
        </w:rPr>
        <w:t>我方的保证期间为：自本保函生效之日起</w:t>
      </w:r>
      <w:r>
        <w:rPr>
          <w:sz w:val="21"/>
        </w:rPr>
        <w:tab/>
      </w:r>
      <w:r>
        <w:rPr>
          <w:sz w:val="21"/>
        </w:rPr>
        <w:t>个月止</w:t>
      </w:r>
      <w:r>
        <w:rPr>
          <w:spacing w:val="-15"/>
          <w:sz w:val="21"/>
        </w:rPr>
        <w:t>。</w:t>
      </w:r>
      <w:r>
        <w:rPr>
          <w:sz w:val="21"/>
        </w:rPr>
        <w:t>三、承担保证责任的程序</w:t>
      </w:r>
    </w:p>
    <w:p>
      <w:pPr>
        <w:pStyle w:val="22"/>
        <w:numPr>
          <w:ilvl w:val="0"/>
          <w:numId w:val="26"/>
        </w:numPr>
        <w:tabs>
          <w:tab w:val="left" w:pos="1791"/>
        </w:tabs>
        <w:spacing w:line="278" w:lineRule="auto"/>
        <w:ind w:right="1014" w:firstLine="420"/>
        <w:rPr>
          <w:sz w:val="21"/>
        </w:rPr>
      </w:pPr>
      <w:r>
        <w:rPr>
          <w:w w:val="95"/>
          <w:sz w:val="21"/>
        </w:rPr>
        <w:t xml:space="preserve">你方要求我方承担保证责任的，应在本保函保证期间内向我方发出书面索赔通知。  </w:t>
      </w:r>
      <w:r>
        <w:rPr>
          <w:sz w:val="21"/>
        </w:rPr>
        <w:t>索赔通知应写明要求索赔的金额，支付款项应到达的账号，并附有证明投标人发生我方应承担保证责任情形的事实材料。</w:t>
      </w:r>
    </w:p>
    <w:p>
      <w:pPr>
        <w:pStyle w:val="22"/>
        <w:numPr>
          <w:ilvl w:val="0"/>
          <w:numId w:val="26"/>
        </w:numPr>
        <w:tabs>
          <w:tab w:val="left" w:pos="1791"/>
          <w:tab w:val="left" w:pos="6342"/>
        </w:tabs>
        <w:spacing w:line="278" w:lineRule="auto"/>
        <w:ind w:right="1115" w:firstLine="420"/>
        <w:rPr>
          <w:sz w:val="21"/>
        </w:rPr>
      </w:pPr>
      <w:r>
        <w:rPr>
          <w:lang w:val="en-US" w:bidi="ar-SA"/>
        </w:rPr>
        <mc:AlternateContent>
          <mc:Choice Requires="wps">
            <w:drawing>
              <wp:anchor distT="0" distB="0" distL="114300" distR="114300" simplePos="0" relativeHeight="251663360" behindDoc="1" locked="0" layoutInCell="1" allowOverlap="1">
                <wp:simplePos x="0" y="0"/>
                <wp:positionH relativeFrom="page">
                  <wp:posOffset>4097020</wp:posOffset>
                </wp:positionH>
                <wp:positionV relativeFrom="paragraph">
                  <wp:posOffset>147320</wp:posOffset>
                </wp:positionV>
                <wp:extent cx="399415" cy="0"/>
                <wp:effectExtent l="0" t="0" r="0" b="0"/>
                <wp:wrapNone/>
                <wp:docPr id="10" name="直线 9"/>
                <wp:cNvGraphicFramePr/>
                <a:graphic xmlns:a="http://schemas.openxmlformats.org/drawingml/2006/main">
                  <a:graphicData uri="http://schemas.microsoft.com/office/word/2010/wordprocessingShape">
                    <wps:wsp>
                      <wps:cNvCnPr/>
                      <wps:spPr>
                        <a:xfrm>
                          <a:off x="0" y="0"/>
                          <a:ext cx="399415"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id="直线 9" o:spid="_x0000_s1026" o:spt="20" style="position:absolute;left:0pt;margin-left:322.6pt;margin-top:11.6pt;height:0pt;width:31.45pt;mso-position-horizontal-relative:page;z-index:-251653120;mso-width-relative:page;mso-height-relative:page;" filled="f" stroked="t" coordsize="21600,21600" o:gfxdata="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FNiQydgAAAAJAQAA&#10;DwAAAAAAAAABACAAAAAiAAAAZHJzL2Rvd25yZXYueG1sUEsBAhQAFAAAAAgAh07iQAiqPc3gAQAA&#10;zwMAAA4AAAAAAAAAAQAgAAAAJwEAAGRycy9lMm9Eb2MueG1sUEsFBgAAAAAGAAYAWQEAAHkFAAAA&#10;AA==&#10;">
                <v:fill on="f" focussize="0,0"/>
                <v:stroke weight="0.48pt" color="#000000" joinstyle="round"/>
                <v:imagedata o:title=""/>
                <o:lock v:ext="edit" aspectratio="f"/>
              </v:line>
            </w:pict>
          </mc:Fallback>
        </mc:AlternateContent>
      </w:r>
      <w:r>
        <w:rPr>
          <w:sz w:val="21"/>
        </w:rPr>
        <w:t>我方在收到索赔通知及相关证明材料后</w:t>
      </w:r>
      <w:r>
        <w:rPr>
          <w:spacing w:val="-34"/>
          <w:sz w:val="21"/>
        </w:rPr>
        <w:t>，</w:t>
      </w:r>
      <w:r>
        <w:rPr>
          <w:sz w:val="21"/>
        </w:rPr>
        <w:t>在</w:t>
      </w:r>
      <w:r>
        <w:rPr>
          <w:sz w:val="21"/>
        </w:rPr>
        <w:tab/>
      </w:r>
      <w:r>
        <w:rPr>
          <w:sz w:val="21"/>
        </w:rPr>
        <w:t>个工作日内进行审查</w:t>
      </w:r>
      <w:r>
        <w:rPr>
          <w:spacing w:val="-34"/>
          <w:sz w:val="21"/>
        </w:rPr>
        <w:t>，</w:t>
      </w:r>
      <w:r>
        <w:rPr>
          <w:sz w:val="21"/>
        </w:rPr>
        <w:t>符合应</w:t>
      </w:r>
      <w:r>
        <w:rPr>
          <w:spacing w:val="-12"/>
          <w:sz w:val="21"/>
        </w:rPr>
        <w:t>承</w:t>
      </w:r>
      <w:r>
        <w:rPr>
          <w:sz w:val="21"/>
        </w:rPr>
        <w:t>担保证责任情形的，我方应按照你方的要求代投标人向你方支付投标保证金。</w:t>
      </w:r>
    </w:p>
    <w:p>
      <w:pPr>
        <w:spacing w:line="269" w:lineRule="exact"/>
        <w:ind w:left="1477"/>
        <w:rPr>
          <w:sz w:val="21"/>
        </w:rPr>
      </w:pPr>
      <w:r>
        <w:rPr>
          <w:sz w:val="21"/>
        </w:rPr>
        <w:t>四、保证责任的终止</w:t>
      </w:r>
    </w:p>
    <w:p>
      <w:pPr>
        <w:pStyle w:val="22"/>
        <w:numPr>
          <w:ilvl w:val="0"/>
          <w:numId w:val="27"/>
        </w:numPr>
        <w:tabs>
          <w:tab w:val="left" w:pos="1791"/>
        </w:tabs>
        <w:spacing w:before="42" w:line="278" w:lineRule="auto"/>
        <w:ind w:right="1117" w:firstLine="420"/>
        <w:rPr>
          <w:sz w:val="21"/>
        </w:rPr>
      </w:pPr>
      <w:r>
        <w:rPr>
          <w:spacing w:val="-3"/>
          <w:sz w:val="21"/>
        </w:rPr>
        <w:t>保证期间届满你方未向我方书面主张保证责任的，自保证期间届满次日起，我方保证责任自动终止。</w:t>
      </w:r>
    </w:p>
    <w:p>
      <w:pPr>
        <w:pStyle w:val="22"/>
        <w:numPr>
          <w:ilvl w:val="0"/>
          <w:numId w:val="27"/>
        </w:numPr>
        <w:tabs>
          <w:tab w:val="left" w:pos="1791"/>
        </w:tabs>
        <w:spacing w:line="278" w:lineRule="auto"/>
        <w:ind w:right="1115" w:firstLine="420"/>
        <w:rPr>
          <w:sz w:val="21"/>
        </w:rPr>
      </w:pPr>
      <w:r>
        <w:rPr>
          <w:spacing w:val="-3"/>
          <w:sz w:val="21"/>
        </w:rPr>
        <w:t>我方按照本保函向你贵方履行了保证责任后，自我方向你贵方支付款项</w:t>
      </w:r>
      <w:r>
        <w:rPr>
          <w:sz w:val="21"/>
        </w:rPr>
        <w:t>（支付款项从我方账户划出）之日起，保证责任终止。</w:t>
      </w:r>
    </w:p>
    <w:p>
      <w:pPr>
        <w:pStyle w:val="22"/>
        <w:numPr>
          <w:ilvl w:val="0"/>
          <w:numId w:val="27"/>
        </w:numPr>
        <w:tabs>
          <w:tab w:val="left" w:pos="1791"/>
        </w:tabs>
        <w:spacing w:line="278" w:lineRule="auto"/>
        <w:ind w:right="1117" w:firstLine="420"/>
        <w:rPr>
          <w:sz w:val="21"/>
        </w:rPr>
      </w:pPr>
      <w:r>
        <w:rPr>
          <w:spacing w:val="-2"/>
          <w:sz w:val="21"/>
        </w:rPr>
        <w:t>按照法律法规的规定或出现我方保证责任终止的其它情形的，我方在本保函项下的保证责任亦终止。</w:t>
      </w:r>
    </w:p>
    <w:p>
      <w:pPr>
        <w:spacing w:line="269" w:lineRule="exact"/>
        <w:ind w:left="1477"/>
        <w:rPr>
          <w:sz w:val="21"/>
        </w:rPr>
      </w:pPr>
      <w:r>
        <w:rPr>
          <w:sz w:val="21"/>
        </w:rPr>
        <w:t>五、免责条款</w:t>
      </w:r>
    </w:p>
    <w:p>
      <w:pPr>
        <w:pStyle w:val="22"/>
        <w:numPr>
          <w:ilvl w:val="0"/>
          <w:numId w:val="28"/>
        </w:numPr>
        <w:tabs>
          <w:tab w:val="left" w:pos="1791"/>
        </w:tabs>
        <w:spacing w:before="43" w:line="278" w:lineRule="auto"/>
        <w:ind w:right="1117" w:firstLine="420"/>
        <w:rPr>
          <w:sz w:val="21"/>
        </w:rPr>
      </w:pPr>
      <w:r>
        <w:rPr>
          <w:spacing w:val="-3"/>
          <w:sz w:val="21"/>
        </w:rPr>
        <w:t>依照法律规定或你方与投标人的另行约定，全部或者部分免除投标人投标保证金义务时，我方亦免除相应的保证责任。</w:t>
      </w:r>
    </w:p>
    <w:p>
      <w:pPr>
        <w:pStyle w:val="22"/>
        <w:numPr>
          <w:ilvl w:val="0"/>
          <w:numId w:val="28"/>
        </w:numPr>
        <w:tabs>
          <w:tab w:val="left" w:pos="1791"/>
        </w:tabs>
        <w:spacing w:line="278" w:lineRule="auto"/>
        <w:ind w:right="1117" w:firstLine="420"/>
        <w:rPr>
          <w:sz w:val="21"/>
        </w:rPr>
      </w:pPr>
      <w:r>
        <w:rPr>
          <w:spacing w:val="-2"/>
          <w:sz w:val="21"/>
        </w:rPr>
        <w:t>因你方原因致使投标人发生本保函第一条第</w:t>
      </w:r>
      <w:r>
        <w:rPr>
          <w:sz w:val="21"/>
        </w:rPr>
        <w:t>（一</w:t>
      </w:r>
      <w:r>
        <w:rPr>
          <w:spacing w:val="-27"/>
          <w:sz w:val="21"/>
        </w:rPr>
        <w:t>）</w:t>
      </w:r>
      <w:r>
        <w:rPr>
          <w:spacing w:val="-4"/>
          <w:sz w:val="21"/>
        </w:rPr>
        <w:t>款约定情形的，我方不承担保证责任。</w:t>
      </w:r>
    </w:p>
    <w:p>
      <w:pPr>
        <w:pStyle w:val="22"/>
        <w:numPr>
          <w:ilvl w:val="0"/>
          <w:numId w:val="28"/>
        </w:numPr>
        <w:tabs>
          <w:tab w:val="left" w:pos="1791"/>
        </w:tabs>
        <w:spacing w:line="269" w:lineRule="exact"/>
        <w:ind w:left="1790"/>
        <w:rPr>
          <w:sz w:val="21"/>
        </w:rPr>
      </w:pPr>
      <w:r>
        <w:rPr>
          <w:sz w:val="21"/>
        </w:rPr>
        <w:t>因不可抗力造成投标人发生本保函第一条约定情形的，我方不承担保证责任。</w:t>
      </w:r>
    </w:p>
    <w:p>
      <w:pPr>
        <w:pStyle w:val="22"/>
        <w:numPr>
          <w:ilvl w:val="0"/>
          <w:numId w:val="28"/>
        </w:numPr>
        <w:tabs>
          <w:tab w:val="left" w:pos="1791"/>
        </w:tabs>
        <w:spacing w:before="43" w:line="278" w:lineRule="auto"/>
        <w:ind w:right="1115" w:firstLine="420"/>
        <w:rPr>
          <w:sz w:val="21"/>
        </w:rPr>
      </w:pPr>
      <w:r>
        <w:rPr>
          <w:spacing w:val="-3"/>
          <w:sz w:val="21"/>
        </w:rPr>
        <w:t>你方或其他有权机关对招标文件进行任何澄清或修改，加重我方保证责任的，我方对加重部分不承担保证责任，但该澄清或修改经我方事先书面同意的除外。</w:t>
      </w:r>
    </w:p>
    <w:p>
      <w:pPr>
        <w:spacing w:line="269" w:lineRule="exact"/>
        <w:ind w:left="1477"/>
        <w:rPr>
          <w:sz w:val="21"/>
        </w:rPr>
      </w:pPr>
      <w:r>
        <w:rPr>
          <w:sz w:val="21"/>
        </w:rPr>
        <w:t>六、争议的解决</w:t>
      </w:r>
    </w:p>
    <w:p>
      <w:pPr>
        <w:spacing w:line="269" w:lineRule="exact"/>
        <w:rPr>
          <w:sz w:val="21"/>
        </w:rPr>
        <w:sectPr>
          <w:type w:val="continuous"/>
          <w:pgSz w:w="11910" w:h="16840"/>
          <w:pgMar w:top="1580" w:right="800" w:bottom="280" w:left="740" w:header="720" w:footer="720" w:gutter="0"/>
          <w:cols w:space="720" w:num="1"/>
        </w:sectPr>
      </w:pPr>
    </w:p>
    <w:p>
      <w:pPr>
        <w:tabs>
          <w:tab w:val="left" w:pos="3366"/>
        </w:tabs>
        <w:spacing w:before="43" w:line="278" w:lineRule="auto"/>
        <w:ind w:left="1057" w:right="1117" w:firstLine="420"/>
        <w:rPr>
          <w:sz w:val="21"/>
        </w:rPr>
      </w:pPr>
      <w:r>
        <w:rPr>
          <w:w w:val="95"/>
          <w:sz w:val="21"/>
        </w:rPr>
        <w:t xml:space="preserve">因本保函发生的纠纷，由你我双方协商解决，协商不成的，通过诉讼程序解决，诉讼  </w:t>
      </w:r>
      <w:r>
        <w:rPr>
          <w:sz w:val="21"/>
        </w:rPr>
        <w:t>管辖地法院为</w:t>
      </w:r>
      <w:r>
        <w:rPr>
          <w:sz w:val="21"/>
          <w:u w:val="single"/>
        </w:rPr>
        <w:t xml:space="preserve"> </w:t>
      </w:r>
      <w:r>
        <w:rPr>
          <w:sz w:val="21"/>
          <w:u w:val="single"/>
        </w:rPr>
        <w:tab/>
      </w:r>
      <w:r>
        <w:rPr>
          <w:sz w:val="21"/>
        </w:rPr>
        <w:t>法院。</w:t>
      </w:r>
    </w:p>
    <w:p>
      <w:pPr>
        <w:spacing w:line="269" w:lineRule="exact"/>
        <w:ind w:left="1477"/>
        <w:rPr>
          <w:sz w:val="21"/>
        </w:rPr>
      </w:pPr>
      <w:r>
        <w:rPr>
          <w:sz w:val="21"/>
        </w:rPr>
        <w:t>七、保函的生效</w:t>
      </w:r>
    </w:p>
    <w:p>
      <w:pPr>
        <w:spacing w:before="43"/>
        <w:ind w:left="1477"/>
        <w:rPr>
          <w:sz w:val="21"/>
        </w:rPr>
      </w:pPr>
      <w:r>
        <w:rPr>
          <w:sz w:val="21"/>
        </w:rPr>
        <w:t>本保函自我方加盖公章之日起生效。</w:t>
      </w:r>
    </w:p>
    <w:p>
      <w:pPr>
        <w:spacing w:before="43"/>
        <w:ind w:left="6620"/>
        <w:rPr>
          <w:sz w:val="21"/>
        </w:rPr>
      </w:pPr>
      <w:r>
        <w:rPr>
          <w:sz w:val="21"/>
        </w:rPr>
        <w:t>保证人：（公章）</w:t>
      </w:r>
    </w:p>
    <w:p>
      <w:pPr>
        <w:pStyle w:val="9"/>
        <w:spacing w:before="9"/>
        <w:rPr>
          <w:sz w:val="27"/>
        </w:rPr>
      </w:pPr>
    </w:p>
    <w:p>
      <w:pPr>
        <w:tabs>
          <w:tab w:val="left" w:pos="7566"/>
          <w:tab w:val="left" w:pos="8406"/>
        </w:tabs>
        <w:ind w:left="6832"/>
        <w:rPr>
          <w:sz w:val="21"/>
        </w:rPr>
      </w:pPr>
      <w:r>
        <w:rPr>
          <w:sz w:val="21"/>
        </w:rPr>
        <w:t>年</w:t>
      </w:r>
      <w:r>
        <w:rPr>
          <w:sz w:val="21"/>
        </w:rPr>
        <w:tab/>
      </w:r>
      <w:r>
        <w:rPr>
          <w:sz w:val="21"/>
        </w:rPr>
        <w:t>月</w:t>
      </w:r>
      <w:r>
        <w:rPr>
          <w:sz w:val="21"/>
        </w:rPr>
        <w:tab/>
      </w:r>
      <w:r>
        <w:rPr>
          <w:sz w:val="21"/>
        </w:rPr>
        <w:t>日</w:t>
      </w:r>
    </w:p>
    <w:p>
      <w:pPr>
        <w:rPr>
          <w:sz w:val="21"/>
        </w:rPr>
        <w:sectPr>
          <w:pgSz w:w="11910" w:h="16840"/>
          <w:pgMar w:top="1400" w:right="800" w:bottom="1180" w:left="740" w:header="0" w:footer="1000" w:gutter="0"/>
          <w:cols w:space="720" w:num="1"/>
        </w:sectPr>
      </w:pPr>
    </w:p>
    <w:p>
      <w:pPr>
        <w:pStyle w:val="22"/>
        <w:numPr>
          <w:ilvl w:val="2"/>
          <w:numId w:val="29"/>
        </w:numPr>
        <w:tabs>
          <w:tab w:val="left" w:pos="3788"/>
          <w:tab w:val="left" w:pos="3789"/>
        </w:tabs>
        <w:spacing w:before="41"/>
        <w:rPr>
          <w:b/>
          <w:sz w:val="24"/>
        </w:rPr>
      </w:pPr>
      <w:bookmarkStart w:id="67" w:name="3___投标分项报价表（投标文件格式五）"/>
      <w:bookmarkEnd w:id="67"/>
      <w:r>
        <w:rPr>
          <w:b/>
          <w:sz w:val="24"/>
        </w:rPr>
        <w:t>投标分项报价表（投标文件格式五）</w:t>
      </w:r>
    </w:p>
    <w:p>
      <w:pPr>
        <w:pStyle w:val="9"/>
        <w:spacing w:before="4"/>
        <w:rPr>
          <w:b/>
          <w:sz w:val="19"/>
        </w:rPr>
      </w:pPr>
    </w:p>
    <w:p>
      <w:pPr>
        <w:pStyle w:val="9"/>
        <w:tabs>
          <w:tab w:val="left" w:pos="3836"/>
        </w:tabs>
        <w:spacing w:before="67"/>
        <w:ind w:left="116" w:firstLine="1200" w:firstLineChars="500"/>
      </w:pPr>
      <w:r>
        <w:t>项目名称:</w:t>
      </w:r>
      <w:r>
        <w:tab/>
      </w:r>
      <w:r>
        <w:t>招标编号:</w:t>
      </w:r>
    </w:p>
    <w:p>
      <w:pPr>
        <w:pStyle w:val="9"/>
        <w:spacing w:before="4" w:after="3"/>
        <w:ind w:left="6236"/>
      </w:pPr>
      <w:r>
        <w:t>报价单位：人民币元</w:t>
      </w:r>
    </w:p>
    <w:tbl>
      <w:tblPr>
        <w:tblStyle w:val="19"/>
        <w:tblW w:w="9658" w:type="dxa"/>
        <w:tblInd w:w="8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3"/>
        <w:gridCol w:w="2507"/>
        <w:gridCol w:w="1887"/>
        <w:gridCol w:w="1974"/>
        <w:gridCol w:w="255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0" w:hRule="atLeast"/>
        </w:trPr>
        <w:tc>
          <w:tcPr>
            <w:tcW w:w="733" w:type="dxa"/>
            <w:vAlign w:val="center"/>
          </w:tcPr>
          <w:p>
            <w:pPr>
              <w:pStyle w:val="23"/>
              <w:spacing w:before="40"/>
              <w:ind w:right="159"/>
              <w:jc w:val="center"/>
              <w:rPr>
                <w:rFonts w:ascii="仿宋" w:eastAsia="仿宋"/>
                <w:sz w:val="24"/>
              </w:rPr>
            </w:pPr>
            <w:r>
              <w:rPr>
                <w:rFonts w:hint="eastAsia" w:ascii="仿宋" w:eastAsia="仿宋"/>
                <w:sz w:val="24"/>
              </w:rPr>
              <w:t>序号</w:t>
            </w:r>
          </w:p>
        </w:tc>
        <w:tc>
          <w:tcPr>
            <w:tcW w:w="2507" w:type="dxa"/>
            <w:vAlign w:val="center"/>
          </w:tcPr>
          <w:p>
            <w:pPr>
              <w:pStyle w:val="23"/>
              <w:spacing w:before="40"/>
              <w:ind w:right="1629"/>
              <w:jc w:val="center"/>
              <w:rPr>
                <w:rFonts w:ascii="仿宋" w:eastAsia="仿宋"/>
                <w:sz w:val="24"/>
                <w:lang w:val="en-US"/>
              </w:rPr>
            </w:pPr>
            <w:r>
              <w:rPr>
                <w:rFonts w:hint="eastAsia" w:ascii="仿宋" w:eastAsia="仿宋"/>
                <w:sz w:val="24"/>
                <w:lang w:val="en-US"/>
              </w:rPr>
              <w:t>类别</w:t>
            </w:r>
          </w:p>
        </w:tc>
        <w:tc>
          <w:tcPr>
            <w:tcW w:w="1887" w:type="dxa"/>
            <w:vAlign w:val="center"/>
          </w:tcPr>
          <w:p>
            <w:pPr>
              <w:pStyle w:val="23"/>
              <w:spacing w:before="40"/>
              <w:ind w:right="564"/>
              <w:jc w:val="center"/>
              <w:rPr>
                <w:rFonts w:ascii="仿宋" w:eastAsia="仿宋"/>
                <w:sz w:val="24"/>
                <w:lang w:val="en-US"/>
              </w:rPr>
            </w:pPr>
            <w:r>
              <w:rPr>
                <w:rFonts w:hint="eastAsia" w:ascii="仿宋" w:eastAsia="仿宋"/>
                <w:sz w:val="24"/>
                <w:lang w:val="en-US"/>
              </w:rPr>
              <w:t>面积（㎡）</w:t>
            </w:r>
          </w:p>
        </w:tc>
        <w:tc>
          <w:tcPr>
            <w:tcW w:w="1974" w:type="dxa"/>
            <w:vAlign w:val="center"/>
          </w:tcPr>
          <w:p>
            <w:pPr>
              <w:pStyle w:val="23"/>
              <w:spacing w:before="40"/>
              <w:ind w:left="572" w:right="564"/>
              <w:jc w:val="center"/>
              <w:rPr>
                <w:rFonts w:ascii="仿宋" w:eastAsia="仿宋"/>
                <w:sz w:val="24"/>
                <w:lang w:val="en-US"/>
              </w:rPr>
            </w:pPr>
            <w:r>
              <w:rPr>
                <w:rFonts w:hint="eastAsia" w:ascii="仿宋" w:eastAsia="仿宋"/>
                <w:sz w:val="24"/>
                <w:lang w:val="en-US"/>
              </w:rPr>
              <w:t>单价（元）</w:t>
            </w:r>
          </w:p>
        </w:tc>
        <w:tc>
          <w:tcPr>
            <w:tcW w:w="2557" w:type="dxa"/>
            <w:vAlign w:val="center"/>
          </w:tcPr>
          <w:p>
            <w:pPr>
              <w:pStyle w:val="23"/>
              <w:spacing w:before="40"/>
              <w:ind w:left="572" w:right="564"/>
              <w:jc w:val="center"/>
              <w:rPr>
                <w:rFonts w:ascii="仿宋" w:eastAsia="仿宋"/>
                <w:sz w:val="24"/>
                <w:lang w:val="en-US"/>
              </w:rPr>
            </w:pPr>
            <w:r>
              <w:rPr>
                <w:rFonts w:hint="eastAsia" w:ascii="仿宋" w:eastAsia="仿宋"/>
                <w:sz w:val="24"/>
                <w:lang w:val="en-US"/>
              </w:rPr>
              <w:t>合价（元）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3" w:hRule="atLeast"/>
        </w:trPr>
        <w:tc>
          <w:tcPr>
            <w:tcW w:w="733" w:type="dxa"/>
            <w:vAlign w:val="center"/>
          </w:tcPr>
          <w:p>
            <w:pPr>
              <w:pStyle w:val="23"/>
              <w:spacing w:before="2" w:line="289" w:lineRule="exact"/>
              <w:ind w:right="279"/>
              <w:jc w:val="center"/>
              <w:rPr>
                <w:rFonts w:ascii="仿宋"/>
                <w:sz w:val="24"/>
              </w:rPr>
            </w:pPr>
            <w:r>
              <w:rPr>
                <w:rFonts w:hint="eastAsia" w:ascii="仿宋"/>
                <w:sz w:val="24"/>
                <w:lang w:val="en-US"/>
              </w:rPr>
              <w:t xml:space="preserve">1 </w:t>
            </w:r>
          </w:p>
        </w:tc>
        <w:tc>
          <w:tcPr>
            <w:tcW w:w="2507" w:type="dxa"/>
            <w:vAlign w:val="center"/>
          </w:tcPr>
          <w:p>
            <w:pPr>
              <w:pStyle w:val="23"/>
              <w:jc w:val="center"/>
              <w:rPr>
                <w:rFonts w:ascii="Times New Roman"/>
                <w:lang w:val="en-US"/>
              </w:rPr>
            </w:pPr>
            <w:r>
              <w:rPr>
                <w:rFonts w:ascii="Times New Roman"/>
                <w:lang w:val="en-US"/>
              </w:rPr>
              <w:t>物业服务</w:t>
            </w:r>
          </w:p>
        </w:tc>
        <w:tc>
          <w:tcPr>
            <w:tcW w:w="1887" w:type="dxa"/>
            <w:vAlign w:val="center"/>
          </w:tcPr>
          <w:p>
            <w:pPr>
              <w:pStyle w:val="23"/>
              <w:jc w:val="center"/>
              <w:rPr>
                <w:rFonts w:ascii="Times New Roman"/>
                <w:lang w:val="en-US"/>
              </w:rPr>
            </w:pPr>
            <w:r>
              <w:rPr>
                <w:rFonts w:ascii="Times New Roman"/>
                <w:lang w:val="en-US"/>
              </w:rPr>
              <w:t>25590.61</w:t>
            </w:r>
          </w:p>
        </w:tc>
        <w:tc>
          <w:tcPr>
            <w:tcW w:w="1974" w:type="dxa"/>
            <w:vAlign w:val="center"/>
          </w:tcPr>
          <w:p>
            <w:pPr>
              <w:pStyle w:val="23"/>
              <w:jc w:val="center"/>
              <w:rPr>
                <w:rFonts w:ascii="Times New Roman"/>
                <w:lang w:val="en-US"/>
              </w:rPr>
            </w:pPr>
          </w:p>
        </w:tc>
        <w:tc>
          <w:tcPr>
            <w:tcW w:w="2557" w:type="dxa"/>
            <w:vAlign w:val="center"/>
          </w:tcPr>
          <w:p>
            <w:pPr>
              <w:pStyle w:val="23"/>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 w:hRule="atLeast"/>
        </w:trPr>
        <w:tc>
          <w:tcPr>
            <w:tcW w:w="733" w:type="dxa"/>
            <w:vAlign w:val="center"/>
          </w:tcPr>
          <w:p>
            <w:pPr>
              <w:pStyle w:val="23"/>
              <w:spacing w:line="291" w:lineRule="exact"/>
              <w:ind w:right="279"/>
              <w:jc w:val="center"/>
              <w:rPr>
                <w:rFonts w:ascii="仿宋"/>
                <w:sz w:val="24"/>
                <w:lang w:val="en-US"/>
              </w:rPr>
            </w:pPr>
            <w:r>
              <w:rPr>
                <w:rFonts w:hint="eastAsia" w:ascii="仿宋"/>
                <w:sz w:val="24"/>
                <w:lang w:val="en-US"/>
              </w:rPr>
              <w:t>2</w:t>
            </w:r>
          </w:p>
        </w:tc>
        <w:tc>
          <w:tcPr>
            <w:tcW w:w="2507" w:type="dxa"/>
            <w:vAlign w:val="center"/>
          </w:tcPr>
          <w:p>
            <w:pPr>
              <w:pStyle w:val="23"/>
              <w:jc w:val="center"/>
              <w:rPr>
                <w:rFonts w:ascii="Times New Roman"/>
              </w:rPr>
            </w:pPr>
            <w:r>
              <w:rPr>
                <w:rFonts w:hint="eastAsia" w:ascii="Times New Roman"/>
                <w:lang w:val="en-US"/>
              </w:rPr>
              <w:t>道路保洁服务</w:t>
            </w:r>
          </w:p>
        </w:tc>
        <w:tc>
          <w:tcPr>
            <w:tcW w:w="1887" w:type="dxa"/>
            <w:vAlign w:val="center"/>
          </w:tcPr>
          <w:p>
            <w:pPr>
              <w:pStyle w:val="23"/>
              <w:jc w:val="center"/>
              <w:rPr>
                <w:rFonts w:ascii="Times New Roman"/>
                <w:lang w:val="en-US"/>
              </w:rPr>
            </w:pPr>
            <w:r>
              <w:rPr>
                <w:rFonts w:ascii="Times New Roman"/>
                <w:lang w:val="en-US"/>
              </w:rPr>
              <w:t>57429.34</w:t>
            </w:r>
          </w:p>
        </w:tc>
        <w:tc>
          <w:tcPr>
            <w:tcW w:w="1974" w:type="dxa"/>
            <w:vAlign w:val="center"/>
          </w:tcPr>
          <w:p>
            <w:pPr>
              <w:pStyle w:val="23"/>
              <w:jc w:val="center"/>
              <w:rPr>
                <w:rFonts w:ascii="Times New Roman"/>
              </w:rPr>
            </w:pPr>
          </w:p>
        </w:tc>
        <w:tc>
          <w:tcPr>
            <w:tcW w:w="2557" w:type="dxa"/>
            <w:vAlign w:val="center"/>
          </w:tcPr>
          <w:p>
            <w:pPr>
              <w:pStyle w:val="23"/>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733" w:type="dxa"/>
            <w:vAlign w:val="center"/>
          </w:tcPr>
          <w:p>
            <w:pPr>
              <w:pStyle w:val="23"/>
              <w:spacing w:before="3" w:line="288" w:lineRule="exact"/>
              <w:ind w:right="279"/>
              <w:jc w:val="center"/>
              <w:rPr>
                <w:rFonts w:ascii="仿宋"/>
                <w:sz w:val="24"/>
                <w:lang w:val="en-US"/>
              </w:rPr>
            </w:pPr>
            <w:r>
              <w:rPr>
                <w:rFonts w:hint="eastAsia" w:ascii="仿宋"/>
                <w:sz w:val="24"/>
                <w:lang w:val="en-US"/>
              </w:rPr>
              <w:t>3</w:t>
            </w:r>
          </w:p>
        </w:tc>
        <w:tc>
          <w:tcPr>
            <w:tcW w:w="2507" w:type="dxa"/>
            <w:vAlign w:val="center"/>
          </w:tcPr>
          <w:p>
            <w:pPr>
              <w:pStyle w:val="23"/>
              <w:jc w:val="center"/>
              <w:rPr>
                <w:rFonts w:ascii="Times New Roman"/>
              </w:rPr>
            </w:pPr>
            <w:r>
              <w:rPr>
                <w:rFonts w:hint="eastAsia" w:ascii="Times New Roman"/>
              </w:rPr>
              <w:t>绿化养护服务</w:t>
            </w:r>
          </w:p>
        </w:tc>
        <w:tc>
          <w:tcPr>
            <w:tcW w:w="1887" w:type="dxa"/>
            <w:vAlign w:val="center"/>
          </w:tcPr>
          <w:p>
            <w:pPr>
              <w:pStyle w:val="23"/>
              <w:jc w:val="center"/>
              <w:rPr>
                <w:rFonts w:ascii="Times New Roman"/>
              </w:rPr>
            </w:pPr>
            <w:r>
              <w:rPr>
                <w:rFonts w:hint="eastAsia" w:ascii="Times New Roman"/>
              </w:rPr>
              <w:t>7668.06</w:t>
            </w:r>
          </w:p>
        </w:tc>
        <w:tc>
          <w:tcPr>
            <w:tcW w:w="1974" w:type="dxa"/>
            <w:vAlign w:val="center"/>
          </w:tcPr>
          <w:p>
            <w:pPr>
              <w:pStyle w:val="23"/>
              <w:jc w:val="center"/>
              <w:rPr>
                <w:rFonts w:ascii="Times New Roman"/>
              </w:rPr>
            </w:pPr>
          </w:p>
        </w:tc>
        <w:tc>
          <w:tcPr>
            <w:tcW w:w="2557" w:type="dxa"/>
            <w:vAlign w:val="center"/>
          </w:tcPr>
          <w:p>
            <w:pPr>
              <w:pStyle w:val="23"/>
              <w:jc w:val="center"/>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9658" w:type="dxa"/>
            <w:gridSpan w:val="5"/>
            <w:vAlign w:val="center"/>
          </w:tcPr>
          <w:p>
            <w:pPr>
              <w:pStyle w:val="23"/>
              <w:jc w:val="center"/>
              <w:rPr>
                <w:rFonts w:ascii="Times New Roman"/>
              </w:rPr>
            </w:pPr>
            <w:r>
              <w:rPr>
                <w:rFonts w:hint="eastAsia" w:ascii="仿宋"/>
                <w:sz w:val="24"/>
                <w:lang w:val="en-US"/>
              </w:rPr>
              <w:t xml:space="preserve">总价：    元  （大写：   元）   </w:t>
            </w:r>
          </w:p>
        </w:tc>
      </w:tr>
    </w:tbl>
    <w:p>
      <w:pPr>
        <w:pStyle w:val="9"/>
        <w:spacing w:before="9"/>
        <w:rPr>
          <w:sz w:val="18"/>
        </w:rPr>
      </w:pPr>
    </w:p>
    <w:p>
      <w:pPr>
        <w:pStyle w:val="9"/>
        <w:spacing w:before="9"/>
        <w:rPr>
          <w:sz w:val="18"/>
        </w:rPr>
      </w:pPr>
    </w:p>
    <w:p>
      <w:pPr>
        <w:pStyle w:val="9"/>
        <w:spacing w:before="9"/>
        <w:rPr>
          <w:sz w:val="18"/>
        </w:rPr>
      </w:pPr>
    </w:p>
    <w:p>
      <w:pPr>
        <w:pStyle w:val="9"/>
        <w:tabs>
          <w:tab w:val="left" w:pos="5686"/>
          <w:tab w:val="left" w:pos="6555"/>
        </w:tabs>
        <w:spacing w:before="74" w:line="242" w:lineRule="auto"/>
        <w:ind w:left="796" w:right="3808"/>
        <w:rPr>
          <w:rFonts w:ascii="Times New Roman" w:eastAsia="Times New Roman"/>
        </w:rPr>
      </w:pPr>
      <w:r>
        <w:t>法定代表人或其委托代理人签字:</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投标人(盖单位章):</w:t>
      </w:r>
      <w:r>
        <w:rPr>
          <w:rFonts w:ascii="Times New Roman" w:eastAsia="Times New Roman"/>
          <w:u w:val="single"/>
        </w:rPr>
        <w:t xml:space="preserve"> </w:t>
      </w:r>
      <w:r>
        <w:rPr>
          <w:rFonts w:ascii="Times New Roman" w:eastAsia="Times New Roman"/>
          <w:u w:val="single"/>
        </w:rPr>
        <w:tab/>
      </w:r>
    </w:p>
    <w:p>
      <w:pPr>
        <w:pStyle w:val="9"/>
        <w:spacing w:before="4"/>
        <w:rPr>
          <w:rFonts w:ascii="Times New Roman"/>
          <w:sz w:val="21"/>
        </w:rPr>
      </w:pPr>
    </w:p>
    <w:p>
      <w:pPr>
        <w:pStyle w:val="9"/>
        <w:spacing w:before="67"/>
        <w:ind w:left="796"/>
      </w:pPr>
      <w:r>
        <w:t>注:1. 如果按分项报价计算的结果与总价不一致,以分项报价为准修正总价。</w:t>
      </w:r>
    </w:p>
    <w:p>
      <w:pPr>
        <w:pStyle w:val="22"/>
        <w:numPr>
          <w:ilvl w:val="0"/>
          <w:numId w:val="30"/>
        </w:numPr>
        <w:tabs>
          <w:tab w:val="left" w:pos="1516"/>
        </w:tabs>
        <w:spacing w:before="4"/>
        <w:rPr>
          <w:sz w:val="24"/>
        </w:rPr>
      </w:pPr>
      <w:r>
        <w:rPr>
          <w:sz w:val="24"/>
        </w:rPr>
        <w:t>上述各项的详细分项报价，可另页描述。</w:t>
      </w:r>
    </w:p>
    <w:p>
      <w:pPr>
        <w:pStyle w:val="22"/>
        <w:numPr>
          <w:ilvl w:val="0"/>
          <w:numId w:val="30"/>
        </w:numPr>
        <w:tabs>
          <w:tab w:val="left" w:pos="1516"/>
        </w:tabs>
        <w:spacing w:before="2"/>
        <w:rPr>
          <w:sz w:val="24"/>
        </w:rPr>
      </w:pPr>
      <w:r>
        <w:rPr>
          <w:spacing w:val="-1"/>
          <w:sz w:val="24"/>
        </w:rPr>
        <w:t>如果开标一览表</w:t>
      </w:r>
      <w:r>
        <w:rPr>
          <w:spacing w:val="-3"/>
          <w:sz w:val="24"/>
        </w:rPr>
        <w:t>（</w:t>
      </w:r>
      <w:r>
        <w:rPr>
          <w:sz w:val="24"/>
        </w:rPr>
        <w:t>报价表</w:t>
      </w:r>
      <w:r>
        <w:rPr>
          <w:spacing w:val="-5"/>
          <w:sz w:val="24"/>
        </w:rPr>
        <w:t>）</w:t>
      </w:r>
      <w:r>
        <w:rPr>
          <w:spacing w:val="-1"/>
          <w:sz w:val="24"/>
        </w:rPr>
        <w:t>内容与投标文件中明细表内容不一致的，以开标一览表</w:t>
      </w:r>
    </w:p>
    <w:p>
      <w:pPr>
        <w:pStyle w:val="9"/>
        <w:spacing w:before="5"/>
        <w:ind w:left="1336"/>
      </w:pPr>
      <w:r>
        <w:t>（报价表）内容为准。</w:t>
      </w:r>
    </w:p>
    <w:p>
      <w:pPr>
        <w:sectPr>
          <w:footerReference r:id="rId8" w:type="default"/>
          <w:pgSz w:w="11910" w:h="16840"/>
          <w:pgMar w:top="1000" w:right="800" w:bottom="1420" w:left="740" w:header="0" w:footer="1233" w:gutter="0"/>
          <w:pgNumType w:start="32"/>
          <w:cols w:space="720" w:num="1"/>
        </w:sectPr>
      </w:pPr>
    </w:p>
    <w:p>
      <w:pPr>
        <w:spacing w:before="52"/>
        <w:ind w:left="1076" w:right="1246"/>
        <w:jc w:val="center"/>
        <w:rPr>
          <w:rFonts w:ascii="宋体" w:eastAsia="宋体"/>
          <w:b/>
          <w:sz w:val="21"/>
        </w:rPr>
      </w:pPr>
      <w:bookmarkStart w:id="68" w:name="4___技术条款偏离表（投标文件格式六）"/>
      <w:bookmarkEnd w:id="68"/>
      <w:bookmarkStart w:id="69" w:name="4___商务条款偏离表（投标文件格式六）"/>
      <w:bookmarkEnd w:id="69"/>
      <w:r>
        <w:rPr>
          <w:rFonts w:hint="eastAsia" w:ascii="宋体" w:eastAsia="宋体"/>
          <w:b/>
          <w:sz w:val="21"/>
          <w:lang w:val="en-US"/>
        </w:rPr>
        <w:t>4.</w:t>
      </w:r>
      <w:r>
        <w:rPr>
          <w:rFonts w:hint="eastAsia" w:ascii="宋体" w:eastAsia="宋体"/>
          <w:b/>
          <w:sz w:val="21"/>
        </w:rPr>
        <w:t>项目配备人员情况一览表</w:t>
      </w:r>
    </w:p>
    <w:p>
      <w:pPr>
        <w:pStyle w:val="9"/>
        <w:rPr>
          <w:b/>
          <w:sz w:val="20"/>
        </w:rPr>
      </w:pPr>
    </w:p>
    <w:p>
      <w:pPr>
        <w:pStyle w:val="9"/>
        <w:tabs>
          <w:tab w:val="left" w:pos="3975"/>
        </w:tabs>
        <w:spacing w:before="165" w:after="2"/>
        <w:ind w:left="255"/>
      </w:pPr>
      <w:r>
        <w:t>项目名称:</w:t>
      </w:r>
      <w:r>
        <w:tab/>
      </w:r>
      <w:r>
        <w:t>项目编号:</w:t>
      </w:r>
    </w:p>
    <w:tbl>
      <w:tblPr>
        <w:tblStyle w:val="19"/>
        <w:tblW w:w="0" w:type="auto"/>
        <w:tblInd w:w="1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91"/>
        <w:gridCol w:w="849"/>
        <w:gridCol w:w="865"/>
        <w:gridCol w:w="1301"/>
        <w:gridCol w:w="705"/>
        <w:gridCol w:w="1046"/>
        <w:gridCol w:w="746"/>
        <w:gridCol w:w="1672"/>
        <w:gridCol w:w="6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591" w:type="dxa"/>
            <w:vMerge w:val="restart"/>
          </w:tcPr>
          <w:p>
            <w:pPr>
              <w:pStyle w:val="23"/>
              <w:spacing w:before="6"/>
              <w:rPr>
                <w:rFonts w:ascii="仿宋"/>
                <w:sz w:val="28"/>
              </w:rPr>
            </w:pPr>
          </w:p>
          <w:p>
            <w:pPr>
              <w:pStyle w:val="23"/>
              <w:spacing w:before="1"/>
              <w:ind w:left="563" w:right="558"/>
              <w:jc w:val="center"/>
              <w:rPr>
                <w:sz w:val="21"/>
              </w:rPr>
            </w:pPr>
            <w:r>
              <w:rPr>
                <w:sz w:val="21"/>
              </w:rPr>
              <w:t>职务</w:t>
            </w:r>
          </w:p>
        </w:tc>
        <w:tc>
          <w:tcPr>
            <w:tcW w:w="849" w:type="dxa"/>
            <w:vMerge w:val="restart"/>
          </w:tcPr>
          <w:p>
            <w:pPr>
              <w:pStyle w:val="23"/>
              <w:spacing w:before="6"/>
              <w:rPr>
                <w:rFonts w:ascii="仿宋"/>
                <w:sz w:val="28"/>
              </w:rPr>
            </w:pPr>
          </w:p>
          <w:p>
            <w:pPr>
              <w:pStyle w:val="23"/>
              <w:spacing w:before="1"/>
              <w:ind w:left="212"/>
              <w:rPr>
                <w:sz w:val="21"/>
              </w:rPr>
            </w:pPr>
            <w:r>
              <w:rPr>
                <w:sz w:val="21"/>
              </w:rPr>
              <w:t>姓名</w:t>
            </w:r>
          </w:p>
        </w:tc>
        <w:tc>
          <w:tcPr>
            <w:tcW w:w="865" w:type="dxa"/>
            <w:vMerge w:val="restart"/>
          </w:tcPr>
          <w:p>
            <w:pPr>
              <w:pStyle w:val="23"/>
              <w:spacing w:before="6"/>
              <w:rPr>
                <w:rFonts w:ascii="仿宋"/>
                <w:sz w:val="28"/>
              </w:rPr>
            </w:pPr>
          </w:p>
          <w:p>
            <w:pPr>
              <w:pStyle w:val="23"/>
              <w:spacing w:before="1"/>
              <w:ind w:left="222"/>
              <w:rPr>
                <w:sz w:val="21"/>
              </w:rPr>
            </w:pPr>
            <w:r>
              <w:rPr>
                <w:sz w:val="21"/>
              </w:rPr>
              <w:t>职称</w:t>
            </w:r>
          </w:p>
        </w:tc>
        <w:tc>
          <w:tcPr>
            <w:tcW w:w="5470" w:type="dxa"/>
            <w:gridSpan w:val="5"/>
          </w:tcPr>
          <w:p>
            <w:pPr>
              <w:pStyle w:val="23"/>
              <w:spacing w:before="140"/>
              <w:ind w:left="1788"/>
              <w:rPr>
                <w:sz w:val="21"/>
              </w:rPr>
            </w:pPr>
            <w:r>
              <w:rPr>
                <w:sz w:val="21"/>
              </w:rPr>
              <w:t>执业或职业资格证明</w:t>
            </w:r>
          </w:p>
        </w:tc>
        <w:tc>
          <w:tcPr>
            <w:tcW w:w="691" w:type="dxa"/>
          </w:tcPr>
          <w:p>
            <w:pPr>
              <w:pStyle w:val="23"/>
              <w:spacing w:before="140"/>
              <w:ind w:left="134"/>
              <w:rPr>
                <w:sz w:val="21"/>
              </w:rPr>
            </w:pPr>
            <w:r>
              <w:rPr>
                <w:sz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591" w:type="dxa"/>
            <w:vMerge w:val="continue"/>
            <w:tcBorders>
              <w:top w:val="nil"/>
            </w:tcBorders>
          </w:tcPr>
          <w:p>
            <w:pPr>
              <w:rPr>
                <w:sz w:val="2"/>
                <w:szCs w:val="2"/>
              </w:rPr>
            </w:pPr>
          </w:p>
        </w:tc>
        <w:tc>
          <w:tcPr>
            <w:tcW w:w="849" w:type="dxa"/>
            <w:vMerge w:val="continue"/>
            <w:tcBorders>
              <w:top w:val="nil"/>
            </w:tcBorders>
          </w:tcPr>
          <w:p>
            <w:pPr>
              <w:rPr>
                <w:sz w:val="2"/>
                <w:szCs w:val="2"/>
              </w:rPr>
            </w:pPr>
          </w:p>
        </w:tc>
        <w:tc>
          <w:tcPr>
            <w:tcW w:w="865" w:type="dxa"/>
            <w:vMerge w:val="continue"/>
            <w:tcBorders>
              <w:top w:val="nil"/>
            </w:tcBorders>
          </w:tcPr>
          <w:p>
            <w:pPr>
              <w:rPr>
                <w:sz w:val="2"/>
                <w:szCs w:val="2"/>
              </w:rPr>
            </w:pPr>
          </w:p>
        </w:tc>
        <w:tc>
          <w:tcPr>
            <w:tcW w:w="1301" w:type="dxa"/>
          </w:tcPr>
          <w:p>
            <w:pPr>
              <w:pStyle w:val="23"/>
              <w:spacing w:before="141"/>
              <w:ind w:left="228"/>
              <w:rPr>
                <w:sz w:val="21"/>
              </w:rPr>
            </w:pPr>
            <w:r>
              <w:rPr>
                <w:sz w:val="21"/>
              </w:rPr>
              <w:t>证书名称</w:t>
            </w:r>
          </w:p>
        </w:tc>
        <w:tc>
          <w:tcPr>
            <w:tcW w:w="705" w:type="dxa"/>
          </w:tcPr>
          <w:p>
            <w:pPr>
              <w:pStyle w:val="23"/>
              <w:spacing w:before="141"/>
              <w:ind w:left="142"/>
              <w:rPr>
                <w:sz w:val="21"/>
              </w:rPr>
            </w:pPr>
            <w:r>
              <w:rPr>
                <w:sz w:val="21"/>
              </w:rPr>
              <w:t>级别</w:t>
            </w:r>
          </w:p>
        </w:tc>
        <w:tc>
          <w:tcPr>
            <w:tcW w:w="1046" w:type="dxa"/>
          </w:tcPr>
          <w:p>
            <w:pPr>
              <w:pStyle w:val="23"/>
              <w:spacing w:before="141"/>
              <w:ind w:left="313"/>
              <w:rPr>
                <w:sz w:val="21"/>
              </w:rPr>
            </w:pPr>
            <w:r>
              <w:rPr>
                <w:sz w:val="21"/>
              </w:rPr>
              <w:t>证号</w:t>
            </w:r>
          </w:p>
        </w:tc>
        <w:tc>
          <w:tcPr>
            <w:tcW w:w="746" w:type="dxa"/>
          </w:tcPr>
          <w:p>
            <w:pPr>
              <w:pStyle w:val="23"/>
              <w:spacing w:before="141"/>
              <w:ind w:left="162"/>
              <w:rPr>
                <w:sz w:val="21"/>
              </w:rPr>
            </w:pPr>
            <w:r>
              <w:rPr>
                <w:sz w:val="21"/>
              </w:rPr>
              <w:t>专业</w:t>
            </w:r>
          </w:p>
        </w:tc>
        <w:tc>
          <w:tcPr>
            <w:tcW w:w="1672" w:type="dxa"/>
          </w:tcPr>
          <w:p>
            <w:pPr>
              <w:pStyle w:val="23"/>
              <w:spacing w:before="141"/>
              <w:ind w:left="605" w:right="597"/>
              <w:jc w:val="center"/>
              <w:rPr>
                <w:sz w:val="21"/>
              </w:rPr>
            </w:pPr>
            <w:r>
              <w:rPr>
                <w:sz w:val="21"/>
              </w:rPr>
              <w:t>社保</w:t>
            </w:r>
          </w:p>
        </w:tc>
        <w:tc>
          <w:tcPr>
            <w:tcW w:w="691"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591" w:type="dxa"/>
          </w:tcPr>
          <w:p>
            <w:pPr>
              <w:pStyle w:val="23"/>
              <w:rPr>
                <w:rFonts w:ascii="Times New Roman"/>
              </w:rPr>
            </w:pPr>
          </w:p>
          <w:p>
            <w:pPr>
              <w:jc w:val="center"/>
              <w:rPr>
                <w:lang w:val="en-US"/>
              </w:rPr>
            </w:pPr>
          </w:p>
        </w:tc>
        <w:tc>
          <w:tcPr>
            <w:tcW w:w="849" w:type="dxa"/>
          </w:tcPr>
          <w:p>
            <w:pPr>
              <w:pStyle w:val="23"/>
              <w:rPr>
                <w:rFonts w:ascii="Times New Roman"/>
              </w:rPr>
            </w:pPr>
          </w:p>
        </w:tc>
        <w:tc>
          <w:tcPr>
            <w:tcW w:w="865" w:type="dxa"/>
          </w:tcPr>
          <w:p>
            <w:pPr>
              <w:pStyle w:val="23"/>
              <w:rPr>
                <w:rFonts w:ascii="Times New Roman"/>
              </w:rPr>
            </w:pPr>
          </w:p>
        </w:tc>
        <w:tc>
          <w:tcPr>
            <w:tcW w:w="1301" w:type="dxa"/>
          </w:tcPr>
          <w:p>
            <w:pPr>
              <w:pStyle w:val="23"/>
              <w:rPr>
                <w:rFonts w:ascii="Times New Roman"/>
              </w:rPr>
            </w:pPr>
          </w:p>
        </w:tc>
        <w:tc>
          <w:tcPr>
            <w:tcW w:w="705" w:type="dxa"/>
          </w:tcPr>
          <w:p>
            <w:pPr>
              <w:pStyle w:val="23"/>
              <w:rPr>
                <w:rFonts w:ascii="Times New Roman"/>
              </w:rPr>
            </w:pPr>
          </w:p>
        </w:tc>
        <w:tc>
          <w:tcPr>
            <w:tcW w:w="1046" w:type="dxa"/>
          </w:tcPr>
          <w:p>
            <w:pPr>
              <w:pStyle w:val="23"/>
              <w:rPr>
                <w:rFonts w:ascii="Times New Roman"/>
              </w:rPr>
            </w:pPr>
          </w:p>
        </w:tc>
        <w:tc>
          <w:tcPr>
            <w:tcW w:w="746" w:type="dxa"/>
          </w:tcPr>
          <w:p>
            <w:pPr>
              <w:pStyle w:val="23"/>
              <w:rPr>
                <w:rFonts w:ascii="Times New Roman"/>
              </w:rPr>
            </w:pPr>
          </w:p>
        </w:tc>
        <w:tc>
          <w:tcPr>
            <w:tcW w:w="1672" w:type="dxa"/>
          </w:tcPr>
          <w:p>
            <w:pPr>
              <w:pStyle w:val="23"/>
              <w:rPr>
                <w:rFonts w:ascii="Times New Roman"/>
              </w:rPr>
            </w:pPr>
          </w:p>
        </w:tc>
        <w:tc>
          <w:tcPr>
            <w:tcW w:w="691"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591" w:type="dxa"/>
          </w:tcPr>
          <w:p>
            <w:pPr>
              <w:pStyle w:val="23"/>
              <w:jc w:val="center"/>
              <w:rPr>
                <w:rFonts w:ascii="Times New Roman"/>
                <w:lang w:val="en-US"/>
              </w:rPr>
            </w:pPr>
          </w:p>
        </w:tc>
        <w:tc>
          <w:tcPr>
            <w:tcW w:w="849" w:type="dxa"/>
          </w:tcPr>
          <w:p>
            <w:pPr>
              <w:pStyle w:val="23"/>
              <w:rPr>
                <w:rFonts w:ascii="Times New Roman"/>
              </w:rPr>
            </w:pPr>
          </w:p>
        </w:tc>
        <w:tc>
          <w:tcPr>
            <w:tcW w:w="865" w:type="dxa"/>
          </w:tcPr>
          <w:p>
            <w:pPr>
              <w:pStyle w:val="23"/>
              <w:rPr>
                <w:rFonts w:ascii="Times New Roman"/>
              </w:rPr>
            </w:pPr>
          </w:p>
        </w:tc>
        <w:tc>
          <w:tcPr>
            <w:tcW w:w="1301" w:type="dxa"/>
          </w:tcPr>
          <w:p>
            <w:pPr>
              <w:pStyle w:val="23"/>
              <w:rPr>
                <w:rFonts w:ascii="Times New Roman"/>
              </w:rPr>
            </w:pPr>
          </w:p>
        </w:tc>
        <w:tc>
          <w:tcPr>
            <w:tcW w:w="705" w:type="dxa"/>
          </w:tcPr>
          <w:p>
            <w:pPr>
              <w:pStyle w:val="23"/>
              <w:rPr>
                <w:rFonts w:ascii="Times New Roman"/>
              </w:rPr>
            </w:pPr>
          </w:p>
        </w:tc>
        <w:tc>
          <w:tcPr>
            <w:tcW w:w="1046" w:type="dxa"/>
          </w:tcPr>
          <w:p>
            <w:pPr>
              <w:pStyle w:val="23"/>
              <w:rPr>
                <w:rFonts w:ascii="Times New Roman"/>
              </w:rPr>
            </w:pPr>
          </w:p>
        </w:tc>
        <w:tc>
          <w:tcPr>
            <w:tcW w:w="746" w:type="dxa"/>
          </w:tcPr>
          <w:p>
            <w:pPr>
              <w:pStyle w:val="23"/>
              <w:rPr>
                <w:rFonts w:ascii="Times New Roman"/>
              </w:rPr>
            </w:pPr>
          </w:p>
        </w:tc>
        <w:tc>
          <w:tcPr>
            <w:tcW w:w="1672" w:type="dxa"/>
          </w:tcPr>
          <w:p>
            <w:pPr>
              <w:pStyle w:val="23"/>
              <w:rPr>
                <w:rFonts w:ascii="Times New Roman"/>
              </w:rPr>
            </w:pPr>
          </w:p>
        </w:tc>
        <w:tc>
          <w:tcPr>
            <w:tcW w:w="691"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591" w:type="dxa"/>
          </w:tcPr>
          <w:p>
            <w:pPr>
              <w:pStyle w:val="23"/>
              <w:rPr>
                <w:rFonts w:ascii="Times New Roman"/>
              </w:rPr>
            </w:pPr>
          </w:p>
        </w:tc>
        <w:tc>
          <w:tcPr>
            <w:tcW w:w="849" w:type="dxa"/>
          </w:tcPr>
          <w:p>
            <w:pPr>
              <w:pStyle w:val="23"/>
              <w:rPr>
                <w:rFonts w:ascii="Times New Roman"/>
              </w:rPr>
            </w:pPr>
          </w:p>
        </w:tc>
        <w:tc>
          <w:tcPr>
            <w:tcW w:w="865" w:type="dxa"/>
          </w:tcPr>
          <w:p>
            <w:pPr>
              <w:pStyle w:val="23"/>
              <w:rPr>
                <w:rFonts w:ascii="Times New Roman"/>
              </w:rPr>
            </w:pPr>
          </w:p>
        </w:tc>
        <w:tc>
          <w:tcPr>
            <w:tcW w:w="1301" w:type="dxa"/>
          </w:tcPr>
          <w:p>
            <w:pPr>
              <w:pStyle w:val="23"/>
              <w:rPr>
                <w:rFonts w:ascii="Times New Roman"/>
              </w:rPr>
            </w:pPr>
          </w:p>
        </w:tc>
        <w:tc>
          <w:tcPr>
            <w:tcW w:w="705" w:type="dxa"/>
          </w:tcPr>
          <w:p>
            <w:pPr>
              <w:pStyle w:val="23"/>
              <w:rPr>
                <w:rFonts w:ascii="Times New Roman"/>
              </w:rPr>
            </w:pPr>
          </w:p>
        </w:tc>
        <w:tc>
          <w:tcPr>
            <w:tcW w:w="1046" w:type="dxa"/>
          </w:tcPr>
          <w:p>
            <w:pPr>
              <w:pStyle w:val="23"/>
              <w:rPr>
                <w:rFonts w:ascii="Times New Roman"/>
              </w:rPr>
            </w:pPr>
          </w:p>
        </w:tc>
        <w:tc>
          <w:tcPr>
            <w:tcW w:w="746" w:type="dxa"/>
          </w:tcPr>
          <w:p>
            <w:pPr>
              <w:pStyle w:val="23"/>
              <w:rPr>
                <w:rFonts w:ascii="Times New Roman"/>
              </w:rPr>
            </w:pPr>
          </w:p>
        </w:tc>
        <w:tc>
          <w:tcPr>
            <w:tcW w:w="1672" w:type="dxa"/>
          </w:tcPr>
          <w:p>
            <w:pPr>
              <w:pStyle w:val="23"/>
              <w:rPr>
                <w:rFonts w:ascii="Times New Roman"/>
              </w:rPr>
            </w:pPr>
          </w:p>
        </w:tc>
        <w:tc>
          <w:tcPr>
            <w:tcW w:w="691"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591" w:type="dxa"/>
          </w:tcPr>
          <w:p>
            <w:pPr>
              <w:pStyle w:val="23"/>
              <w:rPr>
                <w:rFonts w:ascii="Times New Roman"/>
              </w:rPr>
            </w:pPr>
          </w:p>
        </w:tc>
        <w:tc>
          <w:tcPr>
            <w:tcW w:w="849" w:type="dxa"/>
          </w:tcPr>
          <w:p>
            <w:pPr>
              <w:pStyle w:val="23"/>
              <w:rPr>
                <w:rFonts w:ascii="Times New Roman"/>
              </w:rPr>
            </w:pPr>
          </w:p>
        </w:tc>
        <w:tc>
          <w:tcPr>
            <w:tcW w:w="865" w:type="dxa"/>
          </w:tcPr>
          <w:p>
            <w:pPr>
              <w:pStyle w:val="23"/>
              <w:rPr>
                <w:rFonts w:ascii="Times New Roman"/>
              </w:rPr>
            </w:pPr>
          </w:p>
        </w:tc>
        <w:tc>
          <w:tcPr>
            <w:tcW w:w="1301" w:type="dxa"/>
          </w:tcPr>
          <w:p>
            <w:pPr>
              <w:pStyle w:val="23"/>
              <w:rPr>
                <w:rFonts w:ascii="Times New Roman"/>
              </w:rPr>
            </w:pPr>
          </w:p>
        </w:tc>
        <w:tc>
          <w:tcPr>
            <w:tcW w:w="705" w:type="dxa"/>
          </w:tcPr>
          <w:p>
            <w:pPr>
              <w:pStyle w:val="23"/>
              <w:rPr>
                <w:rFonts w:ascii="Times New Roman"/>
              </w:rPr>
            </w:pPr>
          </w:p>
        </w:tc>
        <w:tc>
          <w:tcPr>
            <w:tcW w:w="1046" w:type="dxa"/>
          </w:tcPr>
          <w:p>
            <w:pPr>
              <w:pStyle w:val="23"/>
              <w:rPr>
                <w:rFonts w:ascii="Times New Roman"/>
              </w:rPr>
            </w:pPr>
          </w:p>
        </w:tc>
        <w:tc>
          <w:tcPr>
            <w:tcW w:w="746" w:type="dxa"/>
          </w:tcPr>
          <w:p>
            <w:pPr>
              <w:pStyle w:val="23"/>
              <w:rPr>
                <w:rFonts w:ascii="Times New Roman"/>
              </w:rPr>
            </w:pPr>
          </w:p>
        </w:tc>
        <w:tc>
          <w:tcPr>
            <w:tcW w:w="1672" w:type="dxa"/>
          </w:tcPr>
          <w:p>
            <w:pPr>
              <w:pStyle w:val="23"/>
              <w:rPr>
                <w:rFonts w:ascii="Times New Roman"/>
              </w:rPr>
            </w:pPr>
          </w:p>
        </w:tc>
        <w:tc>
          <w:tcPr>
            <w:tcW w:w="691"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591" w:type="dxa"/>
          </w:tcPr>
          <w:p>
            <w:pPr>
              <w:pStyle w:val="23"/>
              <w:rPr>
                <w:rFonts w:ascii="Times New Roman"/>
              </w:rPr>
            </w:pPr>
          </w:p>
          <w:p>
            <w:pPr>
              <w:jc w:val="center"/>
              <w:rPr>
                <w:lang w:val="en-US"/>
              </w:rPr>
            </w:pPr>
          </w:p>
        </w:tc>
        <w:tc>
          <w:tcPr>
            <w:tcW w:w="849" w:type="dxa"/>
          </w:tcPr>
          <w:p>
            <w:pPr>
              <w:pStyle w:val="23"/>
              <w:rPr>
                <w:rFonts w:ascii="Times New Roman"/>
              </w:rPr>
            </w:pPr>
          </w:p>
        </w:tc>
        <w:tc>
          <w:tcPr>
            <w:tcW w:w="865" w:type="dxa"/>
          </w:tcPr>
          <w:p>
            <w:pPr>
              <w:pStyle w:val="23"/>
              <w:rPr>
                <w:rFonts w:ascii="Times New Roman"/>
              </w:rPr>
            </w:pPr>
          </w:p>
        </w:tc>
        <w:tc>
          <w:tcPr>
            <w:tcW w:w="1301" w:type="dxa"/>
          </w:tcPr>
          <w:p>
            <w:pPr>
              <w:pStyle w:val="23"/>
              <w:rPr>
                <w:rFonts w:ascii="Times New Roman"/>
              </w:rPr>
            </w:pPr>
          </w:p>
        </w:tc>
        <w:tc>
          <w:tcPr>
            <w:tcW w:w="705" w:type="dxa"/>
          </w:tcPr>
          <w:p>
            <w:pPr>
              <w:pStyle w:val="23"/>
              <w:rPr>
                <w:rFonts w:ascii="Times New Roman"/>
              </w:rPr>
            </w:pPr>
          </w:p>
        </w:tc>
        <w:tc>
          <w:tcPr>
            <w:tcW w:w="1046" w:type="dxa"/>
          </w:tcPr>
          <w:p>
            <w:pPr>
              <w:pStyle w:val="23"/>
              <w:rPr>
                <w:rFonts w:ascii="Times New Roman"/>
              </w:rPr>
            </w:pPr>
          </w:p>
        </w:tc>
        <w:tc>
          <w:tcPr>
            <w:tcW w:w="746" w:type="dxa"/>
          </w:tcPr>
          <w:p>
            <w:pPr>
              <w:pStyle w:val="23"/>
              <w:rPr>
                <w:rFonts w:ascii="Times New Roman"/>
              </w:rPr>
            </w:pPr>
          </w:p>
        </w:tc>
        <w:tc>
          <w:tcPr>
            <w:tcW w:w="1672" w:type="dxa"/>
          </w:tcPr>
          <w:p>
            <w:pPr>
              <w:pStyle w:val="23"/>
              <w:rPr>
                <w:rFonts w:ascii="Times New Roman"/>
              </w:rPr>
            </w:pPr>
          </w:p>
        </w:tc>
        <w:tc>
          <w:tcPr>
            <w:tcW w:w="691"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591" w:type="dxa"/>
          </w:tcPr>
          <w:p>
            <w:pPr>
              <w:pStyle w:val="23"/>
              <w:jc w:val="center"/>
              <w:rPr>
                <w:rFonts w:ascii="Times New Roman"/>
                <w:lang w:val="en-US"/>
              </w:rPr>
            </w:pPr>
          </w:p>
        </w:tc>
        <w:tc>
          <w:tcPr>
            <w:tcW w:w="849" w:type="dxa"/>
          </w:tcPr>
          <w:p>
            <w:pPr>
              <w:pStyle w:val="23"/>
              <w:rPr>
                <w:rFonts w:ascii="Times New Roman"/>
              </w:rPr>
            </w:pPr>
          </w:p>
        </w:tc>
        <w:tc>
          <w:tcPr>
            <w:tcW w:w="865" w:type="dxa"/>
          </w:tcPr>
          <w:p>
            <w:pPr>
              <w:pStyle w:val="23"/>
              <w:rPr>
                <w:rFonts w:ascii="Times New Roman"/>
              </w:rPr>
            </w:pPr>
          </w:p>
        </w:tc>
        <w:tc>
          <w:tcPr>
            <w:tcW w:w="1301" w:type="dxa"/>
          </w:tcPr>
          <w:p>
            <w:pPr>
              <w:pStyle w:val="23"/>
              <w:rPr>
                <w:rFonts w:ascii="Times New Roman"/>
              </w:rPr>
            </w:pPr>
          </w:p>
        </w:tc>
        <w:tc>
          <w:tcPr>
            <w:tcW w:w="705" w:type="dxa"/>
          </w:tcPr>
          <w:p>
            <w:pPr>
              <w:pStyle w:val="23"/>
              <w:rPr>
                <w:rFonts w:ascii="Times New Roman"/>
              </w:rPr>
            </w:pPr>
          </w:p>
        </w:tc>
        <w:tc>
          <w:tcPr>
            <w:tcW w:w="1046" w:type="dxa"/>
          </w:tcPr>
          <w:p>
            <w:pPr>
              <w:pStyle w:val="23"/>
              <w:rPr>
                <w:rFonts w:ascii="Times New Roman"/>
              </w:rPr>
            </w:pPr>
          </w:p>
        </w:tc>
        <w:tc>
          <w:tcPr>
            <w:tcW w:w="746" w:type="dxa"/>
          </w:tcPr>
          <w:p>
            <w:pPr>
              <w:pStyle w:val="23"/>
              <w:rPr>
                <w:rFonts w:ascii="Times New Roman"/>
              </w:rPr>
            </w:pPr>
          </w:p>
        </w:tc>
        <w:tc>
          <w:tcPr>
            <w:tcW w:w="1672" w:type="dxa"/>
          </w:tcPr>
          <w:p>
            <w:pPr>
              <w:pStyle w:val="23"/>
              <w:rPr>
                <w:rFonts w:ascii="Times New Roman"/>
              </w:rPr>
            </w:pPr>
          </w:p>
        </w:tc>
        <w:tc>
          <w:tcPr>
            <w:tcW w:w="691"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0" w:hRule="atLeast"/>
        </w:trPr>
        <w:tc>
          <w:tcPr>
            <w:tcW w:w="1591" w:type="dxa"/>
          </w:tcPr>
          <w:p>
            <w:pPr>
              <w:pStyle w:val="23"/>
              <w:rPr>
                <w:rFonts w:ascii="Times New Roman"/>
              </w:rPr>
            </w:pPr>
          </w:p>
        </w:tc>
        <w:tc>
          <w:tcPr>
            <w:tcW w:w="849" w:type="dxa"/>
          </w:tcPr>
          <w:p>
            <w:pPr>
              <w:pStyle w:val="23"/>
              <w:rPr>
                <w:rFonts w:ascii="Times New Roman"/>
              </w:rPr>
            </w:pPr>
          </w:p>
        </w:tc>
        <w:tc>
          <w:tcPr>
            <w:tcW w:w="865" w:type="dxa"/>
          </w:tcPr>
          <w:p>
            <w:pPr>
              <w:pStyle w:val="23"/>
              <w:rPr>
                <w:rFonts w:ascii="Times New Roman"/>
              </w:rPr>
            </w:pPr>
          </w:p>
        </w:tc>
        <w:tc>
          <w:tcPr>
            <w:tcW w:w="1301" w:type="dxa"/>
          </w:tcPr>
          <w:p>
            <w:pPr>
              <w:pStyle w:val="23"/>
              <w:rPr>
                <w:rFonts w:ascii="Times New Roman"/>
              </w:rPr>
            </w:pPr>
          </w:p>
        </w:tc>
        <w:tc>
          <w:tcPr>
            <w:tcW w:w="705" w:type="dxa"/>
          </w:tcPr>
          <w:p>
            <w:pPr>
              <w:pStyle w:val="23"/>
              <w:rPr>
                <w:rFonts w:ascii="Times New Roman"/>
              </w:rPr>
            </w:pPr>
          </w:p>
        </w:tc>
        <w:tc>
          <w:tcPr>
            <w:tcW w:w="1046" w:type="dxa"/>
          </w:tcPr>
          <w:p>
            <w:pPr>
              <w:pStyle w:val="23"/>
              <w:rPr>
                <w:rFonts w:ascii="Times New Roman"/>
              </w:rPr>
            </w:pPr>
          </w:p>
        </w:tc>
        <w:tc>
          <w:tcPr>
            <w:tcW w:w="746" w:type="dxa"/>
          </w:tcPr>
          <w:p>
            <w:pPr>
              <w:pStyle w:val="23"/>
              <w:rPr>
                <w:rFonts w:ascii="Times New Roman"/>
              </w:rPr>
            </w:pPr>
          </w:p>
        </w:tc>
        <w:tc>
          <w:tcPr>
            <w:tcW w:w="1672" w:type="dxa"/>
          </w:tcPr>
          <w:p>
            <w:pPr>
              <w:pStyle w:val="23"/>
              <w:rPr>
                <w:rFonts w:ascii="Times New Roman"/>
              </w:rPr>
            </w:pPr>
          </w:p>
        </w:tc>
        <w:tc>
          <w:tcPr>
            <w:tcW w:w="691"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591" w:type="dxa"/>
          </w:tcPr>
          <w:p>
            <w:pPr>
              <w:pStyle w:val="23"/>
              <w:rPr>
                <w:rFonts w:ascii="Times New Roman"/>
              </w:rPr>
            </w:pPr>
          </w:p>
        </w:tc>
        <w:tc>
          <w:tcPr>
            <w:tcW w:w="849" w:type="dxa"/>
          </w:tcPr>
          <w:p>
            <w:pPr>
              <w:pStyle w:val="23"/>
              <w:rPr>
                <w:rFonts w:ascii="Times New Roman"/>
              </w:rPr>
            </w:pPr>
          </w:p>
        </w:tc>
        <w:tc>
          <w:tcPr>
            <w:tcW w:w="865" w:type="dxa"/>
          </w:tcPr>
          <w:p>
            <w:pPr>
              <w:pStyle w:val="23"/>
              <w:rPr>
                <w:rFonts w:ascii="Times New Roman"/>
              </w:rPr>
            </w:pPr>
          </w:p>
        </w:tc>
        <w:tc>
          <w:tcPr>
            <w:tcW w:w="1301" w:type="dxa"/>
          </w:tcPr>
          <w:p>
            <w:pPr>
              <w:pStyle w:val="23"/>
              <w:rPr>
                <w:rFonts w:ascii="Times New Roman"/>
              </w:rPr>
            </w:pPr>
          </w:p>
        </w:tc>
        <w:tc>
          <w:tcPr>
            <w:tcW w:w="705" w:type="dxa"/>
          </w:tcPr>
          <w:p>
            <w:pPr>
              <w:pStyle w:val="23"/>
              <w:rPr>
                <w:rFonts w:ascii="Times New Roman"/>
              </w:rPr>
            </w:pPr>
          </w:p>
        </w:tc>
        <w:tc>
          <w:tcPr>
            <w:tcW w:w="1046" w:type="dxa"/>
          </w:tcPr>
          <w:p>
            <w:pPr>
              <w:pStyle w:val="23"/>
              <w:rPr>
                <w:rFonts w:ascii="Times New Roman"/>
              </w:rPr>
            </w:pPr>
          </w:p>
        </w:tc>
        <w:tc>
          <w:tcPr>
            <w:tcW w:w="746" w:type="dxa"/>
          </w:tcPr>
          <w:p>
            <w:pPr>
              <w:pStyle w:val="23"/>
              <w:rPr>
                <w:rFonts w:ascii="Times New Roman"/>
              </w:rPr>
            </w:pPr>
          </w:p>
        </w:tc>
        <w:tc>
          <w:tcPr>
            <w:tcW w:w="1672" w:type="dxa"/>
          </w:tcPr>
          <w:p>
            <w:pPr>
              <w:pStyle w:val="23"/>
              <w:rPr>
                <w:rFonts w:ascii="Times New Roman"/>
              </w:rPr>
            </w:pPr>
          </w:p>
        </w:tc>
        <w:tc>
          <w:tcPr>
            <w:tcW w:w="691"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591" w:type="dxa"/>
          </w:tcPr>
          <w:p>
            <w:pPr>
              <w:pStyle w:val="23"/>
              <w:rPr>
                <w:rFonts w:ascii="Times New Roman"/>
              </w:rPr>
            </w:pPr>
          </w:p>
        </w:tc>
        <w:tc>
          <w:tcPr>
            <w:tcW w:w="849" w:type="dxa"/>
          </w:tcPr>
          <w:p>
            <w:pPr>
              <w:pStyle w:val="23"/>
              <w:rPr>
                <w:rFonts w:ascii="Times New Roman"/>
              </w:rPr>
            </w:pPr>
          </w:p>
        </w:tc>
        <w:tc>
          <w:tcPr>
            <w:tcW w:w="865" w:type="dxa"/>
          </w:tcPr>
          <w:p>
            <w:pPr>
              <w:pStyle w:val="23"/>
              <w:rPr>
                <w:rFonts w:ascii="Times New Roman"/>
              </w:rPr>
            </w:pPr>
          </w:p>
        </w:tc>
        <w:tc>
          <w:tcPr>
            <w:tcW w:w="1301" w:type="dxa"/>
          </w:tcPr>
          <w:p>
            <w:pPr>
              <w:pStyle w:val="23"/>
              <w:rPr>
                <w:rFonts w:ascii="Times New Roman"/>
              </w:rPr>
            </w:pPr>
          </w:p>
        </w:tc>
        <w:tc>
          <w:tcPr>
            <w:tcW w:w="705" w:type="dxa"/>
          </w:tcPr>
          <w:p>
            <w:pPr>
              <w:pStyle w:val="23"/>
              <w:rPr>
                <w:rFonts w:ascii="Times New Roman"/>
              </w:rPr>
            </w:pPr>
          </w:p>
        </w:tc>
        <w:tc>
          <w:tcPr>
            <w:tcW w:w="1046" w:type="dxa"/>
          </w:tcPr>
          <w:p>
            <w:pPr>
              <w:pStyle w:val="23"/>
              <w:rPr>
                <w:rFonts w:ascii="Times New Roman"/>
              </w:rPr>
            </w:pPr>
          </w:p>
        </w:tc>
        <w:tc>
          <w:tcPr>
            <w:tcW w:w="746" w:type="dxa"/>
          </w:tcPr>
          <w:p>
            <w:pPr>
              <w:pStyle w:val="23"/>
              <w:rPr>
                <w:rFonts w:ascii="Times New Roman"/>
              </w:rPr>
            </w:pPr>
          </w:p>
        </w:tc>
        <w:tc>
          <w:tcPr>
            <w:tcW w:w="1672" w:type="dxa"/>
          </w:tcPr>
          <w:p>
            <w:pPr>
              <w:pStyle w:val="23"/>
              <w:rPr>
                <w:rFonts w:ascii="Times New Roman"/>
              </w:rPr>
            </w:pPr>
          </w:p>
        </w:tc>
        <w:tc>
          <w:tcPr>
            <w:tcW w:w="691"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591" w:type="dxa"/>
          </w:tcPr>
          <w:p>
            <w:pPr>
              <w:pStyle w:val="23"/>
              <w:rPr>
                <w:rFonts w:ascii="Times New Roman"/>
              </w:rPr>
            </w:pPr>
          </w:p>
        </w:tc>
        <w:tc>
          <w:tcPr>
            <w:tcW w:w="849" w:type="dxa"/>
          </w:tcPr>
          <w:p>
            <w:pPr>
              <w:pStyle w:val="23"/>
              <w:rPr>
                <w:rFonts w:ascii="Times New Roman"/>
              </w:rPr>
            </w:pPr>
          </w:p>
        </w:tc>
        <w:tc>
          <w:tcPr>
            <w:tcW w:w="865" w:type="dxa"/>
          </w:tcPr>
          <w:p>
            <w:pPr>
              <w:pStyle w:val="23"/>
              <w:rPr>
                <w:rFonts w:ascii="Times New Roman"/>
              </w:rPr>
            </w:pPr>
          </w:p>
        </w:tc>
        <w:tc>
          <w:tcPr>
            <w:tcW w:w="1301" w:type="dxa"/>
          </w:tcPr>
          <w:p>
            <w:pPr>
              <w:pStyle w:val="23"/>
              <w:rPr>
                <w:rFonts w:ascii="Times New Roman"/>
              </w:rPr>
            </w:pPr>
          </w:p>
        </w:tc>
        <w:tc>
          <w:tcPr>
            <w:tcW w:w="705" w:type="dxa"/>
          </w:tcPr>
          <w:p>
            <w:pPr>
              <w:pStyle w:val="23"/>
              <w:rPr>
                <w:rFonts w:ascii="Times New Roman"/>
              </w:rPr>
            </w:pPr>
          </w:p>
        </w:tc>
        <w:tc>
          <w:tcPr>
            <w:tcW w:w="1046" w:type="dxa"/>
          </w:tcPr>
          <w:p>
            <w:pPr>
              <w:pStyle w:val="23"/>
              <w:rPr>
                <w:rFonts w:ascii="Times New Roman"/>
              </w:rPr>
            </w:pPr>
          </w:p>
        </w:tc>
        <w:tc>
          <w:tcPr>
            <w:tcW w:w="746" w:type="dxa"/>
          </w:tcPr>
          <w:p>
            <w:pPr>
              <w:pStyle w:val="23"/>
              <w:rPr>
                <w:rFonts w:ascii="Times New Roman"/>
              </w:rPr>
            </w:pPr>
          </w:p>
        </w:tc>
        <w:tc>
          <w:tcPr>
            <w:tcW w:w="1672" w:type="dxa"/>
          </w:tcPr>
          <w:p>
            <w:pPr>
              <w:pStyle w:val="23"/>
              <w:rPr>
                <w:rFonts w:ascii="Times New Roman"/>
              </w:rPr>
            </w:pPr>
          </w:p>
        </w:tc>
        <w:tc>
          <w:tcPr>
            <w:tcW w:w="691"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591" w:type="dxa"/>
          </w:tcPr>
          <w:p>
            <w:pPr>
              <w:pStyle w:val="23"/>
              <w:rPr>
                <w:rFonts w:ascii="Times New Roman"/>
              </w:rPr>
            </w:pPr>
          </w:p>
        </w:tc>
        <w:tc>
          <w:tcPr>
            <w:tcW w:w="849" w:type="dxa"/>
          </w:tcPr>
          <w:p>
            <w:pPr>
              <w:pStyle w:val="23"/>
              <w:rPr>
                <w:rFonts w:ascii="Times New Roman"/>
              </w:rPr>
            </w:pPr>
          </w:p>
        </w:tc>
        <w:tc>
          <w:tcPr>
            <w:tcW w:w="865" w:type="dxa"/>
          </w:tcPr>
          <w:p>
            <w:pPr>
              <w:pStyle w:val="23"/>
              <w:rPr>
                <w:rFonts w:ascii="Times New Roman"/>
              </w:rPr>
            </w:pPr>
          </w:p>
        </w:tc>
        <w:tc>
          <w:tcPr>
            <w:tcW w:w="1301" w:type="dxa"/>
          </w:tcPr>
          <w:p>
            <w:pPr>
              <w:pStyle w:val="23"/>
              <w:rPr>
                <w:rFonts w:ascii="Times New Roman"/>
              </w:rPr>
            </w:pPr>
          </w:p>
        </w:tc>
        <w:tc>
          <w:tcPr>
            <w:tcW w:w="705" w:type="dxa"/>
          </w:tcPr>
          <w:p>
            <w:pPr>
              <w:pStyle w:val="23"/>
              <w:rPr>
                <w:rFonts w:ascii="Times New Roman"/>
              </w:rPr>
            </w:pPr>
          </w:p>
        </w:tc>
        <w:tc>
          <w:tcPr>
            <w:tcW w:w="1046" w:type="dxa"/>
          </w:tcPr>
          <w:p>
            <w:pPr>
              <w:pStyle w:val="23"/>
              <w:rPr>
                <w:rFonts w:ascii="Times New Roman"/>
              </w:rPr>
            </w:pPr>
          </w:p>
        </w:tc>
        <w:tc>
          <w:tcPr>
            <w:tcW w:w="746" w:type="dxa"/>
          </w:tcPr>
          <w:p>
            <w:pPr>
              <w:pStyle w:val="23"/>
              <w:rPr>
                <w:rFonts w:ascii="Times New Roman"/>
              </w:rPr>
            </w:pPr>
          </w:p>
        </w:tc>
        <w:tc>
          <w:tcPr>
            <w:tcW w:w="1672" w:type="dxa"/>
          </w:tcPr>
          <w:p>
            <w:pPr>
              <w:pStyle w:val="23"/>
              <w:rPr>
                <w:rFonts w:ascii="Times New Roman"/>
              </w:rPr>
            </w:pPr>
          </w:p>
        </w:tc>
        <w:tc>
          <w:tcPr>
            <w:tcW w:w="691" w:type="dxa"/>
          </w:tcPr>
          <w:p>
            <w:pPr>
              <w:pStyle w:val="23"/>
              <w:rPr>
                <w:rFonts w:ascii="Times New Roman"/>
              </w:rPr>
            </w:pPr>
          </w:p>
        </w:tc>
      </w:tr>
    </w:tbl>
    <w:p>
      <w:pPr>
        <w:pStyle w:val="9"/>
      </w:pPr>
    </w:p>
    <w:p>
      <w:pPr>
        <w:pStyle w:val="9"/>
      </w:pPr>
    </w:p>
    <w:p>
      <w:pPr>
        <w:pStyle w:val="9"/>
      </w:pPr>
    </w:p>
    <w:p>
      <w:pPr>
        <w:pStyle w:val="9"/>
        <w:ind w:firstLine="480" w:firstLineChars="200"/>
        <w:rPr>
          <w:highlight w:val="yellow"/>
          <w:lang w:val="en-US"/>
        </w:rPr>
      </w:pPr>
    </w:p>
    <w:p>
      <w:pPr>
        <w:pStyle w:val="9"/>
        <w:rPr>
          <w:lang w:val="en-US"/>
        </w:rPr>
      </w:pPr>
    </w:p>
    <w:p>
      <w:pPr>
        <w:pStyle w:val="9"/>
      </w:pPr>
    </w:p>
    <w:p>
      <w:pPr>
        <w:pStyle w:val="9"/>
      </w:pPr>
    </w:p>
    <w:p>
      <w:pPr>
        <w:pStyle w:val="9"/>
        <w:spacing w:before="2"/>
        <w:rPr>
          <w:sz w:val="26"/>
        </w:rPr>
      </w:pPr>
    </w:p>
    <w:p>
      <w:pPr>
        <w:pStyle w:val="9"/>
        <w:tabs>
          <w:tab w:val="left" w:pos="5686"/>
          <w:tab w:val="left" w:pos="6555"/>
        </w:tabs>
        <w:spacing w:line="242" w:lineRule="auto"/>
        <w:ind w:left="796" w:right="3808"/>
        <w:rPr>
          <w:rFonts w:ascii="Times New Roman" w:eastAsia="Times New Roman"/>
        </w:rPr>
      </w:pPr>
      <w:r>
        <w:t>法定代表人或其委托代理人签字:</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投标人(盖单位章):</w:t>
      </w:r>
      <w:r>
        <w:rPr>
          <w:rFonts w:ascii="Times New Roman" w:eastAsia="Times New Roman"/>
          <w:u w:val="single"/>
        </w:rPr>
        <w:t xml:space="preserve"> </w:t>
      </w:r>
      <w:r>
        <w:rPr>
          <w:rFonts w:ascii="Times New Roman" w:eastAsia="Times New Roman"/>
          <w:u w:val="single"/>
        </w:rPr>
        <w:tab/>
      </w: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6"/>
        <w:rPr>
          <w:rFonts w:ascii="Times New Roman"/>
          <w:sz w:val="22"/>
        </w:rPr>
      </w:pPr>
    </w:p>
    <w:p>
      <w:pPr>
        <w:pStyle w:val="9"/>
        <w:spacing w:before="67"/>
        <w:ind w:left="255"/>
      </w:pPr>
      <w:r>
        <w:t>注：一览表中所提供项目人员需附人员简历表</w:t>
      </w:r>
    </w:p>
    <w:p>
      <w:pPr>
        <w:tabs>
          <w:tab w:val="left" w:pos="3788"/>
        </w:tabs>
        <w:spacing w:before="53"/>
        <w:ind w:left="3306"/>
        <w:rPr>
          <w:b/>
          <w:sz w:val="24"/>
        </w:rPr>
      </w:pPr>
    </w:p>
    <w:p>
      <w:pPr>
        <w:tabs>
          <w:tab w:val="left" w:pos="3788"/>
        </w:tabs>
        <w:spacing w:before="53"/>
        <w:ind w:left="3306"/>
        <w:rPr>
          <w:b/>
          <w:sz w:val="24"/>
        </w:rPr>
      </w:pPr>
    </w:p>
    <w:p>
      <w:pPr>
        <w:tabs>
          <w:tab w:val="left" w:pos="3788"/>
        </w:tabs>
        <w:spacing w:before="53"/>
        <w:ind w:left="3306"/>
        <w:rPr>
          <w:b/>
          <w:sz w:val="24"/>
        </w:rPr>
      </w:pPr>
    </w:p>
    <w:p>
      <w:pPr>
        <w:tabs>
          <w:tab w:val="left" w:pos="3788"/>
        </w:tabs>
        <w:spacing w:before="53"/>
        <w:ind w:left="3306"/>
        <w:rPr>
          <w:b/>
          <w:sz w:val="24"/>
        </w:rPr>
      </w:pPr>
    </w:p>
    <w:p>
      <w:pPr>
        <w:tabs>
          <w:tab w:val="left" w:pos="3788"/>
        </w:tabs>
        <w:spacing w:before="53"/>
        <w:ind w:left="3306"/>
        <w:rPr>
          <w:b/>
          <w:sz w:val="24"/>
        </w:rPr>
      </w:pPr>
    </w:p>
    <w:p>
      <w:pPr>
        <w:tabs>
          <w:tab w:val="left" w:pos="3788"/>
        </w:tabs>
        <w:spacing w:before="53"/>
        <w:ind w:left="3306"/>
        <w:rPr>
          <w:b/>
          <w:sz w:val="24"/>
        </w:rPr>
      </w:pPr>
    </w:p>
    <w:p>
      <w:pPr>
        <w:tabs>
          <w:tab w:val="left" w:pos="3788"/>
        </w:tabs>
        <w:spacing w:before="53"/>
        <w:ind w:left="3306"/>
        <w:rPr>
          <w:b/>
          <w:sz w:val="24"/>
        </w:rPr>
      </w:pPr>
    </w:p>
    <w:p>
      <w:pPr>
        <w:spacing w:before="52"/>
        <w:ind w:left="1076" w:right="1246"/>
        <w:jc w:val="center"/>
        <w:rPr>
          <w:rFonts w:ascii="宋体" w:eastAsia="宋体"/>
          <w:b/>
          <w:sz w:val="21"/>
        </w:rPr>
      </w:pPr>
      <w:bookmarkStart w:id="70" w:name="5-1__投标人企业（单位）类型声明函（投标文件格式七）"/>
      <w:bookmarkEnd w:id="70"/>
      <w:r>
        <w:rPr>
          <w:rFonts w:hint="eastAsia" w:ascii="宋体" w:eastAsia="宋体"/>
          <w:b/>
          <w:sz w:val="21"/>
          <w:lang w:val="en-US"/>
        </w:rPr>
        <w:t>5</w:t>
      </w:r>
      <w:r>
        <w:rPr>
          <w:rFonts w:hint="eastAsia" w:ascii="宋体" w:eastAsia="宋体"/>
          <w:b/>
          <w:sz w:val="21"/>
        </w:rPr>
        <w:t>、</w:t>
      </w:r>
      <w:r>
        <w:rPr>
          <w:rFonts w:hint="eastAsia" w:ascii="宋体" w:eastAsia="宋体"/>
          <w:b/>
          <w:sz w:val="21"/>
          <w:lang w:val="en-US"/>
        </w:rPr>
        <w:t>绿化养护、环卫设备（工具）</w:t>
      </w:r>
      <w:r>
        <w:rPr>
          <w:rFonts w:hint="eastAsia" w:ascii="宋体" w:eastAsia="宋体"/>
          <w:b/>
          <w:sz w:val="21"/>
        </w:rPr>
        <w:t>情况一览表</w:t>
      </w:r>
    </w:p>
    <w:p>
      <w:pPr>
        <w:pStyle w:val="9"/>
        <w:rPr>
          <w:b/>
          <w:sz w:val="20"/>
        </w:rPr>
      </w:pPr>
    </w:p>
    <w:p>
      <w:pPr>
        <w:pStyle w:val="9"/>
        <w:tabs>
          <w:tab w:val="left" w:pos="3975"/>
        </w:tabs>
        <w:spacing w:before="165" w:after="2"/>
        <w:ind w:left="255" w:firstLine="240" w:firstLineChars="100"/>
      </w:pPr>
      <w:r>
        <w:t>项目名称:</w:t>
      </w:r>
      <w:r>
        <w:tab/>
      </w:r>
      <w:r>
        <w:t>项目编号:</w:t>
      </w:r>
    </w:p>
    <w:tbl>
      <w:tblPr>
        <w:tblStyle w:val="19"/>
        <w:tblW w:w="0" w:type="auto"/>
        <w:tblInd w:w="15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72"/>
        <w:gridCol w:w="1790"/>
        <w:gridCol w:w="1539"/>
        <w:gridCol w:w="1529"/>
        <w:gridCol w:w="250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172" w:type="dxa"/>
            <w:tcBorders>
              <w:top w:val="single" w:color="auto" w:sz="4" w:space="0"/>
              <w:left w:val="single" w:color="auto" w:sz="4" w:space="0"/>
              <w:bottom w:val="single" w:color="auto" w:sz="4" w:space="0"/>
              <w:right w:val="single" w:color="auto" w:sz="4" w:space="0"/>
            </w:tcBorders>
            <w:vAlign w:val="center"/>
          </w:tcPr>
          <w:p>
            <w:pPr>
              <w:jc w:val="center"/>
              <w:rPr>
                <w:lang w:val="en-US"/>
              </w:rPr>
            </w:pPr>
            <w:r>
              <w:rPr>
                <w:rFonts w:hint="eastAsia"/>
                <w:lang w:val="en-US"/>
              </w:rPr>
              <w:t>序号</w:t>
            </w:r>
          </w:p>
        </w:tc>
        <w:tc>
          <w:tcPr>
            <w:tcW w:w="1790" w:type="dxa"/>
            <w:tcBorders>
              <w:top w:val="single" w:color="auto" w:sz="4" w:space="0"/>
              <w:left w:val="single" w:color="auto" w:sz="4" w:space="0"/>
              <w:bottom w:val="single" w:color="auto" w:sz="4" w:space="0"/>
              <w:right w:val="single" w:color="auto" w:sz="4" w:space="0"/>
            </w:tcBorders>
            <w:vAlign w:val="center"/>
          </w:tcPr>
          <w:p>
            <w:pPr>
              <w:jc w:val="center"/>
            </w:pPr>
          </w:p>
          <w:p>
            <w:pPr>
              <w:jc w:val="center"/>
              <w:rPr>
                <w:lang w:val="en-US"/>
              </w:rPr>
            </w:pPr>
            <w:r>
              <w:rPr>
                <w:rFonts w:hint="eastAsia"/>
                <w:lang w:val="en-US"/>
              </w:rPr>
              <w:t>名称</w:t>
            </w:r>
          </w:p>
        </w:tc>
        <w:tc>
          <w:tcPr>
            <w:tcW w:w="1539" w:type="dxa"/>
            <w:tcBorders>
              <w:top w:val="single" w:color="auto" w:sz="4" w:space="0"/>
              <w:left w:val="single" w:color="auto" w:sz="4" w:space="0"/>
              <w:bottom w:val="single" w:color="auto" w:sz="4" w:space="0"/>
              <w:right w:val="single" w:color="auto" w:sz="4" w:space="0"/>
            </w:tcBorders>
            <w:vAlign w:val="center"/>
          </w:tcPr>
          <w:p>
            <w:pPr>
              <w:jc w:val="center"/>
              <w:rPr>
                <w:lang w:val="en-US"/>
              </w:rPr>
            </w:pPr>
            <w:r>
              <w:rPr>
                <w:rFonts w:hint="eastAsia"/>
                <w:lang w:val="en-US"/>
              </w:rPr>
              <w:t>规格</w:t>
            </w:r>
          </w:p>
        </w:tc>
        <w:tc>
          <w:tcPr>
            <w:tcW w:w="1529" w:type="dxa"/>
            <w:tcBorders>
              <w:top w:val="single" w:color="auto" w:sz="4" w:space="0"/>
              <w:left w:val="single" w:color="auto" w:sz="4" w:space="0"/>
              <w:bottom w:val="single" w:color="auto" w:sz="4" w:space="0"/>
              <w:right w:val="single" w:color="auto" w:sz="4" w:space="0"/>
            </w:tcBorders>
            <w:vAlign w:val="center"/>
          </w:tcPr>
          <w:p>
            <w:pPr>
              <w:jc w:val="center"/>
              <w:rPr>
                <w:lang w:val="en-US"/>
              </w:rPr>
            </w:pPr>
            <w:r>
              <w:rPr>
                <w:rFonts w:hint="eastAsia"/>
                <w:lang w:val="en-US"/>
              </w:rPr>
              <w:t>数量</w:t>
            </w:r>
          </w:p>
        </w:tc>
        <w:tc>
          <w:tcPr>
            <w:tcW w:w="2506" w:type="dxa"/>
            <w:tcBorders>
              <w:left w:val="single" w:color="auto" w:sz="4" w:space="0"/>
            </w:tcBorders>
          </w:tcPr>
          <w:p>
            <w:pPr>
              <w:pStyle w:val="23"/>
              <w:rPr>
                <w:rFonts w:ascii="Times New Roman"/>
              </w:rPr>
            </w:pPr>
          </w:p>
          <w:p>
            <w:pPr>
              <w:jc w:val="center"/>
              <w:rPr>
                <w:lang w:val="en-US"/>
              </w:rPr>
            </w:pPr>
            <w:r>
              <w:rPr>
                <w:rFonts w:hint="eastAsia"/>
                <w:lang w:val="en-US"/>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0" w:hRule="atLeast"/>
        </w:trPr>
        <w:tc>
          <w:tcPr>
            <w:tcW w:w="1172" w:type="dxa"/>
            <w:tcBorders>
              <w:top w:val="single" w:color="auto" w:sz="4" w:space="0"/>
            </w:tcBorders>
            <w:vAlign w:val="center"/>
          </w:tcPr>
          <w:p>
            <w:pPr>
              <w:pStyle w:val="23"/>
              <w:jc w:val="center"/>
              <w:rPr>
                <w:rFonts w:ascii="Times New Roman"/>
                <w:lang w:val="en-US"/>
              </w:rPr>
            </w:pPr>
            <w:r>
              <w:rPr>
                <w:rFonts w:hint="eastAsia" w:ascii="Times New Roman"/>
                <w:lang w:val="en-US"/>
              </w:rPr>
              <w:t>1</w:t>
            </w:r>
          </w:p>
        </w:tc>
        <w:tc>
          <w:tcPr>
            <w:tcW w:w="1790" w:type="dxa"/>
            <w:tcBorders>
              <w:top w:val="single" w:color="auto" w:sz="4" w:space="0"/>
            </w:tcBorders>
            <w:vAlign w:val="center"/>
          </w:tcPr>
          <w:p>
            <w:pPr>
              <w:pStyle w:val="23"/>
              <w:jc w:val="center"/>
              <w:rPr>
                <w:rFonts w:ascii="Times New Roman"/>
                <w:highlight w:val="yellow"/>
                <w:lang w:val="en-US"/>
              </w:rPr>
            </w:pPr>
          </w:p>
        </w:tc>
        <w:tc>
          <w:tcPr>
            <w:tcW w:w="1539" w:type="dxa"/>
            <w:tcBorders>
              <w:top w:val="single" w:color="auto" w:sz="4" w:space="0"/>
            </w:tcBorders>
            <w:vAlign w:val="center"/>
          </w:tcPr>
          <w:p>
            <w:pPr>
              <w:pStyle w:val="23"/>
              <w:jc w:val="center"/>
              <w:rPr>
                <w:rFonts w:ascii="Times New Roman"/>
              </w:rPr>
            </w:pPr>
          </w:p>
        </w:tc>
        <w:tc>
          <w:tcPr>
            <w:tcW w:w="1529" w:type="dxa"/>
            <w:tcBorders>
              <w:top w:val="single" w:color="auto" w:sz="4" w:space="0"/>
            </w:tcBorders>
            <w:vAlign w:val="center"/>
          </w:tcPr>
          <w:p>
            <w:pPr>
              <w:pStyle w:val="23"/>
              <w:jc w:val="center"/>
              <w:rPr>
                <w:rFonts w:ascii="Times New Roman"/>
              </w:rPr>
            </w:pPr>
          </w:p>
        </w:tc>
        <w:tc>
          <w:tcPr>
            <w:tcW w:w="2506"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172" w:type="dxa"/>
            <w:vAlign w:val="center"/>
          </w:tcPr>
          <w:p>
            <w:pPr>
              <w:pStyle w:val="23"/>
              <w:jc w:val="center"/>
              <w:rPr>
                <w:rFonts w:ascii="Times New Roman"/>
                <w:lang w:val="en-US"/>
              </w:rPr>
            </w:pPr>
            <w:r>
              <w:rPr>
                <w:rFonts w:hint="eastAsia" w:ascii="Times New Roman"/>
                <w:lang w:val="en-US"/>
              </w:rPr>
              <w:t>2</w:t>
            </w:r>
          </w:p>
        </w:tc>
        <w:tc>
          <w:tcPr>
            <w:tcW w:w="1790" w:type="dxa"/>
            <w:vAlign w:val="center"/>
          </w:tcPr>
          <w:p>
            <w:pPr>
              <w:pStyle w:val="23"/>
              <w:jc w:val="center"/>
              <w:rPr>
                <w:rFonts w:ascii="Times New Roman"/>
                <w:highlight w:val="yellow"/>
                <w:lang w:val="en-US"/>
              </w:rPr>
            </w:pPr>
          </w:p>
        </w:tc>
        <w:tc>
          <w:tcPr>
            <w:tcW w:w="1539" w:type="dxa"/>
            <w:vAlign w:val="center"/>
          </w:tcPr>
          <w:p>
            <w:pPr>
              <w:pStyle w:val="23"/>
              <w:jc w:val="center"/>
              <w:rPr>
                <w:rFonts w:ascii="Times New Roman"/>
              </w:rPr>
            </w:pPr>
          </w:p>
        </w:tc>
        <w:tc>
          <w:tcPr>
            <w:tcW w:w="1529" w:type="dxa"/>
            <w:vAlign w:val="center"/>
          </w:tcPr>
          <w:p>
            <w:pPr>
              <w:pStyle w:val="23"/>
              <w:jc w:val="center"/>
              <w:rPr>
                <w:rFonts w:ascii="Times New Roman"/>
              </w:rPr>
            </w:pPr>
          </w:p>
        </w:tc>
        <w:tc>
          <w:tcPr>
            <w:tcW w:w="2506"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172" w:type="dxa"/>
            <w:vAlign w:val="center"/>
          </w:tcPr>
          <w:p>
            <w:pPr>
              <w:pStyle w:val="23"/>
              <w:jc w:val="center"/>
              <w:rPr>
                <w:rFonts w:ascii="Times New Roman"/>
                <w:lang w:val="en-US"/>
              </w:rPr>
            </w:pPr>
            <w:r>
              <w:rPr>
                <w:rFonts w:hint="eastAsia" w:ascii="Times New Roman"/>
                <w:lang w:val="en-US"/>
              </w:rPr>
              <w:t>3</w:t>
            </w:r>
          </w:p>
        </w:tc>
        <w:tc>
          <w:tcPr>
            <w:tcW w:w="1790" w:type="dxa"/>
            <w:vAlign w:val="center"/>
          </w:tcPr>
          <w:p>
            <w:pPr>
              <w:pStyle w:val="23"/>
              <w:jc w:val="center"/>
              <w:rPr>
                <w:rFonts w:ascii="Times New Roman"/>
                <w:highlight w:val="yellow"/>
                <w:lang w:val="en-US"/>
              </w:rPr>
            </w:pPr>
          </w:p>
        </w:tc>
        <w:tc>
          <w:tcPr>
            <w:tcW w:w="1539" w:type="dxa"/>
            <w:vAlign w:val="center"/>
          </w:tcPr>
          <w:p>
            <w:pPr>
              <w:pStyle w:val="23"/>
              <w:jc w:val="center"/>
              <w:rPr>
                <w:rFonts w:ascii="Times New Roman"/>
              </w:rPr>
            </w:pPr>
          </w:p>
        </w:tc>
        <w:tc>
          <w:tcPr>
            <w:tcW w:w="1529" w:type="dxa"/>
            <w:vAlign w:val="center"/>
          </w:tcPr>
          <w:p>
            <w:pPr>
              <w:pStyle w:val="23"/>
              <w:jc w:val="center"/>
              <w:rPr>
                <w:rFonts w:ascii="Times New Roman"/>
              </w:rPr>
            </w:pPr>
          </w:p>
        </w:tc>
        <w:tc>
          <w:tcPr>
            <w:tcW w:w="2506"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172" w:type="dxa"/>
          </w:tcPr>
          <w:p>
            <w:pPr>
              <w:pStyle w:val="23"/>
              <w:jc w:val="center"/>
              <w:rPr>
                <w:rFonts w:ascii="Times New Roman"/>
                <w:lang w:val="en-US"/>
              </w:rPr>
            </w:pPr>
            <w:r>
              <w:rPr>
                <w:rFonts w:hint="eastAsia" w:ascii="Times New Roman"/>
                <w:lang w:val="en-US"/>
              </w:rPr>
              <w:t>...</w:t>
            </w:r>
          </w:p>
        </w:tc>
        <w:tc>
          <w:tcPr>
            <w:tcW w:w="1790" w:type="dxa"/>
          </w:tcPr>
          <w:p>
            <w:pPr>
              <w:pStyle w:val="23"/>
              <w:jc w:val="center"/>
              <w:rPr>
                <w:rFonts w:ascii="Times New Roman"/>
                <w:lang w:val="en-US"/>
              </w:rPr>
            </w:pPr>
            <w:r>
              <w:rPr>
                <w:rFonts w:hint="eastAsia" w:ascii="Times New Roman"/>
                <w:lang w:val="en-US"/>
              </w:rPr>
              <w:t>...</w:t>
            </w:r>
          </w:p>
        </w:tc>
        <w:tc>
          <w:tcPr>
            <w:tcW w:w="1539" w:type="dxa"/>
          </w:tcPr>
          <w:p>
            <w:pPr>
              <w:pStyle w:val="23"/>
              <w:rPr>
                <w:rFonts w:ascii="Times New Roman"/>
              </w:rPr>
            </w:pPr>
          </w:p>
        </w:tc>
        <w:tc>
          <w:tcPr>
            <w:tcW w:w="1529" w:type="dxa"/>
          </w:tcPr>
          <w:p>
            <w:pPr>
              <w:pStyle w:val="23"/>
              <w:rPr>
                <w:rFonts w:ascii="Times New Roman"/>
              </w:rPr>
            </w:pPr>
          </w:p>
        </w:tc>
        <w:tc>
          <w:tcPr>
            <w:tcW w:w="2506"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172" w:type="dxa"/>
          </w:tcPr>
          <w:p>
            <w:pPr>
              <w:pStyle w:val="23"/>
              <w:rPr>
                <w:rFonts w:ascii="Times New Roman"/>
              </w:rPr>
            </w:pPr>
          </w:p>
        </w:tc>
        <w:tc>
          <w:tcPr>
            <w:tcW w:w="1790" w:type="dxa"/>
          </w:tcPr>
          <w:p>
            <w:pPr>
              <w:pStyle w:val="23"/>
              <w:rPr>
                <w:rFonts w:ascii="Times New Roman"/>
              </w:rPr>
            </w:pPr>
          </w:p>
        </w:tc>
        <w:tc>
          <w:tcPr>
            <w:tcW w:w="1539" w:type="dxa"/>
          </w:tcPr>
          <w:p>
            <w:pPr>
              <w:pStyle w:val="23"/>
              <w:rPr>
                <w:rFonts w:ascii="Times New Roman"/>
              </w:rPr>
            </w:pPr>
          </w:p>
        </w:tc>
        <w:tc>
          <w:tcPr>
            <w:tcW w:w="1529" w:type="dxa"/>
          </w:tcPr>
          <w:p>
            <w:pPr>
              <w:pStyle w:val="23"/>
              <w:rPr>
                <w:rFonts w:ascii="Times New Roman"/>
              </w:rPr>
            </w:pPr>
          </w:p>
        </w:tc>
        <w:tc>
          <w:tcPr>
            <w:tcW w:w="2506"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172" w:type="dxa"/>
          </w:tcPr>
          <w:p>
            <w:pPr>
              <w:pStyle w:val="23"/>
              <w:rPr>
                <w:rFonts w:ascii="Times New Roman"/>
              </w:rPr>
            </w:pPr>
          </w:p>
        </w:tc>
        <w:tc>
          <w:tcPr>
            <w:tcW w:w="1790" w:type="dxa"/>
          </w:tcPr>
          <w:p>
            <w:pPr>
              <w:pStyle w:val="23"/>
              <w:rPr>
                <w:rFonts w:ascii="Times New Roman"/>
              </w:rPr>
            </w:pPr>
          </w:p>
        </w:tc>
        <w:tc>
          <w:tcPr>
            <w:tcW w:w="1539" w:type="dxa"/>
          </w:tcPr>
          <w:p>
            <w:pPr>
              <w:pStyle w:val="23"/>
              <w:rPr>
                <w:rFonts w:ascii="Times New Roman"/>
              </w:rPr>
            </w:pPr>
          </w:p>
        </w:tc>
        <w:tc>
          <w:tcPr>
            <w:tcW w:w="1529" w:type="dxa"/>
          </w:tcPr>
          <w:p>
            <w:pPr>
              <w:pStyle w:val="23"/>
              <w:rPr>
                <w:rFonts w:ascii="Times New Roman"/>
              </w:rPr>
            </w:pPr>
          </w:p>
        </w:tc>
        <w:tc>
          <w:tcPr>
            <w:tcW w:w="2506"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172" w:type="dxa"/>
          </w:tcPr>
          <w:p>
            <w:pPr>
              <w:pStyle w:val="23"/>
              <w:rPr>
                <w:rFonts w:ascii="Times New Roman"/>
              </w:rPr>
            </w:pPr>
          </w:p>
        </w:tc>
        <w:tc>
          <w:tcPr>
            <w:tcW w:w="1790" w:type="dxa"/>
          </w:tcPr>
          <w:p>
            <w:pPr>
              <w:pStyle w:val="23"/>
              <w:rPr>
                <w:rFonts w:ascii="Times New Roman"/>
              </w:rPr>
            </w:pPr>
          </w:p>
        </w:tc>
        <w:tc>
          <w:tcPr>
            <w:tcW w:w="1539" w:type="dxa"/>
          </w:tcPr>
          <w:p>
            <w:pPr>
              <w:pStyle w:val="23"/>
              <w:rPr>
                <w:rFonts w:ascii="Times New Roman"/>
              </w:rPr>
            </w:pPr>
          </w:p>
        </w:tc>
        <w:tc>
          <w:tcPr>
            <w:tcW w:w="1529" w:type="dxa"/>
          </w:tcPr>
          <w:p>
            <w:pPr>
              <w:pStyle w:val="23"/>
              <w:rPr>
                <w:rFonts w:ascii="Times New Roman"/>
              </w:rPr>
            </w:pPr>
          </w:p>
        </w:tc>
        <w:tc>
          <w:tcPr>
            <w:tcW w:w="2506"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172" w:type="dxa"/>
          </w:tcPr>
          <w:p>
            <w:pPr>
              <w:pStyle w:val="23"/>
              <w:rPr>
                <w:rFonts w:ascii="Times New Roman"/>
              </w:rPr>
            </w:pPr>
          </w:p>
        </w:tc>
        <w:tc>
          <w:tcPr>
            <w:tcW w:w="1790" w:type="dxa"/>
          </w:tcPr>
          <w:p>
            <w:pPr>
              <w:pStyle w:val="23"/>
              <w:rPr>
                <w:rFonts w:ascii="Times New Roman"/>
              </w:rPr>
            </w:pPr>
          </w:p>
        </w:tc>
        <w:tc>
          <w:tcPr>
            <w:tcW w:w="1539" w:type="dxa"/>
          </w:tcPr>
          <w:p>
            <w:pPr>
              <w:pStyle w:val="23"/>
              <w:rPr>
                <w:rFonts w:ascii="Times New Roman"/>
              </w:rPr>
            </w:pPr>
          </w:p>
        </w:tc>
        <w:tc>
          <w:tcPr>
            <w:tcW w:w="1529" w:type="dxa"/>
          </w:tcPr>
          <w:p>
            <w:pPr>
              <w:pStyle w:val="23"/>
              <w:rPr>
                <w:rFonts w:ascii="Times New Roman"/>
              </w:rPr>
            </w:pPr>
          </w:p>
        </w:tc>
        <w:tc>
          <w:tcPr>
            <w:tcW w:w="2506"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172" w:type="dxa"/>
          </w:tcPr>
          <w:p>
            <w:pPr>
              <w:pStyle w:val="23"/>
              <w:rPr>
                <w:rFonts w:ascii="Times New Roman"/>
              </w:rPr>
            </w:pPr>
          </w:p>
        </w:tc>
        <w:tc>
          <w:tcPr>
            <w:tcW w:w="1790" w:type="dxa"/>
          </w:tcPr>
          <w:p>
            <w:pPr>
              <w:pStyle w:val="23"/>
              <w:rPr>
                <w:rFonts w:ascii="Times New Roman"/>
              </w:rPr>
            </w:pPr>
          </w:p>
        </w:tc>
        <w:tc>
          <w:tcPr>
            <w:tcW w:w="1539" w:type="dxa"/>
          </w:tcPr>
          <w:p>
            <w:pPr>
              <w:pStyle w:val="23"/>
              <w:rPr>
                <w:rFonts w:ascii="Times New Roman"/>
              </w:rPr>
            </w:pPr>
          </w:p>
        </w:tc>
        <w:tc>
          <w:tcPr>
            <w:tcW w:w="1529" w:type="dxa"/>
          </w:tcPr>
          <w:p>
            <w:pPr>
              <w:pStyle w:val="23"/>
              <w:rPr>
                <w:rFonts w:ascii="Times New Roman"/>
              </w:rPr>
            </w:pPr>
          </w:p>
        </w:tc>
        <w:tc>
          <w:tcPr>
            <w:tcW w:w="2506"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172" w:type="dxa"/>
          </w:tcPr>
          <w:p>
            <w:pPr>
              <w:pStyle w:val="23"/>
              <w:rPr>
                <w:rFonts w:ascii="Times New Roman"/>
              </w:rPr>
            </w:pPr>
          </w:p>
        </w:tc>
        <w:tc>
          <w:tcPr>
            <w:tcW w:w="1790" w:type="dxa"/>
          </w:tcPr>
          <w:p>
            <w:pPr>
              <w:pStyle w:val="23"/>
              <w:rPr>
                <w:rFonts w:ascii="Times New Roman"/>
              </w:rPr>
            </w:pPr>
          </w:p>
        </w:tc>
        <w:tc>
          <w:tcPr>
            <w:tcW w:w="1539" w:type="dxa"/>
          </w:tcPr>
          <w:p>
            <w:pPr>
              <w:pStyle w:val="23"/>
              <w:rPr>
                <w:rFonts w:ascii="Times New Roman"/>
              </w:rPr>
            </w:pPr>
          </w:p>
        </w:tc>
        <w:tc>
          <w:tcPr>
            <w:tcW w:w="1529" w:type="dxa"/>
          </w:tcPr>
          <w:p>
            <w:pPr>
              <w:pStyle w:val="23"/>
              <w:rPr>
                <w:rFonts w:ascii="Times New Roman"/>
              </w:rPr>
            </w:pPr>
          </w:p>
        </w:tc>
        <w:tc>
          <w:tcPr>
            <w:tcW w:w="2506"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trPr>
        <w:tc>
          <w:tcPr>
            <w:tcW w:w="1172" w:type="dxa"/>
          </w:tcPr>
          <w:p>
            <w:pPr>
              <w:pStyle w:val="23"/>
              <w:rPr>
                <w:rFonts w:ascii="Times New Roman"/>
              </w:rPr>
            </w:pPr>
          </w:p>
        </w:tc>
        <w:tc>
          <w:tcPr>
            <w:tcW w:w="1790" w:type="dxa"/>
          </w:tcPr>
          <w:p>
            <w:pPr>
              <w:pStyle w:val="23"/>
              <w:rPr>
                <w:rFonts w:ascii="Times New Roman"/>
              </w:rPr>
            </w:pPr>
          </w:p>
        </w:tc>
        <w:tc>
          <w:tcPr>
            <w:tcW w:w="1539" w:type="dxa"/>
          </w:tcPr>
          <w:p>
            <w:pPr>
              <w:pStyle w:val="23"/>
              <w:rPr>
                <w:rFonts w:ascii="Times New Roman"/>
              </w:rPr>
            </w:pPr>
          </w:p>
        </w:tc>
        <w:tc>
          <w:tcPr>
            <w:tcW w:w="1529" w:type="dxa"/>
          </w:tcPr>
          <w:p>
            <w:pPr>
              <w:pStyle w:val="23"/>
              <w:rPr>
                <w:rFonts w:ascii="Times New Roman"/>
              </w:rPr>
            </w:pPr>
          </w:p>
        </w:tc>
        <w:tc>
          <w:tcPr>
            <w:tcW w:w="2506" w:type="dxa"/>
          </w:tcPr>
          <w:p>
            <w:pPr>
              <w:pStyle w:val="23"/>
              <w:rPr>
                <w:rFonts w:ascii="Times New Roman"/>
              </w:rPr>
            </w:pPr>
          </w:p>
        </w:tc>
      </w:tr>
    </w:tbl>
    <w:p>
      <w:pPr>
        <w:pStyle w:val="9"/>
      </w:pPr>
    </w:p>
    <w:p>
      <w:pPr>
        <w:pStyle w:val="9"/>
      </w:pPr>
    </w:p>
    <w:p>
      <w:pPr>
        <w:pStyle w:val="9"/>
      </w:pPr>
    </w:p>
    <w:p>
      <w:pPr>
        <w:pStyle w:val="9"/>
      </w:pPr>
    </w:p>
    <w:p>
      <w:pPr>
        <w:pStyle w:val="9"/>
      </w:pPr>
    </w:p>
    <w:p>
      <w:pPr>
        <w:pStyle w:val="9"/>
      </w:pPr>
    </w:p>
    <w:p>
      <w:pPr>
        <w:pStyle w:val="9"/>
        <w:spacing w:before="2"/>
        <w:rPr>
          <w:sz w:val="26"/>
        </w:rPr>
      </w:pPr>
    </w:p>
    <w:p>
      <w:pPr>
        <w:pStyle w:val="9"/>
        <w:tabs>
          <w:tab w:val="left" w:pos="5686"/>
          <w:tab w:val="left" w:pos="6555"/>
        </w:tabs>
        <w:spacing w:line="242" w:lineRule="auto"/>
        <w:ind w:left="796" w:right="3808"/>
        <w:rPr>
          <w:rFonts w:ascii="Times New Roman" w:eastAsia="Times New Roman"/>
        </w:rPr>
      </w:pPr>
      <w:r>
        <w:t>法定代表人或其委托代理人签字:</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投标人(盖单位章):</w:t>
      </w:r>
      <w:r>
        <w:rPr>
          <w:rFonts w:ascii="Times New Roman" w:eastAsia="Times New Roman"/>
          <w:u w:val="single"/>
        </w:rPr>
        <w:t xml:space="preserve"> </w:t>
      </w:r>
      <w:r>
        <w:rPr>
          <w:rFonts w:ascii="Times New Roman" w:eastAsia="Times New Roman"/>
          <w:u w:val="single"/>
        </w:rPr>
        <w:tab/>
      </w:r>
    </w:p>
    <w:p>
      <w:pPr>
        <w:pStyle w:val="9"/>
        <w:rPr>
          <w:rFonts w:ascii="Times New Roman"/>
          <w:sz w:val="20"/>
        </w:rPr>
      </w:pPr>
    </w:p>
    <w:p>
      <w:pPr>
        <w:pStyle w:val="9"/>
        <w:rPr>
          <w:rFonts w:ascii="Times New Roman"/>
          <w:sz w:val="20"/>
        </w:rPr>
      </w:pPr>
    </w:p>
    <w:p>
      <w:pPr>
        <w:pStyle w:val="9"/>
        <w:spacing w:before="67"/>
        <w:ind w:left="255" w:firstLine="480" w:firstLineChars="200"/>
      </w:pPr>
      <w:r>
        <w:t>注：一览表中所提供项目人员需附人员简历表</w:t>
      </w:r>
    </w:p>
    <w:p>
      <w:pPr>
        <w:pStyle w:val="9"/>
        <w:rPr>
          <w:rFonts w:ascii="Times New Roman"/>
          <w:sz w:val="20"/>
        </w:rPr>
      </w:pPr>
    </w:p>
    <w:p>
      <w:pPr>
        <w:pStyle w:val="9"/>
        <w:rPr>
          <w:rFonts w:ascii="Times New Roman"/>
          <w:sz w:val="20"/>
        </w:rPr>
      </w:pPr>
    </w:p>
    <w:p>
      <w:pPr>
        <w:pStyle w:val="9"/>
        <w:spacing w:before="6"/>
        <w:rPr>
          <w:rFonts w:ascii="Times New Roman"/>
          <w:sz w:val="22"/>
        </w:rPr>
      </w:pPr>
    </w:p>
    <w:p>
      <w:pPr>
        <w:tabs>
          <w:tab w:val="left" w:pos="653"/>
        </w:tabs>
        <w:spacing w:before="53"/>
        <w:ind w:left="50"/>
        <w:jc w:val="center"/>
        <w:rPr>
          <w:b/>
          <w:sz w:val="24"/>
        </w:rPr>
      </w:pPr>
    </w:p>
    <w:p>
      <w:pPr>
        <w:tabs>
          <w:tab w:val="left" w:pos="653"/>
        </w:tabs>
        <w:spacing w:before="53"/>
        <w:ind w:left="50"/>
        <w:jc w:val="center"/>
        <w:rPr>
          <w:b/>
          <w:sz w:val="24"/>
        </w:rPr>
      </w:pPr>
    </w:p>
    <w:p>
      <w:pPr>
        <w:tabs>
          <w:tab w:val="left" w:pos="653"/>
        </w:tabs>
        <w:spacing w:before="53"/>
        <w:ind w:left="50"/>
        <w:jc w:val="center"/>
        <w:rPr>
          <w:b/>
          <w:sz w:val="24"/>
        </w:rPr>
      </w:pPr>
    </w:p>
    <w:p>
      <w:pPr>
        <w:tabs>
          <w:tab w:val="left" w:pos="653"/>
        </w:tabs>
        <w:spacing w:before="53"/>
        <w:ind w:left="50"/>
        <w:jc w:val="center"/>
        <w:rPr>
          <w:b/>
          <w:sz w:val="24"/>
        </w:rPr>
      </w:pPr>
    </w:p>
    <w:p>
      <w:pPr>
        <w:pStyle w:val="8"/>
      </w:pPr>
    </w:p>
    <w:p>
      <w:pPr>
        <w:tabs>
          <w:tab w:val="left" w:pos="653"/>
        </w:tabs>
        <w:spacing w:before="53"/>
        <w:ind w:left="50"/>
        <w:jc w:val="center"/>
        <w:rPr>
          <w:b/>
          <w:sz w:val="24"/>
        </w:rPr>
      </w:pPr>
    </w:p>
    <w:p>
      <w:pPr>
        <w:pStyle w:val="7"/>
      </w:pPr>
    </w:p>
    <w:p>
      <w:pPr>
        <w:tabs>
          <w:tab w:val="left" w:pos="653"/>
        </w:tabs>
        <w:spacing w:before="53"/>
        <w:jc w:val="both"/>
        <w:rPr>
          <w:b/>
          <w:sz w:val="24"/>
        </w:rPr>
      </w:pPr>
    </w:p>
    <w:p>
      <w:pPr>
        <w:tabs>
          <w:tab w:val="left" w:pos="653"/>
        </w:tabs>
        <w:spacing w:before="53"/>
        <w:ind w:left="50"/>
        <w:jc w:val="center"/>
        <w:rPr>
          <w:b/>
          <w:sz w:val="24"/>
        </w:rPr>
      </w:pPr>
      <w:r>
        <w:rPr>
          <w:rFonts w:hint="eastAsia"/>
          <w:b/>
          <w:sz w:val="24"/>
          <w:lang w:val="en-US"/>
        </w:rPr>
        <w:t>6-1</w:t>
      </w:r>
      <w:r>
        <w:rPr>
          <w:b/>
          <w:sz w:val="24"/>
        </w:rPr>
        <w:tab/>
      </w:r>
      <w:r>
        <w:rPr>
          <w:b/>
          <w:sz w:val="24"/>
        </w:rPr>
        <w:t>投标人企业（单位）类型声明函（投标文件格式七）</w:t>
      </w:r>
    </w:p>
    <w:p>
      <w:pPr>
        <w:pStyle w:val="9"/>
        <w:rPr>
          <w:b/>
        </w:rPr>
      </w:pPr>
    </w:p>
    <w:p>
      <w:pPr>
        <w:pStyle w:val="9"/>
        <w:spacing w:before="12"/>
        <w:rPr>
          <w:b/>
          <w:sz w:val="23"/>
        </w:rPr>
      </w:pPr>
    </w:p>
    <w:p>
      <w:pPr>
        <w:pStyle w:val="9"/>
        <w:spacing w:line="475" w:lineRule="auto"/>
        <w:ind w:left="676" w:right="2669" w:firstLine="60"/>
      </w:pPr>
      <w:r>
        <w:t>本企业（单位）郑重声明下列事项（按照实际情况勾选或填空）： 1、□本企业（单位）为直接投标人，提供本企业（单位）服务。</w:t>
      </w:r>
    </w:p>
    <w:p>
      <w:pPr>
        <w:pStyle w:val="22"/>
        <w:numPr>
          <w:ilvl w:val="0"/>
          <w:numId w:val="31"/>
        </w:numPr>
        <w:tabs>
          <w:tab w:val="left" w:pos="1097"/>
          <w:tab w:val="left" w:pos="9656"/>
        </w:tabs>
        <w:spacing w:before="1" w:line="256" w:lineRule="auto"/>
        <w:ind w:left="255" w:right="227" w:firstLine="240"/>
        <w:jc w:val="both"/>
        <w:rPr>
          <w:sz w:val="24"/>
        </w:rPr>
      </w:pPr>
      <w:r>
        <w:rPr>
          <w:sz w:val="24"/>
        </w:rPr>
        <w:t>根</w:t>
      </w:r>
      <w:r>
        <w:rPr>
          <w:spacing w:val="-17"/>
          <w:sz w:val="24"/>
        </w:rPr>
        <w:t>据</w:t>
      </w:r>
      <w:r>
        <w:rPr>
          <w:sz w:val="24"/>
        </w:rPr>
        <w:t>《工业和信息化部</w:t>
      </w:r>
      <w:r>
        <w:rPr>
          <w:spacing w:val="-17"/>
          <w:sz w:val="24"/>
        </w:rPr>
        <w:t>、</w:t>
      </w:r>
      <w:r>
        <w:rPr>
          <w:sz w:val="24"/>
        </w:rPr>
        <w:t>国家统计局</w:t>
      </w:r>
      <w:r>
        <w:rPr>
          <w:spacing w:val="-15"/>
          <w:sz w:val="24"/>
        </w:rPr>
        <w:t>、</w:t>
      </w:r>
      <w:r>
        <w:rPr>
          <w:sz w:val="24"/>
        </w:rPr>
        <w:t>国家发展和改革委员会</w:t>
      </w:r>
      <w:r>
        <w:rPr>
          <w:spacing w:val="-17"/>
          <w:sz w:val="24"/>
        </w:rPr>
        <w:t>、</w:t>
      </w:r>
      <w:r>
        <w:rPr>
          <w:sz w:val="24"/>
        </w:rPr>
        <w:t>财政部关于印发中小</w:t>
      </w:r>
      <w:r>
        <w:rPr>
          <w:spacing w:val="-15"/>
          <w:sz w:val="24"/>
        </w:rPr>
        <w:t>企</w:t>
      </w:r>
      <w:r>
        <w:rPr>
          <w:sz w:val="24"/>
        </w:rPr>
        <w:t>业划型标准规定的通知</w:t>
      </w:r>
      <w:r>
        <w:rPr>
          <w:spacing w:val="-56"/>
          <w:sz w:val="24"/>
        </w:rPr>
        <w:t>》</w:t>
      </w:r>
      <w:r>
        <w:rPr>
          <w:sz w:val="24"/>
        </w:rPr>
        <w:t>（工信部联企业[2011]300</w:t>
      </w:r>
      <w:r>
        <w:rPr>
          <w:spacing w:val="-60"/>
          <w:sz w:val="24"/>
        </w:rPr>
        <w:t xml:space="preserve"> </w:t>
      </w:r>
      <w:r>
        <w:rPr>
          <w:sz w:val="24"/>
        </w:rPr>
        <w:t>号</w:t>
      </w:r>
      <w:r>
        <w:rPr>
          <w:spacing w:val="-29"/>
          <w:sz w:val="24"/>
        </w:rPr>
        <w:t>）</w:t>
      </w:r>
      <w:r>
        <w:rPr>
          <w:sz w:val="24"/>
        </w:rPr>
        <w:t>规定的划分标准</w:t>
      </w:r>
      <w:r>
        <w:rPr>
          <w:spacing w:val="-27"/>
          <w:sz w:val="24"/>
        </w:rPr>
        <w:t>，</w:t>
      </w:r>
      <w:r>
        <w:rPr>
          <w:sz w:val="24"/>
        </w:rPr>
        <w:t>本企业为</w:t>
      </w:r>
      <w:r>
        <w:rPr>
          <w:sz w:val="24"/>
          <w:u w:val="single"/>
        </w:rPr>
        <w:t xml:space="preserve"> </w:t>
      </w:r>
      <w:r>
        <w:rPr>
          <w:sz w:val="24"/>
          <w:u w:val="single"/>
        </w:rPr>
        <w:tab/>
      </w:r>
      <w:r>
        <w:rPr>
          <w:sz w:val="24"/>
        </w:rPr>
        <w:t>（</w:t>
      </w:r>
      <w:r>
        <w:rPr>
          <w:spacing w:val="-17"/>
          <w:sz w:val="24"/>
        </w:rPr>
        <w:t>请</w:t>
      </w:r>
      <w:r>
        <w:rPr>
          <w:sz w:val="24"/>
        </w:rPr>
        <w:t>填写：中型、小型、微型）企业。</w:t>
      </w:r>
    </w:p>
    <w:p>
      <w:pPr>
        <w:pStyle w:val="9"/>
        <w:spacing w:before="1"/>
        <w:rPr>
          <w:sz w:val="22"/>
        </w:rPr>
      </w:pPr>
    </w:p>
    <w:p>
      <w:pPr>
        <w:pStyle w:val="22"/>
        <w:numPr>
          <w:ilvl w:val="1"/>
          <w:numId w:val="31"/>
        </w:numPr>
        <w:tabs>
          <w:tab w:val="left" w:pos="1277"/>
          <w:tab w:val="left" w:pos="2951"/>
        </w:tabs>
        <w:spacing w:line="259" w:lineRule="auto"/>
        <w:ind w:left="255" w:right="227" w:firstLine="420"/>
        <w:rPr>
          <w:sz w:val="24"/>
        </w:rPr>
      </w:pPr>
      <w:r>
        <w:rPr>
          <w:sz w:val="24"/>
        </w:rPr>
        <w:t>本企业</w:t>
      </w:r>
      <w:r>
        <w:rPr>
          <w:sz w:val="24"/>
          <w:u w:val="single"/>
        </w:rPr>
        <w:t xml:space="preserve"> </w:t>
      </w:r>
      <w:r>
        <w:rPr>
          <w:sz w:val="24"/>
          <w:u w:val="single"/>
        </w:rPr>
        <w:tab/>
      </w:r>
      <w:r>
        <w:rPr>
          <w:sz w:val="24"/>
        </w:rPr>
        <w:t>（请填写</w:t>
      </w:r>
      <w:r>
        <w:rPr>
          <w:spacing w:val="-3"/>
          <w:sz w:val="24"/>
        </w:rPr>
        <w:t>：</w:t>
      </w:r>
      <w:r>
        <w:rPr>
          <w:sz w:val="24"/>
        </w:rPr>
        <w:t>是</w:t>
      </w:r>
      <w:r>
        <w:rPr>
          <w:spacing w:val="-5"/>
          <w:sz w:val="24"/>
        </w:rPr>
        <w:t>、</w:t>
      </w:r>
      <w:r>
        <w:rPr>
          <w:sz w:val="24"/>
        </w:rPr>
        <w:t>不是</w:t>
      </w:r>
      <w:r>
        <w:rPr>
          <w:spacing w:val="-3"/>
          <w:sz w:val="24"/>
        </w:rPr>
        <w:t>）</w:t>
      </w:r>
      <w:r>
        <w:rPr>
          <w:sz w:val="24"/>
        </w:rPr>
        <w:t>监狱企业</w:t>
      </w:r>
      <w:r>
        <w:rPr>
          <w:spacing w:val="-3"/>
          <w:sz w:val="24"/>
        </w:rPr>
        <w:t>。</w:t>
      </w:r>
      <w:r>
        <w:rPr>
          <w:sz w:val="24"/>
        </w:rPr>
        <w:t>后附省级以上监狱管理局</w:t>
      </w:r>
      <w:r>
        <w:rPr>
          <w:spacing w:val="-3"/>
          <w:sz w:val="24"/>
        </w:rPr>
        <w:t>、</w:t>
      </w:r>
      <w:r>
        <w:rPr>
          <w:sz w:val="24"/>
        </w:rPr>
        <w:t>戒毒</w:t>
      </w:r>
      <w:r>
        <w:rPr>
          <w:spacing w:val="-15"/>
          <w:sz w:val="24"/>
        </w:rPr>
        <w:t>管</w:t>
      </w:r>
      <w:r>
        <w:rPr>
          <w:sz w:val="24"/>
        </w:rPr>
        <w:t>理局（含新疆生产建设兵团）出具的属于监狱企业的证明文件。</w:t>
      </w:r>
    </w:p>
    <w:p>
      <w:pPr>
        <w:pStyle w:val="9"/>
        <w:spacing w:before="8"/>
        <w:rPr>
          <w:sz w:val="21"/>
        </w:rPr>
      </w:pPr>
    </w:p>
    <w:p>
      <w:pPr>
        <w:pStyle w:val="22"/>
        <w:numPr>
          <w:ilvl w:val="1"/>
          <w:numId w:val="31"/>
        </w:numPr>
        <w:tabs>
          <w:tab w:val="left" w:pos="1277"/>
        </w:tabs>
        <w:ind w:left="1277"/>
        <w:rPr>
          <w:sz w:val="24"/>
        </w:rPr>
      </w:pPr>
      <w:r>
        <w:rPr>
          <w:lang w:val="en-US" w:bidi="ar-SA"/>
        </w:rPr>
        <mc:AlternateContent>
          <mc:Choice Requires="wps">
            <w:drawing>
              <wp:anchor distT="0" distB="0" distL="114300" distR="114300" simplePos="0" relativeHeight="251673600" behindDoc="0" locked="0" layoutInCell="1" allowOverlap="1">
                <wp:simplePos x="0" y="0"/>
                <wp:positionH relativeFrom="page">
                  <wp:posOffset>6880225</wp:posOffset>
                </wp:positionH>
                <wp:positionV relativeFrom="paragraph">
                  <wp:posOffset>168275</wp:posOffset>
                </wp:positionV>
                <wp:extent cx="25400" cy="0"/>
                <wp:effectExtent l="0" t="0" r="0" b="0"/>
                <wp:wrapNone/>
                <wp:docPr id="12" name="直线 10"/>
                <wp:cNvGraphicFramePr/>
                <a:graphic xmlns:a="http://schemas.openxmlformats.org/drawingml/2006/main">
                  <a:graphicData uri="http://schemas.microsoft.com/office/word/2010/wordprocessingShape">
                    <wps:wsp>
                      <wps:cNvCnPr/>
                      <wps:spPr>
                        <a:xfrm>
                          <a:off x="0" y="0"/>
                          <a:ext cx="25400" cy="0"/>
                        </a:xfrm>
                        <a:prstGeom prst="line">
                          <a:avLst/>
                        </a:prstGeom>
                        <a:ln w="7620"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margin-left:541.75pt;margin-top:13.25pt;height:0pt;width:2pt;mso-position-horizontal-relative:page;z-index:251673600;mso-width-relative:page;mso-height-relative:page;" filled="f" stroked="t" coordsize="21600,21600" o:gfxdata="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P5F/XNYAAAALAQAADwAAAAAA&#10;AAABACAAAAAiAAAAZHJzL2Rvd25yZXYueG1sUEsBAhQAFAAAAAgAh07iQGmn+FXcAQAAzwMAAA4A&#10;AAAAAAAAAQAgAAAAJQEAAGRycy9lMm9Eb2MueG1sUEsFBgAAAAAGAAYAWQEAAHMFAAAAAA==&#10;">
                <v:fill on="f" focussize="0,0"/>
                <v:stroke weight="0.6pt" color="#000000" joinstyle="round"/>
                <v:imagedata o:title=""/>
                <o:lock v:ext="edit" aspectratio="f"/>
              </v:line>
            </w:pict>
          </mc:Fallback>
        </mc:AlternateContent>
      </w:r>
      <w:r>
        <w:rPr>
          <w:sz w:val="24"/>
        </w:rPr>
        <w:t>根据《关于促进残疾人就业政府采购政策的通知》（财库〔2017〕141</w:t>
      </w:r>
      <w:r>
        <w:rPr>
          <w:spacing w:val="-30"/>
          <w:sz w:val="24"/>
        </w:rPr>
        <w:t xml:space="preserve"> 号</w:t>
      </w:r>
      <w:r>
        <w:rPr>
          <w:sz w:val="24"/>
        </w:rPr>
        <w:t>）。本单位</w:t>
      </w:r>
    </w:p>
    <w:p>
      <w:pPr>
        <w:pStyle w:val="9"/>
        <w:spacing w:before="21"/>
        <w:ind w:left="255"/>
      </w:pPr>
      <w:r>
        <w:t>（请填写：是、不是）残疾人福利性单位。</w:t>
      </w:r>
    </w:p>
    <w:p>
      <w:pPr>
        <w:pStyle w:val="9"/>
        <w:spacing w:before="7"/>
        <w:rPr>
          <w:sz w:val="23"/>
        </w:rPr>
      </w:pPr>
    </w:p>
    <w:p>
      <w:pPr>
        <w:pStyle w:val="9"/>
        <w:tabs>
          <w:tab w:val="left" w:pos="5108"/>
        </w:tabs>
        <w:spacing w:line="256" w:lineRule="auto"/>
        <w:ind w:left="255" w:right="227" w:firstLine="420"/>
        <w:jc w:val="both"/>
      </w:pPr>
      <w:r>
        <w:t>2</w:t>
      </w:r>
      <w:r>
        <w:rPr>
          <w:spacing w:val="-3"/>
        </w:rPr>
        <w:t>、</w:t>
      </w:r>
      <w:r>
        <w:t>□本项目提供伴随货物</w:t>
      </w:r>
      <w:r>
        <w:rPr>
          <w:spacing w:val="-3"/>
        </w:rPr>
        <w:t>，</w:t>
      </w:r>
      <w:r>
        <w:t>由其他</w:t>
      </w:r>
      <w:r>
        <w:rPr>
          <w:u w:val="single"/>
        </w:rPr>
        <w:t xml:space="preserve"> </w:t>
      </w:r>
      <w:r>
        <w:rPr>
          <w:u w:val="single"/>
        </w:rPr>
        <w:tab/>
      </w:r>
      <w:r>
        <w:t>（请填写</w:t>
      </w:r>
      <w:r>
        <w:rPr>
          <w:spacing w:val="-3"/>
        </w:rPr>
        <w:t>：</w:t>
      </w:r>
      <w:r>
        <w:t>中型</w:t>
      </w:r>
      <w:r>
        <w:rPr>
          <w:spacing w:val="-3"/>
        </w:rPr>
        <w:t>、</w:t>
      </w:r>
      <w:r>
        <w:t>小型</w:t>
      </w:r>
      <w:r>
        <w:rPr>
          <w:spacing w:val="-3"/>
        </w:rPr>
        <w:t>、</w:t>
      </w:r>
      <w:r>
        <w:t>微型</w:t>
      </w:r>
      <w:r>
        <w:rPr>
          <w:spacing w:val="-3"/>
        </w:rPr>
        <w:t>）</w:t>
      </w:r>
      <w:r>
        <w:t>企业</w:t>
      </w:r>
      <w:r>
        <w:rPr>
          <w:spacing w:val="-3"/>
        </w:rPr>
        <w:t>、</w:t>
      </w:r>
      <w:r>
        <w:t>监狱企</w:t>
      </w:r>
      <w:r>
        <w:rPr>
          <w:spacing w:val="-14"/>
        </w:rPr>
        <w:t>业</w:t>
      </w:r>
      <w:r>
        <w:t>或残疾人福利性单位制造。本条所称货物不包括使用大型企业注册商标的货物。（后附制造商企业（单位）类型声明函）</w:t>
      </w:r>
    </w:p>
    <w:p>
      <w:pPr>
        <w:pStyle w:val="9"/>
        <w:spacing w:before="3"/>
        <w:rPr>
          <w:sz w:val="22"/>
        </w:rPr>
      </w:pPr>
    </w:p>
    <w:p>
      <w:pPr>
        <w:pStyle w:val="9"/>
        <w:tabs>
          <w:tab w:val="left" w:pos="1335"/>
        </w:tabs>
        <w:spacing w:line="256" w:lineRule="auto"/>
        <w:ind w:left="255" w:right="209" w:firstLine="420"/>
        <w:jc w:val="both"/>
      </w:pPr>
      <w:r>
        <w:t>3、□本企业（单位）为联合体一方，提供本企业（单位）制造的货物，由本企业（单位</w:t>
      </w:r>
      <w:r>
        <w:rPr>
          <w:spacing w:val="-18"/>
        </w:rPr>
        <w:t xml:space="preserve">） </w:t>
      </w:r>
      <w:r>
        <w:t>承担工程、提供服务。本企业（单位）提供协议合同金额占到共同投标协议合同总金额的比例为</w:t>
      </w:r>
      <w:r>
        <w:rPr>
          <w:u w:val="single"/>
        </w:rPr>
        <w:t xml:space="preserve"> </w:t>
      </w:r>
      <w:r>
        <w:rPr>
          <w:u w:val="single"/>
        </w:rPr>
        <w:tab/>
      </w:r>
      <w:r>
        <w:t>。</w:t>
      </w:r>
    </w:p>
    <w:p>
      <w:pPr>
        <w:pStyle w:val="9"/>
        <w:spacing w:before="1"/>
        <w:rPr>
          <w:sz w:val="22"/>
        </w:rPr>
      </w:pPr>
    </w:p>
    <w:p>
      <w:pPr>
        <w:pStyle w:val="9"/>
        <w:ind w:left="736"/>
      </w:pPr>
      <w:r>
        <w:t>本企业（单位）对上述声明的真实性负责。如有虚假，将依法承担相应责任。</w:t>
      </w:r>
    </w:p>
    <w:p>
      <w:pPr>
        <w:pStyle w:val="9"/>
      </w:pPr>
    </w:p>
    <w:p>
      <w:pPr>
        <w:pStyle w:val="9"/>
      </w:pPr>
    </w:p>
    <w:p>
      <w:pPr>
        <w:pStyle w:val="9"/>
      </w:pPr>
    </w:p>
    <w:p>
      <w:pPr>
        <w:pStyle w:val="9"/>
      </w:pPr>
    </w:p>
    <w:p>
      <w:pPr>
        <w:pStyle w:val="9"/>
      </w:pPr>
    </w:p>
    <w:p>
      <w:pPr>
        <w:pStyle w:val="9"/>
      </w:pPr>
    </w:p>
    <w:p>
      <w:pPr>
        <w:pStyle w:val="9"/>
      </w:pPr>
    </w:p>
    <w:p>
      <w:pPr>
        <w:pStyle w:val="9"/>
      </w:pPr>
    </w:p>
    <w:p>
      <w:pPr>
        <w:pStyle w:val="9"/>
        <w:spacing w:before="7"/>
        <w:rPr>
          <w:sz w:val="20"/>
        </w:rPr>
      </w:pPr>
    </w:p>
    <w:p>
      <w:pPr>
        <w:pStyle w:val="9"/>
        <w:tabs>
          <w:tab w:val="left" w:pos="8715"/>
        </w:tabs>
        <w:spacing w:before="1"/>
        <w:ind w:left="4216"/>
        <w:rPr>
          <w:rFonts w:ascii="Times New Roman" w:eastAsia="Times New Roman"/>
        </w:rPr>
      </w:pPr>
      <w:r>
        <w:t>投标人名称（盖单位章）：</w:t>
      </w:r>
      <w:r>
        <w:rPr>
          <w:rFonts w:ascii="Times New Roman" w:eastAsia="Times New Roman"/>
          <w:u w:val="single"/>
        </w:rPr>
        <w:t xml:space="preserve"> </w:t>
      </w:r>
      <w:r>
        <w:rPr>
          <w:rFonts w:ascii="Times New Roman" w:eastAsia="Times New Roman"/>
          <w:u w:val="single"/>
        </w:rPr>
        <w:tab/>
      </w:r>
    </w:p>
    <w:p>
      <w:pPr>
        <w:pStyle w:val="9"/>
        <w:spacing w:before="5"/>
        <w:rPr>
          <w:rFonts w:ascii="Times New Roman"/>
          <w:sz w:val="20"/>
        </w:rPr>
      </w:pPr>
    </w:p>
    <w:p>
      <w:pPr>
        <w:pStyle w:val="9"/>
        <w:tabs>
          <w:tab w:val="left" w:pos="1125"/>
          <w:tab w:val="left" w:pos="3225"/>
        </w:tabs>
        <w:spacing w:before="67"/>
        <w:ind w:left="645"/>
        <w:jc w:val="center"/>
        <w:rPr>
          <w:rFonts w:ascii="Times New Roman" w:eastAsia="Times New Roman"/>
        </w:rPr>
      </w:pPr>
      <w:r>
        <w:t>日</w:t>
      </w:r>
      <w:r>
        <w:tab/>
      </w:r>
      <w:r>
        <w:t>期：</w:t>
      </w:r>
      <w:r>
        <w:rPr>
          <w:rFonts w:ascii="Times New Roman" w:eastAsia="Times New Roman"/>
          <w:u w:val="single"/>
        </w:rPr>
        <w:t xml:space="preserve"> </w:t>
      </w:r>
      <w:r>
        <w:rPr>
          <w:rFonts w:ascii="Times New Roman" w:eastAsia="Times New Roman"/>
          <w:u w:val="single"/>
        </w:rPr>
        <w:tab/>
      </w:r>
    </w:p>
    <w:p>
      <w:pPr>
        <w:jc w:val="center"/>
        <w:rPr>
          <w:rFonts w:ascii="Times New Roman" w:eastAsia="Times New Roman"/>
        </w:rPr>
        <w:sectPr>
          <w:pgSz w:w="11910" w:h="16840"/>
          <w:pgMar w:top="1300" w:right="800" w:bottom="1420" w:left="740" w:header="0" w:footer="1233" w:gutter="0"/>
          <w:cols w:space="720" w:num="1"/>
        </w:sectPr>
      </w:pPr>
    </w:p>
    <w:p>
      <w:pPr>
        <w:pStyle w:val="22"/>
        <w:tabs>
          <w:tab w:val="left" w:pos="980"/>
          <w:tab w:val="left" w:pos="981"/>
        </w:tabs>
        <w:spacing w:before="71"/>
        <w:ind w:left="254" w:firstLine="1205" w:firstLineChars="500"/>
        <w:rPr>
          <w:b/>
          <w:sz w:val="24"/>
        </w:rPr>
      </w:pPr>
      <w:bookmarkStart w:id="71" w:name="5-2___制造商企业（单位）类型声明函（投标文件格式八）（本项目不适用）"/>
      <w:bookmarkEnd w:id="71"/>
      <w:r>
        <w:rPr>
          <w:rFonts w:hint="eastAsia"/>
          <w:b/>
          <w:sz w:val="24"/>
          <w:lang w:val="en-US"/>
        </w:rPr>
        <w:t xml:space="preserve">6-2  </w:t>
      </w:r>
      <w:r>
        <w:rPr>
          <w:b/>
          <w:sz w:val="24"/>
        </w:rPr>
        <w:t>制造商企业（单位）类型声明函（投标文件格式八）（本项目不适用）</w:t>
      </w:r>
    </w:p>
    <w:p>
      <w:pPr>
        <w:pStyle w:val="9"/>
        <w:rPr>
          <w:b/>
        </w:rPr>
      </w:pPr>
    </w:p>
    <w:p>
      <w:pPr>
        <w:pStyle w:val="9"/>
        <w:spacing w:before="11"/>
        <w:rPr>
          <w:b/>
          <w:sz w:val="23"/>
        </w:rPr>
      </w:pPr>
    </w:p>
    <w:p>
      <w:pPr>
        <w:pStyle w:val="9"/>
        <w:tabs>
          <w:tab w:val="left" w:pos="3555"/>
          <w:tab w:val="left" w:pos="5055"/>
        </w:tabs>
        <w:spacing w:before="1" w:line="256" w:lineRule="auto"/>
        <w:ind w:left="255" w:right="209" w:firstLine="420"/>
      </w:pPr>
      <w:r>
        <w:t>本企业（单位）作为</w:t>
      </w:r>
      <w:r>
        <w:rPr>
          <w:u w:val="single"/>
        </w:rPr>
        <w:t xml:space="preserve"> </w:t>
      </w:r>
      <w:r>
        <w:rPr>
          <w:u w:val="single"/>
        </w:rPr>
        <w:tab/>
      </w:r>
      <w:r>
        <w:t>单位的</w:t>
      </w:r>
      <w:r>
        <w:rPr>
          <w:u w:val="single"/>
        </w:rPr>
        <w:t xml:space="preserve"> </w:t>
      </w:r>
      <w:r>
        <w:rPr>
          <w:u w:val="single"/>
        </w:rPr>
        <w:tab/>
      </w:r>
      <w:r>
        <w:t>项目的伴随货物的制造商，参加政府采购活动</w:t>
      </w:r>
      <w:r>
        <w:rPr>
          <w:spacing w:val="-18"/>
        </w:rPr>
        <w:t>。</w:t>
      </w:r>
      <w:r>
        <w:t>根据《政府采购促进中小企业发展暂行办法》（财库[2011]181</w:t>
      </w:r>
      <w:r>
        <w:rPr>
          <w:spacing w:val="-60"/>
        </w:rPr>
        <w:t xml:space="preserve"> </w:t>
      </w:r>
      <w:r>
        <w:t>号），《工业和信息化部、国家统计局、国家发展和改革委员会、财政部关于印发中小企业划型标准规定的通知》（工信部联企业[2011]300</w:t>
      </w:r>
      <w:r>
        <w:rPr>
          <w:spacing w:val="-60"/>
        </w:rPr>
        <w:t xml:space="preserve"> </w:t>
      </w:r>
      <w:r>
        <w:t>号</w:t>
      </w:r>
      <w:r>
        <w:rPr>
          <w:spacing w:val="-53"/>
        </w:rPr>
        <w:t>）</w:t>
      </w:r>
      <w:r>
        <w:rPr>
          <w:spacing w:val="-104"/>
        </w:rPr>
        <w:t>、</w:t>
      </w:r>
      <w:r>
        <w:t>《财政部 司法部关于政府采购支持监狱企业发展有关问题的通知</w:t>
      </w:r>
      <w:r>
        <w:rPr>
          <w:spacing w:val="-104"/>
        </w:rPr>
        <w:t>》</w:t>
      </w:r>
      <w:r>
        <w:t>（财库〔2014〕68</w:t>
      </w:r>
      <w:r>
        <w:rPr>
          <w:spacing w:val="-60"/>
        </w:rPr>
        <w:t xml:space="preserve"> </w:t>
      </w:r>
      <w:r>
        <w:t>号）以及《关于促进残疾人就业政府采购政策的通知》（财库〔2017〕141</w:t>
      </w:r>
      <w:r>
        <w:rPr>
          <w:spacing w:val="-60"/>
        </w:rPr>
        <w:t xml:space="preserve"> </w:t>
      </w:r>
      <w:r>
        <w:t>号） 的有关规定，作出如下声明：</w:t>
      </w:r>
    </w:p>
    <w:p>
      <w:pPr>
        <w:pStyle w:val="9"/>
        <w:spacing w:before="4"/>
        <w:rPr>
          <w:sz w:val="22"/>
        </w:rPr>
      </w:pPr>
    </w:p>
    <w:p>
      <w:pPr>
        <w:pStyle w:val="9"/>
        <w:tabs>
          <w:tab w:val="left" w:pos="2355"/>
        </w:tabs>
        <w:ind w:left="676"/>
      </w:pPr>
      <w:r>
        <w:t>本企业为</w:t>
      </w:r>
      <w:r>
        <w:rPr>
          <w:u w:val="single"/>
        </w:rPr>
        <w:t xml:space="preserve"> </w:t>
      </w:r>
      <w:r>
        <w:rPr>
          <w:u w:val="single"/>
        </w:rPr>
        <w:tab/>
      </w:r>
      <w:r>
        <w:t>（请填写：中型、小型、微型）企业。</w:t>
      </w:r>
    </w:p>
    <w:p>
      <w:pPr>
        <w:pStyle w:val="9"/>
        <w:spacing w:before="8"/>
        <w:rPr>
          <w:sz w:val="23"/>
        </w:rPr>
      </w:pPr>
    </w:p>
    <w:p>
      <w:pPr>
        <w:pStyle w:val="9"/>
        <w:tabs>
          <w:tab w:val="left" w:pos="2595"/>
        </w:tabs>
        <w:spacing w:line="256" w:lineRule="auto"/>
        <w:ind w:left="255" w:right="329" w:firstLine="420"/>
      </w:pPr>
      <w:r>
        <w:t>本企业为</w:t>
      </w:r>
      <w:r>
        <w:rPr>
          <w:u w:val="single"/>
        </w:rPr>
        <w:t xml:space="preserve"> </w:t>
      </w:r>
      <w:r>
        <w:rPr>
          <w:u w:val="single"/>
        </w:rPr>
        <w:tab/>
      </w:r>
      <w:r>
        <w:t>（请填写：是、不是）监狱企业。后附省级以上监狱管理局、戒毒管</w:t>
      </w:r>
      <w:r>
        <w:rPr>
          <w:spacing w:val="-18"/>
        </w:rPr>
        <w:t>理</w:t>
      </w:r>
      <w:r>
        <w:t>局（含新疆生产建设兵团）出具的属于监狱企业的证明文件。</w:t>
      </w:r>
    </w:p>
    <w:p>
      <w:pPr>
        <w:pStyle w:val="9"/>
        <w:rPr>
          <w:sz w:val="22"/>
        </w:rPr>
      </w:pPr>
    </w:p>
    <w:p>
      <w:pPr>
        <w:pStyle w:val="9"/>
        <w:tabs>
          <w:tab w:val="left" w:pos="2595"/>
        </w:tabs>
        <w:spacing w:before="1" w:line="475" w:lineRule="auto"/>
        <w:ind w:left="676" w:right="3209"/>
      </w:pPr>
      <w:r>
        <w:t>本单位为</w:t>
      </w:r>
      <w:r>
        <w:rPr>
          <w:u w:val="single"/>
        </w:rPr>
        <w:t xml:space="preserve"> </w:t>
      </w:r>
      <w:r>
        <w:rPr>
          <w:u w:val="single"/>
        </w:rPr>
        <w:tab/>
      </w:r>
      <w:r>
        <w:t>（请填写：是、不是）残疾人福利性单位</w:t>
      </w:r>
      <w:r>
        <w:rPr>
          <w:spacing w:val="-18"/>
        </w:rPr>
        <w:t>。</w:t>
      </w:r>
      <w:r>
        <w:t>本企业（单位）提供企业（单位）制造的货物。</w:t>
      </w:r>
    </w:p>
    <w:p>
      <w:pPr>
        <w:pStyle w:val="9"/>
        <w:spacing w:before="1" w:line="475" w:lineRule="auto"/>
        <w:ind w:left="676" w:right="1529"/>
      </w:pPr>
      <w:r>
        <w:t>本企业（单位）对上述声明的真实性负责。如有虚假，将依法承担相应责任。本声明函经制造商和投标人共同盖章生效。</w:t>
      </w:r>
    </w:p>
    <w:p>
      <w:pPr>
        <w:pStyle w:val="9"/>
      </w:pPr>
    </w:p>
    <w:p>
      <w:pPr>
        <w:pStyle w:val="9"/>
      </w:pPr>
    </w:p>
    <w:p>
      <w:pPr>
        <w:pStyle w:val="9"/>
      </w:pPr>
    </w:p>
    <w:p>
      <w:pPr>
        <w:pStyle w:val="9"/>
      </w:pPr>
    </w:p>
    <w:p>
      <w:pPr>
        <w:pStyle w:val="9"/>
      </w:pPr>
    </w:p>
    <w:p>
      <w:pPr>
        <w:pStyle w:val="9"/>
      </w:pPr>
    </w:p>
    <w:p>
      <w:pPr>
        <w:pStyle w:val="9"/>
      </w:pPr>
    </w:p>
    <w:p>
      <w:pPr>
        <w:pStyle w:val="9"/>
        <w:spacing w:before="8"/>
        <w:rPr>
          <w:sz w:val="22"/>
        </w:rPr>
      </w:pPr>
    </w:p>
    <w:p>
      <w:pPr>
        <w:pStyle w:val="9"/>
        <w:tabs>
          <w:tab w:val="left" w:pos="8715"/>
        </w:tabs>
        <w:ind w:left="4216"/>
        <w:rPr>
          <w:rFonts w:ascii="Times New Roman" w:eastAsia="Times New Roman"/>
        </w:rPr>
      </w:pPr>
      <w:r>
        <w:t>制造商名称（盖单位章）：</w:t>
      </w:r>
      <w:r>
        <w:rPr>
          <w:rFonts w:ascii="Times New Roman" w:eastAsia="Times New Roman"/>
          <w:u w:val="single"/>
        </w:rPr>
        <w:t xml:space="preserve"> </w:t>
      </w:r>
      <w:r>
        <w:rPr>
          <w:rFonts w:ascii="Times New Roman" w:eastAsia="Times New Roman"/>
          <w:u w:val="single"/>
        </w:rPr>
        <w:tab/>
      </w:r>
    </w:p>
    <w:p>
      <w:pPr>
        <w:pStyle w:val="9"/>
        <w:spacing w:before="10"/>
        <w:rPr>
          <w:rFonts w:ascii="Times New Roman"/>
          <w:sz w:val="19"/>
        </w:rPr>
      </w:pPr>
    </w:p>
    <w:p>
      <w:pPr>
        <w:pStyle w:val="9"/>
        <w:tabs>
          <w:tab w:val="left" w:pos="8715"/>
        </w:tabs>
        <w:spacing w:before="74"/>
        <w:ind w:left="4216"/>
        <w:rPr>
          <w:rFonts w:ascii="Times New Roman" w:eastAsia="Times New Roman"/>
        </w:rPr>
      </w:pPr>
      <w:r>
        <w:t>投标人名称（盖单位章）：</w:t>
      </w:r>
      <w:r>
        <w:rPr>
          <w:rFonts w:ascii="Times New Roman" w:eastAsia="Times New Roman"/>
          <w:u w:val="single"/>
        </w:rPr>
        <w:t xml:space="preserve"> </w:t>
      </w:r>
      <w:r>
        <w:rPr>
          <w:rFonts w:ascii="Times New Roman" w:eastAsia="Times New Roman"/>
          <w:u w:val="single"/>
        </w:rPr>
        <w:tab/>
      </w:r>
    </w:p>
    <w:p>
      <w:pPr>
        <w:pStyle w:val="9"/>
        <w:spacing w:before="5"/>
        <w:rPr>
          <w:rFonts w:ascii="Times New Roman"/>
          <w:sz w:val="20"/>
        </w:rPr>
      </w:pPr>
    </w:p>
    <w:p>
      <w:pPr>
        <w:pStyle w:val="9"/>
        <w:tabs>
          <w:tab w:val="left" w:pos="1125"/>
          <w:tab w:val="left" w:pos="3225"/>
        </w:tabs>
        <w:spacing w:before="67"/>
        <w:ind w:left="645"/>
        <w:jc w:val="center"/>
        <w:rPr>
          <w:rFonts w:ascii="Times New Roman" w:eastAsia="Times New Roman"/>
        </w:rPr>
      </w:pPr>
      <w:r>
        <w:t>日</w:t>
      </w:r>
      <w:r>
        <w:tab/>
      </w:r>
      <w:r>
        <w:t>期：</w:t>
      </w:r>
      <w:r>
        <w:rPr>
          <w:rFonts w:ascii="Times New Roman" w:eastAsia="Times New Roman"/>
          <w:u w:val="single"/>
        </w:rPr>
        <w:t xml:space="preserve"> </w:t>
      </w:r>
      <w:r>
        <w:rPr>
          <w:rFonts w:ascii="Times New Roman" w:eastAsia="Times New Roman"/>
          <w:u w:val="single"/>
        </w:rPr>
        <w:tab/>
      </w:r>
    </w:p>
    <w:p>
      <w:pPr>
        <w:jc w:val="center"/>
        <w:rPr>
          <w:rFonts w:ascii="Times New Roman" w:eastAsia="Times New Roman"/>
        </w:rPr>
        <w:sectPr>
          <w:pgSz w:w="11910" w:h="16840"/>
          <w:pgMar w:top="1580" w:right="800" w:bottom="1420" w:left="740" w:header="0" w:footer="1233" w:gutter="0"/>
          <w:cols w:space="720" w:num="1"/>
        </w:sectPr>
      </w:pPr>
    </w:p>
    <w:p>
      <w:pPr>
        <w:tabs>
          <w:tab w:val="left" w:pos="4508"/>
        </w:tabs>
        <w:spacing w:before="83"/>
        <w:ind w:left="4026"/>
        <w:rPr>
          <w:b/>
          <w:sz w:val="24"/>
        </w:rPr>
      </w:pPr>
      <w:bookmarkStart w:id="72" w:name="6___投标人关联单位的说明"/>
      <w:bookmarkEnd w:id="72"/>
      <w:r>
        <w:rPr>
          <w:rFonts w:hint="eastAsia"/>
          <w:b/>
          <w:sz w:val="24"/>
          <w:lang w:val="en-US"/>
        </w:rPr>
        <w:t>7</w:t>
      </w:r>
      <w:r>
        <w:rPr>
          <w:b/>
          <w:sz w:val="24"/>
        </w:rPr>
        <w:tab/>
      </w:r>
      <w:r>
        <w:rPr>
          <w:b/>
          <w:sz w:val="24"/>
        </w:rPr>
        <w:t>投标人关联单位的说明</w:t>
      </w:r>
    </w:p>
    <w:p>
      <w:pPr>
        <w:pStyle w:val="9"/>
        <w:rPr>
          <w:b/>
        </w:rPr>
      </w:pPr>
    </w:p>
    <w:p>
      <w:pPr>
        <w:pStyle w:val="9"/>
        <w:rPr>
          <w:b/>
          <w:sz w:val="25"/>
        </w:rPr>
      </w:pPr>
    </w:p>
    <w:p>
      <w:pPr>
        <w:pStyle w:val="9"/>
        <w:ind w:left="736"/>
      </w:pPr>
      <w:r>
        <w:t>说明：投标人应当如实披露与本单位存在下列关联关系的单位名称：</w:t>
      </w:r>
    </w:p>
    <w:p>
      <w:pPr>
        <w:pStyle w:val="22"/>
        <w:numPr>
          <w:ilvl w:val="2"/>
          <w:numId w:val="32"/>
        </w:numPr>
        <w:tabs>
          <w:tab w:val="left" w:pos="1337"/>
        </w:tabs>
        <w:spacing w:before="2"/>
        <w:rPr>
          <w:sz w:val="24"/>
        </w:rPr>
      </w:pPr>
      <w:r>
        <w:rPr>
          <w:sz w:val="24"/>
        </w:rPr>
        <w:t>与投标人单位负责人为同一人的其他单位；</w:t>
      </w:r>
    </w:p>
    <w:p>
      <w:pPr>
        <w:pStyle w:val="22"/>
        <w:numPr>
          <w:ilvl w:val="2"/>
          <w:numId w:val="32"/>
        </w:numPr>
        <w:tabs>
          <w:tab w:val="left" w:pos="1337"/>
        </w:tabs>
        <w:spacing w:before="5"/>
        <w:rPr>
          <w:sz w:val="24"/>
        </w:rPr>
      </w:pPr>
      <w:r>
        <w:rPr>
          <w:sz w:val="24"/>
        </w:rPr>
        <w:t>与投标人存在直接控股、管理关系的其他单位。</w:t>
      </w:r>
    </w:p>
    <w:p>
      <w:pPr>
        <w:pStyle w:val="22"/>
        <w:tabs>
          <w:tab w:val="left" w:pos="1337"/>
        </w:tabs>
        <w:spacing w:before="5"/>
        <w:ind w:left="736" w:firstLine="0"/>
        <w:rPr>
          <w:sz w:val="24"/>
        </w:rPr>
      </w:pPr>
    </w:p>
    <w:p>
      <w:pPr>
        <w:pStyle w:val="5"/>
        <w:rPr>
          <w:rFonts w:ascii="Times New Roman"/>
        </w:rPr>
      </w:pPr>
    </w:p>
    <w:p>
      <w:pPr>
        <w:pStyle w:val="11"/>
        <w:spacing w:line="240" w:lineRule="atLeast"/>
        <w:jc w:val="center"/>
        <w:rPr>
          <w:rFonts w:ascii="Times New Roman" w:hAnsi="Times New Roman"/>
          <w:sz w:val="24"/>
        </w:rPr>
      </w:pPr>
      <w:r>
        <w:rPr>
          <w:rFonts w:ascii="Times New Roman" w:hAnsi="Times New Roman"/>
          <w:sz w:val="24"/>
        </w:rPr>
        <w:t>供应商的母公司、子公司（含控股公司）关联企业等情况表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264" w:type="dxa"/>
          </w:tcPr>
          <w:p>
            <w:pPr>
              <w:pStyle w:val="11"/>
              <w:spacing w:line="240" w:lineRule="atLeast"/>
              <w:jc w:val="center"/>
              <w:rPr>
                <w:rFonts w:ascii="Times New Roman" w:hAnsi="Times New Roman"/>
                <w:sz w:val="24"/>
              </w:rPr>
            </w:pPr>
          </w:p>
        </w:tc>
        <w:tc>
          <w:tcPr>
            <w:tcW w:w="4264" w:type="dxa"/>
            <w:vAlign w:val="center"/>
          </w:tcPr>
          <w:p>
            <w:pPr>
              <w:pStyle w:val="11"/>
              <w:spacing w:line="240" w:lineRule="atLeast"/>
              <w:jc w:val="center"/>
              <w:rPr>
                <w:rFonts w:ascii="Times New Roman" w:hAnsi="Times New Roman"/>
                <w:sz w:val="24"/>
              </w:rPr>
            </w:pPr>
            <w:r>
              <w:rPr>
                <w:rFonts w:ascii="Times New Roman" w:hAnsi="Times New Roman"/>
                <w:sz w:val="24"/>
              </w:rPr>
              <w:t>供应商填写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Pr>
          <w:p>
            <w:pPr>
              <w:pStyle w:val="11"/>
              <w:spacing w:line="240" w:lineRule="atLeast"/>
              <w:jc w:val="center"/>
              <w:rPr>
                <w:rFonts w:ascii="Times New Roman" w:hAnsi="Times New Roman"/>
                <w:sz w:val="24"/>
              </w:rPr>
            </w:pPr>
            <w:r>
              <w:rPr>
                <w:rFonts w:ascii="Times New Roman" w:hAnsi="Times New Roman"/>
                <w:sz w:val="24"/>
              </w:rPr>
              <w:t>供应商的母公司及其母公司的子公司（含控股公司）的情况</w:t>
            </w:r>
          </w:p>
        </w:tc>
        <w:tc>
          <w:tcPr>
            <w:tcW w:w="4264" w:type="dxa"/>
          </w:tcPr>
          <w:p>
            <w:pPr>
              <w:pStyle w:val="11"/>
              <w:spacing w:line="240" w:lineRule="atLeast"/>
              <w:jc w:val="center"/>
              <w:rPr>
                <w:rFonts w:ascii="Times New Roman" w:hAnsi="Times New Roman"/>
                <w:sz w:val="24"/>
              </w:rPr>
            </w:pPr>
            <w:r>
              <w:rPr>
                <w:rFonts w:ascii="Times New Roman" w:hAnsi="Times New Roman"/>
                <w:sz w:val="24"/>
              </w:rPr>
              <w:t>叙述或附图表示供应商的母公司及其母公司的子公司（含控股公司）的情况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Pr>
          <w:p>
            <w:pPr>
              <w:pStyle w:val="11"/>
              <w:spacing w:line="240" w:lineRule="atLeast"/>
              <w:jc w:val="center"/>
              <w:rPr>
                <w:rFonts w:ascii="Times New Roman" w:hAnsi="Times New Roman"/>
                <w:sz w:val="24"/>
              </w:rPr>
            </w:pPr>
            <w:r>
              <w:rPr>
                <w:rFonts w:ascii="Times New Roman" w:hAnsi="Times New Roman"/>
                <w:sz w:val="24"/>
              </w:rPr>
              <w:t>供应商的子公司（含控股公司）的情况</w:t>
            </w:r>
          </w:p>
        </w:tc>
        <w:tc>
          <w:tcPr>
            <w:tcW w:w="4264" w:type="dxa"/>
          </w:tcPr>
          <w:p>
            <w:pPr>
              <w:pStyle w:val="11"/>
              <w:spacing w:line="240" w:lineRule="atLeast"/>
              <w:jc w:val="center"/>
              <w:rPr>
                <w:rFonts w:ascii="Times New Roman" w:hAnsi="Times New Roman"/>
                <w:sz w:val="24"/>
              </w:rPr>
            </w:pPr>
            <w:r>
              <w:rPr>
                <w:rFonts w:ascii="Times New Roman" w:hAnsi="Times New Roman"/>
                <w:sz w:val="24"/>
              </w:rPr>
              <w:t>叙述或附图表示供应商子公司（含控股公司）的情况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Pr>
          <w:p>
            <w:pPr>
              <w:pStyle w:val="11"/>
              <w:spacing w:line="240" w:lineRule="atLeast"/>
              <w:jc w:val="center"/>
              <w:rPr>
                <w:rFonts w:ascii="Times New Roman" w:hAnsi="Times New Roman"/>
                <w:sz w:val="24"/>
              </w:rPr>
            </w:pPr>
            <w:r>
              <w:rPr>
                <w:rFonts w:ascii="Times New Roman" w:hAnsi="Times New Roman"/>
                <w:sz w:val="24"/>
              </w:rPr>
              <w:t>供应商的投资参股关系的关联企业的情况</w:t>
            </w:r>
          </w:p>
        </w:tc>
        <w:tc>
          <w:tcPr>
            <w:tcW w:w="4264" w:type="dxa"/>
          </w:tcPr>
          <w:p>
            <w:pPr>
              <w:pStyle w:val="11"/>
              <w:spacing w:line="240" w:lineRule="atLeast"/>
              <w:jc w:val="center"/>
              <w:rPr>
                <w:rFonts w:ascii="Times New Roman" w:hAnsi="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Pr>
          <w:p>
            <w:pPr>
              <w:pStyle w:val="11"/>
              <w:spacing w:line="240" w:lineRule="atLeast"/>
              <w:jc w:val="center"/>
              <w:rPr>
                <w:rFonts w:ascii="Times New Roman" w:hAnsi="Times New Roman"/>
                <w:sz w:val="24"/>
              </w:rPr>
            </w:pPr>
            <w:r>
              <w:rPr>
                <w:rFonts w:ascii="Times New Roman" w:hAnsi="Times New Roman"/>
                <w:sz w:val="24"/>
              </w:rPr>
              <w:t>供应商的法定代表人为同一人的两个及两个以上法人的情况</w:t>
            </w:r>
          </w:p>
        </w:tc>
        <w:tc>
          <w:tcPr>
            <w:tcW w:w="4264" w:type="dxa"/>
          </w:tcPr>
          <w:p>
            <w:pPr>
              <w:pStyle w:val="11"/>
              <w:spacing w:line="240" w:lineRule="atLeast"/>
              <w:jc w:val="center"/>
              <w:rPr>
                <w:rFonts w:ascii="Times New Roman" w:hAnsi="Times New Roman"/>
                <w:sz w:val="24"/>
              </w:rPr>
            </w:pPr>
          </w:p>
        </w:tc>
      </w:tr>
    </w:tbl>
    <w:p>
      <w:pPr>
        <w:pStyle w:val="11"/>
        <w:spacing w:line="240" w:lineRule="atLeast"/>
        <w:rPr>
          <w:rFonts w:ascii="Times New Roman" w:hAnsi="Times New Roman"/>
          <w:sz w:val="24"/>
        </w:rPr>
      </w:pPr>
    </w:p>
    <w:p>
      <w:pPr>
        <w:pStyle w:val="11"/>
        <w:spacing w:line="240" w:lineRule="atLeast"/>
        <w:rPr>
          <w:rFonts w:ascii="Times New Roman" w:hAnsi="Times New Roman"/>
          <w:sz w:val="24"/>
        </w:rPr>
      </w:pPr>
      <w:r>
        <w:rPr>
          <w:rFonts w:ascii="Times New Roman" w:hAnsi="Times New Roman"/>
          <w:sz w:val="24"/>
        </w:rPr>
        <w:t xml:space="preserve">注：1.供应商应如实、全面地填写“供应商关联企业情况表”。若因供应商故意隐瞒，一经查实，将视为供应商弄虚作假，提供了虚假资料，采购人将按相关规定以弄虚作假行为处理。 </w:t>
      </w:r>
    </w:p>
    <w:p>
      <w:pPr>
        <w:pStyle w:val="11"/>
        <w:spacing w:line="240" w:lineRule="atLeast"/>
        <w:rPr>
          <w:rFonts w:ascii="Times New Roman" w:hAnsi="Times New Roman"/>
          <w:sz w:val="24"/>
        </w:rPr>
      </w:pPr>
      <w:r>
        <w:rPr>
          <w:rFonts w:ascii="Times New Roman" w:hAnsi="Times New Roman"/>
          <w:sz w:val="24"/>
        </w:rPr>
        <w:t xml:space="preserve">2.如供应商无上表中所述的相关情况，则供应商可在相应表栏中填写“无”。 </w:t>
      </w:r>
    </w:p>
    <w:p>
      <w:pPr>
        <w:pStyle w:val="11"/>
        <w:spacing w:line="240" w:lineRule="atLeast"/>
        <w:rPr>
          <w:rFonts w:ascii="Times New Roman" w:hAnsi="Times New Roman"/>
          <w:sz w:val="24"/>
        </w:rPr>
      </w:pPr>
      <w:r>
        <w:rPr>
          <w:rFonts w:ascii="Times New Roman" w:hAnsi="Times New Roman"/>
          <w:sz w:val="24"/>
        </w:rPr>
        <w:t xml:space="preserve">3.单位负责人为同一人或者存在直接控股、管理关系的不同供应商，不得同时参加本谈判项目的政府采购活动。 </w:t>
      </w:r>
    </w:p>
    <w:p>
      <w:pPr>
        <w:pStyle w:val="11"/>
        <w:spacing w:line="240" w:lineRule="atLeast"/>
        <w:rPr>
          <w:rFonts w:ascii="Times New Roman" w:hAnsi="Times New Roman"/>
          <w:sz w:val="24"/>
        </w:rPr>
      </w:pPr>
    </w:p>
    <w:p>
      <w:pPr>
        <w:pStyle w:val="11"/>
        <w:spacing w:line="240" w:lineRule="atLeast"/>
        <w:rPr>
          <w:rFonts w:ascii="Times New Roman" w:hAnsi="Times New Roman"/>
          <w:sz w:val="24"/>
        </w:rPr>
      </w:pPr>
    </w:p>
    <w:p>
      <w:pPr>
        <w:pStyle w:val="11"/>
        <w:spacing w:line="240" w:lineRule="atLeast"/>
        <w:rPr>
          <w:rFonts w:ascii="Times New Roman" w:hAnsi="Times New Roman"/>
          <w:b/>
          <w:bCs/>
          <w:sz w:val="24"/>
        </w:rPr>
      </w:pPr>
    </w:p>
    <w:p>
      <w:pPr>
        <w:pStyle w:val="11"/>
        <w:spacing w:line="240" w:lineRule="atLeast"/>
        <w:rPr>
          <w:rFonts w:ascii="Times New Roman" w:hAnsi="Times New Roman"/>
          <w:b/>
          <w:bCs/>
          <w:sz w:val="24"/>
        </w:rPr>
      </w:pPr>
    </w:p>
    <w:p>
      <w:pPr>
        <w:widowControl/>
        <w:jc w:val="center"/>
        <w:rPr>
          <w:color w:val="000000"/>
          <w:lang w:bidi="ar"/>
        </w:rPr>
      </w:pPr>
      <w:r>
        <w:rPr>
          <w:color w:val="000000"/>
          <w:lang w:bidi="ar"/>
        </w:rPr>
        <w:t xml:space="preserve">                             供应商：</w:t>
      </w:r>
      <w:r>
        <w:rPr>
          <w:rFonts w:hint="eastAsia"/>
          <w:color w:val="000000"/>
          <w:u w:val="single"/>
          <w:lang w:val="en-US" w:bidi="ar"/>
        </w:rPr>
        <w:t xml:space="preserve">          （</w:t>
      </w:r>
      <w:r>
        <w:rPr>
          <w:color w:val="000000"/>
          <w:lang w:bidi="ar"/>
        </w:rPr>
        <w:t xml:space="preserve">盖单位章） </w:t>
      </w:r>
    </w:p>
    <w:p>
      <w:pPr>
        <w:pStyle w:val="2"/>
        <w:ind w:firstLine="4200" w:firstLineChars="2000"/>
        <w:rPr>
          <w:rFonts w:eastAsia="宋体"/>
          <w:color w:val="000000"/>
          <w:kern w:val="0"/>
          <w:sz w:val="21"/>
          <w:szCs w:val="24"/>
          <w:u w:val="single"/>
          <w:lang w:bidi="ar"/>
        </w:rPr>
      </w:pPr>
      <w:r>
        <w:rPr>
          <w:rFonts w:eastAsia="宋体"/>
          <w:color w:val="000000"/>
          <w:kern w:val="0"/>
          <w:sz w:val="21"/>
          <w:szCs w:val="24"/>
          <w:lang w:bidi="ar"/>
        </w:rPr>
        <w:t>法定代表人或其委托代理人</w:t>
      </w:r>
      <w:r>
        <w:rPr>
          <w:color w:val="000000"/>
          <w:szCs w:val="24"/>
          <w:lang w:bidi="ar"/>
        </w:rPr>
        <w:t>：</w:t>
      </w:r>
      <w:r>
        <w:rPr>
          <w:color w:val="000000"/>
          <w:szCs w:val="24"/>
          <w:u w:val="single"/>
          <w:lang w:bidi="ar"/>
        </w:rPr>
        <w:t xml:space="preserve"> </w:t>
      </w:r>
      <w:r>
        <w:rPr>
          <w:rFonts w:eastAsia="宋体"/>
          <w:color w:val="000000"/>
          <w:kern w:val="0"/>
          <w:sz w:val="21"/>
          <w:szCs w:val="24"/>
          <w:u w:val="single"/>
          <w:lang w:bidi="ar"/>
        </w:rPr>
        <w:t>（签字或盖章）</w:t>
      </w:r>
    </w:p>
    <w:p>
      <w:pPr>
        <w:pStyle w:val="5"/>
      </w:pPr>
    </w:p>
    <w:p>
      <w:pPr>
        <w:rPr>
          <w:sz w:val="24"/>
        </w:rPr>
        <w:sectPr>
          <w:pgSz w:w="11910" w:h="16840"/>
          <w:pgMar w:top="1580" w:right="800" w:bottom="1420" w:left="740" w:header="0" w:footer="1233" w:gutter="0"/>
          <w:cols w:space="720" w:num="1"/>
        </w:sectPr>
      </w:pPr>
    </w:p>
    <w:p>
      <w:pPr>
        <w:tabs>
          <w:tab w:val="left" w:pos="2948"/>
        </w:tabs>
        <w:spacing w:before="83"/>
        <w:ind w:left="2466"/>
        <w:rPr>
          <w:b/>
          <w:sz w:val="24"/>
        </w:rPr>
      </w:pPr>
      <w:bookmarkStart w:id="73" w:name="7___投标文件还应包括投标人须知第10条的所有响应文件"/>
      <w:bookmarkEnd w:id="73"/>
      <w:r>
        <w:rPr>
          <w:rFonts w:hint="eastAsia"/>
          <w:b/>
          <w:sz w:val="24"/>
          <w:lang w:val="en-US"/>
        </w:rPr>
        <w:t>8</w:t>
      </w:r>
      <w:r>
        <w:rPr>
          <w:b/>
          <w:sz w:val="24"/>
        </w:rPr>
        <w:tab/>
      </w:r>
      <w:r>
        <w:rPr>
          <w:b/>
          <w:sz w:val="24"/>
        </w:rPr>
        <w:t>投标文件还应包括投标人须知第10条的所有响应文件</w:t>
      </w:r>
    </w:p>
    <w:p>
      <w:pPr>
        <w:rPr>
          <w:sz w:val="24"/>
        </w:rPr>
        <w:sectPr>
          <w:pgSz w:w="11910" w:h="16840"/>
          <w:pgMar w:top="1580" w:right="800" w:bottom="1420" w:left="740" w:header="0" w:footer="1233" w:gutter="0"/>
          <w:cols w:space="720" w:num="1"/>
        </w:sectPr>
      </w:pPr>
    </w:p>
    <w:p>
      <w:pPr>
        <w:tabs>
          <w:tab w:val="left" w:pos="2948"/>
        </w:tabs>
        <w:spacing w:before="83"/>
        <w:ind w:left="2466" w:firstLine="723" w:firstLineChars="300"/>
        <w:rPr>
          <w:b/>
          <w:sz w:val="24"/>
        </w:rPr>
      </w:pPr>
      <w:r>
        <w:rPr>
          <w:rFonts w:hint="eastAsia"/>
          <w:b/>
          <w:sz w:val="24"/>
          <w:lang w:val="en-US"/>
        </w:rPr>
        <w:t>9</w:t>
      </w:r>
      <w:r>
        <w:rPr>
          <w:b/>
          <w:sz w:val="24"/>
        </w:rPr>
        <w:t>、</w:t>
      </w:r>
      <w:r>
        <w:rPr>
          <w:rFonts w:hint="eastAsia"/>
          <w:b/>
          <w:sz w:val="24"/>
        </w:rPr>
        <w:t>投标单位（供应商）反商业贿赂承诺书</w:t>
      </w:r>
    </w:p>
    <w:p>
      <w:pPr>
        <w:pStyle w:val="9"/>
        <w:rPr>
          <w:rFonts w:ascii="宋体"/>
          <w:b/>
        </w:rPr>
      </w:pPr>
    </w:p>
    <w:p>
      <w:pPr>
        <w:pStyle w:val="9"/>
        <w:rPr>
          <w:rFonts w:ascii="宋体"/>
          <w:b/>
        </w:rPr>
      </w:pPr>
    </w:p>
    <w:p>
      <w:pPr>
        <w:pStyle w:val="9"/>
        <w:rPr>
          <w:rFonts w:ascii="宋体"/>
          <w:b/>
        </w:rPr>
      </w:pPr>
    </w:p>
    <w:p>
      <w:pPr>
        <w:tabs>
          <w:tab w:val="left" w:pos="6767"/>
        </w:tabs>
        <w:spacing w:before="203" w:line="364" w:lineRule="auto"/>
        <w:ind w:left="255" w:right="239" w:firstLine="736"/>
        <w:jc w:val="both"/>
        <w:rPr>
          <w:rFonts w:ascii="宋体" w:eastAsia="宋体"/>
          <w:sz w:val="21"/>
        </w:rPr>
      </w:pPr>
      <w:r>
        <w:rPr>
          <w:rFonts w:hint="eastAsia" w:ascii="宋体" w:eastAsia="宋体"/>
          <w:sz w:val="21"/>
        </w:rPr>
        <w:t>我公司承诺在</w:t>
      </w:r>
      <w:r>
        <w:rPr>
          <w:rFonts w:hint="eastAsia" w:ascii="宋体" w:eastAsia="宋体"/>
          <w:sz w:val="21"/>
          <w:u w:val="single"/>
        </w:rPr>
        <w:tab/>
      </w:r>
      <w:r>
        <w:rPr>
          <w:rFonts w:hint="eastAsia" w:ascii="宋体" w:eastAsia="宋体"/>
          <w:sz w:val="21"/>
        </w:rPr>
        <w:t>招标活动中，不给予国家工作人员以及中介机构工作人员及其亲属各种形式的商业贿赂（包括送礼金礼品、有价证券、购物券、回扣、佣金、咨    询费、劳务费、赞助费、宣传费、支付旅游费用、报销各种消费凭证、宴请、娱乐等），如有上述行为，我   公司及项目参与人员愿意按照《反不正当竞争法》的有关规定接受处罚。</w:t>
      </w: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spacing w:before="9"/>
        <w:rPr>
          <w:rFonts w:ascii="宋体"/>
          <w:sz w:val="16"/>
        </w:rPr>
      </w:pPr>
    </w:p>
    <w:p>
      <w:pPr>
        <w:ind w:left="1156"/>
        <w:rPr>
          <w:rFonts w:ascii="宋体" w:eastAsia="宋体"/>
          <w:sz w:val="21"/>
        </w:rPr>
      </w:pPr>
      <w:r>
        <w:rPr>
          <w:rFonts w:hint="eastAsia" w:ascii="宋体" w:eastAsia="宋体"/>
          <w:sz w:val="21"/>
        </w:rPr>
        <w:t>公司法人代表：</w:t>
      </w: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spacing w:before="3"/>
        <w:rPr>
          <w:rFonts w:ascii="宋体"/>
          <w:sz w:val="20"/>
        </w:rPr>
      </w:pPr>
    </w:p>
    <w:p>
      <w:pPr>
        <w:ind w:left="1096"/>
        <w:rPr>
          <w:rFonts w:ascii="宋体" w:eastAsia="宋体"/>
          <w:sz w:val="21"/>
        </w:rPr>
      </w:pPr>
      <w:r>
        <w:rPr>
          <w:rFonts w:hint="eastAsia" w:ascii="宋体" w:eastAsia="宋体"/>
          <w:sz w:val="21"/>
        </w:rPr>
        <w:t>法人授权代表：</w:t>
      </w:r>
    </w:p>
    <w:p>
      <w:pPr>
        <w:rPr>
          <w:rFonts w:ascii="宋体" w:eastAsia="宋体"/>
          <w:sz w:val="21"/>
        </w:rPr>
        <w:sectPr>
          <w:pgSz w:w="11910" w:h="16840"/>
          <w:pgMar w:top="1580" w:right="800" w:bottom="1420" w:left="740" w:header="0" w:footer="1233" w:gutter="0"/>
          <w:cols w:space="720" w:num="1"/>
        </w:sectPr>
      </w:pPr>
    </w:p>
    <w:p>
      <w:pPr>
        <w:pStyle w:val="5"/>
        <w:ind w:firstLine="2650" w:firstLineChars="1100"/>
        <w:rPr>
          <w:rFonts w:ascii="仿宋_GB2312" w:hAnsi="宋体" w:eastAsia="仿宋_GB2312"/>
          <w:b/>
        </w:rPr>
      </w:pPr>
      <w:r>
        <w:rPr>
          <w:rFonts w:hint="eastAsia" w:ascii="仿宋_GB2312" w:hAnsi="宋体" w:eastAsia="仿宋_GB2312"/>
          <w:b/>
        </w:rPr>
        <w:t>10   近三年业绩（</w:t>
      </w:r>
      <w:r>
        <w:rPr>
          <w:rFonts w:hint="eastAsia" w:ascii="仿宋_GB2312" w:hAnsi="宋体" w:eastAsia="仿宋_GB2312"/>
          <w:b/>
          <w:lang w:val="en-US"/>
        </w:rPr>
        <w:t>2019年5月-至今）</w:t>
      </w:r>
      <w:r>
        <w:rPr>
          <w:rFonts w:hint="eastAsia" w:ascii="仿宋_GB2312" w:hAnsi="宋体" w:eastAsia="仿宋_GB2312"/>
          <w:b/>
        </w:rPr>
        <w:t>（格式自拟）</w:t>
      </w:r>
    </w:p>
    <w:p>
      <w:pPr>
        <w:pStyle w:val="5"/>
        <w:ind w:firstLine="1687" w:firstLineChars="700"/>
        <w:rPr>
          <w:rFonts w:ascii="仿宋_GB2312" w:hAnsi="宋体" w:eastAsia="仿宋_GB2312"/>
          <w:b/>
        </w:rPr>
      </w:pPr>
    </w:p>
    <w:p>
      <w:pPr>
        <w:pStyle w:val="25"/>
        <w:rPr>
          <w:lang w:val="en-US"/>
        </w:rPr>
      </w:pPr>
    </w:p>
    <w:p>
      <w:pPr>
        <w:spacing w:line="240" w:lineRule="atLeast"/>
        <w:ind w:left="1105" w:leftChars="257" w:hanging="540"/>
        <w:jc w:val="center"/>
        <w:rPr>
          <w:rFonts w:ascii="仿宋_GB2312" w:hAnsi="宋体" w:eastAsia="仿宋_GB2312"/>
          <w:b/>
          <w:sz w:val="24"/>
          <w:szCs w:val="20"/>
        </w:rPr>
      </w:pPr>
      <w:r>
        <w:rPr>
          <w:rFonts w:hint="eastAsia" w:ascii="仿宋_GB2312" w:hAnsi="宋体" w:eastAsia="仿宋_GB2312"/>
          <w:b/>
          <w:sz w:val="24"/>
          <w:szCs w:val="20"/>
        </w:rPr>
        <w:t>以投标人提供的业绩证明资料以合同和中标通知书复印件为准</w:t>
      </w:r>
      <w:r>
        <w:rPr>
          <w:rFonts w:hint="eastAsia"/>
          <w:b/>
          <w:sz w:val="24"/>
          <w:lang w:val="en-US"/>
        </w:rPr>
        <w:t>（并提供网上中标公示截图）</w:t>
      </w:r>
    </w:p>
    <w:p>
      <w:pPr>
        <w:spacing w:before="52"/>
        <w:ind w:left="2227" w:right="1246" w:firstLine="1265" w:firstLineChars="600"/>
        <w:jc w:val="both"/>
        <w:rPr>
          <w:rFonts w:ascii="宋体" w:eastAsia="宋体"/>
          <w:b/>
          <w:sz w:val="21"/>
          <w:lang w:val="en-US"/>
        </w:rPr>
      </w:pPr>
    </w:p>
    <w:p>
      <w:pPr>
        <w:spacing w:before="52"/>
        <w:ind w:left="2227" w:right="1246" w:firstLine="1265" w:firstLineChars="600"/>
        <w:jc w:val="both"/>
        <w:rPr>
          <w:rFonts w:ascii="宋体" w:eastAsia="宋体"/>
          <w:b/>
          <w:sz w:val="21"/>
          <w:lang w:val="en-US"/>
        </w:rPr>
      </w:pPr>
    </w:p>
    <w:p>
      <w:pPr>
        <w:spacing w:before="52"/>
        <w:ind w:left="2227" w:right="1246" w:firstLine="1265" w:firstLineChars="600"/>
        <w:jc w:val="both"/>
        <w:rPr>
          <w:rFonts w:ascii="宋体" w:eastAsia="宋体"/>
          <w:b/>
          <w:sz w:val="21"/>
          <w:lang w:val="en-US"/>
        </w:rPr>
      </w:pPr>
    </w:p>
    <w:p>
      <w:pPr>
        <w:spacing w:before="52"/>
        <w:ind w:left="2227" w:right="1246" w:firstLine="1265" w:firstLineChars="600"/>
        <w:jc w:val="both"/>
        <w:rPr>
          <w:rFonts w:ascii="宋体" w:eastAsia="宋体"/>
          <w:b/>
          <w:sz w:val="21"/>
          <w:lang w:val="en-US"/>
        </w:rPr>
      </w:pPr>
    </w:p>
    <w:p>
      <w:pPr>
        <w:spacing w:before="52"/>
        <w:ind w:left="2227" w:right="1246" w:firstLine="1265" w:firstLineChars="600"/>
        <w:jc w:val="both"/>
        <w:rPr>
          <w:rFonts w:ascii="宋体" w:eastAsia="宋体"/>
          <w:b/>
          <w:sz w:val="21"/>
          <w:lang w:val="en-US"/>
        </w:rPr>
      </w:pPr>
    </w:p>
    <w:p>
      <w:pPr>
        <w:spacing w:before="52"/>
        <w:ind w:left="2227" w:right="1246" w:firstLine="1265" w:firstLineChars="600"/>
        <w:jc w:val="both"/>
        <w:rPr>
          <w:rFonts w:ascii="宋体" w:eastAsia="宋体"/>
          <w:b/>
          <w:sz w:val="21"/>
          <w:lang w:val="en-US"/>
        </w:rPr>
      </w:pPr>
    </w:p>
    <w:p>
      <w:pPr>
        <w:spacing w:before="52"/>
        <w:ind w:left="2227" w:right="1246" w:firstLine="1265" w:firstLineChars="600"/>
        <w:jc w:val="both"/>
        <w:rPr>
          <w:rFonts w:ascii="宋体" w:eastAsia="宋体"/>
          <w:b/>
          <w:sz w:val="21"/>
          <w:lang w:val="en-US"/>
        </w:rPr>
      </w:pPr>
    </w:p>
    <w:p>
      <w:pPr>
        <w:spacing w:before="52"/>
        <w:ind w:left="2227" w:right="1246" w:firstLine="1265" w:firstLineChars="600"/>
        <w:jc w:val="both"/>
        <w:rPr>
          <w:rFonts w:ascii="宋体" w:eastAsia="宋体"/>
          <w:b/>
          <w:sz w:val="21"/>
          <w:lang w:val="en-US"/>
        </w:rPr>
      </w:pPr>
    </w:p>
    <w:p>
      <w:pPr>
        <w:spacing w:before="52"/>
        <w:ind w:left="2227" w:right="1246" w:firstLine="1265" w:firstLineChars="600"/>
        <w:jc w:val="both"/>
        <w:rPr>
          <w:rFonts w:ascii="宋体" w:eastAsia="宋体"/>
          <w:b/>
          <w:sz w:val="21"/>
          <w:lang w:val="en-US"/>
        </w:rPr>
      </w:pPr>
    </w:p>
    <w:p>
      <w:pPr>
        <w:spacing w:before="52"/>
        <w:ind w:left="2227" w:right="1246" w:firstLine="1265" w:firstLineChars="600"/>
        <w:jc w:val="both"/>
        <w:rPr>
          <w:rFonts w:ascii="宋体" w:eastAsia="宋体"/>
          <w:b/>
          <w:sz w:val="21"/>
          <w:lang w:val="en-US"/>
        </w:rPr>
      </w:pPr>
    </w:p>
    <w:p>
      <w:pPr>
        <w:spacing w:before="52"/>
        <w:ind w:left="2227" w:right="1246" w:firstLine="1265" w:firstLineChars="600"/>
        <w:jc w:val="both"/>
        <w:rPr>
          <w:rFonts w:ascii="宋体" w:eastAsia="宋体"/>
          <w:b/>
          <w:sz w:val="21"/>
          <w:lang w:val="en-US"/>
        </w:rPr>
      </w:pPr>
    </w:p>
    <w:p>
      <w:pPr>
        <w:spacing w:before="52"/>
        <w:ind w:left="2227" w:right="1246" w:firstLine="1265" w:firstLineChars="600"/>
        <w:jc w:val="both"/>
        <w:rPr>
          <w:rFonts w:ascii="宋体" w:eastAsia="宋体"/>
          <w:b/>
          <w:sz w:val="21"/>
          <w:lang w:val="en-US"/>
        </w:rPr>
      </w:pPr>
    </w:p>
    <w:p>
      <w:pPr>
        <w:spacing w:before="52"/>
        <w:ind w:left="2227" w:right="1246" w:firstLine="1265" w:firstLineChars="600"/>
        <w:jc w:val="both"/>
        <w:rPr>
          <w:rFonts w:ascii="宋体" w:eastAsia="宋体"/>
          <w:b/>
          <w:sz w:val="21"/>
          <w:lang w:val="en-US"/>
        </w:rPr>
      </w:pPr>
    </w:p>
    <w:p>
      <w:pPr>
        <w:spacing w:before="52"/>
        <w:ind w:left="2227" w:right="1246" w:firstLine="1265" w:firstLineChars="600"/>
        <w:jc w:val="both"/>
        <w:rPr>
          <w:rFonts w:ascii="宋体" w:eastAsia="宋体"/>
          <w:b/>
          <w:sz w:val="21"/>
          <w:lang w:val="en-US"/>
        </w:rPr>
      </w:pPr>
    </w:p>
    <w:p>
      <w:pPr>
        <w:spacing w:before="52"/>
        <w:ind w:left="2227" w:right="1246" w:firstLine="1265" w:firstLineChars="600"/>
        <w:jc w:val="both"/>
        <w:rPr>
          <w:rFonts w:ascii="宋体" w:eastAsia="宋体"/>
          <w:b/>
          <w:sz w:val="21"/>
          <w:lang w:val="en-US"/>
        </w:rPr>
      </w:pPr>
    </w:p>
    <w:p>
      <w:pPr>
        <w:spacing w:before="52"/>
        <w:ind w:left="2227" w:right="1246" w:firstLine="1265" w:firstLineChars="600"/>
        <w:jc w:val="both"/>
        <w:rPr>
          <w:rFonts w:ascii="宋体" w:eastAsia="宋体"/>
          <w:b/>
          <w:sz w:val="21"/>
          <w:lang w:val="en-US"/>
        </w:rPr>
      </w:pPr>
    </w:p>
    <w:p>
      <w:pPr>
        <w:spacing w:before="52"/>
        <w:ind w:left="2227" w:right="1246" w:firstLine="1265" w:firstLineChars="600"/>
        <w:jc w:val="both"/>
        <w:rPr>
          <w:rFonts w:ascii="宋体" w:eastAsia="宋体"/>
          <w:b/>
          <w:sz w:val="21"/>
          <w:lang w:val="en-US"/>
        </w:rPr>
      </w:pPr>
    </w:p>
    <w:p>
      <w:pPr>
        <w:spacing w:before="52"/>
        <w:ind w:left="2227" w:right="1246" w:firstLine="1265" w:firstLineChars="600"/>
        <w:jc w:val="both"/>
        <w:rPr>
          <w:rFonts w:ascii="宋体" w:eastAsia="宋体"/>
          <w:b/>
          <w:sz w:val="21"/>
          <w:lang w:val="en-US"/>
        </w:rPr>
      </w:pPr>
    </w:p>
    <w:p>
      <w:pPr>
        <w:spacing w:before="52"/>
        <w:ind w:left="2227" w:right="1246" w:firstLine="1265" w:firstLineChars="600"/>
        <w:jc w:val="both"/>
        <w:rPr>
          <w:rFonts w:ascii="宋体" w:eastAsia="宋体"/>
          <w:b/>
          <w:sz w:val="21"/>
          <w:lang w:val="en-US"/>
        </w:rPr>
      </w:pPr>
    </w:p>
    <w:p>
      <w:pPr>
        <w:spacing w:before="52"/>
        <w:ind w:left="2227" w:right="1246" w:firstLine="1265" w:firstLineChars="600"/>
        <w:jc w:val="both"/>
        <w:rPr>
          <w:rFonts w:ascii="宋体" w:eastAsia="宋体"/>
          <w:b/>
          <w:sz w:val="21"/>
          <w:lang w:val="en-US"/>
        </w:rPr>
      </w:pPr>
    </w:p>
    <w:p>
      <w:pPr>
        <w:spacing w:before="52"/>
        <w:ind w:left="2227" w:right="1246" w:firstLine="1265" w:firstLineChars="600"/>
        <w:jc w:val="both"/>
        <w:rPr>
          <w:rFonts w:ascii="宋体" w:eastAsia="宋体"/>
          <w:b/>
          <w:sz w:val="21"/>
          <w:lang w:val="en-US"/>
        </w:rPr>
      </w:pPr>
    </w:p>
    <w:p>
      <w:pPr>
        <w:spacing w:before="52"/>
        <w:ind w:left="2227" w:right="1246" w:firstLine="1265" w:firstLineChars="600"/>
        <w:jc w:val="both"/>
        <w:rPr>
          <w:rFonts w:ascii="宋体" w:eastAsia="宋体"/>
          <w:b/>
          <w:sz w:val="21"/>
          <w:lang w:val="en-US"/>
        </w:rPr>
      </w:pPr>
    </w:p>
    <w:p>
      <w:pPr>
        <w:spacing w:before="52"/>
        <w:ind w:left="2227" w:right="1246" w:firstLine="1265" w:firstLineChars="600"/>
        <w:jc w:val="both"/>
        <w:rPr>
          <w:rFonts w:ascii="宋体" w:eastAsia="宋体"/>
          <w:b/>
          <w:sz w:val="21"/>
          <w:lang w:val="en-US"/>
        </w:rPr>
      </w:pPr>
    </w:p>
    <w:p>
      <w:pPr>
        <w:spacing w:before="52"/>
        <w:ind w:left="2227" w:right="1246" w:firstLine="1265" w:firstLineChars="600"/>
        <w:jc w:val="both"/>
        <w:rPr>
          <w:rFonts w:ascii="宋体" w:eastAsia="宋体"/>
          <w:b/>
          <w:sz w:val="21"/>
          <w:lang w:val="en-US"/>
        </w:rPr>
      </w:pPr>
    </w:p>
    <w:p>
      <w:pPr>
        <w:spacing w:before="52"/>
        <w:ind w:left="2227" w:right="1246" w:firstLine="1265" w:firstLineChars="600"/>
        <w:jc w:val="both"/>
        <w:rPr>
          <w:rFonts w:ascii="宋体" w:eastAsia="宋体"/>
          <w:b/>
          <w:sz w:val="21"/>
          <w:lang w:val="en-US"/>
        </w:rPr>
      </w:pPr>
    </w:p>
    <w:p>
      <w:pPr>
        <w:spacing w:before="52"/>
        <w:ind w:left="2227" w:right="1246" w:firstLine="1265" w:firstLineChars="600"/>
        <w:jc w:val="both"/>
        <w:rPr>
          <w:rFonts w:ascii="宋体" w:eastAsia="宋体"/>
          <w:b/>
          <w:sz w:val="21"/>
          <w:lang w:val="en-US"/>
        </w:rPr>
      </w:pPr>
    </w:p>
    <w:p>
      <w:pPr>
        <w:spacing w:before="52"/>
        <w:ind w:left="2227" w:right="1246" w:firstLine="1265" w:firstLineChars="600"/>
        <w:jc w:val="both"/>
        <w:rPr>
          <w:rFonts w:ascii="宋体" w:eastAsia="宋体"/>
          <w:b/>
          <w:sz w:val="21"/>
          <w:lang w:val="en-US"/>
        </w:rPr>
      </w:pPr>
    </w:p>
    <w:p>
      <w:pPr>
        <w:spacing w:before="52"/>
        <w:ind w:left="2227" w:right="1246" w:firstLine="1265" w:firstLineChars="600"/>
        <w:jc w:val="both"/>
        <w:rPr>
          <w:rFonts w:ascii="宋体" w:eastAsia="宋体"/>
          <w:b/>
          <w:sz w:val="21"/>
          <w:lang w:val="en-US"/>
        </w:rPr>
      </w:pPr>
    </w:p>
    <w:p>
      <w:pPr>
        <w:spacing w:before="52"/>
        <w:ind w:left="2227" w:right="1246" w:firstLine="1265" w:firstLineChars="600"/>
        <w:jc w:val="both"/>
        <w:rPr>
          <w:rFonts w:ascii="宋体" w:eastAsia="宋体"/>
          <w:b/>
          <w:sz w:val="21"/>
          <w:lang w:val="en-US"/>
        </w:rPr>
      </w:pPr>
    </w:p>
    <w:p>
      <w:pPr>
        <w:spacing w:before="52"/>
        <w:ind w:left="2227" w:right="1246" w:firstLine="1265" w:firstLineChars="600"/>
        <w:jc w:val="both"/>
        <w:rPr>
          <w:rFonts w:ascii="宋体" w:eastAsia="宋体"/>
          <w:b/>
          <w:sz w:val="21"/>
          <w:lang w:val="en-US"/>
        </w:rPr>
      </w:pPr>
    </w:p>
    <w:p>
      <w:pPr>
        <w:spacing w:before="52"/>
        <w:ind w:left="2227" w:right="1246" w:firstLine="1265" w:firstLineChars="600"/>
        <w:jc w:val="both"/>
        <w:rPr>
          <w:rFonts w:ascii="宋体" w:eastAsia="宋体"/>
          <w:b/>
          <w:sz w:val="21"/>
          <w:lang w:val="en-US"/>
        </w:rPr>
      </w:pPr>
    </w:p>
    <w:p>
      <w:pPr>
        <w:spacing w:before="52"/>
        <w:ind w:left="2227" w:right="1246" w:firstLine="1265" w:firstLineChars="600"/>
        <w:jc w:val="both"/>
        <w:rPr>
          <w:rFonts w:ascii="宋体" w:eastAsia="宋体"/>
          <w:b/>
          <w:sz w:val="21"/>
          <w:lang w:val="en-US"/>
        </w:rPr>
      </w:pPr>
    </w:p>
    <w:p>
      <w:pPr>
        <w:spacing w:before="52"/>
        <w:ind w:left="2227" w:right="1246" w:firstLine="1265" w:firstLineChars="600"/>
        <w:jc w:val="both"/>
        <w:rPr>
          <w:rFonts w:ascii="宋体" w:eastAsia="宋体"/>
          <w:b/>
          <w:sz w:val="21"/>
          <w:lang w:val="en-US"/>
        </w:rPr>
      </w:pPr>
    </w:p>
    <w:p>
      <w:pPr>
        <w:spacing w:before="52"/>
        <w:ind w:left="2227" w:right="1246" w:firstLine="1265" w:firstLineChars="600"/>
        <w:jc w:val="both"/>
        <w:rPr>
          <w:rFonts w:ascii="宋体" w:eastAsia="宋体"/>
          <w:b/>
          <w:sz w:val="21"/>
          <w:lang w:val="en-US"/>
        </w:rPr>
      </w:pPr>
    </w:p>
    <w:p>
      <w:pPr>
        <w:spacing w:before="52"/>
        <w:ind w:left="2227" w:right="1246" w:firstLine="1265" w:firstLineChars="600"/>
        <w:jc w:val="both"/>
        <w:rPr>
          <w:rFonts w:ascii="宋体" w:eastAsia="宋体"/>
          <w:b/>
          <w:sz w:val="21"/>
          <w:lang w:val="en-US"/>
        </w:rPr>
      </w:pPr>
    </w:p>
    <w:p>
      <w:pPr>
        <w:spacing w:before="52"/>
        <w:ind w:left="2227" w:right="1246" w:firstLine="1265" w:firstLineChars="600"/>
        <w:jc w:val="both"/>
        <w:rPr>
          <w:rFonts w:ascii="宋体" w:eastAsia="宋体"/>
          <w:b/>
          <w:sz w:val="21"/>
          <w:lang w:val="en-US"/>
        </w:rPr>
      </w:pPr>
    </w:p>
    <w:p>
      <w:pPr>
        <w:spacing w:before="52"/>
        <w:ind w:left="2227" w:right="1246" w:firstLine="1265" w:firstLineChars="600"/>
        <w:jc w:val="both"/>
        <w:rPr>
          <w:rFonts w:ascii="宋体" w:eastAsia="宋体"/>
          <w:b/>
          <w:sz w:val="21"/>
          <w:lang w:val="en-US"/>
        </w:rPr>
      </w:pPr>
    </w:p>
    <w:p>
      <w:pPr>
        <w:spacing w:before="52"/>
        <w:ind w:left="2227" w:right="1246" w:firstLine="1265" w:firstLineChars="600"/>
        <w:jc w:val="both"/>
        <w:rPr>
          <w:rFonts w:ascii="宋体" w:eastAsia="宋体"/>
          <w:b/>
          <w:sz w:val="21"/>
          <w:lang w:val="en-US"/>
        </w:rPr>
      </w:pPr>
    </w:p>
    <w:p>
      <w:pPr>
        <w:spacing w:before="52"/>
        <w:ind w:left="2227" w:right="1246" w:firstLine="1265" w:firstLineChars="600"/>
        <w:jc w:val="both"/>
        <w:rPr>
          <w:rFonts w:ascii="宋体" w:eastAsia="宋体"/>
          <w:b/>
          <w:sz w:val="21"/>
          <w:lang w:val="en-US"/>
        </w:rPr>
      </w:pPr>
    </w:p>
    <w:p>
      <w:pPr>
        <w:spacing w:before="52"/>
        <w:ind w:left="2227" w:right="1246" w:firstLine="1265" w:firstLineChars="600"/>
        <w:jc w:val="both"/>
        <w:rPr>
          <w:rFonts w:ascii="宋体" w:eastAsia="宋体"/>
          <w:b/>
          <w:sz w:val="21"/>
          <w:lang w:val="en-US"/>
        </w:rPr>
      </w:pPr>
    </w:p>
    <w:p>
      <w:pPr>
        <w:spacing w:before="52"/>
        <w:ind w:left="2227" w:right="1246" w:firstLine="1265" w:firstLineChars="600"/>
        <w:jc w:val="both"/>
        <w:rPr>
          <w:rFonts w:ascii="宋体" w:eastAsia="宋体"/>
          <w:b/>
          <w:sz w:val="21"/>
          <w:lang w:val="en-US"/>
        </w:rPr>
      </w:pPr>
    </w:p>
    <w:p>
      <w:pPr>
        <w:spacing w:before="52"/>
        <w:ind w:left="2227" w:right="1246" w:firstLine="1446" w:firstLineChars="600"/>
        <w:jc w:val="both"/>
        <w:rPr>
          <w:rFonts w:ascii="仿宋_GB2312" w:hAnsi="宋体" w:eastAsia="仿宋_GB2312"/>
          <w:b/>
          <w:sz w:val="24"/>
          <w:szCs w:val="20"/>
          <w:lang w:val="en-US"/>
        </w:rPr>
      </w:pPr>
      <w:r>
        <w:rPr>
          <w:rFonts w:hint="eastAsia" w:ascii="仿宋_GB2312" w:hAnsi="宋体" w:eastAsia="仿宋_GB2312"/>
          <w:b/>
          <w:sz w:val="24"/>
          <w:szCs w:val="20"/>
          <w:lang w:val="en-US"/>
        </w:rPr>
        <w:t>11.物业、绿化养护及道路保洁技术方案</w:t>
      </w:r>
    </w:p>
    <w:p>
      <w:pPr>
        <w:pStyle w:val="8"/>
        <w:ind w:firstLine="0"/>
        <w:rPr>
          <w:rFonts w:ascii="仿宋_GB2312" w:hAnsi="宋体" w:eastAsia="仿宋_GB2312"/>
          <w:b/>
          <w:sz w:val="24"/>
          <w:szCs w:val="20"/>
          <w:lang w:val="en-US"/>
        </w:rPr>
      </w:pPr>
    </w:p>
    <w:p>
      <w:pPr>
        <w:rPr>
          <w:rFonts w:ascii="仿宋_GB2312" w:hAnsi="宋体" w:eastAsia="仿宋_GB2312"/>
          <w:b/>
          <w:sz w:val="24"/>
          <w:szCs w:val="20"/>
          <w:lang w:val="en-US"/>
        </w:rPr>
      </w:pPr>
    </w:p>
    <w:p>
      <w:pPr>
        <w:ind w:firstLine="482" w:firstLineChars="200"/>
        <w:rPr>
          <w:rFonts w:ascii="仿宋_GB2312" w:hAnsi="宋体" w:eastAsia="仿宋_GB2312"/>
          <w:b/>
          <w:sz w:val="24"/>
          <w:szCs w:val="20"/>
          <w:lang w:val="en-US"/>
        </w:rPr>
      </w:pPr>
      <w:r>
        <w:rPr>
          <w:rFonts w:hint="eastAsia" w:ascii="仿宋_GB2312" w:hAnsi="宋体" w:eastAsia="仿宋_GB2312"/>
          <w:b/>
          <w:sz w:val="24"/>
          <w:szCs w:val="20"/>
          <w:lang w:val="en-US"/>
        </w:rPr>
        <w:t>包括但不限于以下内容：</w:t>
      </w:r>
    </w:p>
    <w:p>
      <w:pPr>
        <w:numPr>
          <w:ilvl w:val="0"/>
          <w:numId w:val="33"/>
        </w:numPr>
        <w:tabs>
          <w:tab w:val="left" w:pos="900"/>
        </w:tabs>
        <w:rPr>
          <w:rFonts w:ascii="仿宋_GB2312" w:hAnsi="宋体" w:eastAsia="仿宋_GB2312"/>
          <w:b/>
          <w:sz w:val="24"/>
          <w:szCs w:val="20"/>
          <w:lang w:val="en-US"/>
        </w:rPr>
      </w:pPr>
      <w:r>
        <w:rPr>
          <w:rFonts w:hint="eastAsia" w:ascii="仿宋_GB2312" w:hAnsi="宋体" w:eastAsia="仿宋_GB2312"/>
          <w:b/>
          <w:sz w:val="24"/>
          <w:szCs w:val="20"/>
          <w:lang w:val="en-US"/>
        </w:rPr>
        <w:t>企业规章制度</w:t>
      </w:r>
    </w:p>
    <w:p>
      <w:pPr>
        <w:numPr>
          <w:ilvl w:val="0"/>
          <w:numId w:val="33"/>
        </w:numPr>
        <w:tabs>
          <w:tab w:val="left" w:pos="900"/>
        </w:tabs>
        <w:rPr>
          <w:rFonts w:ascii="仿宋_GB2312" w:hAnsi="宋体" w:eastAsia="仿宋_GB2312"/>
          <w:b/>
          <w:sz w:val="24"/>
          <w:szCs w:val="20"/>
          <w:lang w:val="en-US"/>
        </w:rPr>
      </w:pPr>
      <w:r>
        <w:rPr>
          <w:rFonts w:hint="eastAsia" w:ascii="仿宋_GB2312" w:hAnsi="宋体" w:eastAsia="仿宋_GB2312"/>
          <w:b/>
          <w:sz w:val="24"/>
          <w:szCs w:val="20"/>
          <w:lang w:val="en-US"/>
        </w:rPr>
        <w:t>人员配备计划</w:t>
      </w:r>
    </w:p>
    <w:p>
      <w:pPr>
        <w:numPr>
          <w:ilvl w:val="0"/>
          <w:numId w:val="33"/>
        </w:numPr>
        <w:tabs>
          <w:tab w:val="left" w:pos="900"/>
        </w:tabs>
        <w:rPr>
          <w:rFonts w:ascii="仿宋_GB2312" w:hAnsi="宋体" w:eastAsia="仿宋_GB2312"/>
          <w:b/>
          <w:sz w:val="24"/>
          <w:szCs w:val="20"/>
          <w:lang w:val="en-US"/>
        </w:rPr>
      </w:pPr>
      <w:r>
        <w:rPr>
          <w:rFonts w:hint="eastAsia" w:ascii="仿宋_GB2312" w:hAnsi="宋体" w:eastAsia="仿宋_GB2312"/>
          <w:b/>
          <w:sz w:val="24"/>
          <w:szCs w:val="20"/>
          <w:lang w:val="en-US"/>
        </w:rPr>
        <w:t>绿化养护实施方案☆</w:t>
      </w:r>
    </w:p>
    <w:p>
      <w:pPr>
        <w:numPr>
          <w:ilvl w:val="0"/>
          <w:numId w:val="33"/>
        </w:numPr>
        <w:tabs>
          <w:tab w:val="left" w:pos="900"/>
        </w:tabs>
        <w:rPr>
          <w:rFonts w:ascii="仿宋_GB2312" w:hAnsi="宋体" w:eastAsia="仿宋_GB2312"/>
          <w:b/>
          <w:sz w:val="24"/>
          <w:szCs w:val="20"/>
          <w:lang w:val="en-US"/>
        </w:rPr>
      </w:pPr>
      <w:r>
        <w:rPr>
          <w:rFonts w:hint="eastAsia" w:ascii="仿宋_GB2312" w:hAnsi="宋体" w:eastAsia="仿宋_GB2312"/>
          <w:b/>
          <w:sz w:val="24"/>
          <w:szCs w:val="20"/>
          <w:lang w:val="en-US"/>
        </w:rPr>
        <w:t>物业及道路保洁服务措施及实施方案☆</w:t>
      </w:r>
    </w:p>
    <w:p>
      <w:pPr>
        <w:numPr>
          <w:ilvl w:val="0"/>
          <w:numId w:val="33"/>
        </w:numPr>
        <w:tabs>
          <w:tab w:val="left" w:pos="900"/>
        </w:tabs>
        <w:rPr>
          <w:rFonts w:ascii="仿宋_GB2312" w:hAnsi="宋体" w:eastAsia="仿宋_GB2312"/>
          <w:b/>
          <w:sz w:val="24"/>
          <w:szCs w:val="20"/>
          <w:lang w:val="en-US"/>
        </w:rPr>
      </w:pPr>
      <w:r>
        <w:rPr>
          <w:rFonts w:hint="eastAsia" w:ascii="仿宋_GB2312" w:hAnsi="宋体" w:eastAsia="仿宋_GB2312"/>
          <w:b/>
          <w:sz w:val="24"/>
          <w:szCs w:val="20"/>
          <w:lang w:val="en-US"/>
        </w:rPr>
        <w:t>设施设备保养及维修方案、设备使用安全操作规程☆</w:t>
      </w:r>
    </w:p>
    <w:p>
      <w:pPr>
        <w:pStyle w:val="7"/>
        <w:rPr>
          <w:rFonts w:ascii="仿宋_GB2312" w:hAnsi="宋体" w:eastAsia="仿宋_GB2312"/>
          <w:lang w:val="en-US"/>
        </w:rPr>
      </w:pPr>
    </w:p>
    <w:p>
      <w:pPr>
        <w:rPr>
          <w:lang w:val="en-US"/>
        </w:rPr>
        <w:sectPr>
          <w:footerReference r:id="rId9" w:type="default"/>
          <w:pgSz w:w="11910" w:h="16840"/>
          <w:pgMar w:top="1000" w:right="800" w:bottom="1340" w:left="740" w:header="0" w:footer="1153" w:gutter="0"/>
          <w:pgNumType w:start="40"/>
          <w:cols w:space="720" w:num="1"/>
        </w:sectPr>
      </w:pPr>
    </w:p>
    <w:p>
      <w:pPr>
        <w:pStyle w:val="9"/>
        <w:rPr>
          <w:sz w:val="20"/>
        </w:rPr>
      </w:pPr>
    </w:p>
    <w:p>
      <w:pPr>
        <w:pStyle w:val="9"/>
        <w:rPr>
          <w:sz w:val="20"/>
        </w:rPr>
      </w:pPr>
    </w:p>
    <w:p>
      <w:pPr>
        <w:pStyle w:val="9"/>
        <w:rPr>
          <w:sz w:val="20"/>
        </w:rPr>
      </w:pPr>
    </w:p>
    <w:p>
      <w:pPr>
        <w:pStyle w:val="9"/>
        <w:rPr>
          <w:sz w:val="20"/>
        </w:rPr>
      </w:pPr>
    </w:p>
    <w:p>
      <w:pPr>
        <w:pStyle w:val="9"/>
        <w:spacing w:before="3"/>
        <w:rPr>
          <w:sz w:val="25"/>
        </w:rPr>
      </w:pPr>
    </w:p>
    <w:p>
      <w:pPr>
        <w:spacing w:before="33" w:line="242" w:lineRule="auto"/>
        <w:ind w:right="613"/>
        <w:jc w:val="center"/>
        <w:rPr>
          <w:rFonts w:hint="eastAsia" w:eastAsia="仿宋"/>
          <w:b/>
          <w:sz w:val="48"/>
          <w:lang w:eastAsia="zh-CN"/>
        </w:rPr>
      </w:pPr>
      <w:r>
        <w:rPr>
          <w:rFonts w:hint="eastAsia"/>
          <w:b/>
          <w:w w:val="95"/>
          <w:sz w:val="48"/>
          <w:lang w:eastAsia="zh-CN"/>
        </w:rPr>
        <w:t>喀什经济开发区临港片区物业服务项目(二次）</w:t>
      </w:r>
    </w:p>
    <w:p>
      <w:pPr>
        <w:pStyle w:val="9"/>
        <w:rPr>
          <w:b/>
          <w:sz w:val="48"/>
        </w:rPr>
      </w:pPr>
    </w:p>
    <w:p>
      <w:pPr>
        <w:pStyle w:val="9"/>
        <w:rPr>
          <w:b/>
          <w:sz w:val="48"/>
        </w:rPr>
      </w:pPr>
    </w:p>
    <w:p>
      <w:pPr>
        <w:pStyle w:val="9"/>
        <w:spacing w:before="11"/>
        <w:rPr>
          <w:b/>
          <w:sz w:val="49"/>
        </w:rPr>
      </w:pPr>
    </w:p>
    <w:p>
      <w:pPr>
        <w:spacing w:before="1"/>
        <w:ind w:left="524" w:right="57"/>
        <w:jc w:val="center"/>
        <w:rPr>
          <w:rFonts w:hint="default" w:eastAsia="仿宋"/>
          <w:b/>
          <w:sz w:val="44"/>
          <w:lang w:val="en-US" w:eastAsia="zh-CN"/>
        </w:rPr>
      </w:pPr>
      <w:r>
        <w:rPr>
          <w:b/>
          <w:sz w:val="44"/>
        </w:rPr>
        <w:t>项目编号：KSJJKFQZFCG（GK）</w:t>
      </w:r>
      <w:r>
        <w:rPr>
          <w:rFonts w:hint="eastAsia"/>
          <w:b/>
          <w:sz w:val="44"/>
        </w:rPr>
        <w:t>2022-005</w:t>
      </w:r>
      <w:r>
        <w:rPr>
          <w:rFonts w:hint="eastAsia"/>
          <w:b/>
          <w:sz w:val="44"/>
          <w:lang w:val="en-US" w:eastAsia="zh-CN"/>
        </w:rPr>
        <w:t>-1</w:t>
      </w:r>
    </w:p>
    <w:p>
      <w:pPr>
        <w:pStyle w:val="9"/>
        <w:rPr>
          <w:b/>
          <w:sz w:val="44"/>
        </w:rPr>
      </w:pPr>
    </w:p>
    <w:p>
      <w:pPr>
        <w:pStyle w:val="9"/>
        <w:spacing w:before="7"/>
        <w:rPr>
          <w:b/>
          <w:sz w:val="45"/>
        </w:rPr>
      </w:pPr>
    </w:p>
    <w:p>
      <w:pPr>
        <w:spacing w:before="1"/>
        <w:ind w:left="503" w:right="57"/>
        <w:jc w:val="center"/>
        <w:rPr>
          <w:b/>
          <w:sz w:val="48"/>
        </w:rPr>
      </w:pPr>
      <w:r>
        <w:rPr>
          <w:b/>
          <w:sz w:val="48"/>
        </w:rPr>
        <w:t>招标文件</w:t>
      </w:r>
    </w:p>
    <w:p>
      <w:pPr>
        <w:pStyle w:val="9"/>
        <w:rPr>
          <w:b/>
          <w:sz w:val="48"/>
        </w:rPr>
      </w:pPr>
    </w:p>
    <w:p>
      <w:pPr>
        <w:pStyle w:val="9"/>
        <w:spacing w:before="11"/>
        <w:rPr>
          <w:b/>
          <w:sz w:val="49"/>
        </w:rPr>
      </w:pPr>
    </w:p>
    <w:p>
      <w:pPr>
        <w:ind w:left="623" w:right="57"/>
        <w:jc w:val="center"/>
        <w:rPr>
          <w:sz w:val="48"/>
        </w:rPr>
        <w:sectPr>
          <w:pgSz w:w="11910" w:h="16840"/>
          <w:pgMar w:top="1580" w:right="800" w:bottom="1420" w:left="740" w:header="0" w:footer="1153" w:gutter="0"/>
          <w:cols w:space="720" w:num="1"/>
        </w:sectPr>
      </w:pPr>
      <w:r>
        <w:rPr>
          <w:b/>
          <w:sz w:val="48"/>
        </w:rPr>
        <w:t>第二册</w:t>
      </w:r>
    </w:p>
    <w:p>
      <w:pPr>
        <w:spacing w:before="61"/>
        <w:ind w:right="57" w:firstLine="4216" w:firstLineChars="1500"/>
        <w:jc w:val="both"/>
        <w:rPr>
          <w:b/>
          <w:sz w:val="28"/>
        </w:rPr>
      </w:pPr>
      <w:r>
        <w:rPr>
          <w:b/>
          <w:sz w:val="28"/>
        </w:rPr>
        <w:t xml:space="preserve">第3章 </w:t>
      </w:r>
      <w:r>
        <w:rPr>
          <w:rFonts w:hint="eastAsia"/>
          <w:b/>
          <w:sz w:val="28"/>
          <w:lang w:val="en-US"/>
        </w:rPr>
        <w:t>招标公告</w:t>
      </w:r>
    </w:p>
    <w:p>
      <w:pPr>
        <w:spacing w:before="245"/>
        <w:ind w:left="88" w:right="57"/>
        <w:jc w:val="center"/>
        <w:rPr>
          <w:rFonts w:ascii="宋体"/>
          <w:sz w:val="28"/>
        </w:rPr>
      </w:pPr>
      <w:bookmarkStart w:id="74" w:name="城东金融贸易区2020年绿化环卫公共服务一体化项目招标公告"/>
      <w:bookmarkEnd w:id="74"/>
      <w:bookmarkStart w:id="75" w:name="_bookmark3"/>
      <w:bookmarkEnd w:id="75"/>
      <w:r>
        <w:rPr>
          <w:rFonts w:hint="eastAsia" w:ascii="宋体" w:eastAsia="宋体"/>
          <w:b/>
          <w:bCs/>
          <w:sz w:val="28"/>
          <w:lang w:eastAsia="zh-CN"/>
        </w:rPr>
        <w:t>喀什经济开发区临港片区物业服务项目(二次）</w:t>
      </w:r>
      <w:r>
        <w:rPr>
          <w:rFonts w:hint="eastAsia" w:ascii="宋体" w:eastAsia="宋体"/>
          <w:b/>
          <w:bCs/>
          <w:sz w:val="28"/>
        </w:rPr>
        <w:t>招标公告</w:t>
      </w:r>
    </w:p>
    <w:p>
      <w:pPr>
        <w:pStyle w:val="9"/>
        <w:spacing w:line="242" w:lineRule="auto"/>
        <w:ind w:left="255" w:right="227" w:firstLine="600"/>
        <w:jc w:val="both"/>
      </w:pPr>
      <w:r>
        <w:rPr>
          <w:rFonts w:hint="eastAsia"/>
          <w:spacing w:val="-6"/>
          <w:u w:val="single"/>
          <w:lang w:eastAsia="zh-CN"/>
        </w:rPr>
        <w:t>喀什经济开发区临港片区物业服务项目(二次）</w:t>
      </w:r>
      <w:r>
        <w:t>招标项目</w:t>
      </w:r>
      <w:r>
        <w:rPr>
          <w:rStyle w:val="24"/>
          <w:rFonts w:hint="eastAsia" w:ascii="Arial" w:hAnsi="Arial" w:cs="Arial"/>
        </w:rPr>
        <w:t>的潜在供应商应在新疆政府采购网自行下载获取采购文件，并</w:t>
      </w:r>
      <w:r>
        <w:rPr>
          <w:rStyle w:val="24"/>
          <w:rFonts w:hint="eastAsia" w:ascii="Arial" w:hAnsi="Arial" w:cs="Arial"/>
          <w:highlight w:val="none"/>
        </w:rPr>
        <w:t>于 202</w:t>
      </w:r>
      <w:r>
        <w:rPr>
          <w:rStyle w:val="24"/>
          <w:rFonts w:hint="eastAsia" w:ascii="Arial" w:hAnsi="Arial" w:cs="Arial"/>
          <w:highlight w:val="none"/>
          <w:lang w:val="en-US"/>
        </w:rPr>
        <w:t>2</w:t>
      </w:r>
      <w:r>
        <w:rPr>
          <w:rStyle w:val="24"/>
          <w:rFonts w:hint="eastAsia" w:ascii="Arial" w:hAnsi="Arial" w:cs="Arial"/>
          <w:highlight w:val="none"/>
        </w:rPr>
        <w:t>年</w:t>
      </w:r>
      <w:r>
        <w:rPr>
          <w:rStyle w:val="24"/>
          <w:rFonts w:hint="eastAsia" w:ascii="Arial" w:hAnsi="Arial" w:cs="Arial"/>
          <w:highlight w:val="none"/>
          <w:lang w:val="en-US" w:eastAsia="zh-CN"/>
        </w:rPr>
        <w:t>7</w:t>
      </w:r>
      <w:r>
        <w:rPr>
          <w:rStyle w:val="24"/>
          <w:rFonts w:hint="eastAsia" w:ascii="Arial" w:hAnsi="Arial" w:cs="Arial"/>
          <w:highlight w:val="none"/>
        </w:rPr>
        <w:t>月</w:t>
      </w:r>
      <w:r>
        <w:rPr>
          <w:rStyle w:val="24"/>
          <w:rFonts w:hint="eastAsia" w:ascii="Arial" w:hAnsi="Arial" w:cs="Arial"/>
          <w:highlight w:val="none"/>
          <w:lang w:val="en-US" w:eastAsia="zh-CN"/>
        </w:rPr>
        <w:t>27</w:t>
      </w:r>
      <w:r>
        <w:rPr>
          <w:rStyle w:val="24"/>
          <w:rFonts w:hint="eastAsia" w:ascii="Arial" w:hAnsi="Arial" w:cs="Arial"/>
          <w:highlight w:val="none"/>
        </w:rPr>
        <w:t>日</w:t>
      </w:r>
      <w:r>
        <w:rPr>
          <w:rStyle w:val="24"/>
          <w:rFonts w:hint="eastAsia" w:ascii="Arial" w:hAnsi="Arial" w:cs="Arial"/>
          <w:highlight w:val="none"/>
          <w:lang w:val="en-US"/>
        </w:rPr>
        <w:t>1</w:t>
      </w:r>
      <w:r>
        <w:rPr>
          <w:rStyle w:val="24"/>
          <w:rFonts w:hint="eastAsia" w:ascii="Arial" w:hAnsi="Arial" w:cs="Arial"/>
          <w:highlight w:val="none"/>
          <w:lang w:val="en-US" w:eastAsia="zh-CN"/>
        </w:rPr>
        <w:t>1</w:t>
      </w:r>
      <w:r>
        <w:rPr>
          <w:rStyle w:val="24"/>
          <w:rFonts w:hint="eastAsia" w:ascii="Arial" w:hAnsi="Arial" w:cs="Arial"/>
          <w:highlight w:val="none"/>
        </w:rPr>
        <w:t>点</w:t>
      </w:r>
      <w:r>
        <w:rPr>
          <w:rStyle w:val="24"/>
          <w:rFonts w:hint="eastAsia" w:ascii="Arial" w:hAnsi="Arial" w:cs="Arial"/>
          <w:highlight w:val="none"/>
          <w:lang w:val="en-US" w:eastAsia="zh-CN"/>
        </w:rPr>
        <w:t>0</w:t>
      </w:r>
      <w:r>
        <w:rPr>
          <w:rStyle w:val="24"/>
          <w:rFonts w:hint="eastAsia" w:ascii="Arial" w:hAnsi="Arial" w:cs="Arial"/>
          <w:highlight w:val="none"/>
        </w:rPr>
        <w:t>0分</w:t>
      </w:r>
      <w:r>
        <w:rPr>
          <w:rStyle w:val="24"/>
          <w:rFonts w:hint="eastAsia" w:ascii="Arial" w:hAnsi="Arial" w:cs="Arial"/>
        </w:rPr>
        <w:t>（北京时间）前提交响应文件。</w:t>
      </w:r>
    </w:p>
    <w:p>
      <w:pPr>
        <w:pStyle w:val="9"/>
        <w:spacing w:before="163"/>
        <w:ind w:left="255"/>
        <w:rPr>
          <w:rFonts w:ascii="黑体" w:eastAsia="黑体"/>
        </w:rPr>
      </w:pPr>
      <w:bookmarkStart w:id="76" w:name="一、项目基本情况"/>
      <w:bookmarkEnd w:id="76"/>
      <w:bookmarkStart w:id="77" w:name="_bookmark4"/>
      <w:bookmarkEnd w:id="77"/>
      <w:r>
        <w:rPr>
          <w:rFonts w:hint="eastAsia" w:ascii="黑体" w:eastAsia="黑体"/>
        </w:rPr>
        <w:t>一、项目基本情况</w:t>
      </w:r>
    </w:p>
    <w:p>
      <w:pPr>
        <w:pStyle w:val="9"/>
        <w:spacing w:before="4"/>
        <w:ind w:left="736"/>
        <w:rPr>
          <w:rFonts w:hint="default" w:eastAsia="仿宋"/>
          <w:lang w:val="en-US" w:eastAsia="zh-CN"/>
        </w:rPr>
      </w:pPr>
      <w:r>
        <w:t>项目编号：KSJJKFQZFCG（GK）</w:t>
      </w:r>
      <w:r>
        <w:rPr>
          <w:rFonts w:hint="eastAsia"/>
        </w:rPr>
        <w:t>2022-005</w:t>
      </w:r>
      <w:r>
        <w:rPr>
          <w:rFonts w:hint="eastAsia"/>
          <w:lang w:val="en-US" w:eastAsia="zh-CN"/>
        </w:rPr>
        <w:t>-1</w:t>
      </w:r>
    </w:p>
    <w:p>
      <w:pPr>
        <w:pStyle w:val="9"/>
        <w:spacing w:before="2" w:line="242" w:lineRule="auto"/>
        <w:ind w:left="736" w:right="2789"/>
        <w:rPr>
          <w:rFonts w:hint="eastAsia" w:eastAsia="仿宋"/>
          <w:spacing w:val="-5"/>
          <w:lang w:eastAsia="zh-CN"/>
        </w:rPr>
      </w:pPr>
      <w:r>
        <w:rPr>
          <w:spacing w:val="-5"/>
        </w:rPr>
        <w:t>项目名称：</w:t>
      </w:r>
      <w:r>
        <w:rPr>
          <w:rFonts w:hint="eastAsia"/>
          <w:spacing w:val="-5"/>
          <w:lang w:eastAsia="zh-CN"/>
        </w:rPr>
        <w:t>喀什经济开发区临港片区物业服务项目(二次）</w:t>
      </w:r>
    </w:p>
    <w:p>
      <w:pPr>
        <w:pStyle w:val="9"/>
        <w:spacing w:before="2" w:line="242" w:lineRule="auto"/>
        <w:ind w:left="736" w:right="2789"/>
        <w:rPr>
          <w:lang w:val="en-US"/>
        </w:rPr>
      </w:pPr>
      <w:r>
        <w:t>预算金额：</w:t>
      </w:r>
      <w:r>
        <w:rPr>
          <w:rFonts w:hint="eastAsia"/>
          <w:lang w:val="en-US"/>
        </w:rPr>
        <w:t>小写：1012427.10元</w:t>
      </w:r>
    </w:p>
    <w:p>
      <w:pPr>
        <w:pStyle w:val="9"/>
        <w:spacing w:before="2" w:line="242" w:lineRule="auto"/>
        <w:ind w:left="736" w:right="2789"/>
        <w:rPr>
          <w:spacing w:val="-6"/>
          <w:lang w:val="en-US"/>
        </w:rPr>
      </w:pPr>
      <w:r>
        <w:rPr>
          <w:rFonts w:hint="eastAsia"/>
          <w:lang w:val="en-US"/>
        </w:rPr>
        <w:t>大写：（壹佰零壹万贰仟肆佰贰拾柒元壹角整）</w:t>
      </w:r>
    </w:p>
    <w:p>
      <w:pPr>
        <w:pStyle w:val="9"/>
        <w:spacing w:before="2" w:line="242" w:lineRule="auto"/>
        <w:ind w:left="736" w:right="2789"/>
      </w:pPr>
      <w:r>
        <w:t>采购需求：</w:t>
      </w:r>
      <w:r>
        <w:rPr>
          <w:rFonts w:hint="eastAsia"/>
        </w:rPr>
        <w:t>详见招标文件</w:t>
      </w:r>
    </w:p>
    <w:p>
      <w:pPr>
        <w:pStyle w:val="9"/>
        <w:spacing w:before="2" w:line="242" w:lineRule="auto"/>
        <w:ind w:right="629" w:firstLine="720" w:firstLineChars="300"/>
        <w:jc w:val="both"/>
        <w:rPr>
          <w:lang w:val="en-US"/>
        </w:rPr>
      </w:pPr>
      <w:r>
        <w:t>合同履行期限：</w:t>
      </w:r>
      <w:r>
        <w:rPr>
          <w:rFonts w:hint="eastAsia"/>
          <w:lang w:val="en-US"/>
        </w:rPr>
        <w:t>一年</w:t>
      </w:r>
    </w:p>
    <w:p>
      <w:pPr>
        <w:pStyle w:val="9"/>
        <w:spacing w:before="1"/>
        <w:ind w:left="736"/>
      </w:pPr>
      <w:r>
        <w:t>本项目接受联合体投标。</w:t>
      </w:r>
    </w:p>
    <w:p>
      <w:pPr>
        <w:pStyle w:val="9"/>
        <w:spacing w:before="124"/>
        <w:ind w:left="255"/>
        <w:rPr>
          <w:rFonts w:ascii="黑体" w:eastAsia="黑体"/>
        </w:rPr>
      </w:pPr>
      <w:bookmarkStart w:id="78" w:name="二、申请人的资格要求："/>
      <w:bookmarkEnd w:id="78"/>
      <w:bookmarkStart w:id="79" w:name="_bookmark5"/>
      <w:bookmarkEnd w:id="79"/>
      <w:r>
        <w:rPr>
          <w:rFonts w:hint="eastAsia" w:ascii="黑体" w:eastAsia="黑体"/>
        </w:rPr>
        <w:t>二、申请人的资格要求：</w:t>
      </w:r>
    </w:p>
    <w:p>
      <w:pPr>
        <w:pStyle w:val="9"/>
        <w:spacing w:before="5" w:line="242" w:lineRule="auto"/>
        <w:ind w:left="255" w:right="151"/>
        <w:rPr>
          <w:lang w:val="en-US"/>
        </w:rPr>
      </w:pPr>
      <w:bookmarkStart w:id="80" w:name="_bookmark6"/>
      <w:bookmarkEnd w:id="80"/>
      <w:bookmarkStart w:id="81" w:name="三、获取招标文件"/>
      <w:bookmarkEnd w:id="81"/>
      <w:r>
        <w:rPr>
          <w:rFonts w:hint="eastAsia"/>
          <w:lang w:val="en-US"/>
        </w:rPr>
        <w:t>1.满足《中华人民共和国政府采购法》第二十二条规定；</w:t>
      </w:r>
    </w:p>
    <w:p>
      <w:pPr>
        <w:pStyle w:val="9"/>
        <w:spacing w:before="5" w:line="242" w:lineRule="auto"/>
        <w:ind w:left="255" w:right="151"/>
        <w:rPr>
          <w:lang w:val="en-US"/>
        </w:rPr>
      </w:pPr>
      <w:r>
        <w:rPr>
          <w:rFonts w:hint="eastAsia"/>
          <w:lang w:val="en-US"/>
        </w:rPr>
        <w:t>（1）联合体投标授权书及联合体投标协议书（如有）；</w:t>
      </w:r>
    </w:p>
    <w:p>
      <w:pPr>
        <w:pStyle w:val="9"/>
        <w:spacing w:before="5" w:line="242" w:lineRule="auto"/>
        <w:ind w:left="255" w:right="151"/>
        <w:rPr>
          <w:lang w:val="en-US"/>
        </w:rPr>
      </w:pPr>
      <w:r>
        <w:rPr>
          <w:rFonts w:hint="eastAsia"/>
          <w:lang w:val="en-US"/>
        </w:rPr>
        <w:t>（2）具有独立承担民事责任的能力（三证合一的营业执照）；</w:t>
      </w:r>
    </w:p>
    <w:p>
      <w:pPr>
        <w:pStyle w:val="9"/>
        <w:spacing w:before="5" w:line="242" w:lineRule="auto"/>
        <w:ind w:left="255" w:right="151"/>
        <w:rPr>
          <w:lang w:val="en-US"/>
        </w:rPr>
      </w:pPr>
      <w:r>
        <w:rPr>
          <w:rFonts w:hint="eastAsia"/>
          <w:lang w:val="en-US"/>
        </w:rPr>
        <w:t>（3）法定代表人</w:t>
      </w:r>
      <w:r>
        <w:rPr>
          <w:rFonts w:hint="eastAsia"/>
          <w:lang w:val="en-US" w:eastAsia="zh-CN"/>
        </w:rPr>
        <w:t>参加投标的</w:t>
      </w:r>
      <w:r>
        <w:rPr>
          <w:rFonts w:hint="eastAsia"/>
          <w:lang w:val="en-US"/>
        </w:rPr>
        <w:t>提供法定代表人身份证明及</w:t>
      </w:r>
      <w:r>
        <w:rPr>
          <w:rFonts w:hint="eastAsia"/>
          <w:lang w:val="en-US" w:eastAsia="zh-CN"/>
        </w:rPr>
        <w:t>法人</w:t>
      </w:r>
      <w:r>
        <w:rPr>
          <w:rFonts w:hint="eastAsia"/>
          <w:lang w:val="en-US"/>
        </w:rPr>
        <w:t>身份证</w:t>
      </w:r>
      <w:r>
        <w:rPr>
          <w:rFonts w:hint="eastAsia"/>
          <w:lang w:val="en-US" w:eastAsia="zh-CN"/>
        </w:rPr>
        <w:t>，被授权委托人参加投标的提供法人授权委托书及被授权人和法人身份证</w:t>
      </w:r>
      <w:r>
        <w:rPr>
          <w:rFonts w:hint="eastAsia"/>
          <w:lang w:val="en-US"/>
        </w:rPr>
        <w:t>；</w:t>
      </w:r>
    </w:p>
    <w:p>
      <w:pPr>
        <w:pStyle w:val="9"/>
        <w:spacing w:before="5" w:line="242" w:lineRule="auto"/>
        <w:ind w:left="255" w:right="151"/>
        <w:rPr>
          <w:lang w:val="en-US"/>
        </w:rPr>
      </w:pPr>
      <w:r>
        <w:rPr>
          <w:rFonts w:hint="eastAsia"/>
          <w:lang w:val="en-US"/>
        </w:rPr>
        <w:t>（4）被授权委托人在本单位缴纳的近2个月（2022年4月～5月）的社保证明（单位社保缴费凭证和个人明细表）；</w:t>
      </w:r>
    </w:p>
    <w:p>
      <w:pPr>
        <w:pStyle w:val="9"/>
        <w:spacing w:before="5" w:line="242" w:lineRule="auto"/>
        <w:ind w:left="255" w:right="151"/>
        <w:rPr>
          <w:lang w:val="en-US"/>
        </w:rPr>
      </w:pPr>
      <w:r>
        <w:rPr>
          <w:rFonts w:hint="eastAsia"/>
          <w:lang w:val="en-US"/>
        </w:rPr>
        <w:t>（5）具有税务局开具依法缴纳近三个月（2022年3月～5月）完税证明及</w:t>
      </w:r>
      <w:r>
        <w:rPr>
          <w:rFonts w:hint="eastAsia"/>
          <w:lang w:val="en-US" w:eastAsia="zh-CN"/>
        </w:rPr>
        <w:t>2021年或2020年财务审计报告</w:t>
      </w:r>
      <w:r>
        <w:rPr>
          <w:rFonts w:hint="eastAsia"/>
          <w:lang w:val="en-US"/>
        </w:rPr>
        <w:t>（新成立公司须提供银行资信证明）；</w:t>
      </w:r>
    </w:p>
    <w:p>
      <w:pPr>
        <w:pStyle w:val="9"/>
        <w:spacing w:before="5" w:line="242" w:lineRule="auto"/>
        <w:ind w:left="255" w:right="151"/>
        <w:rPr>
          <w:lang w:val="en-US"/>
        </w:rPr>
      </w:pPr>
      <w:r>
        <w:rPr>
          <w:rFonts w:hint="eastAsia"/>
          <w:lang w:val="en-US"/>
        </w:rPr>
        <w:t>（6）供应商在“信用中国”（www.creditchina.gov.cn）和中国政府采购网（www.ccgp.gov.cn）网站上未列入失信被执行人、</w:t>
      </w:r>
      <w:r>
        <w:rPr>
          <w:rFonts w:hint="eastAsia"/>
          <w:lang w:val="en-US" w:eastAsia="zh-CN"/>
        </w:rPr>
        <w:t>税收违法黑名单</w:t>
      </w:r>
      <w:r>
        <w:rPr>
          <w:rFonts w:hint="eastAsia"/>
          <w:lang w:val="en-US"/>
        </w:rPr>
        <w:t>、政府采购严重违法失信行为记录名单（财库[2016]125号）（需提供网上截图加盖公章）；</w:t>
      </w:r>
    </w:p>
    <w:p>
      <w:pPr>
        <w:pStyle w:val="9"/>
        <w:spacing w:before="5" w:line="242" w:lineRule="auto"/>
        <w:ind w:left="255" w:right="151"/>
        <w:rPr>
          <w:lang w:val="en-US"/>
        </w:rPr>
      </w:pPr>
      <w:r>
        <w:rPr>
          <w:rFonts w:hint="eastAsia"/>
          <w:lang w:val="en-US"/>
        </w:rPr>
        <w:t>（7）</w:t>
      </w:r>
      <w:r>
        <w:rPr>
          <w:rFonts w:hint="eastAsia"/>
          <w:lang w:val="en-US" w:eastAsia="zh-CN"/>
        </w:rPr>
        <w:t>参加采购活动前三年内（2019年6月至今）</w:t>
      </w:r>
      <w:r>
        <w:rPr>
          <w:rFonts w:hint="eastAsia"/>
          <w:lang w:val="en-US"/>
        </w:rPr>
        <w:t>，在经营活动中无重大违法声明(受行政主管部门的处罚不能参加投标)；</w:t>
      </w:r>
    </w:p>
    <w:p>
      <w:pPr>
        <w:pStyle w:val="9"/>
        <w:spacing w:before="5" w:line="242" w:lineRule="auto"/>
        <w:ind w:left="255" w:right="151"/>
        <w:rPr>
          <w:lang w:val="en-US"/>
        </w:rPr>
      </w:pPr>
      <w:r>
        <w:rPr>
          <w:rFonts w:hint="eastAsia"/>
          <w:lang w:val="en-US"/>
        </w:rPr>
        <w:t>（8）投标单位（供应商）具备针对本次采购项目《反商业贿赂承诺书》</w:t>
      </w:r>
    </w:p>
    <w:p>
      <w:pPr>
        <w:pStyle w:val="9"/>
        <w:spacing w:before="5" w:line="242" w:lineRule="auto"/>
        <w:ind w:left="255" w:right="151"/>
      </w:pPr>
      <w:r>
        <w:rPr>
          <w:rFonts w:hint="eastAsia"/>
        </w:rPr>
        <w:t>三、获取招标文件</w:t>
      </w:r>
    </w:p>
    <w:p>
      <w:pPr>
        <w:pStyle w:val="9"/>
        <w:spacing w:before="5" w:line="242" w:lineRule="auto"/>
        <w:ind w:left="255" w:right="151"/>
        <w:rPr>
          <w:highlight w:val="none"/>
        </w:rPr>
      </w:pPr>
      <w:bookmarkStart w:id="82" w:name="_bookmark9"/>
      <w:bookmarkEnd w:id="82"/>
      <w:bookmarkStart w:id="83" w:name="六、对本次招标提出询问，请按以下方式联系。"/>
      <w:bookmarkEnd w:id="83"/>
      <w:r>
        <w:rPr>
          <w:rFonts w:hint="eastAsia"/>
        </w:rPr>
        <w:t>时间：</w:t>
      </w:r>
      <w:r>
        <w:rPr>
          <w:rFonts w:hint="eastAsia"/>
          <w:highlight w:val="none"/>
        </w:rPr>
        <w:t>202</w:t>
      </w:r>
      <w:r>
        <w:rPr>
          <w:rFonts w:hint="eastAsia"/>
          <w:highlight w:val="none"/>
          <w:lang w:val="en-US"/>
        </w:rPr>
        <w:t>2</w:t>
      </w:r>
      <w:r>
        <w:rPr>
          <w:rFonts w:hint="eastAsia"/>
          <w:highlight w:val="none"/>
        </w:rPr>
        <w:t>年</w:t>
      </w:r>
      <w:r>
        <w:rPr>
          <w:rFonts w:hint="eastAsia"/>
          <w:highlight w:val="none"/>
          <w:lang w:val="en-US" w:eastAsia="zh-CN"/>
        </w:rPr>
        <w:t>7</w:t>
      </w:r>
      <w:r>
        <w:rPr>
          <w:rFonts w:hint="eastAsia"/>
          <w:highlight w:val="none"/>
        </w:rPr>
        <w:t>月</w:t>
      </w:r>
      <w:r>
        <w:rPr>
          <w:rFonts w:hint="eastAsia"/>
          <w:highlight w:val="none"/>
          <w:lang w:val="en-US" w:eastAsia="zh-CN"/>
        </w:rPr>
        <w:t>6</w:t>
      </w:r>
      <w:r>
        <w:rPr>
          <w:rFonts w:hint="eastAsia"/>
          <w:highlight w:val="none"/>
        </w:rPr>
        <w:t>日至202</w:t>
      </w:r>
      <w:r>
        <w:rPr>
          <w:rFonts w:hint="eastAsia"/>
          <w:highlight w:val="none"/>
          <w:lang w:val="en-US"/>
        </w:rPr>
        <w:t>2</w:t>
      </w:r>
      <w:r>
        <w:rPr>
          <w:rFonts w:hint="eastAsia"/>
          <w:highlight w:val="none"/>
        </w:rPr>
        <w:t>年</w:t>
      </w:r>
      <w:r>
        <w:rPr>
          <w:rFonts w:hint="eastAsia"/>
          <w:highlight w:val="none"/>
          <w:lang w:val="en-US" w:eastAsia="zh-CN"/>
        </w:rPr>
        <w:t>7</w:t>
      </w:r>
      <w:r>
        <w:rPr>
          <w:rFonts w:hint="eastAsia"/>
          <w:highlight w:val="none"/>
        </w:rPr>
        <w:t>月</w:t>
      </w:r>
      <w:r>
        <w:rPr>
          <w:rFonts w:hint="eastAsia"/>
          <w:highlight w:val="none"/>
          <w:lang w:val="en-US" w:eastAsia="zh-CN"/>
        </w:rPr>
        <w:t>18</w:t>
      </w:r>
      <w:r>
        <w:rPr>
          <w:rFonts w:hint="eastAsia"/>
          <w:highlight w:val="none"/>
        </w:rPr>
        <w:t>日，每天上午10:00至13:30，下午15:30至19:00（北京时间，法定节假日除外 ）</w:t>
      </w:r>
    </w:p>
    <w:p>
      <w:pPr>
        <w:pStyle w:val="9"/>
        <w:spacing w:before="5" w:line="242" w:lineRule="auto"/>
        <w:ind w:left="255" w:right="151"/>
      </w:pPr>
      <w:r>
        <w:rPr>
          <w:rFonts w:hint="eastAsia"/>
        </w:rPr>
        <w:t>地点：供应商登陆政采云平台http://www.zcygov.cn/，在线申请获取谈判文件（登录政府采购云平台 → 项目采购 → 获取采购文件 → 申请，审核通过后可下载采购文件，如有操作性问题，可与政采云在线客服进行咨询，咨询电话：400-881-7190）。</w:t>
      </w:r>
    </w:p>
    <w:p>
      <w:pPr>
        <w:pStyle w:val="9"/>
        <w:spacing w:before="5" w:line="242" w:lineRule="auto"/>
        <w:ind w:left="255" w:right="151"/>
      </w:pPr>
      <w:r>
        <w:rPr>
          <w:rFonts w:hint="eastAsia"/>
        </w:rPr>
        <w:t>方式：（1）线上获取（登录政府采购云平台 → 项目采购 → 获取采购文件 → 申请，审核通过后可下载采购文件）。本次招标不提供纸质版采购文件。 </w:t>
      </w:r>
    </w:p>
    <w:p>
      <w:pPr>
        <w:pStyle w:val="9"/>
        <w:spacing w:before="5" w:line="242" w:lineRule="auto"/>
        <w:ind w:left="255" w:right="151"/>
      </w:pPr>
      <w:r>
        <w:rPr>
          <w:rFonts w:hint="eastAsia"/>
        </w:rPr>
        <w:t>       （2）供应商获取谈判文件前应注册成为政府采购云平台正式供应商。</w:t>
      </w:r>
    </w:p>
    <w:p>
      <w:pPr>
        <w:pStyle w:val="9"/>
        <w:spacing w:before="5" w:line="242" w:lineRule="auto"/>
        <w:ind w:right="151" w:firstLine="240" w:firstLineChars="100"/>
      </w:pPr>
      <w:r>
        <w:rPr>
          <w:rFonts w:hint="eastAsia"/>
        </w:rPr>
        <w:t>售价（元）：0</w:t>
      </w:r>
    </w:p>
    <w:p>
      <w:pPr>
        <w:pStyle w:val="9"/>
        <w:spacing w:before="5" w:line="242" w:lineRule="auto"/>
        <w:ind w:left="255" w:right="151"/>
      </w:pPr>
      <w:bookmarkStart w:id="84" w:name="_Toc35393801"/>
      <w:bookmarkStart w:id="85" w:name="_Toc28359015"/>
      <w:bookmarkStart w:id="86" w:name="_Toc28359092"/>
      <w:bookmarkStart w:id="87" w:name="_Toc35393632"/>
      <w:r>
        <w:rPr>
          <w:rFonts w:hint="eastAsia"/>
        </w:rPr>
        <w:t>四、响应文件提交</w:t>
      </w:r>
      <w:bookmarkEnd w:id="84"/>
      <w:bookmarkEnd w:id="85"/>
      <w:bookmarkEnd w:id="86"/>
      <w:bookmarkEnd w:id="87"/>
    </w:p>
    <w:p>
      <w:pPr>
        <w:pStyle w:val="9"/>
        <w:spacing w:before="5" w:line="242" w:lineRule="auto"/>
        <w:ind w:left="255" w:right="151"/>
      </w:pPr>
      <w:r>
        <w:rPr>
          <w:rFonts w:hint="eastAsia"/>
        </w:rPr>
        <w:t xml:space="preserve">截止时间： </w:t>
      </w:r>
      <w:r>
        <w:rPr>
          <w:rFonts w:hint="eastAsia"/>
          <w:highlight w:val="none"/>
        </w:rPr>
        <w:t>202</w:t>
      </w:r>
      <w:r>
        <w:rPr>
          <w:rFonts w:hint="eastAsia"/>
          <w:highlight w:val="none"/>
          <w:lang w:val="en-US"/>
        </w:rPr>
        <w:t>2</w:t>
      </w:r>
      <w:r>
        <w:rPr>
          <w:rFonts w:hint="eastAsia"/>
          <w:highlight w:val="none"/>
        </w:rPr>
        <w:t>年</w:t>
      </w:r>
      <w:r>
        <w:rPr>
          <w:rFonts w:hint="eastAsia"/>
          <w:highlight w:val="none"/>
          <w:lang w:val="en-US" w:eastAsia="zh-CN"/>
        </w:rPr>
        <w:t>7</w:t>
      </w:r>
      <w:r>
        <w:rPr>
          <w:rFonts w:hint="eastAsia"/>
          <w:highlight w:val="none"/>
        </w:rPr>
        <w:t>月</w:t>
      </w:r>
      <w:r>
        <w:rPr>
          <w:rFonts w:hint="eastAsia"/>
          <w:highlight w:val="none"/>
          <w:lang w:val="en-US" w:eastAsia="zh-CN"/>
        </w:rPr>
        <w:t>27</w:t>
      </w:r>
      <w:r>
        <w:rPr>
          <w:rFonts w:hint="eastAsia"/>
          <w:highlight w:val="none"/>
        </w:rPr>
        <w:t>日</w:t>
      </w:r>
      <w:r>
        <w:rPr>
          <w:rFonts w:hint="eastAsia"/>
          <w:highlight w:val="none"/>
          <w:lang w:val="en-US"/>
        </w:rPr>
        <w:t>1</w:t>
      </w:r>
      <w:r>
        <w:rPr>
          <w:rFonts w:hint="eastAsia"/>
          <w:highlight w:val="none"/>
          <w:lang w:val="en-US" w:eastAsia="zh-CN"/>
        </w:rPr>
        <w:t>1</w:t>
      </w:r>
      <w:r>
        <w:rPr>
          <w:rFonts w:hint="eastAsia"/>
          <w:highlight w:val="none"/>
        </w:rPr>
        <w:t>点</w:t>
      </w:r>
      <w:r>
        <w:rPr>
          <w:rFonts w:hint="eastAsia"/>
          <w:highlight w:val="none"/>
          <w:lang w:val="en-US" w:eastAsia="zh-CN"/>
        </w:rPr>
        <w:t>0</w:t>
      </w:r>
      <w:r>
        <w:rPr>
          <w:rFonts w:hint="eastAsia"/>
          <w:highlight w:val="none"/>
        </w:rPr>
        <w:t>0分（北京时间）</w:t>
      </w:r>
    </w:p>
    <w:p>
      <w:pPr>
        <w:pStyle w:val="9"/>
        <w:spacing w:before="5" w:line="242" w:lineRule="auto"/>
        <w:ind w:left="255" w:right="151"/>
      </w:pPr>
      <w:r>
        <w:rPr>
          <w:rFonts w:hint="eastAsia"/>
        </w:rPr>
        <w:t>地点：本项目实行全流程电子化“不见面”网上开标</w:t>
      </w:r>
    </w:p>
    <w:p>
      <w:pPr>
        <w:pStyle w:val="9"/>
        <w:spacing w:before="5" w:line="242" w:lineRule="auto"/>
        <w:ind w:left="255" w:right="151"/>
      </w:pPr>
      <w:bookmarkStart w:id="88" w:name="_Toc28359093"/>
      <w:bookmarkStart w:id="89" w:name="_Toc28359016"/>
      <w:bookmarkStart w:id="90" w:name="_Toc35393633"/>
      <w:bookmarkStart w:id="91" w:name="_Toc35393802"/>
      <w:r>
        <w:rPr>
          <w:rFonts w:hint="eastAsia"/>
        </w:rPr>
        <w:t>五、开启</w:t>
      </w:r>
      <w:bookmarkEnd w:id="88"/>
      <w:bookmarkEnd w:id="89"/>
      <w:bookmarkEnd w:id="90"/>
      <w:bookmarkEnd w:id="91"/>
    </w:p>
    <w:p>
      <w:pPr>
        <w:pStyle w:val="9"/>
        <w:spacing w:before="5" w:line="242" w:lineRule="auto"/>
        <w:ind w:left="255" w:right="151"/>
      </w:pPr>
      <w:r>
        <w:rPr>
          <w:rFonts w:hint="eastAsia"/>
        </w:rPr>
        <w:t>时间：</w:t>
      </w:r>
      <w:r>
        <w:rPr>
          <w:rFonts w:hint="eastAsia"/>
          <w:lang w:eastAsia="zh-CN"/>
        </w:rPr>
        <w:t>2022年</w:t>
      </w:r>
      <w:r>
        <w:rPr>
          <w:rFonts w:hint="eastAsia"/>
          <w:lang w:val="en-US" w:eastAsia="zh-CN"/>
        </w:rPr>
        <w:t>7</w:t>
      </w:r>
      <w:r>
        <w:rPr>
          <w:rFonts w:hint="eastAsia"/>
          <w:lang w:eastAsia="zh-CN"/>
        </w:rPr>
        <w:t>月</w:t>
      </w:r>
      <w:r>
        <w:rPr>
          <w:rFonts w:hint="eastAsia"/>
          <w:lang w:val="en-US" w:eastAsia="zh-CN"/>
        </w:rPr>
        <w:t>27</w:t>
      </w:r>
      <w:r>
        <w:rPr>
          <w:rFonts w:hint="eastAsia"/>
          <w:lang w:eastAsia="zh-CN"/>
        </w:rPr>
        <w:t>日1</w:t>
      </w:r>
      <w:r>
        <w:rPr>
          <w:rFonts w:hint="eastAsia"/>
          <w:lang w:val="en-US" w:eastAsia="zh-CN"/>
        </w:rPr>
        <w:t>1</w:t>
      </w:r>
      <w:r>
        <w:rPr>
          <w:rFonts w:hint="eastAsia"/>
          <w:lang w:eastAsia="zh-CN"/>
        </w:rPr>
        <w:t>点</w:t>
      </w:r>
      <w:r>
        <w:rPr>
          <w:rFonts w:hint="eastAsia"/>
          <w:lang w:val="en-US" w:eastAsia="zh-CN"/>
        </w:rPr>
        <w:t>0</w:t>
      </w:r>
      <w:r>
        <w:rPr>
          <w:rFonts w:hint="eastAsia"/>
          <w:lang w:eastAsia="zh-CN"/>
        </w:rPr>
        <w:t>0分</w:t>
      </w:r>
      <w:r>
        <w:rPr>
          <w:rFonts w:hint="eastAsia"/>
        </w:rPr>
        <w:t>（北京时间）</w:t>
      </w:r>
    </w:p>
    <w:p>
      <w:pPr>
        <w:pStyle w:val="9"/>
        <w:spacing w:before="5" w:line="242" w:lineRule="auto"/>
        <w:ind w:left="255" w:right="151"/>
      </w:pPr>
      <w:r>
        <w:rPr>
          <w:rFonts w:hint="eastAsia"/>
        </w:rPr>
        <w:t>地点：喀什经济开发区深喀大道陕西大厦（远方财富中心）19层1906室</w:t>
      </w:r>
    </w:p>
    <w:p>
      <w:pPr>
        <w:pStyle w:val="9"/>
        <w:spacing w:before="5" w:line="242" w:lineRule="auto"/>
        <w:ind w:left="255" w:right="151"/>
      </w:pPr>
      <w:bookmarkStart w:id="92" w:name="_Toc35393803"/>
      <w:bookmarkStart w:id="93" w:name="_Toc28359017"/>
      <w:bookmarkStart w:id="94" w:name="_Toc35393634"/>
      <w:bookmarkStart w:id="95" w:name="_Toc28359094"/>
      <w:r>
        <w:rPr>
          <w:rFonts w:hint="eastAsia"/>
          <w:lang w:val="en-US"/>
        </w:rPr>
        <w:t>六、</w:t>
      </w:r>
      <w:r>
        <w:rPr>
          <w:rFonts w:hint="eastAsia"/>
        </w:rPr>
        <w:t>公告期限</w:t>
      </w:r>
      <w:bookmarkEnd w:id="92"/>
      <w:bookmarkEnd w:id="93"/>
      <w:bookmarkEnd w:id="94"/>
      <w:bookmarkEnd w:id="95"/>
    </w:p>
    <w:p>
      <w:pPr>
        <w:pStyle w:val="9"/>
        <w:spacing w:before="5" w:line="242" w:lineRule="auto"/>
        <w:ind w:left="255" w:right="151"/>
      </w:pPr>
      <w:r>
        <w:rPr>
          <w:rFonts w:hint="eastAsia"/>
        </w:rPr>
        <w:t>自本公告发布之日起5个工作日。</w:t>
      </w:r>
    </w:p>
    <w:p>
      <w:pPr>
        <w:pStyle w:val="9"/>
        <w:spacing w:before="5" w:line="242" w:lineRule="auto"/>
        <w:ind w:left="255" w:right="151"/>
      </w:pPr>
      <w:r>
        <w:rPr>
          <w:rFonts w:hint="eastAsia"/>
          <w:lang w:val="en-US"/>
        </w:rPr>
        <w:t>七、</w:t>
      </w:r>
      <w:r>
        <w:rPr>
          <w:rFonts w:hint="eastAsia"/>
        </w:rPr>
        <w:t>其他补充事宜</w:t>
      </w:r>
    </w:p>
    <w:p>
      <w:pPr>
        <w:pStyle w:val="9"/>
        <w:spacing w:before="5" w:line="242" w:lineRule="auto"/>
        <w:ind w:left="255" w:right="151"/>
      </w:pPr>
      <w:r>
        <w:rPr>
          <w:rFonts w:hint="eastAsia"/>
        </w:rPr>
        <w:t>      1.本次采购采用电子交易方式，电子交易平台为“政府采购云平台（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投标或投标失败等后果由供应商自行承担。</w:t>
      </w:r>
    </w:p>
    <w:p>
      <w:pPr>
        <w:pStyle w:val="9"/>
        <w:spacing w:before="5" w:line="242" w:lineRule="auto"/>
        <w:ind w:left="255" w:right="151"/>
      </w:pPr>
      <w:r>
        <w:rPr>
          <w:rFonts w:hint="eastAsia"/>
        </w:rPr>
        <w:t>     2.供应商对不见面开评标系统的技术操作咨询，可通过https://edu.zcygov.cn/luban/xinjiang-e-biding自助查询，也可在政采云帮助中心常见问题解答和操作流程讲解视频中自助查询，网址为：https://service.zcygov.cn/，“项目采购”—“操作流程-电子招投标”—“政府采购项目电子交易管理操作指南-供应商”版面获取操作指南，同时对自助查询无法解决的问题可通过钉钉群及政采云在线客服获取服务支持。   </w:t>
      </w:r>
    </w:p>
    <w:p>
      <w:pPr>
        <w:pStyle w:val="9"/>
        <w:spacing w:before="5" w:line="242" w:lineRule="auto"/>
        <w:ind w:left="255" w:right="151"/>
        <w:rPr>
          <w:highlight w:val="none"/>
        </w:rPr>
      </w:pPr>
      <w:r>
        <w:rPr>
          <w:rFonts w:hint="eastAsia"/>
        </w:rPr>
        <w:t>     3.供应商钉钉群号：政采云新疆供应商服务十群：33132402、十一群：30213207（如已加入1-9群，无需重复加入，十一个群联动直播），钉钉工具软件具有回放功能，直播培训结束后</w:t>
      </w:r>
      <w:r>
        <w:rPr>
          <w:rFonts w:hint="eastAsia"/>
          <w:highlight w:val="none"/>
        </w:rPr>
        <w:t>可在钉钉群中回放观看学习</w:t>
      </w:r>
    </w:p>
    <w:p>
      <w:pPr>
        <w:pStyle w:val="9"/>
        <w:spacing w:before="5" w:line="242" w:lineRule="auto"/>
        <w:ind w:left="255" w:right="151"/>
        <w:rPr>
          <w:highlight w:val="none"/>
          <w:lang w:val="en-US"/>
        </w:rPr>
      </w:pPr>
      <w:bookmarkStart w:id="96" w:name="_Toc28359095"/>
      <w:bookmarkStart w:id="97" w:name="_Toc28359018"/>
      <w:bookmarkStart w:id="98" w:name="_Toc35393805"/>
      <w:bookmarkStart w:id="99" w:name="_Toc35393636"/>
      <w:r>
        <w:rPr>
          <w:rFonts w:hint="eastAsia"/>
          <w:b/>
          <w:bCs/>
          <w:highlight w:val="none"/>
          <w:lang w:val="en-US"/>
        </w:rPr>
        <w:t>特别注意</w:t>
      </w:r>
      <w:r>
        <w:rPr>
          <w:rFonts w:hint="eastAsia"/>
          <w:highlight w:val="none"/>
          <w:lang w:val="en-US"/>
        </w:rPr>
        <w:t>：</w:t>
      </w:r>
    </w:p>
    <w:p>
      <w:pPr>
        <w:pStyle w:val="9"/>
        <w:spacing w:before="5" w:line="242" w:lineRule="auto"/>
        <w:ind w:left="255" w:right="151" w:firstLine="480" w:firstLineChars="200"/>
        <w:rPr>
          <w:highlight w:val="none"/>
          <w:lang w:val="en-US"/>
        </w:rPr>
      </w:pPr>
      <w:r>
        <w:rPr>
          <w:rFonts w:hint="eastAsia"/>
          <w:highlight w:val="none"/>
          <w:lang w:val="en-US"/>
        </w:rPr>
        <w:t>1、超过200万元的货物和服务采购项目，超过400万元的工程采购项目中适宜由中小企业提供的，预留该部分采购项目预算总额的40%以上专门面向中小企业采购，其中预留给小微企业的比例不低于60%。</w:t>
      </w:r>
    </w:p>
    <w:p>
      <w:pPr>
        <w:pStyle w:val="9"/>
        <w:spacing w:before="5" w:line="242" w:lineRule="auto"/>
        <w:ind w:left="255" w:right="151" w:firstLine="480" w:firstLineChars="200"/>
        <w:rPr>
          <w:highlight w:val="none"/>
          <w:lang w:val="en-US"/>
        </w:rPr>
      </w:pPr>
      <w:r>
        <w:rPr>
          <w:rFonts w:hint="eastAsia"/>
          <w:highlight w:val="none"/>
          <w:lang w:val="en-US"/>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9"/>
        <w:spacing w:before="5" w:line="242" w:lineRule="auto"/>
        <w:ind w:left="255" w:right="151" w:firstLine="480" w:firstLineChars="200"/>
        <w:rPr>
          <w:highlight w:val="none"/>
        </w:rPr>
      </w:pPr>
      <w:r>
        <w:rPr>
          <w:rFonts w:hint="eastAsia"/>
          <w:highlight w:val="none"/>
          <w:lang w:val="en-US"/>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法未采用低价优先法计算价格分的，评标时应当在采用原报价进行评分的其础上增加其价格得分的2%~4%作为其价格分。</w:t>
      </w:r>
    </w:p>
    <w:p>
      <w:pPr>
        <w:pStyle w:val="9"/>
        <w:spacing w:before="5" w:line="242" w:lineRule="auto"/>
        <w:ind w:left="255" w:right="151"/>
      </w:pPr>
      <w:r>
        <w:rPr>
          <w:rFonts w:hint="eastAsia"/>
        </w:rPr>
        <w:t>八、凡对本次采购提出询问，请按以下方式联系。</w:t>
      </w:r>
      <w:bookmarkEnd w:id="96"/>
      <w:bookmarkEnd w:id="97"/>
      <w:bookmarkEnd w:id="98"/>
      <w:bookmarkEnd w:id="99"/>
    </w:p>
    <w:p>
      <w:pPr>
        <w:pStyle w:val="22"/>
        <w:numPr>
          <w:ilvl w:val="1"/>
          <w:numId w:val="34"/>
        </w:numPr>
        <w:tabs>
          <w:tab w:val="left" w:pos="1217"/>
        </w:tabs>
        <w:spacing w:before="5"/>
        <w:rPr>
          <w:sz w:val="24"/>
        </w:rPr>
      </w:pPr>
      <w:r>
        <w:rPr>
          <w:sz w:val="24"/>
        </w:rPr>
        <w:t>采购人信息</w:t>
      </w:r>
    </w:p>
    <w:p>
      <w:pPr>
        <w:pStyle w:val="9"/>
        <w:spacing w:before="4"/>
        <w:ind w:left="1036"/>
      </w:pPr>
      <w:r>
        <w:t>名 称：</w:t>
      </w:r>
      <w:r>
        <w:rPr>
          <w:rFonts w:hint="eastAsia"/>
          <w:u w:val="single"/>
        </w:rPr>
        <w:t>喀什经济开发区空港产业物流区管理服务中心</w:t>
      </w:r>
    </w:p>
    <w:p>
      <w:pPr>
        <w:pStyle w:val="9"/>
        <w:spacing w:before="2" w:line="242" w:lineRule="auto"/>
        <w:ind w:left="1036" w:right="4889"/>
        <w:rPr>
          <w:u w:val="single"/>
        </w:rPr>
      </w:pPr>
      <w:r>
        <w:t>地址：</w:t>
      </w:r>
      <w:r>
        <w:rPr>
          <w:rFonts w:hint="eastAsia"/>
          <w:u w:val="single"/>
        </w:rPr>
        <w:t>喀什经济开发区深圳产业园产业服务中心4楼</w:t>
      </w:r>
    </w:p>
    <w:p>
      <w:pPr>
        <w:pStyle w:val="9"/>
        <w:spacing w:before="2" w:line="242" w:lineRule="auto"/>
        <w:ind w:left="1036" w:right="4889"/>
        <w:rPr>
          <w:rFonts w:hint="eastAsia" w:eastAsia="仿宋"/>
          <w:lang w:val="en-US" w:eastAsia="zh-CN"/>
        </w:rPr>
      </w:pPr>
      <w:r>
        <w:t>联系方式：</w:t>
      </w:r>
      <w:r>
        <w:rPr>
          <w:rFonts w:hint="eastAsia"/>
          <w:u w:val="single"/>
          <w:lang w:val="en-US" w:eastAsia="zh-CN"/>
        </w:rPr>
        <w:t>0998-2970125</w:t>
      </w:r>
    </w:p>
    <w:p>
      <w:pPr>
        <w:pStyle w:val="22"/>
        <w:numPr>
          <w:ilvl w:val="1"/>
          <w:numId w:val="34"/>
        </w:numPr>
        <w:tabs>
          <w:tab w:val="left" w:pos="1277"/>
        </w:tabs>
        <w:spacing w:before="3"/>
        <w:ind w:left="1277"/>
        <w:rPr>
          <w:sz w:val="24"/>
        </w:rPr>
      </w:pPr>
      <w:r>
        <w:rPr>
          <w:sz w:val="24"/>
        </w:rPr>
        <w:t>采购代理机构信息</w:t>
      </w:r>
    </w:p>
    <w:p>
      <w:pPr>
        <w:pStyle w:val="9"/>
        <w:spacing w:before="5"/>
        <w:ind w:left="976"/>
      </w:pPr>
      <w:r>
        <w:t>名 称：</w:t>
      </w:r>
      <w:r>
        <w:rPr>
          <w:rFonts w:hint="eastAsia"/>
          <w:u w:val="single"/>
        </w:rPr>
        <w:t>衡正国际工程咨询有限公司</w:t>
      </w:r>
    </w:p>
    <w:p>
      <w:pPr>
        <w:pStyle w:val="9"/>
        <w:spacing w:before="5" w:line="242" w:lineRule="auto"/>
        <w:ind w:left="255" w:right="151" w:firstLine="720" w:firstLineChars="300"/>
      </w:pPr>
      <w:r>
        <w:rPr>
          <w:rFonts w:hint="eastAsia"/>
        </w:rPr>
        <w:t>地</w:t>
      </w:r>
      <w:r>
        <w:rPr>
          <w:rFonts w:hint="eastAsia"/>
        </w:rPr>
        <w:tab/>
      </w:r>
      <w:r>
        <w:rPr>
          <w:rFonts w:hint="eastAsia"/>
        </w:rPr>
        <w:t>址：喀什经济开发区深喀大道陕西大厦（远方财富中心）19层1906室</w:t>
      </w:r>
    </w:p>
    <w:p>
      <w:pPr>
        <w:pStyle w:val="22"/>
        <w:numPr>
          <w:ilvl w:val="1"/>
          <w:numId w:val="34"/>
        </w:numPr>
        <w:tabs>
          <w:tab w:val="left" w:pos="1217"/>
        </w:tabs>
        <w:spacing w:before="3"/>
        <w:rPr>
          <w:sz w:val="24"/>
        </w:rPr>
      </w:pPr>
      <w:r>
        <w:rPr>
          <w:sz w:val="24"/>
        </w:rPr>
        <w:t>项目联系方式</w:t>
      </w:r>
    </w:p>
    <w:p>
      <w:pPr>
        <w:pStyle w:val="9"/>
        <w:tabs>
          <w:tab w:val="left" w:pos="1455"/>
        </w:tabs>
        <w:spacing w:before="2" w:line="242" w:lineRule="auto"/>
        <w:ind w:left="976" w:right="7109"/>
        <w:rPr>
          <w:lang w:val="en-US"/>
        </w:rPr>
      </w:pPr>
      <w:r>
        <w:t>项目联系人：</w:t>
      </w:r>
      <w:r>
        <w:rPr>
          <w:rFonts w:hint="eastAsia"/>
          <w:u w:val="single"/>
          <w:lang w:val="en-US"/>
        </w:rPr>
        <w:t>许紫娟</w:t>
      </w:r>
      <w:r>
        <w:t>电</w:t>
      </w:r>
      <w:r>
        <w:tab/>
      </w:r>
      <w:r>
        <w:t>话</w:t>
      </w:r>
      <w:r>
        <w:rPr>
          <w:spacing w:val="-2"/>
        </w:rPr>
        <w:t>：</w:t>
      </w:r>
      <w:r>
        <w:rPr>
          <w:rFonts w:hint="eastAsia"/>
          <w:spacing w:val="-2"/>
          <w:u w:val="single"/>
          <w:lang w:val="en-US"/>
        </w:rPr>
        <w:t>15609941765</w:t>
      </w:r>
    </w:p>
    <w:p>
      <w:pPr>
        <w:spacing w:line="242" w:lineRule="auto"/>
        <w:sectPr>
          <w:footerReference r:id="rId10" w:type="default"/>
          <w:pgSz w:w="11910" w:h="16840"/>
          <w:pgMar w:top="1000" w:right="800" w:bottom="1420" w:left="740" w:header="0" w:footer="1153" w:gutter="0"/>
          <w:cols w:space="720" w:num="1"/>
        </w:sectPr>
      </w:pPr>
    </w:p>
    <w:p>
      <w:pPr>
        <w:pStyle w:val="3"/>
        <w:spacing w:before="35"/>
        <w:ind w:left="1076" w:right="1637"/>
      </w:pPr>
      <w:bookmarkStart w:id="100" w:name="第四章投标人须知资料表"/>
      <w:bookmarkEnd w:id="100"/>
      <w:bookmarkStart w:id="101" w:name="_bookmark10"/>
      <w:bookmarkEnd w:id="101"/>
      <w:r>
        <w:t>第四章投标人须知资料表</w:t>
      </w:r>
    </w:p>
    <w:p>
      <w:pPr>
        <w:pStyle w:val="9"/>
        <w:spacing w:before="5"/>
        <w:rPr>
          <w:b/>
        </w:rPr>
      </w:pPr>
    </w:p>
    <w:p>
      <w:pPr>
        <w:pStyle w:val="9"/>
        <w:spacing w:line="242" w:lineRule="auto"/>
        <w:ind w:left="255" w:right="227" w:firstLine="480"/>
      </w:pPr>
      <w:r>
        <w:t>本表是本招标项目的具体资料，是对投标人须知的具体补充和修改，如有矛盾，应以本资料表为准。</w:t>
      </w:r>
    </w:p>
    <w:tbl>
      <w:tblPr>
        <w:tblStyle w:val="19"/>
        <w:tblpPr w:leftFromText="180" w:rightFromText="180" w:vertAnchor="text" w:horzAnchor="page" w:tblpX="1081" w:tblpY="258"/>
        <w:tblOverlap w:val="never"/>
        <w:tblW w:w="0" w:type="auto"/>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598"/>
        <w:gridCol w:w="8122"/>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29" w:hRule="atLeast"/>
        </w:trPr>
        <w:tc>
          <w:tcPr>
            <w:tcW w:w="1598" w:type="dxa"/>
            <w:tcBorders>
              <w:bottom w:val="single" w:color="000000" w:sz="6" w:space="0"/>
              <w:right w:val="single" w:color="000000" w:sz="6" w:space="0"/>
            </w:tcBorders>
          </w:tcPr>
          <w:p>
            <w:pPr>
              <w:pStyle w:val="23"/>
              <w:spacing w:before="11" w:line="298" w:lineRule="exact"/>
              <w:ind w:left="566"/>
              <w:rPr>
                <w:rFonts w:ascii="仿宋" w:eastAsia="仿宋"/>
                <w:sz w:val="24"/>
              </w:rPr>
            </w:pPr>
            <w:r>
              <w:rPr>
                <w:rFonts w:hint="eastAsia" w:ascii="仿宋" w:eastAsia="仿宋"/>
                <w:sz w:val="24"/>
              </w:rPr>
              <w:t>条款号</w:t>
            </w:r>
          </w:p>
        </w:tc>
        <w:tc>
          <w:tcPr>
            <w:tcW w:w="8122" w:type="dxa"/>
            <w:tcBorders>
              <w:left w:val="single" w:color="000000" w:sz="6" w:space="0"/>
              <w:bottom w:val="single" w:color="000000" w:sz="6" w:space="0"/>
            </w:tcBorders>
          </w:tcPr>
          <w:p>
            <w:pPr>
              <w:pStyle w:val="23"/>
              <w:tabs>
                <w:tab w:val="left" w:pos="1537"/>
              </w:tabs>
              <w:spacing w:before="11" w:line="298" w:lineRule="exact"/>
              <w:ind w:left="575"/>
              <w:rPr>
                <w:rFonts w:ascii="仿宋" w:eastAsia="仿宋"/>
                <w:b/>
                <w:sz w:val="24"/>
              </w:rPr>
            </w:pPr>
            <w:r>
              <w:rPr>
                <w:rFonts w:hint="eastAsia" w:ascii="仿宋" w:eastAsia="仿宋"/>
                <w:b/>
                <w:sz w:val="24"/>
              </w:rPr>
              <w:t>内</w:t>
            </w:r>
            <w:r>
              <w:rPr>
                <w:rFonts w:hint="eastAsia" w:ascii="仿宋" w:eastAsia="仿宋"/>
                <w:b/>
                <w:sz w:val="24"/>
              </w:rPr>
              <w:tab/>
            </w:r>
            <w:r>
              <w:rPr>
                <w:rFonts w:hint="eastAsia" w:ascii="仿宋" w:eastAsia="仿宋"/>
                <w:b/>
                <w:sz w:val="24"/>
              </w:rPr>
              <w:t>容</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05" w:hRule="atLeast"/>
        </w:trPr>
        <w:tc>
          <w:tcPr>
            <w:tcW w:w="1598" w:type="dxa"/>
            <w:tcBorders>
              <w:top w:val="single" w:color="000000" w:sz="6" w:space="0"/>
              <w:bottom w:val="single" w:color="000000" w:sz="6" w:space="0"/>
              <w:right w:val="single" w:color="000000" w:sz="6" w:space="0"/>
            </w:tcBorders>
          </w:tcPr>
          <w:p>
            <w:pPr>
              <w:pStyle w:val="23"/>
              <w:rPr>
                <w:b/>
                <w:sz w:val="24"/>
              </w:rPr>
            </w:pPr>
          </w:p>
          <w:p>
            <w:pPr>
              <w:pStyle w:val="23"/>
              <w:spacing w:before="192"/>
              <w:ind w:left="566"/>
              <w:rPr>
                <w:rFonts w:ascii="仿宋"/>
                <w:sz w:val="24"/>
              </w:rPr>
            </w:pPr>
            <w:r>
              <w:rPr>
                <w:rFonts w:ascii="仿宋"/>
                <w:sz w:val="24"/>
              </w:rPr>
              <w:t>1</w:t>
            </w:r>
          </w:p>
        </w:tc>
        <w:tc>
          <w:tcPr>
            <w:tcW w:w="8122" w:type="dxa"/>
            <w:tcBorders>
              <w:top w:val="single" w:color="000000" w:sz="6" w:space="0"/>
              <w:left w:val="single" w:color="000000" w:sz="6" w:space="0"/>
              <w:bottom w:val="single" w:color="000000" w:sz="6" w:space="0"/>
            </w:tcBorders>
          </w:tcPr>
          <w:p>
            <w:pPr>
              <w:pStyle w:val="23"/>
              <w:tabs>
                <w:tab w:val="left" w:pos="755"/>
              </w:tabs>
              <w:spacing w:before="31" w:line="242" w:lineRule="auto"/>
              <w:ind w:left="35" w:right="3623"/>
              <w:rPr>
                <w:rFonts w:ascii="仿宋" w:eastAsia="仿宋"/>
                <w:sz w:val="24"/>
                <w:u w:val="single"/>
              </w:rPr>
            </w:pPr>
            <w:r>
              <w:rPr>
                <w:rFonts w:hint="eastAsia" w:ascii="仿宋" w:eastAsia="仿宋"/>
                <w:sz w:val="24"/>
              </w:rPr>
              <w:t>采购人：</w:t>
            </w:r>
            <w:r>
              <w:rPr>
                <w:rFonts w:hint="eastAsia" w:ascii="仿宋" w:eastAsia="仿宋"/>
                <w:sz w:val="24"/>
                <w:u w:val="single"/>
              </w:rPr>
              <w:t>喀什经济开发区空港产业物流区管理服务中心</w:t>
            </w:r>
          </w:p>
          <w:p>
            <w:pPr>
              <w:pStyle w:val="23"/>
              <w:spacing w:before="1"/>
              <w:ind w:left="35"/>
              <w:rPr>
                <w:rFonts w:ascii="仿宋" w:eastAsia="仿宋"/>
                <w:sz w:val="24"/>
              </w:rPr>
            </w:pPr>
            <w:r>
              <w:rPr>
                <w:rFonts w:hint="eastAsia" w:ascii="仿宋" w:eastAsia="仿宋"/>
                <w:sz w:val="24"/>
              </w:rPr>
              <w:t>联 系 人：</w:t>
            </w:r>
            <w:r>
              <w:rPr>
                <w:rFonts w:hint="eastAsia" w:ascii="仿宋" w:eastAsia="仿宋"/>
                <w:sz w:val="24"/>
                <w:u w:val="single"/>
              </w:rPr>
              <w:t>杨健</w:t>
            </w:r>
          </w:p>
          <w:p>
            <w:pPr>
              <w:pStyle w:val="23"/>
              <w:spacing w:before="4"/>
              <w:ind w:left="35"/>
              <w:rPr>
                <w:rFonts w:hint="eastAsia" w:ascii="仿宋" w:eastAsia="仿宋"/>
                <w:sz w:val="24"/>
                <w:lang w:eastAsia="zh-CN"/>
              </w:rPr>
            </w:pPr>
            <w:r>
              <w:rPr>
                <w:rFonts w:hint="eastAsia" w:ascii="仿宋" w:eastAsia="仿宋"/>
                <w:sz w:val="24"/>
              </w:rPr>
              <w:t>联系方式：</w:t>
            </w:r>
            <w:r>
              <w:rPr>
                <w:rFonts w:hint="eastAsia" w:ascii="仿宋" w:eastAsia="仿宋"/>
                <w:sz w:val="24"/>
                <w:u w:val="single"/>
                <w:lang w:val="en-US" w:eastAsia="zh-CN"/>
              </w:rPr>
              <w:t>0998-2970125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306" w:hRule="atLeast"/>
        </w:trPr>
        <w:tc>
          <w:tcPr>
            <w:tcW w:w="1598" w:type="dxa"/>
            <w:tcBorders>
              <w:top w:val="single" w:color="000000" w:sz="6" w:space="0"/>
              <w:bottom w:val="single" w:color="000000" w:sz="6" w:space="0"/>
              <w:right w:val="single" w:color="000000" w:sz="6" w:space="0"/>
            </w:tcBorders>
          </w:tcPr>
          <w:p>
            <w:pPr>
              <w:pStyle w:val="23"/>
              <w:rPr>
                <w:b/>
                <w:sz w:val="24"/>
              </w:rPr>
            </w:pPr>
          </w:p>
          <w:p>
            <w:pPr>
              <w:pStyle w:val="23"/>
              <w:spacing w:before="191"/>
              <w:ind w:left="566"/>
              <w:rPr>
                <w:rFonts w:ascii="仿宋"/>
                <w:sz w:val="24"/>
              </w:rPr>
            </w:pPr>
            <w:r>
              <w:rPr>
                <w:rFonts w:ascii="仿宋"/>
                <w:sz w:val="24"/>
              </w:rPr>
              <w:t>2</w:t>
            </w:r>
          </w:p>
        </w:tc>
        <w:tc>
          <w:tcPr>
            <w:tcW w:w="8122" w:type="dxa"/>
            <w:tcBorders>
              <w:top w:val="single" w:color="000000" w:sz="6" w:space="0"/>
              <w:left w:val="single" w:color="000000" w:sz="6" w:space="0"/>
              <w:bottom w:val="single" w:color="000000" w:sz="6" w:space="0"/>
            </w:tcBorders>
          </w:tcPr>
          <w:p>
            <w:pPr>
              <w:pStyle w:val="23"/>
              <w:tabs>
                <w:tab w:val="left" w:pos="755"/>
              </w:tabs>
              <w:spacing w:before="31" w:line="242" w:lineRule="auto"/>
              <w:ind w:left="35" w:right="3623"/>
              <w:rPr>
                <w:rFonts w:ascii="仿宋" w:eastAsia="仿宋"/>
                <w:sz w:val="24"/>
                <w:u w:val="single"/>
              </w:rPr>
            </w:pPr>
            <w:r>
              <w:rPr>
                <w:rFonts w:hint="eastAsia" w:ascii="仿宋" w:eastAsia="仿宋"/>
                <w:sz w:val="24"/>
              </w:rPr>
              <w:t>代理机构</w:t>
            </w:r>
            <w:r>
              <w:rPr>
                <w:rFonts w:hint="eastAsia" w:ascii="仿宋" w:eastAsia="仿宋"/>
                <w:sz w:val="24"/>
                <w:u w:val="single"/>
              </w:rPr>
              <w:t>：衡正国际工程咨询有限公司</w:t>
            </w:r>
          </w:p>
          <w:p>
            <w:pPr>
              <w:pStyle w:val="23"/>
              <w:tabs>
                <w:tab w:val="left" w:pos="755"/>
              </w:tabs>
              <w:spacing w:before="31" w:line="242" w:lineRule="auto"/>
              <w:ind w:left="35" w:right="3623"/>
              <w:rPr>
                <w:rFonts w:ascii="仿宋" w:eastAsia="仿宋"/>
                <w:sz w:val="24"/>
                <w:u w:val="single"/>
              </w:rPr>
            </w:pPr>
            <w:r>
              <w:rPr>
                <w:rFonts w:hint="eastAsia" w:ascii="仿宋" w:eastAsia="仿宋"/>
                <w:sz w:val="24"/>
              </w:rPr>
              <w:t>地址</w:t>
            </w:r>
            <w:r>
              <w:rPr>
                <w:rFonts w:hint="eastAsia" w:ascii="仿宋" w:eastAsia="仿宋"/>
                <w:sz w:val="24"/>
                <w:u w:val="single"/>
              </w:rPr>
              <w:t>：喀什经济开发区深喀大道陕西大厦（远方财富中心）19层1906室</w:t>
            </w:r>
          </w:p>
          <w:p>
            <w:pPr>
              <w:pStyle w:val="23"/>
              <w:tabs>
                <w:tab w:val="left" w:pos="755"/>
              </w:tabs>
              <w:spacing w:before="31" w:line="242" w:lineRule="auto"/>
              <w:ind w:left="35" w:right="3623"/>
              <w:rPr>
                <w:rFonts w:ascii="仿宋" w:eastAsia="仿宋"/>
                <w:sz w:val="24"/>
                <w:lang w:val="en-US"/>
              </w:rPr>
            </w:pPr>
            <w:r>
              <w:rPr>
                <w:rFonts w:hint="eastAsia" w:ascii="仿宋" w:eastAsia="仿宋"/>
                <w:sz w:val="24"/>
                <w:u w:val="single"/>
              </w:rPr>
              <w:t>业务联系人：许紫娟 电话：</w:t>
            </w:r>
            <w:r>
              <w:rPr>
                <w:rFonts w:hint="eastAsia" w:ascii="仿宋" w:eastAsia="仿宋"/>
                <w:sz w:val="24"/>
                <w:u w:val="single"/>
                <w:lang w:val="en-US"/>
              </w:rPr>
              <w:t>15609941765</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882" w:hRule="atLeast"/>
        </w:trPr>
        <w:tc>
          <w:tcPr>
            <w:tcW w:w="1598" w:type="dxa"/>
            <w:tcBorders>
              <w:top w:val="single" w:color="000000" w:sz="6" w:space="0"/>
              <w:bottom w:val="single" w:color="000000" w:sz="6" w:space="0"/>
              <w:right w:val="single" w:color="000000" w:sz="6" w:space="0"/>
            </w:tcBorders>
          </w:tcPr>
          <w:p>
            <w:pPr>
              <w:pStyle w:val="23"/>
              <w:rPr>
                <w:b/>
                <w:sz w:val="24"/>
              </w:rPr>
            </w:pPr>
          </w:p>
          <w:p>
            <w:pPr>
              <w:pStyle w:val="23"/>
              <w:rPr>
                <w:b/>
                <w:sz w:val="24"/>
              </w:rPr>
            </w:pPr>
          </w:p>
          <w:p>
            <w:pPr>
              <w:pStyle w:val="23"/>
              <w:rPr>
                <w:b/>
                <w:sz w:val="24"/>
              </w:rPr>
            </w:pPr>
          </w:p>
          <w:p>
            <w:pPr>
              <w:pStyle w:val="23"/>
              <w:rPr>
                <w:b/>
                <w:sz w:val="24"/>
              </w:rPr>
            </w:pPr>
          </w:p>
          <w:p>
            <w:pPr>
              <w:pStyle w:val="23"/>
              <w:rPr>
                <w:b/>
                <w:sz w:val="24"/>
              </w:rPr>
            </w:pPr>
          </w:p>
          <w:p>
            <w:pPr>
              <w:pStyle w:val="23"/>
              <w:rPr>
                <w:b/>
                <w:sz w:val="24"/>
              </w:rPr>
            </w:pPr>
          </w:p>
          <w:p>
            <w:pPr>
              <w:pStyle w:val="23"/>
              <w:rPr>
                <w:b/>
                <w:sz w:val="24"/>
              </w:rPr>
            </w:pPr>
          </w:p>
          <w:p>
            <w:pPr>
              <w:pStyle w:val="23"/>
              <w:spacing w:before="164"/>
              <w:ind w:left="566"/>
              <w:rPr>
                <w:rFonts w:ascii="仿宋"/>
                <w:sz w:val="24"/>
              </w:rPr>
            </w:pPr>
            <w:r>
              <w:rPr>
                <w:rFonts w:ascii="仿宋"/>
                <w:sz w:val="24"/>
              </w:rPr>
              <w:t>3</w:t>
            </w:r>
          </w:p>
        </w:tc>
        <w:tc>
          <w:tcPr>
            <w:tcW w:w="8122" w:type="dxa"/>
            <w:tcBorders>
              <w:top w:val="single" w:color="000000" w:sz="6" w:space="0"/>
              <w:left w:val="single" w:color="000000" w:sz="6" w:space="0"/>
              <w:bottom w:val="single" w:color="000000" w:sz="6" w:space="0"/>
            </w:tcBorders>
          </w:tcPr>
          <w:p>
            <w:pPr>
              <w:pStyle w:val="23"/>
              <w:spacing w:before="2"/>
              <w:ind w:left="35"/>
              <w:rPr>
                <w:rFonts w:ascii="仿宋" w:hAnsi="仿宋" w:eastAsia="仿宋" w:cs="仿宋"/>
                <w:sz w:val="21"/>
              </w:rPr>
            </w:pPr>
            <w:r>
              <w:rPr>
                <w:rFonts w:hint="eastAsia" w:ascii="仿宋" w:hAnsi="仿宋" w:eastAsia="仿宋" w:cs="仿宋"/>
                <w:sz w:val="21"/>
              </w:rPr>
              <w:t>合格投标人的其他资格要求：</w:t>
            </w:r>
          </w:p>
          <w:p>
            <w:pPr>
              <w:pStyle w:val="23"/>
              <w:spacing w:before="2"/>
              <w:ind w:left="35"/>
              <w:rPr>
                <w:rFonts w:ascii="仿宋" w:hAnsi="仿宋" w:eastAsia="仿宋" w:cs="仿宋"/>
                <w:sz w:val="21"/>
              </w:rPr>
            </w:pPr>
            <w:r>
              <w:rPr>
                <w:rFonts w:hint="eastAsia" w:ascii="仿宋" w:hAnsi="仿宋" w:eastAsia="仿宋" w:cs="仿宋"/>
                <w:sz w:val="21"/>
              </w:rPr>
              <w:t>满足《中华人民共和国政府采购法》第二十二条要求：</w:t>
            </w:r>
          </w:p>
          <w:p>
            <w:pPr>
              <w:pStyle w:val="23"/>
              <w:spacing w:before="2"/>
              <w:ind w:left="35"/>
              <w:rPr>
                <w:rFonts w:ascii="仿宋" w:hAnsi="仿宋" w:eastAsia="仿宋" w:cs="仿宋"/>
                <w:sz w:val="21"/>
                <w:lang w:val="en-US"/>
              </w:rPr>
            </w:pPr>
            <w:r>
              <w:rPr>
                <w:rFonts w:hint="eastAsia" w:ascii="仿宋" w:hAnsi="仿宋" w:eastAsia="仿宋" w:cs="仿宋"/>
                <w:color w:val="000000"/>
                <w:sz w:val="24"/>
                <w:lang w:val="en-US"/>
              </w:rPr>
              <w:t>（1）</w:t>
            </w:r>
            <w:r>
              <w:rPr>
                <w:rFonts w:hint="eastAsia" w:ascii="仿宋" w:hAnsi="仿宋" w:eastAsia="仿宋" w:cs="仿宋"/>
                <w:sz w:val="21"/>
                <w:lang w:val="en-US"/>
              </w:rPr>
              <w:t>联合体投标授权书及联合体投标协议书（如有）；</w:t>
            </w:r>
          </w:p>
          <w:p>
            <w:pPr>
              <w:pStyle w:val="23"/>
              <w:spacing w:before="2" w:line="251" w:lineRule="exact"/>
              <w:ind w:left="35"/>
              <w:rPr>
                <w:rFonts w:ascii="仿宋" w:hAnsi="仿宋" w:eastAsia="仿宋" w:cs="仿宋"/>
                <w:sz w:val="21"/>
                <w:lang w:val="en-US"/>
              </w:rPr>
            </w:pPr>
            <w:r>
              <w:rPr>
                <w:rFonts w:hint="eastAsia" w:ascii="仿宋" w:hAnsi="仿宋" w:eastAsia="仿宋" w:cs="仿宋"/>
                <w:sz w:val="21"/>
                <w:lang w:val="en-US"/>
              </w:rPr>
              <w:t>（2）具有独立承担民事责任的能力（三证合一的营业执照）；</w:t>
            </w:r>
          </w:p>
          <w:p>
            <w:pPr>
              <w:pStyle w:val="23"/>
              <w:spacing w:before="2" w:line="251" w:lineRule="exact"/>
              <w:ind w:left="35"/>
              <w:rPr>
                <w:rFonts w:ascii="仿宋" w:hAnsi="仿宋" w:eastAsia="仿宋" w:cs="仿宋"/>
                <w:sz w:val="21"/>
                <w:lang w:val="en-US"/>
              </w:rPr>
            </w:pPr>
            <w:r>
              <w:rPr>
                <w:rFonts w:hint="eastAsia" w:ascii="仿宋" w:hAnsi="仿宋" w:eastAsia="仿宋" w:cs="仿宋"/>
                <w:sz w:val="21"/>
                <w:lang w:val="en-US"/>
              </w:rPr>
              <w:t>（3）法定代表人</w:t>
            </w:r>
            <w:r>
              <w:rPr>
                <w:rFonts w:hint="eastAsia" w:ascii="仿宋" w:hAnsi="仿宋" w:eastAsia="仿宋" w:cs="仿宋"/>
                <w:sz w:val="21"/>
                <w:lang w:val="en-US" w:eastAsia="zh-CN"/>
              </w:rPr>
              <w:t>参加投标的</w:t>
            </w:r>
            <w:r>
              <w:rPr>
                <w:rFonts w:hint="eastAsia" w:ascii="仿宋" w:hAnsi="仿宋" w:eastAsia="仿宋" w:cs="仿宋"/>
                <w:sz w:val="21"/>
                <w:lang w:val="en-US"/>
              </w:rPr>
              <w:t>提供法定代表人身份证明及</w:t>
            </w:r>
            <w:r>
              <w:rPr>
                <w:rFonts w:hint="eastAsia" w:ascii="仿宋" w:hAnsi="仿宋" w:eastAsia="仿宋" w:cs="仿宋"/>
                <w:sz w:val="21"/>
                <w:lang w:val="en-US" w:eastAsia="zh-CN"/>
              </w:rPr>
              <w:t>法人</w:t>
            </w:r>
            <w:r>
              <w:rPr>
                <w:rFonts w:hint="eastAsia" w:ascii="仿宋" w:hAnsi="仿宋" w:eastAsia="仿宋" w:cs="仿宋"/>
                <w:sz w:val="21"/>
                <w:lang w:val="en-US"/>
              </w:rPr>
              <w:t>身份证</w:t>
            </w:r>
            <w:r>
              <w:rPr>
                <w:rFonts w:hint="eastAsia" w:ascii="仿宋" w:hAnsi="仿宋" w:eastAsia="仿宋" w:cs="仿宋"/>
                <w:sz w:val="21"/>
                <w:lang w:val="en-US" w:eastAsia="zh-CN"/>
              </w:rPr>
              <w:t>，被授权委托人参加投标的提供法人授权委托书及被授权人和法人身份证</w:t>
            </w:r>
            <w:r>
              <w:rPr>
                <w:rFonts w:hint="eastAsia" w:ascii="仿宋" w:hAnsi="仿宋" w:eastAsia="仿宋" w:cs="仿宋"/>
                <w:sz w:val="21"/>
                <w:lang w:val="en-US"/>
              </w:rPr>
              <w:t>；；</w:t>
            </w:r>
          </w:p>
          <w:p>
            <w:pPr>
              <w:pStyle w:val="23"/>
              <w:spacing w:before="2" w:line="251" w:lineRule="exact"/>
              <w:ind w:left="35"/>
              <w:rPr>
                <w:rFonts w:ascii="仿宋" w:hAnsi="仿宋" w:eastAsia="仿宋" w:cs="仿宋"/>
                <w:sz w:val="21"/>
                <w:lang w:val="en-US"/>
              </w:rPr>
            </w:pPr>
            <w:r>
              <w:rPr>
                <w:rFonts w:hint="eastAsia" w:ascii="仿宋" w:hAnsi="仿宋" w:eastAsia="仿宋" w:cs="仿宋"/>
                <w:sz w:val="21"/>
                <w:lang w:val="en-US"/>
              </w:rPr>
              <w:t>（4）被授权委托人在本单位缴纳的近2个月的（2022年4月～5月）社保证明（单位社保缴费凭证和个人明细表）；</w:t>
            </w:r>
          </w:p>
          <w:p>
            <w:pPr>
              <w:pStyle w:val="23"/>
              <w:spacing w:before="2" w:line="251" w:lineRule="exact"/>
              <w:ind w:left="35"/>
              <w:rPr>
                <w:rFonts w:ascii="仿宋" w:hAnsi="仿宋" w:eastAsia="仿宋" w:cs="仿宋"/>
                <w:sz w:val="21"/>
                <w:lang w:val="en-US"/>
              </w:rPr>
            </w:pPr>
            <w:r>
              <w:rPr>
                <w:rFonts w:hint="eastAsia" w:ascii="仿宋" w:hAnsi="仿宋" w:eastAsia="仿宋" w:cs="仿宋"/>
                <w:sz w:val="21"/>
                <w:lang w:val="en-US"/>
              </w:rPr>
              <w:t>（5）具有税务局开具依法缴纳近三个月（2022年3月～5月）完税证明及</w:t>
            </w:r>
            <w:r>
              <w:rPr>
                <w:rFonts w:hint="eastAsia" w:ascii="仿宋" w:hAnsi="仿宋" w:eastAsia="仿宋" w:cs="仿宋"/>
                <w:sz w:val="21"/>
                <w:lang w:val="en-US" w:eastAsia="zh-CN"/>
              </w:rPr>
              <w:t>2021年或2020年财务审计报告</w:t>
            </w:r>
            <w:r>
              <w:rPr>
                <w:rFonts w:hint="eastAsia" w:ascii="仿宋" w:hAnsi="仿宋" w:eastAsia="仿宋" w:cs="仿宋"/>
                <w:sz w:val="21"/>
                <w:lang w:val="en-US"/>
              </w:rPr>
              <w:t>（新成立公司须提供银行资信证明）；</w:t>
            </w:r>
          </w:p>
          <w:p>
            <w:pPr>
              <w:pStyle w:val="23"/>
              <w:spacing w:before="2" w:line="251" w:lineRule="exact"/>
              <w:ind w:left="35"/>
              <w:rPr>
                <w:rFonts w:ascii="仿宋" w:hAnsi="仿宋" w:eastAsia="仿宋" w:cs="仿宋"/>
                <w:sz w:val="21"/>
                <w:lang w:val="en-US"/>
              </w:rPr>
            </w:pPr>
            <w:r>
              <w:rPr>
                <w:rFonts w:hint="eastAsia" w:ascii="仿宋" w:hAnsi="仿宋" w:eastAsia="仿宋" w:cs="仿宋"/>
                <w:sz w:val="21"/>
                <w:lang w:val="en-US"/>
              </w:rPr>
              <w:t>（6）供应商在“信用中国”（www.creditchina.gov.cn）和中国政府采购网（www.ccgp.gov.cn）网站上未列入失信被执行人、</w:t>
            </w:r>
            <w:r>
              <w:rPr>
                <w:rFonts w:hint="eastAsia" w:ascii="仿宋" w:hAnsi="仿宋" w:eastAsia="仿宋" w:cs="仿宋"/>
                <w:sz w:val="21"/>
                <w:lang w:val="en-US" w:eastAsia="zh-CN"/>
              </w:rPr>
              <w:t>税收违法黑名单</w:t>
            </w:r>
            <w:r>
              <w:rPr>
                <w:rFonts w:hint="eastAsia" w:ascii="仿宋" w:hAnsi="仿宋" w:eastAsia="仿宋" w:cs="仿宋"/>
                <w:sz w:val="21"/>
                <w:lang w:val="en-US"/>
              </w:rPr>
              <w:t>、政府采购严重违法失信行为记录名单（财库[2016]125号）（需提供网上截图加盖公章）；</w:t>
            </w:r>
          </w:p>
          <w:p>
            <w:pPr>
              <w:pStyle w:val="23"/>
              <w:spacing w:before="2" w:line="251" w:lineRule="exact"/>
              <w:ind w:left="35"/>
              <w:rPr>
                <w:rFonts w:ascii="仿宋" w:hAnsi="仿宋" w:eastAsia="仿宋" w:cs="仿宋"/>
                <w:sz w:val="21"/>
                <w:lang w:val="en-US"/>
              </w:rPr>
            </w:pPr>
            <w:r>
              <w:rPr>
                <w:rFonts w:hint="eastAsia" w:ascii="仿宋" w:hAnsi="仿宋" w:eastAsia="仿宋" w:cs="仿宋"/>
                <w:sz w:val="21"/>
                <w:lang w:val="en-US"/>
              </w:rPr>
              <w:t>（7）</w:t>
            </w:r>
            <w:r>
              <w:rPr>
                <w:rFonts w:hint="eastAsia" w:ascii="仿宋" w:hAnsi="仿宋" w:eastAsia="仿宋" w:cs="仿宋"/>
                <w:sz w:val="21"/>
                <w:lang w:val="en-US" w:eastAsia="zh-CN"/>
              </w:rPr>
              <w:t>参加采购活动前三年内（2019年6月至今）</w:t>
            </w:r>
            <w:r>
              <w:rPr>
                <w:rFonts w:hint="eastAsia" w:ascii="仿宋" w:hAnsi="仿宋" w:eastAsia="仿宋" w:cs="仿宋"/>
                <w:sz w:val="21"/>
                <w:lang w:val="en-US"/>
              </w:rPr>
              <w:t>，在经营活动中无重大违法声明(受行政主管部门的处罚不能参加投标)；</w:t>
            </w:r>
          </w:p>
          <w:p>
            <w:pPr>
              <w:pStyle w:val="23"/>
              <w:spacing w:before="2" w:line="251" w:lineRule="exact"/>
              <w:ind w:left="35"/>
              <w:rPr>
                <w:rFonts w:ascii="仿宋" w:hAnsi="仿宋" w:eastAsia="仿宋" w:cs="仿宋"/>
                <w:sz w:val="21"/>
                <w:lang w:val="en-US"/>
              </w:rPr>
            </w:pPr>
            <w:r>
              <w:rPr>
                <w:rFonts w:hint="eastAsia" w:ascii="仿宋" w:hAnsi="仿宋" w:eastAsia="仿宋" w:cs="仿宋"/>
                <w:sz w:val="21"/>
                <w:lang w:val="en-US"/>
              </w:rPr>
              <w:t>（8）投标单位（供应商）具备针对本次采购项目《反商业贿赂承诺书》；</w:t>
            </w:r>
          </w:p>
          <w:p>
            <w:pPr>
              <w:pStyle w:val="23"/>
              <w:spacing w:before="2" w:line="251" w:lineRule="exact"/>
              <w:ind w:left="35"/>
              <w:rPr>
                <w:rFonts w:ascii="仿宋" w:hAnsi="仿宋" w:eastAsia="仿宋" w:cs="仿宋"/>
                <w:sz w:val="21"/>
                <w:lang w:val="en-US"/>
              </w:rPr>
            </w:pPr>
            <w:r>
              <w:rPr>
                <w:rFonts w:hint="eastAsia" w:ascii="仿宋" w:hAnsi="仿宋" w:eastAsia="仿宋" w:cs="仿宋"/>
                <w:sz w:val="21"/>
                <w:lang w:val="en-US"/>
              </w:rPr>
              <w:t>（9）投标保证金收据或投标保函；</w:t>
            </w:r>
          </w:p>
          <w:p>
            <w:pPr>
              <w:pStyle w:val="23"/>
              <w:spacing w:before="2" w:line="251" w:lineRule="exact"/>
              <w:ind w:left="35"/>
              <w:rPr>
                <w:b/>
                <w:sz w:val="21"/>
                <w:highlight w:val="yellow"/>
              </w:rPr>
            </w:pPr>
            <w:r>
              <w:rPr>
                <w:rFonts w:hint="eastAsia" w:ascii="仿宋" w:hAnsi="仿宋" w:eastAsia="仿宋" w:cs="仿宋"/>
                <w:sz w:val="21"/>
                <w:lang w:val="en-US"/>
              </w:rPr>
              <w:t>（10）本项目接受联合体投标。</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8" w:hRule="atLeast"/>
        </w:trPr>
        <w:tc>
          <w:tcPr>
            <w:tcW w:w="1598" w:type="dxa"/>
            <w:tcBorders>
              <w:top w:val="single" w:color="000000" w:sz="6" w:space="0"/>
              <w:bottom w:val="single" w:color="000000" w:sz="6" w:space="0"/>
              <w:right w:val="single" w:color="000000" w:sz="6" w:space="0"/>
            </w:tcBorders>
          </w:tcPr>
          <w:p>
            <w:pPr>
              <w:pStyle w:val="23"/>
              <w:spacing w:before="80"/>
              <w:ind w:left="566"/>
              <w:rPr>
                <w:rFonts w:ascii="仿宋"/>
                <w:sz w:val="24"/>
              </w:rPr>
            </w:pPr>
            <w:r>
              <w:rPr>
                <w:rFonts w:ascii="仿宋"/>
                <w:sz w:val="24"/>
              </w:rPr>
              <w:t>4</w:t>
            </w:r>
          </w:p>
        </w:tc>
        <w:tc>
          <w:tcPr>
            <w:tcW w:w="8122" w:type="dxa"/>
            <w:tcBorders>
              <w:top w:val="single" w:color="000000" w:sz="6" w:space="0"/>
              <w:left w:val="single" w:color="000000" w:sz="6" w:space="0"/>
              <w:bottom w:val="single" w:color="000000" w:sz="6" w:space="0"/>
            </w:tcBorders>
          </w:tcPr>
          <w:p>
            <w:pPr>
              <w:pStyle w:val="23"/>
              <w:spacing w:before="81"/>
              <w:ind w:left="35"/>
              <w:rPr>
                <w:rFonts w:ascii="仿宋" w:eastAsia="仿宋"/>
                <w:sz w:val="24"/>
              </w:rPr>
            </w:pPr>
            <w:r>
              <w:rPr>
                <w:rFonts w:hint="eastAsia" w:ascii="仿宋" w:eastAsia="仿宋"/>
                <w:sz w:val="24"/>
              </w:rPr>
              <w:t>是否为专门面向中小企业采购：否（是、否）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9" w:hRule="atLeast"/>
        </w:trPr>
        <w:tc>
          <w:tcPr>
            <w:tcW w:w="1598" w:type="dxa"/>
            <w:tcBorders>
              <w:top w:val="single" w:color="000000" w:sz="6" w:space="0"/>
              <w:bottom w:val="single" w:color="000000" w:sz="6" w:space="0"/>
              <w:right w:val="single" w:color="000000" w:sz="6" w:space="0"/>
            </w:tcBorders>
          </w:tcPr>
          <w:p>
            <w:pPr>
              <w:pStyle w:val="23"/>
              <w:spacing w:before="81"/>
              <w:ind w:left="566"/>
              <w:rPr>
                <w:rFonts w:ascii="仿宋"/>
                <w:sz w:val="24"/>
              </w:rPr>
            </w:pPr>
            <w:r>
              <w:rPr>
                <w:rFonts w:ascii="仿宋"/>
                <w:sz w:val="24"/>
              </w:rPr>
              <w:t>5</w:t>
            </w:r>
          </w:p>
        </w:tc>
        <w:tc>
          <w:tcPr>
            <w:tcW w:w="8122" w:type="dxa"/>
            <w:tcBorders>
              <w:top w:val="single" w:color="000000" w:sz="6" w:space="0"/>
              <w:left w:val="single" w:color="000000" w:sz="6" w:space="0"/>
              <w:bottom w:val="single" w:color="000000" w:sz="6" w:space="0"/>
            </w:tcBorders>
          </w:tcPr>
          <w:p>
            <w:pPr>
              <w:pStyle w:val="23"/>
              <w:spacing w:before="81"/>
              <w:ind w:left="35"/>
              <w:rPr>
                <w:rFonts w:ascii="仿宋" w:eastAsia="仿宋"/>
                <w:sz w:val="24"/>
              </w:rPr>
            </w:pPr>
            <w:r>
              <w:rPr>
                <w:rFonts w:hint="eastAsia" w:ascii="仿宋" w:eastAsia="仿宋"/>
                <w:sz w:val="24"/>
              </w:rPr>
              <w:t>是否允许联合体报价：是（是、否）</w:t>
            </w:r>
            <w:r>
              <w:rPr>
                <w:rFonts w:hint="eastAsia" w:ascii="仿宋" w:hAnsi="仿宋" w:eastAsia="仿宋" w:cs="仿宋"/>
                <w:sz w:val="24"/>
                <w:szCs w:val="24"/>
                <w:highlight w:val="none"/>
                <w:lang w:val="en-US" w:eastAsia="zh-CN"/>
              </w:rPr>
              <w:t>对于联合协议约定小微企业的合同份额占到合同总金额40%以上</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trPr>
        <w:tc>
          <w:tcPr>
            <w:tcW w:w="1598" w:type="dxa"/>
            <w:tcBorders>
              <w:top w:val="single" w:color="000000" w:sz="6" w:space="0"/>
              <w:bottom w:val="single" w:color="000000" w:sz="6" w:space="0"/>
              <w:right w:val="single" w:color="000000" w:sz="6" w:space="0"/>
            </w:tcBorders>
          </w:tcPr>
          <w:p>
            <w:pPr>
              <w:pStyle w:val="23"/>
              <w:spacing w:before="14" w:line="303" w:lineRule="exact"/>
              <w:ind w:left="566"/>
              <w:rPr>
                <w:rFonts w:ascii="仿宋"/>
                <w:sz w:val="24"/>
              </w:rPr>
            </w:pPr>
            <w:r>
              <w:rPr>
                <w:rFonts w:ascii="仿宋"/>
                <w:sz w:val="24"/>
              </w:rPr>
              <w:t>6</w:t>
            </w:r>
          </w:p>
        </w:tc>
        <w:tc>
          <w:tcPr>
            <w:tcW w:w="8122" w:type="dxa"/>
            <w:tcBorders>
              <w:top w:val="single" w:color="000000" w:sz="6" w:space="0"/>
              <w:left w:val="single" w:color="000000" w:sz="6" w:space="0"/>
              <w:bottom w:val="single" w:color="000000" w:sz="6" w:space="0"/>
            </w:tcBorders>
          </w:tcPr>
          <w:p>
            <w:pPr>
              <w:spacing w:line="360" w:lineRule="atLeast"/>
              <w:jc w:val="both"/>
              <w:rPr>
                <w:kern w:val="2"/>
                <w:sz w:val="24"/>
                <w:szCs w:val="24"/>
                <w:lang w:val="en-US" w:bidi="ar-SA"/>
              </w:rPr>
            </w:pPr>
            <w:r>
              <w:rPr>
                <w:rFonts w:hint="eastAsia"/>
                <w:sz w:val="24"/>
              </w:rPr>
              <w:t>联合体的其他资格要求：</w:t>
            </w:r>
            <w:r>
              <w:rPr>
                <w:rFonts w:hint="eastAsia"/>
                <w:kern w:val="2"/>
                <w:sz w:val="24"/>
                <w:szCs w:val="24"/>
                <w:lang w:val="en-US" w:bidi="ar-SA"/>
              </w:rPr>
              <w:t>联合体投标的，应满足下列要求：</w:t>
            </w:r>
          </w:p>
          <w:p>
            <w:pPr>
              <w:spacing w:line="360" w:lineRule="atLeast"/>
              <w:jc w:val="both"/>
              <w:rPr>
                <w:kern w:val="2"/>
                <w:sz w:val="24"/>
                <w:szCs w:val="24"/>
                <w:lang w:val="en-US" w:bidi="ar-SA"/>
              </w:rPr>
            </w:pPr>
            <w:r>
              <w:rPr>
                <w:rFonts w:hint="eastAsia"/>
                <w:kern w:val="2"/>
                <w:sz w:val="24"/>
                <w:szCs w:val="24"/>
                <w:lang w:val="en-US" w:bidi="ar-SA"/>
              </w:rPr>
              <w:t>1、投标人的投标文件及中标后签署的合同协议书，对联合体各方均具法律约束力；</w:t>
            </w:r>
          </w:p>
          <w:p>
            <w:pPr>
              <w:spacing w:line="360" w:lineRule="atLeast"/>
              <w:jc w:val="both"/>
              <w:rPr>
                <w:kern w:val="2"/>
                <w:sz w:val="24"/>
                <w:szCs w:val="24"/>
                <w:lang w:val="en-US" w:bidi="ar-SA"/>
              </w:rPr>
            </w:pPr>
            <w:r>
              <w:rPr>
                <w:rFonts w:hint="eastAsia"/>
                <w:kern w:val="2"/>
                <w:sz w:val="24"/>
                <w:szCs w:val="24"/>
                <w:lang w:val="en-US" w:bidi="ar-SA"/>
              </w:rPr>
              <w:t>2、联合体各方应签订共同投标协议，明确约定各方拟承担的工作和责任，并将该共同投标协议随投标文件一并提交招标人；</w:t>
            </w:r>
          </w:p>
          <w:p>
            <w:pPr>
              <w:spacing w:line="360" w:lineRule="atLeast"/>
              <w:jc w:val="both"/>
              <w:rPr>
                <w:kern w:val="2"/>
                <w:sz w:val="24"/>
                <w:szCs w:val="24"/>
                <w:lang w:val="en-US" w:bidi="ar-SA"/>
              </w:rPr>
            </w:pPr>
            <w:r>
              <w:rPr>
                <w:rFonts w:hint="eastAsia"/>
                <w:kern w:val="2"/>
                <w:sz w:val="24"/>
                <w:szCs w:val="24"/>
                <w:lang w:val="en-US" w:bidi="ar-SA"/>
              </w:rPr>
              <w:t>3、联合体各方不得再以自己的名义单独投标，也不得同时参加两个或两个以上的联合体投标，出现上述情况者，其投标和与此有关的联合体的投标将被拒绝；</w:t>
            </w:r>
          </w:p>
          <w:p>
            <w:pPr>
              <w:spacing w:line="360" w:lineRule="atLeast"/>
              <w:jc w:val="both"/>
              <w:rPr>
                <w:kern w:val="2"/>
                <w:sz w:val="24"/>
                <w:szCs w:val="24"/>
                <w:lang w:val="en-US" w:bidi="ar-SA"/>
              </w:rPr>
            </w:pPr>
            <w:r>
              <w:rPr>
                <w:rFonts w:hint="eastAsia"/>
                <w:kern w:val="2"/>
                <w:sz w:val="24"/>
                <w:szCs w:val="24"/>
                <w:lang w:val="en-US" w:bidi="ar-SA"/>
              </w:rPr>
              <w:t>4、联合体中标后，联合体各方应当共同与招标人签订合同，为履行合同向招标人承担连带责任；</w:t>
            </w:r>
          </w:p>
          <w:p>
            <w:pPr>
              <w:spacing w:line="360" w:lineRule="atLeast"/>
              <w:jc w:val="both"/>
              <w:rPr>
                <w:kern w:val="2"/>
                <w:sz w:val="24"/>
                <w:szCs w:val="24"/>
                <w:lang w:val="en-US" w:bidi="ar-SA"/>
              </w:rPr>
            </w:pPr>
            <w:r>
              <w:rPr>
                <w:rFonts w:hint="eastAsia"/>
                <w:kern w:val="2"/>
                <w:sz w:val="24"/>
                <w:szCs w:val="24"/>
                <w:lang w:val="en-US" w:bidi="ar-SA"/>
              </w:rPr>
              <w:t>5、联合体的各方应共同推举一名联合体牵头人，由联合体各方提交一份授权书，证明其牵头人资格，该授权书作为投标文件的组成部分一并提交招标人；</w:t>
            </w:r>
          </w:p>
          <w:p>
            <w:pPr>
              <w:spacing w:line="360" w:lineRule="atLeast"/>
              <w:jc w:val="both"/>
              <w:rPr>
                <w:kern w:val="2"/>
                <w:sz w:val="24"/>
                <w:szCs w:val="24"/>
                <w:lang w:val="en-US" w:bidi="ar-SA"/>
              </w:rPr>
            </w:pPr>
            <w:r>
              <w:rPr>
                <w:rFonts w:hint="eastAsia"/>
                <w:kern w:val="2"/>
                <w:sz w:val="24"/>
                <w:szCs w:val="24"/>
                <w:lang w:val="en-US" w:bidi="ar-SA"/>
              </w:rPr>
              <w:t>6、联合体的牵头人应被授权作为联合体各方的代表，承担责任和接受指令，并负责整个合同的全面履行和接受本项目工程款的支付；</w:t>
            </w:r>
          </w:p>
          <w:p>
            <w:pPr>
              <w:pStyle w:val="23"/>
              <w:spacing w:before="14" w:line="303" w:lineRule="exact"/>
              <w:ind w:left="35"/>
              <w:rPr>
                <w:rFonts w:ascii="仿宋" w:eastAsia="仿宋"/>
                <w:sz w:val="24"/>
              </w:rPr>
            </w:pPr>
            <w:r>
              <w:rPr>
                <w:rFonts w:hint="eastAsia" w:ascii="仿宋" w:hAnsi="仿宋" w:eastAsia="仿宋" w:cs="仿宋"/>
                <w:kern w:val="2"/>
                <w:sz w:val="24"/>
                <w:szCs w:val="24"/>
                <w:lang w:val="en-US" w:bidi="ar-SA"/>
              </w:rPr>
              <w:t>7、联合体家数不超过2家,且联合体各方均具有独立法人资格；投标文件中需签字或盖章处由牵头企业签字或盖章即可。</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57" w:hRule="atLeast"/>
        </w:trPr>
        <w:tc>
          <w:tcPr>
            <w:tcW w:w="1598" w:type="dxa"/>
            <w:tcBorders>
              <w:top w:val="single" w:color="000000" w:sz="6" w:space="0"/>
              <w:bottom w:val="single" w:color="000000" w:sz="6" w:space="0"/>
              <w:right w:val="single" w:color="000000" w:sz="6" w:space="0"/>
            </w:tcBorders>
          </w:tcPr>
          <w:p>
            <w:pPr>
              <w:pStyle w:val="23"/>
              <w:rPr>
                <w:b/>
                <w:sz w:val="24"/>
              </w:rPr>
            </w:pPr>
          </w:p>
          <w:p>
            <w:pPr>
              <w:pStyle w:val="23"/>
              <w:spacing w:before="161"/>
              <w:ind w:left="566"/>
              <w:rPr>
                <w:rFonts w:ascii="仿宋"/>
                <w:sz w:val="24"/>
              </w:rPr>
            </w:pPr>
            <w:r>
              <w:rPr>
                <w:rFonts w:ascii="仿宋"/>
                <w:sz w:val="24"/>
              </w:rPr>
              <w:t>7</w:t>
            </w:r>
          </w:p>
        </w:tc>
        <w:tc>
          <w:tcPr>
            <w:tcW w:w="8122" w:type="dxa"/>
            <w:tcBorders>
              <w:top w:val="single" w:color="000000" w:sz="6" w:space="0"/>
              <w:left w:val="single" w:color="000000" w:sz="6" w:space="0"/>
              <w:bottom w:val="single" w:color="000000" w:sz="6" w:space="0"/>
            </w:tcBorders>
          </w:tcPr>
          <w:p>
            <w:pPr>
              <w:pStyle w:val="23"/>
              <w:spacing w:before="14" w:line="303" w:lineRule="exact"/>
              <w:ind w:left="35"/>
              <w:rPr>
                <w:rFonts w:ascii="仿宋" w:hAnsi="仿宋" w:eastAsia="仿宋" w:cs="仿宋"/>
                <w:b/>
                <w:bCs/>
                <w:kern w:val="2"/>
                <w:sz w:val="24"/>
                <w:szCs w:val="24"/>
                <w:lang w:val="en-US" w:bidi="ar-SA"/>
              </w:rPr>
            </w:pPr>
            <w:r>
              <w:rPr>
                <w:rFonts w:hint="eastAsia" w:ascii="仿宋" w:hAnsi="仿宋" w:eastAsia="仿宋" w:cs="仿宋"/>
                <w:b/>
                <w:bCs/>
                <w:kern w:val="2"/>
                <w:sz w:val="24"/>
                <w:szCs w:val="24"/>
                <w:lang w:val="en-US" w:bidi="ar-SA"/>
              </w:rPr>
              <w:t>项目预算金额：</w:t>
            </w:r>
          </w:p>
          <w:p>
            <w:pPr>
              <w:pStyle w:val="23"/>
              <w:spacing w:before="14" w:line="303" w:lineRule="exact"/>
              <w:rPr>
                <w:rFonts w:ascii="仿宋" w:hAnsi="仿宋" w:eastAsia="仿宋" w:cs="仿宋"/>
                <w:b/>
                <w:bCs/>
                <w:kern w:val="2"/>
                <w:sz w:val="24"/>
                <w:szCs w:val="24"/>
                <w:lang w:val="en-US" w:bidi="ar-SA"/>
              </w:rPr>
            </w:pPr>
            <w:r>
              <w:rPr>
                <w:rFonts w:hint="eastAsia" w:ascii="仿宋" w:hAnsi="仿宋" w:eastAsia="仿宋" w:cs="仿宋"/>
                <w:b/>
                <w:bCs/>
                <w:kern w:val="2"/>
                <w:sz w:val="24"/>
                <w:szCs w:val="24"/>
                <w:lang w:val="en-US" w:bidi="ar-SA"/>
              </w:rPr>
              <w:t>小写：1012427.10元</w:t>
            </w:r>
          </w:p>
          <w:p>
            <w:pPr>
              <w:pStyle w:val="23"/>
              <w:spacing w:before="14" w:line="303" w:lineRule="exact"/>
              <w:ind w:left="35"/>
              <w:rPr>
                <w:rFonts w:ascii="仿宋" w:hAnsi="仿宋" w:eastAsia="仿宋" w:cs="仿宋"/>
                <w:b/>
                <w:bCs/>
                <w:kern w:val="2"/>
                <w:sz w:val="24"/>
                <w:szCs w:val="24"/>
                <w:lang w:val="en-US" w:bidi="ar-SA"/>
              </w:rPr>
            </w:pPr>
            <w:r>
              <w:rPr>
                <w:rFonts w:hint="eastAsia" w:ascii="仿宋" w:hAnsi="仿宋" w:eastAsia="仿宋" w:cs="仿宋"/>
                <w:b/>
                <w:bCs/>
                <w:kern w:val="2"/>
                <w:sz w:val="24"/>
                <w:szCs w:val="24"/>
                <w:lang w:val="en-US" w:bidi="ar-SA"/>
              </w:rPr>
              <w:t>大写：（壹佰零壹万贰仟肆佰贰拾柒元壹角整）</w:t>
            </w:r>
          </w:p>
          <w:p>
            <w:pPr>
              <w:pStyle w:val="23"/>
              <w:spacing w:before="14" w:line="303" w:lineRule="exact"/>
              <w:ind w:left="35"/>
              <w:rPr>
                <w:bCs/>
                <w:spacing w:val="13"/>
                <w:sz w:val="21"/>
                <w:highlight w:val="yellow"/>
                <w:lang w:val="en-US"/>
              </w:rPr>
            </w:pPr>
            <w:r>
              <w:rPr>
                <w:rFonts w:hint="eastAsia" w:ascii="仿宋" w:hAnsi="仿宋" w:eastAsia="仿宋" w:cs="仿宋"/>
                <w:b/>
                <w:bCs/>
                <w:kern w:val="2"/>
                <w:sz w:val="24"/>
                <w:szCs w:val="24"/>
                <w:lang w:val="en-US" w:bidi="ar-SA"/>
              </w:rPr>
              <w:t>各潜在投标人的投标报价不得超过预算金额，否则其投标文件将按否决投标处理。</w:t>
            </w:r>
          </w:p>
        </w:tc>
      </w:tr>
    </w:tbl>
    <w:p>
      <w:pPr>
        <w:pStyle w:val="9"/>
      </w:pPr>
      <w:r>
        <w:rPr>
          <w:lang w:val="en-US" w:bidi="ar-SA"/>
        </w:rPr>
        <mc:AlternateContent>
          <mc:Choice Requires="wps">
            <w:drawing>
              <wp:anchor distT="0" distB="0" distL="114300" distR="114300" simplePos="0" relativeHeight="251674624" behindDoc="1" locked="0" layoutInCell="1" allowOverlap="1">
                <wp:simplePos x="0" y="0"/>
                <wp:positionH relativeFrom="page">
                  <wp:posOffset>669925</wp:posOffset>
                </wp:positionH>
                <wp:positionV relativeFrom="paragraph">
                  <wp:posOffset>-4166870</wp:posOffset>
                </wp:positionV>
                <wp:extent cx="5583555" cy="3364230"/>
                <wp:effectExtent l="0" t="0" r="0" b="0"/>
                <wp:wrapTight wrapText="bothSides">
                  <wp:wrapPolygon>
                    <wp:start x="0" y="-8"/>
                    <wp:lineTo x="21600" y="-8"/>
                    <wp:lineTo x="21600" y="21592"/>
                    <wp:lineTo x="0" y="21592"/>
                    <wp:lineTo x="0" y="-8"/>
                  </wp:wrapPolygon>
                </wp:wrapTight>
                <wp:docPr id="13" name="文本框 11"/>
                <wp:cNvGraphicFramePr/>
                <a:graphic xmlns:a="http://schemas.openxmlformats.org/drawingml/2006/main">
                  <a:graphicData uri="http://schemas.microsoft.com/office/word/2010/wordprocessingShape">
                    <wps:wsp>
                      <wps:cNvSpPr txBox="1"/>
                      <wps:spPr>
                        <a:xfrm flipV="1">
                          <a:off x="0" y="0"/>
                          <a:ext cx="5583555" cy="3364230"/>
                        </a:xfrm>
                        <a:prstGeom prst="rect">
                          <a:avLst/>
                        </a:prstGeom>
                        <a:noFill/>
                        <a:ln>
                          <a:noFill/>
                        </a:ln>
                      </wps:spPr>
                      <wps:txbx>
                        <w:txbxContent>
                          <w:p>
                            <w:pPr>
                              <w:pStyle w:val="9"/>
                              <w:jc w:val="both"/>
                            </w:pPr>
                          </w:p>
                        </w:txbxContent>
                      </wps:txbx>
                      <wps:bodyPr lIns="0" tIns="0" rIns="0" bIns="0" upright="1"/>
                    </wps:wsp>
                  </a:graphicData>
                </a:graphic>
              </wp:anchor>
            </w:drawing>
          </mc:Choice>
          <mc:Fallback>
            <w:pict>
              <v:shape id="文本框 11" o:spid="_x0000_s1026" o:spt="202" type="#_x0000_t202" style="position:absolute;left:0pt;flip:y;margin-left:52.75pt;margin-top:-328.1pt;height:264.9pt;width:439.65pt;mso-position-horizontal-relative:page;mso-wrap-distance-left:9pt;mso-wrap-distance-right:9pt;z-index:-251641856;mso-width-relative:page;mso-height-relative:page;" filled="f" stroked="f" coordsize="21600,21600" wrapcoords="0 -8 21600 -8 21600 21592 0 21592 0 -8" o:gfxdata="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JxIkT2wAAAA0BAAAPAAAAAAAAAAEAIAAAACIAAABkcnMvZG93&#10;bnJldi54bWxQSwECFAAUAAAACACHTuJAwcPTiMQBAAB/AwAADgAAAAAAAAABACAAAAAqAQAAZHJz&#10;L2Uyb0RvYy54bWxQSwUGAAAAAAYABgBZAQAAYAUAAAAA&#10;">
                <v:fill on="f" focussize="0,0"/>
                <v:stroke on="f"/>
                <v:imagedata o:title=""/>
                <o:lock v:ext="edit" aspectratio="f"/>
                <v:textbox inset="0mm,0mm,0mm,0mm">
                  <w:txbxContent>
                    <w:p>
                      <w:pPr>
                        <w:pStyle w:val="9"/>
                        <w:jc w:val="both"/>
                      </w:pPr>
                    </w:p>
                  </w:txbxContent>
                </v:textbox>
                <w10:wrap type="tight"/>
              </v:shape>
            </w:pict>
          </mc:Fallback>
        </mc:AlternateContent>
      </w:r>
    </w:p>
    <w:p>
      <w:pPr>
        <w:pStyle w:val="9"/>
      </w:pPr>
    </w:p>
    <w:p>
      <w:pPr>
        <w:ind w:right="205"/>
        <w:jc w:val="both"/>
        <w:rPr>
          <w:rFonts w:ascii="宋体" w:eastAsia="宋体"/>
          <w:sz w:val="21"/>
        </w:rPr>
        <w:sectPr>
          <w:pgSz w:w="11910" w:h="16840"/>
          <w:pgMar w:top="1440" w:right="800" w:bottom="1420" w:left="740" w:header="0" w:footer="1153" w:gutter="0"/>
          <w:cols w:space="720" w:num="1"/>
        </w:sectPr>
      </w:pPr>
    </w:p>
    <w:tbl>
      <w:tblPr>
        <w:tblStyle w:val="19"/>
        <w:tblW w:w="0" w:type="auto"/>
        <w:tblInd w:w="35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717"/>
        <w:gridCol w:w="800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89" w:hRule="atLeast"/>
        </w:trPr>
        <w:tc>
          <w:tcPr>
            <w:tcW w:w="1717" w:type="dxa"/>
            <w:tcBorders>
              <w:bottom w:val="single" w:color="000000" w:sz="6" w:space="0"/>
              <w:right w:val="single" w:color="000000" w:sz="6" w:space="0"/>
            </w:tcBorders>
            <w:vAlign w:val="center"/>
          </w:tcPr>
          <w:p>
            <w:pPr>
              <w:pStyle w:val="23"/>
              <w:jc w:val="both"/>
              <w:rPr>
                <w:b/>
                <w:sz w:val="24"/>
              </w:rPr>
            </w:pPr>
          </w:p>
          <w:p>
            <w:pPr>
              <w:pStyle w:val="23"/>
              <w:jc w:val="both"/>
              <w:rPr>
                <w:b/>
                <w:sz w:val="24"/>
              </w:rPr>
            </w:pPr>
          </w:p>
          <w:p>
            <w:pPr>
              <w:pStyle w:val="23"/>
              <w:jc w:val="both"/>
              <w:rPr>
                <w:b/>
                <w:sz w:val="24"/>
              </w:rPr>
            </w:pPr>
          </w:p>
          <w:p>
            <w:pPr>
              <w:pStyle w:val="23"/>
              <w:jc w:val="both"/>
              <w:rPr>
                <w:b/>
                <w:sz w:val="24"/>
              </w:rPr>
            </w:pPr>
          </w:p>
          <w:p>
            <w:pPr>
              <w:pStyle w:val="23"/>
              <w:jc w:val="both"/>
              <w:rPr>
                <w:b/>
                <w:sz w:val="24"/>
              </w:rPr>
            </w:pPr>
          </w:p>
          <w:p>
            <w:pPr>
              <w:pStyle w:val="23"/>
              <w:jc w:val="both"/>
              <w:rPr>
                <w:b/>
                <w:sz w:val="24"/>
              </w:rPr>
            </w:pPr>
          </w:p>
          <w:p>
            <w:pPr>
              <w:pStyle w:val="23"/>
              <w:spacing w:before="1"/>
              <w:jc w:val="both"/>
              <w:rPr>
                <w:b/>
                <w:sz w:val="26"/>
              </w:rPr>
            </w:pPr>
          </w:p>
          <w:p>
            <w:pPr>
              <w:pStyle w:val="23"/>
              <w:spacing w:before="1"/>
              <w:ind w:left="566"/>
              <w:jc w:val="both"/>
              <w:rPr>
                <w:rFonts w:ascii="仿宋"/>
                <w:sz w:val="24"/>
              </w:rPr>
            </w:pPr>
            <w:r>
              <w:rPr>
                <w:rFonts w:hint="eastAsia" w:ascii="仿宋"/>
                <w:sz w:val="24"/>
                <w:lang w:val="en-US"/>
              </w:rPr>
              <w:t>8</w:t>
            </w:r>
          </w:p>
        </w:tc>
        <w:tc>
          <w:tcPr>
            <w:tcW w:w="8003" w:type="dxa"/>
            <w:tcBorders>
              <w:left w:val="single" w:color="000000" w:sz="6" w:space="0"/>
              <w:bottom w:val="single" w:color="000000" w:sz="6" w:space="0"/>
            </w:tcBorders>
          </w:tcPr>
          <w:p>
            <w:pPr>
              <w:pStyle w:val="23"/>
              <w:tabs>
                <w:tab w:val="left" w:pos="2435"/>
                <w:tab w:val="left" w:pos="3395"/>
              </w:tabs>
              <w:spacing w:before="3"/>
              <w:ind w:left="35"/>
              <w:rPr>
                <w:rFonts w:ascii="仿宋" w:hAnsi="仿宋" w:eastAsia="仿宋"/>
                <w:sz w:val="24"/>
              </w:rPr>
            </w:pPr>
            <w:r>
              <w:rPr>
                <w:rFonts w:hint="eastAsia" w:ascii="仿宋" w:hAnsi="仿宋" w:eastAsia="仿宋"/>
                <w:sz w:val="24"/>
              </w:rPr>
              <w:t>保证金形式：</w:t>
            </w:r>
            <w:r>
              <w:rPr>
                <w:rFonts w:hint="eastAsia" w:ascii="MS UI Gothic" w:hAnsi="MS UI Gothic"/>
                <w:sz w:val="24"/>
              </w:rPr>
              <w:sym w:font="Wingdings 2" w:char="0052"/>
            </w:r>
            <w:r>
              <w:rPr>
                <w:rFonts w:hint="eastAsia" w:ascii="仿宋" w:hAnsi="仿宋" w:eastAsia="仿宋"/>
                <w:sz w:val="24"/>
              </w:rPr>
              <w:t>保函</w:t>
            </w:r>
            <w:r>
              <w:rPr>
                <w:rFonts w:hint="eastAsia" w:ascii="仿宋" w:hAnsi="仿宋" w:eastAsia="仿宋"/>
                <w:sz w:val="24"/>
              </w:rPr>
              <w:tab/>
            </w:r>
            <w:r>
              <w:rPr>
                <w:rFonts w:hint="eastAsia" w:ascii="MS UI Gothic" w:hAnsi="MS UI Gothic" w:eastAsia="MS UI Gothic"/>
                <w:sz w:val="24"/>
              </w:rPr>
              <w:t>☑</w:t>
            </w:r>
            <w:r>
              <w:rPr>
                <w:rFonts w:hint="eastAsia" w:ascii="仿宋" w:hAnsi="仿宋" w:eastAsia="仿宋"/>
                <w:sz w:val="24"/>
              </w:rPr>
              <w:t>电汇</w:t>
            </w:r>
            <w:r>
              <w:rPr>
                <w:rFonts w:hint="eastAsia" w:ascii="仿宋" w:hAnsi="仿宋" w:eastAsia="仿宋"/>
                <w:sz w:val="24"/>
              </w:rPr>
              <w:tab/>
            </w:r>
            <w:r>
              <w:rPr>
                <w:rFonts w:hint="eastAsia" w:ascii="MS UI Gothic" w:hAnsi="MS UI Gothic"/>
                <w:sz w:val="24"/>
              </w:rPr>
              <w:t>□</w:t>
            </w:r>
            <w:r>
              <w:rPr>
                <w:rFonts w:hint="eastAsia" w:ascii="仿宋" w:hAnsi="仿宋" w:eastAsia="仿宋"/>
                <w:sz w:val="24"/>
              </w:rPr>
              <w:t>支票</w:t>
            </w:r>
            <w:r>
              <w:rPr>
                <w:rFonts w:hint="eastAsia" w:ascii="MS UI Gothic" w:hAnsi="MS UI Gothic"/>
                <w:sz w:val="24"/>
              </w:rPr>
              <w:sym w:font="Wingdings 2" w:char="0052"/>
            </w:r>
            <w:r>
              <w:rPr>
                <w:rFonts w:hint="eastAsia" w:ascii="仿宋" w:hAnsi="仿宋" w:eastAsia="仿宋"/>
                <w:sz w:val="24"/>
                <w:u w:val="single"/>
              </w:rPr>
              <w:t xml:space="preserve">网银 </w:t>
            </w:r>
            <w:r>
              <w:rPr>
                <w:rFonts w:hint="eastAsia" w:ascii="仿宋" w:hAnsi="仿宋" w:eastAsia="仿宋"/>
                <w:sz w:val="24"/>
              </w:rPr>
              <w:t>（本项目允许的其他形式） 保证金数额：</w:t>
            </w:r>
            <w:r>
              <w:rPr>
                <w:rFonts w:hint="eastAsia" w:ascii="仿宋" w:hAnsi="仿宋" w:eastAsia="仿宋"/>
                <w:sz w:val="24"/>
                <w:lang w:val="en-US"/>
              </w:rPr>
              <w:t>20000.00元（贰万元整）</w:t>
            </w:r>
          </w:p>
          <w:p>
            <w:pPr>
              <w:pStyle w:val="23"/>
              <w:spacing w:before="5" w:line="242" w:lineRule="auto"/>
              <w:ind w:left="35" w:right="3254"/>
              <w:rPr>
                <w:rFonts w:ascii="仿宋" w:eastAsia="仿宋"/>
                <w:b/>
                <w:sz w:val="24"/>
              </w:rPr>
            </w:pPr>
            <w:r>
              <w:rPr>
                <w:rFonts w:hint="eastAsia" w:ascii="仿宋" w:eastAsia="仿宋"/>
                <w:sz w:val="24"/>
              </w:rPr>
              <w:t xml:space="preserve">（按照各分包控制金额 2%以内的整数计算） </w:t>
            </w:r>
            <w:r>
              <w:rPr>
                <w:rFonts w:hint="eastAsia" w:ascii="仿宋" w:eastAsia="仿宋"/>
                <w:b/>
                <w:sz w:val="24"/>
              </w:rPr>
              <w:t>投标保证金账户：</w:t>
            </w:r>
          </w:p>
          <w:p>
            <w:pPr>
              <w:pStyle w:val="23"/>
              <w:ind w:left="35"/>
              <w:rPr>
                <w:rFonts w:ascii="仿宋" w:eastAsia="仿宋"/>
                <w:sz w:val="24"/>
              </w:rPr>
            </w:pPr>
            <w:r>
              <w:rPr>
                <w:rFonts w:hint="eastAsia" w:ascii="仿宋" w:eastAsia="仿宋"/>
                <w:sz w:val="24"/>
              </w:rPr>
              <w:t>保证金收款人：衡正国际工程咨询有限公司喀什分公司</w:t>
            </w:r>
          </w:p>
          <w:p>
            <w:pPr>
              <w:pStyle w:val="23"/>
              <w:ind w:left="35"/>
              <w:rPr>
                <w:rFonts w:ascii="仿宋" w:eastAsia="仿宋"/>
                <w:sz w:val="24"/>
              </w:rPr>
            </w:pPr>
            <w:r>
              <w:rPr>
                <w:rFonts w:hint="eastAsia" w:ascii="仿宋" w:eastAsia="仿宋"/>
                <w:sz w:val="24"/>
              </w:rPr>
              <w:t xml:space="preserve">开户银行：中国建设银行股份有限公司喀什解放南路支行 </w:t>
            </w:r>
          </w:p>
          <w:p>
            <w:pPr>
              <w:pStyle w:val="23"/>
              <w:ind w:left="35"/>
              <w:rPr>
                <w:rFonts w:ascii="仿宋" w:eastAsia="仿宋"/>
                <w:sz w:val="24"/>
              </w:rPr>
            </w:pPr>
            <w:r>
              <w:rPr>
                <w:rFonts w:hint="eastAsia" w:ascii="仿宋" w:eastAsia="仿宋"/>
                <w:sz w:val="24"/>
              </w:rPr>
              <w:t xml:space="preserve">账    号：65050174603600000737 </w:t>
            </w:r>
          </w:p>
          <w:p>
            <w:pPr>
              <w:pStyle w:val="23"/>
              <w:ind w:left="35"/>
              <w:rPr>
                <w:rFonts w:ascii="仿宋" w:eastAsia="仿宋"/>
                <w:sz w:val="24"/>
              </w:rPr>
            </w:pPr>
            <w:r>
              <w:rPr>
                <w:rFonts w:hint="eastAsia" w:ascii="仿宋" w:eastAsia="仿宋"/>
                <w:sz w:val="24"/>
              </w:rPr>
              <w:t>打款时注明投标保证金项目名称及项目编号。</w:t>
            </w:r>
          </w:p>
          <w:p>
            <w:pPr>
              <w:pStyle w:val="23"/>
              <w:spacing w:before="5" w:line="242" w:lineRule="auto"/>
              <w:ind w:left="35" w:right="2183"/>
              <w:rPr>
                <w:rFonts w:ascii="仿宋" w:eastAsia="仿宋"/>
                <w:sz w:val="24"/>
                <w:highlight w:val="none"/>
              </w:rPr>
            </w:pPr>
            <w:r>
              <w:rPr>
                <w:rFonts w:hint="eastAsia" w:ascii="仿宋" w:eastAsia="仿宋"/>
                <w:sz w:val="24"/>
              </w:rPr>
              <w:t>投标截止时间：</w:t>
            </w:r>
            <w:r>
              <w:rPr>
                <w:rFonts w:hint="eastAsia" w:ascii="仿宋" w:eastAsia="仿宋"/>
                <w:sz w:val="24"/>
                <w:highlight w:val="none"/>
              </w:rPr>
              <w:t>202</w:t>
            </w:r>
            <w:r>
              <w:rPr>
                <w:rFonts w:hint="eastAsia" w:ascii="仿宋" w:eastAsia="仿宋"/>
                <w:sz w:val="24"/>
                <w:highlight w:val="none"/>
                <w:lang w:val="en-US"/>
              </w:rPr>
              <w:t>2</w:t>
            </w:r>
            <w:r>
              <w:rPr>
                <w:rFonts w:hint="eastAsia" w:ascii="仿宋" w:eastAsia="仿宋"/>
                <w:sz w:val="24"/>
                <w:highlight w:val="none"/>
              </w:rPr>
              <w:t>年</w:t>
            </w:r>
            <w:r>
              <w:rPr>
                <w:rFonts w:hint="eastAsia" w:ascii="仿宋" w:eastAsia="仿宋"/>
                <w:sz w:val="24"/>
                <w:highlight w:val="none"/>
                <w:lang w:val="en-US" w:eastAsia="zh-CN"/>
              </w:rPr>
              <w:t>7</w:t>
            </w:r>
            <w:r>
              <w:rPr>
                <w:rFonts w:hint="eastAsia" w:ascii="仿宋" w:eastAsia="仿宋"/>
                <w:sz w:val="24"/>
                <w:highlight w:val="none"/>
              </w:rPr>
              <w:t>月</w:t>
            </w:r>
            <w:r>
              <w:rPr>
                <w:rFonts w:hint="eastAsia" w:ascii="仿宋" w:eastAsia="仿宋"/>
                <w:sz w:val="24"/>
                <w:highlight w:val="none"/>
                <w:lang w:val="en-US" w:eastAsia="zh-CN"/>
              </w:rPr>
              <w:t>27</w:t>
            </w:r>
            <w:r>
              <w:rPr>
                <w:rFonts w:hint="eastAsia" w:ascii="仿宋" w:eastAsia="仿宋"/>
                <w:sz w:val="24"/>
                <w:highlight w:val="none"/>
              </w:rPr>
              <w:t>日</w:t>
            </w:r>
            <w:r>
              <w:rPr>
                <w:rFonts w:hint="eastAsia" w:ascii="仿宋" w:eastAsia="仿宋"/>
                <w:sz w:val="24"/>
                <w:highlight w:val="none"/>
                <w:lang w:val="en-US" w:eastAsia="zh-CN"/>
              </w:rPr>
              <w:t>上</w:t>
            </w:r>
            <w:r>
              <w:rPr>
                <w:rFonts w:hint="eastAsia" w:ascii="仿宋" w:eastAsia="仿宋"/>
                <w:sz w:val="24"/>
                <w:highlight w:val="none"/>
              </w:rPr>
              <w:t>午</w:t>
            </w:r>
            <w:r>
              <w:rPr>
                <w:rFonts w:hint="eastAsia" w:ascii="仿宋" w:eastAsia="仿宋"/>
                <w:sz w:val="24"/>
                <w:highlight w:val="none"/>
                <w:lang w:val="en-US"/>
              </w:rPr>
              <w:t>1</w:t>
            </w:r>
            <w:r>
              <w:rPr>
                <w:rFonts w:hint="eastAsia" w:ascii="仿宋" w:eastAsia="仿宋"/>
                <w:sz w:val="24"/>
                <w:highlight w:val="none"/>
                <w:lang w:val="en-US" w:eastAsia="zh-CN"/>
              </w:rPr>
              <w:t>1</w:t>
            </w:r>
            <w:r>
              <w:rPr>
                <w:rFonts w:hint="eastAsia" w:ascii="仿宋" w:eastAsia="仿宋"/>
                <w:sz w:val="24"/>
                <w:highlight w:val="none"/>
              </w:rPr>
              <w:t>时</w:t>
            </w:r>
            <w:r>
              <w:rPr>
                <w:rFonts w:hint="eastAsia" w:ascii="仿宋" w:eastAsia="仿宋"/>
                <w:sz w:val="24"/>
                <w:highlight w:val="none"/>
                <w:lang w:val="en-US" w:eastAsia="zh-CN"/>
              </w:rPr>
              <w:t>00分</w:t>
            </w:r>
            <w:r>
              <w:rPr>
                <w:rFonts w:hint="eastAsia" w:ascii="仿宋" w:eastAsia="仿宋"/>
                <w:sz w:val="24"/>
                <w:highlight w:val="none"/>
              </w:rPr>
              <w:t>。</w:t>
            </w:r>
          </w:p>
          <w:p>
            <w:pPr>
              <w:pStyle w:val="23"/>
              <w:spacing w:line="290" w:lineRule="exact"/>
              <w:rPr>
                <w:rFonts w:ascii="仿宋" w:eastAsia="仿宋"/>
                <w:sz w:val="24"/>
              </w:rPr>
            </w:pPr>
            <w:r>
              <w:rPr>
                <w:rFonts w:hint="eastAsia" w:ascii="仿宋" w:eastAsia="仿宋"/>
                <w:sz w:val="24"/>
              </w:rPr>
              <w:t>注：汇款时注明投标保证金项目名称及项目编号（如有包段，需注明包段）。投标保证金转入衡正国际工程咨询有限公司喀什分公司账户后，换取保证金收据并将收据复印件装至投标文件中。</w:t>
            </w:r>
          </w:p>
          <w:p>
            <w:pPr>
              <w:pStyle w:val="23"/>
              <w:spacing w:line="290" w:lineRule="exact"/>
              <w:rPr>
                <w:rFonts w:ascii="仿宋" w:eastAsia="仿宋"/>
                <w:sz w:val="24"/>
              </w:rPr>
            </w:pPr>
            <w:r>
              <w:rPr>
                <w:rFonts w:hint="eastAsia" w:ascii="仿宋" w:eastAsia="仿宋"/>
                <w:sz w:val="24"/>
              </w:rPr>
              <w:t>投标保证金提交截止时间</w:t>
            </w:r>
            <w:r>
              <w:rPr>
                <w:rFonts w:hint="eastAsia" w:ascii="仿宋" w:eastAsia="仿宋"/>
                <w:sz w:val="24"/>
                <w:highlight w:val="none"/>
              </w:rPr>
              <w:t>：202</w:t>
            </w:r>
            <w:r>
              <w:rPr>
                <w:rFonts w:hint="eastAsia" w:ascii="仿宋" w:eastAsia="仿宋"/>
                <w:sz w:val="24"/>
                <w:highlight w:val="none"/>
                <w:lang w:val="en-US"/>
              </w:rPr>
              <w:t>2</w:t>
            </w:r>
            <w:r>
              <w:rPr>
                <w:rFonts w:hint="eastAsia" w:ascii="仿宋" w:eastAsia="仿宋"/>
                <w:sz w:val="24"/>
                <w:highlight w:val="none"/>
              </w:rPr>
              <w:t>年</w:t>
            </w:r>
            <w:r>
              <w:rPr>
                <w:rFonts w:hint="eastAsia" w:ascii="仿宋" w:eastAsia="仿宋"/>
                <w:sz w:val="24"/>
                <w:highlight w:val="none"/>
                <w:lang w:val="en-US" w:eastAsia="zh-CN"/>
              </w:rPr>
              <w:t>7</w:t>
            </w:r>
            <w:r>
              <w:rPr>
                <w:rFonts w:hint="eastAsia" w:ascii="仿宋" w:eastAsia="仿宋"/>
                <w:sz w:val="24"/>
                <w:highlight w:val="none"/>
              </w:rPr>
              <w:t>月</w:t>
            </w:r>
            <w:r>
              <w:rPr>
                <w:rFonts w:hint="eastAsia" w:ascii="仿宋" w:eastAsia="仿宋"/>
                <w:sz w:val="24"/>
                <w:highlight w:val="none"/>
                <w:lang w:val="en-US" w:eastAsia="zh-CN"/>
              </w:rPr>
              <w:t>27</w:t>
            </w:r>
            <w:r>
              <w:rPr>
                <w:rFonts w:hint="eastAsia" w:ascii="仿宋" w:eastAsia="仿宋"/>
                <w:sz w:val="24"/>
                <w:highlight w:val="none"/>
              </w:rPr>
              <w:t>日</w:t>
            </w:r>
            <w:r>
              <w:rPr>
                <w:rFonts w:hint="eastAsia" w:ascii="仿宋" w:eastAsia="仿宋"/>
                <w:sz w:val="24"/>
                <w:highlight w:val="none"/>
                <w:lang w:val="en-US" w:eastAsia="zh-CN"/>
              </w:rPr>
              <w:t>上</w:t>
            </w:r>
            <w:r>
              <w:rPr>
                <w:rFonts w:hint="eastAsia" w:ascii="仿宋" w:eastAsia="仿宋"/>
                <w:sz w:val="24"/>
                <w:highlight w:val="none"/>
              </w:rPr>
              <w:t>午</w:t>
            </w:r>
            <w:r>
              <w:rPr>
                <w:rFonts w:hint="eastAsia" w:ascii="仿宋" w:eastAsia="仿宋"/>
                <w:sz w:val="24"/>
                <w:highlight w:val="none"/>
                <w:lang w:val="en-US"/>
              </w:rPr>
              <w:t>1</w:t>
            </w:r>
            <w:r>
              <w:rPr>
                <w:rFonts w:hint="eastAsia" w:ascii="仿宋" w:eastAsia="仿宋"/>
                <w:sz w:val="24"/>
                <w:highlight w:val="none"/>
                <w:lang w:val="en-US" w:eastAsia="zh-CN"/>
              </w:rPr>
              <w:t>1</w:t>
            </w:r>
            <w:r>
              <w:rPr>
                <w:rFonts w:hint="eastAsia" w:ascii="仿宋" w:eastAsia="仿宋"/>
                <w:sz w:val="24"/>
                <w:highlight w:val="none"/>
              </w:rPr>
              <w:t>时</w:t>
            </w:r>
            <w:r>
              <w:rPr>
                <w:rFonts w:hint="eastAsia" w:ascii="仿宋" w:eastAsia="仿宋"/>
                <w:sz w:val="24"/>
                <w:highlight w:val="none"/>
                <w:lang w:val="en-US" w:eastAsia="zh-CN"/>
              </w:rPr>
              <w:t>00分</w:t>
            </w:r>
            <w:r>
              <w:rPr>
                <w:rFonts w:hint="eastAsia" w:ascii="仿宋" w:eastAsia="仿宋"/>
                <w:sz w:val="24"/>
                <w:highlight w:val="none"/>
              </w:rPr>
              <w:t>（北</w:t>
            </w:r>
            <w:r>
              <w:rPr>
                <w:rFonts w:hint="eastAsia" w:ascii="仿宋" w:eastAsia="仿宋"/>
                <w:sz w:val="24"/>
              </w:rPr>
              <w:t>京时间）。（过期不予办理）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11" w:hRule="atLeast"/>
        </w:trPr>
        <w:tc>
          <w:tcPr>
            <w:tcW w:w="1717" w:type="dxa"/>
            <w:tcBorders>
              <w:top w:val="single" w:color="000000" w:sz="6" w:space="0"/>
              <w:bottom w:val="single" w:color="000000" w:sz="6" w:space="0"/>
              <w:right w:val="single" w:color="000000" w:sz="6" w:space="0"/>
            </w:tcBorders>
            <w:vAlign w:val="center"/>
          </w:tcPr>
          <w:p>
            <w:pPr>
              <w:pStyle w:val="23"/>
              <w:spacing w:before="1" w:line="290" w:lineRule="exact"/>
              <w:ind w:firstLine="480" w:firstLineChars="200"/>
              <w:jc w:val="both"/>
              <w:rPr>
                <w:rFonts w:ascii="仿宋"/>
                <w:sz w:val="24"/>
              </w:rPr>
            </w:pPr>
            <w:r>
              <w:rPr>
                <w:rFonts w:hint="eastAsia" w:ascii="仿宋"/>
                <w:sz w:val="24"/>
                <w:lang w:val="en-US"/>
              </w:rPr>
              <w:t>9</w:t>
            </w:r>
          </w:p>
        </w:tc>
        <w:tc>
          <w:tcPr>
            <w:tcW w:w="8003" w:type="dxa"/>
            <w:tcBorders>
              <w:top w:val="single" w:color="000000" w:sz="6" w:space="0"/>
              <w:left w:val="single" w:color="000000" w:sz="6" w:space="0"/>
              <w:bottom w:val="single" w:color="000000" w:sz="6" w:space="0"/>
            </w:tcBorders>
          </w:tcPr>
          <w:p>
            <w:pPr>
              <w:pStyle w:val="23"/>
              <w:spacing w:before="1" w:line="290" w:lineRule="exact"/>
              <w:ind w:left="35"/>
              <w:rPr>
                <w:rFonts w:ascii="仿宋" w:eastAsia="仿宋"/>
                <w:sz w:val="24"/>
              </w:rPr>
            </w:pPr>
            <w:r>
              <w:rPr>
                <w:rFonts w:hint="eastAsia" w:ascii="仿宋" w:eastAsia="仿宋"/>
                <w:sz w:val="24"/>
              </w:rPr>
              <w:t>投标有效期：60 日历日</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585" w:hRule="atLeast"/>
        </w:trPr>
        <w:tc>
          <w:tcPr>
            <w:tcW w:w="1717" w:type="dxa"/>
            <w:tcBorders>
              <w:top w:val="single" w:color="000000" w:sz="6" w:space="0"/>
              <w:bottom w:val="single" w:color="000000" w:sz="6" w:space="0"/>
              <w:right w:val="single" w:color="000000" w:sz="6" w:space="0"/>
            </w:tcBorders>
            <w:vAlign w:val="center"/>
          </w:tcPr>
          <w:p>
            <w:pPr>
              <w:pStyle w:val="23"/>
              <w:ind w:firstLine="480" w:firstLineChars="200"/>
              <w:jc w:val="both"/>
              <w:rPr>
                <w:rFonts w:ascii="仿宋"/>
                <w:sz w:val="24"/>
              </w:rPr>
            </w:pPr>
            <w:r>
              <w:rPr>
                <w:rFonts w:ascii="仿宋"/>
                <w:sz w:val="24"/>
              </w:rPr>
              <w:t>1</w:t>
            </w:r>
            <w:r>
              <w:rPr>
                <w:rFonts w:hint="eastAsia" w:ascii="仿宋"/>
                <w:sz w:val="24"/>
                <w:lang w:val="en-US"/>
              </w:rPr>
              <w:t>0</w:t>
            </w:r>
          </w:p>
        </w:tc>
        <w:tc>
          <w:tcPr>
            <w:tcW w:w="8003" w:type="dxa"/>
            <w:tcBorders>
              <w:top w:val="single" w:color="000000" w:sz="6" w:space="0"/>
              <w:left w:val="single" w:color="000000" w:sz="6" w:space="0"/>
              <w:bottom w:val="single" w:color="000000" w:sz="6" w:space="0"/>
            </w:tcBorders>
          </w:tcPr>
          <w:p>
            <w:pPr>
              <w:pStyle w:val="23"/>
              <w:spacing w:before="5" w:line="250" w:lineRule="exact"/>
              <w:ind w:left="35"/>
              <w:rPr>
                <w:b/>
                <w:sz w:val="21"/>
              </w:rPr>
            </w:pPr>
            <w:r>
              <w:rPr>
                <w:rFonts w:hint="eastAsia"/>
                <w:b/>
                <w:sz w:val="21"/>
              </w:rPr>
              <w:t>本项目实行全流程电子化“不见面”网上开标，请各潜在投标人自行下载学习（新疆政府采购网下载专区）注：投标截止时间前按要求在政采云上传电子版投标文件。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trPr>
        <w:tc>
          <w:tcPr>
            <w:tcW w:w="1717" w:type="dxa"/>
            <w:tcBorders>
              <w:top w:val="single" w:color="000000" w:sz="6" w:space="0"/>
              <w:bottom w:val="single" w:color="000000" w:sz="6" w:space="0"/>
              <w:right w:val="single" w:color="000000" w:sz="6" w:space="0"/>
            </w:tcBorders>
            <w:vAlign w:val="center"/>
          </w:tcPr>
          <w:p>
            <w:pPr>
              <w:pStyle w:val="23"/>
              <w:spacing w:before="13" w:line="303" w:lineRule="exact"/>
              <w:ind w:firstLine="480" w:firstLineChars="200"/>
              <w:jc w:val="both"/>
              <w:rPr>
                <w:rFonts w:ascii="仿宋"/>
                <w:sz w:val="24"/>
                <w:lang w:val="en-US"/>
              </w:rPr>
            </w:pPr>
            <w:r>
              <w:rPr>
                <w:rFonts w:hint="eastAsia" w:ascii="仿宋"/>
                <w:sz w:val="24"/>
                <w:lang w:val="en-US"/>
              </w:rPr>
              <w:t>11</w:t>
            </w:r>
          </w:p>
        </w:tc>
        <w:tc>
          <w:tcPr>
            <w:tcW w:w="8003" w:type="dxa"/>
            <w:tcBorders>
              <w:top w:val="single" w:color="000000" w:sz="6" w:space="0"/>
              <w:left w:val="single" w:color="000000" w:sz="6" w:space="0"/>
              <w:bottom w:val="single" w:color="000000" w:sz="6" w:space="0"/>
            </w:tcBorders>
          </w:tcPr>
          <w:p>
            <w:pPr>
              <w:pStyle w:val="23"/>
              <w:spacing w:before="13" w:line="303" w:lineRule="exact"/>
              <w:ind w:left="35"/>
              <w:rPr>
                <w:rFonts w:ascii="仿宋" w:eastAsia="仿宋"/>
                <w:sz w:val="24"/>
              </w:rPr>
            </w:pPr>
            <w:r>
              <w:rPr>
                <w:rFonts w:hint="eastAsia" w:ascii="仿宋" w:eastAsia="仿宋"/>
                <w:sz w:val="24"/>
              </w:rPr>
              <w:t>投标截止时间：</w:t>
            </w:r>
            <w:r>
              <w:rPr>
                <w:rFonts w:hint="eastAsia" w:ascii="仿宋" w:eastAsia="仿宋"/>
                <w:sz w:val="24"/>
                <w:highlight w:val="none"/>
              </w:rPr>
              <w:t>202</w:t>
            </w:r>
            <w:r>
              <w:rPr>
                <w:rFonts w:hint="eastAsia" w:ascii="仿宋" w:eastAsia="仿宋"/>
                <w:sz w:val="24"/>
                <w:highlight w:val="none"/>
                <w:lang w:val="en-US"/>
              </w:rPr>
              <w:t>2</w:t>
            </w:r>
            <w:r>
              <w:rPr>
                <w:rFonts w:hint="eastAsia" w:ascii="仿宋" w:eastAsia="仿宋"/>
                <w:sz w:val="24"/>
                <w:highlight w:val="none"/>
              </w:rPr>
              <w:t>年</w:t>
            </w:r>
            <w:r>
              <w:rPr>
                <w:rFonts w:hint="eastAsia" w:ascii="仿宋" w:eastAsia="仿宋"/>
                <w:sz w:val="24"/>
                <w:highlight w:val="none"/>
                <w:lang w:val="en-US" w:eastAsia="zh-CN"/>
              </w:rPr>
              <w:t>7</w:t>
            </w:r>
            <w:r>
              <w:rPr>
                <w:rFonts w:hint="eastAsia" w:ascii="仿宋" w:eastAsia="仿宋"/>
                <w:sz w:val="24"/>
                <w:highlight w:val="none"/>
              </w:rPr>
              <w:t>月</w:t>
            </w:r>
            <w:r>
              <w:rPr>
                <w:rFonts w:hint="eastAsia" w:ascii="仿宋" w:eastAsia="仿宋"/>
                <w:sz w:val="24"/>
                <w:highlight w:val="none"/>
                <w:lang w:val="en-US" w:eastAsia="zh-CN"/>
              </w:rPr>
              <w:t>27</w:t>
            </w:r>
            <w:r>
              <w:rPr>
                <w:rFonts w:hint="eastAsia" w:ascii="仿宋" w:eastAsia="仿宋"/>
                <w:sz w:val="24"/>
                <w:highlight w:val="none"/>
              </w:rPr>
              <w:t>日</w:t>
            </w:r>
            <w:r>
              <w:rPr>
                <w:rFonts w:hint="eastAsia" w:ascii="仿宋" w:eastAsia="仿宋"/>
                <w:sz w:val="24"/>
                <w:highlight w:val="none"/>
                <w:lang w:val="en-US" w:eastAsia="zh-CN"/>
              </w:rPr>
              <w:t>上</w:t>
            </w:r>
            <w:r>
              <w:rPr>
                <w:rFonts w:hint="eastAsia" w:ascii="仿宋" w:eastAsia="仿宋"/>
                <w:sz w:val="24"/>
                <w:highlight w:val="none"/>
              </w:rPr>
              <w:t>午</w:t>
            </w:r>
            <w:r>
              <w:rPr>
                <w:rFonts w:hint="eastAsia" w:ascii="仿宋" w:eastAsia="仿宋"/>
                <w:sz w:val="24"/>
                <w:highlight w:val="none"/>
                <w:lang w:val="en-US"/>
              </w:rPr>
              <w:t>1</w:t>
            </w:r>
            <w:r>
              <w:rPr>
                <w:rFonts w:hint="eastAsia" w:ascii="仿宋" w:eastAsia="仿宋"/>
                <w:sz w:val="24"/>
                <w:highlight w:val="none"/>
                <w:lang w:val="en-US" w:eastAsia="zh-CN"/>
              </w:rPr>
              <w:t>1</w:t>
            </w:r>
            <w:r>
              <w:rPr>
                <w:rFonts w:hint="eastAsia" w:ascii="仿宋" w:eastAsia="仿宋"/>
                <w:sz w:val="24"/>
                <w:highlight w:val="none"/>
              </w:rPr>
              <w:t>时</w:t>
            </w:r>
            <w:r>
              <w:rPr>
                <w:rFonts w:hint="eastAsia" w:ascii="仿宋" w:eastAsia="仿宋"/>
                <w:sz w:val="24"/>
                <w:highlight w:val="none"/>
                <w:lang w:val="en-US" w:eastAsia="zh-CN"/>
              </w:rPr>
              <w:t>00分</w:t>
            </w:r>
            <w:r>
              <w:rPr>
                <w:rFonts w:hint="eastAsia" w:ascii="仿宋" w:eastAsia="仿宋"/>
                <w:sz w:val="24"/>
                <w:highlight w:val="none"/>
              </w:rPr>
              <w:t>（北京</w:t>
            </w:r>
            <w:r>
              <w:rPr>
                <w:rFonts w:hint="eastAsia" w:ascii="仿宋" w:eastAsia="仿宋"/>
                <w:sz w:val="24"/>
              </w:rPr>
              <w:t>时间）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18" w:hRule="atLeast"/>
        </w:trPr>
        <w:tc>
          <w:tcPr>
            <w:tcW w:w="1717" w:type="dxa"/>
            <w:tcBorders>
              <w:top w:val="single" w:color="000000" w:sz="6" w:space="0"/>
              <w:bottom w:val="single" w:color="000000" w:sz="6" w:space="0"/>
              <w:right w:val="single" w:color="000000" w:sz="6" w:space="0"/>
            </w:tcBorders>
            <w:vAlign w:val="center"/>
          </w:tcPr>
          <w:p>
            <w:pPr>
              <w:pStyle w:val="23"/>
              <w:spacing w:before="55"/>
              <w:ind w:left="566"/>
              <w:jc w:val="both"/>
              <w:rPr>
                <w:rFonts w:ascii="仿宋"/>
                <w:sz w:val="24"/>
                <w:lang w:val="en-US"/>
              </w:rPr>
            </w:pPr>
            <w:r>
              <w:rPr>
                <w:rFonts w:hint="eastAsia" w:ascii="仿宋"/>
                <w:sz w:val="24"/>
                <w:lang w:val="en-US"/>
              </w:rPr>
              <w:t>12</w:t>
            </w:r>
          </w:p>
        </w:tc>
        <w:tc>
          <w:tcPr>
            <w:tcW w:w="8003" w:type="dxa"/>
            <w:tcBorders>
              <w:top w:val="single" w:color="000000" w:sz="6" w:space="0"/>
              <w:left w:val="single" w:color="000000" w:sz="6" w:space="0"/>
              <w:bottom w:val="single" w:color="000000" w:sz="6" w:space="0"/>
            </w:tcBorders>
          </w:tcPr>
          <w:p>
            <w:pPr>
              <w:pStyle w:val="23"/>
              <w:spacing w:before="55"/>
              <w:ind w:left="35"/>
              <w:rPr>
                <w:rFonts w:ascii="仿宋" w:eastAsia="仿宋"/>
                <w:sz w:val="24"/>
              </w:rPr>
            </w:pPr>
            <w:r>
              <w:rPr>
                <w:rFonts w:hint="eastAsia" w:ascii="仿宋" w:eastAsia="仿宋"/>
                <w:sz w:val="24"/>
              </w:rPr>
              <w:t>接收投标文件递交地点：政采云上传电子版投标文件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45" w:hRule="atLeast"/>
        </w:trPr>
        <w:tc>
          <w:tcPr>
            <w:tcW w:w="1717" w:type="dxa"/>
            <w:tcBorders>
              <w:top w:val="single" w:color="000000" w:sz="6" w:space="0"/>
              <w:bottom w:val="single" w:color="000000" w:sz="6" w:space="0"/>
              <w:right w:val="single" w:color="000000" w:sz="6" w:space="0"/>
            </w:tcBorders>
            <w:vAlign w:val="center"/>
          </w:tcPr>
          <w:p>
            <w:pPr>
              <w:pStyle w:val="23"/>
              <w:spacing w:before="67"/>
              <w:ind w:left="566"/>
              <w:jc w:val="both"/>
              <w:rPr>
                <w:rFonts w:ascii="仿宋"/>
                <w:sz w:val="24"/>
                <w:lang w:val="en-US"/>
              </w:rPr>
            </w:pPr>
            <w:r>
              <w:rPr>
                <w:rFonts w:hint="eastAsia" w:ascii="仿宋"/>
                <w:sz w:val="24"/>
                <w:lang w:val="en-US"/>
              </w:rPr>
              <w:t>13</w:t>
            </w:r>
          </w:p>
        </w:tc>
        <w:tc>
          <w:tcPr>
            <w:tcW w:w="8003" w:type="dxa"/>
            <w:tcBorders>
              <w:top w:val="single" w:color="000000" w:sz="6" w:space="0"/>
              <w:left w:val="single" w:color="000000" w:sz="6" w:space="0"/>
              <w:bottom w:val="single" w:color="000000" w:sz="6" w:space="0"/>
            </w:tcBorders>
          </w:tcPr>
          <w:p>
            <w:pPr>
              <w:pStyle w:val="23"/>
              <w:spacing w:before="67"/>
              <w:ind w:left="35"/>
              <w:rPr>
                <w:rFonts w:ascii="仿宋" w:eastAsia="仿宋"/>
                <w:sz w:val="24"/>
              </w:rPr>
            </w:pPr>
            <w:r>
              <w:rPr>
                <w:rFonts w:hint="eastAsia" w:ascii="仿宋" w:eastAsia="仿宋"/>
                <w:sz w:val="24"/>
              </w:rPr>
              <w:t>服务周期：一年。</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660" w:hRule="atLeast"/>
        </w:trPr>
        <w:tc>
          <w:tcPr>
            <w:tcW w:w="1717" w:type="dxa"/>
            <w:tcBorders>
              <w:top w:val="single" w:color="000000" w:sz="6" w:space="0"/>
              <w:bottom w:val="single" w:color="000000" w:sz="6" w:space="0"/>
              <w:right w:val="single" w:color="000000" w:sz="6" w:space="0"/>
            </w:tcBorders>
            <w:vAlign w:val="center"/>
          </w:tcPr>
          <w:p>
            <w:pPr>
              <w:pStyle w:val="23"/>
              <w:spacing w:before="176"/>
              <w:ind w:left="566"/>
              <w:jc w:val="both"/>
              <w:rPr>
                <w:rFonts w:ascii="仿宋"/>
                <w:sz w:val="24"/>
                <w:lang w:val="en-US"/>
              </w:rPr>
            </w:pPr>
            <w:r>
              <w:rPr>
                <w:rFonts w:hint="eastAsia" w:ascii="仿宋"/>
                <w:sz w:val="24"/>
                <w:lang w:val="en-US"/>
              </w:rPr>
              <w:t>14</w:t>
            </w:r>
          </w:p>
        </w:tc>
        <w:tc>
          <w:tcPr>
            <w:tcW w:w="8003" w:type="dxa"/>
            <w:tcBorders>
              <w:top w:val="single" w:color="000000" w:sz="6" w:space="0"/>
              <w:left w:val="single" w:color="000000" w:sz="6" w:space="0"/>
              <w:bottom w:val="single" w:color="000000" w:sz="6" w:space="0"/>
            </w:tcBorders>
          </w:tcPr>
          <w:p>
            <w:pPr>
              <w:pStyle w:val="23"/>
              <w:tabs>
                <w:tab w:val="left" w:pos="2194"/>
              </w:tabs>
              <w:spacing w:before="18" w:line="310" w:lineRule="atLeast"/>
              <w:ind w:left="35" w:right="1"/>
              <w:rPr>
                <w:rFonts w:ascii="仿宋" w:eastAsia="仿宋"/>
                <w:sz w:val="24"/>
              </w:rPr>
            </w:pPr>
            <w:r>
              <w:rPr>
                <w:rFonts w:hint="eastAsia" w:ascii="仿宋" w:eastAsia="仿宋"/>
                <w:sz w:val="24"/>
              </w:rPr>
              <w:t>评审方法：</w:t>
            </w:r>
            <w:r>
              <w:rPr>
                <w:rFonts w:hint="eastAsia" w:ascii="仿宋" w:eastAsia="仿宋"/>
                <w:sz w:val="24"/>
                <w:u w:val="single"/>
              </w:rPr>
              <w:t>根据质量和服务均能满足招标文件实质性响应要求且</w:t>
            </w:r>
            <w:r>
              <w:rPr>
                <w:rFonts w:hint="eastAsia" w:ascii="仿宋" w:eastAsia="仿宋"/>
                <w:sz w:val="24"/>
                <w:u w:val="single"/>
                <w:lang w:val="en-US"/>
              </w:rPr>
              <w:t>综合得分最高</w:t>
            </w:r>
            <w:r>
              <w:rPr>
                <w:rFonts w:hint="eastAsia" w:ascii="仿宋" w:eastAsia="仿宋"/>
                <w:spacing w:val="-16"/>
                <w:sz w:val="24"/>
                <w:u w:val="single"/>
              </w:rPr>
              <w:t>的</w:t>
            </w:r>
            <w:r>
              <w:rPr>
                <w:rFonts w:hint="eastAsia" w:ascii="仿宋" w:eastAsia="仿宋"/>
                <w:spacing w:val="-16"/>
                <w:sz w:val="24"/>
                <w:u w:val="single"/>
                <w:lang w:val="en-US"/>
              </w:rPr>
              <w:t>原则</w:t>
            </w:r>
            <w:r>
              <w:rPr>
                <w:rFonts w:hint="eastAsia" w:ascii="仿宋" w:eastAsia="仿宋"/>
                <w:sz w:val="24"/>
                <w:u w:val="single"/>
              </w:rPr>
              <w:t>确定中标人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0" w:hRule="atLeast"/>
        </w:trPr>
        <w:tc>
          <w:tcPr>
            <w:tcW w:w="1717" w:type="dxa"/>
            <w:tcBorders>
              <w:top w:val="single" w:color="000000" w:sz="6" w:space="0"/>
              <w:bottom w:val="single" w:color="000000" w:sz="6" w:space="0"/>
              <w:right w:val="single" w:color="000000" w:sz="6" w:space="0"/>
            </w:tcBorders>
            <w:vAlign w:val="center"/>
          </w:tcPr>
          <w:p>
            <w:pPr>
              <w:pStyle w:val="23"/>
              <w:spacing w:before="15" w:line="302" w:lineRule="exact"/>
              <w:ind w:left="566"/>
              <w:jc w:val="both"/>
              <w:rPr>
                <w:rFonts w:ascii="仿宋"/>
                <w:sz w:val="24"/>
                <w:lang w:val="en-US"/>
              </w:rPr>
            </w:pPr>
            <w:r>
              <w:rPr>
                <w:rFonts w:hint="eastAsia" w:ascii="仿宋"/>
                <w:sz w:val="24"/>
                <w:lang w:val="en-US"/>
              </w:rPr>
              <w:t>15</w:t>
            </w:r>
          </w:p>
        </w:tc>
        <w:tc>
          <w:tcPr>
            <w:tcW w:w="8003" w:type="dxa"/>
            <w:tcBorders>
              <w:top w:val="single" w:color="000000" w:sz="6" w:space="0"/>
              <w:left w:val="single" w:color="000000" w:sz="6" w:space="0"/>
              <w:bottom w:val="single" w:color="000000" w:sz="6" w:space="0"/>
            </w:tcBorders>
          </w:tcPr>
          <w:p>
            <w:pPr>
              <w:pStyle w:val="23"/>
              <w:spacing w:before="15" w:line="302" w:lineRule="exact"/>
              <w:ind w:left="35"/>
              <w:rPr>
                <w:rFonts w:ascii="仿宋" w:eastAsia="仿宋"/>
                <w:sz w:val="24"/>
              </w:rPr>
            </w:pPr>
            <w:r>
              <w:rPr>
                <w:rFonts w:hint="eastAsia" w:ascii="仿宋" w:eastAsia="仿宋"/>
                <w:sz w:val="24"/>
              </w:rPr>
              <w:t>推荐中标候选人的数量：</w:t>
            </w:r>
            <w:r>
              <w:rPr>
                <w:rFonts w:hint="eastAsia" w:ascii="仿宋" w:eastAsia="仿宋"/>
                <w:sz w:val="24"/>
                <w:u w:val="single"/>
              </w:rPr>
              <w:t>3 家</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6" w:hRule="atLeast"/>
        </w:trPr>
        <w:tc>
          <w:tcPr>
            <w:tcW w:w="1717" w:type="dxa"/>
            <w:tcBorders>
              <w:top w:val="single" w:color="000000" w:sz="6" w:space="0"/>
              <w:bottom w:val="single" w:color="000000" w:sz="6" w:space="0"/>
              <w:right w:val="single" w:color="000000" w:sz="6" w:space="0"/>
            </w:tcBorders>
            <w:vAlign w:val="center"/>
          </w:tcPr>
          <w:p>
            <w:pPr>
              <w:pStyle w:val="23"/>
              <w:spacing w:before="13" w:line="304" w:lineRule="exact"/>
              <w:ind w:left="566"/>
              <w:jc w:val="both"/>
              <w:rPr>
                <w:rFonts w:ascii="仿宋"/>
                <w:sz w:val="24"/>
              </w:rPr>
            </w:pPr>
            <w:r>
              <w:rPr>
                <w:rFonts w:ascii="仿宋"/>
                <w:sz w:val="24"/>
              </w:rPr>
              <w:t>1</w:t>
            </w:r>
            <w:r>
              <w:rPr>
                <w:rFonts w:hint="eastAsia" w:ascii="仿宋"/>
                <w:sz w:val="24"/>
                <w:lang w:val="en-US"/>
              </w:rPr>
              <w:t>6</w:t>
            </w:r>
          </w:p>
        </w:tc>
        <w:tc>
          <w:tcPr>
            <w:tcW w:w="8003" w:type="dxa"/>
            <w:tcBorders>
              <w:top w:val="single" w:color="000000" w:sz="6" w:space="0"/>
              <w:left w:val="single" w:color="000000" w:sz="6" w:space="0"/>
              <w:bottom w:val="single" w:color="000000" w:sz="6" w:space="0"/>
            </w:tcBorders>
          </w:tcPr>
          <w:p>
            <w:pPr>
              <w:pStyle w:val="23"/>
              <w:spacing w:before="15" w:line="302" w:lineRule="exact"/>
              <w:ind w:left="35"/>
              <w:rPr>
                <w:rFonts w:ascii="仿宋" w:eastAsia="仿宋"/>
                <w:sz w:val="24"/>
              </w:rPr>
            </w:pPr>
            <w:r>
              <w:rPr>
                <w:rFonts w:hint="eastAsia" w:ascii="仿宋" w:eastAsia="仿宋"/>
                <w:sz w:val="24"/>
              </w:rPr>
              <w:t>招标人是否委托评标委员会直接确定中标人：否 （是、否）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996" w:hRule="atLeast"/>
        </w:trPr>
        <w:tc>
          <w:tcPr>
            <w:tcW w:w="1717" w:type="dxa"/>
            <w:tcBorders>
              <w:top w:val="single" w:color="000000" w:sz="6" w:space="0"/>
              <w:bottom w:val="single" w:color="000000" w:sz="6" w:space="0"/>
              <w:right w:val="single" w:color="000000" w:sz="6" w:space="0"/>
            </w:tcBorders>
            <w:vAlign w:val="center"/>
          </w:tcPr>
          <w:p>
            <w:pPr>
              <w:pStyle w:val="23"/>
              <w:jc w:val="both"/>
              <w:rPr>
                <w:b/>
                <w:sz w:val="24"/>
              </w:rPr>
            </w:pPr>
          </w:p>
          <w:p>
            <w:pPr>
              <w:pStyle w:val="23"/>
              <w:jc w:val="both"/>
              <w:rPr>
                <w:b/>
                <w:sz w:val="24"/>
              </w:rPr>
            </w:pPr>
          </w:p>
          <w:p>
            <w:pPr>
              <w:pStyle w:val="23"/>
              <w:jc w:val="both"/>
              <w:rPr>
                <w:b/>
                <w:sz w:val="24"/>
              </w:rPr>
            </w:pPr>
          </w:p>
          <w:p>
            <w:pPr>
              <w:pStyle w:val="23"/>
              <w:spacing w:before="11"/>
              <w:jc w:val="both"/>
              <w:rPr>
                <w:b/>
                <w:sz w:val="32"/>
              </w:rPr>
            </w:pPr>
          </w:p>
          <w:p>
            <w:pPr>
              <w:pStyle w:val="23"/>
              <w:ind w:left="566"/>
              <w:jc w:val="both"/>
              <w:rPr>
                <w:rFonts w:ascii="仿宋"/>
                <w:sz w:val="24"/>
              </w:rPr>
            </w:pPr>
            <w:r>
              <w:rPr>
                <w:rFonts w:ascii="仿宋"/>
                <w:sz w:val="24"/>
              </w:rPr>
              <w:t>1</w:t>
            </w:r>
            <w:r>
              <w:rPr>
                <w:rFonts w:hint="eastAsia" w:ascii="仿宋"/>
                <w:sz w:val="24"/>
                <w:lang w:val="en-US"/>
              </w:rPr>
              <w:t>7</w:t>
            </w:r>
          </w:p>
        </w:tc>
        <w:tc>
          <w:tcPr>
            <w:tcW w:w="8003" w:type="dxa"/>
            <w:tcBorders>
              <w:top w:val="single" w:color="000000" w:sz="6" w:space="0"/>
              <w:left w:val="single" w:color="000000" w:sz="6" w:space="0"/>
              <w:bottom w:val="single" w:color="000000" w:sz="6" w:space="0"/>
            </w:tcBorders>
          </w:tcPr>
          <w:p>
            <w:pPr>
              <w:pStyle w:val="23"/>
              <w:spacing w:before="15" w:line="302" w:lineRule="exact"/>
              <w:ind w:left="35"/>
              <w:rPr>
                <w:rFonts w:ascii="仿宋" w:eastAsia="仿宋"/>
                <w:sz w:val="24"/>
              </w:rPr>
            </w:pPr>
            <w:r>
              <w:rPr>
                <w:rFonts w:hint="eastAsia" w:ascii="仿宋" w:eastAsia="仿宋"/>
                <w:sz w:val="24"/>
              </w:rPr>
              <w:t xml:space="preserve">履约保证金金额：合同总价的 5%（不得超过政府采购合同金额的 10%） </w:t>
            </w:r>
          </w:p>
          <w:p>
            <w:pPr>
              <w:pStyle w:val="23"/>
              <w:spacing w:before="15" w:line="302" w:lineRule="exact"/>
              <w:ind w:left="35"/>
              <w:rPr>
                <w:rFonts w:ascii="仿宋" w:eastAsia="仿宋"/>
                <w:sz w:val="24"/>
              </w:rPr>
            </w:pPr>
            <w:r>
              <w:rPr>
                <w:rFonts w:hint="eastAsia" w:ascii="仿宋" w:eastAsia="仿宋"/>
                <w:sz w:val="24"/>
              </w:rPr>
              <w:t>履约保证金形式：电汇、网银</w:t>
            </w:r>
          </w:p>
          <w:p>
            <w:pPr>
              <w:pStyle w:val="23"/>
              <w:spacing w:before="15" w:line="302" w:lineRule="exact"/>
              <w:ind w:left="35"/>
              <w:rPr>
                <w:rFonts w:ascii="仿宋" w:eastAsia="仿宋"/>
                <w:sz w:val="24"/>
              </w:rPr>
            </w:pPr>
            <w:r>
              <w:rPr>
                <w:rFonts w:hint="eastAsia" w:ascii="仿宋" w:eastAsia="仿宋"/>
                <w:sz w:val="24"/>
              </w:rPr>
              <w:t>提交履约保证金的时间：领取成交通知书</w:t>
            </w:r>
            <w:r>
              <w:rPr>
                <w:rFonts w:hint="eastAsia" w:ascii="仿宋" w:eastAsia="仿宋"/>
                <w:sz w:val="24"/>
                <w:lang w:val="en-US"/>
              </w:rPr>
              <w:t xml:space="preserve"> </w:t>
            </w:r>
            <w:r>
              <w:rPr>
                <w:rFonts w:hint="eastAsia" w:ascii="仿宋" w:eastAsia="仿宋"/>
                <w:sz w:val="24"/>
              </w:rPr>
              <w:t>5 日内（日历日）</w:t>
            </w:r>
          </w:p>
          <w:p>
            <w:pPr>
              <w:pStyle w:val="23"/>
              <w:spacing w:before="15" w:line="302" w:lineRule="exact"/>
              <w:ind w:left="35"/>
              <w:rPr>
                <w:rFonts w:ascii="仿宋" w:eastAsia="仿宋"/>
                <w:sz w:val="24"/>
              </w:rPr>
            </w:pPr>
            <w:r>
              <w:rPr>
                <w:rFonts w:hint="eastAsia" w:ascii="仿宋" w:eastAsia="仿宋"/>
                <w:sz w:val="24"/>
              </w:rPr>
              <w:t>提交履约保证金后 2 个工作日内双方签订合同履约保证金：</w:t>
            </w:r>
          </w:p>
          <w:p>
            <w:pPr>
              <w:spacing w:line="240" w:lineRule="atLeast"/>
              <w:rPr>
                <w:sz w:val="24"/>
                <w:lang w:val="en-US"/>
              </w:rPr>
            </w:pPr>
            <w:r>
              <w:rPr>
                <w:rFonts w:hint="eastAsia"/>
                <w:sz w:val="24"/>
                <w:lang w:val="en-US"/>
              </w:rPr>
              <w:t>单位名称：喀什经济开发区空港产业物流区管理服务中心</w:t>
            </w:r>
          </w:p>
          <w:p>
            <w:pPr>
              <w:spacing w:line="240" w:lineRule="atLeast"/>
              <w:rPr>
                <w:sz w:val="24"/>
                <w:lang w:val="en-US"/>
              </w:rPr>
            </w:pPr>
            <w:r>
              <w:rPr>
                <w:rFonts w:hint="eastAsia"/>
                <w:sz w:val="24"/>
                <w:lang w:val="en-US"/>
              </w:rPr>
              <w:t>开户行：中国银行股份有限公司喀什经济开发区支行</w:t>
            </w:r>
          </w:p>
          <w:p>
            <w:pPr>
              <w:spacing w:line="240" w:lineRule="atLeast"/>
              <w:rPr>
                <w:sz w:val="24"/>
                <w:lang w:val="en-US"/>
              </w:rPr>
            </w:pPr>
            <w:r>
              <w:rPr>
                <w:rFonts w:hint="eastAsia"/>
                <w:sz w:val="24"/>
                <w:lang w:val="en-US"/>
              </w:rPr>
              <w:t>统一社会信用代码：12653100MB1C391195</w:t>
            </w:r>
          </w:p>
          <w:p>
            <w:pPr>
              <w:spacing w:line="240" w:lineRule="atLeast"/>
              <w:rPr>
                <w:rFonts w:hint="eastAsia" w:eastAsia="仿宋"/>
                <w:sz w:val="24"/>
                <w:lang w:val="en-US" w:eastAsia="zh-CN"/>
              </w:rPr>
            </w:pPr>
            <w:r>
              <w:rPr>
                <w:rFonts w:hint="eastAsia"/>
                <w:sz w:val="24"/>
                <w:lang w:val="en-US"/>
              </w:rPr>
              <w:t>电话：</w:t>
            </w:r>
            <w:r>
              <w:rPr>
                <w:rFonts w:hint="eastAsia"/>
                <w:sz w:val="24"/>
                <w:lang w:val="en-US" w:eastAsia="zh-CN"/>
              </w:rPr>
              <w:t>0998-2970125</w:t>
            </w:r>
          </w:p>
          <w:p>
            <w:pPr>
              <w:spacing w:line="240" w:lineRule="atLeast"/>
              <w:rPr>
                <w:sz w:val="24"/>
                <w:lang w:val="en-US"/>
              </w:rPr>
            </w:pPr>
            <w:r>
              <w:rPr>
                <w:rFonts w:hint="eastAsia"/>
                <w:sz w:val="24"/>
                <w:lang w:val="en-US"/>
              </w:rPr>
              <w:t>地址：喀什经济开发区机电科技产业园二楼216室</w:t>
            </w:r>
          </w:p>
          <w:p>
            <w:pPr>
              <w:pStyle w:val="23"/>
              <w:spacing w:before="15" w:line="302" w:lineRule="exact"/>
              <w:ind w:left="35"/>
              <w:rPr>
                <w:rFonts w:ascii="仿宋" w:eastAsia="仿宋"/>
                <w:sz w:val="24"/>
              </w:rPr>
            </w:pPr>
            <w:r>
              <w:rPr>
                <w:rFonts w:hint="eastAsia" w:ascii="仿宋" w:hAnsi="仿宋" w:eastAsia="仿宋" w:cs="仿宋"/>
                <w:sz w:val="24"/>
                <w:lang w:val="en-US"/>
              </w:rPr>
              <w:t>账号：107679020312</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2176" w:hRule="atLeast"/>
        </w:trPr>
        <w:tc>
          <w:tcPr>
            <w:tcW w:w="1717" w:type="dxa"/>
            <w:tcBorders>
              <w:top w:val="single" w:color="000000" w:sz="6" w:space="0"/>
              <w:right w:val="single" w:color="000000" w:sz="6" w:space="0"/>
            </w:tcBorders>
          </w:tcPr>
          <w:p>
            <w:pPr>
              <w:pStyle w:val="23"/>
              <w:rPr>
                <w:b/>
                <w:sz w:val="24"/>
              </w:rPr>
            </w:pPr>
          </w:p>
          <w:p>
            <w:pPr>
              <w:pStyle w:val="23"/>
              <w:rPr>
                <w:b/>
                <w:sz w:val="24"/>
              </w:rPr>
            </w:pPr>
          </w:p>
          <w:p>
            <w:pPr>
              <w:pStyle w:val="23"/>
              <w:spacing w:before="11"/>
              <w:rPr>
                <w:b/>
                <w:sz w:val="24"/>
              </w:rPr>
            </w:pPr>
          </w:p>
          <w:p>
            <w:pPr>
              <w:pStyle w:val="23"/>
              <w:spacing w:before="1"/>
              <w:ind w:left="566"/>
              <w:rPr>
                <w:rFonts w:ascii="仿宋"/>
                <w:sz w:val="24"/>
              </w:rPr>
            </w:pPr>
            <w:r>
              <w:rPr>
                <w:rFonts w:ascii="仿宋"/>
                <w:sz w:val="24"/>
              </w:rPr>
              <w:t>1</w:t>
            </w:r>
            <w:r>
              <w:rPr>
                <w:rFonts w:hint="eastAsia" w:ascii="仿宋"/>
                <w:sz w:val="24"/>
                <w:lang w:val="en-US"/>
              </w:rPr>
              <w:t>8</w:t>
            </w:r>
          </w:p>
        </w:tc>
        <w:tc>
          <w:tcPr>
            <w:tcW w:w="8003" w:type="dxa"/>
            <w:tcBorders>
              <w:top w:val="single" w:color="000000" w:sz="6" w:space="0"/>
              <w:left w:val="single" w:color="000000" w:sz="6" w:space="0"/>
            </w:tcBorders>
          </w:tcPr>
          <w:p>
            <w:pPr>
              <w:spacing w:line="240" w:lineRule="atLeast"/>
              <w:rPr>
                <w:sz w:val="24"/>
              </w:rPr>
            </w:pPr>
            <w:r>
              <w:rPr>
                <w:rFonts w:hint="eastAsia"/>
                <w:sz w:val="24"/>
              </w:rPr>
              <w:t>中标服务费：</w:t>
            </w:r>
            <w:r>
              <w:rPr>
                <w:rFonts w:ascii="Wingdings" w:hAnsi="Wingdings" w:eastAsia="Wingdings"/>
                <w:sz w:val="24"/>
              </w:rPr>
              <w:t></w:t>
            </w:r>
            <w:r>
              <w:rPr>
                <w:rFonts w:hint="eastAsia"/>
                <w:sz w:val="24"/>
                <w:lang w:val="en-US"/>
              </w:rPr>
              <w:t>招标代理服务费的计算执行“《国家发展改革委关于进一步放开建设项目专业服务价格的通知》【2015】299号文件”、</w:t>
            </w:r>
            <w:r>
              <w:rPr>
                <w:rFonts w:hint="eastAsia"/>
                <w:color w:val="000000"/>
                <w:sz w:val="24"/>
                <w:lang w:val="en-US"/>
              </w:rPr>
              <w:t>“国家发展改革委办公厅关于招标代理服务收费有关问题的通知（发改价格【2011】534号）文件”及计价格【2002】1980号的规定。</w:t>
            </w:r>
          </w:p>
          <w:p>
            <w:pPr>
              <w:pStyle w:val="23"/>
              <w:tabs>
                <w:tab w:val="left" w:pos="1674"/>
              </w:tabs>
              <w:spacing w:before="4"/>
              <w:ind w:left="35"/>
              <w:rPr>
                <w:rFonts w:ascii="仿宋" w:hAnsi="仿宋" w:eastAsia="仿宋"/>
                <w:sz w:val="24"/>
              </w:rPr>
            </w:pPr>
            <w:r>
              <w:rPr>
                <w:rFonts w:hint="eastAsia" w:ascii="MS UI Gothic" w:hAnsi="MS UI Gothic"/>
                <w:sz w:val="24"/>
              </w:rPr>
              <w:sym w:font="Wingdings 2" w:char="0052"/>
            </w:r>
            <w:r>
              <w:rPr>
                <w:rFonts w:hint="eastAsia" w:ascii="仿宋" w:hAnsi="仿宋" w:eastAsia="仿宋"/>
                <w:sz w:val="24"/>
              </w:rPr>
              <w:t>由中标人支付</w:t>
            </w:r>
          </w:p>
          <w:p>
            <w:pPr>
              <w:pStyle w:val="23"/>
              <w:spacing w:before="2" w:line="310" w:lineRule="atLeast"/>
              <w:ind w:left="35" w:right="4103"/>
              <w:rPr>
                <w:rFonts w:ascii="仿宋" w:eastAsia="仿宋"/>
                <w:sz w:val="24"/>
              </w:rPr>
            </w:pPr>
            <w:r>
              <w:rPr>
                <w:rFonts w:hint="eastAsia" w:ascii="仿宋" w:eastAsia="仿宋"/>
                <w:sz w:val="24"/>
              </w:rPr>
              <w:t>支付形式：</w:t>
            </w:r>
            <w:r>
              <w:rPr>
                <w:rFonts w:hint="eastAsia" w:ascii="仿宋" w:eastAsia="仿宋"/>
                <w:sz w:val="24"/>
                <w:u w:val="single"/>
              </w:rPr>
              <w:t>电汇、网银、现金</w:t>
            </w:r>
            <w:r>
              <w:rPr>
                <w:rFonts w:hint="eastAsia" w:ascii="仿宋" w:eastAsia="仿宋"/>
                <w:sz w:val="24"/>
              </w:rPr>
              <w:t>支付</w:t>
            </w:r>
          </w:p>
          <w:p>
            <w:pPr>
              <w:pStyle w:val="23"/>
              <w:spacing w:before="2" w:line="310" w:lineRule="atLeast"/>
              <w:ind w:left="35" w:right="4103"/>
              <w:rPr>
                <w:rFonts w:ascii="仿宋" w:eastAsia="仿宋"/>
                <w:sz w:val="24"/>
              </w:rPr>
            </w:pPr>
            <w:r>
              <w:rPr>
                <w:rFonts w:hint="eastAsia" w:ascii="仿宋" w:eastAsia="仿宋"/>
                <w:sz w:val="24"/>
              </w:rPr>
              <w:t>时间：</w:t>
            </w:r>
            <w:r>
              <w:rPr>
                <w:rFonts w:hint="eastAsia" w:ascii="仿宋" w:eastAsia="仿宋"/>
                <w:sz w:val="24"/>
                <w:u w:val="single"/>
              </w:rPr>
              <w:t>领取成交通知书时</w:t>
            </w:r>
          </w:p>
        </w:tc>
      </w:tr>
    </w:tbl>
    <w:p>
      <w:pPr>
        <w:spacing w:line="310" w:lineRule="atLeast"/>
        <w:rPr>
          <w:sz w:val="24"/>
        </w:rPr>
        <w:sectPr>
          <w:pgSz w:w="11910" w:h="16840"/>
          <w:pgMar w:top="1040" w:right="800" w:bottom="1340" w:left="740" w:header="0" w:footer="1153" w:gutter="0"/>
          <w:cols w:space="720" w:num="1"/>
        </w:sectPr>
      </w:pPr>
    </w:p>
    <w:tbl>
      <w:tblPr>
        <w:tblStyle w:val="19"/>
        <w:tblW w:w="0" w:type="auto"/>
        <w:tblInd w:w="35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717"/>
        <w:gridCol w:w="8003"/>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37" w:hRule="atLeast"/>
        </w:trPr>
        <w:tc>
          <w:tcPr>
            <w:tcW w:w="1717" w:type="dxa"/>
            <w:tcBorders>
              <w:bottom w:val="single" w:color="000000" w:sz="6" w:space="0"/>
              <w:right w:val="single" w:color="000000" w:sz="6" w:space="0"/>
            </w:tcBorders>
          </w:tcPr>
          <w:p>
            <w:pPr>
              <w:pStyle w:val="23"/>
              <w:spacing w:before="15" w:line="302" w:lineRule="exact"/>
              <w:ind w:left="566"/>
              <w:rPr>
                <w:rFonts w:ascii="仿宋"/>
                <w:sz w:val="24"/>
                <w:lang w:val="en-US"/>
              </w:rPr>
            </w:pPr>
            <w:r>
              <w:rPr>
                <w:rFonts w:hint="eastAsia" w:ascii="仿宋"/>
                <w:sz w:val="24"/>
                <w:lang w:val="en-US"/>
              </w:rPr>
              <w:t>19</w:t>
            </w:r>
          </w:p>
        </w:tc>
        <w:tc>
          <w:tcPr>
            <w:tcW w:w="8003" w:type="dxa"/>
            <w:tcBorders>
              <w:left w:val="single" w:color="000000" w:sz="6" w:space="0"/>
              <w:bottom w:val="single" w:color="000000" w:sz="6" w:space="0"/>
            </w:tcBorders>
          </w:tcPr>
          <w:p>
            <w:pPr>
              <w:pStyle w:val="23"/>
              <w:spacing w:before="15" w:line="302" w:lineRule="exact"/>
              <w:ind w:left="35"/>
              <w:rPr>
                <w:rFonts w:ascii="仿宋" w:eastAsia="仿宋"/>
                <w:sz w:val="24"/>
              </w:rPr>
            </w:pPr>
            <w:r>
              <w:rPr>
                <w:rFonts w:hint="eastAsia" w:ascii="仿宋" w:eastAsia="仿宋"/>
                <w:sz w:val="24"/>
              </w:rPr>
              <w:t>本项目是否属于信用担保试点范围：</w:t>
            </w:r>
            <w:r>
              <w:rPr>
                <w:rFonts w:hint="eastAsia" w:ascii="仿宋" w:eastAsia="仿宋"/>
                <w:sz w:val="24"/>
                <w:u w:val="single"/>
              </w:rPr>
              <w:t>否</w:t>
            </w:r>
            <w:r>
              <w:rPr>
                <w:rFonts w:hint="eastAsia" w:ascii="仿宋" w:eastAsia="仿宋"/>
                <w:sz w:val="24"/>
              </w:rPr>
              <w:t>（是、否）</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60" w:hRule="atLeast"/>
        </w:trPr>
        <w:tc>
          <w:tcPr>
            <w:tcW w:w="1717" w:type="dxa"/>
            <w:tcBorders>
              <w:top w:val="single" w:color="000000" w:sz="6" w:space="0"/>
              <w:bottom w:val="single" w:color="000000" w:sz="6" w:space="0"/>
              <w:right w:val="single" w:color="000000" w:sz="6" w:space="0"/>
            </w:tcBorders>
          </w:tcPr>
          <w:p>
            <w:pPr>
              <w:pStyle w:val="23"/>
              <w:spacing w:before="25"/>
              <w:ind w:left="566"/>
              <w:rPr>
                <w:rFonts w:ascii="仿宋"/>
                <w:sz w:val="24"/>
                <w:lang w:val="en-US"/>
              </w:rPr>
            </w:pPr>
            <w:r>
              <w:rPr>
                <w:rFonts w:hint="eastAsia" w:ascii="仿宋"/>
                <w:sz w:val="24"/>
                <w:lang w:val="en-US"/>
              </w:rPr>
              <w:t>20</w:t>
            </w:r>
          </w:p>
        </w:tc>
        <w:tc>
          <w:tcPr>
            <w:tcW w:w="8003" w:type="dxa"/>
            <w:tcBorders>
              <w:top w:val="single" w:color="000000" w:sz="6" w:space="0"/>
              <w:left w:val="single" w:color="000000" w:sz="6" w:space="0"/>
              <w:bottom w:val="single" w:color="000000" w:sz="6" w:space="0"/>
            </w:tcBorders>
          </w:tcPr>
          <w:p>
            <w:pPr>
              <w:pStyle w:val="23"/>
              <w:spacing w:before="49" w:line="291" w:lineRule="exact"/>
              <w:ind w:left="35"/>
              <w:rPr>
                <w:sz w:val="24"/>
              </w:rPr>
            </w:pPr>
            <w:r>
              <w:rPr>
                <w:rFonts w:hint="eastAsia" w:ascii="仿宋" w:eastAsia="仿宋"/>
                <w:sz w:val="24"/>
              </w:rPr>
              <w:t>反腐倡廉监督电话/邮箱： 0998-2575878</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51" w:hRule="atLeast"/>
        </w:trPr>
        <w:tc>
          <w:tcPr>
            <w:tcW w:w="1717" w:type="dxa"/>
            <w:tcBorders>
              <w:top w:val="single" w:color="000000" w:sz="6" w:space="0"/>
              <w:right w:val="single" w:color="000000" w:sz="6" w:space="0"/>
            </w:tcBorders>
          </w:tcPr>
          <w:p>
            <w:pPr>
              <w:pStyle w:val="23"/>
              <w:spacing w:before="3"/>
              <w:rPr>
                <w:b/>
                <w:sz w:val="26"/>
              </w:rPr>
            </w:pPr>
          </w:p>
          <w:p>
            <w:pPr>
              <w:pStyle w:val="23"/>
              <w:ind w:left="566"/>
              <w:rPr>
                <w:rFonts w:ascii="仿宋"/>
                <w:sz w:val="24"/>
                <w:lang w:val="en-US"/>
              </w:rPr>
            </w:pPr>
            <w:r>
              <w:rPr>
                <w:rFonts w:hint="eastAsia" w:ascii="仿宋"/>
                <w:sz w:val="24"/>
                <w:lang w:val="en-US"/>
              </w:rPr>
              <w:t>21</w:t>
            </w:r>
          </w:p>
        </w:tc>
        <w:tc>
          <w:tcPr>
            <w:tcW w:w="8003" w:type="dxa"/>
            <w:tcBorders>
              <w:top w:val="single" w:color="000000" w:sz="6" w:space="0"/>
              <w:left w:val="single" w:color="000000" w:sz="6" w:space="0"/>
            </w:tcBorders>
          </w:tcPr>
          <w:p>
            <w:pPr>
              <w:pStyle w:val="23"/>
              <w:tabs>
                <w:tab w:val="left" w:pos="1475"/>
                <w:tab w:val="left" w:pos="5554"/>
              </w:tabs>
              <w:spacing w:before="27" w:line="242" w:lineRule="auto"/>
              <w:ind w:left="35" w:right="2423"/>
              <w:rPr>
                <w:rFonts w:ascii="仿宋" w:hAnsi="仿宋" w:eastAsia="仿宋"/>
                <w:sz w:val="24"/>
                <w:u w:val="single"/>
              </w:rPr>
            </w:pPr>
            <w:r>
              <w:rPr>
                <w:rFonts w:hint="eastAsia" w:ascii="仿宋" w:hAnsi="仿宋" w:eastAsia="仿宋"/>
                <w:sz w:val="24"/>
                <w:u w:val="single"/>
              </w:rPr>
              <w:t>接收部门：</w:t>
            </w:r>
            <w:r>
              <w:rPr>
                <w:rFonts w:hint="eastAsia" w:ascii="仿宋" w:hAnsi="仿宋" w:eastAsia="仿宋"/>
                <w:sz w:val="24"/>
                <w:u w:val="single"/>
              </w:rPr>
              <w:tab/>
            </w:r>
            <w:r>
              <w:rPr>
                <w:rFonts w:hint="eastAsia" w:ascii="仿宋" w:hAnsi="仿宋" w:eastAsia="仿宋"/>
                <w:sz w:val="24"/>
                <w:u w:val="single"/>
              </w:rPr>
              <w:t>喀什经济开发区政府采购管理办公室</w:t>
            </w:r>
            <w:r>
              <w:rPr>
                <w:rFonts w:hint="eastAsia" w:ascii="仿宋" w:hAnsi="仿宋" w:eastAsia="仿宋"/>
                <w:sz w:val="24"/>
                <w:u w:val="single"/>
              </w:rPr>
              <w:tab/>
            </w:r>
          </w:p>
          <w:p>
            <w:pPr>
              <w:pStyle w:val="23"/>
              <w:tabs>
                <w:tab w:val="left" w:pos="1475"/>
                <w:tab w:val="left" w:pos="5554"/>
              </w:tabs>
              <w:spacing w:before="27" w:line="242" w:lineRule="auto"/>
              <w:ind w:left="35" w:right="2423"/>
              <w:rPr>
                <w:rFonts w:ascii="仿宋" w:eastAsia="仿宋"/>
                <w:sz w:val="24"/>
              </w:rPr>
            </w:pPr>
            <w:r>
              <w:rPr>
                <w:rFonts w:hint="eastAsia" w:ascii="仿宋" w:hAnsi="仿宋" w:eastAsia="仿宋"/>
                <w:spacing w:val="-240"/>
                <w:sz w:val="24"/>
                <w:u w:val="single"/>
              </w:rPr>
              <w:t>联</w:t>
            </w:r>
            <w:r>
              <w:rPr>
                <w:rFonts w:hint="eastAsia" w:ascii="仿宋" w:hAnsi="仿宋" w:eastAsia="仿宋"/>
                <w:sz w:val="24"/>
                <w:u w:val="single"/>
                <w:lang w:val="en-US"/>
              </w:rPr>
              <w:t>联系</w:t>
            </w:r>
            <w:r>
              <w:rPr>
                <w:rFonts w:hint="eastAsia" w:ascii="仿宋" w:hAnsi="仿宋" w:eastAsia="仿宋"/>
                <w:sz w:val="24"/>
                <w:u w:val="single"/>
              </w:rPr>
              <w:t>电话： 0998—2575878</w:t>
            </w:r>
            <w:r>
              <w:rPr>
                <w:rFonts w:hint="eastAsia" w:ascii="仿宋" w:hAnsi="仿宋" w:eastAsia="仿宋"/>
                <w:spacing w:val="-1"/>
                <w:sz w:val="24"/>
                <w:u w:val="single"/>
              </w:rPr>
              <w:t xml:space="preserve"> </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51" w:hRule="atLeast"/>
        </w:trPr>
        <w:tc>
          <w:tcPr>
            <w:tcW w:w="9720" w:type="dxa"/>
            <w:gridSpan w:val="2"/>
            <w:tcBorders>
              <w:top w:val="single" w:color="000000" w:sz="6" w:space="0"/>
            </w:tcBorders>
          </w:tcPr>
          <w:p>
            <w:pPr>
              <w:pStyle w:val="9"/>
              <w:spacing w:before="5" w:line="242" w:lineRule="auto"/>
              <w:ind w:left="255" w:right="151"/>
              <w:rPr>
                <w:highlight w:val="none"/>
                <w:lang w:val="en-US"/>
              </w:rPr>
            </w:pPr>
            <w:r>
              <w:rPr>
                <w:rFonts w:hint="eastAsia"/>
                <w:b/>
                <w:bCs/>
                <w:highlight w:val="none"/>
                <w:lang w:val="en-US"/>
              </w:rPr>
              <w:t>特别注意</w:t>
            </w:r>
            <w:r>
              <w:rPr>
                <w:rFonts w:hint="eastAsia"/>
                <w:highlight w:val="none"/>
                <w:lang w:val="en-US"/>
              </w:rPr>
              <w:t>：</w:t>
            </w:r>
          </w:p>
          <w:p>
            <w:pPr>
              <w:pStyle w:val="23"/>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eastAsia" w:ascii="仿宋" w:hAnsi="仿宋" w:eastAsia="仿宋" w:cs="仿宋"/>
                <w:b/>
                <w:bCs/>
                <w:sz w:val="24"/>
                <w:szCs w:val="24"/>
                <w:highlight w:val="none"/>
                <w:lang w:val="en-US" w:eastAsia="zh-CN"/>
              </w:rPr>
              <w:t>本次项目</w:t>
            </w:r>
            <w:r>
              <w:rPr>
                <w:rFonts w:hint="eastAsia" w:ascii="仿宋" w:hAnsi="仿宋" w:eastAsia="仿宋" w:cs="仿宋"/>
                <w:sz w:val="24"/>
                <w:szCs w:val="24"/>
                <w:highlight w:val="none"/>
                <w:lang w:val="en-US" w:eastAsia="zh-CN"/>
              </w:rPr>
              <w:t>预留该部分采购项目预算总额的50%以上专门面向中小企业采购，其中预留给小微企业的比例不低于60%。</w:t>
            </w:r>
          </w:p>
          <w:p>
            <w:pPr>
              <w:pStyle w:val="23"/>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对于未预留份额专门面向中小企业的采购项目，以及预留份额项目中的非预留部分采购包，采购人、采购代理机构应当对符合规定的小微企业报价给予10%(工程项目为6%)的扣除，用扣除后的价格参加评审，适用招标投标法的政府采购工程建设项目，采用综合评估法但未采用低价优先法计算价格分的，评标时应当在采用原报价进行评分的基础上增加其价格得分的6%作为其价格分。</w:t>
            </w:r>
          </w:p>
          <w:p>
            <w:pPr>
              <w:pStyle w:val="9"/>
              <w:spacing w:before="5" w:line="242" w:lineRule="auto"/>
              <w:ind w:right="151"/>
              <w:rPr>
                <w:spacing w:val="-240"/>
                <w:highlight w:val="none"/>
                <w:u w:val="single"/>
              </w:rPr>
            </w:pPr>
            <w:r>
              <w:rPr>
                <w:rFonts w:hint="eastAsia" w:ascii="仿宋" w:hAnsi="仿宋" w:eastAsia="仿宋" w:cs="仿宋"/>
                <w:sz w:val="24"/>
                <w:szCs w:val="24"/>
                <w:highlight w:val="none"/>
                <w:lang w:val="en-US" w:eastAsia="zh-CN"/>
              </w:rPr>
              <w:t>3</w:t>
            </w:r>
            <w:r>
              <w:rPr>
                <w:rFonts w:hint="eastAsia" w:cs="仿宋"/>
                <w:sz w:val="24"/>
                <w:szCs w:val="24"/>
                <w:highlight w:val="none"/>
                <w:lang w:val="en-US" w:eastAsia="zh-CN"/>
              </w:rPr>
              <w:t>、</w:t>
            </w:r>
            <w:r>
              <w:rPr>
                <w:rFonts w:hint="eastAsia" w:ascii="仿宋" w:hAnsi="仿宋" w:eastAsia="仿宋" w:cs="仿宋"/>
                <w:sz w:val="24"/>
                <w:szCs w:val="24"/>
                <w:highlight w:val="none"/>
                <w:lang w:val="en-US" w:eastAsia="zh-CN"/>
              </w:rPr>
              <w:t>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的扣除，用扣除后的价格参加评审，适用招标投标法的政府采购工程建设项目，采用综合评法未采用低价优先法计算价格分的，评标时应当在采用原报价进行评分的其础上增加其价格得分的2%%作为其价格分。</w:t>
            </w:r>
            <w:r>
              <w:rPr>
                <w:rFonts w:hint="eastAsia"/>
                <w:highlight w:val="none"/>
                <w:lang w:val="en-US"/>
              </w:rPr>
              <w:t>评标时应当在采用原报价进行评分的其础上增加其价格得分的2%~4%作为其价格分。</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751" w:hRule="atLeast"/>
        </w:trPr>
        <w:tc>
          <w:tcPr>
            <w:tcW w:w="9720" w:type="dxa"/>
            <w:gridSpan w:val="2"/>
            <w:tcBorders>
              <w:top w:val="single" w:color="000000" w:sz="6" w:space="0"/>
            </w:tcBorders>
          </w:tcPr>
          <w:p>
            <w:pPr>
              <w:rPr>
                <w:rFonts w:cs="宋体"/>
                <w:sz w:val="24"/>
                <w:u w:val="single"/>
                <w:lang w:val="en-US"/>
              </w:rPr>
            </w:pPr>
            <w:r>
              <w:rPr>
                <w:rFonts w:hint="eastAsia" w:cs="宋体"/>
                <w:sz w:val="24"/>
                <w:u w:val="single"/>
                <w:lang w:val="en-US"/>
              </w:rPr>
              <w:t>其他：供应商认为采购过程和中标结果使自己的权益受到损害的，可以在知道或者应知其权益受到损害之日起七个工作日内，按照政府采购质疑和投诉办法（中华人民共和国财政部令94号）以书面形式向采购人和采购代理机构提出质疑（邮寄件、传真件不予受理），逾期不再接收。</w:t>
            </w:r>
          </w:p>
          <w:p>
            <w:pPr>
              <w:pStyle w:val="23"/>
              <w:tabs>
                <w:tab w:val="left" w:pos="1475"/>
                <w:tab w:val="left" w:pos="5554"/>
              </w:tabs>
              <w:spacing w:before="27"/>
              <w:ind w:right="2423"/>
              <w:rPr>
                <w:rFonts w:ascii="仿宋" w:hAnsi="仿宋" w:eastAsia="仿宋"/>
                <w:spacing w:val="-240"/>
                <w:sz w:val="24"/>
                <w:u w:val="single"/>
              </w:rPr>
            </w:pPr>
            <w:r>
              <w:rPr>
                <w:rFonts w:hint="eastAsia" w:ascii="仿宋" w:hAnsi="仿宋" w:eastAsia="仿宋"/>
                <w:sz w:val="24"/>
                <w:u w:val="single"/>
                <w:lang w:val="en-US"/>
              </w:rPr>
              <w:t>在法定质疑期内供应商针对同一采购程序环节的质疑应当一次性提出。</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396" w:hRule="atLeast"/>
        </w:trPr>
        <w:tc>
          <w:tcPr>
            <w:tcW w:w="9720" w:type="dxa"/>
            <w:gridSpan w:val="2"/>
          </w:tcPr>
          <w:p>
            <w:pPr>
              <w:pStyle w:val="23"/>
              <w:spacing w:before="45"/>
              <w:ind w:left="566"/>
              <w:rPr>
                <w:rFonts w:ascii="仿宋" w:eastAsia="仿宋"/>
                <w:sz w:val="24"/>
                <w:lang w:val="en-US"/>
              </w:rPr>
            </w:pPr>
            <w:r>
              <w:rPr>
                <w:rFonts w:hint="eastAsia" w:ascii="仿宋" w:eastAsia="仿宋"/>
                <w:sz w:val="24"/>
              </w:rPr>
              <w:t>适用于本投标人须知的额外增加的变动：</w:t>
            </w:r>
            <w:r>
              <w:rPr>
                <w:rFonts w:hint="eastAsia" w:ascii="仿宋" w:eastAsia="仿宋"/>
                <w:sz w:val="24"/>
                <w:lang w:val="en-US"/>
              </w:rPr>
              <w:t>/</w:t>
            </w:r>
          </w:p>
        </w:tc>
      </w:tr>
    </w:tbl>
    <w:p>
      <w:pPr>
        <w:rPr>
          <w:sz w:val="24"/>
        </w:rPr>
        <w:sectPr>
          <w:pgSz w:w="11910" w:h="16840"/>
          <w:pgMar w:top="1040" w:right="800" w:bottom="1340" w:left="740" w:header="0" w:footer="1153" w:gutter="0"/>
          <w:cols w:space="720" w:num="1"/>
        </w:sectPr>
      </w:pPr>
    </w:p>
    <w:p>
      <w:pPr>
        <w:pStyle w:val="9"/>
        <w:rPr>
          <w:rFonts w:ascii="宋体"/>
          <w:b/>
          <w:sz w:val="20"/>
        </w:rPr>
      </w:pPr>
    </w:p>
    <w:p>
      <w:pPr>
        <w:pStyle w:val="9"/>
        <w:rPr>
          <w:rFonts w:ascii="宋体"/>
          <w:b/>
          <w:sz w:val="20"/>
        </w:rPr>
      </w:pPr>
    </w:p>
    <w:p>
      <w:pPr>
        <w:spacing w:before="197"/>
        <w:ind w:left="6816" w:right="6817"/>
        <w:jc w:val="center"/>
        <w:rPr>
          <w:b/>
          <w:sz w:val="32"/>
        </w:rPr>
      </w:pPr>
      <w:r>
        <w:rPr>
          <w:b/>
          <w:sz w:val="32"/>
        </w:rPr>
        <w:t>资格审查表</w:t>
      </w:r>
    </w:p>
    <w:p>
      <w:pPr>
        <w:pStyle w:val="9"/>
        <w:spacing w:before="3"/>
        <w:rPr>
          <w:b/>
          <w:sz w:val="17"/>
        </w:rPr>
      </w:pPr>
    </w:p>
    <w:tbl>
      <w:tblPr>
        <w:tblStyle w:val="19"/>
        <w:tblpPr w:leftFromText="180" w:rightFromText="180" w:vertAnchor="text" w:horzAnchor="page" w:tblpXSpec="center" w:tblpY="15"/>
        <w:tblOverlap w:val="never"/>
        <w:tblW w:w="1307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62"/>
        <w:gridCol w:w="1275"/>
        <w:gridCol w:w="1488"/>
        <w:gridCol w:w="1187"/>
        <w:gridCol w:w="1051"/>
        <w:gridCol w:w="1012"/>
        <w:gridCol w:w="1537"/>
        <w:gridCol w:w="1241"/>
        <w:gridCol w:w="1075"/>
        <w:gridCol w:w="838"/>
        <w:gridCol w:w="9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9" w:hRule="atLeast"/>
          <w:jc w:val="center"/>
        </w:trPr>
        <w:tc>
          <w:tcPr>
            <w:tcW w:w="1462" w:type="dxa"/>
          </w:tcPr>
          <w:p>
            <w:pPr>
              <w:pStyle w:val="23"/>
              <w:spacing w:before="162" w:line="242" w:lineRule="auto"/>
              <w:ind w:left="189" w:right="176"/>
              <w:jc w:val="center"/>
              <w:rPr>
                <w:color w:val="00B0F0"/>
              </w:rPr>
            </w:pPr>
          </w:p>
        </w:tc>
        <w:tc>
          <w:tcPr>
            <w:tcW w:w="10704" w:type="dxa"/>
            <w:gridSpan w:val="9"/>
          </w:tcPr>
          <w:p>
            <w:pPr>
              <w:jc w:val="center"/>
              <w:rPr>
                <w:color w:val="00B0F0"/>
              </w:rPr>
            </w:pPr>
            <w:r>
              <w:rPr>
                <w:rFonts w:hint="eastAsia" w:ascii="宋体" w:hAnsi="宋体" w:eastAsia="宋体" w:cs="宋体"/>
                <w:b/>
                <w:sz w:val="21"/>
              </w:rPr>
              <w:t>审</w:t>
            </w:r>
            <w:r>
              <w:rPr>
                <w:rFonts w:hint="eastAsia" w:ascii="宋体" w:hAnsi="宋体" w:eastAsia="宋体" w:cs="宋体"/>
                <w:b/>
                <w:sz w:val="21"/>
                <w:lang w:val="en-US"/>
              </w:rPr>
              <w:t xml:space="preserve"> </w:t>
            </w:r>
            <w:r>
              <w:rPr>
                <w:rFonts w:hint="eastAsia" w:ascii="宋体" w:hAnsi="宋体" w:eastAsia="宋体" w:cs="宋体"/>
                <w:b/>
                <w:sz w:val="21"/>
              </w:rPr>
              <w:t>查</w:t>
            </w:r>
            <w:r>
              <w:rPr>
                <w:rFonts w:hint="eastAsia" w:ascii="宋体" w:hAnsi="宋体" w:eastAsia="宋体" w:cs="宋体"/>
                <w:b/>
                <w:sz w:val="21"/>
                <w:lang w:val="en-US"/>
              </w:rPr>
              <w:t xml:space="preserve"> </w:t>
            </w:r>
            <w:r>
              <w:rPr>
                <w:rFonts w:hint="eastAsia" w:ascii="宋体" w:hAnsi="宋体" w:eastAsia="宋体" w:cs="宋体"/>
                <w:b/>
                <w:sz w:val="21"/>
              </w:rPr>
              <w:t>项</w:t>
            </w:r>
            <w:r>
              <w:rPr>
                <w:rFonts w:hint="eastAsia" w:ascii="宋体" w:hAnsi="宋体" w:eastAsia="宋体" w:cs="宋体"/>
                <w:b/>
                <w:sz w:val="21"/>
                <w:lang w:val="en-US"/>
              </w:rPr>
              <w:t xml:space="preserve"> </w:t>
            </w:r>
            <w:r>
              <w:rPr>
                <w:rFonts w:hint="eastAsia" w:ascii="宋体" w:hAnsi="宋体" w:eastAsia="宋体" w:cs="宋体"/>
                <w:b/>
                <w:sz w:val="21"/>
              </w:rPr>
              <w:t>目</w:t>
            </w:r>
          </w:p>
        </w:tc>
        <w:tc>
          <w:tcPr>
            <w:tcW w:w="912" w:type="dxa"/>
          </w:tcPr>
          <w:p>
            <w:pPr>
              <w:jc w:val="center"/>
              <w:rPr>
                <w:color w:val="00B0F0"/>
                <w:lang w:val="en-US"/>
              </w:rPr>
            </w:pPr>
            <w:r>
              <w:rPr>
                <w:rFonts w:hint="eastAsia" w:ascii="宋体" w:hAnsi="宋体" w:eastAsia="宋体" w:cs="宋体"/>
                <w:b/>
                <w:sz w:val="21"/>
                <w:lang w:val="en-US"/>
              </w:rPr>
              <w:t>结论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47" w:hRule="atLeast"/>
          <w:jc w:val="center"/>
        </w:trPr>
        <w:tc>
          <w:tcPr>
            <w:tcW w:w="1462" w:type="dxa"/>
          </w:tcPr>
          <w:p>
            <w:pPr>
              <w:pStyle w:val="23"/>
              <w:spacing w:before="162" w:line="242" w:lineRule="auto"/>
              <w:ind w:right="176"/>
              <w:jc w:val="center"/>
              <w:rPr>
                <w:color w:val="00B0F0"/>
              </w:rPr>
            </w:pPr>
            <w:r>
              <w:rPr>
                <w:rFonts w:hint="eastAsia"/>
                <w:b/>
                <w:sz w:val="21"/>
                <w:lang w:val="en-US"/>
              </w:rPr>
              <w:t>投标人名称</w:t>
            </w:r>
          </w:p>
        </w:tc>
        <w:tc>
          <w:tcPr>
            <w:tcW w:w="1275" w:type="dxa"/>
          </w:tcPr>
          <w:p>
            <w:pPr>
              <w:pStyle w:val="23"/>
              <w:spacing w:before="162" w:line="242" w:lineRule="auto"/>
              <w:ind w:right="176"/>
              <w:jc w:val="center"/>
              <w:rPr>
                <w:b/>
                <w:sz w:val="21"/>
                <w:lang w:val="en-US"/>
              </w:rPr>
            </w:pPr>
            <w:r>
              <w:rPr>
                <w:rFonts w:hint="eastAsia"/>
                <w:b/>
                <w:sz w:val="21"/>
                <w:lang w:val="en-US"/>
              </w:rPr>
              <w:t>联合体投标授权书及联合体投标协议书（如有）</w:t>
            </w:r>
          </w:p>
        </w:tc>
        <w:tc>
          <w:tcPr>
            <w:tcW w:w="1488" w:type="dxa"/>
          </w:tcPr>
          <w:p>
            <w:pPr>
              <w:pStyle w:val="23"/>
              <w:spacing w:before="160"/>
              <w:jc w:val="center"/>
              <w:rPr>
                <w:color w:val="00B0F0"/>
              </w:rPr>
            </w:pPr>
            <w:r>
              <w:rPr>
                <w:rFonts w:hint="eastAsia"/>
                <w:b/>
                <w:sz w:val="21"/>
                <w:lang w:val="en-US"/>
              </w:rPr>
              <w:t>具有独立承担民事责任的能力（三证合一的营业执照）</w:t>
            </w:r>
          </w:p>
        </w:tc>
        <w:tc>
          <w:tcPr>
            <w:tcW w:w="1187" w:type="dxa"/>
          </w:tcPr>
          <w:p>
            <w:pPr>
              <w:pStyle w:val="23"/>
              <w:spacing w:before="1" w:line="242" w:lineRule="auto"/>
              <w:ind w:right="196"/>
              <w:jc w:val="center"/>
              <w:rPr>
                <w:color w:val="00B0F0"/>
              </w:rPr>
            </w:pPr>
            <w:r>
              <w:rPr>
                <w:rFonts w:hint="eastAsia"/>
                <w:b/>
                <w:sz w:val="21"/>
                <w:lang w:val="en-US"/>
              </w:rPr>
              <w:t>法定代表人</w:t>
            </w:r>
            <w:r>
              <w:rPr>
                <w:rFonts w:hint="eastAsia"/>
                <w:b/>
                <w:sz w:val="21"/>
                <w:lang w:val="en-US" w:eastAsia="zh-CN"/>
              </w:rPr>
              <w:t>参加投标的</w:t>
            </w:r>
            <w:r>
              <w:rPr>
                <w:rFonts w:hint="eastAsia"/>
                <w:b/>
                <w:sz w:val="21"/>
                <w:lang w:val="en-US"/>
              </w:rPr>
              <w:t>提供法定代表人身份证明及</w:t>
            </w:r>
            <w:r>
              <w:rPr>
                <w:rFonts w:hint="eastAsia"/>
                <w:b/>
                <w:sz w:val="21"/>
                <w:lang w:val="en-US" w:eastAsia="zh-CN"/>
              </w:rPr>
              <w:t>法人</w:t>
            </w:r>
            <w:r>
              <w:rPr>
                <w:rFonts w:hint="eastAsia"/>
                <w:b/>
                <w:sz w:val="21"/>
                <w:lang w:val="en-US"/>
              </w:rPr>
              <w:t>身份证</w:t>
            </w:r>
            <w:r>
              <w:rPr>
                <w:rFonts w:hint="eastAsia"/>
                <w:b/>
                <w:sz w:val="21"/>
                <w:lang w:val="en-US" w:eastAsia="zh-CN"/>
              </w:rPr>
              <w:t>，被授权委托人参加投标的提供法人授权委托书及被授权人和法人身份证</w:t>
            </w:r>
            <w:r>
              <w:rPr>
                <w:rFonts w:hint="eastAsia"/>
                <w:b/>
                <w:sz w:val="21"/>
                <w:lang w:val="en-US"/>
              </w:rPr>
              <w:t>；</w:t>
            </w:r>
          </w:p>
        </w:tc>
        <w:tc>
          <w:tcPr>
            <w:tcW w:w="1051" w:type="dxa"/>
          </w:tcPr>
          <w:p>
            <w:pPr>
              <w:pStyle w:val="23"/>
              <w:spacing w:before="1" w:line="242" w:lineRule="auto"/>
              <w:ind w:right="118"/>
              <w:jc w:val="center"/>
              <w:rPr>
                <w:color w:val="00B0F0"/>
              </w:rPr>
            </w:pPr>
            <w:r>
              <w:rPr>
                <w:rFonts w:hint="eastAsia"/>
                <w:b/>
                <w:sz w:val="21"/>
                <w:lang w:val="en-US"/>
              </w:rPr>
              <w:t>被授权委托人在本单位缴纳的近2个月（2022年4月～5月）的社保证明（单位社保缴费凭证和个人明细表）</w:t>
            </w:r>
          </w:p>
        </w:tc>
        <w:tc>
          <w:tcPr>
            <w:tcW w:w="1012" w:type="dxa"/>
          </w:tcPr>
          <w:p>
            <w:pPr>
              <w:pStyle w:val="23"/>
              <w:spacing w:line="242" w:lineRule="auto"/>
              <w:ind w:right="147"/>
              <w:jc w:val="center"/>
              <w:rPr>
                <w:color w:val="00B0F0"/>
              </w:rPr>
            </w:pPr>
            <w:r>
              <w:rPr>
                <w:rFonts w:hint="eastAsia"/>
                <w:b/>
                <w:sz w:val="21"/>
                <w:lang w:val="en-US"/>
              </w:rPr>
              <w:t>具有税务局开具依法缴纳近三个月（2022年3月～5月）完税证明及</w:t>
            </w:r>
            <w:r>
              <w:rPr>
                <w:rFonts w:hint="eastAsia"/>
                <w:b/>
                <w:sz w:val="21"/>
                <w:lang w:val="en-US" w:eastAsia="zh-CN"/>
              </w:rPr>
              <w:t>2021年或2020年财务审计报告</w:t>
            </w:r>
            <w:r>
              <w:rPr>
                <w:rFonts w:hint="eastAsia"/>
                <w:b/>
                <w:sz w:val="21"/>
                <w:lang w:val="en-US"/>
              </w:rPr>
              <w:t>（新成立公司须提供银行资信证明）；</w:t>
            </w:r>
          </w:p>
        </w:tc>
        <w:tc>
          <w:tcPr>
            <w:tcW w:w="1537" w:type="dxa"/>
          </w:tcPr>
          <w:p>
            <w:pPr>
              <w:pStyle w:val="23"/>
              <w:spacing w:before="2" w:line="242" w:lineRule="auto"/>
              <w:ind w:right="92"/>
              <w:jc w:val="center"/>
              <w:rPr>
                <w:color w:val="00B0F0"/>
              </w:rPr>
            </w:pPr>
            <w:r>
              <w:rPr>
                <w:rFonts w:hint="eastAsia"/>
                <w:b/>
                <w:color w:val="auto"/>
                <w:sz w:val="21"/>
                <w:lang w:val="en-US"/>
              </w:rPr>
              <w:t>供应商在“信用中国”（www.creditchina.gov.cn）和中国政府采购网（www.ccgp.gov.cn）网站上未列入失信被执行人、</w:t>
            </w:r>
            <w:r>
              <w:rPr>
                <w:rFonts w:hint="eastAsia"/>
                <w:b/>
                <w:color w:val="auto"/>
                <w:sz w:val="21"/>
                <w:lang w:val="en-US" w:eastAsia="zh-CN"/>
              </w:rPr>
              <w:t>税收违法黑名单</w:t>
            </w:r>
            <w:r>
              <w:rPr>
                <w:rFonts w:hint="eastAsia"/>
                <w:b/>
                <w:color w:val="auto"/>
                <w:sz w:val="21"/>
                <w:lang w:val="en-US"/>
              </w:rPr>
              <w:t>、</w:t>
            </w:r>
            <w:r>
              <w:rPr>
                <w:rFonts w:hint="eastAsia"/>
                <w:b/>
                <w:sz w:val="21"/>
                <w:lang w:val="en-US"/>
              </w:rPr>
              <w:t>政府采购严重违法失信行为记录名单（财库[2016]125号）（需提供网上截图加盖公章）</w:t>
            </w:r>
          </w:p>
        </w:tc>
        <w:tc>
          <w:tcPr>
            <w:tcW w:w="1241" w:type="dxa"/>
          </w:tcPr>
          <w:p>
            <w:pPr>
              <w:pStyle w:val="23"/>
              <w:spacing w:line="242" w:lineRule="auto"/>
              <w:ind w:left="252" w:right="132" w:hanging="111"/>
              <w:jc w:val="center"/>
              <w:rPr>
                <w:color w:val="00B0F0"/>
              </w:rPr>
            </w:pPr>
            <w:r>
              <w:rPr>
                <w:rFonts w:hint="eastAsia"/>
                <w:b/>
                <w:sz w:val="21"/>
                <w:lang w:val="en-US" w:eastAsia="zh-CN"/>
              </w:rPr>
              <w:t>参加采购活动前三年内（2019年6月至今）</w:t>
            </w:r>
            <w:r>
              <w:rPr>
                <w:rFonts w:hint="eastAsia"/>
                <w:b/>
                <w:sz w:val="21"/>
                <w:lang w:val="en-US"/>
              </w:rPr>
              <w:t>，在经营活动中无重大违法声明(受行政主管部门的处罚不能参加投标)</w:t>
            </w:r>
          </w:p>
        </w:tc>
        <w:tc>
          <w:tcPr>
            <w:tcW w:w="1075" w:type="dxa"/>
          </w:tcPr>
          <w:p>
            <w:pPr>
              <w:pStyle w:val="23"/>
              <w:spacing w:line="242" w:lineRule="auto"/>
              <w:ind w:left="252" w:right="132" w:hanging="111"/>
              <w:jc w:val="center"/>
              <w:rPr>
                <w:color w:val="00B0F0"/>
              </w:rPr>
            </w:pPr>
            <w:r>
              <w:rPr>
                <w:rFonts w:hint="eastAsia"/>
                <w:b/>
                <w:sz w:val="21"/>
                <w:lang w:val="en-US"/>
              </w:rPr>
              <w:t>投标单位（供应商）具备针对本次采购项目《反商业贿赂承诺书》</w:t>
            </w:r>
          </w:p>
        </w:tc>
        <w:tc>
          <w:tcPr>
            <w:tcW w:w="838" w:type="dxa"/>
          </w:tcPr>
          <w:p>
            <w:pPr>
              <w:pStyle w:val="23"/>
              <w:spacing w:line="242" w:lineRule="auto"/>
              <w:ind w:left="252" w:right="132" w:hanging="111"/>
              <w:jc w:val="center"/>
              <w:rPr>
                <w:color w:val="00B0F0"/>
              </w:rPr>
            </w:pPr>
            <w:r>
              <w:rPr>
                <w:rFonts w:hint="eastAsia"/>
                <w:b/>
                <w:sz w:val="21"/>
                <w:lang w:val="en-US"/>
              </w:rPr>
              <w:t>投标保证金收据或投标保函</w:t>
            </w:r>
          </w:p>
        </w:tc>
        <w:tc>
          <w:tcPr>
            <w:tcW w:w="912" w:type="dxa"/>
          </w:tcPr>
          <w:p>
            <w:pPr>
              <w:pStyle w:val="23"/>
              <w:spacing w:line="242" w:lineRule="auto"/>
              <w:ind w:left="252" w:right="132" w:hanging="111"/>
              <w:jc w:val="center"/>
              <w:rPr>
                <w:color w:val="00B0F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4" w:hRule="atLeast"/>
          <w:jc w:val="center"/>
        </w:trPr>
        <w:tc>
          <w:tcPr>
            <w:tcW w:w="1462" w:type="dxa"/>
          </w:tcPr>
          <w:p>
            <w:pPr>
              <w:pStyle w:val="23"/>
              <w:jc w:val="center"/>
              <w:rPr>
                <w:rFonts w:ascii="Times New Roman"/>
                <w:color w:val="00B0F0"/>
              </w:rPr>
            </w:pPr>
          </w:p>
        </w:tc>
        <w:tc>
          <w:tcPr>
            <w:tcW w:w="1275" w:type="dxa"/>
          </w:tcPr>
          <w:p>
            <w:pPr>
              <w:pStyle w:val="23"/>
              <w:jc w:val="center"/>
              <w:rPr>
                <w:rFonts w:ascii="Times New Roman"/>
                <w:color w:val="00B0F0"/>
              </w:rPr>
            </w:pPr>
          </w:p>
        </w:tc>
        <w:tc>
          <w:tcPr>
            <w:tcW w:w="1488" w:type="dxa"/>
          </w:tcPr>
          <w:p>
            <w:pPr>
              <w:pStyle w:val="23"/>
              <w:jc w:val="center"/>
              <w:rPr>
                <w:rFonts w:ascii="Times New Roman"/>
                <w:color w:val="00B0F0"/>
              </w:rPr>
            </w:pPr>
          </w:p>
        </w:tc>
        <w:tc>
          <w:tcPr>
            <w:tcW w:w="1187" w:type="dxa"/>
          </w:tcPr>
          <w:p>
            <w:pPr>
              <w:pStyle w:val="23"/>
              <w:jc w:val="center"/>
              <w:rPr>
                <w:rFonts w:ascii="Times New Roman"/>
                <w:color w:val="00B0F0"/>
              </w:rPr>
            </w:pPr>
          </w:p>
        </w:tc>
        <w:tc>
          <w:tcPr>
            <w:tcW w:w="1051" w:type="dxa"/>
          </w:tcPr>
          <w:p>
            <w:pPr>
              <w:pStyle w:val="23"/>
              <w:jc w:val="center"/>
              <w:rPr>
                <w:rFonts w:ascii="Times New Roman"/>
                <w:color w:val="00B0F0"/>
              </w:rPr>
            </w:pPr>
          </w:p>
        </w:tc>
        <w:tc>
          <w:tcPr>
            <w:tcW w:w="1012" w:type="dxa"/>
          </w:tcPr>
          <w:p>
            <w:pPr>
              <w:pStyle w:val="23"/>
              <w:jc w:val="center"/>
              <w:rPr>
                <w:rFonts w:ascii="Times New Roman"/>
                <w:color w:val="00B0F0"/>
              </w:rPr>
            </w:pPr>
          </w:p>
        </w:tc>
        <w:tc>
          <w:tcPr>
            <w:tcW w:w="1537" w:type="dxa"/>
          </w:tcPr>
          <w:p>
            <w:pPr>
              <w:pStyle w:val="23"/>
              <w:jc w:val="center"/>
              <w:rPr>
                <w:rFonts w:ascii="Times New Roman"/>
                <w:color w:val="00B0F0"/>
              </w:rPr>
            </w:pPr>
          </w:p>
        </w:tc>
        <w:tc>
          <w:tcPr>
            <w:tcW w:w="1241" w:type="dxa"/>
          </w:tcPr>
          <w:p>
            <w:pPr>
              <w:pStyle w:val="23"/>
              <w:jc w:val="center"/>
              <w:rPr>
                <w:rFonts w:ascii="Times New Roman"/>
                <w:color w:val="00B0F0"/>
              </w:rPr>
            </w:pPr>
          </w:p>
        </w:tc>
        <w:tc>
          <w:tcPr>
            <w:tcW w:w="1075" w:type="dxa"/>
          </w:tcPr>
          <w:p>
            <w:pPr>
              <w:pStyle w:val="23"/>
              <w:jc w:val="center"/>
              <w:rPr>
                <w:rFonts w:ascii="Times New Roman"/>
                <w:color w:val="00B0F0"/>
              </w:rPr>
            </w:pPr>
          </w:p>
        </w:tc>
        <w:tc>
          <w:tcPr>
            <w:tcW w:w="838" w:type="dxa"/>
          </w:tcPr>
          <w:p>
            <w:pPr>
              <w:pStyle w:val="23"/>
              <w:jc w:val="center"/>
              <w:rPr>
                <w:rFonts w:ascii="Times New Roman"/>
                <w:color w:val="00B0F0"/>
              </w:rPr>
            </w:pPr>
          </w:p>
        </w:tc>
        <w:tc>
          <w:tcPr>
            <w:tcW w:w="912" w:type="dxa"/>
          </w:tcPr>
          <w:p>
            <w:pPr>
              <w:pStyle w:val="23"/>
              <w:jc w:val="center"/>
              <w:rPr>
                <w:rFonts w:ascii="Times New Roman"/>
                <w:color w:val="00B0F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1462" w:type="dxa"/>
          </w:tcPr>
          <w:p>
            <w:pPr>
              <w:pStyle w:val="23"/>
              <w:jc w:val="center"/>
              <w:rPr>
                <w:rFonts w:ascii="Times New Roman"/>
                <w:color w:val="00B0F0"/>
              </w:rPr>
            </w:pPr>
          </w:p>
        </w:tc>
        <w:tc>
          <w:tcPr>
            <w:tcW w:w="1275" w:type="dxa"/>
          </w:tcPr>
          <w:p>
            <w:pPr>
              <w:pStyle w:val="23"/>
              <w:jc w:val="center"/>
              <w:rPr>
                <w:rFonts w:ascii="Times New Roman"/>
                <w:color w:val="00B0F0"/>
              </w:rPr>
            </w:pPr>
          </w:p>
        </w:tc>
        <w:tc>
          <w:tcPr>
            <w:tcW w:w="1488" w:type="dxa"/>
          </w:tcPr>
          <w:p>
            <w:pPr>
              <w:pStyle w:val="23"/>
              <w:jc w:val="center"/>
              <w:rPr>
                <w:rFonts w:ascii="Times New Roman"/>
                <w:color w:val="00B0F0"/>
              </w:rPr>
            </w:pPr>
          </w:p>
        </w:tc>
        <w:tc>
          <w:tcPr>
            <w:tcW w:w="1187" w:type="dxa"/>
          </w:tcPr>
          <w:p>
            <w:pPr>
              <w:pStyle w:val="23"/>
              <w:jc w:val="center"/>
              <w:rPr>
                <w:rFonts w:ascii="Times New Roman"/>
                <w:color w:val="00B0F0"/>
              </w:rPr>
            </w:pPr>
          </w:p>
        </w:tc>
        <w:tc>
          <w:tcPr>
            <w:tcW w:w="1051" w:type="dxa"/>
          </w:tcPr>
          <w:p>
            <w:pPr>
              <w:pStyle w:val="23"/>
              <w:jc w:val="center"/>
              <w:rPr>
                <w:rFonts w:ascii="Times New Roman"/>
                <w:color w:val="00B0F0"/>
              </w:rPr>
            </w:pPr>
          </w:p>
        </w:tc>
        <w:tc>
          <w:tcPr>
            <w:tcW w:w="1012" w:type="dxa"/>
          </w:tcPr>
          <w:p>
            <w:pPr>
              <w:pStyle w:val="23"/>
              <w:jc w:val="center"/>
              <w:rPr>
                <w:rFonts w:ascii="Times New Roman"/>
                <w:color w:val="00B0F0"/>
              </w:rPr>
            </w:pPr>
          </w:p>
        </w:tc>
        <w:tc>
          <w:tcPr>
            <w:tcW w:w="1537" w:type="dxa"/>
          </w:tcPr>
          <w:p>
            <w:pPr>
              <w:pStyle w:val="23"/>
              <w:jc w:val="center"/>
              <w:rPr>
                <w:rFonts w:ascii="Times New Roman"/>
                <w:color w:val="00B0F0"/>
              </w:rPr>
            </w:pPr>
          </w:p>
        </w:tc>
        <w:tc>
          <w:tcPr>
            <w:tcW w:w="1241" w:type="dxa"/>
          </w:tcPr>
          <w:p>
            <w:pPr>
              <w:pStyle w:val="23"/>
              <w:jc w:val="center"/>
              <w:rPr>
                <w:rFonts w:ascii="Times New Roman"/>
                <w:color w:val="00B0F0"/>
              </w:rPr>
            </w:pPr>
          </w:p>
        </w:tc>
        <w:tc>
          <w:tcPr>
            <w:tcW w:w="1075" w:type="dxa"/>
          </w:tcPr>
          <w:p>
            <w:pPr>
              <w:pStyle w:val="23"/>
              <w:jc w:val="center"/>
              <w:rPr>
                <w:rFonts w:ascii="Times New Roman"/>
                <w:color w:val="00B0F0"/>
              </w:rPr>
            </w:pPr>
          </w:p>
        </w:tc>
        <w:tc>
          <w:tcPr>
            <w:tcW w:w="838" w:type="dxa"/>
          </w:tcPr>
          <w:p>
            <w:pPr>
              <w:pStyle w:val="23"/>
              <w:jc w:val="center"/>
              <w:rPr>
                <w:rFonts w:ascii="Times New Roman"/>
                <w:color w:val="00B0F0"/>
              </w:rPr>
            </w:pPr>
          </w:p>
        </w:tc>
        <w:tc>
          <w:tcPr>
            <w:tcW w:w="912" w:type="dxa"/>
          </w:tcPr>
          <w:p>
            <w:pPr>
              <w:pStyle w:val="23"/>
              <w:jc w:val="center"/>
              <w:rPr>
                <w:rFonts w:ascii="Times New Roman"/>
                <w:color w:val="00B0F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1462" w:type="dxa"/>
          </w:tcPr>
          <w:p>
            <w:pPr>
              <w:pStyle w:val="23"/>
              <w:jc w:val="center"/>
              <w:rPr>
                <w:rFonts w:ascii="Times New Roman"/>
                <w:color w:val="00B0F0"/>
              </w:rPr>
            </w:pPr>
          </w:p>
        </w:tc>
        <w:tc>
          <w:tcPr>
            <w:tcW w:w="1275" w:type="dxa"/>
          </w:tcPr>
          <w:p>
            <w:pPr>
              <w:pStyle w:val="23"/>
              <w:jc w:val="center"/>
              <w:rPr>
                <w:rFonts w:ascii="Times New Roman"/>
                <w:color w:val="00B0F0"/>
              </w:rPr>
            </w:pPr>
          </w:p>
        </w:tc>
        <w:tc>
          <w:tcPr>
            <w:tcW w:w="1488" w:type="dxa"/>
          </w:tcPr>
          <w:p>
            <w:pPr>
              <w:pStyle w:val="23"/>
              <w:jc w:val="center"/>
              <w:rPr>
                <w:rFonts w:ascii="Times New Roman"/>
                <w:color w:val="00B0F0"/>
              </w:rPr>
            </w:pPr>
          </w:p>
        </w:tc>
        <w:tc>
          <w:tcPr>
            <w:tcW w:w="1187" w:type="dxa"/>
          </w:tcPr>
          <w:p>
            <w:pPr>
              <w:pStyle w:val="23"/>
              <w:jc w:val="center"/>
              <w:rPr>
                <w:rFonts w:ascii="Times New Roman"/>
                <w:color w:val="00B0F0"/>
              </w:rPr>
            </w:pPr>
          </w:p>
        </w:tc>
        <w:tc>
          <w:tcPr>
            <w:tcW w:w="1051" w:type="dxa"/>
          </w:tcPr>
          <w:p>
            <w:pPr>
              <w:pStyle w:val="23"/>
              <w:jc w:val="center"/>
              <w:rPr>
                <w:rFonts w:ascii="Times New Roman"/>
                <w:color w:val="00B0F0"/>
              </w:rPr>
            </w:pPr>
          </w:p>
        </w:tc>
        <w:tc>
          <w:tcPr>
            <w:tcW w:w="1012" w:type="dxa"/>
          </w:tcPr>
          <w:p>
            <w:pPr>
              <w:pStyle w:val="23"/>
              <w:jc w:val="center"/>
              <w:rPr>
                <w:rFonts w:ascii="Times New Roman"/>
                <w:color w:val="00B0F0"/>
              </w:rPr>
            </w:pPr>
          </w:p>
        </w:tc>
        <w:tc>
          <w:tcPr>
            <w:tcW w:w="1537" w:type="dxa"/>
          </w:tcPr>
          <w:p>
            <w:pPr>
              <w:pStyle w:val="23"/>
              <w:jc w:val="center"/>
              <w:rPr>
                <w:rFonts w:ascii="Times New Roman"/>
                <w:color w:val="00B0F0"/>
              </w:rPr>
            </w:pPr>
          </w:p>
        </w:tc>
        <w:tc>
          <w:tcPr>
            <w:tcW w:w="1241" w:type="dxa"/>
          </w:tcPr>
          <w:p>
            <w:pPr>
              <w:pStyle w:val="23"/>
              <w:jc w:val="center"/>
              <w:rPr>
                <w:rFonts w:ascii="Times New Roman"/>
                <w:color w:val="00B0F0"/>
              </w:rPr>
            </w:pPr>
          </w:p>
        </w:tc>
        <w:tc>
          <w:tcPr>
            <w:tcW w:w="1075" w:type="dxa"/>
          </w:tcPr>
          <w:p>
            <w:pPr>
              <w:pStyle w:val="23"/>
              <w:jc w:val="center"/>
              <w:rPr>
                <w:rFonts w:ascii="Times New Roman"/>
                <w:color w:val="00B0F0"/>
              </w:rPr>
            </w:pPr>
          </w:p>
        </w:tc>
        <w:tc>
          <w:tcPr>
            <w:tcW w:w="838" w:type="dxa"/>
          </w:tcPr>
          <w:p>
            <w:pPr>
              <w:pStyle w:val="23"/>
              <w:jc w:val="center"/>
              <w:rPr>
                <w:rFonts w:ascii="Times New Roman"/>
                <w:color w:val="00B0F0"/>
              </w:rPr>
            </w:pPr>
          </w:p>
        </w:tc>
        <w:tc>
          <w:tcPr>
            <w:tcW w:w="912" w:type="dxa"/>
          </w:tcPr>
          <w:p>
            <w:pPr>
              <w:pStyle w:val="23"/>
              <w:jc w:val="center"/>
              <w:rPr>
                <w:rFonts w:ascii="Times New Roman"/>
                <w:color w:val="00B0F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1462" w:type="dxa"/>
          </w:tcPr>
          <w:p>
            <w:pPr>
              <w:pStyle w:val="23"/>
              <w:jc w:val="center"/>
              <w:rPr>
                <w:rFonts w:ascii="Times New Roman"/>
                <w:color w:val="00B0F0"/>
              </w:rPr>
            </w:pPr>
          </w:p>
        </w:tc>
        <w:tc>
          <w:tcPr>
            <w:tcW w:w="1275" w:type="dxa"/>
          </w:tcPr>
          <w:p>
            <w:pPr>
              <w:pStyle w:val="23"/>
              <w:jc w:val="center"/>
              <w:rPr>
                <w:rFonts w:ascii="Times New Roman"/>
                <w:color w:val="00B0F0"/>
              </w:rPr>
            </w:pPr>
          </w:p>
        </w:tc>
        <w:tc>
          <w:tcPr>
            <w:tcW w:w="1488" w:type="dxa"/>
          </w:tcPr>
          <w:p>
            <w:pPr>
              <w:pStyle w:val="23"/>
              <w:jc w:val="center"/>
              <w:rPr>
                <w:rFonts w:ascii="Times New Roman"/>
                <w:color w:val="00B0F0"/>
              </w:rPr>
            </w:pPr>
          </w:p>
        </w:tc>
        <w:tc>
          <w:tcPr>
            <w:tcW w:w="1187" w:type="dxa"/>
          </w:tcPr>
          <w:p>
            <w:pPr>
              <w:pStyle w:val="23"/>
              <w:jc w:val="center"/>
              <w:rPr>
                <w:rFonts w:ascii="Times New Roman"/>
                <w:color w:val="00B0F0"/>
              </w:rPr>
            </w:pPr>
          </w:p>
        </w:tc>
        <w:tc>
          <w:tcPr>
            <w:tcW w:w="1051" w:type="dxa"/>
          </w:tcPr>
          <w:p>
            <w:pPr>
              <w:pStyle w:val="23"/>
              <w:jc w:val="center"/>
              <w:rPr>
                <w:rFonts w:ascii="Times New Roman"/>
                <w:color w:val="00B0F0"/>
              </w:rPr>
            </w:pPr>
          </w:p>
        </w:tc>
        <w:tc>
          <w:tcPr>
            <w:tcW w:w="1012" w:type="dxa"/>
          </w:tcPr>
          <w:p>
            <w:pPr>
              <w:pStyle w:val="23"/>
              <w:jc w:val="center"/>
              <w:rPr>
                <w:rFonts w:ascii="Times New Roman"/>
                <w:color w:val="00B0F0"/>
              </w:rPr>
            </w:pPr>
          </w:p>
        </w:tc>
        <w:tc>
          <w:tcPr>
            <w:tcW w:w="1537" w:type="dxa"/>
          </w:tcPr>
          <w:p>
            <w:pPr>
              <w:pStyle w:val="23"/>
              <w:jc w:val="center"/>
              <w:rPr>
                <w:rFonts w:ascii="Times New Roman"/>
                <w:color w:val="00B0F0"/>
              </w:rPr>
            </w:pPr>
          </w:p>
        </w:tc>
        <w:tc>
          <w:tcPr>
            <w:tcW w:w="1241" w:type="dxa"/>
          </w:tcPr>
          <w:p>
            <w:pPr>
              <w:pStyle w:val="23"/>
              <w:jc w:val="center"/>
              <w:rPr>
                <w:rFonts w:ascii="Times New Roman"/>
                <w:color w:val="00B0F0"/>
              </w:rPr>
            </w:pPr>
          </w:p>
        </w:tc>
        <w:tc>
          <w:tcPr>
            <w:tcW w:w="1075" w:type="dxa"/>
          </w:tcPr>
          <w:p>
            <w:pPr>
              <w:pStyle w:val="23"/>
              <w:jc w:val="center"/>
              <w:rPr>
                <w:rFonts w:ascii="Times New Roman"/>
                <w:color w:val="00B0F0"/>
              </w:rPr>
            </w:pPr>
          </w:p>
        </w:tc>
        <w:tc>
          <w:tcPr>
            <w:tcW w:w="838" w:type="dxa"/>
          </w:tcPr>
          <w:p>
            <w:pPr>
              <w:pStyle w:val="23"/>
              <w:jc w:val="center"/>
              <w:rPr>
                <w:rFonts w:ascii="Times New Roman"/>
                <w:color w:val="00B0F0"/>
              </w:rPr>
            </w:pPr>
          </w:p>
        </w:tc>
        <w:tc>
          <w:tcPr>
            <w:tcW w:w="912" w:type="dxa"/>
          </w:tcPr>
          <w:p>
            <w:pPr>
              <w:pStyle w:val="23"/>
              <w:jc w:val="center"/>
              <w:rPr>
                <w:rFonts w:ascii="Times New Roman"/>
                <w:color w:val="00B0F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jc w:val="center"/>
        </w:trPr>
        <w:tc>
          <w:tcPr>
            <w:tcW w:w="1462" w:type="dxa"/>
          </w:tcPr>
          <w:p>
            <w:pPr>
              <w:pStyle w:val="23"/>
              <w:jc w:val="center"/>
              <w:rPr>
                <w:rFonts w:ascii="Times New Roman"/>
                <w:color w:val="00B0F0"/>
              </w:rPr>
            </w:pPr>
          </w:p>
        </w:tc>
        <w:tc>
          <w:tcPr>
            <w:tcW w:w="1275" w:type="dxa"/>
          </w:tcPr>
          <w:p>
            <w:pPr>
              <w:pStyle w:val="23"/>
              <w:jc w:val="center"/>
              <w:rPr>
                <w:rFonts w:ascii="Times New Roman"/>
                <w:color w:val="00B0F0"/>
              </w:rPr>
            </w:pPr>
          </w:p>
        </w:tc>
        <w:tc>
          <w:tcPr>
            <w:tcW w:w="1488" w:type="dxa"/>
          </w:tcPr>
          <w:p>
            <w:pPr>
              <w:pStyle w:val="23"/>
              <w:jc w:val="center"/>
              <w:rPr>
                <w:rFonts w:ascii="Times New Roman"/>
                <w:color w:val="00B0F0"/>
              </w:rPr>
            </w:pPr>
          </w:p>
        </w:tc>
        <w:tc>
          <w:tcPr>
            <w:tcW w:w="1187" w:type="dxa"/>
          </w:tcPr>
          <w:p>
            <w:pPr>
              <w:pStyle w:val="23"/>
              <w:jc w:val="center"/>
              <w:rPr>
                <w:rFonts w:ascii="Times New Roman"/>
                <w:color w:val="00B0F0"/>
              </w:rPr>
            </w:pPr>
          </w:p>
        </w:tc>
        <w:tc>
          <w:tcPr>
            <w:tcW w:w="1051" w:type="dxa"/>
          </w:tcPr>
          <w:p>
            <w:pPr>
              <w:pStyle w:val="23"/>
              <w:jc w:val="center"/>
              <w:rPr>
                <w:rFonts w:ascii="Times New Roman"/>
                <w:color w:val="00B0F0"/>
              </w:rPr>
            </w:pPr>
          </w:p>
        </w:tc>
        <w:tc>
          <w:tcPr>
            <w:tcW w:w="1012" w:type="dxa"/>
          </w:tcPr>
          <w:p>
            <w:pPr>
              <w:pStyle w:val="23"/>
              <w:jc w:val="center"/>
              <w:rPr>
                <w:rFonts w:ascii="Times New Roman"/>
                <w:color w:val="00B0F0"/>
              </w:rPr>
            </w:pPr>
          </w:p>
        </w:tc>
        <w:tc>
          <w:tcPr>
            <w:tcW w:w="1537" w:type="dxa"/>
          </w:tcPr>
          <w:p>
            <w:pPr>
              <w:pStyle w:val="23"/>
              <w:jc w:val="center"/>
              <w:rPr>
                <w:rFonts w:ascii="Times New Roman"/>
                <w:color w:val="00B0F0"/>
              </w:rPr>
            </w:pPr>
          </w:p>
        </w:tc>
        <w:tc>
          <w:tcPr>
            <w:tcW w:w="1241" w:type="dxa"/>
          </w:tcPr>
          <w:p>
            <w:pPr>
              <w:pStyle w:val="23"/>
              <w:jc w:val="center"/>
              <w:rPr>
                <w:rFonts w:ascii="Times New Roman"/>
                <w:color w:val="00B0F0"/>
              </w:rPr>
            </w:pPr>
          </w:p>
        </w:tc>
        <w:tc>
          <w:tcPr>
            <w:tcW w:w="1075" w:type="dxa"/>
          </w:tcPr>
          <w:p>
            <w:pPr>
              <w:pStyle w:val="23"/>
              <w:jc w:val="center"/>
              <w:rPr>
                <w:rFonts w:ascii="Times New Roman"/>
                <w:color w:val="00B0F0"/>
              </w:rPr>
            </w:pPr>
          </w:p>
        </w:tc>
        <w:tc>
          <w:tcPr>
            <w:tcW w:w="838" w:type="dxa"/>
          </w:tcPr>
          <w:p>
            <w:pPr>
              <w:pStyle w:val="23"/>
              <w:jc w:val="center"/>
              <w:rPr>
                <w:rFonts w:ascii="Times New Roman"/>
                <w:color w:val="00B0F0"/>
              </w:rPr>
            </w:pPr>
          </w:p>
        </w:tc>
        <w:tc>
          <w:tcPr>
            <w:tcW w:w="912" w:type="dxa"/>
          </w:tcPr>
          <w:p>
            <w:pPr>
              <w:pStyle w:val="23"/>
              <w:jc w:val="center"/>
              <w:rPr>
                <w:rFonts w:ascii="Times New Roman"/>
                <w:color w:val="00B0F0"/>
              </w:rPr>
            </w:pPr>
          </w:p>
        </w:tc>
      </w:tr>
    </w:tbl>
    <w:p>
      <w:pPr>
        <w:pStyle w:val="9"/>
        <w:rPr>
          <w:b/>
          <w:sz w:val="32"/>
        </w:rPr>
      </w:pPr>
    </w:p>
    <w:p>
      <w:pPr>
        <w:pStyle w:val="9"/>
        <w:spacing w:before="11"/>
        <w:rPr>
          <w:b/>
          <w:sz w:val="37"/>
        </w:rPr>
      </w:pPr>
    </w:p>
    <w:p>
      <w:pPr>
        <w:ind w:left="6816" w:right="6815"/>
        <w:jc w:val="center"/>
        <w:rPr>
          <w:rFonts w:ascii="宋体"/>
          <w:sz w:val="18"/>
        </w:rPr>
      </w:pPr>
      <w:r>
        <w:rPr>
          <w:rFonts w:ascii="宋体"/>
          <w:sz w:val="18"/>
        </w:rPr>
        <w:t>47</w:t>
      </w:r>
    </w:p>
    <w:p>
      <w:pPr>
        <w:jc w:val="center"/>
        <w:rPr>
          <w:rFonts w:ascii="宋体"/>
          <w:sz w:val="18"/>
        </w:rPr>
        <w:sectPr>
          <w:footerReference r:id="rId11" w:type="default"/>
          <w:pgSz w:w="16840" w:h="11910" w:orient="landscape"/>
          <w:pgMar w:top="1100" w:right="780" w:bottom="280" w:left="780" w:header="0" w:footer="0" w:gutter="0"/>
          <w:cols w:space="720" w:num="1"/>
        </w:sectPr>
      </w:pPr>
    </w:p>
    <w:p>
      <w:pPr>
        <w:pStyle w:val="3"/>
        <w:spacing w:before="36"/>
        <w:ind w:left="2199" w:right="2300"/>
        <w:rPr>
          <w:sz w:val="46"/>
        </w:rPr>
      </w:pPr>
      <w:bookmarkStart w:id="102" w:name="第五章服务需求"/>
      <w:bookmarkEnd w:id="102"/>
      <w:r>
        <w:t>第五章服务需求</w:t>
      </w:r>
    </w:p>
    <w:p>
      <w:pPr>
        <w:tabs>
          <w:tab w:val="left" w:pos="0"/>
        </w:tabs>
        <w:spacing w:line="360" w:lineRule="auto"/>
        <w:ind w:firstLine="480" w:firstLineChars="200"/>
        <w:rPr>
          <w:sz w:val="24"/>
          <w:szCs w:val="24"/>
        </w:rPr>
      </w:pPr>
      <w:bookmarkStart w:id="103" w:name="_Toc23202"/>
      <w:bookmarkStart w:id="104" w:name="_Toc3945"/>
      <w:bookmarkStart w:id="105" w:name="_Toc7102"/>
      <w:bookmarkStart w:id="106" w:name="_Toc26816"/>
      <w:bookmarkStart w:id="107" w:name="_Toc32589"/>
      <w:bookmarkStart w:id="108" w:name="_Toc8490"/>
      <w:bookmarkStart w:id="109" w:name="_Toc27394"/>
      <w:bookmarkStart w:id="110" w:name="_Toc1479"/>
      <w:bookmarkStart w:id="111" w:name="_Toc21330"/>
      <w:bookmarkStart w:id="112" w:name="_Toc27775"/>
      <w:bookmarkStart w:id="113" w:name="_Toc18017"/>
      <w:bookmarkStart w:id="114" w:name="_Toc9371"/>
      <w:bookmarkStart w:id="115" w:name="_Toc32283"/>
      <w:bookmarkStart w:id="116" w:name="_Toc21590"/>
    </w:p>
    <w:p>
      <w:pPr>
        <w:tabs>
          <w:tab w:val="left" w:pos="0"/>
        </w:tabs>
        <w:spacing w:line="360" w:lineRule="auto"/>
        <w:ind w:firstLine="480" w:firstLineChars="200"/>
        <w:rPr>
          <w:sz w:val="24"/>
          <w:szCs w:val="24"/>
        </w:rPr>
      </w:pPr>
      <w:r>
        <w:rPr>
          <w:rFonts w:hint="eastAsia"/>
          <w:sz w:val="24"/>
          <w:szCs w:val="24"/>
        </w:rPr>
        <w:t>一、临港片区物业服务</w:t>
      </w:r>
    </w:p>
    <w:p>
      <w:pPr>
        <w:tabs>
          <w:tab w:val="left" w:pos="0"/>
        </w:tabs>
        <w:spacing w:line="360" w:lineRule="auto"/>
        <w:ind w:firstLine="480" w:firstLineChars="200"/>
        <w:rPr>
          <w:sz w:val="24"/>
          <w:szCs w:val="24"/>
        </w:rPr>
      </w:pPr>
      <w:r>
        <w:rPr>
          <w:rFonts w:hint="eastAsia"/>
          <w:sz w:val="24"/>
          <w:szCs w:val="24"/>
        </w:rPr>
        <w:t>物业服务包括保安、保洁、维修、会议，园区绿化、保洁等服务，面积25590.61㎡，机电科技产业园办公楼、宿舍和深圳产业园一期院内办公楼院内道路保洁57429.34㎡，机电科技产业园办公楼、宿舍和深圳产业园一期院内办公楼院内绿化养护7668.06㎡。</w:t>
      </w:r>
    </w:p>
    <w:p>
      <w:pPr>
        <w:tabs>
          <w:tab w:val="left" w:pos="0"/>
        </w:tabs>
        <w:spacing w:line="360" w:lineRule="auto"/>
        <w:ind w:firstLine="480" w:firstLineChars="200"/>
        <w:rPr>
          <w:sz w:val="24"/>
          <w:szCs w:val="24"/>
        </w:rPr>
      </w:pPr>
      <w:r>
        <w:rPr>
          <w:rFonts w:hint="eastAsia"/>
          <w:sz w:val="24"/>
          <w:szCs w:val="24"/>
        </w:rPr>
        <w:t>1、保洁标准：地面每天清扫2次，墙体每周清扫一次，门每天一次，窗户玻璃每周一次保持透亮，负责园区垃圾清运，配备相应的垃圾船等设备设施并自行解决清运渠道。</w:t>
      </w:r>
    </w:p>
    <w:p>
      <w:pPr>
        <w:tabs>
          <w:tab w:val="left" w:pos="0"/>
        </w:tabs>
        <w:spacing w:line="360" w:lineRule="auto"/>
        <w:ind w:firstLine="480" w:firstLineChars="200"/>
        <w:rPr>
          <w:sz w:val="24"/>
          <w:szCs w:val="24"/>
        </w:rPr>
      </w:pPr>
      <w:r>
        <w:rPr>
          <w:rFonts w:hint="eastAsia"/>
          <w:sz w:val="24"/>
          <w:szCs w:val="24"/>
        </w:rPr>
        <w:t>2、保安服务标准：保安服务范围为园区及周边;对园区施行24小时值班制，定时进行巡逻，每班不少于16人；对进出园区办事人员按要求进行登记和检查，保证园区安全；保安人员在岗期间不得饮酒、擅自离岗，保证仪容仪表和礼貌待人。</w:t>
      </w:r>
    </w:p>
    <w:p>
      <w:pPr>
        <w:tabs>
          <w:tab w:val="left" w:pos="0"/>
        </w:tabs>
        <w:spacing w:line="360" w:lineRule="auto"/>
        <w:ind w:firstLine="480" w:firstLineChars="200"/>
        <w:rPr>
          <w:sz w:val="24"/>
          <w:szCs w:val="24"/>
        </w:rPr>
      </w:pPr>
      <w:r>
        <w:rPr>
          <w:rFonts w:hint="eastAsia"/>
          <w:sz w:val="24"/>
          <w:szCs w:val="24"/>
        </w:rPr>
        <w:t>3、日常维护范围和标准:配备维修人员对其相关设施进行日常维护维修；对于日常维修小于1000元以下的维修费用由物业单位承担，大于1000元以上维修费用由业主单位负责，按有关规定委托物业单位维修或由第三方维修。对园区消防设施及其它等设施进行检查；如园区设施发生异常情况无法处理时，及时上报，提出解决方案；为企业提供市场价维修服务。</w:t>
      </w:r>
    </w:p>
    <w:p>
      <w:pPr>
        <w:pStyle w:val="2"/>
        <w:spacing w:line="360" w:lineRule="auto"/>
        <w:ind w:firstLine="480"/>
        <w:rPr>
          <w:rFonts w:ascii="仿宋" w:hAnsi="仿宋" w:eastAsia="仿宋" w:cs="仿宋"/>
          <w:szCs w:val="24"/>
        </w:rPr>
      </w:pPr>
      <w:r>
        <w:rPr>
          <w:rFonts w:hint="eastAsia" w:ascii="仿宋" w:hAnsi="仿宋" w:eastAsia="仿宋" w:cs="仿宋"/>
          <w:szCs w:val="24"/>
        </w:rPr>
        <w:t>4、会议服务范围和标准</w:t>
      </w:r>
    </w:p>
    <w:p>
      <w:pPr>
        <w:pStyle w:val="2"/>
        <w:spacing w:line="360" w:lineRule="auto"/>
        <w:ind w:firstLine="720" w:firstLineChars="300"/>
        <w:rPr>
          <w:rFonts w:ascii="仿宋" w:hAnsi="仿宋" w:eastAsia="仿宋" w:cs="仿宋"/>
          <w:szCs w:val="24"/>
        </w:rPr>
      </w:pPr>
      <w:r>
        <w:rPr>
          <w:rFonts w:hint="eastAsia" w:ascii="仿宋" w:hAnsi="仿宋" w:eastAsia="仿宋" w:cs="仿宋"/>
          <w:szCs w:val="24"/>
        </w:rPr>
        <w:t>会议前检查室内门、窗、地面(地毯、石材)保持干净无尘土、无污物、白板干净、( 电话、电视、投影仪、可视会议设备)设备上无尘土、植物无枯黄、空气清新;窗帘或百叶窗检查是否干净无浮土，帘下无垃圾;地脚线干净;桌面干净无水印、手印，金属饰条光亮;座椅面干净、外观干净无脏印、转椅腿无尘土，会议白板干净、无笔印、无浮土，笔槽内干净;植物外型好、盆内无垃圾、叶片干净、托盘无水渍;配合服务部门从库房领取相关办公用品，其它物品补充及其它服务要求</w:t>
      </w:r>
    </w:p>
    <w:p>
      <w:pPr>
        <w:tabs>
          <w:tab w:val="left" w:pos="0"/>
        </w:tabs>
        <w:spacing w:line="360" w:lineRule="auto"/>
        <w:ind w:firstLine="480" w:firstLineChars="200"/>
        <w:rPr>
          <w:sz w:val="24"/>
          <w:szCs w:val="24"/>
        </w:rPr>
      </w:pPr>
      <w:r>
        <w:rPr>
          <w:rFonts w:hint="eastAsia"/>
          <w:sz w:val="24"/>
          <w:szCs w:val="24"/>
        </w:rPr>
        <w:t>5、按甲方要求完成其他相关工作。</w:t>
      </w:r>
      <w:bookmarkEnd w:id="103"/>
      <w:bookmarkEnd w:id="104"/>
      <w:bookmarkEnd w:id="105"/>
      <w:bookmarkEnd w:id="106"/>
      <w:bookmarkEnd w:id="107"/>
      <w:bookmarkEnd w:id="108"/>
      <w:bookmarkEnd w:id="109"/>
    </w:p>
    <w:p>
      <w:pPr>
        <w:tabs>
          <w:tab w:val="left" w:pos="0"/>
        </w:tabs>
        <w:spacing w:line="360" w:lineRule="auto"/>
        <w:ind w:firstLine="480" w:firstLineChars="200"/>
        <w:rPr>
          <w:sz w:val="24"/>
          <w:szCs w:val="24"/>
        </w:rPr>
      </w:pPr>
      <w:r>
        <w:rPr>
          <w:rFonts w:hint="eastAsia"/>
          <w:sz w:val="24"/>
          <w:szCs w:val="24"/>
        </w:rPr>
        <w:t>二、付款方式：</w:t>
      </w:r>
    </w:p>
    <w:p>
      <w:pPr>
        <w:tabs>
          <w:tab w:val="left" w:pos="0"/>
        </w:tabs>
        <w:spacing w:line="360" w:lineRule="auto"/>
        <w:ind w:firstLine="480" w:firstLineChars="200"/>
        <w:rPr>
          <w:sz w:val="24"/>
          <w:szCs w:val="24"/>
        </w:rPr>
      </w:pPr>
      <w:r>
        <w:rPr>
          <w:rFonts w:hint="eastAsia"/>
          <w:sz w:val="24"/>
          <w:szCs w:val="24"/>
        </w:rPr>
        <w:t>物业服务：对管护公司每月一次综合考核，按照评定结果每月支付管护费用。</w:t>
      </w:r>
    </w:p>
    <w:bookmarkEnd w:id="110"/>
    <w:bookmarkEnd w:id="111"/>
    <w:bookmarkEnd w:id="112"/>
    <w:bookmarkEnd w:id="113"/>
    <w:bookmarkEnd w:id="114"/>
    <w:bookmarkEnd w:id="115"/>
    <w:bookmarkEnd w:id="116"/>
    <w:p>
      <w:pPr>
        <w:pStyle w:val="2"/>
        <w:spacing w:line="360" w:lineRule="auto"/>
        <w:ind w:firstLine="480"/>
        <w:rPr>
          <w:szCs w:val="24"/>
        </w:rPr>
      </w:pPr>
      <w:r>
        <w:rPr>
          <w:rFonts w:hint="eastAsia"/>
          <w:szCs w:val="24"/>
        </w:rPr>
        <w:t>三、采购人应对招标服务提出详细的要求：</w:t>
      </w:r>
    </w:p>
    <w:p>
      <w:pPr>
        <w:pStyle w:val="2"/>
        <w:spacing w:line="360" w:lineRule="auto"/>
        <w:ind w:firstLine="480"/>
        <w:rPr>
          <w:szCs w:val="24"/>
          <w:u w:val="single"/>
        </w:rPr>
      </w:pPr>
      <w:r>
        <w:rPr>
          <w:rFonts w:hint="eastAsia"/>
          <w:szCs w:val="24"/>
          <w:u w:val="single"/>
        </w:rPr>
        <w:t>1、服务地点：喀什经济开发区临港片区</w:t>
      </w:r>
    </w:p>
    <w:p>
      <w:pPr>
        <w:pStyle w:val="2"/>
        <w:spacing w:line="360" w:lineRule="auto"/>
        <w:ind w:firstLine="480"/>
        <w:rPr>
          <w:szCs w:val="24"/>
          <w:u w:val="single"/>
        </w:rPr>
      </w:pPr>
      <w:r>
        <w:rPr>
          <w:rFonts w:hint="eastAsia"/>
          <w:szCs w:val="24"/>
          <w:u w:val="single"/>
        </w:rPr>
        <w:t>2、服务期：签订合同后3日内到岗开始服务，如逾期服务，7天之内则每日按合同总额1％的标准向采购单位支付违约金、超过七天按中标金额10%扣除违约金，并赔偿由此给采购单位造成的全部损失及后果。</w:t>
      </w:r>
    </w:p>
    <w:p>
      <w:pPr>
        <w:pStyle w:val="2"/>
        <w:spacing w:line="360" w:lineRule="auto"/>
        <w:ind w:firstLine="480"/>
        <w:rPr>
          <w:szCs w:val="24"/>
          <w:u w:val="single"/>
        </w:rPr>
      </w:pPr>
      <w:r>
        <w:rPr>
          <w:rFonts w:hint="eastAsia"/>
          <w:szCs w:val="24"/>
          <w:u w:val="single"/>
        </w:rPr>
        <w:t>3、中标通知书发出后在3日内签订政府采购合同，若第一中标人拒绝签订政府采购合同，将取消中标资格，应当承担相应的法律责任。甲方可确定下一候选人为中标人，依次类推。</w:t>
      </w:r>
    </w:p>
    <w:p>
      <w:pPr>
        <w:pStyle w:val="2"/>
        <w:spacing w:line="360" w:lineRule="auto"/>
        <w:ind w:firstLine="480"/>
        <w:rPr>
          <w:szCs w:val="24"/>
          <w:u w:val="single"/>
        </w:rPr>
      </w:pPr>
      <w:bookmarkStart w:id="117" w:name="_Toc3350"/>
      <w:r>
        <w:rPr>
          <w:rFonts w:hint="eastAsia"/>
          <w:szCs w:val="24"/>
          <w:u w:val="single"/>
        </w:rPr>
        <w:t>4、人员及设备配备要求：</w:t>
      </w:r>
      <w:bookmarkEnd w:id="117"/>
    </w:p>
    <w:p>
      <w:pPr>
        <w:pStyle w:val="2"/>
        <w:spacing w:line="360" w:lineRule="auto"/>
        <w:ind w:firstLine="480"/>
        <w:rPr>
          <w:szCs w:val="24"/>
          <w:u w:val="single"/>
        </w:rPr>
      </w:pPr>
      <w:bookmarkStart w:id="118" w:name="_Toc4879"/>
      <w:r>
        <w:rPr>
          <w:rFonts w:hint="eastAsia"/>
          <w:szCs w:val="24"/>
          <w:u w:val="single"/>
        </w:rPr>
        <w:t>（1）项目负责人 2 名、管理人员 4名，保安每班不少于16人，1名保安队长，水电维修工不少于5人，其他物业、保洁等人员不少于50人，项目负责人、劳务人员等人员由甲、乙双方共同管理，听从甲方指定安排。</w:t>
      </w:r>
      <w:bookmarkEnd w:id="118"/>
    </w:p>
    <w:p>
      <w:pPr>
        <w:pStyle w:val="2"/>
        <w:spacing w:line="360" w:lineRule="auto"/>
        <w:ind w:firstLine="480"/>
        <w:rPr>
          <w:szCs w:val="24"/>
          <w:u w:val="single"/>
        </w:rPr>
      </w:pPr>
      <w:bookmarkStart w:id="119" w:name="_Toc20533"/>
      <w:r>
        <w:rPr>
          <w:rFonts w:hint="eastAsia"/>
          <w:szCs w:val="24"/>
          <w:u w:val="single"/>
        </w:rPr>
        <w:t>（2）甲方有权要求乙方随时更换在实际工作中不称职的人员，更换人员必须具有同等或以上资质的本单位人员。</w:t>
      </w:r>
      <w:bookmarkEnd w:id="119"/>
    </w:p>
    <w:p>
      <w:pPr>
        <w:pStyle w:val="9"/>
        <w:spacing w:line="360" w:lineRule="auto"/>
        <w:ind w:left="614"/>
        <w:rPr>
          <w:rFonts w:ascii="宋体" w:eastAsia="宋体"/>
        </w:rPr>
      </w:pPr>
      <w:r>
        <w:rPr>
          <w:rFonts w:hint="eastAsia"/>
          <w:u w:val="single"/>
        </w:rPr>
        <w:t>5、服务期限：一年</w:t>
      </w:r>
    </w:p>
    <w:p>
      <w:pPr>
        <w:pStyle w:val="9"/>
        <w:spacing w:line="306" w:lineRule="exact"/>
        <w:ind w:left="614"/>
        <w:rPr>
          <w:rFonts w:ascii="宋体" w:eastAsia="宋体"/>
          <w:b/>
          <w:szCs w:val="22"/>
        </w:rPr>
      </w:pPr>
    </w:p>
    <w:p>
      <w:pPr>
        <w:pStyle w:val="9"/>
        <w:spacing w:line="306" w:lineRule="exact"/>
        <w:ind w:left="614"/>
        <w:rPr>
          <w:rFonts w:ascii="宋体" w:eastAsia="宋体"/>
          <w:b/>
          <w:szCs w:val="22"/>
        </w:rPr>
      </w:pPr>
    </w:p>
    <w:p>
      <w:pPr>
        <w:pStyle w:val="9"/>
        <w:spacing w:line="306" w:lineRule="exact"/>
        <w:ind w:left="614"/>
        <w:rPr>
          <w:rFonts w:ascii="宋体" w:eastAsia="宋体"/>
          <w:b/>
          <w:szCs w:val="22"/>
        </w:rPr>
      </w:pPr>
    </w:p>
    <w:p>
      <w:pPr>
        <w:pStyle w:val="9"/>
        <w:spacing w:line="306" w:lineRule="exact"/>
        <w:ind w:left="614"/>
        <w:rPr>
          <w:rFonts w:ascii="宋体" w:eastAsia="宋体"/>
          <w:b/>
          <w:szCs w:val="22"/>
        </w:rPr>
      </w:pPr>
    </w:p>
    <w:p>
      <w:pPr>
        <w:pStyle w:val="9"/>
        <w:spacing w:line="306" w:lineRule="exact"/>
        <w:ind w:left="614"/>
        <w:rPr>
          <w:rFonts w:ascii="宋体" w:eastAsia="宋体"/>
          <w:b/>
          <w:szCs w:val="22"/>
        </w:rPr>
      </w:pPr>
    </w:p>
    <w:p>
      <w:pPr>
        <w:pStyle w:val="9"/>
        <w:spacing w:line="306" w:lineRule="exact"/>
        <w:ind w:left="614"/>
        <w:rPr>
          <w:rFonts w:ascii="宋体" w:eastAsia="宋体"/>
          <w:b/>
          <w:szCs w:val="22"/>
        </w:rPr>
      </w:pPr>
    </w:p>
    <w:p>
      <w:pPr>
        <w:pStyle w:val="9"/>
        <w:spacing w:line="306" w:lineRule="exact"/>
        <w:ind w:left="614"/>
        <w:rPr>
          <w:rFonts w:ascii="宋体" w:eastAsia="宋体"/>
          <w:b/>
          <w:szCs w:val="22"/>
        </w:rPr>
      </w:pPr>
    </w:p>
    <w:p>
      <w:pPr>
        <w:pStyle w:val="9"/>
        <w:spacing w:line="306" w:lineRule="exact"/>
        <w:ind w:left="614"/>
        <w:rPr>
          <w:rFonts w:ascii="宋体" w:eastAsia="宋体"/>
          <w:b/>
          <w:szCs w:val="22"/>
        </w:rPr>
      </w:pPr>
    </w:p>
    <w:p>
      <w:pPr>
        <w:pStyle w:val="9"/>
        <w:spacing w:line="306" w:lineRule="exact"/>
        <w:ind w:left="614"/>
        <w:rPr>
          <w:rFonts w:ascii="宋体" w:eastAsia="宋体"/>
          <w:b/>
          <w:szCs w:val="22"/>
        </w:rPr>
      </w:pPr>
    </w:p>
    <w:p>
      <w:pPr>
        <w:pStyle w:val="9"/>
        <w:spacing w:line="306" w:lineRule="exact"/>
        <w:ind w:left="614"/>
        <w:rPr>
          <w:rFonts w:ascii="宋体" w:eastAsia="宋体"/>
          <w:b/>
          <w:szCs w:val="22"/>
        </w:rPr>
      </w:pPr>
    </w:p>
    <w:p>
      <w:pPr>
        <w:pStyle w:val="9"/>
        <w:spacing w:line="306" w:lineRule="exact"/>
        <w:ind w:left="614"/>
        <w:rPr>
          <w:rFonts w:ascii="宋体" w:eastAsia="宋体"/>
          <w:b/>
          <w:szCs w:val="22"/>
        </w:rPr>
      </w:pPr>
    </w:p>
    <w:p>
      <w:pPr>
        <w:pStyle w:val="9"/>
        <w:spacing w:line="306" w:lineRule="exact"/>
        <w:ind w:left="614"/>
        <w:rPr>
          <w:rFonts w:ascii="宋体" w:eastAsia="宋体"/>
          <w:b/>
          <w:szCs w:val="22"/>
        </w:rPr>
      </w:pPr>
    </w:p>
    <w:p>
      <w:pPr>
        <w:pStyle w:val="9"/>
        <w:spacing w:line="306" w:lineRule="exact"/>
        <w:ind w:left="614"/>
        <w:rPr>
          <w:rFonts w:ascii="宋体" w:eastAsia="宋体"/>
          <w:b/>
          <w:szCs w:val="22"/>
        </w:rPr>
      </w:pPr>
    </w:p>
    <w:p>
      <w:pPr>
        <w:pStyle w:val="9"/>
        <w:spacing w:line="306" w:lineRule="exact"/>
        <w:ind w:left="614"/>
        <w:rPr>
          <w:rFonts w:ascii="宋体" w:eastAsia="宋体"/>
          <w:b/>
          <w:szCs w:val="22"/>
        </w:rPr>
      </w:pPr>
    </w:p>
    <w:p>
      <w:pPr>
        <w:pStyle w:val="9"/>
        <w:spacing w:line="306" w:lineRule="exact"/>
        <w:ind w:left="614"/>
        <w:rPr>
          <w:rFonts w:ascii="宋体" w:eastAsia="宋体"/>
          <w:b/>
          <w:szCs w:val="22"/>
        </w:rPr>
      </w:pPr>
    </w:p>
    <w:p>
      <w:pPr>
        <w:pStyle w:val="9"/>
        <w:spacing w:line="306" w:lineRule="exact"/>
        <w:ind w:left="614"/>
        <w:rPr>
          <w:rFonts w:ascii="宋体" w:eastAsia="宋体"/>
          <w:b/>
          <w:szCs w:val="22"/>
        </w:rPr>
      </w:pPr>
    </w:p>
    <w:p>
      <w:pPr>
        <w:pStyle w:val="9"/>
        <w:spacing w:line="306" w:lineRule="exact"/>
        <w:ind w:left="614"/>
        <w:rPr>
          <w:rFonts w:ascii="宋体" w:eastAsia="宋体"/>
          <w:b/>
          <w:szCs w:val="22"/>
        </w:rPr>
      </w:pPr>
    </w:p>
    <w:p>
      <w:pPr>
        <w:pStyle w:val="9"/>
        <w:spacing w:line="306" w:lineRule="exact"/>
        <w:ind w:left="614"/>
        <w:rPr>
          <w:rFonts w:ascii="宋体" w:eastAsia="宋体"/>
          <w:b/>
          <w:szCs w:val="22"/>
        </w:rPr>
      </w:pPr>
    </w:p>
    <w:p>
      <w:pPr>
        <w:pStyle w:val="9"/>
        <w:spacing w:line="306" w:lineRule="exact"/>
        <w:ind w:left="614"/>
        <w:rPr>
          <w:rFonts w:ascii="宋体" w:eastAsia="宋体"/>
          <w:b/>
          <w:szCs w:val="22"/>
        </w:rPr>
      </w:pPr>
    </w:p>
    <w:p>
      <w:pPr>
        <w:pStyle w:val="9"/>
        <w:spacing w:line="306" w:lineRule="exact"/>
        <w:ind w:left="614"/>
        <w:rPr>
          <w:rFonts w:ascii="宋体" w:eastAsia="宋体"/>
          <w:b/>
          <w:szCs w:val="22"/>
        </w:rPr>
      </w:pPr>
    </w:p>
    <w:p>
      <w:pPr>
        <w:pStyle w:val="9"/>
        <w:spacing w:line="306" w:lineRule="exact"/>
        <w:ind w:left="614"/>
        <w:rPr>
          <w:rFonts w:ascii="宋体" w:eastAsia="宋体"/>
          <w:b/>
          <w:szCs w:val="22"/>
        </w:rPr>
      </w:pPr>
    </w:p>
    <w:p>
      <w:pPr>
        <w:pStyle w:val="9"/>
        <w:spacing w:line="306" w:lineRule="exact"/>
        <w:ind w:left="614"/>
        <w:rPr>
          <w:rFonts w:ascii="宋体" w:eastAsia="宋体"/>
          <w:b/>
          <w:szCs w:val="22"/>
        </w:rPr>
      </w:pPr>
    </w:p>
    <w:p>
      <w:pPr>
        <w:pStyle w:val="9"/>
        <w:spacing w:line="306" w:lineRule="exact"/>
        <w:ind w:left="614"/>
        <w:rPr>
          <w:rFonts w:ascii="宋体" w:eastAsia="宋体"/>
          <w:b/>
          <w:szCs w:val="22"/>
        </w:rPr>
      </w:pPr>
    </w:p>
    <w:p>
      <w:pPr>
        <w:pStyle w:val="9"/>
        <w:spacing w:line="306" w:lineRule="exact"/>
        <w:ind w:left="614"/>
        <w:rPr>
          <w:rFonts w:ascii="宋体" w:eastAsia="宋体"/>
          <w:b/>
          <w:szCs w:val="22"/>
        </w:rPr>
      </w:pPr>
    </w:p>
    <w:p>
      <w:pPr>
        <w:pStyle w:val="9"/>
        <w:spacing w:line="306" w:lineRule="exact"/>
        <w:ind w:left="614"/>
        <w:rPr>
          <w:rFonts w:ascii="宋体" w:eastAsia="宋体"/>
          <w:b/>
          <w:szCs w:val="22"/>
        </w:rPr>
      </w:pPr>
    </w:p>
    <w:p>
      <w:pPr>
        <w:pStyle w:val="9"/>
        <w:spacing w:line="306" w:lineRule="exact"/>
        <w:ind w:left="614"/>
        <w:rPr>
          <w:rFonts w:ascii="宋体" w:eastAsia="宋体"/>
          <w:b/>
          <w:szCs w:val="22"/>
        </w:rPr>
      </w:pPr>
    </w:p>
    <w:p>
      <w:pPr>
        <w:pStyle w:val="9"/>
        <w:spacing w:line="306" w:lineRule="exact"/>
        <w:ind w:left="614"/>
        <w:rPr>
          <w:rFonts w:ascii="宋体" w:eastAsia="宋体"/>
          <w:b/>
          <w:szCs w:val="22"/>
        </w:rPr>
      </w:pPr>
    </w:p>
    <w:p>
      <w:pPr>
        <w:pStyle w:val="9"/>
        <w:spacing w:before="21" w:line="364" w:lineRule="auto"/>
        <w:ind w:left="134" w:right="108" w:firstLine="3173" w:firstLineChars="1317"/>
        <w:rPr>
          <w:rFonts w:ascii="宋体" w:eastAsia="宋体"/>
          <w:b/>
        </w:rPr>
      </w:pPr>
    </w:p>
    <w:p>
      <w:pPr>
        <w:pStyle w:val="9"/>
        <w:spacing w:line="364" w:lineRule="auto"/>
        <w:ind w:left="134" w:right="228" w:firstLine="2168" w:firstLineChars="900"/>
        <w:jc w:val="both"/>
        <w:rPr>
          <w:rFonts w:ascii="宋体" w:eastAsia="宋体"/>
          <w:b/>
          <w:bCs/>
        </w:rPr>
      </w:pPr>
      <w:r>
        <w:rPr>
          <w:rFonts w:hint="eastAsia" w:ascii="宋体" w:eastAsia="宋体"/>
          <w:b/>
          <w:bCs/>
        </w:rPr>
        <w:t>喀什经济开发区绿地养护考核管理办法</w:t>
      </w:r>
    </w:p>
    <w:p>
      <w:pPr>
        <w:spacing w:line="56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为促进养护管理工作规范化、制度化、精细化，提升绿地养护管理水平，现以考核评分来量化和区分各管护企业管护水平，使养护经费支付与管护工作相挂钩，以起到奖优罚劣和鞭策管护工作的作用。根据有关法律法规和标准规范的规定，结合我区实际，特制定本办法。</w:t>
      </w:r>
    </w:p>
    <w:p>
      <w:pPr>
        <w:spacing w:line="560" w:lineRule="exact"/>
        <w:ind w:firstLine="241" w:firstLineChars="100"/>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1.考核依据</w:t>
      </w:r>
    </w:p>
    <w:p>
      <w:pPr>
        <w:spacing w:line="56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1.1.《城市园林绿化评价标准》（GB/T 50563-2010）</w:t>
      </w:r>
    </w:p>
    <w:p>
      <w:pPr>
        <w:spacing w:line="56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1.2.《城市绿地养护管理标准》（XJJ046-2012）</w:t>
      </w:r>
    </w:p>
    <w:p>
      <w:pPr>
        <w:spacing w:line="56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1.3.《园林绿化工程施工及验收规范》（CJJ82-2012）</w:t>
      </w:r>
    </w:p>
    <w:p>
      <w:pPr>
        <w:spacing w:line="560" w:lineRule="exact"/>
        <w:ind w:firstLine="241" w:firstLineChars="100"/>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2.考核内容</w:t>
      </w:r>
    </w:p>
    <w:p>
      <w:pPr>
        <w:spacing w:line="560" w:lineRule="exact"/>
        <w:ind w:firstLine="240" w:firstLineChars="100"/>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sz w:val="24"/>
          <w:szCs w:val="24"/>
        </w:rPr>
        <w:t>2.1.对喀什开发区内公园、广场、道路绿地、街头游园绿地、厂区绿地等以及相关养护单位组织管理工作进行考核。</w:t>
      </w:r>
    </w:p>
    <w:p>
      <w:pPr>
        <w:spacing w:line="560" w:lineRule="exact"/>
        <w:ind w:firstLine="241" w:firstLineChars="100"/>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3.考核办法</w:t>
      </w:r>
    </w:p>
    <w:p>
      <w:pPr>
        <w:spacing w:line="56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3.1.考核工作由片区负责人组织实施，成立定期考核组和日常检查组，日常检查组及定期考核组由喀什经济开发区空港产业物流区管理服务中心人员组成。组成员必须是单数，如有争议时会议商讨决定。</w:t>
      </w:r>
    </w:p>
    <w:p>
      <w:pPr>
        <w:spacing w:line="56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3.2.定期考核以</w:t>
      </w:r>
      <w:r>
        <w:rPr>
          <w:rFonts w:hint="eastAsia" w:asciiTheme="majorEastAsia" w:hAnsiTheme="majorEastAsia" w:eastAsiaTheme="majorEastAsia" w:cstheme="majorEastAsia"/>
          <w:sz w:val="24"/>
          <w:szCs w:val="24"/>
          <w:lang w:val="en-US"/>
        </w:rPr>
        <w:t>月</w:t>
      </w:r>
      <w:r>
        <w:rPr>
          <w:rFonts w:hint="eastAsia" w:asciiTheme="majorEastAsia" w:hAnsiTheme="majorEastAsia" w:eastAsiaTheme="majorEastAsia" w:cstheme="majorEastAsia"/>
          <w:sz w:val="24"/>
          <w:szCs w:val="24"/>
        </w:rPr>
        <w:t>考核为主（每</w:t>
      </w:r>
      <w:r>
        <w:rPr>
          <w:rFonts w:hint="eastAsia" w:asciiTheme="majorEastAsia" w:hAnsiTheme="majorEastAsia" w:eastAsiaTheme="majorEastAsia" w:cstheme="majorEastAsia"/>
          <w:sz w:val="24"/>
          <w:szCs w:val="24"/>
          <w:lang w:val="en-US"/>
        </w:rPr>
        <w:t>月初</w:t>
      </w:r>
      <w:r>
        <w:rPr>
          <w:rFonts w:hint="eastAsia" w:asciiTheme="majorEastAsia" w:hAnsiTheme="majorEastAsia" w:eastAsiaTheme="majorEastAsia" w:cstheme="majorEastAsia"/>
          <w:sz w:val="24"/>
          <w:szCs w:val="24"/>
        </w:rPr>
        <w:t>进行，具体时间提前通知）。每次考核由考核组具体负责组织实施，检查内容见（喀什经济开发区绿化养护考核评分表)；实地考核时，被考核单位必须由现场管理人员人参加（确因故不能按时参加的需提前书面请假，请假函需签章，另行安排他人参加)。三次无故不参加的企业，将约谈该企业法定代表人，并要求该企业进行书面承诺后期项目进行中，履行我中心管理办法的处罚条例，如承诺后任不改正我中心有权利5-10倍处罚。</w:t>
      </w:r>
    </w:p>
    <w:p>
      <w:pPr>
        <w:spacing w:line="56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3.3.考核中发现问题当场下达整改通知</w:t>
      </w:r>
      <w:r>
        <w:rPr>
          <w:rFonts w:hint="eastAsia" w:asciiTheme="majorEastAsia" w:hAnsiTheme="majorEastAsia" w:eastAsiaTheme="majorEastAsia" w:cstheme="majorEastAsia"/>
          <w:sz w:val="24"/>
          <w:szCs w:val="24"/>
          <w:lang w:val="en-US"/>
        </w:rPr>
        <w:t>或口头通知整改</w:t>
      </w:r>
      <w:r>
        <w:rPr>
          <w:rFonts w:hint="eastAsia" w:asciiTheme="majorEastAsia" w:hAnsiTheme="majorEastAsia" w:eastAsiaTheme="majorEastAsia" w:cstheme="majorEastAsia"/>
          <w:sz w:val="24"/>
          <w:szCs w:val="24"/>
        </w:rPr>
        <w:t>，养护单位或个人进行整改，并由日常检查组进行跟踪督察，整改期限已到仍未达到要求的，两次我中心将下达处罚通知，考核加倍扣分。</w:t>
      </w:r>
    </w:p>
    <w:p>
      <w:pPr>
        <w:spacing w:line="56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3.4.日常检查每天不定期进行，检查内容包括考核整改、日常巡查及重大节日、庆典、“迎检”等指令性检查。检查组就各企业负责管护路段（地块）进行日常巡查和不定期检查，对存在的问题及时通知管护企业或个人，目常检查组将根据已发出的整改通知安排进行复查。</w:t>
      </w:r>
    </w:p>
    <w:p>
      <w:pPr>
        <w:spacing w:line="56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3.5.每个养护单位每月的考核分由日常检查分和定期每周考核分综合构成，分别占总分的周50%、月50%计入，按月进行汇总。</w:t>
      </w:r>
    </w:p>
    <w:p>
      <w:pPr>
        <w:spacing w:line="56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3.6.日常检查、定期考核均实行百分制考核，检查考核工作人员按照《喀什经济开发区城市绿化养护考核评分表》进行考核评分。</w:t>
      </w:r>
    </w:p>
    <w:p>
      <w:pPr>
        <w:spacing w:line="56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3.7.日常考核现场下整改通知，与下月初定期考核成绩汇总后按月通报。日常考核与定期考核每次考核情况及汇总情况在城东金融贸易区公示栏定期公示。</w:t>
      </w:r>
    </w:p>
    <w:p>
      <w:pPr>
        <w:spacing w:line="56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3.8.我中心将按照周、月、季综合管理评分办法，计合企业综合评分，评分三个季度</w:t>
      </w:r>
      <w:r>
        <w:rPr>
          <w:rFonts w:hint="eastAsia" w:asciiTheme="majorEastAsia" w:hAnsiTheme="majorEastAsia" w:eastAsiaTheme="majorEastAsia" w:cstheme="majorEastAsia"/>
          <w:sz w:val="24"/>
          <w:szCs w:val="24"/>
          <w:lang w:val="en-US"/>
        </w:rPr>
        <w:t>不合格</w:t>
      </w:r>
      <w:r>
        <w:rPr>
          <w:rFonts w:hint="eastAsia" w:asciiTheme="majorEastAsia" w:hAnsiTheme="majorEastAsia" w:eastAsiaTheme="majorEastAsia" w:cstheme="majorEastAsia"/>
          <w:sz w:val="24"/>
          <w:szCs w:val="24"/>
        </w:rPr>
        <w:t>施行淘汰。</w:t>
      </w:r>
    </w:p>
    <w:p>
      <w:pPr>
        <w:spacing w:line="56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3.9.被淘汰的企业我中心将上报管委会，三年纳入黑名单，不在给于承接经开区一切项目，三年后将如有再次承接开发区项目，任无所改进我中心将上报管委会我终身不在与该企业合作。</w:t>
      </w:r>
    </w:p>
    <w:p>
      <w:pPr>
        <w:spacing w:line="56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3.10.如交叉作业区发生争执时，即使联系我中心区域管理负责人前去协调，不准越我中心上报。</w:t>
      </w:r>
    </w:p>
    <w:p>
      <w:pPr>
        <w:spacing w:line="56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3.11. 处罚款将从每月支付养护费进度款中扣除。</w:t>
      </w:r>
    </w:p>
    <w:p>
      <w:pPr>
        <w:spacing w:line="560" w:lineRule="exact"/>
        <w:ind w:firstLine="241" w:firstLineChars="100"/>
        <w:rPr>
          <w:rFonts w:asciiTheme="majorEastAsia" w:hAnsiTheme="majorEastAsia" w:eastAsiaTheme="majorEastAsia" w:cstheme="majorEastAsia"/>
          <w:b/>
          <w:sz w:val="24"/>
          <w:szCs w:val="24"/>
        </w:rPr>
      </w:pPr>
      <w:r>
        <w:rPr>
          <w:rFonts w:hint="eastAsia" w:asciiTheme="majorEastAsia" w:hAnsiTheme="majorEastAsia" w:eastAsiaTheme="majorEastAsia" w:cstheme="majorEastAsia"/>
          <w:b/>
          <w:sz w:val="24"/>
          <w:szCs w:val="24"/>
        </w:rPr>
        <w:t>4.经费核定办法</w:t>
      </w:r>
    </w:p>
    <w:p>
      <w:pPr>
        <w:spacing w:line="56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4.1为激励先进，鞭策后进，调动各养护单位及积极性，依据考核情况对各管护作业单位进行经费核定。</w:t>
      </w:r>
    </w:p>
    <w:p>
      <w:pPr>
        <w:spacing w:line="56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4.2.月考核（按四周计入）综合得分≥90、&lt;95分的，全额拨付养护经费：</w:t>
      </w:r>
    </w:p>
    <w:p>
      <w:pPr>
        <w:spacing w:line="56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4.2.1.月考核（按四周计入）综合得分&lt;90分的，进行经济处罚，扣除相应分值的管护费。（具体标准如下：</w:t>
      </w:r>
    </w:p>
    <w:p>
      <w:pPr>
        <w:spacing w:line="56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4.2.1.a月考核综合得分≥80、&lt;90的，每低1分扣拨本月管护经费的1%，</w:t>
      </w:r>
    </w:p>
    <w:p>
      <w:pPr>
        <w:spacing w:line="56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4.2.2.b月考核综合得分在≥70、&lt;80的，每低1分扣拨本月管护经费的2%，</w:t>
      </w:r>
    </w:p>
    <w:p>
      <w:pPr>
        <w:spacing w:line="56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4.2.3.c月考核综合得分≥60、&lt;70的，每低1分扣拨本月管护经费的3%，</w:t>
      </w:r>
    </w:p>
    <w:p>
      <w:pPr>
        <w:spacing w:line="56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4.2.4.d月考核综合得分&lt;60的，每低1分扣拨本月管护经费的4%，不够部分从下月养护经费中扣除，以上扣款经公示后上报相关部门备案，扣款金额在申请拨付本年度养护经费时进行核扣。</w:t>
      </w:r>
    </w:p>
    <w:p>
      <w:pPr>
        <w:spacing w:line="56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4.3管护期间因养护单位责任发生重大安全责任事故，经核查属实，扣除本月管养分5分（对造成损失的由责任单位负责并追究其相关责任)。</w:t>
      </w:r>
    </w:p>
    <w:p>
      <w:pPr>
        <w:spacing w:line="560" w:lineRule="exact"/>
        <w:ind w:firstLine="480"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rPr>
        <w:t>4.4养护单位对考核结果进行现场确认签章，每月考核结于当天签章确认，如无签章本月考核按照不合格计入。</w:t>
      </w:r>
    </w:p>
    <w:p>
      <w:pPr>
        <w:spacing w:line="560" w:lineRule="exact"/>
        <w:ind w:firstLine="482" w:firstLineChars="200"/>
        <w:rPr>
          <w:rFonts w:asciiTheme="majorEastAsia" w:hAnsiTheme="majorEastAsia" w:eastAsiaTheme="majorEastAsia" w:cstheme="majorEastAsia"/>
          <w:sz w:val="24"/>
          <w:szCs w:val="24"/>
        </w:rPr>
      </w:pPr>
      <w:r>
        <w:rPr>
          <w:rFonts w:hint="eastAsia" w:asciiTheme="majorEastAsia" w:hAnsiTheme="majorEastAsia" w:eastAsiaTheme="majorEastAsia" w:cstheme="majorEastAsia"/>
          <w:b/>
          <w:sz w:val="24"/>
          <w:szCs w:val="24"/>
        </w:rPr>
        <w:t>5.考核结果运用</w:t>
      </w:r>
    </w:p>
    <w:p>
      <w:pPr>
        <w:spacing w:line="560" w:lineRule="exact"/>
        <w:ind w:firstLine="480" w:firstLineChars="200"/>
        <w:rPr>
          <w:rFonts w:ascii="方正仿宋_GBK" w:hAnsi="宋体" w:eastAsia="方正仿宋_GBK" w:cs="宋体"/>
          <w:sz w:val="30"/>
          <w:szCs w:val="30"/>
        </w:rPr>
      </w:pPr>
      <w:r>
        <w:rPr>
          <w:rFonts w:hint="eastAsia" w:asciiTheme="majorEastAsia" w:hAnsiTheme="majorEastAsia" w:eastAsiaTheme="majorEastAsia" w:cstheme="majorEastAsia"/>
          <w:sz w:val="24"/>
          <w:szCs w:val="24"/>
        </w:rPr>
        <w:t>5.1养护管理绿地的绩效考核结果与养护管理经费挂钩；当考核结果连续三月不达标时（低于55分），片区负责人约谈养护管理单位法定代表人作出承诺，拒不整改或整改不达标的，按协议约定，扣除相应比例的养护管理经费或终止协议。并报行政主管部门，取消其绿化管护合格单位的资格。</w:t>
      </w:r>
    </w:p>
    <w:p>
      <w:pPr>
        <w:pStyle w:val="9"/>
        <w:spacing w:line="364" w:lineRule="auto"/>
        <w:ind w:left="134" w:right="228"/>
        <w:jc w:val="both"/>
        <w:rPr>
          <w:rFonts w:ascii="宋体" w:eastAsia="宋体"/>
        </w:rPr>
        <w:sectPr>
          <w:footerReference r:id="rId12" w:type="default"/>
          <w:pgSz w:w="11910" w:h="16840"/>
          <w:pgMar w:top="1440" w:right="1580" w:bottom="1280" w:left="1680" w:header="0" w:footer="1091" w:gutter="0"/>
          <w:pgNumType w:start="48"/>
          <w:cols w:space="720" w:num="1"/>
        </w:sectPr>
      </w:pPr>
    </w:p>
    <w:p>
      <w:pPr>
        <w:pStyle w:val="9"/>
        <w:rPr>
          <w:rFonts w:ascii="宋体"/>
          <w:sz w:val="20"/>
        </w:rPr>
      </w:pPr>
      <w:bookmarkStart w:id="120" w:name="_bookmark12"/>
      <w:bookmarkEnd w:id="120"/>
      <w:bookmarkStart w:id="121" w:name="喀什经济开发区绿地养护考核管理办法"/>
      <w:bookmarkEnd w:id="121"/>
      <w:bookmarkStart w:id="122" w:name="为促进养护管理工作规范化、制度化、精细化，提升绿地养护管理水平，现以考核评分来量"/>
      <w:bookmarkEnd w:id="122"/>
    </w:p>
    <w:p>
      <w:pPr>
        <w:pStyle w:val="9"/>
        <w:spacing w:before="5"/>
        <w:rPr>
          <w:rFonts w:ascii="宋体"/>
          <w:sz w:val="22"/>
        </w:rPr>
      </w:pPr>
    </w:p>
    <w:p>
      <w:pPr>
        <w:spacing w:before="66"/>
        <w:ind w:left="5136" w:right="5126"/>
        <w:jc w:val="center"/>
        <w:rPr>
          <w:b/>
          <w:sz w:val="24"/>
        </w:rPr>
      </w:pPr>
      <w:bookmarkStart w:id="123" w:name="喀什经济开发区园林绿化养护考核评分表"/>
      <w:bookmarkEnd w:id="123"/>
      <w:r>
        <w:rPr>
          <w:b/>
          <w:sz w:val="24"/>
        </w:rPr>
        <w:t>喀什经济开发区园林绿化养护考核评分表</w:t>
      </w:r>
    </w:p>
    <w:p>
      <w:pPr>
        <w:pStyle w:val="9"/>
        <w:spacing w:before="12"/>
        <w:rPr>
          <w:b/>
          <w:sz w:val="9"/>
        </w:rPr>
      </w:pPr>
    </w:p>
    <w:tbl>
      <w:tblPr>
        <w:tblStyle w:val="19"/>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1148"/>
        <w:gridCol w:w="6804"/>
        <w:gridCol w:w="1930"/>
        <w:gridCol w:w="1674"/>
        <w:gridCol w:w="21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5" w:hRule="atLeast"/>
        </w:trPr>
        <w:tc>
          <w:tcPr>
            <w:tcW w:w="675" w:type="dxa"/>
          </w:tcPr>
          <w:p>
            <w:pPr>
              <w:pStyle w:val="23"/>
              <w:spacing w:before="12" w:line="310" w:lineRule="atLeast"/>
              <w:ind w:left="97" w:right="85"/>
              <w:rPr>
                <w:rFonts w:ascii="仿宋" w:eastAsia="仿宋"/>
                <w:b/>
                <w:sz w:val="24"/>
              </w:rPr>
            </w:pPr>
            <w:bookmarkStart w:id="124" w:name="2"/>
            <w:bookmarkEnd w:id="124"/>
            <w:bookmarkStart w:id="125" w:name="项目编号"/>
            <w:bookmarkEnd w:id="125"/>
            <w:bookmarkStart w:id="126" w:name="1"/>
            <w:bookmarkEnd w:id="126"/>
            <w:bookmarkStart w:id="127" w:name="5"/>
            <w:bookmarkEnd w:id="127"/>
            <w:r>
              <w:rPr>
                <w:rFonts w:hint="eastAsia" w:ascii="仿宋" w:eastAsia="仿宋"/>
                <w:b/>
                <w:sz w:val="24"/>
              </w:rPr>
              <w:t>项目编号</w:t>
            </w:r>
          </w:p>
        </w:tc>
        <w:tc>
          <w:tcPr>
            <w:tcW w:w="1148" w:type="dxa"/>
          </w:tcPr>
          <w:p>
            <w:pPr>
              <w:pStyle w:val="23"/>
              <w:spacing w:before="168"/>
              <w:ind w:left="94"/>
              <w:rPr>
                <w:rFonts w:ascii="仿宋" w:eastAsia="仿宋"/>
                <w:b/>
                <w:sz w:val="24"/>
              </w:rPr>
            </w:pPr>
            <w:bookmarkStart w:id="128" w:name="考核项目"/>
            <w:bookmarkEnd w:id="128"/>
            <w:r>
              <w:rPr>
                <w:rFonts w:hint="eastAsia" w:ascii="仿宋" w:eastAsia="仿宋"/>
                <w:b/>
                <w:sz w:val="24"/>
              </w:rPr>
              <w:t>考核项目</w:t>
            </w:r>
          </w:p>
        </w:tc>
        <w:tc>
          <w:tcPr>
            <w:tcW w:w="6804" w:type="dxa"/>
          </w:tcPr>
          <w:p>
            <w:pPr>
              <w:pStyle w:val="23"/>
              <w:spacing w:before="168"/>
              <w:ind w:left="3140" w:right="3132"/>
              <w:jc w:val="center"/>
              <w:rPr>
                <w:rFonts w:ascii="仿宋" w:eastAsia="仿宋"/>
                <w:b/>
                <w:sz w:val="24"/>
              </w:rPr>
            </w:pPr>
            <w:bookmarkStart w:id="129" w:name="内容"/>
            <w:bookmarkEnd w:id="129"/>
            <w:r>
              <w:rPr>
                <w:rFonts w:hint="eastAsia" w:ascii="仿宋" w:eastAsia="仿宋"/>
                <w:b/>
                <w:sz w:val="24"/>
              </w:rPr>
              <w:t>内容</w:t>
            </w:r>
          </w:p>
        </w:tc>
        <w:tc>
          <w:tcPr>
            <w:tcW w:w="1930" w:type="dxa"/>
          </w:tcPr>
          <w:p>
            <w:pPr>
              <w:pStyle w:val="23"/>
              <w:spacing w:before="12" w:line="310" w:lineRule="atLeast"/>
              <w:ind w:left="725" w:right="108" w:hanging="600"/>
              <w:rPr>
                <w:rFonts w:ascii="仿宋" w:eastAsia="仿宋"/>
                <w:b/>
                <w:sz w:val="24"/>
              </w:rPr>
            </w:pPr>
            <w:bookmarkStart w:id="130" w:name="评分标准（满分100)"/>
            <w:bookmarkEnd w:id="130"/>
            <w:r>
              <w:rPr>
                <w:rFonts w:hint="eastAsia" w:ascii="仿宋" w:eastAsia="仿宋"/>
                <w:b/>
                <w:sz w:val="24"/>
              </w:rPr>
              <w:t>评分标准（满分100)</w:t>
            </w:r>
          </w:p>
        </w:tc>
        <w:tc>
          <w:tcPr>
            <w:tcW w:w="1674" w:type="dxa"/>
          </w:tcPr>
          <w:p>
            <w:pPr>
              <w:pStyle w:val="23"/>
              <w:spacing w:before="168"/>
              <w:ind w:left="357"/>
              <w:rPr>
                <w:rFonts w:ascii="仿宋" w:eastAsia="仿宋"/>
                <w:b/>
                <w:sz w:val="24"/>
              </w:rPr>
            </w:pPr>
            <w:bookmarkStart w:id="131" w:name="检查时间"/>
            <w:bookmarkEnd w:id="131"/>
            <w:r>
              <w:rPr>
                <w:rFonts w:hint="eastAsia" w:ascii="仿宋" w:eastAsia="仿宋"/>
                <w:b/>
                <w:sz w:val="24"/>
              </w:rPr>
              <w:t>检查时间</w:t>
            </w:r>
          </w:p>
        </w:tc>
        <w:tc>
          <w:tcPr>
            <w:tcW w:w="2160" w:type="dxa"/>
          </w:tcPr>
          <w:p>
            <w:pPr>
              <w:pStyle w:val="23"/>
              <w:spacing w:before="168"/>
              <w:ind w:left="817" w:right="810"/>
              <w:jc w:val="center"/>
              <w:rPr>
                <w:rFonts w:ascii="仿宋" w:eastAsia="仿宋"/>
                <w:b/>
                <w:sz w:val="24"/>
              </w:rPr>
            </w:pPr>
            <w:bookmarkStart w:id="132" w:name="备注"/>
            <w:bookmarkEnd w:id="132"/>
            <w:r>
              <w:rPr>
                <w:rFonts w:hint="eastAsia" w:ascii="仿宋" w:eastAsia="仿宋"/>
                <w:b/>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75" w:type="dxa"/>
            <w:vMerge w:val="restart"/>
          </w:tcPr>
          <w:p>
            <w:pPr>
              <w:pStyle w:val="23"/>
              <w:spacing w:before="187"/>
              <w:ind w:left="11"/>
              <w:rPr>
                <w:rFonts w:ascii="仿宋"/>
                <w:b/>
                <w:sz w:val="24"/>
              </w:rPr>
            </w:pPr>
            <w:r>
              <w:rPr>
                <w:rFonts w:ascii="仿宋"/>
                <w:b/>
                <w:w w:val="99"/>
                <w:sz w:val="24"/>
              </w:rPr>
              <w:t>1</w:t>
            </w:r>
          </w:p>
        </w:tc>
        <w:tc>
          <w:tcPr>
            <w:tcW w:w="1148" w:type="dxa"/>
            <w:vMerge w:val="restart"/>
          </w:tcPr>
          <w:p>
            <w:pPr>
              <w:pStyle w:val="23"/>
              <w:spacing w:before="187"/>
              <w:ind w:left="10"/>
              <w:rPr>
                <w:rFonts w:ascii="仿宋" w:eastAsia="仿宋"/>
                <w:b/>
                <w:sz w:val="24"/>
              </w:rPr>
            </w:pPr>
            <w:bookmarkStart w:id="133" w:name="保存率"/>
            <w:bookmarkEnd w:id="133"/>
            <w:r>
              <w:rPr>
                <w:rFonts w:hint="eastAsia" w:ascii="仿宋" w:eastAsia="仿宋"/>
                <w:b/>
                <w:sz w:val="24"/>
              </w:rPr>
              <w:t>保存率</w:t>
            </w:r>
          </w:p>
        </w:tc>
        <w:tc>
          <w:tcPr>
            <w:tcW w:w="6804" w:type="dxa"/>
          </w:tcPr>
          <w:p>
            <w:pPr>
              <w:pStyle w:val="23"/>
              <w:spacing w:before="15" w:line="296" w:lineRule="exact"/>
              <w:ind w:left="12"/>
              <w:rPr>
                <w:rFonts w:ascii="仿宋" w:hAnsi="仿宋" w:eastAsia="仿宋"/>
                <w:b/>
                <w:sz w:val="24"/>
              </w:rPr>
            </w:pPr>
            <w:bookmarkStart w:id="134" w:name="①植物保存率：100%；"/>
            <w:bookmarkEnd w:id="134"/>
            <w:r>
              <w:rPr>
                <w:rFonts w:hint="eastAsia" w:ascii="仿宋" w:hAnsi="仿宋" w:eastAsia="仿宋"/>
                <w:b/>
                <w:sz w:val="24"/>
              </w:rPr>
              <w:t>①植物保存率：100%；</w:t>
            </w:r>
          </w:p>
        </w:tc>
        <w:tc>
          <w:tcPr>
            <w:tcW w:w="1930" w:type="dxa"/>
          </w:tcPr>
          <w:p>
            <w:pPr>
              <w:pStyle w:val="23"/>
              <w:spacing w:before="15" w:line="296" w:lineRule="exact"/>
              <w:ind w:left="12"/>
              <w:rPr>
                <w:rFonts w:ascii="仿宋" w:eastAsia="仿宋"/>
                <w:b/>
                <w:sz w:val="24"/>
              </w:rPr>
            </w:pPr>
            <w:r>
              <w:rPr>
                <w:rFonts w:hint="eastAsia" w:ascii="仿宋" w:eastAsia="仿宋"/>
                <w:b/>
                <w:sz w:val="24"/>
              </w:rPr>
              <w:t>低1%，一1分</w:t>
            </w:r>
          </w:p>
        </w:tc>
        <w:tc>
          <w:tcPr>
            <w:tcW w:w="1674" w:type="dxa"/>
            <w:vMerge w:val="restart"/>
          </w:tcPr>
          <w:p>
            <w:pPr>
              <w:pStyle w:val="23"/>
              <w:spacing w:before="187"/>
              <w:ind w:left="11"/>
              <w:rPr>
                <w:rFonts w:ascii="仿宋" w:eastAsia="仿宋"/>
                <w:b/>
                <w:sz w:val="24"/>
              </w:rPr>
            </w:pPr>
            <w:bookmarkStart w:id="135" w:name="②草坪保存率：100%"/>
            <w:bookmarkEnd w:id="135"/>
            <w:bookmarkStart w:id="136" w:name="低1%，一1分"/>
            <w:bookmarkEnd w:id="136"/>
            <w:r>
              <w:rPr>
                <w:rFonts w:hint="eastAsia" w:ascii="仿宋" w:eastAsia="仿宋"/>
                <w:b/>
                <w:sz w:val="24"/>
              </w:rPr>
              <w:t>每周一次</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75" w:type="dxa"/>
            <w:vMerge w:val="continue"/>
            <w:tcBorders>
              <w:top w:val="nil"/>
            </w:tcBorders>
          </w:tcPr>
          <w:p>
            <w:pPr>
              <w:rPr>
                <w:sz w:val="2"/>
                <w:szCs w:val="2"/>
              </w:rPr>
            </w:pPr>
          </w:p>
        </w:tc>
        <w:tc>
          <w:tcPr>
            <w:tcW w:w="1148" w:type="dxa"/>
            <w:vMerge w:val="continue"/>
            <w:tcBorders>
              <w:top w:val="nil"/>
            </w:tcBorders>
          </w:tcPr>
          <w:p>
            <w:pPr>
              <w:rPr>
                <w:sz w:val="2"/>
                <w:szCs w:val="2"/>
              </w:rPr>
            </w:pPr>
          </w:p>
        </w:tc>
        <w:tc>
          <w:tcPr>
            <w:tcW w:w="6804" w:type="dxa"/>
          </w:tcPr>
          <w:p>
            <w:pPr>
              <w:pStyle w:val="23"/>
              <w:spacing w:before="17" w:line="294" w:lineRule="exact"/>
              <w:ind w:left="12"/>
              <w:rPr>
                <w:rFonts w:ascii="仿宋" w:hAnsi="仿宋" w:eastAsia="仿宋"/>
                <w:b/>
                <w:sz w:val="24"/>
              </w:rPr>
            </w:pPr>
            <w:r>
              <w:rPr>
                <w:rFonts w:hint="eastAsia" w:ascii="仿宋" w:hAnsi="仿宋" w:eastAsia="仿宋"/>
                <w:b/>
                <w:sz w:val="24"/>
              </w:rPr>
              <w:t>②草坪保存率：100%</w:t>
            </w:r>
          </w:p>
        </w:tc>
        <w:tc>
          <w:tcPr>
            <w:tcW w:w="1930" w:type="dxa"/>
          </w:tcPr>
          <w:p>
            <w:pPr>
              <w:pStyle w:val="23"/>
              <w:spacing w:before="17" w:line="294" w:lineRule="exact"/>
              <w:ind w:left="12"/>
              <w:rPr>
                <w:rFonts w:ascii="仿宋" w:eastAsia="仿宋"/>
                <w:b/>
                <w:sz w:val="24"/>
              </w:rPr>
            </w:pPr>
            <w:r>
              <w:rPr>
                <w:rFonts w:hint="eastAsia" w:ascii="仿宋" w:eastAsia="仿宋"/>
                <w:b/>
                <w:sz w:val="24"/>
              </w:rPr>
              <w:t>低1%，一1分</w:t>
            </w:r>
          </w:p>
        </w:tc>
        <w:tc>
          <w:tcPr>
            <w:tcW w:w="1674" w:type="dxa"/>
            <w:vMerge w:val="continue"/>
            <w:tcBorders>
              <w:top w:val="nil"/>
            </w:tcBorders>
          </w:tcPr>
          <w:p>
            <w:pPr>
              <w:rPr>
                <w:sz w:val="2"/>
                <w:szCs w:val="2"/>
              </w:rPr>
            </w:pP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75" w:type="dxa"/>
            <w:vMerge w:val="restart"/>
          </w:tcPr>
          <w:p>
            <w:pPr>
              <w:pStyle w:val="23"/>
              <w:spacing w:before="187"/>
              <w:ind w:left="11"/>
              <w:rPr>
                <w:rFonts w:ascii="仿宋"/>
                <w:b/>
                <w:sz w:val="24"/>
              </w:rPr>
            </w:pPr>
            <w:r>
              <w:rPr>
                <w:rFonts w:ascii="仿宋"/>
                <w:b/>
                <w:w w:val="99"/>
                <w:sz w:val="24"/>
              </w:rPr>
              <w:t>2</w:t>
            </w:r>
          </w:p>
        </w:tc>
        <w:tc>
          <w:tcPr>
            <w:tcW w:w="1148" w:type="dxa"/>
            <w:vMerge w:val="restart"/>
          </w:tcPr>
          <w:p>
            <w:pPr>
              <w:pStyle w:val="23"/>
              <w:spacing w:before="187"/>
              <w:ind w:left="10"/>
              <w:rPr>
                <w:rFonts w:ascii="仿宋" w:eastAsia="仿宋"/>
                <w:b/>
                <w:sz w:val="24"/>
              </w:rPr>
            </w:pPr>
            <w:bookmarkStart w:id="137" w:name="成活率"/>
            <w:bookmarkEnd w:id="137"/>
            <w:r>
              <w:rPr>
                <w:rFonts w:hint="eastAsia" w:ascii="仿宋" w:eastAsia="仿宋"/>
                <w:b/>
                <w:sz w:val="24"/>
              </w:rPr>
              <w:t>成活率</w:t>
            </w:r>
          </w:p>
        </w:tc>
        <w:tc>
          <w:tcPr>
            <w:tcW w:w="6804" w:type="dxa"/>
          </w:tcPr>
          <w:p>
            <w:pPr>
              <w:pStyle w:val="23"/>
              <w:spacing w:before="17" w:line="294" w:lineRule="exact"/>
              <w:ind w:left="12"/>
              <w:rPr>
                <w:rFonts w:ascii="仿宋" w:hAnsi="仿宋" w:eastAsia="仿宋"/>
                <w:b/>
                <w:sz w:val="24"/>
              </w:rPr>
            </w:pPr>
            <w:bookmarkStart w:id="138" w:name="①植物补植成活率：98%；"/>
            <w:bookmarkEnd w:id="138"/>
            <w:r>
              <w:rPr>
                <w:rFonts w:hint="eastAsia" w:ascii="仿宋" w:hAnsi="仿宋" w:eastAsia="仿宋"/>
                <w:b/>
                <w:sz w:val="24"/>
              </w:rPr>
              <w:t>①植物补植成活率：98%；</w:t>
            </w:r>
          </w:p>
        </w:tc>
        <w:tc>
          <w:tcPr>
            <w:tcW w:w="1930" w:type="dxa"/>
          </w:tcPr>
          <w:p>
            <w:pPr>
              <w:pStyle w:val="23"/>
              <w:spacing w:before="17" w:line="294" w:lineRule="exact"/>
              <w:ind w:left="12"/>
              <w:rPr>
                <w:rFonts w:ascii="仿宋" w:eastAsia="仿宋"/>
                <w:b/>
                <w:sz w:val="24"/>
              </w:rPr>
            </w:pPr>
            <w:r>
              <w:rPr>
                <w:rFonts w:hint="eastAsia" w:ascii="仿宋" w:eastAsia="仿宋"/>
                <w:b/>
                <w:sz w:val="24"/>
              </w:rPr>
              <w:t>低1%，-1分</w:t>
            </w:r>
          </w:p>
        </w:tc>
        <w:tc>
          <w:tcPr>
            <w:tcW w:w="1674" w:type="dxa"/>
          </w:tcPr>
          <w:p>
            <w:pPr>
              <w:pStyle w:val="23"/>
              <w:spacing w:before="17" w:line="294" w:lineRule="exact"/>
              <w:ind w:left="11"/>
              <w:rPr>
                <w:rFonts w:ascii="仿宋" w:eastAsia="仿宋"/>
                <w:b/>
                <w:sz w:val="24"/>
              </w:rPr>
            </w:pPr>
            <w:bookmarkStart w:id="139" w:name="3、4、5月"/>
            <w:bookmarkEnd w:id="139"/>
            <w:r>
              <w:rPr>
                <w:rFonts w:hint="eastAsia" w:ascii="仿宋" w:eastAsia="仿宋"/>
                <w:b/>
                <w:sz w:val="24"/>
              </w:rPr>
              <w:t>3、4、5月</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75" w:type="dxa"/>
            <w:vMerge w:val="continue"/>
            <w:tcBorders>
              <w:top w:val="nil"/>
            </w:tcBorders>
          </w:tcPr>
          <w:p>
            <w:pPr>
              <w:rPr>
                <w:sz w:val="2"/>
                <w:szCs w:val="2"/>
              </w:rPr>
            </w:pPr>
          </w:p>
        </w:tc>
        <w:tc>
          <w:tcPr>
            <w:tcW w:w="1148" w:type="dxa"/>
            <w:vMerge w:val="continue"/>
            <w:tcBorders>
              <w:top w:val="nil"/>
            </w:tcBorders>
          </w:tcPr>
          <w:p>
            <w:pPr>
              <w:rPr>
                <w:sz w:val="2"/>
                <w:szCs w:val="2"/>
              </w:rPr>
            </w:pPr>
          </w:p>
        </w:tc>
        <w:tc>
          <w:tcPr>
            <w:tcW w:w="6804" w:type="dxa"/>
          </w:tcPr>
          <w:p>
            <w:pPr>
              <w:pStyle w:val="23"/>
              <w:spacing w:before="16" w:line="294" w:lineRule="exact"/>
              <w:ind w:left="12"/>
              <w:rPr>
                <w:rFonts w:ascii="仿宋" w:hAnsi="仿宋" w:eastAsia="仿宋"/>
                <w:b/>
                <w:sz w:val="24"/>
              </w:rPr>
            </w:pPr>
            <w:bookmarkStart w:id="140" w:name="②草坪补植成活率：98%"/>
            <w:bookmarkEnd w:id="140"/>
            <w:r>
              <w:rPr>
                <w:rFonts w:hint="eastAsia" w:ascii="仿宋" w:hAnsi="仿宋" w:eastAsia="仿宋"/>
                <w:b/>
                <w:sz w:val="24"/>
              </w:rPr>
              <w:t>②草坪补植成活率：98%</w:t>
            </w:r>
          </w:p>
        </w:tc>
        <w:tc>
          <w:tcPr>
            <w:tcW w:w="1930" w:type="dxa"/>
          </w:tcPr>
          <w:p>
            <w:pPr>
              <w:pStyle w:val="23"/>
              <w:spacing w:before="16" w:line="294" w:lineRule="exact"/>
              <w:ind w:left="12"/>
              <w:rPr>
                <w:rFonts w:ascii="仿宋" w:eastAsia="仿宋"/>
                <w:b/>
                <w:sz w:val="24"/>
              </w:rPr>
            </w:pPr>
            <w:bookmarkStart w:id="141" w:name="低1%，-1分"/>
            <w:bookmarkEnd w:id="141"/>
            <w:r>
              <w:rPr>
                <w:rFonts w:hint="eastAsia" w:ascii="仿宋" w:eastAsia="仿宋"/>
                <w:b/>
                <w:sz w:val="24"/>
              </w:rPr>
              <w:t>低1%，-1分</w:t>
            </w:r>
          </w:p>
        </w:tc>
        <w:tc>
          <w:tcPr>
            <w:tcW w:w="1674" w:type="dxa"/>
          </w:tcPr>
          <w:p>
            <w:pPr>
              <w:pStyle w:val="23"/>
              <w:spacing w:before="16" w:line="294" w:lineRule="exact"/>
              <w:ind w:left="11"/>
              <w:rPr>
                <w:rFonts w:ascii="仿宋" w:eastAsia="仿宋"/>
                <w:b/>
                <w:sz w:val="24"/>
              </w:rPr>
            </w:pPr>
            <w:bookmarkStart w:id="142" w:name="11、12月"/>
            <w:bookmarkEnd w:id="142"/>
            <w:r>
              <w:rPr>
                <w:rFonts w:hint="eastAsia" w:ascii="仿宋" w:eastAsia="仿宋"/>
                <w:b/>
                <w:sz w:val="24"/>
                <w:lang w:val="en-US"/>
              </w:rPr>
              <w:t>10、</w:t>
            </w:r>
            <w:r>
              <w:rPr>
                <w:rFonts w:hint="eastAsia" w:ascii="仿宋" w:eastAsia="仿宋"/>
                <w:b/>
                <w:sz w:val="24"/>
              </w:rPr>
              <w:t>11、12月</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75" w:type="dxa"/>
            <w:vMerge w:val="restart"/>
          </w:tcPr>
          <w:p>
            <w:pPr>
              <w:pStyle w:val="23"/>
              <w:rPr>
                <w:rFonts w:ascii="仿宋"/>
                <w:b/>
                <w:sz w:val="24"/>
              </w:rPr>
            </w:pPr>
          </w:p>
          <w:p>
            <w:pPr>
              <w:pStyle w:val="23"/>
              <w:spacing w:before="2"/>
              <w:rPr>
                <w:rFonts w:ascii="仿宋"/>
                <w:b/>
                <w:sz w:val="17"/>
              </w:rPr>
            </w:pPr>
          </w:p>
          <w:p>
            <w:pPr>
              <w:pStyle w:val="23"/>
              <w:ind w:left="11"/>
              <w:rPr>
                <w:rFonts w:ascii="仿宋"/>
                <w:b/>
                <w:sz w:val="24"/>
              </w:rPr>
            </w:pPr>
            <w:bookmarkStart w:id="143" w:name="3"/>
            <w:bookmarkEnd w:id="143"/>
            <w:r>
              <w:rPr>
                <w:rFonts w:ascii="仿宋"/>
                <w:b/>
                <w:w w:val="99"/>
                <w:sz w:val="24"/>
              </w:rPr>
              <w:t>3</w:t>
            </w:r>
          </w:p>
        </w:tc>
        <w:tc>
          <w:tcPr>
            <w:tcW w:w="1148" w:type="dxa"/>
            <w:vMerge w:val="restart"/>
          </w:tcPr>
          <w:p>
            <w:pPr>
              <w:pStyle w:val="23"/>
              <w:rPr>
                <w:rFonts w:ascii="仿宋"/>
                <w:b/>
                <w:sz w:val="24"/>
              </w:rPr>
            </w:pPr>
          </w:p>
          <w:p>
            <w:pPr>
              <w:pStyle w:val="23"/>
              <w:spacing w:before="2"/>
              <w:rPr>
                <w:rFonts w:ascii="仿宋"/>
                <w:b/>
                <w:sz w:val="17"/>
              </w:rPr>
            </w:pPr>
          </w:p>
          <w:p>
            <w:pPr>
              <w:pStyle w:val="23"/>
              <w:ind w:left="10"/>
              <w:rPr>
                <w:rFonts w:ascii="仿宋" w:eastAsia="仿宋"/>
                <w:b/>
                <w:sz w:val="24"/>
              </w:rPr>
            </w:pPr>
            <w:bookmarkStart w:id="144" w:name="整体观感"/>
            <w:bookmarkEnd w:id="144"/>
            <w:r>
              <w:rPr>
                <w:rFonts w:hint="eastAsia" w:ascii="仿宋" w:eastAsia="仿宋"/>
                <w:b/>
                <w:sz w:val="24"/>
              </w:rPr>
              <w:t>整体观感</w:t>
            </w:r>
          </w:p>
        </w:tc>
        <w:tc>
          <w:tcPr>
            <w:tcW w:w="6804" w:type="dxa"/>
          </w:tcPr>
          <w:p>
            <w:pPr>
              <w:pStyle w:val="23"/>
              <w:spacing w:before="16" w:line="294" w:lineRule="exact"/>
              <w:ind w:left="12"/>
              <w:rPr>
                <w:rFonts w:ascii="仿宋" w:hAnsi="仿宋" w:eastAsia="仿宋"/>
                <w:b/>
                <w:sz w:val="24"/>
              </w:rPr>
            </w:pPr>
            <w:bookmarkStart w:id="145" w:name="等级：①优"/>
            <w:bookmarkEnd w:id="145"/>
            <w:r>
              <w:rPr>
                <w:rFonts w:hint="eastAsia" w:ascii="仿宋" w:hAnsi="仿宋" w:eastAsia="仿宋"/>
                <w:b/>
                <w:sz w:val="24"/>
              </w:rPr>
              <w:t>等级：①优</w:t>
            </w:r>
          </w:p>
        </w:tc>
        <w:tc>
          <w:tcPr>
            <w:tcW w:w="1930" w:type="dxa"/>
          </w:tcPr>
          <w:p>
            <w:pPr>
              <w:pStyle w:val="23"/>
              <w:spacing w:before="16" w:line="294" w:lineRule="exact"/>
              <w:ind w:left="12"/>
              <w:rPr>
                <w:rFonts w:ascii="仿宋" w:eastAsia="仿宋"/>
                <w:b/>
                <w:sz w:val="24"/>
              </w:rPr>
            </w:pPr>
            <w:r>
              <w:rPr>
                <w:rFonts w:hint="eastAsia" w:ascii="仿宋" w:eastAsia="仿宋"/>
                <w:b/>
                <w:sz w:val="24"/>
              </w:rPr>
              <w:t>+3分</w:t>
            </w:r>
          </w:p>
        </w:tc>
        <w:tc>
          <w:tcPr>
            <w:tcW w:w="1674" w:type="dxa"/>
          </w:tcPr>
          <w:p>
            <w:pPr>
              <w:pStyle w:val="23"/>
              <w:spacing w:before="16" w:line="294" w:lineRule="exact"/>
              <w:ind w:left="11"/>
              <w:rPr>
                <w:rFonts w:ascii="仿宋" w:eastAsia="仿宋"/>
                <w:b/>
                <w:sz w:val="24"/>
              </w:rPr>
            </w:pPr>
            <w:r>
              <w:rPr>
                <w:rFonts w:hint="eastAsia" w:ascii="仿宋" w:eastAsia="仿宋"/>
                <w:b/>
                <w:sz w:val="24"/>
              </w:rPr>
              <w:t>每周一次</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75" w:type="dxa"/>
            <w:vMerge w:val="continue"/>
            <w:tcBorders>
              <w:top w:val="nil"/>
            </w:tcBorders>
          </w:tcPr>
          <w:p>
            <w:pPr>
              <w:rPr>
                <w:sz w:val="2"/>
                <w:szCs w:val="2"/>
              </w:rPr>
            </w:pPr>
          </w:p>
        </w:tc>
        <w:tc>
          <w:tcPr>
            <w:tcW w:w="1148" w:type="dxa"/>
            <w:vMerge w:val="continue"/>
            <w:tcBorders>
              <w:top w:val="nil"/>
            </w:tcBorders>
          </w:tcPr>
          <w:p>
            <w:pPr>
              <w:rPr>
                <w:sz w:val="2"/>
                <w:szCs w:val="2"/>
              </w:rPr>
            </w:pPr>
          </w:p>
        </w:tc>
        <w:tc>
          <w:tcPr>
            <w:tcW w:w="6804" w:type="dxa"/>
          </w:tcPr>
          <w:p>
            <w:pPr>
              <w:pStyle w:val="23"/>
              <w:spacing w:before="16" w:line="295" w:lineRule="exact"/>
              <w:ind w:left="734"/>
              <w:rPr>
                <w:rFonts w:ascii="仿宋" w:hAnsi="仿宋" w:eastAsia="仿宋"/>
                <w:b/>
                <w:sz w:val="24"/>
              </w:rPr>
            </w:pPr>
            <w:bookmarkStart w:id="146" w:name="______②良"/>
            <w:bookmarkEnd w:id="146"/>
            <w:r>
              <w:rPr>
                <w:rFonts w:hint="eastAsia" w:ascii="仿宋" w:hAnsi="仿宋" w:eastAsia="仿宋"/>
                <w:b/>
                <w:sz w:val="24"/>
              </w:rPr>
              <w:t>②良</w:t>
            </w:r>
          </w:p>
        </w:tc>
        <w:tc>
          <w:tcPr>
            <w:tcW w:w="1930" w:type="dxa"/>
          </w:tcPr>
          <w:p>
            <w:pPr>
              <w:pStyle w:val="23"/>
              <w:spacing w:before="16" w:line="295" w:lineRule="exact"/>
              <w:ind w:left="12"/>
              <w:rPr>
                <w:rFonts w:ascii="仿宋"/>
                <w:b/>
                <w:sz w:val="24"/>
              </w:rPr>
            </w:pPr>
            <w:bookmarkStart w:id="147" w:name="0"/>
            <w:bookmarkEnd w:id="147"/>
            <w:r>
              <w:rPr>
                <w:rFonts w:ascii="仿宋"/>
                <w:b/>
                <w:w w:val="99"/>
                <w:sz w:val="24"/>
              </w:rPr>
              <w:t>0</w:t>
            </w:r>
          </w:p>
        </w:tc>
        <w:tc>
          <w:tcPr>
            <w:tcW w:w="1674" w:type="dxa"/>
          </w:tcPr>
          <w:p>
            <w:pPr>
              <w:pStyle w:val="23"/>
              <w:spacing w:before="16" w:line="295" w:lineRule="exact"/>
              <w:ind w:left="11"/>
              <w:rPr>
                <w:rFonts w:ascii="仿宋" w:eastAsia="仿宋"/>
                <w:b/>
                <w:sz w:val="24"/>
              </w:rPr>
            </w:pPr>
            <w:r>
              <w:rPr>
                <w:rFonts w:hint="eastAsia" w:ascii="仿宋" w:eastAsia="仿宋"/>
                <w:b/>
                <w:sz w:val="24"/>
              </w:rPr>
              <w:t>每周一次</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75" w:type="dxa"/>
            <w:vMerge w:val="continue"/>
            <w:tcBorders>
              <w:top w:val="nil"/>
            </w:tcBorders>
          </w:tcPr>
          <w:p>
            <w:pPr>
              <w:rPr>
                <w:sz w:val="2"/>
                <w:szCs w:val="2"/>
              </w:rPr>
            </w:pPr>
          </w:p>
        </w:tc>
        <w:tc>
          <w:tcPr>
            <w:tcW w:w="1148" w:type="dxa"/>
            <w:vMerge w:val="continue"/>
            <w:tcBorders>
              <w:top w:val="nil"/>
            </w:tcBorders>
          </w:tcPr>
          <w:p>
            <w:pPr>
              <w:rPr>
                <w:sz w:val="2"/>
                <w:szCs w:val="2"/>
              </w:rPr>
            </w:pPr>
          </w:p>
        </w:tc>
        <w:tc>
          <w:tcPr>
            <w:tcW w:w="6804" w:type="dxa"/>
          </w:tcPr>
          <w:p>
            <w:pPr>
              <w:pStyle w:val="23"/>
              <w:spacing w:before="16" w:line="295" w:lineRule="exact"/>
              <w:ind w:left="734"/>
              <w:rPr>
                <w:rFonts w:ascii="仿宋" w:hAnsi="仿宋" w:eastAsia="仿宋"/>
                <w:b/>
                <w:sz w:val="24"/>
              </w:rPr>
            </w:pPr>
            <w:bookmarkStart w:id="148" w:name="______③中"/>
            <w:bookmarkEnd w:id="148"/>
            <w:r>
              <w:rPr>
                <w:rFonts w:hint="eastAsia" w:ascii="仿宋" w:hAnsi="仿宋" w:eastAsia="仿宋"/>
                <w:b/>
                <w:sz w:val="24"/>
              </w:rPr>
              <w:t>③中</w:t>
            </w:r>
          </w:p>
        </w:tc>
        <w:tc>
          <w:tcPr>
            <w:tcW w:w="1930" w:type="dxa"/>
          </w:tcPr>
          <w:p>
            <w:pPr>
              <w:pStyle w:val="23"/>
              <w:spacing w:before="16" w:line="295" w:lineRule="exact"/>
              <w:ind w:left="12"/>
              <w:rPr>
                <w:rFonts w:ascii="仿宋" w:eastAsia="仿宋"/>
                <w:b/>
                <w:sz w:val="24"/>
              </w:rPr>
            </w:pPr>
            <w:bookmarkStart w:id="149" w:name="-3分"/>
            <w:bookmarkEnd w:id="149"/>
            <w:r>
              <w:rPr>
                <w:rFonts w:hint="eastAsia" w:ascii="仿宋" w:eastAsia="仿宋"/>
                <w:b/>
                <w:sz w:val="24"/>
              </w:rPr>
              <w:t>-3分</w:t>
            </w:r>
          </w:p>
        </w:tc>
        <w:tc>
          <w:tcPr>
            <w:tcW w:w="1674" w:type="dxa"/>
          </w:tcPr>
          <w:p>
            <w:pPr>
              <w:pStyle w:val="23"/>
              <w:spacing w:before="16" w:line="295" w:lineRule="exact"/>
              <w:ind w:left="11"/>
              <w:rPr>
                <w:rFonts w:ascii="仿宋" w:eastAsia="仿宋"/>
                <w:b/>
                <w:sz w:val="24"/>
              </w:rPr>
            </w:pPr>
            <w:r>
              <w:rPr>
                <w:rFonts w:hint="eastAsia" w:ascii="仿宋" w:eastAsia="仿宋"/>
                <w:b/>
                <w:sz w:val="24"/>
              </w:rPr>
              <w:t>每周一次</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75" w:type="dxa"/>
            <w:vMerge w:val="continue"/>
            <w:tcBorders>
              <w:top w:val="nil"/>
            </w:tcBorders>
          </w:tcPr>
          <w:p>
            <w:pPr>
              <w:rPr>
                <w:sz w:val="2"/>
                <w:szCs w:val="2"/>
              </w:rPr>
            </w:pPr>
          </w:p>
        </w:tc>
        <w:tc>
          <w:tcPr>
            <w:tcW w:w="1148" w:type="dxa"/>
            <w:vMerge w:val="continue"/>
            <w:tcBorders>
              <w:top w:val="nil"/>
            </w:tcBorders>
          </w:tcPr>
          <w:p>
            <w:pPr>
              <w:rPr>
                <w:sz w:val="2"/>
                <w:szCs w:val="2"/>
              </w:rPr>
            </w:pPr>
          </w:p>
        </w:tc>
        <w:tc>
          <w:tcPr>
            <w:tcW w:w="6804" w:type="dxa"/>
          </w:tcPr>
          <w:p>
            <w:pPr>
              <w:pStyle w:val="23"/>
              <w:spacing w:before="16" w:line="295" w:lineRule="exact"/>
              <w:ind w:left="734"/>
              <w:rPr>
                <w:rFonts w:ascii="仿宋" w:hAnsi="仿宋" w:eastAsia="仿宋"/>
                <w:b/>
                <w:sz w:val="24"/>
              </w:rPr>
            </w:pPr>
            <w:bookmarkStart w:id="150" w:name="______④差"/>
            <w:bookmarkEnd w:id="150"/>
            <w:r>
              <w:rPr>
                <w:rFonts w:hint="eastAsia" w:ascii="仿宋" w:hAnsi="仿宋" w:eastAsia="仿宋"/>
                <w:b/>
                <w:sz w:val="24"/>
              </w:rPr>
              <w:t>④差</w:t>
            </w:r>
          </w:p>
        </w:tc>
        <w:tc>
          <w:tcPr>
            <w:tcW w:w="1930" w:type="dxa"/>
          </w:tcPr>
          <w:p>
            <w:pPr>
              <w:pStyle w:val="23"/>
              <w:spacing w:before="16" w:line="295" w:lineRule="exact"/>
              <w:ind w:left="12"/>
              <w:rPr>
                <w:rFonts w:ascii="仿宋" w:eastAsia="仿宋"/>
                <w:b/>
                <w:sz w:val="24"/>
              </w:rPr>
            </w:pPr>
            <w:bookmarkStart w:id="151" w:name="一6分"/>
            <w:bookmarkEnd w:id="151"/>
            <w:r>
              <w:rPr>
                <w:rFonts w:hint="eastAsia" w:ascii="仿宋" w:eastAsia="仿宋"/>
                <w:b/>
                <w:sz w:val="24"/>
              </w:rPr>
              <w:t>一6分</w:t>
            </w:r>
          </w:p>
        </w:tc>
        <w:tc>
          <w:tcPr>
            <w:tcW w:w="1674" w:type="dxa"/>
          </w:tcPr>
          <w:p>
            <w:pPr>
              <w:pStyle w:val="23"/>
              <w:spacing w:before="16" w:line="295" w:lineRule="exact"/>
              <w:ind w:left="11"/>
              <w:rPr>
                <w:rFonts w:ascii="仿宋" w:eastAsia="仿宋"/>
                <w:b/>
                <w:sz w:val="24"/>
              </w:rPr>
            </w:pPr>
            <w:r>
              <w:rPr>
                <w:rFonts w:hint="eastAsia" w:ascii="仿宋" w:eastAsia="仿宋"/>
                <w:b/>
                <w:sz w:val="24"/>
              </w:rPr>
              <w:t>每周一次</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1" w:hRule="atLeast"/>
        </w:trPr>
        <w:tc>
          <w:tcPr>
            <w:tcW w:w="675" w:type="dxa"/>
            <w:vMerge w:val="restart"/>
          </w:tcPr>
          <w:p>
            <w:pPr>
              <w:pStyle w:val="23"/>
              <w:rPr>
                <w:rFonts w:ascii="仿宋"/>
                <w:b/>
                <w:sz w:val="24"/>
              </w:rPr>
            </w:pPr>
          </w:p>
          <w:p>
            <w:pPr>
              <w:pStyle w:val="23"/>
              <w:rPr>
                <w:rFonts w:ascii="仿宋"/>
                <w:b/>
                <w:sz w:val="24"/>
              </w:rPr>
            </w:pPr>
          </w:p>
          <w:p>
            <w:pPr>
              <w:pStyle w:val="23"/>
              <w:rPr>
                <w:rFonts w:ascii="仿宋"/>
                <w:b/>
                <w:sz w:val="24"/>
              </w:rPr>
            </w:pPr>
          </w:p>
          <w:p>
            <w:pPr>
              <w:pStyle w:val="23"/>
              <w:spacing w:before="6"/>
              <w:rPr>
                <w:rFonts w:ascii="仿宋"/>
                <w:b/>
              </w:rPr>
            </w:pPr>
          </w:p>
          <w:p>
            <w:pPr>
              <w:pStyle w:val="23"/>
              <w:ind w:left="11"/>
              <w:rPr>
                <w:rFonts w:ascii="仿宋"/>
                <w:b/>
                <w:sz w:val="24"/>
              </w:rPr>
            </w:pPr>
            <w:bookmarkStart w:id="152" w:name="4"/>
            <w:bookmarkEnd w:id="152"/>
            <w:r>
              <w:rPr>
                <w:rFonts w:ascii="仿宋"/>
                <w:b/>
                <w:w w:val="99"/>
                <w:sz w:val="24"/>
              </w:rPr>
              <w:t>4</w:t>
            </w:r>
          </w:p>
        </w:tc>
        <w:tc>
          <w:tcPr>
            <w:tcW w:w="1148" w:type="dxa"/>
            <w:vMerge w:val="restart"/>
          </w:tcPr>
          <w:p>
            <w:pPr>
              <w:pStyle w:val="23"/>
              <w:rPr>
                <w:rFonts w:ascii="仿宋"/>
                <w:b/>
                <w:sz w:val="24"/>
              </w:rPr>
            </w:pPr>
          </w:p>
          <w:p>
            <w:pPr>
              <w:pStyle w:val="23"/>
              <w:rPr>
                <w:rFonts w:ascii="仿宋"/>
                <w:b/>
                <w:sz w:val="24"/>
              </w:rPr>
            </w:pPr>
          </w:p>
          <w:p>
            <w:pPr>
              <w:pStyle w:val="23"/>
              <w:rPr>
                <w:rFonts w:ascii="仿宋"/>
                <w:b/>
                <w:sz w:val="24"/>
              </w:rPr>
            </w:pPr>
          </w:p>
          <w:p>
            <w:pPr>
              <w:pStyle w:val="23"/>
              <w:spacing w:before="6"/>
              <w:rPr>
                <w:rFonts w:ascii="仿宋"/>
                <w:b/>
              </w:rPr>
            </w:pPr>
          </w:p>
          <w:p>
            <w:pPr>
              <w:pStyle w:val="23"/>
              <w:ind w:left="10"/>
              <w:rPr>
                <w:rFonts w:ascii="仿宋" w:eastAsia="仿宋"/>
                <w:b/>
                <w:sz w:val="24"/>
              </w:rPr>
            </w:pPr>
            <w:bookmarkStart w:id="153" w:name="树木"/>
            <w:bookmarkEnd w:id="153"/>
            <w:r>
              <w:rPr>
                <w:rFonts w:hint="eastAsia" w:ascii="仿宋" w:eastAsia="仿宋"/>
                <w:b/>
                <w:sz w:val="24"/>
              </w:rPr>
              <w:t>树木</w:t>
            </w:r>
          </w:p>
        </w:tc>
        <w:tc>
          <w:tcPr>
            <w:tcW w:w="6804" w:type="dxa"/>
          </w:tcPr>
          <w:p>
            <w:pPr>
              <w:pStyle w:val="23"/>
              <w:spacing w:before="16" w:line="295" w:lineRule="exact"/>
              <w:ind w:left="12"/>
              <w:rPr>
                <w:rFonts w:ascii="仿宋" w:hAnsi="仿宋" w:eastAsia="仿宋"/>
                <w:b/>
                <w:sz w:val="24"/>
              </w:rPr>
            </w:pPr>
            <w:bookmarkStart w:id="154" w:name="①植物生长势弱，树形不完整，层次不清，有人为偏冠；"/>
            <w:bookmarkEnd w:id="154"/>
            <w:r>
              <w:rPr>
                <w:rFonts w:hint="eastAsia" w:ascii="仿宋" w:hAnsi="仿宋" w:eastAsia="仿宋"/>
                <w:b/>
                <w:sz w:val="24"/>
              </w:rPr>
              <w:t>①植物生长势弱，树形不完整，层次不清，有人为偏冠；</w:t>
            </w:r>
          </w:p>
        </w:tc>
        <w:tc>
          <w:tcPr>
            <w:tcW w:w="1930" w:type="dxa"/>
          </w:tcPr>
          <w:p>
            <w:pPr>
              <w:pStyle w:val="23"/>
              <w:spacing w:before="16" w:line="295" w:lineRule="exact"/>
              <w:ind w:left="12"/>
              <w:rPr>
                <w:rFonts w:ascii="仿宋" w:eastAsia="仿宋"/>
                <w:b/>
                <w:sz w:val="24"/>
              </w:rPr>
            </w:pPr>
            <w:r>
              <w:rPr>
                <w:rFonts w:hint="eastAsia" w:ascii="仿宋" w:eastAsia="仿宋"/>
                <w:b/>
                <w:sz w:val="24"/>
              </w:rPr>
              <w:t>一1分</w:t>
            </w:r>
          </w:p>
        </w:tc>
        <w:tc>
          <w:tcPr>
            <w:tcW w:w="1674" w:type="dxa"/>
          </w:tcPr>
          <w:p>
            <w:pPr>
              <w:pStyle w:val="23"/>
              <w:spacing w:before="16" w:line="295" w:lineRule="exact"/>
              <w:ind w:left="11"/>
              <w:rPr>
                <w:rFonts w:ascii="仿宋" w:eastAsia="仿宋"/>
                <w:b/>
                <w:sz w:val="24"/>
              </w:rPr>
            </w:pPr>
            <w:r>
              <w:rPr>
                <w:rFonts w:hint="eastAsia" w:ascii="仿宋" w:eastAsia="仿宋"/>
                <w:b/>
                <w:sz w:val="24"/>
              </w:rPr>
              <w:t>每周一次</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75" w:type="dxa"/>
            <w:vMerge w:val="continue"/>
            <w:tcBorders>
              <w:top w:val="nil"/>
            </w:tcBorders>
          </w:tcPr>
          <w:p>
            <w:pPr>
              <w:rPr>
                <w:sz w:val="2"/>
                <w:szCs w:val="2"/>
              </w:rPr>
            </w:pPr>
          </w:p>
        </w:tc>
        <w:tc>
          <w:tcPr>
            <w:tcW w:w="1148" w:type="dxa"/>
            <w:vMerge w:val="continue"/>
            <w:tcBorders>
              <w:top w:val="nil"/>
            </w:tcBorders>
          </w:tcPr>
          <w:p>
            <w:pPr>
              <w:rPr>
                <w:sz w:val="2"/>
                <w:szCs w:val="2"/>
              </w:rPr>
            </w:pPr>
          </w:p>
        </w:tc>
        <w:tc>
          <w:tcPr>
            <w:tcW w:w="6804" w:type="dxa"/>
          </w:tcPr>
          <w:p>
            <w:pPr>
              <w:pStyle w:val="23"/>
              <w:spacing w:before="15" w:line="295" w:lineRule="exact"/>
              <w:ind w:left="12"/>
              <w:rPr>
                <w:rFonts w:ascii="仿宋" w:hAnsi="仿宋" w:eastAsia="仿宋"/>
                <w:b/>
                <w:sz w:val="24"/>
              </w:rPr>
            </w:pPr>
            <w:bookmarkStart w:id="155" w:name="②有枯枝、徒长枝、过密枝、折枝；"/>
            <w:bookmarkEnd w:id="155"/>
            <w:r>
              <w:rPr>
                <w:rFonts w:hint="eastAsia" w:ascii="仿宋" w:hAnsi="仿宋" w:eastAsia="仿宋"/>
                <w:b/>
                <w:sz w:val="24"/>
              </w:rPr>
              <w:t>②有枯枝、徒长枝、过密枝、折枝；</w:t>
            </w:r>
          </w:p>
        </w:tc>
        <w:tc>
          <w:tcPr>
            <w:tcW w:w="1930" w:type="dxa"/>
          </w:tcPr>
          <w:p>
            <w:pPr>
              <w:pStyle w:val="23"/>
              <w:spacing w:before="15" w:line="295" w:lineRule="exact"/>
              <w:ind w:left="12"/>
              <w:rPr>
                <w:rFonts w:ascii="仿宋" w:eastAsia="仿宋"/>
                <w:b/>
                <w:sz w:val="24"/>
              </w:rPr>
            </w:pPr>
            <w:r>
              <w:rPr>
                <w:rFonts w:hint="eastAsia" w:ascii="仿宋" w:eastAsia="仿宋"/>
                <w:b/>
                <w:sz w:val="24"/>
              </w:rPr>
              <w:t>一1分</w:t>
            </w:r>
          </w:p>
        </w:tc>
        <w:tc>
          <w:tcPr>
            <w:tcW w:w="1674" w:type="dxa"/>
          </w:tcPr>
          <w:p>
            <w:pPr>
              <w:pStyle w:val="23"/>
              <w:spacing w:before="15" w:line="295" w:lineRule="exact"/>
              <w:ind w:left="11"/>
              <w:rPr>
                <w:rFonts w:ascii="仿宋" w:eastAsia="仿宋"/>
                <w:b/>
                <w:sz w:val="24"/>
              </w:rPr>
            </w:pPr>
            <w:r>
              <w:rPr>
                <w:rFonts w:hint="eastAsia" w:ascii="仿宋" w:eastAsia="仿宋"/>
                <w:b/>
                <w:sz w:val="24"/>
                <w:lang w:val="en-US"/>
              </w:rPr>
              <w:t>3</w:t>
            </w:r>
            <w:r>
              <w:rPr>
                <w:rFonts w:hint="eastAsia" w:ascii="仿宋" w:eastAsia="仿宋"/>
                <w:b/>
                <w:sz w:val="24"/>
              </w:rPr>
              <w:t>-10月</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75" w:type="dxa"/>
            <w:vMerge w:val="continue"/>
            <w:tcBorders>
              <w:top w:val="nil"/>
            </w:tcBorders>
          </w:tcPr>
          <w:p>
            <w:pPr>
              <w:rPr>
                <w:sz w:val="2"/>
                <w:szCs w:val="2"/>
              </w:rPr>
            </w:pPr>
          </w:p>
        </w:tc>
        <w:tc>
          <w:tcPr>
            <w:tcW w:w="1148" w:type="dxa"/>
            <w:vMerge w:val="continue"/>
            <w:tcBorders>
              <w:top w:val="nil"/>
            </w:tcBorders>
          </w:tcPr>
          <w:p>
            <w:pPr>
              <w:rPr>
                <w:sz w:val="2"/>
                <w:szCs w:val="2"/>
              </w:rPr>
            </w:pPr>
          </w:p>
        </w:tc>
        <w:tc>
          <w:tcPr>
            <w:tcW w:w="6804" w:type="dxa"/>
          </w:tcPr>
          <w:p>
            <w:pPr>
              <w:pStyle w:val="23"/>
              <w:spacing w:before="15" w:line="296" w:lineRule="exact"/>
              <w:ind w:left="12"/>
              <w:rPr>
                <w:rFonts w:ascii="仿宋" w:hAnsi="仿宋" w:eastAsia="仿宋"/>
                <w:b/>
                <w:sz w:val="24"/>
              </w:rPr>
            </w:pPr>
            <w:bookmarkStart w:id="156" w:name="③有死树："/>
            <w:bookmarkEnd w:id="156"/>
            <w:r>
              <w:rPr>
                <w:rFonts w:hint="eastAsia" w:ascii="仿宋" w:hAnsi="仿宋" w:eastAsia="仿宋"/>
                <w:b/>
                <w:sz w:val="24"/>
              </w:rPr>
              <w:t>③有死树：</w:t>
            </w:r>
          </w:p>
        </w:tc>
        <w:tc>
          <w:tcPr>
            <w:tcW w:w="1930" w:type="dxa"/>
          </w:tcPr>
          <w:p>
            <w:pPr>
              <w:pStyle w:val="23"/>
              <w:spacing w:before="15" w:line="296" w:lineRule="exact"/>
              <w:ind w:left="12"/>
              <w:rPr>
                <w:rFonts w:ascii="仿宋" w:eastAsia="仿宋"/>
                <w:b/>
                <w:sz w:val="24"/>
              </w:rPr>
            </w:pPr>
            <w:bookmarkStart w:id="157" w:name="每株一0.5分"/>
            <w:bookmarkEnd w:id="157"/>
            <w:r>
              <w:rPr>
                <w:rFonts w:hint="eastAsia" w:ascii="仿宋" w:eastAsia="仿宋"/>
                <w:b/>
                <w:sz w:val="24"/>
              </w:rPr>
              <w:t>每株一0.5分</w:t>
            </w:r>
          </w:p>
        </w:tc>
        <w:tc>
          <w:tcPr>
            <w:tcW w:w="1674" w:type="dxa"/>
          </w:tcPr>
          <w:p>
            <w:pPr>
              <w:pStyle w:val="23"/>
              <w:spacing w:before="15" w:line="296" w:lineRule="exact"/>
              <w:ind w:left="11"/>
              <w:rPr>
                <w:rFonts w:ascii="仿宋" w:eastAsia="仿宋"/>
                <w:b/>
                <w:sz w:val="24"/>
              </w:rPr>
            </w:pPr>
            <w:r>
              <w:rPr>
                <w:rFonts w:hint="eastAsia" w:ascii="仿宋" w:eastAsia="仿宋"/>
                <w:b/>
                <w:sz w:val="24"/>
              </w:rPr>
              <w:t>每周一次</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75" w:type="dxa"/>
            <w:vMerge w:val="continue"/>
            <w:tcBorders>
              <w:top w:val="nil"/>
            </w:tcBorders>
          </w:tcPr>
          <w:p>
            <w:pPr>
              <w:rPr>
                <w:sz w:val="2"/>
                <w:szCs w:val="2"/>
              </w:rPr>
            </w:pPr>
          </w:p>
        </w:tc>
        <w:tc>
          <w:tcPr>
            <w:tcW w:w="1148" w:type="dxa"/>
            <w:vMerge w:val="continue"/>
            <w:tcBorders>
              <w:top w:val="nil"/>
            </w:tcBorders>
          </w:tcPr>
          <w:p>
            <w:pPr>
              <w:rPr>
                <w:sz w:val="2"/>
                <w:szCs w:val="2"/>
              </w:rPr>
            </w:pPr>
          </w:p>
        </w:tc>
        <w:tc>
          <w:tcPr>
            <w:tcW w:w="6804" w:type="dxa"/>
          </w:tcPr>
          <w:p>
            <w:pPr>
              <w:pStyle w:val="23"/>
              <w:spacing w:before="15" w:line="296" w:lineRule="exact"/>
              <w:ind w:left="12"/>
              <w:rPr>
                <w:rFonts w:ascii="仿宋" w:hAnsi="仿宋" w:eastAsia="仿宋"/>
                <w:b/>
                <w:sz w:val="24"/>
              </w:rPr>
            </w:pPr>
            <w:bookmarkStart w:id="158" w:name="④树基、树干有萌条，树干有捆扎物；"/>
            <w:bookmarkEnd w:id="158"/>
            <w:r>
              <w:rPr>
                <w:rFonts w:hint="eastAsia" w:ascii="仿宋" w:hAnsi="仿宋" w:eastAsia="仿宋"/>
                <w:b/>
                <w:sz w:val="24"/>
              </w:rPr>
              <w:t>④树基、树干有萌条，树干有捆扎物；</w:t>
            </w:r>
          </w:p>
        </w:tc>
        <w:tc>
          <w:tcPr>
            <w:tcW w:w="1930" w:type="dxa"/>
          </w:tcPr>
          <w:p>
            <w:pPr>
              <w:pStyle w:val="23"/>
              <w:spacing w:before="15" w:line="296" w:lineRule="exact"/>
              <w:ind w:left="12"/>
              <w:rPr>
                <w:rFonts w:ascii="仿宋" w:eastAsia="仿宋"/>
                <w:b/>
                <w:sz w:val="24"/>
              </w:rPr>
            </w:pPr>
            <w:r>
              <w:rPr>
                <w:rFonts w:hint="eastAsia" w:ascii="仿宋" w:eastAsia="仿宋"/>
                <w:b/>
                <w:sz w:val="24"/>
              </w:rPr>
              <w:t>一1分</w:t>
            </w:r>
          </w:p>
        </w:tc>
        <w:tc>
          <w:tcPr>
            <w:tcW w:w="1674" w:type="dxa"/>
          </w:tcPr>
          <w:p>
            <w:pPr>
              <w:pStyle w:val="23"/>
              <w:spacing w:before="15" w:line="296" w:lineRule="exact"/>
              <w:ind w:left="11"/>
              <w:rPr>
                <w:rFonts w:ascii="仿宋" w:eastAsia="仿宋"/>
                <w:b/>
                <w:sz w:val="24"/>
              </w:rPr>
            </w:pPr>
            <w:r>
              <w:rPr>
                <w:rFonts w:hint="eastAsia" w:ascii="仿宋" w:eastAsia="仿宋"/>
                <w:b/>
                <w:sz w:val="24"/>
              </w:rPr>
              <w:t>每周一次</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75" w:type="dxa"/>
            <w:vMerge w:val="continue"/>
            <w:tcBorders>
              <w:top w:val="nil"/>
            </w:tcBorders>
          </w:tcPr>
          <w:p>
            <w:pPr>
              <w:rPr>
                <w:sz w:val="2"/>
                <w:szCs w:val="2"/>
              </w:rPr>
            </w:pPr>
          </w:p>
        </w:tc>
        <w:tc>
          <w:tcPr>
            <w:tcW w:w="1148" w:type="dxa"/>
            <w:vMerge w:val="continue"/>
            <w:tcBorders>
              <w:top w:val="nil"/>
            </w:tcBorders>
          </w:tcPr>
          <w:p>
            <w:pPr>
              <w:rPr>
                <w:sz w:val="2"/>
                <w:szCs w:val="2"/>
              </w:rPr>
            </w:pPr>
          </w:p>
        </w:tc>
        <w:tc>
          <w:tcPr>
            <w:tcW w:w="6804" w:type="dxa"/>
          </w:tcPr>
          <w:p>
            <w:pPr>
              <w:pStyle w:val="23"/>
              <w:spacing w:before="15" w:line="296" w:lineRule="exact"/>
              <w:ind w:left="12"/>
              <w:rPr>
                <w:rFonts w:ascii="仿宋" w:hAnsi="仿宋" w:eastAsia="仿宋"/>
                <w:b/>
                <w:sz w:val="24"/>
              </w:rPr>
            </w:pPr>
            <w:bookmarkStart w:id="159" w:name="⑤村木修剪不及时或未按要求修剪的；"/>
            <w:bookmarkEnd w:id="159"/>
            <w:r>
              <w:rPr>
                <w:rFonts w:hint="eastAsia" w:ascii="仿宋" w:hAnsi="仿宋" w:eastAsia="仿宋"/>
                <w:b/>
                <w:sz w:val="24"/>
              </w:rPr>
              <w:t>⑤村木修剪不及时或未按要求修剪的；</w:t>
            </w:r>
          </w:p>
        </w:tc>
        <w:tc>
          <w:tcPr>
            <w:tcW w:w="1930" w:type="dxa"/>
          </w:tcPr>
          <w:p>
            <w:pPr>
              <w:pStyle w:val="23"/>
              <w:spacing w:before="15" w:line="296" w:lineRule="exact"/>
              <w:ind w:left="12"/>
              <w:rPr>
                <w:rFonts w:ascii="仿宋" w:eastAsia="仿宋"/>
                <w:b/>
                <w:sz w:val="24"/>
              </w:rPr>
            </w:pPr>
            <w:r>
              <w:rPr>
                <w:rFonts w:hint="eastAsia" w:ascii="仿宋" w:eastAsia="仿宋"/>
                <w:b/>
                <w:sz w:val="24"/>
              </w:rPr>
              <w:t>一1分</w:t>
            </w:r>
          </w:p>
        </w:tc>
        <w:tc>
          <w:tcPr>
            <w:tcW w:w="1674" w:type="dxa"/>
          </w:tcPr>
          <w:p>
            <w:pPr>
              <w:pStyle w:val="23"/>
              <w:spacing w:before="15" w:line="296" w:lineRule="exact"/>
              <w:ind w:left="11"/>
              <w:rPr>
                <w:rFonts w:ascii="仿宋" w:eastAsia="仿宋"/>
                <w:b/>
                <w:sz w:val="24"/>
              </w:rPr>
            </w:pPr>
            <w:r>
              <w:rPr>
                <w:rFonts w:hint="eastAsia" w:ascii="仿宋" w:eastAsia="仿宋"/>
                <w:b/>
                <w:sz w:val="24"/>
              </w:rPr>
              <w:t>每周一次</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75" w:type="dxa"/>
            <w:vMerge w:val="continue"/>
            <w:tcBorders>
              <w:top w:val="nil"/>
            </w:tcBorders>
          </w:tcPr>
          <w:p>
            <w:pPr>
              <w:rPr>
                <w:sz w:val="2"/>
                <w:szCs w:val="2"/>
              </w:rPr>
            </w:pPr>
          </w:p>
        </w:tc>
        <w:tc>
          <w:tcPr>
            <w:tcW w:w="1148" w:type="dxa"/>
            <w:vMerge w:val="continue"/>
            <w:tcBorders>
              <w:top w:val="nil"/>
            </w:tcBorders>
          </w:tcPr>
          <w:p>
            <w:pPr>
              <w:rPr>
                <w:sz w:val="2"/>
                <w:szCs w:val="2"/>
              </w:rPr>
            </w:pPr>
          </w:p>
        </w:tc>
        <w:tc>
          <w:tcPr>
            <w:tcW w:w="6804" w:type="dxa"/>
          </w:tcPr>
          <w:p>
            <w:pPr>
              <w:pStyle w:val="23"/>
              <w:spacing w:before="17" w:line="294" w:lineRule="exact"/>
              <w:ind w:left="12"/>
              <w:rPr>
                <w:rFonts w:ascii="仿宋" w:hAnsi="仿宋" w:eastAsia="仿宋"/>
                <w:b/>
                <w:sz w:val="24"/>
              </w:rPr>
            </w:pPr>
            <w:bookmarkStart w:id="160" w:name="⑥2cm以上剪口、损伤部位不涂防护剂；"/>
            <w:bookmarkEnd w:id="160"/>
            <w:r>
              <w:rPr>
                <w:rFonts w:hint="eastAsia" w:ascii="仿宋" w:hAnsi="仿宋" w:eastAsia="仿宋"/>
                <w:b/>
                <w:sz w:val="24"/>
              </w:rPr>
              <w:t>⑥2cm以上剪口、损伤部位不涂防护剂；</w:t>
            </w:r>
          </w:p>
        </w:tc>
        <w:tc>
          <w:tcPr>
            <w:tcW w:w="1930" w:type="dxa"/>
          </w:tcPr>
          <w:p>
            <w:pPr>
              <w:pStyle w:val="23"/>
              <w:spacing w:before="17" w:line="294" w:lineRule="exact"/>
              <w:ind w:left="12"/>
              <w:rPr>
                <w:rFonts w:ascii="仿宋" w:eastAsia="仿宋"/>
                <w:b/>
                <w:sz w:val="24"/>
              </w:rPr>
            </w:pPr>
            <w:r>
              <w:rPr>
                <w:rFonts w:hint="eastAsia" w:ascii="仿宋" w:eastAsia="仿宋"/>
                <w:b/>
                <w:sz w:val="24"/>
              </w:rPr>
              <w:t>-1分</w:t>
            </w:r>
          </w:p>
        </w:tc>
        <w:tc>
          <w:tcPr>
            <w:tcW w:w="1674" w:type="dxa"/>
          </w:tcPr>
          <w:p>
            <w:pPr>
              <w:pStyle w:val="23"/>
              <w:spacing w:before="17" w:line="294" w:lineRule="exact"/>
              <w:ind w:left="11"/>
              <w:rPr>
                <w:rFonts w:ascii="仿宋" w:eastAsia="仿宋"/>
                <w:b/>
                <w:sz w:val="24"/>
              </w:rPr>
            </w:pPr>
            <w:r>
              <w:rPr>
                <w:rFonts w:hint="eastAsia" w:ascii="仿宋" w:eastAsia="仿宋"/>
                <w:b/>
                <w:sz w:val="24"/>
              </w:rPr>
              <w:t>每周一次</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75" w:type="dxa"/>
            <w:vMerge w:val="continue"/>
            <w:tcBorders>
              <w:top w:val="nil"/>
            </w:tcBorders>
          </w:tcPr>
          <w:p>
            <w:pPr>
              <w:rPr>
                <w:sz w:val="2"/>
                <w:szCs w:val="2"/>
              </w:rPr>
            </w:pPr>
          </w:p>
        </w:tc>
        <w:tc>
          <w:tcPr>
            <w:tcW w:w="1148" w:type="dxa"/>
            <w:vMerge w:val="continue"/>
            <w:tcBorders>
              <w:top w:val="nil"/>
            </w:tcBorders>
          </w:tcPr>
          <w:p>
            <w:pPr>
              <w:rPr>
                <w:sz w:val="2"/>
                <w:szCs w:val="2"/>
              </w:rPr>
            </w:pPr>
          </w:p>
        </w:tc>
        <w:tc>
          <w:tcPr>
            <w:tcW w:w="6804" w:type="dxa"/>
          </w:tcPr>
          <w:p>
            <w:pPr>
              <w:pStyle w:val="23"/>
              <w:spacing w:before="17" w:line="294" w:lineRule="exact"/>
              <w:ind w:left="12"/>
              <w:rPr>
                <w:rFonts w:ascii="仿宋" w:hAnsi="仿宋" w:eastAsia="仿宋"/>
                <w:b/>
                <w:sz w:val="24"/>
              </w:rPr>
            </w:pPr>
            <w:bookmarkStart w:id="161" w:name="⑦爬藤植物倒伏、堆积："/>
            <w:bookmarkEnd w:id="161"/>
            <w:r>
              <w:rPr>
                <w:rFonts w:hint="eastAsia" w:ascii="仿宋" w:hAnsi="仿宋" w:eastAsia="仿宋"/>
                <w:b/>
                <w:sz w:val="24"/>
              </w:rPr>
              <w:t>⑦爬藤植物倒伏、堆积：</w:t>
            </w:r>
          </w:p>
        </w:tc>
        <w:tc>
          <w:tcPr>
            <w:tcW w:w="1930" w:type="dxa"/>
          </w:tcPr>
          <w:p>
            <w:pPr>
              <w:pStyle w:val="23"/>
              <w:spacing w:before="17" w:line="294" w:lineRule="exact"/>
              <w:ind w:left="12"/>
              <w:rPr>
                <w:rFonts w:ascii="仿宋" w:eastAsia="仿宋"/>
                <w:b/>
                <w:sz w:val="24"/>
              </w:rPr>
            </w:pPr>
            <w:r>
              <w:rPr>
                <w:rFonts w:hint="eastAsia" w:ascii="仿宋" w:eastAsia="仿宋"/>
                <w:b/>
                <w:sz w:val="24"/>
              </w:rPr>
              <w:t>一1分</w:t>
            </w:r>
          </w:p>
        </w:tc>
        <w:tc>
          <w:tcPr>
            <w:tcW w:w="1674" w:type="dxa"/>
          </w:tcPr>
          <w:p>
            <w:pPr>
              <w:pStyle w:val="23"/>
              <w:spacing w:before="17" w:line="294" w:lineRule="exact"/>
              <w:ind w:left="11"/>
              <w:rPr>
                <w:rFonts w:ascii="仿宋" w:eastAsia="仿宋"/>
                <w:b/>
                <w:sz w:val="24"/>
              </w:rPr>
            </w:pPr>
            <w:r>
              <w:rPr>
                <w:rFonts w:hint="eastAsia" w:ascii="仿宋" w:eastAsia="仿宋"/>
                <w:b/>
                <w:sz w:val="24"/>
              </w:rPr>
              <w:t>每周一次</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75" w:type="dxa"/>
            <w:vMerge w:val="continue"/>
            <w:tcBorders>
              <w:top w:val="nil"/>
            </w:tcBorders>
          </w:tcPr>
          <w:p>
            <w:pPr>
              <w:rPr>
                <w:sz w:val="2"/>
                <w:szCs w:val="2"/>
              </w:rPr>
            </w:pPr>
          </w:p>
        </w:tc>
        <w:tc>
          <w:tcPr>
            <w:tcW w:w="1148" w:type="dxa"/>
            <w:vMerge w:val="continue"/>
            <w:tcBorders>
              <w:top w:val="nil"/>
            </w:tcBorders>
          </w:tcPr>
          <w:p>
            <w:pPr>
              <w:rPr>
                <w:sz w:val="2"/>
                <w:szCs w:val="2"/>
              </w:rPr>
            </w:pPr>
          </w:p>
        </w:tc>
        <w:tc>
          <w:tcPr>
            <w:tcW w:w="6804" w:type="dxa"/>
          </w:tcPr>
          <w:p>
            <w:pPr>
              <w:pStyle w:val="23"/>
              <w:spacing w:before="16" w:line="294" w:lineRule="exact"/>
              <w:ind w:left="12"/>
              <w:rPr>
                <w:rFonts w:ascii="仿宋" w:hAnsi="仿宋" w:eastAsia="仿宋"/>
                <w:b/>
                <w:sz w:val="24"/>
              </w:rPr>
            </w:pPr>
            <w:bookmarkStart w:id="162" w:name="⑧每年对乔木进行两次清洁工作，漏清、未按要求清洁，"/>
            <w:bookmarkEnd w:id="162"/>
            <w:r>
              <w:rPr>
                <w:rFonts w:hint="eastAsia" w:ascii="仿宋" w:hAnsi="仿宋" w:eastAsia="仿宋"/>
                <w:b/>
                <w:sz w:val="24"/>
              </w:rPr>
              <w:t>⑧对乔木进行清洁工作，漏清、未按要求清洁，</w:t>
            </w:r>
          </w:p>
        </w:tc>
        <w:tc>
          <w:tcPr>
            <w:tcW w:w="1930" w:type="dxa"/>
          </w:tcPr>
          <w:p>
            <w:pPr>
              <w:pStyle w:val="23"/>
              <w:spacing w:before="16" w:line="294" w:lineRule="exact"/>
              <w:ind w:left="12"/>
              <w:rPr>
                <w:rFonts w:ascii="仿宋" w:eastAsia="仿宋"/>
                <w:b/>
                <w:sz w:val="24"/>
              </w:rPr>
            </w:pPr>
            <w:r>
              <w:rPr>
                <w:rFonts w:hint="eastAsia" w:ascii="仿宋" w:eastAsia="仿宋"/>
                <w:b/>
                <w:sz w:val="24"/>
              </w:rPr>
              <w:t>一1分</w:t>
            </w:r>
          </w:p>
        </w:tc>
        <w:tc>
          <w:tcPr>
            <w:tcW w:w="1674" w:type="dxa"/>
          </w:tcPr>
          <w:p>
            <w:pPr>
              <w:pStyle w:val="23"/>
              <w:spacing w:before="16" w:line="294" w:lineRule="exact"/>
              <w:ind w:left="11"/>
              <w:rPr>
                <w:rFonts w:ascii="仿宋" w:eastAsia="仿宋"/>
                <w:b/>
                <w:sz w:val="24"/>
              </w:rPr>
            </w:pPr>
            <w:bookmarkStart w:id="163" w:name="12月、1月、2月"/>
            <w:bookmarkEnd w:id="163"/>
            <w:r>
              <w:rPr>
                <w:rFonts w:hint="eastAsia" w:ascii="仿宋" w:eastAsia="仿宋"/>
                <w:b/>
                <w:sz w:val="24"/>
              </w:rPr>
              <w:t>每周一次</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75" w:type="dxa"/>
            <w:vMerge w:val="restart"/>
          </w:tcPr>
          <w:p>
            <w:pPr>
              <w:pStyle w:val="23"/>
              <w:spacing w:before="187"/>
              <w:ind w:left="11"/>
              <w:rPr>
                <w:rFonts w:ascii="仿宋"/>
                <w:b/>
                <w:sz w:val="24"/>
              </w:rPr>
            </w:pPr>
            <w:r>
              <w:rPr>
                <w:rFonts w:ascii="仿宋"/>
                <w:b/>
                <w:w w:val="99"/>
                <w:sz w:val="24"/>
              </w:rPr>
              <w:t>5</w:t>
            </w:r>
          </w:p>
        </w:tc>
        <w:tc>
          <w:tcPr>
            <w:tcW w:w="1148" w:type="dxa"/>
            <w:vMerge w:val="restart"/>
          </w:tcPr>
          <w:p>
            <w:pPr>
              <w:pStyle w:val="23"/>
              <w:spacing w:before="187"/>
              <w:ind w:left="10"/>
              <w:rPr>
                <w:rFonts w:ascii="仿宋" w:eastAsia="仿宋"/>
                <w:b/>
                <w:sz w:val="24"/>
              </w:rPr>
            </w:pPr>
            <w:bookmarkStart w:id="164" w:name="花卉"/>
            <w:bookmarkEnd w:id="164"/>
            <w:r>
              <w:rPr>
                <w:rFonts w:hint="eastAsia" w:ascii="仿宋" w:eastAsia="仿宋"/>
                <w:b/>
                <w:sz w:val="24"/>
              </w:rPr>
              <w:t>花卉</w:t>
            </w:r>
          </w:p>
        </w:tc>
        <w:tc>
          <w:tcPr>
            <w:tcW w:w="6804" w:type="dxa"/>
          </w:tcPr>
          <w:p>
            <w:pPr>
              <w:pStyle w:val="23"/>
              <w:spacing w:before="16" w:line="294" w:lineRule="exact"/>
              <w:ind w:left="12"/>
              <w:rPr>
                <w:rFonts w:ascii="仿宋" w:hAnsi="仿宋" w:eastAsia="仿宋"/>
                <w:b/>
                <w:sz w:val="24"/>
              </w:rPr>
            </w:pPr>
            <w:bookmarkStart w:id="165" w:name="①植株不整齐，长势弱："/>
            <w:bookmarkEnd w:id="165"/>
            <w:r>
              <w:rPr>
                <w:rFonts w:hint="eastAsia" w:ascii="仿宋" w:hAnsi="仿宋" w:eastAsia="仿宋"/>
                <w:b/>
                <w:sz w:val="24"/>
              </w:rPr>
              <w:t>①植株不整齐，长势弱：</w:t>
            </w:r>
          </w:p>
        </w:tc>
        <w:tc>
          <w:tcPr>
            <w:tcW w:w="1930" w:type="dxa"/>
          </w:tcPr>
          <w:p>
            <w:pPr>
              <w:pStyle w:val="23"/>
              <w:spacing w:before="16" w:line="294" w:lineRule="exact"/>
              <w:ind w:left="12"/>
              <w:rPr>
                <w:rFonts w:ascii="仿宋" w:eastAsia="仿宋"/>
                <w:b/>
                <w:sz w:val="24"/>
              </w:rPr>
            </w:pPr>
            <w:r>
              <w:rPr>
                <w:rFonts w:hint="eastAsia" w:ascii="仿宋" w:eastAsia="仿宋"/>
                <w:b/>
                <w:sz w:val="24"/>
              </w:rPr>
              <w:t>一1分</w:t>
            </w:r>
          </w:p>
        </w:tc>
        <w:tc>
          <w:tcPr>
            <w:tcW w:w="1674" w:type="dxa"/>
          </w:tcPr>
          <w:p>
            <w:pPr>
              <w:pStyle w:val="23"/>
              <w:spacing w:before="16" w:line="294" w:lineRule="exact"/>
              <w:ind w:left="11"/>
              <w:rPr>
                <w:rFonts w:ascii="仿宋" w:eastAsia="仿宋"/>
                <w:b/>
                <w:sz w:val="24"/>
              </w:rPr>
            </w:pPr>
            <w:r>
              <w:rPr>
                <w:rFonts w:hint="eastAsia" w:ascii="仿宋" w:eastAsia="仿宋"/>
                <w:b/>
                <w:sz w:val="24"/>
                <w:lang w:val="en-US"/>
              </w:rPr>
              <w:t>3</w:t>
            </w:r>
            <w:r>
              <w:rPr>
                <w:rFonts w:hint="eastAsia" w:ascii="仿宋" w:eastAsia="仿宋"/>
                <w:b/>
                <w:sz w:val="24"/>
              </w:rPr>
              <w:t>-10月</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8" w:hRule="atLeast"/>
        </w:trPr>
        <w:tc>
          <w:tcPr>
            <w:tcW w:w="675" w:type="dxa"/>
            <w:vMerge w:val="continue"/>
            <w:tcBorders>
              <w:top w:val="nil"/>
            </w:tcBorders>
          </w:tcPr>
          <w:p>
            <w:pPr>
              <w:rPr>
                <w:sz w:val="2"/>
                <w:szCs w:val="2"/>
              </w:rPr>
            </w:pPr>
          </w:p>
        </w:tc>
        <w:tc>
          <w:tcPr>
            <w:tcW w:w="1148" w:type="dxa"/>
            <w:vMerge w:val="continue"/>
            <w:tcBorders>
              <w:top w:val="nil"/>
            </w:tcBorders>
          </w:tcPr>
          <w:p>
            <w:pPr>
              <w:rPr>
                <w:sz w:val="2"/>
                <w:szCs w:val="2"/>
              </w:rPr>
            </w:pPr>
          </w:p>
        </w:tc>
        <w:tc>
          <w:tcPr>
            <w:tcW w:w="6804" w:type="dxa"/>
          </w:tcPr>
          <w:p>
            <w:pPr>
              <w:pStyle w:val="23"/>
              <w:spacing w:before="16" w:line="293" w:lineRule="exact"/>
              <w:ind w:left="12"/>
              <w:rPr>
                <w:rFonts w:ascii="仿宋" w:hAnsi="仿宋" w:eastAsia="仿宋"/>
                <w:b/>
                <w:sz w:val="24"/>
              </w:rPr>
            </w:pPr>
            <w:bookmarkStart w:id="166" w:name="②种植不适时，株行距不合理；"/>
            <w:bookmarkEnd w:id="166"/>
            <w:r>
              <w:rPr>
                <w:rFonts w:hint="eastAsia" w:ascii="仿宋" w:hAnsi="仿宋" w:eastAsia="仿宋"/>
                <w:b/>
                <w:sz w:val="24"/>
              </w:rPr>
              <w:t>②种植不适时，株行距不合理；</w:t>
            </w:r>
          </w:p>
        </w:tc>
        <w:tc>
          <w:tcPr>
            <w:tcW w:w="1930" w:type="dxa"/>
          </w:tcPr>
          <w:p>
            <w:pPr>
              <w:pStyle w:val="23"/>
              <w:spacing w:before="16" w:line="293" w:lineRule="exact"/>
              <w:ind w:left="12"/>
              <w:rPr>
                <w:rFonts w:ascii="仿宋" w:eastAsia="仿宋"/>
                <w:b/>
                <w:sz w:val="24"/>
              </w:rPr>
            </w:pPr>
            <w:r>
              <w:rPr>
                <w:rFonts w:hint="eastAsia" w:ascii="仿宋" w:eastAsia="仿宋"/>
                <w:b/>
                <w:sz w:val="24"/>
              </w:rPr>
              <w:t>一1分</w:t>
            </w:r>
          </w:p>
        </w:tc>
        <w:tc>
          <w:tcPr>
            <w:tcW w:w="1674" w:type="dxa"/>
          </w:tcPr>
          <w:p>
            <w:pPr>
              <w:pStyle w:val="23"/>
              <w:spacing w:before="16" w:line="293" w:lineRule="exact"/>
              <w:ind w:left="11"/>
              <w:rPr>
                <w:rFonts w:ascii="仿宋" w:eastAsia="仿宋"/>
                <w:b/>
                <w:sz w:val="24"/>
              </w:rPr>
            </w:pPr>
            <w:bookmarkStart w:id="167" w:name="2、3、4、5月"/>
            <w:bookmarkEnd w:id="167"/>
            <w:r>
              <w:rPr>
                <w:rFonts w:hint="eastAsia" w:ascii="仿宋" w:eastAsia="仿宋"/>
                <w:b/>
                <w:sz w:val="24"/>
              </w:rPr>
              <w:t>春、秋季</w:t>
            </w:r>
          </w:p>
        </w:tc>
        <w:tc>
          <w:tcPr>
            <w:tcW w:w="2160" w:type="dxa"/>
          </w:tcPr>
          <w:p>
            <w:pPr>
              <w:pStyle w:val="23"/>
              <w:rPr>
                <w:rFonts w:ascii="Times New Roman"/>
              </w:rPr>
            </w:pPr>
          </w:p>
        </w:tc>
      </w:tr>
    </w:tbl>
    <w:p>
      <w:pPr>
        <w:rPr>
          <w:rFonts w:ascii="Times New Roman"/>
        </w:rPr>
        <w:sectPr>
          <w:footerReference r:id="rId13" w:type="default"/>
          <w:pgSz w:w="16840" w:h="11910" w:orient="landscape"/>
          <w:pgMar w:top="1100" w:right="860" w:bottom="1200" w:left="1340" w:header="0" w:footer="1012" w:gutter="0"/>
          <w:pgNumType w:start="52"/>
          <w:cols w:space="720" w:num="1"/>
        </w:sectPr>
      </w:pPr>
    </w:p>
    <w:p>
      <w:pPr>
        <w:pStyle w:val="9"/>
        <w:rPr>
          <w:rFonts w:ascii="Times New Roman"/>
          <w:sz w:val="20"/>
        </w:rPr>
      </w:pPr>
    </w:p>
    <w:p>
      <w:pPr>
        <w:pStyle w:val="9"/>
        <w:rPr>
          <w:rFonts w:ascii="Times New Roman"/>
          <w:sz w:val="20"/>
        </w:rPr>
      </w:pPr>
    </w:p>
    <w:p>
      <w:pPr>
        <w:pStyle w:val="9"/>
        <w:spacing w:before="5"/>
        <w:rPr>
          <w:rFonts w:ascii="Times New Roman"/>
          <w:sz w:val="21"/>
        </w:rPr>
      </w:pPr>
    </w:p>
    <w:tbl>
      <w:tblPr>
        <w:tblStyle w:val="19"/>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1148"/>
        <w:gridCol w:w="6804"/>
        <w:gridCol w:w="1930"/>
        <w:gridCol w:w="1674"/>
        <w:gridCol w:w="21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75" w:type="dxa"/>
          </w:tcPr>
          <w:p>
            <w:pPr>
              <w:pStyle w:val="23"/>
              <w:rPr>
                <w:rFonts w:ascii="Times New Roman"/>
              </w:rPr>
            </w:pPr>
          </w:p>
        </w:tc>
        <w:tc>
          <w:tcPr>
            <w:tcW w:w="1148" w:type="dxa"/>
          </w:tcPr>
          <w:p>
            <w:pPr>
              <w:pStyle w:val="23"/>
              <w:rPr>
                <w:rFonts w:ascii="Times New Roman"/>
              </w:rPr>
            </w:pPr>
          </w:p>
        </w:tc>
        <w:tc>
          <w:tcPr>
            <w:tcW w:w="6804" w:type="dxa"/>
          </w:tcPr>
          <w:p>
            <w:pPr>
              <w:pStyle w:val="23"/>
              <w:spacing w:before="18" w:line="293" w:lineRule="exact"/>
              <w:ind w:left="12"/>
              <w:rPr>
                <w:rFonts w:ascii="仿宋" w:hAnsi="仿宋" w:eastAsia="仿宋"/>
                <w:b/>
                <w:sz w:val="24"/>
              </w:rPr>
            </w:pPr>
            <w:bookmarkStart w:id="168" w:name="③有缺株、倒伏，有残花败叶。"/>
            <w:bookmarkEnd w:id="168"/>
            <w:r>
              <w:rPr>
                <w:rFonts w:hint="eastAsia" w:ascii="仿宋" w:hAnsi="仿宋" w:eastAsia="仿宋"/>
                <w:b/>
                <w:sz w:val="24"/>
              </w:rPr>
              <w:t>③有缺株、倒伏，有残花败叶。</w:t>
            </w:r>
          </w:p>
        </w:tc>
        <w:tc>
          <w:tcPr>
            <w:tcW w:w="1930" w:type="dxa"/>
          </w:tcPr>
          <w:p>
            <w:pPr>
              <w:pStyle w:val="23"/>
              <w:spacing w:before="18" w:line="293" w:lineRule="exact"/>
              <w:ind w:left="12"/>
              <w:rPr>
                <w:rFonts w:ascii="仿宋" w:eastAsia="仿宋"/>
                <w:b/>
                <w:sz w:val="24"/>
              </w:rPr>
            </w:pPr>
            <w:r>
              <w:rPr>
                <w:rFonts w:hint="eastAsia" w:ascii="仿宋" w:eastAsia="仿宋"/>
                <w:b/>
                <w:sz w:val="24"/>
              </w:rPr>
              <w:t>一1分</w:t>
            </w:r>
          </w:p>
        </w:tc>
        <w:tc>
          <w:tcPr>
            <w:tcW w:w="1674" w:type="dxa"/>
          </w:tcPr>
          <w:p>
            <w:pPr>
              <w:pStyle w:val="23"/>
              <w:spacing w:before="18" w:line="293" w:lineRule="exact"/>
              <w:ind w:left="11"/>
              <w:rPr>
                <w:rFonts w:ascii="仿宋" w:eastAsia="仿宋"/>
                <w:b/>
                <w:sz w:val="24"/>
              </w:rPr>
            </w:pPr>
            <w:bookmarkStart w:id="169" w:name="5-10月"/>
            <w:bookmarkEnd w:id="169"/>
            <w:r>
              <w:rPr>
                <w:rFonts w:hint="eastAsia" w:ascii="仿宋" w:eastAsia="仿宋"/>
                <w:b/>
                <w:sz w:val="24"/>
              </w:rPr>
              <w:t>5-10月</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75" w:type="dxa"/>
            <w:vMerge w:val="restart"/>
          </w:tcPr>
          <w:p>
            <w:pPr>
              <w:pStyle w:val="23"/>
              <w:rPr>
                <w:rFonts w:ascii="Times New Roman"/>
                <w:sz w:val="24"/>
              </w:rPr>
            </w:pPr>
          </w:p>
          <w:p>
            <w:pPr>
              <w:pStyle w:val="23"/>
              <w:rPr>
                <w:rFonts w:ascii="Times New Roman"/>
                <w:sz w:val="24"/>
              </w:rPr>
            </w:pPr>
          </w:p>
          <w:p>
            <w:pPr>
              <w:pStyle w:val="23"/>
              <w:spacing w:before="7"/>
              <w:rPr>
                <w:rFonts w:ascii="Times New Roman"/>
                <w:sz w:val="27"/>
              </w:rPr>
            </w:pPr>
          </w:p>
          <w:p>
            <w:pPr>
              <w:pStyle w:val="23"/>
              <w:ind w:left="11"/>
              <w:rPr>
                <w:rFonts w:ascii="仿宋"/>
                <w:b/>
                <w:sz w:val="24"/>
              </w:rPr>
            </w:pPr>
            <w:bookmarkStart w:id="170" w:name="6"/>
            <w:bookmarkEnd w:id="170"/>
            <w:r>
              <w:rPr>
                <w:rFonts w:ascii="仿宋"/>
                <w:b/>
                <w:w w:val="99"/>
                <w:sz w:val="24"/>
              </w:rPr>
              <w:t>6</w:t>
            </w:r>
          </w:p>
        </w:tc>
        <w:tc>
          <w:tcPr>
            <w:tcW w:w="1148" w:type="dxa"/>
            <w:vMerge w:val="restart"/>
          </w:tcPr>
          <w:p>
            <w:pPr>
              <w:pStyle w:val="23"/>
              <w:rPr>
                <w:rFonts w:ascii="Times New Roman"/>
                <w:sz w:val="24"/>
              </w:rPr>
            </w:pPr>
          </w:p>
          <w:p>
            <w:pPr>
              <w:pStyle w:val="23"/>
              <w:rPr>
                <w:rFonts w:ascii="Times New Roman"/>
                <w:sz w:val="24"/>
              </w:rPr>
            </w:pPr>
          </w:p>
          <w:p>
            <w:pPr>
              <w:pStyle w:val="23"/>
              <w:spacing w:before="7"/>
              <w:rPr>
                <w:rFonts w:ascii="Times New Roman"/>
                <w:sz w:val="27"/>
              </w:rPr>
            </w:pPr>
          </w:p>
          <w:p>
            <w:pPr>
              <w:pStyle w:val="23"/>
              <w:ind w:left="10"/>
              <w:rPr>
                <w:rFonts w:ascii="仿宋" w:eastAsia="仿宋"/>
                <w:b/>
                <w:sz w:val="24"/>
              </w:rPr>
            </w:pPr>
            <w:bookmarkStart w:id="171" w:name="草坪"/>
            <w:bookmarkEnd w:id="171"/>
            <w:r>
              <w:rPr>
                <w:rFonts w:hint="eastAsia" w:ascii="仿宋" w:eastAsia="仿宋"/>
                <w:b/>
                <w:sz w:val="24"/>
              </w:rPr>
              <w:t>草坪</w:t>
            </w:r>
          </w:p>
        </w:tc>
        <w:tc>
          <w:tcPr>
            <w:tcW w:w="6804" w:type="dxa"/>
          </w:tcPr>
          <w:p>
            <w:pPr>
              <w:pStyle w:val="23"/>
              <w:spacing w:before="17" w:line="293" w:lineRule="exact"/>
              <w:ind w:left="12"/>
              <w:rPr>
                <w:rFonts w:ascii="仿宋" w:hAnsi="仿宋" w:eastAsia="仿宋"/>
                <w:b/>
                <w:sz w:val="24"/>
              </w:rPr>
            </w:pPr>
            <w:bookmarkStart w:id="172" w:name="①草种配植不合理；"/>
            <w:bookmarkEnd w:id="172"/>
            <w:r>
              <w:rPr>
                <w:rFonts w:hint="eastAsia" w:ascii="仿宋" w:hAnsi="仿宋" w:eastAsia="仿宋"/>
                <w:b/>
                <w:sz w:val="24"/>
              </w:rPr>
              <w:t>①草种配植不合理；</w:t>
            </w:r>
          </w:p>
        </w:tc>
        <w:tc>
          <w:tcPr>
            <w:tcW w:w="1930" w:type="dxa"/>
          </w:tcPr>
          <w:p>
            <w:pPr>
              <w:pStyle w:val="23"/>
              <w:spacing w:before="17" w:line="293" w:lineRule="exact"/>
              <w:ind w:left="12"/>
              <w:rPr>
                <w:rFonts w:ascii="仿宋" w:eastAsia="仿宋"/>
                <w:b/>
                <w:sz w:val="24"/>
              </w:rPr>
            </w:pPr>
            <w:r>
              <w:rPr>
                <w:rFonts w:hint="eastAsia" w:ascii="仿宋" w:eastAsia="仿宋"/>
                <w:b/>
                <w:sz w:val="24"/>
              </w:rPr>
              <w:t>一1分</w:t>
            </w:r>
          </w:p>
        </w:tc>
        <w:tc>
          <w:tcPr>
            <w:tcW w:w="1674" w:type="dxa"/>
          </w:tcPr>
          <w:p>
            <w:pPr>
              <w:pStyle w:val="23"/>
              <w:spacing w:before="17" w:line="293" w:lineRule="exact"/>
              <w:ind w:left="11"/>
              <w:rPr>
                <w:rFonts w:ascii="仿宋" w:eastAsia="仿宋"/>
                <w:b/>
                <w:sz w:val="24"/>
              </w:rPr>
            </w:pPr>
            <w:r>
              <w:rPr>
                <w:rFonts w:hint="eastAsia" w:ascii="仿宋" w:eastAsia="仿宋"/>
                <w:b/>
                <w:sz w:val="24"/>
              </w:rPr>
              <w:t>4-10月</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75" w:type="dxa"/>
            <w:vMerge w:val="continue"/>
            <w:tcBorders>
              <w:top w:val="nil"/>
            </w:tcBorders>
          </w:tcPr>
          <w:p>
            <w:pPr>
              <w:rPr>
                <w:sz w:val="2"/>
                <w:szCs w:val="2"/>
              </w:rPr>
            </w:pPr>
          </w:p>
        </w:tc>
        <w:tc>
          <w:tcPr>
            <w:tcW w:w="1148" w:type="dxa"/>
            <w:vMerge w:val="continue"/>
            <w:tcBorders>
              <w:top w:val="nil"/>
            </w:tcBorders>
          </w:tcPr>
          <w:p>
            <w:pPr>
              <w:rPr>
                <w:sz w:val="2"/>
                <w:szCs w:val="2"/>
              </w:rPr>
            </w:pPr>
          </w:p>
        </w:tc>
        <w:tc>
          <w:tcPr>
            <w:tcW w:w="6804" w:type="dxa"/>
          </w:tcPr>
          <w:p>
            <w:pPr>
              <w:pStyle w:val="23"/>
              <w:spacing w:before="17" w:line="293" w:lineRule="exact"/>
              <w:ind w:left="12"/>
              <w:rPr>
                <w:rFonts w:ascii="仿宋" w:hAnsi="仿宋" w:eastAsia="仿宋"/>
                <w:b/>
                <w:sz w:val="24"/>
              </w:rPr>
            </w:pPr>
            <w:bookmarkStart w:id="173" w:name="②有杂草；"/>
            <w:bookmarkEnd w:id="173"/>
            <w:r>
              <w:rPr>
                <w:rFonts w:hint="eastAsia" w:ascii="仿宋" w:hAnsi="仿宋" w:eastAsia="仿宋"/>
                <w:b/>
                <w:sz w:val="24"/>
              </w:rPr>
              <w:t>②有杂草；</w:t>
            </w:r>
          </w:p>
        </w:tc>
        <w:tc>
          <w:tcPr>
            <w:tcW w:w="1930" w:type="dxa"/>
          </w:tcPr>
          <w:p>
            <w:pPr>
              <w:pStyle w:val="23"/>
              <w:spacing w:before="17" w:line="293" w:lineRule="exact"/>
              <w:ind w:left="12"/>
              <w:rPr>
                <w:rFonts w:ascii="仿宋" w:eastAsia="仿宋"/>
                <w:b/>
                <w:sz w:val="24"/>
              </w:rPr>
            </w:pPr>
            <w:r>
              <w:rPr>
                <w:rFonts w:hint="eastAsia" w:ascii="仿宋" w:eastAsia="仿宋"/>
                <w:b/>
                <w:sz w:val="24"/>
              </w:rPr>
              <w:t>一1分</w:t>
            </w:r>
          </w:p>
        </w:tc>
        <w:tc>
          <w:tcPr>
            <w:tcW w:w="1674" w:type="dxa"/>
          </w:tcPr>
          <w:p>
            <w:pPr>
              <w:pStyle w:val="23"/>
              <w:spacing w:before="17" w:line="293" w:lineRule="exact"/>
              <w:ind w:left="11"/>
              <w:rPr>
                <w:rFonts w:ascii="仿宋" w:eastAsia="仿宋"/>
                <w:b/>
                <w:sz w:val="24"/>
              </w:rPr>
            </w:pPr>
            <w:r>
              <w:rPr>
                <w:rFonts w:hint="eastAsia" w:ascii="仿宋" w:eastAsia="仿宋"/>
                <w:b/>
                <w:sz w:val="24"/>
              </w:rPr>
              <w:t>4-10月</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75" w:type="dxa"/>
            <w:vMerge w:val="continue"/>
            <w:tcBorders>
              <w:top w:val="nil"/>
            </w:tcBorders>
          </w:tcPr>
          <w:p>
            <w:pPr>
              <w:rPr>
                <w:sz w:val="2"/>
                <w:szCs w:val="2"/>
              </w:rPr>
            </w:pPr>
          </w:p>
        </w:tc>
        <w:tc>
          <w:tcPr>
            <w:tcW w:w="1148" w:type="dxa"/>
            <w:vMerge w:val="continue"/>
            <w:tcBorders>
              <w:top w:val="nil"/>
            </w:tcBorders>
          </w:tcPr>
          <w:p>
            <w:pPr>
              <w:rPr>
                <w:sz w:val="2"/>
                <w:szCs w:val="2"/>
              </w:rPr>
            </w:pPr>
          </w:p>
        </w:tc>
        <w:tc>
          <w:tcPr>
            <w:tcW w:w="6804" w:type="dxa"/>
          </w:tcPr>
          <w:p>
            <w:pPr>
              <w:pStyle w:val="23"/>
              <w:spacing w:before="17" w:line="294" w:lineRule="exact"/>
              <w:ind w:left="12"/>
              <w:rPr>
                <w:rFonts w:ascii="仿宋" w:hAnsi="仿宋" w:eastAsia="仿宋"/>
                <w:b/>
                <w:sz w:val="24"/>
              </w:rPr>
            </w:pPr>
            <w:bookmarkStart w:id="174" w:name="③斑秃率：大于3%；"/>
            <w:bookmarkEnd w:id="174"/>
            <w:r>
              <w:rPr>
                <w:rFonts w:hint="eastAsia" w:ascii="仿宋" w:hAnsi="仿宋" w:eastAsia="仿宋"/>
                <w:b/>
                <w:sz w:val="24"/>
              </w:rPr>
              <w:t>③斑秃率：大于3%；</w:t>
            </w:r>
          </w:p>
        </w:tc>
        <w:tc>
          <w:tcPr>
            <w:tcW w:w="1930" w:type="dxa"/>
          </w:tcPr>
          <w:p>
            <w:pPr>
              <w:pStyle w:val="23"/>
              <w:spacing w:before="17" w:line="294" w:lineRule="exact"/>
              <w:ind w:left="12"/>
              <w:rPr>
                <w:rFonts w:ascii="仿宋" w:eastAsia="仿宋"/>
                <w:b/>
                <w:sz w:val="24"/>
              </w:rPr>
            </w:pPr>
            <w:r>
              <w:rPr>
                <w:rFonts w:hint="eastAsia" w:ascii="仿宋" w:eastAsia="仿宋"/>
                <w:b/>
                <w:sz w:val="24"/>
              </w:rPr>
              <w:t>一1分</w:t>
            </w:r>
          </w:p>
        </w:tc>
        <w:tc>
          <w:tcPr>
            <w:tcW w:w="1674" w:type="dxa"/>
            <w:vMerge w:val="restart"/>
          </w:tcPr>
          <w:p>
            <w:pPr>
              <w:pStyle w:val="23"/>
              <w:spacing w:before="188"/>
              <w:ind w:left="11"/>
              <w:rPr>
                <w:rFonts w:ascii="仿宋" w:eastAsia="仿宋"/>
                <w:b/>
                <w:sz w:val="24"/>
              </w:rPr>
            </w:pPr>
            <w:bookmarkStart w:id="175" w:name="_单块斑秃：大于0.5㎡；"/>
            <w:bookmarkEnd w:id="175"/>
            <w:r>
              <w:rPr>
                <w:rFonts w:hint="eastAsia" w:ascii="仿宋" w:eastAsia="仿宋"/>
                <w:b/>
                <w:sz w:val="24"/>
              </w:rPr>
              <w:t>4-10月</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75" w:type="dxa"/>
            <w:vMerge w:val="continue"/>
            <w:tcBorders>
              <w:top w:val="nil"/>
            </w:tcBorders>
          </w:tcPr>
          <w:p>
            <w:pPr>
              <w:rPr>
                <w:sz w:val="2"/>
                <w:szCs w:val="2"/>
              </w:rPr>
            </w:pPr>
          </w:p>
        </w:tc>
        <w:tc>
          <w:tcPr>
            <w:tcW w:w="1148" w:type="dxa"/>
            <w:vMerge w:val="continue"/>
            <w:tcBorders>
              <w:top w:val="nil"/>
            </w:tcBorders>
          </w:tcPr>
          <w:p>
            <w:pPr>
              <w:rPr>
                <w:sz w:val="2"/>
                <w:szCs w:val="2"/>
              </w:rPr>
            </w:pPr>
          </w:p>
        </w:tc>
        <w:tc>
          <w:tcPr>
            <w:tcW w:w="6804" w:type="dxa"/>
          </w:tcPr>
          <w:p>
            <w:pPr>
              <w:pStyle w:val="23"/>
              <w:spacing w:before="17" w:line="294" w:lineRule="exact"/>
              <w:ind w:left="132"/>
              <w:rPr>
                <w:rFonts w:ascii="仿宋" w:eastAsia="仿宋"/>
                <w:b/>
                <w:sz w:val="24"/>
              </w:rPr>
            </w:pPr>
            <w:r>
              <w:rPr>
                <w:rFonts w:hint="eastAsia" w:ascii="仿宋" w:eastAsia="仿宋"/>
                <w:b/>
                <w:sz w:val="24"/>
              </w:rPr>
              <w:t>单块斑秃：大于0.5㎡；</w:t>
            </w:r>
          </w:p>
        </w:tc>
        <w:tc>
          <w:tcPr>
            <w:tcW w:w="1930" w:type="dxa"/>
          </w:tcPr>
          <w:p>
            <w:pPr>
              <w:pStyle w:val="23"/>
              <w:spacing w:before="17" w:line="294" w:lineRule="exact"/>
              <w:ind w:left="12"/>
              <w:rPr>
                <w:rFonts w:ascii="仿宋" w:eastAsia="仿宋"/>
                <w:b/>
                <w:sz w:val="24"/>
              </w:rPr>
            </w:pPr>
            <w:r>
              <w:rPr>
                <w:rFonts w:hint="eastAsia" w:ascii="仿宋" w:eastAsia="仿宋"/>
                <w:b/>
                <w:sz w:val="24"/>
              </w:rPr>
              <w:t>一1分</w:t>
            </w:r>
          </w:p>
        </w:tc>
        <w:tc>
          <w:tcPr>
            <w:tcW w:w="1674" w:type="dxa"/>
            <w:vMerge w:val="continue"/>
            <w:tcBorders>
              <w:top w:val="nil"/>
            </w:tcBorders>
          </w:tcPr>
          <w:p>
            <w:pPr>
              <w:rPr>
                <w:sz w:val="2"/>
                <w:szCs w:val="2"/>
              </w:rPr>
            </w:pP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75" w:type="dxa"/>
            <w:vMerge w:val="continue"/>
            <w:tcBorders>
              <w:top w:val="nil"/>
            </w:tcBorders>
          </w:tcPr>
          <w:p>
            <w:pPr>
              <w:rPr>
                <w:sz w:val="2"/>
                <w:szCs w:val="2"/>
              </w:rPr>
            </w:pPr>
          </w:p>
        </w:tc>
        <w:tc>
          <w:tcPr>
            <w:tcW w:w="1148" w:type="dxa"/>
            <w:vMerge w:val="continue"/>
            <w:tcBorders>
              <w:top w:val="nil"/>
            </w:tcBorders>
          </w:tcPr>
          <w:p>
            <w:pPr>
              <w:rPr>
                <w:sz w:val="2"/>
                <w:szCs w:val="2"/>
              </w:rPr>
            </w:pPr>
          </w:p>
        </w:tc>
        <w:tc>
          <w:tcPr>
            <w:tcW w:w="6804" w:type="dxa"/>
          </w:tcPr>
          <w:p>
            <w:pPr>
              <w:pStyle w:val="23"/>
              <w:spacing w:before="17" w:line="294" w:lineRule="exact"/>
              <w:ind w:left="12"/>
              <w:rPr>
                <w:rFonts w:ascii="仿宋" w:hAnsi="仿宋" w:eastAsia="仿宋"/>
                <w:b/>
                <w:sz w:val="24"/>
              </w:rPr>
            </w:pPr>
            <w:bookmarkStart w:id="176" w:name="④草高超过10cm"/>
            <w:bookmarkEnd w:id="176"/>
            <w:r>
              <w:rPr>
                <w:rFonts w:hint="eastAsia" w:ascii="仿宋" w:hAnsi="仿宋" w:eastAsia="仿宋"/>
                <w:b/>
                <w:sz w:val="24"/>
              </w:rPr>
              <w:t>④草高超过10cm</w:t>
            </w:r>
          </w:p>
        </w:tc>
        <w:tc>
          <w:tcPr>
            <w:tcW w:w="1930" w:type="dxa"/>
          </w:tcPr>
          <w:p>
            <w:pPr>
              <w:pStyle w:val="23"/>
              <w:spacing w:before="17" w:line="294" w:lineRule="exact"/>
              <w:ind w:left="12"/>
              <w:rPr>
                <w:rFonts w:ascii="仿宋" w:eastAsia="仿宋"/>
                <w:b/>
                <w:sz w:val="24"/>
              </w:rPr>
            </w:pPr>
            <w:r>
              <w:rPr>
                <w:rFonts w:hint="eastAsia" w:ascii="仿宋" w:eastAsia="仿宋"/>
                <w:b/>
                <w:sz w:val="24"/>
              </w:rPr>
              <w:t>一1分</w:t>
            </w:r>
          </w:p>
        </w:tc>
        <w:tc>
          <w:tcPr>
            <w:tcW w:w="1674" w:type="dxa"/>
          </w:tcPr>
          <w:p>
            <w:pPr>
              <w:pStyle w:val="23"/>
              <w:spacing w:before="17" w:line="294" w:lineRule="exact"/>
              <w:ind w:left="11"/>
              <w:rPr>
                <w:rFonts w:ascii="仿宋" w:eastAsia="仿宋"/>
                <w:b/>
                <w:sz w:val="24"/>
              </w:rPr>
            </w:pPr>
            <w:r>
              <w:rPr>
                <w:rFonts w:hint="eastAsia" w:ascii="仿宋" w:eastAsia="仿宋"/>
                <w:b/>
                <w:sz w:val="24"/>
              </w:rPr>
              <w:t>4-10月</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75" w:type="dxa"/>
            <w:vMerge w:val="continue"/>
            <w:tcBorders>
              <w:top w:val="nil"/>
            </w:tcBorders>
          </w:tcPr>
          <w:p>
            <w:pPr>
              <w:rPr>
                <w:sz w:val="2"/>
                <w:szCs w:val="2"/>
              </w:rPr>
            </w:pPr>
          </w:p>
        </w:tc>
        <w:tc>
          <w:tcPr>
            <w:tcW w:w="1148" w:type="dxa"/>
            <w:vMerge w:val="continue"/>
            <w:tcBorders>
              <w:top w:val="nil"/>
            </w:tcBorders>
          </w:tcPr>
          <w:p>
            <w:pPr>
              <w:rPr>
                <w:sz w:val="2"/>
                <w:szCs w:val="2"/>
              </w:rPr>
            </w:pPr>
          </w:p>
        </w:tc>
        <w:tc>
          <w:tcPr>
            <w:tcW w:w="6804" w:type="dxa"/>
          </w:tcPr>
          <w:p>
            <w:pPr>
              <w:pStyle w:val="23"/>
              <w:spacing w:before="17" w:line="294" w:lineRule="exact"/>
              <w:ind w:left="12"/>
              <w:rPr>
                <w:rFonts w:ascii="仿宋" w:hAnsi="仿宋" w:eastAsia="仿宋"/>
                <w:b/>
                <w:sz w:val="24"/>
              </w:rPr>
            </w:pPr>
            <w:bookmarkStart w:id="177" w:name="⑤草坪边缘不整齐。"/>
            <w:bookmarkEnd w:id="177"/>
            <w:r>
              <w:rPr>
                <w:rFonts w:hint="eastAsia" w:ascii="仿宋" w:hAnsi="仿宋" w:eastAsia="仿宋"/>
                <w:b/>
                <w:sz w:val="24"/>
              </w:rPr>
              <w:t>⑤草坪边缘不整齐。</w:t>
            </w:r>
          </w:p>
        </w:tc>
        <w:tc>
          <w:tcPr>
            <w:tcW w:w="1930" w:type="dxa"/>
          </w:tcPr>
          <w:p>
            <w:pPr>
              <w:pStyle w:val="23"/>
              <w:spacing w:before="17" w:line="294" w:lineRule="exact"/>
              <w:ind w:left="12"/>
              <w:rPr>
                <w:rFonts w:ascii="仿宋" w:eastAsia="仿宋"/>
                <w:b/>
                <w:sz w:val="24"/>
              </w:rPr>
            </w:pPr>
            <w:r>
              <w:rPr>
                <w:rFonts w:hint="eastAsia" w:ascii="仿宋" w:eastAsia="仿宋"/>
                <w:b/>
                <w:sz w:val="24"/>
              </w:rPr>
              <w:t>一1分</w:t>
            </w:r>
          </w:p>
        </w:tc>
        <w:tc>
          <w:tcPr>
            <w:tcW w:w="1674" w:type="dxa"/>
          </w:tcPr>
          <w:p>
            <w:pPr>
              <w:pStyle w:val="23"/>
              <w:spacing w:before="17" w:line="294" w:lineRule="exact"/>
              <w:ind w:left="11"/>
              <w:rPr>
                <w:rFonts w:ascii="仿宋" w:eastAsia="仿宋"/>
                <w:b/>
                <w:sz w:val="24"/>
              </w:rPr>
            </w:pPr>
            <w:r>
              <w:rPr>
                <w:rFonts w:hint="eastAsia" w:ascii="仿宋" w:eastAsia="仿宋"/>
                <w:b/>
                <w:sz w:val="24"/>
              </w:rPr>
              <w:t>4-10月</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75" w:type="dxa"/>
            <w:vMerge w:val="restart"/>
          </w:tcPr>
          <w:p>
            <w:pPr>
              <w:pStyle w:val="23"/>
              <w:rPr>
                <w:rFonts w:ascii="Times New Roman"/>
                <w:sz w:val="24"/>
              </w:rPr>
            </w:pPr>
          </w:p>
          <w:p>
            <w:pPr>
              <w:pStyle w:val="23"/>
              <w:spacing w:before="1"/>
              <w:rPr>
                <w:rFonts w:ascii="Times New Roman"/>
              </w:rPr>
            </w:pPr>
          </w:p>
          <w:p>
            <w:pPr>
              <w:pStyle w:val="23"/>
              <w:ind w:left="11"/>
              <w:rPr>
                <w:rFonts w:ascii="仿宋"/>
                <w:b/>
                <w:sz w:val="24"/>
              </w:rPr>
            </w:pPr>
            <w:bookmarkStart w:id="178" w:name="7"/>
            <w:bookmarkEnd w:id="178"/>
            <w:r>
              <w:rPr>
                <w:rFonts w:ascii="仿宋"/>
                <w:b/>
                <w:w w:val="99"/>
                <w:sz w:val="24"/>
              </w:rPr>
              <w:t>7</w:t>
            </w:r>
          </w:p>
        </w:tc>
        <w:tc>
          <w:tcPr>
            <w:tcW w:w="1148" w:type="dxa"/>
            <w:vMerge w:val="restart"/>
          </w:tcPr>
          <w:p>
            <w:pPr>
              <w:pStyle w:val="23"/>
              <w:rPr>
                <w:rFonts w:ascii="Times New Roman"/>
                <w:sz w:val="24"/>
              </w:rPr>
            </w:pPr>
          </w:p>
          <w:p>
            <w:pPr>
              <w:pStyle w:val="23"/>
              <w:spacing w:before="1"/>
              <w:rPr>
                <w:rFonts w:ascii="Times New Roman"/>
              </w:rPr>
            </w:pPr>
          </w:p>
          <w:p>
            <w:pPr>
              <w:pStyle w:val="23"/>
              <w:ind w:left="10"/>
              <w:rPr>
                <w:rFonts w:ascii="仿宋" w:eastAsia="仿宋"/>
                <w:b/>
                <w:sz w:val="24"/>
              </w:rPr>
            </w:pPr>
            <w:bookmarkStart w:id="179" w:name="绿篱"/>
            <w:bookmarkEnd w:id="179"/>
            <w:r>
              <w:rPr>
                <w:rFonts w:hint="eastAsia" w:ascii="仿宋" w:eastAsia="仿宋"/>
                <w:b/>
                <w:sz w:val="24"/>
              </w:rPr>
              <w:t>绿篱</w:t>
            </w:r>
          </w:p>
        </w:tc>
        <w:tc>
          <w:tcPr>
            <w:tcW w:w="6804" w:type="dxa"/>
          </w:tcPr>
          <w:p>
            <w:pPr>
              <w:pStyle w:val="23"/>
              <w:spacing w:before="16" w:line="294" w:lineRule="exact"/>
              <w:ind w:left="12"/>
              <w:rPr>
                <w:rFonts w:ascii="仿宋" w:hAnsi="仿宋" w:eastAsia="仿宋"/>
                <w:b/>
                <w:sz w:val="24"/>
              </w:rPr>
            </w:pPr>
            <w:bookmarkStart w:id="180" w:name="①枝叶稀疏，有秃裸、黄叶、枯枝；"/>
            <w:bookmarkEnd w:id="180"/>
            <w:r>
              <w:rPr>
                <w:rFonts w:hint="eastAsia" w:ascii="仿宋" w:hAnsi="仿宋" w:eastAsia="仿宋"/>
                <w:b/>
                <w:sz w:val="24"/>
              </w:rPr>
              <w:t>①枝叶稀疏，有秃裸、黄叶、枯枝；</w:t>
            </w:r>
          </w:p>
        </w:tc>
        <w:tc>
          <w:tcPr>
            <w:tcW w:w="1930" w:type="dxa"/>
          </w:tcPr>
          <w:p>
            <w:pPr>
              <w:pStyle w:val="23"/>
              <w:spacing w:before="16" w:line="294" w:lineRule="exact"/>
              <w:ind w:left="12"/>
              <w:rPr>
                <w:rFonts w:ascii="仿宋" w:eastAsia="仿宋"/>
                <w:b/>
                <w:sz w:val="24"/>
              </w:rPr>
            </w:pPr>
            <w:r>
              <w:rPr>
                <w:rFonts w:hint="eastAsia" w:ascii="仿宋" w:eastAsia="仿宋"/>
                <w:b/>
                <w:sz w:val="24"/>
              </w:rPr>
              <w:t>一1分</w:t>
            </w:r>
          </w:p>
        </w:tc>
        <w:tc>
          <w:tcPr>
            <w:tcW w:w="1674" w:type="dxa"/>
          </w:tcPr>
          <w:p>
            <w:pPr>
              <w:pStyle w:val="23"/>
              <w:spacing w:before="16" w:line="294" w:lineRule="exact"/>
              <w:ind w:left="11"/>
              <w:rPr>
                <w:rFonts w:ascii="仿宋" w:eastAsia="仿宋"/>
                <w:b/>
                <w:sz w:val="24"/>
              </w:rPr>
            </w:pPr>
            <w:r>
              <w:rPr>
                <w:rFonts w:hint="eastAsia" w:ascii="仿宋" w:eastAsia="仿宋"/>
                <w:b/>
                <w:sz w:val="24"/>
              </w:rPr>
              <w:t>4-10月</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75" w:type="dxa"/>
            <w:vMerge w:val="continue"/>
            <w:tcBorders>
              <w:top w:val="nil"/>
            </w:tcBorders>
          </w:tcPr>
          <w:p>
            <w:pPr>
              <w:rPr>
                <w:sz w:val="2"/>
                <w:szCs w:val="2"/>
              </w:rPr>
            </w:pPr>
          </w:p>
        </w:tc>
        <w:tc>
          <w:tcPr>
            <w:tcW w:w="1148" w:type="dxa"/>
            <w:vMerge w:val="continue"/>
            <w:tcBorders>
              <w:top w:val="nil"/>
            </w:tcBorders>
          </w:tcPr>
          <w:p>
            <w:pPr>
              <w:rPr>
                <w:sz w:val="2"/>
                <w:szCs w:val="2"/>
              </w:rPr>
            </w:pPr>
          </w:p>
        </w:tc>
        <w:tc>
          <w:tcPr>
            <w:tcW w:w="6804" w:type="dxa"/>
          </w:tcPr>
          <w:p>
            <w:pPr>
              <w:pStyle w:val="23"/>
              <w:spacing w:before="16" w:line="295" w:lineRule="exact"/>
              <w:ind w:left="12"/>
              <w:rPr>
                <w:rFonts w:ascii="仿宋" w:hAnsi="仿宋" w:eastAsia="仿宋"/>
                <w:b/>
                <w:sz w:val="24"/>
              </w:rPr>
            </w:pPr>
            <w:bookmarkStart w:id="181" w:name="②修剪不整齐；"/>
            <w:bookmarkEnd w:id="181"/>
            <w:r>
              <w:rPr>
                <w:rFonts w:hint="eastAsia" w:ascii="仿宋" w:hAnsi="仿宋" w:eastAsia="仿宋"/>
                <w:b/>
                <w:sz w:val="24"/>
              </w:rPr>
              <w:t>②修剪不整齐；</w:t>
            </w:r>
          </w:p>
        </w:tc>
        <w:tc>
          <w:tcPr>
            <w:tcW w:w="1930" w:type="dxa"/>
          </w:tcPr>
          <w:p>
            <w:pPr>
              <w:pStyle w:val="23"/>
              <w:spacing w:before="16" w:line="295" w:lineRule="exact"/>
              <w:ind w:left="12"/>
              <w:rPr>
                <w:rFonts w:ascii="仿宋" w:eastAsia="仿宋"/>
                <w:b/>
                <w:sz w:val="24"/>
              </w:rPr>
            </w:pPr>
            <w:r>
              <w:rPr>
                <w:rFonts w:hint="eastAsia" w:ascii="仿宋" w:eastAsia="仿宋"/>
                <w:b/>
                <w:sz w:val="24"/>
              </w:rPr>
              <w:t>一1分</w:t>
            </w:r>
          </w:p>
        </w:tc>
        <w:tc>
          <w:tcPr>
            <w:tcW w:w="1674" w:type="dxa"/>
          </w:tcPr>
          <w:p>
            <w:pPr>
              <w:pStyle w:val="23"/>
              <w:spacing w:before="16" w:line="295" w:lineRule="exact"/>
              <w:ind w:left="11"/>
              <w:rPr>
                <w:rFonts w:ascii="仿宋" w:eastAsia="仿宋"/>
                <w:b/>
                <w:sz w:val="24"/>
              </w:rPr>
            </w:pPr>
            <w:r>
              <w:rPr>
                <w:rFonts w:hint="eastAsia" w:ascii="仿宋" w:eastAsia="仿宋"/>
                <w:b/>
                <w:sz w:val="24"/>
              </w:rPr>
              <w:t>4-10月</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75" w:type="dxa"/>
            <w:vMerge w:val="continue"/>
            <w:tcBorders>
              <w:top w:val="nil"/>
            </w:tcBorders>
          </w:tcPr>
          <w:p>
            <w:pPr>
              <w:rPr>
                <w:sz w:val="2"/>
                <w:szCs w:val="2"/>
              </w:rPr>
            </w:pPr>
          </w:p>
        </w:tc>
        <w:tc>
          <w:tcPr>
            <w:tcW w:w="1148" w:type="dxa"/>
            <w:vMerge w:val="continue"/>
            <w:tcBorders>
              <w:top w:val="nil"/>
            </w:tcBorders>
          </w:tcPr>
          <w:p>
            <w:pPr>
              <w:rPr>
                <w:sz w:val="2"/>
                <w:szCs w:val="2"/>
              </w:rPr>
            </w:pPr>
          </w:p>
        </w:tc>
        <w:tc>
          <w:tcPr>
            <w:tcW w:w="6804" w:type="dxa"/>
          </w:tcPr>
          <w:p>
            <w:pPr>
              <w:pStyle w:val="23"/>
              <w:spacing w:before="16" w:line="295" w:lineRule="exact"/>
              <w:ind w:left="12"/>
              <w:rPr>
                <w:rFonts w:ascii="仿宋" w:hAnsi="仿宋" w:eastAsia="仿宋"/>
                <w:b/>
                <w:sz w:val="24"/>
              </w:rPr>
            </w:pPr>
            <w:bookmarkStart w:id="182" w:name="③缺株大于2%："/>
            <w:bookmarkEnd w:id="182"/>
            <w:r>
              <w:rPr>
                <w:rFonts w:hint="eastAsia" w:ascii="仿宋" w:hAnsi="仿宋" w:eastAsia="仿宋"/>
                <w:b/>
                <w:sz w:val="24"/>
              </w:rPr>
              <w:t>③缺株大于2%：</w:t>
            </w:r>
          </w:p>
        </w:tc>
        <w:tc>
          <w:tcPr>
            <w:tcW w:w="1930" w:type="dxa"/>
          </w:tcPr>
          <w:p>
            <w:pPr>
              <w:pStyle w:val="23"/>
              <w:spacing w:before="16" w:line="295" w:lineRule="exact"/>
              <w:ind w:left="12"/>
              <w:rPr>
                <w:rFonts w:ascii="仿宋" w:eastAsia="仿宋"/>
                <w:b/>
                <w:sz w:val="24"/>
              </w:rPr>
            </w:pPr>
            <w:r>
              <w:rPr>
                <w:rFonts w:hint="eastAsia" w:ascii="仿宋" w:eastAsia="仿宋"/>
                <w:b/>
                <w:sz w:val="24"/>
              </w:rPr>
              <w:t>一1分</w:t>
            </w:r>
          </w:p>
        </w:tc>
        <w:tc>
          <w:tcPr>
            <w:tcW w:w="1674" w:type="dxa"/>
          </w:tcPr>
          <w:p>
            <w:pPr>
              <w:pStyle w:val="23"/>
              <w:spacing w:before="16" w:line="295" w:lineRule="exact"/>
              <w:ind w:left="11"/>
              <w:rPr>
                <w:rFonts w:ascii="仿宋" w:eastAsia="仿宋"/>
                <w:b/>
                <w:sz w:val="24"/>
              </w:rPr>
            </w:pPr>
            <w:r>
              <w:rPr>
                <w:rFonts w:hint="eastAsia" w:ascii="仿宋" w:eastAsia="仿宋"/>
                <w:b/>
                <w:sz w:val="24"/>
              </w:rPr>
              <w:t>每周一次</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75" w:type="dxa"/>
            <w:vMerge w:val="continue"/>
            <w:tcBorders>
              <w:top w:val="nil"/>
            </w:tcBorders>
          </w:tcPr>
          <w:p>
            <w:pPr>
              <w:rPr>
                <w:sz w:val="2"/>
                <w:szCs w:val="2"/>
              </w:rPr>
            </w:pPr>
          </w:p>
        </w:tc>
        <w:tc>
          <w:tcPr>
            <w:tcW w:w="1148" w:type="dxa"/>
            <w:vMerge w:val="continue"/>
            <w:tcBorders>
              <w:top w:val="nil"/>
            </w:tcBorders>
          </w:tcPr>
          <w:p>
            <w:pPr>
              <w:rPr>
                <w:sz w:val="2"/>
                <w:szCs w:val="2"/>
              </w:rPr>
            </w:pPr>
          </w:p>
        </w:tc>
        <w:tc>
          <w:tcPr>
            <w:tcW w:w="6804" w:type="dxa"/>
          </w:tcPr>
          <w:p>
            <w:pPr>
              <w:pStyle w:val="23"/>
              <w:spacing w:before="16" w:line="295" w:lineRule="exact"/>
              <w:ind w:left="12"/>
              <w:rPr>
                <w:rFonts w:ascii="仿宋" w:hAnsi="仿宋" w:eastAsia="仿宋"/>
                <w:b/>
                <w:sz w:val="24"/>
              </w:rPr>
            </w:pPr>
            <w:bookmarkStart w:id="183" w:name="④有枯死植株。"/>
            <w:bookmarkEnd w:id="183"/>
            <w:r>
              <w:rPr>
                <w:rFonts w:hint="eastAsia" w:ascii="仿宋" w:hAnsi="仿宋" w:eastAsia="仿宋"/>
                <w:b/>
                <w:sz w:val="24"/>
              </w:rPr>
              <w:t>④有枯死植株。</w:t>
            </w:r>
          </w:p>
        </w:tc>
        <w:tc>
          <w:tcPr>
            <w:tcW w:w="1930" w:type="dxa"/>
          </w:tcPr>
          <w:p>
            <w:pPr>
              <w:pStyle w:val="23"/>
              <w:spacing w:before="16" w:line="295" w:lineRule="exact"/>
              <w:ind w:left="12"/>
              <w:rPr>
                <w:rFonts w:ascii="仿宋" w:eastAsia="仿宋"/>
                <w:b/>
                <w:sz w:val="24"/>
              </w:rPr>
            </w:pPr>
            <w:r>
              <w:rPr>
                <w:rFonts w:hint="eastAsia" w:ascii="仿宋" w:eastAsia="仿宋"/>
                <w:b/>
                <w:sz w:val="24"/>
              </w:rPr>
              <w:t>一1分</w:t>
            </w:r>
          </w:p>
        </w:tc>
        <w:tc>
          <w:tcPr>
            <w:tcW w:w="1674" w:type="dxa"/>
          </w:tcPr>
          <w:p>
            <w:pPr>
              <w:pStyle w:val="23"/>
              <w:spacing w:before="16" w:line="295" w:lineRule="exact"/>
              <w:ind w:left="11"/>
              <w:rPr>
                <w:rFonts w:ascii="仿宋" w:eastAsia="仿宋"/>
                <w:b/>
                <w:sz w:val="24"/>
              </w:rPr>
            </w:pPr>
            <w:r>
              <w:rPr>
                <w:rFonts w:hint="eastAsia" w:ascii="仿宋" w:eastAsia="仿宋"/>
                <w:b/>
                <w:sz w:val="24"/>
              </w:rPr>
              <w:t>每周一次</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75" w:type="dxa"/>
          </w:tcPr>
          <w:p>
            <w:pPr>
              <w:pStyle w:val="23"/>
              <w:spacing w:before="18" w:line="293" w:lineRule="exact"/>
              <w:ind w:left="11"/>
              <w:rPr>
                <w:rFonts w:ascii="仿宋"/>
                <w:b/>
                <w:sz w:val="24"/>
              </w:rPr>
            </w:pPr>
            <w:bookmarkStart w:id="184" w:name="8"/>
            <w:bookmarkEnd w:id="184"/>
            <w:r>
              <w:rPr>
                <w:rFonts w:ascii="仿宋"/>
                <w:b/>
                <w:w w:val="99"/>
                <w:sz w:val="24"/>
              </w:rPr>
              <w:t>8</w:t>
            </w:r>
          </w:p>
        </w:tc>
        <w:tc>
          <w:tcPr>
            <w:tcW w:w="1148" w:type="dxa"/>
          </w:tcPr>
          <w:p>
            <w:pPr>
              <w:pStyle w:val="23"/>
              <w:spacing w:before="18" w:line="293" w:lineRule="exact"/>
              <w:ind w:left="10"/>
              <w:rPr>
                <w:rFonts w:ascii="仿宋" w:eastAsia="仿宋"/>
                <w:b/>
                <w:sz w:val="24"/>
              </w:rPr>
            </w:pPr>
            <w:bookmarkStart w:id="185" w:name="杂草控制"/>
            <w:bookmarkEnd w:id="185"/>
            <w:r>
              <w:rPr>
                <w:rFonts w:hint="eastAsia" w:ascii="仿宋" w:eastAsia="仿宋"/>
                <w:b/>
                <w:sz w:val="24"/>
              </w:rPr>
              <w:t>杂草控制</w:t>
            </w:r>
          </w:p>
        </w:tc>
        <w:tc>
          <w:tcPr>
            <w:tcW w:w="6804" w:type="dxa"/>
          </w:tcPr>
          <w:p>
            <w:pPr>
              <w:pStyle w:val="23"/>
              <w:spacing w:before="18" w:line="293" w:lineRule="exact"/>
              <w:ind w:left="12"/>
              <w:rPr>
                <w:rFonts w:ascii="仿宋" w:eastAsia="仿宋"/>
                <w:b/>
                <w:sz w:val="24"/>
              </w:rPr>
            </w:pPr>
            <w:bookmarkStart w:id="186" w:name="有杂草，绿地外高于5cm，影响观赏效果。"/>
            <w:bookmarkEnd w:id="186"/>
            <w:r>
              <w:rPr>
                <w:rFonts w:hint="eastAsia" w:ascii="仿宋" w:eastAsia="仿宋"/>
                <w:b/>
                <w:sz w:val="24"/>
              </w:rPr>
              <w:t>有杂草，绿地外高于5cm，影响观赏效果。</w:t>
            </w:r>
          </w:p>
        </w:tc>
        <w:tc>
          <w:tcPr>
            <w:tcW w:w="1930" w:type="dxa"/>
          </w:tcPr>
          <w:p>
            <w:pPr>
              <w:pStyle w:val="23"/>
              <w:spacing w:before="18" w:line="293" w:lineRule="exact"/>
              <w:ind w:left="12"/>
              <w:rPr>
                <w:rFonts w:ascii="仿宋" w:eastAsia="仿宋"/>
                <w:b/>
                <w:sz w:val="24"/>
              </w:rPr>
            </w:pPr>
            <w:r>
              <w:rPr>
                <w:rFonts w:hint="eastAsia" w:ascii="仿宋" w:eastAsia="仿宋"/>
                <w:b/>
                <w:sz w:val="24"/>
              </w:rPr>
              <w:t>一1分</w:t>
            </w:r>
          </w:p>
        </w:tc>
        <w:tc>
          <w:tcPr>
            <w:tcW w:w="1674" w:type="dxa"/>
          </w:tcPr>
          <w:p>
            <w:pPr>
              <w:pStyle w:val="23"/>
              <w:spacing w:before="18" w:line="293" w:lineRule="exact"/>
              <w:ind w:left="11"/>
              <w:rPr>
                <w:rFonts w:ascii="仿宋" w:eastAsia="仿宋"/>
                <w:b/>
                <w:sz w:val="24"/>
              </w:rPr>
            </w:pPr>
            <w:r>
              <w:rPr>
                <w:rFonts w:hint="eastAsia" w:ascii="仿宋" w:eastAsia="仿宋"/>
                <w:b/>
                <w:sz w:val="24"/>
              </w:rPr>
              <w:t>4-10月</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75" w:type="dxa"/>
            <w:vMerge w:val="restart"/>
          </w:tcPr>
          <w:p>
            <w:pPr>
              <w:pStyle w:val="23"/>
              <w:spacing w:before="2"/>
              <w:rPr>
                <w:rFonts w:ascii="Times New Roman"/>
                <w:sz w:val="31"/>
              </w:rPr>
            </w:pPr>
          </w:p>
          <w:p>
            <w:pPr>
              <w:pStyle w:val="23"/>
              <w:ind w:left="11"/>
              <w:rPr>
                <w:rFonts w:ascii="仿宋"/>
                <w:b/>
                <w:sz w:val="24"/>
              </w:rPr>
            </w:pPr>
            <w:bookmarkStart w:id="187" w:name="9"/>
            <w:bookmarkEnd w:id="187"/>
            <w:r>
              <w:rPr>
                <w:rFonts w:ascii="仿宋"/>
                <w:b/>
                <w:w w:val="99"/>
                <w:sz w:val="24"/>
              </w:rPr>
              <w:t>9</w:t>
            </w:r>
          </w:p>
        </w:tc>
        <w:tc>
          <w:tcPr>
            <w:tcW w:w="1148" w:type="dxa"/>
            <w:vMerge w:val="restart"/>
          </w:tcPr>
          <w:p>
            <w:pPr>
              <w:pStyle w:val="23"/>
              <w:spacing w:before="202" w:line="242" w:lineRule="auto"/>
              <w:ind w:left="10" w:right="162"/>
              <w:rPr>
                <w:rFonts w:ascii="仿宋" w:eastAsia="仿宋"/>
                <w:b/>
                <w:sz w:val="24"/>
              </w:rPr>
            </w:pPr>
            <w:bookmarkStart w:id="188" w:name="植物病虫害"/>
            <w:bookmarkEnd w:id="188"/>
            <w:r>
              <w:rPr>
                <w:rFonts w:hint="eastAsia" w:ascii="仿宋" w:eastAsia="仿宋"/>
                <w:b/>
                <w:sz w:val="24"/>
              </w:rPr>
              <w:t>植物病虫害</w:t>
            </w:r>
          </w:p>
        </w:tc>
        <w:tc>
          <w:tcPr>
            <w:tcW w:w="6804" w:type="dxa"/>
          </w:tcPr>
          <w:p>
            <w:pPr>
              <w:pStyle w:val="23"/>
              <w:spacing w:before="18" w:line="293" w:lineRule="exact"/>
              <w:ind w:left="12"/>
              <w:rPr>
                <w:rFonts w:ascii="仿宋" w:hAnsi="仿宋" w:eastAsia="仿宋"/>
                <w:b/>
                <w:sz w:val="24"/>
              </w:rPr>
            </w:pPr>
            <w:bookmarkStart w:id="189" w:name="①有明显危害迹象."/>
            <w:bookmarkEnd w:id="189"/>
            <w:r>
              <w:rPr>
                <w:rFonts w:hint="eastAsia" w:ascii="仿宋" w:hAnsi="仿宋" w:eastAsia="仿宋"/>
                <w:b/>
                <w:sz w:val="24"/>
              </w:rPr>
              <w:t>①有明显危害迹象.</w:t>
            </w:r>
          </w:p>
        </w:tc>
        <w:tc>
          <w:tcPr>
            <w:tcW w:w="1930" w:type="dxa"/>
          </w:tcPr>
          <w:p>
            <w:pPr>
              <w:pStyle w:val="23"/>
              <w:spacing w:before="18" w:line="293" w:lineRule="exact"/>
              <w:ind w:left="12"/>
              <w:rPr>
                <w:rFonts w:ascii="仿宋" w:eastAsia="仿宋"/>
                <w:b/>
                <w:sz w:val="24"/>
              </w:rPr>
            </w:pPr>
            <w:r>
              <w:rPr>
                <w:rFonts w:hint="eastAsia" w:ascii="仿宋" w:eastAsia="仿宋"/>
                <w:b/>
                <w:sz w:val="24"/>
              </w:rPr>
              <w:t>一1分</w:t>
            </w:r>
          </w:p>
        </w:tc>
        <w:tc>
          <w:tcPr>
            <w:tcW w:w="1674" w:type="dxa"/>
          </w:tcPr>
          <w:p>
            <w:pPr>
              <w:pStyle w:val="23"/>
              <w:spacing w:before="18" w:line="293" w:lineRule="exact"/>
              <w:ind w:left="11"/>
              <w:rPr>
                <w:rFonts w:ascii="仿宋" w:eastAsia="仿宋"/>
                <w:b/>
                <w:sz w:val="24"/>
              </w:rPr>
            </w:pPr>
            <w:r>
              <w:rPr>
                <w:rFonts w:hint="eastAsia" w:ascii="仿宋" w:eastAsia="仿宋"/>
                <w:b/>
                <w:sz w:val="24"/>
              </w:rPr>
              <w:t>4-10月</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75" w:type="dxa"/>
            <w:vMerge w:val="continue"/>
            <w:tcBorders>
              <w:top w:val="nil"/>
            </w:tcBorders>
          </w:tcPr>
          <w:p>
            <w:pPr>
              <w:rPr>
                <w:sz w:val="2"/>
                <w:szCs w:val="2"/>
              </w:rPr>
            </w:pPr>
          </w:p>
        </w:tc>
        <w:tc>
          <w:tcPr>
            <w:tcW w:w="1148" w:type="dxa"/>
            <w:vMerge w:val="continue"/>
            <w:tcBorders>
              <w:top w:val="nil"/>
            </w:tcBorders>
          </w:tcPr>
          <w:p>
            <w:pPr>
              <w:rPr>
                <w:sz w:val="2"/>
                <w:szCs w:val="2"/>
              </w:rPr>
            </w:pPr>
          </w:p>
        </w:tc>
        <w:tc>
          <w:tcPr>
            <w:tcW w:w="6804" w:type="dxa"/>
          </w:tcPr>
          <w:p>
            <w:pPr>
              <w:pStyle w:val="23"/>
              <w:spacing w:before="18" w:line="293" w:lineRule="exact"/>
              <w:ind w:left="12"/>
              <w:rPr>
                <w:rFonts w:ascii="仿宋" w:hAnsi="仿宋" w:eastAsia="仿宋"/>
                <w:b/>
                <w:sz w:val="24"/>
              </w:rPr>
            </w:pPr>
            <w:bookmarkStart w:id="190" w:name="②发现病虫害未及时上报的；"/>
            <w:bookmarkEnd w:id="190"/>
            <w:r>
              <w:rPr>
                <w:rFonts w:hint="eastAsia" w:ascii="仿宋" w:hAnsi="仿宋" w:eastAsia="仿宋"/>
                <w:b/>
                <w:sz w:val="24"/>
              </w:rPr>
              <w:t>②发现病虫害未及时上报的；</w:t>
            </w:r>
          </w:p>
        </w:tc>
        <w:tc>
          <w:tcPr>
            <w:tcW w:w="1930" w:type="dxa"/>
          </w:tcPr>
          <w:p>
            <w:pPr>
              <w:pStyle w:val="23"/>
              <w:spacing w:before="18" w:line="293" w:lineRule="exact"/>
              <w:ind w:left="12"/>
              <w:rPr>
                <w:rFonts w:ascii="仿宋" w:eastAsia="仿宋"/>
                <w:b/>
                <w:sz w:val="24"/>
              </w:rPr>
            </w:pPr>
            <w:r>
              <w:rPr>
                <w:rFonts w:hint="eastAsia" w:ascii="仿宋" w:eastAsia="仿宋"/>
                <w:b/>
                <w:sz w:val="24"/>
              </w:rPr>
              <w:t>一1分</w:t>
            </w:r>
          </w:p>
        </w:tc>
        <w:tc>
          <w:tcPr>
            <w:tcW w:w="1674" w:type="dxa"/>
          </w:tcPr>
          <w:p>
            <w:pPr>
              <w:pStyle w:val="23"/>
              <w:spacing w:before="18" w:line="293" w:lineRule="exact"/>
              <w:ind w:left="11"/>
              <w:rPr>
                <w:rFonts w:ascii="仿宋" w:eastAsia="仿宋"/>
                <w:b/>
                <w:sz w:val="24"/>
              </w:rPr>
            </w:pPr>
            <w:r>
              <w:rPr>
                <w:rFonts w:hint="eastAsia" w:ascii="仿宋" w:eastAsia="仿宋"/>
                <w:b/>
                <w:sz w:val="24"/>
              </w:rPr>
              <w:t>4-10月</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75" w:type="dxa"/>
            <w:vMerge w:val="continue"/>
            <w:tcBorders>
              <w:top w:val="nil"/>
            </w:tcBorders>
          </w:tcPr>
          <w:p>
            <w:pPr>
              <w:rPr>
                <w:sz w:val="2"/>
                <w:szCs w:val="2"/>
              </w:rPr>
            </w:pPr>
          </w:p>
        </w:tc>
        <w:tc>
          <w:tcPr>
            <w:tcW w:w="1148" w:type="dxa"/>
            <w:vMerge w:val="continue"/>
            <w:tcBorders>
              <w:top w:val="nil"/>
            </w:tcBorders>
          </w:tcPr>
          <w:p>
            <w:pPr>
              <w:rPr>
                <w:sz w:val="2"/>
                <w:szCs w:val="2"/>
              </w:rPr>
            </w:pPr>
          </w:p>
        </w:tc>
        <w:tc>
          <w:tcPr>
            <w:tcW w:w="6804" w:type="dxa"/>
          </w:tcPr>
          <w:p>
            <w:pPr>
              <w:pStyle w:val="23"/>
              <w:spacing w:before="17" w:line="293" w:lineRule="exact"/>
              <w:ind w:left="12"/>
              <w:rPr>
                <w:rFonts w:ascii="仿宋" w:hAnsi="仿宋" w:eastAsia="仿宋"/>
                <w:b/>
                <w:sz w:val="24"/>
              </w:rPr>
            </w:pPr>
            <w:bookmarkStart w:id="191" w:name="③未按要求治理病虫害或防治措施不力造成病虫害蔓延的；"/>
            <w:bookmarkEnd w:id="191"/>
            <w:r>
              <w:rPr>
                <w:rFonts w:hint="eastAsia" w:ascii="仿宋" w:hAnsi="仿宋" w:eastAsia="仿宋"/>
                <w:b/>
                <w:sz w:val="24"/>
              </w:rPr>
              <w:t>③未按要求治理病虫害或防治措施不力造成病虫害蔓延的；</w:t>
            </w:r>
          </w:p>
        </w:tc>
        <w:tc>
          <w:tcPr>
            <w:tcW w:w="1930" w:type="dxa"/>
          </w:tcPr>
          <w:p>
            <w:pPr>
              <w:pStyle w:val="23"/>
              <w:spacing w:before="17" w:line="293" w:lineRule="exact"/>
              <w:ind w:left="12"/>
              <w:rPr>
                <w:rFonts w:ascii="仿宋" w:eastAsia="仿宋"/>
                <w:b/>
                <w:sz w:val="24"/>
              </w:rPr>
            </w:pPr>
            <w:r>
              <w:rPr>
                <w:rFonts w:hint="eastAsia" w:ascii="仿宋" w:eastAsia="仿宋"/>
                <w:b/>
                <w:sz w:val="24"/>
              </w:rPr>
              <w:t>一1分</w:t>
            </w:r>
          </w:p>
        </w:tc>
        <w:tc>
          <w:tcPr>
            <w:tcW w:w="1674" w:type="dxa"/>
          </w:tcPr>
          <w:p>
            <w:pPr>
              <w:pStyle w:val="23"/>
              <w:spacing w:before="17" w:line="293" w:lineRule="exact"/>
              <w:ind w:left="11"/>
              <w:rPr>
                <w:rFonts w:ascii="仿宋" w:eastAsia="仿宋"/>
                <w:b/>
                <w:sz w:val="24"/>
              </w:rPr>
            </w:pPr>
            <w:r>
              <w:rPr>
                <w:rFonts w:hint="eastAsia" w:ascii="仿宋" w:eastAsia="仿宋"/>
                <w:b/>
                <w:sz w:val="24"/>
              </w:rPr>
              <w:t>4-10月</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75" w:type="dxa"/>
            <w:vMerge w:val="restart"/>
          </w:tcPr>
          <w:p>
            <w:pPr>
              <w:pStyle w:val="23"/>
              <w:rPr>
                <w:rFonts w:ascii="Times New Roman"/>
                <w:sz w:val="24"/>
              </w:rPr>
            </w:pPr>
          </w:p>
          <w:p>
            <w:pPr>
              <w:pStyle w:val="23"/>
              <w:rPr>
                <w:rFonts w:ascii="Times New Roman"/>
                <w:sz w:val="24"/>
              </w:rPr>
            </w:pPr>
          </w:p>
          <w:p>
            <w:pPr>
              <w:pStyle w:val="23"/>
              <w:rPr>
                <w:rFonts w:ascii="Times New Roman"/>
                <w:sz w:val="24"/>
              </w:rPr>
            </w:pPr>
          </w:p>
          <w:p>
            <w:pPr>
              <w:pStyle w:val="23"/>
              <w:rPr>
                <w:rFonts w:ascii="Times New Roman"/>
                <w:sz w:val="24"/>
              </w:rPr>
            </w:pPr>
          </w:p>
          <w:p>
            <w:pPr>
              <w:pStyle w:val="23"/>
              <w:spacing w:before="4"/>
              <w:rPr>
                <w:rFonts w:ascii="Times New Roman"/>
              </w:rPr>
            </w:pPr>
          </w:p>
          <w:p>
            <w:pPr>
              <w:pStyle w:val="23"/>
              <w:ind w:left="11"/>
              <w:rPr>
                <w:rFonts w:ascii="仿宋"/>
                <w:b/>
                <w:sz w:val="24"/>
              </w:rPr>
            </w:pPr>
            <w:bookmarkStart w:id="192" w:name="10"/>
            <w:bookmarkEnd w:id="192"/>
            <w:r>
              <w:rPr>
                <w:rFonts w:ascii="仿宋"/>
                <w:b/>
                <w:sz w:val="24"/>
              </w:rPr>
              <w:t>10</w:t>
            </w:r>
          </w:p>
        </w:tc>
        <w:tc>
          <w:tcPr>
            <w:tcW w:w="1148" w:type="dxa"/>
            <w:vMerge w:val="restart"/>
          </w:tcPr>
          <w:p>
            <w:pPr>
              <w:pStyle w:val="23"/>
              <w:rPr>
                <w:rFonts w:ascii="Times New Roman"/>
                <w:sz w:val="24"/>
              </w:rPr>
            </w:pPr>
          </w:p>
          <w:p>
            <w:pPr>
              <w:pStyle w:val="23"/>
              <w:rPr>
                <w:rFonts w:ascii="Times New Roman"/>
                <w:sz w:val="24"/>
              </w:rPr>
            </w:pPr>
          </w:p>
          <w:p>
            <w:pPr>
              <w:pStyle w:val="23"/>
              <w:rPr>
                <w:rFonts w:ascii="Times New Roman"/>
                <w:sz w:val="24"/>
              </w:rPr>
            </w:pPr>
          </w:p>
          <w:p>
            <w:pPr>
              <w:pStyle w:val="23"/>
              <w:rPr>
                <w:rFonts w:ascii="Times New Roman"/>
                <w:sz w:val="24"/>
              </w:rPr>
            </w:pPr>
          </w:p>
          <w:p>
            <w:pPr>
              <w:pStyle w:val="23"/>
              <w:spacing w:before="4"/>
              <w:rPr>
                <w:rFonts w:ascii="Times New Roman"/>
              </w:rPr>
            </w:pPr>
          </w:p>
          <w:p>
            <w:pPr>
              <w:pStyle w:val="23"/>
              <w:ind w:left="10"/>
              <w:rPr>
                <w:rFonts w:ascii="仿宋" w:eastAsia="仿宋"/>
                <w:b/>
                <w:sz w:val="24"/>
              </w:rPr>
            </w:pPr>
            <w:bookmarkStart w:id="193" w:name="肥水管理"/>
            <w:bookmarkEnd w:id="193"/>
            <w:r>
              <w:rPr>
                <w:rFonts w:hint="eastAsia" w:ascii="仿宋" w:eastAsia="仿宋"/>
                <w:b/>
                <w:sz w:val="24"/>
              </w:rPr>
              <w:t>肥水管理</w:t>
            </w:r>
          </w:p>
        </w:tc>
        <w:tc>
          <w:tcPr>
            <w:tcW w:w="6804" w:type="dxa"/>
          </w:tcPr>
          <w:p>
            <w:pPr>
              <w:pStyle w:val="23"/>
              <w:spacing w:before="17" w:line="294" w:lineRule="exact"/>
              <w:ind w:left="12"/>
              <w:rPr>
                <w:rFonts w:ascii="仿宋" w:hAnsi="仿宋" w:eastAsia="仿宋"/>
                <w:b/>
                <w:sz w:val="24"/>
              </w:rPr>
            </w:pPr>
            <w:bookmarkStart w:id="194" w:name="①不按施肥要求操作，造成肥料流失或出现肥害："/>
            <w:bookmarkEnd w:id="194"/>
            <w:r>
              <w:rPr>
                <w:rFonts w:hint="eastAsia" w:ascii="仿宋" w:hAnsi="仿宋" w:eastAsia="仿宋"/>
                <w:b/>
                <w:sz w:val="24"/>
              </w:rPr>
              <w:t>①不按施肥要求操作，造成肥料流失或出现肥害：</w:t>
            </w:r>
          </w:p>
        </w:tc>
        <w:tc>
          <w:tcPr>
            <w:tcW w:w="1930" w:type="dxa"/>
          </w:tcPr>
          <w:p>
            <w:pPr>
              <w:pStyle w:val="23"/>
              <w:spacing w:before="17" w:line="294" w:lineRule="exact"/>
              <w:ind w:left="12"/>
              <w:rPr>
                <w:rFonts w:ascii="仿宋" w:eastAsia="仿宋"/>
                <w:b/>
                <w:sz w:val="24"/>
              </w:rPr>
            </w:pPr>
            <w:r>
              <w:rPr>
                <w:rFonts w:hint="eastAsia" w:ascii="仿宋" w:eastAsia="仿宋"/>
                <w:b/>
                <w:sz w:val="24"/>
              </w:rPr>
              <w:t>一1分</w:t>
            </w:r>
          </w:p>
        </w:tc>
        <w:tc>
          <w:tcPr>
            <w:tcW w:w="1674" w:type="dxa"/>
          </w:tcPr>
          <w:p>
            <w:pPr>
              <w:pStyle w:val="23"/>
              <w:spacing w:before="17" w:line="294" w:lineRule="exact"/>
              <w:ind w:left="11"/>
              <w:rPr>
                <w:rFonts w:ascii="仿宋" w:eastAsia="仿宋"/>
                <w:b/>
                <w:sz w:val="24"/>
              </w:rPr>
            </w:pPr>
            <w:bookmarkStart w:id="195" w:name="4-8月或11-3月"/>
            <w:bookmarkEnd w:id="195"/>
            <w:r>
              <w:rPr>
                <w:rFonts w:hint="eastAsia" w:ascii="仿宋" w:eastAsia="仿宋"/>
                <w:b/>
                <w:sz w:val="24"/>
              </w:rPr>
              <w:t>4-8月或11-3月</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75" w:type="dxa"/>
            <w:vMerge w:val="continue"/>
            <w:tcBorders>
              <w:top w:val="nil"/>
            </w:tcBorders>
          </w:tcPr>
          <w:p>
            <w:pPr>
              <w:rPr>
                <w:sz w:val="2"/>
                <w:szCs w:val="2"/>
              </w:rPr>
            </w:pPr>
          </w:p>
        </w:tc>
        <w:tc>
          <w:tcPr>
            <w:tcW w:w="1148" w:type="dxa"/>
            <w:vMerge w:val="continue"/>
            <w:tcBorders>
              <w:top w:val="nil"/>
            </w:tcBorders>
          </w:tcPr>
          <w:p>
            <w:pPr>
              <w:rPr>
                <w:sz w:val="2"/>
                <w:szCs w:val="2"/>
              </w:rPr>
            </w:pPr>
          </w:p>
        </w:tc>
        <w:tc>
          <w:tcPr>
            <w:tcW w:w="6804" w:type="dxa"/>
          </w:tcPr>
          <w:p>
            <w:pPr>
              <w:pStyle w:val="23"/>
              <w:spacing w:before="17" w:line="294" w:lineRule="exact"/>
              <w:ind w:left="12"/>
              <w:rPr>
                <w:rFonts w:ascii="仿宋" w:hAnsi="仿宋" w:eastAsia="仿宋"/>
                <w:b/>
                <w:sz w:val="24"/>
              </w:rPr>
            </w:pPr>
            <w:bookmarkStart w:id="196" w:name="②不及时浇水造成植物干旱、萎蔫："/>
            <w:bookmarkEnd w:id="196"/>
            <w:r>
              <w:rPr>
                <w:rFonts w:hint="eastAsia" w:ascii="仿宋" w:hAnsi="仿宋" w:eastAsia="仿宋"/>
                <w:b/>
                <w:sz w:val="24"/>
              </w:rPr>
              <w:t>②不及时浇水造成植物干旱、萎蔫：</w:t>
            </w:r>
          </w:p>
        </w:tc>
        <w:tc>
          <w:tcPr>
            <w:tcW w:w="1930" w:type="dxa"/>
          </w:tcPr>
          <w:p>
            <w:pPr>
              <w:pStyle w:val="23"/>
              <w:spacing w:before="17" w:line="294" w:lineRule="exact"/>
              <w:ind w:left="12"/>
              <w:rPr>
                <w:rFonts w:ascii="仿宋" w:eastAsia="仿宋"/>
                <w:b/>
                <w:sz w:val="24"/>
              </w:rPr>
            </w:pPr>
            <w:r>
              <w:rPr>
                <w:rFonts w:hint="eastAsia" w:ascii="仿宋" w:eastAsia="仿宋"/>
                <w:b/>
                <w:sz w:val="24"/>
              </w:rPr>
              <w:t>一1分</w:t>
            </w:r>
          </w:p>
        </w:tc>
        <w:tc>
          <w:tcPr>
            <w:tcW w:w="1674" w:type="dxa"/>
          </w:tcPr>
          <w:p>
            <w:pPr>
              <w:pStyle w:val="23"/>
              <w:spacing w:before="17" w:line="294" w:lineRule="exact"/>
              <w:ind w:left="11"/>
              <w:rPr>
                <w:rFonts w:ascii="仿宋" w:eastAsia="仿宋"/>
                <w:b/>
                <w:sz w:val="24"/>
              </w:rPr>
            </w:pPr>
            <w:bookmarkStart w:id="197" w:name="4-8月"/>
            <w:bookmarkEnd w:id="197"/>
            <w:r>
              <w:rPr>
                <w:rFonts w:hint="eastAsia" w:ascii="仿宋" w:eastAsia="仿宋"/>
                <w:b/>
                <w:sz w:val="24"/>
              </w:rPr>
              <w:t>4-8月</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75" w:type="dxa"/>
            <w:vMerge w:val="continue"/>
            <w:tcBorders>
              <w:top w:val="nil"/>
            </w:tcBorders>
          </w:tcPr>
          <w:p>
            <w:pPr>
              <w:rPr>
                <w:sz w:val="2"/>
                <w:szCs w:val="2"/>
              </w:rPr>
            </w:pPr>
          </w:p>
        </w:tc>
        <w:tc>
          <w:tcPr>
            <w:tcW w:w="1148" w:type="dxa"/>
            <w:vMerge w:val="continue"/>
            <w:tcBorders>
              <w:top w:val="nil"/>
            </w:tcBorders>
          </w:tcPr>
          <w:p>
            <w:pPr>
              <w:rPr>
                <w:sz w:val="2"/>
                <w:szCs w:val="2"/>
              </w:rPr>
            </w:pPr>
          </w:p>
        </w:tc>
        <w:tc>
          <w:tcPr>
            <w:tcW w:w="6804" w:type="dxa"/>
          </w:tcPr>
          <w:p>
            <w:pPr>
              <w:pStyle w:val="23"/>
              <w:spacing w:before="17" w:line="294" w:lineRule="exact"/>
              <w:ind w:left="12"/>
              <w:rPr>
                <w:rFonts w:ascii="仿宋" w:hAnsi="仿宋" w:eastAsia="仿宋"/>
                <w:b/>
                <w:sz w:val="24"/>
              </w:rPr>
            </w:pPr>
            <w:bookmarkStart w:id="198" w:name="③不及时清除积水造成沥涝；"/>
            <w:bookmarkEnd w:id="198"/>
            <w:r>
              <w:rPr>
                <w:rFonts w:hint="eastAsia" w:ascii="仿宋" w:hAnsi="仿宋" w:eastAsia="仿宋"/>
                <w:b/>
                <w:sz w:val="24"/>
              </w:rPr>
              <w:t>③不及时清除积水造成沥涝；</w:t>
            </w:r>
          </w:p>
        </w:tc>
        <w:tc>
          <w:tcPr>
            <w:tcW w:w="1930" w:type="dxa"/>
          </w:tcPr>
          <w:p>
            <w:pPr>
              <w:pStyle w:val="23"/>
              <w:spacing w:before="17" w:line="294" w:lineRule="exact"/>
              <w:ind w:left="12"/>
              <w:rPr>
                <w:rFonts w:ascii="仿宋" w:eastAsia="仿宋"/>
                <w:b/>
                <w:sz w:val="24"/>
              </w:rPr>
            </w:pPr>
            <w:r>
              <w:rPr>
                <w:rFonts w:hint="eastAsia" w:ascii="仿宋" w:eastAsia="仿宋"/>
                <w:b/>
                <w:sz w:val="24"/>
              </w:rPr>
              <w:t>一1分</w:t>
            </w:r>
          </w:p>
        </w:tc>
        <w:tc>
          <w:tcPr>
            <w:tcW w:w="1674" w:type="dxa"/>
          </w:tcPr>
          <w:p>
            <w:pPr>
              <w:pStyle w:val="23"/>
              <w:spacing w:before="17" w:line="294" w:lineRule="exact"/>
              <w:ind w:left="11"/>
              <w:rPr>
                <w:rFonts w:ascii="仿宋" w:eastAsia="仿宋"/>
                <w:b/>
                <w:sz w:val="24"/>
              </w:rPr>
            </w:pPr>
            <w:r>
              <w:rPr>
                <w:rFonts w:hint="eastAsia" w:ascii="仿宋" w:eastAsia="仿宋"/>
                <w:b/>
                <w:sz w:val="24"/>
              </w:rPr>
              <w:t>4-10月</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75" w:type="dxa"/>
            <w:vMerge w:val="continue"/>
            <w:tcBorders>
              <w:top w:val="nil"/>
            </w:tcBorders>
          </w:tcPr>
          <w:p>
            <w:pPr>
              <w:rPr>
                <w:sz w:val="2"/>
                <w:szCs w:val="2"/>
              </w:rPr>
            </w:pPr>
          </w:p>
        </w:tc>
        <w:tc>
          <w:tcPr>
            <w:tcW w:w="1148" w:type="dxa"/>
            <w:vMerge w:val="continue"/>
            <w:tcBorders>
              <w:top w:val="nil"/>
            </w:tcBorders>
          </w:tcPr>
          <w:p>
            <w:pPr>
              <w:rPr>
                <w:sz w:val="2"/>
                <w:szCs w:val="2"/>
              </w:rPr>
            </w:pPr>
          </w:p>
        </w:tc>
        <w:tc>
          <w:tcPr>
            <w:tcW w:w="6804" w:type="dxa"/>
          </w:tcPr>
          <w:p>
            <w:pPr>
              <w:pStyle w:val="23"/>
              <w:spacing w:before="17" w:line="294" w:lineRule="exact"/>
              <w:ind w:left="12"/>
              <w:rPr>
                <w:rFonts w:ascii="仿宋" w:hAnsi="仿宋" w:eastAsia="仿宋"/>
                <w:b/>
                <w:sz w:val="24"/>
              </w:rPr>
            </w:pPr>
            <w:bookmarkStart w:id="199" w:name="④施肥后不及时中耕。"/>
            <w:bookmarkEnd w:id="199"/>
            <w:r>
              <w:rPr>
                <w:rFonts w:hint="eastAsia" w:ascii="仿宋" w:hAnsi="仿宋" w:eastAsia="仿宋"/>
                <w:b/>
                <w:sz w:val="24"/>
              </w:rPr>
              <w:t>④施肥后不及时中耕。</w:t>
            </w:r>
          </w:p>
        </w:tc>
        <w:tc>
          <w:tcPr>
            <w:tcW w:w="1930" w:type="dxa"/>
          </w:tcPr>
          <w:p>
            <w:pPr>
              <w:pStyle w:val="23"/>
              <w:spacing w:before="17" w:line="294" w:lineRule="exact"/>
              <w:ind w:left="12"/>
              <w:rPr>
                <w:rFonts w:ascii="仿宋" w:eastAsia="仿宋"/>
                <w:b/>
                <w:sz w:val="24"/>
              </w:rPr>
            </w:pPr>
            <w:r>
              <w:rPr>
                <w:rFonts w:hint="eastAsia" w:ascii="仿宋" w:eastAsia="仿宋"/>
                <w:b/>
                <w:sz w:val="24"/>
              </w:rPr>
              <w:t>一1分</w:t>
            </w:r>
          </w:p>
        </w:tc>
        <w:tc>
          <w:tcPr>
            <w:tcW w:w="1674" w:type="dxa"/>
          </w:tcPr>
          <w:p>
            <w:pPr>
              <w:pStyle w:val="23"/>
              <w:spacing w:before="17" w:line="294" w:lineRule="exact"/>
              <w:ind w:left="11"/>
              <w:rPr>
                <w:rFonts w:ascii="仿宋" w:eastAsia="仿宋"/>
                <w:b/>
                <w:sz w:val="24"/>
              </w:rPr>
            </w:pPr>
            <w:bookmarkStart w:id="200" w:name="1-10月"/>
            <w:bookmarkEnd w:id="200"/>
            <w:r>
              <w:rPr>
                <w:rFonts w:hint="eastAsia" w:ascii="仿宋" w:eastAsia="仿宋"/>
                <w:b/>
                <w:sz w:val="24"/>
              </w:rPr>
              <w:t>1-10月</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75" w:type="dxa"/>
            <w:vMerge w:val="continue"/>
            <w:tcBorders>
              <w:top w:val="nil"/>
            </w:tcBorders>
          </w:tcPr>
          <w:p>
            <w:pPr>
              <w:rPr>
                <w:sz w:val="2"/>
                <w:szCs w:val="2"/>
              </w:rPr>
            </w:pPr>
          </w:p>
        </w:tc>
        <w:tc>
          <w:tcPr>
            <w:tcW w:w="1148" w:type="dxa"/>
            <w:vMerge w:val="continue"/>
            <w:tcBorders>
              <w:top w:val="nil"/>
            </w:tcBorders>
          </w:tcPr>
          <w:p>
            <w:pPr>
              <w:rPr>
                <w:sz w:val="2"/>
                <w:szCs w:val="2"/>
              </w:rPr>
            </w:pPr>
          </w:p>
        </w:tc>
        <w:tc>
          <w:tcPr>
            <w:tcW w:w="6804" w:type="dxa"/>
          </w:tcPr>
          <w:p>
            <w:pPr>
              <w:pStyle w:val="23"/>
              <w:spacing w:before="16" w:line="294" w:lineRule="exact"/>
              <w:ind w:left="12"/>
              <w:rPr>
                <w:rFonts w:ascii="仿宋" w:hAnsi="仿宋" w:eastAsia="仿宋"/>
                <w:b/>
                <w:sz w:val="24"/>
              </w:rPr>
            </w:pPr>
            <w:bookmarkStart w:id="201" w:name="⑤发现不浇水、跑水漏水现象的；"/>
            <w:bookmarkEnd w:id="201"/>
            <w:r>
              <w:rPr>
                <w:rFonts w:hint="eastAsia" w:ascii="仿宋" w:hAnsi="仿宋" w:eastAsia="仿宋"/>
                <w:b/>
                <w:sz w:val="24"/>
              </w:rPr>
              <w:t>⑤发现不浇水、跑水漏水现象的；</w:t>
            </w:r>
          </w:p>
        </w:tc>
        <w:tc>
          <w:tcPr>
            <w:tcW w:w="1930" w:type="dxa"/>
          </w:tcPr>
          <w:p>
            <w:pPr>
              <w:pStyle w:val="23"/>
              <w:spacing w:before="16" w:line="294" w:lineRule="exact"/>
              <w:ind w:left="12"/>
              <w:rPr>
                <w:rFonts w:ascii="仿宋" w:eastAsia="仿宋"/>
                <w:b/>
                <w:sz w:val="24"/>
              </w:rPr>
            </w:pPr>
            <w:bookmarkStart w:id="202" w:name="每次一1分"/>
            <w:bookmarkEnd w:id="202"/>
            <w:r>
              <w:rPr>
                <w:rFonts w:hint="eastAsia" w:ascii="仿宋" w:eastAsia="仿宋"/>
                <w:b/>
                <w:sz w:val="24"/>
              </w:rPr>
              <w:t>每次一1分</w:t>
            </w:r>
          </w:p>
        </w:tc>
        <w:tc>
          <w:tcPr>
            <w:tcW w:w="1674" w:type="dxa"/>
          </w:tcPr>
          <w:p>
            <w:pPr>
              <w:pStyle w:val="23"/>
              <w:spacing w:before="16" w:line="294" w:lineRule="exact"/>
              <w:ind w:left="11"/>
              <w:rPr>
                <w:rFonts w:ascii="仿宋" w:eastAsia="仿宋"/>
                <w:b/>
                <w:sz w:val="24"/>
              </w:rPr>
            </w:pPr>
            <w:r>
              <w:rPr>
                <w:rFonts w:hint="eastAsia" w:ascii="仿宋" w:eastAsia="仿宋"/>
                <w:b/>
                <w:sz w:val="24"/>
              </w:rPr>
              <w:t>4-10月</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75" w:type="dxa"/>
            <w:vMerge w:val="continue"/>
            <w:tcBorders>
              <w:top w:val="nil"/>
            </w:tcBorders>
          </w:tcPr>
          <w:p>
            <w:pPr>
              <w:rPr>
                <w:sz w:val="2"/>
                <w:szCs w:val="2"/>
              </w:rPr>
            </w:pPr>
          </w:p>
        </w:tc>
        <w:tc>
          <w:tcPr>
            <w:tcW w:w="1148" w:type="dxa"/>
            <w:vMerge w:val="continue"/>
            <w:tcBorders>
              <w:top w:val="nil"/>
            </w:tcBorders>
          </w:tcPr>
          <w:p>
            <w:pPr>
              <w:rPr>
                <w:sz w:val="2"/>
                <w:szCs w:val="2"/>
              </w:rPr>
            </w:pPr>
          </w:p>
        </w:tc>
        <w:tc>
          <w:tcPr>
            <w:tcW w:w="6804" w:type="dxa"/>
          </w:tcPr>
          <w:p>
            <w:pPr>
              <w:pStyle w:val="23"/>
              <w:spacing w:before="16" w:line="295" w:lineRule="exact"/>
              <w:ind w:left="12"/>
              <w:rPr>
                <w:rFonts w:ascii="仿宋" w:hAnsi="仿宋" w:eastAsia="仿宋"/>
                <w:b/>
                <w:sz w:val="24"/>
              </w:rPr>
            </w:pPr>
            <w:bookmarkStart w:id="203" w:name="⑥全年施农家肥一次，追化肥1次，叶面肥1次。每少施1次。"/>
            <w:bookmarkEnd w:id="203"/>
            <w:r>
              <w:rPr>
                <w:rFonts w:hint="eastAsia" w:ascii="仿宋" w:hAnsi="仿宋" w:eastAsia="仿宋"/>
                <w:b/>
                <w:sz w:val="24"/>
              </w:rPr>
              <w:t>⑥全年施农家肥一次，追化肥1次，叶面肥1次。每少施1次。</w:t>
            </w:r>
          </w:p>
        </w:tc>
        <w:tc>
          <w:tcPr>
            <w:tcW w:w="1930" w:type="dxa"/>
          </w:tcPr>
          <w:p>
            <w:pPr>
              <w:pStyle w:val="23"/>
              <w:spacing w:before="16" w:line="295" w:lineRule="exact"/>
              <w:ind w:left="12"/>
              <w:rPr>
                <w:rFonts w:ascii="仿宋" w:eastAsia="仿宋"/>
                <w:b/>
                <w:sz w:val="24"/>
              </w:rPr>
            </w:pPr>
            <w:r>
              <w:rPr>
                <w:rFonts w:hint="eastAsia" w:ascii="仿宋" w:eastAsia="仿宋"/>
                <w:b/>
                <w:sz w:val="24"/>
              </w:rPr>
              <w:t>一3分</w:t>
            </w:r>
          </w:p>
        </w:tc>
        <w:tc>
          <w:tcPr>
            <w:tcW w:w="1674" w:type="dxa"/>
            <w:vMerge w:val="restart"/>
          </w:tcPr>
          <w:p>
            <w:pPr>
              <w:pStyle w:val="23"/>
              <w:spacing w:before="189"/>
              <w:ind w:left="11"/>
              <w:rPr>
                <w:rFonts w:ascii="仿宋" w:eastAsia="仿宋"/>
                <w:b/>
                <w:sz w:val="24"/>
              </w:rPr>
            </w:pPr>
            <w:bookmarkStart w:id="204" w:name="+3分"/>
            <w:bookmarkEnd w:id="204"/>
            <w:bookmarkStart w:id="205" w:name="施肥多施一次"/>
            <w:bookmarkEnd w:id="205"/>
            <w:r>
              <w:rPr>
                <w:rFonts w:hint="eastAsia" w:ascii="仿宋" w:eastAsia="仿宋"/>
                <w:b/>
                <w:sz w:val="24"/>
              </w:rPr>
              <w:t>4-10月</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75" w:type="dxa"/>
            <w:vMerge w:val="continue"/>
            <w:tcBorders>
              <w:top w:val="nil"/>
            </w:tcBorders>
          </w:tcPr>
          <w:p>
            <w:pPr>
              <w:rPr>
                <w:sz w:val="2"/>
                <w:szCs w:val="2"/>
              </w:rPr>
            </w:pPr>
          </w:p>
        </w:tc>
        <w:tc>
          <w:tcPr>
            <w:tcW w:w="1148" w:type="dxa"/>
            <w:vMerge w:val="continue"/>
            <w:tcBorders>
              <w:top w:val="nil"/>
            </w:tcBorders>
          </w:tcPr>
          <w:p>
            <w:pPr>
              <w:rPr>
                <w:sz w:val="2"/>
                <w:szCs w:val="2"/>
              </w:rPr>
            </w:pPr>
          </w:p>
        </w:tc>
        <w:tc>
          <w:tcPr>
            <w:tcW w:w="6804" w:type="dxa"/>
          </w:tcPr>
          <w:p>
            <w:pPr>
              <w:pStyle w:val="23"/>
              <w:spacing w:before="16" w:line="295" w:lineRule="exact"/>
              <w:ind w:left="12"/>
              <w:rPr>
                <w:rFonts w:ascii="仿宋" w:eastAsia="仿宋"/>
                <w:b/>
                <w:sz w:val="24"/>
              </w:rPr>
            </w:pPr>
            <w:r>
              <w:rPr>
                <w:rFonts w:hint="eastAsia" w:ascii="仿宋" w:eastAsia="仿宋"/>
                <w:b/>
                <w:sz w:val="24"/>
              </w:rPr>
              <w:t>施肥多施一次</w:t>
            </w:r>
          </w:p>
        </w:tc>
        <w:tc>
          <w:tcPr>
            <w:tcW w:w="1930" w:type="dxa"/>
          </w:tcPr>
          <w:p>
            <w:pPr>
              <w:pStyle w:val="23"/>
              <w:spacing w:before="16" w:line="295" w:lineRule="exact"/>
              <w:ind w:left="12"/>
              <w:rPr>
                <w:rFonts w:ascii="仿宋" w:eastAsia="仿宋"/>
                <w:b/>
                <w:sz w:val="24"/>
              </w:rPr>
            </w:pPr>
            <w:r>
              <w:rPr>
                <w:rFonts w:hint="eastAsia" w:ascii="仿宋" w:eastAsia="仿宋"/>
                <w:b/>
                <w:sz w:val="24"/>
              </w:rPr>
              <w:t>+3分</w:t>
            </w:r>
          </w:p>
        </w:tc>
        <w:tc>
          <w:tcPr>
            <w:tcW w:w="1674" w:type="dxa"/>
            <w:vMerge w:val="continue"/>
            <w:tcBorders>
              <w:top w:val="nil"/>
            </w:tcBorders>
          </w:tcPr>
          <w:p>
            <w:pPr>
              <w:rPr>
                <w:sz w:val="2"/>
                <w:szCs w:val="2"/>
              </w:rPr>
            </w:pP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2" w:hRule="atLeast"/>
        </w:trPr>
        <w:tc>
          <w:tcPr>
            <w:tcW w:w="675" w:type="dxa"/>
            <w:vMerge w:val="continue"/>
            <w:tcBorders>
              <w:top w:val="nil"/>
            </w:tcBorders>
          </w:tcPr>
          <w:p>
            <w:pPr>
              <w:rPr>
                <w:sz w:val="2"/>
                <w:szCs w:val="2"/>
              </w:rPr>
            </w:pPr>
          </w:p>
        </w:tc>
        <w:tc>
          <w:tcPr>
            <w:tcW w:w="1148" w:type="dxa"/>
            <w:vMerge w:val="continue"/>
            <w:tcBorders>
              <w:top w:val="nil"/>
            </w:tcBorders>
          </w:tcPr>
          <w:p>
            <w:pPr>
              <w:rPr>
                <w:sz w:val="2"/>
                <w:szCs w:val="2"/>
              </w:rPr>
            </w:pPr>
          </w:p>
        </w:tc>
        <w:tc>
          <w:tcPr>
            <w:tcW w:w="6804" w:type="dxa"/>
          </w:tcPr>
          <w:p>
            <w:pPr>
              <w:pStyle w:val="23"/>
              <w:spacing w:before="169"/>
              <w:ind w:left="12"/>
              <w:rPr>
                <w:rFonts w:ascii="仿宋" w:hAnsi="仿宋" w:eastAsia="仿宋"/>
                <w:b/>
                <w:sz w:val="24"/>
              </w:rPr>
            </w:pPr>
            <w:bookmarkStart w:id="206" w:name="⑦每年浇春水、冬水各一次，未组织实施；"/>
            <w:bookmarkEnd w:id="206"/>
            <w:r>
              <w:rPr>
                <w:rFonts w:hint="eastAsia" w:ascii="仿宋" w:hAnsi="仿宋" w:eastAsia="仿宋"/>
                <w:b/>
                <w:sz w:val="24"/>
              </w:rPr>
              <w:t>⑦每年浇春水、冬水各一次，未组织实施；</w:t>
            </w:r>
          </w:p>
        </w:tc>
        <w:tc>
          <w:tcPr>
            <w:tcW w:w="1930" w:type="dxa"/>
          </w:tcPr>
          <w:p>
            <w:pPr>
              <w:pStyle w:val="23"/>
              <w:spacing w:before="169"/>
              <w:ind w:left="12"/>
              <w:rPr>
                <w:rFonts w:ascii="仿宋" w:eastAsia="仿宋"/>
                <w:b/>
                <w:sz w:val="24"/>
              </w:rPr>
            </w:pPr>
            <w:r>
              <w:rPr>
                <w:rFonts w:hint="eastAsia" w:ascii="仿宋" w:eastAsia="仿宋"/>
                <w:b/>
                <w:sz w:val="24"/>
              </w:rPr>
              <w:t>一1分</w:t>
            </w:r>
          </w:p>
        </w:tc>
        <w:tc>
          <w:tcPr>
            <w:tcW w:w="1674" w:type="dxa"/>
          </w:tcPr>
          <w:p>
            <w:pPr>
              <w:pStyle w:val="23"/>
              <w:spacing w:before="11" w:line="310" w:lineRule="atLeast"/>
              <w:ind w:left="11" w:right="82"/>
              <w:rPr>
                <w:rFonts w:ascii="仿宋" w:eastAsia="仿宋"/>
                <w:b/>
                <w:sz w:val="24"/>
              </w:rPr>
            </w:pPr>
            <w:bookmarkStart w:id="207" w:name="11、12月至3-4月"/>
            <w:bookmarkEnd w:id="207"/>
            <w:r>
              <w:rPr>
                <w:rFonts w:hint="eastAsia" w:ascii="仿宋" w:eastAsia="仿宋"/>
                <w:b/>
                <w:sz w:val="24"/>
              </w:rPr>
              <w:t>11、12月至3-4 月</w:t>
            </w:r>
          </w:p>
        </w:tc>
        <w:tc>
          <w:tcPr>
            <w:tcW w:w="2160" w:type="dxa"/>
          </w:tcPr>
          <w:p>
            <w:pPr>
              <w:pStyle w:val="23"/>
              <w:rPr>
                <w:rFonts w:ascii="Times New Roman"/>
              </w:rPr>
            </w:pPr>
          </w:p>
        </w:tc>
      </w:tr>
    </w:tbl>
    <w:p>
      <w:pPr>
        <w:rPr>
          <w:rFonts w:ascii="Times New Roman"/>
        </w:rPr>
        <w:sectPr>
          <w:pgSz w:w="16840" w:h="11910" w:orient="landscape"/>
          <w:pgMar w:top="1100" w:right="860" w:bottom="1200" w:left="1340" w:header="0" w:footer="1012" w:gutter="0"/>
          <w:cols w:space="720" w:num="1"/>
        </w:sectPr>
      </w:pPr>
    </w:p>
    <w:p>
      <w:pPr>
        <w:pStyle w:val="9"/>
        <w:rPr>
          <w:rFonts w:ascii="Times New Roman"/>
          <w:sz w:val="20"/>
        </w:rPr>
      </w:pPr>
    </w:p>
    <w:p>
      <w:pPr>
        <w:pStyle w:val="9"/>
        <w:rPr>
          <w:rFonts w:ascii="Times New Roman"/>
          <w:sz w:val="20"/>
        </w:rPr>
      </w:pPr>
    </w:p>
    <w:p>
      <w:pPr>
        <w:pStyle w:val="9"/>
        <w:spacing w:before="5"/>
        <w:rPr>
          <w:rFonts w:ascii="Times New Roman"/>
          <w:sz w:val="21"/>
        </w:rPr>
      </w:pPr>
    </w:p>
    <w:tbl>
      <w:tblPr>
        <w:tblStyle w:val="19"/>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5"/>
        <w:gridCol w:w="1148"/>
        <w:gridCol w:w="6804"/>
        <w:gridCol w:w="1930"/>
        <w:gridCol w:w="1674"/>
        <w:gridCol w:w="21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75" w:type="dxa"/>
            <w:vMerge w:val="restart"/>
          </w:tcPr>
          <w:p>
            <w:pPr>
              <w:pStyle w:val="23"/>
              <w:rPr>
                <w:rFonts w:ascii="Times New Roman"/>
                <w:sz w:val="24"/>
              </w:rPr>
            </w:pPr>
          </w:p>
          <w:p>
            <w:pPr>
              <w:pStyle w:val="23"/>
              <w:rPr>
                <w:rFonts w:ascii="Times New Roman"/>
                <w:sz w:val="24"/>
              </w:rPr>
            </w:pPr>
          </w:p>
          <w:p>
            <w:pPr>
              <w:pStyle w:val="23"/>
              <w:spacing w:before="7"/>
              <w:rPr>
                <w:rFonts w:ascii="Times New Roman"/>
                <w:sz w:val="27"/>
              </w:rPr>
            </w:pPr>
          </w:p>
          <w:p>
            <w:pPr>
              <w:pStyle w:val="23"/>
              <w:ind w:left="11"/>
              <w:rPr>
                <w:rFonts w:ascii="仿宋"/>
                <w:b/>
                <w:sz w:val="24"/>
              </w:rPr>
            </w:pPr>
            <w:bookmarkStart w:id="208" w:name="11"/>
            <w:bookmarkEnd w:id="208"/>
            <w:r>
              <w:rPr>
                <w:rFonts w:ascii="仿宋"/>
                <w:b/>
                <w:sz w:val="24"/>
              </w:rPr>
              <w:t>11</w:t>
            </w:r>
          </w:p>
        </w:tc>
        <w:tc>
          <w:tcPr>
            <w:tcW w:w="1148" w:type="dxa"/>
            <w:vMerge w:val="restart"/>
          </w:tcPr>
          <w:p>
            <w:pPr>
              <w:pStyle w:val="23"/>
              <w:rPr>
                <w:rFonts w:ascii="Times New Roman"/>
                <w:sz w:val="24"/>
              </w:rPr>
            </w:pPr>
          </w:p>
          <w:p>
            <w:pPr>
              <w:pStyle w:val="23"/>
              <w:rPr>
                <w:rFonts w:ascii="Times New Roman"/>
                <w:sz w:val="24"/>
              </w:rPr>
            </w:pPr>
          </w:p>
          <w:p>
            <w:pPr>
              <w:pStyle w:val="23"/>
              <w:spacing w:before="7"/>
              <w:rPr>
                <w:rFonts w:ascii="Times New Roman"/>
                <w:sz w:val="27"/>
              </w:rPr>
            </w:pPr>
          </w:p>
          <w:p>
            <w:pPr>
              <w:pStyle w:val="23"/>
              <w:ind w:left="10"/>
              <w:rPr>
                <w:rFonts w:ascii="仿宋" w:eastAsia="仿宋"/>
                <w:b/>
                <w:sz w:val="24"/>
              </w:rPr>
            </w:pPr>
            <w:bookmarkStart w:id="209" w:name="卫生环境"/>
            <w:bookmarkEnd w:id="209"/>
            <w:r>
              <w:rPr>
                <w:rFonts w:hint="eastAsia" w:ascii="仿宋" w:eastAsia="仿宋"/>
                <w:b/>
                <w:sz w:val="24"/>
              </w:rPr>
              <w:t>卫生环境</w:t>
            </w:r>
          </w:p>
        </w:tc>
        <w:tc>
          <w:tcPr>
            <w:tcW w:w="6804" w:type="dxa"/>
          </w:tcPr>
          <w:p>
            <w:pPr>
              <w:pStyle w:val="23"/>
              <w:spacing w:before="18" w:line="293" w:lineRule="exact"/>
              <w:ind w:left="12"/>
              <w:rPr>
                <w:rFonts w:ascii="仿宋" w:hAnsi="仿宋" w:eastAsia="仿宋"/>
                <w:b/>
                <w:sz w:val="24"/>
              </w:rPr>
            </w:pPr>
            <w:bookmarkStart w:id="210" w:name="①有垃圾、砖块、堆物等；"/>
            <w:bookmarkEnd w:id="210"/>
            <w:r>
              <w:rPr>
                <w:rFonts w:hint="eastAsia" w:ascii="仿宋" w:hAnsi="仿宋" w:eastAsia="仿宋"/>
                <w:b/>
                <w:sz w:val="24"/>
              </w:rPr>
              <w:t>①有垃圾、砖块、堆物等；</w:t>
            </w:r>
          </w:p>
        </w:tc>
        <w:tc>
          <w:tcPr>
            <w:tcW w:w="1930" w:type="dxa"/>
          </w:tcPr>
          <w:p>
            <w:pPr>
              <w:pStyle w:val="23"/>
              <w:spacing w:before="18" w:line="293" w:lineRule="exact"/>
              <w:ind w:left="12"/>
              <w:rPr>
                <w:rFonts w:ascii="仿宋" w:eastAsia="仿宋"/>
                <w:b/>
                <w:sz w:val="24"/>
              </w:rPr>
            </w:pPr>
            <w:r>
              <w:rPr>
                <w:rFonts w:hint="eastAsia" w:ascii="仿宋" w:eastAsia="仿宋"/>
                <w:b/>
                <w:sz w:val="24"/>
              </w:rPr>
              <w:t>一1分</w:t>
            </w:r>
          </w:p>
        </w:tc>
        <w:tc>
          <w:tcPr>
            <w:tcW w:w="1674" w:type="dxa"/>
          </w:tcPr>
          <w:p>
            <w:pPr>
              <w:pStyle w:val="23"/>
              <w:spacing w:before="18" w:line="293" w:lineRule="exact"/>
              <w:ind w:left="11"/>
              <w:rPr>
                <w:rFonts w:ascii="仿宋" w:eastAsia="仿宋"/>
                <w:b/>
                <w:sz w:val="24"/>
              </w:rPr>
            </w:pPr>
            <w:r>
              <w:rPr>
                <w:rFonts w:hint="eastAsia" w:ascii="仿宋" w:eastAsia="仿宋"/>
                <w:b/>
                <w:sz w:val="24"/>
              </w:rPr>
              <w:t>每周一次</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75" w:type="dxa"/>
            <w:vMerge w:val="continue"/>
            <w:tcBorders>
              <w:top w:val="nil"/>
            </w:tcBorders>
          </w:tcPr>
          <w:p>
            <w:pPr>
              <w:rPr>
                <w:sz w:val="2"/>
                <w:szCs w:val="2"/>
              </w:rPr>
            </w:pPr>
          </w:p>
        </w:tc>
        <w:tc>
          <w:tcPr>
            <w:tcW w:w="1148" w:type="dxa"/>
            <w:vMerge w:val="continue"/>
            <w:tcBorders>
              <w:top w:val="nil"/>
            </w:tcBorders>
          </w:tcPr>
          <w:p>
            <w:pPr>
              <w:rPr>
                <w:sz w:val="2"/>
                <w:szCs w:val="2"/>
              </w:rPr>
            </w:pPr>
          </w:p>
        </w:tc>
        <w:tc>
          <w:tcPr>
            <w:tcW w:w="6804" w:type="dxa"/>
          </w:tcPr>
          <w:p>
            <w:pPr>
              <w:pStyle w:val="23"/>
              <w:spacing w:before="17" w:line="293" w:lineRule="exact"/>
              <w:ind w:left="12"/>
              <w:rPr>
                <w:rFonts w:ascii="仿宋" w:hAnsi="仿宋" w:eastAsia="仿宋"/>
                <w:b/>
                <w:sz w:val="24"/>
              </w:rPr>
            </w:pPr>
            <w:bookmarkStart w:id="211" w:name="②有树挂："/>
            <w:bookmarkEnd w:id="211"/>
            <w:r>
              <w:rPr>
                <w:rFonts w:hint="eastAsia" w:ascii="仿宋" w:hAnsi="仿宋" w:eastAsia="仿宋"/>
                <w:b/>
                <w:sz w:val="24"/>
              </w:rPr>
              <w:t>②有树挂：</w:t>
            </w:r>
          </w:p>
        </w:tc>
        <w:tc>
          <w:tcPr>
            <w:tcW w:w="1930" w:type="dxa"/>
          </w:tcPr>
          <w:p>
            <w:pPr>
              <w:pStyle w:val="23"/>
              <w:spacing w:before="17" w:line="293" w:lineRule="exact"/>
              <w:ind w:left="12"/>
              <w:rPr>
                <w:rFonts w:ascii="仿宋" w:eastAsia="仿宋"/>
                <w:b/>
                <w:sz w:val="24"/>
              </w:rPr>
            </w:pPr>
            <w:r>
              <w:rPr>
                <w:rFonts w:hint="eastAsia" w:ascii="仿宋" w:eastAsia="仿宋"/>
                <w:b/>
                <w:sz w:val="24"/>
              </w:rPr>
              <w:t>一1分</w:t>
            </w:r>
          </w:p>
        </w:tc>
        <w:tc>
          <w:tcPr>
            <w:tcW w:w="1674" w:type="dxa"/>
          </w:tcPr>
          <w:p>
            <w:pPr>
              <w:pStyle w:val="23"/>
              <w:spacing w:before="17" w:line="293" w:lineRule="exact"/>
              <w:ind w:left="11"/>
              <w:rPr>
                <w:rFonts w:ascii="仿宋" w:eastAsia="仿宋"/>
                <w:b/>
                <w:sz w:val="24"/>
              </w:rPr>
            </w:pPr>
            <w:r>
              <w:rPr>
                <w:rFonts w:hint="eastAsia" w:ascii="仿宋" w:eastAsia="仿宋"/>
                <w:b/>
                <w:sz w:val="24"/>
              </w:rPr>
              <w:t>每周一次</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75" w:type="dxa"/>
            <w:vMerge w:val="continue"/>
            <w:tcBorders>
              <w:top w:val="nil"/>
            </w:tcBorders>
          </w:tcPr>
          <w:p>
            <w:pPr>
              <w:rPr>
                <w:sz w:val="2"/>
                <w:szCs w:val="2"/>
              </w:rPr>
            </w:pPr>
          </w:p>
        </w:tc>
        <w:tc>
          <w:tcPr>
            <w:tcW w:w="1148" w:type="dxa"/>
            <w:vMerge w:val="continue"/>
            <w:tcBorders>
              <w:top w:val="nil"/>
            </w:tcBorders>
          </w:tcPr>
          <w:p>
            <w:pPr>
              <w:rPr>
                <w:sz w:val="2"/>
                <w:szCs w:val="2"/>
              </w:rPr>
            </w:pPr>
          </w:p>
        </w:tc>
        <w:tc>
          <w:tcPr>
            <w:tcW w:w="6804" w:type="dxa"/>
          </w:tcPr>
          <w:p>
            <w:pPr>
              <w:pStyle w:val="23"/>
              <w:spacing w:before="17" w:line="293" w:lineRule="exact"/>
              <w:ind w:left="12"/>
              <w:rPr>
                <w:rFonts w:ascii="仿宋" w:hAnsi="仿宋" w:eastAsia="仿宋"/>
                <w:b/>
                <w:sz w:val="24"/>
              </w:rPr>
            </w:pPr>
            <w:bookmarkStart w:id="212" w:name="③焚烧树叶、垃圾；"/>
            <w:bookmarkEnd w:id="212"/>
            <w:r>
              <w:rPr>
                <w:rFonts w:hint="eastAsia" w:ascii="仿宋" w:hAnsi="仿宋" w:eastAsia="仿宋"/>
                <w:b/>
                <w:sz w:val="24"/>
              </w:rPr>
              <w:t>③焚烧树叶、垃圾；</w:t>
            </w:r>
          </w:p>
        </w:tc>
        <w:tc>
          <w:tcPr>
            <w:tcW w:w="1930" w:type="dxa"/>
          </w:tcPr>
          <w:p>
            <w:pPr>
              <w:pStyle w:val="23"/>
              <w:spacing w:before="17" w:line="293" w:lineRule="exact"/>
              <w:ind w:left="12"/>
              <w:rPr>
                <w:rFonts w:ascii="仿宋" w:eastAsia="仿宋"/>
                <w:b/>
                <w:sz w:val="24"/>
              </w:rPr>
            </w:pPr>
            <w:r>
              <w:rPr>
                <w:rFonts w:hint="eastAsia" w:ascii="仿宋" w:eastAsia="仿宋"/>
                <w:b/>
                <w:sz w:val="24"/>
              </w:rPr>
              <w:t>一1分</w:t>
            </w:r>
          </w:p>
        </w:tc>
        <w:tc>
          <w:tcPr>
            <w:tcW w:w="1674" w:type="dxa"/>
          </w:tcPr>
          <w:p>
            <w:pPr>
              <w:pStyle w:val="23"/>
              <w:spacing w:before="17" w:line="293" w:lineRule="exact"/>
              <w:ind w:left="11"/>
              <w:rPr>
                <w:rFonts w:ascii="仿宋" w:eastAsia="仿宋"/>
                <w:b/>
                <w:sz w:val="24"/>
              </w:rPr>
            </w:pPr>
            <w:r>
              <w:rPr>
                <w:rFonts w:hint="eastAsia" w:ascii="仿宋" w:eastAsia="仿宋"/>
                <w:b/>
                <w:sz w:val="24"/>
              </w:rPr>
              <w:t>每周一次</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75" w:type="dxa"/>
            <w:vMerge w:val="continue"/>
            <w:tcBorders>
              <w:top w:val="nil"/>
            </w:tcBorders>
          </w:tcPr>
          <w:p>
            <w:pPr>
              <w:rPr>
                <w:sz w:val="2"/>
                <w:szCs w:val="2"/>
              </w:rPr>
            </w:pPr>
          </w:p>
        </w:tc>
        <w:tc>
          <w:tcPr>
            <w:tcW w:w="1148" w:type="dxa"/>
            <w:vMerge w:val="continue"/>
            <w:tcBorders>
              <w:top w:val="nil"/>
            </w:tcBorders>
          </w:tcPr>
          <w:p>
            <w:pPr>
              <w:rPr>
                <w:sz w:val="2"/>
                <w:szCs w:val="2"/>
              </w:rPr>
            </w:pPr>
          </w:p>
        </w:tc>
        <w:tc>
          <w:tcPr>
            <w:tcW w:w="6804" w:type="dxa"/>
          </w:tcPr>
          <w:p>
            <w:pPr>
              <w:pStyle w:val="23"/>
              <w:spacing w:before="17" w:line="294" w:lineRule="exact"/>
              <w:ind w:left="12"/>
              <w:rPr>
                <w:rFonts w:ascii="仿宋" w:hAnsi="仿宋" w:eastAsia="仿宋"/>
                <w:b/>
                <w:sz w:val="24"/>
              </w:rPr>
            </w:pPr>
            <w:bookmarkStart w:id="213" w:name="④路有积水、沉积淤泥；"/>
            <w:bookmarkEnd w:id="213"/>
            <w:r>
              <w:rPr>
                <w:rFonts w:hint="eastAsia" w:ascii="仿宋" w:hAnsi="仿宋" w:eastAsia="仿宋"/>
                <w:b/>
                <w:sz w:val="24"/>
              </w:rPr>
              <w:t>④路有积水、沉积淤泥；</w:t>
            </w:r>
          </w:p>
        </w:tc>
        <w:tc>
          <w:tcPr>
            <w:tcW w:w="1930" w:type="dxa"/>
          </w:tcPr>
          <w:p>
            <w:pPr>
              <w:pStyle w:val="23"/>
              <w:spacing w:before="17" w:line="294" w:lineRule="exact"/>
              <w:ind w:left="12"/>
              <w:rPr>
                <w:rFonts w:ascii="仿宋" w:eastAsia="仿宋"/>
                <w:b/>
                <w:sz w:val="24"/>
              </w:rPr>
            </w:pPr>
            <w:r>
              <w:rPr>
                <w:rFonts w:hint="eastAsia" w:ascii="仿宋" w:eastAsia="仿宋"/>
                <w:b/>
                <w:sz w:val="24"/>
              </w:rPr>
              <w:t>一1分</w:t>
            </w:r>
          </w:p>
        </w:tc>
        <w:tc>
          <w:tcPr>
            <w:tcW w:w="1674" w:type="dxa"/>
          </w:tcPr>
          <w:p>
            <w:pPr>
              <w:pStyle w:val="23"/>
              <w:spacing w:before="17" w:line="294" w:lineRule="exact"/>
              <w:ind w:left="11"/>
              <w:rPr>
                <w:rFonts w:ascii="仿宋" w:eastAsia="仿宋"/>
                <w:b/>
                <w:sz w:val="24"/>
              </w:rPr>
            </w:pPr>
            <w:r>
              <w:rPr>
                <w:rFonts w:hint="eastAsia" w:ascii="仿宋" w:eastAsia="仿宋"/>
                <w:b/>
                <w:sz w:val="24"/>
              </w:rPr>
              <w:t>每周一次</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75" w:type="dxa"/>
            <w:vMerge w:val="continue"/>
            <w:tcBorders>
              <w:top w:val="nil"/>
            </w:tcBorders>
          </w:tcPr>
          <w:p>
            <w:pPr>
              <w:rPr>
                <w:sz w:val="2"/>
                <w:szCs w:val="2"/>
              </w:rPr>
            </w:pPr>
          </w:p>
        </w:tc>
        <w:tc>
          <w:tcPr>
            <w:tcW w:w="1148" w:type="dxa"/>
            <w:vMerge w:val="continue"/>
            <w:tcBorders>
              <w:top w:val="nil"/>
            </w:tcBorders>
          </w:tcPr>
          <w:p>
            <w:pPr>
              <w:rPr>
                <w:sz w:val="2"/>
                <w:szCs w:val="2"/>
              </w:rPr>
            </w:pPr>
          </w:p>
        </w:tc>
        <w:tc>
          <w:tcPr>
            <w:tcW w:w="6804" w:type="dxa"/>
          </w:tcPr>
          <w:p>
            <w:pPr>
              <w:pStyle w:val="23"/>
              <w:spacing w:before="17" w:line="294" w:lineRule="exact"/>
              <w:ind w:left="12"/>
              <w:rPr>
                <w:rFonts w:ascii="仿宋" w:hAnsi="仿宋" w:eastAsia="仿宋"/>
                <w:b/>
                <w:sz w:val="24"/>
              </w:rPr>
            </w:pPr>
            <w:bookmarkStart w:id="214" w:name="⑤常绿树、绿篱每月清洗两次，少清洗一次；"/>
            <w:bookmarkEnd w:id="214"/>
            <w:r>
              <w:rPr>
                <w:rFonts w:hint="eastAsia" w:ascii="仿宋" w:hAnsi="仿宋" w:eastAsia="仿宋"/>
                <w:b/>
                <w:sz w:val="24"/>
              </w:rPr>
              <w:t>⑤常绿树、绿篱每月清洗两次，少清洗一次；</w:t>
            </w:r>
          </w:p>
        </w:tc>
        <w:tc>
          <w:tcPr>
            <w:tcW w:w="1930" w:type="dxa"/>
          </w:tcPr>
          <w:p>
            <w:pPr>
              <w:pStyle w:val="23"/>
              <w:spacing w:before="17" w:line="294" w:lineRule="exact"/>
              <w:ind w:left="12"/>
              <w:rPr>
                <w:rFonts w:ascii="仿宋" w:eastAsia="仿宋"/>
                <w:b/>
                <w:sz w:val="24"/>
              </w:rPr>
            </w:pPr>
            <w:r>
              <w:rPr>
                <w:rFonts w:hint="eastAsia" w:ascii="仿宋" w:eastAsia="仿宋"/>
                <w:b/>
                <w:sz w:val="24"/>
              </w:rPr>
              <w:t>一1分</w:t>
            </w:r>
          </w:p>
        </w:tc>
        <w:tc>
          <w:tcPr>
            <w:tcW w:w="1674" w:type="dxa"/>
            <w:vMerge w:val="restart"/>
          </w:tcPr>
          <w:p>
            <w:pPr>
              <w:pStyle w:val="23"/>
              <w:spacing w:before="187"/>
              <w:ind w:left="11"/>
              <w:rPr>
                <w:rFonts w:ascii="仿宋" w:eastAsia="仿宋"/>
                <w:b/>
                <w:sz w:val="24"/>
              </w:rPr>
            </w:pPr>
            <w:bookmarkStart w:id="215" w:name="4-10月"/>
            <w:bookmarkEnd w:id="215"/>
            <w:bookmarkStart w:id="216" w:name="+1分"/>
            <w:bookmarkEnd w:id="216"/>
            <w:bookmarkStart w:id="217" w:name="多清洗一次。"/>
            <w:bookmarkEnd w:id="217"/>
            <w:r>
              <w:rPr>
                <w:rFonts w:hint="eastAsia" w:ascii="仿宋" w:eastAsia="仿宋"/>
                <w:b/>
                <w:sz w:val="24"/>
              </w:rPr>
              <w:t>4-10月</w:t>
            </w:r>
          </w:p>
        </w:tc>
        <w:tc>
          <w:tcPr>
            <w:tcW w:w="2160" w:type="dxa"/>
            <w:vMerge w:val="restart"/>
          </w:tcPr>
          <w:p>
            <w:pPr>
              <w:pStyle w:val="23"/>
              <w:spacing w:before="187"/>
              <w:ind w:left="10"/>
              <w:rPr>
                <w:rFonts w:ascii="仿宋" w:eastAsia="仿宋"/>
                <w:b/>
                <w:sz w:val="24"/>
              </w:rPr>
            </w:pPr>
            <w:bookmarkStart w:id="218" w:name="每次洗树有记录"/>
            <w:bookmarkEnd w:id="218"/>
            <w:r>
              <w:rPr>
                <w:rFonts w:hint="eastAsia" w:ascii="仿宋" w:eastAsia="仿宋"/>
                <w:b/>
                <w:sz w:val="24"/>
              </w:rPr>
              <w:t>每次洗树有记录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75" w:type="dxa"/>
            <w:vMerge w:val="continue"/>
            <w:tcBorders>
              <w:top w:val="nil"/>
            </w:tcBorders>
          </w:tcPr>
          <w:p>
            <w:pPr>
              <w:rPr>
                <w:sz w:val="2"/>
                <w:szCs w:val="2"/>
              </w:rPr>
            </w:pPr>
          </w:p>
        </w:tc>
        <w:tc>
          <w:tcPr>
            <w:tcW w:w="1148" w:type="dxa"/>
            <w:vMerge w:val="continue"/>
            <w:tcBorders>
              <w:top w:val="nil"/>
            </w:tcBorders>
          </w:tcPr>
          <w:p>
            <w:pPr>
              <w:rPr>
                <w:sz w:val="2"/>
                <w:szCs w:val="2"/>
              </w:rPr>
            </w:pPr>
          </w:p>
        </w:tc>
        <w:tc>
          <w:tcPr>
            <w:tcW w:w="6804" w:type="dxa"/>
          </w:tcPr>
          <w:p>
            <w:pPr>
              <w:pStyle w:val="23"/>
              <w:spacing w:before="17" w:line="294" w:lineRule="exact"/>
              <w:ind w:left="12"/>
              <w:rPr>
                <w:rFonts w:ascii="仿宋" w:eastAsia="仿宋"/>
                <w:b/>
                <w:sz w:val="24"/>
              </w:rPr>
            </w:pPr>
            <w:r>
              <w:rPr>
                <w:rFonts w:hint="eastAsia" w:ascii="仿宋" w:eastAsia="仿宋"/>
                <w:b/>
                <w:sz w:val="24"/>
              </w:rPr>
              <w:t>⑥相关公共设施的清洗</w:t>
            </w:r>
          </w:p>
        </w:tc>
        <w:tc>
          <w:tcPr>
            <w:tcW w:w="1930" w:type="dxa"/>
          </w:tcPr>
          <w:p>
            <w:pPr>
              <w:pStyle w:val="23"/>
              <w:spacing w:before="17" w:line="294" w:lineRule="exact"/>
              <w:ind w:left="12"/>
              <w:rPr>
                <w:rFonts w:ascii="仿宋" w:eastAsia="仿宋"/>
                <w:b/>
                <w:sz w:val="24"/>
              </w:rPr>
            </w:pPr>
            <w:r>
              <w:rPr>
                <w:rFonts w:hint="eastAsia" w:ascii="仿宋" w:eastAsia="仿宋"/>
                <w:b/>
                <w:sz w:val="24"/>
              </w:rPr>
              <w:t>+1分</w:t>
            </w:r>
          </w:p>
        </w:tc>
        <w:tc>
          <w:tcPr>
            <w:tcW w:w="1674" w:type="dxa"/>
            <w:vMerge w:val="continue"/>
            <w:tcBorders>
              <w:top w:val="nil"/>
            </w:tcBorders>
          </w:tcPr>
          <w:p>
            <w:pPr>
              <w:rPr>
                <w:sz w:val="2"/>
                <w:szCs w:val="2"/>
              </w:rPr>
            </w:pPr>
          </w:p>
        </w:tc>
        <w:tc>
          <w:tcPr>
            <w:tcW w:w="216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75" w:type="dxa"/>
            <w:vMerge w:val="restart"/>
          </w:tcPr>
          <w:p>
            <w:pPr>
              <w:pStyle w:val="23"/>
              <w:rPr>
                <w:rFonts w:ascii="Times New Roman"/>
                <w:sz w:val="24"/>
              </w:rPr>
            </w:pPr>
          </w:p>
          <w:p>
            <w:pPr>
              <w:pStyle w:val="23"/>
              <w:rPr>
                <w:rFonts w:ascii="Times New Roman"/>
                <w:sz w:val="24"/>
              </w:rPr>
            </w:pPr>
          </w:p>
          <w:p>
            <w:pPr>
              <w:pStyle w:val="23"/>
              <w:spacing w:before="146"/>
              <w:ind w:left="11"/>
              <w:rPr>
                <w:rFonts w:ascii="仿宋"/>
                <w:b/>
                <w:sz w:val="24"/>
              </w:rPr>
            </w:pPr>
            <w:bookmarkStart w:id="219" w:name="12"/>
            <w:bookmarkEnd w:id="219"/>
            <w:r>
              <w:rPr>
                <w:rFonts w:ascii="仿宋"/>
                <w:b/>
                <w:sz w:val="24"/>
              </w:rPr>
              <w:t>12</w:t>
            </w:r>
          </w:p>
        </w:tc>
        <w:tc>
          <w:tcPr>
            <w:tcW w:w="1148" w:type="dxa"/>
            <w:vMerge w:val="restart"/>
          </w:tcPr>
          <w:p>
            <w:pPr>
              <w:pStyle w:val="23"/>
              <w:rPr>
                <w:rFonts w:ascii="Times New Roman"/>
                <w:sz w:val="24"/>
              </w:rPr>
            </w:pPr>
          </w:p>
          <w:p>
            <w:pPr>
              <w:pStyle w:val="23"/>
              <w:rPr>
                <w:rFonts w:ascii="Times New Roman"/>
                <w:sz w:val="24"/>
              </w:rPr>
            </w:pPr>
          </w:p>
          <w:p>
            <w:pPr>
              <w:pStyle w:val="23"/>
              <w:spacing w:before="146"/>
              <w:ind w:left="10"/>
              <w:rPr>
                <w:rFonts w:ascii="仿宋" w:eastAsia="仿宋"/>
                <w:b/>
                <w:sz w:val="24"/>
              </w:rPr>
            </w:pPr>
            <w:bookmarkStart w:id="220" w:name="组织管理"/>
            <w:bookmarkEnd w:id="220"/>
            <w:r>
              <w:rPr>
                <w:rFonts w:hint="eastAsia" w:ascii="仿宋" w:eastAsia="仿宋"/>
                <w:b/>
                <w:sz w:val="24"/>
              </w:rPr>
              <w:t>组织管理</w:t>
            </w:r>
          </w:p>
        </w:tc>
        <w:tc>
          <w:tcPr>
            <w:tcW w:w="6804" w:type="dxa"/>
          </w:tcPr>
          <w:p>
            <w:pPr>
              <w:pStyle w:val="23"/>
              <w:spacing w:before="17" w:line="294" w:lineRule="exact"/>
              <w:ind w:left="12"/>
              <w:rPr>
                <w:rFonts w:ascii="仿宋" w:hAnsi="仿宋" w:eastAsia="仿宋"/>
                <w:b/>
                <w:sz w:val="24"/>
              </w:rPr>
            </w:pPr>
            <w:bookmarkStart w:id="221" w:name="①领导不重视，管理人员不落实，有毁绿、占绿现象，档案不全"/>
            <w:bookmarkEnd w:id="221"/>
            <w:r>
              <w:rPr>
                <w:rFonts w:hint="eastAsia" w:ascii="仿宋" w:hAnsi="仿宋" w:eastAsia="仿宋"/>
                <w:b/>
                <w:sz w:val="24"/>
              </w:rPr>
              <w:t>①领导不重视，管理人员不落实，有毁绿、占绿现象，档案不全</w:t>
            </w:r>
          </w:p>
        </w:tc>
        <w:tc>
          <w:tcPr>
            <w:tcW w:w="1930" w:type="dxa"/>
          </w:tcPr>
          <w:p>
            <w:pPr>
              <w:pStyle w:val="23"/>
              <w:spacing w:before="17" w:line="294" w:lineRule="exact"/>
              <w:ind w:left="12"/>
              <w:rPr>
                <w:rFonts w:ascii="仿宋" w:eastAsia="仿宋"/>
                <w:b/>
                <w:sz w:val="24"/>
              </w:rPr>
            </w:pPr>
            <w:r>
              <w:rPr>
                <w:rFonts w:hint="eastAsia" w:ascii="仿宋" w:eastAsia="仿宋"/>
                <w:b/>
                <w:sz w:val="24"/>
              </w:rPr>
              <w:t>一1分</w:t>
            </w:r>
          </w:p>
        </w:tc>
        <w:tc>
          <w:tcPr>
            <w:tcW w:w="1674" w:type="dxa"/>
          </w:tcPr>
          <w:p>
            <w:pPr>
              <w:pStyle w:val="23"/>
              <w:spacing w:before="17" w:line="294" w:lineRule="exact"/>
              <w:ind w:left="11"/>
              <w:rPr>
                <w:rFonts w:ascii="仿宋" w:eastAsia="仿宋"/>
                <w:b/>
                <w:sz w:val="24"/>
              </w:rPr>
            </w:pPr>
            <w:r>
              <w:rPr>
                <w:rFonts w:hint="eastAsia" w:ascii="仿宋" w:eastAsia="仿宋"/>
                <w:b/>
                <w:sz w:val="24"/>
              </w:rPr>
              <w:t>每周一次</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75" w:type="dxa"/>
            <w:vMerge w:val="continue"/>
            <w:tcBorders>
              <w:top w:val="nil"/>
            </w:tcBorders>
          </w:tcPr>
          <w:p>
            <w:pPr>
              <w:rPr>
                <w:sz w:val="2"/>
                <w:szCs w:val="2"/>
              </w:rPr>
            </w:pPr>
          </w:p>
        </w:tc>
        <w:tc>
          <w:tcPr>
            <w:tcW w:w="1148" w:type="dxa"/>
            <w:vMerge w:val="continue"/>
            <w:tcBorders>
              <w:top w:val="nil"/>
            </w:tcBorders>
          </w:tcPr>
          <w:p>
            <w:pPr>
              <w:rPr>
                <w:sz w:val="2"/>
                <w:szCs w:val="2"/>
              </w:rPr>
            </w:pPr>
          </w:p>
        </w:tc>
        <w:tc>
          <w:tcPr>
            <w:tcW w:w="6804" w:type="dxa"/>
          </w:tcPr>
          <w:p>
            <w:pPr>
              <w:pStyle w:val="23"/>
              <w:spacing w:before="16" w:line="294" w:lineRule="exact"/>
              <w:ind w:left="12"/>
              <w:rPr>
                <w:rFonts w:ascii="仿宋" w:hAnsi="仿宋" w:eastAsia="仿宋"/>
                <w:b/>
                <w:sz w:val="24"/>
              </w:rPr>
            </w:pPr>
            <w:bookmarkStart w:id="222" w:name="②在管护过程中，存在安全隐患"/>
            <w:bookmarkEnd w:id="222"/>
            <w:r>
              <w:rPr>
                <w:rFonts w:hint="eastAsia" w:ascii="仿宋" w:hAnsi="仿宋" w:eastAsia="仿宋"/>
                <w:b/>
                <w:sz w:val="24"/>
              </w:rPr>
              <w:t>②在管护过程中，存在安全隐患</w:t>
            </w:r>
          </w:p>
        </w:tc>
        <w:tc>
          <w:tcPr>
            <w:tcW w:w="1930" w:type="dxa"/>
          </w:tcPr>
          <w:p>
            <w:pPr>
              <w:pStyle w:val="23"/>
              <w:spacing w:before="16" w:line="294" w:lineRule="exact"/>
              <w:ind w:left="12"/>
              <w:rPr>
                <w:rFonts w:ascii="仿宋" w:eastAsia="仿宋"/>
                <w:b/>
                <w:sz w:val="24"/>
              </w:rPr>
            </w:pPr>
            <w:r>
              <w:rPr>
                <w:rFonts w:hint="eastAsia" w:ascii="仿宋" w:eastAsia="仿宋"/>
                <w:b/>
                <w:sz w:val="24"/>
              </w:rPr>
              <w:t>一1分</w:t>
            </w:r>
          </w:p>
        </w:tc>
        <w:tc>
          <w:tcPr>
            <w:tcW w:w="1674" w:type="dxa"/>
          </w:tcPr>
          <w:p>
            <w:pPr>
              <w:pStyle w:val="23"/>
              <w:spacing w:before="16" w:line="294" w:lineRule="exact"/>
              <w:ind w:left="11"/>
              <w:rPr>
                <w:rFonts w:ascii="仿宋" w:eastAsia="仿宋"/>
                <w:b/>
                <w:sz w:val="24"/>
              </w:rPr>
            </w:pPr>
            <w:r>
              <w:rPr>
                <w:rFonts w:hint="eastAsia" w:ascii="仿宋" w:eastAsia="仿宋"/>
                <w:b/>
                <w:sz w:val="24"/>
              </w:rPr>
              <w:t>每周一次</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75" w:type="dxa"/>
            <w:vMerge w:val="continue"/>
            <w:tcBorders>
              <w:top w:val="nil"/>
            </w:tcBorders>
          </w:tcPr>
          <w:p>
            <w:pPr>
              <w:rPr>
                <w:sz w:val="2"/>
                <w:szCs w:val="2"/>
              </w:rPr>
            </w:pPr>
          </w:p>
        </w:tc>
        <w:tc>
          <w:tcPr>
            <w:tcW w:w="1148" w:type="dxa"/>
            <w:vMerge w:val="continue"/>
            <w:tcBorders>
              <w:top w:val="nil"/>
            </w:tcBorders>
          </w:tcPr>
          <w:p>
            <w:pPr>
              <w:rPr>
                <w:sz w:val="2"/>
                <w:szCs w:val="2"/>
              </w:rPr>
            </w:pPr>
          </w:p>
        </w:tc>
        <w:tc>
          <w:tcPr>
            <w:tcW w:w="6804" w:type="dxa"/>
          </w:tcPr>
          <w:p>
            <w:pPr>
              <w:pStyle w:val="23"/>
              <w:spacing w:before="16" w:line="295" w:lineRule="exact"/>
              <w:ind w:left="12"/>
              <w:rPr>
                <w:rFonts w:ascii="仿宋" w:hAnsi="仿宋" w:eastAsia="仿宋"/>
                <w:b/>
                <w:sz w:val="24"/>
              </w:rPr>
            </w:pPr>
            <w:bookmarkStart w:id="223" w:name="③在管护过程中，发生安全事故"/>
            <w:bookmarkEnd w:id="223"/>
            <w:r>
              <w:rPr>
                <w:rFonts w:hint="eastAsia" w:ascii="仿宋" w:hAnsi="仿宋" w:eastAsia="仿宋"/>
                <w:b/>
                <w:sz w:val="24"/>
              </w:rPr>
              <w:t>③在管护过程中，发生安全事故</w:t>
            </w:r>
          </w:p>
        </w:tc>
        <w:tc>
          <w:tcPr>
            <w:tcW w:w="1930" w:type="dxa"/>
          </w:tcPr>
          <w:p>
            <w:pPr>
              <w:pStyle w:val="23"/>
              <w:spacing w:before="16" w:line="295" w:lineRule="exact"/>
              <w:ind w:left="12"/>
              <w:rPr>
                <w:rFonts w:ascii="仿宋" w:eastAsia="仿宋"/>
                <w:b/>
                <w:sz w:val="24"/>
              </w:rPr>
            </w:pPr>
            <w:bookmarkStart w:id="224" w:name="一5分"/>
            <w:bookmarkEnd w:id="224"/>
            <w:r>
              <w:rPr>
                <w:rFonts w:hint="eastAsia" w:ascii="仿宋" w:eastAsia="仿宋"/>
                <w:b/>
                <w:sz w:val="24"/>
              </w:rPr>
              <w:t>一5分</w:t>
            </w:r>
          </w:p>
        </w:tc>
        <w:tc>
          <w:tcPr>
            <w:tcW w:w="1674" w:type="dxa"/>
          </w:tcPr>
          <w:p>
            <w:pPr>
              <w:pStyle w:val="23"/>
              <w:spacing w:before="16" w:line="295" w:lineRule="exact"/>
              <w:ind w:left="11"/>
              <w:rPr>
                <w:rFonts w:ascii="仿宋" w:eastAsia="仿宋"/>
                <w:b/>
                <w:sz w:val="24"/>
              </w:rPr>
            </w:pPr>
            <w:r>
              <w:rPr>
                <w:rFonts w:hint="eastAsia" w:ascii="仿宋" w:eastAsia="仿宋"/>
                <w:b/>
                <w:sz w:val="24"/>
              </w:rPr>
              <w:t>每周一次</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75" w:type="dxa"/>
            <w:vMerge w:val="continue"/>
            <w:tcBorders>
              <w:top w:val="nil"/>
            </w:tcBorders>
          </w:tcPr>
          <w:p>
            <w:pPr>
              <w:rPr>
                <w:sz w:val="2"/>
                <w:szCs w:val="2"/>
              </w:rPr>
            </w:pPr>
          </w:p>
        </w:tc>
        <w:tc>
          <w:tcPr>
            <w:tcW w:w="1148" w:type="dxa"/>
            <w:vMerge w:val="continue"/>
            <w:tcBorders>
              <w:top w:val="nil"/>
            </w:tcBorders>
          </w:tcPr>
          <w:p>
            <w:pPr>
              <w:rPr>
                <w:sz w:val="2"/>
                <w:szCs w:val="2"/>
              </w:rPr>
            </w:pPr>
          </w:p>
        </w:tc>
        <w:tc>
          <w:tcPr>
            <w:tcW w:w="6804" w:type="dxa"/>
          </w:tcPr>
          <w:p>
            <w:pPr>
              <w:pStyle w:val="23"/>
              <w:spacing w:before="16" w:line="295" w:lineRule="exact"/>
              <w:ind w:left="12"/>
              <w:rPr>
                <w:rFonts w:ascii="仿宋" w:hAnsi="仿宋" w:eastAsia="仿宋"/>
                <w:b/>
                <w:sz w:val="24"/>
              </w:rPr>
            </w:pPr>
            <w:bookmarkStart w:id="225" w:name="④没按上月要求整改的"/>
            <w:bookmarkEnd w:id="225"/>
            <w:r>
              <w:rPr>
                <w:rFonts w:hint="eastAsia" w:ascii="仿宋" w:hAnsi="仿宋" w:eastAsia="仿宋"/>
                <w:b/>
                <w:sz w:val="24"/>
              </w:rPr>
              <w:t>④没按上月要求整改的</w:t>
            </w:r>
          </w:p>
        </w:tc>
        <w:tc>
          <w:tcPr>
            <w:tcW w:w="1930" w:type="dxa"/>
          </w:tcPr>
          <w:p>
            <w:pPr>
              <w:pStyle w:val="23"/>
              <w:spacing w:before="16" w:line="295" w:lineRule="exact"/>
              <w:ind w:left="12"/>
              <w:rPr>
                <w:rFonts w:ascii="仿宋" w:eastAsia="仿宋"/>
                <w:b/>
                <w:sz w:val="24"/>
              </w:rPr>
            </w:pPr>
            <w:bookmarkStart w:id="226" w:name="一3分"/>
            <w:bookmarkEnd w:id="226"/>
            <w:r>
              <w:rPr>
                <w:rFonts w:hint="eastAsia" w:ascii="仿宋" w:eastAsia="仿宋"/>
                <w:b/>
                <w:sz w:val="24"/>
              </w:rPr>
              <w:t>一3分</w:t>
            </w:r>
          </w:p>
        </w:tc>
        <w:tc>
          <w:tcPr>
            <w:tcW w:w="1674" w:type="dxa"/>
          </w:tcPr>
          <w:p>
            <w:pPr>
              <w:pStyle w:val="23"/>
              <w:spacing w:before="16" w:line="295" w:lineRule="exact"/>
              <w:ind w:left="11"/>
              <w:rPr>
                <w:rFonts w:ascii="仿宋" w:eastAsia="仿宋"/>
                <w:b/>
                <w:sz w:val="24"/>
              </w:rPr>
            </w:pPr>
            <w:r>
              <w:rPr>
                <w:rFonts w:hint="eastAsia" w:ascii="仿宋" w:eastAsia="仿宋"/>
                <w:b/>
                <w:sz w:val="24"/>
              </w:rPr>
              <w:t>每周一次</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75" w:type="dxa"/>
            <w:vMerge w:val="continue"/>
            <w:tcBorders>
              <w:top w:val="nil"/>
            </w:tcBorders>
          </w:tcPr>
          <w:p>
            <w:pPr>
              <w:rPr>
                <w:sz w:val="2"/>
                <w:szCs w:val="2"/>
              </w:rPr>
            </w:pPr>
          </w:p>
        </w:tc>
        <w:tc>
          <w:tcPr>
            <w:tcW w:w="1148" w:type="dxa"/>
            <w:vMerge w:val="continue"/>
            <w:tcBorders>
              <w:top w:val="nil"/>
            </w:tcBorders>
          </w:tcPr>
          <w:p>
            <w:pPr>
              <w:rPr>
                <w:sz w:val="2"/>
                <w:szCs w:val="2"/>
              </w:rPr>
            </w:pPr>
          </w:p>
        </w:tc>
        <w:tc>
          <w:tcPr>
            <w:tcW w:w="6804" w:type="dxa"/>
          </w:tcPr>
          <w:p>
            <w:pPr>
              <w:pStyle w:val="23"/>
              <w:spacing w:before="16" w:line="295" w:lineRule="exact"/>
              <w:ind w:left="12"/>
              <w:rPr>
                <w:rFonts w:ascii="仿宋" w:hAnsi="仿宋" w:eastAsia="仿宋"/>
                <w:b/>
                <w:sz w:val="24"/>
              </w:rPr>
            </w:pPr>
            <w:bookmarkStart w:id="227" w:name="⑤没按上月要求整改到位"/>
            <w:bookmarkEnd w:id="227"/>
            <w:r>
              <w:rPr>
                <w:rFonts w:hint="eastAsia" w:ascii="仿宋" w:hAnsi="仿宋" w:eastAsia="仿宋"/>
                <w:b/>
                <w:sz w:val="24"/>
              </w:rPr>
              <w:t>⑤没按上月要求整改到位</w:t>
            </w:r>
          </w:p>
        </w:tc>
        <w:tc>
          <w:tcPr>
            <w:tcW w:w="1930" w:type="dxa"/>
          </w:tcPr>
          <w:p>
            <w:pPr>
              <w:pStyle w:val="23"/>
              <w:spacing w:before="16" w:line="295" w:lineRule="exact"/>
              <w:ind w:left="12"/>
              <w:rPr>
                <w:rFonts w:ascii="仿宋" w:eastAsia="仿宋"/>
                <w:b/>
                <w:sz w:val="24"/>
              </w:rPr>
            </w:pPr>
            <w:r>
              <w:rPr>
                <w:rFonts w:hint="eastAsia" w:ascii="仿宋" w:eastAsia="仿宋"/>
                <w:b/>
                <w:sz w:val="24"/>
              </w:rPr>
              <w:t>一1分</w:t>
            </w:r>
          </w:p>
        </w:tc>
        <w:tc>
          <w:tcPr>
            <w:tcW w:w="1674" w:type="dxa"/>
          </w:tcPr>
          <w:p>
            <w:pPr>
              <w:pStyle w:val="23"/>
              <w:spacing w:before="16" w:line="295" w:lineRule="exact"/>
              <w:ind w:left="11"/>
              <w:rPr>
                <w:rFonts w:ascii="仿宋" w:eastAsia="仿宋"/>
                <w:b/>
                <w:sz w:val="24"/>
              </w:rPr>
            </w:pPr>
            <w:r>
              <w:rPr>
                <w:rFonts w:hint="eastAsia" w:ascii="仿宋" w:eastAsia="仿宋"/>
                <w:b/>
                <w:sz w:val="24"/>
              </w:rPr>
              <w:t>每周一次</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75" w:type="dxa"/>
            <w:vMerge w:val="restart"/>
          </w:tcPr>
          <w:p>
            <w:pPr>
              <w:pStyle w:val="23"/>
              <w:rPr>
                <w:rFonts w:ascii="Times New Roman"/>
                <w:sz w:val="24"/>
              </w:rPr>
            </w:pPr>
          </w:p>
          <w:p>
            <w:pPr>
              <w:pStyle w:val="23"/>
              <w:rPr>
                <w:rFonts w:ascii="Times New Roman"/>
                <w:sz w:val="24"/>
              </w:rPr>
            </w:pPr>
          </w:p>
          <w:p>
            <w:pPr>
              <w:pStyle w:val="23"/>
              <w:spacing w:before="148"/>
              <w:ind w:left="11"/>
              <w:rPr>
                <w:rFonts w:ascii="仿宋"/>
                <w:b/>
                <w:sz w:val="24"/>
              </w:rPr>
            </w:pPr>
            <w:bookmarkStart w:id="228" w:name="13"/>
            <w:bookmarkEnd w:id="228"/>
            <w:r>
              <w:rPr>
                <w:rFonts w:ascii="仿宋"/>
                <w:b/>
                <w:sz w:val="24"/>
              </w:rPr>
              <w:t>13</w:t>
            </w:r>
          </w:p>
        </w:tc>
        <w:tc>
          <w:tcPr>
            <w:tcW w:w="1148" w:type="dxa"/>
            <w:vMerge w:val="restart"/>
          </w:tcPr>
          <w:p>
            <w:pPr>
              <w:pStyle w:val="23"/>
              <w:rPr>
                <w:rFonts w:ascii="Times New Roman"/>
                <w:sz w:val="24"/>
              </w:rPr>
            </w:pPr>
          </w:p>
          <w:p>
            <w:pPr>
              <w:pStyle w:val="23"/>
              <w:rPr>
                <w:rFonts w:ascii="Times New Roman"/>
                <w:sz w:val="24"/>
              </w:rPr>
            </w:pPr>
          </w:p>
          <w:p>
            <w:pPr>
              <w:pStyle w:val="23"/>
              <w:spacing w:before="148"/>
              <w:ind w:left="10"/>
              <w:rPr>
                <w:rFonts w:ascii="仿宋" w:eastAsia="仿宋"/>
                <w:b/>
                <w:sz w:val="24"/>
              </w:rPr>
            </w:pPr>
            <w:bookmarkStart w:id="229" w:name="安全生产"/>
            <w:bookmarkEnd w:id="229"/>
            <w:r>
              <w:rPr>
                <w:rFonts w:hint="eastAsia" w:ascii="仿宋" w:eastAsia="仿宋"/>
                <w:b/>
                <w:sz w:val="24"/>
              </w:rPr>
              <w:t>安全生产</w:t>
            </w:r>
          </w:p>
        </w:tc>
        <w:tc>
          <w:tcPr>
            <w:tcW w:w="6804" w:type="dxa"/>
          </w:tcPr>
          <w:p>
            <w:pPr>
              <w:pStyle w:val="23"/>
              <w:spacing w:before="18" w:line="293" w:lineRule="exact"/>
              <w:ind w:left="12"/>
              <w:rPr>
                <w:rFonts w:ascii="仿宋" w:hAnsi="仿宋" w:eastAsia="仿宋"/>
                <w:b/>
                <w:sz w:val="24"/>
              </w:rPr>
            </w:pPr>
            <w:bookmarkStart w:id="230" w:name="①必须穿反光衣"/>
            <w:bookmarkEnd w:id="230"/>
            <w:r>
              <w:rPr>
                <w:rFonts w:hint="eastAsia" w:ascii="仿宋" w:hAnsi="仿宋" w:eastAsia="仿宋"/>
                <w:b/>
                <w:sz w:val="24"/>
              </w:rPr>
              <w:t>①必须穿反光衣</w:t>
            </w:r>
          </w:p>
        </w:tc>
        <w:tc>
          <w:tcPr>
            <w:tcW w:w="1930" w:type="dxa"/>
          </w:tcPr>
          <w:p>
            <w:pPr>
              <w:pStyle w:val="23"/>
              <w:spacing w:before="18" w:line="293" w:lineRule="exact"/>
              <w:ind w:left="12"/>
              <w:rPr>
                <w:rFonts w:ascii="仿宋"/>
                <w:b/>
                <w:sz w:val="24"/>
              </w:rPr>
            </w:pPr>
            <w:r>
              <w:rPr>
                <w:rFonts w:ascii="仿宋"/>
                <w:b/>
                <w:sz w:val="24"/>
              </w:rPr>
              <w:t>-2</w:t>
            </w:r>
          </w:p>
        </w:tc>
        <w:tc>
          <w:tcPr>
            <w:tcW w:w="1674" w:type="dxa"/>
          </w:tcPr>
          <w:p>
            <w:pPr>
              <w:pStyle w:val="23"/>
              <w:spacing w:before="18" w:line="293" w:lineRule="exact"/>
              <w:ind w:left="11"/>
              <w:rPr>
                <w:rFonts w:ascii="仿宋" w:eastAsia="仿宋"/>
                <w:b/>
                <w:sz w:val="24"/>
              </w:rPr>
            </w:pPr>
            <w:r>
              <w:rPr>
                <w:rFonts w:hint="eastAsia" w:ascii="仿宋" w:eastAsia="仿宋"/>
                <w:b/>
                <w:sz w:val="24"/>
              </w:rPr>
              <w:t>每周一次</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0" w:hRule="atLeast"/>
        </w:trPr>
        <w:tc>
          <w:tcPr>
            <w:tcW w:w="675" w:type="dxa"/>
            <w:vMerge w:val="continue"/>
            <w:tcBorders>
              <w:top w:val="nil"/>
            </w:tcBorders>
          </w:tcPr>
          <w:p>
            <w:pPr>
              <w:rPr>
                <w:sz w:val="2"/>
                <w:szCs w:val="2"/>
              </w:rPr>
            </w:pPr>
          </w:p>
        </w:tc>
        <w:tc>
          <w:tcPr>
            <w:tcW w:w="1148" w:type="dxa"/>
            <w:vMerge w:val="continue"/>
            <w:tcBorders>
              <w:top w:val="nil"/>
            </w:tcBorders>
          </w:tcPr>
          <w:p>
            <w:pPr>
              <w:rPr>
                <w:sz w:val="2"/>
                <w:szCs w:val="2"/>
              </w:rPr>
            </w:pPr>
          </w:p>
        </w:tc>
        <w:tc>
          <w:tcPr>
            <w:tcW w:w="6804" w:type="dxa"/>
          </w:tcPr>
          <w:p>
            <w:pPr>
              <w:pStyle w:val="23"/>
              <w:spacing w:before="18" w:line="293" w:lineRule="exact"/>
              <w:ind w:left="12"/>
              <w:rPr>
                <w:rFonts w:ascii="仿宋" w:hAnsi="仿宋" w:eastAsia="仿宋"/>
                <w:b/>
                <w:sz w:val="24"/>
              </w:rPr>
            </w:pPr>
            <w:bookmarkStart w:id="231" w:name="②道路操作不需要要有指示牌"/>
            <w:bookmarkEnd w:id="231"/>
            <w:r>
              <w:rPr>
                <w:rFonts w:hint="eastAsia" w:ascii="仿宋" w:hAnsi="仿宋" w:eastAsia="仿宋"/>
                <w:b/>
                <w:sz w:val="24"/>
              </w:rPr>
              <w:t>②道路操作不需要要有指示牌</w:t>
            </w:r>
          </w:p>
        </w:tc>
        <w:tc>
          <w:tcPr>
            <w:tcW w:w="1930" w:type="dxa"/>
          </w:tcPr>
          <w:p>
            <w:pPr>
              <w:pStyle w:val="23"/>
              <w:spacing w:before="18" w:line="293" w:lineRule="exact"/>
              <w:ind w:left="12"/>
              <w:rPr>
                <w:rFonts w:ascii="仿宋"/>
                <w:b/>
                <w:sz w:val="24"/>
              </w:rPr>
            </w:pPr>
            <w:r>
              <w:rPr>
                <w:rFonts w:ascii="仿宋"/>
                <w:b/>
                <w:sz w:val="24"/>
              </w:rPr>
              <w:t>-2</w:t>
            </w:r>
          </w:p>
        </w:tc>
        <w:tc>
          <w:tcPr>
            <w:tcW w:w="1674" w:type="dxa"/>
          </w:tcPr>
          <w:p>
            <w:pPr>
              <w:pStyle w:val="23"/>
              <w:spacing w:before="18" w:line="293" w:lineRule="exact"/>
              <w:ind w:left="11"/>
              <w:rPr>
                <w:rFonts w:ascii="仿宋" w:eastAsia="仿宋"/>
                <w:b/>
                <w:sz w:val="24"/>
              </w:rPr>
            </w:pPr>
            <w:r>
              <w:rPr>
                <w:rFonts w:hint="eastAsia" w:ascii="仿宋" w:eastAsia="仿宋"/>
                <w:b/>
                <w:sz w:val="24"/>
              </w:rPr>
              <w:t>每周一次</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75" w:type="dxa"/>
            <w:vMerge w:val="continue"/>
            <w:tcBorders>
              <w:top w:val="nil"/>
            </w:tcBorders>
          </w:tcPr>
          <w:p>
            <w:pPr>
              <w:rPr>
                <w:sz w:val="2"/>
                <w:szCs w:val="2"/>
              </w:rPr>
            </w:pPr>
          </w:p>
        </w:tc>
        <w:tc>
          <w:tcPr>
            <w:tcW w:w="1148" w:type="dxa"/>
            <w:vMerge w:val="continue"/>
            <w:tcBorders>
              <w:top w:val="nil"/>
            </w:tcBorders>
          </w:tcPr>
          <w:p>
            <w:pPr>
              <w:rPr>
                <w:sz w:val="2"/>
                <w:szCs w:val="2"/>
              </w:rPr>
            </w:pPr>
          </w:p>
        </w:tc>
        <w:tc>
          <w:tcPr>
            <w:tcW w:w="6804" w:type="dxa"/>
          </w:tcPr>
          <w:p>
            <w:pPr>
              <w:pStyle w:val="23"/>
              <w:spacing w:before="18" w:line="293" w:lineRule="exact"/>
              <w:ind w:left="12"/>
              <w:rPr>
                <w:rFonts w:ascii="仿宋" w:hAnsi="仿宋" w:eastAsia="仿宋"/>
                <w:b/>
                <w:sz w:val="24"/>
              </w:rPr>
            </w:pPr>
            <w:bookmarkStart w:id="232" w:name="③农药要妥善保管不得随手乱堆乱放"/>
            <w:bookmarkEnd w:id="232"/>
            <w:r>
              <w:rPr>
                <w:rFonts w:hint="eastAsia" w:ascii="仿宋" w:hAnsi="仿宋" w:eastAsia="仿宋"/>
                <w:b/>
                <w:sz w:val="24"/>
              </w:rPr>
              <w:t>③农药要妥善保管不得随手乱堆乱放</w:t>
            </w:r>
          </w:p>
        </w:tc>
        <w:tc>
          <w:tcPr>
            <w:tcW w:w="1930" w:type="dxa"/>
          </w:tcPr>
          <w:p>
            <w:pPr>
              <w:pStyle w:val="23"/>
              <w:spacing w:before="18" w:line="293" w:lineRule="exact"/>
              <w:ind w:left="12"/>
              <w:rPr>
                <w:rFonts w:ascii="仿宋"/>
                <w:b/>
                <w:sz w:val="24"/>
              </w:rPr>
            </w:pPr>
            <w:r>
              <w:rPr>
                <w:rFonts w:ascii="仿宋"/>
                <w:b/>
                <w:sz w:val="24"/>
              </w:rPr>
              <w:t>-2</w:t>
            </w:r>
          </w:p>
        </w:tc>
        <w:tc>
          <w:tcPr>
            <w:tcW w:w="1674" w:type="dxa"/>
          </w:tcPr>
          <w:p>
            <w:pPr>
              <w:pStyle w:val="23"/>
              <w:spacing w:before="18" w:line="293" w:lineRule="exact"/>
              <w:ind w:left="11"/>
              <w:rPr>
                <w:rFonts w:ascii="仿宋" w:eastAsia="仿宋"/>
                <w:b/>
                <w:sz w:val="24"/>
              </w:rPr>
            </w:pPr>
            <w:r>
              <w:rPr>
                <w:rFonts w:hint="eastAsia" w:ascii="仿宋" w:eastAsia="仿宋"/>
                <w:b/>
                <w:sz w:val="24"/>
              </w:rPr>
              <w:t>每周一次</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75" w:type="dxa"/>
            <w:vMerge w:val="continue"/>
            <w:tcBorders>
              <w:top w:val="nil"/>
            </w:tcBorders>
          </w:tcPr>
          <w:p>
            <w:pPr>
              <w:rPr>
                <w:sz w:val="2"/>
                <w:szCs w:val="2"/>
              </w:rPr>
            </w:pPr>
          </w:p>
        </w:tc>
        <w:tc>
          <w:tcPr>
            <w:tcW w:w="1148" w:type="dxa"/>
            <w:vMerge w:val="continue"/>
            <w:tcBorders>
              <w:top w:val="nil"/>
            </w:tcBorders>
          </w:tcPr>
          <w:p>
            <w:pPr>
              <w:rPr>
                <w:sz w:val="2"/>
                <w:szCs w:val="2"/>
              </w:rPr>
            </w:pPr>
          </w:p>
        </w:tc>
        <w:tc>
          <w:tcPr>
            <w:tcW w:w="6804" w:type="dxa"/>
          </w:tcPr>
          <w:p>
            <w:pPr>
              <w:pStyle w:val="23"/>
              <w:spacing w:before="17" w:line="293" w:lineRule="exact"/>
              <w:ind w:left="12"/>
              <w:rPr>
                <w:rFonts w:ascii="仿宋" w:hAnsi="仿宋" w:eastAsia="仿宋"/>
                <w:b/>
                <w:sz w:val="24"/>
              </w:rPr>
            </w:pPr>
            <w:bookmarkStart w:id="233" w:name="④高工操作必须配备安全帽"/>
            <w:bookmarkEnd w:id="233"/>
            <w:r>
              <w:rPr>
                <w:rFonts w:hint="eastAsia" w:ascii="仿宋" w:hAnsi="仿宋" w:eastAsia="仿宋"/>
                <w:b/>
                <w:sz w:val="24"/>
              </w:rPr>
              <w:t>④高工操作必须配备安全帽</w:t>
            </w:r>
          </w:p>
        </w:tc>
        <w:tc>
          <w:tcPr>
            <w:tcW w:w="1930" w:type="dxa"/>
          </w:tcPr>
          <w:p>
            <w:pPr>
              <w:pStyle w:val="23"/>
              <w:spacing w:before="17" w:line="293" w:lineRule="exact"/>
              <w:ind w:left="12"/>
              <w:rPr>
                <w:rFonts w:ascii="仿宋"/>
                <w:b/>
                <w:sz w:val="24"/>
              </w:rPr>
            </w:pPr>
            <w:r>
              <w:rPr>
                <w:rFonts w:ascii="仿宋"/>
                <w:b/>
                <w:sz w:val="24"/>
              </w:rPr>
              <w:t>-2</w:t>
            </w:r>
          </w:p>
        </w:tc>
        <w:tc>
          <w:tcPr>
            <w:tcW w:w="1674" w:type="dxa"/>
          </w:tcPr>
          <w:p>
            <w:pPr>
              <w:pStyle w:val="23"/>
              <w:spacing w:before="17" w:line="293" w:lineRule="exact"/>
              <w:ind w:left="11"/>
              <w:rPr>
                <w:rFonts w:ascii="仿宋" w:eastAsia="仿宋"/>
                <w:b/>
                <w:sz w:val="24"/>
              </w:rPr>
            </w:pPr>
            <w:r>
              <w:rPr>
                <w:rFonts w:hint="eastAsia" w:ascii="仿宋" w:eastAsia="仿宋"/>
                <w:b/>
                <w:sz w:val="24"/>
              </w:rPr>
              <w:t>每周一次</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1" w:hRule="atLeast"/>
        </w:trPr>
        <w:tc>
          <w:tcPr>
            <w:tcW w:w="675" w:type="dxa"/>
            <w:vMerge w:val="continue"/>
            <w:tcBorders>
              <w:top w:val="nil"/>
            </w:tcBorders>
          </w:tcPr>
          <w:p>
            <w:pPr>
              <w:rPr>
                <w:sz w:val="2"/>
                <w:szCs w:val="2"/>
              </w:rPr>
            </w:pPr>
          </w:p>
        </w:tc>
        <w:tc>
          <w:tcPr>
            <w:tcW w:w="1148" w:type="dxa"/>
            <w:vMerge w:val="continue"/>
            <w:tcBorders>
              <w:top w:val="nil"/>
            </w:tcBorders>
          </w:tcPr>
          <w:p>
            <w:pPr>
              <w:rPr>
                <w:sz w:val="2"/>
                <w:szCs w:val="2"/>
              </w:rPr>
            </w:pPr>
          </w:p>
        </w:tc>
        <w:tc>
          <w:tcPr>
            <w:tcW w:w="6804" w:type="dxa"/>
          </w:tcPr>
          <w:p>
            <w:pPr>
              <w:pStyle w:val="23"/>
              <w:spacing w:before="17" w:line="294" w:lineRule="exact"/>
              <w:ind w:left="12"/>
              <w:rPr>
                <w:rFonts w:ascii="仿宋" w:hAnsi="仿宋" w:eastAsia="仿宋"/>
                <w:b/>
                <w:sz w:val="24"/>
              </w:rPr>
            </w:pPr>
            <w:bookmarkStart w:id="234" w:name="⑤机械工具要妥善保管"/>
            <w:bookmarkEnd w:id="234"/>
            <w:r>
              <w:rPr>
                <w:rFonts w:hint="eastAsia" w:ascii="仿宋" w:hAnsi="仿宋" w:eastAsia="仿宋"/>
                <w:b/>
                <w:sz w:val="24"/>
              </w:rPr>
              <w:t>⑤机械工具要妥善保管</w:t>
            </w:r>
          </w:p>
        </w:tc>
        <w:tc>
          <w:tcPr>
            <w:tcW w:w="1930" w:type="dxa"/>
          </w:tcPr>
          <w:p>
            <w:pPr>
              <w:pStyle w:val="23"/>
              <w:spacing w:before="17" w:line="294" w:lineRule="exact"/>
              <w:ind w:left="12"/>
              <w:rPr>
                <w:rFonts w:ascii="仿宋"/>
                <w:b/>
                <w:sz w:val="24"/>
              </w:rPr>
            </w:pPr>
            <w:bookmarkStart w:id="235" w:name="-2"/>
            <w:bookmarkEnd w:id="235"/>
            <w:r>
              <w:rPr>
                <w:rFonts w:ascii="仿宋"/>
                <w:b/>
                <w:sz w:val="24"/>
              </w:rPr>
              <w:t>-2</w:t>
            </w:r>
          </w:p>
        </w:tc>
        <w:tc>
          <w:tcPr>
            <w:tcW w:w="1674" w:type="dxa"/>
          </w:tcPr>
          <w:p>
            <w:pPr>
              <w:pStyle w:val="23"/>
              <w:spacing w:before="17" w:line="294" w:lineRule="exact"/>
              <w:ind w:left="11"/>
              <w:rPr>
                <w:rFonts w:ascii="仿宋" w:eastAsia="仿宋"/>
                <w:b/>
                <w:sz w:val="24"/>
              </w:rPr>
            </w:pPr>
            <w:bookmarkStart w:id="236" w:name="每周一次"/>
            <w:bookmarkEnd w:id="236"/>
            <w:r>
              <w:rPr>
                <w:rFonts w:hint="eastAsia" w:ascii="仿宋" w:eastAsia="仿宋"/>
                <w:b/>
                <w:sz w:val="24"/>
              </w:rPr>
              <w:t>每周一次</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675" w:type="dxa"/>
            <w:vMerge w:val="restart"/>
          </w:tcPr>
          <w:p>
            <w:pPr>
              <w:pStyle w:val="23"/>
              <w:rPr>
                <w:rFonts w:ascii="Times New Roman"/>
                <w:sz w:val="24"/>
              </w:rPr>
            </w:pPr>
          </w:p>
          <w:p>
            <w:pPr>
              <w:pStyle w:val="23"/>
              <w:rPr>
                <w:rFonts w:ascii="Times New Roman"/>
                <w:sz w:val="24"/>
              </w:rPr>
            </w:pPr>
          </w:p>
          <w:p>
            <w:pPr>
              <w:pStyle w:val="23"/>
              <w:spacing w:before="9"/>
              <w:rPr>
                <w:rFonts w:ascii="Times New Roman"/>
              </w:rPr>
            </w:pPr>
          </w:p>
          <w:p>
            <w:pPr>
              <w:pStyle w:val="23"/>
              <w:ind w:left="11"/>
              <w:rPr>
                <w:rFonts w:ascii="仿宋"/>
                <w:b/>
                <w:sz w:val="24"/>
              </w:rPr>
            </w:pPr>
            <w:bookmarkStart w:id="237" w:name="14"/>
            <w:bookmarkEnd w:id="237"/>
            <w:r>
              <w:rPr>
                <w:rFonts w:ascii="仿宋"/>
                <w:b/>
                <w:sz w:val="24"/>
              </w:rPr>
              <w:t>14</w:t>
            </w:r>
          </w:p>
        </w:tc>
        <w:tc>
          <w:tcPr>
            <w:tcW w:w="1148" w:type="dxa"/>
            <w:vMerge w:val="restart"/>
          </w:tcPr>
          <w:p>
            <w:pPr>
              <w:pStyle w:val="23"/>
              <w:rPr>
                <w:rFonts w:ascii="Times New Roman"/>
                <w:sz w:val="24"/>
              </w:rPr>
            </w:pPr>
          </w:p>
          <w:p>
            <w:pPr>
              <w:pStyle w:val="23"/>
              <w:spacing w:before="2"/>
              <w:rPr>
                <w:rFonts w:ascii="Times New Roman"/>
                <w:sz w:val="33"/>
              </w:rPr>
            </w:pPr>
          </w:p>
          <w:p>
            <w:pPr>
              <w:pStyle w:val="23"/>
              <w:spacing w:line="242" w:lineRule="auto"/>
              <w:ind w:left="10" w:right="162"/>
              <w:rPr>
                <w:rFonts w:ascii="仿宋" w:eastAsia="仿宋"/>
                <w:b/>
                <w:sz w:val="24"/>
              </w:rPr>
            </w:pPr>
            <w:bookmarkStart w:id="238" w:name="其他考核标准"/>
            <w:bookmarkEnd w:id="238"/>
            <w:r>
              <w:rPr>
                <w:rFonts w:hint="eastAsia" w:ascii="仿宋" w:eastAsia="仿宋"/>
                <w:b/>
                <w:sz w:val="24"/>
              </w:rPr>
              <w:t>其他考核标准</w:t>
            </w:r>
          </w:p>
        </w:tc>
        <w:tc>
          <w:tcPr>
            <w:tcW w:w="6804" w:type="dxa"/>
          </w:tcPr>
          <w:p>
            <w:pPr>
              <w:pStyle w:val="23"/>
              <w:spacing w:before="12" w:line="310" w:lineRule="atLeast"/>
              <w:ind w:left="12" w:right="35"/>
              <w:rPr>
                <w:rFonts w:ascii="仿宋" w:hAnsi="仿宋" w:eastAsia="仿宋"/>
                <w:b/>
                <w:sz w:val="24"/>
              </w:rPr>
            </w:pPr>
            <w:bookmarkStart w:id="239" w:name="①凡新闻媒体曝光，市、区领导批示的群众信件中提出批评，人大代表、政协委员等反映的"/>
            <w:bookmarkEnd w:id="239"/>
            <w:r>
              <w:rPr>
                <w:rFonts w:hint="eastAsia" w:ascii="仿宋" w:hAnsi="仿宋" w:eastAsia="仿宋"/>
                <w:b/>
                <w:sz w:val="24"/>
              </w:rPr>
              <w:t>①凡新闻媒体曝光，市、区领导批示的群众信件中提出批评，人大代表、政协委员等反映的园林管理问题，情况属实。</w:t>
            </w:r>
          </w:p>
        </w:tc>
        <w:tc>
          <w:tcPr>
            <w:tcW w:w="1930" w:type="dxa"/>
          </w:tcPr>
          <w:p>
            <w:pPr>
              <w:pStyle w:val="23"/>
              <w:spacing w:before="168"/>
              <w:ind w:left="12"/>
              <w:rPr>
                <w:rFonts w:ascii="仿宋" w:eastAsia="仿宋"/>
                <w:b/>
                <w:sz w:val="24"/>
              </w:rPr>
            </w:pPr>
            <w:bookmarkStart w:id="240" w:name="-1分"/>
            <w:bookmarkEnd w:id="240"/>
            <w:r>
              <w:rPr>
                <w:rFonts w:hint="eastAsia" w:ascii="仿宋" w:eastAsia="仿宋"/>
                <w:b/>
                <w:sz w:val="24"/>
              </w:rPr>
              <w:t>-1分</w:t>
            </w:r>
          </w:p>
        </w:tc>
        <w:tc>
          <w:tcPr>
            <w:tcW w:w="1674" w:type="dxa"/>
          </w:tcPr>
          <w:p>
            <w:pPr>
              <w:pStyle w:val="23"/>
              <w:spacing w:before="168"/>
              <w:ind w:left="11"/>
              <w:rPr>
                <w:rFonts w:ascii="仿宋"/>
                <w:b/>
                <w:sz w:val="24"/>
              </w:rPr>
            </w:pPr>
            <w:r>
              <w:rPr>
                <w:rFonts w:ascii="仿宋"/>
                <w:b/>
                <w:w w:val="99"/>
                <w:sz w:val="24"/>
              </w:rPr>
              <w:t>/</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675" w:type="dxa"/>
            <w:vMerge w:val="continue"/>
            <w:tcBorders>
              <w:top w:val="nil"/>
            </w:tcBorders>
          </w:tcPr>
          <w:p>
            <w:pPr>
              <w:rPr>
                <w:sz w:val="2"/>
                <w:szCs w:val="2"/>
              </w:rPr>
            </w:pPr>
          </w:p>
        </w:tc>
        <w:tc>
          <w:tcPr>
            <w:tcW w:w="1148" w:type="dxa"/>
            <w:vMerge w:val="continue"/>
            <w:tcBorders>
              <w:top w:val="nil"/>
            </w:tcBorders>
          </w:tcPr>
          <w:p>
            <w:pPr>
              <w:rPr>
                <w:sz w:val="2"/>
                <w:szCs w:val="2"/>
              </w:rPr>
            </w:pPr>
          </w:p>
        </w:tc>
        <w:tc>
          <w:tcPr>
            <w:tcW w:w="6804" w:type="dxa"/>
          </w:tcPr>
          <w:p>
            <w:pPr>
              <w:pStyle w:val="23"/>
              <w:spacing w:before="10" w:line="310" w:lineRule="atLeast"/>
              <w:ind w:left="12" w:right="35"/>
              <w:rPr>
                <w:rFonts w:ascii="仿宋" w:hAnsi="仿宋" w:eastAsia="仿宋"/>
                <w:b/>
                <w:sz w:val="24"/>
              </w:rPr>
            </w:pPr>
            <w:bookmarkStart w:id="241" w:name="②凡是群众向上级部门反映的来信、来访、热线电话，并经有关部门查实的实的。"/>
            <w:bookmarkEnd w:id="241"/>
            <w:r>
              <w:rPr>
                <w:rFonts w:hint="eastAsia" w:ascii="仿宋" w:hAnsi="仿宋" w:eastAsia="仿宋"/>
                <w:b/>
                <w:sz w:val="24"/>
              </w:rPr>
              <w:t>②凡是群众向上级部门反映的来信、来访、热线电话，并经有关部门查实的实的。</w:t>
            </w:r>
          </w:p>
        </w:tc>
        <w:tc>
          <w:tcPr>
            <w:tcW w:w="1930" w:type="dxa"/>
          </w:tcPr>
          <w:p>
            <w:pPr>
              <w:pStyle w:val="23"/>
              <w:spacing w:before="169"/>
              <w:ind w:left="12"/>
              <w:rPr>
                <w:rFonts w:ascii="仿宋" w:eastAsia="仿宋"/>
                <w:b/>
                <w:sz w:val="24"/>
              </w:rPr>
            </w:pPr>
            <w:bookmarkStart w:id="242" w:name="一1分"/>
            <w:bookmarkEnd w:id="242"/>
            <w:r>
              <w:rPr>
                <w:rFonts w:hint="eastAsia" w:ascii="仿宋" w:eastAsia="仿宋"/>
                <w:b/>
                <w:sz w:val="24"/>
              </w:rPr>
              <w:t>一1分</w:t>
            </w:r>
          </w:p>
        </w:tc>
        <w:tc>
          <w:tcPr>
            <w:tcW w:w="1674" w:type="dxa"/>
          </w:tcPr>
          <w:p>
            <w:pPr>
              <w:pStyle w:val="23"/>
              <w:spacing w:before="169"/>
              <w:ind w:left="11"/>
              <w:rPr>
                <w:rFonts w:ascii="仿宋"/>
                <w:b/>
                <w:sz w:val="24"/>
              </w:rPr>
            </w:pPr>
            <w:r>
              <w:rPr>
                <w:rFonts w:ascii="仿宋"/>
                <w:b/>
                <w:w w:val="99"/>
                <w:sz w:val="24"/>
              </w:rPr>
              <w:t>/</w:t>
            </w:r>
          </w:p>
        </w:tc>
        <w:tc>
          <w:tcPr>
            <w:tcW w:w="2160"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675" w:type="dxa"/>
            <w:vMerge w:val="continue"/>
            <w:tcBorders>
              <w:top w:val="nil"/>
            </w:tcBorders>
          </w:tcPr>
          <w:p>
            <w:pPr>
              <w:rPr>
                <w:sz w:val="2"/>
                <w:szCs w:val="2"/>
              </w:rPr>
            </w:pPr>
          </w:p>
        </w:tc>
        <w:tc>
          <w:tcPr>
            <w:tcW w:w="1148" w:type="dxa"/>
            <w:vMerge w:val="continue"/>
            <w:tcBorders>
              <w:top w:val="nil"/>
            </w:tcBorders>
          </w:tcPr>
          <w:p>
            <w:pPr>
              <w:rPr>
                <w:sz w:val="2"/>
                <w:szCs w:val="2"/>
              </w:rPr>
            </w:pPr>
          </w:p>
        </w:tc>
        <w:tc>
          <w:tcPr>
            <w:tcW w:w="6804" w:type="dxa"/>
          </w:tcPr>
          <w:p>
            <w:pPr>
              <w:pStyle w:val="23"/>
              <w:spacing w:before="168"/>
              <w:ind w:left="12"/>
              <w:rPr>
                <w:rFonts w:ascii="仿宋" w:hAnsi="仿宋" w:eastAsia="仿宋"/>
                <w:b/>
                <w:sz w:val="24"/>
              </w:rPr>
            </w:pPr>
            <w:bookmarkStart w:id="243" w:name="③对于新闻媒体向上级部门提出表扬嘉奖的。"/>
            <w:bookmarkEnd w:id="243"/>
            <w:r>
              <w:rPr>
                <w:rFonts w:hint="eastAsia" w:ascii="仿宋" w:hAnsi="仿宋" w:eastAsia="仿宋"/>
                <w:b/>
                <w:sz w:val="24"/>
              </w:rPr>
              <w:t>③对于新闻媒体向上级部门提出表扬嘉奖的。</w:t>
            </w:r>
          </w:p>
        </w:tc>
        <w:tc>
          <w:tcPr>
            <w:tcW w:w="1930" w:type="dxa"/>
          </w:tcPr>
          <w:p>
            <w:pPr>
              <w:pStyle w:val="23"/>
              <w:spacing w:before="168"/>
              <w:ind w:left="12"/>
              <w:rPr>
                <w:rFonts w:ascii="仿宋" w:eastAsia="仿宋"/>
                <w:b/>
                <w:sz w:val="24"/>
              </w:rPr>
            </w:pPr>
            <w:bookmarkStart w:id="244" w:name="+2分"/>
            <w:bookmarkEnd w:id="244"/>
            <w:r>
              <w:rPr>
                <w:rFonts w:hint="eastAsia" w:ascii="仿宋" w:eastAsia="仿宋"/>
                <w:b/>
                <w:sz w:val="24"/>
              </w:rPr>
              <w:t>+2分</w:t>
            </w:r>
          </w:p>
        </w:tc>
        <w:tc>
          <w:tcPr>
            <w:tcW w:w="1674" w:type="dxa"/>
          </w:tcPr>
          <w:p>
            <w:pPr>
              <w:pStyle w:val="23"/>
              <w:spacing w:before="168"/>
              <w:ind w:left="11"/>
              <w:rPr>
                <w:rFonts w:ascii="仿宋"/>
                <w:b/>
                <w:sz w:val="24"/>
              </w:rPr>
            </w:pPr>
            <w:bookmarkStart w:id="245" w:name="/"/>
            <w:bookmarkEnd w:id="245"/>
            <w:r>
              <w:rPr>
                <w:rFonts w:ascii="仿宋"/>
                <w:b/>
                <w:w w:val="99"/>
                <w:sz w:val="24"/>
              </w:rPr>
              <w:t>/</w:t>
            </w:r>
          </w:p>
        </w:tc>
        <w:tc>
          <w:tcPr>
            <w:tcW w:w="2160" w:type="dxa"/>
          </w:tcPr>
          <w:p>
            <w:pPr>
              <w:pStyle w:val="23"/>
              <w:spacing w:before="12" w:line="310" w:lineRule="atLeast"/>
              <w:ind w:left="10" w:right="210"/>
              <w:rPr>
                <w:rFonts w:ascii="仿宋" w:eastAsia="仿宋"/>
                <w:b/>
                <w:sz w:val="24"/>
              </w:rPr>
            </w:pPr>
            <w:bookmarkStart w:id="246" w:name="有相关文件或文字证明材料"/>
            <w:bookmarkEnd w:id="246"/>
            <w:r>
              <w:rPr>
                <w:rFonts w:hint="eastAsia" w:ascii="仿宋" w:eastAsia="仿宋"/>
                <w:b/>
                <w:sz w:val="24"/>
              </w:rPr>
              <w:t>有相关文件或文字证明材料</w:t>
            </w:r>
          </w:p>
        </w:tc>
      </w:tr>
    </w:tbl>
    <w:p>
      <w:pPr>
        <w:spacing w:line="310" w:lineRule="atLeast"/>
        <w:rPr>
          <w:sz w:val="24"/>
        </w:rPr>
        <w:sectPr>
          <w:pgSz w:w="16840" w:h="11910" w:orient="landscape"/>
          <w:pgMar w:top="1100" w:right="860" w:bottom="1200" w:left="1340" w:header="0" w:footer="1012" w:gutter="0"/>
          <w:cols w:space="720" w:num="1"/>
        </w:sectPr>
      </w:pPr>
    </w:p>
    <w:p>
      <w:pPr>
        <w:spacing w:before="117"/>
        <w:ind w:left="1554" w:right="1543"/>
        <w:jc w:val="center"/>
        <w:rPr>
          <w:rFonts w:ascii="宋体" w:eastAsia="宋体"/>
          <w:b/>
          <w:sz w:val="24"/>
        </w:rPr>
      </w:pPr>
      <w:bookmarkStart w:id="247" w:name="喀什经济开发区环境卫生考核管理办法"/>
      <w:bookmarkEnd w:id="247"/>
      <w:r>
        <w:rPr>
          <w:rFonts w:hint="eastAsia" w:ascii="宋体" w:eastAsia="宋体"/>
          <w:b/>
          <w:sz w:val="24"/>
        </w:rPr>
        <w:t>喀什经济开发区环境卫生考核管理办法</w:t>
      </w:r>
    </w:p>
    <w:p>
      <w:pPr>
        <w:pStyle w:val="9"/>
        <w:spacing w:before="4" w:line="242" w:lineRule="auto"/>
        <w:ind w:left="134" w:right="250"/>
        <w:jc w:val="both"/>
        <w:rPr>
          <w:rFonts w:ascii="宋体" w:eastAsia="宋体"/>
        </w:rPr>
      </w:pPr>
      <w:bookmarkStart w:id="248" w:name="为进一步提高开发区环境卫生建设和管理水平，促进开发区环境卫生常态化管理，营造一个"/>
      <w:bookmarkEnd w:id="248"/>
      <w:r>
        <w:rPr>
          <w:rFonts w:hint="eastAsia" w:ascii="宋体" w:eastAsia="宋体"/>
        </w:rPr>
        <w:t>为进一步提高开发区环境卫生建设和管理水平，促进开发区环境卫生常态化管理，营造一个整洁、有序、美观的新区形象，现结合开发区实际，特制定本考核办法。</w:t>
      </w:r>
    </w:p>
    <w:p>
      <w:pPr>
        <w:pStyle w:val="9"/>
        <w:spacing w:before="2"/>
        <w:ind w:left="134"/>
        <w:rPr>
          <w:rFonts w:ascii="宋体" w:eastAsia="宋体"/>
        </w:rPr>
      </w:pPr>
      <w:bookmarkStart w:id="249" w:name="一、考核对象"/>
      <w:bookmarkEnd w:id="249"/>
      <w:r>
        <w:rPr>
          <w:rFonts w:hint="eastAsia" w:ascii="宋体" w:eastAsia="宋体"/>
        </w:rPr>
        <w:t>一、考核对象</w:t>
      </w:r>
    </w:p>
    <w:p>
      <w:pPr>
        <w:pStyle w:val="9"/>
        <w:spacing w:before="2" w:line="242" w:lineRule="auto"/>
        <w:ind w:left="134" w:right="6250"/>
        <w:rPr>
          <w:rFonts w:ascii="宋体" w:eastAsia="宋体"/>
        </w:rPr>
      </w:pPr>
      <w:bookmarkStart w:id="250" w:name="开发区环卫管理单位"/>
      <w:bookmarkEnd w:id="250"/>
      <w:r>
        <w:rPr>
          <w:rFonts w:hint="eastAsia" w:ascii="宋体" w:eastAsia="宋体"/>
          <w:spacing w:val="-2"/>
        </w:rPr>
        <w:t>开发区环卫管理单位</w:t>
      </w:r>
      <w:bookmarkStart w:id="251" w:name="二、考核内容"/>
      <w:bookmarkEnd w:id="251"/>
      <w:r>
        <w:rPr>
          <w:rFonts w:hint="eastAsia" w:ascii="宋体" w:eastAsia="宋体"/>
        </w:rPr>
        <w:t>二、考核内容</w:t>
      </w:r>
    </w:p>
    <w:p>
      <w:pPr>
        <w:pStyle w:val="9"/>
        <w:spacing w:before="3" w:line="242" w:lineRule="auto"/>
        <w:ind w:left="134" w:right="730"/>
        <w:rPr>
          <w:rFonts w:ascii="宋体" w:eastAsia="宋体"/>
        </w:rPr>
      </w:pPr>
      <w:bookmarkStart w:id="252" w:name="对环境卫生清扫保洁、垃圾收运作业、组织制度、队伍管理等进行考核。"/>
      <w:bookmarkEnd w:id="252"/>
      <w:r>
        <w:rPr>
          <w:rFonts w:hint="eastAsia" w:ascii="宋体" w:eastAsia="宋体"/>
          <w:spacing w:val="-1"/>
        </w:rPr>
        <w:t>对环境卫生清扫保洁、垃圾收运作业、组织制度、队伍管理等进行考核。</w:t>
      </w:r>
      <w:bookmarkStart w:id="253" w:name="三、考核标准"/>
      <w:bookmarkEnd w:id="253"/>
      <w:r>
        <w:rPr>
          <w:rFonts w:hint="eastAsia" w:ascii="宋体" w:eastAsia="宋体"/>
        </w:rPr>
        <w:t>三、考核标准</w:t>
      </w:r>
    </w:p>
    <w:p>
      <w:pPr>
        <w:pStyle w:val="9"/>
        <w:spacing w:line="242" w:lineRule="auto"/>
        <w:ind w:left="134" w:right="2290"/>
        <w:rPr>
          <w:rFonts w:ascii="宋体" w:eastAsia="宋体"/>
        </w:rPr>
      </w:pPr>
      <w:bookmarkStart w:id="254" w:name="见《喀什经济开发区环境卫生考核评分标准》（附件1）。"/>
      <w:bookmarkEnd w:id="254"/>
      <w:r>
        <w:rPr>
          <w:rFonts w:hint="eastAsia" w:ascii="宋体" w:eastAsia="宋体"/>
        </w:rPr>
        <w:t>见《喀什经济开发区环境卫生考核评分标准》（附件1）。</w:t>
      </w:r>
      <w:bookmarkStart w:id="255" w:name="考核方法"/>
      <w:bookmarkEnd w:id="255"/>
      <w:r>
        <w:rPr>
          <w:rFonts w:hint="eastAsia" w:ascii="宋体" w:eastAsia="宋体"/>
        </w:rPr>
        <w:t>考核方法</w:t>
      </w:r>
    </w:p>
    <w:p>
      <w:pPr>
        <w:pStyle w:val="9"/>
        <w:spacing w:before="3" w:line="242" w:lineRule="auto"/>
        <w:ind w:left="134" w:right="134"/>
        <w:rPr>
          <w:rFonts w:ascii="宋体" w:eastAsia="宋体"/>
        </w:rPr>
      </w:pPr>
      <w:bookmarkStart w:id="256" w:name="1、日常检查：每周不定期进行，日常检查组将根据发现的的问题或开发区干部反映的问题"/>
      <w:bookmarkEnd w:id="256"/>
      <w:r>
        <w:rPr>
          <w:rFonts w:hint="eastAsia" w:ascii="宋体" w:eastAsia="宋体"/>
        </w:rPr>
        <w:t>1、日常检查：每周不定期进行，日常检查组将根据发现的的问题或开发区干部反映的问题及时通知管护企业，并按要求进行复查。整改期限已到仍未达到要求的，按照考核评分标准扣分。</w:t>
      </w:r>
    </w:p>
    <w:p>
      <w:pPr>
        <w:pStyle w:val="9"/>
        <w:spacing w:line="242" w:lineRule="auto"/>
        <w:ind w:left="134" w:right="250"/>
        <w:jc w:val="both"/>
        <w:rPr>
          <w:rFonts w:ascii="宋体" w:eastAsia="宋体"/>
        </w:rPr>
      </w:pPr>
      <w:bookmarkStart w:id="257" w:name="2、督查：每个月1次，由城东金融贸易区管理服务中心领导会同管理企业负责人对各管理"/>
      <w:bookmarkEnd w:id="257"/>
      <w:r>
        <w:rPr>
          <w:rFonts w:hint="eastAsia" w:ascii="宋体" w:eastAsia="宋体"/>
        </w:rPr>
        <w:t>2、督查：</w:t>
      </w:r>
      <w:r>
        <w:rPr>
          <w:rFonts w:hint="eastAsia" w:ascii="宋体" w:eastAsia="宋体"/>
          <w:lang w:val="en-US"/>
        </w:rPr>
        <w:t>每个月不少于4次，由城东金融贸易区管理服务中心领导会同管理企业负责人对各管理单位责任片区环境卫生综合整治情况进行督查，查找问题，限期整改，督查时发现的问题不纳入考核。</w:t>
      </w:r>
    </w:p>
    <w:p>
      <w:pPr>
        <w:pStyle w:val="9"/>
        <w:spacing w:before="4" w:line="242" w:lineRule="auto"/>
        <w:ind w:left="134" w:right="250"/>
        <w:rPr>
          <w:rFonts w:ascii="宋体" w:eastAsia="宋体"/>
        </w:rPr>
      </w:pPr>
      <w:bookmarkStart w:id="258" w:name="3、抽查：每月不定期抽查1次，检查前不作通知，检查结果纳入考核，具体检查考核评分"/>
      <w:bookmarkEnd w:id="258"/>
      <w:r>
        <w:rPr>
          <w:rFonts w:hint="eastAsia" w:ascii="宋体" w:eastAsia="宋体"/>
        </w:rPr>
        <w:t>3、抽查：</w:t>
      </w:r>
      <w:r>
        <w:rPr>
          <w:rFonts w:hint="eastAsia" w:ascii="宋体" w:eastAsia="宋体"/>
          <w:lang w:val="en-US"/>
        </w:rPr>
        <w:t>每月不定期抽查至少2次，检查前不作通知，检查结果纳入考核，具体检查考核评分标准按照《喀什经济开发区城东金融贸易区环境卫生考核评分表》执行。</w:t>
      </w:r>
    </w:p>
    <w:p>
      <w:pPr>
        <w:pStyle w:val="9"/>
        <w:spacing w:before="1"/>
        <w:ind w:left="134"/>
        <w:rPr>
          <w:rFonts w:ascii="宋体" w:eastAsia="宋体"/>
        </w:rPr>
      </w:pPr>
      <w:bookmarkStart w:id="259" w:name="五、考核结果运用"/>
      <w:bookmarkEnd w:id="259"/>
      <w:r>
        <w:rPr>
          <w:rFonts w:hint="eastAsia" w:ascii="宋体" w:eastAsia="宋体"/>
        </w:rPr>
        <w:t>五、考核结果运用</w:t>
      </w:r>
    </w:p>
    <w:p>
      <w:pPr>
        <w:pStyle w:val="9"/>
        <w:spacing w:before="4" w:line="242" w:lineRule="auto"/>
        <w:ind w:left="134" w:right="134"/>
        <w:jc w:val="both"/>
        <w:rPr>
          <w:rFonts w:ascii="宋体" w:hAnsi="宋体" w:eastAsia="宋体"/>
        </w:rPr>
      </w:pPr>
      <w:bookmarkStart w:id="260" w:name="1、依据考核情况对各管理作业单位进行经费核定，考核得分在90分以上的，环卫管护经"/>
      <w:bookmarkEnd w:id="260"/>
      <w:r>
        <w:rPr>
          <w:rFonts w:hint="eastAsia" w:ascii="宋体" w:hAnsi="宋体" w:eastAsia="宋体"/>
        </w:rPr>
        <w:t>1、依据考核情况对各管理作业单位进行经费核定，考核得分在90分以上的，环卫管护经费按100%拨付；考核得分在80分—89分，环卫管护经费按97%拨付；考核得分在70—79，环卫管护经费按95%拨付；考核得分在60分—69分，环卫管护经费按90%拨付；考核得分在59分以下的,环卫管护经费按80%拨付。</w:t>
      </w:r>
    </w:p>
    <w:p>
      <w:pPr>
        <w:pStyle w:val="9"/>
        <w:spacing w:before="1" w:line="242" w:lineRule="auto"/>
        <w:ind w:left="134" w:right="134"/>
        <w:rPr>
          <w:rFonts w:ascii="宋体" w:eastAsia="宋体"/>
        </w:rPr>
      </w:pPr>
      <w:bookmarkStart w:id="261" w:name="2、当考核结果连续三月不达标时（低于60分），片区负责人约谈环卫管理单位法定代表"/>
      <w:bookmarkEnd w:id="261"/>
      <w:r>
        <w:rPr>
          <w:rFonts w:hint="eastAsia" w:ascii="宋体" w:eastAsia="宋体"/>
        </w:rPr>
        <w:t>2、当考核结果连续三月不达标时（低于60分），片区负责人约谈环卫管理单位法定代表人，拒不整改或整改不达标的，按协议约定，扣除相应比例的养护管理经费或终止协议。并报行政主管部门，取消其绿化管护合格单位的资格。</w:t>
      </w:r>
    </w:p>
    <w:p>
      <w:pPr>
        <w:pStyle w:val="9"/>
        <w:spacing w:before="6"/>
        <w:rPr>
          <w:rFonts w:ascii="宋体"/>
        </w:rPr>
      </w:pPr>
    </w:p>
    <w:p>
      <w:pPr>
        <w:pStyle w:val="9"/>
        <w:ind w:left="1554" w:right="1556"/>
        <w:jc w:val="center"/>
        <w:rPr>
          <w:rFonts w:ascii="宋体" w:eastAsia="宋体"/>
        </w:rPr>
      </w:pPr>
      <w:bookmarkStart w:id="262" w:name="附件1：《喀什经济开发区环境卫生考核评分标准》"/>
      <w:bookmarkEnd w:id="262"/>
      <w:r>
        <w:rPr>
          <w:rFonts w:hint="eastAsia" w:ascii="宋体" w:eastAsia="宋体"/>
        </w:rPr>
        <w:t>附件1：《喀什经济开发区环境卫生考核评分标准》</w:t>
      </w: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rPr>
          <w:rFonts w:ascii="宋体"/>
          <w:sz w:val="20"/>
        </w:rPr>
      </w:pPr>
    </w:p>
    <w:p>
      <w:pPr>
        <w:pStyle w:val="9"/>
        <w:spacing w:before="9"/>
        <w:rPr>
          <w:rFonts w:ascii="宋体"/>
          <w:sz w:val="27"/>
        </w:rPr>
      </w:pPr>
    </w:p>
    <w:p>
      <w:pPr>
        <w:spacing w:before="74"/>
        <w:ind w:left="1554" w:right="1554"/>
        <w:jc w:val="center"/>
        <w:rPr>
          <w:rFonts w:ascii="宋体"/>
          <w:sz w:val="18"/>
        </w:rPr>
      </w:pPr>
      <w:r>
        <w:rPr>
          <w:rFonts w:ascii="宋体"/>
          <w:sz w:val="18"/>
        </w:rPr>
        <w:t>55</w:t>
      </w:r>
    </w:p>
    <w:p>
      <w:pPr>
        <w:jc w:val="center"/>
        <w:rPr>
          <w:rFonts w:ascii="宋体"/>
          <w:sz w:val="18"/>
        </w:rPr>
        <w:sectPr>
          <w:footerReference r:id="rId14" w:type="default"/>
          <w:pgSz w:w="11910" w:h="16840"/>
          <w:pgMar w:top="1600" w:right="1680" w:bottom="280" w:left="1680" w:header="0" w:footer="0" w:gutter="0"/>
          <w:cols w:space="720" w:num="1"/>
        </w:sectPr>
      </w:pPr>
    </w:p>
    <w:p>
      <w:pPr>
        <w:pStyle w:val="9"/>
        <w:rPr>
          <w:rFonts w:ascii="宋体"/>
          <w:sz w:val="20"/>
        </w:rPr>
      </w:pPr>
    </w:p>
    <w:p>
      <w:pPr>
        <w:pStyle w:val="9"/>
        <w:spacing w:before="8"/>
        <w:rPr>
          <w:rFonts w:ascii="宋体"/>
          <w:sz w:val="29"/>
        </w:rPr>
      </w:pPr>
    </w:p>
    <w:p>
      <w:pPr>
        <w:pStyle w:val="9"/>
        <w:spacing w:before="66"/>
        <w:ind w:left="5216" w:right="5223"/>
        <w:jc w:val="center"/>
        <w:rPr>
          <w:rFonts w:ascii="黑体" w:eastAsia="黑体"/>
        </w:rPr>
      </w:pPr>
      <w:r>
        <w:rPr>
          <w:rFonts w:hint="eastAsia" w:ascii="黑体" w:eastAsia="黑体"/>
        </w:rPr>
        <w:t>喀什经济开发区环境卫生考核评分标准</w:t>
      </w:r>
    </w:p>
    <w:p>
      <w:pPr>
        <w:pStyle w:val="9"/>
        <w:spacing w:before="1" w:after="1"/>
        <w:rPr>
          <w:rFonts w:ascii="黑体"/>
          <w:sz w:val="20"/>
        </w:rPr>
      </w:pPr>
    </w:p>
    <w:tbl>
      <w:tblPr>
        <w:tblStyle w:val="19"/>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5"/>
        <w:gridCol w:w="929"/>
        <w:gridCol w:w="7007"/>
        <w:gridCol w:w="1372"/>
        <w:gridCol w:w="1372"/>
        <w:gridCol w:w="18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1" w:hRule="atLeast"/>
        </w:trPr>
        <w:tc>
          <w:tcPr>
            <w:tcW w:w="1815" w:type="dxa"/>
          </w:tcPr>
          <w:p>
            <w:pPr>
              <w:pStyle w:val="23"/>
              <w:spacing w:before="147"/>
              <w:ind w:left="166" w:right="158"/>
              <w:jc w:val="center"/>
              <w:rPr>
                <w:sz w:val="24"/>
              </w:rPr>
            </w:pPr>
            <w:r>
              <w:rPr>
                <w:sz w:val="24"/>
              </w:rPr>
              <w:t>项目</w:t>
            </w:r>
          </w:p>
        </w:tc>
        <w:tc>
          <w:tcPr>
            <w:tcW w:w="929" w:type="dxa"/>
          </w:tcPr>
          <w:p>
            <w:pPr>
              <w:pStyle w:val="23"/>
              <w:spacing w:before="147"/>
              <w:ind w:left="204" w:right="195"/>
              <w:jc w:val="center"/>
              <w:rPr>
                <w:sz w:val="24"/>
              </w:rPr>
            </w:pPr>
            <w:r>
              <w:rPr>
                <w:sz w:val="24"/>
              </w:rPr>
              <w:t>编号</w:t>
            </w:r>
          </w:p>
        </w:tc>
        <w:tc>
          <w:tcPr>
            <w:tcW w:w="7007" w:type="dxa"/>
          </w:tcPr>
          <w:p>
            <w:pPr>
              <w:pStyle w:val="23"/>
              <w:spacing w:before="147"/>
              <w:ind w:left="3002" w:right="2994"/>
              <w:jc w:val="center"/>
              <w:rPr>
                <w:sz w:val="24"/>
              </w:rPr>
            </w:pPr>
            <w:r>
              <w:rPr>
                <w:sz w:val="24"/>
              </w:rPr>
              <w:t>检查内容</w:t>
            </w:r>
          </w:p>
        </w:tc>
        <w:tc>
          <w:tcPr>
            <w:tcW w:w="1372" w:type="dxa"/>
          </w:tcPr>
          <w:p>
            <w:pPr>
              <w:pStyle w:val="23"/>
              <w:spacing w:before="147"/>
              <w:ind w:left="325"/>
              <w:rPr>
                <w:sz w:val="24"/>
              </w:rPr>
            </w:pPr>
            <w:r>
              <w:rPr>
                <w:sz w:val="24"/>
              </w:rPr>
              <w:t>标准分</w:t>
            </w:r>
          </w:p>
        </w:tc>
        <w:tc>
          <w:tcPr>
            <w:tcW w:w="1372" w:type="dxa"/>
          </w:tcPr>
          <w:p>
            <w:pPr>
              <w:pStyle w:val="23"/>
              <w:spacing w:before="147"/>
              <w:ind w:left="326"/>
              <w:rPr>
                <w:sz w:val="24"/>
              </w:rPr>
            </w:pPr>
            <w:r>
              <w:rPr>
                <w:sz w:val="24"/>
              </w:rPr>
              <w:t>实得分</w:t>
            </w:r>
          </w:p>
        </w:tc>
        <w:tc>
          <w:tcPr>
            <w:tcW w:w="1815" w:type="dxa"/>
          </w:tcPr>
          <w:p>
            <w:pPr>
              <w:pStyle w:val="23"/>
              <w:spacing w:before="147"/>
              <w:ind w:left="425"/>
              <w:rPr>
                <w:sz w:val="24"/>
              </w:rPr>
            </w:pPr>
            <w:r>
              <w:rPr>
                <w:sz w:val="24"/>
              </w:rPr>
              <w:t>扣分说明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trPr>
        <w:tc>
          <w:tcPr>
            <w:tcW w:w="1815" w:type="dxa"/>
            <w:vMerge w:val="restart"/>
          </w:tcPr>
          <w:p>
            <w:pPr>
              <w:pStyle w:val="23"/>
              <w:rPr>
                <w:rFonts w:ascii="黑体"/>
                <w:sz w:val="24"/>
              </w:rPr>
            </w:pPr>
          </w:p>
          <w:p>
            <w:pPr>
              <w:pStyle w:val="23"/>
              <w:rPr>
                <w:rFonts w:ascii="黑体"/>
                <w:sz w:val="24"/>
              </w:rPr>
            </w:pPr>
          </w:p>
          <w:p>
            <w:pPr>
              <w:pStyle w:val="23"/>
              <w:rPr>
                <w:rFonts w:ascii="黑体"/>
                <w:sz w:val="24"/>
              </w:rPr>
            </w:pPr>
          </w:p>
          <w:p>
            <w:pPr>
              <w:pStyle w:val="23"/>
              <w:spacing w:before="10"/>
              <w:rPr>
                <w:rFonts w:ascii="黑体"/>
                <w:sz w:val="20"/>
              </w:rPr>
            </w:pPr>
          </w:p>
          <w:p>
            <w:pPr>
              <w:pStyle w:val="23"/>
              <w:ind w:left="166" w:right="158"/>
              <w:jc w:val="center"/>
              <w:rPr>
                <w:sz w:val="24"/>
              </w:rPr>
            </w:pPr>
            <w:r>
              <w:rPr>
                <w:sz w:val="24"/>
              </w:rPr>
              <w:t>卫生清扫保洁</w:t>
            </w:r>
          </w:p>
          <w:p>
            <w:pPr>
              <w:pStyle w:val="23"/>
              <w:spacing w:before="5"/>
              <w:ind w:left="166" w:right="156"/>
              <w:jc w:val="center"/>
              <w:rPr>
                <w:sz w:val="24"/>
              </w:rPr>
            </w:pPr>
            <w:r>
              <w:rPr>
                <w:sz w:val="24"/>
              </w:rPr>
              <w:t>（4</w:t>
            </w:r>
            <w:r>
              <w:rPr>
                <w:rFonts w:hint="eastAsia"/>
                <w:sz w:val="24"/>
                <w:lang w:val="en-US"/>
              </w:rPr>
              <w:t>5</w:t>
            </w:r>
            <w:r>
              <w:rPr>
                <w:sz w:val="24"/>
              </w:rPr>
              <w:t xml:space="preserve"> 分）</w:t>
            </w:r>
          </w:p>
        </w:tc>
        <w:tc>
          <w:tcPr>
            <w:tcW w:w="929" w:type="dxa"/>
          </w:tcPr>
          <w:p>
            <w:pPr>
              <w:pStyle w:val="23"/>
              <w:spacing w:before="68"/>
              <w:ind w:left="9"/>
              <w:jc w:val="center"/>
              <w:rPr>
                <w:sz w:val="24"/>
              </w:rPr>
            </w:pPr>
            <w:r>
              <w:rPr>
                <w:sz w:val="24"/>
              </w:rPr>
              <w:t>1</w:t>
            </w:r>
          </w:p>
        </w:tc>
        <w:tc>
          <w:tcPr>
            <w:tcW w:w="7007" w:type="dxa"/>
          </w:tcPr>
          <w:p>
            <w:pPr>
              <w:pStyle w:val="23"/>
              <w:spacing w:before="68"/>
              <w:ind w:left="10"/>
              <w:rPr>
                <w:sz w:val="24"/>
              </w:rPr>
            </w:pPr>
            <w:r>
              <w:rPr>
                <w:spacing w:val="-11"/>
                <w:sz w:val="24"/>
              </w:rPr>
              <w:t xml:space="preserve">清扫保洁到位，无花扫现象。每发现一处不符合要求的，扣 </w:t>
            </w:r>
            <w:r>
              <w:rPr>
                <w:sz w:val="24"/>
              </w:rPr>
              <w:t>0.5</w:t>
            </w:r>
            <w:r>
              <w:rPr>
                <w:spacing w:val="-30"/>
                <w:sz w:val="24"/>
              </w:rPr>
              <w:t xml:space="preserve"> 分</w:t>
            </w:r>
          </w:p>
        </w:tc>
        <w:tc>
          <w:tcPr>
            <w:tcW w:w="1372" w:type="dxa"/>
          </w:tcPr>
          <w:p>
            <w:pPr>
              <w:pStyle w:val="23"/>
              <w:tabs>
                <w:tab w:val="left" w:pos="565"/>
              </w:tabs>
              <w:spacing w:before="68"/>
              <w:ind w:left="-133"/>
              <w:rPr>
                <w:sz w:val="24"/>
              </w:rPr>
            </w:pPr>
            <w:r>
              <w:rPr>
                <w:sz w:val="24"/>
              </w:rPr>
              <w:t>。</w:t>
            </w:r>
            <w:r>
              <w:rPr>
                <w:sz w:val="24"/>
              </w:rPr>
              <w:tab/>
            </w:r>
            <w:r>
              <w:rPr>
                <w:sz w:val="24"/>
              </w:rPr>
              <w:t>10</w:t>
            </w:r>
          </w:p>
        </w:tc>
        <w:tc>
          <w:tcPr>
            <w:tcW w:w="1372" w:type="dxa"/>
          </w:tcPr>
          <w:p>
            <w:pPr>
              <w:pStyle w:val="23"/>
              <w:rPr>
                <w:rFonts w:ascii="Times New Roman"/>
              </w:rPr>
            </w:pPr>
          </w:p>
        </w:tc>
        <w:tc>
          <w:tcPr>
            <w:tcW w:w="1815"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5" w:hRule="atLeast"/>
        </w:trPr>
        <w:tc>
          <w:tcPr>
            <w:tcW w:w="1815" w:type="dxa"/>
            <w:vMerge w:val="continue"/>
          </w:tcPr>
          <w:p>
            <w:pPr>
              <w:rPr>
                <w:sz w:val="2"/>
                <w:szCs w:val="2"/>
              </w:rPr>
            </w:pPr>
          </w:p>
        </w:tc>
        <w:tc>
          <w:tcPr>
            <w:tcW w:w="929" w:type="dxa"/>
          </w:tcPr>
          <w:p>
            <w:pPr>
              <w:pStyle w:val="23"/>
              <w:spacing w:before="169"/>
              <w:ind w:left="9"/>
              <w:jc w:val="center"/>
              <w:rPr>
                <w:sz w:val="24"/>
              </w:rPr>
            </w:pPr>
            <w:r>
              <w:rPr>
                <w:sz w:val="24"/>
              </w:rPr>
              <w:t>2</w:t>
            </w:r>
          </w:p>
        </w:tc>
        <w:tc>
          <w:tcPr>
            <w:tcW w:w="7007" w:type="dxa"/>
          </w:tcPr>
          <w:p>
            <w:pPr>
              <w:pStyle w:val="23"/>
              <w:spacing w:before="10" w:line="310" w:lineRule="atLeast"/>
              <w:ind w:left="10"/>
              <w:rPr>
                <w:sz w:val="24"/>
              </w:rPr>
            </w:pPr>
            <w:r>
              <w:rPr>
                <w:spacing w:val="-13"/>
                <w:sz w:val="24"/>
              </w:rPr>
              <w:t xml:space="preserve">片区内无暴露垃圾、无卫生死角，每发现一处不符合要求的，扣 </w:t>
            </w:r>
            <w:r>
              <w:rPr>
                <w:spacing w:val="-6"/>
                <w:sz w:val="24"/>
              </w:rPr>
              <w:t xml:space="preserve">0.5 </w:t>
            </w:r>
            <w:r>
              <w:rPr>
                <w:sz w:val="24"/>
              </w:rPr>
              <w:t>分。</w:t>
            </w:r>
          </w:p>
        </w:tc>
        <w:tc>
          <w:tcPr>
            <w:tcW w:w="1372" w:type="dxa"/>
          </w:tcPr>
          <w:p>
            <w:pPr>
              <w:pStyle w:val="23"/>
              <w:spacing w:before="169"/>
              <w:ind w:left="545" w:right="536"/>
              <w:jc w:val="center"/>
              <w:rPr>
                <w:sz w:val="24"/>
              </w:rPr>
            </w:pPr>
            <w:r>
              <w:rPr>
                <w:sz w:val="24"/>
              </w:rPr>
              <w:t>10</w:t>
            </w:r>
          </w:p>
        </w:tc>
        <w:tc>
          <w:tcPr>
            <w:tcW w:w="1372" w:type="dxa"/>
          </w:tcPr>
          <w:p>
            <w:pPr>
              <w:pStyle w:val="23"/>
              <w:rPr>
                <w:rFonts w:ascii="Times New Roman"/>
              </w:rPr>
            </w:pPr>
          </w:p>
        </w:tc>
        <w:tc>
          <w:tcPr>
            <w:tcW w:w="1815"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8" w:hRule="atLeast"/>
        </w:trPr>
        <w:tc>
          <w:tcPr>
            <w:tcW w:w="1815" w:type="dxa"/>
            <w:vMerge w:val="continue"/>
          </w:tcPr>
          <w:p>
            <w:pPr>
              <w:rPr>
                <w:sz w:val="2"/>
                <w:szCs w:val="2"/>
              </w:rPr>
            </w:pPr>
          </w:p>
        </w:tc>
        <w:tc>
          <w:tcPr>
            <w:tcW w:w="929" w:type="dxa"/>
          </w:tcPr>
          <w:p>
            <w:pPr>
              <w:pStyle w:val="23"/>
              <w:spacing w:before="2"/>
              <w:rPr>
                <w:rFonts w:ascii="黑体"/>
                <w:sz w:val="25"/>
              </w:rPr>
            </w:pPr>
          </w:p>
          <w:p>
            <w:pPr>
              <w:pStyle w:val="23"/>
              <w:spacing w:before="1"/>
              <w:ind w:left="9"/>
              <w:jc w:val="center"/>
              <w:rPr>
                <w:sz w:val="24"/>
              </w:rPr>
            </w:pPr>
            <w:r>
              <w:rPr>
                <w:sz w:val="24"/>
              </w:rPr>
              <w:t>3</w:t>
            </w:r>
          </w:p>
        </w:tc>
        <w:tc>
          <w:tcPr>
            <w:tcW w:w="7007" w:type="dxa"/>
          </w:tcPr>
          <w:p>
            <w:pPr>
              <w:pStyle w:val="23"/>
              <w:spacing w:before="5" w:line="291" w:lineRule="exact"/>
              <w:ind w:left="10"/>
              <w:rPr>
                <w:sz w:val="24"/>
              </w:rPr>
            </w:pPr>
            <w:r>
              <w:rPr>
                <w:rFonts w:hint="eastAsia"/>
                <w:sz w:val="24"/>
              </w:rPr>
              <w:t>每日片区内路段洒水次数：早9点一次，晚19点一次，有一次未洒水扣1分。</w:t>
            </w:r>
          </w:p>
        </w:tc>
        <w:tc>
          <w:tcPr>
            <w:tcW w:w="1372" w:type="dxa"/>
          </w:tcPr>
          <w:p>
            <w:pPr>
              <w:pStyle w:val="23"/>
              <w:spacing w:before="1"/>
              <w:ind w:left="545" w:right="536"/>
              <w:jc w:val="center"/>
              <w:rPr>
                <w:rFonts w:ascii="黑体"/>
                <w:sz w:val="25"/>
                <w:lang w:val="en-US"/>
              </w:rPr>
            </w:pPr>
          </w:p>
          <w:p>
            <w:pPr>
              <w:pStyle w:val="23"/>
              <w:spacing w:before="1"/>
              <w:ind w:left="545" w:right="536"/>
              <w:jc w:val="center"/>
              <w:rPr>
                <w:sz w:val="24"/>
                <w:lang w:val="en-US"/>
              </w:rPr>
            </w:pPr>
            <w:r>
              <w:rPr>
                <w:rFonts w:hint="eastAsia"/>
                <w:sz w:val="24"/>
                <w:lang w:val="en-US"/>
              </w:rPr>
              <w:t>5</w:t>
            </w:r>
          </w:p>
        </w:tc>
        <w:tc>
          <w:tcPr>
            <w:tcW w:w="1372" w:type="dxa"/>
          </w:tcPr>
          <w:p>
            <w:pPr>
              <w:pStyle w:val="23"/>
              <w:rPr>
                <w:rFonts w:ascii="Times New Roman"/>
                <w:lang w:val="en-US"/>
              </w:rPr>
            </w:pPr>
          </w:p>
        </w:tc>
        <w:tc>
          <w:tcPr>
            <w:tcW w:w="1815"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1815" w:type="dxa"/>
            <w:vMerge w:val="continue"/>
          </w:tcPr>
          <w:p>
            <w:pPr>
              <w:rPr>
                <w:sz w:val="2"/>
                <w:szCs w:val="2"/>
              </w:rPr>
            </w:pPr>
          </w:p>
        </w:tc>
        <w:tc>
          <w:tcPr>
            <w:tcW w:w="929" w:type="dxa"/>
          </w:tcPr>
          <w:p>
            <w:pPr>
              <w:pStyle w:val="23"/>
              <w:spacing w:before="2"/>
              <w:rPr>
                <w:rFonts w:ascii="黑体"/>
                <w:sz w:val="25"/>
              </w:rPr>
            </w:pPr>
          </w:p>
          <w:p>
            <w:pPr>
              <w:pStyle w:val="23"/>
              <w:ind w:left="9"/>
              <w:jc w:val="center"/>
              <w:rPr>
                <w:sz w:val="24"/>
              </w:rPr>
            </w:pPr>
            <w:r>
              <w:rPr>
                <w:sz w:val="24"/>
              </w:rPr>
              <w:t>4</w:t>
            </w:r>
          </w:p>
        </w:tc>
        <w:tc>
          <w:tcPr>
            <w:tcW w:w="7007" w:type="dxa"/>
          </w:tcPr>
          <w:p>
            <w:pPr>
              <w:pStyle w:val="23"/>
              <w:spacing w:before="2" w:line="310" w:lineRule="atLeast"/>
              <w:ind w:left="10" w:right="135"/>
              <w:rPr>
                <w:sz w:val="24"/>
              </w:rPr>
            </w:pPr>
            <w:r>
              <w:rPr>
                <w:rFonts w:hint="eastAsia"/>
                <w:spacing w:val="-8"/>
                <w:sz w:val="24"/>
              </w:rPr>
              <w:t>道路（包括人行道）每日普扫一遍，早12:00前完成第一遍普扫，下午17.00完成第二遍清扫，全天巡回保洁。未按规定时间完成普扫任务的，每路段每次扣1分。</w:t>
            </w:r>
          </w:p>
        </w:tc>
        <w:tc>
          <w:tcPr>
            <w:tcW w:w="1372" w:type="dxa"/>
          </w:tcPr>
          <w:p>
            <w:pPr>
              <w:pStyle w:val="23"/>
              <w:spacing w:before="2"/>
              <w:rPr>
                <w:rFonts w:ascii="黑体"/>
                <w:sz w:val="25"/>
              </w:rPr>
            </w:pPr>
          </w:p>
          <w:p>
            <w:pPr>
              <w:pStyle w:val="23"/>
              <w:ind w:left="545" w:right="536"/>
              <w:jc w:val="center"/>
              <w:rPr>
                <w:sz w:val="24"/>
              </w:rPr>
            </w:pPr>
            <w:r>
              <w:rPr>
                <w:sz w:val="24"/>
              </w:rPr>
              <w:t>10</w:t>
            </w:r>
          </w:p>
        </w:tc>
        <w:tc>
          <w:tcPr>
            <w:tcW w:w="1372" w:type="dxa"/>
          </w:tcPr>
          <w:p>
            <w:pPr>
              <w:pStyle w:val="23"/>
              <w:rPr>
                <w:rFonts w:ascii="Times New Roman"/>
              </w:rPr>
            </w:pPr>
          </w:p>
        </w:tc>
        <w:tc>
          <w:tcPr>
            <w:tcW w:w="1815"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5" w:hRule="atLeast"/>
        </w:trPr>
        <w:tc>
          <w:tcPr>
            <w:tcW w:w="1815" w:type="dxa"/>
            <w:vMerge w:val="continue"/>
          </w:tcPr>
          <w:p>
            <w:pPr>
              <w:rPr>
                <w:sz w:val="2"/>
                <w:szCs w:val="2"/>
              </w:rPr>
            </w:pPr>
          </w:p>
        </w:tc>
        <w:tc>
          <w:tcPr>
            <w:tcW w:w="929" w:type="dxa"/>
          </w:tcPr>
          <w:p>
            <w:pPr>
              <w:pStyle w:val="23"/>
              <w:ind w:left="9"/>
              <w:jc w:val="center"/>
              <w:rPr>
                <w:sz w:val="24"/>
                <w:lang w:val="en-US"/>
              </w:rPr>
            </w:pPr>
          </w:p>
          <w:p>
            <w:pPr>
              <w:pStyle w:val="23"/>
              <w:ind w:left="9"/>
              <w:jc w:val="center"/>
              <w:rPr>
                <w:sz w:val="24"/>
                <w:lang w:val="en-US"/>
              </w:rPr>
            </w:pPr>
            <w:r>
              <w:rPr>
                <w:rFonts w:hint="eastAsia"/>
                <w:sz w:val="24"/>
                <w:lang w:val="en-US"/>
              </w:rPr>
              <w:t>5</w:t>
            </w:r>
          </w:p>
        </w:tc>
        <w:tc>
          <w:tcPr>
            <w:tcW w:w="7007" w:type="dxa"/>
          </w:tcPr>
          <w:p>
            <w:pPr>
              <w:pStyle w:val="23"/>
              <w:spacing w:before="2" w:line="310" w:lineRule="atLeast"/>
              <w:ind w:left="10" w:right="135"/>
              <w:rPr>
                <w:sz w:val="24"/>
              </w:rPr>
            </w:pPr>
            <w:r>
              <w:rPr>
                <w:rFonts w:hint="eastAsia"/>
                <w:sz w:val="24"/>
              </w:rPr>
              <w:t>清扫保洁工作必须做到“六净”标准(路面净、绿化带净、公共场地净、路沿石根净、墙根净、电线杆净)，有一项不达标每次扣0.5分。</w:t>
            </w:r>
          </w:p>
        </w:tc>
        <w:tc>
          <w:tcPr>
            <w:tcW w:w="1372" w:type="dxa"/>
          </w:tcPr>
          <w:p>
            <w:pPr>
              <w:pStyle w:val="23"/>
              <w:ind w:left="545" w:right="536"/>
              <w:jc w:val="center"/>
              <w:rPr>
                <w:sz w:val="24"/>
                <w:lang w:val="en-US"/>
              </w:rPr>
            </w:pPr>
          </w:p>
          <w:p>
            <w:pPr>
              <w:pStyle w:val="23"/>
              <w:ind w:left="545" w:right="536"/>
              <w:jc w:val="center"/>
              <w:rPr>
                <w:sz w:val="24"/>
                <w:lang w:val="en-US"/>
              </w:rPr>
            </w:pPr>
            <w:r>
              <w:rPr>
                <w:rFonts w:hint="eastAsia"/>
                <w:sz w:val="24"/>
                <w:lang w:val="en-US"/>
              </w:rPr>
              <w:t>10</w:t>
            </w:r>
          </w:p>
        </w:tc>
        <w:tc>
          <w:tcPr>
            <w:tcW w:w="1372" w:type="dxa"/>
          </w:tcPr>
          <w:p>
            <w:pPr>
              <w:pStyle w:val="23"/>
              <w:rPr>
                <w:rFonts w:ascii="Times New Roman"/>
              </w:rPr>
            </w:pPr>
          </w:p>
        </w:tc>
        <w:tc>
          <w:tcPr>
            <w:tcW w:w="1815"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2" w:hRule="atLeast"/>
        </w:trPr>
        <w:tc>
          <w:tcPr>
            <w:tcW w:w="1815" w:type="dxa"/>
            <w:vMerge w:val="restart"/>
          </w:tcPr>
          <w:p>
            <w:pPr>
              <w:pStyle w:val="23"/>
              <w:rPr>
                <w:rFonts w:ascii="黑体"/>
                <w:sz w:val="24"/>
              </w:rPr>
            </w:pPr>
          </w:p>
          <w:p>
            <w:pPr>
              <w:pStyle w:val="23"/>
              <w:rPr>
                <w:rFonts w:ascii="黑体"/>
                <w:sz w:val="24"/>
              </w:rPr>
            </w:pPr>
          </w:p>
          <w:p>
            <w:pPr>
              <w:pStyle w:val="23"/>
              <w:spacing w:before="1"/>
              <w:rPr>
                <w:rFonts w:ascii="黑体"/>
                <w:sz w:val="28"/>
              </w:rPr>
            </w:pPr>
          </w:p>
          <w:p>
            <w:pPr>
              <w:pStyle w:val="23"/>
              <w:ind w:left="166" w:right="158"/>
              <w:jc w:val="center"/>
              <w:rPr>
                <w:sz w:val="24"/>
              </w:rPr>
            </w:pPr>
            <w:r>
              <w:rPr>
                <w:sz w:val="24"/>
              </w:rPr>
              <w:t>垃圾收运作业</w:t>
            </w:r>
          </w:p>
          <w:p>
            <w:pPr>
              <w:pStyle w:val="23"/>
              <w:spacing w:before="5"/>
              <w:ind w:left="166" w:right="156"/>
              <w:jc w:val="center"/>
              <w:rPr>
                <w:sz w:val="24"/>
              </w:rPr>
            </w:pPr>
            <w:r>
              <w:rPr>
                <w:sz w:val="24"/>
              </w:rPr>
              <w:t>（3</w:t>
            </w:r>
            <w:r>
              <w:rPr>
                <w:rFonts w:hint="eastAsia"/>
                <w:sz w:val="24"/>
                <w:lang w:val="en-US"/>
              </w:rPr>
              <w:t>0</w:t>
            </w:r>
            <w:r>
              <w:rPr>
                <w:sz w:val="24"/>
              </w:rPr>
              <w:t xml:space="preserve"> 分）</w:t>
            </w:r>
          </w:p>
        </w:tc>
        <w:tc>
          <w:tcPr>
            <w:tcW w:w="929" w:type="dxa"/>
          </w:tcPr>
          <w:p>
            <w:pPr>
              <w:pStyle w:val="23"/>
              <w:spacing w:before="11"/>
              <w:rPr>
                <w:rFonts w:ascii="黑体"/>
                <w:sz w:val="17"/>
              </w:rPr>
            </w:pPr>
          </w:p>
          <w:p>
            <w:pPr>
              <w:pStyle w:val="23"/>
              <w:ind w:left="9"/>
              <w:jc w:val="center"/>
              <w:rPr>
                <w:sz w:val="24"/>
              </w:rPr>
            </w:pPr>
            <w:r>
              <w:rPr>
                <w:sz w:val="24"/>
              </w:rPr>
              <w:t>5</w:t>
            </w:r>
          </w:p>
        </w:tc>
        <w:tc>
          <w:tcPr>
            <w:tcW w:w="7007" w:type="dxa"/>
            <w:vAlign w:val="center"/>
          </w:tcPr>
          <w:p>
            <w:pPr>
              <w:widowControl/>
              <w:textAlignment w:val="center"/>
              <w:rPr>
                <w:sz w:val="24"/>
              </w:rPr>
            </w:pPr>
            <w:r>
              <w:rPr>
                <w:rFonts w:hint="eastAsia" w:ascii="宋体" w:hAnsi="宋体" w:eastAsia="宋体" w:cs="宋体"/>
                <w:color w:val="000000"/>
                <w:lang w:val="en-US" w:bidi="ar"/>
              </w:rPr>
              <w:t>生活垃圾清运达到日产日清。有一项不达标每次扣1分。（根据实际路段情况而定）</w:t>
            </w:r>
          </w:p>
        </w:tc>
        <w:tc>
          <w:tcPr>
            <w:tcW w:w="1372" w:type="dxa"/>
          </w:tcPr>
          <w:p>
            <w:pPr>
              <w:pStyle w:val="23"/>
              <w:spacing w:before="11"/>
              <w:rPr>
                <w:rFonts w:ascii="黑体"/>
                <w:sz w:val="17"/>
              </w:rPr>
            </w:pPr>
          </w:p>
          <w:p>
            <w:pPr>
              <w:pStyle w:val="23"/>
              <w:ind w:left="545" w:right="536"/>
              <w:jc w:val="center"/>
              <w:rPr>
                <w:sz w:val="24"/>
              </w:rPr>
            </w:pPr>
            <w:r>
              <w:rPr>
                <w:sz w:val="24"/>
              </w:rPr>
              <w:t>10</w:t>
            </w:r>
          </w:p>
        </w:tc>
        <w:tc>
          <w:tcPr>
            <w:tcW w:w="1372" w:type="dxa"/>
          </w:tcPr>
          <w:p>
            <w:pPr>
              <w:pStyle w:val="23"/>
              <w:rPr>
                <w:rFonts w:ascii="Times New Roman"/>
              </w:rPr>
            </w:pPr>
          </w:p>
        </w:tc>
        <w:tc>
          <w:tcPr>
            <w:tcW w:w="1815"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trPr>
        <w:tc>
          <w:tcPr>
            <w:tcW w:w="1815" w:type="dxa"/>
            <w:vMerge w:val="continue"/>
            <w:tcBorders>
              <w:top w:val="nil"/>
            </w:tcBorders>
          </w:tcPr>
          <w:p>
            <w:pPr>
              <w:rPr>
                <w:sz w:val="2"/>
                <w:szCs w:val="2"/>
              </w:rPr>
            </w:pPr>
          </w:p>
        </w:tc>
        <w:tc>
          <w:tcPr>
            <w:tcW w:w="929" w:type="dxa"/>
          </w:tcPr>
          <w:p>
            <w:pPr>
              <w:pStyle w:val="23"/>
              <w:spacing w:before="88"/>
              <w:ind w:left="9"/>
              <w:jc w:val="center"/>
              <w:rPr>
                <w:sz w:val="24"/>
              </w:rPr>
            </w:pPr>
            <w:r>
              <w:rPr>
                <w:sz w:val="24"/>
              </w:rPr>
              <w:t>6</w:t>
            </w:r>
          </w:p>
        </w:tc>
        <w:tc>
          <w:tcPr>
            <w:tcW w:w="7007" w:type="dxa"/>
            <w:vAlign w:val="center"/>
          </w:tcPr>
          <w:p>
            <w:pPr>
              <w:widowControl/>
              <w:textAlignment w:val="center"/>
              <w:rPr>
                <w:sz w:val="24"/>
              </w:rPr>
            </w:pPr>
            <w:r>
              <w:rPr>
                <w:rFonts w:hint="eastAsia" w:ascii="宋体" w:hAnsi="宋体" w:eastAsia="宋体" w:cs="宋体"/>
                <w:color w:val="000000"/>
                <w:lang w:val="en-US" w:bidi="ar"/>
              </w:rPr>
              <w:t>垃圾必须在指定场地倾倒，发现不按要求倾倒垃圾的，扣5分。</w:t>
            </w:r>
          </w:p>
        </w:tc>
        <w:tc>
          <w:tcPr>
            <w:tcW w:w="1372" w:type="dxa"/>
          </w:tcPr>
          <w:p>
            <w:pPr>
              <w:pStyle w:val="23"/>
              <w:spacing w:before="88"/>
              <w:ind w:left="545" w:right="536"/>
              <w:jc w:val="center"/>
              <w:rPr>
                <w:sz w:val="24"/>
              </w:rPr>
            </w:pPr>
            <w:r>
              <w:rPr>
                <w:sz w:val="24"/>
              </w:rPr>
              <w:t>10</w:t>
            </w:r>
          </w:p>
        </w:tc>
        <w:tc>
          <w:tcPr>
            <w:tcW w:w="1372" w:type="dxa"/>
          </w:tcPr>
          <w:p>
            <w:pPr>
              <w:pStyle w:val="23"/>
              <w:rPr>
                <w:rFonts w:ascii="Times New Roman"/>
              </w:rPr>
            </w:pPr>
          </w:p>
        </w:tc>
        <w:tc>
          <w:tcPr>
            <w:tcW w:w="1815"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1" w:hRule="atLeast"/>
        </w:trPr>
        <w:tc>
          <w:tcPr>
            <w:tcW w:w="1815" w:type="dxa"/>
            <w:vMerge w:val="continue"/>
            <w:tcBorders>
              <w:top w:val="nil"/>
            </w:tcBorders>
          </w:tcPr>
          <w:p>
            <w:pPr>
              <w:rPr>
                <w:sz w:val="2"/>
                <w:szCs w:val="2"/>
              </w:rPr>
            </w:pPr>
          </w:p>
        </w:tc>
        <w:tc>
          <w:tcPr>
            <w:tcW w:w="929" w:type="dxa"/>
          </w:tcPr>
          <w:p>
            <w:pPr>
              <w:pStyle w:val="23"/>
              <w:spacing w:before="187"/>
              <w:ind w:left="9"/>
              <w:jc w:val="center"/>
              <w:rPr>
                <w:sz w:val="24"/>
              </w:rPr>
            </w:pPr>
            <w:r>
              <w:rPr>
                <w:sz w:val="24"/>
              </w:rPr>
              <w:t>7</w:t>
            </w:r>
          </w:p>
        </w:tc>
        <w:tc>
          <w:tcPr>
            <w:tcW w:w="7007" w:type="dxa"/>
            <w:vAlign w:val="center"/>
          </w:tcPr>
          <w:p>
            <w:pPr>
              <w:widowControl/>
              <w:textAlignment w:val="center"/>
              <w:rPr>
                <w:sz w:val="24"/>
              </w:rPr>
            </w:pPr>
            <w:r>
              <w:rPr>
                <w:rFonts w:hint="eastAsia" w:ascii="宋体" w:hAnsi="宋体" w:eastAsia="宋体" w:cs="宋体"/>
                <w:color w:val="000000"/>
                <w:lang w:val="en-US" w:bidi="ar"/>
              </w:rPr>
              <w:t>辖区内无卫生死角，无积存建筑垃圾。发现卫生死角，每处扣2分，积存建筑垃圾每处扣5分。</w:t>
            </w:r>
          </w:p>
        </w:tc>
        <w:tc>
          <w:tcPr>
            <w:tcW w:w="1372" w:type="dxa"/>
          </w:tcPr>
          <w:p>
            <w:pPr>
              <w:pStyle w:val="23"/>
              <w:tabs>
                <w:tab w:val="left" w:pos="565"/>
              </w:tabs>
              <w:spacing w:before="27"/>
              <w:ind w:left="-133"/>
              <w:rPr>
                <w:sz w:val="24"/>
              </w:rPr>
            </w:pPr>
            <w:r>
              <w:rPr>
                <w:position w:val="16"/>
                <w:sz w:val="24"/>
              </w:rPr>
              <w:t>，</w:t>
            </w:r>
            <w:r>
              <w:rPr>
                <w:rFonts w:hint="eastAsia"/>
                <w:position w:val="16"/>
                <w:sz w:val="24"/>
                <w:lang w:val="en-US"/>
              </w:rPr>
              <w:t xml:space="preserve">     </w:t>
            </w:r>
            <w:r>
              <w:rPr>
                <w:rFonts w:hint="eastAsia"/>
                <w:sz w:val="24"/>
                <w:lang w:val="en-US"/>
              </w:rPr>
              <w:t>5</w:t>
            </w:r>
          </w:p>
        </w:tc>
        <w:tc>
          <w:tcPr>
            <w:tcW w:w="1372" w:type="dxa"/>
          </w:tcPr>
          <w:p>
            <w:pPr>
              <w:pStyle w:val="23"/>
              <w:rPr>
                <w:rFonts w:ascii="Times New Roman"/>
              </w:rPr>
            </w:pPr>
          </w:p>
        </w:tc>
        <w:tc>
          <w:tcPr>
            <w:tcW w:w="1815"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5" w:hRule="atLeast"/>
        </w:trPr>
        <w:tc>
          <w:tcPr>
            <w:tcW w:w="1815" w:type="dxa"/>
            <w:vMerge w:val="continue"/>
            <w:tcBorders>
              <w:top w:val="nil"/>
            </w:tcBorders>
          </w:tcPr>
          <w:p>
            <w:pPr>
              <w:rPr>
                <w:sz w:val="2"/>
                <w:szCs w:val="2"/>
              </w:rPr>
            </w:pPr>
          </w:p>
        </w:tc>
        <w:tc>
          <w:tcPr>
            <w:tcW w:w="929" w:type="dxa"/>
          </w:tcPr>
          <w:p>
            <w:pPr>
              <w:pStyle w:val="23"/>
              <w:spacing w:before="170"/>
              <w:ind w:left="9"/>
              <w:jc w:val="center"/>
              <w:rPr>
                <w:sz w:val="24"/>
              </w:rPr>
            </w:pPr>
            <w:r>
              <w:rPr>
                <w:sz w:val="24"/>
              </w:rPr>
              <w:t>8</w:t>
            </w:r>
          </w:p>
        </w:tc>
        <w:tc>
          <w:tcPr>
            <w:tcW w:w="7007" w:type="dxa"/>
            <w:vAlign w:val="center"/>
          </w:tcPr>
          <w:p>
            <w:pPr>
              <w:widowControl/>
              <w:textAlignment w:val="center"/>
              <w:rPr>
                <w:sz w:val="24"/>
              </w:rPr>
            </w:pPr>
            <w:r>
              <w:rPr>
                <w:rFonts w:hint="eastAsia" w:ascii="宋体" w:hAnsi="宋体" w:eastAsia="宋体" w:cs="宋体"/>
                <w:color w:val="000000"/>
                <w:lang w:val="en-US" w:bidi="ar"/>
              </w:rPr>
              <w:t>运输垃圾过程中产生渗漏、掉落、溢出未及时清理抓出一次扣0.5分。</w:t>
            </w:r>
          </w:p>
        </w:tc>
        <w:tc>
          <w:tcPr>
            <w:tcW w:w="1372" w:type="dxa"/>
          </w:tcPr>
          <w:p>
            <w:pPr>
              <w:pStyle w:val="23"/>
              <w:spacing w:before="170"/>
              <w:ind w:left="9"/>
              <w:jc w:val="center"/>
              <w:rPr>
                <w:sz w:val="24"/>
              </w:rPr>
            </w:pPr>
            <w:r>
              <w:rPr>
                <w:sz w:val="24"/>
              </w:rPr>
              <w:t>5</w:t>
            </w:r>
          </w:p>
        </w:tc>
        <w:tc>
          <w:tcPr>
            <w:tcW w:w="1372" w:type="dxa"/>
          </w:tcPr>
          <w:p>
            <w:pPr>
              <w:pStyle w:val="23"/>
              <w:rPr>
                <w:rFonts w:ascii="Times New Roman"/>
              </w:rPr>
            </w:pPr>
          </w:p>
        </w:tc>
        <w:tc>
          <w:tcPr>
            <w:tcW w:w="1815"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50" w:hRule="atLeast"/>
        </w:trPr>
        <w:tc>
          <w:tcPr>
            <w:tcW w:w="1815" w:type="dxa"/>
          </w:tcPr>
          <w:p>
            <w:pPr>
              <w:pStyle w:val="23"/>
              <w:spacing w:before="120" w:line="242" w:lineRule="auto"/>
              <w:ind w:left="277" w:right="56" w:hanging="212"/>
              <w:rPr>
                <w:sz w:val="24"/>
              </w:rPr>
            </w:pPr>
            <w:r>
              <w:rPr>
                <w:sz w:val="24"/>
              </w:rPr>
              <w:t>环卫设施设备管理（</w:t>
            </w:r>
            <w:r>
              <w:rPr>
                <w:rFonts w:hint="eastAsia"/>
                <w:sz w:val="24"/>
                <w:lang w:val="en-US"/>
              </w:rPr>
              <w:t>5</w:t>
            </w:r>
            <w:r>
              <w:rPr>
                <w:sz w:val="24"/>
              </w:rPr>
              <w:t xml:space="preserve"> 分）</w:t>
            </w:r>
          </w:p>
        </w:tc>
        <w:tc>
          <w:tcPr>
            <w:tcW w:w="929" w:type="dxa"/>
          </w:tcPr>
          <w:p>
            <w:pPr>
              <w:pStyle w:val="23"/>
              <w:spacing w:before="7"/>
              <w:rPr>
                <w:rFonts w:ascii="黑体"/>
                <w:sz w:val="21"/>
              </w:rPr>
            </w:pPr>
          </w:p>
          <w:p>
            <w:pPr>
              <w:pStyle w:val="23"/>
              <w:ind w:left="9"/>
              <w:jc w:val="center"/>
              <w:rPr>
                <w:sz w:val="24"/>
              </w:rPr>
            </w:pPr>
            <w:r>
              <w:rPr>
                <w:sz w:val="24"/>
              </w:rPr>
              <w:t>9</w:t>
            </w:r>
          </w:p>
        </w:tc>
        <w:tc>
          <w:tcPr>
            <w:tcW w:w="7007" w:type="dxa"/>
          </w:tcPr>
          <w:p>
            <w:pPr>
              <w:pStyle w:val="23"/>
              <w:spacing w:before="120" w:line="242" w:lineRule="auto"/>
              <w:ind w:left="10" w:right="24"/>
              <w:rPr>
                <w:sz w:val="24"/>
              </w:rPr>
            </w:pPr>
            <w:r>
              <w:rPr>
                <w:rFonts w:hint="eastAsia"/>
                <w:sz w:val="24"/>
              </w:rPr>
              <w:t>每位保洁人员应配备一辆垃圾专用车、配备扫把、铁夹子等专业工具。每缺一项，扣0.5分。</w:t>
            </w:r>
          </w:p>
        </w:tc>
        <w:tc>
          <w:tcPr>
            <w:tcW w:w="1372" w:type="dxa"/>
          </w:tcPr>
          <w:p>
            <w:pPr>
              <w:pStyle w:val="23"/>
              <w:spacing w:before="7"/>
              <w:rPr>
                <w:rFonts w:ascii="黑体"/>
                <w:sz w:val="21"/>
              </w:rPr>
            </w:pPr>
          </w:p>
          <w:p>
            <w:pPr>
              <w:pStyle w:val="23"/>
              <w:ind w:left="9"/>
              <w:jc w:val="center"/>
              <w:rPr>
                <w:sz w:val="24"/>
              </w:rPr>
            </w:pPr>
            <w:r>
              <w:rPr>
                <w:sz w:val="24"/>
              </w:rPr>
              <w:t>5</w:t>
            </w:r>
          </w:p>
        </w:tc>
        <w:tc>
          <w:tcPr>
            <w:tcW w:w="1372" w:type="dxa"/>
          </w:tcPr>
          <w:p>
            <w:pPr>
              <w:pStyle w:val="23"/>
              <w:rPr>
                <w:rFonts w:ascii="Times New Roman"/>
              </w:rPr>
            </w:pPr>
          </w:p>
        </w:tc>
        <w:tc>
          <w:tcPr>
            <w:tcW w:w="1815" w:type="dxa"/>
          </w:tcPr>
          <w:p>
            <w:pPr>
              <w:pStyle w:val="23"/>
              <w:rPr>
                <w:rFonts w:ascii="Times New Roman"/>
              </w:rPr>
            </w:pPr>
          </w:p>
        </w:tc>
      </w:tr>
    </w:tbl>
    <w:p>
      <w:pPr>
        <w:rPr>
          <w:rFonts w:ascii="Times New Roman"/>
        </w:rPr>
        <w:sectPr>
          <w:footerReference r:id="rId15" w:type="default"/>
          <w:pgSz w:w="16840" w:h="11910" w:orient="landscape"/>
          <w:pgMar w:top="1100" w:right="940" w:bottom="1200" w:left="1340" w:header="0" w:footer="1012" w:gutter="0"/>
          <w:pgNumType w:start="56"/>
          <w:cols w:space="720" w:num="1"/>
        </w:sectPr>
      </w:pPr>
    </w:p>
    <w:p>
      <w:pPr>
        <w:pStyle w:val="9"/>
        <w:rPr>
          <w:rFonts w:ascii="Times New Roman"/>
          <w:sz w:val="20"/>
        </w:rPr>
      </w:pPr>
    </w:p>
    <w:p>
      <w:pPr>
        <w:pStyle w:val="9"/>
        <w:rPr>
          <w:rFonts w:ascii="Times New Roman"/>
          <w:sz w:val="20"/>
        </w:rPr>
      </w:pPr>
    </w:p>
    <w:p>
      <w:pPr>
        <w:pStyle w:val="9"/>
        <w:spacing w:before="5"/>
        <w:rPr>
          <w:rFonts w:ascii="Times New Roman"/>
          <w:sz w:val="21"/>
        </w:rPr>
      </w:pPr>
    </w:p>
    <w:tbl>
      <w:tblPr>
        <w:tblStyle w:val="19"/>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15"/>
        <w:gridCol w:w="929"/>
        <w:gridCol w:w="7007"/>
        <w:gridCol w:w="1372"/>
        <w:gridCol w:w="1372"/>
        <w:gridCol w:w="181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1815" w:type="dxa"/>
            <w:vMerge w:val="restart"/>
          </w:tcPr>
          <w:p>
            <w:pPr>
              <w:pStyle w:val="23"/>
              <w:rPr>
                <w:rFonts w:ascii="Times New Roman"/>
                <w:sz w:val="24"/>
              </w:rPr>
            </w:pPr>
          </w:p>
          <w:p>
            <w:pPr>
              <w:pStyle w:val="23"/>
              <w:spacing w:before="3"/>
              <w:rPr>
                <w:rFonts w:ascii="Times New Roman"/>
                <w:sz w:val="33"/>
              </w:rPr>
            </w:pPr>
          </w:p>
          <w:p>
            <w:pPr>
              <w:pStyle w:val="23"/>
              <w:spacing w:line="242" w:lineRule="auto"/>
              <w:ind w:left="157" w:right="56" w:hanging="92"/>
              <w:rPr>
                <w:sz w:val="24"/>
              </w:rPr>
            </w:pPr>
            <w:r>
              <w:rPr>
                <w:sz w:val="24"/>
              </w:rPr>
              <w:t>组织制度与队伍管理（20 分）</w:t>
            </w:r>
          </w:p>
        </w:tc>
        <w:tc>
          <w:tcPr>
            <w:tcW w:w="929" w:type="dxa"/>
          </w:tcPr>
          <w:p>
            <w:pPr>
              <w:pStyle w:val="23"/>
              <w:spacing w:before="169"/>
              <w:ind w:left="344"/>
              <w:rPr>
                <w:sz w:val="24"/>
              </w:rPr>
            </w:pPr>
            <w:r>
              <w:rPr>
                <w:sz w:val="24"/>
              </w:rPr>
              <w:t>10</w:t>
            </w:r>
          </w:p>
        </w:tc>
        <w:tc>
          <w:tcPr>
            <w:tcW w:w="7007" w:type="dxa"/>
          </w:tcPr>
          <w:p>
            <w:pPr>
              <w:pStyle w:val="23"/>
              <w:spacing w:before="10" w:line="310" w:lineRule="atLeast"/>
              <w:ind w:left="10" w:right="24"/>
              <w:rPr>
                <w:sz w:val="24"/>
              </w:rPr>
            </w:pPr>
            <w:r>
              <w:rPr>
                <w:sz w:val="24"/>
              </w:rPr>
              <w:t>保洁人员须统一着反光式安全工作服上岗，反光服上必须印用企业名称，未着装上岗的，每人/次扣 0.5 分。</w:t>
            </w:r>
          </w:p>
        </w:tc>
        <w:tc>
          <w:tcPr>
            <w:tcW w:w="1372" w:type="dxa"/>
          </w:tcPr>
          <w:p>
            <w:pPr>
              <w:pStyle w:val="23"/>
              <w:spacing w:before="169"/>
              <w:ind w:left="9"/>
              <w:jc w:val="center"/>
              <w:rPr>
                <w:sz w:val="24"/>
              </w:rPr>
            </w:pPr>
            <w:r>
              <w:rPr>
                <w:sz w:val="24"/>
              </w:rPr>
              <w:t>5</w:t>
            </w:r>
          </w:p>
        </w:tc>
        <w:tc>
          <w:tcPr>
            <w:tcW w:w="1372" w:type="dxa"/>
          </w:tcPr>
          <w:p>
            <w:pPr>
              <w:pStyle w:val="23"/>
              <w:rPr>
                <w:rFonts w:ascii="Times New Roman"/>
              </w:rPr>
            </w:pPr>
          </w:p>
        </w:tc>
        <w:tc>
          <w:tcPr>
            <w:tcW w:w="1815"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trPr>
        <w:tc>
          <w:tcPr>
            <w:tcW w:w="1815" w:type="dxa"/>
            <w:vMerge w:val="continue"/>
            <w:tcBorders>
              <w:top w:val="nil"/>
            </w:tcBorders>
          </w:tcPr>
          <w:p>
            <w:pPr>
              <w:rPr>
                <w:sz w:val="2"/>
                <w:szCs w:val="2"/>
              </w:rPr>
            </w:pPr>
          </w:p>
        </w:tc>
        <w:tc>
          <w:tcPr>
            <w:tcW w:w="929" w:type="dxa"/>
          </w:tcPr>
          <w:p>
            <w:pPr>
              <w:pStyle w:val="23"/>
              <w:spacing w:before="167"/>
              <w:ind w:left="344"/>
              <w:rPr>
                <w:sz w:val="24"/>
              </w:rPr>
            </w:pPr>
            <w:r>
              <w:rPr>
                <w:sz w:val="24"/>
              </w:rPr>
              <w:t>11</w:t>
            </w:r>
          </w:p>
        </w:tc>
        <w:tc>
          <w:tcPr>
            <w:tcW w:w="7007" w:type="dxa"/>
          </w:tcPr>
          <w:p>
            <w:pPr>
              <w:pStyle w:val="23"/>
              <w:spacing w:before="11" w:line="310" w:lineRule="atLeast"/>
              <w:ind w:left="10" w:right="84"/>
              <w:rPr>
                <w:sz w:val="24"/>
              </w:rPr>
            </w:pPr>
            <w:r>
              <w:rPr>
                <w:spacing w:val="-3"/>
                <w:sz w:val="24"/>
              </w:rPr>
              <w:t xml:space="preserve">有一支符合规定的保洁队伍，按标准配齐保洁人员。每缺 </w:t>
            </w:r>
            <w:r>
              <w:rPr>
                <w:sz w:val="24"/>
              </w:rPr>
              <w:t>1</w:t>
            </w:r>
            <w:r>
              <w:rPr>
                <w:spacing w:val="-30"/>
                <w:sz w:val="24"/>
              </w:rPr>
              <w:t xml:space="preserve"> 人扣 </w:t>
            </w:r>
            <w:r>
              <w:rPr>
                <w:spacing w:val="-17"/>
                <w:sz w:val="24"/>
              </w:rPr>
              <w:t xml:space="preserve">1 </w:t>
            </w:r>
            <w:r>
              <w:rPr>
                <w:sz w:val="24"/>
              </w:rPr>
              <w:t>分。</w:t>
            </w:r>
          </w:p>
        </w:tc>
        <w:tc>
          <w:tcPr>
            <w:tcW w:w="1372" w:type="dxa"/>
          </w:tcPr>
          <w:p>
            <w:pPr>
              <w:pStyle w:val="23"/>
              <w:spacing w:before="167"/>
              <w:ind w:left="9"/>
              <w:jc w:val="center"/>
              <w:rPr>
                <w:sz w:val="24"/>
              </w:rPr>
            </w:pPr>
            <w:r>
              <w:rPr>
                <w:sz w:val="24"/>
              </w:rPr>
              <w:t>5</w:t>
            </w:r>
          </w:p>
        </w:tc>
        <w:tc>
          <w:tcPr>
            <w:tcW w:w="1372" w:type="dxa"/>
          </w:tcPr>
          <w:p>
            <w:pPr>
              <w:pStyle w:val="23"/>
              <w:rPr>
                <w:rFonts w:ascii="Times New Roman"/>
              </w:rPr>
            </w:pPr>
          </w:p>
        </w:tc>
        <w:tc>
          <w:tcPr>
            <w:tcW w:w="1815"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5" w:hRule="atLeast"/>
        </w:trPr>
        <w:tc>
          <w:tcPr>
            <w:tcW w:w="1815" w:type="dxa"/>
            <w:vMerge w:val="continue"/>
            <w:tcBorders>
              <w:top w:val="nil"/>
            </w:tcBorders>
          </w:tcPr>
          <w:p>
            <w:pPr>
              <w:rPr>
                <w:sz w:val="2"/>
                <w:szCs w:val="2"/>
              </w:rPr>
            </w:pPr>
          </w:p>
        </w:tc>
        <w:tc>
          <w:tcPr>
            <w:tcW w:w="929" w:type="dxa"/>
          </w:tcPr>
          <w:p>
            <w:pPr>
              <w:pStyle w:val="23"/>
              <w:spacing w:before="169"/>
              <w:ind w:left="344"/>
              <w:rPr>
                <w:sz w:val="24"/>
              </w:rPr>
            </w:pPr>
            <w:r>
              <w:rPr>
                <w:sz w:val="24"/>
              </w:rPr>
              <w:t>12</w:t>
            </w:r>
          </w:p>
        </w:tc>
        <w:tc>
          <w:tcPr>
            <w:tcW w:w="7007" w:type="dxa"/>
          </w:tcPr>
          <w:p>
            <w:pPr>
              <w:pStyle w:val="23"/>
              <w:spacing w:before="10" w:line="310" w:lineRule="atLeast"/>
              <w:ind w:left="10" w:right="24"/>
              <w:rPr>
                <w:sz w:val="24"/>
              </w:rPr>
            </w:pPr>
            <w:r>
              <w:rPr>
                <w:sz w:val="24"/>
              </w:rPr>
              <w:t>口头整改通知，群里整改消息及下达的整改的书面通知在限定期限内完成，如无完成一次扣除 2 分，并处于相当的罚款。</w:t>
            </w:r>
          </w:p>
        </w:tc>
        <w:tc>
          <w:tcPr>
            <w:tcW w:w="1372" w:type="dxa"/>
          </w:tcPr>
          <w:p>
            <w:pPr>
              <w:pStyle w:val="23"/>
              <w:spacing w:before="169"/>
              <w:ind w:left="545" w:right="536"/>
              <w:jc w:val="center"/>
              <w:rPr>
                <w:sz w:val="24"/>
              </w:rPr>
            </w:pPr>
            <w:r>
              <w:rPr>
                <w:sz w:val="24"/>
              </w:rPr>
              <w:t>10</w:t>
            </w:r>
          </w:p>
        </w:tc>
        <w:tc>
          <w:tcPr>
            <w:tcW w:w="1372" w:type="dxa"/>
          </w:tcPr>
          <w:p>
            <w:pPr>
              <w:pStyle w:val="23"/>
              <w:rPr>
                <w:rFonts w:ascii="Times New Roman"/>
              </w:rPr>
            </w:pPr>
          </w:p>
        </w:tc>
        <w:tc>
          <w:tcPr>
            <w:tcW w:w="1815" w:type="dxa"/>
          </w:tcPr>
          <w:p>
            <w:pPr>
              <w:pStyle w:val="23"/>
              <w:rPr>
                <w:rFonts w:ascii="Times New Roma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4" w:hRule="atLeast"/>
        </w:trPr>
        <w:tc>
          <w:tcPr>
            <w:tcW w:w="1815" w:type="dxa"/>
          </w:tcPr>
          <w:p>
            <w:pPr>
              <w:pStyle w:val="23"/>
              <w:spacing w:before="167"/>
              <w:ind w:left="426"/>
              <w:rPr>
                <w:sz w:val="24"/>
              </w:rPr>
            </w:pPr>
            <w:r>
              <w:rPr>
                <w:sz w:val="24"/>
              </w:rPr>
              <w:t>其他情况</w:t>
            </w:r>
          </w:p>
        </w:tc>
        <w:tc>
          <w:tcPr>
            <w:tcW w:w="929" w:type="dxa"/>
          </w:tcPr>
          <w:p>
            <w:pPr>
              <w:pStyle w:val="23"/>
              <w:rPr>
                <w:rFonts w:ascii="Times New Roman"/>
              </w:rPr>
            </w:pPr>
          </w:p>
        </w:tc>
        <w:tc>
          <w:tcPr>
            <w:tcW w:w="7007" w:type="dxa"/>
          </w:tcPr>
          <w:p>
            <w:pPr>
              <w:pStyle w:val="23"/>
              <w:spacing w:before="11" w:line="310" w:lineRule="atLeast"/>
              <w:ind w:left="10" w:right="24"/>
              <w:rPr>
                <w:sz w:val="24"/>
              </w:rPr>
            </w:pPr>
            <w:r>
              <w:rPr>
                <w:sz w:val="24"/>
              </w:rPr>
              <w:t>交叉作业去发生争议时，发生打架斗殴，肆意破坏其他企业劳动成果一次扣 100 分。</w:t>
            </w:r>
          </w:p>
        </w:tc>
        <w:tc>
          <w:tcPr>
            <w:tcW w:w="1372" w:type="dxa"/>
          </w:tcPr>
          <w:p>
            <w:pPr>
              <w:pStyle w:val="23"/>
              <w:rPr>
                <w:rFonts w:ascii="Times New Roman"/>
              </w:rPr>
            </w:pPr>
          </w:p>
        </w:tc>
        <w:tc>
          <w:tcPr>
            <w:tcW w:w="1372" w:type="dxa"/>
          </w:tcPr>
          <w:p>
            <w:pPr>
              <w:pStyle w:val="23"/>
              <w:rPr>
                <w:rFonts w:ascii="Times New Roman"/>
              </w:rPr>
            </w:pPr>
          </w:p>
        </w:tc>
        <w:tc>
          <w:tcPr>
            <w:tcW w:w="1815" w:type="dxa"/>
          </w:tcPr>
          <w:p>
            <w:pPr>
              <w:pStyle w:val="23"/>
              <w:rPr>
                <w:rFonts w:ascii="Times New Roman"/>
              </w:rPr>
            </w:pPr>
          </w:p>
        </w:tc>
      </w:tr>
    </w:tbl>
    <w:p>
      <w:pPr>
        <w:rPr>
          <w:rFonts w:ascii="Times New Roman"/>
        </w:rPr>
        <w:sectPr>
          <w:pgSz w:w="16840" w:h="11910" w:orient="landscape"/>
          <w:pgMar w:top="1100" w:right="940" w:bottom="1200" w:left="1340" w:header="0" w:footer="1012" w:gutter="0"/>
          <w:cols w:space="720" w:num="1"/>
        </w:sectPr>
      </w:pPr>
    </w:p>
    <w:p>
      <w:pPr>
        <w:pStyle w:val="3"/>
        <w:tabs>
          <w:tab w:val="left" w:pos="1283"/>
        </w:tabs>
        <w:spacing w:before="118"/>
        <w:ind w:right="16"/>
      </w:pPr>
      <w:bookmarkStart w:id="263" w:name="第六章__评审方法和标准"/>
      <w:bookmarkEnd w:id="263"/>
      <w:r>
        <w:t>第六章</w:t>
      </w:r>
      <w:r>
        <w:tab/>
      </w:r>
      <w:r>
        <w:t>评审方法和标准</w:t>
      </w:r>
    </w:p>
    <w:p>
      <w:pPr>
        <w:pStyle w:val="9"/>
        <w:spacing w:before="6"/>
        <w:rPr>
          <w:b/>
        </w:rPr>
      </w:pPr>
    </w:p>
    <w:p>
      <w:pPr>
        <w:pStyle w:val="9"/>
        <w:spacing w:line="242" w:lineRule="auto"/>
        <w:ind w:left="774" w:right="790" w:firstLine="540"/>
        <w:rPr>
          <w:rFonts w:ascii="宋体" w:hAnsi="宋体" w:eastAsia="宋体"/>
        </w:rPr>
      </w:pPr>
      <w:r>
        <w:rPr>
          <w:rFonts w:hint="eastAsia" w:ascii="宋体" w:hAnsi="宋体" w:eastAsia="宋体"/>
        </w:rPr>
        <w:t>本项目将按照招标文件第一章投标人须知中“五 采购活动”、“六 确定中标”及本章的规定评标。</w:t>
      </w:r>
    </w:p>
    <w:p>
      <w:pPr>
        <w:spacing w:before="45"/>
        <w:ind w:right="18"/>
        <w:jc w:val="center"/>
        <w:rPr>
          <w:rFonts w:ascii="PMingLiU" w:eastAsia="PMingLiU"/>
          <w:sz w:val="21"/>
        </w:rPr>
      </w:pPr>
      <w:r>
        <w:rPr>
          <w:rFonts w:hint="eastAsia" w:ascii="PMingLiU" w:eastAsia="PMingLiU"/>
          <w:sz w:val="21"/>
        </w:rPr>
        <w:t>初步审查表</w:t>
      </w:r>
    </w:p>
    <w:p>
      <w:pPr>
        <w:pStyle w:val="9"/>
        <w:spacing w:before="3" w:after="1"/>
        <w:rPr>
          <w:rFonts w:ascii="PMingLiU"/>
          <w:sz w:val="13"/>
        </w:rPr>
      </w:pPr>
    </w:p>
    <w:tbl>
      <w:tblPr>
        <w:tblStyle w:val="19"/>
        <w:tblW w:w="0" w:type="auto"/>
        <w:tblInd w:w="14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513"/>
        <w:gridCol w:w="6626"/>
        <w:gridCol w:w="586"/>
        <w:gridCol w:w="643"/>
        <w:gridCol w:w="534"/>
        <w:gridCol w:w="670"/>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5" w:hRule="atLeast"/>
        </w:trPr>
        <w:tc>
          <w:tcPr>
            <w:tcW w:w="7139" w:type="dxa"/>
            <w:gridSpan w:val="2"/>
            <w:vMerge w:val="restart"/>
            <w:tcBorders>
              <w:bottom w:val="single" w:color="000000" w:sz="6" w:space="0"/>
              <w:right w:val="single" w:color="000000" w:sz="4" w:space="0"/>
            </w:tcBorders>
          </w:tcPr>
          <w:p>
            <w:pPr>
              <w:pStyle w:val="23"/>
              <w:spacing w:before="9"/>
              <w:rPr>
                <w:rFonts w:ascii="PMingLiU"/>
                <w:sz w:val="17"/>
              </w:rPr>
            </w:pPr>
          </w:p>
          <w:p>
            <w:pPr>
              <w:pStyle w:val="23"/>
              <w:ind w:left="3107" w:right="3088"/>
              <w:jc w:val="center"/>
              <w:rPr>
                <w:b/>
                <w:sz w:val="21"/>
              </w:rPr>
            </w:pPr>
            <w:r>
              <w:rPr>
                <w:b/>
                <w:sz w:val="21"/>
              </w:rPr>
              <w:t>评审内容</w:t>
            </w:r>
          </w:p>
        </w:tc>
        <w:tc>
          <w:tcPr>
            <w:tcW w:w="2433" w:type="dxa"/>
            <w:gridSpan w:val="4"/>
            <w:tcBorders>
              <w:left w:val="single" w:color="000000" w:sz="4" w:space="0"/>
              <w:bottom w:val="single" w:color="000000" w:sz="6" w:space="0"/>
            </w:tcBorders>
          </w:tcPr>
          <w:p>
            <w:pPr>
              <w:pStyle w:val="23"/>
              <w:spacing w:before="29"/>
              <w:ind w:left="720"/>
              <w:rPr>
                <w:b/>
                <w:sz w:val="21"/>
              </w:rPr>
            </w:pPr>
            <w:r>
              <w:rPr>
                <w:b/>
                <w:sz w:val="21"/>
              </w:rPr>
              <w:t>投标人名称</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23" w:hRule="atLeast"/>
        </w:trPr>
        <w:tc>
          <w:tcPr>
            <w:tcW w:w="7139" w:type="dxa"/>
            <w:gridSpan w:val="2"/>
            <w:vMerge w:val="continue"/>
            <w:tcBorders>
              <w:top w:val="nil"/>
              <w:bottom w:val="single" w:color="000000" w:sz="6" w:space="0"/>
              <w:right w:val="single" w:color="000000" w:sz="4" w:space="0"/>
            </w:tcBorders>
          </w:tcPr>
          <w:p>
            <w:pPr>
              <w:rPr>
                <w:sz w:val="2"/>
                <w:szCs w:val="2"/>
              </w:rPr>
            </w:pPr>
          </w:p>
        </w:tc>
        <w:tc>
          <w:tcPr>
            <w:tcW w:w="586" w:type="dxa"/>
            <w:tcBorders>
              <w:top w:val="single" w:color="000000" w:sz="4" w:space="0"/>
              <w:left w:val="single" w:color="000000" w:sz="4" w:space="0"/>
              <w:bottom w:val="single" w:color="000000" w:sz="6" w:space="0"/>
              <w:right w:val="single" w:color="000000" w:sz="4" w:space="0"/>
            </w:tcBorders>
          </w:tcPr>
          <w:p>
            <w:pPr>
              <w:pStyle w:val="23"/>
              <w:spacing w:before="16"/>
              <w:ind w:left="28"/>
              <w:jc w:val="center"/>
              <w:rPr>
                <w:b/>
                <w:sz w:val="21"/>
              </w:rPr>
            </w:pPr>
            <w:r>
              <w:rPr>
                <w:b/>
                <w:w w:val="98"/>
                <w:sz w:val="21"/>
              </w:rPr>
              <w:t>1</w:t>
            </w:r>
          </w:p>
        </w:tc>
        <w:tc>
          <w:tcPr>
            <w:tcW w:w="643" w:type="dxa"/>
            <w:tcBorders>
              <w:top w:val="single" w:color="000000" w:sz="4" w:space="0"/>
              <w:left w:val="single" w:color="000000" w:sz="4" w:space="0"/>
              <w:bottom w:val="single" w:color="000000" w:sz="6" w:space="0"/>
              <w:right w:val="single" w:color="000000" w:sz="6" w:space="0"/>
            </w:tcBorders>
          </w:tcPr>
          <w:p>
            <w:pPr>
              <w:pStyle w:val="23"/>
              <w:spacing w:before="16"/>
              <w:ind w:left="30"/>
              <w:jc w:val="center"/>
              <w:rPr>
                <w:b/>
                <w:sz w:val="21"/>
              </w:rPr>
            </w:pPr>
            <w:r>
              <w:rPr>
                <w:b/>
                <w:w w:val="98"/>
                <w:sz w:val="21"/>
              </w:rPr>
              <w:t>2</w:t>
            </w:r>
          </w:p>
        </w:tc>
        <w:tc>
          <w:tcPr>
            <w:tcW w:w="534" w:type="dxa"/>
            <w:tcBorders>
              <w:top w:val="single" w:color="000000" w:sz="6" w:space="0"/>
              <w:left w:val="single" w:color="000000" w:sz="6" w:space="0"/>
              <w:bottom w:val="single" w:color="000000" w:sz="6" w:space="0"/>
              <w:right w:val="single" w:color="000000" w:sz="6" w:space="0"/>
            </w:tcBorders>
          </w:tcPr>
          <w:p>
            <w:pPr>
              <w:pStyle w:val="23"/>
              <w:spacing w:before="16"/>
              <w:ind w:left="26"/>
              <w:jc w:val="center"/>
              <w:rPr>
                <w:b/>
                <w:sz w:val="21"/>
              </w:rPr>
            </w:pPr>
            <w:r>
              <w:rPr>
                <w:b/>
                <w:w w:val="98"/>
                <w:sz w:val="21"/>
              </w:rPr>
              <w:t>3</w:t>
            </w:r>
          </w:p>
        </w:tc>
        <w:tc>
          <w:tcPr>
            <w:tcW w:w="670" w:type="dxa"/>
            <w:tcBorders>
              <w:top w:val="single" w:color="000000" w:sz="6" w:space="0"/>
              <w:left w:val="single" w:color="000000" w:sz="6" w:space="0"/>
              <w:bottom w:val="single" w:color="000000" w:sz="6" w:space="0"/>
            </w:tcBorders>
          </w:tcPr>
          <w:p>
            <w:pPr>
              <w:pStyle w:val="23"/>
              <w:spacing w:before="16"/>
              <w:ind w:left="236"/>
              <w:rPr>
                <w:b/>
                <w:sz w:val="21"/>
              </w:rPr>
            </w:pPr>
            <w:r>
              <w:rPr>
                <w:b/>
                <w:w w:val="99"/>
                <w:sz w:val="21"/>
              </w:rPr>
              <w:t>…</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17" w:hRule="atLeast"/>
        </w:trPr>
        <w:tc>
          <w:tcPr>
            <w:tcW w:w="513" w:type="dxa"/>
            <w:tcBorders>
              <w:top w:val="single" w:color="000000" w:sz="6" w:space="0"/>
              <w:bottom w:val="single" w:color="000000" w:sz="6" w:space="0"/>
              <w:right w:val="single" w:color="000000" w:sz="6" w:space="0"/>
            </w:tcBorders>
          </w:tcPr>
          <w:p>
            <w:pPr>
              <w:pStyle w:val="23"/>
              <w:spacing w:before="8"/>
              <w:rPr>
                <w:rFonts w:ascii="PMingLiU"/>
                <w:sz w:val="14"/>
              </w:rPr>
            </w:pPr>
          </w:p>
          <w:p>
            <w:pPr>
              <w:pStyle w:val="23"/>
              <w:ind w:left="19"/>
              <w:jc w:val="center"/>
              <w:rPr>
                <w:sz w:val="21"/>
              </w:rPr>
            </w:pPr>
            <w:r>
              <w:rPr>
                <w:w w:val="99"/>
                <w:sz w:val="21"/>
              </w:rPr>
              <w:t>1</w:t>
            </w:r>
          </w:p>
        </w:tc>
        <w:tc>
          <w:tcPr>
            <w:tcW w:w="6626" w:type="dxa"/>
            <w:tcBorders>
              <w:top w:val="single" w:color="000000" w:sz="6" w:space="0"/>
              <w:left w:val="single" w:color="000000" w:sz="6" w:space="0"/>
              <w:bottom w:val="single" w:color="000000" w:sz="6" w:space="0"/>
              <w:right w:val="single" w:color="000000" w:sz="4" w:space="0"/>
            </w:tcBorders>
          </w:tcPr>
          <w:p>
            <w:pPr>
              <w:pStyle w:val="23"/>
              <w:ind w:left="114"/>
              <w:rPr>
                <w:sz w:val="21"/>
              </w:rPr>
            </w:pPr>
            <w:r>
              <w:rPr>
                <w:sz w:val="21"/>
              </w:rPr>
              <w:t>法定代表人为同一个人的两个及两个以上法人，母公司、全资子公司</w:t>
            </w:r>
          </w:p>
          <w:p>
            <w:pPr>
              <w:pStyle w:val="23"/>
              <w:spacing w:before="139"/>
              <w:ind w:left="114"/>
              <w:rPr>
                <w:sz w:val="21"/>
              </w:rPr>
            </w:pPr>
            <w:r>
              <w:rPr>
                <w:sz w:val="21"/>
              </w:rPr>
              <w:t>及其控股公司，在同一项目中同时报价；</w:t>
            </w:r>
          </w:p>
        </w:tc>
        <w:tc>
          <w:tcPr>
            <w:tcW w:w="586" w:type="dxa"/>
            <w:tcBorders>
              <w:top w:val="single" w:color="000000" w:sz="6" w:space="0"/>
              <w:left w:val="single" w:color="000000" w:sz="4" w:space="0"/>
              <w:bottom w:val="single" w:color="000000" w:sz="6" w:space="0"/>
              <w:right w:val="single" w:color="000000" w:sz="4" w:space="0"/>
            </w:tcBorders>
          </w:tcPr>
          <w:p>
            <w:pPr>
              <w:pStyle w:val="23"/>
              <w:rPr>
                <w:rFonts w:ascii="Times New Roman"/>
              </w:rPr>
            </w:pPr>
          </w:p>
        </w:tc>
        <w:tc>
          <w:tcPr>
            <w:tcW w:w="643" w:type="dxa"/>
            <w:tcBorders>
              <w:top w:val="single" w:color="000000" w:sz="6" w:space="0"/>
              <w:left w:val="single" w:color="000000" w:sz="4" w:space="0"/>
              <w:bottom w:val="single" w:color="000000" w:sz="6" w:space="0"/>
              <w:right w:val="single" w:color="000000" w:sz="6" w:space="0"/>
            </w:tcBorders>
          </w:tcPr>
          <w:p>
            <w:pPr>
              <w:pStyle w:val="23"/>
              <w:rPr>
                <w:rFonts w:ascii="Times New Roman"/>
              </w:rPr>
            </w:pPr>
          </w:p>
        </w:tc>
        <w:tc>
          <w:tcPr>
            <w:tcW w:w="534" w:type="dxa"/>
            <w:tcBorders>
              <w:top w:val="single" w:color="000000" w:sz="6" w:space="0"/>
              <w:left w:val="single" w:color="000000" w:sz="6" w:space="0"/>
              <w:bottom w:val="single" w:color="000000" w:sz="6" w:space="0"/>
              <w:right w:val="single" w:color="000000" w:sz="4" w:space="0"/>
            </w:tcBorders>
          </w:tcPr>
          <w:p>
            <w:pPr>
              <w:pStyle w:val="23"/>
              <w:rPr>
                <w:rFonts w:ascii="Times New Roman"/>
              </w:rPr>
            </w:pPr>
          </w:p>
        </w:tc>
        <w:tc>
          <w:tcPr>
            <w:tcW w:w="670" w:type="dxa"/>
            <w:tcBorders>
              <w:top w:val="single" w:color="000000" w:sz="6" w:space="0"/>
              <w:left w:val="single" w:color="000000" w:sz="4" w:space="0"/>
              <w:bottom w:val="single" w:color="000000" w:sz="6" w:space="0"/>
            </w:tcBorders>
          </w:tcPr>
          <w:p>
            <w:pPr>
              <w:pStyle w:val="23"/>
              <w:rPr>
                <w:rFonts w:ascii="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817" w:hRule="atLeast"/>
        </w:trPr>
        <w:tc>
          <w:tcPr>
            <w:tcW w:w="513" w:type="dxa"/>
            <w:tcBorders>
              <w:top w:val="single" w:color="000000" w:sz="6" w:space="0"/>
              <w:bottom w:val="single" w:color="000000" w:sz="6" w:space="0"/>
              <w:right w:val="single" w:color="000000" w:sz="6" w:space="0"/>
            </w:tcBorders>
          </w:tcPr>
          <w:p>
            <w:pPr>
              <w:pStyle w:val="23"/>
              <w:spacing w:before="9"/>
              <w:rPr>
                <w:rFonts w:ascii="PMingLiU"/>
                <w:sz w:val="14"/>
              </w:rPr>
            </w:pPr>
          </w:p>
          <w:p>
            <w:pPr>
              <w:pStyle w:val="23"/>
              <w:ind w:left="19"/>
              <w:jc w:val="center"/>
              <w:rPr>
                <w:sz w:val="21"/>
              </w:rPr>
            </w:pPr>
            <w:r>
              <w:rPr>
                <w:w w:val="99"/>
                <w:sz w:val="21"/>
              </w:rPr>
              <w:t>2</w:t>
            </w:r>
          </w:p>
        </w:tc>
        <w:tc>
          <w:tcPr>
            <w:tcW w:w="6626" w:type="dxa"/>
            <w:tcBorders>
              <w:top w:val="single" w:color="000000" w:sz="6" w:space="0"/>
              <w:left w:val="single" w:color="000000" w:sz="6" w:space="0"/>
              <w:bottom w:val="single" w:color="000000" w:sz="6" w:space="0"/>
              <w:right w:val="single" w:color="000000" w:sz="4" w:space="0"/>
            </w:tcBorders>
          </w:tcPr>
          <w:p>
            <w:pPr>
              <w:pStyle w:val="23"/>
              <w:spacing w:before="1"/>
              <w:ind w:left="114"/>
              <w:rPr>
                <w:sz w:val="21"/>
              </w:rPr>
            </w:pPr>
            <w:r>
              <w:rPr>
                <w:sz w:val="21"/>
              </w:rPr>
              <w:t>投标人名称或组织机构与购买招标文件时不一致，未提供有效证明文</w:t>
            </w:r>
          </w:p>
          <w:p>
            <w:pPr>
              <w:pStyle w:val="23"/>
              <w:spacing w:before="139"/>
              <w:ind w:left="114"/>
              <w:rPr>
                <w:sz w:val="21"/>
              </w:rPr>
            </w:pPr>
            <w:r>
              <w:rPr>
                <w:sz w:val="21"/>
              </w:rPr>
              <w:t>件；</w:t>
            </w:r>
          </w:p>
        </w:tc>
        <w:tc>
          <w:tcPr>
            <w:tcW w:w="586" w:type="dxa"/>
            <w:tcBorders>
              <w:top w:val="single" w:color="000000" w:sz="6" w:space="0"/>
              <w:left w:val="single" w:color="000000" w:sz="4" w:space="0"/>
              <w:bottom w:val="single" w:color="000000" w:sz="6" w:space="0"/>
              <w:right w:val="single" w:color="000000" w:sz="4" w:space="0"/>
            </w:tcBorders>
          </w:tcPr>
          <w:p>
            <w:pPr>
              <w:pStyle w:val="23"/>
              <w:rPr>
                <w:rFonts w:ascii="Times New Roman"/>
              </w:rPr>
            </w:pPr>
          </w:p>
        </w:tc>
        <w:tc>
          <w:tcPr>
            <w:tcW w:w="643" w:type="dxa"/>
            <w:tcBorders>
              <w:top w:val="single" w:color="000000" w:sz="6" w:space="0"/>
              <w:left w:val="single" w:color="000000" w:sz="4" w:space="0"/>
              <w:bottom w:val="single" w:color="000000" w:sz="6" w:space="0"/>
              <w:right w:val="single" w:color="000000" w:sz="6" w:space="0"/>
            </w:tcBorders>
          </w:tcPr>
          <w:p>
            <w:pPr>
              <w:pStyle w:val="23"/>
              <w:rPr>
                <w:rFonts w:ascii="Times New Roman"/>
              </w:rPr>
            </w:pPr>
          </w:p>
        </w:tc>
        <w:tc>
          <w:tcPr>
            <w:tcW w:w="534" w:type="dxa"/>
            <w:tcBorders>
              <w:top w:val="single" w:color="000000" w:sz="6" w:space="0"/>
              <w:left w:val="single" w:color="000000" w:sz="6" w:space="0"/>
              <w:bottom w:val="single" w:color="000000" w:sz="6" w:space="0"/>
              <w:right w:val="single" w:color="000000" w:sz="4" w:space="0"/>
            </w:tcBorders>
          </w:tcPr>
          <w:p>
            <w:pPr>
              <w:pStyle w:val="23"/>
              <w:rPr>
                <w:rFonts w:ascii="Times New Roman"/>
              </w:rPr>
            </w:pPr>
          </w:p>
        </w:tc>
        <w:tc>
          <w:tcPr>
            <w:tcW w:w="670" w:type="dxa"/>
            <w:tcBorders>
              <w:top w:val="single" w:color="000000" w:sz="6" w:space="0"/>
              <w:left w:val="single" w:color="000000" w:sz="4" w:space="0"/>
              <w:bottom w:val="single" w:color="000000" w:sz="6" w:space="0"/>
            </w:tcBorders>
          </w:tcPr>
          <w:p>
            <w:pPr>
              <w:pStyle w:val="23"/>
              <w:rPr>
                <w:rFonts w:ascii="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6" w:hRule="atLeast"/>
        </w:trPr>
        <w:tc>
          <w:tcPr>
            <w:tcW w:w="513" w:type="dxa"/>
            <w:tcBorders>
              <w:top w:val="single" w:color="000000" w:sz="6" w:space="0"/>
              <w:bottom w:val="single" w:color="000000" w:sz="6" w:space="0"/>
              <w:right w:val="single" w:color="000000" w:sz="6" w:space="0"/>
            </w:tcBorders>
          </w:tcPr>
          <w:p>
            <w:pPr>
              <w:pStyle w:val="23"/>
              <w:spacing w:before="45"/>
              <w:ind w:left="19"/>
              <w:jc w:val="center"/>
              <w:rPr>
                <w:sz w:val="21"/>
              </w:rPr>
            </w:pPr>
            <w:r>
              <w:rPr>
                <w:w w:val="99"/>
                <w:sz w:val="21"/>
              </w:rPr>
              <w:t>3</w:t>
            </w:r>
          </w:p>
        </w:tc>
        <w:tc>
          <w:tcPr>
            <w:tcW w:w="6626" w:type="dxa"/>
            <w:tcBorders>
              <w:top w:val="single" w:color="000000" w:sz="6" w:space="0"/>
              <w:left w:val="single" w:color="000000" w:sz="6" w:space="0"/>
              <w:bottom w:val="single" w:color="000000" w:sz="6" w:space="0"/>
              <w:right w:val="single" w:color="000000" w:sz="4" w:space="0"/>
            </w:tcBorders>
          </w:tcPr>
          <w:p>
            <w:pPr>
              <w:pStyle w:val="23"/>
              <w:spacing w:before="88"/>
              <w:ind w:left="114"/>
              <w:rPr>
                <w:sz w:val="21"/>
              </w:rPr>
            </w:pPr>
            <w:r>
              <w:rPr>
                <w:sz w:val="21"/>
              </w:rPr>
              <w:t>对招标文件主要条款和承诺存在重大出入或保留；</w:t>
            </w:r>
          </w:p>
        </w:tc>
        <w:tc>
          <w:tcPr>
            <w:tcW w:w="586" w:type="dxa"/>
            <w:tcBorders>
              <w:top w:val="single" w:color="000000" w:sz="6" w:space="0"/>
              <w:left w:val="single" w:color="000000" w:sz="4" w:space="0"/>
              <w:bottom w:val="single" w:color="000000" w:sz="6" w:space="0"/>
              <w:right w:val="single" w:color="000000" w:sz="4" w:space="0"/>
            </w:tcBorders>
          </w:tcPr>
          <w:p>
            <w:pPr>
              <w:pStyle w:val="23"/>
              <w:rPr>
                <w:rFonts w:ascii="Times New Roman"/>
              </w:rPr>
            </w:pPr>
          </w:p>
        </w:tc>
        <w:tc>
          <w:tcPr>
            <w:tcW w:w="643" w:type="dxa"/>
            <w:tcBorders>
              <w:top w:val="single" w:color="000000" w:sz="6" w:space="0"/>
              <w:left w:val="single" w:color="000000" w:sz="4" w:space="0"/>
              <w:bottom w:val="single" w:color="000000" w:sz="6" w:space="0"/>
              <w:right w:val="single" w:color="000000" w:sz="6" w:space="0"/>
            </w:tcBorders>
          </w:tcPr>
          <w:p>
            <w:pPr>
              <w:pStyle w:val="23"/>
              <w:rPr>
                <w:rFonts w:ascii="Times New Roman"/>
              </w:rPr>
            </w:pPr>
          </w:p>
        </w:tc>
        <w:tc>
          <w:tcPr>
            <w:tcW w:w="534" w:type="dxa"/>
            <w:tcBorders>
              <w:top w:val="single" w:color="000000" w:sz="6" w:space="0"/>
              <w:left w:val="single" w:color="000000" w:sz="6" w:space="0"/>
              <w:bottom w:val="single" w:color="000000" w:sz="6" w:space="0"/>
              <w:right w:val="single" w:color="000000" w:sz="4" w:space="0"/>
            </w:tcBorders>
          </w:tcPr>
          <w:p>
            <w:pPr>
              <w:pStyle w:val="23"/>
              <w:rPr>
                <w:rFonts w:ascii="Times New Roman"/>
              </w:rPr>
            </w:pPr>
          </w:p>
        </w:tc>
        <w:tc>
          <w:tcPr>
            <w:tcW w:w="670" w:type="dxa"/>
            <w:tcBorders>
              <w:top w:val="single" w:color="000000" w:sz="6" w:space="0"/>
              <w:left w:val="single" w:color="000000" w:sz="4" w:space="0"/>
              <w:bottom w:val="single" w:color="000000" w:sz="6" w:space="0"/>
            </w:tcBorders>
          </w:tcPr>
          <w:p>
            <w:pPr>
              <w:pStyle w:val="23"/>
              <w:rPr>
                <w:rFonts w:ascii="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501" w:hRule="atLeast"/>
        </w:trPr>
        <w:tc>
          <w:tcPr>
            <w:tcW w:w="513" w:type="dxa"/>
            <w:tcBorders>
              <w:top w:val="single" w:color="000000" w:sz="6" w:space="0"/>
              <w:bottom w:val="single" w:color="000000" w:sz="6" w:space="0"/>
              <w:right w:val="single" w:color="000000" w:sz="6" w:space="0"/>
            </w:tcBorders>
          </w:tcPr>
          <w:p>
            <w:pPr>
              <w:pStyle w:val="23"/>
              <w:spacing w:before="9"/>
              <w:rPr>
                <w:rFonts w:ascii="PMingLiU"/>
                <w:sz w:val="14"/>
              </w:rPr>
            </w:pPr>
          </w:p>
          <w:p>
            <w:pPr>
              <w:pStyle w:val="23"/>
              <w:ind w:left="19"/>
              <w:jc w:val="center"/>
              <w:rPr>
                <w:sz w:val="21"/>
              </w:rPr>
            </w:pPr>
            <w:r>
              <w:rPr>
                <w:w w:val="99"/>
                <w:sz w:val="21"/>
              </w:rPr>
              <w:t>4</w:t>
            </w:r>
          </w:p>
        </w:tc>
        <w:tc>
          <w:tcPr>
            <w:tcW w:w="6626" w:type="dxa"/>
            <w:tcBorders>
              <w:top w:val="single" w:color="000000" w:sz="6" w:space="0"/>
              <w:left w:val="single" w:color="000000" w:sz="6" w:space="0"/>
              <w:bottom w:val="single" w:color="000000" w:sz="6" w:space="0"/>
              <w:right w:val="single" w:color="000000" w:sz="4" w:space="0"/>
            </w:tcBorders>
          </w:tcPr>
          <w:p>
            <w:pPr>
              <w:pStyle w:val="23"/>
              <w:spacing w:before="139"/>
              <w:ind w:left="114"/>
              <w:rPr>
                <w:sz w:val="21"/>
              </w:rPr>
            </w:pPr>
            <w:r>
              <w:rPr>
                <w:rFonts w:hint="eastAsia"/>
                <w:sz w:val="21"/>
                <w:lang w:val="en-US"/>
              </w:rPr>
              <w:t>服务期满足招标文件规定的；</w:t>
            </w:r>
          </w:p>
        </w:tc>
        <w:tc>
          <w:tcPr>
            <w:tcW w:w="586" w:type="dxa"/>
            <w:tcBorders>
              <w:top w:val="single" w:color="000000" w:sz="6" w:space="0"/>
              <w:left w:val="single" w:color="000000" w:sz="4" w:space="0"/>
              <w:bottom w:val="single" w:color="000000" w:sz="6" w:space="0"/>
              <w:right w:val="single" w:color="000000" w:sz="4" w:space="0"/>
            </w:tcBorders>
          </w:tcPr>
          <w:p>
            <w:pPr>
              <w:pStyle w:val="23"/>
              <w:rPr>
                <w:rFonts w:ascii="Times New Roman"/>
              </w:rPr>
            </w:pPr>
          </w:p>
        </w:tc>
        <w:tc>
          <w:tcPr>
            <w:tcW w:w="643" w:type="dxa"/>
            <w:tcBorders>
              <w:top w:val="single" w:color="000000" w:sz="6" w:space="0"/>
              <w:left w:val="single" w:color="000000" w:sz="4" w:space="0"/>
              <w:bottom w:val="single" w:color="000000" w:sz="6" w:space="0"/>
              <w:right w:val="single" w:color="000000" w:sz="6" w:space="0"/>
            </w:tcBorders>
          </w:tcPr>
          <w:p>
            <w:pPr>
              <w:pStyle w:val="23"/>
              <w:rPr>
                <w:rFonts w:ascii="Times New Roman"/>
              </w:rPr>
            </w:pPr>
          </w:p>
        </w:tc>
        <w:tc>
          <w:tcPr>
            <w:tcW w:w="534" w:type="dxa"/>
            <w:tcBorders>
              <w:top w:val="single" w:color="000000" w:sz="6" w:space="0"/>
              <w:left w:val="single" w:color="000000" w:sz="6" w:space="0"/>
              <w:bottom w:val="single" w:color="000000" w:sz="6" w:space="0"/>
              <w:right w:val="single" w:color="000000" w:sz="4" w:space="0"/>
            </w:tcBorders>
          </w:tcPr>
          <w:p>
            <w:pPr>
              <w:pStyle w:val="23"/>
              <w:rPr>
                <w:rFonts w:ascii="Times New Roman"/>
              </w:rPr>
            </w:pPr>
          </w:p>
        </w:tc>
        <w:tc>
          <w:tcPr>
            <w:tcW w:w="670" w:type="dxa"/>
            <w:tcBorders>
              <w:top w:val="single" w:color="000000" w:sz="6" w:space="0"/>
              <w:left w:val="single" w:color="000000" w:sz="4" w:space="0"/>
              <w:bottom w:val="single" w:color="000000" w:sz="6" w:space="0"/>
            </w:tcBorders>
          </w:tcPr>
          <w:p>
            <w:pPr>
              <w:pStyle w:val="23"/>
              <w:rPr>
                <w:rFonts w:ascii="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752" w:hRule="atLeast"/>
        </w:trPr>
        <w:tc>
          <w:tcPr>
            <w:tcW w:w="513" w:type="dxa"/>
            <w:tcBorders>
              <w:top w:val="single" w:color="000000" w:sz="6" w:space="0"/>
              <w:bottom w:val="single" w:color="000000" w:sz="6" w:space="0"/>
              <w:right w:val="single" w:color="000000" w:sz="6" w:space="0"/>
            </w:tcBorders>
          </w:tcPr>
          <w:p>
            <w:pPr>
              <w:pStyle w:val="23"/>
              <w:spacing w:before="7"/>
              <w:rPr>
                <w:rFonts w:ascii="PMingLiU"/>
                <w:sz w:val="14"/>
              </w:rPr>
            </w:pPr>
          </w:p>
          <w:p>
            <w:pPr>
              <w:pStyle w:val="23"/>
              <w:ind w:left="19"/>
              <w:jc w:val="center"/>
              <w:rPr>
                <w:sz w:val="21"/>
              </w:rPr>
            </w:pPr>
            <w:r>
              <w:rPr>
                <w:w w:val="99"/>
                <w:sz w:val="21"/>
              </w:rPr>
              <w:t>5</w:t>
            </w:r>
          </w:p>
        </w:tc>
        <w:tc>
          <w:tcPr>
            <w:tcW w:w="6626" w:type="dxa"/>
            <w:tcBorders>
              <w:top w:val="single" w:color="000000" w:sz="6" w:space="0"/>
              <w:left w:val="single" w:color="000000" w:sz="6" w:space="0"/>
              <w:bottom w:val="single" w:color="000000" w:sz="6" w:space="0"/>
              <w:right w:val="single" w:color="000000" w:sz="4" w:space="0"/>
            </w:tcBorders>
          </w:tcPr>
          <w:p>
            <w:pPr>
              <w:pStyle w:val="23"/>
              <w:spacing w:line="268" w:lineRule="exact"/>
              <w:ind w:left="114"/>
              <w:rPr>
                <w:sz w:val="21"/>
              </w:rPr>
            </w:pPr>
            <w:r>
              <w:rPr>
                <w:sz w:val="21"/>
              </w:rPr>
              <w:t>投标人未按招标文件要求的格式填写，无内容不全或关键字迹模糊、</w:t>
            </w:r>
          </w:p>
          <w:p>
            <w:pPr>
              <w:pStyle w:val="23"/>
              <w:spacing w:before="139"/>
              <w:ind w:left="114"/>
              <w:rPr>
                <w:sz w:val="21"/>
              </w:rPr>
            </w:pPr>
            <w:r>
              <w:rPr>
                <w:sz w:val="21"/>
              </w:rPr>
              <w:t>无法辨认的情况；</w:t>
            </w:r>
          </w:p>
        </w:tc>
        <w:tc>
          <w:tcPr>
            <w:tcW w:w="586" w:type="dxa"/>
            <w:tcBorders>
              <w:top w:val="single" w:color="000000" w:sz="6" w:space="0"/>
              <w:left w:val="single" w:color="000000" w:sz="4" w:space="0"/>
              <w:bottom w:val="single" w:color="000000" w:sz="6" w:space="0"/>
              <w:right w:val="single" w:color="000000" w:sz="4" w:space="0"/>
            </w:tcBorders>
          </w:tcPr>
          <w:p>
            <w:pPr>
              <w:pStyle w:val="23"/>
              <w:rPr>
                <w:rFonts w:ascii="Times New Roman"/>
              </w:rPr>
            </w:pPr>
          </w:p>
        </w:tc>
        <w:tc>
          <w:tcPr>
            <w:tcW w:w="643" w:type="dxa"/>
            <w:tcBorders>
              <w:top w:val="single" w:color="000000" w:sz="6" w:space="0"/>
              <w:left w:val="single" w:color="000000" w:sz="4" w:space="0"/>
              <w:bottom w:val="single" w:color="000000" w:sz="6" w:space="0"/>
              <w:right w:val="single" w:color="000000" w:sz="6" w:space="0"/>
            </w:tcBorders>
          </w:tcPr>
          <w:p>
            <w:pPr>
              <w:pStyle w:val="23"/>
              <w:rPr>
                <w:rFonts w:ascii="Times New Roman"/>
              </w:rPr>
            </w:pPr>
          </w:p>
        </w:tc>
        <w:tc>
          <w:tcPr>
            <w:tcW w:w="534" w:type="dxa"/>
            <w:tcBorders>
              <w:top w:val="single" w:color="000000" w:sz="6" w:space="0"/>
              <w:left w:val="single" w:color="000000" w:sz="6" w:space="0"/>
              <w:bottom w:val="single" w:color="000000" w:sz="6" w:space="0"/>
              <w:right w:val="single" w:color="000000" w:sz="4" w:space="0"/>
            </w:tcBorders>
          </w:tcPr>
          <w:p>
            <w:pPr>
              <w:pStyle w:val="23"/>
              <w:rPr>
                <w:rFonts w:ascii="Times New Roman"/>
              </w:rPr>
            </w:pPr>
          </w:p>
        </w:tc>
        <w:tc>
          <w:tcPr>
            <w:tcW w:w="670" w:type="dxa"/>
            <w:tcBorders>
              <w:top w:val="single" w:color="000000" w:sz="6" w:space="0"/>
              <w:left w:val="single" w:color="000000" w:sz="4" w:space="0"/>
              <w:bottom w:val="single" w:color="000000" w:sz="6" w:space="0"/>
            </w:tcBorders>
          </w:tcPr>
          <w:p>
            <w:pPr>
              <w:pStyle w:val="23"/>
              <w:rPr>
                <w:rFonts w:ascii="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96" w:hRule="atLeast"/>
        </w:trPr>
        <w:tc>
          <w:tcPr>
            <w:tcW w:w="513" w:type="dxa"/>
            <w:tcBorders>
              <w:top w:val="single" w:color="000000" w:sz="6" w:space="0"/>
              <w:bottom w:val="single" w:color="000000" w:sz="6" w:space="0"/>
              <w:right w:val="single" w:color="000000" w:sz="6" w:space="0"/>
            </w:tcBorders>
          </w:tcPr>
          <w:p>
            <w:pPr>
              <w:pStyle w:val="23"/>
              <w:spacing w:before="43"/>
              <w:ind w:left="19"/>
              <w:jc w:val="center"/>
              <w:rPr>
                <w:sz w:val="21"/>
              </w:rPr>
            </w:pPr>
            <w:r>
              <w:rPr>
                <w:w w:val="99"/>
                <w:sz w:val="21"/>
              </w:rPr>
              <w:t>6</w:t>
            </w:r>
          </w:p>
        </w:tc>
        <w:tc>
          <w:tcPr>
            <w:tcW w:w="6626" w:type="dxa"/>
            <w:tcBorders>
              <w:top w:val="single" w:color="000000" w:sz="6" w:space="0"/>
              <w:left w:val="single" w:color="000000" w:sz="6" w:space="0"/>
              <w:bottom w:val="single" w:color="000000" w:sz="6" w:space="0"/>
              <w:right w:val="single" w:color="000000" w:sz="4" w:space="0"/>
            </w:tcBorders>
          </w:tcPr>
          <w:p>
            <w:pPr>
              <w:pStyle w:val="23"/>
              <w:spacing w:before="89"/>
              <w:ind w:left="114"/>
              <w:rPr>
                <w:sz w:val="21"/>
              </w:rPr>
            </w:pPr>
            <w:r>
              <w:rPr>
                <w:sz w:val="21"/>
              </w:rPr>
              <w:t>投标文件未按照招标文件要求编写</w:t>
            </w:r>
            <w:r>
              <w:rPr>
                <w:rFonts w:hint="eastAsia"/>
                <w:sz w:val="21"/>
              </w:rPr>
              <w:t>、</w:t>
            </w:r>
            <w:r>
              <w:rPr>
                <w:sz w:val="21"/>
              </w:rPr>
              <w:t>印鉴及签字；</w:t>
            </w:r>
          </w:p>
        </w:tc>
        <w:tc>
          <w:tcPr>
            <w:tcW w:w="586" w:type="dxa"/>
            <w:tcBorders>
              <w:top w:val="single" w:color="000000" w:sz="6" w:space="0"/>
              <w:left w:val="single" w:color="000000" w:sz="4" w:space="0"/>
              <w:bottom w:val="single" w:color="000000" w:sz="6" w:space="0"/>
              <w:right w:val="single" w:color="000000" w:sz="4" w:space="0"/>
            </w:tcBorders>
          </w:tcPr>
          <w:p>
            <w:pPr>
              <w:pStyle w:val="23"/>
              <w:rPr>
                <w:rFonts w:ascii="Times New Roman"/>
              </w:rPr>
            </w:pPr>
          </w:p>
        </w:tc>
        <w:tc>
          <w:tcPr>
            <w:tcW w:w="643" w:type="dxa"/>
            <w:tcBorders>
              <w:top w:val="single" w:color="000000" w:sz="6" w:space="0"/>
              <w:left w:val="single" w:color="000000" w:sz="4" w:space="0"/>
              <w:bottom w:val="single" w:color="000000" w:sz="6" w:space="0"/>
              <w:right w:val="single" w:color="000000" w:sz="6" w:space="0"/>
            </w:tcBorders>
          </w:tcPr>
          <w:p>
            <w:pPr>
              <w:pStyle w:val="23"/>
              <w:rPr>
                <w:rFonts w:ascii="Times New Roman"/>
              </w:rPr>
            </w:pPr>
          </w:p>
        </w:tc>
        <w:tc>
          <w:tcPr>
            <w:tcW w:w="534" w:type="dxa"/>
            <w:tcBorders>
              <w:top w:val="single" w:color="000000" w:sz="6" w:space="0"/>
              <w:left w:val="single" w:color="000000" w:sz="6" w:space="0"/>
              <w:bottom w:val="single" w:color="000000" w:sz="6" w:space="0"/>
              <w:right w:val="single" w:color="000000" w:sz="4" w:space="0"/>
            </w:tcBorders>
          </w:tcPr>
          <w:p>
            <w:pPr>
              <w:pStyle w:val="23"/>
              <w:rPr>
                <w:rFonts w:ascii="Times New Roman"/>
              </w:rPr>
            </w:pPr>
          </w:p>
        </w:tc>
        <w:tc>
          <w:tcPr>
            <w:tcW w:w="670" w:type="dxa"/>
            <w:tcBorders>
              <w:top w:val="single" w:color="000000" w:sz="6" w:space="0"/>
              <w:left w:val="single" w:color="000000" w:sz="4" w:space="0"/>
              <w:bottom w:val="single" w:color="000000" w:sz="6" w:space="0"/>
            </w:tcBorders>
          </w:tcPr>
          <w:p>
            <w:pPr>
              <w:pStyle w:val="23"/>
              <w:rPr>
                <w:rFonts w:ascii="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87" w:hRule="atLeast"/>
        </w:trPr>
        <w:tc>
          <w:tcPr>
            <w:tcW w:w="513" w:type="dxa"/>
            <w:tcBorders>
              <w:top w:val="single" w:color="000000" w:sz="6" w:space="0"/>
              <w:bottom w:val="single" w:color="000000" w:sz="6" w:space="0"/>
              <w:right w:val="single" w:color="000000" w:sz="6" w:space="0"/>
            </w:tcBorders>
          </w:tcPr>
          <w:p>
            <w:pPr>
              <w:pStyle w:val="23"/>
              <w:spacing w:before="40"/>
              <w:ind w:left="19"/>
              <w:jc w:val="center"/>
              <w:rPr>
                <w:sz w:val="21"/>
              </w:rPr>
            </w:pPr>
            <w:r>
              <w:rPr>
                <w:w w:val="99"/>
                <w:sz w:val="21"/>
              </w:rPr>
              <w:t>7</w:t>
            </w:r>
          </w:p>
        </w:tc>
        <w:tc>
          <w:tcPr>
            <w:tcW w:w="6626" w:type="dxa"/>
            <w:tcBorders>
              <w:top w:val="single" w:color="000000" w:sz="6" w:space="0"/>
              <w:left w:val="single" w:color="000000" w:sz="6" w:space="0"/>
              <w:bottom w:val="single" w:color="000000" w:sz="6" w:space="0"/>
              <w:right w:val="single" w:color="000000" w:sz="4" w:space="0"/>
            </w:tcBorders>
          </w:tcPr>
          <w:p>
            <w:pPr>
              <w:pStyle w:val="23"/>
              <w:spacing w:before="78"/>
              <w:ind w:left="114"/>
              <w:rPr>
                <w:sz w:val="21"/>
              </w:rPr>
            </w:pPr>
            <w:r>
              <w:rPr>
                <w:sz w:val="21"/>
              </w:rPr>
              <w:t>投标文件中投标有效期不满足招标文件要求的；</w:t>
            </w:r>
          </w:p>
        </w:tc>
        <w:tc>
          <w:tcPr>
            <w:tcW w:w="586" w:type="dxa"/>
            <w:tcBorders>
              <w:top w:val="single" w:color="000000" w:sz="6" w:space="0"/>
              <w:left w:val="single" w:color="000000" w:sz="4" w:space="0"/>
              <w:bottom w:val="single" w:color="000000" w:sz="6" w:space="0"/>
              <w:right w:val="single" w:color="000000" w:sz="4" w:space="0"/>
            </w:tcBorders>
          </w:tcPr>
          <w:p>
            <w:pPr>
              <w:pStyle w:val="23"/>
              <w:rPr>
                <w:rFonts w:ascii="Times New Roman"/>
              </w:rPr>
            </w:pPr>
          </w:p>
        </w:tc>
        <w:tc>
          <w:tcPr>
            <w:tcW w:w="643" w:type="dxa"/>
            <w:tcBorders>
              <w:top w:val="single" w:color="000000" w:sz="6" w:space="0"/>
              <w:left w:val="single" w:color="000000" w:sz="4" w:space="0"/>
              <w:bottom w:val="single" w:color="000000" w:sz="6" w:space="0"/>
              <w:right w:val="single" w:color="000000" w:sz="6" w:space="0"/>
            </w:tcBorders>
          </w:tcPr>
          <w:p>
            <w:pPr>
              <w:pStyle w:val="23"/>
              <w:rPr>
                <w:rFonts w:ascii="Times New Roman"/>
              </w:rPr>
            </w:pPr>
          </w:p>
        </w:tc>
        <w:tc>
          <w:tcPr>
            <w:tcW w:w="534" w:type="dxa"/>
            <w:tcBorders>
              <w:top w:val="single" w:color="000000" w:sz="6" w:space="0"/>
              <w:left w:val="single" w:color="000000" w:sz="6" w:space="0"/>
              <w:bottom w:val="single" w:color="000000" w:sz="6" w:space="0"/>
              <w:right w:val="single" w:color="000000" w:sz="4" w:space="0"/>
            </w:tcBorders>
          </w:tcPr>
          <w:p>
            <w:pPr>
              <w:pStyle w:val="23"/>
              <w:rPr>
                <w:rFonts w:ascii="Times New Roman"/>
              </w:rPr>
            </w:pPr>
          </w:p>
        </w:tc>
        <w:tc>
          <w:tcPr>
            <w:tcW w:w="670" w:type="dxa"/>
            <w:tcBorders>
              <w:top w:val="single" w:color="000000" w:sz="6" w:space="0"/>
              <w:left w:val="single" w:color="000000" w:sz="4" w:space="0"/>
              <w:bottom w:val="single" w:color="000000" w:sz="6" w:space="0"/>
            </w:tcBorders>
          </w:tcPr>
          <w:p>
            <w:pPr>
              <w:pStyle w:val="23"/>
              <w:rPr>
                <w:rFonts w:ascii="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6" w:hRule="atLeast"/>
        </w:trPr>
        <w:tc>
          <w:tcPr>
            <w:tcW w:w="513" w:type="dxa"/>
            <w:tcBorders>
              <w:top w:val="single" w:color="000000" w:sz="6" w:space="0"/>
              <w:bottom w:val="single" w:color="000000" w:sz="6" w:space="0"/>
              <w:right w:val="single" w:color="000000" w:sz="6" w:space="0"/>
            </w:tcBorders>
          </w:tcPr>
          <w:p>
            <w:pPr>
              <w:pStyle w:val="23"/>
              <w:spacing w:before="39"/>
              <w:ind w:left="19"/>
              <w:jc w:val="center"/>
              <w:rPr>
                <w:sz w:val="21"/>
              </w:rPr>
            </w:pPr>
            <w:r>
              <w:rPr>
                <w:w w:val="99"/>
                <w:sz w:val="21"/>
              </w:rPr>
              <w:t>8</w:t>
            </w:r>
          </w:p>
        </w:tc>
        <w:tc>
          <w:tcPr>
            <w:tcW w:w="6626" w:type="dxa"/>
            <w:tcBorders>
              <w:top w:val="single" w:color="000000" w:sz="6" w:space="0"/>
              <w:left w:val="single" w:color="000000" w:sz="6" w:space="0"/>
              <w:bottom w:val="single" w:color="000000" w:sz="6" w:space="0"/>
              <w:right w:val="single" w:color="000000" w:sz="4" w:space="0"/>
            </w:tcBorders>
          </w:tcPr>
          <w:p>
            <w:pPr>
              <w:pStyle w:val="23"/>
              <w:spacing w:before="78"/>
              <w:ind w:left="114"/>
              <w:rPr>
                <w:sz w:val="21"/>
              </w:rPr>
            </w:pPr>
            <w:r>
              <w:rPr>
                <w:sz w:val="21"/>
              </w:rPr>
              <w:t>响应报价超出招标控制价的；</w:t>
            </w:r>
          </w:p>
        </w:tc>
        <w:tc>
          <w:tcPr>
            <w:tcW w:w="586" w:type="dxa"/>
            <w:tcBorders>
              <w:top w:val="single" w:color="000000" w:sz="6" w:space="0"/>
              <w:left w:val="single" w:color="000000" w:sz="4" w:space="0"/>
              <w:bottom w:val="single" w:color="000000" w:sz="6" w:space="0"/>
              <w:right w:val="single" w:color="000000" w:sz="4" w:space="0"/>
            </w:tcBorders>
          </w:tcPr>
          <w:p>
            <w:pPr>
              <w:pStyle w:val="23"/>
              <w:rPr>
                <w:rFonts w:ascii="Times New Roman"/>
              </w:rPr>
            </w:pPr>
          </w:p>
        </w:tc>
        <w:tc>
          <w:tcPr>
            <w:tcW w:w="643" w:type="dxa"/>
            <w:tcBorders>
              <w:top w:val="single" w:color="000000" w:sz="6" w:space="0"/>
              <w:left w:val="single" w:color="000000" w:sz="4" w:space="0"/>
              <w:bottom w:val="single" w:color="000000" w:sz="6" w:space="0"/>
              <w:right w:val="single" w:color="000000" w:sz="6" w:space="0"/>
            </w:tcBorders>
          </w:tcPr>
          <w:p>
            <w:pPr>
              <w:pStyle w:val="23"/>
              <w:rPr>
                <w:rFonts w:ascii="Times New Roman"/>
              </w:rPr>
            </w:pPr>
          </w:p>
        </w:tc>
        <w:tc>
          <w:tcPr>
            <w:tcW w:w="534" w:type="dxa"/>
            <w:tcBorders>
              <w:top w:val="single" w:color="000000" w:sz="6" w:space="0"/>
              <w:left w:val="single" w:color="000000" w:sz="6" w:space="0"/>
              <w:bottom w:val="single" w:color="000000" w:sz="6" w:space="0"/>
              <w:right w:val="single" w:color="000000" w:sz="4" w:space="0"/>
            </w:tcBorders>
          </w:tcPr>
          <w:p>
            <w:pPr>
              <w:pStyle w:val="23"/>
              <w:rPr>
                <w:rFonts w:ascii="Times New Roman"/>
              </w:rPr>
            </w:pPr>
          </w:p>
        </w:tc>
        <w:tc>
          <w:tcPr>
            <w:tcW w:w="670" w:type="dxa"/>
            <w:tcBorders>
              <w:top w:val="single" w:color="000000" w:sz="6" w:space="0"/>
              <w:left w:val="single" w:color="000000" w:sz="4" w:space="0"/>
              <w:bottom w:val="single" w:color="000000" w:sz="6" w:space="0"/>
            </w:tcBorders>
          </w:tcPr>
          <w:p>
            <w:pPr>
              <w:pStyle w:val="23"/>
              <w:rPr>
                <w:rFonts w:ascii="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66" w:hRule="atLeast"/>
        </w:trPr>
        <w:tc>
          <w:tcPr>
            <w:tcW w:w="513" w:type="dxa"/>
            <w:tcBorders>
              <w:top w:val="single" w:color="000000" w:sz="6" w:space="0"/>
              <w:bottom w:val="single" w:color="000000" w:sz="6" w:space="0"/>
              <w:right w:val="single" w:color="000000" w:sz="6" w:space="0"/>
            </w:tcBorders>
          </w:tcPr>
          <w:p>
            <w:pPr>
              <w:pStyle w:val="23"/>
              <w:spacing w:before="29"/>
              <w:ind w:left="19"/>
              <w:jc w:val="center"/>
              <w:rPr>
                <w:sz w:val="21"/>
              </w:rPr>
            </w:pPr>
            <w:r>
              <w:rPr>
                <w:w w:val="99"/>
                <w:sz w:val="21"/>
              </w:rPr>
              <w:t>9</w:t>
            </w:r>
          </w:p>
        </w:tc>
        <w:tc>
          <w:tcPr>
            <w:tcW w:w="6626" w:type="dxa"/>
            <w:tcBorders>
              <w:top w:val="single" w:color="000000" w:sz="6" w:space="0"/>
              <w:left w:val="single" w:color="000000" w:sz="6" w:space="0"/>
              <w:bottom w:val="single" w:color="000000" w:sz="6" w:space="0"/>
              <w:right w:val="single" w:color="000000" w:sz="4" w:space="0"/>
            </w:tcBorders>
          </w:tcPr>
          <w:p>
            <w:pPr>
              <w:pStyle w:val="23"/>
              <w:spacing w:before="58"/>
              <w:ind w:left="114"/>
              <w:rPr>
                <w:sz w:val="21"/>
              </w:rPr>
            </w:pPr>
            <w:r>
              <w:rPr>
                <w:sz w:val="21"/>
              </w:rPr>
              <w:t>投标人有违反政府采购纪律的情况；</w:t>
            </w:r>
          </w:p>
        </w:tc>
        <w:tc>
          <w:tcPr>
            <w:tcW w:w="586" w:type="dxa"/>
            <w:tcBorders>
              <w:top w:val="single" w:color="000000" w:sz="6" w:space="0"/>
              <w:left w:val="single" w:color="000000" w:sz="4" w:space="0"/>
              <w:bottom w:val="single" w:color="000000" w:sz="6" w:space="0"/>
              <w:right w:val="single" w:color="000000" w:sz="4" w:space="0"/>
            </w:tcBorders>
          </w:tcPr>
          <w:p>
            <w:pPr>
              <w:pStyle w:val="23"/>
              <w:rPr>
                <w:rFonts w:ascii="Times New Roman"/>
              </w:rPr>
            </w:pPr>
          </w:p>
        </w:tc>
        <w:tc>
          <w:tcPr>
            <w:tcW w:w="643" w:type="dxa"/>
            <w:tcBorders>
              <w:top w:val="single" w:color="000000" w:sz="6" w:space="0"/>
              <w:left w:val="single" w:color="000000" w:sz="4" w:space="0"/>
              <w:bottom w:val="single" w:color="000000" w:sz="6" w:space="0"/>
              <w:right w:val="single" w:color="000000" w:sz="6" w:space="0"/>
            </w:tcBorders>
          </w:tcPr>
          <w:p>
            <w:pPr>
              <w:pStyle w:val="23"/>
              <w:rPr>
                <w:rFonts w:ascii="Times New Roman"/>
              </w:rPr>
            </w:pPr>
          </w:p>
        </w:tc>
        <w:tc>
          <w:tcPr>
            <w:tcW w:w="534" w:type="dxa"/>
            <w:tcBorders>
              <w:top w:val="single" w:color="000000" w:sz="6" w:space="0"/>
              <w:left w:val="single" w:color="000000" w:sz="6" w:space="0"/>
              <w:bottom w:val="single" w:color="000000" w:sz="6" w:space="0"/>
              <w:right w:val="single" w:color="000000" w:sz="4" w:space="0"/>
            </w:tcBorders>
          </w:tcPr>
          <w:p>
            <w:pPr>
              <w:pStyle w:val="23"/>
              <w:rPr>
                <w:rFonts w:ascii="Times New Roman"/>
              </w:rPr>
            </w:pPr>
          </w:p>
        </w:tc>
        <w:tc>
          <w:tcPr>
            <w:tcW w:w="670" w:type="dxa"/>
            <w:tcBorders>
              <w:top w:val="single" w:color="000000" w:sz="6" w:space="0"/>
              <w:left w:val="single" w:color="000000" w:sz="4" w:space="0"/>
              <w:bottom w:val="single" w:color="000000" w:sz="6" w:space="0"/>
            </w:tcBorders>
          </w:tcPr>
          <w:p>
            <w:pPr>
              <w:pStyle w:val="23"/>
              <w:rPr>
                <w:rFonts w:ascii="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PrEx>
        <w:trPr>
          <w:trHeight w:val="497" w:hRule="atLeast"/>
        </w:trPr>
        <w:tc>
          <w:tcPr>
            <w:tcW w:w="513" w:type="dxa"/>
            <w:tcBorders>
              <w:top w:val="single" w:color="000000" w:sz="6" w:space="0"/>
              <w:bottom w:val="single" w:color="000000" w:sz="6" w:space="0"/>
              <w:right w:val="single" w:color="000000" w:sz="6" w:space="0"/>
            </w:tcBorders>
          </w:tcPr>
          <w:p>
            <w:pPr>
              <w:pStyle w:val="23"/>
              <w:spacing w:before="44"/>
              <w:ind w:left="129" w:right="110"/>
              <w:jc w:val="center"/>
              <w:rPr>
                <w:sz w:val="21"/>
              </w:rPr>
            </w:pPr>
            <w:r>
              <w:rPr>
                <w:sz w:val="21"/>
              </w:rPr>
              <w:t>10</w:t>
            </w:r>
          </w:p>
        </w:tc>
        <w:tc>
          <w:tcPr>
            <w:tcW w:w="6626" w:type="dxa"/>
            <w:tcBorders>
              <w:top w:val="single" w:color="000000" w:sz="6" w:space="0"/>
              <w:left w:val="single" w:color="000000" w:sz="6" w:space="0"/>
              <w:bottom w:val="single" w:color="000000" w:sz="6" w:space="0"/>
              <w:right w:val="single" w:color="000000" w:sz="4" w:space="0"/>
            </w:tcBorders>
          </w:tcPr>
          <w:p>
            <w:pPr>
              <w:pStyle w:val="23"/>
              <w:spacing w:before="87"/>
              <w:ind w:left="114"/>
              <w:rPr>
                <w:sz w:val="21"/>
              </w:rPr>
            </w:pPr>
            <w:r>
              <w:rPr>
                <w:sz w:val="21"/>
              </w:rPr>
              <w:t>未提供招标文件中规定的其他实质性要求</w:t>
            </w:r>
          </w:p>
        </w:tc>
        <w:tc>
          <w:tcPr>
            <w:tcW w:w="586" w:type="dxa"/>
            <w:tcBorders>
              <w:top w:val="single" w:color="000000" w:sz="6" w:space="0"/>
              <w:left w:val="single" w:color="000000" w:sz="4" w:space="0"/>
              <w:bottom w:val="single" w:color="000000" w:sz="6" w:space="0"/>
              <w:right w:val="single" w:color="000000" w:sz="4" w:space="0"/>
            </w:tcBorders>
          </w:tcPr>
          <w:p>
            <w:pPr>
              <w:pStyle w:val="23"/>
              <w:rPr>
                <w:rFonts w:ascii="Times New Roman"/>
              </w:rPr>
            </w:pPr>
          </w:p>
        </w:tc>
        <w:tc>
          <w:tcPr>
            <w:tcW w:w="643" w:type="dxa"/>
            <w:tcBorders>
              <w:top w:val="single" w:color="000000" w:sz="6" w:space="0"/>
              <w:left w:val="single" w:color="000000" w:sz="4" w:space="0"/>
              <w:bottom w:val="single" w:color="000000" w:sz="6" w:space="0"/>
              <w:right w:val="single" w:color="000000" w:sz="6" w:space="0"/>
            </w:tcBorders>
          </w:tcPr>
          <w:p>
            <w:pPr>
              <w:pStyle w:val="23"/>
              <w:rPr>
                <w:rFonts w:ascii="Times New Roman"/>
              </w:rPr>
            </w:pPr>
          </w:p>
        </w:tc>
        <w:tc>
          <w:tcPr>
            <w:tcW w:w="534" w:type="dxa"/>
            <w:tcBorders>
              <w:top w:val="single" w:color="000000" w:sz="6" w:space="0"/>
              <w:left w:val="single" w:color="000000" w:sz="6" w:space="0"/>
              <w:bottom w:val="single" w:color="000000" w:sz="6" w:space="0"/>
              <w:right w:val="single" w:color="000000" w:sz="4" w:space="0"/>
            </w:tcBorders>
          </w:tcPr>
          <w:p>
            <w:pPr>
              <w:pStyle w:val="23"/>
              <w:rPr>
                <w:rFonts w:ascii="Times New Roman"/>
              </w:rPr>
            </w:pPr>
          </w:p>
        </w:tc>
        <w:tc>
          <w:tcPr>
            <w:tcW w:w="670" w:type="dxa"/>
            <w:tcBorders>
              <w:top w:val="single" w:color="000000" w:sz="6" w:space="0"/>
              <w:left w:val="single" w:color="000000" w:sz="4" w:space="0"/>
              <w:bottom w:val="single" w:color="000000" w:sz="6" w:space="0"/>
            </w:tcBorders>
          </w:tcPr>
          <w:p>
            <w:pPr>
              <w:pStyle w:val="23"/>
              <w:rPr>
                <w:rFonts w:ascii="Times New Roman"/>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3" w:hRule="atLeast"/>
        </w:trPr>
        <w:tc>
          <w:tcPr>
            <w:tcW w:w="7139" w:type="dxa"/>
            <w:gridSpan w:val="2"/>
            <w:tcBorders>
              <w:top w:val="single" w:color="000000" w:sz="6" w:space="0"/>
              <w:right w:val="single" w:color="000000" w:sz="4" w:space="0"/>
            </w:tcBorders>
          </w:tcPr>
          <w:p>
            <w:pPr>
              <w:pStyle w:val="23"/>
              <w:spacing w:before="1"/>
              <w:ind w:left="106"/>
              <w:rPr>
                <w:sz w:val="24"/>
              </w:rPr>
            </w:pPr>
            <w:r>
              <w:rPr>
                <w:sz w:val="24"/>
              </w:rPr>
              <w:t>结论：是否通过评审</w:t>
            </w:r>
          </w:p>
          <w:p>
            <w:pPr>
              <w:pStyle w:val="23"/>
              <w:spacing w:before="158"/>
              <w:ind w:left="106"/>
              <w:rPr>
                <w:sz w:val="24"/>
              </w:rPr>
            </w:pPr>
            <w:r>
              <w:rPr>
                <w:sz w:val="24"/>
              </w:rPr>
              <w:t>未通过初步评审的，为无效报价。</w:t>
            </w:r>
          </w:p>
        </w:tc>
        <w:tc>
          <w:tcPr>
            <w:tcW w:w="586" w:type="dxa"/>
            <w:tcBorders>
              <w:top w:val="single" w:color="000000" w:sz="6" w:space="0"/>
              <w:left w:val="single" w:color="000000" w:sz="4" w:space="0"/>
              <w:right w:val="single" w:color="000000" w:sz="4" w:space="0"/>
            </w:tcBorders>
          </w:tcPr>
          <w:p>
            <w:pPr>
              <w:pStyle w:val="23"/>
              <w:rPr>
                <w:rFonts w:ascii="Times New Roman"/>
              </w:rPr>
            </w:pPr>
          </w:p>
        </w:tc>
        <w:tc>
          <w:tcPr>
            <w:tcW w:w="643" w:type="dxa"/>
            <w:tcBorders>
              <w:top w:val="single" w:color="000000" w:sz="6" w:space="0"/>
              <w:left w:val="single" w:color="000000" w:sz="4" w:space="0"/>
              <w:right w:val="single" w:color="000000" w:sz="6" w:space="0"/>
            </w:tcBorders>
          </w:tcPr>
          <w:p>
            <w:pPr>
              <w:pStyle w:val="23"/>
              <w:rPr>
                <w:rFonts w:ascii="Times New Roman"/>
              </w:rPr>
            </w:pPr>
          </w:p>
        </w:tc>
        <w:tc>
          <w:tcPr>
            <w:tcW w:w="534" w:type="dxa"/>
            <w:tcBorders>
              <w:top w:val="single" w:color="000000" w:sz="6" w:space="0"/>
              <w:left w:val="single" w:color="000000" w:sz="6" w:space="0"/>
              <w:right w:val="single" w:color="000000" w:sz="6" w:space="0"/>
            </w:tcBorders>
          </w:tcPr>
          <w:p>
            <w:pPr>
              <w:pStyle w:val="23"/>
              <w:rPr>
                <w:rFonts w:ascii="Times New Roman"/>
              </w:rPr>
            </w:pPr>
          </w:p>
        </w:tc>
        <w:tc>
          <w:tcPr>
            <w:tcW w:w="670" w:type="dxa"/>
            <w:tcBorders>
              <w:top w:val="single" w:color="000000" w:sz="6" w:space="0"/>
              <w:left w:val="single" w:color="000000" w:sz="6" w:space="0"/>
            </w:tcBorders>
          </w:tcPr>
          <w:p>
            <w:pPr>
              <w:pStyle w:val="23"/>
              <w:rPr>
                <w:rFonts w:ascii="Times New Roman"/>
              </w:rPr>
            </w:pPr>
          </w:p>
        </w:tc>
      </w:tr>
    </w:tbl>
    <w:p>
      <w:pPr>
        <w:pStyle w:val="9"/>
        <w:spacing w:before="7"/>
        <w:rPr>
          <w:rFonts w:ascii="PMingLiU"/>
          <w:sz w:val="33"/>
        </w:rPr>
      </w:pPr>
    </w:p>
    <w:p>
      <w:pPr>
        <w:pStyle w:val="9"/>
        <w:spacing w:before="37" w:line="362" w:lineRule="auto"/>
        <w:ind w:left="774" w:right="794"/>
        <w:rPr>
          <w:rFonts w:ascii="宋体" w:eastAsia="宋体"/>
        </w:rPr>
      </w:pPr>
    </w:p>
    <w:p>
      <w:pPr>
        <w:pStyle w:val="9"/>
        <w:spacing w:before="37" w:line="362" w:lineRule="auto"/>
        <w:ind w:left="774" w:right="794"/>
        <w:rPr>
          <w:rFonts w:ascii="宋体" w:eastAsia="宋体"/>
        </w:rPr>
      </w:pPr>
    </w:p>
    <w:p>
      <w:pPr>
        <w:pStyle w:val="9"/>
        <w:spacing w:before="37" w:line="362" w:lineRule="auto"/>
        <w:ind w:left="774" w:right="794"/>
        <w:rPr>
          <w:rFonts w:ascii="宋体" w:eastAsia="宋体"/>
        </w:rPr>
      </w:pPr>
    </w:p>
    <w:p>
      <w:pPr>
        <w:pStyle w:val="9"/>
        <w:spacing w:before="37" w:line="362" w:lineRule="auto"/>
        <w:ind w:left="774" w:right="794"/>
        <w:rPr>
          <w:rFonts w:ascii="宋体" w:eastAsia="宋体"/>
        </w:rPr>
      </w:pPr>
    </w:p>
    <w:p>
      <w:pPr>
        <w:pStyle w:val="9"/>
        <w:spacing w:before="37" w:line="362" w:lineRule="auto"/>
        <w:ind w:left="774" w:right="794"/>
        <w:rPr>
          <w:rFonts w:ascii="宋体" w:eastAsia="宋体"/>
        </w:rPr>
      </w:pPr>
    </w:p>
    <w:p>
      <w:pPr>
        <w:pStyle w:val="9"/>
        <w:spacing w:before="37" w:line="362" w:lineRule="auto"/>
        <w:ind w:left="774" w:right="794"/>
        <w:rPr>
          <w:rFonts w:ascii="宋体" w:eastAsia="宋体"/>
        </w:rPr>
      </w:pPr>
    </w:p>
    <w:p>
      <w:pPr>
        <w:pStyle w:val="9"/>
        <w:spacing w:before="37" w:line="362" w:lineRule="auto"/>
        <w:ind w:left="774" w:right="794"/>
        <w:rPr>
          <w:rFonts w:ascii="宋体" w:eastAsia="宋体"/>
        </w:rPr>
      </w:pPr>
    </w:p>
    <w:tbl>
      <w:tblPr>
        <w:tblStyle w:val="19"/>
        <w:tblpPr w:leftFromText="180" w:rightFromText="180" w:vertAnchor="text" w:horzAnchor="page" w:tblpX="1456" w:tblpY="635"/>
        <w:tblOverlap w:val="never"/>
        <w:tblW w:w="9000" w:type="dxa"/>
        <w:tblInd w:w="0" w:type="dxa"/>
        <w:tblLayout w:type="fixed"/>
        <w:tblCellMar>
          <w:top w:w="0" w:type="dxa"/>
          <w:left w:w="0" w:type="dxa"/>
          <w:bottom w:w="0" w:type="dxa"/>
          <w:right w:w="0" w:type="dxa"/>
        </w:tblCellMar>
      </w:tblPr>
      <w:tblGrid>
        <w:gridCol w:w="555"/>
        <w:gridCol w:w="6225"/>
        <w:gridCol w:w="555"/>
        <w:gridCol w:w="555"/>
        <w:gridCol w:w="555"/>
        <w:gridCol w:w="555"/>
      </w:tblGrid>
      <w:tr>
        <w:tblPrEx>
          <w:tblCellMar>
            <w:top w:w="0" w:type="dxa"/>
            <w:left w:w="0" w:type="dxa"/>
            <w:bottom w:w="0" w:type="dxa"/>
            <w:right w:w="0" w:type="dxa"/>
          </w:tblCellMar>
        </w:tblPrEx>
        <w:trPr>
          <w:trHeight w:val="705" w:hRule="atLeast"/>
        </w:trPr>
        <w:tc>
          <w:tcPr>
            <w:tcW w:w="9000" w:type="dxa"/>
            <w:gridSpan w:val="6"/>
            <w:tcBorders>
              <w:top w:val="nil"/>
              <w:left w:val="nil"/>
              <w:bottom w:val="nil"/>
              <w:right w:val="nil"/>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lang w:val="en-US" w:bidi="ar"/>
              </w:rPr>
              <w:t>符合性审查表</w:t>
            </w:r>
          </w:p>
        </w:tc>
      </w:tr>
      <w:tr>
        <w:tblPrEx>
          <w:tblCellMar>
            <w:top w:w="0" w:type="dxa"/>
            <w:left w:w="0" w:type="dxa"/>
            <w:bottom w:w="0" w:type="dxa"/>
            <w:right w:w="0" w:type="dxa"/>
          </w:tblCellMar>
        </w:tblPrEx>
        <w:trPr>
          <w:trHeight w:val="822" w:hRule="atLeast"/>
        </w:trPr>
        <w:tc>
          <w:tcPr>
            <w:tcW w:w="55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bidi="ar"/>
              </w:rPr>
              <w:t>序号</w:t>
            </w:r>
          </w:p>
        </w:tc>
        <w:tc>
          <w:tcPr>
            <w:tcW w:w="6225" w:type="dxa"/>
            <w:tcBorders>
              <w:top w:val="single" w:color="000000" w:sz="4" w:space="0"/>
              <w:left w:val="single" w:color="000000" w:sz="4" w:space="0"/>
              <w:bottom w:val="single" w:color="auto" w:sz="4" w:space="0"/>
              <w:right w:val="single" w:color="000000" w:sz="4" w:space="0"/>
              <w:tl2br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1"/>
                <w:szCs w:val="21"/>
              </w:rPr>
            </w:pPr>
            <w:r>
              <w:rPr>
                <w:rFonts w:hint="eastAsia" w:ascii="宋体" w:hAnsi="宋体" w:eastAsia="宋体" w:cs="宋体"/>
                <w:b/>
                <w:color w:val="000000"/>
                <w:sz w:val="21"/>
                <w:szCs w:val="21"/>
                <w:lang w:val="en-US" w:bidi="ar"/>
              </w:rPr>
              <w:t>标  准                        投 标 人</w:t>
            </w:r>
          </w:p>
        </w:tc>
        <w:tc>
          <w:tcPr>
            <w:tcW w:w="55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bidi="ar"/>
              </w:rPr>
              <w:t>1</w:t>
            </w:r>
          </w:p>
        </w:tc>
        <w:tc>
          <w:tcPr>
            <w:tcW w:w="55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bidi="ar"/>
              </w:rPr>
              <w:t>2</w:t>
            </w:r>
          </w:p>
        </w:tc>
        <w:tc>
          <w:tcPr>
            <w:tcW w:w="55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bidi="ar"/>
              </w:rPr>
              <w:t>3</w:t>
            </w:r>
          </w:p>
        </w:tc>
        <w:tc>
          <w:tcPr>
            <w:tcW w:w="55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1"/>
                <w:szCs w:val="21"/>
              </w:rPr>
            </w:pPr>
            <w:r>
              <w:rPr>
                <w:rFonts w:hint="eastAsia" w:ascii="宋体" w:hAnsi="宋体" w:eastAsia="宋体" w:cs="宋体"/>
                <w:color w:val="000000"/>
                <w:sz w:val="21"/>
                <w:szCs w:val="21"/>
                <w:lang w:val="en-US" w:bidi="ar"/>
              </w:rPr>
              <w:t>…</w:t>
            </w:r>
          </w:p>
        </w:tc>
      </w:tr>
      <w:tr>
        <w:tblPrEx>
          <w:tblCellMar>
            <w:top w:w="0" w:type="dxa"/>
            <w:left w:w="0" w:type="dxa"/>
            <w:bottom w:w="0" w:type="dxa"/>
            <w:right w:w="0" w:type="dxa"/>
          </w:tblCellMar>
        </w:tblPrEx>
        <w:trPr>
          <w:trHeight w:val="540" w:hRule="atLeast"/>
        </w:trPr>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1"/>
                <w:lang w:val="en-US"/>
              </w:rPr>
            </w:pPr>
            <w:r>
              <w:rPr>
                <w:rFonts w:hint="eastAsia" w:ascii="宋体" w:hAnsi="宋体" w:eastAsia="宋体" w:cs="宋体"/>
                <w:sz w:val="21"/>
                <w:lang w:val="en-US"/>
              </w:rPr>
              <w:t>1</w:t>
            </w:r>
          </w:p>
        </w:tc>
        <w:tc>
          <w:tcPr>
            <w:tcW w:w="62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eastAsia="宋体" w:cs="宋体"/>
                <w:sz w:val="21"/>
              </w:rPr>
            </w:pPr>
            <w:r>
              <w:rPr>
                <w:rFonts w:hint="eastAsia" w:ascii="宋体" w:hAnsi="宋体" w:eastAsia="宋体" w:cs="宋体"/>
                <w:sz w:val="21"/>
                <w:lang w:val="en-US"/>
              </w:rPr>
              <w:t>投标函是否有单位盖章及法定代表人或法定代表人授权的代理人签字或盖章的；</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eastAsia="宋体" w:cs="宋体"/>
                <w:sz w:val="21"/>
                <w:lang w:val="en-US"/>
              </w:rPr>
            </w:pP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eastAsia="宋体" w:cs="宋体"/>
                <w:sz w:val="21"/>
                <w:lang w:val="en-US"/>
              </w:rPr>
            </w:pP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eastAsia="宋体" w:cs="宋体"/>
                <w:sz w:val="21"/>
                <w:lang w:val="en-US"/>
              </w:rPr>
            </w:pP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eastAsia="宋体" w:cs="宋体"/>
                <w:sz w:val="21"/>
                <w:lang w:val="en-US"/>
              </w:rPr>
            </w:pPr>
          </w:p>
        </w:tc>
      </w:tr>
      <w:tr>
        <w:tblPrEx>
          <w:tblCellMar>
            <w:top w:w="0" w:type="dxa"/>
            <w:left w:w="0" w:type="dxa"/>
            <w:bottom w:w="0" w:type="dxa"/>
            <w:right w:w="0" w:type="dxa"/>
          </w:tblCellMar>
        </w:tblPrEx>
        <w:trPr>
          <w:trHeight w:val="559" w:hRule="atLeast"/>
        </w:trPr>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1"/>
                <w:lang w:val="en-US"/>
              </w:rPr>
            </w:pPr>
            <w:r>
              <w:rPr>
                <w:rFonts w:hint="eastAsia" w:ascii="宋体" w:hAnsi="宋体" w:eastAsia="宋体" w:cs="宋体"/>
                <w:sz w:val="21"/>
                <w:lang w:val="en-US"/>
              </w:rPr>
              <w:t>2</w:t>
            </w:r>
          </w:p>
        </w:tc>
        <w:tc>
          <w:tcPr>
            <w:tcW w:w="62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eastAsia="宋体" w:cs="宋体"/>
                <w:sz w:val="21"/>
              </w:rPr>
            </w:pPr>
            <w:r>
              <w:rPr>
                <w:rFonts w:hint="eastAsia" w:ascii="宋体" w:hAnsi="宋体" w:eastAsia="宋体" w:cs="宋体"/>
                <w:sz w:val="21"/>
                <w:lang w:val="en-US"/>
              </w:rPr>
              <w:t>是否提供法人授权委托书的</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eastAsia="宋体" w:cs="宋体"/>
                <w:sz w:val="21"/>
                <w:lang w:val="en-US"/>
              </w:rPr>
            </w:pP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eastAsia="宋体" w:cs="宋体"/>
                <w:sz w:val="21"/>
                <w:lang w:val="en-US"/>
              </w:rPr>
            </w:pP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eastAsia="宋体" w:cs="宋体"/>
                <w:sz w:val="21"/>
                <w:lang w:val="en-US"/>
              </w:rPr>
            </w:pP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eastAsia="宋体" w:cs="宋体"/>
                <w:sz w:val="21"/>
                <w:lang w:val="en-US"/>
              </w:rPr>
            </w:pPr>
          </w:p>
        </w:tc>
      </w:tr>
      <w:tr>
        <w:tblPrEx>
          <w:tblCellMar>
            <w:top w:w="0" w:type="dxa"/>
            <w:left w:w="0" w:type="dxa"/>
            <w:bottom w:w="0" w:type="dxa"/>
            <w:right w:w="0" w:type="dxa"/>
          </w:tblCellMar>
        </w:tblPrEx>
        <w:trPr>
          <w:trHeight w:val="420" w:hRule="atLeast"/>
        </w:trPr>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1"/>
                <w:lang w:val="en-US"/>
              </w:rPr>
            </w:pPr>
            <w:r>
              <w:rPr>
                <w:rFonts w:hint="eastAsia" w:ascii="宋体" w:hAnsi="宋体" w:eastAsia="宋体" w:cs="宋体"/>
                <w:sz w:val="21"/>
                <w:lang w:val="en-US"/>
              </w:rPr>
              <w:t>3</w:t>
            </w:r>
          </w:p>
        </w:tc>
        <w:tc>
          <w:tcPr>
            <w:tcW w:w="62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eastAsia="宋体" w:cs="宋体"/>
                <w:sz w:val="21"/>
              </w:rPr>
            </w:pPr>
            <w:r>
              <w:rPr>
                <w:rFonts w:hint="eastAsia" w:ascii="宋体" w:hAnsi="宋体" w:eastAsia="宋体" w:cs="宋体"/>
                <w:sz w:val="21"/>
                <w:lang w:val="en-US"/>
              </w:rPr>
              <w:t>是否按规定的格式填写，内容不全或关键字迹模糊、无法辨认的；</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eastAsia="宋体" w:cs="宋体"/>
                <w:sz w:val="21"/>
                <w:lang w:val="en-US"/>
              </w:rPr>
            </w:pP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eastAsia="宋体" w:cs="宋体"/>
                <w:sz w:val="21"/>
                <w:lang w:val="en-US"/>
              </w:rPr>
            </w:pP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eastAsia="宋体" w:cs="宋体"/>
                <w:sz w:val="21"/>
                <w:lang w:val="en-US"/>
              </w:rPr>
            </w:pP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eastAsia="宋体" w:cs="宋体"/>
                <w:sz w:val="21"/>
                <w:lang w:val="en-US"/>
              </w:rPr>
            </w:pPr>
          </w:p>
        </w:tc>
      </w:tr>
      <w:tr>
        <w:tblPrEx>
          <w:tblCellMar>
            <w:top w:w="0" w:type="dxa"/>
            <w:left w:w="0" w:type="dxa"/>
            <w:bottom w:w="0" w:type="dxa"/>
            <w:right w:w="0" w:type="dxa"/>
          </w:tblCellMar>
        </w:tblPrEx>
        <w:trPr>
          <w:trHeight w:val="420" w:hRule="atLeast"/>
        </w:trPr>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1"/>
                <w:lang w:val="en-US"/>
              </w:rPr>
            </w:pPr>
            <w:r>
              <w:rPr>
                <w:rFonts w:hint="eastAsia" w:ascii="宋体" w:hAnsi="宋体" w:eastAsia="宋体" w:cs="宋体"/>
                <w:sz w:val="21"/>
                <w:lang w:val="en-US"/>
              </w:rPr>
              <w:t>4</w:t>
            </w:r>
          </w:p>
        </w:tc>
        <w:tc>
          <w:tcPr>
            <w:tcW w:w="62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eastAsia="宋体" w:cs="宋体"/>
                <w:sz w:val="21"/>
              </w:rPr>
            </w:pPr>
            <w:r>
              <w:rPr>
                <w:rFonts w:hint="eastAsia" w:ascii="宋体" w:hAnsi="宋体" w:eastAsia="宋体" w:cs="宋体"/>
                <w:sz w:val="21"/>
                <w:lang w:val="en-US"/>
              </w:rPr>
              <w:t>投标文件是否按照招标文件要求编写、装订；</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eastAsia="宋体" w:cs="宋体"/>
                <w:sz w:val="21"/>
                <w:lang w:val="en-US"/>
              </w:rPr>
            </w:pP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eastAsia="宋体" w:cs="宋体"/>
                <w:sz w:val="21"/>
                <w:lang w:val="en-US"/>
              </w:rPr>
            </w:pP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eastAsia="宋体" w:cs="宋体"/>
                <w:sz w:val="21"/>
                <w:lang w:val="en-US"/>
              </w:rPr>
            </w:pP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eastAsia="宋体" w:cs="宋体"/>
                <w:sz w:val="21"/>
                <w:lang w:val="en-US"/>
              </w:rPr>
            </w:pPr>
          </w:p>
        </w:tc>
      </w:tr>
      <w:tr>
        <w:tblPrEx>
          <w:tblCellMar>
            <w:top w:w="0" w:type="dxa"/>
            <w:left w:w="0" w:type="dxa"/>
            <w:bottom w:w="0" w:type="dxa"/>
            <w:right w:w="0" w:type="dxa"/>
          </w:tblCellMar>
        </w:tblPrEx>
        <w:trPr>
          <w:trHeight w:val="360" w:hRule="atLeast"/>
        </w:trPr>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1"/>
                <w:lang w:val="en-US"/>
              </w:rPr>
            </w:pPr>
            <w:r>
              <w:rPr>
                <w:rFonts w:hint="eastAsia" w:ascii="宋体" w:hAnsi="宋体" w:eastAsia="宋体" w:cs="宋体"/>
                <w:sz w:val="21"/>
                <w:lang w:val="en-US"/>
              </w:rPr>
              <w:t>5</w:t>
            </w:r>
          </w:p>
        </w:tc>
        <w:tc>
          <w:tcPr>
            <w:tcW w:w="62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eastAsia="宋体" w:cs="宋体"/>
                <w:sz w:val="21"/>
              </w:rPr>
            </w:pPr>
            <w:r>
              <w:rPr>
                <w:rFonts w:hint="eastAsia" w:ascii="宋体" w:hAnsi="宋体" w:eastAsia="宋体" w:cs="宋体"/>
                <w:sz w:val="21"/>
                <w:lang w:val="en-US"/>
              </w:rPr>
              <w:t>投标有效期是否满足招标文件要求的；</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eastAsia="宋体" w:cs="宋体"/>
                <w:sz w:val="21"/>
                <w:lang w:val="en-US"/>
              </w:rPr>
            </w:pP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eastAsia="宋体" w:cs="宋体"/>
                <w:sz w:val="21"/>
                <w:lang w:val="en-US"/>
              </w:rPr>
            </w:pP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eastAsia="宋体" w:cs="宋体"/>
                <w:sz w:val="21"/>
                <w:lang w:val="en-US"/>
              </w:rPr>
            </w:pP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eastAsia="宋体" w:cs="宋体"/>
                <w:sz w:val="21"/>
                <w:lang w:val="en-US"/>
              </w:rPr>
            </w:pPr>
          </w:p>
        </w:tc>
      </w:tr>
      <w:tr>
        <w:tblPrEx>
          <w:tblCellMar>
            <w:top w:w="0" w:type="dxa"/>
            <w:left w:w="0" w:type="dxa"/>
            <w:bottom w:w="0" w:type="dxa"/>
            <w:right w:w="0" w:type="dxa"/>
          </w:tblCellMar>
        </w:tblPrEx>
        <w:trPr>
          <w:trHeight w:val="480" w:hRule="atLeast"/>
        </w:trPr>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1"/>
                <w:lang w:val="en-US"/>
              </w:rPr>
            </w:pPr>
            <w:r>
              <w:rPr>
                <w:rFonts w:hint="eastAsia" w:ascii="宋体" w:hAnsi="宋体" w:eastAsia="宋体" w:cs="宋体"/>
                <w:sz w:val="21"/>
                <w:lang w:val="en-US"/>
              </w:rPr>
              <w:t>6</w:t>
            </w:r>
          </w:p>
        </w:tc>
        <w:tc>
          <w:tcPr>
            <w:tcW w:w="62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eastAsia="宋体" w:cs="宋体"/>
                <w:sz w:val="21"/>
              </w:rPr>
            </w:pPr>
            <w:r>
              <w:rPr>
                <w:rFonts w:hint="eastAsia" w:ascii="宋体" w:hAnsi="宋体" w:eastAsia="宋体" w:cs="宋体"/>
                <w:sz w:val="21"/>
                <w:lang w:val="en-US"/>
              </w:rPr>
              <w:t>投标人所报服务期限是否超过招标文件规定期限的；</w:t>
            </w: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eastAsia="宋体" w:cs="宋体"/>
                <w:sz w:val="21"/>
                <w:lang w:val="en-US"/>
              </w:rPr>
            </w:pP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eastAsia="宋体" w:cs="宋体"/>
                <w:sz w:val="21"/>
                <w:lang w:val="en-US"/>
              </w:rPr>
            </w:pP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eastAsia="宋体" w:cs="宋体"/>
                <w:sz w:val="21"/>
                <w:lang w:val="en-US"/>
              </w:rPr>
            </w:pPr>
          </w:p>
        </w:tc>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eastAsia="宋体" w:cs="宋体"/>
                <w:sz w:val="21"/>
                <w:lang w:val="en-US"/>
              </w:rPr>
            </w:pPr>
          </w:p>
        </w:tc>
      </w:tr>
      <w:tr>
        <w:tblPrEx>
          <w:tblCellMar>
            <w:top w:w="0" w:type="dxa"/>
            <w:left w:w="0" w:type="dxa"/>
            <w:bottom w:w="0" w:type="dxa"/>
            <w:right w:w="0" w:type="dxa"/>
          </w:tblCellMar>
        </w:tblPrEx>
        <w:trPr>
          <w:trHeight w:val="379" w:hRule="atLeast"/>
        </w:trPr>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1"/>
                <w:lang w:val="en-US"/>
              </w:rPr>
            </w:pPr>
            <w:r>
              <w:rPr>
                <w:rFonts w:hint="eastAsia" w:ascii="宋体" w:hAnsi="宋体" w:eastAsia="宋体" w:cs="宋体"/>
                <w:sz w:val="21"/>
                <w:lang w:val="en-US"/>
              </w:rPr>
              <w:t>7</w:t>
            </w:r>
          </w:p>
        </w:tc>
        <w:tc>
          <w:tcPr>
            <w:tcW w:w="62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eastAsia="宋体" w:cs="宋体"/>
                <w:sz w:val="21"/>
              </w:rPr>
            </w:pPr>
            <w:r>
              <w:rPr>
                <w:rFonts w:hint="eastAsia" w:ascii="宋体" w:hAnsi="宋体" w:eastAsia="宋体" w:cs="宋体"/>
                <w:sz w:val="21"/>
                <w:lang w:val="en-US"/>
              </w:rPr>
              <w:t>投标报价是否超过预算金额；</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textAlignment w:val="center"/>
              <w:rPr>
                <w:rFonts w:ascii="宋体" w:hAnsi="宋体" w:eastAsia="宋体" w:cs="宋体"/>
                <w:sz w:val="21"/>
                <w:lang w:val="en-US"/>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textAlignment w:val="center"/>
              <w:rPr>
                <w:rFonts w:ascii="宋体" w:hAnsi="宋体" w:eastAsia="宋体" w:cs="宋体"/>
                <w:sz w:val="21"/>
                <w:lang w:val="en-US"/>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textAlignment w:val="center"/>
              <w:rPr>
                <w:rFonts w:ascii="宋体" w:hAnsi="宋体" w:eastAsia="宋体" w:cs="宋体"/>
                <w:sz w:val="21"/>
                <w:lang w:val="en-US"/>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textAlignment w:val="center"/>
              <w:rPr>
                <w:rFonts w:ascii="宋体" w:hAnsi="宋体" w:eastAsia="宋体" w:cs="宋体"/>
                <w:sz w:val="21"/>
                <w:lang w:val="en-US"/>
              </w:rPr>
            </w:pPr>
          </w:p>
        </w:tc>
      </w:tr>
      <w:tr>
        <w:tblPrEx>
          <w:tblCellMar>
            <w:top w:w="0" w:type="dxa"/>
            <w:left w:w="0" w:type="dxa"/>
            <w:bottom w:w="0" w:type="dxa"/>
            <w:right w:w="0" w:type="dxa"/>
          </w:tblCellMar>
        </w:tblPrEx>
        <w:trPr>
          <w:trHeight w:val="420" w:hRule="atLeast"/>
        </w:trPr>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1"/>
                <w:lang w:val="en-US"/>
              </w:rPr>
            </w:pPr>
            <w:r>
              <w:rPr>
                <w:rFonts w:hint="eastAsia" w:ascii="宋体" w:hAnsi="宋体" w:eastAsia="宋体" w:cs="宋体"/>
                <w:sz w:val="21"/>
                <w:lang w:val="en-US"/>
              </w:rPr>
              <w:t>8</w:t>
            </w:r>
          </w:p>
        </w:tc>
        <w:tc>
          <w:tcPr>
            <w:tcW w:w="62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eastAsia="宋体" w:cs="宋体"/>
                <w:sz w:val="21"/>
              </w:rPr>
            </w:pPr>
            <w:r>
              <w:rPr>
                <w:rFonts w:hint="eastAsia" w:ascii="宋体" w:hAnsi="宋体" w:eastAsia="宋体" w:cs="宋体"/>
                <w:sz w:val="21"/>
                <w:lang w:val="en-US"/>
              </w:rPr>
              <w:t>是否只有一个有效报价，未提交选择性报价。</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textAlignment w:val="center"/>
              <w:rPr>
                <w:rFonts w:ascii="宋体" w:hAnsi="宋体" w:eastAsia="宋体" w:cs="宋体"/>
                <w:sz w:val="21"/>
                <w:lang w:val="en-US"/>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textAlignment w:val="center"/>
              <w:rPr>
                <w:rFonts w:ascii="宋体" w:hAnsi="宋体" w:eastAsia="宋体" w:cs="宋体"/>
                <w:sz w:val="21"/>
                <w:lang w:val="en-US"/>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textAlignment w:val="center"/>
              <w:rPr>
                <w:rFonts w:ascii="宋体" w:hAnsi="宋体" w:eastAsia="宋体" w:cs="宋体"/>
                <w:sz w:val="21"/>
                <w:lang w:val="en-US"/>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textAlignment w:val="center"/>
              <w:rPr>
                <w:rFonts w:ascii="宋体" w:hAnsi="宋体" w:eastAsia="宋体" w:cs="宋体"/>
                <w:sz w:val="21"/>
                <w:lang w:val="en-US"/>
              </w:rPr>
            </w:pPr>
          </w:p>
        </w:tc>
      </w:tr>
      <w:tr>
        <w:tblPrEx>
          <w:tblCellMar>
            <w:top w:w="0" w:type="dxa"/>
            <w:left w:w="0" w:type="dxa"/>
            <w:bottom w:w="0" w:type="dxa"/>
            <w:right w:w="0" w:type="dxa"/>
          </w:tblCellMar>
        </w:tblPrEx>
        <w:trPr>
          <w:trHeight w:val="540" w:hRule="atLeast"/>
        </w:trPr>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1"/>
                <w:lang w:val="en-US"/>
              </w:rPr>
            </w:pPr>
            <w:r>
              <w:rPr>
                <w:rFonts w:hint="eastAsia" w:ascii="宋体" w:hAnsi="宋体" w:eastAsia="宋体" w:cs="宋体"/>
                <w:sz w:val="21"/>
                <w:lang w:val="en-US"/>
              </w:rPr>
              <w:t>9</w:t>
            </w:r>
          </w:p>
        </w:tc>
        <w:tc>
          <w:tcPr>
            <w:tcW w:w="62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eastAsia="宋体" w:cs="宋体"/>
                <w:sz w:val="21"/>
              </w:rPr>
            </w:pPr>
            <w:r>
              <w:rPr>
                <w:rFonts w:hint="eastAsia" w:ascii="宋体" w:hAnsi="宋体" w:eastAsia="宋体" w:cs="宋体"/>
                <w:sz w:val="21"/>
                <w:lang w:val="en-US"/>
              </w:rPr>
              <w:t>投标文件载明的技术规格、技术标准、检验标准和方法等是否符合招标文件要求；</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textAlignment w:val="center"/>
              <w:rPr>
                <w:rFonts w:ascii="宋体" w:hAnsi="宋体" w:eastAsia="宋体" w:cs="宋体"/>
                <w:sz w:val="21"/>
                <w:lang w:val="en-US"/>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textAlignment w:val="center"/>
              <w:rPr>
                <w:rFonts w:ascii="宋体" w:hAnsi="宋体" w:eastAsia="宋体" w:cs="宋体"/>
                <w:sz w:val="21"/>
                <w:lang w:val="en-US"/>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textAlignment w:val="center"/>
              <w:rPr>
                <w:rFonts w:ascii="宋体" w:hAnsi="宋体" w:eastAsia="宋体" w:cs="宋体"/>
                <w:sz w:val="21"/>
                <w:lang w:val="en-US"/>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textAlignment w:val="center"/>
              <w:rPr>
                <w:rFonts w:ascii="宋体" w:hAnsi="宋体" w:eastAsia="宋体" w:cs="宋体"/>
                <w:sz w:val="21"/>
                <w:lang w:val="en-US"/>
              </w:rPr>
            </w:pPr>
          </w:p>
        </w:tc>
      </w:tr>
      <w:tr>
        <w:tblPrEx>
          <w:tblCellMar>
            <w:top w:w="0" w:type="dxa"/>
            <w:left w:w="0" w:type="dxa"/>
            <w:bottom w:w="0" w:type="dxa"/>
            <w:right w:w="0" w:type="dxa"/>
          </w:tblCellMar>
        </w:tblPrEx>
        <w:trPr>
          <w:trHeight w:val="480" w:hRule="atLeast"/>
        </w:trPr>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1"/>
                <w:lang w:val="en-US"/>
              </w:rPr>
            </w:pPr>
            <w:r>
              <w:rPr>
                <w:rFonts w:hint="eastAsia" w:ascii="宋体" w:hAnsi="宋体" w:eastAsia="宋体" w:cs="宋体"/>
                <w:sz w:val="21"/>
                <w:lang w:val="en-US"/>
              </w:rPr>
              <w:t>10</w:t>
            </w:r>
          </w:p>
        </w:tc>
        <w:tc>
          <w:tcPr>
            <w:tcW w:w="62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eastAsia="宋体" w:cs="宋体"/>
                <w:sz w:val="21"/>
              </w:rPr>
            </w:pPr>
            <w:r>
              <w:rPr>
                <w:rFonts w:hint="eastAsia" w:ascii="宋体" w:hAnsi="宋体" w:eastAsia="宋体" w:cs="宋体"/>
                <w:sz w:val="21"/>
                <w:lang w:val="en-US"/>
              </w:rPr>
              <w:t>投标文件是否附有招标人不能接受的条件；</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textAlignment w:val="center"/>
              <w:rPr>
                <w:rFonts w:ascii="宋体" w:hAnsi="宋体" w:eastAsia="宋体" w:cs="宋体"/>
                <w:sz w:val="21"/>
                <w:lang w:val="en-US"/>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textAlignment w:val="center"/>
              <w:rPr>
                <w:rFonts w:ascii="宋体" w:hAnsi="宋体" w:eastAsia="宋体" w:cs="宋体"/>
                <w:sz w:val="21"/>
                <w:lang w:val="en-US"/>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textAlignment w:val="center"/>
              <w:rPr>
                <w:rFonts w:ascii="宋体" w:hAnsi="宋体" w:eastAsia="宋体" w:cs="宋体"/>
                <w:sz w:val="21"/>
                <w:lang w:val="en-US"/>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textAlignment w:val="center"/>
              <w:rPr>
                <w:rFonts w:ascii="宋体" w:hAnsi="宋体" w:eastAsia="宋体" w:cs="宋体"/>
                <w:sz w:val="21"/>
                <w:lang w:val="en-US"/>
              </w:rPr>
            </w:pPr>
          </w:p>
        </w:tc>
      </w:tr>
      <w:tr>
        <w:tblPrEx>
          <w:tblCellMar>
            <w:top w:w="0" w:type="dxa"/>
            <w:left w:w="0" w:type="dxa"/>
            <w:bottom w:w="0" w:type="dxa"/>
            <w:right w:w="0" w:type="dxa"/>
          </w:tblCellMar>
        </w:tblPrEx>
        <w:trPr>
          <w:trHeight w:val="420" w:hRule="atLeast"/>
        </w:trPr>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1"/>
                <w:lang w:val="en-US"/>
              </w:rPr>
            </w:pPr>
            <w:r>
              <w:rPr>
                <w:rFonts w:hint="eastAsia" w:ascii="宋体" w:hAnsi="宋体" w:eastAsia="宋体" w:cs="宋体"/>
                <w:sz w:val="21"/>
                <w:lang w:val="en-US"/>
              </w:rPr>
              <w:t>11</w:t>
            </w:r>
          </w:p>
        </w:tc>
        <w:tc>
          <w:tcPr>
            <w:tcW w:w="62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eastAsia="宋体" w:cs="宋体"/>
                <w:sz w:val="21"/>
              </w:rPr>
            </w:pPr>
            <w:r>
              <w:rPr>
                <w:rFonts w:hint="eastAsia" w:ascii="宋体" w:hAnsi="宋体" w:eastAsia="宋体" w:cs="宋体"/>
                <w:sz w:val="21"/>
                <w:lang w:val="en-US"/>
              </w:rPr>
              <w:t>是否有不符合招标文件中规定的其他实质性要求；</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textAlignment w:val="center"/>
              <w:rPr>
                <w:rFonts w:ascii="宋体" w:hAnsi="宋体" w:eastAsia="宋体" w:cs="宋体"/>
                <w:sz w:val="21"/>
                <w:lang w:val="en-US"/>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textAlignment w:val="center"/>
              <w:rPr>
                <w:rFonts w:ascii="宋体" w:hAnsi="宋体" w:eastAsia="宋体" w:cs="宋体"/>
                <w:sz w:val="21"/>
                <w:lang w:val="en-US"/>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textAlignment w:val="center"/>
              <w:rPr>
                <w:rFonts w:ascii="宋体" w:hAnsi="宋体" w:eastAsia="宋体" w:cs="宋体"/>
                <w:sz w:val="21"/>
                <w:lang w:val="en-US"/>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textAlignment w:val="center"/>
              <w:rPr>
                <w:rFonts w:ascii="宋体" w:hAnsi="宋体" w:eastAsia="宋体" w:cs="宋体"/>
                <w:sz w:val="21"/>
                <w:lang w:val="en-US"/>
              </w:rPr>
            </w:pPr>
          </w:p>
        </w:tc>
      </w:tr>
      <w:tr>
        <w:tblPrEx>
          <w:tblCellMar>
            <w:top w:w="0" w:type="dxa"/>
            <w:left w:w="0" w:type="dxa"/>
            <w:bottom w:w="0" w:type="dxa"/>
            <w:right w:w="0" w:type="dxa"/>
          </w:tblCellMar>
        </w:tblPrEx>
        <w:trPr>
          <w:trHeight w:val="379" w:hRule="atLeast"/>
        </w:trPr>
        <w:tc>
          <w:tcPr>
            <w:tcW w:w="55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1"/>
                <w:lang w:val="en-US"/>
              </w:rPr>
            </w:pPr>
            <w:r>
              <w:rPr>
                <w:rFonts w:hint="eastAsia" w:ascii="宋体" w:hAnsi="宋体" w:eastAsia="宋体" w:cs="宋体"/>
                <w:sz w:val="21"/>
                <w:lang w:val="en-US"/>
              </w:rPr>
              <w:t>12</w:t>
            </w:r>
          </w:p>
        </w:tc>
        <w:tc>
          <w:tcPr>
            <w:tcW w:w="62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eastAsia="宋体" w:cs="宋体"/>
                <w:sz w:val="21"/>
              </w:rPr>
            </w:pPr>
            <w:r>
              <w:rPr>
                <w:rFonts w:hint="eastAsia" w:ascii="宋体" w:hAnsi="宋体" w:eastAsia="宋体" w:cs="宋体"/>
                <w:sz w:val="21"/>
                <w:lang w:val="en-US"/>
              </w:rPr>
              <w:t>投标人是否有违法招标投标纪律的。</w:t>
            </w: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textAlignment w:val="center"/>
              <w:rPr>
                <w:rFonts w:ascii="宋体" w:hAnsi="宋体" w:eastAsia="宋体" w:cs="宋体"/>
                <w:sz w:val="21"/>
                <w:lang w:val="en-US"/>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textAlignment w:val="center"/>
              <w:rPr>
                <w:rFonts w:ascii="宋体" w:hAnsi="宋体" w:eastAsia="宋体" w:cs="宋体"/>
                <w:sz w:val="21"/>
                <w:lang w:val="en-US"/>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textAlignment w:val="center"/>
              <w:rPr>
                <w:rFonts w:ascii="宋体" w:hAnsi="宋体" w:eastAsia="宋体" w:cs="宋体"/>
                <w:sz w:val="21"/>
                <w:lang w:val="en-US"/>
              </w:rPr>
            </w:pPr>
          </w:p>
        </w:tc>
        <w:tc>
          <w:tcPr>
            <w:tcW w:w="55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idowControl/>
              <w:textAlignment w:val="center"/>
              <w:rPr>
                <w:rFonts w:ascii="宋体" w:hAnsi="宋体" w:eastAsia="宋体" w:cs="宋体"/>
                <w:sz w:val="21"/>
                <w:lang w:val="en-US"/>
              </w:rPr>
            </w:pPr>
          </w:p>
        </w:tc>
      </w:tr>
      <w:tr>
        <w:tblPrEx>
          <w:tblCellMar>
            <w:top w:w="0" w:type="dxa"/>
            <w:left w:w="0" w:type="dxa"/>
            <w:bottom w:w="0" w:type="dxa"/>
            <w:right w:w="0" w:type="dxa"/>
          </w:tblCellMar>
        </w:tblPrEx>
        <w:trPr>
          <w:trHeight w:val="480" w:hRule="atLeast"/>
        </w:trPr>
        <w:tc>
          <w:tcPr>
            <w:tcW w:w="9000" w:type="dxa"/>
            <w:gridSpan w:val="6"/>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textAlignment w:val="center"/>
              <w:rPr>
                <w:rFonts w:ascii="宋体" w:hAnsi="宋体" w:eastAsia="宋体" w:cs="宋体"/>
                <w:sz w:val="21"/>
                <w:lang w:val="en-US"/>
              </w:rPr>
            </w:pPr>
            <w:r>
              <w:rPr>
                <w:rFonts w:hint="eastAsia" w:ascii="宋体" w:hAnsi="宋体" w:eastAsia="宋体" w:cs="宋体"/>
                <w:sz w:val="21"/>
                <w:lang w:val="en-US"/>
              </w:rPr>
              <w:t>备注：如果有一项未通过上述审查标准，评标委员会将认定整个投标文件不响应招标文件而予以废标，并且不允许投标人通过修改或撤销其不符合要求的差异或保留，使之成为具有响应性的投标。</w:t>
            </w:r>
          </w:p>
        </w:tc>
      </w:tr>
    </w:tbl>
    <w:p>
      <w:pPr>
        <w:pStyle w:val="9"/>
        <w:spacing w:before="37" w:line="362" w:lineRule="auto"/>
        <w:ind w:left="774" w:right="794"/>
        <w:rPr>
          <w:rFonts w:ascii="宋体" w:eastAsia="宋体"/>
        </w:rPr>
      </w:pPr>
    </w:p>
    <w:p>
      <w:pPr>
        <w:pStyle w:val="9"/>
        <w:spacing w:before="37" w:line="362" w:lineRule="auto"/>
        <w:ind w:left="774" w:right="794"/>
        <w:rPr>
          <w:b/>
          <w:bCs/>
          <w:sz w:val="40"/>
          <w:szCs w:val="40"/>
        </w:rPr>
      </w:pPr>
    </w:p>
    <w:p>
      <w:pPr>
        <w:pStyle w:val="9"/>
        <w:spacing w:before="37" w:line="362" w:lineRule="auto"/>
        <w:ind w:left="774" w:right="794"/>
        <w:rPr>
          <w:b/>
          <w:bCs/>
          <w:sz w:val="40"/>
          <w:szCs w:val="40"/>
        </w:rPr>
      </w:pPr>
    </w:p>
    <w:p>
      <w:pPr>
        <w:pStyle w:val="9"/>
        <w:spacing w:before="37" w:line="362" w:lineRule="auto"/>
        <w:ind w:left="774" w:right="794"/>
        <w:rPr>
          <w:b/>
          <w:bCs/>
          <w:sz w:val="40"/>
          <w:szCs w:val="40"/>
        </w:rPr>
      </w:pPr>
    </w:p>
    <w:p>
      <w:pPr>
        <w:pStyle w:val="9"/>
        <w:spacing w:before="37" w:line="362" w:lineRule="auto"/>
        <w:ind w:left="774" w:right="794"/>
        <w:rPr>
          <w:b/>
          <w:bCs/>
          <w:sz w:val="40"/>
          <w:szCs w:val="40"/>
        </w:rPr>
      </w:pPr>
    </w:p>
    <w:p>
      <w:pPr>
        <w:pStyle w:val="9"/>
        <w:spacing w:before="37" w:line="362" w:lineRule="auto"/>
        <w:ind w:left="774" w:right="794"/>
        <w:rPr>
          <w:b/>
          <w:bCs/>
          <w:sz w:val="40"/>
          <w:szCs w:val="40"/>
        </w:rPr>
      </w:pPr>
    </w:p>
    <w:p>
      <w:pPr>
        <w:pStyle w:val="9"/>
        <w:spacing w:before="37" w:line="362" w:lineRule="auto"/>
        <w:ind w:left="774" w:right="794"/>
        <w:rPr>
          <w:b/>
          <w:bCs/>
          <w:sz w:val="40"/>
          <w:szCs w:val="40"/>
        </w:rPr>
      </w:pPr>
    </w:p>
    <w:p>
      <w:pPr>
        <w:pStyle w:val="9"/>
        <w:spacing w:before="37" w:line="362" w:lineRule="auto"/>
        <w:ind w:left="774" w:right="794" w:firstLine="3213" w:firstLineChars="800"/>
        <w:rPr>
          <w:rFonts w:ascii="宋体" w:eastAsia="宋体"/>
        </w:rPr>
      </w:pPr>
      <w:r>
        <w:rPr>
          <w:rFonts w:hint="eastAsia"/>
          <w:b/>
          <w:bCs/>
          <w:sz w:val="40"/>
          <w:szCs w:val="40"/>
        </w:rPr>
        <w:t>综合评分表</w:t>
      </w:r>
    </w:p>
    <w:tbl>
      <w:tblPr>
        <w:tblStyle w:val="19"/>
        <w:tblW w:w="5195"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05"/>
        <w:gridCol w:w="1140"/>
        <w:gridCol w:w="499"/>
        <w:gridCol w:w="6084"/>
        <w:gridCol w:w="16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trPr>
        <w:tc>
          <w:tcPr>
            <w:tcW w:w="441" w:type="pct"/>
            <w:vAlign w:val="center"/>
          </w:tcPr>
          <w:p>
            <w:pPr>
              <w:pStyle w:val="23"/>
              <w:jc w:val="center"/>
              <w:rPr>
                <w:rFonts w:ascii="仿宋" w:hAnsi="仿宋" w:eastAsia="仿宋" w:cs="仿宋"/>
                <w:szCs w:val="21"/>
                <w:lang w:val="en-US" w:bidi="ar-SA"/>
              </w:rPr>
            </w:pPr>
            <w:bookmarkStart w:id="264" w:name="第七章__确定中标"/>
            <w:bookmarkEnd w:id="264"/>
            <w:bookmarkStart w:id="265" w:name="_bookmark13"/>
            <w:bookmarkEnd w:id="265"/>
            <w:r>
              <w:rPr>
                <w:rFonts w:hint="eastAsia" w:ascii="仿宋" w:hAnsi="仿宋" w:eastAsia="仿宋" w:cs="仿宋"/>
                <w:szCs w:val="21"/>
                <w:lang w:val="en-US" w:bidi="ar-SA"/>
              </w:rPr>
              <w:t>序号</w:t>
            </w:r>
          </w:p>
        </w:tc>
        <w:tc>
          <w:tcPr>
            <w:tcW w:w="556" w:type="pct"/>
            <w:vAlign w:val="center"/>
          </w:tcPr>
          <w:p>
            <w:pPr>
              <w:pStyle w:val="23"/>
              <w:spacing w:before="28" w:line="242" w:lineRule="auto"/>
              <w:ind w:right="149"/>
              <w:jc w:val="center"/>
              <w:rPr>
                <w:rFonts w:ascii="仿宋" w:hAnsi="仿宋" w:eastAsia="仿宋" w:cs="仿宋"/>
                <w:szCs w:val="21"/>
                <w:lang w:val="en-US" w:bidi="ar-SA"/>
              </w:rPr>
            </w:pPr>
            <w:r>
              <w:rPr>
                <w:rFonts w:hint="eastAsia" w:ascii="仿宋" w:hAnsi="仿宋" w:eastAsia="仿宋" w:cs="仿宋"/>
                <w:szCs w:val="21"/>
                <w:lang w:val="en-US" w:bidi="ar-SA"/>
              </w:rPr>
              <w:t>评分因素</w:t>
            </w:r>
          </w:p>
        </w:tc>
        <w:tc>
          <w:tcPr>
            <w:tcW w:w="243" w:type="pct"/>
            <w:vAlign w:val="center"/>
          </w:tcPr>
          <w:p>
            <w:pPr>
              <w:pStyle w:val="23"/>
              <w:spacing w:before="184" w:line="242" w:lineRule="auto"/>
              <w:ind w:right="118"/>
              <w:jc w:val="center"/>
              <w:rPr>
                <w:rFonts w:ascii="仿宋" w:hAnsi="仿宋" w:eastAsia="仿宋" w:cs="仿宋"/>
                <w:szCs w:val="21"/>
                <w:lang w:val="en-US" w:bidi="ar-SA"/>
              </w:rPr>
            </w:pPr>
            <w:r>
              <w:rPr>
                <w:rFonts w:hint="eastAsia" w:ascii="仿宋" w:hAnsi="仿宋" w:eastAsia="仿宋" w:cs="仿宋"/>
                <w:szCs w:val="21"/>
                <w:lang w:val="en-US" w:bidi="ar-SA"/>
              </w:rPr>
              <w:t>分值</w:t>
            </w:r>
          </w:p>
        </w:tc>
        <w:tc>
          <w:tcPr>
            <w:tcW w:w="2969" w:type="pct"/>
            <w:vAlign w:val="center"/>
          </w:tcPr>
          <w:p>
            <w:pPr>
              <w:pStyle w:val="23"/>
              <w:spacing w:before="184"/>
              <w:jc w:val="center"/>
              <w:rPr>
                <w:rFonts w:ascii="仿宋" w:hAnsi="仿宋" w:eastAsia="仿宋" w:cs="仿宋"/>
                <w:szCs w:val="21"/>
                <w:lang w:val="en-US" w:bidi="ar-SA"/>
              </w:rPr>
            </w:pPr>
            <w:r>
              <w:rPr>
                <w:rFonts w:hint="eastAsia" w:ascii="仿宋" w:hAnsi="仿宋" w:eastAsia="仿宋" w:cs="仿宋"/>
                <w:szCs w:val="21"/>
                <w:lang w:val="en-US" w:bidi="ar-SA"/>
              </w:rPr>
              <w:t>评分标准</w:t>
            </w:r>
          </w:p>
          <w:p>
            <w:pPr>
              <w:pStyle w:val="23"/>
              <w:tabs>
                <w:tab w:val="left" w:pos="639"/>
                <w:tab w:val="left" w:pos="1899"/>
                <w:tab w:val="left" w:pos="2499"/>
                <w:tab w:val="left" w:pos="3879"/>
                <w:tab w:val="left" w:pos="4479"/>
              </w:tabs>
              <w:spacing w:before="4"/>
              <w:ind w:left="39"/>
              <w:jc w:val="center"/>
              <w:rPr>
                <w:rFonts w:ascii="仿宋" w:hAnsi="仿宋" w:eastAsia="仿宋" w:cs="仿宋"/>
                <w:szCs w:val="21"/>
                <w:lang w:val="en-US" w:bidi="ar-SA"/>
              </w:rPr>
            </w:pPr>
            <w:r>
              <w:rPr>
                <w:rFonts w:hint="eastAsia" w:ascii="仿宋" w:hAnsi="仿宋" w:eastAsia="仿宋" w:cs="仿宋"/>
                <w:szCs w:val="21"/>
                <w:lang w:val="en-US" w:bidi="ar-SA"/>
              </w:rPr>
              <w:t>价格：15 分</w:t>
            </w:r>
            <w:r>
              <w:rPr>
                <w:rFonts w:hint="eastAsia" w:ascii="仿宋" w:hAnsi="仿宋" w:eastAsia="仿宋" w:cs="仿宋"/>
                <w:szCs w:val="21"/>
                <w:lang w:val="en-US" w:bidi="ar-SA"/>
              </w:rPr>
              <w:tab/>
            </w:r>
            <w:r>
              <w:rPr>
                <w:rFonts w:hint="eastAsia" w:ascii="仿宋" w:hAnsi="仿宋" w:eastAsia="仿宋" w:cs="仿宋"/>
                <w:szCs w:val="21"/>
                <w:lang w:val="en-US" w:bidi="ar-SA"/>
              </w:rPr>
              <w:t>商务：</w:t>
            </w:r>
            <w:r>
              <w:rPr>
                <w:rFonts w:hint="eastAsia" w:ascii="仿宋" w:hAnsi="仿宋" w:eastAsia="仿宋" w:cs="仿宋"/>
                <w:szCs w:val="21"/>
                <w:lang w:val="en-US" w:eastAsia="zh-CN" w:bidi="ar-SA"/>
              </w:rPr>
              <w:t>35</w:t>
            </w:r>
            <w:r>
              <w:rPr>
                <w:rFonts w:hint="eastAsia" w:ascii="仿宋" w:hAnsi="仿宋" w:eastAsia="仿宋" w:cs="仿宋"/>
                <w:szCs w:val="21"/>
                <w:lang w:val="en-US" w:bidi="ar-SA"/>
              </w:rPr>
              <w:t xml:space="preserve"> 分</w:t>
            </w:r>
            <w:r>
              <w:rPr>
                <w:rFonts w:hint="eastAsia" w:ascii="仿宋" w:hAnsi="仿宋" w:eastAsia="仿宋" w:cs="仿宋"/>
                <w:szCs w:val="21"/>
                <w:lang w:val="en-US" w:bidi="ar-SA"/>
              </w:rPr>
              <w:tab/>
            </w:r>
            <w:r>
              <w:rPr>
                <w:rFonts w:hint="eastAsia" w:ascii="仿宋" w:hAnsi="仿宋" w:eastAsia="仿宋" w:cs="仿宋"/>
                <w:szCs w:val="21"/>
                <w:lang w:val="en-US" w:bidi="ar-SA"/>
              </w:rPr>
              <w:t>技术：</w:t>
            </w:r>
            <w:r>
              <w:rPr>
                <w:rFonts w:hint="eastAsia" w:ascii="仿宋" w:hAnsi="仿宋" w:eastAsia="仿宋" w:cs="仿宋"/>
                <w:szCs w:val="21"/>
                <w:lang w:val="en-US" w:eastAsia="zh-CN" w:bidi="ar-SA"/>
              </w:rPr>
              <w:t>5</w:t>
            </w:r>
            <w:r>
              <w:rPr>
                <w:rFonts w:hint="eastAsia" w:ascii="仿宋" w:hAnsi="仿宋" w:eastAsia="仿宋" w:cs="仿宋"/>
                <w:szCs w:val="21"/>
                <w:lang w:val="en-US" w:bidi="ar-SA"/>
              </w:rPr>
              <w:t>0 分</w:t>
            </w:r>
          </w:p>
        </w:tc>
        <w:tc>
          <w:tcPr>
            <w:tcW w:w="788" w:type="pct"/>
            <w:vAlign w:val="center"/>
          </w:tcPr>
          <w:p>
            <w:pPr>
              <w:pStyle w:val="23"/>
              <w:ind w:right="474"/>
              <w:jc w:val="center"/>
              <w:rPr>
                <w:rFonts w:ascii="仿宋" w:hAnsi="仿宋" w:eastAsia="仿宋" w:cs="仿宋"/>
                <w:szCs w:val="21"/>
                <w:lang w:val="en-US" w:bidi="ar-SA"/>
              </w:rPr>
            </w:pPr>
            <w:r>
              <w:rPr>
                <w:rFonts w:hint="eastAsia" w:ascii="仿宋" w:hAnsi="仿宋" w:eastAsia="仿宋" w:cs="仿宋"/>
                <w:szCs w:val="21"/>
                <w:lang w:val="en-US" w:bidi="ar-SA"/>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44" w:hRule="atLeast"/>
        </w:trPr>
        <w:tc>
          <w:tcPr>
            <w:tcW w:w="441" w:type="pct"/>
            <w:vAlign w:val="center"/>
          </w:tcPr>
          <w:p>
            <w:pPr>
              <w:pStyle w:val="23"/>
              <w:spacing w:before="1" w:line="242" w:lineRule="auto"/>
              <w:ind w:right="95"/>
              <w:rPr>
                <w:rFonts w:ascii="仿宋" w:hAnsi="仿宋" w:eastAsia="仿宋" w:cs="仿宋"/>
                <w:szCs w:val="21"/>
                <w:lang w:val="en-US" w:bidi="ar-SA"/>
              </w:rPr>
            </w:pPr>
            <w:r>
              <w:rPr>
                <w:rFonts w:hint="eastAsia" w:ascii="仿宋" w:hAnsi="仿宋" w:eastAsia="仿宋" w:cs="仿宋"/>
                <w:szCs w:val="21"/>
                <w:lang w:val="en-US" w:bidi="ar-SA"/>
              </w:rPr>
              <w:t>价格评分标准</w:t>
            </w:r>
          </w:p>
        </w:tc>
        <w:tc>
          <w:tcPr>
            <w:tcW w:w="556" w:type="pct"/>
            <w:vAlign w:val="center"/>
          </w:tcPr>
          <w:p>
            <w:pPr>
              <w:pStyle w:val="23"/>
              <w:spacing w:before="1" w:line="242" w:lineRule="auto"/>
              <w:ind w:right="163"/>
              <w:jc w:val="center"/>
              <w:rPr>
                <w:rFonts w:ascii="仿宋" w:hAnsi="仿宋" w:eastAsia="仿宋" w:cs="仿宋"/>
                <w:szCs w:val="21"/>
                <w:lang w:val="en-US" w:bidi="ar-SA"/>
              </w:rPr>
            </w:pPr>
            <w:r>
              <w:rPr>
                <w:rFonts w:hint="eastAsia" w:ascii="仿宋" w:hAnsi="仿宋" w:eastAsia="仿宋" w:cs="仿宋"/>
                <w:szCs w:val="21"/>
                <w:lang w:val="en-US" w:bidi="ar-SA"/>
              </w:rPr>
              <w:t>投标报价</w:t>
            </w:r>
          </w:p>
        </w:tc>
        <w:tc>
          <w:tcPr>
            <w:tcW w:w="243" w:type="pct"/>
            <w:vAlign w:val="center"/>
          </w:tcPr>
          <w:p>
            <w:pPr>
              <w:pStyle w:val="23"/>
              <w:spacing w:before="161"/>
              <w:ind w:right="133"/>
              <w:jc w:val="center"/>
              <w:rPr>
                <w:rFonts w:ascii="仿宋" w:hAnsi="仿宋" w:eastAsia="仿宋" w:cs="仿宋"/>
                <w:szCs w:val="21"/>
                <w:lang w:val="en-US" w:bidi="ar-SA"/>
              </w:rPr>
            </w:pPr>
            <w:r>
              <w:rPr>
                <w:rFonts w:hint="eastAsia" w:ascii="仿宋" w:hAnsi="仿宋" w:eastAsia="仿宋" w:cs="仿宋"/>
                <w:szCs w:val="21"/>
                <w:lang w:val="en-US" w:bidi="ar-SA"/>
              </w:rPr>
              <w:t>15</w:t>
            </w:r>
          </w:p>
        </w:tc>
        <w:tc>
          <w:tcPr>
            <w:tcW w:w="2969" w:type="pct"/>
            <w:vAlign w:val="center"/>
          </w:tcPr>
          <w:p>
            <w:pPr>
              <w:pStyle w:val="23"/>
              <w:spacing w:before="156" w:line="242" w:lineRule="auto"/>
              <w:ind w:right="96"/>
              <w:rPr>
                <w:rFonts w:ascii="仿宋" w:hAnsi="仿宋" w:eastAsia="仿宋" w:cs="仿宋"/>
                <w:szCs w:val="21"/>
                <w:lang w:val="en-US" w:bidi="ar-SA"/>
              </w:rPr>
            </w:pPr>
            <w:r>
              <w:rPr>
                <w:rFonts w:hint="eastAsia" w:ascii="仿宋" w:hAnsi="仿宋" w:eastAsia="仿宋" w:cs="仿宋"/>
                <w:szCs w:val="21"/>
                <w:lang w:val="en-US" w:bidi="ar-SA"/>
              </w:rPr>
              <w:t>完全满足招标文件参数的投标报价中的最低价为评标基准价，按照下列公式计算每个投标人的投标价格得分。投标报价得分＝（基准价/投标报价）×价格权重×100。</w:t>
            </w:r>
          </w:p>
        </w:tc>
        <w:tc>
          <w:tcPr>
            <w:tcW w:w="788" w:type="pct"/>
            <w:vAlign w:val="center"/>
          </w:tcPr>
          <w:p>
            <w:pPr>
              <w:pStyle w:val="23"/>
              <w:spacing w:before="3" w:line="242" w:lineRule="auto"/>
              <w:ind w:left="107" w:right="97"/>
              <w:rPr>
                <w:rFonts w:ascii="仿宋" w:hAnsi="仿宋" w:eastAsia="仿宋" w:cs="仿宋"/>
                <w:szCs w:val="21"/>
                <w:lang w:val="en-US" w:bidi="ar-SA"/>
              </w:rPr>
            </w:pPr>
            <w:r>
              <w:rPr>
                <w:rFonts w:hint="eastAsia" w:ascii="仿宋" w:hAnsi="仿宋" w:eastAsia="仿宋" w:cs="仿宋"/>
                <w:szCs w:val="21"/>
                <w:lang w:val="en-US" w:bidi="ar-SA"/>
              </w:rPr>
              <w:t>投标报价超过采购预算价的按废标处理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7" w:hRule="atLeast"/>
        </w:trPr>
        <w:tc>
          <w:tcPr>
            <w:tcW w:w="441" w:type="pct"/>
            <w:vMerge w:val="restart"/>
            <w:vAlign w:val="center"/>
          </w:tcPr>
          <w:p>
            <w:pPr>
              <w:pStyle w:val="23"/>
              <w:spacing w:before="100" w:line="242" w:lineRule="auto"/>
              <w:ind w:right="95"/>
              <w:rPr>
                <w:rFonts w:ascii="仿宋" w:hAnsi="仿宋" w:eastAsia="仿宋" w:cs="仿宋"/>
                <w:szCs w:val="21"/>
                <w:lang w:val="en-US" w:bidi="ar-SA"/>
              </w:rPr>
            </w:pPr>
            <w:r>
              <w:rPr>
                <w:rFonts w:hint="eastAsia" w:ascii="仿宋" w:hAnsi="仿宋" w:eastAsia="仿宋" w:cs="仿宋"/>
                <w:szCs w:val="21"/>
                <w:lang w:val="en-US" w:bidi="ar-SA"/>
              </w:rPr>
              <w:t>商务评分标准</w:t>
            </w:r>
          </w:p>
          <w:p>
            <w:pPr>
              <w:pStyle w:val="23"/>
              <w:spacing w:before="1"/>
              <w:ind w:left="108"/>
              <w:jc w:val="both"/>
              <w:rPr>
                <w:rFonts w:ascii="仿宋" w:hAnsi="仿宋" w:eastAsia="仿宋" w:cs="仿宋"/>
                <w:szCs w:val="21"/>
                <w:lang w:val="en-US" w:bidi="ar-SA"/>
              </w:rPr>
            </w:pPr>
            <w:r>
              <w:rPr>
                <w:rFonts w:hint="eastAsia" w:ascii="仿宋" w:hAnsi="仿宋" w:eastAsia="仿宋" w:cs="仿宋"/>
                <w:szCs w:val="21"/>
                <w:lang w:val="en-US" w:bidi="ar-SA"/>
              </w:rPr>
              <w:t>（</w:t>
            </w:r>
            <w:r>
              <w:rPr>
                <w:rFonts w:hint="eastAsia" w:ascii="仿宋" w:hAnsi="仿宋" w:eastAsia="仿宋" w:cs="仿宋"/>
                <w:szCs w:val="21"/>
                <w:lang w:val="en-US" w:eastAsia="zh-CN" w:bidi="ar-SA"/>
              </w:rPr>
              <w:t>35</w:t>
            </w:r>
            <w:r>
              <w:rPr>
                <w:rFonts w:hint="eastAsia" w:ascii="仿宋" w:hAnsi="仿宋" w:eastAsia="仿宋" w:cs="仿宋"/>
                <w:szCs w:val="21"/>
                <w:lang w:val="en-US" w:bidi="ar-SA"/>
              </w:rPr>
              <w:t>）</w:t>
            </w:r>
          </w:p>
        </w:tc>
        <w:tc>
          <w:tcPr>
            <w:tcW w:w="1140" w:type="dxa"/>
            <w:vAlign w:val="center"/>
          </w:tcPr>
          <w:p>
            <w:pPr>
              <w:pStyle w:val="23"/>
              <w:spacing w:before="102" w:line="284" w:lineRule="exact"/>
              <w:ind w:right="145" w:rightChars="0"/>
              <w:jc w:val="center"/>
              <w:rPr>
                <w:rFonts w:ascii="仿宋" w:hAnsi="仿宋" w:eastAsia="仿宋" w:cs="仿宋"/>
                <w:szCs w:val="21"/>
                <w:lang w:val="en-US" w:bidi="ar-SA"/>
              </w:rPr>
            </w:pPr>
            <w:r>
              <w:rPr>
                <w:rFonts w:hint="default" w:ascii="仿宋" w:hAnsi="仿宋" w:eastAsia="仿宋" w:cs="仿宋"/>
                <w:szCs w:val="21"/>
                <w:lang w:val="en-US" w:eastAsia="zh-CN" w:bidi="ar-SA"/>
              </w:rPr>
              <w:t>企业规模及综合实力</w:t>
            </w:r>
          </w:p>
        </w:tc>
        <w:tc>
          <w:tcPr>
            <w:tcW w:w="499" w:type="dxa"/>
            <w:vAlign w:val="center"/>
          </w:tcPr>
          <w:p>
            <w:pPr>
              <w:pStyle w:val="23"/>
              <w:spacing w:line="281" w:lineRule="exact"/>
              <w:ind w:right="133" w:rightChars="0"/>
              <w:jc w:val="center"/>
              <w:rPr>
                <w:rFonts w:ascii="仿宋" w:hAnsi="仿宋" w:eastAsia="仿宋" w:cs="仿宋"/>
                <w:szCs w:val="21"/>
                <w:lang w:val="en-US" w:bidi="ar-SA"/>
              </w:rPr>
            </w:pPr>
            <w:r>
              <w:rPr>
                <w:rFonts w:hint="eastAsia" w:ascii="仿宋" w:hAnsi="仿宋" w:eastAsia="仿宋" w:cs="仿宋"/>
                <w:szCs w:val="21"/>
                <w:lang w:val="en-US" w:eastAsia="zh-CN" w:bidi="ar-SA"/>
              </w:rPr>
              <w:t>5</w:t>
            </w:r>
          </w:p>
        </w:tc>
        <w:tc>
          <w:tcPr>
            <w:tcW w:w="6084" w:type="dxa"/>
            <w:vAlign w:val="center"/>
          </w:tcPr>
          <w:p>
            <w:pPr>
              <w:pStyle w:val="23"/>
              <w:spacing w:before="102" w:line="284" w:lineRule="exact"/>
              <w:rPr>
                <w:rFonts w:hint="default" w:ascii="仿宋" w:hAnsi="仿宋" w:eastAsia="仿宋" w:cs="仿宋"/>
                <w:szCs w:val="21"/>
                <w:lang w:val="en-US" w:eastAsia="zh-CN" w:bidi="ar-SA"/>
              </w:rPr>
            </w:pPr>
            <w:r>
              <w:rPr>
                <w:rFonts w:hint="default" w:ascii="仿宋" w:hAnsi="仿宋" w:eastAsia="仿宋" w:cs="仿宋"/>
                <w:szCs w:val="21"/>
                <w:lang w:val="en-US" w:eastAsia="zh-CN" w:bidi="ar-SA"/>
              </w:rPr>
              <w:t>1.供应商提供中国清洁清洗行业国家二级/乙级/B级（含以上）证书得</w:t>
            </w:r>
            <w:r>
              <w:rPr>
                <w:rFonts w:hint="eastAsia" w:ascii="仿宋" w:hAnsi="仿宋" w:eastAsia="仿宋" w:cs="仿宋"/>
                <w:szCs w:val="21"/>
                <w:lang w:val="en-US" w:eastAsia="zh-CN" w:bidi="ar-SA"/>
              </w:rPr>
              <w:t>5</w:t>
            </w:r>
            <w:r>
              <w:rPr>
                <w:rFonts w:hint="default" w:ascii="仿宋" w:hAnsi="仿宋" w:eastAsia="仿宋" w:cs="仿宋"/>
                <w:szCs w:val="21"/>
                <w:lang w:val="en-US" w:eastAsia="zh-CN" w:bidi="ar-SA"/>
              </w:rPr>
              <w:t>分，未提供不得分，此项满分</w:t>
            </w:r>
            <w:r>
              <w:rPr>
                <w:rFonts w:hint="eastAsia" w:ascii="仿宋" w:hAnsi="仿宋" w:eastAsia="仿宋" w:cs="仿宋"/>
                <w:szCs w:val="21"/>
                <w:lang w:val="en-US" w:eastAsia="zh-CN" w:bidi="ar-SA"/>
              </w:rPr>
              <w:t>5</w:t>
            </w:r>
            <w:r>
              <w:rPr>
                <w:rFonts w:hint="default" w:ascii="仿宋" w:hAnsi="仿宋" w:eastAsia="仿宋" w:cs="仿宋"/>
                <w:szCs w:val="21"/>
                <w:lang w:val="en-US" w:eastAsia="zh-CN" w:bidi="ar-SA"/>
              </w:rPr>
              <w:t>分。</w:t>
            </w:r>
          </w:p>
          <w:p>
            <w:pPr>
              <w:pStyle w:val="23"/>
              <w:spacing w:before="102" w:line="284" w:lineRule="exact"/>
              <w:rPr>
                <w:rFonts w:ascii="仿宋" w:hAnsi="仿宋" w:eastAsia="仿宋" w:cs="仿宋"/>
                <w:szCs w:val="21"/>
                <w:lang w:val="en-US" w:bidi="ar-SA"/>
              </w:rPr>
            </w:pPr>
          </w:p>
        </w:tc>
        <w:tc>
          <w:tcPr>
            <w:tcW w:w="788" w:type="pct"/>
            <w:vMerge w:val="restart"/>
            <w:vAlign w:val="center"/>
          </w:tcPr>
          <w:p>
            <w:pPr>
              <w:pStyle w:val="23"/>
              <w:rPr>
                <w:rFonts w:ascii="仿宋" w:hAnsi="仿宋" w:eastAsia="仿宋" w:cs="仿宋"/>
                <w:szCs w:val="21"/>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7" w:hRule="atLeast"/>
        </w:trPr>
        <w:tc>
          <w:tcPr>
            <w:tcW w:w="441" w:type="pct"/>
            <w:vMerge w:val="continue"/>
            <w:vAlign w:val="center"/>
          </w:tcPr>
          <w:p>
            <w:pPr>
              <w:pStyle w:val="23"/>
              <w:spacing w:before="102" w:line="284" w:lineRule="exact"/>
              <w:ind w:right="145"/>
              <w:jc w:val="center"/>
            </w:pPr>
          </w:p>
        </w:tc>
        <w:tc>
          <w:tcPr>
            <w:tcW w:w="1140" w:type="dxa"/>
            <w:vAlign w:val="center"/>
          </w:tcPr>
          <w:p>
            <w:pPr>
              <w:pStyle w:val="23"/>
              <w:spacing w:before="102" w:line="284" w:lineRule="exact"/>
              <w:ind w:right="145" w:rightChars="0"/>
              <w:jc w:val="center"/>
              <w:rPr>
                <w:rFonts w:ascii="仿宋" w:hAnsi="仿宋" w:eastAsia="仿宋" w:cs="仿宋"/>
                <w:szCs w:val="21"/>
                <w:lang w:val="en-US" w:bidi="ar-SA"/>
              </w:rPr>
            </w:pPr>
            <w:r>
              <w:rPr>
                <w:rFonts w:hint="eastAsia" w:ascii="仿宋" w:hAnsi="仿宋" w:eastAsia="仿宋" w:cs="仿宋"/>
                <w:szCs w:val="21"/>
                <w:lang w:val="en-US" w:eastAsia="zh-CN" w:bidi="ar-SA"/>
              </w:rPr>
              <w:t>业绩</w:t>
            </w:r>
          </w:p>
        </w:tc>
        <w:tc>
          <w:tcPr>
            <w:tcW w:w="499" w:type="dxa"/>
            <w:vAlign w:val="center"/>
          </w:tcPr>
          <w:p>
            <w:pPr>
              <w:pStyle w:val="23"/>
              <w:spacing w:before="102" w:line="284" w:lineRule="exact"/>
              <w:ind w:right="145" w:rightChars="0"/>
              <w:jc w:val="center"/>
              <w:rPr>
                <w:rFonts w:ascii="仿宋" w:hAnsi="仿宋" w:eastAsia="仿宋" w:cs="仿宋"/>
                <w:szCs w:val="21"/>
                <w:lang w:val="en-US" w:bidi="ar-SA"/>
              </w:rPr>
            </w:pPr>
            <w:r>
              <w:rPr>
                <w:rFonts w:hint="eastAsia" w:ascii="仿宋" w:hAnsi="仿宋" w:eastAsia="仿宋" w:cs="仿宋"/>
                <w:szCs w:val="21"/>
                <w:lang w:val="en-US" w:eastAsia="zh-CN" w:bidi="ar-SA"/>
              </w:rPr>
              <w:t>5</w:t>
            </w:r>
          </w:p>
        </w:tc>
        <w:tc>
          <w:tcPr>
            <w:tcW w:w="6084" w:type="dxa"/>
            <w:vAlign w:val="center"/>
          </w:tcPr>
          <w:p>
            <w:pPr>
              <w:pStyle w:val="23"/>
              <w:spacing w:before="102" w:line="284" w:lineRule="exact"/>
              <w:ind w:right="145"/>
              <w:jc w:val="left"/>
              <w:rPr>
                <w:rFonts w:hint="eastAsia" w:ascii="仿宋" w:hAnsi="仿宋" w:eastAsia="仿宋" w:cs="仿宋"/>
                <w:szCs w:val="21"/>
                <w:lang w:val="en-US" w:eastAsia="zh-CN" w:bidi="ar-SA"/>
              </w:rPr>
            </w:pPr>
            <w:r>
              <w:rPr>
                <w:rFonts w:hint="eastAsia" w:ascii="仿宋" w:hAnsi="仿宋" w:eastAsia="仿宋" w:cs="仿宋"/>
                <w:szCs w:val="21"/>
                <w:lang w:val="en-US" w:eastAsia="zh-CN" w:bidi="ar-SA"/>
              </w:rPr>
              <w:t>企业近3年（2019年5月至今）独立承担过环卫保洁或园林养护类的得2.5分，最高得5分</w:t>
            </w:r>
          </w:p>
          <w:p>
            <w:pPr>
              <w:pStyle w:val="23"/>
              <w:spacing w:before="102" w:line="284" w:lineRule="exact"/>
              <w:ind w:right="145" w:rightChars="0"/>
              <w:jc w:val="left"/>
              <w:rPr>
                <w:rFonts w:ascii="仿宋" w:hAnsi="仿宋" w:eastAsia="仿宋" w:cs="仿宋"/>
                <w:szCs w:val="21"/>
                <w:lang w:val="en-US" w:bidi="ar-SA"/>
              </w:rPr>
            </w:pPr>
            <w:r>
              <w:rPr>
                <w:rFonts w:hint="default" w:ascii="仿宋" w:hAnsi="仿宋" w:eastAsia="仿宋" w:cs="仿宋"/>
                <w:szCs w:val="21"/>
                <w:lang w:val="en-US" w:eastAsia="zh-CN" w:bidi="ar-SA"/>
              </w:rPr>
              <w:t>（投标文件中需提供中标通知书及合同复印件、网上中标公示截图，一份中标通知书签订的所有合同认定为一个项目，同一项目不重复计分。）</w:t>
            </w:r>
          </w:p>
        </w:tc>
        <w:tc>
          <w:tcPr>
            <w:tcW w:w="788" w:type="pct"/>
            <w:vMerge w:val="continue"/>
            <w:vAlign w:val="center"/>
          </w:tcPr>
          <w:p>
            <w:pPr>
              <w:pStyle w:val="23"/>
              <w:spacing w:before="102" w:line="284" w:lineRule="exact"/>
              <w:ind w:right="145"/>
              <w:jc w:val="center"/>
              <w:rPr>
                <w:rFonts w:ascii="仿宋" w:hAnsi="仿宋" w:eastAsia="仿宋" w:cs="仿宋"/>
                <w:szCs w:val="21"/>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6" w:hRule="atLeast"/>
        </w:trPr>
        <w:tc>
          <w:tcPr>
            <w:tcW w:w="441" w:type="pct"/>
            <w:vMerge w:val="continue"/>
            <w:vAlign w:val="center"/>
          </w:tcPr>
          <w:p>
            <w:pPr>
              <w:pStyle w:val="23"/>
              <w:jc w:val="center"/>
              <w:rPr>
                <w:rFonts w:ascii="仿宋" w:hAnsi="仿宋" w:eastAsia="仿宋" w:cs="仿宋"/>
                <w:szCs w:val="21"/>
                <w:lang w:val="en-US" w:bidi="ar-SA"/>
              </w:rPr>
            </w:pPr>
          </w:p>
        </w:tc>
        <w:tc>
          <w:tcPr>
            <w:tcW w:w="1140" w:type="dxa"/>
            <w:vAlign w:val="center"/>
          </w:tcPr>
          <w:p>
            <w:pPr>
              <w:pStyle w:val="23"/>
              <w:spacing w:before="102" w:line="284" w:lineRule="exact"/>
              <w:ind w:right="145" w:rightChars="0"/>
              <w:jc w:val="center"/>
              <w:rPr>
                <w:rFonts w:ascii="仿宋" w:hAnsi="仿宋" w:eastAsia="仿宋" w:cs="仿宋"/>
                <w:szCs w:val="21"/>
                <w:lang w:val="en-US" w:bidi="ar-SA"/>
              </w:rPr>
            </w:pPr>
            <w:r>
              <w:rPr>
                <w:rFonts w:hint="eastAsia" w:ascii="仿宋" w:hAnsi="仿宋" w:eastAsia="仿宋" w:cs="仿宋"/>
                <w:szCs w:val="21"/>
                <w:lang w:val="en-US" w:eastAsia="zh-CN" w:bidi="ar-SA"/>
              </w:rPr>
              <w:t>企业荣誉</w:t>
            </w:r>
          </w:p>
        </w:tc>
        <w:tc>
          <w:tcPr>
            <w:tcW w:w="499" w:type="dxa"/>
            <w:vAlign w:val="center"/>
          </w:tcPr>
          <w:p>
            <w:pPr>
              <w:pStyle w:val="23"/>
              <w:spacing w:before="102" w:line="284" w:lineRule="exact"/>
              <w:ind w:right="145" w:rightChars="0"/>
              <w:jc w:val="center"/>
              <w:rPr>
                <w:rFonts w:ascii="仿宋" w:hAnsi="仿宋" w:eastAsia="仿宋" w:cs="仿宋"/>
                <w:szCs w:val="21"/>
                <w:lang w:val="en-US" w:bidi="ar-SA"/>
              </w:rPr>
            </w:pPr>
            <w:r>
              <w:rPr>
                <w:rFonts w:hint="eastAsia" w:ascii="仿宋" w:hAnsi="仿宋" w:eastAsia="仿宋" w:cs="仿宋"/>
                <w:szCs w:val="21"/>
                <w:lang w:val="en-US" w:eastAsia="zh-CN" w:bidi="ar-SA"/>
              </w:rPr>
              <w:t>2</w:t>
            </w:r>
          </w:p>
        </w:tc>
        <w:tc>
          <w:tcPr>
            <w:tcW w:w="6084" w:type="dxa"/>
            <w:vAlign w:val="center"/>
          </w:tcPr>
          <w:p>
            <w:pPr>
              <w:pStyle w:val="23"/>
              <w:spacing w:before="102" w:line="284" w:lineRule="exact"/>
              <w:ind w:right="145" w:rightChars="0"/>
              <w:jc w:val="center"/>
              <w:rPr>
                <w:rFonts w:ascii="仿宋" w:hAnsi="仿宋" w:eastAsia="仿宋" w:cs="仿宋"/>
                <w:szCs w:val="21"/>
                <w:lang w:val="en-US" w:bidi="ar-SA"/>
              </w:rPr>
            </w:pPr>
            <w:r>
              <w:rPr>
                <w:rFonts w:hint="eastAsia" w:ascii="仿宋" w:hAnsi="仿宋" w:eastAsia="仿宋" w:cs="仿宋"/>
                <w:szCs w:val="21"/>
                <w:lang w:val="zh-CN" w:eastAsia="zh-CN" w:bidi="ar-SA"/>
              </w:rPr>
              <w:t>供应商获得</w:t>
            </w:r>
            <w:r>
              <w:rPr>
                <w:rFonts w:hint="eastAsia" w:ascii="仿宋" w:hAnsi="仿宋" w:eastAsia="仿宋" w:cs="仿宋"/>
                <w:szCs w:val="21"/>
                <w:lang w:val="en-US" w:eastAsia="zh-CN" w:bidi="ar-SA"/>
              </w:rPr>
              <w:t>行政主管部门颁发的</w:t>
            </w:r>
            <w:r>
              <w:rPr>
                <w:rFonts w:hint="eastAsia" w:ascii="仿宋" w:hAnsi="仿宋" w:eastAsia="仿宋" w:cs="仿宋"/>
                <w:szCs w:val="21"/>
                <w:lang w:val="zh-CN" w:eastAsia="zh-CN" w:bidi="ar-SA"/>
              </w:rPr>
              <w:t>环卫相关荣誉证书的，有一个得</w:t>
            </w:r>
            <w:r>
              <w:rPr>
                <w:rFonts w:hint="eastAsia" w:ascii="仿宋" w:hAnsi="仿宋" w:eastAsia="仿宋" w:cs="仿宋"/>
                <w:szCs w:val="21"/>
                <w:lang w:val="en-US" w:eastAsia="zh-CN" w:bidi="ar-SA"/>
              </w:rPr>
              <w:t>1</w:t>
            </w:r>
            <w:r>
              <w:rPr>
                <w:rFonts w:hint="eastAsia" w:ascii="仿宋" w:hAnsi="仿宋" w:eastAsia="仿宋" w:cs="仿宋"/>
                <w:szCs w:val="21"/>
                <w:lang w:val="zh-CN" w:eastAsia="zh-CN" w:bidi="ar-SA"/>
              </w:rPr>
              <w:t>分；此项满分</w:t>
            </w:r>
            <w:r>
              <w:rPr>
                <w:rFonts w:hint="eastAsia" w:ascii="仿宋" w:hAnsi="仿宋" w:eastAsia="仿宋" w:cs="仿宋"/>
                <w:szCs w:val="21"/>
                <w:lang w:val="en-US" w:eastAsia="zh-CN" w:bidi="ar-SA"/>
              </w:rPr>
              <w:t>2</w:t>
            </w:r>
            <w:r>
              <w:rPr>
                <w:rFonts w:hint="eastAsia" w:ascii="仿宋" w:hAnsi="仿宋" w:eastAsia="仿宋" w:cs="仿宋"/>
                <w:szCs w:val="21"/>
                <w:lang w:val="zh-CN" w:eastAsia="zh-CN" w:bidi="ar-SA"/>
              </w:rPr>
              <w:t>分。（备注：提供颁发单位的证明文件）</w:t>
            </w:r>
          </w:p>
        </w:tc>
        <w:tc>
          <w:tcPr>
            <w:tcW w:w="788" w:type="pct"/>
            <w:vAlign w:val="center"/>
          </w:tcPr>
          <w:p>
            <w:pPr>
              <w:pStyle w:val="23"/>
              <w:rPr>
                <w:rFonts w:ascii="仿宋" w:hAnsi="仿宋" w:eastAsia="仿宋" w:cs="仿宋"/>
                <w:szCs w:val="21"/>
                <w:lang w:val="en-US" w:bidi="ar-SA"/>
              </w:rPr>
            </w:pPr>
          </w:p>
          <w:p>
            <w:pPr>
              <w:pStyle w:val="23"/>
              <w:spacing w:before="1" w:line="253" w:lineRule="exact"/>
              <w:ind w:left="107"/>
              <w:rPr>
                <w:rFonts w:ascii="仿宋" w:hAnsi="仿宋" w:eastAsia="仿宋" w:cs="仿宋"/>
                <w:szCs w:val="21"/>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441" w:type="pct"/>
            <w:vMerge w:val="continue"/>
            <w:vAlign w:val="center"/>
          </w:tcPr>
          <w:p>
            <w:pPr>
              <w:pStyle w:val="23"/>
              <w:jc w:val="center"/>
              <w:rPr>
                <w:rFonts w:ascii="仿宋" w:hAnsi="仿宋" w:eastAsia="仿宋" w:cs="仿宋"/>
                <w:szCs w:val="21"/>
                <w:lang w:val="en-US" w:bidi="ar-SA"/>
              </w:rPr>
            </w:pPr>
          </w:p>
        </w:tc>
        <w:tc>
          <w:tcPr>
            <w:tcW w:w="1140" w:type="dxa"/>
            <w:vAlign w:val="center"/>
          </w:tcPr>
          <w:p>
            <w:pPr>
              <w:pStyle w:val="23"/>
              <w:spacing w:before="102" w:line="284" w:lineRule="exact"/>
              <w:ind w:right="145" w:rightChars="0"/>
              <w:jc w:val="center"/>
              <w:rPr>
                <w:rFonts w:ascii="仿宋" w:hAnsi="仿宋" w:eastAsia="仿宋" w:cs="仿宋"/>
                <w:szCs w:val="21"/>
                <w:lang w:val="en-US" w:bidi="ar-SA"/>
              </w:rPr>
            </w:pPr>
            <w:r>
              <w:rPr>
                <w:rFonts w:hint="default" w:ascii="仿宋" w:hAnsi="仿宋" w:eastAsia="仿宋" w:cs="仿宋"/>
                <w:szCs w:val="21"/>
                <w:lang w:val="en-US" w:eastAsia="zh-CN" w:bidi="ar-SA"/>
              </w:rPr>
              <w:t>设备投入保障</w:t>
            </w:r>
          </w:p>
        </w:tc>
        <w:tc>
          <w:tcPr>
            <w:tcW w:w="499" w:type="dxa"/>
            <w:vAlign w:val="center"/>
          </w:tcPr>
          <w:p>
            <w:pPr>
              <w:pStyle w:val="23"/>
              <w:spacing w:before="102" w:line="284" w:lineRule="exact"/>
              <w:ind w:right="145" w:rightChars="0"/>
              <w:jc w:val="center"/>
              <w:rPr>
                <w:rFonts w:ascii="仿宋" w:hAnsi="仿宋" w:eastAsia="仿宋" w:cs="仿宋"/>
                <w:szCs w:val="21"/>
                <w:lang w:val="en-US" w:bidi="ar-SA"/>
              </w:rPr>
            </w:pPr>
            <w:r>
              <w:rPr>
                <w:rFonts w:hint="eastAsia" w:ascii="仿宋" w:hAnsi="仿宋" w:eastAsia="仿宋" w:cs="仿宋"/>
                <w:szCs w:val="21"/>
                <w:lang w:val="en-US" w:eastAsia="zh-CN" w:bidi="ar-SA"/>
              </w:rPr>
              <w:t>3</w:t>
            </w:r>
          </w:p>
        </w:tc>
        <w:tc>
          <w:tcPr>
            <w:tcW w:w="6084" w:type="dxa"/>
            <w:vAlign w:val="center"/>
          </w:tcPr>
          <w:p>
            <w:pPr>
              <w:pStyle w:val="23"/>
              <w:spacing w:before="102" w:line="284" w:lineRule="exact"/>
              <w:ind w:right="145" w:rightChars="0"/>
              <w:jc w:val="center"/>
              <w:rPr>
                <w:rFonts w:ascii="仿宋" w:hAnsi="仿宋" w:eastAsia="仿宋" w:cs="仿宋"/>
                <w:szCs w:val="21"/>
                <w:lang w:val="en-US" w:bidi="ar-SA"/>
              </w:rPr>
            </w:pPr>
            <w:r>
              <w:rPr>
                <w:rFonts w:hint="default" w:ascii="仿宋" w:hAnsi="仿宋" w:eastAsia="仿宋" w:cs="仿宋"/>
                <w:szCs w:val="21"/>
                <w:lang w:val="en-US" w:eastAsia="zh-CN" w:bidi="ar-SA"/>
              </w:rPr>
              <w:t>投标人环卫作业车辆在项目运营期内满足清扫清运及降尘要求，投入环卫设备完全符合招标文件要求的，得3分，需提供设备投入承诺书，承诺书格式自拟，否则不得分。</w:t>
            </w:r>
          </w:p>
        </w:tc>
        <w:tc>
          <w:tcPr>
            <w:tcW w:w="788" w:type="pct"/>
            <w:vAlign w:val="center"/>
          </w:tcPr>
          <w:p>
            <w:pPr>
              <w:pStyle w:val="23"/>
              <w:spacing w:before="1" w:line="253" w:lineRule="exact"/>
              <w:ind w:left="107"/>
              <w:rPr>
                <w:rFonts w:ascii="仿宋" w:hAnsi="仿宋" w:eastAsia="仿宋" w:cs="仿宋"/>
                <w:szCs w:val="21"/>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441" w:type="pct"/>
            <w:vMerge w:val="continue"/>
            <w:vAlign w:val="center"/>
          </w:tcPr>
          <w:p>
            <w:pPr>
              <w:pStyle w:val="23"/>
              <w:jc w:val="center"/>
              <w:rPr>
                <w:rFonts w:ascii="仿宋" w:hAnsi="仿宋" w:eastAsia="仿宋" w:cs="仿宋"/>
                <w:szCs w:val="21"/>
                <w:lang w:val="en-US" w:bidi="ar-SA"/>
              </w:rPr>
            </w:pPr>
          </w:p>
        </w:tc>
        <w:tc>
          <w:tcPr>
            <w:tcW w:w="556" w:type="pct"/>
            <w:vAlign w:val="center"/>
          </w:tcPr>
          <w:p>
            <w:pPr>
              <w:pStyle w:val="23"/>
              <w:spacing w:before="156" w:line="242" w:lineRule="auto"/>
              <w:ind w:right="163"/>
              <w:jc w:val="center"/>
              <w:rPr>
                <w:rFonts w:ascii="仿宋" w:hAnsi="仿宋" w:eastAsia="仿宋" w:cs="仿宋"/>
                <w:szCs w:val="21"/>
                <w:lang w:val="en-US" w:bidi="ar-SA"/>
              </w:rPr>
            </w:pPr>
            <w:r>
              <w:rPr>
                <w:rFonts w:hint="eastAsia" w:ascii="仿宋" w:hAnsi="仿宋" w:eastAsia="仿宋" w:cs="仿宋"/>
                <w:szCs w:val="21"/>
                <w:lang w:val="en-US" w:bidi="ar-SA"/>
              </w:rPr>
              <w:t>人员配备</w:t>
            </w:r>
          </w:p>
        </w:tc>
        <w:tc>
          <w:tcPr>
            <w:tcW w:w="243" w:type="pct"/>
            <w:vAlign w:val="center"/>
          </w:tcPr>
          <w:p>
            <w:pPr>
              <w:pStyle w:val="23"/>
              <w:ind w:right="133"/>
              <w:jc w:val="center"/>
              <w:rPr>
                <w:rFonts w:ascii="仿宋" w:hAnsi="仿宋" w:eastAsia="仿宋" w:cs="仿宋"/>
                <w:szCs w:val="21"/>
                <w:lang w:val="en-US" w:bidi="ar-SA"/>
              </w:rPr>
            </w:pPr>
            <w:r>
              <w:rPr>
                <w:rFonts w:hint="eastAsia" w:ascii="仿宋" w:hAnsi="仿宋" w:eastAsia="仿宋" w:cs="仿宋"/>
                <w:szCs w:val="21"/>
                <w:lang w:val="en-US" w:bidi="ar-SA"/>
              </w:rPr>
              <w:t>10</w:t>
            </w:r>
          </w:p>
        </w:tc>
        <w:tc>
          <w:tcPr>
            <w:tcW w:w="2969" w:type="pct"/>
            <w:vAlign w:val="center"/>
          </w:tcPr>
          <w:p>
            <w:pPr>
              <w:pStyle w:val="23"/>
              <w:spacing w:before="2" w:line="242" w:lineRule="auto"/>
              <w:ind w:right="94"/>
              <w:rPr>
                <w:rFonts w:ascii="仿宋" w:hAnsi="仿宋" w:eastAsia="仿宋" w:cs="仿宋"/>
                <w:szCs w:val="21"/>
                <w:lang w:val="en-US" w:bidi="ar-SA"/>
              </w:rPr>
            </w:pPr>
            <w:r>
              <w:rPr>
                <w:rFonts w:hint="eastAsia" w:ascii="仿宋" w:hAnsi="仿宋" w:eastAsia="仿宋" w:cs="仿宋"/>
                <w:szCs w:val="21"/>
                <w:lang w:val="en-US" w:bidi="ar-SA"/>
              </w:rPr>
              <w:t>1、项目管理人员具有环卫项目经理证书1人得2分，此项最多得6分；</w:t>
            </w:r>
          </w:p>
          <w:p>
            <w:pPr>
              <w:pStyle w:val="23"/>
              <w:spacing w:before="2" w:line="242" w:lineRule="auto"/>
              <w:ind w:right="94"/>
              <w:rPr>
                <w:rFonts w:ascii="仿宋" w:hAnsi="仿宋" w:eastAsia="仿宋" w:cs="仿宋"/>
                <w:szCs w:val="21"/>
                <w:lang w:val="en-US" w:bidi="ar-SA"/>
              </w:rPr>
            </w:pPr>
            <w:r>
              <w:rPr>
                <w:rFonts w:hint="eastAsia" w:ascii="仿宋" w:hAnsi="仿宋" w:eastAsia="仿宋" w:cs="仿宋"/>
                <w:szCs w:val="21"/>
                <w:lang w:val="en-US" w:bidi="ar-SA"/>
              </w:rPr>
              <w:t>2、管理人员具有园林类相关证书1人得2分，此项最多得4分。</w:t>
            </w:r>
          </w:p>
          <w:p>
            <w:pPr>
              <w:pStyle w:val="23"/>
              <w:spacing w:before="2" w:line="242" w:lineRule="auto"/>
              <w:ind w:right="94"/>
              <w:rPr>
                <w:rFonts w:ascii="仿宋" w:hAnsi="仿宋" w:eastAsia="仿宋" w:cs="仿宋"/>
                <w:szCs w:val="21"/>
                <w:lang w:val="en-US" w:bidi="ar-SA"/>
              </w:rPr>
            </w:pPr>
            <w:r>
              <w:rPr>
                <w:rFonts w:hint="eastAsia" w:ascii="仿宋" w:hAnsi="仿宋" w:eastAsia="仿宋" w:cs="仿宋"/>
                <w:szCs w:val="21"/>
                <w:lang w:val="en-US" w:bidi="ar-SA"/>
              </w:rPr>
              <w:t>备注：评分认定标准：须提供本公司人员证明材料（职称证书、身份证、劳动合同、缴纳社保凭证）无证明材料的不得分；（不满足人员要求此项不得分）</w:t>
            </w:r>
          </w:p>
        </w:tc>
        <w:tc>
          <w:tcPr>
            <w:tcW w:w="788" w:type="pct"/>
            <w:vAlign w:val="center"/>
          </w:tcPr>
          <w:p>
            <w:pPr>
              <w:pStyle w:val="23"/>
              <w:spacing w:before="1" w:line="253" w:lineRule="exact"/>
              <w:ind w:left="107"/>
              <w:rPr>
                <w:rFonts w:ascii="仿宋" w:hAnsi="仿宋" w:eastAsia="仿宋" w:cs="仿宋"/>
                <w:szCs w:val="21"/>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441" w:type="pct"/>
            <w:vMerge w:val="continue"/>
            <w:vAlign w:val="center"/>
          </w:tcPr>
          <w:p>
            <w:pPr>
              <w:pStyle w:val="23"/>
              <w:jc w:val="center"/>
              <w:rPr>
                <w:rFonts w:ascii="仿宋" w:hAnsi="仿宋" w:eastAsia="仿宋" w:cs="仿宋"/>
                <w:szCs w:val="21"/>
                <w:lang w:val="en-US" w:bidi="ar-SA"/>
              </w:rPr>
            </w:pPr>
          </w:p>
        </w:tc>
        <w:tc>
          <w:tcPr>
            <w:tcW w:w="1140" w:type="dxa"/>
            <w:vAlign w:val="center"/>
          </w:tcPr>
          <w:p>
            <w:pPr>
              <w:pStyle w:val="23"/>
              <w:spacing w:before="156" w:line="242" w:lineRule="auto"/>
              <w:ind w:left="0" w:leftChars="0" w:right="163" w:rightChars="0"/>
              <w:jc w:val="center"/>
              <w:rPr>
                <w:rFonts w:ascii="仿宋" w:hAnsi="仿宋" w:eastAsia="仿宋" w:cs="仿宋"/>
                <w:szCs w:val="21"/>
                <w:lang w:val="en-US" w:bidi="ar-SA"/>
              </w:rPr>
            </w:pPr>
            <w:r>
              <w:rPr>
                <w:rFonts w:hint="eastAsia" w:ascii="仿宋" w:hAnsi="仿宋" w:eastAsia="仿宋" w:cs="仿宋"/>
                <w:szCs w:val="21"/>
                <w:lang w:val="en-US" w:eastAsia="zh-CN" w:bidi="ar-SA"/>
              </w:rPr>
              <w:t>质量管理</w:t>
            </w:r>
          </w:p>
        </w:tc>
        <w:tc>
          <w:tcPr>
            <w:tcW w:w="499" w:type="dxa"/>
            <w:vAlign w:val="center"/>
          </w:tcPr>
          <w:p>
            <w:pPr>
              <w:pStyle w:val="23"/>
              <w:ind w:left="0" w:leftChars="0" w:right="133" w:rightChars="0"/>
              <w:jc w:val="center"/>
              <w:rPr>
                <w:rFonts w:ascii="仿宋" w:hAnsi="仿宋" w:eastAsia="仿宋" w:cs="仿宋"/>
                <w:szCs w:val="21"/>
                <w:lang w:val="en-US" w:bidi="ar-SA"/>
              </w:rPr>
            </w:pPr>
            <w:r>
              <w:rPr>
                <w:rFonts w:hint="eastAsia" w:ascii="仿宋" w:hAnsi="仿宋" w:eastAsia="仿宋" w:cs="仿宋"/>
                <w:szCs w:val="21"/>
                <w:lang w:val="en-US" w:eastAsia="zh-CN" w:bidi="ar-SA"/>
              </w:rPr>
              <w:t>10</w:t>
            </w:r>
          </w:p>
        </w:tc>
        <w:tc>
          <w:tcPr>
            <w:tcW w:w="6084" w:type="dxa"/>
            <w:vAlign w:val="center"/>
          </w:tcPr>
          <w:p>
            <w:pPr>
              <w:pStyle w:val="23"/>
              <w:spacing w:before="2" w:line="242" w:lineRule="auto"/>
              <w:ind w:left="0" w:leftChars="0" w:right="94" w:rightChars="0"/>
              <w:rPr>
                <w:rFonts w:ascii="仿宋" w:hAnsi="仿宋" w:eastAsia="仿宋" w:cs="仿宋"/>
                <w:szCs w:val="21"/>
                <w:lang w:val="en-US" w:bidi="ar-SA"/>
              </w:rPr>
            </w:pPr>
            <w:r>
              <w:rPr>
                <w:rFonts w:hint="default" w:ascii="仿宋" w:hAnsi="仿宋" w:eastAsia="仿宋" w:cs="仿宋"/>
                <w:szCs w:val="21"/>
                <w:lang w:val="en-US" w:eastAsia="zh-CN" w:bidi="ar-SA"/>
              </w:rPr>
              <w:t>根据投标人针对本项目提供的具有特色的个性化服务、巡查和管理制度等，安排人力、保证按时按质按量完成环卫保洁、水体保洁和绿化养护工作，并制定管理质量控制措施，对环卫保洁、水体保洁和绿化养护实施方案的落实负责等情况进行评审:①具有特色的个性化服务、巡查和管理制度等，安排人力、保证按时按质按量完成环卫保洁、水体保洁和绿化养护工作，有完善的管理质量控制措施，能够保证环卫保洁、水体保洁和绿化养护实施方案的落实负责，得10分;②具有基本的服务、巡查和管理制度，有充足的人力来满足文件基本要求的环卫保洁、水体保洁和绿化养护工作，但提供的管理质量控制措施存在不清晰情况，得5分;③提供的管理制度与管理质量控制措施不能清晰的体现投标人是否能按质按量完成任务，得3分;④提供管理制度与管理质量控制措施不符合项目实际情况的，得1分;⑤无提供质量管理措施不得分。</w:t>
            </w:r>
          </w:p>
        </w:tc>
        <w:tc>
          <w:tcPr>
            <w:tcW w:w="788" w:type="pct"/>
            <w:vAlign w:val="center"/>
          </w:tcPr>
          <w:p>
            <w:pPr>
              <w:pStyle w:val="23"/>
              <w:spacing w:before="1" w:line="253" w:lineRule="exact"/>
              <w:ind w:left="107"/>
              <w:rPr>
                <w:rFonts w:ascii="仿宋" w:hAnsi="仿宋" w:eastAsia="仿宋" w:cs="仿宋"/>
                <w:szCs w:val="21"/>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7" w:hRule="atLeast"/>
        </w:trPr>
        <w:tc>
          <w:tcPr>
            <w:tcW w:w="441" w:type="pct"/>
            <w:vMerge w:val="restart"/>
            <w:vAlign w:val="center"/>
          </w:tcPr>
          <w:p>
            <w:pPr>
              <w:pStyle w:val="23"/>
              <w:spacing w:line="253" w:lineRule="exact"/>
              <w:rPr>
                <w:rFonts w:ascii="仿宋" w:hAnsi="仿宋" w:eastAsia="仿宋" w:cs="仿宋"/>
                <w:szCs w:val="21"/>
                <w:lang w:val="en-US" w:bidi="ar-SA"/>
              </w:rPr>
            </w:pPr>
          </w:p>
          <w:p>
            <w:pPr>
              <w:pStyle w:val="23"/>
              <w:spacing w:line="253" w:lineRule="exact"/>
              <w:rPr>
                <w:rFonts w:ascii="仿宋" w:hAnsi="仿宋" w:eastAsia="仿宋" w:cs="仿宋"/>
                <w:szCs w:val="21"/>
                <w:lang w:val="en-US" w:bidi="ar-SA"/>
              </w:rPr>
            </w:pPr>
          </w:p>
          <w:p>
            <w:pPr>
              <w:pStyle w:val="23"/>
              <w:spacing w:line="253" w:lineRule="exact"/>
              <w:rPr>
                <w:rFonts w:ascii="仿宋" w:hAnsi="仿宋" w:eastAsia="仿宋" w:cs="仿宋"/>
                <w:szCs w:val="21"/>
                <w:lang w:val="en-US" w:bidi="ar-SA"/>
              </w:rPr>
            </w:pPr>
          </w:p>
          <w:p>
            <w:pPr>
              <w:pStyle w:val="23"/>
              <w:spacing w:line="253" w:lineRule="exact"/>
              <w:rPr>
                <w:rFonts w:ascii="仿宋" w:hAnsi="仿宋" w:eastAsia="仿宋" w:cs="仿宋"/>
                <w:szCs w:val="21"/>
                <w:lang w:val="en-US" w:bidi="ar-SA"/>
              </w:rPr>
            </w:pPr>
          </w:p>
          <w:p>
            <w:pPr>
              <w:pStyle w:val="23"/>
              <w:spacing w:line="253" w:lineRule="exact"/>
              <w:rPr>
                <w:rFonts w:ascii="仿宋" w:hAnsi="仿宋" w:eastAsia="仿宋" w:cs="仿宋"/>
                <w:szCs w:val="21"/>
                <w:lang w:val="en-US" w:bidi="ar-SA"/>
              </w:rPr>
            </w:pPr>
          </w:p>
          <w:p>
            <w:pPr>
              <w:pStyle w:val="23"/>
              <w:spacing w:line="253" w:lineRule="exact"/>
              <w:rPr>
                <w:rFonts w:ascii="仿宋" w:hAnsi="仿宋" w:eastAsia="仿宋" w:cs="仿宋"/>
                <w:szCs w:val="21"/>
                <w:lang w:val="en-US" w:bidi="ar-SA"/>
              </w:rPr>
            </w:pPr>
          </w:p>
          <w:p>
            <w:pPr>
              <w:pStyle w:val="23"/>
              <w:spacing w:line="253" w:lineRule="exact"/>
              <w:rPr>
                <w:rFonts w:ascii="仿宋" w:hAnsi="仿宋" w:eastAsia="仿宋" w:cs="仿宋"/>
                <w:szCs w:val="21"/>
                <w:lang w:val="en-US" w:bidi="ar-SA"/>
              </w:rPr>
            </w:pPr>
          </w:p>
          <w:p>
            <w:pPr>
              <w:pStyle w:val="23"/>
              <w:spacing w:line="253" w:lineRule="exact"/>
              <w:rPr>
                <w:rFonts w:ascii="仿宋" w:hAnsi="仿宋" w:eastAsia="仿宋" w:cs="仿宋"/>
                <w:szCs w:val="21"/>
                <w:lang w:val="en-US" w:bidi="ar-SA"/>
              </w:rPr>
            </w:pPr>
          </w:p>
          <w:p>
            <w:pPr>
              <w:pStyle w:val="23"/>
              <w:spacing w:line="253" w:lineRule="exact"/>
              <w:rPr>
                <w:rFonts w:ascii="仿宋" w:hAnsi="仿宋" w:eastAsia="仿宋" w:cs="仿宋"/>
                <w:szCs w:val="21"/>
                <w:lang w:val="en-US" w:bidi="ar-SA"/>
              </w:rPr>
            </w:pPr>
          </w:p>
          <w:p>
            <w:pPr>
              <w:pStyle w:val="23"/>
              <w:spacing w:line="253" w:lineRule="exact"/>
              <w:rPr>
                <w:rFonts w:ascii="仿宋" w:hAnsi="仿宋" w:eastAsia="仿宋" w:cs="仿宋"/>
                <w:szCs w:val="21"/>
                <w:lang w:val="en-US" w:bidi="ar-SA"/>
              </w:rPr>
            </w:pPr>
          </w:p>
          <w:p>
            <w:pPr>
              <w:pStyle w:val="23"/>
              <w:spacing w:line="253" w:lineRule="exact"/>
              <w:rPr>
                <w:rFonts w:ascii="仿宋" w:hAnsi="仿宋" w:eastAsia="仿宋" w:cs="仿宋"/>
                <w:szCs w:val="21"/>
                <w:lang w:val="en-US" w:bidi="ar-SA"/>
              </w:rPr>
            </w:pPr>
          </w:p>
          <w:p>
            <w:pPr>
              <w:pStyle w:val="23"/>
              <w:spacing w:line="253" w:lineRule="exact"/>
              <w:rPr>
                <w:rFonts w:ascii="仿宋" w:hAnsi="仿宋" w:eastAsia="仿宋" w:cs="仿宋"/>
                <w:szCs w:val="21"/>
                <w:lang w:val="en-US" w:bidi="ar-SA"/>
              </w:rPr>
            </w:pPr>
          </w:p>
          <w:p>
            <w:pPr>
              <w:pStyle w:val="23"/>
              <w:spacing w:line="253" w:lineRule="exact"/>
              <w:rPr>
                <w:rFonts w:ascii="仿宋" w:hAnsi="仿宋" w:eastAsia="仿宋" w:cs="仿宋"/>
                <w:szCs w:val="21"/>
                <w:lang w:val="en-US" w:bidi="ar-SA"/>
              </w:rPr>
            </w:pPr>
          </w:p>
          <w:p>
            <w:pPr>
              <w:pStyle w:val="23"/>
              <w:spacing w:line="253" w:lineRule="exact"/>
              <w:rPr>
                <w:rFonts w:ascii="仿宋" w:hAnsi="仿宋" w:eastAsia="仿宋" w:cs="仿宋"/>
                <w:szCs w:val="21"/>
                <w:lang w:val="en-US" w:bidi="ar-SA"/>
              </w:rPr>
            </w:pPr>
          </w:p>
          <w:p>
            <w:pPr>
              <w:pStyle w:val="23"/>
              <w:spacing w:line="253" w:lineRule="exact"/>
              <w:rPr>
                <w:rFonts w:ascii="仿宋" w:hAnsi="仿宋" w:eastAsia="仿宋" w:cs="仿宋"/>
                <w:szCs w:val="21"/>
                <w:lang w:val="en-US" w:bidi="ar-SA"/>
              </w:rPr>
            </w:pPr>
          </w:p>
          <w:p>
            <w:pPr>
              <w:pStyle w:val="23"/>
              <w:spacing w:line="253" w:lineRule="exact"/>
              <w:rPr>
                <w:rFonts w:ascii="仿宋" w:hAnsi="仿宋" w:eastAsia="仿宋" w:cs="仿宋"/>
                <w:szCs w:val="21"/>
                <w:lang w:val="en-US" w:bidi="ar-SA"/>
              </w:rPr>
            </w:pPr>
          </w:p>
          <w:p>
            <w:pPr>
              <w:pStyle w:val="23"/>
              <w:spacing w:line="253" w:lineRule="exact"/>
              <w:rPr>
                <w:rFonts w:ascii="仿宋" w:hAnsi="仿宋" w:eastAsia="仿宋" w:cs="仿宋"/>
                <w:szCs w:val="21"/>
                <w:lang w:val="en-US" w:bidi="ar-SA"/>
              </w:rPr>
            </w:pPr>
          </w:p>
          <w:p>
            <w:pPr>
              <w:pStyle w:val="23"/>
              <w:spacing w:line="253" w:lineRule="exact"/>
              <w:rPr>
                <w:rFonts w:ascii="仿宋" w:hAnsi="仿宋" w:eastAsia="仿宋" w:cs="仿宋"/>
                <w:szCs w:val="21"/>
                <w:lang w:val="en-US" w:bidi="ar-SA"/>
              </w:rPr>
            </w:pPr>
          </w:p>
          <w:p>
            <w:pPr>
              <w:pStyle w:val="23"/>
              <w:spacing w:line="253" w:lineRule="exact"/>
              <w:rPr>
                <w:rFonts w:ascii="仿宋" w:hAnsi="仿宋" w:eastAsia="仿宋" w:cs="仿宋"/>
                <w:szCs w:val="21"/>
                <w:lang w:val="en-US" w:bidi="ar-SA"/>
              </w:rPr>
            </w:pPr>
          </w:p>
          <w:p>
            <w:pPr>
              <w:pStyle w:val="23"/>
              <w:spacing w:line="253" w:lineRule="exact"/>
              <w:rPr>
                <w:rFonts w:ascii="仿宋" w:hAnsi="仿宋" w:eastAsia="仿宋" w:cs="仿宋"/>
                <w:szCs w:val="21"/>
                <w:lang w:val="en-US" w:bidi="ar-SA"/>
              </w:rPr>
            </w:pPr>
          </w:p>
          <w:p>
            <w:pPr>
              <w:pStyle w:val="23"/>
              <w:spacing w:line="253" w:lineRule="exact"/>
              <w:rPr>
                <w:rFonts w:ascii="仿宋" w:hAnsi="仿宋" w:eastAsia="仿宋" w:cs="仿宋"/>
                <w:szCs w:val="21"/>
                <w:lang w:val="en-US" w:bidi="ar-SA"/>
              </w:rPr>
            </w:pPr>
          </w:p>
          <w:p>
            <w:pPr>
              <w:pStyle w:val="23"/>
              <w:spacing w:line="253" w:lineRule="exact"/>
              <w:rPr>
                <w:rFonts w:ascii="仿宋" w:hAnsi="仿宋" w:eastAsia="仿宋" w:cs="仿宋"/>
                <w:szCs w:val="21"/>
                <w:lang w:val="en-US" w:bidi="ar-SA"/>
              </w:rPr>
            </w:pPr>
            <w:r>
              <w:rPr>
                <w:rFonts w:hint="eastAsia" w:ascii="仿宋" w:hAnsi="仿宋" w:eastAsia="仿宋" w:cs="仿宋"/>
                <w:szCs w:val="21"/>
                <w:lang w:val="en-US" w:bidi="ar-SA"/>
              </w:rPr>
              <w:t>技术评</w:t>
            </w:r>
          </w:p>
          <w:p>
            <w:pPr>
              <w:pStyle w:val="23"/>
              <w:spacing w:before="29" w:line="275" w:lineRule="exact"/>
              <w:rPr>
                <w:rFonts w:ascii="仿宋" w:hAnsi="仿宋" w:eastAsia="仿宋" w:cs="仿宋"/>
                <w:szCs w:val="21"/>
                <w:lang w:val="en-US" w:bidi="ar-SA"/>
              </w:rPr>
            </w:pPr>
            <w:r>
              <w:rPr>
                <w:rFonts w:hint="eastAsia" w:ascii="仿宋" w:hAnsi="仿宋" w:eastAsia="仿宋" w:cs="仿宋"/>
                <w:szCs w:val="21"/>
                <w:lang w:val="en-US" w:bidi="ar-SA"/>
              </w:rPr>
              <w:t>分标准</w:t>
            </w:r>
          </w:p>
          <w:p>
            <w:pPr>
              <w:pStyle w:val="23"/>
              <w:tabs>
                <w:tab w:val="left" w:pos="588"/>
              </w:tabs>
              <w:spacing w:before="14" w:line="277" w:lineRule="exact"/>
              <w:rPr>
                <w:rFonts w:ascii="仿宋" w:hAnsi="仿宋" w:eastAsia="仿宋" w:cs="仿宋"/>
                <w:szCs w:val="21"/>
                <w:lang w:val="en-US" w:bidi="ar-SA"/>
              </w:rPr>
            </w:pPr>
            <w:r>
              <w:rPr>
                <w:rFonts w:hint="eastAsia" w:ascii="仿宋" w:hAnsi="仿宋" w:eastAsia="仿宋" w:cs="仿宋"/>
                <w:szCs w:val="21"/>
                <w:lang w:val="en-US" w:bidi="ar-SA"/>
              </w:rPr>
              <w:t>（</w:t>
            </w:r>
            <w:r>
              <w:rPr>
                <w:rFonts w:hint="eastAsia" w:ascii="仿宋" w:hAnsi="仿宋" w:eastAsia="仿宋" w:cs="仿宋"/>
                <w:szCs w:val="21"/>
                <w:lang w:val="en-US" w:eastAsia="zh-CN" w:bidi="ar-SA"/>
              </w:rPr>
              <w:t>5</w:t>
            </w:r>
            <w:r>
              <w:rPr>
                <w:rFonts w:hint="eastAsia" w:ascii="仿宋" w:hAnsi="仿宋" w:eastAsia="仿宋" w:cs="仿宋"/>
                <w:szCs w:val="21"/>
                <w:lang w:val="en-US" w:bidi="ar-SA"/>
              </w:rPr>
              <w:t>0）</w:t>
            </w:r>
          </w:p>
        </w:tc>
        <w:tc>
          <w:tcPr>
            <w:tcW w:w="556" w:type="pct"/>
            <w:vAlign w:val="center"/>
          </w:tcPr>
          <w:p>
            <w:pPr>
              <w:pStyle w:val="23"/>
              <w:spacing w:before="152"/>
              <w:ind w:right="145"/>
              <w:jc w:val="center"/>
              <w:rPr>
                <w:rFonts w:ascii="仿宋" w:hAnsi="仿宋" w:eastAsia="仿宋" w:cs="仿宋"/>
                <w:szCs w:val="21"/>
                <w:lang w:val="en-US" w:bidi="ar-SA"/>
              </w:rPr>
            </w:pPr>
            <w:r>
              <w:rPr>
                <w:rFonts w:hint="eastAsia" w:ascii="仿宋" w:hAnsi="仿宋" w:eastAsia="仿宋" w:cs="仿宋"/>
                <w:szCs w:val="21"/>
                <w:lang w:val="en-US" w:bidi="ar-SA"/>
              </w:rPr>
              <w:t>项目理解</w:t>
            </w:r>
          </w:p>
        </w:tc>
        <w:tc>
          <w:tcPr>
            <w:tcW w:w="243" w:type="pct"/>
            <w:vAlign w:val="center"/>
          </w:tcPr>
          <w:p>
            <w:pPr>
              <w:pStyle w:val="23"/>
              <w:spacing w:before="152"/>
              <w:ind w:right="193"/>
              <w:jc w:val="center"/>
              <w:rPr>
                <w:rFonts w:ascii="仿宋" w:hAnsi="仿宋" w:eastAsia="仿宋" w:cs="仿宋"/>
                <w:szCs w:val="21"/>
                <w:lang w:val="en-US" w:bidi="ar-SA"/>
              </w:rPr>
            </w:pPr>
            <w:r>
              <w:rPr>
                <w:rFonts w:hint="eastAsia" w:ascii="仿宋" w:hAnsi="仿宋" w:eastAsia="仿宋" w:cs="仿宋"/>
                <w:szCs w:val="21"/>
                <w:lang w:val="en-US" w:bidi="ar-SA"/>
              </w:rPr>
              <w:t>10</w:t>
            </w:r>
          </w:p>
        </w:tc>
        <w:tc>
          <w:tcPr>
            <w:tcW w:w="2969" w:type="pct"/>
            <w:vAlign w:val="center"/>
          </w:tcPr>
          <w:p>
            <w:pPr>
              <w:pStyle w:val="23"/>
              <w:spacing w:before="3" w:line="284" w:lineRule="exact"/>
              <w:rPr>
                <w:rFonts w:ascii="仿宋" w:hAnsi="仿宋" w:eastAsia="仿宋" w:cs="仿宋"/>
                <w:szCs w:val="21"/>
                <w:lang w:val="en-US" w:bidi="ar-SA"/>
              </w:rPr>
            </w:pPr>
            <w:r>
              <w:rPr>
                <w:rFonts w:ascii="仿宋" w:hAnsi="仿宋" w:eastAsia="仿宋" w:cs="仿宋"/>
                <w:szCs w:val="21"/>
                <w:lang w:val="en-US" w:bidi="ar-SA"/>
              </w:rPr>
              <w:t>根据投标人针对本项目区域</w:t>
            </w:r>
            <w:r>
              <w:rPr>
                <w:rFonts w:hint="eastAsia" w:ascii="仿宋" w:hAnsi="仿宋" w:eastAsia="仿宋" w:cs="仿宋"/>
                <w:szCs w:val="21"/>
                <w:lang w:val="en-US" w:bidi="ar-SA"/>
              </w:rPr>
              <w:t>物业服务、</w:t>
            </w:r>
            <w:r>
              <w:rPr>
                <w:rFonts w:ascii="仿宋" w:hAnsi="仿宋" w:eastAsia="仿宋" w:cs="仿宋"/>
                <w:szCs w:val="21"/>
                <w:lang w:val="en-US" w:bidi="ar-SA"/>
              </w:rPr>
              <w:t>环卫保洁、绿化养护范围的现状和目标思路是否有较深入的理解和渗透详细程度进行评审：①对项目区域的实际情况了解程度高，对采购需求要点清晰明确，现状分析到位，重点和难点分析精确并能提出对应解决对策，得10分；②对项目区域的实际情况了解程度不高，现状分析普通，能提供一定解决对策，得6分；③对项目区域的实际情况了解程度较低，现状分析重点不突出，得4分；④对项目区域的实际情况不了解，没有对现状分析重点，得2分；⑤无提供项目理解不得分。</w:t>
            </w:r>
          </w:p>
        </w:tc>
        <w:tc>
          <w:tcPr>
            <w:tcW w:w="788" w:type="pct"/>
            <w:vAlign w:val="center"/>
          </w:tcPr>
          <w:p>
            <w:pPr>
              <w:pStyle w:val="23"/>
              <w:rPr>
                <w:rFonts w:ascii="仿宋" w:hAnsi="仿宋" w:eastAsia="仿宋" w:cs="仿宋"/>
                <w:szCs w:val="21"/>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 w:hRule="atLeast"/>
        </w:trPr>
        <w:tc>
          <w:tcPr>
            <w:tcW w:w="441" w:type="pct"/>
            <w:vMerge w:val="continue"/>
            <w:vAlign w:val="center"/>
          </w:tcPr>
          <w:p>
            <w:pPr>
              <w:jc w:val="center"/>
              <w:rPr>
                <w:sz w:val="2"/>
                <w:szCs w:val="2"/>
              </w:rPr>
            </w:pPr>
          </w:p>
        </w:tc>
        <w:tc>
          <w:tcPr>
            <w:tcW w:w="556" w:type="pct"/>
            <w:vAlign w:val="center"/>
          </w:tcPr>
          <w:p>
            <w:pPr>
              <w:pStyle w:val="23"/>
              <w:spacing w:before="2" w:line="242" w:lineRule="auto"/>
              <w:ind w:right="163"/>
              <w:jc w:val="center"/>
              <w:rPr>
                <w:rFonts w:ascii="仿宋" w:hAnsi="仿宋" w:eastAsia="仿宋" w:cs="仿宋"/>
                <w:szCs w:val="21"/>
                <w:lang w:val="en-US" w:bidi="ar-SA"/>
              </w:rPr>
            </w:pPr>
            <w:r>
              <w:rPr>
                <w:rFonts w:hint="eastAsia" w:ascii="仿宋" w:hAnsi="仿宋" w:eastAsia="仿宋" w:cs="仿宋"/>
                <w:szCs w:val="21"/>
                <w:lang w:val="en-US" w:bidi="ar-SA"/>
              </w:rPr>
              <w:t>总体服务方案</w:t>
            </w:r>
          </w:p>
        </w:tc>
        <w:tc>
          <w:tcPr>
            <w:tcW w:w="243" w:type="pct"/>
            <w:vAlign w:val="center"/>
          </w:tcPr>
          <w:p>
            <w:pPr>
              <w:pStyle w:val="23"/>
              <w:spacing w:before="2"/>
              <w:ind w:right="178"/>
              <w:jc w:val="center"/>
              <w:rPr>
                <w:rFonts w:ascii="仿宋" w:hAnsi="仿宋" w:eastAsia="仿宋" w:cs="仿宋"/>
                <w:szCs w:val="21"/>
                <w:lang w:val="en-US" w:bidi="ar-SA"/>
              </w:rPr>
            </w:pPr>
            <w:r>
              <w:rPr>
                <w:rFonts w:hint="eastAsia" w:ascii="仿宋" w:hAnsi="仿宋" w:eastAsia="仿宋" w:cs="仿宋"/>
                <w:szCs w:val="21"/>
                <w:lang w:val="en-US" w:bidi="ar-SA"/>
              </w:rPr>
              <w:t>15</w:t>
            </w:r>
          </w:p>
        </w:tc>
        <w:tc>
          <w:tcPr>
            <w:tcW w:w="2969" w:type="pct"/>
            <w:vAlign w:val="center"/>
          </w:tcPr>
          <w:p>
            <w:pPr>
              <w:pStyle w:val="23"/>
              <w:spacing w:before="122" w:line="289" w:lineRule="exact"/>
              <w:rPr>
                <w:rFonts w:ascii="仿宋" w:hAnsi="仿宋" w:eastAsia="仿宋" w:cs="仿宋"/>
                <w:szCs w:val="21"/>
                <w:lang w:val="en-US" w:bidi="ar-SA"/>
              </w:rPr>
            </w:pPr>
            <w:r>
              <w:rPr>
                <w:rFonts w:ascii="仿宋" w:hAnsi="仿宋" w:eastAsia="仿宋" w:cs="仿宋"/>
                <w:szCs w:val="21"/>
                <w:lang w:val="en-US" w:bidi="ar-SA"/>
              </w:rPr>
              <w:t>根据投标人针对本项目提供的服务总体方案，对投标人提及的项目重点难点分析、作业方案和方案服务标准要求进行评审：①对项目的重点难点充分了解，分析清楚到位，提供的作业方案详细且具有可操作性，方案服务标准优于招标文件要求，得1</w:t>
            </w:r>
            <w:r>
              <w:rPr>
                <w:rFonts w:hint="eastAsia" w:ascii="仿宋" w:hAnsi="仿宋" w:eastAsia="仿宋" w:cs="仿宋"/>
                <w:szCs w:val="21"/>
                <w:lang w:val="en-US" w:bidi="ar-SA"/>
              </w:rPr>
              <w:t>5</w:t>
            </w:r>
            <w:r>
              <w:rPr>
                <w:rFonts w:ascii="仿宋" w:hAnsi="仿宋" w:eastAsia="仿宋" w:cs="仿宋"/>
                <w:szCs w:val="21"/>
                <w:lang w:val="en-US" w:bidi="ar-SA"/>
              </w:rPr>
              <w:t>分；②对项目的重点难点基本了解，提供了较为完整的作业方案，方案服务标准基本满足招标文件要求但方案存在操作性上的不足，得8分；③对项目的重点难点不大了解，提供的作业方案 简单、一般，方案服务标准基本满足招标文件要求，得4分； ④对项目的重点难点不了解，提供的作业方案过于简单，方案服务标准不太满足招标文件要求，得2分；⑤无提供服务总体方案不得分。</w:t>
            </w:r>
          </w:p>
        </w:tc>
        <w:tc>
          <w:tcPr>
            <w:tcW w:w="788" w:type="pct"/>
          </w:tcPr>
          <w:p>
            <w:pPr>
              <w:pStyle w:val="23"/>
              <w:spacing w:before="122" w:line="289" w:lineRule="exact"/>
              <w:rPr>
                <w:rFonts w:ascii="仿宋" w:hAnsi="仿宋" w:eastAsia="仿宋" w:cs="仿宋"/>
                <w:szCs w:val="21"/>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441" w:type="pct"/>
            <w:vMerge w:val="continue"/>
            <w:vAlign w:val="center"/>
          </w:tcPr>
          <w:p>
            <w:pPr>
              <w:jc w:val="center"/>
              <w:rPr>
                <w:sz w:val="2"/>
                <w:szCs w:val="2"/>
              </w:rPr>
            </w:pPr>
          </w:p>
        </w:tc>
        <w:tc>
          <w:tcPr>
            <w:tcW w:w="1140" w:type="dxa"/>
            <w:vAlign w:val="center"/>
          </w:tcPr>
          <w:p>
            <w:pPr>
              <w:pStyle w:val="23"/>
              <w:spacing w:before="122" w:line="289" w:lineRule="exact"/>
              <w:rPr>
                <w:rFonts w:hint="eastAsia" w:ascii="仿宋" w:hAnsi="仿宋" w:eastAsia="仿宋" w:cs="仿宋"/>
                <w:color w:val="auto"/>
                <w:szCs w:val="21"/>
                <w:lang w:val="en-US" w:eastAsia="zh-CN" w:bidi="ar-SA"/>
              </w:rPr>
            </w:pPr>
            <w:r>
              <w:rPr>
                <w:rFonts w:hint="eastAsia" w:ascii="仿宋" w:hAnsi="仿宋" w:eastAsia="仿宋" w:cs="仿宋"/>
                <w:color w:val="auto"/>
                <w:szCs w:val="21"/>
                <w:lang w:val="en-US" w:eastAsia="zh-CN" w:bidi="ar-SA"/>
              </w:rPr>
              <w:t>服务响应</w:t>
            </w:r>
          </w:p>
          <w:p>
            <w:pPr>
              <w:pStyle w:val="23"/>
              <w:spacing w:before="122" w:line="289" w:lineRule="exact"/>
              <w:rPr>
                <w:rFonts w:ascii="仿宋" w:hAnsi="仿宋" w:eastAsia="仿宋" w:cs="仿宋"/>
                <w:szCs w:val="21"/>
                <w:lang w:val="en-US" w:bidi="ar-SA"/>
              </w:rPr>
            </w:pPr>
            <w:r>
              <w:rPr>
                <w:rFonts w:hint="eastAsia" w:ascii="仿宋" w:hAnsi="仿宋" w:eastAsia="仿宋" w:cs="仿宋"/>
                <w:color w:val="auto"/>
                <w:szCs w:val="21"/>
                <w:lang w:val="en-US" w:eastAsia="zh-CN" w:bidi="ar-SA"/>
              </w:rPr>
              <w:t>承诺</w:t>
            </w:r>
          </w:p>
        </w:tc>
        <w:tc>
          <w:tcPr>
            <w:tcW w:w="499" w:type="dxa"/>
            <w:vAlign w:val="center"/>
          </w:tcPr>
          <w:p>
            <w:pPr>
              <w:pStyle w:val="23"/>
              <w:spacing w:before="122" w:line="289" w:lineRule="exact"/>
              <w:ind w:firstLine="220" w:firstLineChars="100"/>
              <w:rPr>
                <w:rFonts w:ascii="仿宋" w:hAnsi="仿宋" w:eastAsia="仿宋" w:cs="仿宋"/>
                <w:szCs w:val="21"/>
                <w:lang w:val="en-US" w:bidi="ar-SA"/>
              </w:rPr>
            </w:pPr>
            <w:r>
              <w:rPr>
                <w:rFonts w:hint="eastAsia" w:ascii="仿宋" w:hAnsi="仿宋" w:eastAsia="仿宋" w:cs="仿宋"/>
                <w:color w:val="auto"/>
                <w:szCs w:val="21"/>
                <w:lang w:val="en-US" w:eastAsia="zh-CN" w:bidi="ar-SA"/>
              </w:rPr>
              <w:t>10</w:t>
            </w:r>
          </w:p>
        </w:tc>
        <w:tc>
          <w:tcPr>
            <w:tcW w:w="6084" w:type="dxa"/>
            <w:vAlign w:val="top"/>
          </w:tcPr>
          <w:p>
            <w:pPr>
              <w:pStyle w:val="23"/>
              <w:spacing w:before="122" w:line="289" w:lineRule="exact"/>
              <w:rPr>
                <w:rFonts w:ascii="仿宋" w:hAnsi="仿宋" w:eastAsia="仿宋" w:cs="仿宋"/>
                <w:szCs w:val="21"/>
                <w:lang w:val="en-US" w:bidi="ar-SA"/>
              </w:rPr>
            </w:pPr>
            <w:r>
              <w:rPr>
                <w:rFonts w:hint="default" w:ascii="仿宋" w:hAnsi="仿宋" w:eastAsia="仿宋" w:cs="仿宋"/>
                <w:color w:val="auto"/>
                <w:szCs w:val="21"/>
                <w:lang w:val="en-US" w:eastAsia="zh-CN" w:bidi="ar-SA"/>
              </w:rPr>
              <w:t>根据投标人针对本项目承诺的服务响应时间进行评审：①承诺接到采购人通知后1小时以内配备人员和设备到达采购人指定地点的</w:t>
            </w:r>
            <w:r>
              <w:rPr>
                <w:rFonts w:hint="eastAsia" w:ascii="仿宋" w:hAnsi="仿宋" w:eastAsia="仿宋" w:cs="仿宋"/>
                <w:color w:val="auto"/>
                <w:szCs w:val="21"/>
                <w:lang w:val="en-US" w:eastAsia="zh-CN" w:bidi="ar-SA"/>
              </w:rPr>
              <w:t>，</w:t>
            </w:r>
            <w:r>
              <w:rPr>
                <w:rFonts w:hint="default" w:ascii="仿宋" w:hAnsi="仿宋" w:eastAsia="仿宋" w:cs="仿宋"/>
                <w:color w:val="auto"/>
                <w:szCs w:val="21"/>
                <w:lang w:val="en-US" w:eastAsia="zh-CN" w:bidi="ar-SA"/>
              </w:rPr>
              <w:t>得</w:t>
            </w:r>
            <w:r>
              <w:rPr>
                <w:rFonts w:hint="eastAsia" w:ascii="仿宋" w:hAnsi="仿宋" w:eastAsia="仿宋" w:cs="仿宋"/>
                <w:color w:val="auto"/>
                <w:szCs w:val="21"/>
                <w:lang w:val="en-US" w:eastAsia="zh-CN" w:bidi="ar-SA"/>
              </w:rPr>
              <w:t>10</w:t>
            </w:r>
            <w:r>
              <w:rPr>
                <w:rFonts w:hint="default" w:ascii="仿宋" w:hAnsi="仿宋" w:eastAsia="仿宋" w:cs="仿宋"/>
                <w:color w:val="auto"/>
                <w:szCs w:val="21"/>
                <w:lang w:val="en-US" w:eastAsia="zh-CN" w:bidi="ar-SA"/>
              </w:rPr>
              <w:t>分；②承诺接到采购人通知后2小时内配备人员和设备到达采购人指定地点的，得</w:t>
            </w:r>
            <w:r>
              <w:rPr>
                <w:rFonts w:hint="eastAsia" w:ascii="仿宋" w:hAnsi="仿宋" w:eastAsia="仿宋" w:cs="仿宋"/>
                <w:color w:val="auto"/>
                <w:szCs w:val="21"/>
                <w:lang w:val="en-US" w:eastAsia="zh-CN" w:bidi="ar-SA"/>
              </w:rPr>
              <w:t>6</w:t>
            </w:r>
            <w:r>
              <w:rPr>
                <w:rFonts w:hint="default" w:ascii="仿宋" w:hAnsi="仿宋" w:eastAsia="仿宋" w:cs="仿宋"/>
                <w:color w:val="auto"/>
                <w:szCs w:val="21"/>
                <w:lang w:val="en-US" w:eastAsia="zh-CN" w:bidi="ar-SA"/>
              </w:rPr>
              <w:t>分；③承诺接到采购人通知后3小时内配备人员和设备到达采购人指定地点的，得</w:t>
            </w:r>
            <w:r>
              <w:rPr>
                <w:rFonts w:hint="eastAsia" w:ascii="仿宋" w:hAnsi="仿宋" w:eastAsia="仿宋" w:cs="仿宋"/>
                <w:color w:val="auto"/>
                <w:szCs w:val="21"/>
                <w:lang w:val="en-US" w:eastAsia="zh-CN" w:bidi="ar-SA"/>
              </w:rPr>
              <w:t>4</w:t>
            </w:r>
            <w:r>
              <w:rPr>
                <w:rFonts w:hint="default" w:ascii="仿宋" w:hAnsi="仿宋" w:eastAsia="仿宋" w:cs="仿宋"/>
                <w:color w:val="auto"/>
                <w:szCs w:val="21"/>
                <w:lang w:val="en-US" w:eastAsia="zh-CN" w:bidi="ar-SA"/>
              </w:rPr>
              <w:t>分；④其他不得分。注：投标人须单独提供承诺函加盖投标人公章。</w:t>
            </w:r>
          </w:p>
        </w:tc>
        <w:tc>
          <w:tcPr>
            <w:tcW w:w="788" w:type="pct"/>
          </w:tcPr>
          <w:p>
            <w:pPr>
              <w:pStyle w:val="23"/>
              <w:spacing w:before="122" w:line="289" w:lineRule="exact"/>
              <w:rPr>
                <w:rFonts w:ascii="仿宋" w:hAnsi="仿宋" w:eastAsia="仿宋" w:cs="仿宋"/>
                <w:szCs w:val="21"/>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2" w:hRule="atLeast"/>
        </w:trPr>
        <w:tc>
          <w:tcPr>
            <w:tcW w:w="441" w:type="pct"/>
            <w:vMerge w:val="continue"/>
            <w:vAlign w:val="center"/>
          </w:tcPr>
          <w:p>
            <w:pPr>
              <w:jc w:val="center"/>
              <w:rPr>
                <w:sz w:val="2"/>
                <w:szCs w:val="2"/>
              </w:rPr>
            </w:pPr>
          </w:p>
        </w:tc>
        <w:tc>
          <w:tcPr>
            <w:tcW w:w="1140" w:type="dxa"/>
            <w:vAlign w:val="center"/>
          </w:tcPr>
          <w:p>
            <w:pPr>
              <w:pStyle w:val="23"/>
              <w:spacing w:before="122" w:line="289" w:lineRule="exact"/>
              <w:rPr>
                <w:rFonts w:ascii="仿宋" w:hAnsi="仿宋" w:eastAsia="仿宋" w:cs="仿宋"/>
                <w:szCs w:val="21"/>
                <w:lang w:val="en-US" w:bidi="ar-SA"/>
              </w:rPr>
            </w:pPr>
            <w:r>
              <w:rPr>
                <w:rFonts w:hint="eastAsia" w:ascii="仿宋" w:hAnsi="仿宋" w:eastAsia="仿宋" w:cs="仿宋"/>
                <w:color w:val="auto"/>
                <w:szCs w:val="21"/>
                <w:lang w:val="en-US" w:eastAsia="zh-CN" w:bidi="ar-SA"/>
              </w:rPr>
              <w:t>安全生产</w:t>
            </w:r>
          </w:p>
        </w:tc>
        <w:tc>
          <w:tcPr>
            <w:tcW w:w="499" w:type="dxa"/>
            <w:vAlign w:val="center"/>
          </w:tcPr>
          <w:p>
            <w:pPr>
              <w:pStyle w:val="23"/>
              <w:spacing w:before="122" w:line="289" w:lineRule="exact"/>
              <w:ind w:firstLine="220" w:firstLineChars="100"/>
              <w:rPr>
                <w:rFonts w:ascii="仿宋" w:hAnsi="仿宋" w:eastAsia="仿宋" w:cs="仿宋"/>
                <w:szCs w:val="21"/>
                <w:lang w:val="en-US" w:bidi="ar-SA"/>
              </w:rPr>
            </w:pPr>
            <w:r>
              <w:rPr>
                <w:rFonts w:hint="eastAsia" w:ascii="仿宋" w:hAnsi="仿宋" w:eastAsia="仿宋" w:cs="仿宋"/>
                <w:color w:val="auto"/>
                <w:szCs w:val="21"/>
                <w:lang w:val="en-US" w:eastAsia="zh-CN" w:bidi="ar-SA"/>
              </w:rPr>
              <w:t>5</w:t>
            </w:r>
          </w:p>
        </w:tc>
        <w:tc>
          <w:tcPr>
            <w:tcW w:w="6084" w:type="dxa"/>
            <w:vAlign w:val="center"/>
          </w:tcPr>
          <w:p>
            <w:pPr>
              <w:pStyle w:val="23"/>
              <w:spacing w:before="122" w:line="289" w:lineRule="exact"/>
              <w:rPr>
                <w:rFonts w:ascii="仿宋" w:hAnsi="仿宋" w:eastAsia="仿宋" w:cs="仿宋"/>
                <w:szCs w:val="21"/>
                <w:lang w:val="en-US" w:bidi="ar-SA"/>
              </w:rPr>
            </w:pPr>
            <w:r>
              <w:rPr>
                <w:rFonts w:hint="eastAsia" w:ascii="仿宋" w:hAnsi="仿宋" w:eastAsia="仿宋" w:cs="仿宋"/>
                <w:color w:val="auto"/>
                <w:szCs w:val="21"/>
                <w:lang w:val="en-US" w:eastAsia="zh-CN" w:bidi="ar-SA"/>
              </w:rPr>
              <w:t>根据投标人针对本项目提供具体的安全作业方案及安全配套措施，且符合采购人安全作业的要求进行综合评审：①针对提供具体的安全作业方案及安全配套措施，且符合并优于采购人安全作业的要求，得5分；②针对提供具体的安全作业方案及安全配套措施，基本符合采购人安全作业要求，得3分；③针对提供的安全作业方案及安全配套措施简陋，能体现是否符合采购人安全作业的要求，得2分；④无提供安全作业管理不得分。</w:t>
            </w:r>
          </w:p>
        </w:tc>
        <w:tc>
          <w:tcPr>
            <w:tcW w:w="788" w:type="pct"/>
          </w:tcPr>
          <w:p>
            <w:pPr>
              <w:pStyle w:val="23"/>
              <w:spacing w:before="122" w:line="289" w:lineRule="exact"/>
              <w:rPr>
                <w:rFonts w:ascii="仿宋" w:hAnsi="仿宋" w:eastAsia="仿宋" w:cs="仿宋"/>
                <w:szCs w:val="21"/>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trPr>
        <w:tc>
          <w:tcPr>
            <w:tcW w:w="441" w:type="pct"/>
            <w:vAlign w:val="center"/>
          </w:tcPr>
          <w:p>
            <w:pPr>
              <w:jc w:val="center"/>
              <w:rPr>
                <w:sz w:val="2"/>
                <w:szCs w:val="2"/>
              </w:rPr>
            </w:pPr>
          </w:p>
        </w:tc>
        <w:tc>
          <w:tcPr>
            <w:tcW w:w="1140" w:type="dxa"/>
            <w:vAlign w:val="center"/>
          </w:tcPr>
          <w:p>
            <w:pPr>
              <w:pStyle w:val="23"/>
              <w:spacing w:before="122" w:line="289" w:lineRule="exact"/>
              <w:rPr>
                <w:rFonts w:hint="eastAsia" w:ascii="仿宋" w:hAnsi="仿宋" w:eastAsia="仿宋" w:cs="仿宋"/>
                <w:color w:val="auto"/>
                <w:szCs w:val="21"/>
                <w:lang w:val="en-US" w:eastAsia="zh-CN" w:bidi="ar-SA"/>
              </w:rPr>
            </w:pPr>
            <w:r>
              <w:rPr>
                <w:rFonts w:hint="eastAsia" w:ascii="仿宋" w:hAnsi="仿宋" w:eastAsia="仿宋" w:cs="仿宋"/>
                <w:color w:val="auto"/>
                <w:szCs w:val="21"/>
                <w:lang w:val="en-US" w:eastAsia="zh-CN" w:bidi="ar-SA"/>
              </w:rPr>
              <w:t>应急处理</w:t>
            </w:r>
          </w:p>
          <w:p>
            <w:pPr>
              <w:pStyle w:val="23"/>
              <w:spacing w:before="122" w:line="289" w:lineRule="exact"/>
              <w:rPr>
                <w:rFonts w:ascii="仿宋" w:hAnsi="仿宋" w:eastAsia="仿宋" w:cs="仿宋"/>
                <w:szCs w:val="21"/>
                <w:lang w:val="en-US" w:bidi="ar-SA"/>
              </w:rPr>
            </w:pPr>
            <w:r>
              <w:rPr>
                <w:rFonts w:hint="eastAsia" w:ascii="仿宋" w:hAnsi="仿宋" w:eastAsia="仿宋" w:cs="仿宋"/>
                <w:color w:val="auto"/>
                <w:szCs w:val="21"/>
                <w:lang w:val="en-US" w:eastAsia="zh-CN" w:bidi="ar-SA"/>
              </w:rPr>
              <w:t>方案</w:t>
            </w:r>
          </w:p>
        </w:tc>
        <w:tc>
          <w:tcPr>
            <w:tcW w:w="499" w:type="dxa"/>
            <w:vAlign w:val="center"/>
          </w:tcPr>
          <w:p>
            <w:pPr>
              <w:pStyle w:val="23"/>
              <w:spacing w:before="122" w:line="289" w:lineRule="exact"/>
              <w:ind w:firstLine="220" w:firstLineChars="100"/>
              <w:rPr>
                <w:rFonts w:ascii="仿宋" w:hAnsi="仿宋" w:eastAsia="仿宋" w:cs="仿宋"/>
                <w:szCs w:val="21"/>
                <w:lang w:val="en-US" w:bidi="ar-SA"/>
              </w:rPr>
            </w:pPr>
            <w:r>
              <w:rPr>
                <w:rFonts w:hint="eastAsia" w:ascii="仿宋" w:hAnsi="仿宋" w:eastAsia="仿宋" w:cs="仿宋"/>
                <w:color w:val="auto"/>
                <w:szCs w:val="21"/>
                <w:lang w:val="en-US" w:eastAsia="zh-CN" w:bidi="ar-SA"/>
              </w:rPr>
              <w:t>10</w:t>
            </w:r>
          </w:p>
        </w:tc>
        <w:tc>
          <w:tcPr>
            <w:tcW w:w="6084" w:type="dxa"/>
            <w:vAlign w:val="center"/>
          </w:tcPr>
          <w:p>
            <w:pPr>
              <w:pStyle w:val="23"/>
              <w:spacing w:before="122" w:line="289" w:lineRule="exact"/>
              <w:rPr>
                <w:rFonts w:ascii="仿宋" w:hAnsi="仿宋" w:eastAsia="仿宋" w:cs="仿宋"/>
                <w:szCs w:val="21"/>
                <w:lang w:val="en-US" w:bidi="ar-SA"/>
              </w:rPr>
            </w:pPr>
            <w:r>
              <w:rPr>
                <w:rFonts w:hint="eastAsia" w:ascii="仿宋" w:hAnsi="仿宋" w:eastAsia="仿宋" w:cs="仿宋"/>
                <w:color w:val="auto"/>
                <w:szCs w:val="21"/>
                <w:lang w:val="en-US" w:eastAsia="zh-CN" w:bidi="ar-SA"/>
              </w:rPr>
              <w:t>针对恶劣天气影响，重大接待任务，重大节假日或活动、各种垃圾乱倾倒等特殊情况制定应急处置方案，包括传达机制、人员和设备调配、责任分工等内容进行评审：①针对恶劣天气影响，重大接待任务，重大节假日或活动、各种垃圾乱倾倒等特殊情况有完善且可行性强的应急处置方案，并提供包括传达机制、人员和设备调配、责任分工等内容，得10分； ②针对恶劣天气影响，重大接待任务，重大节假日或活动、各种垃圾乱倾倒等特殊情况具有基本的应急处置方案，但方案存在操作性的不足且传达机制、人员和设备调配 、责任分工等内容无详细说明，得6分；③针对恶劣天气影响，重大接待任务，重大节假日或活动、各种垃圾乱倾倒等特殊情况的应急处置方案简陋，无详细说明，操作性差，得4分；④无提供应急处置方案不得分。</w:t>
            </w:r>
          </w:p>
        </w:tc>
        <w:tc>
          <w:tcPr>
            <w:tcW w:w="788" w:type="pct"/>
          </w:tcPr>
          <w:p>
            <w:pPr>
              <w:pStyle w:val="23"/>
              <w:spacing w:before="122" w:line="289" w:lineRule="exact"/>
              <w:rPr>
                <w:rFonts w:ascii="仿宋" w:hAnsi="仿宋" w:eastAsia="仿宋" w:cs="仿宋"/>
                <w:szCs w:val="21"/>
                <w:lang w:val="en-US" w:bidi="ar-SA"/>
              </w:rPr>
            </w:pPr>
          </w:p>
        </w:tc>
      </w:tr>
    </w:tbl>
    <w:p>
      <w:pPr>
        <w:pStyle w:val="3"/>
        <w:tabs>
          <w:tab w:val="left" w:pos="1286"/>
        </w:tabs>
        <w:spacing w:before="4"/>
        <w:ind w:right="33"/>
        <w:jc w:val="left"/>
      </w:pPr>
      <w:r>
        <w:rPr>
          <w:rFonts w:hint="eastAsia"/>
          <w:b w:val="0"/>
          <w:bCs w:val="0"/>
          <w:sz w:val="22"/>
          <w:szCs w:val="21"/>
          <w:lang w:val="en-US" w:bidi="ar-SA"/>
        </w:rPr>
        <w:t>评审完毕，评标委员会根据汇总各投标企业的综合得分，按照得分高低进行排序，取前三名作为中标候选人推荐给招标委员会。如果两投标人的得分相同，投标价格低者排在前。</w:t>
      </w:r>
      <w:r>
        <w:br w:type="page"/>
      </w:r>
    </w:p>
    <w:p>
      <w:pPr>
        <w:pStyle w:val="3"/>
        <w:tabs>
          <w:tab w:val="left" w:pos="1286"/>
        </w:tabs>
        <w:spacing w:before="4"/>
        <w:ind w:right="33"/>
        <w:jc w:val="left"/>
        <w:rPr>
          <w:rFonts w:hint="eastAsia" w:ascii="Times New Roman" w:hAnsi="Times New Roman" w:eastAsia="仿宋_GB2312" w:cs="Times New Roman"/>
          <w:b w:val="0"/>
          <w:bCs w:val="0"/>
          <w:kern w:val="2"/>
          <w:sz w:val="24"/>
          <w:szCs w:val="22"/>
          <w:lang w:val="en-US" w:eastAsia="zh-CN" w:bidi="ar-SA"/>
        </w:rPr>
      </w:pPr>
      <w:r>
        <w:rPr>
          <w:rFonts w:hint="eastAsia" w:ascii="Times New Roman" w:hAnsi="Times New Roman" w:eastAsia="仿宋_GB2312" w:cs="Times New Roman"/>
          <w:b w:val="0"/>
          <w:bCs w:val="0"/>
          <w:kern w:val="2"/>
          <w:sz w:val="24"/>
          <w:szCs w:val="22"/>
          <w:lang w:val="en-US" w:eastAsia="zh-CN" w:bidi="ar-SA"/>
        </w:rPr>
        <w:t>1、</w:t>
      </w:r>
      <w:r>
        <w:rPr>
          <w:rFonts w:hint="eastAsia" w:ascii="Times New Roman" w:hAnsi="Times New Roman" w:eastAsia="仿宋_GB2312" w:cs="Times New Roman"/>
          <w:b w:val="0"/>
          <w:bCs w:val="0"/>
          <w:kern w:val="2"/>
          <w:sz w:val="24"/>
          <w:szCs w:val="22"/>
          <w:lang w:val="zh-CN" w:eastAsia="zh-CN" w:bidi="ar-SA"/>
        </w:rPr>
        <w:t>根据《政府采购促进中小企业发展</w:t>
      </w:r>
      <w:r>
        <w:rPr>
          <w:rFonts w:hint="eastAsia" w:ascii="Times New Roman" w:hAnsi="Times New Roman" w:eastAsia="仿宋_GB2312" w:cs="Times New Roman"/>
          <w:b w:val="0"/>
          <w:bCs w:val="0"/>
          <w:kern w:val="2"/>
          <w:sz w:val="24"/>
          <w:szCs w:val="22"/>
          <w:lang w:val="en-US" w:eastAsia="zh-CN" w:bidi="ar-SA"/>
        </w:rPr>
        <w:t>暂行办法》（财库[2011]181 号）、《财政部 司法部关于政府采购支持监狱企业发展有关问题的通知》（财库〔2014〕68 号）和《三部门联合发布关于促进残疾人就业政府采购政策的通知》（财库〔2017〕141 号）的规定，对满足价格扣除条件且在投标文件中提交了《投标人企业类型声明函》或省级以上监狱管理局、戒毒管理局（含新疆生产建设兵团）出具的属于监狱企业的证明文件的投标人，其响应报价扣除 6%后参与评审。</w:t>
      </w:r>
    </w:p>
    <w:p>
      <w:pPr>
        <w:pStyle w:val="3"/>
        <w:tabs>
          <w:tab w:val="left" w:pos="1286"/>
        </w:tabs>
        <w:spacing w:before="4"/>
        <w:ind w:right="33"/>
        <w:jc w:val="left"/>
        <w:rPr>
          <w:rFonts w:hint="eastAsia" w:ascii="Times New Roman" w:hAnsi="Times New Roman" w:cs="Times New Roman"/>
          <w:b w:val="0"/>
          <w:bCs w:val="0"/>
          <w:kern w:val="2"/>
          <w:sz w:val="24"/>
          <w:szCs w:val="22"/>
          <w:lang w:val="en-US" w:eastAsia="zh-CN" w:bidi="ar-SA"/>
        </w:rPr>
      </w:pPr>
      <w:r>
        <w:rPr>
          <w:rFonts w:hint="eastAsia" w:ascii="Times New Roman" w:hAnsi="Times New Roman" w:cs="Times New Roman"/>
          <w:b w:val="0"/>
          <w:bCs w:val="0"/>
          <w:kern w:val="2"/>
          <w:sz w:val="24"/>
          <w:szCs w:val="22"/>
          <w:lang w:val="en-US" w:eastAsia="zh-CN" w:bidi="ar-SA"/>
        </w:rPr>
        <w:t>2、</w:t>
      </w:r>
      <w:r>
        <w:rPr>
          <w:rFonts w:hint="eastAsia" w:ascii="仿宋" w:hAnsi="仿宋" w:eastAsia="仿宋" w:cs="仿宋"/>
          <w:sz w:val="24"/>
          <w:szCs w:val="24"/>
          <w:lang w:val="en-US" w:eastAsia="zh-CN"/>
        </w:rPr>
        <w:t>接受大中型企业与小微企业组成联合体或者允许大中型企业向一家或者多家小微企业分包的采购项目，</w:t>
      </w:r>
      <w:r>
        <w:rPr>
          <w:rFonts w:hint="eastAsia" w:ascii="Times New Roman" w:hAnsi="Times New Roman" w:eastAsia="仿宋_GB2312" w:cs="Times New Roman"/>
          <w:b w:val="0"/>
          <w:bCs w:val="0"/>
          <w:kern w:val="2"/>
          <w:sz w:val="24"/>
          <w:szCs w:val="22"/>
          <w:lang w:val="en-US" w:eastAsia="zh-CN" w:bidi="ar-SA"/>
        </w:rPr>
        <w:t>联合协议或者分包意向协议约定小微企业的合同份额占到合同总金额40%以上的，采购人、采购代理机构应当对联合体或者大中型企业的报价给予</w:t>
      </w:r>
      <w:r>
        <w:rPr>
          <w:rFonts w:hint="eastAsia" w:ascii="Times New Roman" w:hAnsi="Times New Roman" w:cs="Times New Roman"/>
          <w:b w:val="0"/>
          <w:bCs w:val="0"/>
          <w:kern w:val="2"/>
          <w:sz w:val="24"/>
          <w:szCs w:val="22"/>
          <w:lang w:val="en-US" w:eastAsia="zh-CN" w:bidi="ar-SA"/>
        </w:rPr>
        <w:t>4</w:t>
      </w:r>
      <w:r>
        <w:rPr>
          <w:rFonts w:hint="eastAsia" w:ascii="Times New Roman" w:hAnsi="Times New Roman" w:eastAsia="仿宋_GB2312" w:cs="Times New Roman"/>
          <w:b w:val="0"/>
          <w:bCs w:val="0"/>
          <w:kern w:val="2"/>
          <w:sz w:val="24"/>
          <w:szCs w:val="22"/>
          <w:lang w:val="en-US" w:eastAsia="zh-CN" w:bidi="ar-SA"/>
        </w:rPr>
        <w:t>%的扣除，用扣除后的价格参加评审</w:t>
      </w:r>
      <w:r>
        <w:rPr>
          <w:rFonts w:hint="eastAsia" w:ascii="Times New Roman" w:hAnsi="Times New Roman" w:cs="Times New Roman"/>
          <w:b w:val="0"/>
          <w:bCs w:val="0"/>
          <w:kern w:val="2"/>
          <w:sz w:val="24"/>
          <w:szCs w:val="22"/>
          <w:lang w:val="en-US" w:eastAsia="zh-CN" w:bidi="ar-SA"/>
        </w:rPr>
        <w:t>。</w:t>
      </w:r>
    </w:p>
    <w:p>
      <w:pPr>
        <w:pStyle w:val="3"/>
        <w:tabs>
          <w:tab w:val="left" w:pos="1286"/>
        </w:tabs>
        <w:spacing w:before="4"/>
        <w:ind w:right="33"/>
        <w:jc w:val="left"/>
        <w:rPr>
          <w:rFonts w:hint="eastAsia" w:ascii="Times New Roman" w:hAnsi="Times New Roman" w:cs="Times New Roman"/>
          <w:b w:val="0"/>
          <w:bCs w:val="0"/>
          <w:kern w:val="2"/>
          <w:sz w:val="24"/>
          <w:szCs w:val="22"/>
          <w:lang w:val="en-US" w:eastAsia="zh-CN" w:bidi="ar-SA"/>
        </w:rPr>
      </w:pPr>
    </w:p>
    <w:p>
      <w:pPr>
        <w:pStyle w:val="3"/>
        <w:tabs>
          <w:tab w:val="left" w:pos="1286"/>
        </w:tabs>
        <w:spacing w:before="4"/>
        <w:ind w:right="33"/>
        <w:rPr>
          <w:rFonts w:hint="eastAsia" w:ascii="Times New Roman" w:hAnsi="Times New Roman" w:cs="Times New Roman"/>
          <w:b w:val="0"/>
          <w:bCs w:val="0"/>
          <w:kern w:val="2"/>
          <w:sz w:val="24"/>
          <w:szCs w:val="22"/>
          <w:lang w:val="en-US" w:eastAsia="zh-CN" w:bidi="ar-SA"/>
        </w:rPr>
      </w:pPr>
    </w:p>
    <w:p>
      <w:pPr>
        <w:pStyle w:val="3"/>
        <w:tabs>
          <w:tab w:val="left" w:pos="1286"/>
        </w:tabs>
        <w:spacing w:before="4"/>
        <w:ind w:right="33"/>
        <w:rPr>
          <w:rFonts w:hint="eastAsia" w:ascii="Times New Roman" w:hAnsi="Times New Roman" w:cs="Times New Roman"/>
          <w:b w:val="0"/>
          <w:bCs w:val="0"/>
          <w:kern w:val="2"/>
          <w:sz w:val="24"/>
          <w:szCs w:val="22"/>
          <w:lang w:val="en-US" w:eastAsia="zh-CN" w:bidi="ar-SA"/>
        </w:rPr>
      </w:pPr>
    </w:p>
    <w:p>
      <w:pPr>
        <w:pStyle w:val="3"/>
        <w:tabs>
          <w:tab w:val="left" w:pos="1286"/>
        </w:tabs>
        <w:spacing w:before="4"/>
        <w:ind w:right="33"/>
        <w:rPr>
          <w:rFonts w:hint="eastAsia" w:ascii="Times New Roman" w:hAnsi="Times New Roman" w:cs="Times New Roman"/>
          <w:b w:val="0"/>
          <w:bCs w:val="0"/>
          <w:kern w:val="2"/>
          <w:sz w:val="24"/>
          <w:szCs w:val="22"/>
          <w:lang w:val="en-US" w:eastAsia="zh-CN" w:bidi="ar-SA"/>
        </w:rPr>
      </w:pPr>
    </w:p>
    <w:p>
      <w:pPr>
        <w:pStyle w:val="3"/>
        <w:tabs>
          <w:tab w:val="left" w:pos="1286"/>
        </w:tabs>
        <w:spacing w:before="4"/>
        <w:ind w:right="33"/>
        <w:rPr>
          <w:rFonts w:hint="eastAsia" w:ascii="Times New Roman" w:hAnsi="Times New Roman" w:cs="Times New Roman"/>
          <w:b w:val="0"/>
          <w:bCs w:val="0"/>
          <w:kern w:val="2"/>
          <w:sz w:val="24"/>
          <w:szCs w:val="22"/>
          <w:lang w:val="en-US" w:eastAsia="zh-CN" w:bidi="ar-SA"/>
        </w:rPr>
      </w:pPr>
    </w:p>
    <w:p>
      <w:pPr>
        <w:pStyle w:val="3"/>
        <w:tabs>
          <w:tab w:val="left" w:pos="1286"/>
        </w:tabs>
        <w:spacing w:before="4"/>
        <w:ind w:right="33"/>
        <w:rPr>
          <w:rFonts w:hint="eastAsia" w:ascii="Times New Roman" w:hAnsi="Times New Roman" w:cs="Times New Roman"/>
          <w:b w:val="0"/>
          <w:bCs w:val="0"/>
          <w:kern w:val="2"/>
          <w:sz w:val="24"/>
          <w:szCs w:val="22"/>
          <w:lang w:val="en-US" w:eastAsia="zh-CN" w:bidi="ar-SA"/>
        </w:rPr>
      </w:pPr>
    </w:p>
    <w:p>
      <w:pPr>
        <w:pStyle w:val="3"/>
        <w:tabs>
          <w:tab w:val="left" w:pos="1286"/>
        </w:tabs>
        <w:spacing w:before="4"/>
        <w:ind w:right="33"/>
        <w:rPr>
          <w:rFonts w:hint="eastAsia" w:ascii="Times New Roman" w:hAnsi="Times New Roman" w:cs="Times New Roman"/>
          <w:b w:val="0"/>
          <w:bCs w:val="0"/>
          <w:kern w:val="2"/>
          <w:sz w:val="24"/>
          <w:szCs w:val="22"/>
          <w:lang w:val="en-US" w:eastAsia="zh-CN" w:bidi="ar-SA"/>
        </w:rPr>
      </w:pPr>
    </w:p>
    <w:p>
      <w:pPr>
        <w:pStyle w:val="3"/>
        <w:tabs>
          <w:tab w:val="left" w:pos="1286"/>
        </w:tabs>
        <w:spacing w:before="4"/>
        <w:ind w:right="33"/>
        <w:rPr>
          <w:rFonts w:hint="eastAsia" w:ascii="Times New Roman" w:hAnsi="Times New Roman" w:cs="Times New Roman"/>
          <w:b w:val="0"/>
          <w:bCs w:val="0"/>
          <w:kern w:val="2"/>
          <w:sz w:val="24"/>
          <w:szCs w:val="22"/>
          <w:lang w:val="en-US" w:eastAsia="zh-CN" w:bidi="ar-SA"/>
        </w:rPr>
      </w:pPr>
    </w:p>
    <w:p>
      <w:pPr>
        <w:pStyle w:val="3"/>
        <w:tabs>
          <w:tab w:val="left" w:pos="1286"/>
        </w:tabs>
        <w:spacing w:before="4"/>
        <w:ind w:right="33"/>
        <w:rPr>
          <w:rFonts w:hint="eastAsia" w:ascii="Times New Roman" w:hAnsi="Times New Roman" w:cs="Times New Roman"/>
          <w:b w:val="0"/>
          <w:bCs w:val="0"/>
          <w:kern w:val="2"/>
          <w:sz w:val="24"/>
          <w:szCs w:val="22"/>
          <w:lang w:val="en-US" w:eastAsia="zh-CN" w:bidi="ar-SA"/>
        </w:rPr>
      </w:pPr>
    </w:p>
    <w:p>
      <w:pPr>
        <w:pStyle w:val="3"/>
        <w:tabs>
          <w:tab w:val="left" w:pos="1286"/>
        </w:tabs>
        <w:spacing w:before="4"/>
        <w:ind w:right="33"/>
        <w:rPr>
          <w:rFonts w:hint="eastAsia" w:ascii="Times New Roman" w:hAnsi="Times New Roman" w:cs="Times New Roman"/>
          <w:b w:val="0"/>
          <w:bCs w:val="0"/>
          <w:kern w:val="2"/>
          <w:sz w:val="24"/>
          <w:szCs w:val="22"/>
          <w:lang w:val="en-US" w:eastAsia="zh-CN" w:bidi="ar-SA"/>
        </w:rPr>
      </w:pPr>
    </w:p>
    <w:p>
      <w:pPr>
        <w:pStyle w:val="3"/>
        <w:tabs>
          <w:tab w:val="left" w:pos="1286"/>
        </w:tabs>
        <w:spacing w:before="4"/>
        <w:ind w:right="33"/>
        <w:rPr>
          <w:rFonts w:hint="eastAsia" w:ascii="Times New Roman" w:hAnsi="Times New Roman" w:cs="Times New Roman"/>
          <w:b w:val="0"/>
          <w:bCs w:val="0"/>
          <w:kern w:val="2"/>
          <w:sz w:val="24"/>
          <w:szCs w:val="22"/>
          <w:lang w:val="en-US" w:eastAsia="zh-CN" w:bidi="ar-SA"/>
        </w:rPr>
      </w:pPr>
    </w:p>
    <w:p>
      <w:pPr>
        <w:pStyle w:val="3"/>
        <w:tabs>
          <w:tab w:val="left" w:pos="1286"/>
        </w:tabs>
        <w:spacing w:before="4"/>
        <w:ind w:right="33"/>
        <w:rPr>
          <w:rFonts w:hint="eastAsia" w:ascii="Times New Roman" w:hAnsi="Times New Roman" w:cs="Times New Roman"/>
          <w:b w:val="0"/>
          <w:bCs w:val="0"/>
          <w:kern w:val="2"/>
          <w:sz w:val="24"/>
          <w:szCs w:val="22"/>
          <w:lang w:val="en-US" w:eastAsia="zh-CN" w:bidi="ar-SA"/>
        </w:rPr>
      </w:pPr>
    </w:p>
    <w:p>
      <w:pPr>
        <w:pStyle w:val="3"/>
        <w:tabs>
          <w:tab w:val="left" w:pos="1286"/>
        </w:tabs>
        <w:spacing w:before="4"/>
        <w:ind w:right="33"/>
        <w:rPr>
          <w:rFonts w:hint="eastAsia" w:ascii="Times New Roman" w:hAnsi="Times New Roman" w:cs="Times New Roman"/>
          <w:b w:val="0"/>
          <w:bCs w:val="0"/>
          <w:kern w:val="2"/>
          <w:sz w:val="24"/>
          <w:szCs w:val="22"/>
          <w:lang w:val="en-US" w:eastAsia="zh-CN" w:bidi="ar-SA"/>
        </w:rPr>
      </w:pPr>
    </w:p>
    <w:p>
      <w:pPr>
        <w:pStyle w:val="3"/>
        <w:tabs>
          <w:tab w:val="left" w:pos="1286"/>
        </w:tabs>
        <w:spacing w:before="4"/>
        <w:ind w:right="33"/>
        <w:rPr>
          <w:rFonts w:hint="eastAsia" w:ascii="Times New Roman" w:hAnsi="Times New Roman" w:cs="Times New Roman"/>
          <w:b w:val="0"/>
          <w:bCs w:val="0"/>
          <w:kern w:val="2"/>
          <w:sz w:val="24"/>
          <w:szCs w:val="22"/>
          <w:lang w:val="en-US" w:eastAsia="zh-CN" w:bidi="ar-SA"/>
        </w:rPr>
      </w:pPr>
    </w:p>
    <w:p>
      <w:pPr>
        <w:pStyle w:val="3"/>
        <w:tabs>
          <w:tab w:val="left" w:pos="1286"/>
        </w:tabs>
        <w:spacing w:before="4"/>
        <w:ind w:right="33"/>
        <w:rPr>
          <w:rFonts w:hint="eastAsia" w:ascii="Times New Roman" w:hAnsi="Times New Roman" w:cs="Times New Roman"/>
          <w:b w:val="0"/>
          <w:bCs w:val="0"/>
          <w:kern w:val="2"/>
          <w:sz w:val="24"/>
          <w:szCs w:val="22"/>
          <w:lang w:val="en-US" w:eastAsia="zh-CN" w:bidi="ar-SA"/>
        </w:rPr>
      </w:pPr>
    </w:p>
    <w:p>
      <w:pPr>
        <w:pStyle w:val="3"/>
        <w:tabs>
          <w:tab w:val="left" w:pos="1286"/>
        </w:tabs>
        <w:spacing w:before="4"/>
        <w:ind w:right="33"/>
        <w:rPr>
          <w:rFonts w:hint="eastAsia" w:ascii="Times New Roman" w:hAnsi="Times New Roman" w:cs="Times New Roman"/>
          <w:b w:val="0"/>
          <w:bCs w:val="0"/>
          <w:kern w:val="2"/>
          <w:sz w:val="24"/>
          <w:szCs w:val="22"/>
          <w:lang w:val="en-US" w:eastAsia="zh-CN" w:bidi="ar-SA"/>
        </w:rPr>
      </w:pPr>
    </w:p>
    <w:p>
      <w:pPr>
        <w:pStyle w:val="3"/>
        <w:tabs>
          <w:tab w:val="left" w:pos="1286"/>
        </w:tabs>
        <w:spacing w:before="4"/>
        <w:ind w:right="33"/>
        <w:rPr>
          <w:rFonts w:hint="eastAsia" w:ascii="Times New Roman" w:hAnsi="Times New Roman" w:cs="Times New Roman"/>
          <w:b w:val="0"/>
          <w:bCs w:val="0"/>
          <w:kern w:val="2"/>
          <w:sz w:val="24"/>
          <w:szCs w:val="22"/>
          <w:lang w:val="en-US" w:eastAsia="zh-CN" w:bidi="ar-SA"/>
        </w:rPr>
      </w:pPr>
    </w:p>
    <w:p>
      <w:pPr>
        <w:pStyle w:val="3"/>
        <w:tabs>
          <w:tab w:val="left" w:pos="1286"/>
        </w:tabs>
        <w:spacing w:before="4"/>
        <w:ind w:right="33"/>
        <w:rPr>
          <w:rFonts w:hint="eastAsia" w:ascii="Times New Roman" w:hAnsi="Times New Roman" w:cs="Times New Roman"/>
          <w:b w:val="0"/>
          <w:bCs w:val="0"/>
          <w:kern w:val="2"/>
          <w:sz w:val="24"/>
          <w:szCs w:val="22"/>
          <w:lang w:val="en-US" w:eastAsia="zh-CN" w:bidi="ar-SA"/>
        </w:rPr>
      </w:pPr>
    </w:p>
    <w:p>
      <w:pPr>
        <w:pStyle w:val="3"/>
        <w:tabs>
          <w:tab w:val="left" w:pos="1286"/>
        </w:tabs>
        <w:spacing w:before="4"/>
        <w:ind w:right="33"/>
        <w:rPr>
          <w:rFonts w:hint="eastAsia" w:ascii="Times New Roman" w:hAnsi="Times New Roman" w:cs="Times New Roman"/>
          <w:b w:val="0"/>
          <w:bCs w:val="0"/>
          <w:kern w:val="2"/>
          <w:sz w:val="24"/>
          <w:szCs w:val="22"/>
          <w:lang w:val="en-US" w:eastAsia="zh-CN" w:bidi="ar-SA"/>
        </w:rPr>
      </w:pPr>
    </w:p>
    <w:p>
      <w:pPr>
        <w:pStyle w:val="3"/>
        <w:tabs>
          <w:tab w:val="left" w:pos="1286"/>
        </w:tabs>
        <w:spacing w:before="4"/>
        <w:ind w:right="33"/>
        <w:rPr>
          <w:rFonts w:hint="eastAsia" w:ascii="Times New Roman" w:hAnsi="Times New Roman" w:cs="Times New Roman"/>
          <w:b w:val="0"/>
          <w:bCs w:val="0"/>
          <w:kern w:val="2"/>
          <w:sz w:val="24"/>
          <w:szCs w:val="22"/>
          <w:lang w:val="en-US" w:eastAsia="zh-CN" w:bidi="ar-SA"/>
        </w:rPr>
      </w:pPr>
    </w:p>
    <w:p>
      <w:pPr>
        <w:pStyle w:val="3"/>
        <w:tabs>
          <w:tab w:val="left" w:pos="1286"/>
        </w:tabs>
        <w:spacing w:before="4"/>
        <w:ind w:right="33"/>
        <w:rPr>
          <w:rFonts w:hint="eastAsia" w:ascii="Times New Roman" w:hAnsi="Times New Roman" w:cs="Times New Roman"/>
          <w:b w:val="0"/>
          <w:bCs w:val="0"/>
          <w:kern w:val="2"/>
          <w:sz w:val="24"/>
          <w:szCs w:val="22"/>
          <w:lang w:val="en-US" w:eastAsia="zh-CN" w:bidi="ar-SA"/>
        </w:rPr>
      </w:pPr>
    </w:p>
    <w:p>
      <w:pPr>
        <w:pStyle w:val="3"/>
        <w:tabs>
          <w:tab w:val="left" w:pos="1286"/>
        </w:tabs>
        <w:spacing w:before="4"/>
        <w:ind w:right="33"/>
        <w:rPr>
          <w:rFonts w:hint="eastAsia" w:ascii="Times New Roman" w:hAnsi="Times New Roman" w:cs="Times New Roman"/>
          <w:b w:val="0"/>
          <w:bCs w:val="0"/>
          <w:kern w:val="2"/>
          <w:sz w:val="24"/>
          <w:szCs w:val="22"/>
          <w:lang w:val="en-US" w:eastAsia="zh-CN" w:bidi="ar-SA"/>
        </w:rPr>
      </w:pPr>
    </w:p>
    <w:p>
      <w:pPr>
        <w:pStyle w:val="3"/>
        <w:tabs>
          <w:tab w:val="left" w:pos="1286"/>
        </w:tabs>
        <w:spacing w:before="4"/>
        <w:ind w:right="33"/>
        <w:rPr>
          <w:rFonts w:hint="eastAsia" w:ascii="Times New Roman" w:hAnsi="Times New Roman" w:cs="Times New Roman"/>
          <w:b w:val="0"/>
          <w:bCs w:val="0"/>
          <w:kern w:val="2"/>
          <w:sz w:val="24"/>
          <w:szCs w:val="22"/>
          <w:lang w:val="en-US" w:eastAsia="zh-CN" w:bidi="ar-SA"/>
        </w:rPr>
      </w:pPr>
    </w:p>
    <w:p>
      <w:pPr>
        <w:pStyle w:val="3"/>
        <w:tabs>
          <w:tab w:val="left" w:pos="1286"/>
        </w:tabs>
        <w:spacing w:before="4"/>
        <w:ind w:right="33"/>
        <w:rPr>
          <w:rFonts w:hint="eastAsia" w:ascii="Times New Roman" w:hAnsi="Times New Roman" w:cs="Times New Roman"/>
          <w:b w:val="0"/>
          <w:bCs w:val="0"/>
          <w:kern w:val="2"/>
          <w:sz w:val="24"/>
          <w:szCs w:val="22"/>
          <w:lang w:val="en-US" w:eastAsia="zh-CN" w:bidi="ar-SA"/>
        </w:rPr>
      </w:pPr>
    </w:p>
    <w:p>
      <w:pPr>
        <w:pStyle w:val="3"/>
        <w:tabs>
          <w:tab w:val="left" w:pos="1286"/>
        </w:tabs>
        <w:spacing w:before="4"/>
        <w:ind w:right="33"/>
        <w:rPr>
          <w:rFonts w:hint="eastAsia" w:ascii="Times New Roman" w:hAnsi="Times New Roman" w:cs="Times New Roman"/>
          <w:b w:val="0"/>
          <w:bCs w:val="0"/>
          <w:kern w:val="2"/>
          <w:sz w:val="24"/>
          <w:szCs w:val="22"/>
          <w:lang w:val="en-US" w:eastAsia="zh-CN" w:bidi="ar-SA"/>
        </w:rPr>
      </w:pPr>
    </w:p>
    <w:p>
      <w:pPr>
        <w:pStyle w:val="3"/>
        <w:tabs>
          <w:tab w:val="left" w:pos="1286"/>
        </w:tabs>
        <w:spacing w:before="4"/>
        <w:ind w:right="33"/>
        <w:rPr>
          <w:rFonts w:hint="eastAsia" w:ascii="Times New Roman" w:hAnsi="Times New Roman" w:cs="Times New Roman"/>
          <w:b w:val="0"/>
          <w:bCs w:val="0"/>
          <w:kern w:val="2"/>
          <w:sz w:val="24"/>
          <w:szCs w:val="22"/>
          <w:lang w:val="en-US" w:eastAsia="zh-CN" w:bidi="ar-SA"/>
        </w:rPr>
      </w:pPr>
    </w:p>
    <w:p>
      <w:pPr>
        <w:pStyle w:val="3"/>
        <w:tabs>
          <w:tab w:val="left" w:pos="1286"/>
        </w:tabs>
        <w:spacing w:before="4"/>
        <w:ind w:right="33"/>
        <w:rPr>
          <w:rFonts w:hint="eastAsia" w:ascii="Times New Roman" w:hAnsi="Times New Roman" w:cs="Times New Roman"/>
          <w:b w:val="0"/>
          <w:bCs w:val="0"/>
          <w:kern w:val="2"/>
          <w:sz w:val="24"/>
          <w:szCs w:val="22"/>
          <w:lang w:val="en-US" w:eastAsia="zh-CN" w:bidi="ar-SA"/>
        </w:rPr>
      </w:pPr>
    </w:p>
    <w:p>
      <w:pPr>
        <w:pStyle w:val="3"/>
        <w:tabs>
          <w:tab w:val="left" w:pos="1286"/>
        </w:tabs>
        <w:spacing w:before="4"/>
        <w:ind w:right="33"/>
        <w:rPr>
          <w:rFonts w:hint="eastAsia" w:ascii="Times New Roman" w:hAnsi="Times New Roman" w:cs="Times New Roman"/>
          <w:b w:val="0"/>
          <w:bCs w:val="0"/>
          <w:kern w:val="2"/>
          <w:sz w:val="24"/>
          <w:szCs w:val="22"/>
          <w:lang w:val="en-US" w:eastAsia="zh-CN" w:bidi="ar-SA"/>
        </w:rPr>
      </w:pPr>
    </w:p>
    <w:p>
      <w:pPr>
        <w:pStyle w:val="3"/>
        <w:tabs>
          <w:tab w:val="left" w:pos="1286"/>
        </w:tabs>
        <w:spacing w:before="4"/>
        <w:ind w:right="33"/>
        <w:rPr>
          <w:rFonts w:hint="eastAsia" w:ascii="Times New Roman" w:hAnsi="Times New Roman" w:cs="Times New Roman"/>
          <w:b w:val="0"/>
          <w:bCs w:val="0"/>
          <w:kern w:val="2"/>
          <w:sz w:val="24"/>
          <w:szCs w:val="22"/>
          <w:lang w:val="en-US" w:eastAsia="zh-CN" w:bidi="ar-SA"/>
        </w:rPr>
      </w:pPr>
    </w:p>
    <w:p>
      <w:pPr>
        <w:pStyle w:val="3"/>
        <w:tabs>
          <w:tab w:val="left" w:pos="1286"/>
        </w:tabs>
        <w:spacing w:before="4"/>
        <w:ind w:right="33"/>
        <w:rPr>
          <w:rFonts w:hint="eastAsia" w:ascii="Times New Roman" w:hAnsi="Times New Roman" w:cs="Times New Roman"/>
          <w:b w:val="0"/>
          <w:bCs w:val="0"/>
          <w:kern w:val="2"/>
          <w:sz w:val="24"/>
          <w:szCs w:val="22"/>
          <w:lang w:val="en-US" w:eastAsia="zh-CN" w:bidi="ar-SA"/>
        </w:rPr>
      </w:pPr>
    </w:p>
    <w:p>
      <w:pPr>
        <w:pStyle w:val="3"/>
        <w:tabs>
          <w:tab w:val="left" w:pos="1286"/>
        </w:tabs>
        <w:spacing w:before="4"/>
        <w:ind w:right="33"/>
        <w:rPr>
          <w:rFonts w:hint="eastAsia" w:ascii="Times New Roman" w:hAnsi="Times New Roman" w:cs="Times New Roman"/>
          <w:b w:val="0"/>
          <w:bCs w:val="0"/>
          <w:kern w:val="2"/>
          <w:sz w:val="24"/>
          <w:szCs w:val="22"/>
          <w:lang w:val="en-US" w:eastAsia="zh-CN" w:bidi="ar-SA"/>
        </w:rPr>
      </w:pPr>
    </w:p>
    <w:p>
      <w:pPr>
        <w:pStyle w:val="3"/>
        <w:tabs>
          <w:tab w:val="left" w:pos="1286"/>
        </w:tabs>
        <w:spacing w:before="4"/>
        <w:ind w:right="33"/>
        <w:rPr>
          <w:rFonts w:hint="eastAsia" w:ascii="Times New Roman" w:hAnsi="Times New Roman" w:cs="Times New Roman"/>
          <w:b w:val="0"/>
          <w:bCs w:val="0"/>
          <w:kern w:val="2"/>
          <w:sz w:val="24"/>
          <w:szCs w:val="22"/>
          <w:lang w:val="en-US" w:eastAsia="zh-CN" w:bidi="ar-SA"/>
        </w:rPr>
      </w:pPr>
    </w:p>
    <w:p>
      <w:pPr>
        <w:pStyle w:val="3"/>
        <w:tabs>
          <w:tab w:val="left" w:pos="1286"/>
        </w:tabs>
        <w:spacing w:before="4"/>
        <w:ind w:right="33"/>
        <w:rPr>
          <w:rFonts w:hint="eastAsia" w:ascii="Times New Roman" w:hAnsi="Times New Roman" w:cs="Times New Roman"/>
          <w:b w:val="0"/>
          <w:bCs w:val="0"/>
          <w:kern w:val="2"/>
          <w:sz w:val="24"/>
          <w:szCs w:val="22"/>
          <w:lang w:val="en-US" w:eastAsia="zh-CN" w:bidi="ar-SA"/>
        </w:rPr>
      </w:pPr>
    </w:p>
    <w:p>
      <w:pPr>
        <w:pStyle w:val="3"/>
        <w:tabs>
          <w:tab w:val="left" w:pos="1286"/>
        </w:tabs>
        <w:spacing w:before="4"/>
        <w:ind w:right="33"/>
        <w:rPr>
          <w:rFonts w:hint="eastAsia" w:ascii="Times New Roman" w:hAnsi="Times New Roman" w:cs="Times New Roman"/>
          <w:b w:val="0"/>
          <w:bCs w:val="0"/>
          <w:kern w:val="2"/>
          <w:sz w:val="24"/>
          <w:szCs w:val="22"/>
          <w:lang w:val="en-US" w:eastAsia="zh-CN" w:bidi="ar-SA"/>
        </w:rPr>
      </w:pPr>
    </w:p>
    <w:p>
      <w:pPr>
        <w:pStyle w:val="3"/>
        <w:tabs>
          <w:tab w:val="left" w:pos="1286"/>
        </w:tabs>
        <w:spacing w:before="4"/>
        <w:ind w:right="33"/>
        <w:rPr>
          <w:rFonts w:hint="eastAsia" w:ascii="Times New Roman" w:hAnsi="Times New Roman" w:cs="Times New Roman"/>
          <w:b w:val="0"/>
          <w:bCs w:val="0"/>
          <w:kern w:val="2"/>
          <w:sz w:val="24"/>
          <w:szCs w:val="22"/>
          <w:lang w:val="en-US" w:eastAsia="zh-CN" w:bidi="ar-SA"/>
        </w:rPr>
      </w:pPr>
    </w:p>
    <w:p>
      <w:pPr>
        <w:pStyle w:val="3"/>
        <w:tabs>
          <w:tab w:val="left" w:pos="1286"/>
        </w:tabs>
        <w:spacing w:before="4"/>
        <w:ind w:right="33"/>
        <w:rPr>
          <w:rFonts w:hint="eastAsia" w:ascii="Times New Roman" w:hAnsi="Times New Roman" w:cs="Times New Roman"/>
          <w:b w:val="0"/>
          <w:bCs w:val="0"/>
          <w:kern w:val="2"/>
          <w:sz w:val="24"/>
          <w:szCs w:val="22"/>
          <w:lang w:val="en-US" w:eastAsia="zh-CN" w:bidi="ar-SA"/>
        </w:rPr>
      </w:pPr>
    </w:p>
    <w:p>
      <w:pPr>
        <w:pStyle w:val="3"/>
        <w:tabs>
          <w:tab w:val="left" w:pos="1286"/>
        </w:tabs>
        <w:spacing w:before="4"/>
        <w:ind w:right="33"/>
        <w:rPr>
          <w:rFonts w:hint="eastAsia" w:ascii="Times New Roman" w:hAnsi="Times New Roman" w:cs="Times New Roman"/>
          <w:b w:val="0"/>
          <w:bCs w:val="0"/>
          <w:kern w:val="2"/>
          <w:sz w:val="24"/>
          <w:szCs w:val="22"/>
          <w:lang w:val="en-US" w:eastAsia="zh-CN" w:bidi="ar-SA"/>
        </w:rPr>
      </w:pPr>
    </w:p>
    <w:p>
      <w:pPr>
        <w:pStyle w:val="3"/>
        <w:tabs>
          <w:tab w:val="left" w:pos="1286"/>
        </w:tabs>
        <w:spacing w:before="4"/>
        <w:ind w:right="33"/>
        <w:rPr>
          <w:rFonts w:hint="eastAsia" w:ascii="Times New Roman" w:hAnsi="Times New Roman" w:cs="Times New Roman"/>
          <w:b w:val="0"/>
          <w:bCs w:val="0"/>
          <w:kern w:val="2"/>
          <w:sz w:val="24"/>
          <w:szCs w:val="22"/>
          <w:lang w:val="en-US" w:eastAsia="zh-CN" w:bidi="ar-SA"/>
        </w:rPr>
      </w:pPr>
    </w:p>
    <w:p>
      <w:pPr>
        <w:pStyle w:val="3"/>
        <w:tabs>
          <w:tab w:val="left" w:pos="1286"/>
        </w:tabs>
        <w:spacing w:before="4"/>
        <w:ind w:right="33"/>
      </w:pPr>
      <w:r>
        <w:t>第七章</w:t>
      </w:r>
      <w:r>
        <w:tab/>
      </w:r>
      <w:r>
        <w:t>确定中标</w:t>
      </w:r>
    </w:p>
    <w:p>
      <w:pPr>
        <w:pStyle w:val="9"/>
        <w:rPr>
          <w:b/>
          <w:sz w:val="32"/>
        </w:rPr>
      </w:pPr>
    </w:p>
    <w:p>
      <w:pPr>
        <w:spacing w:line="364" w:lineRule="auto"/>
        <w:ind w:firstLine="440" w:firstLineChars="200"/>
        <w:rPr>
          <w:rFonts w:ascii="宋体" w:eastAsia="宋体"/>
          <w:sz w:val="24"/>
          <w:szCs w:val="24"/>
        </w:rPr>
      </w:pPr>
      <w:r>
        <w:rPr>
          <w:rFonts w:hint="eastAsia" w:ascii="宋体" w:eastAsia="宋体"/>
          <w:lang w:val="en-US"/>
        </w:rPr>
        <w:t>1</w:t>
      </w:r>
      <w:r>
        <w:rPr>
          <w:rFonts w:hint="eastAsia" w:ascii="宋体" w:eastAsia="宋体"/>
          <w:sz w:val="24"/>
          <w:szCs w:val="24"/>
        </w:rPr>
        <w:t xml:space="preserve">.（本项目接受联合体报价）联合协议中约定，小型、微型企业和监狱企业的协议合同金额占到联合体协议合同总金额30%以上的，可给予联合体 </w:t>
      </w:r>
      <w:r>
        <w:rPr>
          <w:rFonts w:hint="eastAsia" w:ascii="宋体" w:eastAsia="宋体"/>
          <w:sz w:val="24"/>
          <w:szCs w:val="24"/>
          <w:u w:val="single"/>
        </w:rPr>
        <w:t xml:space="preserve"> 无 </w:t>
      </w:r>
      <w:r>
        <w:rPr>
          <w:rFonts w:hint="eastAsia" w:ascii="宋体" w:eastAsia="宋体"/>
          <w:sz w:val="24"/>
          <w:szCs w:val="24"/>
        </w:rPr>
        <w:t xml:space="preserve"> %的价格扣除。</w:t>
      </w:r>
    </w:p>
    <w:p>
      <w:pPr>
        <w:spacing w:line="364" w:lineRule="auto"/>
        <w:rPr>
          <w:rFonts w:ascii="宋体" w:eastAsia="宋体"/>
          <w:sz w:val="24"/>
          <w:szCs w:val="24"/>
        </w:rPr>
      </w:pPr>
      <w:r>
        <w:rPr>
          <w:rFonts w:hint="eastAsia" w:ascii="宋体" w:eastAsia="宋体"/>
          <w:sz w:val="24"/>
          <w:szCs w:val="24"/>
        </w:rPr>
        <w:t>联合体各方均为小型、微型企业和监狱企业的，联合体视同为小型、微型企业和监狱企业。</w:t>
      </w:r>
    </w:p>
    <w:p>
      <w:pPr>
        <w:spacing w:line="364" w:lineRule="auto"/>
        <w:ind w:firstLine="480" w:firstLineChars="200"/>
        <w:rPr>
          <w:rFonts w:ascii="宋体" w:eastAsia="宋体"/>
          <w:sz w:val="24"/>
          <w:szCs w:val="24"/>
        </w:rPr>
      </w:pPr>
      <w:r>
        <w:rPr>
          <w:rFonts w:hint="eastAsia" w:ascii="宋体" w:eastAsia="宋体"/>
          <w:sz w:val="24"/>
          <w:szCs w:val="24"/>
          <w:lang w:val="en-US"/>
        </w:rPr>
        <w:t>2</w:t>
      </w:r>
      <w:r>
        <w:rPr>
          <w:rFonts w:hint="eastAsia" w:ascii="宋体" w:eastAsia="宋体"/>
          <w:sz w:val="24"/>
          <w:szCs w:val="24"/>
        </w:rPr>
        <w:t>.投标人所投产品如被列入财政部与国家主管部门颁发的节能产品目录或环境标志产品目录或无线局域网产品目录，应提供相关证明，在评标时予以优先采购，具体优惠措施为：</w:t>
      </w:r>
    </w:p>
    <w:p>
      <w:pPr>
        <w:spacing w:line="364" w:lineRule="auto"/>
        <w:ind w:firstLine="480" w:firstLineChars="200"/>
        <w:rPr>
          <w:rFonts w:ascii="宋体" w:eastAsia="宋体"/>
          <w:sz w:val="24"/>
          <w:szCs w:val="24"/>
        </w:rPr>
      </w:pPr>
      <w:r>
        <w:rPr>
          <w:rFonts w:hint="eastAsia" w:ascii="宋体" w:eastAsia="宋体"/>
          <w:sz w:val="24"/>
          <w:szCs w:val="24"/>
          <w:lang w:val="en-US"/>
        </w:rPr>
        <w:t>3</w:t>
      </w:r>
      <w:r>
        <w:rPr>
          <w:rFonts w:hint="eastAsia" w:ascii="宋体" w:eastAsia="宋体"/>
          <w:sz w:val="24"/>
          <w:szCs w:val="24"/>
        </w:rPr>
        <w:t>.如采购人所采购产品为政府强制采购的节能产品，投标人所投产品的品牌及型号必须为清单中有效期内产品并提供证明文件，否则其报价将被认定为投标无效。</w:t>
      </w:r>
    </w:p>
    <w:p>
      <w:pPr>
        <w:spacing w:line="364" w:lineRule="auto"/>
        <w:ind w:firstLine="480" w:firstLineChars="200"/>
        <w:rPr>
          <w:rFonts w:ascii="宋体" w:eastAsia="宋体"/>
          <w:sz w:val="24"/>
          <w:szCs w:val="24"/>
        </w:rPr>
      </w:pPr>
      <w:r>
        <w:rPr>
          <w:rFonts w:hint="eastAsia" w:ascii="宋体" w:eastAsia="宋体"/>
          <w:sz w:val="24"/>
          <w:szCs w:val="24"/>
          <w:lang w:val="en-US"/>
        </w:rPr>
        <w:t>4</w:t>
      </w:r>
      <w:r>
        <w:rPr>
          <w:rFonts w:hint="eastAsia" w:ascii="宋体" w:eastAsia="宋体"/>
          <w:sz w:val="24"/>
          <w:szCs w:val="24"/>
        </w:rPr>
        <w:t xml:space="preserve">.对创新产品或创新性企业的优惠措施为：无       </w:t>
      </w:r>
    </w:p>
    <w:p>
      <w:pPr>
        <w:spacing w:line="364" w:lineRule="auto"/>
        <w:ind w:firstLine="480" w:firstLineChars="200"/>
        <w:rPr>
          <w:rFonts w:ascii="宋体" w:eastAsia="宋体"/>
          <w:sz w:val="24"/>
          <w:szCs w:val="24"/>
        </w:rPr>
      </w:pPr>
      <w:r>
        <w:rPr>
          <w:rFonts w:hint="eastAsia" w:ascii="宋体" w:eastAsia="宋体"/>
          <w:sz w:val="24"/>
          <w:szCs w:val="24"/>
          <w:lang w:val="en-US"/>
        </w:rPr>
        <w:t>5</w:t>
      </w:r>
      <w:r>
        <w:rPr>
          <w:rFonts w:hint="eastAsia" w:ascii="宋体" w:eastAsia="宋体"/>
          <w:sz w:val="24"/>
          <w:szCs w:val="24"/>
        </w:rPr>
        <w:t>.同品牌处理办法：</w:t>
      </w:r>
    </w:p>
    <w:p>
      <w:pPr>
        <w:spacing w:line="364" w:lineRule="auto"/>
        <w:ind w:firstLine="720" w:firstLineChars="300"/>
        <w:rPr>
          <w:rFonts w:ascii="宋体" w:eastAsia="宋体"/>
          <w:sz w:val="24"/>
          <w:szCs w:val="24"/>
        </w:rPr>
      </w:pPr>
      <w:r>
        <w:rPr>
          <w:rFonts w:hint="eastAsia" w:ascii="宋体" w:eastAsia="宋体"/>
          <w:sz w:val="24"/>
          <w:szCs w:val="24"/>
        </w:rPr>
        <w:t>如采用最低评标办法，则：依据财政部公布第87号令 《政府采购货物和服务招标报价管理办法》第三十一条：采用最低评标价法的采购项目，提供相同品牌产品的不同投标人参加同一合同项下报价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pacing w:line="364" w:lineRule="auto"/>
        <w:ind w:firstLine="480" w:firstLineChars="200"/>
        <w:rPr>
          <w:rFonts w:ascii="宋体" w:eastAsia="宋体"/>
          <w:sz w:val="24"/>
          <w:szCs w:val="24"/>
        </w:rPr>
      </w:pPr>
      <w:r>
        <w:rPr>
          <w:rFonts w:hint="eastAsia" w:ascii="宋体" w:eastAsia="宋体"/>
          <w:sz w:val="24"/>
          <w:szCs w:val="24"/>
        </w:rPr>
        <w:t>如采用综合评标法，则：依据财政部公布第87号令 《政府采购货物和服务招标报价管理办法》第三十一条： 使用综合评分法的采购项目，提供相同品牌产品且通过资格审查、符合性审查的不同投标人参加同一合同项下报价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364" w:lineRule="auto"/>
        <w:ind w:firstLine="480" w:firstLineChars="200"/>
        <w:rPr>
          <w:rFonts w:ascii="宋体" w:eastAsia="宋体"/>
          <w:sz w:val="24"/>
          <w:szCs w:val="24"/>
        </w:rPr>
      </w:pPr>
      <w:r>
        <w:rPr>
          <w:rFonts w:hint="eastAsia" w:ascii="宋体" w:eastAsia="宋体"/>
          <w:sz w:val="24"/>
          <w:szCs w:val="24"/>
          <w:lang w:val="en-US"/>
        </w:rPr>
        <w:t>6</w:t>
      </w:r>
      <w:r>
        <w:rPr>
          <w:rFonts w:hint="eastAsia" w:ascii="宋体" w:eastAsia="宋体"/>
          <w:sz w:val="24"/>
          <w:szCs w:val="24"/>
        </w:rPr>
        <w:t xml:space="preserve">.中标候选人并列式时的处理方式：   </w:t>
      </w:r>
    </w:p>
    <w:p>
      <w:pPr>
        <w:spacing w:line="364" w:lineRule="auto"/>
        <w:ind w:firstLine="480" w:firstLineChars="200"/>
        <w:rPr>
          <w:rFonts w:ascii="宋体" w:eastAsia="宋体"/>
          <w:sz w:val="24"/>
          <w:szCs w:val="24"/>
        </w:rPr>
      </w:pPr>
      <w:r>
        <w:rPr>
          <w:rFonts w:hint="eastAsia" w:ascii="宋体" w:eastAsia="宋体"/>
          <w:sz w:val="24"/>
          <w:szCs w:val="24"/>
        </w:rPr>
        <w:t>如采用最低评标办法，则： 随机抽取决定 ；</w:t>
      </w:r>
    </w:p>
    <w:p>
      <w:pPr>
        <w:spacing w:line="364" w:lineRule="auto"/>
        <w:ind w:firstLine="480" w:firstLineChars="200"/>
        <w:rPr>
          <w:rFonts w:ascii="宋体" w:eastAsia="宋体"/>
          <w:sz w:val="24"/>
          <w:szCs w:val="24"/>
        </w:rPr>
      </w:pPr>
      <w:r>
        <w:rPr>
          <w:rFonts w:hint="eastAsia" w:ascii="宋体" w:eastAsia="宋体"/>
          <w:sz w:val="24"/>
          <w:szCs w:val="24"/>
        </w:rPr>
        <w:t>如采用综合评标法，则： 评审得分相同的且响应报价不同的，按响应报价低的中标；评审得分相同且响应报价相同的，随机抽取决定 。</w:t>
      </w:r>
    </w:p>
    <w:p>
      <w:pPr>
        <w:spacing w:line="364" w:lineRule="auto"/>
        <w:rPr>
          <w:rFonts w:ascii="宋体" w:eastAsia="宋体"/>
          <w:sz w:val="24"/>
          <w:szCs w:val="24"/>
        </w:rPr>
        <w:sectPr>
          <w:footerReference r:id="rId16" w:type="default"/>
          <w:pgSz w:w="11910" w:h="16840"/>
          <w:pgMar w:top="1440" w:right="1020" w:bottom="1280" w:left="1040" w:header="0" w:footer="1091" w:gutter="0"/>
          <w:pgNumType w:start="60"/>
          <w:cols w:space="720" w:num="1"/>
        </w:sectPr>
      </w:pPr>
    </w:p>
    <w:p>
      <w:pPr>
        <w:pStyle w:val="9"/>
        <w:rPr>
          <w:rFonts w:ascii="宋体"/>
          <w:sz w:val="20"/>
        </w:rPr>
      </w:pPr>
    </w:p>
    <w:p>
      <w:pPr>
        <w:pStyle w:val="9"/>
        <w:rPr>
          <w:rFonts w:ascii="宋体"/>
          <w:sz w:val="20"/>
        </w:rPr>
      </w:pPr>
    </w:p>
    <w:p>
      <w:pPr>
        <w:pStyle w:val="9"/>
        <w:ind w:firstLine="1325" w:firstLineChars="300"/>
        <w:rPr>
          <w:rFonts w:hint="eastAsia" w:eastAsia="仿宋"/>
          <w:b/>
          <w:sz w:val="44"/>
          <w:lang w:eastAsia="zh-CN"/>
        </w:rPr>
      </w:pPr>
      <w:bookmarkStart w:id="266" w:name="城东金融贸易区2020年绿化环卫公共服务一体化项目"/>
      <w:bookmarkEnd w:id="266"/>
      <w:bookmarkStart w:id="267" w:name="_bookmark14"/>
      <w:bookmarkEnd w:id="267"/>
      <w:r>
        <w:rPr>
          <w:rFonts w:hint="eastAsia"/>
          <w:b/>
          <w:sz w:val="44"/>
          <w:lang w:eastAsia="zh-CN"/>
        </w:rPr>
        <w:t>喀什经济开发区临港片区物业服务项目(二次）</w:t>
      </w:r>
    </w:p>
    <w:p>
      <w:pPr>
        <w:pStyle w:val="9"/>
        <w:spacing w:before="3"/>
        <w:rPr>
          <w:b/>
          <w:sz w:val="45"/>
        </w:rPr>
      </w:pPr>
    </w:p>
    <w:p>
      <w:pPr>
        <w:ind w:left="414" w:right="16"/>
        <w:jc w:val="center"/>
        <w:rPr>
          <w:rFonts w:hint="default" w:eastAsia="仿宋"/>
          <w:b/>
          <w:sz w:val="44"/>
          <w:lang w:val="en-US" w:eastAsia="zh-CN"/>
        </w:rPr>
      </w:pPr>
      <w:r>
        <w:rPr>
          <w:b/>
          <w:sz w:val="44"/>
        </w:rPr>
        <w:t>项目编号：KSJJKFQZFCG（GK）</w:t>
      </w:r>
      <w:r>
        <w:rPr>
          <w:rFonts w:hint="eastAsia"/>
          <w:b/>
          <w:sz w:val="44"/>
        </w:rPr>
        <w:t>2022-005</w:t>
      </w:r>
      <w:r>
        <w:rPr>
          <w:rFonts w:hint="eastAsia"/>
          <w:b/>
          <w:sz w:val="44"/>
          <w:lang w:val="en-US" w:eastAsia="zh-CN"/>
        </w:rPr>
        <w:t>-1</w:t>
      </w:r>
    </w:p>
    <w:p>
      <w:pPr>
        <w:pStyle w:val="9"/>
        <w:rPr>
          <w:b/>
          <w:sz w:val="44"/>
        </w:rPr>
      </w:pPr>
    </w:p>
    <w:p>
      <w:pPr>
        <w:pStyle w:val="9"/>
        <w:rPr>
          <w:b/>
          <w:sz w:val="44"/>
        </w:rPr>
      </w:pPr>
    </w:p>
    <w:p>
      <w:pPr>
        <w:spacing w:before="330" w:line="432" w:lineRule="auto"/>
        <w:ind w:left="4192" w:right="3728"/>
        <w:jc w:val="center"/>
        <w:rPr>
          <w:b/>
          <w:sz w:val="48"/>
        </w:rPr>
      </w:pPr>
      <w:bookmarkStart w:id="268" w:name="__招标文件"/>
      <w:bookmarkEnd w:id="268"/>
      <w:r>
        <w:rPr>
          <w:b/>
          <w:sz w:val="48"/>
        </w:rPr>
        <w:t>招标文件</w:t>
      </w:r>
      <w:bookmarkStart w:id="269" w:name="_bookmark15"/>
      <w:bookmarkEnd w:id="269"/>
      <w:bookmarkStart w:id="270" w:name="第三册"/>
      <w:bookmarkEnd w:id="270"/>
      <w:r>
        <w:rPr>
          <w:b/>
          <w:sz w:val="48"/>
        </w:rPr>
        <w:t>第三册</w:t>
      </w:r>
    </w:p>
    <w:p>
      <w:pPr>
        <w:spacing w:line="432" w:lineRule="auto"/>
        <w:jc w:val="center"/>
        <w:rPr>
          <w:sz w:val="48"/>
        </w:rPr>
        <w:sectPr>
          <w:pgSz w:w="11910" w:h="16840"/>
          <w:pgMar w:top="1600" w:right="1020" w:bottom="1280" w:left="1040" w:header="0" w:footer="1091" w:gutter="0"/>
          <w:cols w:space="720" w:num="1"/>
        </w:sectPr>
      </w:pPr>
    </w:p>
    <w:p>
      <w:pPr>
        <w:pStyle w:val="3"/>
        <w:spacing w:before="217"/>
        <w:ind w:firstLine="3213" w:firstLineChars="1000"/>
        <w:jc w:val="left"/>
      </w:pPr>
      <w:bookmarkStart w:id="271" w:name="_bookmark16"/>
      <w:bookmarkEnd w:id="271"/>
      <w:bookmarkStart w:id="272" w:name="第8章_政府采购合同"/>
      <w:bookmarkEnd w:id="272"/>
      <w:r>
        <w:t>第8章 政府采购合同</w:t>
      </w:r>
    </w:p>
    <w:p>
      <w:pPr>
        <w:pStyle w:val="9"/>
        <w:spacing w:before="9"/>
        <w:rPr>
          <w:b/>
          <w:sz w:val="32"/>
        </w:rPr>
      </w:pPr>
    </w:p>
    <w:p>
      <w:pPr>
        <w:spacing w:before="1"/>
        <w:ind w:right="44"/>
        <w:jc w:val="center"/>
        <w:rPr>
          <w:sz w:val="28"/>
        </w:rPr>
      </w:pPr>
      <w:r>
        <w:rPr>
          <w:sz w:val="28"/>
        </w:rPr>
        <w:t>请参照服务类政府采购合同参考范本订立采购合同。</w:t>
      </w:r>
    </w:p>
    <w:p>
      <w:pPr>
        <w:pStyle w:val="9"/>
        <w:tabs>
          <w:tab w:val="left" w:pos="3353"/>
        </w:tabs>
        <w:spacing w:before="2"/>
        <w:ind w:firstLine="3094" w:firstLineChars="1300"/>
        <w:rPr>
          <w:rFonts w:ascii="楷体" w:eastAsia="楷体"/>
          <w:spacing w:val="-1"/>
        </w:rPr>
      </w:pPr>
    </w:p>
    <w:p>
      <w:pPr>
        <w:pStyle w:val="9"/>
        <w:tabs>
          <w:tab w:val="left" w:pos="3353"/>
        </w:tabs>
        <w:spacing w:before="2"/>
        <w:ind w:firstLine="3094" w:firstLineChars="1300"/>
        <w:rPr>
          <w:rFonts w:ascii="Times New Roman" w:eastAsia="Times New Roman"/>
        </w:rPr>
      </w:pPr>
      <w:r>
        <w:rPr>
          <w:rFonts w:hint="eastAsia" w:ascii="楷体" w:eastAsia="楷体"/>
          <w:spacing w:val="-1"/>
        </w:rPr>
        <w:t>合</w:t>
      </w:r>
      <w:r>
        <w:rPr>
          <w:rFonts w:hint="eastAsia" w:ascii="楷体" w:eastAsia="楷体"/>
        </w:rPr>
        <w:t>同编号：</w:t>
      </w:r>
      <w:r>
        <w:rPr>
          <w:rFonts w:ascii="Times New Roman" w:eastAsia="Times New Roman"/>
          <w:u w:val="single"/>
        </w:rPr>
        <w:t xml:space="preserve"> </w:t>
      </w:r>
      <w:r>
        <w:rPr>
          <w:rFonts w:ascii="Times New Roman" w:eastAsia="Times New Roman"/>
          <w:u w:val="single"/>
        </w:rPr>
        <w:tab/>
      </w: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7"/>
        <w:rPr>
          <w:rFonts w:ascii="Times New Roman"/>
          <w:sz w:val="26"/>
        </w:rPr>
      </w:pPr>
    </w:p>
    <w:p>
      <w:pPr>
        <w:spacing w:before="38"/>
        <w:ind w:right="14"/>
        <w:jc w:val="center"/>
        <w:rPr>
          <w:b/>
          <w:sz w:val="44"/>
        </w:rPr>
      </w:pPr>
      <w:r>
        <w:rPr>
          <w:b/>
          <w:sz w:val="44"/>
        </w:rPr>
        <w:t>政府采购合同参考范本</w:t>
      </w:r>
    </w:p>
    <w:p>
      <w:pPr>
        <w:pStyle w:val="9"/>
        <w:rPr>
          <w:b/>
          <w:sz w:val="45"/>
        </w:rPr>
      </w:pPr>
    </w:p>
    <w:p>
      <w:pPr>
        <w:ind w:right="16"/>
        <w:jc w:val="center"/>
        <w:rPr>
          <w:b/>
          <w:sz w:val="24"/>
        </w:rPr>
      </w:pPr>
      <w:r>
        <w:rPr>
          <w:b/>
          <w:sz w:val="24"/>
        </w:rPr>
        <w:t>（服务类）</w:t>
      </w:r>
    </w:p>
    <w:p>
      <w:pPr>
        <w:pStyle w:val="9"/>
        <w:rPr>
          <w:b/>
        </w:rPr>
      </w:pPr>
    </w:p>
    <w:p>
      <w:pPr>
        <w:pStyle w:val="9"/>
        <w:rPr>
          <w:b/>
        </w:rPr>
      </w:pPr>
    </w:p>
    <w:p>
      <w:pPr>
        <w:pStyle w:val="9"/>
        <w:rPr>
          <w:b/>
        </w:rPr>
      </w:pPr>
    </w:p>
    <w:p>
      <w:pPr>
        <w:pStyle w:val="9"/>
        <w:spacing w:before="5"/>
        <w:rPr>
          <w:b/>
          <w:sz w:val="25"/>
        </w:rPr>
      </w:pPr>
    </w:p>
    <w:p>
      <w:pPr>
        <w:ind w:right="13"/>
        <w:jc w:val="center"/>
        <w:rPr>
          <w:b/>
          <w:sz w:val="24"/>
        </w:rPr>
      </w:pPr>
      <w:bookmarkStart w:id="273" w:name="第一部分_合同书"/>
      <w:bookmarkEnd w:id="273"/>
      <w:bookmarkStart w:id="274" w:name="_bookmark17"/>
      <w:bookmarkEnd w:id="274"/>
      <w:r>
        <w:rPr>
          <w:b/>
          <w:sz w:val="24"/>
        </w:rPr>
        <w:t>第一部分 合同书</w:t>
      </w:r>
    </w:p>
    <w:p>
      <w:pPr>
        <w:pStyle w:val="9"/>
        <w:rPr>
          <w:b/>
        </w:rPr>
      </w:pPr>
    </w:p>
    <w:p>
      <w:pPr>
        <w:pStyle w:val="9"/>
        <w:rPr>
          <w:b/>
        </w:rPr>
      </w:pPr>
    </w:p>
    <w:p>
      <w:pPr>
        <w:pStyle w:val="9"/>
        <w:rPr>
          <w:b/>
        </w:rPr>
      </w:pPr>
    </w:p>
    <w:p>
      <w:pPr>
        <w:pStyle w:val="9"/>
        <w:spacing w:before="12"/>
        <w:rPr>
          <w:b/>
          <w:sz w:val="19"/>
        </w:rPr>
      </w:pPr>
    </w:p>
    <w:p>
      <w:pPr>
        <w:pStyle w:val="9"/>
        <w:tabs>
          <w:tab w:val="left" w:pos="9051"/>
        </w:tabs>
        <w:ind w:left="1734"/>
      </w:pPr>
      <w:r>
        <w:t>项目名称：</w:t>
      </w:r>
      <w:r>
        <w:rPr>
          <w:spacing w:val="-1"/>
          <w:u w:val="single"/>
        </w:rPr>
        <w:t xml:space="preserve"> </w:t>
      </w:r>
      <w:r>
        <w:rPr>
          <w:rFonts w:hint="eastAsia"/>
          <w:u w:val="single"/>
          <w:lang w:eastAsia="zh-CN"/>
        </w:rPr>
        <w:t>喀什经济开发区临港片区物业服务项目(二次）</w:t>
      </w:r>
      <w:r>
        <w:rPr>
          <w:u w:val="single"/>
        </w:rPr>
        <w:tab/>
      </w:r>
    </w:p>
    <w:p>
      <w:pPr>
        <w:pStyle w:val="9"/>
        <w:rPr>
          <w:sz w:val="20"/>
        </w:rPr>
      </w:pPr>
    </w:p>
    <w:p>
      <w:pPr>
        <w:pStyle w:val="9"/>
        <w:spacing w:before="6"/>
        <w:rPr>
          <w:sz w:val="29"/>
        </w:rPr>
      </w:pPr>
    </w:p>
    <w:p>
      <w:pPr>
        <w:pStyle w:val="9"/>
        <w:tabs>
          <w:tab w:val="left" w:pos="3174"/>
          <w:tab w:val="left" w:pos="7133"/>
        </w:tabs>
        <w:spacing w:before="74"/>
        <w:ind w:left="1734"/>
      </w:pPr>
      <w:r>
        <w:t>甲方：</w:t>
      </w:r>
      <w:r>
        <w:rPr>
          <w:u w:val="single"/>
        </w:rPr>
        <w:t xml:space="preserve"> </w:t>
      </w:r>
      <w:r>
        <w:rPr>
          <w:u w:val="single"/>
        </w:rPr>
        <w:tab/>
      </w:r>
      <w:r>
        <w:rPr>
          <w:rFonts w:hint="eastAsia"/>
          <w:u w:val="single"/>
        </w:rPr>
        <w:t>喀什经济开发区空港产业物流区管理服务中心</w:t>
      </w:r>
      <w:r>
        <w:rPr>
          <w:u w:val="single"/>
        </w:rPr>
        <w:tab/>
      </w:r>
    </w:p>
    <w:p>
      <w:pPr>
        <w:pStyle w:val="9"/>
        <w:rPr>
          <w:sz w:val="20"/>
        </w:rPr>
      </w:pPr>
    </w:p>
    <w:p>
      <w:pPr>
        <w:pStyle w:val="9"/>
        <w:spacing w:before="8"/>
        <w:rPr>
          <w:sz w:val="17"/>
        </w:rPr>
      </w:pPr>
    </w:p>
    <w:p>
      <w:pPr>
        <w:pStyle w:val="9"/>
        <w:tabs>
          <w:tab w:val="left" w:pos="7193"/>
        </w:tabs>
        <w:spacing w:before="74"/>
        <w:ind w:left="1734"/>
        <w:rPr>
          <w:rFonts w:ascii="Times New Roman" w:eastAsia="Times New Roman"/>
        </w:rPr>
      </w:pPr>
      <w:r>
        <w:rPr>
          <w:spacing w:val="-1"/>
        </w:rPr>
        <w:t>乙</w:t>
      </w:r>
      <w:r>
        <w:t>方：</w:t>
      </w:r>
      <w:r>
        <w:rPr>
          <w:rFonts w:ascii="Times New Roman" w:eastAsia="Times New Roman"/>
          <w:u w:val="single"/>
        </w:rPr>
        <w:t xml:space="preserve"> </w:t>
      </w:r>
      <w:r>
        <w:rPr>
          <w:rFonts w:ascii="Times New Roman" w:eastAsia="Times New Roman"/>
          <w:u w:val="single"/>
        </w:rPr>
        <w:tab/>
      </w:r>
    </w:p>
    <w:p>
      <w:pPr>
        <w:pStyle w:val="9"/>
        <w:rPr>
          <w:rFonts w:ascii="Times New Roman"/>
          <w:sz w:val="20"/>
        </w:rPr>
      </w:pPr>
    </w:p>
    <w:p>
      <w:pPr>
        <w:pStyle w:val="9"/>
        <w:spacing w:before="9"/>
        <w:rPr>
          <w:rFonts w:ascii="Times New Roman"/>
          <w:sz w:val="21"/>
        </w:rPr>
      </w:pPr>
    </w:p>
    <w:p>
      <w:pPr>
        <w:pStyle w:val="9"/>
        <w:tabs>
          <w:tab w:val="left" w:pos="3414"/>
          <w:tab w:val="left" w:pos="7133"/>
        </w:tabs>
        <w:spacing w:before="74"/>
        <w:ind w:left="1734"/>
        <w:rPr>
          <w:lang w:val="en-US"/>
        </w:rPr>
      </w:pPr>
      <w:r>
        <w:t>签订地：</w:t>
      </w:r>
      <w:r>
        <w:rPr>
          <w:u w:val="single"/>
        </w:rPr>
        <w:t xml:space="preserve"> </w:t>
      </w:r>
      <w:r>
        <w:rPr>
          <w:u w:val="single"/>
        </w:rPr>
        <w:tab/>
      </w:r>
      <w:r>
        <w:rPr>
          <w:rFonts w:hint="eastAsia"/>
          <w:u w:val="single"/>
          <w:lang w:val="en-US"/>
        </w:rPr>
        <w:t xml:space="preserve">                                </w:t>
      </w:r>
    </w:p>
    <w:p>
      <w:pPr>
        <w:pStyle w:val="9"/>
        <w:spacing w:before="1"/>
        <w:rPr>
          <w:sz w:val="18"/>
        </w:rPr>
      </w:pPr>
    </w:p>
    <w:p>
      <w:pPr>
        <w:pStyle w:val="9"/>
        <w:tabs>
          <w:tab w:val="left" w:pos="4734"/>
          <w:tab w:val="left" w:pos="5814"/>
          <w:tab w:val="left" w:pos="6894"/>
        </w:tabs>
        <w:spacing w:before="66"/>
        <w:ind w:left="1734"/>
      </w:pPr>
      <w:r>
        <w:t>签订日期：</w:t>
      </w:r>
      <w:r>
        <w:rPr>
          <w:u w:val="single"/>
        </w:rPr>
        <w:t xml:space="preserve"> </w:t>
      </w:r>
      <w:r>
        <w:rPr>
          <w:u w:val="single"/>
        </w:rPr>
        <w:tab/>
      </w:r>
      <w:r>
        <w:t>年</w:t>
      </w:r>
      <w:r>
        <w:rPr>
          <w:u w:val="single"/>
        </w:rPr>
        <w:t xml:space="preserve"> </w:t>
      </w:r>
      <w:r>
        <w:rPr>
          <w:u w:val="single"/>
        </w:rPr>
        <w:tab/>
      </w:r>
      <w:r>
        <w:t>月</w:t>
      </w:r>
      <w:r>
        <w:rPr>
          <w:u w:val="single"/>
        </w:rPr>
        <w:t xml:space="preserve"> </w:t>
      </w:r>
      <w:r>
        <w:rPr>
          <w:u w:val="single"/>
        </w:rPr>
        <w:tab/>
      </w:r>
      <w:r>
        <w:t>日</w:t>
      </w:r>
    </w:p>
    <w:p>
      <w:pPr>
        <w:sectPr>
          <w:pgSz w:w="11910" w:h="16840"/>
          <w:pgMar w:top="1600" w:right="1020" w:bottom="1280" w:left="1040" w:header="0" w:footer="1091" w:gutter="0"/>
          <w:cols w:space="720" w:num="1"/>
        </w:sectPr>
      </w:pPr>
    </w:p>
    <w:p>
      <w:pPr>
        <w:pStyle w:val="9"/>
        <w:tabs>
          <w:tab w:val="left" w:pos="2574"/>
          <w:tab w:val="left" w:pos="3294"/>
          <w:tab w:val="left" w:pos="4112"/>
          <w:tab w:val="left" w:pos="7591"/>
          <w:tab w:val="left" w:pos="8432"/>
          <w:tab w:val="left" w:pos="9151"/>
        </w:tabs>
        <w:spacing w:before="83" w:line="436" w:lineRule="auto"/>
        <w:ind w:left="774" w:right="452" w:firstLine="479"/>
      </w:pPr>
      <w:r>
        <w:rPr>
          <w:rFonts w:ascii="Times New Roman" w:eastAsia="Times New Roman"/>
          <w:u w:val="single"/>
        </w:rPr>
        <w:t xml:space="preserve">  </w:t>
      </w:r>
      <w:r>
        <w:rPr>
          <w:rFonts w:hint="eastAsia" w:eastAsia="宋体"/>
          <w:u w:val="single"/>
        </w:rPr>
        <w:t>202</w:t>
      </w:r>
      <w:r>
        <w:rPr>
          <w:rFonts w:hint="eastAsia" w:eastAsia="宋体"/>
          <w:u w:val="single"/>
          <w:lang w:val="en-US"/>
        </w:rPr>
        <w:t>2</w:t>
      </w:r>
      <w:r>
        <w:rPr>
          <w:spacing w:val="-2"/>
          <w:u w:val="single"/>
        </w:rPr>
        <w:t xml:space="preserve"> </w:t>
      </w:r>
      <w:r>
        <w:t>年</w:t>
      </w:r>
      <w:r>
        <w:rPr>
          <w:u w:val="single"/>
        </w:rPr>
        <w:t xml:space="preserve"> </w:t>
      </w:r>
      <w:r>
        <w:rPr>
          <w:u w:val="single"/>
        </w:rPr>
        <w:tab/>
      </w:r>
      <w:r>
        <w:t>月</w:t>
      </w:r>
      <w:r>
        <w:rPr>
          <w:u w:val="single"/>
        </w:rPr>
        <w:t xml:space="preserve"> </w:t>
      </w:r>
      <w:r>
        <w:rPr>
          <w:u w:val="single"/>
        </w:rPr>
        <w:tab/>
      </w:r>
      <w:r>
        <w:t>日</w:t>
      </w:r>
      <w:r>
        <w:rPr>
          <w:spacing w:val="-23"/>
        </w:rPr>
        <w:t>，</w:t>
      </w:r>
      <w:r>
        <w:rPr>
          <w:spacing w:val="-23"/>
          <w:u w:val="single"/>
        </w:rPr>
        <w:t xml:space="preserve"> </w:t>
      </w:r>
      <w:r>
        <w:rPr>
          <w:spacing w:val="-23"/>
          <w:u w:val="single"/>
        </w:rPr>
        <w:tab/>
      </w:r>
      <w:r>
        <w:rPr>
          <w:rFonts w:hint="eastAsia"/>
          <w:u w:val="single"/>
        </w:rPr>
        <w:t>喀什经济开发区空港产业物流区管理服务中心</w:t>
      </w:r>
      <w:r>
        <w:rPr>
          <w:u w:val="single"/>
        </w:rPr>
        <w:tab/>
      </w:r>
      <w:r>
        <w:t>以</w:t>
      </w:r>
      <w:r>
        <w:rPr>
          <w:u w:val="single"/>
        </w:rPr>
        <w:t xml:space="preserve"> 公开招标</w:t>
      </w:r>
      <w:r>
        <w:rPr>
          <w:u w:val="single"/>
        </w:rPr>
        <w:tab/>
      </w:r>
      <w:r>
        <w:rPr>
          <w:spacing w:val="-16"/>
        </w:rPr>
        <w:t>对</w:t>
      </w:r>
      <w:r>
        <w:rPr>
          <w:rFonts w:hint="eastAsia"/>
          <w:u w:val="single"/>
          <w:lang w:eastAsia="zh-CN"/>
        </w:rPr>
        <w:t>喀什经济开发区临港片区物业服务项目(二次）</w:t>
      </w:r>
      <w:r>
        <w:t>进行了采购</w:t>
      </w:r>
      <w:r>
        <w:rPr>
          <w:spacing w:val="-22"/>
        </w:rPr>
        <w:t>。</w:t>
      </w:r>
      <w:r>
        <w:t>经</w:t>
      </w:r>
      <w:r>
        <w:rPr>
          <w:u w:val="single"/>
        </w:rPr>
        <w:t xml:space="preserve"> </w:t>
      </w:r>
      <w:r>
        <w:rPr>
          <w:u w:val="single"/>
        </w:rPr>
        <w:tab/>
      </w:r>
      <w:r>
        <w:rPr>
          <w:u w:val="single"/>
        </w:rPr>
        <w:t>评标委</w:t>
      </w:r>
      <w:r>
        <w:rPr>
          <w:spacing w:val="-17"/>
          <w:u w:val="single"/>
        </w:rPr>
        <w:t>员</w:t>
      </w:r>
      <w:r>
        <w:rPr>
          <w:u w:val="single"/>
        </w:rPr>
        <w:t>会</w:t>
      </w:r>
      <w:r>
        <w:rPr>
          <w:u w:val="single"/>
        </w:rPr>
        <w:tab/>
      </w:r>
      <w:r>
        <w:t>评定，</w:t>
      </w:r>
      <w:r>
        <w:rPr>
          <w:u w:val="single"/>
        </w:rPr>
        <w:t xml:space="preserve"> </w:t>
      </w:r>
      <w:r>
        <w:rPr>
          <w:u w:val="single"/>
        </w:rPr>
        <w:tab/>
      </w:r>
      <w:r>
        <w:rPr>
          <w:u w:val="single"/>
        </w:rPr>
        <w:t>（中标供应</w:t>
      </w:r>
      <w:r>
        <w:rPr>
          <w:spacing w:val="4"/>
          <w:u w:val="single"/>
        </w:rPr>
        <w:t>商</w:t>
      </w:r>
      <w:r>
        <w:rPr>
          <w:u w:val="single"/>
        </w:rPr>
        <w:t>名称）</w:t>
      </w:r>
      <w:r>
        <w:rPr>
          <w:spacing w:val="40"/>
          <w:u w:val="single"/>
        </w:rPr>
        <w:t xml:space="preserve"> </w:t>
      </w:r>
      <w:r>
        <w:t>为该项目中</w:t>
      </w:r>
      <w:r>
        <w:rPr>
          <w:spacing w:val="4"/>
        </w:rPr>
        <w:t>标</w:t>
      </w:r>
      <w:r>
        <w:t>供应商。现于中标通</w:t>
      </w:r>
      <w:r>
        <w:rPr>
          <w:spacing w:val="4"/>
        </w:rPr>
        <w:t>知</w:t>
      </w:r>
      <w:r>
        <w:t>书发出之日起三十日内，按照采购文件确定的事项签订本合同。</w:t>
      </w:r>
    </w:p>
    <w:p>
      <w:pPr>
        <w:pStyle w:val="9"/>
        <w:spacing w:line="436" w:lineRule="auto"/>
        <w:ind w:left="774" w:right="452"/>
        <w:jc w:val="both"/>
      </w:pPr>
      <w:r>
        <w:t>根</w:t>
      </w:r>
      <w:r>
        <w:rPr>
          <w:spacing w:val="-5"/>
        </w:rPr>
        <w:t>据</w:t>
      </w:r>
      <w:r>
        <w:t>《中华人民共和国合同法</w:t>
      </w:r>
      <w:r>
        <w:rPr>
          <w:spacing w:val="-5"/>
        </w:rPr>
        <w:t>》</w:t>
      </w:r>
      <w:r>
        <w:rPr>
          <w:spacing w:val="-8"/>
        </w:rPr>
        <w:t>、</w:t>
      </w:r>
      <w:r>
        <w:t>《中华人民共和国政府采购法</w:t>
      </w:r>
      <w:r>
        <w:rPr>
          <w:spacing w:val="-5"/>
        </w:rPr>
        <w:t>》</w:t>
      </w:r>
      <w:r>
        <w:t>等相关法</w:t>
      </w:r>
      <w:r>
        <w:rPr>
          <w:spacing w:val="-16"/>
        </w:rPr>
        <w:t>律</w:t>
      </w:r>
      <w:r>
        <w:t>法规之</w:t>
      </w:r>
      <w:r>
        <w:rPr>
          <w:spacing w:val="4"/>
        </w:rPr>
        <w:t>规</w:t>
      </w:r>
      <w:r>
        <w:t>定，按照平</w:t>
      </w:r>
      <w:r>
        <w:rPr>
          <w:spacing w:val="4"/>
        </w:rPr>
        <w:t>等</w:t>
      </w:r>
      <w:r>
        <w:t>、自愿、公</w:t>
      </w:r>
      <w:r>
        <w:rPr>
          <w:spacing w:val="4"/>
        </w:rPr>
        <w:t>平</w:t>
      </w:r>
      <w:r>
        <w:t>和诚实信用的</w:t>
      </w:r>
      <w:r>
        <w:rPr>
          <w:spacing w:val="4"/>
        </w:rPr>
        <w:t>原</w:t>
      </w:r>
      <w:r>
        <w:t>则，经</w:t>
      </w:r>
      <w:r>
        <w:rPr>
          <w:u w:val="single"/>
        </w:rPr>
        <w:t xml:space="preserve"> </w:t>
      </w:r>
      <w:r>
        <w:rPr>
          <w:u w:val="single"/>
        </w:rPr>
        <w:tab/>
      </w:r>
      <w:r>
        <w:rPr>
          <w:rFonts w:hint="eastAsia"/>
          <w:u w:val="single"/>
          <w:lang w:val="en-US"/>
        </w:rPr>
        <w:t xml:space="preserve">    </w:t>
      </w:r>
      <w:r>
        <w:rPr>
          <w:spacing w:val="3"/>
          <w:u w:val="single"/>
        </w:rPr>
        <w:t xml:space="preserve">  </w:t>
      </w:r>
      <w:r>
        <w:t>(以下简称：甲方)和</w:t>
      </w:r>
      <w:r>
        <w:rPr>
          <w:spacing w:val="13"/>
          <w:u w:val="single"/>
        </w:rPr>
        <w:t xml:space="preserve">  </w:t>
      </w:r>
      <w:r>
        <w:rPr>
          <w:u w:val="single"/>
        </w:rPr>
        <w:t>（中标供应商名称）</w:t>
      </w:r>
      <w:r>
        <w:rPr>
          <w:spacing w:val="9"/>
          <w:u w:val="single"/>
        </w:rPr>
        <w:t xml:space="preserve">   </w:t>
      </w:r>
      <w:r>
        <w:t>(以下简称：乙方) 协商一致，约定以下合同条款，以兹共同遵守、全面履行。</w:t>
      </w:r>
    </w:p>
    <w:p>
      <w:pPr>
        <w:pStyle w:val="22"/>
        <w:numPr>
          <w:ilvl w:val="1"/>
          <w:numId w:val="35"/>
        </w:numPr>
        <w:tabs>
          <w:tab w:val="left" w:pos="1737"/>
        </w:tabs>
        <w:spacing w:line="307" w:lineRule="exact"/>
        <w:jc w:val="both"/>
        <w:rPr>
          <w:b/>
          <w:sz w:val="24"/>
        </w:rPr>
      </w:pPr>
      <w:r>
        <w:rPr>
          <w:b/>
          <w:sz w:val="24"/>
        </w:rPr>
        <w:t>合同组成部分</w:t>
      </w:r>
    </w:p>
    <w:p>
      <w:pPr>
        <w:pStyle w:val="9"/>
        <w:spacing w:before="6"/>
        <w:rPr>
          <w:b/>
          <w:sz w:val="19"/>
        </w:rPr>
      </w:pPr>
    </w:p>
    <w:p>
      <w:pPr>
        <w:pStyle w:val="9"/>
        <w:spacing w:before="1" w:line="436" w:lineRule="auto"/>
        <w:ind w:left="774" w:right="450" w:firstLine="480"/>
        <w:jc w:val="both"/>
      </w:pPr>
      <w:r>
        <w:rPr>
          <w:spacing w:val="-5"/>
        </w:rPr>
        <w:t>下列文件为本合同的组成部分，并构成一个整体，需综合解释、相互补充。如</w:t>
      </w:r>
      <w:r>
        <w:rPr>
          <w:spacing w:val="3"/>
        </w:rPr>
        <w:t>果下列文件内容出现不一致的情形，那么在保证按照采购文件确定的事项的前提下，组成本合同的多个文件的优先适用顺序如下：</w:t>
      </w:r>
    </w:p>
    <w:p>
      <w:pPr>
        <w:pStyle w:val="22"/>
        <w:numPr>
          <w:ilvl w:val="2"/>
          <w:numId w:val="35"/>
        </w:numPr>
        <w:tabs>
          <w:tab w:val="left" w:pos="1975"/>
        </w:tabs>
        <w:spacing w:before="1"/>
        <w:ind w:hanging="721"/>
        <w:jc w:val="both"/>
        <w:rPr>
          <w:sz w:val="24"/>
        </w:rPr>
      </w:pPr>
      <w:r>
        <w:rPr>
          <w:sz w:val="24"/>
        </w:rPr>
        <w:t>本合同及其补充合同、变更协议；</w:t>
      </w:r>
    </w:p>
    <w:p>
      <w:pPr>
        <w:pStyle w:val="9"/>
        <w:spacing w:before="8"/>
        <w:rPr>
          <w:sz w:val="19"/>
        </w:rPr>
      </w:pPr>
    </w:p>
    <w:p>
      <w:pPr>
        <w:pStyle w:val="22"/>
        <w:numPr>
          <w:ilvl w:val="2"/>
          <w:numId w:val="35"/>
        </w:numPr>
        <w:tabs>
          <w:tab w:val="left" w:pos="1975"/>
        </w:tabs>
        <w:ind w:hanging="721"/>
        <w:jc w:val="both"/>
        <w:rPr>
          <w:sz w:val="24"/>
        </w:rPr>
      </w:pPr>
      <w:r>
        <w:rPr>
          <w:sz w:val="24"/>
        </w:rPr>
        <w:t>中标通知书；</w:t>
      </w:r>
    </w:p>
    <w:p>
      <w:pPr>
        <w:pStyle w:val="9"/>
        <w:spacing w:before="8"/>
        <w:rPr>
          <w:sz w:val="19"/>
        </w:rPr>
      </w:pPr>
    </w:p>
    <w:p>
      <w:pPr>
        <w:pStyle w:val="22"/>
        <w:numPr>
          <w:ilvl w:val="2"/>
          <w:numId w:val="35"/>
        </w:numPr>
        <w:tabs>
          <w:tab w:val="left" w:pos="1975"/>
        </w:tabs>
        <w:ind w:hanging="721"/>
        <w:rPr>
          <w:sz w:val="24"/>
        </w:rPr>
      </w:pPr>
      <w:r>
        <w:rPr>
          <w:sz w:val="24"/>
        </w:rPr>
        <w:t>投标文件（含澄清或者说明文件）；</w:t>
      </w:r>
    </w:p>
    <w:p>
      <w:pPr>
        <w:pStyle w:val="9"/>
        <w:spacing w:before="11"/>
        <w:rPr>
          <w:sz w:val="19"/>
        </w:rPr>
      </w:pPr>
    </w:p>
    <w:p>
      <w:pPr>
        <w:pStyle w:val="22"/>
        <w:numPr>
          <w:ilvl w:val="2"/>
          <w:numId w:val="35"/>
        </w:numPr>
        <w:tabs>
          <w:tab w:val="left" w:pos="1975"/>
        </w:tabs>
        <w:ind w:hanging="721"/>
        <w:rPr>
          <w:sz w:val="24"/>
        </w:rPr>
      </w:pPr>
      <w:r>
        <w:rPr>
          <w:sz w:val="24"/>
        </w:rPr>
        <w:t>招标文件（含澄清或者修改文件）；</w:t>
      </w:r>
    </w:p>
    <w:p>
      <w:pPr>
        <w:pStyle w:val="9"/>
        <w:spacing w:before="8"/>
        <w:rPr>
          <w:sz w:val="19"/>
        </w:rPr>
      </w:pPr>
    </w:p>
    <w:p>
      <w:pPr>
        <w:pStyle w:val="22"/>
        <w:numPr>
          <w:ilvl w:val="2"/>
          <w:numId w:val="35"/>
        </w:numPr>
        <w:tabs>
          <w:tab w:val="left" w:pos="1975"/>
        </w:tabs>
        <w:ind w:hanging="721"/>
        <w:rPr>
          <w:sz w:val="24"/>
        </w:rPr>
      </w:pPr>
      <w:r>
        <w:rPr>
          <w:sz w:val="24"/>
        </w:rPr>
        <w:t>其他相关采购文件。</w:t>
      </w:r>
    </w:p>
    <w:p>
      <w:pPr>
        <w:pStyle w:val="9"/>
        <w:spacing w:before="8"/>
        <w:rPr>
          <w:sz w:val="19"/>
        </w:rPr>
      </w:pPr>
    </w:p>
    <w:p>
      <w:pPr>
        <w:pStyle w:val="22"/>
        <w:numPr>
          <w:ilvl w:val="1"/>
          <w:numId w:val="35"/>
        </w:numPr>
        <w:tabs>
          <w:tab w:val="left" w:pos="1737"/>
        </w:tabs>
        <w:rPr>
          <w:b/>
          <w:sz w:val="24"/>
        </w:rPr>
      </w:pPr>
      <w:r>
        <w:rPr>
          <w:b/>
          <w:sz w:val="24"/>
        </w:rPr>
        <w:t>标的</w:t>
      </w:r>
    </w:p>
    <w:p>
      <w:pPr>
        <w:pStyle w:val="9"/>
        <w:spacing w:before="11"/>
        <w:rPr>
          <w:b/>
          <w:sz w:val="19"/>
        </w:rPr>
      </w:pPr>
    </w:p>
    <w:p>
      <w:pPr>
        <w:pStyle w:val="22"/>
        <w:numPr>
          <w:ilvl w:val="2"/>
          <w:numId w:val="35"/>
        </w:numPr>
        <w:tabs>
          <w:tab w:val="left" w:pos="1975"/>
        </w:tabs>
        <w:ind w:hanging="721"/>
        <w:rPr>
          <w:sz w:val="19"/>
        </w:rPr>
      </w:pPr>
      <w:r>
        <w:rPr>
          <w:sz w:val="24"/>
        </w:rPr>
        <w:t>标的名称：</w:t>
      </w:r>
      <w:r>
        <w:rPr>
          <w:spacing w:val="5"/>
          <w:sz w:val="24"/>
          <w:u w:val="single"/>
        </w:rPr>
        <w:t xml:space="preserve"> </w:t>
      </w:r>
      <w:r>
        <w:rPr>
          <w:rFonts w:hint="eastAsia"/>
          <w:spacing w:val="5"/>
          <w:sz w:val="24"/>
          <w:u w:val="single"/>
          <w:lang w:eastAsia="zh-CN"/>
        </w:rPr>
        <w:t>喀什经济开发区临港片区物业服务项目(二次）</w:t>
      </w:r>
      <w:r>
        <w:rPr>
          <w:spacing w:val="-1"/>
          <w:sz w:val="24"/>
        </w:rPr>
        <w:t xml:space="preserve"> ；</w:t>
      </w:r>
    </w:p>
    <w:p>
      <w:pPr>
        <w:pStyle w:val="22"/>
        <w:numPr>
          <w:ilvl w:val="1"/>
          <w:numId w:val="35"/>
        </w:numPr>
        <w:tabs>
          <w:tab w:val="left" w:pos="1737"/>
        </w:tabs>
        <w:spacing w:before="67"/>
        <w:rPr>
          <w:b/>
          <w:sz w:val="24"/>
        </w:rPr>
      </w:pPr>
      <w:r>
        <w:rPr>
          <w:b/>
          <w:sz w:val="24"/>
        </w:rPr>
        <w:t>价款</w:t>
      </w:r>
    </w:p>
    <w:p>
      <w:pPr>
        <w:pStyle w:val="9"/>
        <w:spacing w:before="8"/>
        <w:rPr>
          <w:b/>
          <w:sz w:val="19"/>
        </w:rPr>
      </w:pPr>
    </w:p>
    <w:p>
      <w:pPr>
        <w:pStyle w:val="9"/>
        <w:tabs>
          <w:tab w:val="left" w:pos="4494"/>
          <w:tab w:val="left" w:pos="7734"/>
        </w:tabs>
        <w:spacing w:line="436" w:lineRule="auto"/>
        <w:ind w:left="1254" w:right="670"/>
      </w:pPr>
      <w:r>
        <w:rPr>
          <w:lang w:val="en-US" w:bidi="ar-SA"/>
        </w:rPr>
        <mc:AlternateContent>
          <mc:Choice Requires="wps">
            <w:drawing>
              <wp:anchor distT="0" distB="0" distL="114300" distR="114300" simplePos="0" relativeHeight="251667456" behindDoc="1" locked="0" layoutInCell="1" allowOverlap="1">
                <wp:simplePos x="0" y="0"/>
                <wp:positionH relativeFrom="page">
                  <wp:posOffset>2675255</wp:posOffset>
                </wp:positionH>
                <wp:positionV relativeFrom="paragraph">
                  <wp:posOffset>170815</wp:posOffset>
                </wp:positionV>
                <wp:extent cx="838200" cy="0"/>
                <wp:effectExtent l="0" t="0" r="0" b="0"/>
                <wp:wrapNone/>
                <wp:docPr id="11" name="直线 13"/>
                <wp:cNvGraphicFramePr/>
                <a:graphic xmlns:a="http://schemas.openxmlformats.org/drawingml/2006/main">
                  <a:graphicData uri="http://schemas.microsoft.com/office/word/2010/wordprocessingShape">
                    <wps:wsp>
                      <wps:cNvCnPr/>
                      <wps:spPr>
                        <a:xfrm>
                          <a:off x="0" y="0"/>
                          <a:ext cx="838200" cy="0"/>
                        </a:xfrm>
                        <a:prstGeom prst="line">
                          <a:avLst/>
                        </a:prstGeom>
                        <a:ln w="7620" cap="flat" cmpd="sng">
                          <a:solidFill>
                            <a:srgbClr val="000000"/>
                          </a:solidFill>
                          <a:prstDash val="solid"/>
                          <a:headEnd type="none" w="med" len="med"/>
                          <a:tailEnd type="none" w="med" len="med"/>
                        </a:ln>
                      </wps:spPr>
                      <wps:bodyPr/>
                    </wps:wsp>
                  </a:graphicData>
                </a:graphic>
              </wp:anchor>
            </w:drawing>
          </mc:Choice>
          <mc:Fallback>
            <w:pict>
              <v:line id="直线 13" o:spid="_x0000_s1026" o:spt="20" style="position:absolute;left:0pt;margin-left:210.65pt;margin-top:13.45pt;height:0pt;width:66pt;mso-position-horizontal-relative:page;z-index:-251649024;mso-width-relative:page;mso-height-relative:page;" filled="f" stroked="t" coordsize="21600,21600" o:gfxdata="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2MJ9g1gAAAAkBAAAPAAAA&#10;AAAAAAEAIAAAACIAAABkcnMvZG93bnJldi54bWxQSwECFAAUAAAACACHTuJA++NUDd4BAADQAwAA&#10;DgAAAAAAAAABACAAAAAlAQAAZHJzL2Uyb0RvYy54bWxQSwUGAAAAAAYABgBZAQAAdQUAAAAA&#10;">
                <v:fill on="f" focussize="0,0"/>
                <v:stroke weight="0.6pt" color="#000000" joinstyle="round"/>
                <v:imagedata o:title=""/>
                <o:lock v:ext="edit" aspectratio="f"/>
              </v:line>
            </w:pict>
          </mc:Fallback>
        </mc:AlternateContent>
      </w:r>
      <w:r>
        <w:rPr>
          <w:lang w:val="en-US" w:bidi="ar-SA"/>
        </w:rPr>
        <mc:AlternateContent>
          <mc:Choice Requires="wps">
            <w:drawing>
              <wp:anchor distT="0" distB="0" distL="114300" distR="114300" simplePos="0" relativeHeight="251675648" behindDoc="0" locked="0" layoutInCell="1" allowOverlap="1">
                <wp:simplePos x="0" y="0"/>
                <wp:positionH relativeFrom="page">
                  <wp:posOffset>1613535</wp:posOffset>
                </wp:positionH>
                <wp:positionV relativeFrom="paragraph">
                  <wp:posOffset>578485</wp:posOffset>
                </wp:positionV>
                <wp:extent cx="4552950" cy="668020"/>
                <wp:effectExtent l="0" t="0" r="0" b="0"/>
                <wp:wrapNone/>
                <wp:docPr id="15" name="文本框 14"/>
                <wp:cNvGraphicFramePr/>
                <a:graphic xmlns:a="http://schemas.openxmlformats.org/drawingml/2006/main">
                  <a:graphicData uri="http://schemas.microsoft.com/office/word/2010/wordprocessingShape">
                    <wps:wsp>
                      <wps:cNvSpPr txBox="1"/>
                      <wps:spPr>
                        <a:xfrm>
                          <a:off x="0" y="0"/>
                          <a:ext cx="4552950" cy="668020"/>
                        </a:xfrm>
                        <a:prstGeom prst="rect">
                          <a:avLst/>
                        </a:prstGeom>
                        <a:noFill/>
                        <a:ln>
                          <a:noFill/>
                        </a:ln>
                      </wps:spPr>
                      <wps:txbx>
                        <w:txbxContent>
                          <w:tbl>
                            <w:tblPr>
                              <w:tblStyle w:val="19"/>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85"/>
                              <w:gridCol w:w="3356"/>
                              <w:gridCol w:w="2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trPr>
                              <w:tc>
                                <w:tcPr>
                                  <w:tcW w:w="1185" w:type="dxa"/>
                                </w:tcPr>
                                <w:p>
                                  <w:pPr>
                                    <w:pStyle w:val="23"/>
                                    <w:spacing w:before="209"/>
                                    <w:ind w:left="360"/>
                                    <w:rPr>
                                      <w:rFonts w:ascii="仿宋" w:eastAsia="仿宋"/>
                                      <w:sz w:val="24"/>
                                    </w:rPr>
                                  </w:pPr>
                                  <w:r>
                                    <w:rPr>
                                      <w:rFonts w:hint="eastAsia" w:ascii="仿宋" w:eastAsia="仿宋"/>
                                      <w:sz w:val="24"/>
                                    </w:rPr>
                                    <w:t>序号</w:t>
                                  </w:r>
                                </w:p>
                              </w:tc>
                              <w:tc>
                                <w:tcPr>
                                  <w:tcW w:w="3356" w:type="dxa"/>
                                </w:tcPr>
                                <w:p>
                                  <w:pPr>
                                    <w:pStyle w:val="23"/>
                                    <w:spacing w:before="209"/>
                                    <w:ind w:right="1330" w:firstLine="480" w:firstLineChars="200"/>
                                    <w:jc w:val="both"/>
                                    <w:rPr>
                                      <w:rFonts w:ascii="仿宋" w:eastAsia="仿宋"/>
                                      <w:sz w:val="24"/>
                                    </w:rPr>
                                  </w:pPr>
                                  <w:r>
                                    <w:rPr>
                                      <w:rFonts w:hint="eastAsia" w:ascii="仿宋" w:eastAsia="仿宋"/>
                                      <w:sz w:val="24"/>
                                    </w:rPr>
                                    <w:t>名称</w:t>
                                  </w:r>
                                </w:p>
                              </w:tc>
                              <w:tc>
                                <w:tcPr>
                                  <w:tcW w:w="2518" w:type="dxa"/>
                                </w:tcPr>
                                <w:p>
                                  <w:pPr>
                                    <w:pStyle w:val="23"/>
                                    <w:spacing w:before="209"/>
                                    <w:ind w:left="1014" w:right="1007"/>
                                    <w:jc w:val="center"/>
                                    <w:rPr>
                                      <w:rFonts w:ascii="仿宋" w:eastAsia="仿宋"/>
                                      <w:sz w:val="24"/>
                                    </w:rPr>
                                  </w:pPr>
                                  <w:r>
                                    <w:rPr>
                                      <w:rFonts w:hint="eastAsia" w:ascii="仿宋" w:eastAsia="仿宋"/>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trPr>
                              <w:tc>
                                <w:tcPr>
                                  <w:tcW w:w="1185" w:type="dxa"/>
                                </w:tcPr>
                                <w:p>
                                  <w:pPr>
                                    <w:pStyle w:val="23"/>
                                    <w:rPr>
                                      <w:rFonts w:ascii="仿宋"/>
                                      <w:sz w:val="24"/>
                                    </w:rPr>
                                  </w:pPr>
                                </w:p>
                                <w:p>
                                  <w:pPr>
                                    <w:pStyle w:val="23"/>
                                    <w:spacing w:before="181"/>
                                    <w:ind w:left="206"/>
                                    <w:jc w:val="center"/>
                                    <w:rPr>
                                      <w:rFonts w:ascii="仿宋"/>
                                      <w:sz w:val="24"/>
                                    </w:rPr>
                                  </w:pPr>
                                </w:p>
                                <w:p>
                                  <w:pPr>
                                    <w:pStyle w:val="23"/>
                                    <w:spacing w:before="181"/>
                                    <w:ind w:left="206"/>
                                    <w:jc w:val="center"/>
                                    <w:rPr>
                                      <w:rFonts w:ascii="仿宋"/>
                                      <w:sz w:val="24"/>
                                    </w:rPr>
                                  </w:pPr>
                                  <w:r>
                                    <w:rPr>
                                      <w:rFonts w:ascii="仿宋"/>
                                      <w:sz w:val="24"/>
                                    </w:rPr>
                                    <w:t>1</w:t>
                                  </w:r>
                                </w:p>
                              </w:tc>
                              <w:tc>
                                <w:tcPr>
                                  <w:tcW w:w="3356" w:type="dxa"/>
                                </w:tcPr>
                                <w:p>
                                  <w:pPr>
                                    <w:pStyle w:val="23"/>
                                    <w:ind w:left="380"/>
                                    <w:rPr>
                                      <w:rFonts w:ascii="仿宋" w:eastAsia="仿宋"/>
                                      <w:sz w:val="24"/>
                                    </w:rPr>
                                  </w:pPr>
                                </w:p>
                                <w:p>
                                  <w:pPr>
                                    <w:pStyle w:val="23"/>
                                    <w:ind w:left="380"/>
                                    <w:rPr>
                                      <w:rFonts w:ascii="仿宋" w:eastAsia="仿宋"/>
                                      <w:sz w:val="24"/>
                                    </w:rPr>
                                  </w:pPr>
                                </w:p>
                                <w:p>
                                  <w:pPr>
                                    <w:pStyle w:val="23"/>
                                    <w:ind w:left="380"/>
                                    <w:rPr>
                                      <w:rFonts w:ascii="仿宋" w:eastAsia="仿宋"/>
                                      <w:sz w:val="24"/>
                                    </w:rPr>
                                  </w:pPr>
                                </w:p>
                                <w:p>
                                  <w:pPr>
                                    <w:pStyle w:val="23"/>
                                    <w:ind w:left="380"/>
                                    <w:rPr>
                                      <w:rFonts w:ascii="仿宋" w:eastAsia="仿宋"/>
                                      <w:sz w:val="24"/>
                                    </w:rPr>
                                  </w:pPr>
                                </w:p>
                              </w:tc>
                              <w:tc>
                                <w:tcPr>
                                  <w:tcW w:w="2518" w:type="dxa"/>
                                </w:tcPr>
                                <w:p>
                                  <w:pPr>
                                    <w:pStyle w:val="23"/>
                                    <w:rPr>
                                      <w:rFonts w:ascii="Times New Roman"/>
                                    </w:rPr>
                                  </w:pPr>
                                </w:p>
                              </w:tc>
                            </w:tr>
                          </w:tbl>
                          <w:p>
                            <w:pPr>
                              <w:pStyle w:val="9"/>
                            </w:pPr>
                          </w:p>
                        </w:txbxContent>
                      </wps:txbx>
                      <wps:bodyPr lIns="0" tIns="0" rIns="0" bIns="0" upright="1"/>
                    </wps:wsp>
                  </a:graphicData>
                </a:graphic>
              </wp:anchor>
            </w:drawing>
          </mc:Choice>
          <mc:Fallback>
            <w:pict>
              <v:shape id="文本框 14" o:spid="_x0000_s1026" o:spt="202" type="#_x0000_t202" style="position:absolute;left:0pt;margin-left:127.05pt;margin-top:45.55pt;height:52.6pt;width:358.5pt;mso-position-horizontal-relative:page;z-index:251675648;mso-width-relative:page;mso-height-relative:page;" filled="f" stroked="f" coordsize="21600,21600" o:gfxdata="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PVqBQNgAAAAKAQAADwAAAAAAAAABACAAAAAiAAAAZHJzL2Rvd25yZXYueG1sUEsB&#10;AhQAFAAAAAgAh07iQBAU6AW8AQAAdAMAAA4AAAAAAAAAAQAgAAAAJwEAAGRycy9lMm9Eb2MueG1s&#10;UEsFBgAAAAAGAAYAWQEAAFUFAAAAAA==&#10;">
                <v:fill on="f" focussize="0,0"/>
                <v:stroke on="f"/>
                <v:imagedata o:title=""/>
                <o:lock v:ext="edit" aspectratio="f"/>
                <v:textbox inset="0mm,0mm,0mm,0mm">
                  <w:txbxContent>
                    <w:tbl>
                      <w:tblPr>
                        <w:tblStyle w:val="19"/>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85"/>
                        <w:gridCol w:w="3356"/>
                        <w:gridCol w:w="2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1" w:hRule="atLeast"/>
                        </w:trPr>
                        <w:tc>
                          <w:tcPr>
                            <w:tcW w:w="1185" w:type="dxa"/>
                          </w:tcPr>
                          <w:p>
                            <w:pPr>
                              <w:pStyle w:val="23"/>
                              <w:spacing w:before="209"/>
                              <w:ind w:left="360"/>
                              <w:rPr>
                                <w:rFonts w:ascii="仿宋" w:eastAsia="仿宋"/>
                                <w:sz w:val="24"/>
                              </w:rPr>
                            </w:pPr>
                            <w:r>
                              <w:rPr>
                                <w:rFonts w:hint="eastAsia" w:ascii="仿宋" w:eastAsia="仿宋"/>
                                <w:sz w:val="24"/>
                              </w:rPr>
                              <w:t>序号</w:t>
                            </w:r>
                          </w:p>
                        </w:tc>
                        <w:tc>
                          <w:tcPr>
                            <w:tcW w:w="3356" w:type="dxa"/>
                          </w:tcPr>
                          <w:p>
                            <w:pPr>
                              <w:pStyle w:val="23"/>
                              <w:spacing w:before="209"/>
                              <w:ind w:right="1330" w:firstLine="480" w:firstLineChars="200"/>
                              <w:jc w:val="both"/>
                              <w:rPr>
                                <w:rFonts w:ascii="仿宋" w:eastAsia="仿宋"/>
                                <w:sz w:val="24"/>
                              </w:rPr>
                            </w:pPr>
                            <w:r>
                              <w:rPr>
                                <w:rFonts w:hint="eastAsia" w:ascii="仿宋" w:eastAsia="仿宋"/>
                                <w:sz w:val="24"/>
                              </w:rPr>
                              <w:t>名称</w:t>
                            </w:r>
                          </w:p>
                        </w:tc>
                        <w:tc>
                          <w:tcPr>
                            <w:tcW w:w="2518" w:type="dxa"/>
                          </w:tcPr>
                          <w:p>
                            <w:pPr>
                              <w:pStyle w:val="23"/>
                              <w:spacing w:before="209"/>
                              <w:ind w:left="1014" w:right="1007"/>
                              <w:jc w:val="center"/>
                              <w:rPr>
                                <w:rFonts w:ascii="仿宋" w:eastAsia="仿宋"/>
                                <w:sz w:val="24"/>
                              </w:rPr>
                            </w:pPr>
                            <w:r>
                              <w:rPr>
                                <w:rFonts w:hint="eastAsia" w:ascii="仿宋" w:eastAsia="仿宋"/>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04" w:hRule="atLeast"/>
                        </w:trPr>
                        <w:tc>
                          <w:tcPr>
                            <w:tcW w:w="1185" w:type="dxa"/>
                          </w:tcPr>
                          <w:p>
                            <w:pPr>
                              <w:pStyle w:val="23"/>
                              <w:rPr>
                                <w:rFonts w:ascii="仿宋"/>
                                <w:sz w:val="24"/>
                              </w:rPr>
                            </w:pPr>
                          </w:p>
                          <w:p>
                            <w:pPr>
                              <w:pStyle w:val="23"/>
                              <w:spacing w:before="181"/>
                              <w:ind w:left="206"/>
                              <w:jc w:val="center"/>
                              <w:rPr>
                                <w:rFonts w:ascii="仿宋"/>
                                <w:sz w:val="24"/>
                              </w:rPr>
                            </w:pPr>
                          </w:p>
                          <w:p>
                            <w:pPr>
                              <w:pStyle w:val="23"/>
                              <w:spacing w:before="181"/>
                              <w:ind w:left="206"/>
                              <w:jc w:val="center"/>
                              <w:rPr>
                                <w:rFonts w:ascii="仿宋"/>
                                <w:sz w:val="24"/>
                              </w:rPr>
                            </w:pPr>
                            <w:r>
                              <w:rPr>
                                <w:rFonts w:ascii="仿宋"/>
                                <w:sz w:val="24"/>
                              </w:rPr>
                              <w:t>1</w:t>
                            </w:r>
                          </w:p>
                        </w:tc>
                        <w:tc>
                          <w:tcPr>
                            <w:tcW w:w="3356" w:type="dxa"/>
                          </w:tcPr>
                          <w:p>
                            <w:pPr>
                              <w:pStyle w:val="23"/>
                              <w:ind w:left="380"/>
                              <w:rPr>
                                <w:rFonts w:ascii="仿宋" w:eastAsia="仿宋"/>
                                <w:sz w:val="24"/>
                              </w:rPr>
                            </w:pPr>
                          </w:p>
                          <w:p>
                            <w:pPr>
                              <w:pStyle w:val="23"/>
                              <w:ind w:left="380"/>
                              <w:rPr>
                                <w:rFonts w:ascii="仿宋" w:eastAsia="仿宋"/>
                                <w:sz w:val="24"/>
                              </w:rPr>
                            </w:pPr>
                          </w:p>
                          <w:p>
                            <w:pPr>
                              <w:pStyle w:val="23"/>
                              <w:ind w:left="380"/>
                              <w:rPr>
                                <w:rFonts w:ascii="仿宋" w:eastAsia="仿宋"/>
                                <w:sz w:val="24"/>
                              </w:rPr>
                            </w:pPr>
                          </w:p>
                          <w:p>
                            <w:pPr>
                              <w:pStyle w:val="23"/>
                              <w:ind w:left="380"/>
                              <w:rPr>
                                <w:rFonts w:ascii="仿宋" w:eastAsia="仿宋"/>
                                <w:sz w:val="24"/>
                              </w:rPr>
                            </w:pPr>
                          </w:p>
                        </w:tc>
                        <w:tc>
                          <w:tcPr>
                            <w:tcW w:w="2518" w:type="dxa"/>
                          </w:tcPr>
                          <w:p>
                            <w:pPr>
                              <w:pStyle w:val="23"/>
                              <w:rPr>
                                <w:rFonts w:ascii="Times New Roman"/>
                              </w:rPr>
                            </w:pPr>
                          </w:p>
                        </w:tc>
                      </w:tr>
                    </w:tbl>
                    <w:p>
                      <w:pPr>
                        <w:pStyle w:val="9"/>
                      </w:pPr>
                    </w:p>
                  </w:txbxContent>
                </v:textbox>
              </v:shape>
            </w:pict>
          </mc:Fallback>
        </mc:AlternateContent>
      </w:r>
      <w:r>
        <w:t>本合同总价为：￥</w:t>
      </w:r>
      <w:r>
        <w:tab/>
      </w:r>
      <w:r>
        <w:t>元（大写：</w:t>
      </w:r>
      <w:r>
        <w:rPr>
          <w:u w:val="single"/>
        </w:rPr>
        <w:t xml:space="preserve"> </w:t>
      </w:r>
      <w:r>
        <w:rPr>
          <w:u w:val="single"/>
        </w:rPr>
        <w:tab/>
      </w:r>
      <w:r>
        <w:t>元人民币）</w:t>
      </w:r>
      <w:r>
        <w:rPr>
          <w:spacing w:val="-17"/>
        </w:rPr>
        <w:t>。</w:t>
      </w:r>
      <w:r>
        <w:t>分项价格：</w:t>
      </w:r>
    </w:p>
    <w:p>
      <w:pPr>
        <w:pStyle w:val="9"/>
      </w:pPr>
    </w:p>
    <w:p>
      <w:pPr>
        <w:pStyle w:val="9"/>
      </w:pPr>
    </w:p>
    <w:p>
      <w:pPr>
        <w:pStyle w:val="9"/>
      </w:pPr>
    </w:p>
    <w:p>
      <w:pPr>
        <w:pStyle w:val="22"/>
        <w:numPr>
          <w:ilvl w:val="1"/>
          <w:numId w:val="35"/>
        </w:numPr>
        <w:tabs>
          <w:tab w:val="left" w:pos="1737"/>
        </w:tabs>
        <w:spacing w:before="173"/>
        <w:rPr>
          <w:b/>
          <w:sz w:val="24"/>
        </w:rPr>
      </w:pPr>
      <w:r>
        <w:rPr>
          <w:b/>
          <w:sz w:val="24"/>
        </w:rPr>
        <w:t>付款方式和发票开具方式</w:t>
      </w:r>
    </w:p>
    <w:p>
      <w:pPr>
        <w:pStyle w:val="9"/>
        <w:spacing w:before="10"/>
        <w:rPr>
          <w:b/>
          <w:sz w:val="19"/>
        </w:rPr>
      </w:pPr>
    </w:p>
    <w:p>
      <w:pPr>
        <w:pStyle w:val="9"/>
        <w:spacing w:before="66"/>
        <w:ind w:left="774"/>
      </w:pPr>
      <w:r>
        <w:t>付款方式：</w:t>
      </w:r>
    </w:p>
    <w:p>
      <w:pPr>
        <w:pStyle w:val="9"/>
        <w:spacing w:before="66"/>
        <w:ind w:left="774"/>
        <w:rPr>
          <w:u w:val="single"/>
        </w:rPr>
      </w:pPr>
      <w:r>
        <w:rPr>
          <w:rFonts w:hint="eastAsia"/>
          <w:u w:val="single"/>
        </w:rPr>
        <w:t>每月一次综合考核，按照评定结果每月支付管护费用。</w:t>
      </w:r>
    </w:p>
    <w:p>
      <w:pPr>
        <w:pStyle w:val="9"/>
        <w:spacing w:before="9"/>
        <w:rPr>
          <w:sz w:val="14"/>
        </w:rPr>
      </w:pPr>
    </w:p>
    <w:p>
      <w:pPr>
        <w:pStyle w:val="22"/>
        <w:numPr>
          <w:ilvl w:val="2"/>
          <w:numId w:val="35"/>
        </w:numPr>
        <w:tabs>
          <w:tab w:val="left" w:pos="1975"/>
          <w:tab w:val="left" w:pos="7493"/>
        </w:tabs>
        <w:spacing w:before="66"/>
        <w:ind w:hanging="721"/>
        <w:rPr>
          <w:sz w:val="24"/>
        </w:rPr>
      </w:pPr>
      <w:r>
        <w:rPr>
          <w:sz w:val="24"/>
        </w:rPr>
        <w:t>发票开具方式：</w:t>
      </w:r>
      <w:r>
        <w:rPr>
          <w:sz w:val="24"/>
          <w:u w:val="single"/>
        </w:rPr>
        <w:t>增值税普通发票</w:t>
      </w:r>
      <w:r>
        <w:rPr>
          <w:sz w:val="24"/>
        </w:rPr>
        <w:t>。</w:t>
      </w:r>
    </w:p>
    <w:p>
      <w:pPr>
        <w:pStyle w:val="9"/>
        <w:spacing w:before="8"/>
        <w:rPr>
          <w:sz w:val="19"/>
        </w:rPr>
      </w:pPr>
    </w:p>
    <w:p>
      <w:pPr>
        <w:pStyle w:val="22"/>
        <w:numPr>
          <w:ilvl w:val="1"/>
          <w:numId w:val="35"/>
        </w:numPr>
        <w:tabs>
          <w:tab w:val="left" w:pos="1737"/>
        </w:tabs>
        <w:rPr>
          <w:b/>
          <w:sz w:val="24"/>
        </w:rPr>
      </w:pPr>
      <w:r>
        <w:rPr>
          <w:b/>
          <w:sz w:val="24"/>
        </w:rPr>
        <w:t>履行期限、地点和方式</w:t>
      </w:r>
    </w:p>
    <w:p>
      <w:pPr>
        <w:pStyle w:val="9"/>
        <w:spacing w:before="8"/>
        <w:rPr>
          <w:b/>
          <w:sz w:val="19"/>
        </w:rPr>
      </w:pPr>
    </w:p>
    <w:p>
      <w:pPr>
        <w:pStyle w:val="22"/>
        <w:numPr>
          <w:ilvl w:val="2"/>
          <w:numId w:val="35"/>
        </w:numPr>
        <w:tabs>
          <w:tab w:val="left" w:pos="1975"/>
          <w:tab w:val="left" w:pos="4673"/>
        </w:tabs>
        <w:ind w:hanging="721"/>
        <w:rPr>
          <w:sz w:val="24"/>
        </w:rPr>
      </w:pPr>
      <w:r>
        <w:rPr>
          <w:sz w:val="24"/>
        </w:rPr>
        <w:t>履行期限：</w:t>
      </w:r>
      <w:r>
        <w:rPr>
          <w:spacing w:val="-1"/>
          <w:sz w:val="24"/>
          <w:u w:val="single"/>
        </w:rPr>
        <w:t xml:space="preserve"> </w:t>
      </w:r>
      <w:r>
        <w:rPr>
          <w:rFonts w:hint="eastAsia"/>
          <w:sz w:val="24"/>
          <w:u w:val="single"/>
        </w:rPr>
        <w:t>一年</w:t>
      </w:r>
      <w:r>
        <w:rPr>
          <w:sz w:val="24"/>
          <w:u w:val="single"/>
        </w:rPr>
        <w:tab/>
      </w:r>
      <w:r>
        <w:rPr>
          <w:sz w:val="24"/>
        </w:rPr>
        <w:t>；</w:t>
      </w:r>
    </w:p>
    <w:p>
      <w:pPr>
        <w:pStyle w:val="9"/>
        <w:spacing w:before="11"/>
        <w:rPr>
          <w:sz w:val="19"/>
        </w:rPr>
      </w:pPr>
    </w:p>
    <w:p>
      <w:pPr>
        <w:pStyle w:val="9"/>
        <w:spacing w:before="67"/>
        <w:ind w:firstLine="2016" w:firstLineChars="900"/>
        <w:rPr>
          <w:sz w:val="14"/>
          <w:lang w:val="en-US"/>
        </w:rPr>
      </w:pPr>
      <w:r>
        <w:rPr>
          <w:spacing w:val="-8"/>
        </w:rPr>
        <w:t>履行地点</w:t>
      </w:r>
      <w:r>
        <w:rPr>
          <w:rFonts w:hint="eastAsia"/>
          <w:u w:val="single"/>
          <w:lang w:val="en-US"/>
        </w:rPr>
        <w:t xml:space="preserve"> （各自区域）  </w:t>
      </w:r>
    </w:p>
    <w:p>
      <w:pPr>
        <w:pStyle w:val="22"/>
        <w:numPr>
          <w:ilvl w:val="2"/>
          <w:numId w:val="35"/>
        </w:numPr>
        <w:tabs>
          <w:tab w:val="left" w:pos="1975"/>
        </w:tabs>
        <w:spacing w:before="66"/>
        <w:ind w:hanging="721"/>
        <w:rPr>
          <w:sz w:val="24"/>
        </w:rPr>
      </w:pPr>
      <w:r>
        <w:rPr>
          <w:sz w:val="24"/>
        </w:rPr>
        <w:t>履行方式：</w:t>
      </w:r>
      <w:r>
        <w:rPr>
          <w:sz w:val="24"/>
          <w:u w:val="single"/>
        </w:rPr>
        <w:t>按约</w:t>
      </w:r>
      <w:r>
        <w:rPr>
          <w:rFonts w:hint="eastAsia"/>
          <w:sz w:val="24"/>
          <w:u w:val="single"/>
        </w:rPr>
        <w:t>“</w:t>
      </w:r>
      <w:r>
        <w:rPr>
          <w:rFonts w:hint="eastAsia"/>
          <w:sz w:val="24"/>
          <w:u w:val="single"/>
          <w:lang w:val="en-US"/>
        </w:rPr>
        <w:t>合同专用条款</w:t>
      </w:r>
      <w:r>
        <w:rPr>
          <w:rFonts w:hint="eastAsia"/>
          <w:sz w:val="24"/>
          <w:u w:val="single"/>
        </w:rPr>
        <w:t>”</w:t>
      </w:r>
      <w:r>
        <w:rPr>
          <w:sz w:val="24"/>
          <w:u w:val="single"/>
        </w:rPr>
        <w:t>履行</w:t>
      </w:r>
      <w:r>
        <w:rPr>
          <w:sz w:val="24"/>
        </w:rPr>
        <w:t>。</w:t>
      </w:r>
    </w:p>
    <w:p>
      <w:pPr>
        <w:pStyle w:val="9"/>
        <w:spacing w:before="9"/>
        <w:rPr>
          <w:sz w:val="19"/>
        </w:rPr>
      </w:pPr>
    </w:p>
    <w:p>
      <w:pPr>
        <w:pStyle w:val="22"/>
        <w:numPr>
          <w:ilvl w:val="1"/>
          <w:numId w:val="35"/>
        </w:numPr>
        <w:tabs>
          <w:tab w:val="left" w:pos="1737"/>
        </w:tabs>
        <w:rPr>
          <w:b/>
          <w:sz w:val="24"/>
        </w:rPr>
      </w:pPr>
      <w:r>
        <w:rPr>
          <w:b/>
          <w:sz w:val="24"/>
        </w:rPr>
        <w:t>违约责任</w:t>
      </w:r>
    </w:p>
    <w:p>
      <w:pPr>
        <w:pStyle w:val="9"/>
        <w:spacing w:before="8"/>
        <w:rPr>
          <w:b/>
          <w:sz w:val="19"/>
        </w:rPr>
      </w:pPr>
    </w:p>
    <w:p>
      <w:pPr>
        <w:pStyle w:val="22"/>
        <w:numPr>
          <w:ilvl w:val="2"/>
          <w:numId w:val="35"/>
        </w:numPr>
        <w:tabs>
          <w:tab w:val="left" w:pos="1975"/>
          <w:tab w:val="left" w:pos="2093"/>
          <w:tab w:val="left" w:pos="5924"/>
          <w:tab w:val="left" w:pos="6403"/>
        </w:tabs>
        <w:spacing w:line="436" w:lineRule="auto"/>
        <w:ind w:left="774" w:right="332" w:firstLine="480"/>
        <w:rPr>
          <w:sz w:val="24"/>
        </w:rPr>
      </w:pPr>
      <w:r>
        <w:rPr>
          <w:sz w:val="24"/>
        </w:rPr>
        <w:t>除不可抗力外</w:t>
      </w:r>
      <w:r>
        <w:rPr>
          <w:spacing w:val="-70"/>
          <w:sz w:val="24"/>
        </w:rPr>
        <w:t>，</w:t>
      </w:r>
      <w:r>
        <w:rPr>
          <w:sz w:val="24"/>
        </w:rPr>
        <w:t>如果乙方没有按照本合同约定的期限</w:t>
      </w:r>
      <w:r>
        <w:rPr>
          <w:spacing w:val="-72"/>
          <w:sz w:val="24"/>
        </w:rPr>
        <w:t>、</w:t>
      </w:r>
      <w:r>
        <w:rPr>
          <w:sz w:val="24"/>
        </w:rPr>
        <w:t>地点和方式履行</w:t>
      </w:r>
      <w:r>
        <w:rPr>
          <w:spacing w:val="-17"/>
          <w:sz w:val="24"/>
        </w:rPr>
        <w:t xml:space="preserve">， </w:t>
      </w:r>
      <w:r>
        <w:rPr>
          <w:sz w:val="24"/>
        </w:rPr>
        <w:t>那么甲方可要求乙方支付违约金</w:t>
      </w:r>
      <w:r>
        <w:rPr>
          <w:spacing w:val="-22"/>
          <w:sz w:val="24"/>
        </w:rPr>
        <w:t>，</w:t>
      </w:r>
      <w:r>
        <w:rPr>
          <w:sz w:val="24"/>
        </w:rPr>
        <w:t>违约金按每迟延履行一日的应提供而未提供服务价格的</w:t>
      </w:r>
      <w:r>
        <w:rPr>
          <w:spacing w:val="119"/>
          <w:sz w:val="24"/>
          <w:u w:val="single"/>
        </w:rPr>
        <w:t xml:space="preserve"> </w:t>
      </w:r>
      <w:r>
        <w:rPr>
          <w:sz w:val="24"/>
          <w:u w:val="single"/>
        </w:rPr>
        <w:t>1</w:t>
      </w:r>
      <w:r>
        <w:rPr>
          <w:sz w:val="24"/>
          <w:u w:val="single"/>
        </w:rPr>
        <w:tab/>
      </w:r>
      <w:r>
        <w:rPr>
          <w:sz w:val="24"/>
        </w:rPr>
        <w:t>%计算</w:t>
      </w:r>
      <w:r>
        <w:rPr>
          <w:spacing w:val="-10"/>
          <w:sz w:val="24"/>
        </w:rPr>
        <w:t>，</w:t>
      </w:r>
      <w:r>
        <w:rPr>
          <w:sz w:val="24"/>
        </w:rPr>
        <w:t>最高限额为本合同总价的</w:t>
      </w:r>
      <w:r>
        <w:rPr>
          <w:sz w:val="24"/>
          <w:u w:val="single"/>
        </w:rPr>
        <w:t xml:space="preserve"> </w:t>
      </w:r>
      <w:r>
        <w:rPr>
          <w:sz w:val="24"/>
          <w:u w:val="single"/>
        </w:rPr>
        <w:tab/>
      </w:r>
      <w:r>
        <w:rPr>
          <w:sz w:val="24"/>
          <w:u w:val="single"/>
        </w:rPr>
        <w:t>15</w:t>
      </w:r>
      <w:r>
        <w:rPr>
          <w:sz w:val="24"/>
          <w:u w:val="single"/>
        </w:rPr>
        <w:tab/>
      </w:r>
      <w:r>
        <w:rPr>
          <w:spacing w:val="-6"/>
          <w:sz w:val="24"/>
        </w:rPr>
        <w:t>%；</w:t>
      </w:r>
      <w:r>
        <w:rPr>
          <w:sz w:val="24"/>
        </w:rPr>
        <w:t>迟延履行的违约金计算数额达到前述最高限额之日起</w:t>
      </w:r>
      <w:r>
        <w:rPr>
          <w:spacing w:val="-10"/>
          <w:sz w:val="24"/>
        </w:rPr>
        <w:t>，</w:t>
      </w:r>
      <w:r>
        <w:rPr>
          <w:sz w:val="24"/>
        </w:rPr>
        <w:t>甲方有权在要求乙方支付违约金的同时</w:t>
      </w:r>
      <w:r>
        <w:rPr>
          <w:spacing w:val="-12"/>
          <w:sz w:val="24"/>
        </w:rPr>
        <w:t>，</w:t>
      </w:r>
      <w:r>
        <w:rPr>
          <w:sz w:val="24"/>
        </w:rPr>
        <w:t>书面通知乙方解除本合同；</w:t>
      </w:r>
    </w:p>
    <w:p>
      <w:pPr>
        <w:pStyle w:val="22"/>
        <w:numPr>
          <w:ilvl w:val="2"/>
          <w:numId w:val="35"/>
        </w:numPr>
        <w:tabs>
          <w:tab w:val="left" w:pos="1975"/>
          <w:tab w:val="left" w:pos="4013"/>
        </w:tabs>
        <w:spacing w:before="3" w:line="436" w:lineRule="auto"/>
        <w:ind w:left="774" w:right="332" w:firstLine="480"/>
        <w:rPr>
          <w:sz w:val="24"/>
        </w:rPr>
      </w:pPr>
      <w:r>
        <w:rPr>
          <w:sz w:val="24"/>
        </w:rPr>
        <w:t>除不可抗力外</w:t>
      </w:r>
      <w:r>
        <w:rPr>
          <w:spacing w:val="-10"/>
          <w:sz w:val="24"/>
        </w:rPr>
        <w:t>，</w:t>
      </w:r>
      <w:r>
        <w:rPr>
          <w:sz w:val="24"/>
        </w:rPr>
        <w:t>如果甲方没有按照本合同约定的付款方式付款</w:t>
      </w:r>
      <w:r>
        <w:rPr>
          <w:spacing w:val="-12"/>
          <w:sz w:val="24"/>
        </w:rPr>
        <w:t>，</w:t>
      </w:r>
      <w:r>
        <w:rPr>
          <w:sz w:val="24"/>
        </w:rPr>
        <w:t>那么乙方可要求甲方支付违约金，违约金按每迟延付款一日的应付而未付款的</w:t>
      </w:r>
      <w:r>
        <w:rPr>
          <w:spacing w:val="119"/>
          <w:sz w:val="24"/>
          <w:u w:val="single"/>
        </w:rPr>
        <w:t xml:space="preserve"> </w:t>
      </w:r>
      <w:r>
        <w:rPr>
          <w:sz w:val="24"/>
          <w:u w:val="single"/>
        </w:rPr>
        <w:t>1</w:t>
      </w:r>
      <w:r>
        <w:rPr>
          <w:spacing w:val="-22"/>
          <w:sz w:val="24"/>
        </w:rPr>
        <w:t xml:space="preserve"> </w:t>
      </w:r>
      <w:r>
        <w:rPr>
          <w:sz w:val="24"/>
        </w:rPr>
        <w:t>%计算</w:t>
      </w:r>
      <w:r>
        <w:rPr>
          <w:spacing w:val="-16"/>
          <w:sz w:val="24"/>
        </w:rPr>
        <w:t xml:space="preserve">， </w:t>
      </w:r>
      <w:r>
        <w:rPr>
          <w:sz w:val="24"/>
        </w:rPr>
        <w:t>最高限额为本合同总价的</w:t>
      </w:r>
      <w:r>
        <w:rPr>
          <w:spacing w:val="-1"/>
          <w:sz w:val="24"/>
          <w:u w:val="single"/>
        </w:rPr>
        <w:t xml:space="preserve"> </w:t>
      </w:r>
      <w:r>
        <w:rPr>
          <w:sz w:val="24"/>
          <w:u w:val="single"/>
        </w:rPr>
        <w:t>15</w:t>
      </w:r>
      <w:r>
        <w:rPr>
          <w:sz w:val="24"/>
          <w:u w:val="single"/>
        </w:rPr>
        <w:tab/>
      </w:r>
      <w:r>
        <w:rPr>
          <w:spacing w:val="-11"/>
          <w:sz w:val="24"/>
        </w:rPr>
        <w:t>%；</w:t>
      </w:r>
      <w:r>
        <w:rPr>
          <w:sz w:val="24"/>
        </w:rPr>
        <w:t>迟延付款的违约金计算数额达到前述最高限额之日起，乙方有权在要求甲方支付违约金的同时，书面通知甲方解除本合同；</w:t>
      </w:r>
    </w:p>
    <w:p>
      <w:pPr>
        <w:pStyle w:val="22"/>
        <w:numPr>
          <w:ilvl w:val="2"/>
          <w:numId w:val="35"/>
        </w:numPr>
        <w:tabs>
          <w:tab w:val="left" w:pos="1975"/>
        </w:tabs>
        <w:spacing w:line="436" w:lineRule="auto"/>
        <w:ind w:left="774" w:right="452" w:firstLine="480"/>
        <w:jc w:val="both"/>
        <w:rPr>
          <w:spacing w:val="-1"/>
          <w:sz w:val="24"/>
        </w:rPr>
      </w:pPr>
      <w:r>
        <w:rPr>
          <w:spacing w:val="-4"/>
          <w:sz w:val="24"/>
        </w:rPr>
        <w:t>除不可抗力外，任何一方未能履行本合同约定的其他主要义务，经催告</w:t>
      </w:r>
      <w:r>
        <w:rPr>
          <w:spacing w:val="-3"/>
          <w:sz w:val="24"/>
        </w:rPr>
        <w:t>后在合理期限内仍未履行的，或者任何一方有其他违约行为致使不能实现合同目的</w:t>
      </w:r>
      <w:r>
        <w:rPr>
          <w:spacing w:val="-4"/>
          <w:sz w:val="24"/>
        </w:rPr>
        <w:t>的，或者任何一方有腐败行为</w:t>
      </w:r>
      <w:r>
        <w:rPr>
          <w:sz w:val="24"/>
        </w:rPr>
        <w:t>（</w:t>
      </w:r>
      <w:r>
        <w:rPr>
          <w:spacing w:val="-4"/>
          <w:sz w:val="24"/>
        </w:rPr>
        <w:t>即：提供或给予或接受或索取任何财物或其他好处</w:t>
      </w:r>
      <w:r>
        <w:rPr>
          <w:spacing w:val="-1"/>
          <w:sz w:val="24"/>
        </w:rPr>
        <w:t>或者采取其他不正当手段来影响对方当事人在合同签订、履行过程中的行为</w:t>
      </w:r>
      <w:r>
        <w:rPr>
          <w:spacing w:val="-12"/>
          <w:sz w:val="24"/>
        </w:rPr>
        <w:t>）</w:t>
      </w:r>
      <w:r>
        <w:rPr>
          <w:spacing w:val="-9"/>
          <w:sz w:val="24"/>
        </w:rPr>
        <w:t>或者</w:t>
      </w:r>
      <w:r>
        <w:rPr>
          <w:spacing w:val="-2"/>
          <w:sz w:val="24"/>
        </w:rPr>
        <w:t>欺诈行为</w:t>
      </w:r>
      <w:r>
        <w:rPr>
          <w:sz w:val="24"/>
        </w:rPr>
        <w:t>（</w:t>
      </w:r>
      <w:r>
        <w:rPr>
          <w:spacing w:val="-5"/>
          <w:sz w:val="24"/>
        </w:rPr>
        <w:t>即：以谎报事实或隐瞒真相的方法来影响对方当事人在合同签订、履行</w:t>
      </w:r>
      <w:r>
        <w:rPr>
          <w:spacing w:val="-1"/>
          <w:sz w:val="24"/>
        </w:rPr>
        <w:t>过程中的行为）的，对方当事人可以书面通知违约方解除本合同；</w:t>
      </w:r>
    </w:p>
    <w:p>
      <w:pPr>
        <w:pStyle w:val="22"/>
        <w:numPr>
          <w:ilvl w:val="2"/>
          <w:numId w:val="35"/>
        </w:numPr>
        <w:tabs>
          <w:tab w:val="left" w:pos="1975"/>
        </w:tabs>
        <w:spacing w:line="436" w:lineRule="auto"/>
        <w:ind w:left="774" w:right="452" w:firstLine="480"/>
        <w:jc w:val="both"/>
        <w:rPr>
          <w:spacing w:val="-1"/>
          <w:sz w:val="24"/>
        </w:rPr>
      </w:pPr>
      <w:r>
        <w:rPr>
          <w:spacing w:val="-1"/>
          <w:sz w:val="24"/>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pStyle w:val="22"/>
        <w:numPr>
          <w:ilvl w:val="2"/>
          <w:numId w:val="35"/>
        </w:numPr>
        <w:tabs>
          <w:tab w:val="left" w:pos="1975"/>
        </w:tabs>
        <w:spacing w:line="436" w:lineRule="auto"/>
        <w:ind w:left="774" w:right="452" w:firstLine="480"/>
        <w:jc w:val="both"/>
        <w:rPr>
          <w:spacing w:val="-1"/>
          <w:sz w:val="24"/>
        </w:rPr>
      </w:pPr>
      <w:r>
        <w:rPr>
          <w:spacing w:val="-1"/>
          <w:sz w:val="24"/>
        </w:rPr>
        <w:t>除前述约定外，除不可抗力外，任何一方未能履行本合同约定的义务， 对方当事人均有权要求继续履行、采取补救措施或者赔偿损失等，且对方当事人行使的任何权利救济方式均不视为其放弃了其他法定或者约定的权利救济方式；</w:t>
      </w:r>
    </w:p>
    <w:p>
      <w:pPr>
        <w:pStyle w:val="22"/>
        <w:numPr>
          <w:ilvl w:val="2"/>
          <w:numId w:val="35"/>
        </w:numPr>
        <w:tabs>
          <w:tab w:val="left" w:pos="1975"/>
        </w:tabs>
        <w:spacing w:line="436" w:lineRule="auto"/>
        <w:ind w:left="774" w:right="452" w:firstLine="480"/>
        <w:jc w:val="both"/>
        <w:rPr>
          <w:sz w:val="24"/>
        </w:rPr>
      </w:pPr>
      <w:r>
        <w:rPr>
          <w:spacing w:val="-1"/>
          <w:sz w:val="24"/>
        </w:rPr>
        <w:t>如果出现政府采购监督管理部门在处理投诉事项期间，书面通知甲方暂停采购活动的情形，或者询问或质疑</w:t>
      </w:r>
      <w:r>
        <w:rPr>
          <w:spacing w:val="-4"/>
          <w:sz w:val="24"/>
        </w:rPr>
        <w:t>事项可能影响中标结果的，导致甲方中止履行</w:t>
      </w:r>
      <w:r>
        <w:rPr>
          <w:sz w:val="24"/>
        </w:rPr>
        <w:t>合同的情形，均不视为甲方违约。</w:t>
      </w:r>
    </w:p>
    <w:p>
      <w:pPr>
        <w:pStyle w:val="22"/>
        <w:numPr>
          <w:ilvl w:val="1"/>
          <w:numId w:val="35"/>
        </w:numPr>
        <w:tabs>
          <w:tab w:val="left" w:pos="1737"/>
        </w:tabs>
        <w:spacing w:before="1"/>
        <w:jc w:val="both"/>
        <w:rPr>
          <w:b/>
          <w:sz w:val="24"/>
        </w:rPr>
      </w:pPr>
      <w:r>
        <w:rPr>
          <w:b/>
          <w:sz w:val="24"/>
        </w:rPr>
        <w:t>合同争议的解决</w:t>
      </w:r>
    </w:p>
    <w:p>
      <w:pPr>
        <w:pStyle w:val="9"/>
        <w:spacing w:before="9"/>
        <w:rPr>
          <w:b/>
          <w:sz w:val="19"/>
        </w:rPr>
      </w:pPr>
    </w:p>
    <w:p>
      <w:pPr>
        <w:pStyle w:val="9"/>
        <w:spacing w:line="439" w:lineRule="auto"/>
        <w:ind w:left="774" w:right="430" w:firstLine="480"/>
        <w:jc w:val="both"/>
      </w:pPr>
      <w:r>
        <w:t>本合同履行过程中发生的任何争议，双方当事人均可通过和解或者调解解决； 不愿和解、调解或者和解、调解不成的，可以选择下列第</w:t>
      </w:r>
      <w:r>
        <w:rPr>
          <w:u w:val="single"/>
        </w:rPr>
        <w:t xml:space="preserve"> 2 </w:t>
      </w:r>
      <w:r>
        <w:t>种方式解决：</w:t>
      </w:r>
    </w:p>
    <w:p>
      <w:pPr>
        <w:pStyle w:val="22"/>
        <w:numPr>
          <w:ilvl w:val="2"/>
          <w:numId w:val="35"/>
        </w:numPr>
        <w:tabs>
          <w:tab w:val="left" w:pos="1982"/>
        </w:tabs>
        <w:spacing w:line="436" w:lineRule="auto"/>
        <w:ind w:left="774" w:right="449" w:firstLine="480"/>
        <w:jc w:val="both"/>
        <w:rPr>
          <w:sz w:val="24"/>
        </w:rPr>
      </w:pPr>
      <w:r>
        <w:rPr>
          <w:spacing w:val="7"/>
          <w:sz w:val="24"/>
        </w:rPr>
        <w:t>将争议提交</w:t>
      </w:r>
      <w:r>
        <w:rPr>
          <w:rFonts w:hint="eastAsia"/>
          <w:spacing w:val="7"/>
          <w:sz w:val="24"/>
          <w:u w:val="single"/>
          <w:lang w:val="en-US"/>
        </w:rPr>
        <w:t xml:space="preserve">       </w:t>
      </w:r>
      <w:r>
        <w:rPr>
          <w:spacing w:val="5"/>
          <w:sz w:val="24"/>
        </w:rPr>
        <w:t>依申请仲裁时其现行有效的</w:t>
      </w:r>
      <w:r>
        <w:rPr>
          <w:sz w:val="24"/>
        </w:rPr>
        <w:t>仲裁规则裁决；</w:t>
      </w:r>
    </w:p>
    <w:p>
      <w:pPr>
        <w:pStyle w:val="22"/>
        <w:numPr>
          <w:ilvl w:val="2"/>
          <w:numId w:val="35"/>
        </w:numPr>
        <w:tabs>
          <w:tab w:val="left" w:pos="1975"/>
        </w:tabs>
        <w:ind w:hanging="721"/>
        <w:jc w:val="both"/>
        <w:rPr>
          <w:sz w:val="24"/>
        </w:rPr>
      </w:pPr>
      <w:r>
        <w:rPr>
          <w:sz w:val="24"/>
        </w:rPr>
        <w:t>向</w:t>
      </w:r>
      <w:r>
        <w:rPr>
          <w:spacing w:val="19"/>
          <w:sz w:val="24"/>
          <w:u w:val="single"/>
        </w:rPr>
        <w:t xml:space="preserve"> 甲方所在地</w:t>
      </w:r>
      <w:r>
        <w:rPr>
          <w:spacing w:val="14"/>
          <w:sz w:val="24"/>
        </w:rPr>
        <w:t xml:space="preserve"> 人民法院起诉。</w:t>
      </w:r>
    </w:p>
    <w:p>
      <w:pPr>
        <w:pStyle w:val="9"/>
        <w:spacing w:before="5"/>
        <w:rPr>
          <w:sz w:val="19"/>
        </w:rPr>
      </w:pPr>
    </w:p>
    <w:p>
      <w:pPr>
        <w:pStyle w:val="22"/>
        <w:numPr>
          <w:ilvl w:val="1"/>
          <w:numId w:val="35"/>
        </w:numPr>
        <w:tabs>
          <w:tab w:val="left" w:pos="1737"/>
        </w:tabs>
        <w:jc w:val="both"/>
        <w:rPr>
          <w:b/>
          <w:sz w:val="24"/>
        </w:rPr>
      </w:pPr>
      <w:r>
        <w:rPr>
          <w:b/>
          <w:sz w:val="24"/>
        </w:rPr>
        <w:t>合同生效</w:t>
      </w:r>
    </w:p>
    <w:p>
      <w:pPr>
        <w:pStyle w:val="9"/>
        <w:spacing w:before="8"/>
        <w:rPr>
          <w:b/>
          <w:sz w:val="19"/>
        </w:rPr>
      </w:pPr>
    </w:p>
    <w:p>
      <w:pPr>
        <w:pStyle w:val="9"/>
        <w:ind w:left="1254"/>
      </w:pPr>
      <w:r>
        <w:t>本合同自双方当事人盖章或者签字时生效。</w:t>
      </w:r>
    </w:p>
    <w:p>
      <w:pPr>
        <w:pStyle w:val="9"/>
      </w:pPr>
    </w:p>
    <w:p>
      <w:pPr>
        <w:pStyle w:val="9"/>
      </w:pPr>
    </w:p>
    <w:p>
      <w:pPr>
        <w:tabs>
          <w:tab w:val="left" w:pos="5696"/>
        </w:tabs>
        <w:spacing w:before="198"/>
        <w:ind w:left="774"/>
        <w:rPr>
          <w:sz w:val="24"/>
        </w:rPr>
      </w:pPr>
      <w:r>
        <w:rPr>
          <w:b/>
          <w:sz w:val="24"/>
        </w:rPr>
        <w:t>甲方</w:t>
      </w:r>
      <w:r>
        <w:rPr>
          <w:sz w:val="24"/>
        </w:rPr>
        <w:t>：</w:t>
      </w:r>
      <w:r>
        <w:rPr>
          <w:sz w:val="24"/>
        </w:rPr>
        <w:tab/>
      </w:r>
      <w:r>
        <w:rPr>
          <w:b/>
          <w:sz w:val="24"/>
        </w:rPr>
        <w:t>乙方</w:t>
      </w:r>
      <w:r>
        <w:rPr>
          <w:sz w:val="24"/>
        </w:rPr>
        <w:t>：</w:t>
      </w:r>
    </w:p>
    <w:p>
      <w:pPr>
        <w:pStyle w:val="9"/>
        <w:spacing w:before="8"/>
        <w:rPr>
          <w:sz w:val="19"/>
        </w:rPr>
      </w:pPr>
    </w:p>
    <w:p>
      <w:pPr>
        <w:pStyle w:val="9"/>
        <w:tabs>
          <w:tab w:val="left" w:pos="5814"/>
        </w:tabs>
        <w:spacing w:before="1"/>
        <w:ind w:left="774"/>
      </w:pPr>
      <w:r>
        <w:t>统一社会信用代码：</w:t>
      </w:r>
      <w:r>
        <w:tab/>
      </w:r>
      <w:r>
        <w:t>统一社会信用代码或身份证号码：</w:t>
      </w:r>
    </w:p>
    <w:p>
      <w:pPr>
        <w:pStyle w:val="9"/>
      </w:pPr>
    </w:p>
    <w:p>
      <w:pPr>
        <w:pStyle w:val="9"/>
      </w:pPr>
    </w:p>
    <w:p>
      <w:pPr>
        <w:pStyle w:val="9"/>
        <w:tabs>
          <w:tab w:val="left" w:pos="5694"/>
        </w:tabs>
        <w:spacing w:before="198"/>
        <w:ind w:left="774"/>
      </w:pPr>
      <w:r>
        <w:t>住所：</w:t>
      </w:r>
      <w:r>
        <w:tab/>
      </w:r>
      <w:r>
        <w:t>住所：</w:t>
      </w:r>
    </w:p>
    <w:p>
      <w:pPr>
        <w:pStyle w:val="9"/>
        <w:spacing w:before="8"/>
        <w:rPr>
          <w:sz w:val="19"/>
        </w:rPr>
      </w:pPr>
    </w:p>
    <w:p>
      <w:pPr>
        <w:pStyle w:val="9"/>
        <w:tabs>
          <w:tab w:val="left" w:pos="5694"/>
        </w:tabs>
        <w:ind w:left="774"/>
      </w:pPr>
      <w:r>
        <w:t>法定代表人或</w:t>
      </w:r>
      <w:r>
        <w:tab/>
      </w:r>
      <w:r>
        <w:t>法定代表人</w:t>
      </w:r>
    </w:p>
    <w:p>
      <w:pPr>
        <w:pStyle w:val="9"/>
        <w:spacing w:before="11"/>
        <w:rPr>
          <w:sz w:val="19"/>
        </w:rPr>
      </w:pPr>
    </w:p>
    <w:p>
      <w:pPr>
        <w:pStyle w:val="9"/>
        <w:tabs>
          <w:tab w:val="left" w:pos="5814"/>
        </w:tabs>
        <w:ind w:left="774"/>
      </w:pPr>
      <w:r>
        <w:t>授权代表（签字）：</w:t>
      </w:r>
      <w:r>
        <w:tab/>
      </w:r>
      <w:r>
        <w:t>或授权代表（签字）:</w:t>
      </w:r>
    </w:p>
    <w:p>
      <w:pPr>
        <w:pStyle w:val="9"/>
        <w:spacing w:before="8"/>
        <w:rPr>
          <w:sz w:val="19"/>
        </w:rPr>
      </w:pPr>
    </w:p>
    <w:p>
      <w:pPr>
        <w:pStyle w:val="9"/>
        <w:tabs>
          <w:tab w:val="left" w:pos="5694"/>
        </w:tabs>
        <w:ind w:left="774"/>
      </w:pPr>
      <w:r>
        <w:t>联系人：</w:t>
      </w:r>
      <w:r>
        <w:tab/>
      </w:r>
      <w:r>
        <w:t>联系人：</w:t>
      </w:r>
    </w:p>
    <w:p>
      <w:pPr>
        <w:pStyle w:val="9"/>
        <w:spacing w:before="8"/>
        <w:rPr>
          <w:sz w:val="19"/>
        </w:rPr>
      </w:pPr>
    </w:p>
    <w:p>
      <w:pPr>
        <w:pStyle w:val="9"/>
        <w:tabs>
          <w:tab w:val="left" w:pos="5694"/>
        </w:tabs>
        <w:ind w:left="774"/>
      </w:pPr>
      <w:r>
        <w:t>约定送达地址：</w:t>
      </w:r>
      <w:r>
        <w:tab/>
      </w:r>
      <w:r>
        <w:t>约定送达地址：</w:t>
      </w:r>
    </w:p>
    <w:p>
      <w:pPr>
        <w:pStyle w:val="9"/>
        <w:tabs>
          <w:tab w:val="left" w:pos="5694"/>
        </w:tabs>
        <w:ind w:left="774"/>
      </w:pPr>
    </w:p>
    <w:p>
      <w:pPr>
        <w:pStyle w:val="9"/>
        <w:tabs>
          <w:tab w:val="left" w:pos="5694"/>
        </w:tabs>
        <w:spacing w:before="83"/>
        <w:ind w:firstLine="720" w:firstLineChars="300"/>
      </w:pPr>
      <w:r>
        <w:t>邮政编码：</w:t>
      </w:r>
      <w:r>
        <w:tab/>
      </w:r>
      <w:r>
        <w:t>邮政编码：</w:t>
      </w:r>
    </w:p>
    <w:p>
      <w:pPr>
        <w:pStyle w:val="9"/>
        <w:spacing w:before="8"/>
        <w:rPr>
          <w:sz w:val="19"/>
        </w:rPr>
      </w:pPr>
    </w:p>
    <w:p>
      <w:pPr>
        <w:pStyle w:val="9"/>
        <w:tabs>
          <w:tab w:val="left" w:pos="5694"/>
        </w:tabs>
        <w:ind w:left="774"/>
      </w:pPr>
      <w:r>
        <w:t>电话:</w:t>
      </w:r>
      <w:r>
        <w:tab/>
      </w:r>
      <w:r>
        <w:t>电话:</w:t>
      </w:r>
    </w:p>
    <w:p>
      <w:pPr>
        <w:pStyle w:val="9"/>
        <w:spacing w:before="8"/>
        <w:rPr>
          <w:sz w:val="19"/>
        </w:rPr>
      </w:pPr>
    </w:p>
    <w:p>
      <w:pPr>
        <w:pStyle w:val="9"/>
        <w:tabs>
          <w:tab w:val="left" w:pos="5694"/>
        </w:tabs>
        <w:spacing w:before="1"/>
        <w:ind w:left="774"/>
      </w:pPr>
      <w:r>
        <w:t>传真:</w:t>
      </w:r>
      <w:r>
        <w:tab/>
      </w:r>
      <w:r>
        <w:t>传真:</w:t>
      </w:r>
    </w:p>
    <w:p>
      <w:pPr>
        <w:pStyle w:val="9"/>
        <w:spacing w:before="10"/>
        <w:rPr>
          <w:sz w:val="19"/>
        </w:rPr>
      </w:pPr>
    </w:p>
    <w:p>
      <w:pPr>
        <w:pStyle w:val="9"/>
        <w:tabs>
          <w:tab w:val="left" w:pos="5694"/>
        </w:tabs>
        <w:ind w:left="774"/>
      </w:pPr>
      <w:r>
        <w:t>电子邮箱：</w:t>
      </w:r>
      <w:r>
        <w:tab/>
      </w:r>
      <w:r>
        <w:t>电子邮箱：</w:t>
      </w:r>
    </w:p>
    <w:p>
      <w:pPr>
        <w:pStyle w:val="9"/>
        <w:spacing w:before="8"/>
        <w:rPr>
          <w:sz w:val="19"/>
        </w:rPr>
      </w:pPr>
    </w:p>
    <w:p>
      <w:pPr>
        <w:pStyle w:val="9"/>
        <w:tabs>
          <w:tab w:val="left" w:pos="5694"/>
        </w:tabs>
        <w:spacing w:before="1"/>
        <w:ind w:left="774"/>
      </w:pPr>
      <w:r>
        <w:t>开户银行：</w:t>
      </w:r>
      <w:r>
        <w:tab/>
      </w:r>
      <w:r>
        <w:t>开户银行：</w:t>
      </w:r>
    </w:p>
    <w:p>
      <w:pPr>
        <w:pStyle w:val="9"/>
        <w:spacing w:before="8"/>
        <w:rPr>
          <w:sz w:val="19"/>
        </w:rPr>
      </w:pPr>
    </w:p>
    <w:p>
      <w:pPr>
        <w:pStyle w:val="9"/>
        <w:tabs>
          <w:tab w:val="left" w:pos="5694"/>
        </w:tabs>
        <w:ind w:left="774"/>
      </w:pPr>
      <w:r>
        <w:t>开户名称：</w:t>
      </w:r>
      <w:r>
        <w:tab/>
      </w:r>
      <w:r>
        <w:t>开户名称：</w:t>
      </w:r>
    </w:p>
    <w:p>
      <w:pPr>
        <w:pStyle w:val="9"/>
        <w:spacing w:before="10"/>
        <w:rPr>
          <w:sz w:val="19"/>
        </w:rPr>
      </w:pPr>
    </w:p>
    <w:p>
      <w:pPr>
        <w:pStyle w:val="9"/>
        <w:tabs>
          <w:tab w:val="left" w:pos="5694"/>
        </w:tabs>
        <w:ind w:left="774"/>
        <w:sectPr>
          <w:footerReference r:id="rId17" w:type="default"/>
          <w:pgSz w:w="11910" w:h="16840"/>
          <w:pgMar w:top="1600" w:right="1020" w:bottom="1280" w:left="1040" w:header="0" w:footer="1093" w:gutter="0"/>
          <w:cols w:space="720" w:num="1"/>
        </w:sectPr>
      </w:pPr>
      <w:r>
        <w:t>开户账号：</w:t>
      </w:r>
      <w:r>
        <w:tab/>
      </w:r>
      <w:r>
        <w:t>开户账</w:t>
      </w:r>
    </w:p>
    <w:p>
      <w:pPr>
        <w:pStyle w:val="9"/>
      </w:pPr>
    </w:p>
    <w:p>
      <w:pPr>
        <w:spacing w:before="196"/>
        <w:ind w:left="544" w:right="16"/>
        <w:jc w:val="center"/>
        <w:rPr>
          <w:b/>
          <w:sz w:val="24"/>
        </w:rPr>
      </w:pPr>
      <w:bookmarkStart w:id="275" w:name="第二部分_合同一般条款"/>
      <w:bookmarkEnd w:id="275"/>
      <w:bookmarkStart w:id="276" w:name="_bookmark18"/>
      <w:bookmarkEnd w:id="276"/>
      <w:r>
        <w:rPr>
          <w:b/>
          <w:sz w:val="24"/>
        </w:rPr>
        <w:t>第二部分 合同一般条款</w:t>
      </w:r>
    </w:p>
    <w:p>
      <w:pPr>
        <w:pStyle w:val="9"/>
        <w:spacing w:before="11"/>
        <w:rPr>
          <w:b/>
          <w:sz w:val="19"/>
        </w:rPr>
      </w:pPr>
    </w:p>
    <w:p>
      <w:pPr>
        <w:pStyle w:val="22"/>
        <w:numPr>
          <w:ilvl w:val="1"/>
          <w:numId w:val="36"/>
        </w:numPr>
        <w:tabs>
          <w:tab w:val="left" w:pos="1737"/>
        </w:tabs>
        <w:rPr>
          <w:b/>
          <w:sz w:val="24"/>
        </w:rPr>
      </w:pPr>
      <w:bookmarkStart w:id="277" w:name="2.1_定义"/>
      <w:bookmarkEnd w:id="277"/>
      <w:bookmarkStart w:id="278" w:name="_bookmark19"/>
      <w:bookmarkEnd w:id="278"/>
      <w:r>
        <w:rPr>
          <w:b/>
          <w:sz w:val="24"/>
        </w:rPr>
        <w:t>定义</w:t>
      </w:r>
    </w:p>
    <w:p>
      <w:pPr>
        <w:pStyle w:val="9"/>
        <w:spacing w:before="8"/>
        <w:rPr>
          <w:b/>
          <w:sz w:val="19"/>
        </w:rPr>
      </w:pPr>
    </w:p>
    <w:p>
      <w:pPr>
        <w:pStyle w:val="9"/>
        <w:ind w:left="1254"/>
      </w:pPr>
      <w:r>
        <w:t>本合同中的下列词语应按以下内容进行解释：</w:t>
      </w:r>
    </w:p>
    <w:p>
      <w:pPr>
        <w:pStyle w:val="9"/>
        <w:spacing w:before="8"/>
        <w:rPr>
          <w:sz w:val="19"/>
        </w:rPr>
      </w:pPr>
    </w:p>
    <w:p>
      <w:pPr>
        <w:pStyle w:val="22"/>
        <w:numPr>
          <w:ilvl w:val="2"/>
          <w:numId w:val="36"/>
        </w:numPr>
        <w:tabs>
          <w:tab w:val="left" w:pos="1905"/>
        </w:tabs>
        <w:spacing w:before="1" w:line="439" w:lineRule="auto"/>
        <w:ind w:right="332" w:firstLine="480"/>
        <w:jc w:val="both"/>
        <w:rPr>
          <w:sz w:val="24"/>
        </w:rPr>
      </w:pPr>
      <w:r>
        <w:rPr>
          <w:spacing w:val="-10"/>
          <w:sz w:val="24"/>
        </w:rPr>
        <w:t xml:space="preserve">“合同”系指采购人和中标供应商签订的载明双方当事人所达成的协议， </w:t>
      </w:r>
      <w:r>
        <w:rPr>
          <w:sz w:val="24"/>
        </w:rPr>
        <w:t>并包括所有的附件、附录和构成合同的其他文件。</w:t>
      </w:r>
    </w:p>
    <w:p>
      <w:pPr>
        <w:pStyle w:val="22"/>
        <w:numPr>
          <w:ilvl w:val="2"/>
          <w:numId w:val="36"/>
        </w:numPr>
        <w:tabs>
          <w:tab w:val="left" w:pos="1970"/>
        </w:tabs>
        <w:spacing w:line="436" w:lineRule="auto"/>
        <w:ind w:right="452" w:firstLine="480"/>
        <w:jc w:val="both"/>
        <w:rPr>
          <w:sz w:val="24"/>
        </w:rPr>
      </w:pPr>
      <w:r>
        <w:rPr>
          <w:spacing w:val="-4"/>
          <w:sz w:val="24"/>
        </w:rPr>
        <w:t>“合同价”系指根据合同约定，中标供应商在完全履行合同义务后，采</w:t>
      </w:r>
      <w:r>
        <w:rPr>
          <w:sz w:val="24"/>
        </w:rPr>
        <w:t>购人应支付给中标供应商的价格。</w:t>
      </w:r>
    </w:p>
    <w:p>
      <w:pPr>
        <w:pStyle w:val="22"/>
        <w:numPr>
          <w:ilvl w:val="2"/>
          <w:numId w:val="36"/>
        </w:numPr>
        <w:tabs>
          <w:tab w:val="left" w:pos="1965"/>
        </w:tabs>
        <w:spacing w:line="436" w:lineRule="auto"/>
        <w:ind w:right="452" w:firstLine="480"/>
        <w:jc w:val="both"/>
        <w:rPr>
          <w:sz w:val="24"/>
        </w:rPr>
      </w:pPr>
      <w:r>
        <w:rPr>
          <w:spacing w:val="-4"/>
          <w:sz w:val="24"/>
        </w:rPr>
        <w:t>“服务”系指中标供应商根据合同约定应向采购人履行的除货物和服务</w:t>
      </w:r>
      <w:r>
        <w:rPr>
          <w:spacing w:val="-3"/>
          <w:sz w:val="24"/>
        </w:rPr>
        <w:t>以外的其他政府采购对象，包括采购人自身需要的服务和向社会公众提供的公共服</w:t>
      </w:r>
      <w:r>
        <w:rPr>
          <w:sz w:val="24"/>
        </w:rPr>
        <w:t>务。</w:t>
      </w:r>
    </w:p>
    <w:p>
      <w:pPr>
        <w:pStyle w:val="22"/>
        <w:numPr>
          <w:ilvl w:val="2"/>
          <w:numId w:val="36"/>
        </w:numPr>
        <w:tabs>
          <w:tab w:val="left" w:pos="1968"/>
        </w:tabs>
        <w:spacing w:line="436" w:lineRule="auto"/>
        <w:ind w:right="452" w:firstLine="480"/>
        <w:jc w:val="both"/>
        <w:rPr>
          <w:sz w:val="24"/>
        </w:rPr>
      </w:pPr>
      <w:r>
        <w:rPr>
          <w:spacing w:val="-4"/>
          <w:sz w:val="24"/>
        </w:rPr>
        <w:t>“甲方”系指与中标供应商签署合同的采购人；采购人委托采购代理机</w:t>
      </w:r>
      <w:r>
        <w:rPr>
          <w:sz w:val="24"/>
        </w:rPr>
        <w:t>构代表其与乙方签订合同的，采购人的授权委托书作为合同附件。</w:t>
      </w:r>
    </w:p>
    <w:p>
      <w:pPr>
        <w:pStyle w:val="22"/>
        <w:numPr>
          <w:ilvl w:val="2"/>
          <w:numId w:val="36"/>
        </w:numPr>
        <w:tabs>
          <w:tab w:val="left" w:pos="1968"/>
        </w:tabs>
        <w:spacing w:line="436" w:lineRule="auto"/>
        <w:ind w:right="452" w:firstLine="480"/>
        <w:jc w:val="both"/>
        <w:rPr>
          <w:sz w:val="24"/>
        </w:rPr>
      </w:pPr>
      <w:r>
        <w:rPr>
          <w:spacing w:val="-2"/>
          <w:sz w:val="24"/>
        </w:rPr>
        <w:t>“乙方”系指根据合同约定提供货物</w:t>
      </w:r>
      <w:r>
        <w:rPr>
          <w:sz w:val="24"/>
        </w:rPr>
        <w:t>/服务/</w:t>
      </w:r>
      <w:r>
        <w:rPr>
          <w:spacing w:val="-3"/>
          <w:sz w:val="24"/>
        </w:rPr>
        <w:t>工程的中标供应商；两个以</w:t>
      </w:r>
      <w:r>
        <w:rPr>
          <w:spacing w:val="-4"/>
          <w:sz w:val="24"/>
        </w:rPr>
        <w:t>上的自然人、法人或者其他组织组成一个联合体，以一个供应商的身份共同参加政府采购的，联合体各方均应为乙方或者与乙方相同地位的合同当事人，并就合同约</w:t>
      </w:r>
      <w:r>
        <w:rPr>
          <w:sz w:val="24"/>
        </w:rPr>
        <w:t>定的事项对甲方承担连带责任。</w:t>
      </w:r>
    </w:p>
    <w:p>
      <w:pPr>
        <w:spacing w:line="436" w:lineRule="auto"/>
        <w:jc w:val="both"/>
        <w:rPr>
          <w:sz w:val="24"/>
        </w:rPr>
        <w:sectPr>
          <w:pgSz w:w="11910" w:h="16840"/>
          <w:pgMar w:top="1600" w:right="1020" w:bottom="1280" w:left="1040" w:header="0" w:footer="1093" w:gutter="0"/>
          <w:cols w:space="720" w:num="1"/>
        </w:sectPr>
      </w:pPr>
    </w:p>
    <w:p>
      <w:pPr>
        <w:pStyle w:val="22"/>
        <w:numPr>
          <w:ilvl w:val="2"/>
          <w:numId w:val="36"/>
        </w:numPr>
        <w:tabs>
          <w:tab w:val="left" w:pos="1975"/>
        </w:tabs>
        <w:spacing w:before="83"/>
        <w:ind w:left="1974" w:hanging="721"/>
        <w:jc w:val="both"/>
        <w:rPr>
          <w:sz w:val="24"/>
        </w:rPr>
      </w:pPr>
      <w:r>
        <w:rPr>
          <w:sz w:val="24"/>
        </w:rPr>
        <w:t>“现场”系指合同约定提供货物/服务/工程的地点。</w:t>
      </w:r>
    </w:p>
    <w:p>
      <w:pPr>
        <w:pStyle w:val="9"/>
        <w:spacing w:before="8"/>
        <w:rPr>
          <w:sz w:val="19"/>
        </w:rPr>
      </w:pPr>
    </w:p>
    <w:p>
      <w:pPr>
        <w:pStyle w:val="22"/>
        <w:numPr>
          <w:ilvl w:val="1"/>
          <w:numId w:val="36"/>
        </w:numPr>
        <w:tabs>
          <w:tab w:val="left" w:pos="1737"/>
        </w:tabs>
        <w:jc w:val="both"/>
        <w:rPr>
          <w:b/>
          <w:sz w:val="24"/>
        </w:rPr>
      </w:pPr>
      <w:bookmarkStart w:id="279" w:name="2.2_技术规范"/>
      <w:bookmarkEnd w:id="279"/>
      <w:bookmarkStart w:id="280" w:name="_bookmark20"/>
      <w:bookmarkEnd w:id="280"/>
      <w:r>
        <w:rPr>
          <w:b/>
          <w:sz w:val="24"/>
        </w:rPr>
        <w:t>技术规范</w:t>
      </w:r>
    </w:p>
    <w:p>
      <w:pPr>
        <w:pStyle w:val="9"/>
        <w:spacing w:before="8"/>
        <w:rPr>
          <w:b/>
          <w:sz w:val="19"/>
        </w:rPr>
      </w:pPr>
    </w:p>
    <w:p>
      <w:pPr>
        <w:pStyle w:val="9"/>
        <w:spacing w:before="1" w:line="436" w:lineRule="auto"/>
        <w:ind w:left="774" w:right="452" w:firstLine="480"/>
        <w:jc w:val="both"/>
      </w:pPr>
      <w:r>
        <w:rPr>
          <w:spacing w:val="5"/>
        </w:rPr>
        <w:t>货物</w:t>
      </w:r>
      <w:r>
        <w:rPr>
          <w:spacing w:val="7"/>
        </w:rPr>
        <w:t>/服务</w:t>
      </w:r>
      <w:r>
        <w:rPr>
          <w:spacing w:val="4"/>
        </w:rPr>
        <w:t>/</w:t>
      </w:r>
      <w:r>
        <w:rPr>
          <w:spacing w:val="3"/>
        </w:rPr>
        <w:t>工程所应遵守的技术规范应与采购文件规定的技术规范和技术规</w:t>
      </w:r>
      <w:r>
        <w:rPr>
          <w:spacing w:val="-1"/>
        </w:rPr>
        <w:t>范附件(如果有的话)及其技术规范偏差表(如果被甲方接受的话)相一致；如果采购</w:t>
      </w:r>
      <w:r>
        <w:rPr>
          <w:spacing w:val="-3"/>
        </w:rPr>
        <w:t>文件中没有技术规范的相应说明，那么应以国家有关部门最新颁布的相应标准和规</w:t>
      </w:r>
      <w:r>
        <w:t>范为准。</w:t>
      </w:r>
    </w:p>
    <w:p>
      <w:pPr>
        <w:pStyle w:val="22"/>
        <w:numPr>
          <w:ilvl w:val="1"/>
          <w:numId w:val="36"/>
        </w:numPr>
        <w:tabs>
          <w:tab w:val="left" w:pos="1737"/>
        </w:tabs>
        <w:spacing w:before="3"/>
        <w:jc w:val="both"/>
        <w:rPr>
          <w:b/>
          <w:sz w:val="24"/>
        </w:rPr>
      </w:pPr>
      <w:bookmarkStart w:id="281" w:name="2.3_知识产权"/>
      <w:bookmarkEnd w:id="281"/>
      <w:bookmarkStart w:id="282" w:name="_bookmark21"/>
      <w:bookmarkEnd w:id="282"/>
      <w:r>
        <w:rPr>
          <w:b/>
          <w:sz w:val="24"/>
        </w:rPr>
        <w:t>知识产权</w:t>
      </w:r>
    </w:p>
    <w:p>
      <w:pPr>
        <w:pStyle w:val="9"/>
        <w:spacing w:before="8"/>
        <w:rPr>
          <w:b/>
          <w:sz w:val="19"/>
        </w:rPr>
      </w:pPr>
    </w:p>
    <w:p>
      <w:pPr>
        <w:pStyle w:val="22"/>
        <w:numPr>
          <w:ilvl w:val="2"/>
          <w:numId w:val="36"/>
        </w:numPr>
        <w:tabs>
          <w:tab w:val="left" w:pos="1982"/>
        </w:tabs>
        <w:spacing w:line="436" w:lineRule="auto"/>
        <w:ind w:right="452" w:firstLine="480"/>
        <w:jc w:val="both"/>
        <w:rPr>
          <w:sz w:val="24"/>
        </w:rPr>
      </w:pPr>
      <w:r>
        <w:rPr>
          <w:spacing w:val="6"/>
          <w:sz w:val="24"/>
        </w:rPr>
        <w:t>乙方应保证其提供的货物</w:t>
      </w:r>
      <w:r>
        <w:rPr>
          <w:spacing w:val="7"/>
          <w:sz w:val="24"/>
        </w:rPr>
        <w:t>/服务/</w:t>
      </w:r>
      <w:r>
        <w:rPr>
          <w:spacing w:val="5"/>
          <w:sz w:val="24"/>
        </w:rPr>
        <w:t>工程不受任何第三方提出的侵犯其著</w:t>
      </w:r>
      <w:r>
        <w:rPr>
          <w:spacing w:val="-6"/>
          <w:sz w:val="24"/>
        </w:rPr>
        <w:t>作权、商标权、专利权等知识产权方面的起诉；如果任何第三方提出侵权指控，那</w:t>
      </w:r>
      <w:r>
        <w:rPr>
          <w:sz w:val="24"/>
        </w:rPr>
        <w:t>么乙方须与该第三方交涉并承担由此发生的一切责任、费用和赔偿；</w:t>
      </w:r>
    </w:p>
    <w:p>
      <w:pPr>
        <w:pStyle w:val="22"/>
        <w:numPr>
          <w:ilvl w:val="2"/>
          <w:numId w:val="36"/>
        </w:numPr>
        <w:tabs>
          <w:tab w:val="left" w:pos="1975"/>
        </w:tabs>
        <w:spacing w:before="1" w:line="436" w:lineRule="auto"/>
        <w:ind w:right="452" w:firstLine="480"/>
        <w:jc w:val="both"/>
        <w:rPr>
          <w:sz w:val="24"/>
        </w:rPr>
      </w:pPr>
      <w:r>
        <w:rPr>
          <w:spacing w:val="-3"/>
          <w:sz w:val="24"/>
        </w:rPr>
        <w:t>合同涉及技术成果的归属和收益的分成办法的，技术成果归属为甲方乙</w:t>
      </w:r>
      <w:r>
        <w:rPr>
          <w:sz w:val="24"/>
        </w:rPr>
        <w:t>方所共有，由此产生的收益的分成办法按甲乙双方出资比例计算。</w:t>
      </w:r>
    </w:p>
    <w:p>
      <w:pPr>
        <w:pStyle w:val="22"/>
        <w:numPr>
          <w:ilvl w:val="1"/>
          <w:numId w:val="36"/>
        </w:numPr>
        <w:tabs>
          <w:tab w:val="left" w:pos="1737"/>
        </w:tabs>
        <w:spacing w:before="1"/>
        <w:jc w:val="both"/>
        <w:rPr>
          <w:b/>
          <w:sz w:val="24"/>
        </w:rPr>
      </w:pPr>
      <w:r>
        <w:rPr>
          <w:b/>
          <w:sz w:val="24"/>
        </w:rPr>
        <w:t>履约检查和问题反馈</w:t>
      </w:r>
    </w:p>
    <w:p>
      <w:pPr>
        <w:pStyle w:val="9"/>
        <w:spacing w:before="9"/>
        <w:rPr>
          <w:b/>
          <w:sz w:val="19"/>
        </w:rPr>
      </w:pPr>
    </w:p>
    <w:p>
      <w:pPr>
        <w:pStyle w:val="22"/>
        <w:numPr>
          <w:ilvl w:val="2"/>
          <w:numId w:val="36"/>
        </w:numPr>
        <w:tabs>
          <w:tab w:val="left" w:pos="1915"/>
        </w:tabs>
        <w:ind w:left="1914" w:hanging="661"/>
        <w:rPr>
          <w:sz w:val="24"/>
        </w:rPr>
      </w:pPr>
      <w:r>
        <w:rPr>
          <w:spacing w:val="-7"/>
          <w:sz w:val="24"/>
        </w:rPr>
        <w:t>甲方有权在其认为必要时，对乙方是否能够按照合同约定提供货物</w:t>
      </w:r>
      <w:r>
        <w:rPr>
          <w:sz w:val="24"/>
        </w:rPr>
        <w:t>/服务</w:t>
      </w:r>
    </w:p>
    <w:p>
      <w:pPr>
        <w:pStyle w:val="9"/>
        <w:spacing w:before="8"/>
        <w:rPr>
          <w:sz w:val="19"/>
        </w:rPr>
      </w:pPr>
    </w:p>
    <w:p>
      <w:pPr>
        <w:pStyle w:val="9"/>
        <w:spacing w:line="439" w:lineRule="auto"/>
        <w:ind w:left="774" w:right="452"/>
      </w:pPr>
      <w:r>
        <w:t>/工程进行履约检查，以确保乙方所提供的服务能够依约满足甲方之项目需求，但不得因履约检查妨碍乙方的正常工作，乙方应予积极配合；</w:t>
      </w:r>
    </w:p>
    <w:p>
      <w:pPr>
        <w:pStyle w:val="22"/>
        <w:numPr>
          <w:ilvl w:val="2"/>
          <w:numId w:val="36"/>
        </w:numPr>
        <w:tabs>
          <w:tab w:val="left" w:pos="1975"/>
        </w:tabs>
        <w:spacing w:line="436" w:lineRule="auto"/>
        <w:ind w:right="452" w:firstLine="480"/>
        <w:rPr>
          <w:sz w:val="24"/>
        </w:rPr>
      </w:pPr>
      <w:r>
        <w:rPr>
          <w:spacing w:val="-4"/>
          <w:sz w:val="24"/>
        </w:rPr>
        <w:t>合同履行期间，甲方有权将履行过程中出现的问题反馈给乙方，双方当</w:t>
      </w:r>
      <w:r>
        <w:rPr>
          <w:sz w:val="24"/>
        </w:rPr>
        <w:t>事人应以书面形式约定需要完善和改进的内容。</w:t>
      </w:r>
    </w:p>
    <w:p>
      <w:pPr>
        <w:pStyle w:val="22"/>
        <w:numPr>
          <w:ilvl w:val="1"/>
          <w:numId w:val="36"/>
        </w:numPr>
        <w:tabs>
          <w:tab w:val="left" w:pos="1737"/>
        </w:tabs>
        <w:rPr>
          <w:b/>
          <w:sz w:val="24"/>
        </w:rPr>
      </w:pPr>
      <w:bookmarkStart w:id="283" w:name="_bookmark22"/>
      <w:bookmarkEnd w:id="283"/>
      <w:bookmarkStart w:id="284" w:name="2.5_结算方式和付款条件"/>
      <w:bookmarkEnd w:id="284"/>
      <w:r>
        <w:rPr>
          <w:b/>
          <w:sz w:val="24"/>
        </w:rPr>
        <w:t>结算方式和付款条件</w:t>
      </w:r>
    </w:p>
    <w:p>
      <w:pPr>
        <w:pStyle w:val="9"/>
        <w:spacing w:before="5"/>
        <w:rPr>
          <w:b/>
          <w:sz w:val="19"/>
        </w:rPr>
      </w:pPr>
    </w:p>
    <w:p>
      <w:pPr>
        <w:pStyle w:val="22"/>
        <w:numPr>
          <w:ilvl w:val="2"/>
          <w:numId w:val="36"/>
        </w:numPr>
        <w:tabs>
          <w:tab w:val="left" w:pos="1915"/>
        </w:tabs>
        <w:ind w:left="1914" w:hanging="661"/>
        <w:jc w:val="both"/>
        <w:rPr>
          <w:sz w:val="24"/>
        </w:rPr>
      </w:pPr>
      <w:bookmarkStart w:id="285" w:name="2.5.1甲方通过转账结算等方式向乙方结清货款。"/>
      <w:bookmarkEnd w:id="285"/>
      <w:bookmarkStart w:id="286" w:name="_bookmark23"/>
      <w:bookmarkEnd w:id="286"/>
      <w:r>
        <w:rPr>
          <w:sz w:val="24"/>
        </w:rPr>
        <w:t>甲方通过转账结算等方式向乙方结清货款。</w:t>
      </w:r>
    </w:p>
    <w:p>
      <w:pPr>
        <w:pStyle w:val="9"/>
        <w:spacing w:before="8"/>
        <w:rPr>
          <w:sz w:val="19"/>
        </w:rPr>
      </w:pPr>
    </w:p>
    <w:p>
      <w:pPr>
        <w:pStyle w:val="22"/>
        <w:numPr>
          <w:ilvl w:val="2"/>
          <w:numId w:val="36"/>
        </w:numPr>
        <w:tabs>
          <w:tab w:val="left" w:pos="1857"/>
        </w:tabs>
        <w:spacing w:line="436" w:lineRule="auto"/>
        <w:ind w:right="452" w:firstLine="480"/>
        <w:jc w:val="both"/>
        <w:rPr>
          <w:sz w:val="24"/>
        </w:rPr>
      </w:pPr>
      <w:bookmarkStart w:id="287" w:name="2.5.2《喀什经济开发区绿地养护考核管理办法（试行）》和《喀什经济开发区环卫考"/>
      <w:bookmarkEnd w:id="287"/>
      <w:bookmarkStart w:id="288" w:name="_bookmark25"/>
      <w:bookmarkEnd w:id="288"/>
      <w:bookmarkStart w:id="289" w:name="_bookmark24"/>
      <w:bookmarkEnd w:id="289"/>
      <w:r>
        <w:rPr>
          <w:sz w:val="24"/>
        </w:rPr>
        <w:t>《喀什经济开发区绿地养护考核管理办法</w:t>
      </w:r>
      <w:r>
        <w:rPr>
          <w:spacing w:val="4"/>
          <w:sz w:val="24"/>
        </w:rPr>
        <w:t>（</w:t>
      </w:r>
      <w:r>
        <w:rPr>
          <w:sz w:val="24"/>
        </w:rPr>
        <w:t>试行</w:t>
      </w:r>
      <w:r>
        <w:rPr>
          <w:spacing w:val="4"/>
          <w:sz w:val="24"/>
        </w:rPr>
        <w:t>）</w:t>
      </w:r>
      <w:r>
        <w:rPr>
          <w:sz w:val="24"/>
        </w:rPr>
        <w:t>》和《喀什经济开发</w:t>
      </w:r>
      <w:r>
        <w:rPr>
          <w:spacing w:val="-1"/>
          <w:sz w:val="24"/>
        </w:rPr>
        <w:t>区环卫考核管理办法</w:t>
      </w:r>
      <w:r>
        <w:rPr>
          <w:sz w:val="24"/>
        </w:rPr>
        <w:t>（试行</w:t>
      </w:r>
      <w:r>
        <w:rPr>
          <w:spacing w:val="-5"/>
          <w:sz w:val="24"/>
        </w:rPr>
        <w:t>）</w:t>
      </w:r>
      <w:r>
        <w:rPr>
          <w:spacing w:val="-4"/>
          <w:sz w:val="24"/>
        </w:rPr>
        <w:t>》对管护公司每月一次现场考核，按考核结果支付每</w:t>
      </w:r>
      <w:r>
        <w:rPr>
          <w:sz w:val="24"/>
        </w:rPr>
        <w:t>月管护费用。</w:t>
      </w:r>
    </w:p>
    <w:p>
      <w:pPr>
        <w:pStyle w:val="22"/>
        <w:numPr>
          <w:ilvl w:val="1"/>
          <w:numId w:val="36"/>
        </w:numPr>
        <w:tabs>
          <w:tab w:val="left" w:pos="1737"/>
        </w:tabs>
        <w:spacing w:before="1"/>
        <w:jc w:val="both"/>
        <w:rPr>
          <w:b/>
          <w:sz w:val="24"/>
        </w:rPr>
      </w:pPr>
      <w:bookmarkStart w:id="290" w:name="2.6_技术资料和保密义务"/>
      <w:bookmarkEnd w:id="290"/>
      <w:r>
        <w:rPr>
          <w:b/>
          <w:sz w:val="24"/>
        </w:rPr>
        <w:t>技术资料和保密义务</w:t>
      </w:r>
    </w:p>
    <w:p>
      <w:pPr>
        <w:jc w:val="both"/>
        <w:rPr>
          <w:sz w:val="24"/>
        </w:rPr>
        <w:sectPr>
          <w:pgSz w:w="11910" w:h="16840"/>
          <w:pgMar w:top="1600" w:right="1020" w:bottom="1280" w:left="1040" w:header="0" w:footer="1093" w:gutter="0"/>
          <w:cols w:space="720" w:num="1"/>
        </w:sectPr>
      </w:pPr>
    </w:p>
    <w:p>
      <w:pPr>
        <w:pStyle w:val="22"/>
        <w:numPr>
          <w:ilvl w:val="2"/>
          <w:numId w:val="36"/>
        </w:numPr>
        <w:tabs>
          <w:tab w:val="left" w:pos="1975"/>
        </w:tabs>
        <w:spacing w:before="83" w:line="436" w:lineRule="auto"/>
        <w:ind w:right="452" w:firstLine="480"/>
        <w:jc w:val="both"/>
        <w:rPr>
          <w:sz w:val="24"/>
        </w:rPr>
      </w:pPr>
      <w:r>
        <w:rPr>
          <w:spacing w:val="-3"/>
          <w:sz w:val="24"/>
        </w:rPr>
        <w:t>乙方有权依据合同约定和项目需要，向甲方了解有关情况，调阅有关资</w:t>
      </w:r>
      <w:r>
        <w:rPr>
          <w:sz w:val="24"/>
        </w:rPr>
        <w:t>料等，甲方应予积极配合；</w:t>
      </w:r>
    </w:p>
    <w:p>
      <w:pPr>
        <w:pStyle w:val="22"/>
        <w:numPr>
          <w:ilvl w:val="2"/>
          <w:numId w:val="36"/>
        </w:numPr>
        <w:tabs>
          <w:tab w:val="left" w:pos="1975"/>
        </w:tabs>
        <w:spacing w:line="307" w:lineRule="exact"/>
        <w:ind w:left="1974" w:hanging="721"/>
        <w:jc w:val="both"/>
        <w:rPr>
          <w:sz w:val="24"/>
        </w:rPr>
      </w:pPr>
      <w:r>
        <w:rPr>
          <w:sz w:val="24"/>
        </w:rPr>
        <w:t>乙方有义务妥善保管和保护由甲方提供的前款信息和资料等；</w:t>
      </w:r>
    </w:p>
    <w:p>
      <w:pPr>
        <w:pStyle w:val="9"/>
        <w:spacing w:before="11"/>
        <w:rPr>
          <w:sz w:val="19"/>
        </w:rPr>
      </w:pPr>
    </w:p>
    <w:p>
      <w:pPr>
        <w:pStyle w:val="22"/>
        <w:numPr>
          <w:ilvl w:val="2"/>
          <w:numId w:val="36"/>
        </w:numPr>
        <w:tabs>
          <w:tab w:val="left" w:pos="1975"/>
        </w:tabs>
        <w:spacing w:line="436" w:lineRule="auto"/>
        <w:ind w:right="430" w:firstLine="480"/>
        <w:jc w:val="both"/>
        <w:rPr>
          <w:sz w:val="24"/>
        </w:rPr>
      </w:pPr>
      <w:r>
        <w:rPr>
          <w:spacing w:val="-2"/>
          <w:sz w:val="24"/>
        </w:rPr>
        <w:t>除非依照法律规定或者对方当事人的书面同意，任何一方均应保证不向</w:t>
      </w:r>
      <w:r>
        <w:rPr>
          <w:spacing w:val="3"/>
          <w:sz w:val="24"/>
        </w:rPr>
        <w:t>任何第三方提供或披露有关合同的或者履行合同过程中知悉的对方当事人任何未</w:t>
      </w:r>
      <w:r>
        <w:rPr>
          <w:spacing w:val="2"/>
          <w:sz w:val="24"/>
        </w:rPr>
        <w:t xml:space="preserve">公开的信息和资料，包括但不限于技术情报、技术资料、商业秘密和商业信息等， </w:t>
      </w:r>
      <w:r>
        <w:rPr>
          <w:spacing w:val="3"/>
          <w:sz w:val="24"/>
        </w:rPr>
        <w:t>并采取一切合理和必要措施和方式防止任何第三方接触到对方当事人的上述保密信息和资料。</w:t>
      </w:r>
    </w:p>
    <w:p>
      <w:pPr>
        <w:pStyle w:val="22"/>
        <w:numPr>
          <w:ilvl w:val="1"/>
          <w:numId w:val="36"/>
        </w:numPr>
        <w:tabs>
          <w:tab w:val="left" w:pos="1737"/>
        </w:tabs>
        <w:jc w:val="both"/>
        <w:rPr>
          <w:b/>
          <w:sz w:val="24"/>
        </w:rPr>
      </w:pPr>
      <w:bookmarkStart w:id="291" w:name="_bookmark26"/>
      <w:bookmarkEnd w:id="291"/>
      <w:bookmarkStart w:id="292" w:name="2.7_质量保证"/>
      <w:bookmarkEnd w:id="292"/>
      <w:r>
        <w:rPr>
          <w:b/>
          <w:sz w:val="24"/>
        </w:rPr>
        <w:t>质量保证</w:t>
      </w:r>
    </w:p>
    <w:p>
      <w:pPr>
        <w:pStyle w:val="9"/>
        <w:spacing w:before="10"/>
        <w:rPr>
          <w:b/>
          <w:sz w:val="19"/>
        </w:rPr>
      </w:pPr>
    </w:p>
    <w:p>
      <w:pPr>
        <w:pStyle w:val="22"/>
        <w:numPr>
          <w:ilvl w:val="2"/>
          <w:numId w:val="36"/>
        </w:numPr>
        <w:tabs>
          <w:tab w:val="left" w:pos="1975"/>
        </w:tabs>
        <w:spacing w:before="1" w:line="436" w:lineRule="auto"/>
        <w:ind w:right="452" w:firstLine="480"/>
        <w:jc w:val="both"/>
        <w:rPr>
          <w:sz w:val="24"/>
        </w:rPr>
      </w:pPr>
      <w:r>
        <w:rPr>
          <w:spacing w:val="-2"/>
          <w:sz w:val="24"/>
        </w:rPr>
        <w:t>乙方应建立和完善履行合同的内部质量保证体系，并提供相关内部规章</w:t>
      </w:r>
      <w:r>
        <w:rPr>
          <w:sz w:val="24"/>
        </w:rPr>
        <w:t>制度给甲方，以便甲方进行监督检查；</w:t>
      </w:r>
    </w:p>
    <w:p>
      <w:pPr>
        <w:pStyle w:val="22"/>
        <w:numPr>
          <w:ilvl w:val="2"/>
          <w:numId w:val="36"/>
        </w:numPr>
        <w:tabs>
          <w:tab w:val="left" w:pos="1975"/>
        </w:tabs>
        <w:spacing w:line="439" w:lineRule="auto"/>
        <w:ind w:right="452" w:firstLine="480"/>
        <w:jc w:val="both"/>
        <w:rPr>
          <w:sz w:val="24"/>
        </w:rPr>
      </w:pPr>
      <w:r>
        <w:rPr>
          <w:spacing w:val="-3"/>
          <w:sz w:val="24"/>
        </w:rPr>
        <w:t>乙方应保证履行合同的人员数量和素质、管护达到绿化养护环卫保洁二</w:t>
      </w:r>
      <w:r>
        <w:rPr>
          <w:sz w:val="24"/>
        </w:rPr>
        <w:t>级标准，并应接受甲方的监督检查。</w:t>
      </w:r>
    </w:p>
    <w:p>
      <w:pPr>
        <w:pStyle w:val="22"/>
        <w:numPr>
          <w:ilvl w:val="1"/>
          <w:numId w:val="36"/>
        </w:numPr>
        <w:tabs>
          <w:tab w:val="left" w:pos="1737"/>
        </w:tabs>
        <w:spacing w:line="303" w:lineRule="exact"/>
        <w:jc w:val="both"/>
        <w:rPr>
          <w:b/>
          <w:sz w:val="24"/>
        </w:rPr>
      </w:pPr>
      <w:bookmarkStart w:id="293" w:name="2.8_延迟履行"/>
      <w:bookmarkEnd w:id="293"/>
      <w:bookmarkStart w:id="294" w:name="_bookmark27"/>
      <w:bookmarkEnd w:id="294"/>
      <w:r>
        <w:rPr>
          <w:b/>
          <w:sz w:val="24"/>
        </w:rPr>
        <w:t>延迟履行</w:t>
      </w:r>
    </w:p>
    <w:p>
      <w:pPr>
        <w:pStyle w:val="9"/>
        <w:spacing w:before="7"/>
        <w:rPr>
          <w:b/>
          <w:sz w:val="19"/>
        </w:rPr>
      </w:pPr>
    </w:p>
    <w:p>
      <w:pPr>
        <w:pStyle w:val="9"/>
        <w:spacing w:line="436" w:lineRule="auto"/>
        <w:ind w:left="774" w:right="452" w:firstLine="480"/>
        <w:jc w:val="both"/>
      </w:pPr>
      <w:r>
        <w:rPr>
          <w:spacing w:val="-2"/>
        </w:rPr>
        <w:t>在合同履行过程中，如果乙方遇到不能按时提供货物</w:t>
      </w:r>
      <w:r>
        <w:t>/服务/</w:t>
      </w:r>
      <w:r>
        <w:rPr>
          <w:spacing w:val="-4"/>
        </w:rPr>
        <w:t>工程的情况，应及</w:t>
      </w:r>
      <w:r>
        <w:t>时以书面形式将不能按时提供货物/服务/</w:t>
      </w:r>
      <w:r>
        <w:rPr>
          <w:spacing w:val="-4"/>
        </w:rPr>
        <w:t>工程的理由、预期延误时间通知甲方；甲方收到乙方通知后，认为其理由正当的，可以书面形式酌情同意乙方可以延长履行</w:t>
      </w:r>
      <w:r>
        <w:t>的具体时间。</w:t>
      </w:r>
    </w:p>
    <w:p>
      <w:pPr>
        <w:pStyle w:val="22"/>
        <w:numPr>
          <w:ilvl w:val="1"/>
          <w:numId w:val="36"/>
        </w:numPr>
        <w:tabs>
          <w:tab w:val="left" w:pos="1737"/>
        </w:tabs>
        <w:spacing w:before="3"/>
        <w:jc w:val="both"/>
        <w:rPr>
          <w:b/>
          <w:sz w:val="24"/>
        </w:rPr>
      </w:pPr>
      <w:bookmarkStart w:id="295" w:name="2.9_合同变更"/>
      <w:bookmarkEnd w:id="295"/>
      <w:bookmarkStart w:id="296" w:name="_bookmark28"/>
      <w:bookmarkEnd w:id="296"/>
      <w:r>
        <w:rPr>
          <w:b/>
          <w:sz w:val="24"/>
        </w:rPr>
        <w:t>合同变更</w:t>
      </w:r>
    </w:p>
    <w:p>
      <w:pPr>
        <w:pStyle w:val="9"/>
        <w:spacing w:before="8"/>
        <w:rPr>
          <w:b/>
          <w:sz w:val="19"/>
        </w:rPr>
      </w:pPr>
    </w:p>
    <w:p>
      <w:pPr>
        <w:pStyle w:val="22"/>
        <w:numPr>
          <w:ilvl w:val="2"/>
          <w:numId w:val="36"/>
        </w:numPr>
        <w:tabs>
          <w:tab w:val="left" w:pos="1975"/>
        </w:tabs>
        <w:spacing w:line="436" w:lineRule="auto"/>
        <w:ind w:right="452" w:firstLine="480"/>
        <w:jc w:val="both"/>
        <w:rPr>
          <w:sz w:val="24"/>
        </w:rPr>
      </w:pPr>
      <w:r>
        <w:rPr>
          <w:spacing w:val="-3"/>
          <w:sz w:val="24"/>
        </w:rPr>
        <w:t>双方当事人协商一致，可以签订书面补充合同的形式变更合同，但不得</w:t>
      </w:r>
      <w:r>
        <w:rPr>
          <w:spacing w:val="-1"/>
          <w:sz w:val="24"/>
        </w:rPr>
        <w:t>违背采购文件确定的事项，且如果系追加与合同标的相同的货物</w:t>
      </w:r>
      <w:r>
        <w:rPr>
          <w:sz w:val="24"/>
        </w:rPr>
        <w:t>/服务/</w:t>
      </w:r>
      <w:r>
        <w:rPr>
          <w:spacing w:val="-6"/>
          <w:sz w:val="24"/>
        </w:rPr>
        <w:t>工程的，那</w:t>
      </w:r>
      <w:r>
        <w:rPr>
          <w:spacing w:val="-3"/>
          <w:sz w:val="24"/>
        </w:rPr>
        <w:t xml:space="preserve">么所有补充合同的采购金额不得超过原合同价的 </w:t>
      </w:r>
      <w:r>
        <w:rPr>
          <w:sz w:val="24"/>
        </w:rPr>
        <w:t>10%；</w:t>
      </w:r>
    </w:p>
    <w:p>
      <w:pPr>
        <w:pStyle w:val="22"/>
        <w:numPr>
          <w:ilvl w:val="2"/>
          <w:numId w:val="36"/>
        </w:numPr>
        <w:tabs>
          <w:tab w:val="left" w:pos="1975"/>
        </w:tabs>
        <w:spacing w:before="1" w:line="436" w:lineRule="auto"/>
        <w:ind w:right="452" w:firstLine="480"/>
        <w:jc w:val="both"/>
        <w:rPr>
          <w:sz w:val="24"/>
        </w:rPr>
      </w:pPr>
      <w:r>
        <w:rPr>
          <w:spacing w:val="-2"/>
          <w:sz w:val="24"/>
        </w:rPr>
        <w:t>合同继续履行将损害国家利益和社会公共利益的，双方当事人应当以书</w:t>
      </w:r>
      <w:r>
        <w:rPr>
          <w:spacing w:val="-4"/>
          <w:sz w:val="24"/>
        </w:rPr>
        <w:t>面形式变更合同。有过错的一方应当承担赔偿责任，双方当事人都有过错的，各自</w:t>
      </w:r>
    </w:p>
    <w:p>
      <w:pPr>
        <w:spacing w:line="436" w:lineRule="auto"/>
        <w:jc w:val="both"/>
        <w:rPr>
          <w:sz w:val="24"/>
        </w:rPr>
        <w:sectPr>
          <w:pgSz w:w="11910" w:h="16840"/>
          <w:pgMar w:top="1600" w:right="1020" w:bottom="1280" w:left="1040" w:header="0" w:footer="1093" w:gutter="0"/>
          <w:cols w:space="720" w:num="1"/>
        </w:sectPr>
      </w:pPr>
    </w:p>
    <w:p>
      <w:pPr>
        <w:pStyle w:val="9"/>
        <w:spacing w:before="83"/>
        <w:ind w:left="774"/>
      </w:pPr>
      <w:r>
        <w:t>承担相应的责任。</w:t>
      </w:r>
    </w:p>
    <w:p>
      <w:pPr>
        <w:pStyle w:val="9"/>
        <w:spacing w:before="8"/>
        <w:rPr>
          <w:sz w:val="19"/>
        </w:rPr>
      </w:pPr>
    </w:p>
    <w:p>
      <w:pPr>
        <w:pStyle w:val="22"/>
        <w:numPr>
          <w:ilvl w:val="1"/>
          <w:numId w:val="36"/>
        </w:numPr>
        <w:tabs>
          <w:tab w:val="left" w:pos="1857"/>
        </w:tabs>
        <w:ind w:left="1856" w:hanging="603"/>
        <w:jc w:val="both"/>
        <w:rPr>
          <w:b/>
          <w:sz w:val="24"/>
        </w:rPr>
      </w:pPr>
      <w:bookmarkStart w:id="297" w:name="2.10_合同转让和分包"/>
      <w:bookmarkEnd w:id="297"/>
      <w:bookmarkStart w:id="298" w:name="_bookmark29"/>
      <w:bookmarkEnd w:id="298"/>
      <w:r>
        <w:rPr>
          <w:b/>
          <w:sz w:val="24"/>
        </w:rPr>
        <w:t>合同转让和分包</w:t>
      </w:r>
    </w:p>
    <w:p>
      <w:pPr>
        <w:pStyle w:val="9"/>
        <w:spacing w:before="8"/>
        <w:rPr>
          <w:b/>
          <w:sz w:val="19"/>
        </w:rPr>
      </w:pPr>
    </w:p>
    <w:p>
      <w:pPr>
        <w:pStyle w:val="9"/>
        <w:spacing w:before="1" w:line="436" w:lineRule="auto"/>
        <w:ind w:left="774" w:right="430" w:firstLine="480"/>
        <w:jc w:val="both"/>
      </w:pPr>
      <w:r>
        <w:t>合同的权利义务依法不得转让，但经甲方同意，乙方可以依法采取分包方式履行合同，即：依法可以将合同项下的部分非主体、非关键性工作分包给他人完成， 接受分包的人应当具备相应的资格条件，并不得再次分包，且乙方应就分包项目向甲方负责，并与分包供应商就分包项目向甲方承担连带责任。</w:t>
      </w:r>
    </w:p>
    <w:p>
      <w:pPr>
        <w:pStyle w:val="22"/>
        <w:numPr>
          <w:ilvl w:val="1"/>
          <w:numId w:val="36"/>
        </w:numPr>
        <w:tabs>
          <w:tab w:val="left" w:pos="1857"/>
        </w:tabs>
        <w:spacing w:before="3"/>
        <w:ind w:left="1856" w:hanging="603"/>
        <w:jc w:val="both"/>
        <w:rPr>
          <w:b/>
          <w:sz w:val="24"/>
        </w:rPr>
      </w:pPr>
      <w:bookmarkStart w:id="299" w:name="2.11_不可抗力"/>
      <w:bookmarkEnd w:id="299"/>
      <w:bookmarkStart w:id="300" w:name="_bookmark30"/>
      <w:bookmarkEnd w:id="300"/>
      <w:r>
        <w:rPr>
          <w:b/>
          <w:sz w:val="24"/>
        </w:rPr>
        <w:t>不可抗力</w:t>
      </w:r>
    </w:p>
    <w:p>
      <w:pPr>
        <w:pStyle w:val="9"/>
        <w:spacing w:before="8"/>
        <w:rPr>
          <w:b/>
          <w:sz w:val="19"/>
        </w:rPr>
      </w:pPr>
    </w:p>
    <w:p>
      <w:pPr>
        <w:pStyle w:val="22"/>
        <w:numPr>
          <w:ilvl w:val="2"/>
          <w:numId w:val="36"/>
        </w:numPr>
        <w:tabs>
          <w:tab w:val="left" w:pos="2035"/>
        </w:tabs>
        <w:spacing w:line="436" w:lineRule="auto"/>
        <w:ind w:right="452" w:firstLine="480"/>
        <w:jc w:val="both"/>
        <w:rPr>
          <w:sz w:val="24"/>
        </w:rPr>
      </w:pPr>
      <w:r>
        <w:rPr>
          <w:spacing w:val="-6"/>
          <w:sz w:val="24"/>
        </w:rPr>
        <w:t>如果任何一方遭遇法律规定的不可抗力，致使合同履行受阻时，履行合</w:t>
      </w:r>
      <w:r>
        <w:rPr>
          <w:sz w:val="24"/>
        </w:rPr>
        <w:t>同的期限应予延长，延长的期限应相当于不可抗力所影响的时间；</w:t>
      </w:r>
    </w:p>
    <w:p>
      <w:pPr>
        <w:pStyle w:val="22"/>
        <w:numPr>
          <w:ilvl w:val="2"/>
          <w:numId w:val="36"/>
        </w:numPr>
        <w:tabs>
          <w:tab w:val="left" w:pos="2095"/>
        </w:tabs>
        <w:spacing w:before="1"/>
        <w:ind w:left="2094" w:hanging="841"/>
        <w:jc w:val="both"/>
        <w:rPr>
          <w:sz w:val="24"/>
        </w:rPr>
      </w:pPr>
      <w:r>
        <w:rPr>
          <w:sz w:val="24"/>
        </w:rPr>
        <w:t>因不可抗力致使不能实现合同目的，当事人可以解除合同；</w:t>
      </w:r>
    </w:p>
    <w:p>
      <w:pPr>
        <w:pStyle w:val="9"/>
        <w:spacing w:before="8"/>
        <w:rPr>
          <w:sz w:val="19"/>
        </w:rPr>
      </w:pPr>
    </w:p>
    <w:p>
      <w:pPr>
        <w:pStyle w:val="22"/>
        <w:numPr>
          <w:ilvl w:val="2"/>
          <w:numId w:val="36"/>
        </w:numPr>
        <w:tabs>
          <w:tab w:val="left" w:pos="2095"/>
        </w:tabs>
        <w:spacing w:before="1" w:line="436" w:lineRule="auto"/>
        <w:ind w:right="452" w:firstLine="480"/>
        <w:jc w:val="both"/>
        <w:rPr>
          <w:sz w:val="24"/>
        </w:rPr>
      </w:pPr>
      <w:r>
        <w:rPr>
          <w:spacing w:val="-5"/>
          <w:sz w:val="24"/>
        </w:rPr>
        <w:t xml:space="preserve">因不可抗力致使合同有变更必要的，双方当事人应在 </w:t>
      </w:r>
      <w:r>
        <w:rPr>
          <w:sz w:val="24"/>
        </w:rPr>
        <w:t>10</w:t>
      </w:r>
      <w:r>
        <w:rPr>
          <w:spacing w:val="-11"/>
          <w:sz w:val="24"/>
        </w:rPr>
        <w:t xml:space="preserve"> 个工作日内以</w:t>
      </w:r>
      <w:r>
        <w:rPr>
          <w:sz w:val="24"/>
        </w:rPr>
        <w:t>书面形式变更合同；</w:t>
      </w:r>
    </w:p>
    <w:p>
      <w:pPr>
        <w:pStyle w:val="22"/>
        <w:numPr>
          <w:ilvl w:val="2"/>
          <w:numId w:val="36"/>
        </w:numPr>
        <w:tabs>
          <w:tab w:val="left" w:pos="2035"/>
        </w:tabs>
        <w:spacing w:before="1" w:line="436" w:lineRule="auto"/>
        <w:ind w:right="452" w:firstLine="480"/>
        <w:jc w:val="both"/>
        <w:rPr>
          <w:sz w:val="24"/>
        </w:rPr>
      </w:pPr>
      <w:r>
        <w:rPr>
          <w:spacing w:val="-8"/>
          <w:sz w:val="24"/>
        </w:rPr>
        <w:t xml:space="preserve">受不可抗力影响的一方在不可抗力发生后，应在 </w:t>
      </w:r>
      <w:r>
        <w:rPr>
          <w:sz w:val="24"/>
        </w:rPr>
        <w:t>5</w:t>
      </w:r>
      <w:r>
        <w:rPr>
          <w:spacing w:val="-9"/>
          <w:sz w:val="24"/>
        </w:rPr>
        <w:t xml:space="preserve"> 个工作日内约定时间</w:t>
      </w:r>
      <w:r>
        <w:rPr>
          <w:spacing w:val="-3"/>
          <w:sz w:val="24"/>
        </w:rPr>
        <w:t xml:space="preserve">内以书面形式通知对方当事人，并在 </w:t>
      </w:r>
      <w:r>
        <w:rPr>
          <w:sz w:val="24"/>
        </w:rPr>
        <w:t>10</w:t>
      </w:r>
      <w:r>
        <w:rPr>
          <w:spacing w:val="-5"/>
          <w:sz w:val="24"/>
        </w:rPr>
        <w:t xml:space="preserve"> 个工作日内，将有关部门出具的证明文件送达对方当事人。</w:t>
      </w:r>
    </w:p>
    <w:p>
      <w:pPr>
        <w:pStyle w:val="22"/>
        <w:numPr>
          <w:ilvl w:val="1"/>
          <w:numId w:val="36"/>
        </w:numPr>
        <w:tabs>
          <w:tab w:val="left" w:pos="1857"/>
        </w:tabs>
        <w:spacing w:before="1"/>
        <w:ind w:left="1856" w:hanging="603"/>
        <w:jc w:val="both"/>
        <w:rPr>
          <w:b/>
          <w:sz w:val="24"/>
        </w:rPr>
      </w:pPr>
      <w:bookmarkStart w:id="301" w:name="2.12_税费"/>
      <w:bookmarkEnd w:id="301"/>
      <w:bookmarkStart w:id="302" w:name="_bookmark31"/>
      <w:bookmarkEnd w:id="302"/>
      <w:r>
        <w:rPr>
          <w:b/>
          <w:sz w:val="24"/>
        </w:rPr>
        <w:t>税费</w:t>
      </w:r>
    </w:p>
    <w:p>
      <w:pPr>
        <w:pStyle w:val="9"/>
        <w:spacing w:before="8"/>
        <w:rPr>
          <w:b/>
          <w:sz w:val="19"/>
        </w:rPr>
      </w:pPr>
    </w:p>
    <w:p>
      <w:pPr>
        <w:pStyle w:val="9"/>
        <w:ind w:left="117" w:right="16"/>
        <w:jc w:val="center"/>
      </w:pPr>
      <w:r>
        <w:t>与合同有关的一切税费，均按照中华人民共和国法律的相关规定缴纳。</w:t>
      </w:r>
    </w:p>
    <w:p>
      <w:pPr>
        <w:pStyle w:val="9"/>
        <w:spacing w:before="9"/>
        <w:rPr>
          <w:sz w:val="19"/>
        </w:rPr>
      </w:pPr>
    </w:p>
    <w:p>
      <w:pPr>
        <w:pStyle w:val="22"/>
        <w:numPr>
          <w:ilvl w:val="1"/>
          <w:numId w:val="36"/>
        </w:numPr>
        <w:tabs>
          <w:tab w:val="left" w:pos="1857"/>
        </w:tabs>
        <w:ind w:left="1856" w:hanging="603"/>
        <w:jc w:val="both"/>
        <w:rPr>
          <w:b/>
          <w:sz w:val="24"/>
        </w:rPr>
      </w:pPr>
      <w:bookmarkStart w:id="303" w:name="2.13_乙方破产"/>
      <w:bookmarkEnd w:id="303"/>
      <w:bookmarkStart w:id="304" w:name="_bookmark32"/>
      <w:bookmarkEnd w:id="304"/>
      <w:r>
        <w:rPr>
          <w:b/>
          <w:sz w:val="24"/>
        </w:rPr>
        <w:t>乙方破产</w:t>
      </w:r>
    </w:p>
    <w:p>
      <w:pPr>
        <w:pStyle w:val="9"/>
        <w:spacing w:before="10"/>
        <w:rPr>
          <w:b/>
          <w:sz w:val="19"/>
        </w:rPr>
      </w:pPr>
    </w:p>
    <w:p>
      <w:pPr>
        <w:pStyle w:val="9"/>
        <w:spacing w:line="436" w:lineRule="auto"/>
        <w:ind w:left="774" w:right="452" w:firstLine="480"/>
        <w:jc w:val="both"/>
      </w:pPr>
      <w:r>
        <w:rPr>
          <w:spacing w:val="-3"/>
        </w:rPr>
        <w:t>如果乙方破产导致合同无法履行时，甲方可以书面形式通知乙方终止合同且不给予乙方任何补偿和赔偿，但合同的终止不损害或不影响甲方已经采取或将要采取</w:t>
      </w:r>
      <w:r>
        <w:t>的任何要求乙方支付违约金、赔偿损失等的行动或补救措施的权利。</w:t>
      </w:r>
    </w:p>
    <w:p>
      <w:pPr>
        <w:pStyle w:val="22"/>
        <w:numPr>
          <w:ilvl w:val="1"/>
          <w:numId w:val="36"/>
        </w:numPr>
        <w:tabs>
          <w:tab w:val="left" w:pos="1857"/>
        </w:tabs>
        <w:spacing w:before="1"/>
        <w:ind w:left="1856" w:hanging="603"/>
        <w:jc w:val="both"/>
        <w:rPr>
          <w:b/>
          <w:sz w:val="24"/>
        </w:rPr>
      </w:pPr>
      <w:bookmarkStart w:id="305" w:name="_bookmark33"/>
      <w:bookmarkEnd w:id="305"/>
      <w:bookmarkStart w:id="306" w:name="2.14_合同中止、终止"/>
      <w:bookmarkEnd w:id="306"/>
      <w:r>
        <w:rPr>
          <w:b/>
          <w:sz w:val="24"/>
        </w:rPr>
        <w:t>合同中止、终止</w:t>
      </w:r>
    </w:p>
    <w:p>
      <w:pPr>
        <w:pStyle w:val="9"/>
        <w:spacing w:before="9"/>
        <w:rPr>
          <w:b/>
          <w:sz w:val="19"/>
        </w:rPr>
      </w:pPr>
    </w:p>
    <w:p>
      <w:pPr>
        <w:pStyle w:val="22"/>
        <w:numPr>
          <w:ilvl w:val="2"/>
          <w:numId w:val="36"/>
        </w:numPr>
        <w:tabs>
          <w:tab w:val="left" w:pos="2095"/>
        </w:tabs>
        <w:ind w:left="2094" w:hanging="841"/>
        <w:jc w:val="both"/>
        <w:rPr>
          <w:sz w:val="24"/>
        </w:rPr>
      </w:pPr>
      <w:r>
        <w:rPr>
          <w:sz w:val="24"/>
        </w:rPr>
        <w:t>双方当事人不得擅自中止或者终止合同；</w:t>
      </w:r>
    </w:p>
    <w:p>
      <w:pPr>
        <w:pStyle w:val="9"/>
        <w:spacing w:before="8"/>
        <w:rPr>
          <w:sz w:val="19"/>
        </w:rPr>
      </w:pPr>
    </w:p>
    <w:p>
      <w:pPr>
        <w:pStyle w:val="22"/>
        <w:numPr>
          <w:ilvl w:val="2"/>
          <w:numId w:val="36"/>
        </w:numPr>
        <w:tabs>
          <w:tab w:val="left" w:pos="2035"/>
        </w:tabs>
        <w:ind w:left="2034" w:hanging="781"/>
        <w:rPr>
          <w:sz w:val="24"/>
        </w:rPr>
      </w:pPr>
      <w:r>
        <w:rPr>
          <w:spacing w:val="-4"/>
          <w:sz w:val="24"/>
        </w:rPr>
        <w:t>合同继续履行将损害国家利益和社会公共利益的，双方当事人应当中止</w:t>
      </w:r>
    </w:p>
    <w:p>
      <w:pPr>
        <w:rPr>
          <w:sz w:val="24"/>
        </w:rPr>
        <w:sectPr>
          <w:footerReference r:id="rId18" w:type="default"/>
          <w:pgSz w:w="11910" w:h="16840"/>
          <w:pgMar w:top="1600" w:right="1020" w:bottom="1280" w:left="1040" w:header="0" w:footer="1093" w:gutter="0"/>
          <w:pgNumType w:start="70"/>
          <w:cols w:space="720" w:num="1"/>
        </w:sectPr>
      </w:pPr>
    </w:p>
    <w:p>
      <w:pPr>
        <w:pStyle w:val="9"/>
        <w:spacing w:before="83" w:line="436" w:lineRule="auto"/>
        <w:ind w:left="774" w:right="406"/>
      </w:pPr>
      <w:r>
        <w:t>或者终止合同。有过错的一方应当承担赔偿责任，双方当事人都有过错的，各自承担相应的责任。</w:t>
      </w:r>
    </w:p>
    <w:p>
      <w:pPr>
        <w:pStyle w:val="22"/>
        <w:numPr>
          <w:ilvl w:val="1"/>
          <w:numId w:val="36"/>
        </w:numPr>
        <w:tabs>
          <w:tab w:val="left" w:pos="1857"/>
        </w:tabs>
        <w:spacing w:line="307" w:lineRule="exact"/>
        <w:ind w:left="1856" w:hanging="603"/>
        <w:jc w:val="both"/>
        <w:rPr>
          <w:b/>
          <w:sz w:val="24"/>
        </w:rPr>
      </w:pPr>
      <w:bookmarkStart w:id="307" w:name="2.15_检验和验收"/>
      <w:bookmarkEnd w:id="307"/>
      <w:bookmarkStart w:id="308" w:name="_bookmark34"/>
      <w:bookmarkEnd w:id="308"/>
      <w:r>
        <w:rPr>
          <w:b/>
          <w:sz w:val="24"/>
        </w:rPr>
        <w:t>检验和验收</w:t>
      </w:r>
    </w:p>
    <w:p>
      <w:pPr>
        <w:pStyle w:val="9"/>
        <w:spacing w:before="11"/>
        <w:rPr>
          <w:b/>
          <w:sz w:val="19"/>
        </w:rPr>
      </w:pPr>
    </w:p>
    <w:p>
      <w:pPr>
        <w:pStyle w:val="22"/>
        <w:numPr>
          <w:ilvl w:val="2"/>
          <w:numId w:val="36"/>
        </w:numPr>
        <w:tabs>
          <w:tab w:val="left" w:pos="2097"/>
        </w:tabs>
        <w:spacing w:line="436" w:lineRule="auto"/>
        <w:ind w:right="452" w:firstLine="480"/>
        <w:jc w:val="both"/>
        <w:rPr>
          <w:sz w:val="24"/>
        </w:rPr>
      </w:pPr>
      <w:r>
        <w:rPr>
          <w:sz w:val="24"/>
        </w:rPr>
        <w:t>乙方应在签订合同后，甲方的每周不定期进行检查，日常检查组将根据发现的问题和开发区干部反映的问题及时通知管护企业，并按要求进行复查。</w:t>
      </w:r>
    </w:p>
    <w:p>
      <w:pPr>
        <w:pStyle w:val="22"/>
        <w:numPr>
          <w:ilvl w:val="2"/>
          <w:numId w:val="36"/>
        </w:numPr>
        <w:tabs>
          <w:tab w:val="left" w:pos="2097"/>
        </w:tabs>
        <w:spacing w:line="439" w:lineRule="auto"/>
        <w:ind w:right="452" w:firstLine="480"/>
        <w:jc w:val="both"/>
        <w:rPr>
          <w:sz w:val="24"/>
        </w:rPr>
      </w:pPr>
      <w:r>
        <w:rPr>
          <w:sz w:val="24"/>
        </w:rPr>
        <w:t>对喀什开发区内公园、广场、道路绿地、街头游园绿地、厂区绿地以及相关养护单位管理工作进行定期检查。</w:t>
      </w:r>
    </w:p>
    <w:p>
      <w:pPr>
        <w:pStyle w:val="22"/>
        <w:numPr>
          <w:ilvl w:val="1"/>
          <w:numId w:val="36"/>
        </w:numPr>
        <w:tabs>
          <w:tab w:val="left" w:pos="1857"/>
        </w:tabs>
        <w:spacing w:line="303" w:lineRule="exact"/>
        <w:ind w:left="1856" w:hanging="603"/>
        <w:jc w:val="both"/>
        <w:rPr>
          <w:b/>
          <w:sz w:val="24"/>
        </w:rPr>
      </w:pPr>
      <w:bookmarkStart w:id="309" w:name="2.16_通知和送达"/>
      <w:bookmarkEnd w:id="309"/>
      <w:bookmarkStart w:id="310" w:name="_bookmark35"/>
      <w:bookmarkEnd w:id="310"/>
      <w:r>
        <w:rPr>
          <w:b/>
          <w:sz w:val="24"/>
        </w:rPr>
        <w:t>通知和送达</w:t>
      </w:r>
    </w:p>
    <w:p>
      <w:pPr>
        <w:pStyle w:val="9"/>
        <w:spacing w:before="7"/>
        <w:rPr>
          <w:b/>
          <w:sz w:val="19"/>
        </w:rPr>
      </w:pPr>
    </w:p>
    <w:p>
      <w:pPr>
        <w:pStyle w:val="22"/>
        <w:numPr>
          <w:ilvl w:val="2"/>
          <w:numId w:val="36"/>
        </w:numPr>
        <w:tabs>
          <w:tab w:val="left" w:pos="2097"/>
          <w:tab w:val="left" w:pos="8910"/>
        </w:tabs>
        <w:spacing w:line="436" w:lineRule="auto"/>
        <w:ind w:right="452" w:firstLine="480"/>
        <w:jc w:val="both"/>
        <w:rPr>
          <w:sz w:val="24"/>
        </w:rPr>
      </w:pPr>
      <w:r>
        <w:rPr>
          <w:sz w:val="24"/>
        </w:rPr>
        <w:t>任何</w:t>
      </w:r>
      <w:r>
        <w:rPr>
          <w:spacing w:val="4"/>
          <w:sz w:val="24"/>
        </w:rPr>
        <w:t>一</w:t>
      </w:r>
      <w:r>
        <w:rPr>
          <w:sz w:val="24"/>
        </w:rPr>
        <w:t>方因履行</w:t>
      </w:r>
      <w:r>
        <w:rPr>
          <w:spacing w:val="4"/>
          <w:sz w:val="24"/>
        </w:rPr>
        <w:t>合</w:t>
      </w:r>
      <w:r>
        <w:rPr>
          <w:sz w:val="24"/>
        </w:rPr>
        <w:t>同而以合同</w:t>
      </w:r>
      <w:r>
        <w:rPr>
          <w:spacing w:val="4"/>
          <w:sz w:val="24"/>
        </w:rPr>
        <w:t>第</w:t>
      </w:r>
      <w:r>
        <w:rPr>
          <w:sz w:val="24"/>
        </w:rPr>
        <w:t>一部分尾</w:t>
      </w:r>
      <w:r>
        <w:rPr>
          <w:spacing w:val="4"/>
          <w:sz w:val="24"/>
        </w:rPr>
        <w:t>部</w:t>
      </w:r>
      <w:r>
        <w:rPr>
          <w:sz w:val="24"/>
        </w:rPr>
        <w:t>所列明的</w:t>
      </w:r>
      <w:r>
        <w:rPr>
          <w:sz w:val="24"/>
          <w:u w:val="single"/>
        </w:rPr>
        <w:t xml:space="preserve"> </w:t>
      </w:r>
      <w:r>
        <w:rPr>
          <w:rFonts w:hint="eastAsia"/>
          <w:sz w:val="24"/>
          <w:u w:val="single"/>
          <w:lang w:val="en-US"/>
        </w:rPr>
        <w:t>送达方式或者地址</w:t>
      </w:r>
      <w:r>
        <w:rPr>
          <w:sz w:val="24"/>
        </w:rPr>
        <w:t>发</w:t>
      </w:r>
      <w:r>
        <w:rPr>
          <w:spacing w:val="-17"/>
          <w:sz w:val="24"/>
        </w:rPr>
        <w:t>出</w:t>
      </w:r>
      <w:r>
        <w:rPr>
          <w:sz w:val="24"/>
        </w:rPr>
        <w:t>的所有通知</w:t>
      </w:r>
      <w:r>
        <w:rPr>
          <w:spacing w:val="-5"/>
          <w:sz w:val="24"/>
        </w:rPr>
        <w:t>、</w:t>
      </w:r>
      <w:r>
        <w:rPr>
          <w:sz w:val="24"/>
        </w:rPr>
        <w:t>文件</w:t>
      </w:r>
      <w:r>
        <w:rPr>
          <w:spacing w:val="-5"/>
          <w:sz w:val="24"/>
        </w:rPr>
        <w:t>、</w:t>
      </w:r>
      <w:r>
        <w:rPr>
          <w:sz w:val="24"/>
        </w:rPr>
        <w:t>材料</w:t>
      </w:r>
      <w:r>
        <w:rPr>
          <w:spacing w:val="-5"/>
          <w:sz w:val="24"/>
        </w:rPr>
        <w:t>，</w:t>
      </w:r>
      <w:r>
        <w:rPr>
          <w:sz w:val="24"/>
        </w:rPr>
        <w:t>均视为已向对方当事人送达</w:t>
      </w:r>
      <w:r>
        <w:rPr>
          <w:spacing w:val="-8"/>
          <w:sz w:val="24"/>
        </w:rPr>
        <w:t>；</w:t>
      </w:r>
      <w:r>
        <w:rPr>
          <w:sz w:val="24"/>
        </w:rPr>
        <w:t>任何一方变更上述送达</w:t>
      </w:r>
      <w:r>
        <w:rPr>
          <w:spacing w:val="-16"/>
          <w:sz w:val="24"/>
        </w:rPr>
        <w:t>方</w:t>
      </w:r>
      <w:r>
        <w:rPr>
          <w:sz w:val="24"/>
        </w:rPr>
        <w:t>式或者地址的</w:t>
      </w:r>
      <w:r>
        <w:rPr>
          <w:spacing w:val="-10"/>
          <w:sz w:val="24"/>
        </w:rPr>
        <w:t>，</w:t>
      </w:r>
      <w:r>
        <w:rPr>
          <w:sz w:val="24"/>
        </w:rPr>
        <w:t>应于</w:t>
      </w:r>
      <w:r>
        <w:rPr>
          <w:spacing w:val="-60"/>
          <w:sz w:val="24"/>
        </w:rPr>
        <w:t xml:space="preserve"> </w:t>
      </w:r>
      <w:r>
        <w:rPr>
          <w:sz w:val="24"/>
          <w:u w:val="single"/>
        </w:rPr>
        <w:t>3</w:t>
      </w:r>
      <w:r>
        <w:rPr>
          <w:spacing w:val="-60"/>
          <w:sz w:val="24"/>
        </w:rPr>
        <w:t xml:space="preserve"> </w:t>
      </w:r>
      <w:r>
        <w:rPr>
          <w:sz w:val="24"/>
        </w:rPr>
        <w:t>个工作日内书面通知对方当事人</w:t>
      </w:r>
      <w:r>
        <w:rPr>
          <w:spacing w:val="-12"/>
          <w:sz w:val="24"/>
        </w:rPr>
        <w:t>，</w:t>
      </w:r>
      <w:r>
        <w:rPr>
          <w:sz w:val="24"/>
        </w:rPr>
        <w:t>在对方当事人收到有关</w:t>
      </w:r>
      <w:r>
        <w:rPr>
          <w:spacing w:val="-17"/>
          <w:sz w:val="24"/>
        </w:rPr>
        <w:t>变</w:t>
      </w:r>
      <w:r>
        <w:rPr>
          <w:sz w:val="24"/>
        </w:rPr>
        <w:t>更通知之前，变更前的约定送达方式或者地址仍视为有效。</w:t>
      </w:r>
    </w:p>
    <w:p>
      <w:pPr>
        <w:pStyle w:val="22"/>
        <w:numPr>
          <w:ilvl w:val="2"/>
          <w:numId w:val="36"/>
        </w:numPr>
        <w:tabs>
          <w:tab w:val="left" w:pos="2035"/>
        </w:tabs>
        <w:spacing w:before="3" w:line="436" w:lineRule="auto"/>
        <w:ind w:right="370" w:firstLine="480"/>
        <w:rPr>
          <w:sz w:val="24"/>
        </w:rPr>
      </w:pPr>
      <w:r>
        <w:rPr>
          <w:spacing w:val="-1"/>
          <w:sz w:val="24"/>
        </w:rPr>
        <w:t xml:space="preserve">以当面交付方式送达的，交付之时视为送达；以电子邮件方式送达的， </w:t>
      </w:r>
      <w:r>
        <w:rPr>
          <w:spacing w:val="-3"/>
          <w:sz w:val="24"/>
        </w:rPr>
        <w:t>发出电子邮件之时视为送达；以传真方式送达的，发出传真之时视为送达；以邮寄方式送达的，邮件挂号寄出或者交邮之日之次日视为送达。</w:t>
      </w:r>
    </w:p>
    <w:p>
      <w:pPr>
        <w:pStyle w:val="22"/>
        <w:numPr>
          <w:ilvl w:val="1"/>
          <w:numId w:val="36"/>
        </w:numPr>
        <w:tabs>
          <w:tab w:val="left" w:pos="1857"/>
        </w:tabs>
        <w:spacing w:before="1"/>
        <w:ind w:left="1856" w:hanging="603"/>
        <w:rPr>
          <w:b/>
          <w:sz w:val="24"/>
        </w:rPr>
      </w:pPr>
      <w:bookmarkStart w:id="311" w:name="_bookmark36"/>
      <w:bookmarkEnd w:id="311"/>
      <w:bookmarkStart w:id="312" w:name="2.17_合同使用的文字和适用的法律"/>
      <w:bookmarkEnd w:id="312"/>
      <w:r>
        <w:rPr>
          <w:b/>
          <w:sz w:val="24"/>
        </w:rPr>
        <w:t>合同使用的文字和适用的法律</w:t>
      </w:r>
    </w:p>
    <w:p>
      <w:pPr>
        <w:pStyle w:val="9"/>
        <w:spacing w:before="8"/>
        <w:rPr>
          <w:b/>
          <w:sz w:val="19"/>
        </w:rPr>
      </w:pPr>
    </w:p>
    <w:p>
      <w:pPr>
        <w:pStyle w:val="22"/>
        <w:numPr>
          <w:ilvl w:val="2"/>
          <w:numId w:val="36"/>
        </w:numPr>
        <w:tabs>
          <w:tab w:val="left" w:pos="2095"/>
        </w:tabs>
        <w:ind w:left="2094" w:hanging="841"/>
        <w:rPr>
          <w:sz w:val="24"/>
        </w:rPr>
      </w:pPr>
      <w:r>
        <w:rPr>
          <w:sz w:val="24"/>
        </w:rPr>
        <w:t>合同使用汉语书写、变更和解释；</w:t>
      </w:r>
    </w:p>
    <w:p>
      <w:pPr>
        <w:pStyle w:val="9"/>
        <w:spacing w:before="9"/>
        <w:rPr>
          <w:sz w:val="19"/>
        </w:rPr>
      </w:pPr>
    </w:p>
    <w:p>
      <w:pPr>
        <w:pStyle w:val="22"/>
        <w:numPr>
          <w:ilvl w:val="2"/>
          <w:numId w:val="36"/>
        </w:numPr>
        <w:tabs>
          <w:tab w:val="left" w:pos="2095"/>
        </w:tabs>
        <w:ind w:left="2094" w:hanging="841"/>
        <w:rPr>
          <w:sz w:val="24"/>
        </w:rPr>
      </w:pPr>
      <w:r>
        <w:rPr>
          <w:sz w:val="24"/>
        </w:rPr>
        <w:t>合同适用中华人民共和国法律。</w:t>
      </w:r>
    </w:p>
    <w:p>
      <w:pPr>
        <w:pStyle w:val="9"/>
        <w:spacing w:before="10"/>
        <w:rPr>
          <w:sz w:val="19"/>
        </w:rPr>
      </w:pPr>
    </w:p>
    <w:p>
      <w:pPr>
        <w:pStyle w:val="22"/>
        <w:numPr>
          <w:ilvl w:val="1"/>
          <w:numId w:val="36"/>
        </w:numPr>
        <w:tabs>
          <w:tab w:val="left" w:pos="1857"/>
        </w:tabs>
        <w:ind w:left="1856" w:hanging="603"/>
        <w:jc w:val="both"/>
        <w:rPr>
          <w:b/>
          <w:sz w:val="24"/>
        </w:rPr>
      </w:pPr>
      <w:bookmarkStart w:id="313" w:name="2.18_履约保证金"/>
      <w:bookmarkEnd w:id="313"/>
      <w:bookmarkStart w:id="314" w:name="_bookmark37"/>
      <w:bookmarkEnd w:id="314"/>
      <w:r>
        <w:rPr>
          <w:b/>
          <w:sz w:val="24"/>
        </w:rPr>
        <w:t>履约保证金</w:t>
      </w:r>
    </w:p>
    <w:p>
      <w:pPr>
        <w:pStyle w:val="9"/>
        <w:spacing w:before="8"/>
        <w:rPr>
          <w:b/>
          <w:sz w:val="19"/>
        </w:rPr>
      </w:pPr>
    </w:p>
    <w:p>
      <w:pPr>
        <w:pStyle w:val="22"/>
        <w:numPr>
          <w:ilvl w:val="2"/>
          <w:numId w:val="36"/>
        </w:numPr>
        <w:tabs>
          <w:tab w:val="left" w:pos="2097"/>
        </w:tabs>
        <w:spacing w:before="1" w:line="436" w:lineRule="auto"/>
        <w:ind w:right="452" w:firstLine="480"/>
        <w:jc w:val="both"/>
        <w:rPr>
          <w:sz w:val="24"/>
        </w:rPr>
      </w:pPr>
      <w:r>
        <w:rPr>
          <w:spacing w:val="1"/>
          <w:sz w:val="24"/>
        </w:rPr>
        <w:t xml:space="preserve">采购文件要求乙方提交履约保证金的，乙方应在中标通知书发出后 </w:t>
      </w:r>
      <w:r>
        <w:rPr>
          <w:sz w:val="24"/>
        </w:rPr>
        <w:t xml:space="preserve">3 </w:t>
      </w:r>
      <w:r>
        <w:rPr>
          <w:spacing w:val="-5"/>
          <w:sz w:val="24"/>
        </w:rPr>
        <w:t>日(日历日)内一次性足额缴纳履约保证金，以支票、汇票、本票、网银转账或者金</w:t>
      </w:r>
      <w:r>
        <w:rPr>
          <w:spacing w:val="-3"/>
          <w:sz w:val="24"/>
        </w:rPr>
        <w:t xml:space="preserve">融机构、担保机构出具的保函等非现金形式，提交合同价 </w:t>
      </w:r>
      <w:r>
        <w:rPr>
          <w:sz w:val="24"/>
        </w:rPr>
        <w:t>5%的履约保证金；</w:t>
      </w:r>
    </w:p>
    <w:p>
      <w:pPr>
        <w:pStyle w:val="22"/>
        <w:numPr>
          <w:ilvl w:val="2"/>
          <w:numId w:val="36"/>
        </w:numPr>
        <w:tabs>
          <w:tab w:val="left" w:pos="2097"/>
        </w:tabs>
        <w:spacing w:before="1" w:line="436" w:lineRule="auto"/>
        <w:ind w:right="452" w:firstLine="480"/>
        <w:jc w:val="both"/>
        <w:rPr>
          <w:sz w:val="24"/>
        </w:rPr>
      </w:pPr>
      <w:r>
        <w:rPr>
          <w:sz w:val="24"/>
        </w:rPr>
        <w:t>履约保证金在合同履行期间内不予退还或者应完全有效，前述约定期</w:t>
      </w:r>
      <w:r>
        <w:rPr>
          <w:spacing w:val="-9"/>
          <w:sz w:val="24"/>
        </w:rPr>
        <w:t xml:space="preserve">间届满之日起 </w:t>
      </w:r>
      <w:r>
        <w:rPr>
          <w:sz w:val="24"/>
          <w:u w:val="single"/>
        </w:rPr>
        <w:t>7</w:t>
      </w:r>
      <w:r>
        <w:rPr>
          <w:spacing w:val="-8"/>
          <w:sz w:val="24"/>
        </w:rPr>
        <w:t xml:space="preserve"> 个工作日内，甲方应将履约保证金退还乙方；</w:t>
      </w:r>
    </w:p>
    <w:p>
      <w:pPr>
        <w:spacing w:line="436" w:lineRule="auto"/>
        <w:jc w:val="both"/>
        <w:rPr>
          <w:sz w:val="24"/>
        </w:rPr>
        <w:sectPr>
          <w:pgSz w:w="11910" w:h="16840"/>
          <w:pgMar w:top="1600" w:right="1020" w:bottom="1280" w:left="1040" w:header="0" w:footer="1093" w:gutter="0"/>
          <w:cols w:space="720" w:num="1"/>
        </w:sectPr>
      </w:pPr>
    </w:p>
    <w:p>
      <w:pPr>
        <w:pStyle w:val="22"/>
        <w:numPr>
          <w:ilvl w:val="2"/>
          <w:numId w:val="36"/>
        </w:numPr>
        <w:tabs>
          <w:tab w:val="left" w:pos="2097"/>
        </w:tabs>
        <w:spacing w:before="83" w:line="436" w:lineRule="auto"/>
        <w:ind w:right="452" w:firstLine="480"/>
        <w:jc w:val="both"/>
        <w:rPr>
          <w:sz w:val="24"/>
        </w:rPr>
      </w:pPr>
      <w:r>
        <w:rPr>
          <w:sz w:val="24"/>
        </w:rPr>
        <w:t>如果乙方不履行合同，履约保证金不予退还；如果乙方未能按合同约</w:t>
      </w:r>
      <w:r>
        <w:rPr>
          <w:spacing w:val="-4"/>
          <w:sz w:val="24"/>
        </w:rPr>
        <w:t>定全面履行义务，那么甲方有权从履约保证金中取得补偿或赔偿，同时不影响甲方</w:t>
      </w:r>
      <w:r>
        <w:rPr>
          <w:sz w:val="24"/>
        </w:rPr>
        <w:t>要求乙方承担合同约定的超过履约保证金的违约责任的权利。</w:t>
      </w:r>
    </w:p>
    <w:p>
      <w:pPr>
        <w:pStyle w:val="22"/>
        <w:numPr>
          <w:ilvl w:val="1"/>
          <w:numId w:val="36"/>
        </w:numPr>
        <w:tabs>
          <w:tab w:val="left" w:pos="1857"/>
        </w:tabs>
        <w:spacing w:before="1"/>
        <w:ind w:left="1856" w:hanging="603"/>
        <w:jc w:val="both"/>
        <w:rPr>
          <w:b/>
          <w:sz w:val="24"/>
        </w:rPr>
      </w:pPr>
      <w:r>
        <w:rPr>
          <w:b/>
          <w:sz w:val="24"/>
        </w:rPr>
        <w:t>合同份数</w:t>
      </w:r>
    </w:p>
    <w:p>
      <w:pPr>
        <w:pStyle w:val="9"/>
        <w:spacing w:before="8"/>
        <w:rPr>
          <w:b/>
          <w:sz w:val="19"/>
        </w:rPr>
      </w:pPr>
    </w:p>
    <w:p>
      <w:pPr>
        <w:pStyle w:val="9"/>
        <w:ind w:left="1254"/>
      </w:pPr>
      <w:r>
        <w:t>合同份数一式四份，每份均具有同等法律效力。</w:t>
      </w:r>
    </w:p>
    <w:p>
      <w:pPr>
        <w:pStyle w:val="9"/>
        <w:spacing w:before="8"/>
        <w:rPr>
          <w:sz w:val="19"/>
        </w:rPr>
      </w:pPr>
    </w:p>
    <w:p>
      <w:pPr>
        <w:spacing w:before="1"/>
        <w:ind w:left="3894"/>
        <w:jc w:val="both"/>
        <w:rPr>
          <w:b/>
          <w:sz w:val="24"/>
        </w:rPr>
      </w:pPr>
      <w:bookmarkStart w:id="315" w:name="_bookmark38"/>
      <w:bookmarkEnd w:id="315"/>
      <w:bookmarkStart w:id="316" w:name="第三部分__合同专用条款"/>
      <w:bookmarkEnd w:id="316"/>
      <w:r>
        <w:rPr>
          <w:b/>
          <w:sz w:val="24"/>
        </w:rPr>
        <w:t>第三部分 合同专用条款</w:t>
      </w:r>
    </w:p>
    <w:p>
      <w:pPr>
        <w:pStyle w:val="9"/>
        <w:spacing w:before="10"/>
        <w:rPr>
          <w:b/>
          <w:sz w:val="19"/>
        </w:rPr>
      </w:pPr>
    </w:p>
    <w:p>
      <w:pPr>
        <w:pStyle w:val="9"/>
        <w:spacing w:line="436" w:lineRule="auto"/>
        <w:ind w:left="774" w:right="452" w:firstLine="480"/>
        <w:jc w:val="both"/>
      </w:pPr>
      <w:r>
        <w:rPr>
          <w:spacing w:val="-3"/>
        </w:rPr>
        <w:t>本部分是对前两部分的补充和修改，如果前两部分和本部分的约定不一致，应以本部分的约定为准。本部分的条款号应与前两部分的条款号保持对应；与前两部</w:t>
      </w:r>
      <w:r>
        <w:t>分无对应关系的内容可另行编制条款号。</w:t>
      </w:r>
    </w:p>
    <w:tbl>
      <w:tblPr>
        <w:tblStyle w:val="19"/>
        <w:tblW w:w="843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01"/>
        <w:gridCol w:w="76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801" w:type="dxa"/>
            <w:tcBorders>
              <w:left w:val="single" w:color="000000" w:sz="4" w:space="0"/>
            </w:tcBorders>
          </w:tcPr>
          <w:p>
            <w:pPr>
              <w:pStyle w:val="23"/>
              <w:spacing w:before="209"/>
              <w:ind w:left="40"/>
              <w:rPr>
                <w:rFonts w:ascii="仿宋" w:eastAsia="仿宋"/>
                <w:b/>
                <w:sz w:val="24"/>
              </w:rPr>
            </w:pPr>
            <w:r>
              <w:rPr>
                <w:rFonts w:hint="eastAsia" w:ascii="仿宋" w:eastAsia="仿宋"/>
                <w:b/>
                <w:sz w:val="24"/>
              </w:rPr>
              <w:t>条款号</w:t>
            </w:r>
          </w:p>
        </w:tc>
        <w:tc>
          <w:tcPr>
            <w:tcW w:w="7633" w:type="dxa"/>
          </w:tcPr>
          <w:p>
            <w:pPr>
              <w:pStyle w:val="23"/>
              <w:spacing w:before="209"/>
              <w:ind w:left="3312" w:right="3301"/>
              <w:jc w:val="center"/>
              <w:rPr>
                <w:rFonts w:ascii="仿宋" w:eastAsia="仿宋"/>
                <w:b/>
                <w:sz w:val="24"/>
              </w:rPr>
            </w:pPr>
            <w:r>
              <w:rPr>
                <w:rFonts w:hint="eastAsia" w:ascii="仿宋" w:eastAsia="仿宋"/>
                <w:b/>
                <w:sz w:val="24"/>
              </w:rPr>
              <w:t>约定内容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516" w:hRule="atLeast"/>
          <w:jc w:val="center"/>
        </w:trPr>
        <w:tc>
          <w:tcPr>
            <w:tcW w:w="801" w:type="dxa"/>
            <w:tcBorders>
              <w:left w:val="single" w:color="000000" w:sz="4" w:space="0"/>
            </w:tcBorders>
            <w:vAlign w:val="center"/>
          </w:tcPr>
          <w:p>
            <w:pPr>
              <w:pStyle w:val="23"/>
              <w:jc w:val="center"/>
              <w:rPr>
                <w:rFonts w:ascii="Times New Roman"/>
                <w:lang w:val="en-US"/>
              </w:rPr>
            </w:pPr>
            <w:r>
              <w:rPr>
                <w:rFonts w:hint="eastAsia" w:ascii="Times New Roman"/>
                <w:lang w:val="en-US"/>
              </w:rPr>
              <w:t>1.5.3</w:t>
            </w:r>
          </w:p>
        </w:tc>
        <w:tc>
          <w:tcPr>
            <w:tcW w:w="7633" w:type="dxa"/>
          </w:tcPr>
          <w:p>
            <w:pPr>
              <w:pStyle w:val="23"/>
              <w:rPr>
                <w:rFonts w:ascii="Times New Roman"/>
                <w:lang w:val="en-US"/>
              </w:rPr>
            </w:pPr>
            <w:r>
              <w:rPr>
                <w:rFonts w:hint="eastAsia" w:ascii="Times New Roman"/>
                <w:lang w:val="en-US"/>
              </w:rPr>
              <w:t>作业内容：环卫：</w:t>
            </w:r>
          </w:p>
          <w:p>
            <w:pPr>
              <w:pStyle w:val="23"/>
              <w:numPr>
                <w:ilvl w:val="0"/>
                <w:numId w:val="37"/>
              </w:numPr>
              <w:rPr>
                <w:rFonts w:ascii="Times New Roman"/>
                <w:lang w:val="en-US"/>
              </w:rPr>
            </w:pPr>
            <w:r>
              <w:rPr>
                <w:rFonts w:hint="eastAsia" w:ascii="Times New Roman"/>
                <w:lang w:val="en-US"/>
              </w:rPr>
              <w:t>道路等铺装地面每天进行普扫；</w:t>
            </w:r>
          </w:p>
          <w:p>
            <w:pPr>
              <w:pStyle w:val="23"/>
              <w:numPr>
                <w:ilvl w:val="0"/>
                <w:numId w:val="37"/>
              </w:numPr>
              <w:rPr>
                <w:rFonts w:ascii="Times New Roman"/>
                <w:lang w:val="en-US"/>
              </w:rPr>
            </w:pPr>
            <w:r>
              <w:rPr>
                <w:rFonts w:ascii="Times New Roman"/>
                <w:lang w:val="en-US"/>
              </w:rPr>
              <w:t>水电设施、配电箱、座椅、管理房、雕塑、小品、亭廊、桥梁、喷泉、大屏幕、栏杆、路灯、井盖、标牌、公共卫生间、限高杆等城市公用设施保持内外干净整洁并进行管理</w:t>
            </w:r>
            <w:r>
              <w:rPr>
                <w:rFonts w:hint="eastAsia" w:ascii="Times New Roman"/>
                <w:lang w:val="en-US"/>
              </w:rPr>
              <w:t>；</w:t>
            </w:r>
          </w:p>
          <w:p>
            <w:pPr>
              <w:pStyle w:val="23"/>
              <w:rPr>
                <w:rFonts w:ascii="Times New Roman"/>
                <w:lang w:val="en-US"/>
              </w:rPr>
            </w:pPr>
            <w:r>
              <w:rPr>
                <w:rFonts w:ascii="Times New Roman"/>
                <w:lang w:val="en-US"/>
              </w:rPr>
              <w:t>3、水面、围墙四周的杂草、垃圾清理；</w:t>
            </w:r>
          </w:p>
          <w:p>
            <w:pPr>
              <w:pStyle w:val="23"/>
              <w:rPr>
                <w:rFonts w:ascii="Times New Roman"/>
                <w:lang w:val="en-US"/>
              </w:rPr>
            </w:pPr>
            <w:r>
              <w:rPr>
                <w:rFonts w:ascii="Times New Roman"/>
                <w:lang w:val="en-US"/>
              </w:rPr>
              <w:t>4、雨水管道、污水管道的清淤疏通；</w:t>
            </w:r>
          </w:p>
          <w:p>
            <w:pPr>
              <w:pStyle w:val="23"/>
              <w:rPr>
                <w:rFonts w:ascii="Times New Roman"/>
                <w:lang w:val="en-US"/>
              </w:rPr>
            </w:pPr>
            <w:r>
              <w:rPr>
                <w:rFonts w:ascii="Times New Roman"/>
                <w:lang w:val="en-US"/>
              </w:rPr>
              <w:t>5、建（构）筑物立面、地面、果皮箱、高压线塔、配电</w:t>
            </w:r>
            <w:r>
              <w:rPr>
                <w:rFonts w:hint="eastAsia" w:ascii="Times New Roman"/>
                <w:lang w:val="en-US"/>
              </w:rPr>
              <w:t>室</w:t>
            </w:r>
            <w:r>
              <w:rPr>
                <w:rFonts w:ascii="Times New Roman"/>
                <w:lang w:val="en-US"/>
              </w:rPr>
              <w:t>、配</w:t>
            </w:r>
            <w:r>
              <w:rPr>
                <w:rFonts w:hint="eastAsia" w:ascii="Times New Roman"/>
                <w:lang w:val="en-US"/>
              </w:rPr>
              <w:t>电柜、</w:t>
            </w:r>
            <w:r>
              <w:rPr>
                <w:rFonts w:ascii="Times New Roman"/>
                <w:lang w:val="en-US"/>
              </w:rPr>
              <w:t>电话亭、消防栓、地下管线标志、桥梁、电线杆、路灯杆、围墙周边等</w:t>
            </w:r>
            <w:r>
              <w:rPr>
                <w:rFonts w:hint="eastAsia" w:ascii="Times New Roman"/>
                <w:lang w:val="en-US"/>
              </w:rPr>
              <w:t>公</w:t>
            </w:r>
            <w:r>
              <w:rPr>
                <w:rFonts w:ascii="Times New Roman"/>
                <w:lang w:val="en-US"/>
              </w:rPr>
              <w:t>共设施和树干上乱张贴、刻画、涂写广告、宣传品、电话号码等非在“</w:t>
            </w:r>
            <w:r>
              <w:rPr>
                <w:rFonts w:hint="eastAsia" w:ascii="Times New Roman"/>
                <w:lang w:val="en-US"/>
              </w:rPr>
              <w:t>小</w:t>
            </w:r>
            <w:r>
              <w:rPr>
                <w:rFonts w:ascii="Times New Roman"/>
                <w:lang w:val="en-US"/>
              </w:rPr>
              <w:t>广告”的清理，不得造成二次污染；</w:t>
            </w:r>
          </w:p>
          <w:p>
            <w:pPr>
              <w:pStyle w:val="23"/>
              <w:rPr>
                <w:rFonts w:ascii="Times New Roman"/>
                <w:lang w:val="en-US"/>
              </w:rPr>
            </w:pPr>
            <w:r>
              <w:rPr>
                <w:rFonts w:ascii="Times New Roman"/>
                <w:lang w:val="en-US"/>
              </w:rPr>
              <w:t>6、果皮箱、垃圾箱内日产日清；</w:t>
            </w:r>
          </w:p>
          <w:p>
            <w:pPr>
              <w:pStyle w:val="23"/>
              <w:rPr>
                <w:rFonts w:ascii="Times New Roman"/>
                <w:lang w:val="en-US"/>
              </w:rPr>
            </w:pPr>
            <w:r>
              <w:rPr>
                <w:rFonts w:ascii="Times New Roman"/>
                <w:lang w:val="en-US"/>
              </w:rPr>
              <w:t>7、始终保持环境卫生良好、设施表面洁净，做到“六净”；（路面净</w:t>
            </w:r>
            <w:r>
              <w:rPr>
                <w:rFonts w:hint="eastAsia" w:ascii="Times New Roman"/>
                <w:lang w:val="en-US"/>
              </w:rPr>
              <w:t>、</w:t>
            </w:r>
            <w:r>
              <w:rPr>
                <w:rFonts w:ascii="Times New Roman"/>
                <w:lang w:val="en-US"/>
              </w:rPr>
              <w:t>绿化带净、公共场地净、路沿石根净、墙根净、电线杆净）；</w:t>
            </w:r>
          </w:p>
          <w:p>
            <w:pPr>
              <w:pStyle w:val="23"/>
              <w:rPr>
                <w:rFonts w:ascii="Times New Roman"/>
                <w:lang w:val="en-US"/>
              </w:rPr>
            </w:pPr>
            <w:r>
              <w:rPr>
                <w:rFonts w:ascii="Times New Roman"/>
                <w:lang w:val="en-US"/>
              </w:rPr>
              <w:t>8、各种重大节会、迎查活动、节假日无条件按要求保质保量完成环境卫生保障。</w:t>
            </w:r>
          </w:p>
          <w:p>
            <w:pPr>
              <w:pStyle w:val="23"/>
              <w:rPr>
                <w:rFonts w:ascii="Times New Roman"/>
                <w:lang w:val="en-US"/>
              </w:rPr>
            </w:pPr>
            <w:r>
              <w:rPr>
                <w:rFonts w:ascii="Times New Roman"/>
                <w:lang w:val="en-US"/>
              </w:rPr>
              <w:t>9、以上服务内容，甲方一律不再另行支付费用。</w:t>
            </w:r>
          </w:p>
          <w:p>
            <w:pPr>
              <w:pStyle w:val="23"/>
              <w:rPr>
                <w:rFonts w:ascii="Times New Roman"/>
                <w:lang w:val="en-US"/>
              </w:rPr>
            </w:pPr>
            <w:r>
              <w:rPr>
                <w:rFonts w:ascii="Times New Roman"/>
                <w:lang w:val="en-US"/>
              </w:rPr>
              <w:t>绿化：</w:t>
            </w:r>
          </w:p>
          <w:p>
            <w:pPr>
              <w:pStyle w:val="23"/>
              <w:rPr>
                <w:rFonts w:ascii="Times New Roman"/>
                <w:lang w:val="en-US"/>
              </w:rPr>
            </w:pPr>
            <w:r>
              <w:rPr>
                <w:rFonts w:ascii="Times New Roman"/>
                <w:lang w:val="en-US"/>
              </w:rPr>
              <w:t>1、按甲方要求进行去除枯死植株、植物补植、树木扶正、病虫害防治和、监测、施肥、浇灌、排水、中耕除草、花坛花景草坪补植、地被覆盖、树木涂白、植物（树木、绿篱、草坪等）修剪、植物防护（防寒、旱、台、涝、高温等）、绿地内垃圾收集、清运，绿化水系、阀门维修等工作：</w:t>
            </w:r>
          </w:p>
          <w:p>
            <w:pPr>
              <w:pStyle w:val="23"/>
              <w:rPr>
                <w:rFonts w:ascii="Times New Roman"/>
                <w:lang w:val="en-US"/>
              </w:rPr>
            </w:pPr>
            <w:r>
              <w:rPr>
                <w:rFonts w:ascii="Times New Roman"/>
                <w:lang w:val="en-US"/>
              </w:rPr>
              <w:t>2、对破坏绿地行为及时进行制止、报告，并协助有关部门进行取证和查处；</w:t>
            </w:r>
          </w:p>
          <w:p>
            <w:pPr>
              <w:pStyle w:val="23"/>
              <w:rPr>
                <w:rFonts w:ascii="Times New Roman"/>
                <w:lang w:val="en-US"/>
              </w:rPr>
            </w:pPr>
            <w:r>
              <w:rPr>
                <w:rFonts w:ascii="Times New Roman"/>
                <w:lang w:val="en-US"/>
              </w:rPr>
              <w:t>3、各种重大节会、迎查活动、节假日无条件按要求保质保量完成美化，甲方不再另行支付费用；</w:t>
            </w:r>
          </w:p>
          <w:p>
            <w:pPr>
              <w:pStyle w:val="23"/>
              <w:rPr>
                <w:rFonts w:ascii="Times New Roman"/>
                <w:lang w:val="en-US"/>
              </w:rPr>
            </w:pPr>
            <w:r>
              <w:rPr>
                <w:rFonts w:ascii="Times New Roman"/>
                <w:lang w:val="en-US"/>
              </w:rPr>
              <w:t>4、乙方必须保证苗木养护成活率达到100%;须播草籽或种</w:t>
            </w:r>
            <w:r>
              <w:rPr>
                <w:rFonts w:hint="eastAsia" w:ascii="Times New Roman"/>
                <w:lang w:val="en-US"/>
              </w:rPr>
              <w:t>草坪或地被</w:t>
            </w:r>
            <w:r>
              <w:rPr>
                <w:rFonts w:ascii="Times New Roman"/>
                <w:lang w:val="en-US"/>
              </w:rPr>
              <w:t>地被，地被草坪成活率达到100%,做到随死随换。</w:t>
            </w:r>
          </w:p>
          <w:p>
            <w:pPr>
              <w:pStyle w:val="23"/>
              <w:rPr>
                <w:rFonts w:ascii="Times New Roman"/>
                <w:lang w:val="en-US"/>
              </w:rPr>
            </w:pPr>
            <w:r>
              <w:rPr>
                <w:rFonts w:ascii="Times New Roman"/>
                <w:lang w:val="en-US"/>
              </w:rPr>
              <w:t>5、以上服务内容，甲方一律不再另行支付费用。</w:t>
            </w:r>
          </w:p>
          <w:p>
            <w:pPr>
              <w:pStyle w:val="23"/>
              <w:rPr>
                <w:rFonts w:ascii="Times New Roman"/>
                <w:lang w:val="en-US"/>
              </w:rPr>
            </w:pPr>
            <w:r>
              <w:rPr>
                <w:rFonts w:ascii="Times New Roman"/>
                <w:lang w:val="en-US"/>
              </w:rPr>
              <w:t>文明安全要求：</w:t>
            </w:r>
          </w:p>
          <w:p>
            <w:pPr>
              <w:pStyle w:val="23"/>
              <w:rPr>
                <w:rFonts w:ascii="Times New Roman"/>
                <w:lang w:val="en-US"/>
              </w:rPr>
            </w:pPr>
            <w:r>
              <w:rPr>
                <w:rFonts w:ascii="Times New Roman"/>
                <w:lang w:val="en-US"/>
              </w:rPr>
              <w:t>养护作业现场应干净整洁，各类警示标识设置明显；</w:t>
            </w:r>
          </w:p>
          <w:p>
            <w:pPr>
              <w:pStyle w:val="23"/>
              <w:rPr>
                <w:rFonts w:ascii="Times New Roman"/>
                <w:lang w:val="en-US"/>
              </w:rPr>
            </w:pPr>
            <w:r>
              <w:rPr>
                <w:rFonts w:ascii="Times New Roman"/>
                <w:lang w:val="en-US"/>
              </w:rPr>
              <w:t>各种设施、材料、设备器材、苗木等物料应定点存放、维修、养护垃圾及废料随产随清；</w:t>
            </w:r>
          </w:p>
          <w:p>
            <w:pPr>
              <w:pStyle w:val="23"/>
              <w:rPr>
                <w:rFonts w:ascii="Times New Roman"/>
                <w:lang w:val="en-US"/>
              </w:rPr>
            </w:pPr>
            <w:r>
              <w:rPr>
                <w:rFonts w:ascii="Times New Roman"/>
                <w:lang w:val="en-US"/>
              </w:rPr>
              <w:t>乙方在承包期间，应当严格遵守安全生产作业的有关管理制度，采取必要的安全防护措施，出现人身伤亡事故，由乙方承担全部经济与法律责任。</w:t>
            </w:r>
          </w:p>
          <w:p>
            <w:pPr>
              <w:pStyle w:val="23"/>
              <w:rPr>
                <w:rFonts w:ascii="Times New Roman"/>
                <w:lang w:val="en-US"/>
              </w:rPr>
            </w:pPr>
            <w:r>
              <w:rPr>
                <w:rFonts w:ascii="Times New Roman"/>
                <w:lang w:val="en-US"/>
              </w:rPr>
              <w:t>其他：</w:t>
            </w:r>
          </w:p>
          <w:p>
            <w:pPr>
              <w:pStyle w:val="23"/>
              <w:rPr>
                <w:rFonts w:ascii="Times New Roman"/>
                <w:lang w:val="en-US"/>
              </w:rPr>
            </w:pPr>
            <w:r>
              <w:rPr>
                <w:rFonts w:ascii="Times New Roman"/>
                <w:lang w:val="en-US"/>
              </w:rPr>
              <w:t>1、对本合同承包项目实施绿地管护和保洁所用的一切作业人员、机械设备（三轮车、草坪修剪机、灌溉机或洒水车、打药机等）、工具材料及工作服装和防护用品由乙方自行组织配备或由甲方指定作业人员来源，由此产生的一切费用由乙方承担。</w:t>
            </w:r>
          </w:p>
          <w:p>
            <w:pPr>
              <w:pStyle w:val="23"/>
              <w:rPr>
                <w:rFonts w:ascii="Times New Roman"/>
                <w:lang w:val="en-US"/>
              </w:rPr>
            </w:pPr>
            <w:r>
              <w:rPr>
                <w:rFonts w:ascii="Times New Roman"/>
                <w:lang w:val="en-US"/>
              </w:rPr>
              <w:t>2、机械、车辆必须为正规厂家生产的专用车辆，手续齐全，保持车体整洁、车况良好、公司标志明显。</w:t>
            </w:r>
          </w:p>
          <w:p>
            <w:pPr>
              <w:pStyle w:val="23"/>
              <w:rPr>
                <w:rFonts w:ascii="Times New Roman"/>
                <w:lang w:val="en-US"/>
              </w:rPr>
            </w:pPr>
            <w:r>
              <w:rPr>
                <w:rFonts w:ascii="Times New Roman"/>
                <w:lang w:val="en-US"/>
              </w:rPr>
              <w:t>3、乙方必须按照《劳动法》要求签订劳动用工合同，缴纳社会保险、意外伤害保险、发放工资（不低于当地最低工资标准），不足约定金额的，甲方有权扣发差额。并按规定发放劳保用品、夏季防暑降温费用、过节福利等。</w:t>
            </w:r>
          </w:p>
          <w:p>
            <w:pPr>
              <w:pStyle w:val="23"/>
              <w:rPr>
                <w:rFonts w:ascii="Times New Roman"/>
                <w:lang w:val="en-US"/>
              </w:rPr>
            </w:pPr>
            <w:r>
              <w:rPr>
                <w:rFonts w:ascii="Times New Roman"/>
                <w:lang w:val="en-US"/>
              </w:rPr>
              <w:t>4、不得出现上访事件，否则每发生一起上访事件，除及时解决外承包人还需缴纳违约补偿金1万元人民币。如出现越级上访和集体上访且影响恶劣的，甲方将有权向主管部门申请将其列入经开区不良信誉企业黑名单。</w:t>
            </w:r>
          </w:p>
          <w:p>
            <w:pPr>
              <w:pStyle w:val="23"/>
              <w:rPr>
                <w:rFonts w:ascii="Times New Roman"/>
                <w:lang w:val="en-US"/>
              </w:rPr>
            </w:pPr>
            <w:r>
              <w:rPr>
                <w:rFonts w:ascii="Times New Roman"/>
                <w:lang w:val="en-US"/>
              </w:rPr>
              <w:t>5、乙方必须于每月月底前将上月雇佣人员工资、福利、服装发放签字记录、保险金缴纳等记录上报甲方。</w:t>
            </w:r>
          </w:p>
          <w:p>
            <w:pPr>
              <w:pStyle w:val="23"/>
              <w:rPr>
                <w:rFonts w:ascii="Times New Roman"/>
                <w:lang w:val="en-US"/>
              </w:rPr>
            </w:pPr>
            <w:r>
              <w:rPr>
                <w:rFonts w:ascii="Times New Roman"/>
                <w:lang w:val="en-US"/>
              </w:rPr>
              <w:t>6、在养护期起止的时间节点，乙方应将承包范围内的苗本，养护工具及开发区设施进行数量交接。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801" w:type="dxa"/>
            <w:tcBorders>
              <w:left w:val="single" w:color="000000" w:sz="4" w:space="0"/>
            </w:tcBorders>
            <w:vAlign w:val="center"/>
          </w:tcPr>
          <w:p>
            <w:pPr>
              <w:pStyle w:val="23"/>
              <w:jc w:val="center"/>
              <w:rPr>
                <w:rFonts w:ascii="Times New Roman"/>
                <w:lang w:val="en-US"/>
              </w:rPr>
            </w:pPr>
            <w:r>
              <w:rPr>
                <w:rFonts w:hint="eastAsia" w:ascii="Times New Roman"/>
                <w:lang w:val="en-US"/>
              </w:rPr>
              <w:t>2.7.2</w:t>
            </w:r>
          </w:p>
        </w:tc>
        <w:tc>
          <w:tcPr>
            <w:tcW w:w="7633" w:type="dxa"/>
          </w:tcPr>
          <w:p>
            <w:pPr>
              <w:pStyle w:val="23"/>
              <w:rPr>
                <w:rFonts w:ascii="Times New Roman"/>
              </w:rPr>
            </w:pPr>
            <w:r>
              <w:rPr>
                <w:rFonts w:ascii="Times New Roman"/>
                <w:lang w:val="en-US"/>
              </w:rPr>
              <w:t>甲方有权要求乙方随时更换在实际工作中不称职的成员，更换人员以须具有同等或以上资质的本单位人员。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801" w:type="dxa"/>
            <w:tcBorders>
              <w:left w:val="single" w:color="000000" w:sz="4" w:space="0"/>
            </w:tcBorders>
            <w:vAlign w:val="center"/>
          </w:tcPr>
          <w:p>
            <w:pPr>
              <w:pStyle w:val="23"/>
              <w:jc w:val="center"/>
              <w:rPr>
                <w:rFonts w:ascii="Times New Roman"/>
                <w:lang w:val="en-US"/>
              </w:rPr>
            </w:pPr>
            <w:r>
              <w:rPr>
                <w:rFonts w:hint="eastAsia" w:ascii="Times New Roman"/>
                <w:lang w:val="en-US"/>
              </w:rPr>
              <w:t>2.14.2</w:t>
            </w:r>
          </w:p>
        </w:tc>
        <w:tc>
          <w:tcPr>
            <w:tcW w:w="7633" w:type="dxa"/>
          </w:tcPr>
          <w:p>
            <w:pPr>
              <w:pStyle w:val="23"/>
              <w:rPr>
                <w:rFonts w:ascii="Times New Roman"/>
              </w:rPr>
            </w:pPr>
            <w:r>
              <w:rPr>
                <w:rFonts w:hint="eastAsia" w:ascii="Times New Roman"/>
              </w:rPr>
              <w:t>如乙方连续三个月考核结果不合格，且拒不整改或整改不达标的，甲方有权终止协议。（考核按照《喀什经济开发区绿地养护考核管理办法（试行）》和《喀什经济开发区环卫考核管理办法（试行）》实施）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60" w:hRule="atLeast"/>
          <w:jc w:val="center"/>
        </w:trPr>
        <w:tc>
          <w:tcPr>
            <w:tcW w:w="801" w:type="dxa"/>
            <w:tcBorders>
              <w:left w:val="single" w:color="000000" w:sz="4" w:space="0"/>
            </w:tcBorders>
            <w:vAlign w:val="center"/>
          </w:tcPr>
          <w:p>
            <w:pPr>
              <w:pStyle w:val="23"/>
              <w:jc w:val="center"/>
              <w:rPr>
                <w:rFonts w:ascii="Times New Roman"/>
                <w:lang w:val="en-US"/>
              </w:rPr>
            </w:pPr>
            <w:r>
              <w:rPr>
                <w:rFonts w:hint="eastAsia" w:ascii="Times New Roman"/>
                <w:lang w:val="en-US"/>
              </w:rPr>
              <w:t>2.20.4</w:t>
            </w:r>
          </w:p>
        </w:tc>
        <w:tc>
          <w:tcPr>
            <w:tcW w:w="7633" w:type="dxa"/>
          </w:tcPr>
          <w:p>
            <w:pPr>
              <w:pStyle w:val="23"/>
              <w:rPr>
                <w:rFonts w:ascii="Times New Roman"/>
              </w:rPr>
            </w:pPr>
            <w:r>
              <w:rPr>
                <w:rFonts w:hint="eastAsia" w:ascii="Times New Roman"/>
              </w:rPr>
              <w:t>在预算保障的前提下，对于购买内容相对固定、连续性强、经费来源稳定、价格变化幅度小的政府购买服务项目，可以签订履行期限不超过3年的政府购买服务合同。如预算不到位，采购人可与(中标单位或成交供应商)按约定变更采购合同。每年期满后，采购人根据相关政策以及中标人服务质量与中标人续签下一年合同，且中标单价予以调整。</w:t>
            </w:r>
          </w:p>
        </w:tc>
      </w:tr>
    </w:tbl>
    <w:p>
      <w:pPr>
        <w:pStyle w:val="9"/>
        <w:spacing w:line="436" w:lineRule="auto"/>
        <w:ind w:left="774" w:right="452" w:firstLine="480"/>
        <w:jc w:val="both"/>
      </w:pPr>
    </w:p>
    <w:sectPr>
      <w:pgSz w:w="11910" w:h="16840"/>
      <w:pgMar w:top="1600" w:right="1020" w:bottom="1280" w:left="1040" w:header="0" w:footer="109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MS UI Gothic">
    <w:panose1 w:val="020B0600070205080204"/>
    <w:charset w:val="80"/>
    <w:family w:val="swiss"/>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
    <w:panose1 w:val="02010609060101010101"/>
    <w:charset w:val="86"/>
    <w:family w:val="modern"/>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59264" behindDoc="1" locked="0" layoutInCell="1" allowOverlap="1">
              <wp:simplePos x="0" y="0"/>
              <wp:positionH relativeFrom="page">
                <wp:posOffset>3309620</wp:posOffset>
              </wp:positionH>
              <wp:positionV relativeFrom="page">
                <wp:posOffset>9917430</wp:posOffset>
              </wp:positionV>
              <wp:extent cx="939800" cy="141605"/>
              <wp:effectExtent l="0" t="0" r="0" b="0"/>
              <wp:wrapNone/>
              <wp:docPr id="17" name="文本框 1"/>
              <wp:cNvGraphicFramePr/>
              <a:graphic xmlns:a="http://schemas.openxmlformats.org/drawingml/2006/main">
                <a:graphicData uri="http://schemas.microsoft.com/office/word/2010/wordprocessingShape">
                  <wps:wsp>
                    <wps:cNvSpPr txBox="1"/>
                    <wps:spPr>
                      <a:xfrm>
                        <a:off x="0" y="0"/>
                        <a:ext cx="939800" cy="141605"/>
                      </a:xfrm>
                      <a:prstGeom prst="rect">
                        <a:avLst/>
                      </a:prstGeom>
                      <a:noFill/>
                      <a:ln>
                        <a:noFill/>
                      </a:ln>
                    </wps:spPr>
                    <wps:txbx>
                      <w:txbxContent>
                        <w:p>
                          <w:pPr>
                            <w:spacing w:line="222" w:lineRule="exact"/>
                            <w:ind w:left="20"/>
                            <w:rPr>
                              <w:rFonts w:ascii="宋体" w:eastAsia="宋体"/>
                              <w:sz w:val="18"/>
                            </w:rPr>
                          </w:pPr>
                          <w:r>
                            <w:rPr>
                              <w:rFonts w:hint="eastAsia" w:ascii="宋体" w:eastAsia="宋体"/>
                              <w:sz w:val="18"/>
                            </w:rPr>
                            <w:t xml:space="preserve">第 </w:t>
                          </w:r>
                          <w:r>
                            <w:fldChar w:fldCharType="begin"/>
                          </w:r>
                          <w:r>
                            <w:rPr>
                              <w:rFonts w:hint="eastAsia" w:ascii="宋体" w:eastAsia="宋体"/>
                              <w:sz w:val="18"/>
                            </w:rPr>
                            <w:instrText xml:space="preserve"> PAGE </w:instrText>
                          </w:r>
                          <w:r>
                            <w:fldChar w:fldCharType="separate"/>
                          </w:r>
                          <w:r>
                            <w:rPr>
                              <w:rFonts w:ascii="宋体" w:eastAsia="宋体"/>
                              <w:sz w:val="18"/>
                            </w:rPr>
                            <w:t>4</w:t>
                          </w:r>
                          <w:r>
                            <w:fldChar w:fldCharType="end"/>
                          </w:r>
                          <w:r>
                            <w:rPr>
                              <w:rFonts w:hint="eastAsia" w:ascii="宋体" w:eastAsia="宋体"/>
                              <w:sz w:val="18"/>
                            </w:rPr>
                            <w:t xml:space="preserve"> 页 共 73 页</w:t>
                          </w:r>
                        </w:p>
                      </w:txbxContent>
                    </wps:txbx>
                    <wps:bodyPr lIns="0" tIns="0" rIns="0" bIns="0" upright="1"/>
                  </wps:wsp>
                </a:graphicData>
              </a:graphic>
            </wp:anchor>
          </w:drawing>
        </mc:Choice>
        <mc:Fallback>
          <w:pict>
            <v:shape id="文本框 1" o:spid="_x0000_s1026" o:spt="202" type="#_x0000_t202" style="position:absolute;left:0pt;margin-left:260.6pt;margin-top:780.9pt;height:11.15pt;width:74pt;mso-position-horizontal-relative:page;mso-position-vertical-relative:page;z-index:-251657216;mso-width-relative:page;mso-height-relative:page;" filled="f" stroked="f" coordsize="21600,21600" o:gfxdata="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v/rJk2QAAAA0BAAAPAAAAAAAAAAEAIAAAACIAAABkcnMvZG93bnJldi54bWxQSwEC&#10;FAAUAAAACACHTuJAwRG57LoBAAByAwAADgAAAAAAAAABACAAAAAoAQAAZHJzL2Uyb0RvYy54bWxQ&#10;SwUGAAAAAAYABgBZAQAAVAUAAAAA&#10;">
              <v:fill on="f" focussize="0,0"/>
              <v:stroke on="f"/>
              <v:imagedata o:title=""/>
              <o:lock v:ext="edit" aspectratio="f"/>
              <v:textbox inset="0mm,0mm,0mm,0mm">
                <w:txbxContent>
                  <w:p>
                    <w:pPr>
                      <w:spacing w:line="222" w:lineRule="exact"/>
                      <w:ind w:left="20"/>
                      <w:rPr>
                        <w:rFonts w:ascii="宋体" w:eastAsia="宋体"/>
                        <w:sz w:val="18"/>
                      </w:rPr>
                    </w:pPr>
                    <w:r>
                      <w:rPr>
                        <w:rFonts w:hint="eastAsia" w:ascii="宋体" w:eastAsia="宋体"/>
                        <w:sz w:val="18"/>
                      </w:rPr>
                      <w:t xml:space="preserve">第 </w:t>
                    </w:r>
                    <w:r>
                      <w:fldChar w:fldCharType="begin"/>
                    </w:r>
                    <w:r>
                      <w:rPr>
                        <w:rFonts w:hint="eastAsia" w:ascii="宋体" w:eastAsia="宋体"/>
                        <w:sz w:val="18"/>
                      </w:rPr>
                      <w:instrText xml:space="preserve"> PAGE </w:instrText>
                    </w:r>
                    <w:r>
                      <w:fldChar w:fldCharType="separate"/>
                    </w:r>
                    <w:r>
                      <w:rPr>
                        <w:rFonts w:ascii="宋体" w:eastAsia="宋体"/>
                        <w:sz w:val="18"/>
                      </w:rPr>
                      <w:t>4</w:t>
                    </w:r>
                    <w:r>
                      <w:fldChar w:fldCharType="end"/>
                    </w:r>
                    <w:r>
                      <w:rPr>
                        <w:rFonts w:hint="eastAsia" w:ascii="宋体" w:eastAsia="宋体"/>
                        <w:sz w:val="18"/>
                      </w:rPr>
                      <w:t xml:space="preserve"> 页 共 73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66432" behindDoc="1" locked="0" layoutInCell="1" allowOverlap="1">
              <wp:simplePos x="0" y="0"/>
              <wp:positionH relativeFrom="page">
                <wp:posOffset>3697605</wp:posOffset>
              </wp:positionH>
              <wp:positionV relativeFrom="page">
                <wp:posOffset>9860915</wp:posOffset>
              </wp:positionV>
              <wp:extent cx="166370" cy="139700"/>
              <wp:effectExtent l="0" t="0" r="0" b="0"/>
              <wp:wrapNone/>
              <wp:docPr id="24" name="文本框 8"/>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spacing w:line="220" w:lineRule="exact"/>
                            <w:ind w:left="40"/>
                            <w:rPr>
                              <w:rFonts w:ascii="宋体"/>
                              <w:sz w:val="18"/>
                            </w:rPr>
                          </w:pPr>
                          <w:r>
                            <w:fldChar w:fldCharType="begin"/>
                          </w:r>
                          <w:r>
                            <w:rPr>
                              <w:rFonts w:ascii="宋体"/>
                              <w:sz w:val="18"/>
                            </w:rPr>
                            <w:instrText xml:space="preserve"> PAGE </w:instrText>
                          </w:r>
                          <w:r>
                            <w:fldChar w:fldCharType="separate"/>
                          </w:r>
                          <w:r>
                            <w:rPr>
                              <w:rFonts w:ascii="宋体"/>
                              <w:sz w:val="18"/>
                            </w:rPr>
                            <w:t>49</w:t>
                          </w:r>
                          <w:r>
                            <w:fldChar w:fldCharType="end"/>
                          </w:r>
                        </w:p>
                      </w:txbxContent>
                    </wps:txbx>
                    <wps:bodyPr lIns="0" tIns="0" rIns="0" bIns="0" upright="1"/>
                  </wps:wsp>
                </a:graphicData>
              </a:graphic>
            </wp:anchor>
          </w:drawing>
        </mc:Choice>
        <mc:Fallback>
          <w:pict>
            <v:shape id="文本框 8" o:spid="_x0000_s1026" o:spt="202" type="#_x0000_t202" style="position:absolute;left:0pt;margin-left:291.15pt;margin-top:776.45pt;height:11pt;width:13.1pt;mso-position-horizontal-relative:page;mso-position-vertical-relative:page;z-index:-251650048;mso-width-relative:page;mso-height-relative:page;" filled="f" stroked="f" coordsize="21600,21600" o:gfxdata="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D0Wrj2wAAAA0BAAAPAAAAAAAAAAEAIAAAACIAAABkcnMvZG93bnJldi54bWxQ&#10;SwECFAAUAAAACACHTuJAaVuaWLsBAAByAwAADgAAAAAAAAABACAAAAAqAQAAZHJzL2Uyb0RvYy54&#10;bWxQSwUGAAAAAAYABgBZAQAAVwUAAAAA&#10;">
              <v:fill on="f" focussize="0,0"/>
              <v:stroke on="f"/>
              <v:imagedata o:title=""/>
              <o:lock v:ext="edit" aspectratio="f"/>
              <v:textbox inset="0mm,0mm,0mm,0mm">
                <w:txbxContent>
                  <w:p>
                    <w:pPr>
                      <w:spacing w:line="220" w:lineRule="exact"/>
                      <w:ind w:left="40"/>
                      <w:rPr>
                        <w:rFonts w:ascii="宋体"/>
                        <w:sz w:val="18"/>
                      </w:rPr>
                    </w:pPr>
                    <w:r>
                      <w:fldChar w:fldCharType="begin"/>
                    </w:r>
                    <w:r>
                      <w:rPr>
                        <w:rFonts w:ascii="宋体"/>
                        <w:sz w:val="18"/>
                      </w:rPr>
                      <w:instrText xml:space="preserve"> PAGE </w:instrText>
                    </w:r>
                    <w:r>
                      <w:fldChar w:fldCharType="separate"/>
                    </w:r>
                    <w:r>
                      <w:rPr>
                        <w:rFonts w:ascii="宋体"/>
                        <w:sz w:val="18"/>
                      </w:rPr>
                      <w:t>49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68480" behindDoc="1" locked="0" layoutInCell="1" allowOverlap="1">
              <wp:simplePos x="0" y="0"/>
              <wp:positionH relativeFrom="page">
                <wp:posOffset>5264150</wp:posOffset>
              </wp:positionH>
              <wp:positionV relativeFrom="page">
                <wp:posOffset>6727825</wp:posOffset>
              </wp:positionV>
              <wp:extent cx="166370" cy="139700"/>
              <wp:effectExtent l="0" t="0" r="0" b="0"/>
              <wp:wrapNone/>
              <wp:docPr id="26" name="文本框 10"/>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spacing w:line="220" w:lineRule="exact"/>
                            <w:ind w:left="40"/>
                            <w:rPr>
                              <w:rFonts w:ascii="宋体"/>
                              <w:sz w:val="18"/>
                            </w:rPr>
                          </w:pPr>
                          <w:r>
                            <w:fldChar w:fldCharType="begin"/>
                          </w:r>
                          <w:r>
                            <w:rPr>
                              <w:rFonts w:ascii="宋体"/>
                              <w:sz w:val="18"/>
                            </w:rPr>
                            <w:instrText xml:space="preserve"> PAGE </w:instrText>
                          </w:r>
                          <w:r>
                            <w:fldChar w:fldCharType="separate"/>
                          </w:r>
                          <w:r>
                            <w:rPr>
                              <w:rFonts w:ascii="宋体"/>
                              <w:sz w:val="18"/>
                            </w:rPr>
                            <w:t>54</w:t>
                          </w:r>
                          <w:r>
                            <w:fldChar w:fldCharType="end"/>
                          </w:r>
                        </w:p>
                      </w:txbxContent>
                    </wps:txbx>
                    <wps:bodyPr lIns="0" tIns="0" rIns="0" bIns="0" upright="1"/>
                  </wps:wsp>
                </a:graphicData>
              </a:graphic>
            </wp:anchor>
          </w:drawing>
        </mc:Choice>
        <mc:Fallback>
          <w:pict>
            <v:shape id="文本框 10" o:spid="_x0000_s1026" o:spt="202" type="#_x0000_t202" style="position:absolute;left:0pt;margin-left:414.5pt;margin-top:529.75pt;height:11pt;width:13.1pt;mso-position-horizontal-relative:page;mso-position-vertical-relative:page;z-index:-251648000;mso-width-relative:page;mso-height-relative:page;" filled="f" stroked="f" coordsize="21600,21600" o:gfxdata="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FpkrWNoAAAANAQAADwAAAAAAAAABACAAAAAiAAAAZHJzL2Rvd25yZXYueG1sUEsB&#10;AhQAFAAAAAgAh07iQC5GWGK6AQAAcwMAAA4AAAAAAAAAAQAgAAAAKQEAAGRycy9lMm9Eb2MueG1s&#10;UEsFBgAAAAAGAAYAWQEAAFUFAAAAAA==&#10;">
              <v:fill on="f" focussize="0,0"/>
              <v:stroke on="f"/>
              <v:imagedata o:title=""/>
              <o:lock v:ext="edit" aspectratio="f"/>
              <v:textbox inset="0mm,0mm,0mm,0mm">
                <w:txbxContent>
                  <w:p>
                    <w:pPr>
                      <w:spacing w:line="220" w:lineRule="exact"/>
                      <w:ind w:left="40"/>
                      <w:rPr>
                        <w:rFonts w:ascii="宋体"/>
                        <w:sz w:val="18"/>
                      </w:rPr>
                    </w:pPr>
                    <w:r>
                      <w:fldChar w:fldCharType="begin"/>
                    </w:r>
                    <w:r>
                      <w:rPr>
                        <w:rFonts w:ascii="宋体"/>
                        <w:sz w:val="18"/>
                      </w:rPr>
                      <w:instrText xml:space="preserve"> PAGE </w:instrText>
                    </w:r>
                    <w:r>
                      <w:fldChar w:fldCharType="separate"/>
                    </w:r>
                    <w:r>
                      <w:rPr>
                        <w:rFonts w:ascii="宋体"/>
                        <w:sz w:val="18"/>
                      </w:rPr>
                      <w:t>54</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69504" behindDoc="1" locked="0" layoutInCell="1" allowOverlap="1">
              <wp:simplePos x="0" y="0"/>
              <wp:positionH relativeFrom="page">
                <wp:posOffset>5264150</wp:posOffset>
              </wp:positionH>
              <wp:positionV relativeFrom="page">
                <wp:posOffset>6727825</wp:posOffset>
              </wp:positionV>
              <wp:extent cx="166370" cy="139700"/>
              <wp:effectExtent l="0" t="0" r="0" b="0"/>
              <wp:wrapNone/>
              <wp:docPr id="27" name="文本框 11"/>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spacing w:line="220" w:lineRule="exact"/>
                            <w:ind w:left="40"/>
                            <w:rPr>
                              <w:rFonts w:ascii="宋体"/>
                              <w:sz w:val="18"/>
                            </w:rPr>
                          </w:pPr>
                          <w:r>
                            <w:fldChar w:fldCharType="begin"/>
                          </w:r>
                          <w:r>
                            <w:rPr>
                              <w:rFonts w:ascii="宋体"/>
                              <w:sz w:val="18"/>
                            </w:rPr>
                            <w:instrText xml:space="preserve"> PAGE </w:instrText>
                          </w:r>
                          <w:r>
                            <w:fldChar w:fldCharType="separate"/>
                          </w:r>
                          <w:r>
                            <w:rPr>
                              <w:rFonts w:ascii="宋体"/>
                              <w:sz w:val="18"/>
                            </w:rPr>
                            <w:t>57</w:t>
                          </w:r>
                          <w:r>
                            <w:fldChar w:fldCharType="end"/>
                          </w:r>
                        </w:p>
                      </w:txbxContent>
                    </wps:txbx>
                    <wps:bodyPr lIns="0" tIns="0" rIns="0" bIns="0" upright="1"/>
                  </wps:wsp>
                </a:graphicData>
              </a:graphic>
            </wp:anchor>
          </w:drawing>
        </mc:Choice>
        <mc:Fallback>
          <w:pict>
            <v:shape id="文本框 11" o:spid="_x0000_s1026" o:spt="202" type="#_x0000_t202" style="position:absolute;left:0pt;margin-left:414.5pt;margin-top:529.75pt;height:11pt;width:13.1pt;mso-position-horizontal-relative:page;mso-position-vertical-relative:page;z-index:-251646976;mso-width-relative:page;mso-height-relative:page;" filled="f" stroked="f" coordsize="21600,21600" o:gfxdata="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aZK1jaAAAADQEAAA8AAAAAAAAAAQAgAAAAIgAAAGRycy9kb3ducmV2LnhtbFBL&#10;AQIUABQAAAAIAIdO4kDrOma6uwEAAHMDAAAOAAAAAAAAAAEAIAAAACkBAABkcnMvZTJvRG9jLnht&#10;bFBLBQYAAAAABgAGAFkBAABWBQAAAAA=&#10;">
              <v:fill on="f" focussize="0,0"/>
              <v:stroke on="f"/>
              <v:imagedata o:title=""/>
              <o:lock v:ext="edit" aspectratio="f"/>
              <v:textbox inset="0mm,0mm,0mm,0mm">
                <w:txbxContent>
                  <w:p>
                    <w:pPr>
                      <w:spacing w:line="220" w:lineRule="exact"/>
                      <w:ind w:left="40"/>
                      <w:rPr>
                        <w:rFonts w:ascii="宋体"/>
                        <w:sz w:val="18"/>
                      </w:rPr>
                    </w:pPr>
                    <w:r>
                      <w:fldChar w:fldCharType="begin"/>
                    </w:r>
                    <w:r>
                      <w:rPr>
                        <w:rFonts w:ascii="宋体"/>
                        <w:sz w:val="18"/>
                      </w:rPr>
                      <w:instrText xml:space="preserve"> PAGE </w:instrText>
                    </w:r>
                    <w:r>
                      <w:fldChar w:fldCharType="separate"/>
                    </w:r>
                    <w:r>
                      <w:rPr>
                        <w:rFonts w:ascii="宋体"/>
                        <w:sz w:val="18"/>
                      </w:rPr>
                      <w:t>57</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70528" behindDoc="1" locked="0" layoutInCell="1" allowOverlap="1">
              <wp:simplePos x="0" y="0"/>
              <wp:positionH relativeFrom="page">
                <wp:posOffset>3697605</wp:posOffset>
              </wp:positionH>
              <wp:positionV relativeFrom="page">
                <wp:posOffset>9860915</wp:posOffset>
              </wp:positionV>
              <wp:extent cx="166370" cy="139700"/>
              <wp:effectExtent l="0" t="0" r="0" b="0"/>
              <wp:wrapNone/>
              <wp:docPr id="29" name="文本框 13"/>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spacing w:line="220" w:lineRule="exact"/>
                            <w:ind w:left="40"/>
                            <w:rPr>
                              <w:rFonts w:ascii="宋体"/>
                              <w:sz w:val="18"/>
                            </w:rPr>
                          </w:pPr>
                          <w:r>
                            <w:fldChar w:fldCharType="begin"/>
                          </w:r>
                          <w:r>
                            <w:rPr>
                              <w:rFonts w:ascii="宋体"/>
                              <w:sz w:val="18"/>
                            </w:rPr>
                            <w:instrText xml:space="preserve"> PAGE </w:instrText>
                          </w:r>
                          <w:r>
                            <w:fldChar w:fldCharType="separate"/>
                          </w:r>
                          <w:r>
                            <w:rPr>
                              <w:rFonts w:ascii="宋体"/>
                              <w:sz w:val="18"/>
                            </w:rPr>
                            <w:t>66</w:t>
                          </w:r>
                          <w:r>
                            <w:fldChar w:fldCharType="end"/>
                          </w:r>
                        </w:p>
                      </w:txbxContent>
                    </wps:txbx>
                    <wps:bodyPr lIns="0" tIns="0" rIns="0" bIns="0" upright="1"/>
                  </wps:wsp>
                </a:graphicData>
              </a:graphic>
            </wp:anchor>
          </w:drawing>
        </mc:Choice>
        <mc:Fallback>
          <w:pict>
            <v:shape id="文本框 13" o:spid="_x0000_s1026" o:spt="202" type="#_x0000_t202" style="position:absolute;left:0pt;margin-left:291.15pt;margin-top:776.45pt;height:11pt;width:13.1pt;mso-position-horizontal-relative:page;mso-position-vertical-relative:page;z-index:-251645952;mso-width-relative:page;mso-height-relative:page;" filled="f" stroked="f" coordsize="21600,21600" o:gfxdata="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w9Fq49sAAAANAQAADwAAAAAAAAABACAAAAAiAAAAZHJzL2Rvd25yZXYueG1s&#10;UEsBAhQAFAAAAAgAh07iQJGjLRm8AQAAcwMAAA4AAAAAAAAAAQAgAAAAKgEAAGRycy9lMm9Eb2Mu&#10;eG1sUEsFBgAAAAAGAAYAWQEAAFgFAAAAAA==&#10;">
              <v:fill on="f" focussize="0,0"/>
              <v:stroke on="f"/>
              <v:imagedata o:title=""/>
              <o:lock v:ext="edit" aspectratio="f"/>
              <v:textbox inset="0mm,0mm,0mm,0mm">
                <w:txbxContent>
                  <w:p>
                    <w:pPr>
                      <w:spacing w:line="220" w:lineRule="exact"/>
                      <w:ind w:left="40"/>
                      <w:rPr>
                        <w:rFonts w:ascii="宋体"/>
                        <w:sz w:val="18"/>
                      </w:rPr>
                    </w:pPr>
                    <w:r>
                      <w:fldChar w:fldCharType="begin"/>
                    </w:r>
                    <w:r>
                      <w:rPr>
                        <w:rFonts w:ascii="宋体"/>
                        <w:sz w:val="18"/>
                      </w:rPr>
                      <w:instrText xml:space="preserve"> PAGE </w:instrText>
                    </w:r>
                    <w:r>
                      <w:fldChar w:fldCharType="separate"/>
                    </w:r>
                    <w:r>
                      <w:rPr>
                        <w:rFonts w:ascii="宋体"/>
                        <w:sz w:val="18"/>
                      </w:rPr>
                      <w:t>66</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71552" behindDoc="1" locked="0" layoutInCell="1" allowOverlap="1">
              <wp:simplePos x="0" y="0"/>
              <wp:positionH relativeFrom="page">
                <wp:posOffset>3390265</wp:posOffset>
              </wp:positionH>
              <wp:positionV relativeFrom="page">
                <wp:posOffset>9859645</wp:posOffset>
              </wp:positionV>
              <wp:extent cx="996315" cy="141605"/>
              <wp:effectExtent l="0" t="0" r="0" b="0"/>
              <wp:wrapNone/>
              <wp:docPr id="30" name="文本框 14"/>
              <wp:cNvGraphicFramePr/>
              <a:graphic xmlns:a="http://schemas.openxmlformats.org/drawingml/2006/main">
                <a:graphicData uri="http://schemas.microsoft.com/office/word/2010/wordprocessingShape">
                  <wps:wsp>
                    <wps:cNvSpPr txBox="1"/>
                    <wps:spPr>
                      <a:xfrm>
                        <a:off x="0" y="0"/>
                        <a:ext cx="996315" cy="141605"/>
                      </a:xfrm>
                      <a:prstGeom prst="rect">
                        <a:avLst/>
                      </a:prstGeom>
                      <a:noFill/>
                      <a:ln>
                        <a:noFill/>
                      </a:ln>
                    </wps:spPr>
                    <wps:txbx>
                      <w:txbxContent>
                        <w:p>
                          <w:pPr>
                            <w:spacing w:line="222" w:lineRule="exact"/>
                            <w:ind w:left="20"/>
                            <w:rPr>
                              <w:rFonts w:ascii="宋体" w:eastAsia="宋体"/>
                              <w:sz w:val="18"/>
                            </w:rPr>
                          </w:pPr>
                          <w:r>
                            <w:rPr>
                              <w:rFonts w:hint="eastAsia" w:ascii="宋体" w:eastAsia="宋体"/>
                              <w:sz w:val="18"/>
                            </w:rPr>
                            <w:t xml:space="preserve">第 </w:t>
                          </w:r>
                          <w:r>
                            <w:fldChar w:fldCharType="begin"/>
                          </w:r>
                          <w:r>
                            <w:rPr>
                              <w:rFonts w:hint="eastAsia" w:ascii="宋体" w:eastAsia="宋体"/>
                              <w:sz w:val="18"/>
                            </w:rPr>
                            <w:instrText xml:space="preserve"> PAGE </w:instrText>
                          </w:r>
                          <w:r>
                            <w:fldChar w:fldCharType="separate"/>
                          </w:r>
                          <w:r>
                            <w:rPr>
                              <w:rFonts w:ascii="宋体" w:eastAsia="宋体"/>
                              <w:sz w:val="18"/>
                            </w:rPr>
                            <w:t>73</w:t>
                          </w:r>
                          <w:r>
                            <w:fldChar w:fldCharType="end"/>
                          </w:r>
                          <w:r>
                            <w:rPr>
                              <w:rFonts w:hint="eastAsia" w:ascii="宋体" w:eastAsia="宋体"/>
                              <w:sz w:val="18"/>
                            </w:rPr>
                            <w:t xml:space="preserve"> 页 共 73 页</w:t>
                          </w:r>
                        </w:p>
                      </w:txbxContent>
                    </wps:txbx>
                    <wps:bodyPr lIns="0" tIns="0" rIns="0" bIns="0" upright="1"/>
                  </wps:wsp>
                </a:graphicData>
              </a:graphic>
            </wp:anchor>
          </w:drawing>
        </mc:Choice>
        <mc:Fallback>
          <w:pict>
            <v:shape id="文本框 14" o:spid="_x0000_s1026" o:spt="202" type="#_x0000_t202" style="position:absolute;left:0pt;margin-left:266.95pt;margin-top:776.35pt;height:11.15pt;width:78.45pt;mso-position-horizontal-relative:page;mso-position-vertical-relative:page;z-index:-251644928;mso-width-relative:page;mso-height-relative:page;" filled="f" stroked="f" coordsize="21600,21600" o:gfxdata="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WSOtwNsAAAANAQAADwAAAAAAAAABACAAAAAiAAAAZHJzL2Rvd25yZXYueG1s&#10;UEsBAhQAFAAAAAgAh07iQChz7Nq8AQAAcwMAAA4AAAAAAAAAAQAgAAAAKgEAAGRycy9lMm9Eb2Mu&#10;eG1sUEsFBgAAAAAGAAYAWQEAAFgFAAAAAA==&#10;">
              <v:fill on="f" focussize="0,0"/>
              <v:stroke on="f"/>
              <v:imagedata o:title=""/>
              <o:lock v:ext="edit" aspectratio="f"/>
              <v:textbox inset="0mm,0mm,0mm,0mm">
                <w:txbxContent>
                  <w:p>
                    <w:pPr>
                      <w:spacing w:line="222" w:lineRule="exact"/>
                      <w:ind w:left="20"/>
                      <w:rPr>
                        <w:rFonts w:ascii="宋体" w:eastAsia="宋体"/>
                        <w:sz w:val="18"/>
                      </w:rPr>
                    </w:pPr>
                    <w:r>
                      <w:rPr>
                        <w:rFonts w:hint="eastAsia" w:ascii="宋体" w:eastAsia="宋体"/>
                        <w:sz w:val="18"/>
                      </w:rPr>
                      <w:t xml:space="preserve">第 </w:t>
                    </w:r>
                    <w:r>
                      <w:fldChar w:fldCharType="begin"/>
                    </w:r>
                    <w:r>
                      <w:rPr>
                        <w:rFonts w:hint="eastAsia" w:ascii="宋体" w:eastAsia="宋体"/>
                        <w:sz w:val="18"/>
                      </w:rPr>
                      <w:instrText xml:space="preserve"> PAGE </w:instrText>
                    </w:r>
                    <w:r>
                      <w:fldChar w:fldCharType="separate"/>
                    </w:r>
                    <w:r>
                      <w:rPr>
                        <w:rFonts w:ascii="宋体" w:eastAsia="宋体"/>
                        <w:sz w:val="18"/>
                      </w:rPr>
                      <w:t>73</w:t>
                    </w:r>
                    <w:r>
                      <w:fldChar w:fldCharType="end"/>
                    </w:r>
                    <w:r>
                      <w:rPr>
                        <w:rFonts w:hint="eastAsia" w:ascii="宋体" w:eastAsia="宋体"/>
                        <w:sz w:val="18"/>
                      </w:rPr>
                      <w:t xml:space="preserve"> 页 共 73 页</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72576" behindDoc="1" locked="0" layoutInCell="1" allowOverlap="1">
              <wp:simplePos x="0" y="0"/>
              <wp:positionH relativeFrom="page">
                <wp:posOffset>3390265</wp:posOffset>
              </wp:positionH>
              <wp:positionV relativeFrom="page">
                <wp:posOffset>9859645</wp:posOffset>
              </wp:positionV>
              <wp:extent cx="996315" cy="141605"/>
              <wp:effectExtent l="0" t="0" r="0" b="0"/>
              <wp:wrapNone/>
              <wp:docPr id="31" name="文本框 15"/>
              <wp:cNvGraphicFramePr/>
              <a:graphic xmlns:a="http://schemas.openxmlformats.org/drawingml/2006/main">
                <a:graphicData uri="http://schemas.microsoft.com/office/word/2010/wordprocessingShape">
                  <wps:wsp>
                    <wps:cNvSpPr txBox="1"/>
                    <wps:spPr>
                      <a:xfrm>
                        <a:off x="0" y="0"/>
                        <a:ext cx="996315" cy="141605"/>
                      </a:xfrm>
                      <a:prstGeom prst="rect">
                        <a:avLst/>
                      </a:prstGeom>
                      <a:noFill/>
                      <a:ln>
                        <a:noFill/>
                      </a:ln>
                    </wps:spPr>
                    <wps:txbx>
                      <w:txbxContent>
                        <w:p>
                          <w:pPr>
                            <w:spacing w:line="222" w:lineRule="exact"/>
                            <w:ind w:left="20"/>
                            <w:rPr>
                              <w:rFonts w:ascii="宋体" w:eastAsia="宋体"/>
                              <w:sz w:val="18"/>
                            </w:rPr>
                          </w:pPr>
                          <w:r>
                            <w:rPr>
                              <w:rFonts w:hint="eastAsia" w:ascii="宋体" w:eastAsia="宋体"/>
                              <w:sz w:val="18"/>
                            </w:rPr>
                            <w:t xml:space="preserve">第 </w:t>
                          </w:r>
                          <w:r>
                            <w:fldChar w:fldCharType="begin"/>
                          </w:r>
                          <w:r>
                            <w:rPr>
                              <w:rFonts w:hint="eastAsia" w:ascii="宋体" w:eastAsia="宋体"/>
                              <w:sz w:val="18"/>
                            </w:rPr>
                            <w:instrText xml:space="preserve"> PAGE </w:instrText>
                          </w:r>
                          <w:r>
                            <w:fldChar w:fldCharType="separate"/>
                          </w:r>
                          <w:r>
                            <w:rPr>
                              <w:rFonts w:ascii="宋体" w:eastAsia="宋体"/>
                              <w:sz w:val="18"/>
                            </w:rPr>
                            <w:t>73</w:t>
                          </w:r>
                          <w:r>
                            <w:fldChar w:fldCharType="end"/>
                          </w:r>
                          <w:r>
                            <w:rPr>
                              <w:rFonts w:hint="eastAsia" w:ascii="宋体" w:eastAsia="宋体"/>
                              <w:sz w:val="18"/>
                            </w:rPr>
                            <w:t xml:space="preserve"> 页 共 73 页</w:t>
                          </w:r>
                        </w:p>
                      </w:txbxContent>
                    </wps:txbx>
                    <wps:bodyPr lIns="0" tIns="0" rIns="0" bIns="0" upright="1"/>
                  </wps:wsp>
                </a:graphicData>
              </a:graphic>
            </wp:anchor>
          </w:drawing>
        </mc:Choice>
        <mc:Fallback>
          <w:pict>
            <v:shape id="文本框 15" o:spid="_x0000_s1026" o:spt="202" type="#_x0000_t202" style="position:absolute;left:0pt;margin-left:266.95pt;margin-top:776.35pt;height:11.15pt;width:78.45pt;mso-position-horizontal-relative:page;mso-position-vertical-relative:page;z-index:-251643904;mso-width-relative:page;mso-height-relative:page;" filled="f" stroked="f" coordsize="21600,21600" o:gfxdata="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WSOtwNsAAAANAQAADwAAAAAAAAABACAAAAAiAAAAZHJzL2Rvd25yZXYueG1s&#10;UEsBAhQAFAAAAAgAh07iQO0P0gK8AQAAcwMAAA4AAAAAAAAAAQAgAAAAKgEAAGRycy9lMm9Eb2Mu&#10;eG1sUEsFBgAAAAAGAAYAWQEAAFgFAAAAAA==&#10;">
              <v:fill on="f" focussize="0,0"/>
              <v:stroke on="f"/>
              <v:imagedata o:title=""/>
              <o:lock v:ext="edit" aspectratio="f"/>
              <v:textbox inset="0mm,0mm,0mm,0mm">
                <w:txbxContent>
                  <w:p>
                    <w:pPr>
                      <w:spacing w:line="222" w:lineRule="exact"/>
                      <w:ind w:left="20"/>
                      <w:rPr>
                        <w:rFonts w:ascii="宋体" w:eastAsia="宋体"/>
                        <w:sz w:val="18"/>
                      </w:rPr>
                    </w:pPr>
                    <w:r>
                      <w:rPr>
                        <w:rFonts w:hint="eastAsia" w:ascii="宋体" w:eastAsia="宋体"/>
                        <w:sz w:val="18"/>
                      </w:rPr>
                      <w:t xml:space="preserve">第 </w:t>
                    </w:r>
                    <w:r>
                      <w:fldChar w:fldCharType="begin"/>
                    </w:r>
                    <w:r>
                      <w:rPr>
                        <w:rFonts w:hint="eastAsia" w:ascii="宋体" w:eastAsia="宋体"/>
                        <w:sz w:val="18"/>
                      </w:rPr>
                      <w:instrText xml:space="preserve"> PAGE </w:instrText>
                    </w:r>
                    <w:r>
                      <w:fldChar w:fldCharType="separate"/>
                    </w:r>
                    <w:r>
                      <w:rPr>
                        <w:rFonts w:ascii="宋体" w:eastAsia="宋体"/>
                        <w:sz w:val="18"/>
                      </w:rPr>
                      <w:t>73</w:t>
                    </w:r>
                    <w:r>
                      <w:fldChar w:fldCharType="end"/>
                    </w:r>
                    <w:r>
                      <w:rPr>
                        <w:rFonts w:hint="eastAsia" w:ascii="宋体" w:eastAsia="宋体"/>
                        <w:sz w:val="18"/>
                      </w:rPr>
                      <w:t xml:space="preserve"> 页 共 73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60288" behindDoc="1" locked="0" layoutInCell="1" allowOverlap="1">
              <wp:simplePos x="0" y="0"/>
              <wp:positionH relativeFrom="page">
                <wp:posOffset>3281680</wp:posOffset>
              </wp:positionH>
              <wp:positionV relativeFrom="page">
                <wp:posOffset>9917430</wp:posOffset>
              </wp:positionV>
              <wp:extent cx="996315" cy="141605"/>
              <wp:effectExtent l="0" t="0" r="0" b="0"/>
              <wp:wrapNone/>
              <wp:docPr id="18" name="文本框 2"/>
              <wp:cNvGraphicFramePr/>
              <a:graphic xmlns:a="http://schemas.openxmlformats.org/drawingml/2006/main">
                <a:graphicData uri="http://schemas.microsoft.com/office/word/2010/wordprocessingShape">
                  <wps:wsp>
                    <wps:cNvSpPr txBox="1"/>
                    <wps:spPr>
                      <a:xfrm>
                        <a:off x="0" y="0"/>
                        <a:ext cx="996315" cy="141605"/>
                      </a:xfrm>
                      <a:prstGeom prst="rect">
                        <a:avLst/>
                      </a:prstGeom>
                      <a:noFill/>
                      <a:ln>
                        <a:noFill/>
                      </a:ln>
                    </wps:spPr>
                    <wps:txbx>
                      <w:txbxContent>
                        <w:p>
                          <w:pPr>
                            <w:spacing w:line="222" w:lineRule="exact"/>
                            <w:ind w:left="20"/>
                            <w:rPr>
                              <w:rFonts w:ascii="宋体" w:eastAsia="宋体"/>
                              <w:sz w:val="18"/>
                            </w:rPr>
                          </w:pPr>
                          <w:r>
                            <w:rPr>
                              <w:rFonts w:hint="eastAsia" w:ascii="宋体" w:eastAsia="宋体"/>
                              <w:sz w:val="18"/>
                            </w:rPr>
                            <w:t xml:space="preserve">第 </w:t>
                          </w:r>
                          <w:r>
                            <w:fldChar w:fldCharType="begin"/>
                          </w:r>
                          <w:r>
                            <w:rPr>
                              <w:rFonts w:hint="eastAsia" w:ascii="宋体" w:eastAsia="宋体"/>
                              <w:sz w:val="18"/>
                            </w:rPr>
                            <w:instrText xml:space="preserve"> PAGE </w:instrText>
                          </w:r>
                          <w:r>
                            <w:fldChar w:fldCharType="separate"/>
                          </w:r>
                          <w:r>
                            <w:rPr>
                              <w:rFonts w:ascii="宋体" w:eastAsia="宋体"/>
                              <w:sz w:val="18"/>
                            </w:rPr>
                            <w:t>18</w:t>
                          </w:r>
                          <w:r>
                            <w:fldChar w:fldCharType="end"/>
                          </w:r>
                          <w:r>
                            <w:rPr>
                              <w:rFonts w:hint="eastAsia" w:ascii="宋体" w:eastAsia="宋体"/>
                              <w:sz w:val="18"/>
                            </w:rPr>
                            <w:t xml:space="preserve"> 页 共 73 页</w:t>
                          </w:r>
                        </w:p>
                      </w:txbxContent>
                    </wps:txbx>
                    <wps:bodyPr lIns="0" tIns="0" rIns="0" bIns="0" upright="1"/>
                  </wps:wsp>
                </a:graphicData>
              </a:graphic>
            </wp:anchor>
          </w:drawing>
        </mc:Choice>
        <mc:Fallback>
          <w:pict>
            <v:shape id="文本框 2" o:spid="_x0000_s1026" o:spt="202" type="#_x0000_t202" style="position:absolute;left:0pt;margin-left:258.4pt;margin-top:780.9pt;height:11.15pt;width:78.45pt;mso-position-horizontal-relative:page;mso-position-vertical-relative:page;z-index:-251656192;mso-width-relative:page;mso-height-relative:page;" filled="f" stroked="f" coordsize="21600,21600" o:gfxdata="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qIV4e2wAAAA0BAAAPAAAAAAAAAAEAIAAAACIAAABkcnMvZG93bnJldi54bWxQ&#10;SwECFAAUAAAACACHTuJAhVc23LsBAAByAwAADgAAAAAAAAABACAAAAAqAQAAZHJzL2Uyb0RvYy54&#10;bWxQSwUGAAAAAAYABgBZAQAAVwUAAAAA&#10;">
              <v:fill on="f" focussize="0,0"/>
              <v:stroke on="f"/>
              <v:imagedata o:title=""/>
              <o:lock v:ext="edit" aspectratio="f"/>
              <v:textbox inset="0mm,0mm,0mm,0mm">
                <w:txbxContent>
                  <w:p>
                    <w:pPr>
                      <w:spacing w:line="222" w:lineRule="exact"/>
                      <w:ind w:left="20"/>
                      <w:rPr>
                        <w:rFonts w:ascii="宋体" w:eastAsia="宋体"/>
                        <w:sz w:val="18"/>
                      </w:rPr>
                    </w:pPr>
                    <w:r>
                      <w:rPr>
                        <w:rFonts w:hint="eastAsia" w:ascii="宋体" w:eastAsia="宋体"/>
                        <w:sz w:val="18"/>
                      </w:rPr>
                      <w:t xml:space="preserve">第 </w:t>
                    </w:r>
                    <w:r>
                      <w:fldChar w:fldCharType="begin"/>
                    </w:r>
                    <w:r>
                      <w:rPr>
                        <w:rFonts w:hint="eastAsia" w:ascii="宋体" w:eastAsia="宋体"/>
                        <w:sz w:val="18"/>
                      </w:rPr>
                      <w:instrText xml:space="preserve"> PAGE </w:instrText>
                    </w:r>
                    <w:r>
                      <w:fldChar w:fldCharType="separate"/>
                    </w:r>
                    <w:r>
                      <w:rPr>
                        <w:rFonts w:ascii="宋体" w:eastAsia="宋体"/>
                        <w:sz w:val="18"/>
                      </w:rPr>
                      <w:t>18</w:t>
                    </w:r>
                    <w:r>
                      <w:fldChar w:fldCharType="end"/>
                    </w:r>
                    <w:r>
                      <w:rPr>
                        <w:rFonts w:hint="eastAsia" w:ascii="宋体" w:eastAsia="宋体"/>
                        <w:sz w:val="18"/>
                      </w:rPr>
                      <w:t xml:space="preserve"> 页 共 73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61312" behindDoc="1" locked="0" layoutInCell="1" allowOverlap="1">
              <wp:simplePos x="0" y="0"/>
              <wp:positionH relativeFrom="page">
                <wp:posOffset>3281680</wp:posOffset>
              </wp:positionH>
              <wp:positionV relativeFrom="page">
                <wp:posOffset>9917430</wp:posOffset>
              </wp:positionV>
              <wp:extent cx="996315" cy="141605"/>
              <wp:effectExtent l="0" t="0" r="0" b="0"/>
              <wp:wrapNone/>
              <wp:docPr id="19" name="文本框 3"/>
              <wp:cNvGraphicFramePr/>
              <a:graphic xmlns:a="http://schemas.openxmlformats.org/drawingml/2006/main">
                <a:graphicData uri="http://schemas.microsoft.com/office/word/2010/wordprocessingShape">
                  <wps:wsp>
                    <wps:cNvSpPr txBox="1"/>
                    <wps:spPr>
                      <a:xfrm>
                        <a:off x="0" y="0"/>
                        <a:ext cx="996315" cy="141605"/>
                      </a:xfrm>
                      <a:prstGeom prst="rect">
                        <a:avLst/>
                      </a:prstGeom>
                      <a:noFill/>
                      <a:ln>
                        <a:noFill/>
                      </a:ln>
                    </wps:spPr>
                    <wps:txbx>
                      <w:txbxContent>
                        <w:p>
                          <w:pPr>
                            <w:spacing w:line="222" w:lineRule="exact"/>
                            <w:ind w:left="20"/>
                            <w:rPr>
                              <w:rFonts w:ascii="宋体" w:eastAsia="宋体"/>
                              <w:sz w:val="18"/>
                            </w:rPr>
                          </w:pPr>
                          <w:r>
                            <w:rPr>
                              <w:rFonts w:hint="eastAsia" w:ascii="宋体" w:eastAsia="宋体"/>
                              <w:sz w:val="18"/>
                            </w:rPr>
                            <w:t xml:space="preserve">第 </w:t>
                          </w:r>
                          <w:r>
                            <w:fldChar w:fldCharType="begin"/>
                          </w:r>
                          <w:r>
                            <w:rPr>
                              <w:rFonts w:hint="eastAsia" w:ascii="宋体" w:eastAsia="宋体"/>
                              <w:sz w:val="18"/>
                            </w:rPr>
                            <w:instrText xml:space="preserve"> PAGE </w:instrText>
                          </w:r>
                          <w:r>
                            <w:fldChar w:fldCharType="separate"/>
                          </w:r>
                          <w:r>
                            <w:rPr>
                              <w:rFonts w:ascii="宋体" w:eastAsia="宋体"/>
                              <w:sz w:val="18"/>
                            </w:rPr>
                            <w:t>26</w:t>
                          </w:r>
                          <w:r>
                            <w:fldChar w:fldCharType="end"/>
                          </w:r>
                          <w:r>
                            <w:rPr>
                              <w:rFonts w:hint="eastAsia" w:ascii="宋体" w:eastAsia="宋体"/>
                              <w:sz w:val="18"/>
                            </w:rPr>
                            <w:t xml:space="preserve"> 页 共 73 页</w:t>
                          </w:r>
                        </w:p>
                      </w:txbxContent>
                    </wps:txbx>
                    <wps:bodyPr lIns="0" tIns="0" rIns="0" bIns="0" upright="1"/>
                  </wps:wsp>
                </a:graphicData>
              </a:graphic>
            </wp:anchor>
          </w:drawing>
        </mc:Choice>
        <mc:Fallback>
          <w:pict>
            <v:shape id="文本框 3" o:spid="_x0000_s1026" o:spt="202" type="#_x0000_t202" style="position:absolute;left:0pt;margin-left:258.4pt;margin-top:780.9pt;height:11.15pt;width:78.45pt;mso-position-horizontal-relative:page;mso-position-vertical-relative:page;z-index:-251655168;mso-width-relative:page;mso-height-relative:page;" filled="f" stroked="f" coordsize="21600,21600" o:gfxdata="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qIV4e2wAAAA0BAAAPAAAAAAAAAAEAIAAAACIAAABkcnMvZG93bnJldi54bWxQ&#10;SwECFAAUAAAACACHTuJAcKYff7sBAAByAwAADgAAAAAAAAABACAAAAAqAQAAZHJzL2Uyb0RvYy54&#10;bWxQSwUGAAAAAAYABgBZAQAAVwUAAAAA&#10;">
              <v:fill on="f" focussize="0,0"/>
              <v:stroke on="f"/>
              <v:imagedata o:title=""/>
              <o:lock v:ext="edit" aspectratio="f"/>
              <v:textbox inset="0mm,0mm,0mm,0mm">
                <w:txbxContent>
                  <w:p>
                    <w:pPr>
                      <w:spacing w:line="222" w:lineRule="exact"/>
                      <w:ind w:left="20"/>
                      <w:rPr>
                        <w:rFonts w:ascii="宋体" w:eastAsia="宋体"/>
                        <w:sz w:val="18"/>
                      </w:rPr>
                    </w:pPr>
                    <w:r>
                      <w:rPr>
                        <w:rFonts w:hint="eastAsia" w:ascii="宋体" w:eastAsia="宋体"/>
                        <w:sz w:val="18"/>
                      </w:rPr>
                      <w:t xml:space="preserve">第 </w:t>
                    </w:r>
                    <w:r>
                      <w:fldChar w:fldCharType="begin"/>
                    </w:r>
                    <w:r>
                      <w:rPr>
                        <w:rFonts w:hint="eastAsia" w:ascii="宋体" w:eastAsia="宋体"/>
                        <w:sz w:val="18"/>
                      </w:rPr>
                      <w:instrText xml:space="preserve"> PAGE </w:instrText>
                    </w:r>
                    <w:r>
                      <w:fldChar w:fldCharType="separate"/>
                    </w:r>
                    <w:r>
                      <w:rPr>
                        <w:rFonts w:ascii="宋体" w:eastAsia="宋体"/>
                        <w:sz w:val="18"/>
                      </w:rPr>
                      <w:t>26</w:t>
                    </w:r>
                    <w:r>
                      <w:fldChar w:fldCharType="end"/>
                    </w:r>
                    <w:r>
                      <w:rPr>
                        <w:rFonts w:hint="eastAsia" w:ascii="宋体" w:eastAsia="宋体"/>
                        <w:sz w:val="18"/>
                      </w:rPr>
                      <w:t xml:space="preserve"> 页 共 73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62336" behindDoc="1" locked="0" layoutInCell="1" allowOverlap="1">
              <wp:simplePos x="0" y="0"/>
              <wp:positionH relativeFrom="page">
                <wp:posOffset>3697605</wp:posOffset>
              </wp:positionH>
              <wp:positionV relativeFrom="page">
                <wp:posOffset>9917430</wp:posOffset>
              </wp:positionV>
              <wp:extent cx="166370" cy="139700"/>
              <wp:effectExtent l="0" t="0" r="0" b="0"/>
              <wp:wrapNone/>
              <wp:docPr id="20" name="文本框 4"/>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spacing w:line="220" w:lineRule="exact"/>
                            <w:ind w:left="40"/>
                            <w:rPr>
                              <w:rFonts w:ascii="宋体"/>
                              <w:sz w:val="18"/>
                            </w:rPr>
                          </w:pPr>
                          <w:r>
                            <w:fldChar w:fldCharType="begin"/>
                          </w:r>
                          <w:r>
                            <w:rPr>
                              <w:rFonts w:ascii="宋体"/>
                              <w:sz w:val="18"/>
                            </w:rPr>
                            <w:instrText xml:space="preserve"> PAGE </w:instrText>
                          </w:r>
                          <w:r>
                            <w:fldChar w:fldCharType="separate"/>
                          </w:r>
                          <w:r>
                            <w:rPr>
                              <w:rFonts w:ascii="宋体"/>
                              <w:sz w:val="18"/>
                            </w:rPr>
                            <w:t>31</w:t>
                          </w:r>
                          <w:r>
                            <w:fldChar w:fldCharType="end"/>
                          </w:r>
                        </w:p>
                      </w:txbxContent>
                    </wps:txbx>
                    <wps:bodyPr lIns="0" tIns="0" rIns="0" bIns="0" upright="1"/>
                  </wps:wsp>
                </a:graphicData>
              </a:graphic>
            </wp:anchor>
          </w:drawing>
        </mc:Choice>
        <mc:Fallback>
          <w:pict>
            <v:shape id="文本框 4" o:spid="_x0000_s1026" o:spt="202" type="#_x0000_t202" style="position:absolute;left:0pt;margin-left:291.15pt;margin-top:780.9pt;height:11pt;width:13.1pt;mso-position-horizontal-relative:page;mso-position-vertical-relative:page;z-index:-251654144;mso-width-relative:page;mso-height-relative:page;" filled="f" stroked="f" coordsize="21600,21600" o:gfxdata="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tyl27doAAAANAQAADwAAAAAAAAABACAAAAAiAAAAZHJzL2Rvd25yZXYueG1sUEsB&#10;AhQAFAAAAAgAh07iQM0rbEG6AQAAcgMAAA4AAAAAAAAAAQAgAAAAKQEAAGRycy9lMm9Eb2MueG1s&#10;UEsFBgAAAAAGAAYAWQEAAFUFAAAAAA==&#10;">
              <v:fill on="f" focussize="0,0"/>
              <v:stroke on="f"/>
              <v:imagedata o:title=""/>
              <o:lock v:ext="edit" aspectratio="f"/>
              <v:textbox inset="0mm,0mm,0mm,0mm">
                <w:txbxContent>
                  <w:p>
                    <w:pPr>
                      <w:spacing w:line="220" w:lineRule="exact"/>
                      <w:ind w:left="40"/>
                      <w:rPr>
                        <w:rFonts w:ascii="宋体"/>
                        <w:sz w:val="18"/>
                      </w:rPr>
                    </w:pPr>
                    <w:r>
                      <w:fldChar w:fldCharType="begin"/>
                    </w:r>
                    <w:r>
                      <w:rPr>
                        <w:rFonts w:ascii="宋体"/>
                        <w:sz w:val="18"/>
                      </w:rPr>
                      <w:instrText xml:space="preserve"> PAGE </w:instrText>
                    </w:r>
                    <w:r>
                      <w:fldChar w:fldCharType="separate"/>
                    </w:r>
                    <w:r>
                      <w:rPr>
                        <w:rFonts w:ascii="宋体"/>
                        <w:sz w:val="18"/>
                      </w:rPr>
                      <w:t>31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63360" behindDoc="1" locked="0" layoutInCell="1" allowOverlap="1">
              <wp:simplePos x="0" y="0"/>
              <wp:positionH relativeFrom="page">
                <wp:posOffset>3697605</wp:posOffset>
              </wp:positionH>
              <wp:positionV relativeFrom="page">
                <wp:posOffset>9917430</wp:posOffset>
              </wp:positionV>
              <wp:extent cx="166370" cy="139700"/>
              <wp:effectExtent l="0" t="0" r="0" b="0"/>
              <wp:wrapNone/>
              <wp:docPr id="21" name="文本框 5"/>
              <wp:cNvGraphicFramePr/>
              <a:graphic xmlns:a="http://schemas.openxmlformats.org/drawingml/2006/main">
                <a:graphicData uri="http://schemas.microsoft.com/office/word/2010/wordprocessingShape">
                  <wps:wsp>
                    <wps:cNvSpPr txBox="1"/>
                    <wps:spPr>
                      <a:xfrm>
                        <a:off x="0" y="0"/>
                        <a:ext cx="166370" cy="139700"/>
                      </a:xfrm>
                      <a:prstGeom prst="rect">
                        <a:avLst/>
                      </a:prstGeom>
                      <a:noFill/>
                      <a:ln>
                        <a:noFill/>
                      </a:ln>
                    </wps:spPr>
                    <wps:txbx>
                      <w:txbxContent>
                        <w:p>
                          <w:pPr>
                            <w:spacing w:line="220" w:lineRule="exact"/>
                            <w:ind w:left="40"/>
                            <w:rPr>
                              <w:rFonts w:ascii="宋体"/>
                              <w:sz w:val="18"/>
                            </w:rPr>
                          </w:pPr>
                          <w:r>
                            <w:fldChar w:fldCharType="begin"/>
                          </w:r>
                          <w:r>
                            <w:rPr>
                              <w:rFonts w:ascii="宋体"/>
                              <w:sz w:val="18"/>
                            </w:rPr>
                            <w:instrText xml:space="preserve"> PAGE </w:instrText>
                          </w:r>
                          <w:r>
                            <w:fldChar w:fldCharType="separate"/>
                          </w:r>
                          <w:r>
                            <w:rPr>
                              <w:rFonts w:ascii="宋体"/>
                              <w:sz w:val="18"/>
                            </w:rPr>
                            <w:t>31</w:t>
                          </w:r>
                          <w:r>
                            <w:fldChar w:fldCharType="end"/>
                          </w:r>
                        </w:p>
                      </w:txbxContent>
                    </wps:txbx>
                    <wps:bodyPr lIns="0" tIns="0" rIns="0" bIns="0" upright="1"/>
                  </wps:wsp>
                </a:graphicData>
              </a:graphic>
            </wp:anchor>
          </w:drawing>
        </mc:Choice>
        <mc:Fallback>
          <w:pict>
            <v:shape id="文本框 5" o:spid="_x0000_s1026" o:spt="202" type="#_x0000_t202" style="position:absolute;left:0pt;margin-left:291.15pt;margin-top:780.9pt;height:11pt;width:13.1pt;mso-position-horizontal-relative:page;mso-position-vertical-relative:page;z-index:-251653120;mso-width-relative:page;mso-height-relative:page;" filled="f" stroked="f" coordsize="21600,21600" o:gfxdata="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Lcpdu3aAAAADQEAAA8AAAAAAAAAAQAgAAAAIgAAAGRycy9kb3ducmV2LnhtbFBL&#10;AQIUABQAAAAIAIdO4kA42kXiuwEAAHIDAAAOAAAAAAAAAAEAIAAAACkBAABkcnMvZTJvRG9jLnht&#10;bFBLBQYAAAAABgAGAFkBAABWBQAAAAA=&#10;">
              <v:fill on="f" focussize="0,0"/>
              <v:stroke on="f"/>
              <v:imagedata o:title=""/>
              <o:lock v:ext="edit" aspectratio="f"/>
              <v:textbox inset="0mm,0mm,0mm,0mm">
                <w:txbxContent>
                  <w:p>
                    <w:pPr>
                      <w:spacing w:line="220" w:lineRule="exact"/>
                      <w:ind w:left="40"/>
                      <w:rPr>
                        <w:rFonts w:ascii="宋体"/>
                        <w:sz w:val="18"/>
                      </w:rPr>
                    </w:pPr>
                    <w:r>
                      <w:fldChar w:fldCharType="begin"/>
                    </w:r>
                    <w:r>
                      <w:rPr>
                        <w:rFonts w:ascii="宋体"/>
                        <w:sz w:val="18"/>
                      </w:rPr>
                      <w:instrText xml:space="preserve"> PAGE </w:instrText>
                    </w:r>
                    <w:r>
                      <w:fldChar w:fldCharType="separate"/>
                    </w:r>
                    <w:r>
                      <w:rPr>
                        <w:rFonts w:ascii="宋体"/>
                        <w:sz w:val="18"/>
                      </w:rPr>
                      <w:t>31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rPr>
        <w:lang w:val="en-US" w:bidi="ar-SA"/>
      </w:rPr>
      <mc:AlternateContent>
        <mc:Choice Requires="wps">
          <w:drawing>
            <wp:anchor distT="0" distB="0" distL="114300" distR="114300" simplePos="0" relativeHeight="251664384" behindDoc="1" locked="0" layoutInCell="1" allowOverlap="1">
              <wp:simplePos x="0" y="0"/>
              <wp:positionH relativeFrom="page">
                <wp:posOffset>3271520</wp:posOffset>
              </wp:positionH>
              <wp:positionV relativeFrom="page">
                <wp:posOffset>9769475</wp:posOffset>
              </wp:positionV>
              <wp:extent cx="996315" cy="139700"/>
              <wp:effectExtent l="0" t="0" r="0" b="0"/>
              <wp:wrapNone/>
              <wp:docPr id="22" name="文本框 6"/>
              <wp:cNvGraphicFramePr/>
              <a:graphic xmlns:a="http://schemas.openxmlformats.org/drawingml/2006/main">
                <a:graphicData uri="http://schemas.microsoft.com/office/word/2010/wordprocessingShape">
                  <wps:wsp>
                    <wps:cNvSpPr txBox="1"/>
                    <wps:spPr>
                      <a:xfrm>
                        <a:off x="0" y="0"/>
                        <a:ext cx="996315" cy="139700"/>
                      </a:xfrm>
                      <a:prstGeom prst="rect">
                        <a:avLst/>
                      </a:prstGeom>
                      <a:noFill/>
                      <a:ln>
                        <a:noFill/>
                      </a:ln>
                    </wps:spPr>
                    <wps:txbx>
                      <w:txbxContent>
                        <w:p>
                          <w:pPr>
                            <w:spacing w:line="220" w:lineRule="exact"/>
                            <w:ind w:left="20"/>
                            <w:rPr>
                              <w:rFonts w:ascii="宋体" w:eastAsia="宋体"/>
                              <w:sz w:val="18"/>
                            </w:rPr>
                          </w:pPr>
                          <w:r>
                            <w:rPr>
                              <w:rFonts w:hint="eastAsia" w:ascii="宋体" w:eastAsia="宋体"/>
                              <w:sz w:val="18"/>
                            </w:rPr>
                            <w:t xml:space="preserve">第 </w:t>
                          </w:r>
                          <w:r>
                            <w:fldChar w:fldCharType="begin"/>
                          </w:r>
                          <w:r>
                            <w:rPr>
                              <w:rFonts w:hint="eastAsia" w:ascii="宋体" w:eastAsia="宋体"/>
                              <w:sz w:val="18"/>
                            </w:rPr>
                            <w:instrText xml:space="preserve"> PAGE </w:instrText>
                          </w:r>
                          <w:r>
                            <w:fldChar w:fldCharType="separate"/>
                          </w:r>
                          <w:r>
                            <w:rPr>
                              <w:rFonts w:ascii="宋体" w:eastAsia="宋体"/>
                              <w:sz w:val="18"/>
                            </w:rPr>
                            <w:t>39</w:t>
                          </w:r>
                          <w:r>
                            <w:fldChar w:fldCharType="end"/>
                          </w:r>
                          <w:r>
                            <w:rPr>
                              <w:rFonts w:hint="eastAsia" w:ascii="宋体" w:eastAsia="宋体"/>
                              <w:sz w:val="18"/>
                            </w:rPr>
                            <w:t xml:space="preserve"> 页 共 73 页</w:t>
                          </w:r>
                        </w:p>
                      </w:txbxContent>
                    </wps:txbx>
                    <wps:bodyPr lIns="0" tIns="0" rIns="0" bIns="0" upright="1"/>
                  </wps:wsp>
                </a:graphicData>
              </a:graphic>
            </wp:anchor>
          </w:drawing>
        </mc:Choice>
        <mc:Fallback>
          <w:pict>
            <v:shape id="文本框 6" o:spid="_x0000_s1026" o:spt="202" type="#_x0000_t202" style="position:absolute;left:0pt;margin-left:257.6pt;margin-top:769.25pt;height:11pt;width:78.45pt;mso-position-horizontal-relative:page;mso-position-vertical-relative:page;z-index:-251652096;mso-width-relative:page;mso-height-relative:page;" filled="f" stroked="f" coordsize="21600,21600" o:gfxdata="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WEHfidsAAAANAQAADwAAAAAAAAABACAAAAAiAAAAZHJzL2Rvd25yZXYueG1s&#10;UEsBAhQAFAAAAAgAh07iQDbltZ+8AQAAcgMAAA4AAAAAAAAAAQAgAAAAKgEAAGRycy9lMm9Eb2Mu&#10;eG1sUEsFBgAAAAAGAAYAWQEAAFgFAAAAAA==&#10;">
              <v:fill on="f" focussize="0,0"/>
              <v:stroke on="f"/>
              <v:imagedata o:title=""/>
              <o:lock v:ext="edit" aspectratio="f"/>
              <v:textbox inset="0mm,0mm,0mm,0mm">
                <w:txbxContent>
                  <w:p>
                    <w:pPr>
                      <w:spacing w:line="220" w:lineRule="exact"/>
                      <w:ind w:left="20"/>
                      <w:rPr>
                        <w:rFonts w:ascii="宋体" w:eastAsia="宋体"/>
                        <w:sz w:val="18"/>
                      </w:rPr>
                    </w:pPr>
                    <w:r>
                      <w:rPr>
                        <w:rFonts w:hint="eastAsia" w:ascii="宋体" w:eastAsia="宋体"/>
                        <w:sz w:val="18"/>
                      </w:rPr>
                      <w:t xml:space="preserve">第 </w:t>
                    </w:r>
                    <w:r>
                      <w:fldChar w:fldCharType="begin"/>
                    </w:r>
                    <w:r>
                      <w:rPr>
                        <w:rFonts w:hint="eastAsia" w:ascii="宋体" w:eastAsia="宋体"/>
                        <w:sz w:val="18"/>
                      </w:rPr>
                      <w:instrText xml:space="preserve"> PAGE </w:instrText>
                    </w:r>
                    <w:r>
                      <w:fldChar w:fldCharType="separate"/>
                    </w:r>
                    <w:r>
                      <w:rPr>
                        <w:rFonts w:ascii="宋体" w:eastAsia="宋体"/>
                        <w:sz w:val="18"/>
                      </w:rPr>
                      <w:t>39</w:t>
                    </w:r>
                    <w:r>
                      <w:fldChar w:fldCharType="end"/>
                    </w:r>
                    <w:r>
                      <w:rPr>
                        <w:rFonts w:hint="eastAsia" w:ascii="宋体" w:eastAsia="宋体"/>
                        <w:sz w:val="18"/>
                      </w:rPr>
                      <w:t xml:space="preserve"> 页 共 73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12"/>
      </w:rPr>
    </w:pPr>
    <w:r>
      <w:rPr>
        <w:lang w:val="en-US" w:bidi="ar-SA"/>
      </w:rPr>
      <mc:AlternateContent>
        <mc:Choice Requires="wps">
          <w:drawing>
            <wp:anchor distT="0" distB="0" distL="114300" distR="114300" simplePos="0" relativeHeight="251665408" behindDoc="1" locked="0" layoutInCell="1" allowOverlap="1">
              <wp:simplePos x="0" y="0"/>
              <wp:positionH relativeFrom="page">
                <wp:posOffset>3271520</wp:posOffset>
              </wp:positionH>
              <wp:positionV relativeFrom="page">
                <wp:posOffset>9769475</wp:posOffset>
              </wp:positionV>
              <wp:extent cx="996315" cy="139700"/>
              <wp:effectExtent l="0" t="0" r="0" b="0"/>
              <wp:wrapNone/>
              <wp:docPr id="23" name="文本框 7"/>
              <wp:cNvGraphicFramePr/>
              <a:graphic xmlns:a="http://schemas.openxmlformats.org/drawingml/2006/main">
                <a:graphicData uri="http://schemas.microsoft.com/office/word/2010/wordprocessingShape">
                  <wps:wsp>
                    <wps:cNvSpPr txBox="1"/>
                    <wps:spPr>
                      <a:xfrm>
                        <a:off x="0" y="0"/>
                        <a:ext cx="996315" cy="139700"/>
                      </a:xfrm>
                      <a:prstGeom prst="rect">
                        <a:avLst/>
                      </a:prstGeom>
                      <a:noFill/>
                      <a:ln>
                        <a:noFill/>
                      </a:ln>
                    </wps:spPr>
                    <wps:txbx>
                      <w:txbxContent>
                        <w:p>
                          <w:pPr>
                            <w:spacing w:line="220" w:lineRule="exact"/>
                            <w:ind w:left="20"/>
                            <w:rPr>
                              <w:rFonts w:ascii="宋体" w:eastAsia="宋体"/>
                              <w:sz w:val="18"/>
                            </w:rPr>
                          </w:pPr>
                          <w:r>
                            <w:rPr>
                              <w:rFonts w:hint="eastAsia" w:ascii="宋体" w:eastAsia="宋体"/>
                              <w:sz w:val="18"/>
                            </w:rPr>
                            <w:t xml:space="preserve">第 </w:t>
                          </w:r>
                          <w:r>
                            <w:fldChar w:fldCharType="begin"/>
                          </w:r>
                          <w:r>
                            <w:rPr>
                              <w:rFonts w:hint="eastAsia" w:ascii="宋体" w:eastAsia="宋体"/>
                              <w:sz w:val="18"/>
                            </w:rPr>
                            <w:instrText xml:space="preserve"> PAGE </w:instrText>
                          </w:r>
                          <w:r>
                            <w:fldChar w:fldCharType="separate"/>
                          </w:r>
                          <w:r>
                            <w:rPr>
                              <w:rFonts w:ascii="宋体" w:eastAsia="宋体"/>
                              <w:sz w:val="18"/>
                            </w:rPr>
                            <w:t>42</w:t>
                          </w:r>
                          <w:r>
                            <w:fldChar w:fldCharType="end"/>
                          </w:r>
                          <w:r>
                            <w:rPr>
                              <w:rFonts w:hint="eastAsia" w:ascii="宋体" w:eastAsia="宋体"/>
                              <w:sz w:val="18"/>
                            </w:rPr>
                            <w:t xml:space="preserve"> 页 共 73 页</w:t>
                          </w:r>
                        </w:p>
                      </w:txbxContent>
                    </wps:txbx>
                    <wps:bodyPr lIns="0" tIns="0" rIns="0" bIns="0" upright="1"/>
                  </wps:wsp>
                </a:graphicData>
              </a:graphic>
            </wp:anchor>
          </w:drawing>
        </mc:Choice>
        <mc:Fallback>
          <w:pict>
            <v:shape id="文本框 7" o:spid="_x0000_s1026" o:spt="202" type="#_x0000_t202" style="position:absolute;left:0pt;margin-left:257.6pt;margin-top:769.25pt;height:11pt;width:78.45pt;mso-position-horizontal-relative:page;mso-position-vertical-relative:page;z-index:-251651072;mso-width-relative:page;mso-height-relative:page;" filled="f" stroked="f" coordsize="21600,21600" o:gfxdata="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WEHfidsAAAANAQAADwAAAAAAAAABACAAAAAiAAAAZHJzL2Rvd25yZXYueG1s&#10;UEsBAhQAFAAAAAgAh07iQMMUnDy8AQAAcgMAAA4AAAAAAAAAAQAgAAAAKgEAAGRycy9lMm9Eb2Mu&#10;eG1sUEsFBgAAAAAGAAYAWQEAAFgFAAAAAA==&#10;">
              <v:fill on="f" focussize="0,0"/>
              <v:stroke on="f"/>
              <v:imagedata o:title=""/>
              <o:lock v:ext="edit" aspectratio="f"/>
              <v:textbox inset="0mm,0mm,0mm,0mm">
                <w:txbxContent>
                  <w:p>
                    <w:pPr>
                      <w:spacing w:line="220" w:lineRule="exact"/>
                      <w:ind w:left="20"/>
                      <w:rPr>
                        <w:rFonts w:ascii="宋体" w:eastAsia="宋体"/>
                        <w:sz w:val="18"/>
                      </w:rPr>
                    </w:pPr>
                    <w:r>
                      <w:rPr>
                        <w:rFonts w:hint="eastAsia" w:ascii="宋体" w:eastAsia="宋体"/>
                        <w:sz w:val="18"/>
                      </w:rPr>
                      <w:t xml:space="preserve">第 </w:t>
                    </w:r>
                    <w:r>
                      <w:fldChar w:fldCharType="begin"/>
                    </w:r>
                    <w:r>
                      <w:rPr>
                        <w:rFonts w:hint="eastAsia" w:ascii="宋体" w:eastAsia="宋体"/>
                        <w:sz w:val="18"/>
                      </w:rPr>
                      <w:instrText xml:space="preserve"> PAGE </w:instrText>
                    </w:r>
                    <w:r>
                      <w:fldChar w:fldCharType="separate"/>
                    </w:r>
                    <w:r>
                      <w:rPr>
                        <w:rFonts w:ascii="宋体" w:eastAsia="宋体"/>
                        <w:sz w:val="18"/>
                      </w:rPr>
                      <w:t>42</w:t>
                    </w:r>
                    <w:r>
                      <w:fldChar w:fldCharType="end"/>
                    </w:r>
                    <w:r>
                      <w:rPr>
                        <w:rFonts w:hint="eastAsia" w:ascii="宋体" w:eastAsia="宋体"/>
                        <w:sz w:val="18"/>
                      </w:rPr>
                      <w:t xml:space="preserve"> 页 共 73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ind w:right="360"/>
      <w:jc w:val="right"/>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1"/>
      <w:numFmt w:val="decimal"/>
      <w:lvlText w:val="%1."/>
      <w:lvlJc w:val="left"/>
      <w:pPr>
        <w:ind w:left="1057" w:hanging="314"/>
        <w:jc w:val="left"/>
      </w:pPr>
      <w:rPr>
        <w:rFonts w:hint="default" w:ascii="仿宋" w:hAnsi="仿宋" w:eastAsia="仿宋" w:cs="仿宋"/>
        <w:spacing w:val="-34"/>
        <w:w w:val="99"/>
        <w:sz w:val="19"/>
        <w:szCs w:val="19"/>
        <w:lang w:val="zh-CN" w:eastAsia="zh-CN" w:bidi="zh-CN"/>
      </w:rPr>
    </w:lvl>
    <w:lvl w:ilvl="1" w:tentative="0">
      <w:start w:val="0"/>
      <w:numFmt w:val="bullet"/>
      <w:lvlText w:val="•"/>
      <w:lvlJc w:val="left"/>
      <w:pPr>
        <w:ind w:left="1990" w:hanging="314"/>
      </w:pPr>
      <w:rPr>
        <w:rFonts w:hint="default"/>
        <w:lang w:val="zh-CN" w:eastAsia="zh-CN" w:bidi="zh-CN"/>
      </w:rPr>
    </w:lvl>
    <w:lvl w:ilvl="2" w:tentative="0">
      <w:start w:val="0"/>
      <w:numFmt w:val="bullet"/>
      <w:lvlText w:val="•"/>
      <w:lvlJc w:val="left"/>
      <w:pPr>
        <w:ind w:left="2921" w:hanging="314"/>
      </w:pPr>
      <w:rPr>
        <w:rFonts w:hint="default"/>
        <w:lang w:val="zh-CN" w:eastAsia="zh-CN" w:bidi="zh-CN"/>
      </w:rPr>
    </w:lvl>
    <w:lvl w:ilvl="3" w:tentative="0">
      <w:start w:val="0"/>
      <w:numFmt w:val="bullet"/>
      <w:lvlText w:val="•"/>
      <w:lvlJc w:val="left"/>
      <w:pPr>
        <w:ind w:left="3851" w:hanging="314"/>
      </w:pPr>
      <w:rPr>
        <w:rFonts w:hint="default"/>
        <w:lang w:val="zh-CN" w:eastAsia="zh-CN" w:bidi="zh-CN"/>
      </w:rPr>
    </w:lvl>
    <w:lvl w:ilvl="4" w:tentative="0">
      <w:start w:val="0"/>
      <w:numFmt w:val="bullet"/>
      <w:lvlText w:val="•"/>
      <w:lvlJc w:val="left"/>
      <w:pPr>
        <w:ind w:left="4782" w:hanging="314"/>
      </w:pPr>
      <w:rPr>
        <w:rFonts w:hint="default"/>
        <w:lang w:val="zh-CN" w:eastAsia="zh-CN" w:bidi="zh-CN"/>
      </w:rPr>
    </w:lvl>
    <w:lvl w:ilvl="5" w:tentative="0">
      <w:start w:val="0"/>
      <w:numFmt w:val="bullet"/>
      <w:lvlText w:val="•"/>
      <w:lvlJc w:val="left"/>
      <w:pPr>
        <w:ind w:left="5713" w:hanging="314"/>
      </w:pPr>
      <w:rPr>
        <w:rFonts w:hint="default"/>
        <w:lang w:val="zh-CN" w:eastAsia="zh-CN" w:bidi="zh-CN"/>
      </w:rPr>
    </w:lvl>
    <w:lvl w:ilvl="6" w:tentative="0">
      <w:start w:val="0"/>
      <w:numFmt w:val="bullet"/>
      <w:lvlText w:val="•"/>
      <w:lvlJc w:val="left"/>
      <w:pPr>
        <w:ind w:left="6643" w:hanging="314"/>
      </w:pPr>
      <w:rPr>
        <w:rFonts w:hint="default"/>
        <w:lang w:val="zh-CN" w:eastAsia="zh-CN" w:bidi="zh-CN"/>
      </w:rPr>
    </w:lvl>
    <w:lvl w:ilvl="7" w:tentative="0">
      <w:start w:val="0"/>
      <w:numFmt w:val="bullet"/>
      <w:lvlText w:val="•"/>
      <w:lvlJc w:val="left"/>
      <w:pPr>
        <w:ind w:left="7574" w:hanging="314"/>
      </w:pPr>
      <w:rPr>
        <w:rFonts w:hint="default"/>
        <w:lang w:val="zh-CN" w:eastAsia="zh-CN" w:bidi="zh-CN"/>
      </w:rPr>
    </w:lvl>
    <w:lvl w:ilvl="8" w:tentative="0">
      <w:start w:val="0"/>
      <w:numFmt w:val="bullet"/>
      <w:lvlText w:val="•"/>
      <w:lvlJc w:val="left"/>
      <w:pPr>
        <w:ind w:left="8504" w:hanging="314"/>
      </w:pPr>
      <w:rPr>
        <w:rFonts w:hint="default"/>
        <w:lang w:val="zh-CN" w:eastAsia="zh-CN" w:bidi="zh-CN"/>
      </w:rPr>
    </w:lvl>
  </w:abstractNum>
  <w:abstractNum w:abstractNumId="1">
    <w:nsid w:val="8461FADE"/>
    <w:multiLevelType w:val="multilevel"/>
    <w:tmpl w:val="8461FADE"/>
    <w:lvl w:ilvl="0" w:tentative="0">
      <w:start w:val="1"/>
      <w:numFmt w:val="decimal"/>
      <w:lvlText w:val="（%1）"/>
      <w:lvlJc w:val="left"/>
      <w:pPr>
        <w:ind w:left="1825" w:hanging="608"/>
        <w:jc w:val="left"/>
      </w:pPr>
      <w:rPr>
        <w:rFonts w:hint="default" w:ascii="仿宋" w:hAnsi="仿宋" w:eastAsia="仿宋" w:cs="仿宋"/>
        <w:spacing w:val="2"/>
        <w:w w:val="100"/>
        <w:sz w:val="22"/>
        <w:szCs w:val="22"/>
        <w:lang w:val="zh-CN" w:eastAsia="zh-CN" w:bidi="zh-CN"/>
      </w:rPr>
    </w:lvl>
    <w:lvl w:ilvl="1" w:tentative="0">
      <w:start w:val="0"/>
      <w:numFmt w:val="bullet"/>
      <w:lvlText w:val="•"/>
      <w:lvlJc w:val="left"/>
      <w:pPr>
        <w:ind w:left="2674" w:hanging="608"/>
      </w:pPr>
      <w:rPr>
        <w:rFonts w:hint="default"/>
        <w:lang w:val="zh-CN" w:eastAsia="zh-CN" w:bidi="zh-CN"/>
      </w:rPr>
    </w:lvl>
    <w:lvl w:ilvl="2" w:tentative="0">
      <w:start w:val="0"/>
      <w:numFmt w:val="bullet"/>
      <w:lvlText w:val="•"/>
      <w:lvlJc w:val="left"/>
      <w:pPr>
        <w:ind w:left="3529" w:hanging="608"/>
      </w:pPr>
      <w:rPr>
        <w:rFonts w:hint="default"/>
        <w:lang w:val="zh-CN" w:eastAsia="zh-CN" w:bidi="zh-CN"/>
      </w:rPr>
    </w:lvl>
    <w:lvl w:ilvl="3" w:tentative="0">
      <w:start w:val="0"/>
      <w:numFmt w:val="bullet"/>
      <w:lvlText w:val="•"/>
      <w:lvlJc w:val="left"/>
      <w:pPr>
        <w:ind w:left="4383" w:hanging="608"/>
      </w:pPr>
      <w:rPr>
        <w:rFonts w:hint="default"/>
        <w:lang w:val="zh-CN" w:eastAsia="zh-CN" w:bidi="zh-CN"/>
      </w:rPr>
    </w:lvl>
    <w:lvl w:ilvl="4" w:tentative="0">
      <w:start w:val="0"/>
      <w:numFmt w:val="bullet"/>
      <w:lvlText w:val="•"/>
      <w:lvlJc w:val="left"/>
      <w:pPr>
        <w:ind w:left="5238" w:hanging="608"/>
      </w:pPr>
      <w:rPr>
        <w:rFonts w:hint="default"/>
        <w:lang w:val="zh-CN" w:eastAsia="zh-CN" w:bidi="zh-CN"/>
      </w:rPr>
    </w:lvl>
    <w:lvl w:ilvl="5" w:tentative="0">
      <w:start w:val="0"/>
      <w:numFmt w:val="bullet"/>
      <w:lvlText w:val="•"/>
      <w:lvlJc w:val="left"/>
      <w:pPr>
        <w:ind w:left="6093" w:hanging="608"/>
      </w:pPr>
      <w:rPr>
        <w:rFonts w:hint="default"/>
        <w:lang w:val="zh-CN" w:eastAsia="zh-CN" w:bidi="zh-CN"/>
      </w:rPr>
    </w:lvl>
    <w:lvl w:ilvl="6" w:tentative="0">
      <w:start w:val="0"/>
      <w:numFmt w:val="bullet"/>
      <w:lvlText w:val="•"/>
      <w:lvlJc w:val="left"/>
      <w:pPr>
        <w:ind w:left="6947" w:hanging="608"/>
      </w:pPr>
      <w:rPr>
        <w:rFonts w:hint="default"/>
        <w:lang w:val="zh-CN" w:eastAsia="zh-CN" w:bidi="zh-CN"/>
      </w:rPr>
    </w:lvl>
    <w:lvl w:ilvl="7" w:tentative="0">
      <w:start w:val="0"/>
      <w:numFmt w:val="bullet"/>
      <w:lvlText w:val="•"/>
      <w:lvlJc w:val="left"/>
      <w:pPr>
        <w:ind w:left="7802" w:hanging="608"/>
      </w:pPr>
      <w:rPr>
        <w:rFonts w:hint="default"/>
        <w:lang w:val="zh-CN" w:eastAsia="zh-CN" w:bidi="zh-CN"/>
      </w:rPr>
    </w:lvl>
    <w:lvl w:ilvl="8" w:tentative="0">
      <w:start w:val="0"/>
      <w:numFmt w:val="bullet"/>
      <w:lvlText w:val="•"/>
      <w:lvlJc w:val="left"/>
      <w:pPr>
        <w:ind w:left="8656" w:hanging="608"/>
      </w:pPr>
      <w:rPr>
        <w:rFonts w:hint="default"/>
        <w:lang w:val="zh-CN" w:eastAsia="zh-CN" w:bidi="zh-CN"/>
      </w:rPr>
    </w:lvl>
  </w:abstractNum>
  <w:abstractNum w:abstractNumId="2">
    <w:nsid w:val="99167E92"/>
    <w:multiLevelType w:val="singleLevel"/>
    <w:tmpl w:val="99167E92"/>
    <w:lvl w:ilvl="0" w:tentative="0">
      <w:start w:val="1"/>
      <w:numFmt w:val="chineseCounting"/>
      <w:suff w:val="space"/>
      <w:lvlText w:val="第%1部分"/>
      <w:lvlJc w:val="left"/>
      <w:rPr>
        <w:rFonts w:hint="eastAsia"/>
      </w:rPr>
    </w:lvl>
  </w:abstractNum>
  <w:abstractNum w:abstractNumId="3">
    <w:nsid w:val="9C8AC8EF"/>
    <w:multiLevelType w:val="multilevel"/>
    <w:tmpl w:val="9C8AC8EF"/>
    <w:lvl w:ilvl="0" w:tentative="0">
      <w:start w:val="35"/>
      <w:numFmt w:val="decimal"/>
      <w:lvlText w:val="%1."/>
      <w:lvlJc w:val="left"/>
      <w:pPr>
        <w:ind w:left="1420" w:hanging="363"/>
        <w:jc w:val="left"/>
      </w:pPr>
      <w:rPr>
        <w:rFonts w:hint="default" w:ascii="仿宋" w:hAnsi="仿宋" w:eastAsia="仿宋" w:cs="仿宋"/>
        <w:b/>
        <w:bCs/>
        <w:w w:val="99"/>
        <w:sz w:val="22"/>
        <w:szCs w:val="22"/>
        <w:lang w:val="zh-CN" w:eastAsia="zh-CN" w:bidi="zh-CN"/>
      </w:rPr>
    </w:lvl>
    <w:lvl w:ilvl="1" w:tentative="0">
      <w:start w:val="1"/>
      <w:numFmt w:val="decimal"/>
      <w:lvlText w:val="%1.%2"/>
      <w:lvlJc w:val="left"/>
      <w:pPr>
        <w:ind w:left="1907" w:hanging="720"/>
        <w:jc w:val="left"/>
      </w:pPr>
      <w:rPr>
        <w:rFonts w:hint="default" w:ascii="仿宋" w:hAnsi="仿宋" w:eastAsia="仿宋" w:cs="仿宋"/>
        <w:spacing w:val="-48"/>
        <w:w w:val="100"/>
        <w:sz w:val="24"/>
        <w:szCs w:val="24"/>
        <w:lang w:val="zh-CN" w:eastAsia="zh-CN" w:bidi="zh-CN"/>
      </w:rPr>
    </w:lvl>
    <w:lvl w:ilvl="2" w:tentative="0">
      <w:start w:val="1"/>
      <w:numFmt w:val="decimal"/>
      <w:lvlText w:val="%3."/>
      <w:lvlJc w:val="left"/>
      <w:pPr>
        <w:ind w:left="1597" w:hanging="248"/>
        <w:jc w:val="left"/>
      </w:pPr>
      <w:rPr>
        <w:rFonts w:hint="default" w:ascii="仿宋" w:hAnsi="仿宋" w:eastAsia="仿宋" w:cs="仿宋"/>
        <w:w w:val="100"/>
        <w:sz w:val="22"/>
        <w:szCs w:val="22"/>
        <w:lang w:val="zh-CN" w:eastAsia="zh-CN" w:bidi="zh-CN"/>
      </w:rPr>
    </w:lvl>
    <w:lvl w:ilvl="3" w:tentative="0">
      <w:start w:val="0"/>
      <w:numFmt w:val="bullet"/>
      <w:lvlText w:val="•"/>
      <w:lvlJc w:val="left"/>
      <w:pPr>
        <w:ind w:left="2958" w:hanging="248"/>
      </w:pPr>
      <w:rPr>
        <w:rFonts w:hint="default"/>
        <w:lang w:val="zh-CN" w:eastAsia="zh-CN" w:bidi="zh-CN"/>
      </w:rPr>
    </w:lvl>
    <w:lvl w:ilvl="4" w:tentative="0">
      <w:start w:val="0"/>
      <w:numFmt w:val="bullet"/>
      <w:lvlText w:val="•"/>
      <w:lvlJc w:val="left"/>
      <w:pPr>
        <w:ind w:left="4016" w:hanging="248"/>
      </w:pPr>
      <w:rPr>
        <w:rFonts w:hint="default"/>
        <w:lang w:val="zh-CN" w:eastAsia="zh-CN" w:bidi="zh-CN"/>
      </w:rPr>
    </w:lvl>
    <w:lvl w:ilvl="5" w:tentative="0">
      <w:start w:val="0"/>
      <w:numFmt w:val="bullet"/>
      <w:lvlText w:val="•"/>
      <w:lvlJc w:val="left"/>
      <w:pPr>
        <w:ind w:left="5074" w:hanging="248"/>
      </w:pPr>
      <w:rPr>
        <w:rFonts w:hint="default"/>
        <w:lang w:val="zh-CN" w:eastAsia="zh-CN" w:bidi="zh-CN"/>
      </w:rPr>
    </w:lvl>
    <w:lvl w:ilvl="6" w:tentative="0">
      <w:start w:val="0"/>
      <w:numFmt w:val="bullet"/>
      <w:lvlText w:val="•"/>
      <w:lvlJc w:val="left"/>
      <w:pPr>
        <w:ind w:left="6133" w:hanging="248"/>
      </w:pPr>
      <w:rPr>
        <w:rFonts w:hint="default"/>
        <w:lang w:val="zh-CN" w:eastAsia="zh-CN" w:bidi="zh-CN"/>
      </w:rPr>
    </w:lvl>
    <w:lvl w:ilvl="7" w:tentative="0">
      <w:start w:val="0"/>
      <w:numFmt w:val="bullet"/>
      <w:lvlText w:val="•"/>
      <w:lvlJc w:val="left"/>
      <w:pPr>
        <w:ind w:left="7191" w:hanging="248"/>
      </w:pPr>
      <w:rPr>
        <w:rFonts w:hint="default"/>
        <w:lang w:val="zh-CN" w:eastAsia="zh-CN" w:bidi="zh-CN"/>
      </w:rPr>
    </w:lvl>
    <w:lvl w:ilvl="8" w:tentative="0">
      <w:start w:val="0"/>
      <w:numFmt w:val="bullet"/>
      <w:lvlText w:val="•"/>
      <w:lvlJc w:val="left"/>
      <w:pPr>
        <w:ind w:left="8249" w:hanging="248"/>
      </w:pPr>
      <w:rPr>
        <w:rFonts w:hint="default"/>
        <w:lang w:val="zh-CN" w:eastAsia="zh-CN" w:bidi="zh-CN"/>
      </w:rPr>
    </w:lvl>
  </w:abstractNum>
  <w:abstractNum w:abstractNumId="4">
    <w:nsid w:val="B0F1ACD9"/>
    <w:multiLevelType w:val="multilevel"/>
    <w:tmpl w:val="B0F1ACD9"/>
    <w:lvl w:ilvl="0" w:tentative="0">
      <w:start w:val="1"/>
      <w:numFmt w:val="decimal"/>
      <w:lvlText w:val="%1."/>
      <w:lvlJc w:val="left"/>
      <w:pPr>
        <w:ind w:left="1057" w:hanging="361"/>
        <w:jc w:val="left"/>
      </w:pPr>
      <w:rPr>
        <w:rFonts w:hint="default" w:ascii="仿宋" w:hAnsi="仿宋" w:eastAsia="仿宋" w:cs="仿宋"/>
        <w:spacing w:val="-46"/>
        <w:w w:val="100"/>
        <w:sz w:val="22"/>
        <w:szCs w:val="22"/>
        <w:lang w:val="zh-CN" w:eastAsia="zh-CN" w:bidi="zh-CN"/>
      </w:rPr>
    </w:lvl>
    <w:lvl w:ilvl="1" w:tentative="0">
      <w:start w:val="0"/>
      <w:numFmt w:val="bullet"/>
      <w:lvlText w:val="•"/>
      <w:lvlJc w:val="left"/>
      <w:pPr>
        <w:ind w:left="1990" w:hanging="361"/>
      </w:pPr>
      <w:rPr>
        <w:rFonts w:hint="default"/>
        <w:lang w:val="zh-CN" w:eastAsia="zh-CN" w:bidi="zh-CN"/>
      </w:rPr>
    </w:lvl>
    <w:lvl w:ilvl="2" w:tentative="0">
      <w:start w:val="0"/>
      <w:numFmt w:val="bullet"/>
      <w:lvlText w:val="•"/>
      <w:lvlJc w:val="left"/>
      <w:pPr>
        <w:ind w:left="2921" w:hanging="361"/>
      </w:pPr>
      <w:rPr>
        <w:rFonts w:hint="default"/>
        <w:lang w:val="zh-CN" w:eastAsia="zh-CN" w:bidi="zh-CN"/>
      </w:rPr>
    </w:lvl>
    <w:lvl w:ilvl="3" w:tentative="0">
      <w:start w:val="0"/>
      <w:numFmt w:val="bullet"/>
      <w:lvlText w:val="•"/>
      <w:lvlJc w:val="left"/>
      <w:pPr>
        <w:ind w:left="3851" w:hanging="361"/>
      </w:pPr>
      <w:rPr>
        <w:rFonts w:hint="default"/>
        <w:lang w:val="zh-CN" w:eastAsia="zh-CN" w:bidi="zh-CN"/>
      </w:rPr>
    </w:lvl>
    <w:lvl w:ilvl="4" w:tentative="0">
      <w:start w:val="0"/>
      <w:numFmt w:val="bullet"/>
      <w:lvlText w:val="•"/>
      <w:lvlJc w:val="left"/>
      <w:pPr>
        <w:ind w:left="4782" w:hanging="361"/>
      </w:pPr>
      <w:rPr>
        <w:rFonts w:hint="default"/>
        <w:lang w:val="zh-CN" w:eastAsia="zh-CN" w:bidi="zh-CN"/>
      </w:rPr>
    </w:lvl>
    <w:lvl w:ilvl="5" w:tentative="0">
      <w:start w:val="0"/>
      <w:numFmt w:val="bullet"/>
      <w:lvlText w:val="•"/>
      <w:lvlJc w:val="left"/>
      <w:pPr>
        <w:ind w:left="5713" w:hanging="361"/>
      </w:pPr>
      <w:rPr>
        <w:rFonts w:hint="default"/>
        <w:lang w:val="zh-CN" w:eastAsia="zh-CN" w:bidi="zh-CN"/>
      </w:rPr>
    </w:lvl>
    <w:lvl w:ilvl="6" w:tentative="0">
      <w:start w:val="0"/>
      <w:numFmt w:val="bullet"/>
      <w:lvlText w:val="•"/>
      <w:lvlJc w:val="left"/>
      <w:pPr>
        <w:ind w:left="6643" w:hanging="361"/>
      </w:pPr>
      <w:rPr>
        <w:rFonts w:hint="default"/>
        <w:lang w:val="zh-CN" w:eastAsia="zh-CN" w:bidi="zh-CN"/>
      </w:rPr>
    </w:lvl>
    <w:lvl w:ilvl="7" w:tentative="0">
      <w:start w:val="0"/>
      <w:numFmt w:val="bullet"/>
      <w:lvlText w:val="•"/>
      <w:lvlJc w:val="left"/>
      <w:pPr>
        <w:ind w:left="7574" w:hanging="361"/>
      </w:pPr>
      <w:rPr>
        <w:rFonts w:hint="default"/>
        <w:lang w:val="zh-CN" w:eastAsia="zh-CN" w:bidi="zh-CN"/>
      </w:rPr>
    </w:lvl>
    <w:lvl w:ilvl="8" w:tentative="0">
      <w:start w:val="0"/>
      <w:numFmt w:val="bullet"/>
      <w:lvlText w:val="•"/>
      <w:lvlJc w:val="left"/>
      <w:pPr>
        <w:ind w:left="8504" w:hanging="361"/>
      </w:pPr>
      <w:rPr>
        <w:rFonts w:hint="default"/>
        <w:lang w:val="zh-CN" w:eastAsia="zh-CN" w:bidi="zh-CN"/>
      </w:rPr>
    </w:lvl>
  </w:abstractNum>
  <w:abstractNum w:abstractNumId="5">
    <w:nsid w:val="B5E306ED"/>
    <w:multiLevelType w:val="multilevel"/>
    <w:tmpl w:val="B5E306ED"/>
    <w:lvl w:ilvl="0" w:tentative="0">
      <w:start w:val="11"/>
      <w:numFmt w:val="decimal"/>
      <w:lvlText w:val="%1"/>
      <w:lvlJc w:val="left"/>
      <w:pPr>
        <w:ind w:left="1957" w:hanging="900"/>
        <w:jc w:val="left"/>
      </w:pPr>
      <w:rPr>
        <w:rFonts w:hint="default"/>
        <w:lang w:val="zh-CN" w:eastAsia="zh-CN" w:bidi="zh-CN"/>
      </w:rPr>
    </w:lvl>
    <w:lvl w:ilvl="1" w:tentative="0">
      <w:start w:val="1"/>
      <w:numFmt w:val="decimal"/>
      <w:lvlText w:val="%1.%2"/>
      <w:lvlJc w:val="left"/>
      <w:pPr>
        <w:ind w:left="1957" w:hanging="900"/>
        <w:jc w:val="left"/>
      </w:pPr>
      <w:rPr>
        <w:rFonts w:hint="default" w:ascii="仿宋" w:hAnsi="仿宋" w:eastAsia="仿宋" w:cs="仿宋"/>
        <w:w w:val="99"/>
        <w:sz w:val="24"/>
        <w:szCs w:val="24"/>
        <w:lang w:val="zh-CN" w:eastAsia="zh-CN" w:bidi="zh-CN"/>
      </w:rPr>
    </w:lvl>
    <w:lvl w:ilvl="2" w:tentative="0">
      <w:start w:val="1"/>
      <w:numFmt w:val="decimal"/>
      <w:lvlText w:val="%1.%2.%3"/>
      <w:lvlJc w:val="left"/>
      <w:pPr>
        <w:ind w:left="1957" w:hanging="963"/>
        <w:jc w:val="left"/>
      </w:pPr>
      <w:rPr>
        <w:rFonts w:hint="default" w:ascii="仿宋" w:hAnsi="仿宋" w:eastAsia="仿宋" w:cs="仿宋"/>
        <w:spacing w:val="-12"/>
        <w:w w:val="100"/>
        <w:sz w:val="24"/>
        <w:szCs w:val="24"/>
        <w:lang w:val="zh-CN" w:eastAsia="zh-CN" w:bidi="zh-CN"/>
      </w:rPr>
    </w:lvl>
    <w:lvl w:ilvl="3" w:tentative="0">
      <w:start w:val="0"/>
      <w:numFmt w:val="bullet"/>
      <w:lvlText w:val="•"/>
      <w:lvlJc w:val="left"/>
      <w:pPr>
        <w:ind w:left="4481" w:hanging="963"/>
      </w:pPr>
      <w:rPr>
        <w:rFonts w:hint="default"/>
        <w:lang w:val="zh-CN" w:eastAsia="zh-CN" w:bidi="zh-CN"/>
      </w:rPr>
    </w:lvl>
    <w:lvl w:ilvl="4" w:tentative="0">
      <w:start w:val="0"/>
      <w:numFmt w:val="bullet"/>
      <w:lvlText w:val="•"/>
      <w:lvlJc w:val="left"/>
      <w:pPr>
        <w:ind w:left="5322" w:hanging="963"/>
      </w:pPr>
      <w:rPr>
        <w:rFonts w:hint="default"/>
        <w:lang w:val="zh-CN" w:eastAsia="zh-CN" w:bidi="zh-CN"/>
      </w:rPr>
    </w:lvl>
    <w:lvl w:ilvl="5" w:tentative="0">
      <w:start w:val="0"/>
      <w:numFmt w:val="bullet"/>
      <w:lvlText w:val="•"/>
      <w:lvlJc w:val="left"/>
      <w:pPr>
        <w:ind w:left="6163" w:hanging="963"/>
      </w:pPr>
      <w:rPr>
        <w:rFonts w:hint="default"/>
        <w:lang w:val="zh-CN" w:eastAsia="zh-CN" w:bidi="zh-CN"/>
      </w:rPr>
    </w:lvl>
    <w:lvl w:ilvl="6" w:tentative="0">
      <w:start w:val="0"/>
      <w:numFmt w:val="bullet"/>
      <w:lvlText w:val="•"/>
      <w:lvlJc w:val="left"/>
      <w:pPr>
        <w:ind w:left="7003" w:hanging="963"/>
      </w:pPr>
      <w:rPr>
        <w:rFonts w:hint="default"/>
        <w:lang w:val="zh-CN" w:eastAsia="zh-CN" w:bidi="zh-CN"/>
      </w:rPr>
    </w:lvl>
    <w:lvl w:ilvl="7" w:tentative="0">
      <w:start w:val="0"/>
      <w:numFmt w:val="bullet"/>
      <w:lvlText w:val="•"/>
      <w:lvlJc w:val="left"/>
      <w:pPr>
        <w:ind w:left="7844" w:hanging="963"/>
      </w:pPr>
      <w:rPr>
        <w:rFonts w:hint="default"/>
        <w:lang w:val="zh-CN" w:eastAsia="zh-CN" w:bidi="zh-CN"/>
      </w:rPr>
    </w:lvl>
    <w:lvl w:ilvl="8" w:tentative="0">
      <w:start w:val="0"/>
      <w:numFmt w:val="bullet"/>
      <w:lvlText w:val="•"/>
      <w:lvlJc w:val="left"/>
      <w:pPr>
        <w:ind w:left="8684" w:hanging="963"/>
      </w:pPr>
      <w:rPr>
        <w:rFonts w:hint="default"/>
        <w:lang w:val="zh-CN" w:eastAsia="zh-CN" w:bidi="zh-CN"/>
      </w:rPr>
    </w:lvl>
  </w:abstractNum>
  <w:abstractNum w:abstractNumId="6">
    <w:nsid w:val="BE923771"/>
    <w:multiLevelType w:val="multilevel"/>
    <w:tmpl w:val="BE923771"/>
    <w:lvl w:ilvl="0" w:tentative="0">
      <w:start w:val="1"/>
      <w:numFmt w:val="decimal"/>
      <w:lvlText w:val="%1."/>
      <w:lvlJc w:val="left"/>
      <w:pPr>
        <w:ind w:left="1057" w:hanging="314"/>
        <w:jc w:val="left"/>
      </w:pPr>
      <w:rPr>
        <w:rFonts w:hint="default" w:ascii="仿宋" w:hAnsi="仿宋" w:eastAsia="仿宋" w:cs="仿宋"/>
        <w:spacing w:val="-34"/>
        <w:w w:val="99"/>
        <w:sz w:val="19"/>
        <w:szCs w:val="19"/>
        <w:lang w:val="zh-CN" w:eastAsia="zh-CN" w:bidi="zh-CN"/>
      </w:rPr>
    </w:lvl>
    <w:lvl w:ilvl="1" w:tentative="0">
      <w:start w:val="0"/>
      <w:numFmt w:val="bullet"/>
      <w:lvlText w:val="•"/>
      <w:lvlJc w:val="left"/>
      <w:pPr>
        <w:ind w:left="1990" w:hanging="314"/>
      </w:pPr>
      <w:rPr>
        <w:rFonts w:hint="default"/>
        <w:lang w:val="zh-CN" w:eastAsia="zh-CN" w:bidi="zh-CN"/>
      </w:rPr>
    </w:lvl>
    <w:lvl w:ilvl="2" w:tentative="0">
      <w:start w:val="0"/>
      <w:numFmt w:val="bullet"/>
      <w:lvlText w:val="•"/>
      <w:lvlJc w:val="left"/>
      <w:pPr>
        <w:ind w:left="2921" w:hanging="314"/>
      </w:pPr>
      <w:rPr>
        <w:rFonts w:hint="default"/>
        <w:lang w:val="zh-CN" w:eastAsia="zh-CN" w:bidi="zh-CN"/>
      </w:rPr>
    </w:lvl>
    <w:lvl w:ilvl="3" w:tentative="0">
      <w:start w:val="0"/>
      <w:numFmt w:val="bullet"/>
      <w:lvlText w:val="•"/>
      <w:lvlJc w:val="left"/>
      <w:pPr>
        <w:ind w:left="3851" w:hanging="314"/>
      </w:pPr>
      <w:rPr>
        <w:rFonts w:hint="default"/>
        <w:lang w:val="zh-CN" w:eastAsia="zh-CN" w:bidi="zh-CN"/>
      </w:rPr>
    </w:lvl>
    <w:lvl w:ilvl="4" w:tentative="0">
      <w:start w:val="0"/>
      <w:numFmt w:val="bullet"/>
      <w:lvlText w:val="•"/>
      <w:lvlJc w:val="left"/>
      <w:pPr>
        <w:ind w:left="4782" w:hanging="314"/>
      </w:pPr>
      <w:rPr>
        <w:rFonts w:hint="default"/>
        <w:lang w:val="zh-CN" w:eastAsia="zh-CN" w:bidi="zh-CN"/>
      </w:rPr>
    </w:lvl>
    <w:lvl w:ilvl="5" w:tentative="0">
      <w:start w:val="0"/>
      <w:numFmt w:val="bullet"/>
      <w:lvlText w:val="•"/>
      <w:lvlJc w:val="left"/>
      <w:pPr>
        <w:ind w:left="5713" w:hanging="314"/>
      </w:pPr>
      <w:rPr>
        <w:rFonts w:hint="default"/>
        <w:lang w:val="zh-CN" w:eastAsia="zh-CN" w:bidi="zh-CN"/>
      </w:rPr>
    </w:lvl>
    <w:lvl w:ilvl="6" w:tentative="0">
      <w:start w:val="0"/>
      <w:numFmt w:val="bullet"/>
      <w:lvlText w:val="•"/>
      <w:lvlJc w:val="left"/>
      <w:pPr>
        <w:ind w:left="6643" w:hanging="314"/>
      </w:pPr>
      <w:rPr>
        <w:rFonts w:hint="default"/>
        <w:lang w:val="zh-CN" w:eastAsia="zh-CN" w:bidi="zh-CN"/>
      </w:rPr>
    </w:lvl>
    <w:lvl w:ilvl="7" w:tentative="0">
      <w:start w:val="0"/>
      <w:numFmt w:val="bullet"/>
      <w:lvlText w:val="•"/>
      <w:lvlJc w:val="left"/>
      <w:pPr>
        <w:ind w:left="7574" w:hanging="314"/>
      </w:pPr>
      <w:rPr>
        <w:rFonts w:hint="default"/>
        <w:lang w:val="zh-CN" w:eastAsia="zh-CN" w:bidi="zh-CN"/>
      </w:rPr>
    </w:lvl>
    <w:lvl w:ilvl="8" w:tentative="0">
      <w:start w:val="0"/>
      <w:numFmt w:val="bullet"/>
      <w:lvlText w:val="•"/>
      <w:lvlJc w:val="left"/>
      <w:pPr>
        <w:ind w:left="8504" w:hanging="314"/>
      </w:pPr>
      <w:rPr>
        <w:rFonts w:hint="default"/>
        <w:lang w:val="zh-CN" w:eastAsia="zh-CN" w:bidi="zh-CN"/>
      </w:rPr>
    </w:lvl>
  </w:abstractNum>
  <w:abstractNum w:abstractNumId="7">
    <w:nsid w:val="BF205925"/>
    <w:multiLevelType w:val="multilevel"/>
    <w:tmpl w:val="BF205925"/>
    <w:lvl w:ilvl="0" w:tentative="0">
      <w:start w:val="1"/>
      <w:numFmt w:val="decimal"/>
      <w:lvlText w:val="%1."/>
      <w:lvlJc w:val="left"/>
      <w:pPr>
        <w:ind w:left="1301" w:hanging="244"/>
        <w:jc w:val="left"/>
      </w:pPr>
      <w:rPr>
        <w:rFonts w:hint="default" w:ascii="仿宋" w:hAnsi="仿宋" w:eastAsia="仿宋" w:cs="仿宋"/>
        <w:b/>
        <w:bCs/>
        <w:spacing w:val="-3"/>
        <w:w w:val="99"/>
        <w:sz w:val="22"/>
        <w:szCs w:val="22"/>
        <w:lang w:val="zh-CN" w:eastAsia="zh-CN" w:bidi="zh-CN"/>
      </w:rPr>
    </w:lvl>
    <w:lvl w:ilvl="1" w:tentative="0">
      <w:start w:val="1"/>
      <w:numFmt w:val="decimal"/>
      <w:lvlText w:val="%1.%2"/>
      <w:lvlJc w:val="left"/>
      <w:pPr>
        <w:ind w:left="1957" w:hanging="900"/>
        <w:jc w:val="left"/>
      </w:pPr>
      <w:rPr>
        <w:rFonts w:hint="default"/>
        <w:w w:val="100"/>
        <w:lang w:val="zh-CN" w:eastAsia="zh-CN" w:bidi="zh-CN"/>
      </w:rPr>
    </w:lvl>
    <w:lvl w:ilvl="2" w:tentative="0">
      <w:start w:val="1"/>
      <w:numFmt w:val="decimal"/>
      <w:lvlText w:val="%1.%2.%3"/>
      <w:lvlJc w:val="left"/>
      <w:pPr>
        <w:ind w:left="1907" w:hanging="900"/>
        <w:jc w:val="left"/>
      </w:pPr>
      <w:rPr>
        <w:rFonts w:hint="default" w:ascii="仿宋" w:hAnsi="仿宋" w:eastAsia="仿宋" w:cs="仿宋"/>
        <w:spacing w:val="-51"/>
        <w:w w:val="100"/>
        <w:sz w:val="24"/>
        <w:szCs w:val="24"/>
        <w:lang w:val="zh-CN" w:eastAsia="zh-CN" w:bidi="zh-CN"/>
      </w:rPr>
    </w:lvl>
    <w:lvl w:ilvl="3" w:tentative="0">
      <w:start w:val="0"/>
      <w:numFmt w:val="bullet"/>
      <w:lvlText w:val="•"/>
      <w:lvlJc w:val="left"/>
      <w:pPr>
        <w:ind w:left="1960" w:hanging="900"/>
      </w:pPr>
      <w:rPr>
        <w:rFonts w:hint="default"/>
        <w:lang w:val="zh-CN" w:eastAsia="zh-CN" w:bidi="zh-CN"/>
      </w:rPr>
    </w:lvl>
    <w:lvl w:ilvl="4" w:tentative="0">
      <w:start w:val="0"/>
      <w:numFmt w:val="bullet"/>
      <w:lvlText w:val="•"/>
      <w:lvlJc w:val="left"/>
      <w:pPr>
        <w:ind w:left="2020" w:hanging="900"/>
      </w:pPr>
      <w:rPr>
        <w:rFonts w:hint="default"/>
        <w:lang w:val="zh-CN" w:eastAsia="zh-CN" w:bidi="zh-CN"/>
      </w:rPr>
    </w:lvl>
    <w:lvl w:ilvl="5" w:tentative="0">
      <w:start w:val="0"/>
      <w:numFmt w:val="bullet"/>
      <w:lvlText w:val="•"/>
      <w:lvlJc w:val="left"/>
      <w:pPr>
        <w:ind w:left="3411" w:hanging="900"/>
      </w:pPr>
      <w:rPr>
        <w:rFonts w:hint="default"/>
        <w:lang w:val="zh-CN" w:eastAsia="zh-CN" w:bidi="zh-CN"/>
      </w:rPr>
    </w:lvl>
    <w:lvl w:ilvl="6" w:tentative="0">
      <w:start w:val="0"/>
      <w:numFmt w:val="bullet"/>
      <w:lvlText w:val="•"/>
      <w:lvlJc w:val="left"/>
      <w:pPr>
        <w:ind w:left="4802" w:hanging="900"/>
      </w:pPr>
      <w:rPr>
        <w:rFonts w:hint="default"/>
        <w:lang w:val="zh-CN" w:eastAsia="zh-CN" w:bidi="zh-CN"/>
      </w:rPr>
    </w:lvl>
    <w:lvl w:ilvl="7" w:tentative="0">
      <w:start w:val="0"/>
      <w:numFmt w:val="bullet"/>
      <w:lvlText w:val="•"/>
      <w:lvlJc w:val="left"/>
      <w:pPr>
        <w:ind w:left="6193" w:hanging="900"/>
      </w:pPr>
      <w:rPr>
        <w:rFonts w:hint="default"/>
        <w:lang w:val="zh-CN" w:eastAsia="zh-CN" w:bidi="zh-CN"/>
      </w:rPr>
    </w:lvl>
    <w:lvl w:ilvl="8" w:tentative="0">
      <w:start w:val="0"/>
      <w:numFmt w:val="bullet"/>
      <w:lvlText w:val="•"/>
      <w:lvlJc w:val="left"/>
      <w:pPr>
        <w:ind w:left="7584" w:hanging="900"/>
      </w:pPr>
      <w:rPr>
        <w:rFonts w:hint="default"/>
        <w:lang w:val="zh-CN" w:eastAsia="zh-CN" w:bidi="zh-CN"/>
      </w:rPr>
    </w:lvl>
  </w:abstractNum>
  <w:abstractNum w:abstractNumId="8">
    <w:nsid w:val="C8879AEF"/>
    <w:multiLevelType w:val="multilevel"/>
    <w:tmpl w:val="C8879AEF"/>
    <w:lvl w:ilvl="0" w:tentative="0">
      <w:start w:val="22"/>
      <w:numFmt w:val="decimal"/>
      <w:lvlText w:val="%1"/>
      <w:lvlJc w:val="left"/>
      <w:pPr>
        <w:ind w:left="1909" w:hanging="840"/>
        <w:jc w:val="left"/>
      </w:pPr>
      <w:rPr>
        <w:rFonts w:hint="default"/>
        <w:lang w:val="zh-CN" w:eastAsia="zh-CN" w:bidi="zh-CN"/>
      </w:rPr>
    </w:lvl>
    <w:lvl w:ilvl="1" w:tentative="0">
      <w:start w:val="1"/>
      <w:numFmt w:val="decimal"/>
      <w:lvlText w:val="%1.%2"/>
      <w:lvlJc w:val="left"/>
      <w:pPr>
        <w:ind w:left="1909" w:hanging="840"/>
        <w:jc w:val="left"/>
      </w:pPr>
      <w:rPr>
        <w:rFonts w:hint="default" w:ascii="仿宋" w:hAnsi="仿宋" w:eastAsia="仿宋" w:cs="仿宋"/>
        <w:spacing w:val="-101"/>
        <w:w w:val="99"/>
        <w:sz w:val="24"/>
        <w:szCs w:val="24"/>
        <w:lang w:val="zh-CN" w:eastAsia="zh-CN" w:bidi="zh-CN"/>
      </w:rPr>
    </w:lvl>
    <w:lvl w:ilvl="2" w:tentative="0">
      <w:start w:val="1"/>
      <w:numFmt w:val="decimal"/>
      <w:lvlText w:val="（%3）"/>
      <w:lvlJc w:val="left"/>
      <w:pPr>
        <w:ind w:left="2627" w:hanging="670"/>
        <w:jc w:val="left"/>
      </w:pPr>
      <w:rPr>
        <w:rFonts w:hint="default"/>
        <w:w w:val="100"/>
        <w:lang w:val="zh-CN" w:eastAsia="zh-CN" w:bidi="zh-CN"/>
      </w:rPr>
    </w:lvl>
    <w:lvl w:ilvl="3" w:tentative="0">
      <w:start w:val="0"/>
      <w:numFmt w:val="bullet"/>
      <w:lvlText w:val="•"/>
      <w:lvlJc w:val="left"/>
      <w:pPr>
        <w:ind w:left="4341" w:hanging="670"/>
      </w:pPr>
      <w:rPr>
        <w:rFonts w:hint="default"/>
        <w:lang w:val="zh-CN" w:eastAsia="zh-CN" w:bidi="zh-CN"/>
      </w:rPr>
    </w:lvl>
    <w:lvl w:ilvl="4" w:tentative="0">
      <w:start w:val="0"/>
      <w:numFmt w:val="bullet"/>
      <w:lvlText w:val="•"/>
      <w:lvlJc w:val="left"/>
      <w:pPr>
        <w:ind w:left="5202" w:hanging="670"/>
      </w:pPr>
      <w:rPr>
        <w:rFonts w:hint="default"/>
        <w:lang w:val="zh-CN" w:eastAsia="zh-CN" w:bidi="zh-CN"/>
      </w:rPr>
    </w:lvl>
    <w:lvl w:ilvl="5" w:tentative="0">
      <w:start w:val="0"/>
      <w:numFmt w:val="bullet"/>
      <w:lvlText w:val="•"/>
      <w:lvlJc w:val="left"/>
      <w:pPr>
        <w:ind w:left="6062" w:hanging="670"/>
      </w:pPr>
      <w:rPr>
        <w:rFonts w:hint="default"/>
        <w:lang w:val="zh-CN" w:eastAsia="zh-CN" w:bidi="zh-CN"/>
      </w:rPr>
    </w:lvl>
    <w:lvl w:ilvl="6" w:tentative="0">
      <w:start w:val="0"/>
      <w:numFmt w:val="bullet"/>
      <w:lvlText w:val="•"/>
      <w:lvlJc w:val="left"/>
      <w:pPr>
        <w:ind w:left="6923" w:hanging="670"/>
      </w:pPr>
      <w:rPr>
        <w:rFonts w:hint="default"/>
        <w:lang w:val="zh-CN" w:eastAsia="zh-CN" w:bidi="zh-CN"/>
      </w:rPr>
    </w:lvl>
    <w:lvl w:ilvl="7" w:tentative="0">
      <w:start w:val="0"/>
      <w:numFmt w:val="bullet"/>
      <w:lvlText w:val="•"/>
      <w:lvlJc w:val="left"/>
      <w:pPr>
        <w:ind w:left="7784" w:hanging="670"/>
      </w:pPr>
      <w:rPr>
        <w:rFonts w:hint="default"/>
        <w:lang w:val="zh-CN" w:eastAsia="zh-CN" w:bidi="zh-CN"/>
      </w:rPr>
    </w:lvl>
    <w:lvl w:ilvl="8" w:tentative="0">
      <w:start w:val="0"/>
      <w:numFmt w:val="bullet"/>
      <w:lvlText w:val="•"/>
      <w:lvlJc w:val="left"/>
      <w:pPr>
        <w:ind w:left="8644" w:hanging="670"/>
      </w:pPr>
      <w:rPr>
        <w:rFonts w:hint="default"/>
        <w:lang w:val="zh-CN" w:eastAsia="zh-CN" w:bidi="zh-CN"/>
      </w:rPr>
    </w:lvl>
  </w:abstractNum>
  <w:abstractNum w:abstractNumId="9">
    <w:nsid w:val="CF092B84"/>
    <w:multiLevelType w:val="multilevel"/>
    <w:tmpl w:val="CF092B84"/>
    <w:lvl w:ilvl="0" w:tentative="0">
      <w:start w:val="2"/>
      <w:numFmt w:val="decimal"/>
      <w:lvlText w:val="%1"/>
      <w:lvlJc w:val="left"/>
      <w:pPr>
        <w:ind w:left="1537" w:hanging="480"/>
        <w:jc w:val="left"/>
      </w:pPr>
      <w:rPr>
        <w:rFonts w:hint="default"/>
        <w:lang w:val="zh-CN" w:eastAsia="zh-CN" w:bidi="zh-CN"/>
      </w:rPr>
    </w:lvl>
    <w:lvl w:ilvl="1" w:tentative="0">
      <w:start w:val="5"/>
      <w:numFmt w:val="decimal"/>
      <w:lvlText w:val="%1.%2"/>
      <w:lvlJc w:val="left"/>
      <w:pPr>
        <w:ind w:left="1537" w:hanging="480"/>
        <w:jc w:val="left"/>
      </w:pPr>
      <w:rPr>
        <w:rFonts w:hint="default" w:ascii="仿宋" w:hAnsi="仿宋" w:eastAsia="仿宋" w:cs="仿宋"/>
        <w:w w:val="100"/>
        <w:sz w:val="24"/>
        <w:szCs w:val="24"/>
        <w:lang w:val="zh-CN" w:eastAsia="zh-CN" w:bidi="zh-CN"/>
      </w:rPr>
    </w:lvl>
    <w:lvl w:ilvl="2" w:tentative="0">
      <w:start w:val="1"/>
      <w:numFmt w:val="decimal"/>
      <w:lvlText w:val="%1.%2.%3"/>
      <w:lvlJc w:val="left"/>
      <w:pPr>
        <w:ind w:left="1717" w:hanging="66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641" w:hanging="660"/>
      </w:pPr>
      <w:rPr>
        <w:rFonts w:hint="default"/>
        <w:lang w:val="zh-CN" w:eastAsia="zh-CN" w:bidi="zh-CN"/>
      </w:rPr>
    </w:lvl>
    <w:lvl w:ilvl="4" w:tentative="0">
      <w:start w:val="0"/>
      <w:numFmt w:val="bullet"/>
      <w:lvlText w:val="•"/>
      <w:lvlJc w:val="left"/>
      <w:pPr>
        <w:ind w:left="4602" w:hanging="660"/>
      </w:pPr>
      <w:rPr>
        <w:rFonts w:hint="default"/>
        <w:lang w:val="zh-CN" w:eastAsia="zh-CN" w:bidi="zh-CN"/>
      </w:rPr>
    </w:lvl>
    <w:lvl w:ilvl="5" w:tentative="0">
      <w:start w:val="0"/>
      <w:numFmt w:val="bullet"/>
      <w:lvlText w:val="•"/>
      <w:lvlJc w:val="left"/>
      <w:pPr>
        <w:ind w:left="5562" w:hanging="660"/>
      </w:pPr>
      <w:rPr>
        <w:rFonts w:hint="default"/>
        <w:lang w:val="zh-CN" w:eastAsia="zh-CN" w:bidi="zh-CN"/>
      </w:rPr>
    </w:lvl>
    <w:lvl w:ilvl="6" w:tentative="0">
      <w:start w:val="0"/>
      <w:numFmt w:val="bullet"/>
      <w:lvlText w:val="•"/>
      <w:lvlJc w:val="left"/>
      <w:pPr>
        <w:ind w:left="6523" w:hanging="660"/>
      </w:pPr>
      <w:rPr>
        <w:rFonts w:hint="default"/>
        <w:lang w:val="zh-CN" w:eastAsia="zh-CN" w:bidi="zh-CN"/>
      </w:rPr>
    </w:lvl>
    <w:lvl w:ilvl="7" w:tentative="0">
      <w:start w:val="0"/>
      <w:numFmt w:val="bullet"/>
      <w:lvlText w:val="•"/>
      <w:lvlJc w:val="left"/>
      <w:pPr>
        <w:ind w:left="7484" w:hanging="660"/>
      </w:pPr>
      <w:rPr>
        <w:rFonts w:hint="default"/>
        <w:lang w:val="zh-CN" w:eastAsia="zh-CN" w:bidi="zh-CN"/>
      </w:rPr>
    </w:lvl>
    <w:lvl w:ilvl="8" w:tentative="0">
      <w:start w:val="0"/>
      <w:numFmt w:val="bullet"/>
      <w:lvlText w:val="•"/>
      <w:lvlJc w:val="left"/>
      <w:pPr>
        <w:ind w:left="8444" w:hanging="660"/>
      </w:pPr>
      <w:rPr>
        <w:rFonts w:hint="default"/>
        <w:lang w:val="zh-CN" w:eastAsia="zh-CN" w:bidi="zh-CN"/>
      </w:rPr>
    </w:lvl>
  </w:abstractNum>
  <w:abstractNum w:abstractNumId="10">
    <w:nsid w:val="DCBA6B53"/>
    <w:multiLevelType w:val="multilevel"/>
    <w:tmpl w:val="DCBA6B53"/>
    <w:lvl w:ilvl="0" w:tentative="0">
      <w:start w:val="26"/>
      <w:numFmt w:val="decimal"/>
      <w:lvlText w:val="%1."/>
      <w:lvlJc w:val="left"/>
      <w:pPr>
        <w:ind w:left="1420" w:hanging="363"/>
        <w:jc w:val="left"/>
      </w:pPr>
      <w:rPr>
        <w:rFonts w:hint="default" w:ascii="仿宋" w:hAnsi="仿宋" w:eastAsia="仿宋" w:cs="仿宋"/>
        <w:b/>
        <w:bCs/>
        <w:spacing w:val="-3"/>
        <w:w w:val="99"/>
        <w:sz w:val="22"/>
        <w:szCs w:val="22"/>
        <w:lang w:val="zh-CN" w:eastAsia="zh-CN" w:bidi="zh-CN"/>
      </w:rPr>
    </w:lvl>
    <w:lvl w:ilvl="1" w:tentative="0">
      <w:start w:val="1"/>
      <w:numFmt w:val="decimal"/>
      <w:lvlText w:val="%1.%2"/>
      <w:lvlJc w:val="left"/>
      <w:pPr>
        <w:ind w:left="1957" w:hanging="900"/>
        <w:jc w:val="left"/>
      </w:pPr>
      <w:rPr>
        <w:rFonts w:hint="default" w:ascii="仿宋" w:hAnsi="仿宋" w:eastAsia="仿宋" w:cs="仿宋"/>
        <w:w w:val="100"/>
        <w:sz w:val="24"/>
        <w:szCs w:val="24"/>
        <w:lang w:val="zh-CN" w:eastAsia="zh-CN" w:bidi="zh-CN"/>
      </w:rPr>
    </w:lvl>
    <w:lvl w:ilvl="2" w:tentative="0">
      <w:start w:val="1"/>
      <w:numFmt w:val="decimal"/>
      <w:lvlText w:val="%1.%2.%3"/>
      <w:lvlJc w:val="left"/>
      <w:pPr>
        <w:ind w:left="1897" w:hanging="84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3010" w:hanging="840"/>
      </w:pPr>
      <w:rPr>
        <w:rFonts w:hint="default"/>
        <w:lang w:val="zh-CN" w:eastAsia="zh-CN" w:bidi="zh-CN"/>
      </w:rPr>
    </w:lvl>
    <w:lvl w:ilvl="4" w:tentative="0">
      <w:start w:val="0"/>
      <w:numFmt w:val="bullet"/>
      <w:lvlText w:val="•"/>
      <w:lvlJc w:val="left"/>
      <w:pPr>
        <w:ind w:left="4061" w:hanging="840"/>
      </w:pPr>
      <w:rPr>
        <w:rFonts w:hint="default"/>
        <w:lang w:val="zh-CN" w:eastAsia="zh-CN" w:bidi="zh-CN"/>
      </w:rPr>
    </w:lvl>
    <w:lvl w:ilvl="5" w:tentative="0">
      <w:start w:val="0"/>
      <w:numFmt w:val="bullet"/>
      <w:lvlText w:val="•"/>
      <w:lvlJc w:val="left"/>
      <w:pPr>
        <w:ind w:left="5112" w:hanging="840"/>
      </w:pPr>
      <w:rPr>
        <w:rFonts w:hint="default"/>
        <w:lang w:val="zh-CN" w:eastAsia="zh-CN" w:bidi="zh-CN"/>
      </w:rPr>
    </w:lvl>
    <w:lvl w:ilvl="6" w:tentative="0">
      <w:start w:val="0"/>
      <w:numFmt w:val="bullet"/>
      <w:lvlText w:val="•"/>
      <w:lvlJc w:val="left"/>
      <w:pPr>
        <w:ind w:left="6163" w:hanging="840"/>
      </w:pPr>
      <w:rPr>
        <w:rFonts w:hint="default"/>
        <w:lang w:val="zh-CN" w:eastAsia="zh-CN" w:bidi="zh-CN"/>
      </w:rPr>
    </w:lvl>
    <w:lvl w:ilvl="7" w:tentative="0">
      <w:start w:val="0"/>
      <w:numFmt w:val="bullet"/>
      <w:lvlText w:val="•"/>
      <w:lvlJc w:val="left"/>
      <w:pPr>
        <w:ind w:left="7213" w:hanging="840"/>
      </w:pPr>
      <w:rPr>
        <w:rFonts w:hint="default"/>
        <w:lang w:val="zh-CN" w:eastAsia="zh-CN" w:bidi="zh-CN"/>
      </w:rPr>
    </w:lvl>
    <w:lvl w:ilvl="8" w:tentative="0">
      <w:start w:val="0"/>
      <w:numFmt w:val="bullet"/>
      <w:lvlText w:val="•"/>
      <w:lvlJc w:val="left"/>
      <w:pPr>
        <w:ind w:left="8264" w:hanging="840"/>
      </w:pPr>
      <w:rPr>
        <w:rFonts w:hint="default"/>
        <w:lang w:val="zh-CN" w:eastAsia="zh-CN" w:bidi="zh-CN"/>
      </w:rPr>
    </w:lvl>
  </w:abstractNum>
  <w:abstractNum w:abstractNumId="11">
    <w:nsid w:val="E093A4B0"/>
    <w:multiLevelType w:val="multilevel"/>
    <w:tmpl w:val="E093A4B0"/>
    <w:lvl w:ilvl="0" w:tentative="0">
      <w:start w:val="5"/>
      <w:numFmt w:val="decimal"/>
      <w:lvlText w:val="%1"/>
      <w:lvlJc w:val="left"/>
      <w:pPr>
        <w:ind w:left="980" w:hanging="725"/>
        <w:jc w:val="left"/>
      </w:pPr>
      <w:rPr>
        <w:rFonts w:hint="default"/>
        <w:lang w:val="zh-CN" w:eastAsia="zh-CN" w:bidi="zh-CN"/>
      </w:rPr>
    </w:lvl>
    <w:lvl w:ilvl="1" w:tentative="0">
      <w:start w:val="2"/>
      <w:numFmt w:val="decimal"/>
      <w:lvlText w:val="%1-%2"/>
      <w:lvlJc w:val="left"/>
      <w:pPr>
        <w:ind w:left="980" w:hanging="725"/>
        <w:jc w:val="left"/>
      </w:pPr>
      <w:rPr>
        <w:rFonts w:hint="default" w:ascii="仿宋" w:hAnsi="仿宋" w:eastAsia="仿宋" w:cs="仿宋"/>
        <w:b/>
        <w:bCs/>
        <w:spacing w:val="0"/>
        <w:w w:val="99"/>
        <w:sz w:val="24"/>
        <w:szCs w:val="24"/>
        <w:lang w:val="zh-CN" w:eastAsia="zh-CN" w:bidi="zh-CN"/>
      </w:rPr>
    </w:lvl>
    <w:lvl w:ilvl="2" w:tentative="0">
      <w:start w:val="1"/>
      <w:numFmt w:val="decimal"/>
      <w:lvlText w:val="（%3）"/>
      <w:lvlJc w:val="left"/>
      <w:pPr>
        <w:ind w:left="1337" w:hanging="601"/>
        <w:jc w:val="left"/>
      </w:pPr>
      <w:rPr>
        <w:rFonts w:hint="default" w:ascii="仿宋" w:hAnsi="仿宋" w:eastAsia="仿宋" w:cs="仿宋"/>
        <w:w w:val="100"/>
        <w:sz w:val="22"/>
        <w:szCs w:val="22"/>
        <w:lang w:val="zh-CN" w:eastAsia="zh-CN" w:bidi="zh-CN"/>
      </w:rPr>
    </w:lvl>
    <w:lvl w:ilvl="3" w:tentative="0">
      <w:start w:val="0"/>
      <w:numFmt w:val="bullet"/>
      <w:lvlText w:val="•"/>
      <w:lvlJc w:val="left"/>
      <w:pPr>
        <w:ind w:left="3345" w:hanging="601"/>
      </w:pPr>
      <w:rPr>
        <w:rFonts w:hint="default"/>
        <w:lang w:val="zh-CN" w:eastAsia="zh-CN" w:bidi="zh-CN"/>
      </w:rPr>
    </w:lvl>
    <w:lvl w:ilvl="4" w:tentative="0">
      <w:start w:val="0"/>
      <w:numFmt w:val="bullet"/>
      <w:lvlText w:val="•"/>
      <w:lvlJc w:val="left"/>
      <w:pPr>
        <w:ind w:left="4348" w:hanging="601"/>
      </w:pPr>
      <w:rPr>
        <w:rFonts w:hint="default"/>
        <w:lang w:val="zh-CN" w:eastAsia="zh-CN" w:bidi="zh-CN"/>
      </w:rPr>
    </w:lvl>
    <w:lvl w:ilvl="5" w:tentative="0">
      <w:start w:val="0"/>
      <w:numFmt w:val="bullet"/>
      <w:lvlText w:val="•"/>
      <w:lvlJc w:val="left"/>
      <w:pPr>
        <w:ind w:left="5351" w:hanging="601"/>
      </w:pPr>
      <w:rPr>
        <w:rFonts w:hint="default"/>
        <w:lang w:val="zh-CN" w:eastAsia="zh-CN" w:bidi="zh-CN"/>
      </w:rPr>
    </w:lvl>
    <w:lvl w:ilvl="6" w:tentative="0">
      <w:start w:val="0"/>
      <w:numFmt w:val="bullet"/>
      <w:lvlText w:val="•"/>
      <w:lvlJc w:val="left"/>
      <w:pPr>
        <w:ind w:left="6354" w:hanging="601"/>
      </w:pPr>
      <w:rPr>
        <w:rFonts w:hint="default"/>
        <w:lang w:val="zh-CN" w:eastAsia="zh-CN" w:bidi="zh-CN"/>
      </w:rPr>
    </w:lvl>
    <w:lvl w:ilvl="7" w:tentative="0">
      <w:start w:val="0"/>
      <w:numFmt w:val="bullet"/>
      <w:lvlText w:val="•"/>
      <w:lvlJc w:val="left"/>
      <w:pPr>
        <w:ind w:left="7357" w:hanging="601"/>
      </w:pPr>
      <w:rPr>
        <w:rFonts w:hint="default"/>
        <w:lang w:val="zh-CN" w:eastAsia="zh-CN" w:bidi="zh-CN"/>
      </w:rPr>
    </w:lvl>
    <w:lvl w:ilvl="8" w:tentative="0">
      <w:start w:val="0"/>
      <w:numFmt w:val="bullet"/>
      <w:lvlText w:val="•"/>
      <w:lvlJc w:val="left"/>
      <w:pPr>
        <w:ind w:left="8360" w:hanging="601"/>
      </w:pPr>
      <w:rPr>
        <w:rFonts w:hint="default"/>
        <w:lang w:val="zh-CN" w:eastAsia="zh-CN" w:bidi="zh-CN"/>
      </w:rPr>
    </w:lvl>
  </w:abstractNum>
  <w:abstractNum w:abstractNumId="12">
    <w:nsid w:val="F7735DC9"/>
    <w:multiLevelType w:val="multilevel"/>
    <w:tmpl w:val="F7735DC9"/>
    <w:lvl w:ilvl="0" w:tentative="0">
      <w:start w:val="1"/>
      <w:numFmt w:val="decimal"/>
      <w:lvlText w:val="（%1）"/>
      <w:lvlJc w:val="left"/>
      <w:pPr>
        <w:ind w:left="256" w:hanging="601"/>
        <w:jc w:val="left"/>
      </w:pPr>
      <w:rPr>
        <w:rFonts w:hint="default" w:ascii="仿宋" w:hAnsi="仿宋" w:eastAsia="仿宋" w:cs="仿宋"/>
        <w:spacing w:val="-15"/>
        <w:w w:val="100"/>
        <w:sz w:val="22"/>
        <w:szCs w:val="22"/>
        <w:lang w:val="zh-CN" w:eastAsia="zh-CN" w:bidi="zh-CN"/>
      </w:rPr>
    </w:lvl>
    <w:lvl w:ilvl="1" w:tentative="0">
      <w:start w:val="2"/>
      <w:numFmt w:val="decimal"/>
      <w:lvlText w:val="（%2）"/>
      <w:lvlJc w:val="left"/>
      <w:pPr>
        <w:ind w:left="256" w:hanging="601"/>
        <w:jc w:val="left"/>
      </w:pPr>
      <w:rPr>
        <w:rFonts w:hint="default" w:ascii="仿宋" w:hAnsi="仿宋" w:eastAsia="仿宋" w:cs="仿宋"/>
        <w:spacing w:val="-3"/>
        <w:w w:val="100"/>
        <w:sz w:val="22"/>
        <w:szCs w:val="22"/>
        <w:lang w:val="zh-CN" w:eastAsia="zh-CN" w:bidi="zh-CN"/>
      </w:rPr>
    </w:lvl>
    <w:lvl w:ilvl="2" w:tentative="0">
      <w:start w:val="0"/>
      <w:numFmt w:val="bullet"/>
      <w:lvlText w:val="•"/>
      <w:lvlJc w:val="left"/>
      <w:pPr>
        <w:ind w:left="2281" w:hanging="601"/>
      </w:pPr>
      <w:rPr>
        <w:rFonts w:hint="default"/>
        <w:lang w:val="zh-CN" w:eastAsia="zh-CN" w:bidi="zh-CN"/>
      </w:rPr>
    </w:lvl>
    <w:lvl w:ilvl="3" w:tentative="0">
      <w:start w:val="0"/>
      <w:numFmt w:val="bullet"/>
      <w:lvlText w:val="•"/>
      <w:lvlJc w:val="left"/>
      <w:pPr>
        <w:ind w:left="3291" w:hanging="601"/>
      </w:pPr>
      <w:rPr>
        <w:rFonts w:hint="default"/>
        <w:lang w:val="zh-CN" w:eastAsia="zh-CN" w:bidi="zh-CN"/>
      </w:rPr>
    </w:lvl>
    <w:lvl w:ilvl="4" w:tentative="0">
      <w:start w:val="0"/>
      <w:numFmt w:val="bullet"/>
      <w:lvlText w:val="•"/>
      <w:lvlJc w:val="left"/>
      <w:pPr>
        <w:ind w:left="4302" w:hanging="601"/>
      </w:pPr>
      <w:rPr>
        <w:rFonts w:hint="default"/>
        <w:lang w:val="zh-CN" w:eastAsia="zh-CN" w:bidi="zh-CN"/>
      </w:rPr>
    </w:lvl>
    <w:lvl w:ilvl="5" w:tentative="0">
      <w:start w:val="0"/>
      <w:numFmt w:val="bullet"/>
      <w:lvlText w:val="•"/>
      <w:lvlJc w:val="left"/>
      <w:pPr>
        <w:ind w:left="5313" w:hanging="601"/>
      </w:pPr>
      <w:rPr>
        <w:rFonts w:hint="default"/>
        <w:lang w:val="zh-CN" w:eastAsia="zh-CN" w:bidi="zh-CN"/>
      </w:rPr>
    </w:lvl>
    <w:lvl w:ilvl="6" w:tentative="0">
      <w:start w:val="0"/>
      <w:numFmt w:val="bullet"/>
      <w:lvlText w:val="•"/>
      <w:lvlJc w:val="left"/>
      <w:pPr>
        <w:ind w:left="6323" w:hanging="601"/>
      </w:pPr>
      <w:rPr>
        <w:rFonts w:hint="default"/>
        <w:lang w:val="zh-CN" w:eastAsia="zh-CN" w:bidi="zh-CN"/>
      </w:rPr>
    </w:lvl>
    <w:lvl w:ilvl="7" w:tentative="0">
      <w:start w:val="0"/>
      <w:numFmt w:val="bullet"/>
      <w:lvlText w:val="•"/>
      <w:lvlJc w:val="left"/>
      <w:pPr>
        <w:ind w:left="7334" w:hanging="601"/>
      </w:pPr>
      <w:rPr>
        <w:rFonts w:hint="default"/>
        <w:lang w:val="zh-CN" w:eastAsia="zh-CN" w:bidi="zh-CN"/>
      </w:rPr>
    </w:lvl>
    <w:lvl w:ilvl="8" w:tentative="0">
      <w:start w:val="0"/>
      <w:numFmt w:val="bullet"/>
      <w:lvlText w:val="•"/>
      <w:lvlJc w:val="left"/>
      <w:pPr>
        <w:ind w:left="8344" w:hanging="601"/>
      </w:pPr>
      <w:rPr>
        <w:rFonts w:hint="default"/>
        <w:lang w:val="zh-CN" w:eastAsia="zh-CN" w:bidi="zh-CN"/>
      </w:rPr>
    </w:lvl>
  </w:abstractNum>
  <w:abstractNum w:abstractNumId="13">
    <w:nsid w:val="0053208E"/>
    <w:multiLevelType w:val="multilevel"/>
    <w:tmpl w:val="0053208E"/>
    <w:lvl w:ilvl="0" w:tentative="0">
      <w:start w:val="2"/>
      <w:numFmt w:val="decimal"/>
      <w:lvlText w:val="%1"/>
      <w:lvlJc w:val="left"/>
      <w:pPr>
        <w:ind w:left="1537" w:hanging="480"/>
        <w:jc w:val="left"/>
      </w:pPr>
      <w:rPr>
        <w:rFonts w:hint="default"/>
        <w:lang w:val="zh-CN" w:eastAsia="zh-CN" w:bidi="zh-CN"/>
      </w:rPr>
    </w:lvl>
    <w:lvl w:ilvl="1" w:tentative="0">
      <w:start w:val="2"/>
      <w:numFmt w:val="decimal"/>
      <w:lvlText w:val="%1.%2"/>
      <w:lvlJc w:val="left"/>
      <w:pPr>
        <w:ind w:left="1537" w:hanging="480"/>
        <w:jc w:val="left"/>
      </w:pPr>
      <w:rPr>
        <w:rFonts w:hint="default" w:ascii="仿宋" w:hAnsi="仿宋" w:eastAsia="仿宋" w:cs="仿宋"/>
        <w:w w:val="100"/>
        <w:sz w:val="24"/>
        <w:szCs w:val="24"/>
        <w:lang w:val="zh-CN" w:eastAsia="zh-CN" w:bidi="zh-CN"/>
      </w:rPr>
    </w:lvl>
    <w:lvl w:ilvl="2" w:tentative="0">
      <w:start w:val="0"/>
      <w:numFmt w:val="bullet"/>
      <w:lvlText w:val="•"/>
      <w:lvlJc w:val="left"/>
      <w:pPr>
        <w:ind w:left="3305" w:hanging="480"/>
      </w:pPr>
      <w:rPr>
        <w:rFonts w:hint="default"/>
        <w:lang w:val="zh-CN" w:eastAsia="zh-CN" w:bidi="zh-CN"/>
      </w:rPr>
    </w:lvl>
    <w:lvl w:ilvl="3" w:tentative="0">
      <w:start w:val="0"/>
      <w:numFmt w:val="bullet"/>
      <w:lvlText w:val="•"/>
      <w:lvlJc w:val="left"/>
      <w:pPr>
        <w:ind w:left="4187" w:hanging="480"/>
      </w:pPr>
      <w:rPr>
        <w:rFonts w:hint="default"/>
        <w:lang w:val="zh-CN" w:eastAsia="zh-CN" w:bidi="zh-CN"/>
      </w:rPr>
    </w:lvl>
    <w:lvl w:ilvl="4" w:tentative="0">
      <w:start w:val="0"/>
      <w:numFmt w:val="bullet"/>
      <w:lvlText w:val="•"/>
      <w:lvlJc w:val="left"/>
      <w:pPr>
        <w:ind w:left="5070" w:hanging="480"/>
      </w:pPr>
      <w:rPr>
        <w:rFonts w:hint="default"/>
        <w:lang w:val="zh-CN" w:eastAsia="zh-CN" w:bidi="zh-CN"/>
      </w:rPr>
    </w:lvl>
    <w:lvl w:ilvl="5" w:tentative="0">
      <w:start w:val="0"/>
      <w:numFmt w:val="bullet"/>
      <w:lvlText w:val="•"/>
      <w:lvlJc w:val="left"/>
      <w:pPr>
        <w:ind w:left="5953" w:hanging="480"/>
      </w:pPr>
      <w:rPr>
        <w:rFonts w:hint="default"/>
        <w:lang w:val="zh-CN" w:eastAsia="zh-CN" w:bidi="zh-CN"/>
      </w:rPr>
    </w:lvl>
    <w:lvl w:ilvl="6" w:tentative="0">
      <w:start w:val="0"/>
      <w:numFmt w:val="bullet"/>
      <w:lvlText w:val="•"/>
      <w:lvlJc w:val="left"/>
      <w:pPr>
        <w:ind w:left="6835" w:hanging="480"/>
      </w:pPr>
      <w:rPr>
        <w:rFonts w:hint="default"/>
        <w:lang w:val="zh-CN" w:eastAsia="zh-CN" w:bidi="zh-CN"/>
      </w:rPr>
    </w:lvl>
    <w:lvl w:ilvl="7" w:tentative="0">
      <w:start w:val="0"/>
      <w:numFmt w:val="bullet"/>
      <w:lvlText w:val="•"/>
      <w:lvlJc w:val="left"/>
      <w:pPr>
        <w:ind w:left="7718" w:hanging="480"/>
      </w:pPr>
      <w:rPr>
        <w:rFonts w:hint="default"/>
        <w:lang w:val="zh-CN" w:eastAsia="zh-CN" w:bidi="zh-CN"/>
      </w:rPr>
    </w:lvl>
    <w:lvl w:ilvl="8" w:tentative="0">
      <w:start w:val="0"/>
      <w:numFmt w:val="bullet"/>
      <w:lvlText w:val="•"/>
      <w:lvlJc w:val="left"/>
      <w:pPr>
        <w:ind w:left="8600" w:hanging="480"/>
      </w:pPr>
      <w:rPr>
        <w:rFonts w:hint="default"/>
        <w:lang w:val="zh-CN" w:eastAsia="zh-CN" w:bidi="zh-CN"/>
      </w:rPr>
    </w:lvl>
  </w:abstractNum>
  <w:abstractNum w:abstractNumId="14">
    <w:nsid w:val="0248C179"/>
    <w:multiLevelType w:val="multilevel"/>
    <w:tmpl w:val="0248C179"/>
    <w:lvl w:ilvl="0" w:tentative="0">
      <w:start w:val="13"/>
      <w:numFmt w:val="decimal"/>
      <w:lvlText w:val="%1."/>
      <w:lvlJc w:val="left"/>
      <w:pPr>
        <w:ind w:left="1421" w:hanging="364"/>
        <w:jc w:val="left"/>
      </w:pPr>
      <w:rPr>
        <w:rFonts w:hint="default"/>
        <w:b/>
        <w:bCs/>
        <w:spacing w:val="0"/>
        <w:w w:val="99"/>
        <w:lang w:val="zh-CN" w:eastAsia="zh-CN" w:bidi="zh-CN"/>
      </w:rPr>
    </w:lvl>
    <w:lvl w:ilvl="1" w:tentative="0">
      <w:start w:val="1"/>
      <w:numFmt w:val="decimal"/>
      <w:lvlText w:val="%1.%2"/>
      <w:lvlJc w:val="left"/>
      <w:pPr>
        <w:ind w:left="2000" w:hanging="900"/>
        <w:jc w:val="left"/>
      </w:pPr>
      <w:rPr>
        <w:rFonts w:hint="default" w:ascii="仿宋" w:hAnsi="仿宋" w:eastAsia="仿宋" w:cs="仿宋"/>
        <w:w w:val="99"/>
        <w:sz w:val="24"/>
        <w:szCs w:val="24"/>
        <w:lang w:val="zh-CN" w:eastAsia="zh-CN" w:bidi="zh-CN"/>
      </w:rPr>
    </w:lvl>
    <w:lvl w:ilvl="2" w:tentative="0">
      <w:start w:val="1"/>
      <w:numFmt w:val="decimal"/>
      <w:lvlText w:val="（%3）"/>
      <w:lvlJc w:val="left"/>
      <w:pPr>
        <w:ind w:left="2498" w:hanging="604"/>
        <w:jc w:val="left"/>
      </w:pPr>
      <w:rPr>
        <w:rFonts w:hint="default"/>
        <w:w w:val="100"/>
        <w:lang w:val="zh-CN" w:eastAsia="zh-CN" w:bidi="zh-CN"/>
      </w:rPr>
    </w:lvl>
    <w:lvl w:ilvl="3" w:tentative="0">
      <w:start w:val="0"/>
      <w:numFmt w:val="bullet"/>
      <w:lvlText w:val="•"/>
      <w:lvlJc w:val="left"/>
      <w:pPr>
        <w:ind w:left="2500" w:hanging="604"/>
      </w:pPr>
      <w:rPr>
        <w:rFonts w:hint="default"/>
        <w:lang w:val="zh-CN" w:eastAsia="zh-CN" w:bidi="zh-CN"/>
      </w:rPr>
    </w:lvl>
    <w:lvl w:ilvl="4" w:tentative="0">
      <w:start w:val="0"/>
      <w:numFmt w:val="bullet"/>
      <w:lvlText w:val="•"/>
      <w:lvlJc w:val="left"/>
      <w:pPr>
        <w:ind w:left="3623" w:hanging="604"/>
      </w:pPr>
      <w:rPr>
        <w:rFonts w:hint="default"/>
        <w:lang w:val="zh-CN" w:eastAsia="zh-CN" w:bidi="zh-CN"/>
      </w:rPr>
    </w:lvl>
    <w:lvl w:ilvl="5" w:tentative="0">
      <w:start w:val="0"/>
      <w:numFmt w:val="bullet"/>
      <w:lvlText w:val="•"/>
      <w:lvlJc w:val="left"/>
      <w:pPr>
        <w:ind w:left="4747" w:hanging="604"/>
      </w:pPr>
      <w:rPr>
        <w:rFonts w:hint="default"/>
        <w:lang w:val="zh-CN" w:eastAsia="zh-CN" w:bidi="zh-CN"/>
      </w:rPr>
    </w:lvl>
    <w:lvl w:ilvl="6" w:tentative="0">
      <w:start w:val="0"/>
      <w:numFmt w:val="bullet"/>
      <w:lvlText w:val="•"/>
      <w:lvlJc w:val="left"/>
      <w:pPr>
        <w:ind w:left="5871" w:hanging="604"/>
      </w:pPr>
      <w:rPr>
        <w:rFonts w:hint="default"/>
        <w:lang w:val="zh-CN" w:eastAsia="zh-CN" w:bidi="zh-CN"/>
      </w:rPr>
    </w:lvl>
    <w:lvl w:ilvl="7" w:tentative="0">
      <w:start w:val="0"/>
      <w:numFmt w:val="bullet"/>
      <w:lvlText w:val="•"/>
      <w:lvlJc w:val="left"/>
      <w:pPr>
        <w:ind w:left="6994" w:hanging="604"/>
      </w:pPr>
      <w:rPr>
        <w:rFonts w:hint="default"/>
        <w:lang w:val="zh-CN" w:eastAsia="zh-CN" w:bidi="zh-CN"/>
      </w:rPr>
    </w:lvl>
    <w:lvl w:ilvl="8" w:tentative="0">
      <w:start w:val="0"/>
      <w:numFmt w:val="bullet"/>
      <w:lvlText w:val="•"/>
      <w:lvlJc w:val="left"/>
      <w:pPr>
        <w:ind w:left="8118" w:hanging="604"/>
      </w:pPr>
      <w:rPr>
        <w:rFonts w:hint="default"/>
        <w:lang w:val="zh-CN" w:eastAsia="zh-CN" w:bidi="zh-CN"/>
      </w:rPr>
    </w:lvl>
  </w:abstractNum>
  <w:abstractNum w:abstractNumId="15">
    <w:nsid w:val="03D62ECE"/>
    <w:multiLevelType w:val="multilevel"/>
    <w:tmpl w:val="03D62ECE"/>
    <w:lvl w:ilvl="0" w:tentative="0">
      <w:start w:val="12"/>
      <w:numFmt w:val="decimal"/>
      <w:lvlText w:val="%1"/>
      <w:lvlJc w:val="left"/>
      <w:pPr>
        <w:ind w:left="1957" w:hanging="900"/>
        <w:jc w:val="left"/>
      </w:pPr>
      <w:rPr>
        <w:rFonts w:hint="default"/>
        <w:lang w:val="zh-CN" w:eastAsia="zh-CN" w:bidi="zh-CN"/>
      </w:rPr>
    </w:lvl>
    <w:lvl w:ilvl="1" w:tentative="0">
      <w:start w:val="1"/>
      <w:numFmt w:val="decimal"/>
      <w:lvlText w:val="%1.%2"/>
      <w:lvlJc w:val="left"/>
      <w:pPr>
        <w:ind w:left="1957" w:hanging="900"/>
        <w:jc w:val="left"/>
      </w:pPr>
      <w:rPr>
        <w:rFonts w:hint="default" w:ascii="仿宋" w:hAnsi="仿宋" w:eastAsia="仿宋" w:cs="仿宋"/>
        <w:w w:val="100"/>
        <w:sz w:val="24"/>
        <w:szCs w:val="24"/>
        <w:lang w:val="zh-CN" w:eastAsia="zh-CN" w:bidi="zh-CN"/>
      </w:rPr>
    </w:lvl>
    <w:lvl w:ilvl="2" w:tentative="0">
      <w:start w:val="1"/>
      <w:numFmt w:val="decimal"/>
      <w:lvlText w:val="（%3）"/>
      <w:lvlJc w:val="left"/>
      <w:pPr>
        <w:ind w:left="2436" w:hanging="601"/>
        <w:jc w:val="left"/>
      </w:pPr>
      <w:rPr>
        <w:rFonts w:hint="default" w:ascii="仿宋" w:hAnsi="仿宋" w:eastAsia="仿宋" w:cs="仿宋"/>
        <w:w w:val="100"/>
        <w:sz w:val="22"/>
        <w:szCs w:val="22"/>
        <w:lang w:val="zh-CN" w:eastAsia="zh-CN" w:bidi="zh-CN"/>
      </w:rPr>
    </w:lvl>
    <w:lvl w:ilvl="3" w:tentative="0">
      <w:start w:val="0"/>
      <w:numFmt w:val="bullet"/>
      <w:lvlText w:val="•"/>
      <w:lvlJc w:val="left"/>
      <w:pPr>
        <w:ind w:left="4201" w:hanging="601"/>
      </w:pPr>
      <w:rPr>
        <w:rFonts w:hint="default"/>
        <w:lang w:val="zh-CN" w:eastAsia="zh-CN" w:bidi="zh-CN"/>
      </w:rPr>
    </w:lvl>
    <w:lvl w:ilvl="4" w:tentative="0">
      <w:start w:val="0"/>
      <w:numFmt w:val="bullet"/>
      <w:lvlText w:val="•"/>
      <w:lvlJc w:val="left"/>
      <w:pPr>
        <w:ind w:left="5082" w:hanging="601"/>
      </w:pPr>
      <w:rPr>
        <w:rFonts w:hint="default"/>
        <w:lang w:val="zh-CN" w:eastAsia="zh-CN" w:bidi="zh-CN"/>
      </w:rPr>
    </w:lvl>
    <w:lvl w:ilvl="5" w:tentative="0">
      <w:start w:val="0"/>
      <w:numFmt w:val="bullet"/>
      <w:lvlText w:val="•"/>
      <w:lvlJc w:val="left"/>
      <w:pPr>
        <w:ind w:left="5962" w:hanging="601"/>
      </w:pPr>
      <w:rPr>
        <w:rFonts w:hint="default"/>
        <w:lang w:val="zh-CN" w:eastAsia="zh-CN" w:bidi="zh-CN"/>
      </w:rPr>
    </w:lvl>
    <w:lvl w:ilvl="6" w:tentative="0">
      <w:start w:val="0"/>
      <w:numFmt w:val="bullet"/>
      <w:lvlText w:val="•"/>
      <w:lvlJc w:val="left"/>
      <w:pPr>
        <w:ind w:left="6843" w:hanging="601"/>
      </w:pPr>
      <w:rPr>
        <w:rFonts w:hint="default"/>
        <w:lang w:val="zh-CN" w:eastAsia="zh-CN" w:bidi="zh-CN"/>
      </w:rPr>
    </w:lvl>
    <w:lvl w:ilvl="7" w:tentative="0">
      <w:start w:val="0"/>
      <w:numFmt w:val="bullet"/>
      <w:lvlText w:val="•"/>
      <w:lvlJc w:val="left"/>
      <w:pPr>
        <w:ind w:left="7724" w:hanging="601"/>
      </w:pPr>
      <w:rPr>
        <w:rFonts w:hint="default"/>
        <w:lang w:val="zh-CN" w:eastAsia="zh-CN" w:bidi="zh-CN"/>
      </w:rPr>
    </w:lvl>
    <w:lvl w:ilvl="8" w:tentative="0">
      <w:start w:val="0"/>
      <w:numFmt w:val="bullet"/>
      <w:lvlText w:val="•"/>
      <w:lvlJc w:val="left"/>
      <w:pPr>
        <w:ind w:left="8604" w:hanging="601"/>
      </w:pPr>
      <w:rPr>
        <w:rFonts w:hint="default"/>
        <w:lang w:val="zh-CN" w:eastAsia="zh-CN" w:bidi="zh-CN"/>
      </w:rPr>
    </w:lvl>
  </w:abstractNum>
  <w:abstractNum w:abstractNumId="16">
    <w:nsid w:val="0709FD3E"/>
    <w:multiLevelType w:val="multilevel"/>
    <w:tmpl w:val="0709FD3E"/>
    <w:lvl w:ilvl="0" w:tentative="0">
      <w:start w:val="2"/>
      <w:numFmt w:val="decimal"/>
      <w:lvlText w:val="%1"/>
      <w:lvlJc w:val="left"/>
      <w:pPr>
        <w:ind w:left="1736" w:hanging="483"/>
        <w:jc w:val="left"/>
      </w:pPr>
      <w:rPr>
        <w:rFonts w:hint="default"/>
        <w:lang w:val="zh-CN" w:eastAsia="zh-CN" w:bidi="zh-CN"/>
      </w:rPr>
    </w:lvl>
    <w:lvl w:ilvl="1" w:tentative="0">
      <w:start w:val="1"/>
      <w:numFmt w:val="decimal"/>
      <w:lvlText w:val="%1.%2"/>
      <w:lvlJc w:val="left"/>
      <w:pPr>
        <w:ind w:left="1736" w:hanging="483"/>
        <w:jc w:val="left"/>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774" w:hanging="651"/>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2100" w:hanging="651"/>
      </w:pPr>
      <w:rPr>
        <w:rFonts w:hint="default"/>
        <w:lang w:val="zh-CN" w:eastAsia="zh-CN" w:bidi="zh-CN"/>
      </w:rPr>
    </w:lvl>
    <w:lvl w:ilvl="4" w:tentative="0">
      <w:start w:val="0"/>
      <w:numFmt w:val="bullet"/>
      <w:lvlText w:val="•"/>
      <w:lvlJc w:val="left"/>
      <w:pPr>
        <w:ind w:left="3206" w:hanging="651"/>
      </w:pPr>
      <w:rPr>
        <w:rFonts w:hint="default"/>
        <w:lang w:val="zh-CN" w:eastAsia="zh-CN" w:bidi="zh-CN"/>
      </w:rPr>
    </w:lvl>
    <w:lvl w:ilvl="5" w:tentative="0">
      <w:start w:val="0"/>
      <w:numFmt w:val="bullet"/>
      <w:lvlText w:val="•"/>
      <w:lvlJc w:val="left"/>
      <w:pPr>
        <w:ind w:left="4313" w:hanging="651"/>
      </w:pPr>
      <w:rPr>
        <w:rFonts w:hint="default"/>
        <w:lang w:val="zh-CN" w:eastAsia="zh-CN" w:bidi="zh-CN"/>
      </w:rPr>
    </w:lvl>
    <w:lvl w:ilvl="6" w:tentative="0">
      <w:start w:val="0"/>
      <w:numFmt w:val="bullet"/>
      <w:lvlText w:val="•"/>
      <w:lvlJc w:val="left"/>
      <w:pPr>
        <w:ind w:left="5420" w:hanging="651"/>
      </w:pPr>
      <w:rPr>
        <w:rFonts w:hint="default"/>
        <w:lang w:val="zh-CN" w:eastAsia="zh-CN" w:bidi="zh-CN"/>
      </w:rPr>
    </w:lvl>
    <w:lvl w:ilvl="7" w:tentative="0">
      <w:start w:val="0"/>
      <w:numFmt w:val="bullet"/>
      <w:lvlText w:val="•"/>
      <w:lvlJc w:val="left"/>
      <w:pPr>
        <w:ind w:left="6526" w:hanging="651"/>
      </w:pPr>
      <w:rPr>
        <w:rFonts w:hint="default"/>
        <w:lang w:val="zh-CN" w:eastAsia="zh-CN" w:bidi="zh-CN"/>
      </w:rPr>
    </w:lvl>
    <w:lvl w:ilvl="8" w:tentative="0">
      <w:start w:val="0"/>
      <w:numFmt w:val="bullet"/>
      <w:lvlText w:val="•"/>
      <w:lvlJc w:val="left"/>
      <w:pPr>
        <w:ind w:left="7633" w:hanging="651"/>
      </w:pPr>
      <w:rPr>
        <w:rFonts w:hint="default"/>
        <w:lang w:val="zh-CN" w:eastAsia="zh-CN" w:bidi="zh-CN"/>
      </w:rPr>
    </w:lvl>
  </w:abstractNum>
  <w:abstractNum w:abstractNumId="17">
    <w:nsid w:val="0E640482"/>
    <w:multiLevelType w:val="multilevel"/>
    <w:tmpl w:val="0E640482"/>
    <w:lvl w:ilvl="0" w:tentative="0">
      <w:start w:val="1"/>
      <w:numFmt w:val="decimal"/>
      <w:lvlText w:val="%1."/>
      <w:lvlJc w:val="left"/>
      <w:pPr>
        <w:ind w:left="1057" w:hanging="361"/>
        <w:jc w:val="left"/>
      </w:pPr>
      <w:rPr>
        <w:rFonts w:hint="default" w:ascii="仿宋" w:hAnsi="仿宋" w:eastAsia="仿宋" w:cs="仿宋"/>
        <w:spacing w:val="-46"/>
        <w:w w:val="100"/>
        <w:sz w:val="22"/>
        <w:szCs w:val="22"/>
        <w:lang w:val="zh-CN" w:eastAsia="zh-CN" w:bidi="zh-CN"/>
      </w:rPr>
    </w:lvl>
    <w:lvl w:ilvl="1" w:tentative="0">
      <w:start w:val="0"/>
      <w:numFmt w:val="bullet"/>
      <w:lvlText w:val="•"/>
      <w:lvlJc w:val="left"/>
      <w:pPr>
        <w:ind w:left="1990" w:hanging="361"/>
      </w:pPr>
      <w:rPr>
        <w:rFonts w:hint="default"/>
        <w:lang w:val="zh-CN" w:eastAsia="zh-CN" w:bidi="zh-CN"/>
      </w:rPr>
    </w:lvl>
    <w:lvl w:ilvl="2" w:tentative="0">
      <w:start w:val="0"/>
      <w:numFmt w:val="bullet"/>
      <w:lvlText w:val="•"/>
      <w:lvlJc w:val="left"/>
      <w:pPr>
        <w:ind w:left="2921" w:hanging="361"/>
      </w:pPr>
      <w:rPr>
        <w:rFonts w:hint="default"/>
        <w:lang w:val="zh-CN" w:eastAsia="zh-CN" w:bidi="zh-CN"/>
      </w:rPr>
    </w:lvl>
    <w:lvl w:ilvl="3" w:tentative="0">
      <w:start w:val="0"/>
      <w:numFmt w:val="bullet"/>
      <w:lvlText w:val="•"/>
      <w:lvlJc w:val="left"/>
      <w:pPr>
        <w:ind w:left="3851" w:hanging="361"/>
      </w:pPr>
      <w:rPr>
        <w:rFonts w:hint="default"/>
        <w:lang w:val="zh-CN" w:eastAsia="zh-CN" w:bidi="zh-CN"/>
      </w:rPr>
    </w:lvl>
    <w:lvl w:ilvl="4" w:tentative="0">
      <w:start w:val="0"/>
      <w:numFmt w:val="bullet"/>
      <w:lvlText w:val="•"/>
      <w:lvlJc w:val="left"/>
      <w:pPr>
        <w:ind w:left="4782" w:hanging="361"/>
      </w:pPr>
      <w:rPr>
        <w:rFonts w:hint="default"/>
        <w:lang w:val="zh-CN" w:eastAsia="zh-CN" w:bidi="zh-CN"/>
      </w:rPr>
    </w:lvl>
    <w:lvl w:ilvl="5" w:tentative="0">
      <w:start w:val="0"/>
      <w:numFmt w:val="bullet"/>
      <w:lvlText w:val="•"/>
      <w:lvlJc w:val="left"/>
      <w:pPr>
        <w:ind w:left="5713" w:hanging="361"/>
      </w:pPr>
      <w:rPr>
        <w:rFonts w:hint="default"/>
        <w:lang w:val="zh-CN" w:eastAsia="zh-CN" w:bidi="zh-CN"/>
      </w:rPr>
    </w:lvl>
    <w:lvl w:ilvl="6" w:tentative="0">
      <w:start w:val="0"/>
      <w:numFmt w:val="bullet"/>
      <w:lvlText w:val="•"/>
      <w:lvlJc w:val="left"/>
      <w:pPr>
        <w:ind w:left="6643" w:hanging="361"/>
      </w:pPr>
      <w:rPr>
        <w:rFonts w:hint="default"/>
        <w:lang w:val="zh-CN" w:eastAsia="zh-CN" w:bidi="zh-CN"/>
      </w:rPr>
    </w:lvl>
    <w:lvl w:ilvl="7" w:tentative="0">
      <w:start w:val="0"/>
      <w:numFmt w:val="bullet"/>
      <w:lvlText w:val="•"/>
      <w:lvlJc w:val="left"/>
      <w:pPr>
        <w:ind w:left="7574" w:hanging="361"/>
      </w:pPr>
      <w:rPr>
        <w:rFonts w:hint="default"/>
        <w:lang w:val="zh-CN" w:eastAsia="zh-CN" w:bidi="zh-CN"/>
      </w:rPr>
    </w:lvl>
    <w:lvl w:ilvl="8" w:tentative="0">
      <w:start w:val="0"/>
      <w:numFmt w:val="bullet"/>
      <w:lvlText w:val="•"/>
      <w:lvlJc w:val="left"/>
      <w:pPr>
        <w:ind w:left="8504" w:hanging="361"/>
      </w:pPr>
      <w:rPr>
        <w:rFonts w:hint="default"/>
        <w:lang w:val="zh-CN" w:eastAsia="zh-CN" w:bidi="zh-CN"/>
      </w:rPr>
    </w:lvl>
  </w:abstractNum>
  <w:abstractNum w:abstractNumId="18">
    <w:nsid w:val="243FCF68"/>
    <w:multiLevelType w:val="multilevel"/>
    <w:tmpl w:val="243FCF68"/>
    <w:lvl w:ilvl="0" w:tentative="0">
      <w:start w:val="1"/>
      <w:numFmt w:val="decimal"/>
      <w:lvlText w:val="%1."/>
      <w:lvlJc w:val="left"/>
      <w:pPr>
        <w:ind w:left="1057" w:hanging="314"/>
        <w:jc w:val="left"/>
      </w:pPr>
      <w:rPr>
        <w:rFonts w:hint="default" w:ascii="仿宋" w:hAnsi="仿宋" w:eastAsia="仿宋" w:cs="仿宋"/>
        <w:spacing w:val="-51"/>
        <w:w w:val="99"/>
        <w:sz w:val="19"/>
        <w:szCs w:val="19"/>
        <w:lang w:val="zh-CN" w:eastAsia="zh-CN" w:bidi="zh-CN"/>
      </w:rPr>
    </w:lvl>
    <w:lvl w:ilvl="1" w:tentative="0">
      <w:start w:val="0"/>
      <w:numFmt w:val="bullet"/>
      <w:lvlText w:val="•"/>
      <w:lvlJc w:val="left"/>
      <w:pPr>
        <w:ind w:left="1990" w:hanging="314"/>
      </w:pPr>
      <w:rPr>
        <w:rFonts w:hint="default"/>
        <w:lang w:val="zh-CN" w:eastAsia="zh-CN" w:bidi="zh-CN"/>
      </w:rPr>
    </w:lvl>
    <w:lvl w:ilvl="2" w:tentative="0">
      <w:start w:val="0"/>
      <w:numFmt w:val="bullet"/>
      <w:lvlText w:val="•"/>
      <w:lvlJc w:val="left"/>
      <w:pPr>
        <w:ind w:left="2921" w:hanging="314"/>
      </w:pPr>
      <w:rPr>
        <w:rFonts w:hint="default"/>
        <w:lang w:val="zh-CN" w:eastAsia="zh-CN" w:bidi="zh-CN"/>
      </w:rPr>
    </w:lvl>
    <w:lvl w:ilvl="3" w:tentative="0">
      <w:start w:val="0"/>
      <w:numFmt w:val="bullet"/>
      <w:lvlText w:val="•"/>
      <w:lvlJc w:val="left"/>
      <w:pPr>
        <w:ind w:left="3851" w:hanging="314"/>
      </w:pPr>
      <w:rPr>
        <w:rFonts w:hint="default"/>
        <w:lang w:val="zh-CN" w:eastAsia="zh-CN" w:bidi="zh-CN"/>
      </w:rPr>
    </w:lvl>
    <w:lvl w:ilvl="4" w:tentative="0">
      <w:start w:val="0"/>
      <w:numFmt w:val="bullet"/>
      <w:lvlText w:val="•"/>
      <w:lvlJc w:val="left"/>
      <w:pPr>
        <w:ind w:left="4782" w:hanging="314"/>
      </w:pPr>
      <w:rPr>
        <w:rFonts w:hint="default"/>
        <w:lang w:val="zh-CN" w:eastAsia="zh-CN" w:bidi="zh-CN"/>
      </w:rPr>
    </w:lvl>
    <w:lvl w:ilvl="5" w:tentative="0">
      <w:start w:val="0"/>
      <w:numFmt w:val="bullet"/>
      <w:lvlText w:val="•"/>
      <w:lvlJc w:val="left"/>
      <w:pPr>
        <w:ind w:left="5713" w:hanging="314"/>
      </w:pPr>
      <w:rPr>
        <w:rFonts w:hint="default"/>
        <w:lang w:val="zh-CN" w:eastAsia="zh-CN" w:bidi="zh-CN"/>
      </w:rPr>
    </w:lvl>
    <w:lvl w:ilvl="6" w:tentative="0">
      <w:start w:val="0"/>
      <w:numFmt w:val="bullet"/>
      <w:lvlText w:val="•"/>
      <w:lvlJc w:val="left"/>
      <w:pPr>
        <w:ind w:left="6643" w:hanging="314"/>
      </w:pPr>
      <w:rPr>
        <w:rFonts w:hint="default"/>
        <w:lang w:val="zh-CN" w:eastAsia="zh-CN" w:bidi="zh-CN"/>
      </w:rPr>
    </w:lvl>
    <w:lvl w:ilvl="7" w:tentative="0">
      <w:start w:val="0"/>
      <w:numFmt w:val="bullet"/>
      <w:lvlText w:val="•"/>
      <w:lvlJc w:val="left"/>
      <w:pPr>
        <w:ind w:left="7574" w:hanging="314"/>
      </w:pPr>
      <w:rPr>
        <w:rFonts w:hint="default"/>
        <w:lang w:val="zh-CN" w:eastAsia="zh-CN" w:bidi="zh-CN"/>
      </w:rPr>
    </w:lvl>
    <w:lvl w:ilvl="8" w:tentative="0">
      <w:start w:val="0"/>
      <w:numFmt w:val="bullet"/>
      <w:lvlText w:val="•"/>
      <w:lvlJc w:val="left"/>
      <w:pPr>
        <w:ind w:left="8504" w:hanging="314"/>
      </w:pPr>
      <w:rPr>
        <w:rFonts w:hint="default"/>
        <w:lang w:val="zh-CN" w:eastAsia="zh-CN" w:bidi="zh-CN"/>
      </w:rPr>
    </w:lvl>
  </w:abstractNum>
  <w:abstractNum w:abstractNumId="19">
    <w:nsid w:val="2470EC97"/>
    <w:multiLevelType w:val="multilevel"/>
    <w:tmpl w:val="2470EC97"/>
    <w:lvl w:ilvl="0" w:tentative="0">
      <w:start w:val="25"/>
      <w:numFmt w:val="decimal"/>
      <w:lvlText w:val="%1"/>
      <w:lvlJc w:val="left"/>
      <w:pPr>
        <w:ind w:left="1957" w:hanging="900"/>
        <w:jc w:val="left"/>
      </w:pPr>
      <w:rPr>
        <w:rFonts w:hint="default"/>
        <w:lang w:val="zh-CN" w:eastAsia="zh-CN" w:bidi="zh-CN"/>
      </w:rPr>
    </w:lvl>
    <w:lvl w:ilvl="1" w:tentative="0">
      <w:start w:val="1"/>
      <w:numFmt w:val="decimal"/>
      <w:lvlText w:val="%1.%2"/>
      <w:lvlJc w:val="left"/>
      <w:pPr>
        <w:ind w:left="1957" w:hanging="900"/>
        <w:jc w:val="left"/>
      </w:pPr>
      <w:rPr>
        <w:rFonts w:hint="default" w:ascii="仿宋" w:hAnsi="仿宋" w:eastAsia="仿宋" w:cs="仿宋"/>
        <w:w w:val="100"/>
        <w:sz w:val="24"/>
        <w:szCs w:val="24"/>
        <w:lang w:val="zh-CN" w:eastAsia="zh-CN" w:bidi="zh-CN"/>
      </w:rPr>
    </w:lvl>
    <w:lvl w:ilvl="2" w:tentative="0">
      <w:start w:val="0"/>
      <w:numFmt w:val="bullet"/>
      <w:lvlText w:val="•"/>
      <w:lvlJc w:val="left"/>
      <w:pPr>
        <w:ind w:left="3641" w:hanging="900"/>
      </w:pPr>
      <w:rPr>
        <w:rFonts w:hint="default"/>
        <w:lang w:val="zh-CN" w:eastAsia="zh-CN" w:bidi="zh-CN"/>
      </w:rPr>
    </w:lvl>
    <w:lvl w:ilvl="3" w:tentative="0">
      <w:start w:val="0"/>
      <w:numFmt w:val="bullet"/>
      <w:lvlText w:val="•"/>
      <w:lvlJc w:val="left"/>
      <w:pPr>
        <w:ind w:left="4481" w:hanging="900"/>
      </w:pPr>
      <w:rPr>
        <w:rFonts w:hint="default"/>
        <w:lang w:val="zh-CN" w:eastAsia="zh-CN" w:bidi="zh-CN"/>
      </w:rPr>
    </w:lvl>
    <w:lvl w:ilvl="4" w:tentative="0">
      <w:start w:val="0"/>
      <w:numFmt w:val="bullet"/>
      <w:lvlText w:val="•"/>
      <w:lvlJc w:val="left"/>
      <w:pPr>
        <w:ind w:left="5322" w:hanging="900"/>
      </w:pPr>
      <w:rPr>
        <w:rFonts w:hint="default"/>
        <w:lang w:val="zh-CN" w:eastAsia="zh-CN" w:bidi="zh-CN"/>
      </w:rPr>
    </w:lvl>
    <w:lvl w:ilvl="5" w:tentative="0">
      <w:start w:val="0"/>
      <w:numFmt w:val="bullet"/>
      <w:lvlText w:val="•"/>
      <w:lvlJc w:val="left"/>
      <w:pPr>
        <w:ind w:left="6163" w:hanging="900"/>
      </w:pPr>
      <w:rPr>
        <w:rFonts w:hint="default"/>
        <w:lang w:val="zh-CN" w:eastAsia="zh-CN" w:bidi="zh-CN"/>
      </w:rPr>
    </w:lvl>
    <w:lvl w:ilvl="6" w:tentative="0">
      <w:start w:val="0"/>
      <w:numFmt w:val="bullet"/>
      <w:lvlText w:val="•"/>
      <w:lvlJc w:val="left"/>
      <w:pPr>
        <w:ind w:left="7003" w:hanging="900"/>
      </w:pPr>
      <w:rPr>
        <w:rFonts w:hint="default"/>
        <w:lang w:val="zh-CN" w:eastAsia="zh-CN" w:bidi="zh-CN"/>
      </w:rPr>
    </w:lvl>
    <w:lvl w:ilvl="7" w:tentative="0">
      <w:start w:val="0"/>
      <w:numFmt w:val="bullet"/>
      <w:lvlText w:val="•"/>
      <w:lvlJc w:val="left"/>
      <w:pPr>
        <w:ind w:left="7844" w:hanging="900"/>
      </w:pPr>
      <w:rPr>
        <w:rFonts w:hint="default"/>
        <w:lang w:val="zh-CN" w:eastAsia="zh-CN" w:bidi="zh-CN"/>
      </w:rPr>
    </w:lvl>
    <w:lvl w:ilvl="8" w:tentative="0">
      <w:start w:val="0"/>
      <w:numFmt w:val="bullet"/>
      <w:lvlText w:val="•"/>
      <w:lvlJc w:val="left"/>
      <w:pPr>
        <w:ind w:left="8684" w:hanging="900"/>
      </w:pPr>
      <w:rPr>
        <w:rFonts w:hint="default"/>
        <w:lang w:val="zh-CN" w:eastAsia="zh-CN" w:bidi="zh-CN"/>
      </w:rPr>
    </w:lvl>
  </w:abstractNum>
  <w:abstractNum w:abstractNumId="20">
    <w:nsid w:val="25B654F3"/>
    <w:multiLevelType w:val="multilevel"/>
    <w:tmpl w:val="25B654F3"/>
    <w:lvl w:ilvl="0" w:tentative="0">
      <w:start w:val="12"/>
      <w:numFmt w:val="decimal"/>
      <w:lvlText w:val="%1"/>
      <w:lvlJc w:val="left"/>
      <w:pPr>
        <w:ind w:left="2017" w:hanging="960"/>
        <w:jc w:val="left"/>
      </w:pPr>
      <w:rPr>
        <w:rFonts w:hint="default"/>
        <w:lang w:val="zh-CN" w:eastAsia="zh-CN" w:bidi="zh-CN"/>
      </w:rPr>
    </w:lvl>
    <w:lvl w:ilvl="1" w:tentative="0">
      <w:start w:val="4"/>
      <w:numFmt w:val="decimal"/>
      <w:lvlText w:val="%1.%2"/>
      <w:lvlJc w:val="left"/>
      <w:pPr>
        <w:ind w:left="2017" w:hanging="960"/>
        <w:jc w:val="left"/>
      </w:pPr>
      <w:rPr>
        <w:rFonts w:hint="default"/>
        <w:lang w:val="zh-CN" w:eastAsia="zh-CN" w:bidi="zh-CN"/>
      </w:rPr>
    </w:lvl>
    <w:lvl w:ilvl="2" w:tentative="0">
      <w:start w:val="1"/>
      <w:numFmt w:val="decimal"/>
      <w:lvlText w:val="%1.%2.%3"/>
      <w:lvlJc w:val="left"/>
      <w:pPr>
        <w:ind w:left="2017" w:hanging="96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4523" w:hanging="960"/>
      </w:pPr>
      <w:rPr>
        <w:rFonts w:hint="default"/>
        <w:lang w:val="zh-CN" w:eastAsia="zh-CN" w:bidi="zh-CN"/>
      </w:rPr>
    </w:lvl>
    <w:lvl w:ilvl="4" w:tentative="0">
      <w:start w:val="0"/>
      <w:numFmt w:val="bullet"/>
      <w:lvlText w:val="•"/>
      <w:lvlJc w:val="left"/>
      <w:pPr>
        <w:ind w:left="5358" w:hanging="960"/>
      </w:pPr>
      <w:rPr>
        <w:rFonts w:hint="default"/>
        <w:lang w:val="zh-CN" w:eastAsia="zh-CN" w:bidi="zh-CN"/>
      </w:rPr>
    </w:lvl>
    <w:lvl w:ilvl="5" w:tentative="0">
      <w:start w:val="0"/>
      <w:numFmt w:val="bullet"/>
      <w:lvlText w:val="•"/>
      <w:lvlJc w:val="left"/>
      <w:pPr>
        <w:ind w:left="6193" w:hanging="960"/>
      </w:pPr>
      <w:rPr>
        <w:rFonts w:hint="default"/>
        <w:lang w:val="zh-CN" w:eastAsia="zh-CN" w:bidi="zh-CN"/>
      </w:rPr>
    </w:lvl>
    <w:lvl w:ilvl="6" w:tentative="0">
      <w:start w:val="0"/>
      <w:numFmt w:val="bullet"/>
      <w:lvlText w:val="•"/>
      <w:lvlJc w:val="left"/>
      <w:pPr>
        <w:ind w:left="7027" w:hanging="960"/>
      </w:pPr>
      <w:rPr>
        <w:rFonts w:hint="default"/>
        <w:lang w:val="zh-CN" w:eastAsia="zh-CN" w:bidi="zh-CN"/>
      </w:rPr>
    </w:lvl>
    <w:lvl w:ilvl="7" w:tentative="0">
      <w:start w:val="0"/>
      <w:numFmt w:val="bullet"/>
      <w:lvlText w:val="•"/>
      <w:lvlJc w:val="left"/>
      <w:pPr>
        <w:ind w:left="7862" w:hanging="960"/>
      </w:pPr>
      <w:rPr>
        <w:rFonts w:hint="default"/>
        <w:lang w:val="zh-CN" w:eastAsia="zh-CN" w:bidi="zh-CN"/>
      </w:rPr>
    </w:lvl>
    <w:lvl w:ilvl="8" w:tentative="0">
      <w:start w:val="0"/>
      <w:numFmt w:val="bullet"/>
      <w:lvlText w:val="•"/>
      <w:lvlJc w:val="left"/>
      <w:pPr>
        <w:ind w:left="8696" w:hanging="960"/>
      </w:pPr>
      <w:rPr>
        <w:rFonts w:hint="default"/>
        <w:lang w:val="zh-CN" w:eastAsia="zh-CN" w:bidi="zh-CN"/>
      </w:rPr>
    </w:lvl>
  </w:abstractNum>
  <w:abstractNum w:abstractNumId="21">
    <w:nsid w:val="2A8F537B"/>
    <w:multiLevelType w:val="multilevel"/>
    <w:tmpl w:val="2A8F537B"/>
    <w:lvl w:ilvl="0" w:tentative="0">
      <w:start w:val="19"/>
      <w:numFmt w:val="decimal"/>
      <w:lvlText w:val="%1"/>
      <w:lvlJc w:val="left"/>
      <w:pPr>
        <w:ind w:left="1914" w:hanging="843"/>
        <w:jc w:val="left"/>
      </w:pPr>
      <w:rPr>
        <w:rFonts w:hint="default"/>
        <w:lang w:val="zh-CN" w:eastAsia="zh-CN" w:bidi="zh-CN"/>
      </w:rPr>
    </w:lvl>
    <w:lvl w:ilvl="1" w:tentative="0">
      <w:start w:val="2"/>
      <w:numFmt w:val="decimal"/>
      <w:lvlText w:val="%1.%2"/>
      <w:lvlJc w:val="left"/>
      <w:pPr>
        <w:ind w:left="1914" w:hanging="843"/>
        <w:jc w:val="left"/>
      </w:pPr>
      <w:rPr>
        <w:rFonts w:hint="default"/>
        <w:lang w:val="zh-CN" w:eastAsia="zh-CN" w:bidi="zh-CN"/>
      </w:rPr>
    </w:lvl>
    <w:lvl w:ilvl="2" w:tentative="0">
      <w:start w:val="1"/>
      <w:numFmt w:val="decimal"/>
      <w:lvlText w:val="%1.%2.%3"/>
      <w:lvlJc w:val="left"/>
      <w:pPr>
        <w:ind w:left="1914" w:hanging="843"/>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4453" w:hanging="843"/>
      </w:pPr>
      <w:rPr>
        <w:rFonts w:hint="default"/>
        <w:lang w:val="zh-CN" w:eastAsia="zh-CN" w:bidi="zh-CN"/>
      </w:rPr>
    </w:lvl>
    <w:lvl w:ilvl="4" w:tentative="0">
      <w:start w:val="0"/>
      <w:numFmt w:val="bullet"/>
      <w:lvlText w:val="•"/>
      <w:lvlJc w:val="left"/>
      <w:pPr>
        <w:ind w:left="5298" w:hanging="843"/>
      </w:pPr>
      <w:rPr>
        <w:rFonts w:hint="default"/>
        <w:lang w:val="zh-CN" w:eastAsia="zh-CN" w:bidi="zh-CN"/>
      </w:rPr>
    </w:lvl>
    <w:lvl w:ilvl="5" w:tentative="0">
      <w:start w:val="0"/>
      <w:numFmt w:val="bullet"/>
      <w:lvlText w:val="•"/>
      <w:lvlJc w:val="left"/>
      <w:pPr>
        <w:ind w:left="6143" w:hanging="843"/>
      </w:pPr>
      <w:rPr>
        <w:rFonts w:hint="default"/>
        <w:lang w:val="zh-CN" w:eastAsia="zh-CN" w:bidi="zh-CN"/>
      </w:rPr>
    </w:lvl>
    <w:lvl w:ilvl="6" w:tentative="0">
      <w:start w:val="0"/>
      <w:numFmt w:val="bullet"/>
      <w:lvlText w:val="•"/>
      <w:lvlJc w:val="left"/>
      <w:pPr>
        <w:ind w:left="6987" w:hanging="843"/>
      </w:pPr>
      <w:rPr>
        <w:rFonts w:hint="default"/>
        <w:lang w:val="zh-CN" w:eastAsia="zh-CN" w:bidi="zh-CN"/>
      </w:rPr>
    </w:lvl>
    <w:lvl w:ilvl="7" w:tentative="0">
      <w:start w:val="0"/>
      <w:numFmt w:val="bullet"/>
      <w:lvlText w:val="•"/>
      <w:lvlJc w:val="left"/>
      <w:pPr>
        <w:ind w:left="7832" w:hanging="843"/>
      </w:pPr>
      <w:rPr>
        <w:rFonts w:hint="default"/>
        <w:lang w:val="zh-CN" w:eastAsia="zh-CN" w:bidi="zh-CN"/>
      </w:rPr>
    </w:lvl>
    <w:lvl w:ilvl="8" w:tentative="0">
      <w:start w:val="0"/>
      <w:numFmt w:val="bullet"/>
      <w:lvlText w:val="•"/>
      <w:lvlJc w:val="left"/>
      <w:pPr>
        <w:ind w:left="8676" w:hanging="843"/>
      </w:pPr>
      <w:rPr>
        <w:rFonts w:hint="default"/>
        <w:lang w:val="zh-CN" w:eastAsia="zh-CN" w:bidi="zh-CN"/>
      </w:rPr>
    </w:lvl>
  </w:abstractNum>
  <w:abstractNum w:abstractNumId="22">
    <w:nsid w:val="2B7DC5DF"/>
    <w:multiLevelType w:val="singleLevel"/>
    <w:tmpl w:val="2B7DC5DF"/>
    <w:lvl w:ilvl="0" w:tentative="0">
      <w:start w:val="1"/>
      <w:numFmt w:val="decimal"/>
      <w:suff w:val="nothing"/>
      <w:lvlText w:val="%1、"/>
      <w:lvlJc w:val="left"/>
    </w:lvl>
  </w:abstractNum>
  <w:abstractNum w:abstractNumId="23">
    <w:nsid w:val="39A0D9AC"/>
    <w:multiLevelType w:val="multilevel"/>
    <w:tmpl w:val="39A0D9AC"/>
    <w:lvl w:ilvl="0" w:tentative="0">
      <w:start w:val="5"/>
      <w:numFmt w:val="decimal"/>
      <w:lvlText w:val="%1"/>
      <w:lvlJc w:val="left"/>
      <w:pPr>
        <w:ind w:left="1956" w:hanging="361"/>
        <w:jc w:val="left"/>
      </w:pPr>
      <w:rPr>
        <w:rFonts w:hint="default"/>
        <w:lang w:val="zh-CN" w:eastAsia="zh-CN" w:bidi="zh-CN"/>
      </w:rPr>
    </w:lvl>
    <w:lvl w:ilvl="1" w:tentative="0">
      <w:start w:val="1"/>
      <w:numFmt w:val="decimal"/>
      <w:lvlText w:val="%1-%2"/>
      <w:lvlJc w:val="left"/>
      <w:pPr>
        <w:ind w:left="1956" w:hanging="361"/>
        <w:jc w:val="left"/>
      </w:pPr>
      <w:rPr>
        <w:rFonts w:hint="default" w:ascii="仿宋" w:hAnsi="仿宋" w:eastAsia="仿宋" w:cs="仿宋"/>
        <w:w w:val="100"/>
        <w:sz w:val="22"/>
        <w:szCs w:val="22"/>
        <w:lang w:val="zh-CN" w:eastAsia="zh-CN" w:bidi="zh-CN"/>
      </w:rPr>
    </w:lvl>
    <w:lvl w:ilvl="2" w:tentative="0">
      <w:start w:val="3"/>
      <w:numFmt w:val="decimal"/>
      <w:lvlText w:val="%3"/>
      <w:lvlJc w:val="left"/>
      <w:pPr>
        <w:ind w:left="3788" w:hanging="483"/>
        <w:jc w:val="left"/>
      </w:pPr>
      <w:rPr>
        <w:rFonts w:hint="default" w:ascii="仿宋" w:hAnsi="仿宋" w:eastAsia="仿宋" w:cs="仿宋"/>
        <w:b/>
        <w:bCs/>
        <w:w w:val="99"/>
        <w:sz w:val="24"/>
        <w:szCs w:val="24"/>
        <w:lang w:val="zh-CN" w:eastAsia="zh-CN" w:bidi="zh-CN"/>
      </w:rPr>
    </w:lvl>
    <w:lvl w:ilvl="3" w:tentative="0">
      <w:start w:val="0"/>
      <w:numFmt w:val="bullet"/>
      <w:lvlText w:val="•"/>
      <w:lvlJc w:val="left"/>
      <w:pPr>
        <w:ind w:left="3780" w:hanging="483"/>
      </w:pPr>
      <w:rPr>
        <w:rFonts w:hint="default"/>
        <w:lang w:val="zh-CN" w:eastAsia="zh-CN" w:bidi="zh-CN"/>
      </w:rPr>
    </w:lvl>
    <w:lvl w:ilvl="4" w:tentative="0">
      <w:start w:val="0"/>
      <w:numFmt w:val="bullet"/>
      <w:lvlText w:val="•"/>
      <w:lvlJc w:val="left"/>
      <w:pPr>
        <w:ind w:left="4280" w:hanging="483"/>
      </w:pPr>
      <w:rPr>
        <w:rFonts w:hint="default"/>
        <w:lang w:val="zh-CN" w:eastAsia="zh-CN" w:bidi="zh-CN"/>
      </w:rPr>
    </w:lvl>
    <w:lvl w:ilvl="5" w:tentative="0">
      <w:start w:val="0"/>
      <w:numFmt w:val="bullet"/>
      <w:lvlText w:val="•"/>
      <w:lvlJc w:val="left"/>
      <w:pPr>
        <w:ind w:left="5294" w:hanging="483"/>
      </w:pPr>
      <w:rPr>
        <w:rFonts w:hint="default"/>
        <w:lang w:val="zh-CN" w:eastAsia="zh-CN" w:bidi="zh-CN"/>
      </w:rPr>
    </w:lvl>
    <w:lvl w:ilvl="6" w:tentative="0">
      <w:start w:val="0"/>
      <w:numFmt w:val="bullet"/>
      <w:lvlText w:val="•"/>
      <w:lvlJc w:val="left"/>
      <w:pPr>
        <w:ind w:left="6308" w:hanging="483"/>
      </w:pPr>
      <w:rPr>
        <w:rFonts w:hint="default"/>
        <w:lang w:val="zh-CN" w:eastAsia="zh-CN" w:bidi="zh-CN"/>
      </w:rPr>
    </w:lvl>
    <w:lvl w:ilvl="7" w:tentative="0">
      <w:start w:val="0"/>
      <w:numFmt w:val="bullet"/>
      <w:lvlText w:val="•"/>
      <w:lvlJc w:val="left"/>
      <w:pPr>
        <w:ind w:left="7323" w:hanging="483"/>
      </w:pPr>
      <w:rPr>
        <w:rFonts w:hint="default"/>
        <w:lang w:val="zh-CN" w:eastAsia="zh-CN" w:bidi="zh-CN"/>
      </w:rPr>
    </w:lvl>
    <w:lvl w:ilvl="8" w:tentative="0">
      <w:start w:val="0"/>
      <w:numFmt w:val="bullet"/>
      <w:lvlText w:val="•"/>
      <w:lvlJc w:val="left"/>
      <w:pPr>
        <w:ind w:left="8337" w:hanging="483"/>
      </w:pPr>
      <w:rPr>
        <w:rFonts w:hint="default"/>
        <w:lang w:val="zh-CN" w:eastAsia="zh-CN" w:bidi="zh-CN"/>
      </w:rPr>
    </w:lvl>
  </w:abstractNum>
  <w:abstractNum w:abstractNumId="24">
    <w:nsid w:val="46A08BB8"/>
    <w:multiLevelType w:val="multilevel"/>
    <w:tmpl w:val="46A08BB8"/>
    <w:lvl w:ilvl="0" w:tentative="0">
      <w:start w:val="1"/>
      <w:numFmt w:val="decimal"/>
      <w:lvlText w:val="%1."/>
      <w:lvlJc w:val="left"/>
      <w:pPr>
        <w:ind w:left="1057" w:hanging="361"/>
        <w:jc w:val="left"/>
      </w:pPr>
      <w:rPr>
        <w:rFonts w:hint="default" w:ascii="仿宋" w:hAnsi="仿宋" w:eastAsia="仿宋" w:cs="仿宋"/>
        <w:spacing w:val="-46"/>
        <w:w w:val="100"/>
        <w:sz w:val="22"/>
        <w:szCs w:val="22"/>
        <w:lang w:val="zh-CN" w:eastAsia="zh-CN" w:bidi="zh-CN"/>
      </w:rPr>
    </w:lvl>
    <w:lvl w:ilvl="1" w:tentative="0">
      <w:start w:val="0"/>
      <w:numFmt w:val="bullet"/>
      <w:lvlText w:val="•"/>
      <w:lvlJc w:val="left"/>
      <w:pPr>
        <w:ind w:left="1990" w:hanging="361"/>
      </w:pPr>
      <w:rPr>
        <w:rFonts w:hint="default"/>
        <w:lang w:val="zh-CN" w:eastAsia="zh-CN" w:bidi="zh-CN"/>
      </w:rPr>
    </w:lvl>
    <w:lvl w:ilvl="2" w:tentative="0">
      <w:start w:val="0"/>
      <w:numFmt w:val="bullet"/>
      <w:lvlText w:val="•"/>
      <w:lvlJc w:val="left"/>
      <w:pPr>
        <w:ind w:left="2921" w:hanging="361"/>
      </w:pPr>
      <w:rPr>
        <w:rFonts w:hint="default"/>
        <w:lang w:val="zh-CN" w:eastAsia="zh-CN" w:bidi="zh-CN"/>
      </w:rPr>
    </w:lvl>
    <w:lvl w:ilvl="3" w:tentative="0">
      <w:start w:val="0"/>
      <w:numFmt w:val="bullet"/>
      <w:lvlText w:val="•"/>
      <w:lvlJc w:val="left"/>
      <w:pPr>
        <w:ind w:left="3851" w:hanging="361"/>
      </w:pPr>
      <w:rPr>
        <w:rFonts w:hint="default"/>
        <w:lang w:val="zh-CN" w:eastAsia="zh-CN" w:bidi="zh-CN"/>
      </w:rPr>
    </w:lvl>
    <w:lvl w:ilvl="4" w:tentative="0">
      <w:start w:val="0"/>
      <w:numFmt w:val="bullet"/>
      <w:lvlText w:val="•"/>
      <w:lvlJc w:val="left"/>
      <w:pPr>
        <w:ind w:left="4782" w:hanging="361"/>
      </w:pPr>
      <w:rPr>
        <w:rFonts w:hint="default"/>
        <w:lang w:val="zh-CN" w:eastAsia="zh-CN" w:bidi="zh-CN"/>
      </w:rPr>
    </w:lvl>
    <w:lvl w:ilvl="5" w:tentative="0">
      <w:start w:val="0"/>
      <w:numFmt w:val="bullet"/>
      <w:lvlText w:val="•"/>
      <w:lvlJc w:val="left"/>
      <w:pPr>
        <w:ind w:left="5713" w:hanging="361"/>
      </w:pPr>
      <w:rPr>
        <w:rFonts w:hint="default"/>
        <w:lang w:val="zh-CN" w:eastAsia="zh-CN" w:bidi="zh-CN"/>
      </w:rPr>
    </w:lvl>
    <w:lvl w:ilvl="6" w:tentative="0">
      <w:start w:val="0"/>
      <w:numFmt w:val="bullet"/>
      <w:lvlText w:val="•"/>
      <w:lvlJc w:val="left"/>
      <w:pPr>
        <w:ind w:left="6643" w:hanging="361"/>
      </w:pPr>
      <w:rPr>
        <w:rFonts w:hint="default"/>
        <w:lang w:val="zh-CN" w:eastAsia="zh-CN" w:bidi="zh-CN"/>
      </w:rPr>
    </w:lvl>
    <w:lvl w:ilvl="7" w:tentative="0">
      <w:start w:val="0"/>
      <w:numFmt w:val="bullet"/>
      <w:lvlText w:val="•"/>
      <w:lvlJc w:val="left"/>
      <w:pPr>
        <w:ind w:left="7574" w:hanging="361"/>
      </w:pPr>
      <w:rPr>
        <w:rFonts w:hint="default"/>
        <w:lang w:val="zh-CN" w:eastAsia="zh-CN" w:bidi="zh-CN"/>
      </w:rPr>
    </w:lvl>
    <w:lvl w:ilvl="8" w:tentative="0">
      <w:start w:val="0"/>
      <w:numFmt w:val="bullet"/>
      <w:lvlText w:val="•"/>
      <w:lvlJc w:val="left"/>
      <w:pPr>
        <w:ind w:left="8504" w:hanging="361"/>
      </w:pPr>
      <w:rPr>
        <w:rFonts w:hint="default"/>
        <w:lang w:val="zh-CN" w:eastAsia="zh-CN" w:bidi="zh-CN"/>
      </w:rPr>
    </w:lvl>
  </w:abstractNum>
  <w:abstractNum w:abstractNumId="25">
    <w:nsid w:val="4C1BAE26"/>
    <w:multiLevelType w:val="multilevel"/>
    <w:tmpl w:val="4C1BAE26"/>
    <w:lvl w:ilvl="0" w:tentative="0">
      <w:start w:val="1"/>
      <w:numFmt w:val="decimal"/>
      <w:lvlText w:val="%1."/>
      <w:lvlJc w:val="left"/>
      <w:pPr>
        <w:ind w:left="1057" w:hanging="361"/>
        <w:jc w:val="left"/>
      </w:pPr>
      <w:rPr>
        <w:rFonts w:hint="default" w:ascii="仿宋" w:hAnsi="仿宋" w:eastAsia="仿宋" w:cs="仿宋"/>
        <w:spacing w:val="-32"/>
        <w:w w:val="100"/>
        <w:sz w:val="22"/>
        <w:szCs w:val="22"/>
        <w:lang w:val="zh-CN" w:eastAsia="zh-CN" w:bidi="zh-CN"/>
      </w:rPr>
    </w:lvl>
    <w:lvl w:ilvl="1" w:tentative="0">
      <w:start w:val="0"/>
      <w:numFmt w:val="bullet"/>
      <w:lvlText w:val="•"/>
      <w:lvlJc w:val="left"/>
      <w:pPr>
        <w:ind w:left="1990" w:hanging="361"/>
      </w:pPr>
      <w:rPr>
        <w:rFonts w:hint="default"/>
        <w:lang w:val="zh-CN" w:eastAsia="zh-CN" w:bidi="zh-CN"/>
      </w:rPr>
    </w:lvl>
    <w:lvl w:ilvl="2" w:tentative="0">
      <w:start w:val="0"/>
      <w:numFmt w:val="bullet"/>
      <w:lvlText w:val="•"/>
      <w:lvlJc w:val="left"/>
      <w:pPr>
        <w:ind w:left="2921" w:hanging="361"/>
      </w:pPr>
      <w:rPr>
        <w:rFonts w:hint="default"/>
        <w:lang w:val="zh-CN" w:eastAsia="zh-CN" w:bidi="zh-CN"/>
      </w:rPr>
    </w:lvl>
    <w:lvl w:ilvl="3" w:tentative="0">
      <w:start w:val="0"/>
      <w:numFmt w:val="bullet"/>
      <w:lvlText w:val="•"/>
      <w:lvlJc w:val="left"/>
      <w:pPr>
        <w:ind w:left="3851" w:hanging="361"/>
      </w:pPr>
      <w:rPr>
        <w:rFonts w:hint="default"/>
        <w:lang w:val="zh-CN" w:eastAsia="zh-CN" w:bidi="zh-CN"/>
      </w:rPr>
    </w:lvl>
    <w:lvl w:ilvl="4" w:tentative="0">
      <w:start w:val="0"/>
      <w:numFmt w:val="bullet"/>
      <w:lvlText w:val="•"/>
      <w:lvlJc w:val="left"/>
      <w:pPr>
        <w:ind w:left="4782" w:hanging="361"/>
      </w:pPr>
      <w:rPr>
        <w:rFonts w:hint="default"/>
        <w:lang w:val="zh-CN" w:eastAsia="zh-CN" w:bidi="zh-CN"/>
      </w:rPr>
    </w:lvl>
    <w:lvl w:ilvl="5" w:tentative="0">
      <w:start w:val="0"/>
      <w:numFmt w:val="bullet"/>
      <w:lvlText w:val="•"/>
      <w:lvlJc w:val="left"/>
      <w:pPr>
        <w:ind w:left="5713" w:hanging="361"/>
      </w:pPr>
      <w:rPr>
        <w:rFonts w:hint="default"/>
        <w:lang w:val="zh-CN" w:eastAsia="zh-CN" w:bidi="zh-CN"/>
      </w:rPr>
    </w:lvl>
    <w:lvl w:ilvl="6" w:tentative="0">
      <w:start w:val="0"/>
      <w:numFmt w:val="bullet"/>
      <w:lvlText w:val="•"/>
      <w:lvlJc w:val="left"/>
      <w:pPr>
        <w:ind w:left="6643" w:hanging="361"/>
      </w:pPr>
      <w:rPr>
        <w:rFonts w:hint="default"/>
        <w:lang w:val="zh-CN" w:eastAsia="zh-CN" w:bidi="zh-CN"/>
      </w:rPr>
    </w:lvl>
    <w:lvl w:ilvl="7" w:tentative="0">
      <w:start w:val="0"/>
      <w:numFmt w:val="bullet"/>
      <w:lvlText w:val="•"/>
      <w:lvlJc w:val="left"/>
      <w:pPr>
        <w:ind w:left="7574" w:hanging="361"/>
      </w:pPr>
      <w:rPr>
        <w:rFonts w:hint="default"/>
        <w:lang w:val="zh-CN" w:eastAsia="zh-CN" w:bidi="zh-CN"/>
      </w:rPr>
    </w:lvl>
    <w:lvl w:ilvl="8" w:tentative="0">
      <w:start w:val="0"/>
      <w:numFmt w:val="bullet"/>
      <w:lvlText w:val="•"/>
      <w:lvlJc w:val="left"/>
      <w:pPr>
        <w:ind w:left="8504" w:hanging="361"/>
      </w:pPr>
      <w:rPr>
        <w:rFonts w:hint="default"/>
        <w:lang w:val="zh-CN" w:eastAsia="zh-CN" w:bidi="zh-CN"/>
      </w:rPr>
    </w:lvl>
  </w:abstractNum>
  <w:abstractNum w:abstractNumId="26">
    <w:nsid w:val="4D4DC07F"/>
    <w:multiLevelType w:val="multilevel"/>
    <w:tmpl w:val="4D4DC07F"/>
    <w:lvl w:ilvl="0" w:tentative="0">
      <w:start w:val="23"/>
      <w:numFmt w:val="decimal"/>
      <w:lvlText w:val="%1"/>
      <w:lvlJc w:val="left"/>
      <w:pPr>
        <w:ind w:left="1957" w:hanging="900"/>
        <w:jc w:val="left"/>
      </w:pPr>
      <w:rPr>
        <w:rFonts w:hint="default"/>
        <w:lang w:val="zh-CN" w:eastAsia="zh-CN" w:bidi="zh-CN"/>
      </w:rPr>
    </w:lvl>
    <w:lvl w:ilvl="1" w:tentative="0">
      <w:start w:val="1"/>
      <w:numFmt w:val="decimal"/>
      <w:lvlText w:val="%1.%2"/>
      <w:lvlJc w:val="left"/>
      <w:pPr>
        <w:ind w:left="1957" w:hanging="900"/>
        <w:jc w:val="right"/>
      </w:pPr>
      <w:rPr>
        <w:rFonts w:hint="default" w:ascii="仿宋" w:hAnsi="仿宋" w:eastAsia="仿宋" w:cs="仿宋"/>
        <w:w w:val="100"/>
        <w:sz w:val="24"/>
        <w:szCs w:val="24"/>
        <w:lang w:val="zh-CN" w:eastAsia="zh-CN" w:bidi="zh-CN"/>
      </w:rPr>
    </w:lvl>
    <w:lvl w:ilvl="2" w:tentative="0">
      <w:start w:val="0"/>
      <w:numFmt w:val="bullet"/>
      <w:lvlText w:val="•"/>
      <w:lvlJc w:val="left"/>
      <w:pPr>
        <w:ind w:left="3641" w:hanging="900"/>
      </w:pPr>
      <w:rPr>
        <w:rFonts w:hint="default"/>
        <w:lang w:val="zh-CN" w:eastAsia="zh-CN" w:bidi="zh-CN"/>
      </w:rPr>
    </w:lvl>
    <w:lvl w:ilvl="3" w:tentative="0">
      <w:start w:val="0"/>
      <w:numFmt w:val="bullet"/>
      <w:lvlText w:val="•"/>
      <w:lvlJc w:val="left"/>
      <w:pPr>
        <w:ind w:left="4481" w:hanging="900"/>
      </w:pPr>
      <w:rPr>
        <w:rFonts w:hint="default"/>
        <w:lang w:val="zh-CN" w:eastAsia="zh-CN" w:bidi="zh-CN"/>
      </w:rPr>
    </w:lvl>
    <w:lvl w:ilvl="4" w:tentative="0">
      <w:start w:val="0"/>
      <w:numFmt w:val="bullet"/>
      <w:lvlText w:val="•"/>
      <w:lvlJc w:val="left"/>
      <w:pPr>
        <w:ind w:left="5322" w:hanging="900"/>
      </w:pPr>
      <w:rPr>
        <w:rFonts w:hint="default"/>
        <w:lang w:val="zh-CN" w:eastAsia="zh-CN" w:bidi="zh-CN"/>
      </w:rPr>
    </w:lvl>
    <w:lvl w:ilvl="5" w:tentative="0">
      <w:start w:val="0"/>
      <w:numFmt w:val="bullet"/>
      <w:lvlText w:val="•"/>
      <w:lvlJc w:val="left"/>
      <w:pPr>
        <w:ind w:left="6163" w:hanging="900"/>
      </w:pPr>
      <w:rPr>
        <w:rFonts w:hint="default"/>
        <w:lang w:val="zh-CN" w:eastAsia="zh-CN" w:bidi="zh-CN"/>
      </w:rPr>
    </w:lvl>
    <w:lvl w:ilvl="6" w:tentative="0">
      <w:start w:val="0"/>
      <w:numFmt w:val="bullet"/>
      <w:lvlText w:val="•"/>
      <w:lvlJc w:val="left"/>
      <w:pPr>
        <w:ind w:left="7003" w:hanging="900"/>
      </w:pPr>
      <w:rPr>
        <w:rFonts w:hint="default"/>
        <w:lang w:val="zh-CN" w:eastAsia="zh-CN" w:bidi="zh-CN"/>
      </w:rPr>
    </w:lvl>
    <w:lvl w:ilvl="7" w:tentative="0">
      <w:start w:val="0"/>
      <w:numFmt w:val="bullet"/>
      <w:lvlText w:val="•"/>
      <w:lvlJc w:val="left"/>
      <w:pPr>
        <w:ind w:left="7844" w:hanging="900"/>
      </w:pPr>
      <w:rPr>
        <w:rFonts w:hint="default"/>
        <w:lang w:val="zh-CN" w:eastAsia="zh-CN" w:bidi="zh-CN"/>
      </w:rPr>
    </w:lvl>
    <w:lvl w:ilvl="8" w:tentative="0">
      <w:start w:val="0"/>
      <w:numFmt w:val="bullet"/>
      <w:lvlText w:val="•"/>
      <w:lvlJc w:val="left"/>
      <w:pPr>
        <w:ind w:left="8684" w:hanging="900"/>
      </w:pPr>
      <w:rPr>
        <w:rFonts w:hint="default"/>
        <w:lang w:val="zh-CN" w:eastAsia="zh-CN" w:bidi="zh-CN"/>
      </w:rPr>
    </w:lvl>
  </w:abstractNum>
  <w:abstractNum w:abstractNumId="27">
    <w:nsid w:val="4D94DA66"/>
    <w:multiLevelType w:val="multilevel"/>
    <w:tmpl w:val="4D94DA66"/>
    <w:lvl w:ilvl="0" w:tentative="0">
      <w:start w:val="2"/>
      <w:numFmt w:val="decimal"/>
      <w:lvlText w:val="%1."/>
      <w:lvlJc w:val="left"/>
      <w:pPr>
        <w:ind w:left="1516" w:hanging="360"/>
        <w:jc w:val="left"/>
      </w:pPr>
      <w:rPr>
        <w:rFonts w:hint="default" w:ascii="仿宋" w:hAnsi="仿宋" w:eastAsia="仿宋" w:cs="仿宋"/>
        <w:w w:val="100"/>
        <w:sz w:val="24"/>
        <w:szCs w:val="24"/>
        <w:lang w:val="zh-CN" w:eastAsia="zh-CN" w:bidi="zh-CN"/>
      </w:rPr>
    </w:lvl>
    <w:lvl w:ilvl="1" w:tentative="0">
      <w:start w:val="0"/>
      <w:numFmt w:val="bullet"/>
      <w:lvlText w:val="•"/>
      <w:lvlJc w:val="left"/>
      <w:pPr>
        <w:ind w:left="2404" w:hanging="360"/>
      </w:pPr>
      <w:rPr>
        <w:rFonts w:hint="default"/>
        <w:lang w:val="zh-CN" w:eastAsia="zh-CN" w:bidi="zh-CN"/>
      </w:rPr>
    </w:lvl>
    <w:lvl w:ilvl="2" w:tentative="0">
      <w:start w:val="0"/>
      <w:numFmt w:val="bullet"/>
      <w:lvlText w:val="•"/>
      <w:lvlJc w:val="left"/>
      <w:pPr>
        <w:ind w:left="3289" w:hanging="360"/>
      </w:pPr>
      <w:rPr>
        <w:rFonts w:hint="default"/>
        <w:lang w:val="zh-CN" w:eastAsia="zh-CN" w:bidi="zh-CN"/>
      </w:rPr>
    </w:lvl>
    <w:lvl w:ilvl="3" w:tentative="0">
      <w:start w:val="0"/>
      <w:numFmt w:val="bullet"/>
      <w:lvlText w:val="•"/>
      <w:lvlJc w:val="left"/>
      <w:pPr>
        <w:ind w:left="4173" w:hanging="360"/>
      </w:pPr>
      <w:rPr>
        <w:rFonts w:hint="default"/>
        <w:lang w:val="zh-CN" w:eastAsia="zh-CN" w:bidi="zh-CN"/>
      </w:rPr>
    </w:lvl>
    <w:lvl w:ilvl="4" w:tentative="0">
      <w:start w:val="0"/>
      <w:numFmt w:val="bullet"/>
      <w:lvlText w:val="•"/>
      <w:lvlJc w:val="left"/>
      <w:pPr>
        <w:ind w:left="5058" w:hanging="360"/>
      </w:pPr>
      <w:rPr>
        <w:rFonts w:hint="default"/>
        <w:lang w:val="zh-CN" w:eastAsia="zh-CN" w:bidi="zh-CN"/>
      </w:rPr>
    </w:lvl>
    <w:lvl w:ilvl="5" w:tentative="0">
      <w:start w:val="0"/>
      <w:numFmt w:val="bullet"/>
      <w:lvlText w:val="•"/>
      <w:lvlJc w:val="left"/>
      <w:pPr>
        <w:ind w:left="5943" w:hanging="360"/>
      </w:pPr>
      <w:rPr>
        <w:rFonts w:hint="default"/>
        <w:lang w:val="zh-CN" w:eastAsia="zh-CN" w:bidi="zh-CN"/>
      </w:rPr>
    </w:lvl>
    <w:lvl w:ilvl="6" w:tentative="0">
      <w:start w:val="0"/>
      <w:numFmt w:val="bullet"/>
      <w:lvlText w:val="•"/>
      <w:lvlJc w:val="left"/>
      <w:pPr>
        <w:ind w:left="6827" w:hanging="360"/>
      </w:pPr>
      <w:rPr>
        <w:rFonts w:hint="default"/>
        <w:lang w:val="zh-CN" w:eastAsia="zh-CN" w:bidi="zh-CN"/>
      </w:rPr>
    </w:lvl>
    <w:lvl w:ilvl="7" w:tentative="0">
      <w:start w:val="0"/>
      <w:numFmt w:val="bullet"/>
      <w:lvlText w:val="•"/>
      <w:lvlJc w:val="left"/>
      <w:pPr>
        <w:ind w:left="7712" w:hanging="360"/>
      </w:pPr>
      <w:rPr>
        <w:rFonts w:hint="default"/>
        <w:lang w:val="zh-CN" w:eastAsia="zh-CN" w:bidi="zh-CN"/>
      </w:rPr>
    </w:lvl>
    <w:lvl w:ilvl="8" w:tentative="0">
      <w:start w:val="0"/>
      <w:numFmt w:val="bullet"/>
      <w:lvlText w:val="•"/>
      <w:lvlJc w:val="left"/>
      <w:pPr>
        <w:ind w:left="8596" w:hanging="360"/>
      </w:pPr>
      <w:rPr>
        <w:rFonts w:hint="default"/>
        <w:lang w:val="zh-CN" w:eastAsia="zh-CN" w:bidi="zh-CN"/>
      </w:rPr>
    </w:lvl>
  </w:abstractNum>
  <w:abstractNum w:abstractNumId="28">
    <w:nsid w:val="58765686"/>
    <w:multiLevelType w:val="multilevel"/>
    <w:tmpl w:val="58765686"/>
    <w:lvl w:ilvl="0" w:tentative="0">
      <w:start w:val="1"/>
      <w:numFmt w:val="decimal"/>
      <w:lvlText w:val="%1."/>
      <w:lvlJc w:val="left"/>
      <w:pPr>
        <w:ind w:left="1790" w:hanging="314"/>
        <w:jc w:val="left"/>
      </w:pPr>
      <w:rPr>
        <w:rFonts w:hint="default" w:ascii="仿宋" w:hAnsi="仿宋" w:eastAsia="仿宋" w:cs="仿宋"/>
        <w:spacing w:val="-2"/>
        <w:w w:val="99"/>
        <w:sz w:val="19"/>
        <w:szCs w:val="19"/>
        <w:lang w:val="zh-CN" w:eastAsia="zh-CN" w:bidi="zh-CN"/>
      </w:rPr>
    </w:lvl>
    <w:lvl w:ilvl="1" w:tentative="0">
      <w:start w:val="0"/>
      <w:numFmt w:val="bullet"/>
      <w:lvlText w:val="•"/>
      <w:lvlJc w:val="left"/>
      <w:pPr>
        <w:ind w:left="2656" w:hanging="314"/>
      </w:pPr>
      <w:rPr>
        <w:rFonts w:hint="default"/>
        <w:lang w:val="zh-CN" w:eastAsia="zh-CN" w:bidi="zh-CN"/>
      </w:rPr>
    </w:lvl>
    <w:lvl w:ilvl="2" w:tentative="0">
      <w:start w:val="0"/>
      <w:numFmt w:val="bullet"/>
      <w:lvlText w:val="•"/>
      <w:lvlJc w:val="left"/>
      <w:pPr>
        <w:ind w:left="3513" w:hanging="314"/>
      </w:pPr>
      <w:rPr>
        <w:rFonts w:hint="default"/>
        <w:lang w:val="zh-CN" w:eastAsia="zh-CN" w:bidi="zh-CN"/>
      </w:rPr>
    </w:lvl>
    <w:lvl w:ilvl="3" w:tentative="0">
      <w:start w:val="0"/>
      <w:numFmt w:val="bullet"/>
      <w:lvlText w:val="•"/>
      <w:lvlJc w:val="left"/>
      <w:pPr>
        <w:ind w:left="4369" w:hanging="314"/>
      </w:pPr>
      <w:rPr>
        <w:rFonts w:hint="default"/>
        <w:lang w:val="zh-CN" w:eastAsia="zh-CN" w:bidi="zh-CN"/>
      </w:rPr>
    </w:lvl>
    <w:lvl w:ilvl="4" w:tentative="0">
      <w:start w:val="0"/>
      <w:numFmt w:val="bullet"/>
      <w:lvlText w:val="•"/>
      <w:lvlJc w:val="left"/>
      <w:pPr>
        <w:ind w:left="5226" w:hanging="314"/>
      </w:pPr>
      <w:rPr>
        <w:rFonts w:hint="default"/>
        <w:lang w:val="zh-CN" w:eastAsia="zh-CN" w:bidi="zh-CN"/>
      </w:rPr>
    </w:lvl>
    <w:lvl w:ilvl="5" w:tentative="0">
      <w:start w:val="0"/>
      <w:numFmt w:val="bullet"/>
      <w:lvlText w:val="•"/>
      <w:lvlJc w:val="left"/>
      <w:pPr>
        <w:ind w:left="6083" w:hanging="314"/>
      </w:pPr>
      <w:rPr>
        <w:rFonts w:hint="default"/>
        <w:lang w:val="zh-CN" w:eastAsia="zh-CN" w:bidi="zh-CN"/>
      </w:rPr>
    </w:lvl>
    <w:lvl w:ilvl="6" w:tentative="0">
      <w:start w:val="0"/>
      <w:numFmt w:val="bullet"/>
      <w:lvlText w:val="•"/>
      <w:lvlJc w:val="left"/>
      <w:pPr>
        <w:ind w:left="6939" w:hanging="314"/>
      </w:pPr>
      <w:rPr>
        <w:rFonts w:hint="default"/>
        <w:lang w:val="zh-CN" w:eastAsia="zh-CN" w:bidi="zh-CN"/>
      </w:rPr>
    </w:lvl>
    <w:lvl w:ilvl="7" w:tentative="0">
      <w:start w:val="0"/>
      <w:numFmt w:val="bullet"/>
      <w:lvlText w:val="•"/>
      <w:lvlJc w:val="left"/>
      <w:pPr>
        <w:ind w:left="7796" w:hanging="314"/>
      </w:pPr>
      <w:rPr>
        <w:rFonts w:hint="default"/>
        <w:lang w:val="zh-CN" w:eastAsia="zh-CN" w:bidi="zh-CN"/>
      </w:rPr>
    </w:lvl>
    <w:lvl w:ilvl="8" w:tentative="0">
      <w:start w:val="0"/>
      <w:numFmt w:val="bullet"/>
      <w:lvlText w:val="•"/>
      <w:lvlJc w:val="left"/>
      <w:pPr>
        <w:ind w:left="8652" w:hanging="314"/>
      </w:pPr>
      <w:rPr>
        <w:rFonts w:hint="default"/>
        <w:lang w:val="zh-CN" w:eastAsia="zh-CN" w:bidi="zh-CN"/>
      </w:rPr>
    </w:lvl>
  </w:abstractNum>
  <w:abstractNum w:abstractNumId="29">
    <w:nsid w:val="59ADCABA"/>
    <w:multiLevelType w:val="multilevel"/>
    <w:tmpl w:val="59ADCABA"/>
    <w:lvl w:ilvl="0" w:tentative="0">
      <w:start w:val="2"/>
      <w:numFmt w:val="decimal"/>
      <w:lvlText w:val="%1"/>
      <w:lvlJc w:val="left"/>
      <w:pPr>
        <w:ind w:left="1657" w:hanging="600"/>
        <w:jc w:val="left"/>
      </w:pPr>
      <w:rPr>
        <w:rFonts w:hint="default"/>
        <w:lang w:val="zh-CN" w:eastAsia="zh-CN" w:bidi="zh-CN"/>
      </w:rPr>
    </w:lvl>
    <w:lvl w:ilvl="1" w:tentative="0">
      <w:start w:val="13"/>
      <w:numFmt w:val="decimal"/>
      <w:lvlText w:val="%1.%2"/>
      <w:lvlJc w:val="left"/>
      <w:pPr>
        <w:ind w:left="1657" w:hanging="600"/>
        <w:jc w:val="left"/>
      </w:pPr>
      <w:rPr>
        <w:rFonts w:hint="default" w:ascii="仿宋" w:hAnsi="仿宋" w:eastAsia="仿宋" w:cs="仿宋"/>
        <w:w w:val="100"/>
        <w:sz w:val="24"/>
        <w:szCs w:val="24"/>
        <w:lang w:val="zh-CN" w:eastAsia="zh-CN" w:bidi="zh-CN"/>
      </w:rPr>
    </w:lvl>
    <w:lvl w:ilvl="2" w:tentative="0">
      <w:start w:val="0"/>
      <w:numFmt w:val="bullet"/>
      <w:lvlText w:val="•"/>
      <w:lvlJc w:val="left"/>
      <w:pPr>
        <w:ind w:left="6022" w:hanging="600"/>
      </w:pPr>
      <w:rPr>
        <w:rFonts w:hint="default"/>
        <w:lang w:val="zh-CN" w:eastAsia="zh-CN" w:bidi="zh-CN"/>
      </w:rPr>
    </w:lvl>
    <w:lvl w:ilvl="3" w:tentative="0">
      <w:start w:val="0"/>
      <w:numFmt w:val="bullet"/>
      <w:lvlText w:val="•"/>
      <w:lvlJc w:val="left"/>
      <w:pPr>
        <w:ind w:left="6565" w:hanging="600"/>
      </w:pPr>
      <w:rPr>
        <w:rFonts w:hint="default"/>
        <w:lang w:val="zh-CN" w:eastAsia="zh-CN" w:bidi="zh-CN"/>
      </w:rPr>
    </w:lvl>
    <w:lvl w:ilvl="4" w:tentative="0">
      <w:start w:val="0"/>
      <w:numFmt w:val="bullet"/>
      <w:lvlText w:val="•"/>
      <w:lvlJc w:val="left"/>
      <w:pPr>
        <w:ind w:left="7108" w:hanging="600"/>
      </w:pPr>
      <w:rPr>
        <w:rFonts w:hint="default"/>
        <w:lang w:val="zh-CN" w:eastAsia="zh-CN" w:bidi="zh-CN"/>
      </w:rPr>
    </w:lvl>
    <w:lvl w:ilvl="5" w:tentative="0">
      <w:start w:val="0"/>
      <w:numFmt w:val="bullet"/>
      <w:lvlText w:val="•"/>
      <w:lvlJc w:val="left"/>
      <w:pPr>
        <w:ind w:left="7651" w:hanging="600"/>
      </w:pPr>
      <w:rPr>
        <w:rFonts w:hint="default"/>
        <w:lang w:val="zh-CN" w:eastAsia="zh-CN" w:bidi="zh-CN"/>
      </w:rPr>
    </w:lvl>
    <w:lvl w:ilvl="6" w:tentative="0">
      <w:start w:val="0"/>
      <w:numFmt w:val="bullet"/>
      <w:lvlText w:val="•"/>
      <w:lvlJc w:val="left"/>
      <w:pPr>
        <w:ind w:left="8194" w:hanging="600"/>
      </w:pPr>
      <w:rPr>
        <w:rFonts w:hint="default"/>
        <w:lang w:val="zh-CN" w:eastAsia="zh-CN" w:bidi="zh-CN"/>
      </w:rPr>
    </w:lvl>
    <w:lvl w:ilvl="7" w:tentative="0">
      <w:start w:val="0"/>
      <w:numFmt w:val="bullet"/>
      <w:lvlText w:val="•"/>
      <w:lvlJc w:val="left"/>
      <w:pPr>
        <w:ind w:left="8737" w:hanging="600"/>
      </w:pPr>
      <w:rPr>
        <w:rFonts w:hint="default"/>
        <w:lang w:val="zh-CN" w:eastAsia="zh-CN" w:bidi="zh-CN"/>
      </w:rPr>
    </w:lvl>
    <w:lvl w:ilvl="8" w:tentative="0">
      <w:start w:val="0"/>
      <w:numFmt w:val="bullet"/>
      <w:lvlText w:val="•"/>
      <w:lvlJc w:val="left"/>
      <w:pPr>
        <w:ind w:left="9280" w:hanging="600"/>
      </w:pPr>
      <w:rPr>
        <w:rFonts w:hint="default"/>
        <w:lang w:val="zh-CN" w:eastAsia="zh-CN" w:bidi="zh-CN"/>
      </w:rPr>
    </w:lvl>
  </w:abstractNum>
  <w:abstractNum w:abstractNumId="30">
    <w:nsid w:val="629F7852"/>
    <w:multiLevelType w:val="multilevel"/>
    <w:tmpl w:val="629F7852"/>
    <w:lvl w:ilvl="0" w:tentative="0">
      <w:start w:val="1"/>
      <w:numFmt w:val="decimal"/>
      <w:lvlText w:val="%1."/>
      <w:lvlJc w:val="left"/>
      <w:pPr>
        <w:ind w:left="1057" w:hanging="314"/>
        <w:jc w:val="left"/>
      </w:pPr>
      <w:rPr>
        <w:rFonts w:hint="default" w:ascii="仿宋" w:hAnsi="仿宋" w:eastAsia="仿宋" w:cs="仿宋"/>
        <w:spacing w:val="-51"/>
        <w:w w:val="99"/>
        <w:sz w:val="19"/>
        <w:szCs w:val="19"/>
        <w:lang w:val="zh-CN" w:eastAsia="zh-CN" w:bidi="zh-CN"/>
      </w:rPr>
    </w:lvl>
    <w:lvl w:ilvl="1" w:tentative="0">
      <w:start w:val="0"/>
      <w:numFmt w:val="bullet"/>
      <w:lvlText w:val="•"/>
      <w:lvlJc w:val="left"/>
      <w:pPr>
        <w:ind w:left="2320" w:hanging="314"/>
      </w:pPr>
      <w:rPr>
        <w:rFonts w:hint="default"/>
        <w:lang w:val="zh-CN" w:eastAsia="zh-CN" w:bidi="zh-CN"/>
      </w:rPr>
    </w:lvl>
    <w:lvl w:ilvl="2" w:tentative="0">
      <w:start w:val="0"/>
      <w:numFmt w:val="bullet"/>
      <w:lvlText w:val="•"/>
      <w:lvlJc w:val="left"/>
      <w:pPr>
        <w:ind w:left="3214" w:hanging="314"/>
      </w:pPr>
      <w:rPr>
        <w:rFonts w:hint="default"/>
        <w:lang w:val="zh-CN" w:eastAsia="zh-CN" w:bidi="zh-CN"/>
      </w:rPr>
    </w:lvl>
    <w:lvl w:ilvl="3" w:tentative="0">
      <w:start w:val="0"/>
      <w:numFmt w:val="bullet"/>
      <w:lvlText w:val="•"/>
      <w:lvlJc w:val="left"/>
      <w:pPr>
        <w:ind w:left="4108" w:hanging="314"/>
      </w:pPr>
      <w:rPr>
        <w:rFonts w:hint="default"/>
        <w:lang w:val="zh-CN" w:eastAsia="zh-CN" w:bidi="zh-CN"/>
      </w:rPr>
    </w:lvl>
    <w:lvl w:ilvl="4" w:tentative="0">
      <w:start w:val="0"/>
      <w:numFmt w:val="bullet"/>
      <w:lvlText w:val="•"/>
      <w:lvlJc w:val="left"/>
      <w:pPr>
        <w:ind w:left="5002" w:hanging="314"/>
      </w:pPr>
      <w:rPr>
        <w:rFonts w:hint="default"/>
        <w:lang w:val="zh-CN" w:eastAsia="zh-CN" w:bidi="zh-CN"/>
      </w:rPr>
    </w:lvl>
    <w:lvl w:ilvl="5" w:tentative="0">
      <w:start w:val="0"/>
      <w:numFmt w:val="bullet"/>
      <w:lvlText w:val="•"/>
      <w:lvlJc w:val="left"/>
      <w:pPr>
        <w:ind w:left="5896" w:hanging="314"/>
      </w:pPr>
      <w:rPr>
        <w:rFonts w:hint="default"/>
        <w:lang w:val="zh-CN" w:eastAsia="zh-CN" w:bidi="zh-CN"/>
      </w:rPr>
    </w:lvl>
    <w:lvl w:ilvl="6" w:tentative="0">
      <w:start w:val="0"/>
      <w:numFmt w:val="bullet"/>
      <w:lvlText w:val="•"/>
      <w:lvlJc w:val="left"/>
      <w:pPr>
        <w:ind w:left="6790" w:hanging="314"/>
      </w:pPr>
      <w:rPr>
        <w:rFonts w:hint="default"/>
        <w:lang w:val="zh-CN" w:eastAsia="zh-CN" w:bidi="zh-CN"/>
      </w:rPr>
    </w:lvl>
    <w:lvl w:ilvl="7" w:tentative="0">
      <w:start w:val="0"/>
      <w:numFmt w:val="bullet"/>
      <w:lvlText w:val="•"/>
      <w:lvlJc w:val="left"/>
      <w:pPr>
        <w:ind w:left="7684" w:hanging="314"/>
      </w:pPr>
      <w:rPr>
        <w:rFonts w:hint="default"/>
        <w:lang w:val="zh-CN" w:eastAsia="zh-CN" w:bidi="zh-CN"/>
      </w:rPr>
    </w:lvl>
    <w:lvl w:ilvl="8" w:tentative="0">
      <w:start w:val="0"/>
      <w:numFmt w:val="bullet"/>
      <w:lvlText w:val="•"/>
      <w:lvlJc w:val="left"/>
      <w:pPr>
        <w:ind w:left="8578" w:hanging="314"/>
      </w:pPr>
      <w:rPr>
        <w:rFonts w:hint="default"/>
        <w:lang w:val="zh-CN" w:eastAsia="zh-CN" w:bidi="zh-CN"/>
      </w:rPr>
    </w:lvl>
  </w:abstractNum>
  <w:abstractNum w:abstractNumId="31">
    <w:nsid w:val="65CD0074"/>
    <w:multiLevelType w:val="multilevel"/>
    <w:tmpl w:val="65CD0074"/>
    <w:lvl w:ilvl="0" w:tentative="0">
      <w:start w:val="1"/>
      <w:numFmt w:val="decimal"/>
      <w:lvlText w:val="%1"/>
      <w:lvlJc w:val="left"/>
      <w:pPr>
        <w:ind w:left="1736" w:hanging="483"/>
        <w:jc w:val="left"/>
      </w:pPr>
      <w:rPr>
        <w:rFonts w:hint="default"/>
        <w:lang w:val="zh-CN" w:eastAsia="zh-CN" w:bidi="zh-CN"/>
      </w:rPr>
    </w:lvl>
    <w:lvl w:ilvl="1" w:tentative="0">
      <w:start w:val="1"/>
      <w:numFmt w:val="decimal"/>
      <w:lvlText w:val="%1.%2"/>
      <w:lvlJc w:val="left"/>
      <w:pPr>
        <w:ind w:left="1736" w:hanging="483"/>
        <w:jc w:val="left"/>
      </w:pPr>
      <w:rPr>
        <w:rFonts w:hint="default" w:ascii="仿宋" w:hAnsi="仿宋" w:eastAsia="仿宋" w:cs="仿宋"/>
        <w:b/>
        <w:bCs/>
        <w:spacing w:val="0"/>
        <w:w w:val="99"/>
        <w:sz w:val="24"/>
        <w:szCs w:val="24"/>
        <w:lang w:val="zh-CN" w:eastAsia="zh-CN" w:bidi="zh-CN"/>
      </w:rPr>
    </w:lvl>
    <w:lvl w:ilvl="2" w:tentative="0">
      <w:start w:val="1"/>
      <w:numFmt w:val="decimal"/>
      <w:lvlText w:val="%1.%2.%3"/>
      <w:lvlJc w:val="left"/>
      <w:pPr>
        <w:ind w:left="1974" w:hanging="720"/>
        <w:jc w:val="left"/>
      </w:pPr>
      <w:rPr>
        <w:rFonts w:hint="default" w:ascii="仿宋" w:hAnsi="仿宋" w:eastAsia="仿宋" w:cs="仿宋"/>
        <w:w w:val="100"/>
        <w:sz w:val="24"/>
        <w:szCs w:val="24"/>
        <w:lang w:val="zh-CN" w:eastAsia="zh-CN" w:bidi="zh-CN"/>
      </w:rPr>
    </w:lvl>
    <w:lvl w:ilvl="3" w:tentative="0">
      <w:start w:val="0"/>
      <w:numFmt w:val="bullet"/>
      <w:lvlText w:val="•"/>
      <w:lvlJc w:val="left"/>
      <w:pPr>
        <w:ind w:left="1980" w:hanging="720"/>
      </w:pPr>
      <w:rPr>
        <w:rFonts w:hint="default"/>
        <w:lang w:val="zh-CN" w:eastAsia="zh-CN" w:bidi="zh-CN"/>
      </w:rPr>
    </w:lvl>
    <w:lvl w:ilvl="4" w:tentative="0">
      <w:start w:val="0"/>
      <w:numFmt w:val="bullet"/>
      <w:lvlText w:val="•"/>
      <w:lvlJc w:val="left"/>
      <w:pPr>
        <w:ind w:left="3103" w:hanging="720"/>
      </w:pPr>
      <w:rPr>
        <w:rFonts w:hint="default"/>
        <w:lang w:val="zh-CN" w:eastAsia="zh-CN" w:bidi="zh-CN"/>
      </w:rPr>
    </w:lvl>
    <w:lvl w:ilvl="5" w:tentative="0">
      <w:start w:val="0"/>
      <w:numFmt w:val="bullet"/>
      <w:lvlText w:val="•"/>
      <w:lvlJc w:val="left"/>
      <w:pPr>
        <w:ind w:left="4227" w:hanging="720"/>
      </w:pPr>
      <w:rPr>
        <w:rFonts w:hint="default"/>
        <w:lang w:val="zh-CN" w:eastAsia="zh-CN" w:bidi="zh-CN"/>
      </w:rPr>
    </w:lvl>
    <w:lvl w:ilvl="6" w:tentative="0">
      <w:start w:val="0"/>
      <w:numFmt w:val="bullet"/>
      <w:lvlText w:val="•"/>
      <w:lvlJc w:val="left"/>
      <w:pPr>
        <w:ind w:left="5351" w:hanging="720"/>
      </w:pPr>
      <w:rPr>
        <w:rFonts w:hint="default"/>
        <w:lang w:val="zh-CN" w:eastAsia="zh-CN" w:bidi="zh-CN"/>
      </w:rPr>
    </w:lvl>
    <w:lvl w:ilvl="7" w:tentative="0">
      <w:start w:val="0"/>
      <w:numFmt w:val="bullet"/>
      <w:lvlText w:val="•"/>
      <w:lvlJc w:val="left"/>
      <w:pPr>
        <w:ind w:left="6475" w:hanging="720"/>
      </w:pPr>
      <w:rPr>
        <w:rFonts w:hint="default"/>
        <w:lang w:val="zh-CN" w:eastAsia="zh-CN" w:bidi="zh-CN"/>
      </w:rPr>
    </w:lvl>
    <w:lvl w:ilvl="8" w:tentative="0">
      <w:start w:val="0"/>
      <w:numFmt w:val="bullet"/>
      <w:lvlText w:val="•"/>
      <w:lvlJc w:val="left"/>
      <w:pPr>
        <w:ind w:left="7599" w:hanging="720"/>
      </w:pPr>
      <w:rPr>
        <w:rFonts w:hint="default"/>
        <w:lang w:val="zh-CN" w:eastAsia="zh-CN" w:bidi="zh-CN"/>
      </w:rPr>
    </w:lvl>
  </w:abstractNum>
  <w:abstractNum w:abstractNumId="32">
    <w:nsid w:val="77ECEA79"/>
    <w:multiLevelType w:val="multilevel"/>
    <w:tmpl w:val="77ECEA79"/>
    <w:lvl w:ilvl="0" w:tentative="0">
      <w:start w:val="1"/>
      <w:numFmt w:val="decimal"/>
      <w:lvlText w:val="%1."/>
      <w:lvlJc w:val="left"/>
      <w:pPr>
        <w:ind w:left="1057" w:hanging="314"/>
        <w:jc w:val="left"/>
      </w:pPr>
      <w:rPr>
        <w:rFonts w:hint="default" w:ascii="仿宋" w:hAnsi="仿宋" w:eastAsia="仿宋" w:cs="仿宋"/>
        <w:spacing w:val="-2"/>
        <w:w w:val="99"/>
        <w:sz w:val="19"/>
        <w:szCs w:val="19"/>
        <w:lang w:val="zh-CN" w:eastAsia="zh-CN" w:bidi="zh-CN"/>
      </w:rPr>
    </w:lvl>
    <w:lvl w:ilvl="1" w:tentative="0">
      <w:start w:val="0"/>
      <w:numFmt w:val="bullet"/>
      <w:lvlText w:val="•"/>
      <w:lvlJc w:val="left"/>
      <w:pPr>
        <w:ind w:left="1990" w:hanging="314"/>
      </w:pPr>
      <w:rPr>
        <w:rFonts w:hint="default"/>
        <w:lang w:val="zh-CN" w:eastAsia="zh-CN" w:bidi="zh-CN"/>
      </w:rPr>
    </w:lvl>
    <w:lvl w:ilvl="2" w:tentative="0">
      <w:start w:val="0"/>
      <w:numFmt w:val="bullet"/>
      <w:lvlText w:val="•"/>
      <w:lvlJc w:val="left"/>
      <w:pPr>
        <w:ind w:left="2921" w:hanging="314"/>
      </w:pPr>
      <w:rPr>
        <w:rFonts w:hint="default"/>
        <w:lang w:val="zh-CN" w:eastAsia="zh-CN" w:bidi="zh-CN"/>
      </w:rPr>
    </w:lvl>
    <w:lvl w:ilvl="3" w:tentative="0">
      <w:start w:val="0"/>
      <w:numFmt w:val="bullet"/>
      <w:lvlText w:val="•"/>
      <w:lvlJc w:val="left"/>
      <w:pPr>
        <w:ind w:left="3851" w:hanging="314"/>
      </w:pPr>
      <w:rPr>
        <w:rFonts w:hint="default"/>
        <w:lang w:val="zh-CN" w:eastAsia="zh-CN" w:bidi="zh-CN"/>
      </w:rPr>
    </w:lvl>
    <w:lvl w:ilvl="4" w:tentative="0">
      <w:start w:val="0"/>
      <w:numFmt w:val="bullet"/>
      <w:lvlText w:val="•"/>
      <w:lvlJc w:val="left"/>
      <w:pPr>
        <w:ind w:left="4782" w:hanging="314"/>
      </w:pPr>
      <w:rPr>
        <w:rFonts w:hint="default"/>
        <w:lang w:val="zh-CN" w:eastAsia="zh-CN" w:bidi="zh-CN"/>
      </w:rPr>
    </w:lvl>
    <w:lvl w:ilvl="5" w:tentative="0">
      <w:start w:val="0"/>
      <w:numFmt w:val="bullet"/>
      <w:lvlText w:val="•"/>
      <w:lvlJc w:val="left"/>
      <w:pPr>
        <w:ind w:left="5713" w:hanging="314"/>
      </w:pPr>
      <w:rPr>
        <w:rFonts w:hint="default"/>
        <w:lang w:val="zh-CN" w:eastAsia="zh-CN" w:bidi="zh-CN"/>
      </w:rPr>
    </w:lvl>
    <w:lvl w:ilvl="6" w:tentative="0">
      <w:start w:val="0"/>
      <w:numFmt w:val="bullet"/>
      <w:lvlText w:val="•"/>
      <w:lvlJc w:val="left"/>
      <w:pPr>
        <w:ind w:left="6643" w:hanging="314"/>
      </w:pPr>
      <w:rPr>
        <w:rFonts w:hint="default"/>
        <w:lang w:val="zh-CN" w:eastAsia="zh-CN" w:bidi="zh-CN"/>
      </w:rPr>
    </w:lvl>
    <w:lvl w:ilvl="7" w:tentative="0">
      <w:start w:val="0"/>
      <w:numFmt w:val="bullet"/>
      <w:lvlText w:val="•"/>
      <w:lvlJc w:val="left"/>
      <w:pPr>
        <w:ind w:left="7574" w:hanging="314"/>
      </w:pPr>
      <w:rPr>
        <w:rFonts w:hint="default"/>
        <w:lang w:val="zh-CN" w:eastAsia="zh-CN" w:bidi="zh-CN"/>
      </w:rPr>
    </w:lvl>
    <w:lvl w:ilvl="8" w:tentative="0">
      <w:start w:val="0"/>
      <w:numFmt w:val="bullet"/>
      <w:lvlText w:val="•"/>
      <w:lvlJc w:val="left"/>
      <w:pPr>
        <w:ind w:left="8504" w:hanging="314"/>
      </w:pPr>
      <w:rPr>
        <w:rFonts w:hint="default"/>
        <w:lang w:val="zh-CN" w:eastAsia="zh-CN" w:bidi="zh-CN"/>
      </w:rPr>
    </w:lvl>
  </w:abstractNum>
  <w:abstractNum w:abstractNumId="33">
    <w:nsid w:val="79AA4FA4"/>
    <w:multiLevelType w:val="multilevel"/>
    <w:tmpl w:val="79AA4FA4"/>
    <w:lvl w:ilvl="0" w:tentative="0">
      <w:start w:val="7"/>
      <w:numFmt w:val="decimal"/>
      <w:lvlText w:val="（%1）"/>
      <w:lvlJc w:val="left"/>
      <w:pPr>
        <w:ind w:left="1337" w:hanging="601"/>
        <w:jc w:val="left"/>
      </w:pPr>
      <w:rPr>
        <w:rFonts w:hint="default" w:ascii="仿宋" w:hAnsi="仿宋" w:eastAsia="仿宋" w:cs="仿宋"/>
        <w:w w:val="100"/>
        <w:sz w:val="22"/>
        <w:szCs w:val="22"/>
        <w:lang w:val="zh-CN" w:eastAsia="zh-CN" w:bidi="zh-CN"/>
      </w:rPr>
    </w:lvl>
    <w:lvl w:ilvl="1" w:tentative="0">
      <w:start w:val="1"/>
      <w:numFmt w:val="decimal"/>
      <w:lvlText w:val="%2."/>
      <w:lvlJc w:val="left"/>
      <w:pPr>
        <w:ind w:left="1217" w:hanging="241"/>
        <w:jc w:val="left"/>
      </w:pPr>
      <w:rPr>
        <w:rFonts w:hint="default" w:ascii="仿宋" w:hAnsi="仿宋" w:eastAsia="仿宋" w:cs="仿宋"/>
        <w:w w:val="100"/>
        <w:sz w:val="22"/>
        <w:szCs w:val="22"/>
        <w:lang w:val="zh-CN" w:eastAsia="zh-CN" w:bidi="zh-CN"/>
      </w:rPr>
    </w:lvl>
    <w:lvl w:ilvl="2" w:tentative="0">
      <w:start w:val="0"/>
      <w:numFmt w:val="bullet"/>
      <w:lvlText w:val="•"/>
      <w:lvlJc w:val="left"/>
      <w:pPr>
        <w:ind w:left="2342" w:hanging="241"/>
      </w:pPr>
      <w:rPr>
        <w:rFonts w:hint="default"/>
        <w:lang w:val="zh-CN" w:eastAsia="zh-CN" w:bidi="zh-CN"/>
      </w:rPr>
    </w:lvl>
    <w:lvl w:ilvl="3" w:tentative="0">
      <w:start w:val="0"/>
      <w:numFmt w:val="bullet"/>
      <w:lvlText w:val="•"/>
      <w:lvlJc w:val="left"/>
      <w:pPr>
        <w:ind w:left="3345" w:hanging="241"/>
      </w:pPr>
      <w:rPr>
        <w:rFonts w:hint="default"/>
        <w:lang w:val="zh-CN" w:eastAsia="zh-CN" w:bidi="zh-CN"/>
      </w:rPr>
    </w:lvl>
    <w:lvl w:ilvl="4" w:tentative="0">
      <w:start w:val="0"/>
      <w:numFmt w:val="bullet"/>
      <w:lvlText w:val="•"/>
      <w:lvlJc w:val="left"/>
      <w:pPr>
        <w:ind w:left="4348" w:hanging="241"/>
      </w:pPr>
      <w:rPr>
        <w:rFonts w:hint="default"/>
        <w:lang w:val="zh-CN" w:eastAsia="zh-CN" w:bidi="zh-CN"/>
      </w:rPr>
    </w:lvl>
    <w:lvl w:ilvl="5" w:tentative="0">
      <w:start w:val="0"/>
      <w:numFmt w:val="bullet"/>
      <w:lvlText w:val="•"/>
      <w:lvlJc w:val="left"/>
      <w:pPr>
        <w:ind w:left="5351" w:hanging="241"/>
      </w:pPr>
      <w:rPr>
        <w:rFonts w:hint="default"/>
        <w:lang w:val="zh-CN" w:eastAsia="zh-CN" w:bidi="zh-CN"/>
      </w:rPr>
    </w:lvl>
    <w:lvl w:ilvl="6" w:tentative="0">
      <w:start w:val="0"/>
      <w:numFmt w:val="bullet"/>
      <w:lvlText w:val="•"/>
      <w:lvlJc w:val="left"/>
      <w:pPr>
        <w:ind w:left="6354" w:hanging="241"/>
      </w:pPr>
      <w:rPr>
        <w:rFonts w:hint="default"/>
        <w:lang w:val="zh-CN" w:eastAsia="zh-CN" w:bidi="zh-CN"/>
      </w:rPr>
    </w:lvl>
    <w:lvl w:ilvl="7" w:tentative="0">
      <w:start w:val="0"/>
      <w:numFmt w:val="bullet"/>
      <w:lvlText w:val="•"/>
      <w:lvlJc w:val="left"/>
      <w:pPr>
        <w:ind w:left="7357" w:hanging="241"/>
      </w:pPr>
      <w:rPr>
        <w:rFonts w:hint="default"/>
        <w:lang w:val="zh-CN" w:eastAsia="zh-CN" w:bidi="zh-CN"/>
      </w:rPr>
    </w:lvl>
    <w:lvl w:ilvl="8" w:tentative="0">
      <w:start w:val="0"/>
      <w:numFmt w:val="bullet"/>
      <w:lvlText w:val="•"/>
      <w:lvlJc w:val="left"/>
      <w:pPr>
        <w:ind w:left="8360" w:hanging="241"/>
      </w:pPr>
      <w:rPr>
        <w:rFonts w:hint="default"/>
        <w:lang w:val="zh-CN" w:eastAsia="zh-CN" w:bidi="zh-CN"/>
      </w:rPr>
    </w:lvl>
  </w:abstractNum>
  <w:abstractNum w:abstractNumId="34">
    <w:nsid w:val="7B42FABE"/>
    <w:multiLevelType w:val="singleLevel"/>
    <w:tmpl w:val="7B42FABE"/>
    <w:lvl w:ilvl="0" w:tentative="0">
      <w:start w:val="1"/>
      <w:numFmt w:val="chineseCounting"/>
      <w:lvlText w:val="%1、"/>
      <w:lvlJc w:val="left"/>
      <w:rPr>
        <w:rFonts w:hint="eastAsia"/>
      </w:rPr>
    </w:lvl>
  </w:abstractNum>
  <w:abstractNum w:abstractNumId="35">
    <w:nsid w:val="7C246926"/>
    <w:multiLevelType w:val="multilevel"/>
    <w:tmpl w:val="7C246926"/>
    <w:lvl w:ilvl="0" w:tentative="0">
      <w:start w:val="1"/>
      <w:numFmt w:val="decimal"/>
      <w:lvlText w:val="%1."/>
      <w:lvlJc w:val="left"/>
      <w:pPr>
        <w:ind w:left="1790" w:hanging="314"/>
        <w:jc w:val="left"/>
      </w:pPr>
      <w:rPr>
        <w:rFonts w:hint="default" w:ascii="仿宋" w:hAnsi="仿宋" w:eastAsia="仿宋" w:cs="仿宋"/>
        <w:spacing w:val="-2"/>
        <w:w w:val="99"/>
        <w:sz w:val="19"/>
        <w:szCs w:val="19"/>
        <w:lang w:val="zh-CN" w:eastAsia="zh-CN" w:bidi="zh-CN"/>
      </w:rPr>
    </w:lvl>
    <w:lvl w:ilvl="1" w:tentative="0">
      <w:start w:val="0"/>
      <w:numFmt w:val="bullet"/>
      <w:lvlText w:val="•"/>
      <w:lvlJc w:val="left"/>
      <w:pPr>
        <w:ind w:left="2656" w:hanging="314"/>
      </w:pPr>
      <w:rPr>
        <w:rFonts w:hint="default"/>
        <w:lang w:val="zh-CN" w:eastAsia="zh-CN" w:bidi="zh-CN"/>
      </w:rPr>
    </w:lvl>
    <w:lvl w:ilvl="2" w:tentative="0">
      <w:start w:val="0"/>
      <w:numFmt w:val="bullet"/>
      <w:lvlText w:val="•"/>
      <w:lvlJc w:val="left"/>
      <w:pPr>
        <w:ind w:left="3513" w:hanging="314"/>
      </w:pPr>
      <w:rPr>
        <w:rFonts w:hint="default"/>
        <w:lang w:val="zh-CN" w:eastAsia="zh-CN" w:bidi="zh-CN"/>
      </w:rPr>
    </w:lvl>
    <w:lvl w:ilvl="3" w:tentative="0">
      <w:start w:val="0"/>
      <w:numFmt w:val="bullet"/>
      <w:lvlText w:val="•"/>
      <w:lvlJc w:val="left"/>
      <w:pPr>
        <w:ind w:left="4369" w:hanging="314"/>
      </w:pPr>
      <w:rPr>
        <w:rFonts w:hint="default"/>
        <w:lang w:val="zh-CN" w:eastAsia="zh-CN" w:bidi="zh-CN"/>
      </w:rPr>
    </w:lvl>
    <w:lvl w:ilvl="4" w:tentative="0">
      <w:start w:val="0"/>
      <w:numFmt w:val="bullet"/>
      <w:lvlText w:val="•"/>
      <w:lvlJc w:val="left"/>
      <w:pPr>
        <w:ind w:left="5226" w:hanging="314"/>
      </w:pPr>
      <w:rPr>
        <w:rFonts w:hint="default"/>
        <w:lang w:val="zh-CN" w:eastAsia="zh-CN" w:bidi="zh-CN"/>
      </w:rPr>
    </w:lvl>
    <w:lvl w:ilvl="5" w:tentative="0">
      <w:start w:val="0"/>
      <w:numFmt w:val="bullet"/>
      <w:lvlText w:val="•"/>
      <w:lvlJc w:val="left"/>
      <w:pPr>
        <w:ind w:left="6083" w:hanging="314"/>
      </w:pPr>
      <w:rPr>
        <w:rFonts w:hint="default"/>
        <w:lang w:val="zh-CN" w:eastAsia="zh-CN" w:bidi="zh-CN"/>
      </w:rPr>
    </w:lvl>
    <w:lvl w:ilvl="6" w:tentative="0">
      <w:start w:val="0"/>
      <w:numFmt w:val="bullet"/>
      <w:lvlText w:val="•"/>
      <w:lvlJc w:val="left"/>
      <w:pPr>
        <w:ind w:left="6939" w:hanging="314"/>
      </w:pPr>
      <w:rPr>
        <w:rFonts w:hint="default"/>
        <w:lang w:val="zh-CN" w:eastAsia="zh-CN" w:bidi="zh-CN"/>
      </w:rPr>
    </w:lvl>
    <w:lvl w:ilvl="7" w:tentative="0">
      <w:start w:val="0"/>
      <w:numFmt w:val="bullet"/>
      <w:lvlText w:val="•"/>
      <w:lvlJc w:val="left"/>
      <w:pPr>
        <w:ind w:left="7796" w:hanging="314"/>
      </w:pPr>
      <w:rPr>
        <w:rFonts w:hint="default"/>
        <w:lang w:val="zh-CN" w:eastAsia="zh-CN" w:bidi="zh-CN"/>
      </w:rPr>
    </w:lvl>
    <w:lvl w:ilvl="8" w:tentative="0">
      <w:start w:val="0"/>
      <w:numFmt w:val="bullet"/>
      <w:lvlText w:val="•"/>
      <w:lvlJc w:val="left"/>
      <w:pPr>
        <w:ind w:left="8652" w:hanging="314"/>
      </w:pPr>
      <w:rPr>
        <w:rFonts w:hint="default"/>
        <w:lang w:val="zh-CN" w:eastAsia="zh-CN" w:bidi="zh-CN"/>
      </w:rPr>
    </w:lvl>
  </w:abstractNum>
  <w:abstractNum w:abstractNumId="36">
    <w:nsid w:val="7DEC2089"/>
    <w:multiLevelType w:val="multilevel"/>
    <w:tmpl w:val="7DEC2089"/>
    <w:lvl w:ilvl="0" w:tentative="0">
      <w:start w:val="1"/>
      <w:numFmt w:val="decimal"/>
      <w:lvlText w:val="%1."/>
      <w:lvlJc w:val="left"/>
      <w:pPr>
        <w:ind w:left="1057" w:hanging="314"/>
        <w:jc w:val="left"/>
      </w:pPr>
      <w:rPr>
        <w:rFonts w:hint="default" w:ascii="仿宋" w:hAnsi="仿宋" w:eastAsia="仿宋" w:cs="仿宋"/>
        <w:spacing w:val="-2"/>
        <w:w w:val="99"/>
        <w:sz w:val="19"/>
        <w:szCs w:val="19"/>
        <w:lang w:val="zh-CN" w:eastAsia="zh-CN" w:bidi="zh-CN"/>
      </w:rPr>
    </w:lvl>
    <w:lvl w:ilvl="1" w:tentative="0">
      <w:start w:val="0"/>
      <w:numFmt w:val="bullet"/>
      <w:lvlText w:val="•"/>
      <w:lvlJc w:val="left"/>
      <w:pPr>
        <w:ind w:left="1990" w:hanging="314"/>
      </w:pPr>
      <w:rPr>
        <w:rFonts w:hint="default"/>
        <w:lang w:val="zh-CN" w:eastAsia="zh-CN" w:bidi="zh-CN"/>
      </w:rPr>
    </w:lvl>
    <w:lvl w:ilvl="2" w:tentative="0">
      <w:start w:val="0"/>
      <w:numFmt w:val="bullet"/>
      <w:lvlText w:val="•"/>
      <w:lvlJc w:val="left"/>
      <w:pPr>
        <w:ind w:left="2921" w:hanging="314"/>
      </w:pPr>
      <w:rPr>
        <w:rFonts w:hint="default"/>
        <w:lang w:val="zh-CN" w:eastAsia="zh-CN" w:bidi="zh-CN"/>
      </w:rPr>
    </w:lvl>
    <w:lvl w:ilvl="3" w:tentative="0">
      <w:start w:val="0"/>
      <w:numFmt w:val="bullet"/>
      <w:lvlText w:val="•"/>
      <w:lvlJc w:val="left"/>
      <w:pPr>
        <w:ind w:left="3851" w:hanging="314"/>
      </w:pPr>
      <w:rPr>
        <w:rFonts w:hint="default"/>
        <w:lang w:val="zh-CN" w:eastAsia="zh-CN" w:bidi="zh-CN"/>
      </w:rPr>
    </w:lvl>
    <w:lvl w:ilvl="4" w:tentative="0">
      <w:start w:val="0"/>
      <w:numFmt w:val="bullet"/>
      <w:lvlText w:val="•"/>
      <w:lvlJc w:val="left"/>
      <w:pPr>
        <w:ind w:left="4782" w:hanging="314"/>
      </w:pPr>
      <w:rPr>
        <w:rFonts w:hint="default"/>
        <w:lang w:val="zh-CN" w:eastAsia="zh-CN" w:bidi="zh-CN"/>
      </w:rPr>
    </w:lvl>
    <w:lvl w:ilvl="5" w:tentative="0">
      <w:start w:val="0"/>
      <w:numFmt w:val="bullet"/>
      <w:lvlText w:val="•"/>
      <w:lvlJc w:val="left"/>
      <w:pPr>
        <w:ind w:left="5713" w:hanging="314"/>
      </w:pPr>
      <w:rPr>
        <w:rFonts w:hint="default"/>
        <w:lang w:val="zh-CN" w:eastAsia="zh-CN" w:bidi="zh-CN"/>
      </w:rPr>
    </w:lvl>
    <w:lvl w:ilvl="6" w:tentative="0">
      <w:start w:val="0"/>
      <w:numFmt w:val="bullet"/>
      <w:lvlText w:val="•"/>
      <w:lvlJc w:val="left"/>
      <w:pPr>
        <w:ind w:left="6643" w:hanging="314"/>
      </w:pPr>
      <w:rPr>
        <w:rFonts w:hint="default"/>
        <w:lang w:val="zh-CN" w:eastAsia="zh-CN" w:bidi="zh-CN"/>
      </w:rPr>
    </w:lvl>
    <w:lvl w:ilvl="7" w:tentative="0">
      <w:start w:val="0"/>
      <w:numFmt w:val="bullet"/>
      <w:lvlText w:val="•"/>
      <w:lvlJc w:val="left"/>
      <w:pPr>
        <w:ind w:left="7574" w:hanging="314"/>
      </w:pPr>
      <w:rPr>
        <w:rFonts w:hint="default"/>
        <w:lang w:val="zh-CN" w:eastAsia="zh-CN" w:bidi="zh-CN"/>
      </w:rPr>
    </w:lvl>
    <w:lvl w:ilvl="8" w:tentative="0">
      <w:start w:val="0"/>
      <w:numFmt w:val="bullet"/>
      <w:lvlText w:val="•"/>
      <w:lvlJc w:val="left"/>
      <w:pPr>
        <w:ind w:left="8504" w:hanging="314"/>
      </w:pPr>
      <w:rPr>
        <w:rFonts w:hint="default"/>
        <w:lang w:val="zh-CN" w:eastAsia="zh-CN" w:bidi="zh-CN"/>
      </w:rPr>
    </w:lvl>
  </w:abstractNum>
  <w:num w:numId="1">
    <w:abstractNumId w:val="13"/>
  </w:num>
  <w:num w:numId="2">
    <w:abstractNumId w:val="9"/>
  </w:num>
  <w:num w:numId="3">
    <w:abstractNumId w:val="29"/>
  </w:num>
  <w:num w:numId="4">
    <w:abstractNumId w:val="7"/>
  </w:num>
  <w:num w:numId="5">
    <w:abstractNumId w:val="5"/>
  </w:num>
  <w:num w:numId="6">
    <w:abstractNumId w:val="15"/>
  </w:num>
  <w:num w:numId="7">
    <w:abstractNumId w:val="20"/>
  </w:num>
  <w:num w:numId="8">
    <w:abstractNumId w:val="14"/>
  </w:num>
  <w:num w:numId="9">
    <w:abstractNumId w:val="21"/>
  </w:num>
  <w:num w:numId="10">
    <w:abstractNumId w:val="8"/>
  </w:num>
  <w:num w:numId="11">
    <w:abstractNumId w:val="26"/>
  </w:num>
  <w:num w:numId="12">
    <w:abstractNumId w:val="19"/>
  </w:num>
  <w:num w:numId="13">
    <w:abstractNumId w:val="10"/>
  </w:num>
  <w:num w:numId="14">
    <w:abstractNumId w:val="3"/>
  </w:num>
  <w:num w:numId="15">
    <w:abstractNumId w:val="25"/>
  </w:num>
  <w:num w:numId="16">
    <w:abstractNumId w:val="17"/>
  </w:num>
  <w:num w:numId="17">
    <w:abstractNumId w:val="24"/>
  </w:num>
  <w:num w:numId="18">
    <w:abstractNumId w:val="4"/>
  </w:num>
  <w:num w:numId="19">
    <w:abstractNumId w:val="2"/>
  </w:num>
  <w:num w:numId="20">
    <w:abstractNumId w:val="35"/>
  </w:num>
  <w:num w:numId="21">
    <w:abstractNumId w:val="32"/>
  </w:num>
  <w:num w:numId="22">
    <w:abstractNumId w:val="6"/>
  </w:num>
  <w:num w:numId="23">
    <w:abstractNumId w:val="30"/>
  </w:num>
  <w:num w:numId="24">
    <w:abstractNumId w:val="1"/>
  </w:num>
  <w:num w:numId="25">
    <w:abstractNumId w:val="28"/>
  </w:num>
  <w:num w:numId="26">
    <w:abstractNumId w:val="36"/>
  </w:num>
  <w:num w:numId="27">
    <w:abstractNumId w:val="0"/>
  </w:num>
  <w:num w:numId="28">
    <w:abstractNumId w:val="18"/>
  </w:num>
  <w:num w:numId="29">
    <w:abstractNumId w:val="23"/>
  </w:num>
  <w:num w:numId="30">
    <w:abstractNumId w:val="27"/>
  </w:num>
  <w:num w:numId="31">
    <w:abstractNumId w:val="12"/>
  </w:num>
  <w:num w:numId="32">
    <w:abstractNumId w:val="11"/>
  </w:num>
  <w:num w:numId="33">
    <w:abstractNumId w:val="34"/>
  </w:num>
  <w:num w:numId="34">
    <w:abstractNumId w:val="33"/>
  </w:num>
  <w:num w:numId="35">
    <w:abstractNumId w:val="31"/>
  </w:num>
  <w:num w:numId="36">
    <w:abstractNumId w:val="16"/>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720"/>
  <w:drawingGridHorizontalSpacing w:val="110"/>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yNjE2NjRiMDI0ZmVhYjc4ZjY0MDQzODVmNjY3OTQifQ=="/>
  </w:docVars>
  <w:rsids>
    <w:rsidRoot w:val="00537615"/>
    <w:rsid w:val="00050816"/>
    <w:rsid w:val="00286F84"/>
    <w:rsid w:val="00314A2D"/>
    <w:rsid w:val="003345ED"/>
    <w:rsid w:val="00537615"/>
    <w:rsid w:val="00704DA2"/>
    <w:rsid w:val="00B12C14"/>
    <w:rsid w:val="00B86747"/>
    <w:rsid w:val="00FA4DD5"/>
    <w:rsid w:val="01227029"/>
    <w:rsid w:val="013112C6"/>
    <w:rsid w:val="016025FC"/>
    <w:rsid w:val="016877B5"/>
    <w:rsid w:val="01A33D8A"/>
    <w:rsid w:val="01F374F6"/>
    <w:rsid w:val="02574727"/>
    <w:rsid w:val="02592830"/>
    <w:rsid w:val="02783EE4"/>
    <w:rsid w:val="02B02490"/>
    <w:rsid w:val="02D7739B"/>
    <w:rsid w:val="0301703E"/>
    <w:rsid w:val="038E2436"/>
    <w:rsid w:val="03A93692"/>
    <w:rsid w:val="042F5A8D"/>
    <w:rsid w:val="04836C58"/>
    <w:rsid w:val="04A04386"/>
    <w:rsid w:val="04B343ED"/>
    <w:rsid w:val="054A66F2"/>
    <w:rsid w:val="056D52E8"/>
    <w:rsid w:val="063D2F0C"/>
    <w:rsid w:val="06615543"/>
    <w:rsid w:val="0676641E"/>
    <w:rsid w:val="06A06CE4"/>
    <w:rsid w:val="06BF3FA4"/>
    <w:rsid w:val="06CD5607"/>
    <w:rsid w:val="07FE25A7"/>
    <w:rsid w:val="0835385D"/>
    <w:rsid w:val="08400A92"/>
    <w:rsid w:val="084B3647"/>
    <w:rsid w:val="08A47E7F"/>
    <w:rsid w:val="08D069ED"/>
    <w:rsid w:val="08F75074"/>
    <w:rsid w:val="090128B9"/>
    <w:rsid w:val="09062576"/>
    <w:rsid w:val="09174507"/>
    <w:rsid w:val="09257549"/>
    <w:rsid w:val="09CB6A81"/>
    <w:rsid w:val="09DF42DA"/>
    <w:rsid w:val="0A6250B9"/>
    <w:rsid w:val="0B1F5935"/>
    <w:rsid w:val="0B2E5570"/>
    <w:rsid w:val="0B5F0E51"/>
    <w:rsid w:val="0B9C318D"/>
    <w:rsid w:val="0C1065B2"/>
    <w:rsid w:val="0CAE0F5E"/>
    <w:rsid w:val="0CBA24AA"/>
    <w:rsid w:val="0CC46FEE"/>
    <w:rsid w:val="0E0B78C7"/>
    <w:rsid w:val="0E3F5808"/>
    <w:rsid w:val="0E581951"/>
    <w:rsid w:val="0E8405C1"/>
    <w:rsid w:val="0EF40828"/>
    <w:rsid w:val="0EFE5203"/>
    <w:rsid w:val="0F3311B7"/>
    <w:rsid w:val="0FBD510C"/>
    <w:rsid w:val="0FBF535A"/>
    <w:rsid w:val="0FCE0E92"/>
    <w:rsid w:val="0FD273DE"/>
    <w:rsid w:val="105E4880"/>
    <w:rsid w:val="106864A9"/>
    <w:rsid w:val="10DA393A"/>
    <w:rsid w:val="10DC476C"/>
    <w:rsid w:val="10F424F8"/>
    <w:rsid w:val="11286567"/>
    <w:rsid w:val="113C57F9"/>
    <w:rsid w:val="11710C88"/>
    <w:rsid w:val="11B01BB4"/>
    <w:rsid w:val="122F3277"/>
    <w:rsid w:val="12555A81"/>
    <w:rsid w:val="129E5D2A"/>
    <w:rsid w:val="139D68FB"/>
    <w:rsid w:val="13A700DF"/>
    <w:rsid w:val="13D91579"/>
    <w:rsid w:val="14392206"/>
    <w:rsid w:val="1447615A"/>
    <w:rsid w:val="14560FB1"/>
    <w:rsid w:val="14D823C5"/>
    <w:rsid w:val="152F0B1B"/>
    <w:rsid w:val="15477903"/>
    <w:rsid w:val="15484EA4"/>
    <w:rsid w:val="15731C8E"/>
    <w:rsid w:val="15B06CEE"/>
    <w:rsid w:val="15E7427E"/>
    <w:rsid w:val="15FA2BC8"/>
    <w:rsid w:val="15FF3D3A"/>
    <w:rsid w:val="163F34B3"/>
    <w:rsid w:val="16C93FBD"/>
    <w:rsid w:val="16CF02A2"/>
    <w:rsid w:val="16FE43C5"/>
    <w:rsid w:val="177338E3"/>
    <w:rsid w:val="17BE5517"/>
    <w:rsid w:val="1868153F"/>
    <w:rsid w:val="18AB5863"/>
    <w:rsid w:val="18D90323"/>
    <w:rsid w:val="1936632A"/>
    <w:rsid w:val="195F3195"/>
    <w:rsid w:val="199926F8"/>
    <w:rsid w:val="199D1980"/>
    <w:rsid w:val="1A1F443E"/>
    <w:rsid w:val="1A6241F6"/>
    <w:rsid w:val="1AFD11C6"/>
    <w:rsid w:val="1B172E28"/>
    <w:rsid w:val="1B28160E"/>
    <w:rsid w:val="1B307E0B"/>
    <w:rsid w:val="1BF5780F"/>
    <w:rsid w:val="1C3D380E"/>
    <w:rsid w:val="1C3E1334"/>
    <w:rsid w:val="1C4A5F2B"/>
    <w:rsid w:val="1C58699D"/>
    <w:rsid w:val="1C9F6708"/>
    <w:rsid w:val="1CFC3677"/>
    <w:rsid w:val="1D204952"/>
    <w:rsid w:val="1E145AAE"/>
    <w:rsid w:val="1E830835"/>
    <w:rsid w:val="1E982F7E"/>
    <w:rsid w:val="1EAB7E95"/>
    <w:rsid w:val="1ECB1438"/>
    <w:rsid w:val="1F497BD5"/>
    <w:rsid w:val="1F7B6820"/>
    <w:rsid w:val="1F8059F6"/>
    <w:rsid w:val="1FC10845"/>
    <w:rsid w:val="201C198C"/>
    <w:rsid w:val="20203874"/>
    <w:rsid w:val="20526AA9"/>
    <w:rsid w:val="213510C5"/>
    <w:rsid w:val="218F68ED"/>
    <w:rsid w:val="219F23DC"/>
    <w:rsid w:val="22C175C7"/>
    <w:rsid w:val="22C94B32"/>
    <w:rsid w:val="235356C5"/>
    <w:rsid w:val="23641680"/>
    <w:rsid w:val="23A128D5"/>
    <w:rsid w:val="23B95E70"/>
    <w:rsid w:val="23E906C4"/>
    <w:rsid w:val="24267D09"/>
    <w:rsid w:val="243472A5"/>
    <w:rsid w:val="25227A45"/>
    <w:rsid w:val="252A06A8"/>
    <w:rsid w:val="259B4F24"/>
    <w:rsid w:val="25EF330F"/>
    <w:rsid w:val="262A4E03"/>
    <w:rsid w:val="26334A90"/>
    <w:rsid w:val="266F2816"/>
    <w:rsid w:val="27F8655E"/>
    <w:rsid w:val="28131C63"/>
    <w:rsid w:val="28386790"/>
    <w:rsid w:val="28B1662D"/>
    <w:rsid w:val="28DE665B"/>
    <w:rsid w:val="296A70F4"/>
    <w:rsid w:val="2A1367B2"/>
    <w:rsid w:val="2A1A5B10"/>
    <w:rsid w:val="2A476DCE"/>
    <w:rsid w:val="2AA47782"/>
    <w:rsid w:val="2ABA24CE"/>
    <w:rsid w:val="2AEA2DB3"/>
    <w:rsid w:val="2AEE6038"/>
    <w:rsid w:val="2B51557A"/>
    <w:rsid w:val="2BA70F21"/>
    <w:rsid w:val="2BD65D0E"/>
    <w:rsid w:val="2BFD6B16"/>
    <w:rsid w:val="2C3D526D"/>
    <w:rsid w:val="2E0C044D"/>
    <w:rsid w:val="2E5B1C3A"/>
    <w:rsid w:val="2E855DFC"/>
    <w:rsid w:val="2EDB08EF"/>
    <w:rsid w:val="2F710798"/>
    <w:rsid w:val="2F744C22"/>
    <w:rsid w:val="2F821683"/>
    <w:rsid w:val="2FEF22AF"/>
    <w:rsid w:val="300C1950"/>
    <w:rsid w:val="30204B81"/>
    <w:rsid w:val="30C17E43"/>
    <w:rsid w:val="30DF1290"/>
    <w:rsid w:val="30E20F90"/>
    <w:rsid w:val="310B06CB"/>
    <w:rsid w:val="318943E5"/>
    <w:rsid w:val="31B927C7"/>
    <w:rsid w:val="31C00230"/>
    <w:rsid w:val="31C62DF3"/>
    <w:rsid w:val="31F0381A"/>
    <w:rsid w:val="3207138B"/>
    <w:rsid w:val="32765260"/>
    <w:rsid w:val="32AB123E"/>
    <w:rsid w:val="3317744E"/>
    <w:rsid w:val="332875A0"/>
    <w:rsid w:val="342F7A89"/>
    <w:rsid w:val="343B642D"/>
    <w:rsid w:val="34620B5F"/>
    <w:rsid w:val="346549F8"/>
    <w:rsid w:val="34A41B17"/>
    <w:rsid w:val="34ED2E94"/>
    <w:rsid w:val="34FA7990"/>
    <w:rsid w:val="352315D1"/>
    <w:rsid w:val="35613C72"/>
    <w:rsid w:val="356356DE"/>
    <w:rsid w:val="35667081"/>
    <w:rsid w:val="362872B0"/>
    <w:rsid w:val="36590DED"/>
    <w:rsid w:val="368E178F"/>
    <w:rsid w:val="37D759DF"/>
    <w:rsid w:val="38394CAC"/>
    <w:rsid w:val="387705FB"/>
    <w:rsid w:val="388C054E"/>
    <w:rsid w:val="38DC09BB"/>
    <w:rsid w:val="38F35529"/>
    <w:rsid w:val="39763B1F"/>
    <w:rsid w:val="3A5B3A4B"/>
    <w:rsid w:val="3A620E69"/>
    <w:rsid w:val="3A631D24"/>
    <w:rsid w:val="3BE1581D"/>
    <w:rsid w:val="3C137C90"/>
    <w:rsid w:val="3C8672C6"/>
    <w:rsid w:val="3CA1529C"/>
    <w:rsid w:val="3D404811"/>
    <w:rsid w:val="3D542B91"/>
    <w:rsid w:val="3D687B67"/>
    <w:rsid w:val="3DE96D38"/>
    <w:rsid w:val="3E2D6611"/>
    <w:rsid w:val="3E9641AD"/>
    <w:rsid w:val="3EA41676"/>
    <w:rsid w:val="3ECE7563"/>
    <w:rsid w:val="3F926228"/>
    <w:rsid w:val="3FDB2E96"/>
    <w:rsid w:val="3FDF2363"/>
    <w:rsid w:val="4046433E"/>
    <w:rsid w:val="41300719"/>
    <w:rsid w:val="418D2C85"/>
    <w:rsid w:val="41B50A70"/>
    <w:rsid w:val="42022339"/>
    <w:rsid w:val="43047375"/>
    <w:rsid w:val="430D1059"/>
    <w:rsid w:val="43284F9F"/>
    <w:rsid w:val="441655A2"/>
    <w:rsid w:val="446077EA"/>
    <w:rsid w:val="451E0CB6"/>
    <w:rsid w:val="453D71AB"/>
    <w:rsid w:val="46700E60"/>
    <w:rsid w:val="47A606A4"/>
    <w:rsid w:val="48E42798"/>
    <w:rsid w:val="493A5A7B"/>
    <w:rsid w:val="49760568"/>
    <w:rsid w:val="49A22931"/>
    <w:rsid w:val="49B94330"/>
    <w:rsid w:val="4A185753"/>
    <w:rsid w:val="4A76754E"/>
    <w:rsid w:val="4AC7411F"/>
    <w:rsid w:val="4B0849B7"/>
    <w:rsid w:val="4B09298A"/>
    <w:rsid w:val="4B200E3A"/>
    <w:rsid w:val="4B257098"/>
    <w:rsid w:val="4BAF23FB"/>
    <w:rsid w:val="4BE51A15"/>
    <w:rsid w:val="4C9B1079"/>
    <w:rsid w:val="4DAD2580"/>
    <w:rsid w:val="4DF0398D"/>
    <w:rsid w:val="4E0E61EC"/>
    <w:rsid w:val="4F041BE5"/>
    <w:rsid w:val="4F287777"/>
    <w:rsid w:val="4F3E7FC5"/>
    <w:rsid w:val="4F707237"/>
    <w:rsid w:val="4F746032"/>
    <w:rsid w:val="4F860A4D"/>
    <w:rsid w:val="4F8D15C9"/>
    <w:rsid w:val="507F7F9F"/>
    <w:rsid w:val="50B82D54"/>
    <w:rsid w:val="50E43463"/>
    <w:rsid w:val="50FE4613"/>
    <w:rsid w:val="51032849"/>
    <w:rsid w:val="51356F15"/>
    <w:rsid w:val="51AE324B"/>
    <w:rsid w:val="51E8779D"/>
    <w:rsid w:val="51F42E18"/>
    <w:rsid w:val="51F8670F"/>
    <w:rsid w:val="522F30D6"/>
    <w:rsid w:val="52465F23"/>
    <w:rsid w:val="524C6385"/>
    <w:rsid w:val="527E4746"/>
    <w:rsid w:val="52DB67DA"/>
    <w:rsid w:val="5377683A"/>
    <w:rsid w:val="53795055"/>
    <w:rsid w:val="548A12C1"/>
    <w:rsid w:val="548E182E"/>
    <w:rsid w:val="54CA13DC"/>
    <w:rsid w:val="54E944D5"/>
    <w:rsid w:val="550F583F"/>
    <w:rsid w:val="55472A2C"/>
    <w:rsid w:val="55647092"/>
    <w:rsid w:val="56813117"/>
    <w:rsid w:val="56A24148"/>
    <w:rsid w:val="56F40065"/>
    <w:rsid w:val="575E405D"/>
    <w:rsid w:val="57E813AC"/>
    <w:rsid w:val="57FB0DDF"/>
    <w:rsid w:val="582337FF"/>
    <w:rsid w:val="588C4AD1"/>
    <w:rsid w:val="58961F18"/>
    <w:rsid w:val="58FB7E03"/>
    <w:rsid w:val="5968715A"/>
    <w:rsid w:val="59940847"/>
    <w:rsid w:val="59A33FA9"/>
    <w:rsid w:val="59BB0966"/>
    <w:rsid w:val="59EF2B6B"/>
    <w:rsid w:val="5A731BCE"/>
    <w:rsid w:val="5AA86DED"/>
    <w:rsid w:val="5BCB5B07"/>
    <w:rsid w:val="5BE56AFB"/>
    <w:rsid w:val="5C254C55"/>
    <w:rsid w:val="5C2F06FA"/>
    <w:rsid w:val="5C602FDB"/>
    <w:rsid w:val="5CB86E88"/>
    <w:rsid w:val="5D1A2669"/>
    <w:rsid w:val="5D261179"/>
    <w:rsid w:val="5DC40D68"/>
    <w:rsid w:val="5E4A7C9F"/>
    <w:rsid w:val="5E6338DA"/>
    <w:rsid w:val="5EEB267A"/>
    <w:rsid w:val="5F0E7387"/>
    <w:rsid w:val="5F197545"/>
    <w:rsid w:val="5F655A47"/>
    <w:rsid w:val="5F861111"/>
    <w:rsid w:val="5F9B0E40"/>
    <w:rsid w:val="5FFB48E5"/>
    <w:rsid w:val="60147104"/>
    <w:rsid w:val="60D74DB6"/>
    <w:rsid w:val="61196499"/>
    <w:rsid w:val="6127493E"/>
    <w:rsid w:val="6166423A"/>
    <w:rsid w:val="61CA338F"/>
    <w:rsid w:val="61EC4362"/>
    <w:rsid w:val="61F46119"/>
    <w:rsid w:val="61FE2ABD"/>
    <w:rsid w:val="620B6074"/>
    <w:rsid w:val="62185D2F"/>
    <w:rsid w:val="624B3430"/>
    <w:rsid w:val="62582E89"/>
    <w:rsid w:val="62707047"/>
    <w:rsid w:val="62782477"/>
    <w:rsid w:val="628B3122"/>
    <w:rsid w:val="63152EEF"/>
    <w:rsid w:val="63343A7D"/>
    <w:rsid w:val="63B427AF"/>
    <w:rsid w:val="63DF02D4"/>
    <w:rsid w:val="641F1DC7"/>
    <w:rsid w:val="646F7295"/>
    <w:rsid w:val="654806C1"/>
    <w:rsid w:val="654E5711"/>
    <w:rsid w:val="655B3525"/>
    <w:rsid w:val="655B5D16"/>
    <w:rsid w:val="6578278E"/>
    <w:rsid w:val="65896CD1"/>
    <w:rsid w:val="65AC57B5"/>
    <w:rsid w:val="65B46143"/>
    <w:rsid w:val="65CA5E7F"/>
    <w:rsid w:val="66B973CC"/>
    <w:rsid w:val="67521E99"/>
    <w:rsid w:val="67A04629"/>
    <w:rsid w:val="67BD15D5"/>
    <w:rsid w:val="67F538FC"/>
    <w:rsid w:val="682A7D2F"/>
    <w:rsid w:val="68507555"/>
    <w:rsid w:val="68815DFE"/>
    <w:rsid w:val="68AB5EFD"/>
    <w:rsid w:val="68EB1680"/>
    <w:rsid w:val="693441DE"/>
    <w:rsid w:val="6AB43D11"/>
    <w:rsid w:val="6BAA566B"/>
    <w:rsid w:val="6BCF04EF"/>
    <w:rsid w:val="6C8155BC"/>
    <w:rsid w:val="6D674299"/>
    <w:rsid w:val="6DB619CA"/>
    <w:rsid w:val="6E39260A"/>
    <w:rsid w:val="6EC24A7A"/>
    <w:rsid w:val="6F103A37"/>
    <w:rsid w:val="701100E2"/>
    <w:rsid w:val="707F51BB"/>
    <w:rsid w:val="709E08CD"/>
    <w:rsid w:val="70E553F5"/>
    <w:rsid w:val="711F1F96"/>
    <w:rsid w:val="71506D91"/>
    <w:rsid w:val="7156268B"/>
    <w:rsid w:val="71634E07"/>
    <w:rsid w:val="71775FF0"/>
    <w:rsid w:val="717E737E"/>
    <w:rsid w:val="72212639"/>
    <w:rsid w:val="72565C05"/>
    <w:rsid w:val="725D277F"/>
    <w:rsid w:val="73FE7077"/>
    <w:rsid w:val="74B00489"/>
    <w:rsid w:val="74D91502"/>
    <w:rsid w:val="75057A0E"/>
    <w:rsid w:val="75131A8B"/>
    <w:rsid w:val="751813D3"/>
    <w:rsid w:val="75267B11"/>
    <w:rsid w:val="753A17C4"/>
    <w:rsid w:val="753C3117"/>
    <w:rsid w:val="75931819"/>
    <w:rsid w:val="75F47C0F"/>
    <w:rsid w:val="76DD3832"/>
    <w:rsid w:val="7724029F"/>
    <w:rsid w:val="772F458F"/>
    <w:rsid w:val="773D384A"/>
    <w:rsid w:val="77426558"/>
    <w:rsid w:val="775C2D87"/>
    <w:rsid w:val="779666AF"/>
    <w:rsid w:val="78762B5D"/>
    <w:rsid w:val="78EC3C5E"/>
    <w:rsid w:val="798332DA"/>
    <w:rsid w:val="7A276A5A"/>
    <w:rsid w:val="7A5C1E91"/>
    <w:rsid w:val="7A990D85"/>
    <w:rsid w:val="7A9E58E0"/>
    <w:rsid w:val="7AF46F9B"/>
    <w:rsid w:val="7B5D1972"/>
    <w:rsid w:val="7BA45C33"/>
    <w:rsid w:val="7BBE2DEF"/>
    <w:rsid w:val="7C671506"/>
    <w:rsid w:val="7C9D2BE0"/>
    <w:rsid w:val="7DB02E62"/>
    <w:rsid w:val="7DCE6F97"/>
    <w:rsid w:val="7E487ADD"/>
    <w:rsid w:val="7E8F4B98"/>
    <w:rsid w:val="7EB9429C"/>
    <w:rsid w:val="7F205261"/>
    <w:rsid w:val="7F2D6D0D"/>
    <w:rsid w:val="7FB54360"/>
    <w:rsid w:val="7FE24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仿宋" w:hAnsi="仿宋" w:eastAsia="仿宋" w:cs="仿宋"/>
      <w:sz w:val="22"/>
      <w:szCs w:val="22"/>
      <w:lang w:val="zh-CN" w:eastAsia="zh-CN" w:bidi="zh-CN"/>
    </w:rPr>
  </w:style>
  <w:style w:type="paragraph" w:styleId="3">
    <w:name w:val="heading 1"/>
    <w:basedOn w:val="1"/>
    <w:next w:val="1"/>
    <w:qFormat/>
    <w:uiPriority w:val="1"/>
    <w:pPr>
      <w:jc w:val="center"/>
      <w:outlineLvl w:val="0"/>
    </w:pPr>
    <w:rPr>
      <w:b/>
      <w:bCs/>
      <w:sz w:val="32"/>
      <w:szCs w:val="32"/>
    </w:rPr>
  </w:style>
  <w:style w:type="paragraph" w:styleId="4">
    <w:name w:val="heading 2"/>
    <w:basedOn w:val="1"/>
    <w:next w:val="5"/>
    <w:qFormat/>
    <w:uiPriority w:val="0"/>
    <w:pPr>
      <w:keepNext/>
      <w:keepLines/>
      <w:adjustRightInd w:val="0"/>
      <w:spacing w:before="120" w:line="300" w:lineRule="auto"/>
      <w:jc w:val="center"/>
      <w:outlineLvl w:val="1"/>
    </w:pPr>
    <w:rPr>
      <w:rFonts w:ascii="Arial" w:hAnsi="Arial" w:eastAsia="黑体"/>
      <w:b/>
      <w:sz w:val="30"/>
      <w:szCs w:val="20"/>
    </w:rPr>
  </w:style>
  <w:style w:type="paragraph" w:styleId="7">
    <w:name w:val="heading 3"/>
    <w:basedOn w:val="1"/>
    <w:next w:val="1"/>
    <w:qFormat/>
    <w:uiPriority w:val="0"/>
    <w:pPr>
      <w:keepNext/>
      <w:keepLines/>
      <w:adjustRightInd w:val="0"/>
      <w:spacing w:before="360" w:after="120"/>
      <w:outlineLvl w:val="2"/>
    </w:pPr>
    <w:rPr>
      <w:rFonts w:ascii="宋体"/>
      <w:b/>
      <w:sz w:val="24"/>
      <w:szCs w:val="20"/>
      <w:u w:val="single"/>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styleId="5">
    <w:name w:val="Normal Indent"/>
    <w:basedOn w:val="1"/>
    <w:next w:val="6"/>
    <w:qFormat/>
    <w:uiPriority w:val="0"/>
    <w:pPr>
      <w:adjustRightInd w:val="0"/>
      <w:ind w:firstLine="420"/>
    </w:pPr>
    <w:rPr>
      <w:rFonts w:ascii="宋体"/>
      <w:sz w:val="24"/>
      <w:szCs w:val="20"/>
    </w:rPr>
  </w:style>
  <w:style w:type="paragraph" w:styleId="6">
    <w:name w:val="List"/>
    <w:basedOn w:val="1"/>
    <w:qFormat/>
    <w:uiPriority w:val="0"/>
    <w:pPr>
      <w:ind w:left="200" w:hanging="200" w:hangingChars="200"/>
      <w:jc w:val="both"/>
    </w:pPr>
    <w:rPr>
      <w:rFonts w:ascii="Times New Roman" w:hAnsi="Times New Roman"/>
      <w:kern w:val="2"/>
      <w:sz w:val="21"/>
      <w:szCs w:val="20"/>
    </w:rPr>
  </w:style>
  <w:style w:type="paragraph" w:styleId="8">
    <w:name w:val="toa heading"/>
    <w:basedOn w:val="1"/>
    <w:next w:val="1"/>
    <w:qFormat/>
    <w:uiPriority w:val="0"/>
    <w:pPr>
      <w:widowControl/>
      <w:autoSpaceDE/>
      <w:autoSpaceDN/>
      <w:spacing w:before="120"/>
      <w:ind w:firstLine="3584"/>
    </w:pPr>
  </w:style>
  <w:style w:type="paragraph" w:styleId="9">
    <w:name w:val="Body Text"/>
    <w:basedOn w:val="1"/>
    <w:qFormat/>
    <w:uiPriority w:val="1"/>
    <w:rPr>
      <w:sz w:val="24"/>
      <w:szCs w:val="24"/>
    </w:rPr>
  </w:style>
  <w:style w:type="paragraph" w:styleId="10">
    <w:name w:val="Body Text Indent"/>
    <w:basedOn w:val="1"/>
    <w:next w:val="5"/>
    <w:qFormat/>
    <w:uiPriority w:val="0"/>
    <w:pPr>
      <w:spacing w:after="120"/>
      <w:ind w:left="420" w:leftChars="200"/>
    </w:pPr>
  </w:style>
  <w:style w:type="paragraph" w:styleId="11">
    <w:name w:val="Plain Text"/>
    <w:basedOn w:val="1"/>
    <w:next w:val="1"/>
    <w:qFormat/>
    <w:uiPriority w:val="0"/>
    <w:rPr>
      <w:rFonts w:ascii="宋体" w:hAnsi="Courier New"/>
      <w:szCs w:val="20"/>
    </w:rPr>
  </w:style>
  <w:style w:type="paragraph" w:styleId="12">
    <w:name w:val="Balloon Text"/>
    <w:basedOn w:val="1"/>
    <w:link w:val="27"/>
    <w:qFormat/>
    <w:uiPriority w:val="0"/>
    <w:rPr>
      <w:sz w:val="18"/>
      <w:szCs w:val="18"/>
    </w:rPr>
  </w:style>
  <w:style w:type="paragraph" w:styleId="13">
    <w:name w:val="footer"/>
    <w:basedOn w:val="1"/>
    <w:qFormat/>
    <w:uiPriority w:val="99"/>
    <w:pPr>
      <w:tabs>
        <w:tab w:val="center" w:pos="4153"/>
        <w:tab w:val="right" w:pos="8306"/>
      </w:tabs>
      <w:adjustRightInd w:val="0"/>
      <w:snapToGrid w:val="0"/>
    </w:pPr>
    <w:rPr>
      <w:rFonts w:ascii="宋体"/>
      <w:sz w:val="18"/>
      <w:szCs w:val="20"/>
    </w:rPr>
  </w:style>
  <w:style w:type="paragraph" w:styleId="14">
    <w:name w:val="toc 1"/>
    <w:basedOn w:val="1"/>
    <w:next w:val="1"/>
    <w:qFormat/>
    <w:uiPriority w:val="1"/>
    <w:pPr>
      <w:spacing w:before="5"/>
      <w:ind w:left="1057"/>
    </w:pPr>
    <w:rPr>
      <w:sz w:val="24"/>
      <w:szCs w:val="24"/>
    </w:rPr>
  </w:style>
  <w:style w:type="paragraph" w:styleId="15">
    <w:name w:val="Subtitle"/>
    <w:basedOn w:val="1"/>
    <w:next w:val="1"/>
    <w:qFormat/>
    <w:uiPriority w:val="0"/>
    <w:pPr>
      <w:wordWrap w:val="0"/>
      <w:spacing w:after="60"/>
      <w:jc w:val="center"/>
    </w:pPr>
    <w:rPr>
      <w:rFonts w:ascii="Calibri" w:hAnsi="Calibri" w:eastAsia="宋体" w:cs="Times New Roman"/>
      <w:sz w:val="24"/>
      <w:lang w:val="en-US" w:bidi="ar-SA"/>
    </w:rPr>
  </w:style>
  <w:style w:type="paragraph" w:styleId="16">
    <w:name w:val="Normal (Web)"/>
    <w:basedOn w:val="1"/>
    <w:next w:val="17"/>
    <w:qFormat/>
    <w:uiPriority w:val="0"/>
    <w:pPr>
      <w:spacing w:before="75" w:after="75"/>
    </w:pPr>
    <w:rPr>
      <w:sz w:val="24"/>
    </w:rPr>
  </w:style>
  <w:style w:type="paragraph" w:customStyle="1" w:styleId="17">
    <w:name w:val="目录 41"/>
    <w:next w:val="1"/>
    <w:qFormat/>
    <w:uiPriority w:val="0"/>
    <w:pPr>
      <w:wordWrap w:val="0"/>
      <w:ind w:left="1275"/>
      <w:jc w:val="both"/>
    </w:pPr>
    <w:rPr>
      <w:rFonts w:ascii="Times New Roman" w:hAnsi="Times New Roman" w:eastAsia="宋体" w:cs="Times New Roman"/>
      <w:sz w:val="21"/>
      <w:lang w:val="en-US" w:eastAsia="zh-CN" w:bidi="ar-SA"/>
    </w:rPr>
  </w:style>
  <w:style w:type="paragraph" w:styleId="18">
    <w:name w:val="Body Text First Indent 2"/>
    <w:basedOn w:val="10"/>
    <w:next w:val="5"/>
    <w:qFormat/>
    <w:uiPriority w:val="0"/>
    <w:pPr>
      <w:ind w:firstLine="420" w:firstLineChars="200"/>
    </w:pPr>
  </w:style>
  <w:style w:type="table" w:customStyle="1" w:styleId="21">
    <w:name w:val="Table Normal"/>
    <w:semiHidden/>
    <w:unhideWhenUsed/>
    <w:qFormat/>
    <w:uiPriority w:val="2"/>
    <w:tblPr>
      <w:tblCellMar>
        <w:top w:w="0" w:type="dxa"/>
        <w:left w:w="0" w:type="dxa"/>
        <w:bottom w:w="0" w:type="dxa"/>
        <w:right w:w="0" w:type="dxa"/>
      </w:tblCellMar>
    </w:tblPr>
  </w:style>
  <w:style w:type="paragraph" w:styleId="22">
    <w:name w:val="List Paragraph"/>
    <w:basedOn w:val="1"/>
    <w:qFormat/>
    <w:uiPriority w:val="1"/>
    <w:pPr>
      <w:ind w:left="1957" w:hanging="900"/>
    </w:pPr>
  </w:style>
  <w:style w:type="paragraph" w:customStyle="1" w:styleId="23">
    <w:name w:val="Table Paragraph"/>
    <w:basedOn w:val="1"/>
    <w:qFormat/>
    <w:uiPriority w:val="1"/>
    <w:rPr>
      <w:rFonts w:ascii="宋体" w:hAnsi="宋体" w:eastAsia="宋体" w:cs="宋体"/>
    </w:rPr>
  </w:style>
  <w:style w:type="character" w:customStyle="1" w:styleId="24">
    <w:name w:val="bookmark-item"/>
    <w:basedOn w:val="20"/>
    <w:qFormat/>
    <w:uiPriority w:val="0"/>
  </w:style>
  <w:style w:type="paragraph" w:customStyle="1" w:styleId="25">
    <w:name w:val="Style1"/>
    <w:basedOn w:val="1"/>
    <w:qFormat/>
    <w:uiPriority w:val="0"/>
    <w:pPr>
      <w:widowControl/>
      <w:tabs>
        <w:tab w:val="left" w:pos="-720"/>
      </w:tabs>
    </w:pPr>
    <w:rPr>
      <w:rFonts w:ascii="Times New Roman" w:hAnsi="Times New Roman" w:eastAsia="宋体" w:cs="Times New Roman"/>
      <w:spacing w:val="-3"/>
      <w:sz w:val="24"/>
      <w:szCs w:val="20"/>
      <w:lang w:val="en-AU"/>
    </w:rPr>
  </w:style>
  <w:style w:type="paragraph" w:customStyle="1" w:styleId="26">
    <w:name w:val="正文_8"/>
    <w:qFormat/>
    <w:uiPriority w:val="0"/>
    <w:pPr>
      <w:widowControl w:val="0"/>
      <w:jc w:val="both"/>
    </w:pPr>
    <w:rPr>
      <w:rFonts w:ascii="Calibri" w:hAnsi="Calibri" w:eastAsia="宋体" w:cs="Times New Roman"/>
      <w:kern w:val="2"/>
      <w:sz w:val="21"/>
      <w:szCs w:val="22"/>
      <w:lang w:val="en-US" w:eastAsia="zh-CN" w:bidi="ar-SA"/>
    </w:rPr>
  </w:style>
  <w:style w:type="character" w:customStyle="1" w:styleId="27">
    <w:name w:val="批注框文本 Char"/>
    <w:basedOn w:val="20"/>
    <w:link w:val="12"/>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81</Pages>
  <Words>40417</Words>
  <Characters>42264</Characters>
  <Lines>340</Lines>
  <Paragraphs>95</Paragraphs>
  <TotalTime>5</TotalTime>
  <ScaleCrop>false</ScaleCrop>
  <LinksUpToDate>false</LinksUpToDate>
  <CharactersWithSpaces>44310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2021-02-26T04:38:00Z</dcterms:created>
  <dc:creator>USER-</dc:creator>
  <cp:lastModifiedBy>Lenovo</cp:lastModifiedBy>
  <cp:lastPrinted>2022-07-05T08:16:00Z</cp:lastPrinted>
  <dcterms:modified xsi:type="dcterms:W3CDTF">2022-07-22T08:15:12Z</dcterms:modified>
  <dc:title>02年杜范本稿</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2020-05-07T00:00:00Z</vt:filetime>
  </property>
  <property fmtid="{D5CDD505-2E9C-101B-9397-08002B2CF9AE}" pid="3" name="Creator">
    <vt:lpwstr>WPS 文字</vt:lpwstr>
  </property>
  <property fmtid="{D5CDD505-2E9C-101B-9397-08002B2CF9AE}" pid="4" name="LastSaved">
    <vt:filetime>2021-02-26T00:00:00Z</vt:filetime>
  </property>
  <property fmtid="{D5CDD505-2E9C-101B-9397-08002B2CF9AE}" pid="5" name="KSOProductBuildVer">
    <vt:lpwstr>2052-11.1.0.11830</vt:lpwstr>
  </property>
  <property fmtid="{D5CDD505-2E9C-101B-9397-08002B2CF9AE}" pid="6" name="ICV">
    <vt:lpwstr>B9C11D06D3864930B53822F9849AC5E8</vt:lpwstr>
  </property>
  <property fmtid="{D5CDD505-2E9C-101B-9397-08002B2CF9AE}" pid="7" name="KSOSaveFontToCloudKey">
    <vt:lpwstr>249850025_cloud</vt:lpwstr>
  </property>
</Properties>
</file>