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cs="宋体"/>
          <w:b/>
          <w:color w:val="auto"/>
          <w:sz w:val="44"/>
          <w:szCs w:val="44"/>
        </w:rPr>
      </w:pPr>
    </w:p>
    <w:p>
      <w:pPr>
        <w:rPr>
          <w:rFonts w:hint="eastAsia" w:ascii="宋体" w:hAnsi="宋体" w:eastAsia="宋体" w:cs="宋体"/>
          <w:color w:val="auto"/>
        </w:rPr>
      </w:pPr>
    </w:p>
    <w:p>
      <w:pPr>
        <w:tabs>
          <w:tab w:val="left" w:pos="2618"/>
        </w:tabs>
        <w:autoSpaceDE w:val="0"/>
        <w:autoSpaceDN w:val="0"/>
        <w:spacing w:line="360" w:lineRule="auto"/>
        <w:jc w:val="left"/>
        <w:rPr>
          <w:rFonts w:hint="eastAsia" w:ascii="宋体" w:hAnsi="宋体" w:eastAsia="宋体" w:cs="宋体"/>
          <w:b/>
          <w:color w:val="auto"/>
          <w:sz w:val="48"/>
          <w:szCs w:val="48"/>
        </w:rPr>
      </w:pPr>
    </w:p>
    <w:p>
      <w:pPr>
        <w:autoSpaceDE w:val="0"/>
        <w:autoSpaceDN w:val="0"/>
        <w:spacing w:line="360" w:lineRule="auto"/>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2022年喀什文化旅游上海广告宣传项目（第一标段：电视、电台、地铁电子屏常规媒体宣传）</w:t>
      </w:r>
    </w:p>
    <w:p>
      <w:pPr>
        <w:autoSpaceDE w:val="0"/>
        <w:autoSpaceDN w:val="0"/>
        <w:spacing w:line="360" w:lineRule="auto"/>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竞争性磋商文件</w:t>
      </w:r>
    </w:p>
    <w:p>
      <w:pPr>
        <w:pStyle w:val="3"/>
        <w:ind w:firstLine="1606" w:firstLineChars="500"/>
        <w:rPr>
          <w:rFonts w:hint="default" w:ascii="宋体" w:hAnsi="宋体" w:eastAsia="宋体" w:cs="宋体"/>
          <w:b/>
          <w:color w:val="auto"/>
          <w:sz w:val="48"/>
          <w:szCs w:val="48"/>
          <w:lang w:val="en-US" w:eastAsia="zh-CN"/>
        </w:rPr>
      </w:pPr>
      <w:r>
        <w:rPr>
          <w:rFonts w:hint="eastAsia" w:ascii="宋体" w:hAnsi="宋体" w:eastAsia="宋体" w:cs="宋体"/>
          <w:b/>
          <w:color w:val="auto"/>
          <w:sz w:val="32"/>
          <w:szCs w:val="32"/>
        </w:rPr>
        <w:t>项目编号：</w:t>
      </w:r>
      <w:r>
        <w:rPr>
          <w:rFonts w:hint="eastAsia" w:ascii="宋体" w:hAnsi="宋体" w:eastAsia="宋体" w:cs="宋体"/>
          <w:b/>
          <w:bCs/>
          <w:color w:val="auto"/>
          <w:sz w:val="40"/>
          <w:szCs w:val="13"/>
        </w:rPr>
        <w:t>XJYZH(CS)-2022-02</w:t>
      </w:r>
      <w:r>
        <w:rPr>
          <w:rFonts w:hint="eastAsia" w:cs="宋体"/>
          <w:b/>
          <w:bCs/>
          <w:color w:val="auto"/>
          <w:sz w:val="40"/>
          <w:szCs w:val="13"/>
          <w:lang w:val="en-US" w:eastAsia="zh-CN"/>
        </w:rPr>
        <w:t>-1</w:t>
      </w:r>
    </w:p>
    <w:p>
      <w:pPr>
        <w:spacing w:line="240" w:lineRule="atLeast"/>
        <w:ind w:left="1080" w:leftChars="257" w:hanging="540"/>
        <w:jc w:val="center"/>
        <w:rPr>
          <w:rFonts w:hint="eastAsia" w:ascii="宋体" w:hAnsi="宋体" w:eastAsia="宋体" w:cs="宋体"/>
          <w:b/>
          <w:color w:val="auto"/>
          <w:sz w:val="32"/>
          <w:szCs w:val="32"/>
        </w:rPr>
      </w:pPr>
    </w:p>
    <w:p>
      <w:pPr>
        <w:spacing w:line="240" w:lineRule="atLeast"/>
        <w:rPr>
          <w:rFonts w:hint="eastAsia" w:ascii="宋体" w:hAnsi="宋体" w:eastAsia="宋体" w:cs="宋体"/>
          <w:b/>
          <w:color w:val="auto"/>
          <w:sz w:val="28"/>
        </w:rPr>
      </w:pPr>
    </w:p>
    <w:p>
      <w:pPr>
        <w:autoSpaceDE w:val="0"/>
        <w:autoSpaceDN w:val="0"/>
        <w:spacing w:line="600" w:lineRule="exact"/>
        <w:ind w:firstLine="843" w:firstLineChars="3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采购单位：喀什地区文化广播电视和旅游局</w:t>
      </w:r>
    </w:p>
    <w:p>
      <w:pPr>
        <w:autoSpaceDE w:val="0"/>
        <w:autoSpaceDN w:val="0"/>
        <w:spacing w:line="600" w:lineRule="exact"/>
        <w:ind w:firstLine="843" w:firstLineChars="3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联 系 人：矫健</w:t>
      </w:r>
    </w:p>
    <w:p>
      <w:pPr>
        <w:autoSpaceDE w:val="0"/>
        <w:autoSpaceDN w:val="0"/>
        <w:spacing w:line="600" w:lineRule="exact"/>
        <w:ind w:firstLine="843" w:firstLineChars="3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联系电话：18099563936</w:t>
      </w:r>
    </w:p>
    <w:p>
      <w:pPr>
        <w:autoSpaceDE w:val="0"/>
        <w:autoSpaceDN w:val="0"/>
        <w:spacing w:line="600" w:lineRule="exact"/>
        <w:ind w:firstLine="843" w:firstLineChars="3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代理机构：</w:t>
      </w:r>
      <w:r>
        <w:rPr>
          <w:rFonts w:hint="eastAsia" w:ascii="宋体" w:hAnsi="宋体" w:eastAsia="宋体" w:cs="宋体"/>
          <w:b/>
          <w:bCs/>
          <w:color w:val="auto"/>
          <w:kern w:val="0"/>
          <w:sz w:val="28"/>
          <w:szCs w:val="28"/>
          <w:u w:val="single"/>
        </w:rPr>
        <w:t>新疆昱泽晖项目管理有限公司</w:t>
      </w:r>
    </w:p>
    <w:p>
      <w:pPr>
        <w:autoSpaceDE w:val="0"/>
        <w:autoSpaceDN w:val="0"/>
        <w:spacing w:line="600" w:lineRule="exact"/>
        <w:ind w:firstLine="843" w:firstLineChars="300"/>
        <w:rPr>
          <w:rFonts w:hint="eastAsia" w:ascii="宋体" w:hAnsi="宋体" w:eastAsia="宋体" w:cs="宋体"/>
          <w:b/>
          <w:bCs/>
          <w:color w:val="auto"/>
          <w:sz w:val="28"/>
          <w:szCs w:val="28"/>
          <w:u w:val="single"/>
        </w:rPr>
      </w:pPr>
      <w:r>
        <w:rPr>
          <w:rFonts w:hint="eastAsia" w:ascii="宋体" w:hAnsi="宋体" w:eastAsia="宋体" w:cs="宋体"/>
          <w:b/>
          <w:bCs/>
          <w:color w:val="auto"/>
          <w:kern w:val="0"/>
          <w:sz w:val="28"/>
          <w:szCs w:val="28"/>
        </w:rPr>
        <w:t>联系电话：</w:t>
      </w:r>
      <w:r>
        <w:rPr>
          <w:rFonts w:hint="eastAsia" w:ascii="宋体" w:hAnsi="宋体" w:eastAsia="宋体" w:cs="宋体"/>
          <w:b/>
          <w:bCs/>
          <w:color w:val="auto"/>
          <w:kern w:val="0"/>
          <w:sz w:val="28"/>
          <w:szCs w:val="28"/>
          <w:u w:val="single"/>
        </w:rPr>
        <w:t>17361586449</w:t>
      </w:r>
    </w:p>
    <w:p>
      <w:pPr>
        <w:autoSpaceDE w:val="0"/>
        <w:autoSpaceDN w:val="0"/>
        <w:adjustRightInd w:val="0"/>
        <w:spacing w:line="480" w:lineRule="auto"/>
        <w:rPr>
          <w:rFonts w:hint="eastAsia" w:ascii="宋体" w:hAnsi="宋体" w:eastAsia="宋体" w:cs="宋体"/>
          <w:b/>
          <w:color w:val="auto"/>
          <w:kern w:val="0"/>
          <w:sz w:val="30"/>
          <w:szCs w:val="30"/>
        </w:rPr>
      </w:pPr>
    </w:p>
    <w:p>
      <w:pPr>
        <w:ind w:firstLine="904" w:firstLineChars="300"/>
        <w:rPr>
          <w:rFonts w:hint="eastAsia" w:ascii="宋体" w:hAnsi="宋体" w:eastAsia="宋体" w:cs="宋体"/>
          <w:bCs/>
          <w:color w:val="auto"/>
          <w:sz w:val="36"/>
          <w:szCs w:val="36"/>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hAnsi="宋体" w:eastAsia="宋体" w:cs="宋体"/>
          <w:b/>
          <w:color w:val="auto"/>
          <w:kern w:val="0"/>
          <w:sz w:val="30"/>
          <w:szCs w:val="30"/>
        </w:rPr>
        <w:t>日期：</w:t>
      </w:r>
      <w:r>
        <w:rPr>
          <w:rFonts w:hint="eastAsia" w:ascii="宋体" w:hAnsi="宋体" w:eastAsia="宋体" w:cs="宋体"/>
          <w:b/>
          <w:bCs/>
          <w:color w:val="auto"/>
          <w:kern w:val="0"/>
          <w:sz w:val="30"/>
          <w:szCs w:val="30"/>
          <w:u w:val="single"/>
        </w:rPr>
        <w:t xml:space="preserve">2022年7月  </w:t>
      </w:r>
    </w:p>
    <w:p>
      <w:pPr>
        <w:pStyle w:val="24"/>
        <w:tabs>
          <w:tab w:val="right" w:leader="dot" w:pos="8312"/>
        </w:tabs>
        <w:spacing w:line="400" w:lineRule="exact"/>
        <w:rPr>
          <w:rFonts w:hint="eastAsia" w:ascii="宋体" w:hAnsi="宋体" w:eastAsia="宋体" w:cs="宋体"/>
          <w:color w:val="auto"/>
          <w:sz w:val="24"/>
        </w:rPr>
      </w:pPr>
      <w:bookmarkStart w:id="0" w:name="_Toc9228"/>
      <w:bookmarkStart w:id="1" w:name="_Toc216582804"/>
    </w:p>
    <w:p>
      <w:pPr>
        <w:jc w:val="center"/>
        <w:rPr>
          <w:rFonts w:hint="eastAsia" w:ascii="宋体" w:hAnsi="宋体" w:eastAsia="宋体" w:cs="宋体"/>
          <w:color w:val="auto"/>
          <w:sz w:val="32"/>
          <w:szCs w:val="32"/>
        </w:rPr>
      </w:pPr>
      <w:bookmarkStart w:id="2" w:name="_Toc108875541"/>
      <w:r>
        <w:rPr>
          <w:rFonts w:hint="eastAsia" w:ascii="宋体" w:hAnsi="宋体" w:eastAsia="宋体" w:cs="宋体"/>
          <w:color w:val="auto"/>
          <w:sz w:val="32"/>
          <w:szCs w:val="32"/>
        </w:rPr>
        <w:t>目录</w:t>
      </w:r>
      <w:bookmarkEnd w:id="2"/>
    </w:p>
    <w:p>
      <w:pPr>
        <w:pStyle w:val="24"/>
        <w:tabs>
          <w:tab w:val="right" w:leader="dot" w:pos="8302"/>
        </w:tabs>
        <w:rPr>
          <w:rFonts w:hint="eastAsia" w:ascii="宋体" w:hAnsi="宋体" w:eastAsia="宋体" w:cs="宋体"/>
          <w:color w:val="auto"/>
          <w:sz w:val="30"/>
          <w:szCs w:val="30"/>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TOC \o "1-2" \h \u </w:instrText>
      </w:r>
      <w:r>
        <w:rPr>
          <w:rFonts w:hint="eastAsia" w:ascii="宋体" w:hAnsi="宋体" w:eastAsia="宋体" w:cs="宋体"/>
          <w:color w:val="auto"/>
          <w:sz w:val="24"/>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"_Toc108877073" </w:instrText>
      </w:r>
      <w:r>
        <w:rPr>
          <w:rFonts w:hint="eastAsia" w:ascii="宋体" w:hAnsi="宋体" w:eastAsia="宋体" w:cs="宋体"/>
          <w:color w:val="auto"/>
        </w:rPr>
        <w:fldChar w:fldCharType="separate"/>
      </w:r>
      <w:r>
        <w:rPr>
          <w:rStyle w:val="49"/>
          <w:rFonts w:hint="eastAsia" w:ascii="宋体" w:hAnsi="宋体" w:eastAsia="宋体" w:cs="宋体"/>
          <w:color w:val="auto"/>
          <w:sz w:val="30"/>
          <w:szCs w:val="30"/>
        </w:rPr>
        <w:t>第一章供应商须知</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_Toc108877073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3</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4"/>
        <w:tabs>
          <w:tab w:val="right" w:leader="dot" w:pos="8302"/>
        </w:tabs>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"_Toc108877092" </w:instrText>
      </w:r>
      <w:r>
        <w:rPr>
          <w:rFonts w:hint="eastAsia" w:ascii="宋体" w:hAnsi="宋体" w:eastAsia="宋体" w:cs="宋体"/>
          <w:color w:val="auto"/>
        </w:rPr>
        <w:fldChar w:fldCharType="separate"/>
      </w:r>
      <w:r>
        <w:rPr>
          <w:rStyle w:val="49"/>
          <w:rFonts w:hint="eastAsia" w:ascii="宋体" w:hAnsi="宋体" w:eastAsia="宋体" w:cs="宋体"/>
          <w:color w:val="auto"/>
          <w:sz w:val="30"/>
          <w:szCs w:val="30"/>
        </w:rPr>
        <w:t>第二章响应文件格式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_Toc108877092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9"/>
        <w:tabs>
          <w:tab w:val="right" w:leader="dot" w:pos="8302"/>
        </w:tabs>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"_Toc108877093" </w:instrText>
      </w:r>
      <w:r>
        <w:rPr>
          <w:rFonts w:hint="eastAsia" w:ascii="宋体" w:hAnsi="宋体" w:eastAsia="宋体" w:cs="宋体"/>
          <w:color w:val="auto"/>
        </w:rPr>
        <w:fldChar w:fldCharType="separate"/>
      </w:r>
      <w:r>
        <w:rPr>
          <w:rStyle w:val="49"/>
          <w:rFonts w:hint="eastAsia" w:ascii="宋体" w:hAnsi="宋体" w:eastAsia="宋体" w:cs="宋体"/>
          <w:color w:val="auto"/>
          <w:sz w:val="30"/>
          <w:szCs w:val="30"/>
        </w:rPr>
        <w:t>第一部分报价一览表及资格证明文件</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_Toc108877093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9"/>
        <w:tabs>
          <w:tab w:val="right" w:leader="dot" w:pos="8302"/>
        </w:tabs>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"_Toc108877104" </w:instrText>
      </w:r>
      <w:r>
        <w:rPr>
          <w:rFonts w:hint="eastAsia" w:ascii="宋体" w:hAnsi="宋体" w:eastAsia="宋体" w:cs="宋体"/>
          <w:color w:val="auto"/>
        </w:rPr>
        <w:fldChar w:fldCharType="separate"/>
      </w:r>
      <w:r>
        <w:rPr>
          <w:rStyle w:val="49"/>
          <w:rFonts w:hint="eastAsia" w:ascii="宋体" w:hAnsi="宋体" w:eastAsia="宋体" w:cs="宋体"/>
          <w:color w:val="auto"/>
          <w:kern w:val="0"/>
          <w:sz w:val="30"/>
          <w:szCs w:val="30"/>
        </w:rPr>
        <w:t>第二部分商务及技术文件</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_Toc108877104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36</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4"/>
        <w:tabs>
          <w:tab w:val="right" w:leader="dot" w:pos="8302"/>
        </w:tabs>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"_Toc108877120" </w:instrText>
      </w:r>
      <w:r>
        <w:rPr>
          <w:rFonts w:hint="eastAsia" w:ascii="宋体" w:hAnsi="宋体" w:eastAsia="宋体" w:cs="宋体"/>
          <w:color w:val="auto"/>
        </w:rPr>
        <w:fldChar w:fldCharType="separate"/>
      </w:r>
      <w:r>
        <w:rPr>
          <w:rStyle w:val="49"/>
          <w:rFonts w:hint="eastAsia" w:ascii="宋体" w:hAnsi="宋体" w:eastAsia="宋体" w:cs="宋体"/>
          <w:color w:val="auto"/>
          <w:sz w:val="30"/>
          <w:szCs w:val="30"/>
        </w:rPr>
        <w:t>第三章</w:t>
      </w:r>
      <w:r>
        <w:rPr>
          <w:rStyle w:val="49"/>
          <w:rFonts w:hint="eastAsia" w:ascii="宋体" w:hAnsi="宋体" w:eastAsia="宋体" w:cs="宋体"/>
          <w:color w:val="auto"/>
          <w:sz w:val="30"/>
          <w:szCs w:val="30"/>
        </w:rPr>
        <w:fldChar w:fldCharType="end"/>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"_Toc108877121" </w:instrText>
      </w:r>
      <w:r>
        <w:rPr>
          <w:rFonts w:hint="eastAsia" w:ascii="宋体" w:hAnsi="宋体" w:eastAsia="宋体" w:cs="宋体"/>
          <w:color w:val="auto"/>
        </w:rPr>
        <w:fldChar w:fldCharType="separate"/>
      </w:r>
      <w:r>
        <w:rPr>
          <w:rStyle w:val="49"/>
          <w:rFonts w:hint="eastAsia" w:ascii="宋体" w:hAnsi="宋体" w:eastAsia="宋体" w:cs="宋体"/>
          <w:color w:val="auto"/>
          <w:sz w:val="30"/>
          <w:szCs w:val="30"/>
        </w:rPr>
        <w:t>磋商公告</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_Toc108877121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48</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4"/>
        <w:tabs>
          <w:tab w:val="right" w:leader="dot" w:pos="8302"/>
        </w:tabs>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"_Toc108877130" </w:instrText>
      </w:r>
      <w:r>
        <w:rPr>
          <w:rFonts w:hint="eastAsia" w:ascii="宋体" w:hAnsi="宋体" w:eastAsia="宋体" w:cs="宋体"/>
          <w:color w:val="auto"/>
        </w:rPr>
        <w:fldChar w:fldCharType="separate"/>
      </w:r>
      <w:r>
        <w:rPr>
          <w:rStyle w:val="49"/>
          <w:rFonts w:hint="eastAsia" w:ascii="宋体" w:hAnsi="宋体" w:eastAsia="宋体" w:cs="宋体"/>
          <w:bCs/>
          <w:color w:val="auto"/>
          <w:sz w:val="30"/>
          <w:szCs w:val="30"/>
        </w:rPr>
        <w:t>第四章供应商须知资料表</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_Toc108877130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4"/>
        <w:tabs>
          <w:tab w:val="right" w:leader="dot" w:pos="8302"/>
        </w:tabs>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"_Toc108877131" </w:instrText>
      </w:r>
      <w:r>
        <w:rPr>
          <w:rFonts w:hint="eastAsia" w:ascii="宋体" w:hAnsi="宋体" w:eastAsia="宋体" w:cs="宋体"/>
          <w:color w:val="auto"/>
        </w:rPr>
        <w:fldChar w:fldCharType="separate"/>
      </w:r>
      <w:r>
        <w:rPr>
          <w:rStyle w:val="49"/>
          <w:rFonts w:hint="eastAsia" w:ascii="宋体" w:hAnsi="宋体" w:eastAsia="宋体" w:cs="宋体"/>
          <w:color w:val="auto"/>
          <w:sz w:val="30"/>
          <w:szCs w:val="30"/>
        </w:rPr>
        <w:t>第五章服务需求</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_Toc108877131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55</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pStyle w:val="24"/>
        <w:tabs>
          <w:tab w:val="right" w:leader="dot" w:pos="8302"/>
        </w:tabs>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"_Toc108877132" </w:instrText>
      </w:r>
      <w:r>
        <w:rPr>
          <w:rFonts w:hint="eastAsia" w:ascii="宋体" w:hAnsi="宋体" w:eastAsia="宋体" w:cs="宋体"/>
          <w:color w:val="auto"/>
        </w:rPr>
        <w:fldChar w:fldCharType="separate"/>
      </w:r>
      <w:r>
        <w:rPr>
          <w:rStyle w:val="49"/>
          <w:rFonts w:hint="eastAsia" w:ascii="宋体" w:hAnsi="宋体" w:eastAsia="宋体" w:cs="宋体"/>
          <w:color w:val="auto"/>
          <w:sz w:val="30"/>
          <w:szCs w:val="30"/>
        </w:rPr>
        <w:t>第六章评审方法和标准</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_Toc108877132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57</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fldChar w:fldCharType="end"/>
      </w:r>
    </w:p>
    <w:p>
      <w:pPr>
        <w:spacing w:line="400" w:lineRule="exact"/>
        <w:jc w:val="center"/>
        <w:rPr>
          <w:rFonts w:hint="eastAsia" w:ascii="宋体" w:hAnsi="宋体" w:eastAsia="宋体" w:cs="宋体"/>
          <w:color w:val="auto"/>
          <w:sz w:val="24"/>
        </w:rPr>
      </w:pPr>
    </w:p>
    <w:p>
      <w:pPr>
        <w:spacing w:line="400" w:lineRule="exact"/>
        <w:jc w:val="center"/>
        <w:rPr>
          <w:rFonts w:hint="eastAsia" w:ascii="宋体" w:hAnsi="宋体" w:eastAsia="宋体" w:cs="宋体"/>
          <w:b/>
          <w:color w:val="auto"/>
          <w:sz w:val="30"/>
          <w:szCs w:val="30"/>
        </w:rPr>
      </w:pPr>
    </w:p>
    <w:p>
      <w:pPr>
        <w:rPr>
          <w:rFonts w:hint="eastAsia" w:ascii="宋体" w:hAnsi="宋体" w:eastAsia="宋体" w:cs="宋体"/>
          <w:color w:val="auto"/>
        </w:rPr>
      </w:pPr>
      <w:r>
        <w:rPr>
          <w:rFonts w:hint="eastAsia" w:ascii="宋体" w:hAnsi="宋体" w:eastAsia="宋体" w:cs="宋体"/>
          <w:color w:val="auto"/>
        </w:rPr>
        <w:br w:type="page"/>
      </w:r>
    </w:p>
    <w:p>
      <w:pPr>
        <w:pStyle w:val="4"/>
        <w:rPr>
          <w:rFonts w:hint="eastAsia" w:ascii="宋体" w:hAnsi="宋体" w:eastAsia="宋体" w:cs="宋体"/>
          <w:color w:val="auto"/>
        </w:rPr>
      </w:pPr>
      <w:bookmarkStart w:id="3" w:name="_Toc108877073"/>
      <w:r>
        <w:rPr>
          <w:rFonts w:hint="eastAsia" w:ascii="宋体" w:hAnsi="宋体" w:eastAsia="宋体" w:cs="宋体"/>
          <w:color w:val="auto"/>
        </w:rPr>
        <w:t>第一章</w:t>
      </w:r>
      <w:bookmarkStart w:id="4" w:name="_Toc518923059"/>
      <w:r>
        <w:rPr>
          <w:rFonts w:hint="eastAsia" w:ascii="宋体" w:hAnsi="宋体" w:eastAsia="宋体" w:cs="宋体"/>
          <w:color w:val="auto"/>
        </w:rPr>
        <w:t>供应商须知</w:t>
      </w:r>
      <w:bookmarkEnd w:id="0"/>
      <w:bookmarkEnd w:id="1"/>
      <w:bookmarkEnd w:id="3"/>
      <w:bookmarkEnd w:id="4"/>
    </w:p>
    <w:p>
      <w:pPr>
        <w:jc w:val="center"/>
        <w:rPr>
          <w:rFonts w:hint="eastAsia" w:ascii="宋体" w:hAnsi="宋体" w:eastAsia="宋体" w:cs="宋体"/>
          <w:color w:val="auto"/>
          <w:sz w:val="30"/>
          <w:szCs w:val="30"/>
        </w:rPr>
      </w:pPr>
      <w:bookmarkStart w:id="5" w:name="_Toc520356143"/>
      <w:bookmarkStart w:id="6" w:name="_Toc216582805"/>
      <w:bookmarkStart w:id="7" w:name="_Toc25430_WPSOffice_Level1"/>
      <w:bookmarkStart w:id="8" w:name="_Toc9485"/>
      <w:bookmarkStart w:id="9" w:name="_Toc518923060"/>
      <w:r>
        <w:rPr>
          <w:rFonts w:hint="eastAsia" w:ascii="宋体" w:hAnsi="宋体" w:eastAsia="宋体" w:cs="宋体"/>
          <w:color w:val="auto"/>
          <w:sz w:val="30"/>
          <w:szCs w:val="30"/>
        </w:rPr>
        <w:t>一</w:t>
      </w:r>
      <w:bookmarkEnd w:id="5"/>
      <w:bookmarkEnd w:id="6"/>
      <w:r>
        <w:rPr>
          <w:rFonts w:hint="eastAsia" w:ascii="宋体" w:hAnsi="宋体" w:eastAsia="宋体" w:cs="宋体"/>
          <w:color w:val="auto"/>
          <w:sz w:val="30"/>
          <w:szCs w:val="30"/>
        </w:rPr>
        <w:t>总 则</w:t>
      </w:r>
      <w:bookmarkEnd w:id="7"/>
      <w:bookmarkEnd w:id="8"/>
      <w:bookmarkEnd w:id="9"/>
    </w:p>
    <w:p>
      <w:pPr>
        <w:pStyle w:val="7"/>
        <w:rPr>
          <w:rFonts w:hint="eastAsia" w:ascii="宋体" w:hAnsi="宋体" w:eastAsia="宋体" w:cs="宋体"/>
          <w:color w:val="auto"/>
          <w:u w:val="none"/>
        </w:rPr>
      </w:pPr>
      <w:bookmarkStart w:id="10" w:name="_Toc16905_WPSOffice_Level2"/>
      <w:bookmarkStart w:id="11" w:name="_Toc12013"/>
      <w:bookmarkStart w:id="12" w:name="_Toc518923061"/>
      <w:bookmarkStart w:id="13" w:name="_Toc520356144"/>
      <w:bookmarkStart w:id="14" w:name="_Toc4676_WPSOffice_Level2"/>
      <w:r>
        <w:rPr>
          <w:rFonts w:hint="eastAsia" w:ascii="宋体" w:hAnsi="宋体" w:eastAsia="宋体" w:cs="宋体"/>
          <w:color w:val="auto"/>
          <w:u w:val="none"/>
        </w:rPr>
        <w:t>1.采购人、采购代理机构及</w:t>
      </w:r>
      <w:bookmarkEnd w:id="10"/>
      <w:bookmarkEnd w:id="11"/>
      <w:bookmarkEnd w:id="12"/>
      <w:bookmarkEnd w:id="13"/>
      <w:bookmarkEnd w:id="14"/>
      <w:r>
        <w:rPr>
          <w:rFonts w:hint="eastAsia" w:ascii="宋体" w:hAnsi="宋体" w:eastAsia="宋体" w:cs="宋体"/>
          <w:color w:val="auto"/>
          <w:u w:val="none"/>
        </w:rPr>
        <w:t>供应商</w:t>
      </w:r>
    </w:p>
    <w:p>
      <w:pPr>
        <w:numPr>
          <w:ilvl w:val="1"/>
          <w:numId w:val="2"/>
        </w:numPr>
        <w:tabs>
          <w:tab w:val="left" w:pos="0"/>
          <w:tab w:val="clear" w:pos="900"/>
        </w:tabs>
        <w:spacing w:line="400" w:lineRule="exact"/>
        <w:ind w:hanging="898"/>
        <w:rPr>
          <w:rFonts w:hint="eastAsia" w:ascii="宋体" w:hAnsi="宋体" w:eastAsia="宋体" w:cs="宋体"/>
          <w:color w:val="auto"/>
          <w:sz w:val="24"/>
        </w:rPr>
      </w:pPr>
      <w:r>
        <w:rPr>
          <w:rFonts w:hint="eastAsia" w:ascii="宋体" w:hAnsi="宋体" w:eastAsia="宋体" w:cs="宋体"/>
          <w:color w:val="auto"/>
          <w:sz w:val="24"/>
        </w:rPr>
        <w:t>采购人：是指依法开展政府采购活动的国家机关、事业单位、团体组织。</w:t>
      </w:r>
    </w:p>
    <w:p>
      <w:pPr>
        <w:tabs>
          <w:tab w:val="left" w:pos="0"/>
        </w:tabs>
        <w:spacing w:line="400" w:lineRule="exact"/>
        <w:ind w:left="900"/>
        <w:rPr>
          <w:rFonts w:hint="eastAsia" w:ascii="宋体" w:hAnsi="宋体" w:eastAsia="宋体" w:cs="宋体"/>
          <w:color w:val="auto"/>
          <w:sz w:val="24"/>
        </w:rPr>
      </w:pPr>
      <w:r>
        <w:rPr>
          <w:rFonts w:hint="eastAsia" w:ascii="宋体" w:hAnsi="宋体" w:eastAsia="宋体" w:cs="宋体"/>
          <w:color w:val="auto"/>
          <w:sz w:val="24"/>
        </w:rPr>
        <w:t>本项目的采购人见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numPr>
          <w:ilvl w:val="1"/>
          <w:numId w:val="2"/>
        </w:numPr>
        <w:tabs>
          <w:tab w:val="left" w:pos="0"/>
          <w:tab w:val="clear" w:pos="900"/>
        </w:tabs>
        <w:spacing w:line="400" w:lineRule="exact"/>
        <w:ind w:hanging="898"/>
        <w:rPr>
          <w:rFonts w:hint="eastAsia" w:ascii="宋体" w:hAnsi="宋体" w:eastAsia="宋体" w:cs="宋体"/>
          <w:color w:val="auto"/>
          <w:sz w:val="24"/>
        </w:rPr>
      </w:pPr>
      <w:r>
        <w:rPr>
          <w:rFonts w:hint="eastAsia" w:ascii="宋体" w:hAnsi="宋体" w:eastAsia="宋体" w:cs="宋体"/>
          <w:color w:val="auto"/>
          <w:sz w:val="24"/>
        </w:rPr>
        <w:t>采购代理机构：是指集中采购机构或从事采购代理业务的社会中介机构。本项目的采购代理机构见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numPr>
          <w:ilvl w:val="1"/>
          <w:numId w:val="2"/>
        </w:numPr>
        <w:spacing w:line="400" w:lineRule="exact"/>
        <w:ind w:hangingChars="375"/>
        <w:rPr>
          <w:rFonts w:hint="eastAsia" w:ascii="宋体" w:hAnsi="宋体" w:eastAsia="宋体" w:cs="宋体"/>
          <w:color w:val="auto"/>
          <w:sz w:val="24"/>
        </w:rPr>
      </w:pPr>
      <w:r>
        <w:rPr>
          <w:rFonts w:hint="eastAsia" w:ascii="宋体" w:hAnsi="宋体" w:eastAsia="宋体" w:cs="宋体"/>
          <w:color w:val="auto"/>
          <w:sz w:val="24"/>
        </w:rPr>
        <w:t>供应商：是指向采购人提供货物、工程或者服务的法人、非法人组织或者自然人。本项目的供应商须满足以下条件：</w:t>
      </w:r>
    </w:p>
    <w:p>
      <w:pPr>
        <w:spacing w:line="400" w:lineRule="exact"/>
        <w:ind w:left="850" w:hanging="849" w:hangingChars="354"/>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在中华人民共和国境内注册，能够独立承担民事责任，有生产或供应能力的本国供应商。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1.3.3   以采购代理机构认可的方式获得了本项目的磋商文件。</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1.3.4   符合</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中规定的其他要求。</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1.3.5   若</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中写明专门面向中小企业采购的，如供应商为非中小企业，其响应将被认定为响应无效。</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     如</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中允许联合体递交响应文件，对联合体规定如下：</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1.4.1   两个以上供应商可以组成一个联合体，以一个供应商的身份递交响应文件。</w:t>
      </w:r>
      <w:r>
        <w:rPr>
          <w:rFonts w:hint="eastAsia" w:ascii="宋体" w:hAnsi="宋体" w:eastAsia="宋体" w:cs="宋体"/>
          <w:b/>
          <w:bCs/>
          <w:color w:val="auto"/>
          <w:sz w:val="24"/>
        </w:rPr>
        <w:t>本项目不接受联合体投标。</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1.4.2   联合体各方均应符合《中华人民共和国政府采购法》第二十二条规定的条件。</w:t>
      </w:r>
      <w:r>
        <w:rPr>
          <w:rFonts w:hint="eastAsia" w:ascii="宋体" w:hAnsi="宋体" w:eastAsia="宋体" w:cs="宋体"/>
          <w:b/>
          <w:bCs/>
          <w:color w:val="auto"/>
          <w:sz w:val="24"/>
        </w:rPr>
        <w:t>本项目不接受联合体投标。</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采购人根据采购项目对供应商的特殊要求，联合体中至少应当有一方符合相关规定。</w:t>
      </w:r>
      <w:r>
        <w:rPr>
          <w:rFonts w:hint="eastAsia" w:ascii="宋体" w:hAnsi="宋体" w:eastAsia="宋体" w:cs="宋体"/>
          <w:b/>
          <w:bCs/>
          <w:color w:val="auto"/>
          <w:sz w:val="24"/>
        </w:rPr>
        <w:t>本项目不接受联合体投标。</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1.4.4   联合体各方应签订共同响应本磋商文件协议，明确约定联合体各方承担的工作和相应的责任，并将共同响应协议连同响应文件一并提交采购单位。</w:t>
      </w:r>
      <w:r>
        <w:rPr>
          <w:rFonts w:hint="eastAsia" w:ascii="宋体" w:hAnsi="宋体" w:eastAsia="宋体" w:cs="宋体"/>
          <w:b/>
          <w:bCs/>
          <w:color w:val="auto"/>
          <w:sz w:val="24"/>
        </w:rPr>
        <w:t>本项目不接受联合体投标。</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1.4.6  联合体中有同类资质的供应商按照联合体分工承担相同工作的，按照资质等级较低的供应商确定资质等级。</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1.4.8   对联合体提交响应文件的其他资格要求见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1.5    单位负责人为同一人或者存在直接控股、管理关系的不同供应商，其相关磋商将被认定为响应无效</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rPr>
        <w:tab/>
      </w:r>
      <w:r>
        <w:rPr>
          <w:rFonts w:hint="eastAsia" w:ascii="宋体" w:hAnsi="宋体" w:eastAsia="宋体" w:cs="宋体"/>
          <w:color w:val="auto"/>
          <w:sz w:val="24"/>
        </w:rPr>
        <w:t>供应商在磋商响应过程中不得向采购人提供或给予影响其正常决策行为的任何有价值物品或服务。一经发现，其磋商将被认定为响应无效。</w:t>
      </w:r>
    </w:p>
    <w:p>
      <w:pPr>
        <w:pStyle w:val="7"/>
        <w:spacing w:before="0" w:after="0" w:line="400" w:lineRule="exact"/>
        <w:rPr>
          <w:rFonts w:hint="eastAsia" w:ascii="宋体" w:hAnsi="宋体" w:eastAsia="宋体" w:cs="宋体"/>
          <w:color w:val="auto"/>
          <w:u w:val="none"/>
        </w:rPr>
      </w:pPr>
      <w:bookmarkStart w:id="15" w:name="_Toc518923062"/>
      <w:bookmarkStart w:id="16" w:name="_Toc11482_WPSOffice_Level2"/>
      <w:bookmarkStart w:id="17" w:name="_Toc11813_WPSOffice_Level2"/>
      <w:bookmarkStart w:id="18" w:name="_Toc2643"/>
      <w:r>
        <w:rPr>
          <w:rFonts w:hint="eastAsia" w:ascii="宋体" w:hAnsi="宋体" w:eastAsia="宋体" w:cs="宋体"/>
          <w:color w:val="auto"/>
          <w:u w:val="none"/>
        </w:rPr>
        <w:t>2.资金来源</w:t>
      </w:r>
      <w:bookmarkEnd w:id="15"/>
      <w:bookmarkEnd w:id="16"/>
      <w:bookmarkEnd w:id="17"/>
      <w:bookmarkEnd w:id="18"/>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rPr>
        <w:tab/>
      </w:r>
      <w:r>
        <w:rPr>
          <w:rFonts w:hint="eastAsia" w:ascii="宋体" w:hAnsi="宋体" w:eastAsia="宋体" w:cs="宋体"/>
          <w:color w:val="auto"/>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2.2    项目预算金额和分项或分包最高限价</w:t>
      </w:r>
      <w:r>
        <w:rPr>
          <w:rFonts w:hint="eastAsia" w:ascii="宋体" w:hAnsi="宋体" w:eastAsia="宋体" w:cs="宋体"/>
          <w:color w:val="auto"/>
          <w:sz w:val="24"/>
          <w:u w:val="single"/>
        </w:rPr>
        <w:t>见供应商须知资料表</w:t>
      </w:r>
      <w:r>
        <w:rPr>
          <w:rFonts w:hint="eastAsia" w:ascii="宋体" w:hAnsi="宋体" w:eastAsia="宋体" w:cs="宋体"/>
          <w:color w:val="auto"/>
          <w:sz w:val="24"/>
        </w:rPr>
        <w:t>。</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2.3    供应商报价超过磋商文件规定的预算金额或者分项、分包最高限价的，其报价将被认定为无效。报价方式详见开标一览表。</w:t>
      </w:r>
    </w:p>
    <w:p>
      <w:pPr>
        <w:pStyle w:val="7"/>
        <w:spacing w:before="0" w:after="0" w:line="400" w:lineRule="exact"/>
        <w:rPr>
          <w:rFonts w:hint="eastAsia" w:ascii="宋体" w:hAnsi="宋体" w:eastAsia="宋体" w:cs="宋体"/>
          <w:color w:val="auto"/>
          <w:u w:val="none"/>
        </w:rPr>
      </w:pPr>
      <w:bookmarkStart w:id="19" w:name="_Toc8601_WPSOffice_Level2"/>
      <w:bookmarkStart w:id="20" w:name="_Toc518923063"/>
      <w:bookmarkStart w:id="21" w:name="_Toc8946_WPSOffice_Level2"/>
      <w:bookmarkStart w:id="22" w:name="_Toc520356145"/>
      <w:bookmarkStart w:id="23" w:name="_Toc28166"/>
      <w:r>
        <w:rPr>
          <w:rFonts w:hint="eastAsia" w:ascii="宋体" w:hAnsi="宋体" w:eastAsia="宋体" w:cs="宋体"/>
          <w:color w:val="auto"/>
          <w:u w:val="none"/>
        </w:rPr>
        <w:t>3.磋商费用</w:t>
      </w:r>
      <w:bookmarkEnd w:id="19"/>
      <w:bookmarkEnd w:id="20"/>
      <w:bookmarkEnd w:id="21"/>
      <w:bookmarkEnd w:id="22"/>
      <w:bookmarkEnd w:id="23"/>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不论磋商的结果如何，供应商应承担所有与准备和参加磋商有关的费用。</w:t>
      </w:r>
    </w:p>
    <w:p>
      <w:pPr>
        <w:pStyle w:val="7"/>
        <w:spacing w:before="0" w:after="0" w:line="400" w:lineRule="exact"/>
        <w:rPr>
          <w:rFonts w:hint="eastAsia" w:ascii="宋体" w:hAnsi="宋体" w:eastAsia="宋体" w:cs="宋体"/>
          <w:color w:val="auto"/>
          <w:u w:val="none"/>
        </w:rPr>
      </w:pPr>
      <w:bookmarkStart w:id="24" w:name="_Toc8368_WPSOffice_Level2"/>
      <w:bookmarkStart w:id="25" w:name="_Toc1523_WPSOffice_Level2"/>
      <w:bookmarkStart w:id="26" w:name="_Toc32365"/>
      <w:bookmarkStart w:id="27" w:name="_Toc518923064"/>
      <w:r>
        <w:rPr>
          <w:rFonts w:hint="eastAsia" w:ascii="宋体" w:hAnsi="宋体" w:eastAsia="宋体" w:cs="宋体"/>
          <w:color w:val="auto"/>
          <w:u w:val="none"/>
        </w:rPr>
        <w:t>4.适用法律</w:t>
      </w:r>
      <w:bookmarkEnd w:id="24"/>
      <w:bookmarkEnd w:id="25"/>
      <w:bookmarkEnd w:id="26"/>
      <w:bookmarkEnd w:id="27"/>
    </w:p>
    <w:p>
      <w:pPr>
        <w:rPr>
          <w:rFonts w:hint="eastAsia" w:ascii="宋体" w:hAnsi="宋体" w:eastAsia="宋体" w:cs="宋体"/>
          <w:b/>
          <w:color w:val="auto"/>
          <w:sz w:val="24"/>
        </w:rPr>
      </w:pPr>
      <w:bookmarkStart w:id="28" w:name="_Toc216582806"/>
      <w:bookmarkStart w:id="29" w:name="_Toc520356146"/>
      <w:bookmarkStart w:id="30" w:name="_Toc809"/>
      <w:bookmarkStart w:id="31" w:name="_Toc518923065"/>
      <w:bookmarkStart w:id="32" w:name="_Toc10894_WPSOffice_Level1"/>
      <w:r>
        <w:rPr>
          <w:rFonts w:hint="eastAsia" w:ascii="宋体" w:hAnsi="宋体" w:eastAsia="宋体" w:cs="宋体"/>
          <w:b/>
          <w:color w:val="auto"/>
          <w:sz w:val="24"/>
        </w:rPr>
        <w:t>本项目采购人、采购代理机构、投标人、评标委员会的相关行为均受《中华人民共和国政府采购法》、《中华人民共和国政府采购法实施条例》《政府采购竞争性磋商采购方式管理暂行办法》、关于进一步加大政府采购支持中小企业力度的通知财库〔2022〕19号及本项目本级和上级财政部门政府采购有关规定的约束，其权利受到上述法律法规的保护。</w:t>
      </w:r>
    </w:p>
    <w:p>
      <w:pPr>
        <w:pStyle w:val="5"/>
        <w:spacing w:before="0" w:line="400" w:lineRule="exact"/>
        <w:ind w:left="1079" w:leftChars="257" w:hanging="540"/>
        <w:rPr>
          <w:rFonts w:hint="eastAsia" w:ascii="宋体" w:hAnsi="宋体" w:eastAsia="宋体" w:cs="宋体"/>
          <w:color w:val="auto"/>
        </w:rPr>
      </w:pPr>
      <w:bookmarkStart w:id="33" w:name="_Toc108877074"/>
      <w:bookmarkStart w:id="34" w:name="_Toc108876161"/>
      <w:r>
        <w:rPr>
          <w:rFonts w:hint="eastAsia" w:ascii="宋体" w:hAnsi="宋体" w:eastAsia="宋体" w:cs="宋体"/>
          <w:color w:val="auto"/>
          <w:sz w:val="28"/>
        </w:rPr>
        <w:t>二</w:t>
      </w:r>
      <w:bookmarkEnd w:id="28"/>
      <w:bookmarkEnd w:id="29"/>
      <w:bookmarkEnd w:id="30"/>
      <w:bookmarkEnd w:id="31"/>
      <w:r>
        <w:rPr>
          <w:rFonts w:hint="eastAsia" w:ascii="宋体" w:hAnsi="宋体" w:eastAsia="宋体" w:cs="宋体"/>
          <w:color w:val="auto"/>
          <w:sz w:val="28"/>
        </w:rPr>
        <w:t>磋商文件</w:t>
      </w:r>
      <w:bookmarkEnd w:id="32"/>
      <w:bookmarkEnd w:id="33"/>
      <w:bookmarkEnd w:id="34"/>
    </w:p>
    <w:p>
      <w:pPr>
        <w:pStyle w:val="7"/>
        <w:spacing w:before="0" w:after="0" w:line="400" w:lineRule="exact"/>
        <w:rPr>
          <w:rFonts w:hint="eastAsia" w:ascii="宋体" w:hAnsi="宋体" w:eastAsia="宋体" w:cs="宋体"/>
          <w:color w:val="auto"/>
          <w:u w:val="none"/>
        </w:rPr>
      </w:pPr>
      <w:bookmarkStart w:id="35" w:name="_Toc520356147"/>
      <w:bookmarkStart w:id="36" w:name="_Toc15218_WPSOffice_Level2"/>
      <w:bookmarkStart w:id="37" w:name="_Toc22990"/>
      <w:bookmarkStart w:id="38" w:name="_Toc518923066"/>
      <w:bookmarkStart w:id="39" w:name="_Toc15303_WPSOffice_Level2"/>
      <w:r>
        <w:rPr>
          <w:rFonts w:hint="eastAsia" w:ascii="宋体" w:hAnsi="宋体" w:eastAsia="宋体" w:cs="宋体"/>
          <w:color w:val="auto"/>
          <w:u w:val="none"/>
        </w:rPr>
        <w:t>5.磋商文件构成</w:t>
      </w:r>
      <w:bookmarkEnd w:id="35"/>
      <w:bookmarkEnd w:id="36"/>
      <w:bookmarkEnd w:id="37"/>
      <w:bookmarkEnd w:id="38"/>
      <w:bookmarkEnd w:id="39"/>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5.1</w:t>
      </w:r>
      <w:r>
        <w:rPr>
          <w:rFonts w:hint="eastAsia" w:ascii="宋体" w:hAnsi="宋体" w:eastAsia="宋体" w:cs="宋体"/>
          <w:color w:val="auto"/>
          <w:sz w:val="24"/>
        </w:rPr>
        <w:tab/>
      </w:r>
      <w:r>
        <w:rPr>
          <w:rFonts w:hint="eastAsia" w:ascii="宋体" w:hAnsi="宋体" w:eastAsia="宋体" w:cs="宋体"/>
          <w:color w:val="auto"/>
          <w:sz w:val="24"/>
        </w:rPr>
        <w:t>磋商文件分为三册共7章，内容如下：</w:t>
      </w:r>
    </w:p>
    <w:p>
      <w:pPr>
        <w:spacing w:line="400" w:lineRule="exact"/>
        <w:ind w:left="1078" w:leftChars="428" w:hanging="180" w:hangingChars="75"/>
        <w:rPr>
          <w:rFonts w:hint="eastAsia" w:ascii="宋体" w:hAnsi="宋体" w:eastAsia="宋体" w:cs="宋体"/>
          <w:color w:val="auto"/>
          <w:sz w:val="24"/>
        </w:rPr>
      </w:pPr>
      <w:r>
        <w:rPr>
          <w:rFonts w:hint="eastAsia" w:ascii="宋体" w:hAnsi="宋体" w:eastAsia="宋体" w:cs="宋体"/>
          <w:color w:val="auto"/>
          <w:sz w:val="24"/>
        </w:rPr>
        <w:t>第一册</w:t>
      </w:r>
    </w:p>
    <w:p>
      <w:pPr>
        <w:numPr>
          <w:ilvl w:val="0"/>
          <w:numId w:val="3"/>
        </w:numPr>
        <w:tabs>
          <w:tab w:val="left" w:pos="0"/>
        </w:tabs>
        <w:spacing w:line="400" w:lineRule="exact"/>
        <w:ind w:left="993" w:firstLine="0"/>
        <w:jc w:val="left"/>
        <w:rPr>
          <w:rFonts w:hint="eastAsia" w:ascii="宋体" w:hAnsi="宋体" w:eastAsia="宋体" w:cs="宋体"/>
          <w:color w:val="auto"/>
          <w:sz w:val="24"/>
        </w:rPr>
      </w:pPr>
      <w:r>
        <w:rPr>
          <w:rFonts w:hint="eastAsia" w:ascii="宋体" w:hAnsi="宋体" w:eastAsia="宋体" w:cs="宋体"/>
          <w:color w:val="auto"/>
          <w:sz w:val="24"/>
        </w:rPr>
        <w:t>供应商须知</w:t>
      </w:r>
    </w:p>
    <w:p>
      <w:pPr>
        <w:numPr>
          <w:ilvl w:val="0"/>
          <w:numId w:val="3"/>
        </w:numPr>
        <w:spacing w:line="400" w:lineRule="exact"/>
        <w:ind w:left="1080" w:leftChars="429" w:hanging="180"/>
        <w:rPr>
          <w:rFonts w:hint="eastAsia" w:ascii="宋体" w:hAnsi="宋体" w:eastAsia="宋体" w:cs="宋体"/>
          <w:color w:val="auto"/>
          <w:sz w:val="24"/>
        </w:rPr>
      </w:pPr>
      <w:r>
        <w:rPr>
          <w:rFonts w:hint="eastAsia" w:ascii="宋体" w:hAnsi="宋体" w:eastAsia="宋体" w:cs="宋体"/>
          <w:color w:val="auto"/>
          <w:sz w:val="24"/>
        </w:rPr>
        <w:t>响应文件格式</w:t>
      </w:r>
    </w:p>
    <w:p>
      <w:pPr>
        <w:spacing w:line="400" w:lineRule="exact"/>
        <w:ind w:left="1080" w:leftChars="429" w:hanging="180"/>
        <w:rPr>
          <w:rFonts w:hint="eastAsia" w:ascii="宋体" w:hAnsi="宋体" w:eastAsia="宋体" w:cs="宋体"/>
          <w:color w:val="auto"/>
          <w:sz w:val="24"/>
        </w:rPr>
      </w:pPr>
      <w:r>
        <w:rPr>
          <w:rFonts w:hint="eastAsia" w:ascii="宋体" w:hAnsi="宋体" w:eastAsia="宋体" w:cs="宋体"/>
          <w:color w:val="auto"/>
          <w:sz w:val="24"/>
        </w:rPr>
        <w:t>第二册</w:t>
      </w:r>
    </w:p>
    <w:p>
      <w:pPr>
        <w:numPr>
          <w:ilvl w:val="0"/>
          <w:numId w:val="3"/>
        </w:numPr>
        <w:spacing w:line="400" w:lineRule="exact"/>
        <w:ind w:left="1080" w:leftChars="429" w:hanging="180"/>
        <w:rPr>
          <w:rFonts w:hint="eastAsia" w:ascii="宋体" w:hAnsi="宋体" w:eastAsia="宋体" w:cs="宋体"/>
          <w:color w:val="auto"/>
          <w:sz w:val="24"/>
        </w:rPr>
      </w:pPr>
      <w:r>
        <w:rPr>
          <w:rFonts w:hint="eastAsia" w:ascii="宋体" w:hAnsi="宋体" w:eastAsia="宋体" w:cs="宋体"/>
          <w:color w:val="auto"/>
          <w:sz w:val="24"/>
        </w:rPr>
        <w:t>磋商邀请</w:t>
      </w:r>
    </w:p>
    <w:p>
      <w:pPr>
        <w:numPr>
          <w:ilvl w:val="0"/>
          <w:numId w:val="3"/>
        </w:numPr>
        <w:spacing w:line="400" w:lineRule="exact"/>
        <w:ind w:left="1080" w:leftChars="429" w:hanging="180"/>
        <w:rPr>
          <w:rFonts w:hint="eastAsia" w:ascii="宋体" w:hAnsi="宋体" w:eastAsia="宋体" w:cs="宋体"/>
          <w:color w:val="auto"/>
          <w:sz w:val="24"/>
        </w:rPr>
      </w:pPr>
      <w:r>
        <w:rPr>
          <w:rFonts w:hint="eastAsia" w:ascii="宋体" w:hAnsi="宋体" w:eastAsia="宋体" w:cs="宋体"/>
          <w:color w:val="auto"/>
          <w:sz w:val="24"/>
        </w:rPr>
        <w:t>供应商须知资料表</w:t>
      </w:r>
    </w:p>
    <w:p>
      <w:pPr>
        <w:numPr>
          <w:ilvl w:val="0"/>
          <w:numId w:val="3"/>
        </w:numPr>
        <w:spacing w:line="400" w:lineRule="exact"/>
        <w:ind w:left="1080" w:leftChars="429" w:hanging="180"/>
        <w:rPr>
          <w:rFonts w:hint="eastAsia" w:ascii="宋体" w:hAnsi="宋体" w:eastAsia="宋体" w:cs="宋体"/>
          <w:color w:val="auto"/>
          <w:sz w:val="24"/>
        </w:rPr>
      </w:pPr>
      <w:r>
        <w:rPr>
          <w:rFonts w:hint="eastAsia" w:ascii="宋体" w:hAnsi="宋体" w:eastAsia="宋体" w:cs="宋体"/>
          <w:color w:val="auto"/>
          <w:sz w:val="24"/>
        </w:rPr>
        <w:t>项目需求</w:t>
      </w:r>
    </w:p>
    <w:p>
      <w:pPr>
        <w:numPr>
          <w:ilvl w:val="0"/>
          <w:numId w:val="3"/>
        </w:numPr>
        <w:spacing w:line="400" w:lineRule="exact"/>
        <w:ind w:left="1080" w:leftChars="429" w:hanging="180"/>
        <w:rPr>
          <w:rFonts w:hint="eastAsia" w:ascii="宋体" w:hAnsi="宋体" w:eastAsia="宋体" w:cs="宋体"/>
          <w:color w:val="auto"/>
          <w:sz w:val="24"/>
        </w:rPr>
      </w:pPr>
      <w:r>
        <w:rPr>
          <w:rFonts w:hint="eastAsia" w:ascii="宋体" w:hAnsi="宋体" w:eastAsia="宋体" w:cs="宋体"/>
          <w:color w:val="auto"/>
          <w:sz w:val="24"/>
        </w:rPr>
        <w:t>评审方法和标准</w:t>
      </w:r>
    </w:p>
    <w:p>
      <w:pPr>
        <w:spacing w:line="400" w:lineRule="exact"/>
        <w:ind w:left="901"/>
        <w:rPr>
          <w:rFonts w:hint="eastAsia" w:ascii="宋体" w:hAnsi="宋体" w:eastAsia="宋体" w:cs="宋体"/>
          <w:color w:val="auto"/>
          <w:sz w:val="24"/>
        </w:rPr>
      </w:pPr>
      <w:r>
        <w:rPr>
          <w:rFonts w:hint="eastAsia" w:ascii="宋体" w:hAnsi="宋体" w:eastAsia="宋体" w:cs="宋体"/>
          <w:color w:val="auto"/>
          <w:sz w:val="24"/>
        </w:rPr>
        <w:t>第三册</w:t>
      </w:r>
    </w:p>
    <w:p>
      <w:pPr>
        <w:numPr>
          <w:ilvl w:val="0"/>
          <w:numId w:val="3"/>
        </w:numPr>
        <w:spacing w:line="400" w:lineRule="exact"/>
        <w:ind w:left="1080" w:leftChars="429" w:hanging="180"/>
        <w:rPr>
          <w:rFonts w:hint="eastAsia" w:ascii="宋体" w:hAnsi="宋体" w:eastAsia="宋体" w:cs="宋体"/>
          <w:color w:val="auto"/>
          <w:sz w:val="24"/>
        </w:rPr>
      </w:pPr>
      <w:r>
        <w:rPr>
          <w:rFonts w:hint="eastAsia" w:ascii="宋体" w:hAnsi="宋体" w:eastAsia="宋体" w:cs="宋体"/>
          <w:color w:val="auto"/>
          <w:sz w:val="24"/>
        </w:rPr>
        <w:t>政府采购合同格式</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5.2</w:t>
      </w:r>
      <w:r>
        <w:rPr>
          <w:rFonts w:hint="eastAsia" w:ascii="宋体" w:hAnsi="宋体" w:eastAsia="宋体" w:cs="宋体"/>
          <w:color w:val="auto"/>
          <w:sz w:val="24"/>
        </w:rPr>
        <w:tab/>
      </w:r>
      <w:r>
        <w:rPr>
          <w:rFonts w:hint="eastAsia" w:ascii="宋体" w:hAnsi="宋体" w:eastAsia="宋体" w:cs="宋体"/>
          <w:color w:val="auto"/>
          <w:sz w:val="24"/>
        </w:rPr>
        <w:t>如本文件的前后内容不一致，以最后描述为准。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7"/>
        <w:spacing w:before="0" w:after="0" w:line="400" w:lineRule="exact"/>
        <w:rPr>
          <w:rFonts w:hint="eastAsia" w:ascii="宋体" w:hAnsi="宋体" w:eastAsia="宋体" w:cs="宋体"/>
          <w:color w:val="auto"/>
          <w:u w:val="none"/>
        </w:rPr>
      </w:pPr>
      <w:bookmarkStart w:id="40" w:name="_Toc520356148"/>
      <w:bookmarkStart w:id="41" w:name="_Toc29081_WPSOffice_Level2"/>
      <w:bookmarkStart w:id="42" w:name="_Toc21314"/>
      <w:bookmarkStart w:id="43" w:name="_Toc518923067"/>
      <w:bookmarkStart w:id="44" w:name="_Toc90_WPSOffice_Level2"/>
      <w:r>
        <w:rPr>
          <w:rFonts w:hint="eastAsia" w:ascii="宋体" w:hAnsi="宋体" w:eastAsia="宋体" w:cs="宋体"/>
          <w:color w:val="auto"/>
          <w:u w:val="none"/>
        </w:rPr>
        <w:t>6.磋商文件的澄清</w:t>
      </w:r>
      <w:bookmarkEnd w:id="40"/>
      <w:r>
        <w:rPr>
          <w:rFonts w:hint="eastAsia" w:ascii="宋体" w:hAnsi="宋体" w:eastAsia="宋体" w:cs="宋体"/>
          <w:color w:val="auto"/>
          <w:u w:val="none"/>
        </w:rPr>
        <w:t>与修改</w:t>
      </w:r>
      <w:bookmarkEnd w:id="41"/>
      <w:bookmarkEnd w:id="42"/>
      <w:bookmarkEnd w:id="43"/>
      <w:bookmarkEnd w:id="44"/>
    </w:p>
    <w:p>
      <w:pPr>
        <w:pStyle w:val="6"/>
        <w:spacing w:line="400" w:lineRule="exact"/>
        <w:ind w:left="840" w:hanging="840" w:hangingChars="350"/>
        <w:rPr>
          <w:rFonts w:hint="eastAsia" w:ascii="宋体" w:hAnsi="宋体" w:eastAsia="宋体" w:cs="宋体"/>
          <w:color w:val="auto"/>
          <w:szCs w:val="24"/>
        </w:rPr>
      </w:pPr>
      <w:r>
        <w:rPr>
          <w:rFonts w:hint="eastAsia" w:ascii="宋体" w:hAnsi="宋体" w:eastAsia="宋体" w:cs="宋体"/>
          <w:color w:val="auto"/>
          <w:szCs w:val="24"/>
        </w:rPr>
        <w:t>6.1    为了保证对磋商文件的澄清和修改满足法律的时限要求，</w:t>
      </w:r>
      <w:bookmarkStart w:id="45" w:name="_Toc520356149"/>
      <w:bookmarkStart w:id="46" w:name="_Ref467378678"/>
      <w:r>
        <w:rPr>
          <w:rFonts w:hint="eastAsia" w:ascii="宋体" w:hAnsi="宋体" w:eastAsia="宋体" w:cs="宋体"/>
          <w:color w:val="auto"/>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6"/>
        <w:spacing w:line="400" w:lineRule="exact"/>
        <w:ind w:left="840" w:hanging="840" w:hangingChars="350"/>
        <w:rPr>
          <w:rFonts w:hint="eastAsia" w:ascii="宋体" w:hAnsi="宋体" w:eastAsia="宋体" w:cs="宋体"/>
          <w:color w:val="auto"/>
          <w:szCs w:val="24"/>
        </w:rPr>
      </w:pPr>
      <w:r>
        <w:rPr>
          <w:rFonts w:hint="eastAsia" w:ascii="宋体" w:hAnsi="宋体" w:eastAsia="宋体" w:cs="宋体"/>
          <w:color w:val="auto"/>
          <w:szCs w:val="24"/>
        </w:rPr>
        <w:t>6.2</w:t>
      </w:r>
      <w:r>
        <w:rPr>
          <w:rFonts w:hint="eastAsia" w:ascii="宋体" w:hAnsi="宋体" w:eastAsia="宋体" w:cs="宋体"/>
          <w:color w:val="auto"/>
          <w:szCs w:val="24"/>
        </w:rPr>
        <w:tab/>
      </w:r>
      <w:r>
        <w:rPr>
          <w:rFonts w:hint="eastAsia" w:ascii="宋体" w:hAnsi="宋体" w:eastAsia="宋体" w:cs="宋体"/>
          <w:color w:val="auto"/>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6"/>
        <w:spacing w:line="400" w:lineRule="exact"/>
        <w:ind w:left="840" w:hanging="840" w:hangingChars="350"/>
        <w:rPr>
          <w:rFonts w:hint="eastAsia" w:ascii="宋体" w:hAnsi="宋体" w:eastAsia="宋体" w:cs="宋体"/>
          <w:color w:val="auto"/>
          <w:szCs w:val="24"/>
        </w:rPr>
      </w:pPr>
      <w:r>
        <w:rPr>
          <w:rFonts w:hint="eastAsia" w:ascii="宋体" w:hAnsi="宋体" w:eastAsia="宋体" w:cs="宋体"/>
          <w:color w:val="auto"/>
          <w:szCs w:val="24"/>
        </w:rPr>
        <w:t>6.3</w:t>
      </w:r>
      <w:r>
        <w:rPr>
          <w:rFonts w:hint="eastAsia" w:ascii="宋体" w:hAnsi="宋体" w:eastAsia="宋体" w:cs="宋体"/>
          <w:color w:val="auto"/>
          <w:szCs w:val="24"/>
        </w:rPr>
        <w:tab/>
      </w:r>
      <w:r>
        <w:rPr>
          <w:rFonts w:hint="eastAsia" w:ascii="宋体" w:hAnsi="宋体" w:eastAsia="宋体" w:cs="宋体"/>
          <w:color w:val="auto"/>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7"/>
        <w:tabs>
          <w:tab w:val="left" w:pos="900"/>
        </w:tabs>
        <w:spacing w:before="0" w:after="0" w:line="400" w:lineRule="exact"/>
        <w:rPr>
          <w:rFonts w:hint="eastAsia" w:ascii="宋体" w:hAnsi="宋体" w:eastAsia="宋体" w:cs="宋体"/>
          <w:color w:val="auto"/>
          <w:u w:val="none"/>
        </w:rPr>
      </w:pPr>
      <w:bookmarkStart w:id="47" w:name="_Toc31699_WPSOffice_Level2"/>
      <w:bookmarkStart w:id="48" w:name="_Toc518923068"/>
      <w:bookmarkStart w:id="49" w:name="_Toc9694_WPSOffice_Level2"/>
      <w:bookmarkStart w:id="50" w:name="_Toc10994"/>
      <w:r>
        <w:rPr>
          <w:rFonts w:hint="eastAsia" w:ascii="宋体" w:hAnsi="宋体" w:eastAsia="宋体" w:cs="宋体"/>
          <w:color w:val="auto"/>
          <w:u w:val="none"/>
        </w:rPr>
        <w:t>7</w:t>
      </w:r>
      <w:bookmarkEnd w:id="45"/>
      <w:bookmarkEnd w:id="46"/>
      <w:r>
        <w:rPr>
          <w:rFonts w:hint="eastAsia" w:ascii="宋体" w:hAnsi="宋体" w:eastAsia="宋体" w:cs="宋体"/>
          <w:color w:val="auto"/>
          <w:u w:val="none"/>
        </w:rPr>
        <w:t>.响应文件递交截止时间的顺延</w:t>
      </w:r>
      <w:bookmarkEnd w:id="47"/>
      <w:bookmarkEnd w:id="48"/>
      <w:bookmarkEnd w:id="49"/>
      <w:bookmarkEnd w:id="50"/>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hint="eastAsia" w:ascii="宋体" w:hAnsi="宋体" w:eastAsia="宋体" w:cs="宋体"/>
          <w:color w:val="auto"/>
        </w:rPr>
      </w:pPr>
      <w:bookmarkStart w:id="51" w:name="_Toc516367020"/>
      <w:bookmarkStart w:id="52" w:name="_Toc518923069"/>
      <w:bookmarkStart w:id="53" w:name="_Toc25389"/>
      <w:bookmarkStart w:id="54" w:name="_Toc216582807"/>
      <w:bookmarkStart w:id="55" w:name="_Toc4436_WPSOffice_Level1"/>
      <w:bookmarkStart w:id="56" w:name="_Toc520356150"/>
      <w:bookmarkStart w:id="57" w:name="_Toc108877075"/>
      <w:bookmarkStart w:id="58" w:name="_Toc108876162"/>
      <w:r>
        <w:rPr>
          <w:rFonts w:hint="eastAsia" w:ascii="宋体" w:hAnsi="宋体" w:eastAsia="宋体" w:cs="宋体"/>
          <w:color w:val="auto"/>
          <w:sz w:val="28"/>
        </w:rPr>
        <w:t>三</w:t>
      </w:r>
      <w:bookmarkEnd w:id="51"/>
      <w:r>
        <w:rPr>
          <w:rFonts w:hint="eastAsia" w:ascii="宋体" w:hAnsi="宋体" w:eastAsia="宋体" w:cs="宋体"/>
          <w:color w:val="auto"/>
          <w:sz w:val="28"/>
        </w:rPr>
        <w:t>响应文件的编制</w:t>
      </w:r>
      <w:bookmarkEnd w:id="52"/>
      <w:bookmarkEnd w:id="53"/>
      <w:bookmarkEnd w:id="54"/>
      <w:bookmarkEnd w:id="55"/>
      <w:bookmarkEnd w:id="56"/>
      <w:bookmarkEnd w:id="57"/>
      <w:bookmarkEnd w:id="58"/>
    </w:p>
    <w:p>
      <w:pPr>
        <w:pStyle w:val="7"/>
        <w:tabs>
          <w:tab w:val="left" w:pos="900"/>
        </w:tabs>
        <w:spacing w:before="0" w:after="0" w:line="400" w:lineRule="exact"/>
        <w:rPr>
          <w:rFonts w:hint="eastAsia" w:ascii="宋体" w:hAnsi="宋体" w:eastAsia="宋体" w:cs="宋体"/>
          <w:color w:val="auto"/>
          <w:u w:val="none"/>
        </w:rPr>
      </w:pPr>
      <w:bookmarkStart w:id="59" w:name="_Toc6728"/>
      <w:bookmarkStart w:id="60" w:name="_Toc518923070"/>
      <w:bookmarkStart w:id="61" w:name="_Toc520356151"/>
      <w:bookmarkStart w:id="62" w:name="_Toc516367021"/>
      <w:bookmarkStart w:id="63" w:name="_Toc20686_WPSOffice_Level2"/>
      <w:bookmarkStart w:id="64" w:name="_Toc13590_WPSOffice_Level2"/>
      <w:r>
        <w:rPr>
          <w:rFonts w:hint="eastAsia" w:ascii="宋体" w:hAnsi="宋体" w:eastAsia="宋体" w:cs="宋体"/>
          <w:color w:val="auto"/>
          <w:u w:val="none"/>
        </w:rPr>
        <w:t>8.</w:t>
      </w:r>
      <w:r>
        <w:rPr>
          <w:rFonts w:hint="eastAsia" w:ascii="宋体" w:hAnsi="宋体" w:eastAsia="宋体" w:cs="宋体"/>
          <w:color w:val="auto"/>
          <w:u w:val="none"/>
        </w:rPr>
        <w:tab/>
      </w:r>
      <w:r>
        <w:rPr>
          <w:rFonts w:hint="eastAsia" w:ascii="宋体" w:hAnsi="宋体" w:eastAsia="宋体" w:cs="宋体"/>
          <w:color w:val="auto"/>
          <w:u w:val="none"/>
        </w:rPr>
        <w:t>磋商范围及响应文件成交准和计量单位的使用</w:t>
      </w:r>
      <w:bookmarkEnd w:id="59"/>
      <w:bookmarkEnd w:id="60"/>
      <w:bookmarkEnd w:id="61"/>
      <w:bookmarkEnd w:id="62"/>
      <w:bookmarkEnd w:id="63"/>
      <w:bookmarkEnd w:id="64"/>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8.1</w:t>
      </w:r>
      <w:r>
        <w:rPr>
          <w:rFonts w:hint="eastAsia" w:ascii="宋体" w:hAnsi="宋体" w:eastAsia="宋体" w:cs="宋体"/>
          <w:color w:val="auto"/>
          <w:sz w:val="24"/>
        </w:rPr>
        <w:tab/>
      </w:r>
      <w:r>
        <w:rPr>
          <w:rFonts w:hint="eastAsia" w:ascii="宋体" w:hAnsi="宋体" w:eastAsia="宋体" w:cs="宋体"/>
          <w:color w:val="auto"/>
          <w:sz w:val="24"/>
        </w:rPr>
        <w:t>项目有分包的，供应商可对磋商文件其中一个或几个分包进行响应，除非在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中另有规定。</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8.3     无论磋商文件第5章项目需求中是否要求，供应商所投服务均应符合国家强制性标准。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8.4     除磋商文件中有特殊要求外，响应文件中所使用的计量单位，应采用中华人民共和国法定计量单位。</w:t>
      </w:r>
    </w:p>
    <w:p>
      <w:pPr>
        <w:pStyle w:val="7"/>
        <w:tabs>
          <w:tab w:val="left" w:pos="900"/>
        </w:tabs>
        <w:spacing w:before="0" w:after="0" w:line="400" w:lineRule="exact"/>
        <w:rPr>
          <w:rFonts w:hint="eastAsia" w:ascii="宋体" w:hAnsi="宋体" w:eastAsia="宋体" w:cs="宋体"/>
          <w:color w:val="auto"/>
          <w:u w:val="none"/>
        </w:rPr>
      </w:pPr>
      <w:bookmarkStart w:id="65" w:name="_Ref467306676"/>
      <w:bookmarkStart w:id="66" w:name="_Ref467306195"/>
      <w:bookmarkStart w:id="67" w:name="_Toc516367022"/>
      <w:bookmarkStart w:id="68" w:name="_Toc28579_WPSOffice_Level2"/>
      <w:bookmarkStart w:id="69" w:name="_Toc31935_WPSOffice_Level2"/>
      <w:bookmarkStart w:id="70" w:name="_Toc520356152"/>
      <w:bookmarkStart w:id="71" w:name="_Toc15487"/>
      <w:bookmarkStart w:id="72" w:name="_Toc518923071"/>
      <w:r>
        <w:rPr>
          <w:rFonts w:hint="eastAsia" w:ascii="宋体" w:hAnsi="宋体" w:eastAsia="宋体" w:cs="宋体"/>
          <w:color w:val="auto"/>
          <w:u w:val="none"/>
        </w:rPr>
        <w:t>9.</w:t>
      </w:r>
      <w:bookmarkEnd w:id="65"/>
      <w:bookmarkEnd w:id="66"/>
      <w:bookmarkEnd w:id="67"/>
      <w:r>
        <w:rPr>
          <w:rFonts w:hint="eastAsia" w:ascii="宋体" w:hAnsi="宋体" w:eastAsia="宋体" w:cs="宋体"/>
          <w:color w:val="auto"/>
          <w:u w:val="none"/>
        </w:rPr>
        <w:t>响应文件构成</w:t>
      </w:r>
      <w:bookmarkEnd w:id="68"/>
      <w:bookmarkEnd w:id="69"/>
      <w:bookmarkEnd w:id="70"/>
      <w:bookmarkEnd w:id="71"/>
      <w:bookmarkEnd w:id="72"/>
    </w:p>
    <w:p>
      <w:pPr>
        <w:tabs>
          <w:tab w:val="left" w:pos="900"/>
          <w:tab w:val="left" w:pos="5580"/>
        </w:tabs>
        <w:spacing w:line="360" w:lineRule="exact"/>
        <w:ind w:left="960" w:hanging="960" w:hangingChars="400"/>
        <w:jc w:val="left"/>
        <w:rPr>
          <w:rFonts w:hint="eastAsia" w:ascii="宋体" w:hAnsi="宋体" w:eastAsia="宋体" w:cs="宋体"/>
          <w:color w:val="auto"/>
        </w:rPr>
      </w:pPr>
      <w:bookmarkStart w:id="73" w:name="_Ref467052588"/>
      <w:r>
        <w:rPr>
          <w:rFonts w:hint="eastAsia" w:ascii="宋体" w:hAnsi="宋体" w:eastAsia="宋体" w:cs="宋体"/>
          <w:color w:val="auto"/>
          <w:sz w:val="24"/>
        </w:rPr>
        <w:t xml:space="preserve">9.1    </w:t>
      </w:r>
      <w:bookmarkEnd w:id="73"/>
      <w:r>
        <w:rPr>
          <w:rFonts w:hint="eastAsia" w:ascii="宋体" w:hAnsi="宋体" w:eastAsia="宋体" w:cs="宋体"/>
          <w:b/>
          <w:bCs/>
          <w:color w:val="auto"/>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9.2    上述文件应按照磋商文件规定的格式填写、签署和盖章。</w:t>
      </w:r>
    </w:p>
    <w:p>
      <w:pPr>
        <w:pStyle w:val="7"/>
        <w:tabs>
          <w:tab w:val="left" w:pos="900"/>
        </w:tabs>
        <w:spacing w:before="0" w:after="0" w:line="400" w:lineRule="exact"/>
        <w:rPr>
          <w:rFonts w:hint="eastAsia" w:ascii="宋体" w:hAnsi="宋体" w:eastAsia="宋体" w:cs="宋体"/>
          <w:color w:val="auto"/>
          <w:u w:val="none"/>
        </w:rPr>
      </w:pPr>
      <w:bookmarkStart w:id="74" w:name="_Toc516367023"/>
      <w:bookmarkStart w:id="75" w:name="_Toc520356153"/>
      <w:bookmarkStart w:id="76" w:name="_Toc508185920"/>
      <w:bookmarkStart w:id="77" w:name="_Toc518923072"/>
      <w:bookmarkStart w:id="78" w:name="_Toc2671"/>
      <w:bookmarkStart w:id="79" w:name="_Toc10751_WPSOffice_Level2"/>
      <w:bookmarkStart w:id="80" w:name="_Toc5768_WPSOffice_Level2"/>
      <w:bookmarkStart w:id="81" w:name="_Toc520356155"/>
      <w:r>
        <w:rPr>
          <w:rFonts w:hint="eastAsia" w:ascii="宋体" w:hAnsi="宋体" w:eastAsia="宋体" w:cs="宋体"/>
          <w:color w:val="auto"/>
          <w:u w:val="none"/>
        </w:rPr>
        <w:t>10.</w:t>
      </w:r>
      <w:r>
        <w:rPr>
          <w:rFonts w:hint="eastAsia" w:ascii="宋体" w:hAnsi="宋体" w:eastAsia="宋体" w:cs="宋体"/>
          <w:color w:val="auto"/>
          <w:u w:val="none"/>
        </w:rPr>
        <w:tab/>
      </w:r>
      <w:r>
        <w:rPr>
          <w:rFonts w:hint="eastAsia" w:ascii="宋体" w:hAnsi="宋体" w:eastAsia="宋体" w:cs="宋体"/>
          <w:color w:val="auto"/>
          <w:u w:val="none"/>
        </w:rPr>
        <w:t>证明标的的合格性和符合磋商文件规定的响应文件</w:t>
      </w:r>
      <w:bookmarkEnd w:id="74"/>
      <w:bookmarkEnd w:id="75"/>
      <w:bookmarkEnd w:id="76"/>
      <w:bookmarkEnd w:id="77"/>
      <w:bookmarkEnd w:id="78"/>
      <w:bookmarkEnd w:id="79"/>
      <w:bookmarkEnd w:id="80"/>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10.1</w:t>
      </w:r>
      <w:r>
        <w:rPr>
          <w:rFonts w:hint="eastAsia" w:ascii="宋体" w:hAnsi="宋体" w:eastAsia="宋体" w:cs="宋体"/>
          <w:color w:val="auto"/>
          <w:sz w:val="24"/>
        </w:rPr>
        <w:tab/>
      </w:r>
      <w:r>
        <w:rPr>
          <w:rFonts w:hint="eastAsia" w:ascii="宋体" w:hAnsi="宋体" w:eastAsia="宋体" w:cs="宋体"/>
          <w:color w:val="auto"/>
          <w:sz w:val="24"/>
        </w:rPr>
        <w:t>供应商应提交证明文件，证明其响应文件内容符合磋商文件规定。该证明文件是响应文件的一部分。</w:t>
      </w:r>
    </w:p>
    <w:p>
      <w:pPr>
        <w:spacing w:line="400" w:lineRule="exact"/>
        <w:ind w:left="900" w:hanging="900" w:hangingChars="375"/>
        <w:rPr>
          <w:rFonts w:hint="eastAsia" w:ascii="宋体" w:hAnsi="宋体" w:eastAsia="宋体" w:cs="宋体"/>
          <w:color w:val="auto"/>
          <w:sz w:val="24"/>
        </w:rPr>
      </w:pPr>
      <w:bookmarkStart w:id="82" w:name="_Ref467306244"/>
      <w:r>
        <w:rPr>
          <w:rFonts w:hint="eastAsia" w:ascii="宋体" w:hAnsi="宋体" w:eastAsia="宋体" w:cs="宋体"/>
          <w:color w:val="auto"/>
          <w:sz w:val="24"/>
        </w:rPr>
        <w:t>10.2</w:t>
      </w:r>
      <w:r>
        <w:rPr>
          <w:rFonts w:hint="eastAsia" w:ascii="宋体" w:hAnsi="宋体" w:eastAsia="宋体" w:cs="宋体"/>
          <w:color w:val="auto"/>
          <w:sz w:val="24"/>
        </w:rPr>
        <w:tab/>
      </w:r>
      <w:r>
        <w:rPr>
          <w:rFonts w:hint="eastAsia" w:ascii="宋体" w:hAnsi="宋体" w:eastAsia="宋体" w:cs="宋体"/>
          <w:color w:val="auto"/>
          <w:sz w:val="24"/>
        </w:rPr>
        <w:t>上款所述的证明文件，可以是文字资料、图纸和数据</w:t>
      </w:r>
      <w:bookmarkEnd w:id="82"/>
      <w:r>
        <w:rPr>
          <w:rFonts w:hint="eastAsia" w:ascii="宋体" w:hAnsi="宋体" w:eastAsia="宋体" w:cs="宋体"/>
          <w:color w:val="auto"/>
          <w:sz w:val="24"/>
        </w:rPr>
        <w:t>。</w:t>
      </w:r>
    </w:p>
    <w:p>
      <w:pPr>
        <w:pStyle w:val="7"/>
        <w:spacing w:before="0" w:after="0" w:line="400" w:lineRule="exact"/>
        <w:rPr>
          <w:rFonts w:hint="eastAsia" w:ascii="宋体" w:hAnsi="宋体" w:eastAsia="宋体" w:cs="宋体"/>
          <w:color w:val="auto"/>
          <w:u w:val="none"/>
        </w:rPr>
      </w:pPr>
      <w:bookmarkStart w:id="83" w:name="_Toc518923073"/>
      <w:bookmarkStart w:id="84" w:name="_Toc8529"/>
      <w:bookmarkStart w:id="85" w:name="_Toc32368_WPSOffice_Level2"/>
      <w:bookmarkStart w:id="86" w:name="_Toc15335_WPSOffice_Level2"/>
      <w:r>
        <w:rPr>
          <w:rFonts w:hint="eastAsia" w:ascii="宋体" w:hAnsi="宋体" w:eastAsia="宋体" w:cs="宋体"/>
          <w:color w:val="auto"/>
          <w:u w:val="none"/>
        </w:rPr>
        <w:t>11.</w:t>
      </w:r>
      <w:bookmarkEnd w:id="81"/>
      <w:bookmarkEnd w:id="83"/>
      <w:bookmarkEnd w:id="84"/>
      <w:r>
        <w:rPr>
          <w:rFonts w:hint="eastAsia" w:ascii="宋体" w:hAnsi="宋体" w:eastAsia="宋体" w:cs="宋体"/>
          <w:color w:val="auto"/>
          <w:u w:val="none"/>
        </w:rPr>
        <w:t>磋商报价</w:t>
      </w:r>
      <w:bookmarkEnd w:id="85"/>
      <w:bookmarkEnd w:id="86"/>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rPr>
        <w:tab/>
      </w:r>
      <w:r>
        <w:rPr>
          <w:rFonts w:hint="eastAsia" w:ascii="宋体" w:hAnsi="宋体" w:eastAsia="宋体" w:cs="宋体"/>
          <w:color w:val="auto"/>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11.2</w:t>
      </w:r>
      <w:r>
        <w:rPr>
          <w:rFonts w:hint="eastAsia" w:ascii="宋体" w:hAnsi="宋体" w:eastAsia="宋体" w:cs="宋体"/>
          <w:color w:val="auto"/>
          <w:sz w:val="24"/>
        </w:rPr>
        <w:tab/>
      </w:r>
      <w:r>
        <w:rPr>
          <w:rFonts w:hint="eastAsia" w:ascii="宋体" w:hAnsi="宋体" w:eastAsia="宋体" w:cs="宋体"/>
          <w:color w:val="auto"/>
          <w:sz w:val="24"/>
        </w:rPr>
        <w:t>供应商应在标的分项报价表上标明分项服务的价格（如适用）和总价，并由法定代表人或其委托代理人签署。</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11.3</w:t>
      </w:r>
      <w:r>
        <w:rPr>
          <w:rFonts w:hint="eastAsia" w:ascii="宋体" w:hAnsi="宋体" w:eastAsia="宋体" w:cs="宋体"/>
          <w:color w:val="auto"/>
          <w:sz w:val="24"/>
        </w:rPr>
        <w:tab/>
      </w:r>
      <w:r>
        <w:rPr>
          <w:rFonts w:hint="eastAsia" w:ascii="宋体" w:hAnsi="宋体" w:eastAsia="宋体" w:cs="宋体"/>
          <w:color w:val="auto"/>
          <w:sz w:val="24"/>
        </w:rPr>
        <w:t>采购人不接受具有附加条件的报价。</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11.4</w:t>
      </w:r>
      <w:r>
        <w:rPr>
          <w:rFonts w:hint="eastAsia" w:ascii="宋体" w:hAnsi="宋体" w:eastAsia="宋体" w:cs="宋体"/>
          <w:color w:val="auto"/>
          <w:sz w:val="24"/>
        </w:rPr>
        <w:tab/>
      </w:r>
      <w:r>
        <w:rPr>
          <w:rFonts w:hint="eastAsia" w:ascii="宋体" w:hAnsi="宋体" w:eastAsia="宋体" w:cs="宋体"/>
          <w:color w:val="auto"/>
          <w:sz w:val="24"/>
        </w:rPr>
        <w:t>供应商所报的各分项磋商报价在合同履行过程中是固定不变的，不得以任何理由予以变更。任何包含价格调整要求的响应，将被认定为响应无效。</w:t>
      </w:r>
    </w:p>
    <w:p>
      <w:pPr>
        <w:pStyle w:val="26"/>
        <w:spacing w:line="400" w:lineRule="exact"/>
        <w:ind w:left="720" w:hanging="720" w:hangingChars="300"/>
        <w:rPr>
          <w:rFonts w:hint="eastAsia" w:ascii="宋体" w:hAnsi="宋体" w:eastAsia="宋体" w:cs="宋体"/>
          <w:b/>
          <w:bCs/>
          <w:color w:val="auto"/>
          <w:sz w:val="24"/>
          <w:u w:val="single"/>
        </w:rPr>
      </w:pPr>
      <w:r>
        <w:rPr>
          <w:rFonts w:hint="eastAsia" w:ascii="宋体" w:hAnsi="宋体" w:eastAsia="宋体" w:cs="宋体"/>
          <w:color w:val="auto"/>
          <w:sz w:val="24"/>
        </w:rPr>
        <w:t xml:space="preserve">11.5   </w:t>
      </w:r>
      <w:r>
        <w:rPr>
          <w:rFonts w:hint="eastAsia" w:ascii="宋体" w:hAnsi="宋体" w:eastAsia="宋体" w:cs="宋体"/>
          <w:b/>
          <w:bCs/>
          <w:color w:val="auto"/>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7"/>
        <w:spacing w:before="0" w:after="0" w:line="400" w:lineRule="exact"/>
        <w:rPr>
          <w:rFonts w:hint="eastAsia" w:ascii="宋体" w:hAnsi="宋体" w:eastAsia="宋体" w:cs="宋体"/>
          <w:color w:val="auto"/>
          <w:u w:val="none"/>
        </w:rPr>
      </w:pPr>
      <w:bookmarkStart w:id="87" w:name="_Toc16199"/>
      <w:bookmarkStart w:id="88" w:name="_Toc520356156"/>
      <w:bookmarkStart w:id="89" w:name="_Ref467306513"/>
      <w:bookmarkStart w:id="90" w:name="_Toc518923074"/>
      <w:bookmarkStart w:id="91" w:name="_Toc25748_WPSOffice_Level2"/>
      <w:bookmarkStart w:id="92" w:name="_Toc24125_WPSOffice_Level2"/>
      <w:r>
        <w:rPr>
          <w:rFonts w:hint="eastAsia" w:ascii="宋体" w:hAnsi="宋体" w:eastAsia="宋体" w:cs="宋体"/>
          <w:color w:val="auto"/>
          <w:u w:val="none"/>
        </w:rPr>
        <w:t>12.</w:t>
      </w:r>
      <w:bookmarkEnd w:id="87"/>
      <w:bookmarkEnd w:id="88"/>
      <w:bookmarkEnd w:id="89"/>
      <w:bookmarkEnd w:id="90"/>
      <w:r>
        <w:rPr>
          <w:rFonts w:hint="eastAsia" w:ascii="宋体" w:hAnsi="宋体" w:eastAsia="宋体" w:cs="宋体"/>
          <w:color w:val="auto"/>
          <w:u w:val="none"/>
        </w:rPr>
        <w:t>磋商保证金</w:t>
      </w:r>
      <w:bookmarkEnd w:id="91"/>
      <w:bookmarkEnd w:id="92"/>
    </w:p>
    <w:p>
      <w:pPr>
        <w:spacing w:line="400" w:lineRule="exact"/>
        <w:ind w:left="900" w:hanging="900" w:hangingChars="375"/>
        <w:rPr>
          <w:rFonts w:hint="eastAsia" w:ascii="宋体" w:hAnsi="宋体" w:eastAsia="宋体" w:cs="宋体"/>
          <w:color w:val="auto"/>
          <w:sz w:val="24"/>
        </w:rPr>
      </w:pPr>
      <w:bookmarkStart w:id="93" w:name="_Ref467306302"/>
      <w:r>
        <w:rPr>
          <w:rFonts w:hint="eastAsia" w:ascii="宋体" w:hAnsi="宋体" w:eastAsia="宋体" w:cs="宋体"/>
          <w:color w:val="auto"/>
          <w:sz w:val="24"/>
        </w:rPr>
        <w:t>12.1</w:t>
      </w:r>
      <w:r>
        <w:rPr>
          <w:rFonts w:hint="eastAsia" w:ascii="宋体" w:hAnsi="宋体" w:eastAsia="宋体" w:cs="宋体"/>
          <w:color w:val="auto"/>
          <w:sz w:val="24"/>
        </w:rPr>
        <w:tab/>
      </w:r>
      <w:r>
        <w:rPr>
          <w:rFonts w:hint="eastAsia" w:ascii="宋体" w:hAnsi="宋体" w:eastAsia="宋体" w:cs="宋体"/>
          <w:color w:val="auto"/>
          <w:sz w:val="24"/>
        </w:rPr>
        <w:t>供应商应提交</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w:t>
      </w:r>
      <w:bookmarkEnd w:id="93"/>
      <w:r>
        <w:rPr>
          <w:rFonts w:hint="eastAsia" w:ascii="宋体" w:hAnsi="宋体" w:eastAsia="宋体" w:cs="宋体"/>
          <w:color w:val="auto"/>
          <w:sz w:val="24"/>
        </w:rPr>
        <w:t>磋商保证金，并作为其响应文件的一部分。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12.2</w:t>
      </w:r>
      <w:r>
        <w:rPr>
          <w:rFonts w:hint="eastAsia" w:ascii="宋体" w:hAnsi="宋体" w:eastAsia="宋体" w:cs="宋体"/>
          <w:color w:val="auto"/>
          <w:sz w:val="24"/>
        </w:rPr>
        <w:tab/>
      </w:r>
      <w:r>
        <w:rPr>
          <w:rFonts w:hint="eastAsia" w:ascii="宋体" w:hAnsi="宋体" w:eastAsia="宋体" w:cs="宋体"/>
          <w:color w:val="auto"/>
          <w:sz w:val="24"/>
        </w:rPr>
        <w:t>供应商存在下列情形的，磋商保证金不予退还：</w:t>
      </w:r>
    </w:p>
    <w:p>
      <w:pPr>
        <w:spacing w:line="40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（1）在磋商有效期内，撤销响应文件的；</w:t>
      </w:r>
    </w:p>
    <w:p>
      <w:pPr>
        <w:pStyle w:val="17"/>
        <w:tabs>
          <w:tab w:val="left" w:pos="2240"/>
        </w:tabs>
        <w:spacing w:line="400" w:lineRule="exac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（2）成交后不按本须知第30条的规定与采购人签订合同的；</w:t>
      </w:r>
    </w:p>
    <w:p>
      <w:pPr>
        <w:pStyle w:val="17"/>
        <w:tabs>
          <w:tab w:val="left" w:pos="2240"/>
        </w:tabs>
        <w:spacing w:line="400" w:lineRule="exac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（3）成交后不按本须知第31条的规定提交履约保证金的；</w:t>
      </w:r>
    </w:p>
    <w:p>
      <w:pPr>
        <w:pStyle w:val="17"/>
        <w:tabs>
          <w:tab w:val="left" w:pos="2240"/>
        </w:tabs>
        <w:spacing w:line="400" w:lineRule="exac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（4）成交后不按本须知第32条的规定缴纳成交服务费的；</w:t>
      </w:r>
    </w:p>
    <w:p>
      <w:pPr>
        <w:pStyle w:val="17"/>
        <w:tabs>
          <w:tab w:val="left" w:pos="2240"/>
        </w:tabs>
        <w:spacing w:line="400" w:lineRule="exac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（5）存在其他违法违规行为的。</w:t>
      </w:r>
    </w:p>
    <w:p>
      <w:pPr>
        <w:spacing w:line="400" w:lineRule="exact"/>
        <w:ind w:left="900" w:hanging="900" w:hangingChars="375"/>
        <w:rPr>
          <w:rFonts w:hint="eastAsia" w:ascii="宋体" w:hAnsi="宋体" w:eastAsia="宋体" w:cs="宋体"/>
          <w:color w:val="auto"/>
          <w:sz w:val="24"/>
        </w:rPr>
      </w:pPr>
      <w:bookmarkStart w:id="94" w:name="_Ref467306336"/>
      <w:r>
        <w:rPr>
          <w:rFonts w:hint="eastAsia" w:ascii="宋体" w:hAnsi="宋体" w:eastAsia="宋体" w:cs="宋体"/>
          <w:color w:val="auto"/>
          <w:sz w:val="24"/>
        </w:rPr>
        <w:t>12.3</w:t>
      </w:r>
      <w:r>
        <w:rPr>
          <w:rFonts w:hint="eastAsia" w:ascii="宋体" w:hAnsi="宋体" w:eastAsia="宋体" w:cs="宋体"/>
          <w:color w:val="auto"/>
          <w:sz w:val="24"/>
        </w:rPr>
        <w:tab/>
      </w:r>
      <w:bookmarkEnd w:id="94"/>
      <w:r>
        <w:rPr>
          <w:rFonts w:hint="eastAsia" w:ascii="宋体" w:hAnsi="宋体" w:eastAsia="宋体" w:cs="宋体"/>
          <w:color w:val="auto"/>
          <w:sz w:val="24"/>
        </w:rPr>
        <w:t>政府采购信用担保试点范围内的项目，接受符合财政部门规定的政府采购磋商担保函原件。</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12.4</w:t>
      </w:r>
      <w:r>
        <w:rPr>
          <w:rFonts w:hint="eastAsia" w:ascii="宋体" w:hAnsi="宋体" w:eastAsia="宋体" w:cs="宋体"/>
          <w:color w:val="auto"/>
          <w:sz w:val="24"/>
        </w:rPr>
        <w:tab/>
      </w:r>
      <w:r>
        <w:rPr>
          <w:rFonts w:hint="eastAsia" w:ascii="宋体" w:hAnsi="宋体" w:eastAsia="宋体" w:cs="宋体"/>
          <w:color w:val="auto"/>
          <w:sz w:val="24"/>
        </w:rPr>
        <w:t>供应商未按本须知第12.1和12.3条规定提交磋商保证金的，其磋商资格将被认定为</w:t>
      </w:r>
      <w:r>
        <w:rPr>
          <w:rFonts w:hint="eastAsia" w:ascii="宋体" w:hAnsi="宋体" w:eastAsia="宋体" w:cs="宋体"/>
          <w:b/>
          <w:color w:val="auto"/>
          <w:sz w:val="24"/>
        </w:rPr>
        <w:t>无效</w:t>
      </w:r>
      <w:r>
        <w:rPr>
          <w:rFonts w:hint="eastAsia" w:ascii="宋体" w:hAnsi="宋体" w:eastAsia="宋体" w:cs="宋体"/>
          <w:color w:val="auto"/>
          <w:sz w:val="24"/>
        </w:rPr>
        <w:t>。</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12.4.1  采用电汇形式的，一般可以实时入账；</w:t>
      </w:r>
    </w:p>
    <w:p>
      <w:pPr>
        <w:spacing w:line="40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12.5    联合体递交响应文件的，可以由联合体中的一方或者共同提交磋商保证金。以一方名义提交磋商保证金的，对联合体各方均具有约束力。</w:t>
      </w:r>
      <w:r>
        <w:rPr>
          <w:rFonts w:hint="eastAsia" w:ascii="宋体" w:hAnsi="宋体" w:eastAsia="宋体" w:cs="宋体"/>
          <w:b/>
          <w:bCs/>
          <w:color w:val="auto"/>
          <w:sz w:val="24"/>
        </w:rPr>
        <w:t>本项目不接受联合体投标。</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12.6</w:t>
      </w:r>
      <w:r>
        <w:rPr>
          <w:rFonts w:hint="eastAsia" w:ascii="宋体" w:hAnsi="宋体" w:eastAsia="宋体" w:cs="宋体"/>
          <w:color w:val="auto"/>
          <w:sz w:val="24"/>
        </w:rPr>
        <w:tab/>
      </w:r>
      <w:r>
        <w:rPr>
          <w:rFonts w:hint="eastAsia" w:ascii="宋体" w:hAnsi="宋体" w:eastAsia="宋体" w:cs="宋体"/>
          <w:color w:val="auto"/>
          <w:sz w:val="24"/>
        </w:rPr>
        <w:t>磋商保证金的退还</w:t>
      </w:r>
    </w:p>
    <w:p>
      <w:pPr>
        <w:spacing w:line="400" w:lineRule="exact"/>
        <w:ind w:left="1020" w:hanging="1020" w:hangingChars="425"/>
        <w:rPr>
          <w:rFonts w:hint="eastAsia" w:ascii="宋体" w:hAnsi="宋体" w:eastAsia="宋体" w:cs="宋体"/>
          <w:color w:val="auto"/>
          <w:sz w:val="24"/>
        </w:rPr>
      </w:pPr>
      <w:r>
        <w:rPr>
          <w:rFonts w:hint="eastAsia" w:ascii="宋体" w:hAnsi="宋体" w:eastAsia="宋体" w:cs="宋体"/>
          <w:color w:val="auto"/>
          <w:sz w:val="24"/>
        </w:rPr>
        <w:t>12.6.1  成交人应在与采购人签订合同之日起5个工作日内，及时联系保证金收受机构办理磋商保证金无息退还手续。</w:t>
      </w:r>
    </w:p>
    <w:p>
      <w:pPr>
        <w:spacing w:line="400" w:lineRule="exact"/>
        <w:ind w:left="1020" w:hanging="1020" w:hangingChars="425"/>
        <w:rPr>
          <w:rFonts w:hint="eastAsia" w:ascii="宋体" w:hAnsi="宋体" w:eastAsia="宋体" w:cs="宋体"/>
          <w:color w:val="auto"/>
          <w:sz w:val="24"/>
        </w:rPr>
      </w:pPr>
      <w:r>
        <w:rPr>
          <w:rFonts w:hint="eastAsia" w:ascii="宋体" w:hAnsi="宋体" w:eastAsia="宋体" w:cs="宋体"/>
          <w:color w:val="auto"/>
          <w:sz w:val="24"/>
        </w:rPr>
        <w:t>12.6.2  未成交供应商的磋商保证金将在成交通知书发出之日暨成交结果公告公布之日起5个工作日内无息退还。供应商及时联系保证金收受机构办理退还磋商保证金手续。</w:t>
      </w:r>
      <w:bookmarkStart w:id="95" w:name="_Toc518923075"/>
    </w:p>
    <w:p>
      <w:pPr>
        <w:spacing w:line="400" w:lineRule="exact"/>
        <w:ind w:left="893" w:hanging="892" w:hangingChars="425"/>
        <w:rPr>
          <w:rFonts w:hint="eastAsia" w:ascii="宋体" w:hAnsi="宋体" w:eastAsia="宋体" w:cs="宋体"/>
          <w:bCs/>
          <w:color w:val="auto"/>
        </w:rPr>
      </w:pPr>
      <w:r>
        <w:rPr>
          <w:rFonts w:hint="eastAsia" w:ascii="宋体" w:hAnsi="宋体" w:eastAsia="宋体" w:cs="宋体"/>
          <w:bCs/>
          <w:color w:val="auto"/>
        </w:rPr>
        <w:t xml:space="preserve">12.6.3  </w:t>
      </w:r>
      <w:r>
        <w:rPr>
          <w:rFonts w:hint="eastAsia" w:ascii="宋体" w:hAnsi="宋体" w:eastAsia="宋体" w:cs="宋体"/>
          <w:color w:val="auto"/>
          <w:sz w:val="24"/>
        </w:rPr>
        <w:t>政府采购磋商担保函不予退回。</w:t>
      </w:r>
      <w:bookmarkEnd w:id="95"/>
    </w:p>
    <w:p>
      <w:pPr>
        <w:spacing w:line="40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12.7   因供应商自身原因导致无法及时退还的，采购人或采购代理机构将不承担相应责任。</w:t>
      </w:r>
    </w:p>
    <w:p>
      <w:pPr>
        <w:pStyle w:val="7"/>
        <w:spacing w:before="0" w:after="0" w:line="400" w:lineRule="exact"/>
        <w:rPr>
          <w:rFonts w:hint="eastAsia" w:ascii="宋体" w:hAnsi="宋体" w:eastAsia="宋体" w:cs="宋体"/>
          <w:color w:val="auto"/>
          <w:u w:val="none"/>
        </w:rPr>
      </w:pPr>
      <w:bookmarkStart w:id="96" w:name="_Toc518923076"/>
      <w:bookmarkStart w:id="97" w:name="_Toc520356157"/>
      <w:bookmarkStart w:id="98" w:name="_Toc20355"/>
      <w:bookmarkStart w:id="99" w:name="_Toc11106_WPSOffice_Level2"/>
      <w:bookmarkStart w:id="100" w:name="_Toc4716_WPSOffice_Level2"/>
      <w:r>
        <w:rPr>
          <w:rFonts w:hint="eastAsia" w:ascii="宋体" w:hAnsi="宋体" w:eastAsia="宋体" w:cs="宋体"/>
          <w:color w:val="auto"/>
          <w:u w:val="none"/>
        </w:rPr>
        <w:t>13.</w:t>
      </w:r>
      <w:bookmarkEnd w:id="96"/>
      <w:bookmarkEnd w:id="97"/>
      <w:bookmarkEnd w:id="98"/>
      <w:r>
        <w:rPr>
          <w:rFonts w:hint="eastAsia" w:ascii="宋体" w:hAnsi="宋体" w:eastAsia="宋体" w:cs="宋体"/>
          <w:color w:val="auto"/>
          <w:u w:val="none"/>
        </w:rPr>
        <w:t>磋商有效期</w:t>
      </w:r>
      <w:bookmarkEnd w:id="99"/>
      <w:bookmarkEnd w:id="100"/>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磋商应在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中规定时间内保持有效。磋商有效期不满足要求的响应，其磋商资格将被认定为</w:t>
      </w:r>
      <w:r>
        <w:rPr>
          <w:rFonts w:hint="eastAsia" w:ascii="宋体" w:hAnsi="宋体" w:eastAsia="宋体" w:cs="宋体"/>
          <w:b/>
          <w:color w:val="auto"/>
          <w:sz w:val="24"/>
        </w:rPr>
        <w:t>无效</w:t>
      </w:r>
      <w:r>
        <w:rPr>
          <w:rFonts w:hint="eastAsia" w:ascii="宋体" w:hAnsi="宋体" w:eastAsia="宋体" w:cs="宋体"/>
          <w:color w:val="auto"/>
          <w:sz w:val="24"/>
        </w:rPr>
        <w:t>。</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13.2</w:t>
      </w:r>
      <w:r>
        <w:rPr>
          <w:rFonts w:hint="eastAsia" w:ascii="宋体" w:hAnsi="宋体" w:eastAsia="宋体" w:cs="宋体"/>
          <w:color w:val="auto"/>
          <w:sz w:val="24"/>
        </w:rPr>
        <w:tab/>
      </w:r>
      <w:r>
        <w:rPr>
          <w:rFonts w:hint="eastAsia" w:ascii="宋体" w:hAnsi="宋体" w:eastAsia="宋体" w:cs="宋体"/>
          <w:color w:val="auto"/>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7"/>
        <w:spacing w:before="0" w:after="0" w:line="400" w:lineRule="exact"/>
        <w:rPr>
          <w:rFonts w:hint="eastAsia" w:ascii="宋体" w:hAnsi="宋体" w:eastAsia="宋体" w:cs="宋体"/>
          <w:color w:val="auto"/>
          <w:u w:val="none"/>
        </w:rPr>
      </w:pPr>
      <w:bookmarkStart w:id="101" w:name="_Toc520356158"/>
      <w:bookmarkStart w:id="102" w:name="_Toc518923077"/>
      <w:bookmarkStart w:id="103" w:name="_Toc13034_WPSOffice_Level2"/>
      <w:bookmarkStart w:id="104" w:name="_Toc27303"/>
      <w:bookmarkStart w:id="105" w:name="_Toc31308_WPSOffice_Level2"/>
      <w:r>
        <w:rPr>
          <w:rFonts w:hint="eastAsia" w:ascii="宋体" w:hAnsi="宋体" w:eastAsia="宋体" w:cs="宋体"/>
          <w:color w:val="auto"/>
          <w:u w:val="none"/>
        </w:rPr>
        <w:t>14.响应文件的签署</w:t>
      </w:r>
      <w:bookmarkEnd w:id="101"/>
      <w:r>
        <w:rPr>
          <w:rFonts w:hint="eastAsia" w:ascii="宋体" w:hAnsi="宋体" w:eastAsia="宋体" w:cs="宋体"/>
          <w:color w:val="auto"/>
          <w:u w:val="none"/>
        </w:rPr>
        <w:t>及规定</w:t>
      </w:r>
      <w:bookmarkEnd w:id="102"/>
      <w:bookmarkEnd w:id="103"/>
      <w:bookmarkEnd w:id="104"/>
      <w:bookmarkEnd w:id="105"/>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14.1</w:t>
      </w:r>
      <w:r>
        <w:rPr>
          <w:rFonts w:hint="eastAsia" w:ascii="宋体" w:hAnsi="宋体" w:eastAsia="宋体" w:cs="宋体"/>
          <w:color w:val="auto"/>
          <w:sz w:val="24"/>
        </w:rPr>
        <w:tab/>
      </w:r>
      <w:r>
        <w:rPr>
          <w:rFonts w:hint="eastAsia" w:ascii="宋体" w:hAnsi="宋体" w:eastAsia="宋体" w:cs="宋体"/>
          <w:color w:val="auto"/>
          <w:sz w:val="24"/>
        </w:rPr>
        <w:t>供应商应按</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14.2</w:t>
      </w:r>
      <w:r>
        <w:rPr>
          <w:rFonts w:hint="eastAsia" w:ascii="宋体" w:hAnsi="宋体" w:eastAsia="宋体" w:cs="宋体"/>
          <w:color w:val="auto"/>
          <w:sz w:val="24"/>
        </w:rPr>
        <w:tab/>
      </w:r>
      <w:r>
        <w:rPr>
          <w:rFonts w:hint="eastAsia" w:ascii="宋体" w:hAnsi="宋体" w:eastAsia="宋体" w:cs="宋体"/>
          <w:color w:val="auto"/>
          <w:sz w:val="24"/>
        </w:rPr>
        <w:t>响应文件的正本需打印或用不褪色墨水书写，并由供应商的法定代表人或其委托代理人按招标文件规定在投标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所有响应文件采用不可拆装的胶订方式装订，否则将被认定为响应无效。</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14.4</w:t>
      </w:r>
      <w:r>
        <w:rPr>
          <w:rFonts w:hint="eastAsia" w:ascii="宋体" w:hAnsi="宋体" w:eastAsia="宋体" w:cs="宋体"/>
          <w:color w:val="auto"/>
          <w:sz w:val="24"/>
        </w:rPr>
        <w:tab/>
      </w:r>
      <w:r>
        <w:rPr>
          <w:rFonts w:hint="eastAsia" w:ascii="宋体" w:hAnsi="宋体" w:eastAsia="宋体" w:cs="宋体"/>
          <w:color w:val="auto"/>
          <w:sz w:val="24"/>
        </w:rPr>
        <w:t>响应文件因字迹潦草、表达不清或装订不当所引起的后果由供应商负责。</w:t>
      </w:r>
    </w:p>
    <w:p>
      <w:pPr>
        <w:pStyle w:val="5"/>
        <w:spacing w:before="0" w:line="400" w:lineRule="exact"/>
        <w:ind w:left="1079" w:leftChars="257" w:hanging="540"/>
        <w:rPr>
          <w:rFonts w:hint="eastAsia" w:ascii="宋体" w:hAnsi="宋体" w:eastAsia="宋体" w:cs="宋体"/>
          <w:color w:val="auto"/>
        </w:rPr>
      </w:pPr>
      <w:bookmarkStart w:id="106" w:name="_Toc520356159"/>
      <w:bookmarkStart w:id="107" w:name="_Toc30674_WPSOffice_Level1"/>
      <w:bookmarkStart w:id="108" w:name="_Toc22303"/>
      <w:bookmarkStart w:id="109" w:name="_Toc108876163"/>
      <w:bookmarkStart w:id="110" w:name="_Toc108877076"/>
      <w:bookmarkStart w:id="111" w:name="_Toc518923078"/>
      <w:bookmarkStart w:id="112" w:name="_Toc216582808"/>
      <w:r>
        <w:rPr>
          <w:rFonts w:hint="eastAsia" w:ascii="宋体" w:hAnsi="宋体" w:eastAsia="宋体" w:cs="宋体"/>
          <w:color w:val="auto"/>
          <w:sz w:val="24"/>
        </w:rPr>
        <w:t>四响应文件的递交</w:t>
      </w:r>
      <w:bookmarkEnd w:id="106"/>
      <w:bookmarkEnd w:id="107"/>
      <w:bookmarkEnd w:id="108"/>
      <w:bookmarkEnd w:id="109"/>
      <w:bookmarkEnd w:id="110"/>
      <w:bookmarkEnd w:id="111"/>
      <w:bookmarkEnd w:id="112"/>
    </w:p>
    <w:p>
      <w:pPr>
        <w:pStyle w:val="7"/>
        <w:spacing w:before="0" w:after="0" w:line="400" w:lineRule="exact"/>
        <w:rPr>
          <w:rFonts w:hint="eastAsia" w:ascii="宋体" w:hAnsi="宋体" w:eastAsia="宋体" w:cs="宋体"/>
          <w:color w:val="auto"/>
          <w:u w:val="none"/>
        </w:rPr>
      </w:pPr>
      <w:bookmarkStart w:id="113" w:name="_Toc13247"/>
      <w:bookmarkStart w:id="114" w:name="_Toc24004_WPSOffice_Level2"/>
      <w:bookmarkStart w:id="115" w:name="_Toc520356160"/>
      <w:bookmarkStart w:id="116" w:name="_Toc22654_WPSOffice_Level2"/>
      <w:bookmarkStart w:id="117" w:name="_Toc518923079"/>
      <w:r>
        <w:rPr>
          <w:rFonts w:hint="eastAsia" w:ascii="宋体" w:hAnsi="宋体" w:eastAsia="宋体" w:cs="宋体"/>
          <w:color w:val="auto"/>
          <w:u w:val="none"/>
        </w:rPr>
        <w:t>15.响应文件的密封和标记</w:t>
      </w:r>
      <w:bookmarkEnd w:id="113"/>
      <w:bookmarkEnd w:id="114"/>
      <w:bookmarkEnd w:id="115"/>
      <w:bookmarkEnd w:id="116"/>
      <w:bookmarkEnd w:id="117"/>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15.1   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15.2   所有包装封皮和信封上均应：</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（1）注明采购公告或磋商邀请书中指明的项目名称、采购编号、供应商名称和“在（响应文件开启时间）之前不得启封”的字样。</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（2）封口处加盖投标人单位章，或由法定代表人（或其委托代理人）签字或盖章。</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15.3    如果供应商未按上述要求密封，其响应文件将被拒绝接收。</w:t>
      </w:r>
    </w:p>
    <w:p>
      <w:pPr>
        <w:pStyle w:val="7"/>
        <w:spacing w:before="0" w:after="0" w:line="400" w:lineRule="exact"/>
        <w:rPr>
          <w:rFonts w:hint="eastAsia" w:ascii="宋体" w:hAnsi="宋体" w:eastAsia="宋体" w:cs="宋体"/>
          <w:color w:val="auto"/>
          <w:u w:val="none"/>
        </w:rPr>
      </w:pPr>
      <w:bookmarkStart w:id="118" w:name="_Toc14358_WPSOffice_Level2"/>
      <w:bookmarkStart w:id="119" w:name="_Toc25787"/>
      <w:bookmarkStart w:id="120" w:name="_Toc520356161"/>
      <w:bookmarkStart w:id="121" w:name="_Toc178_WPSOffice_Level2"/>
      <w:bookmarkStart w:id="122" w:name="_Toc518923080"/>
      <w:r>
        <w:rPr>
          <w:rFonts w:hint="eastAsia" w:ascii="宋体" w:hAnsi="宋体" w:eastAsia="宋体" w:cs="宋体"/>
          <w:color w:val="auto"/>
          <w:u w:val="none"/>
        </w:rPr>
        <w:t>16.磋商截止</w:t>
      </w:r>
      <w:bookmarkEnd w:id="118"/>
      <w:bookmarkEnd w:id="119"/>
      <w:bookmarkEnd w:id="120"/>
      <w:bookmarkEnd w:id="121"/>
      <w:bookmarkEnd w:id="122"/>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16.1</w:t>
      </w:r>
      <w:r>
        <w:rPr>
          <w:rFonts w:hint="eastAsia" w:ascii="宋体" w:hAnsi="宋体" w:eastAsia="宋体" w:cs="宋体"/>
          <w:color w:val="auto"/>
          <w:sz w:val="24"/>
        </w:rPr>
        <w:tab/>
      </w:r>
      <w:r>
        <w:rPr>
          <w:rFonts w:hint="eastAsia" w:ascii="宋体" w:hAnsi="宋体" w:eastAsia="宋体" w:cs="宋体"/>
          <w:color w:val="auto"/>
          <w:sz w:val="24"/>
        </w:rPr>
        <w:t>供应商应在磋商邀请书中规定的截止时间前，将响应文件递交到磋商邀请书中规定的地点。</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16.2</w:t>
      </w:r>
      <w:r>
        <w:rPr>
          <w:rFonts w:hint="eastAsia" w:ascii="宋体" w:hAnsi="宋体" w:eastAsia="宋体" w:cs="宋体"/>
          <w:color w:val="auto"/>
          <w:sz w:val="24"/>
        </w:rPr>
        <w:tab/>
      </w:r>
      <w:r>
        <w:rPr>
          <w:rFonts w:hint="eastAsia" w:ascii="宋体" w:hAnsi="宋体" w:eastAsia="宋体" w:cs="宋体"/>
          <w:color w:val="auto"/>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7"/>
        <w:spacing w:before="0" w:after="0" w:line="400" w:lineRule="exact"/>
        <w:rPr>
          <w:rFonts w:hint="eastAsia" w:ascii="宋体" w:hAnsi="宋体" w:eastAsia="宋体" w:cs="宋体"/>
          <w:color w:val="auto"/>
          <w:u w:val="none"/>
        </w:rPr>
      </w:pPr>
      <w:bookmarkStart w:id="123" w:name="_Toc17985_WPSOffice_Level2"/>
      <w:bookmarkStart w:id="124" w:name="_Toc26522_WPSOffice_Level2"/>
      <w:bookmarkStart w:id="125" w:name="_Toc518923081"/>
      <w:bookmarkStart w:id="126" w:name="_Toc520356162"/>
      <w:bookmarkStart w:id="127" w:name="_Toc13921"/>
      <w:r>
        <w:rPr>
          <w:rFonts w:hint="eastAsia" w:ascii="宋体" w:hAnsi="宋体" w:eastAsia="宋体" w:cs="宋体"/>
          <w:color w:val="auto"/>
          <w:u w:val="none"/>
        </w:rPr>
        <w:t>17.响应文件的接收、修改与撤回</w:t>
      </w:r>
      <w:bookmarkEnd w:id="123"/>
      <w:bookmarkEnd w:id="124"/>
      <w:bookmarkEnd w:id="125"/>
      <w:bookmarkEnd w:id="126"/>
      <w:bookmarkEnd w:id="127"/>
    </w:p>
    <w:p>
      <w:pPr>
        <w:spacing w:line="400" w:lineRule="exact"/>
        <w:ind w:left="900" w:hanging="900" w:hangingChars="375"/>
        <w:rPr>
          <w:rFonts w:hint="eastAsia" w:ascii="宋体" w:hAnsi="宋体" w:eastAsia="宋体" w:cs="宋体"/>
          <w:b/>
          <w:color w:val="auto"/>
        </w:rPr>
      </w:pPr>
      <w:r>
        <w:rPr>
          <w:rFonts w:hint="eastAsia" w:ascii="宋体" w:hAnsi="宋体" w:eastAsia="宋体" w:cs="宋体"/>
          <w:color w:val="auto"/>
          <w:sz w:val="24"/>
        </w:rPr>
        <w:t>17.1   在响应文件递交截止时间后送达响应文件的，采购人和采购代理机构将拒绝接收。</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17.2</w:t>
      </w:r>
      <w:r>
        <w:rPr>
          <w:rFonts w:hint="eastAsia" w:ascii="宋体" w:hAnsi="宋体" w:eastAsia="宋体" w:cs="宋体"/>
          <w:color w:val="auto"/>
          <w:sz w:val="24"/>
        </w:rPr>
        <w:tab/>
      </w:r>
      <w:r>
        <w:rPr>
          <w:rFonts w:hint="eastAsia" w:ascii="宋体" w:hAnsi="宋体" w:eastAsia="宋体" w:cs="宋体"/>
          <w:color w:val="auto"/>
          <w:sz w:val="24"/>
        </w:rPr>
        <w:t>采购人或者采购代理机构收到响应文件后，应当如实记载响应文件的送达时间和密封情况，并向供应商出具以下签收回执。</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hint="eastAsia" w:ascii="宋体" w:hAnsi="宋体" w:eastAsia="宋体" w:cs="宋体"/>
          <w:color w:val="auto"/>
          <w:sz w:val="24"/>
        </w:rPr>
      </w:pPr>
      <w:r>
        <w:rPr>
          <w:rFonts w:hint="eastAsia" w:ascii="宋体" w:hAnsi="宋体" w:eastAsia="宋体" w:cs="宋体"/>
          <w:color w:val="auto"/>
          <w:sz w:val="24"/>
        </w:rPr>
        <w:t>采购人和采购代理机构将予以接收，并视为响应文件的组成部分。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17.4</w:t>
      </w:r>
      <w:r>
        <w:rPr>
          <w:rFonts w:hint="eastAsia" w:ascii="宋体" w:hAnsi="宋体" w:eastAsia="宋体" w:cs="宋体"/>
          <w:color w:val="auto"/>
          <w:sz w:val="24"/>
        </w:rPr>
        <w:tab/>
      </w:r>
      <w:r>
        <w:rPr>
          <w:rFonts w:hint="eastAsia" w:ascii="宋体" w:hAnsi="宋体" w:eastAsia="宋体" w:cs="宋体"/>
          <w:color w:val="auto"/>
          <w:sz w:val="24"/>
        </w:rPr>
        <w:t>在响应文件递交截止期之后，采购人和采购代理机构不接受供应商主动对其响应文件做任何修改。</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17.5</w:t>
      </w:r>
      <w:r>
        <w:rPr>
          <w:rFonts w:hint="eastAsia" w:ascii="宋体" w:hAnsi="宋体" w:eastAsia="宋体" w:cs="宋体"/>
          <w:color w:val="auto"/>
          <w:sz w:val="24"/>
        </w:rPr>
        <w:tab/>
      </w:r>
      <w:r>
        <w:rPr>
          <w:rFonts w:hint="eastAsia" w:ascii="宋体" w:hAnsi="宋体" w:eastAsia="宋体" w:cs="宋体"/>
          <w:color w:val="auto"/>
          <w:sz w:val="24"/>
        </w:rPr>
        <w:t>采购人和采购代理机构对所接收响应文件概不退回。</w:t>
      </w:r>
      <w:bookmarkStart w:id="128" w:name="_Toc520356163"/>
      <w:bookmarkStart w:id="129" w:name="_Toc216582809"/>
      <w:bookmarkStart w:id="130" w:name="_Toc10257"/>
      <w:bookmarkStart w:id="131" w:name="_Toc518923082"/>
    </w:p>
    <w:p>
      <w:pPr>
        <w:pStyle w:val="5"/>
        <w:spacing w:before="0" w:line="400" w:lineRule="exact"/>
        <w:ind w:left="1079" w:leftChars="257" w:hanging="540"/>
        <w:rPr>
          <w:rFonts w:hint="eastAsia" w:ascii="宋体" w:hAnsi="宋体" w:eastAsia="宋体" w:cs="宋体"/>
          <w:color w:val="auto"/>
        </w:rPr>
      </w:pPr>
      <w:bookmarkStart w:id="132" w:name="_Toc108876164"/>
      <w:bookmarkStart w:id="133" w:name="_Toc108877077"/>
      <w:bookmarkStart w:id="134" w:name="_Toc6601_WPSOffice_Level1"/>
      <w:r>
        <w:rPr>
          <w:rFonts w:hint="eastAsia" w:ascii="宋体" w:hAnsi="宋体" w:eastAsia="宋体" w:cs="宋体"/>
          <w:color w:val="auto"/>
          <w:sz w:val="24"/>
        </w:rPr>
        <w:t>五磋商开启及</w:t>
      </w:r>
      <w:bookmarkEnd w:id="128"/>
      <w:bookmarkEnd w:id="129"/>
      <w:bookmarkEnd w:id="130"/>
      <w:bookmarkEnd w:id="131"/>
      <w:r>
        <w:rPr>
          <w:rFonts w:hint="eastAsia" w:ascii="宋体" w:hAnsi="宋体" w:eastAsia="宋体" w:cs="宋体"/>
          <w:color w:val="auto"/>
          <w:sz w:val="24"/>
        </w:rPr>
        <w:t>评审</w:t>
      </w:r>
      <w:bookmarkEnd w:id="132"/>
      <w:bookmarkEnd w:id="133"/>
      <w:bookmarkEnd w:id="134"/>
    </w:p>
    <w:p>
      <w:pPr>
        <w:pStyle w:val="7"/>
        <w:spacing w:before="0" w:after="0" w:line="400" w:lineRule="exact"/>
        <w:rPr>
          <w:rFonts w:hint="eastAsia" w:ascii="宋体" w:hAnsi="宋体" w:eastAsia="宋体" w:cs="宋体"/>
          <w:color w:val="auto"/>
          <w:u w:val="none"/>
        </w:rPr>
      </w:pPr>
      <w:bookmarkStart w:id="135" w:name="_Toc8653"/>
      <w:bookmarkStart w:id="136" w:name="_Toc520356164"/>
      <w:bookmarkStart w:id="137" w:name="_Toc518923083"/>
      <w:bookmarkStart w:id="138" w:name="_Toc32308_WPSOffice_Level2"/>
      <w:bookmarkStart w:id="139" w:name="_Toc13011_WPSOffice_Level2"/>
      <w:r>
        <w:rPr>
          <w:rFonts w:hint="eastAsia" w:ascii="宋体" w:hAnsi="宋体" w:eastAsia="宋体" w:cs="宋体"/>
          <w:color w:val="auto"/>
          <w:u w:val="none"/>
        </w:rPr>
        <w:t>18.</w:t>
      </w:r>
      <w:bookmarkEnd w:id="135"/>
      <w:bookmarkEnd w:id="136"/>
      <w:bookmarkEnd w:id="137"/>
      <w:r>
        <w:rPr>
          <w:rFonts w:hint="eastAsia" w:ascii="宋体" w:hAnsi="宋体" w:eastAsia="宋体" w:cs="宋体"/>
          <w:color w:val="auto"/>
          <w:u w:val="none"/>
        </w:rPr>
        <w:t>磋商开启</w:t>
      </w:r>
      <w:bookmarkEnd w:id="138"/>
      <w:bookmarkEnd w:id="139"/>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18.1</w:t>
      </w:r>
      <w:r>
        <w:rPr>
          <w:rFonts w:hint="eastAsia" w:ascii="宋体" w:hAnsi="宋体" w:eastAsia="宋体" w:cs="宋体"/>
          <w:color w:val="auto"/>
          <w:sz w:val="24"/>
        </w:rPr>
        <w:tab/>
      </w:r>
      <w:r>
        <w:rPr>
          <w:rFonts w:hint="eastAsia" w:ascii="宋体" w:hAnsi="宋体" w:eastAsia="宋体" w:cs="宋体"/>
          <w:color w:val="auto"/>
          <w:sz w:val="24"/>
        </w:rPr>
        <w:t>采购人和采购代理机构将按</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中规定的磋商开启时间和地点组织公开磋商开启并邀请所有供应商代表参加。</w:t>
      </w:r>
    </w:p>
    <w:p>
      <w:pPr>
        <w:spacing w:line="400" w:lineRule="exact"/>
        <w:ind w:firstLine="960" w:firstLineChars="400"/>
        <w:rPr>
          <w:rFonts w:hint="eastAsia" w:ascii="宋体" w:hAnsi="宋体" w:eastAsia="宋体" w:cs="宋体"/>
          <w:color w:val="auto"/>
          <w:sz w:val="24"/>
        </w:rPr>
      </w:pPr>
      <w:r>
        <w:rPr>
          <w:rFonts w:hint="eastAsia" w:ascii="宋体" w:hAnsi="宋体" w:eastAsia="宋体" w:cs="宋体"/>
          <w:color w:val="auto"/>
          <w:sz w:val="24"/>
        </w:rPr>
        <w:t>供应商不足3家的，不得磋商开启。</w:t>
      </w:r>
    </w:p>
    <w:p>
      <w:pPr>
        <w:spacing w:line="40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hint="eastAsia" w:ascii="宋体" w:hAnsi="宋体" w:eastAsia="宋体" w:cs="宋体"/>
          <w:color w:val="auto"/>
          <w:sz w:val="24"/>
        </w:rPr>
      </w:pPr>
      <w:r>
        <w:rPr>
          <w:rFonts w:hint="eastAsia" w:ascii="宋体" w:hAnsi="宋体" w:eastAsia="宋体" w:cs="宋体"/>
          <w:color w:val="auto"/>
          <w:sz w:val="24"/>
        </w:rPr>
        <w:t>未宣读报价价格、价格折扣等实质内容，评审时不予承认。</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18.3    采购人或采购代理机构将对磋商开启过程进行记录</w:t>
      </w:r>
      <w:bookmarkStart w:id="140" w:name="_Toc520356165"/>
      <w:r>
        <w:rPr>
          <w:rFonts w:hint="eastAsia" w:ascii="宋体" w:hAnsi="宋体" w:eastAsia="宋体" w:cs="宋体"/>
          <w:color w:val="auto"/>
          <w:sz w:val="24"/>
        </w:rPr>
        <w:t>，由参加磋商开启的各供应商代表和相关工作人员签字确认，并存档备查。</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18.4    供应商代表对磋商开启过程和磋商开启记录有疑义，以及认为采购人、采购代理机构相关工作人员有需要回避的情形的，应当场提出询问或者回避申请。</w:t>
      </w:r>
    </w:p>
    <w:bookmarkEnd w:id="140"/>
    <w:p>
      <w:pPr>
        <w:pStyle w:val="7"/>
        <w:rPr>
          <w:rFonts w:hint="eastAsia" w:ascii="宋体" w:hAnsi="宋体" w:eastAsia="宋体" w:cs="宋体"/>
          <w:color w:val="auto"/>
          <w:u w:val="none"/>
        </w:rPr>
      </w:pPr>
      <w:r>
        <w:rPr>
          <w:rFonts w:hint="eastAsia" w:ascii="宋体" w:hAnsi="宋体" w:eastAsia="宋体" w:cs="宋体"/>
          <w:color w:val="auto"/>
          <w:u w:val="none"/>
        </w:rPr>
        <w:t>19.资格审查及组建评标委员会</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19.1    采购人或采购代理机构依据法律法规和招标文件中规定的内容，对投标人的资格进行审查。未通过资格审查的投标人不进入评标；</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此项目通过资格审查的投标人少于不足三家的，不得评标。</w:t>
      </w:r>
    </w:p>
    <w:p>
      <w:pPr>
        <w:spacing w:line="400" w:lineRule="exact"/>
        <w:ind w:left="904" w:hanging="900" w:hangingChars="375"/>
        <w:rPr>
          <w:rFonts w:hint="eastAsia" w:ascii="宋体" w:hAnsi="宋体" w:eastAsia="宋体" w:cs="宋体"/>
          <w:b/>
          <w:bCs/>
          <w:color w:val="auto"/>
          <w:sz w:val="24"/>
        </w:rPr>
      </w:pPr>
      <w:r>
        <w:rPr>
          <w:rFonts w:hint="eastAsia" w:ascii="宋体" w:hAnsi="宋体" w:eastAsia="宋体" w:cs="宋体"/>
          <w:b/>
          <w:bCs/>
          <w:color w:val="auto"/>
          <w:sz w:val="24"/>
        </w:rPr>
        <w:t>本项目现场开标必须提供证件:</w:t>
      </w:r>
    </w:p>
    <w:p>
      <w:pPr>
        <w:spacing w:line="4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（1）具有合格有效的营业执照副本（三证合一）原件或者加盖公章的复印件；</w:t>
      </w:r>
    </w:p>
    <w:p>
      <w:pPr>
        <w:spacing w:line="4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（2）法定代表人授权委托书及被委托人身份证原件或者加盖公章的复印件（法定代表人投标提供法定代表人身份证明及身份证）；</w:t>
      </w:r>
    </w:p>
    <w:p>
      <w:pPr>
        <w:spacing w:line="4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（3）具有良好的商业信誉和健全的财务会计制度，提供近两年任意一年财务审计报告原件或者加盖公章的复印件（新成立公司需提供有效银行资信证明）；</w:t>
      </w:r>
    </w:p>
    <w:p>
      <w:pPr>
        <w:spacing w:line="4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（4）有依法缴纳税收和社会保障资金的良好记录，提供2022年度连续三个月的社保证明原件或者加盖公章的复印件；</w:t>
      </w:r>
    </w:p>
    <w:p>
      <w:pPr>
        <w:spacing w:line="4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（5）投标单位（供应商）提供针对本次项目反商业贿赂承诺书；</w:t>
      </w:r>
    </w:p>
    <w:p>
      <w:pPr>
        <w:spacing w:line="4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（6）参加政府采购活动前3年内在经营活动中没有重大违法记录的书面声明；</w:t>
      </w:r>
    </w:p>
    <w:p>
      <w:pPr>
        <w:spacing w:line="4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7）“信用中国”网站（http://www.creditchina.gov.cn/）和中国政府采购网（www.ccgp.gov.cn）、国家企业信用信息公示系统（http://www.gsxt.gov.cn）无违法违规行为的查询纪录；（采购代理机构将在开标前1个工作日至投标截止后1小时的期间内查询投标人的信用记录,投标人存在不良信用记录的或被列入失信被执行人、重大税收违法案件当事人名单的，其投标将被认定为投标无效）；</w:t>
      </w:r>
    </w:p>
    <w:p>
      <w:pPr>
        <w:spacing w:line="400" w:lineRule="exact"/>
        <w:ind w:left="904" w:hanging="900" w:hangingChars="375"/>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（8）本项目不接受联合体投标。</w:t>
      </w:r>
    </w:p>
    <w:p>
      <w:pPr>
        <w:pStyle w:val="2"/>
        <w:ind w:firstLine="520" w:firstLineChars="200"/>
        <w:rPr>
          <w:rFonts w:hint="eastAsia" w:ascii="宋体" w:hAnsi="宋体" w:eastAsia="宋体" w:cs="宋体"/>
          <w:b/>
          <w:bCs/>
          <w:iCs/>
          <w:color w:val="auto"/>
          <w:sz w:val="24"/>
          <w:u w:val="single"/>
        </w:rPr>
      </w:pPr>
      <w:r>
        <w:rPr>
          <w:rFonts w:hint="eastAsia" w:ascii="宋体" w:hAnsi="宋体" w:eastAsia="宋体" w:cs="宋体"/>
          <w:b/>
          <w:bCs/>
          <w:color w:val="auto"/>
          <w:sz w:val="24"/>
          <w:u w:val="single"/>
        </w:rPr>
        <w:t>投标商资质开标时，能通过官网查询的，均视为合格供应商。在资质审查过程中，潜在投标企业提供资料不全的，可打开投标文件正本，进行进一步核实，符合条件均视为合格供应商。</w:t>
      </w:r>
    </w:p>
    <w:p>
      <w:pPr>
        <w:widowControl/>
        <w:spacing w:line="400" w:lineRule="exact"/>
        <w:jc w:val="left"/>
        <w:rPr>
          <w:rFonts w:hint="eastAsia" w:ascii="宋体" w:hAnsi="宋体" w:eastAsia="宋体" w:cs="宋体"/>
          <w:b/>
          <w:bCs/>
          <w:color w:val="auto"/>
          <w:sz w:val="24"/>
        </w:rPr>
      </w:pPr>
      <w:r>
        <w:rPr>
          <w:rFonts w:hint="eastAsia" w:ascii="宋体" w:hAnsi="宋体" w:eastAsia="宋体" w:cs="宋体"/>
          <w:b/>
          <w:bCs/>
          <w:color w:val="auto"/>
          <w:sz w:val="24"/>
        </w:rPr>
        <w:t>本项目现场磋商开启必须提供的证件：详见第三章资格审查表。</w:t>
      </w:r>
    </w:p>
    <w:p>
      <w:pPr>
        <w:pStyle w:val="2"/>
        <w:rPr>
          <w:rFonts w:hint="eastAsia"/>
          <w:color w:val="auto"/>
        </w:rPr>
      </w:pPr>
      <w:r>
        <w:rPr>
          <w:rFonts w:hint="eastAsia"/>
          <w:color w:val="auto"/>
          <w:lang w:val="en-US" w:eastAsia="zh-CN"/>
        </w:rPr>
        <w:t>19.2  采购人或采购代理机构将在开标前1个工作日至投标截止后1小时的期间内查询投标人的信用记录。投标人存在不良信用记录的，其投标将被认定为投标无效。</w:t>
      </w:r>
    </w:p>
    <w:p>
      <w:pPr>
        <w:spacing w:line="4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19.2</w:t>
      </w:r>
      <w:r>
        <w:rPr>
          <w:rFonts w:hint="eastAsia" w:cs="宋体" w:asciiTheme="minorEastAsia" w:hAnsiTheme="minorEastAsia" w:eastAsiaTheme="minorEastAsia"/>
          <w:color w:val="auto"/>
          <w:sz w:val="24"/>
          <w:lang w:val="en-US" w:eastAsia="zh-CN"/>
        </w:rPr>
        <w:t>.1</w:t>
      </w:r>
      <w:r>
        <w:rPr>
          <w:rFonts w:hint="eastAsia" w:cs="宋体" w:asciiTheme="minorEastAsia" w:hAnsiTheme="minorEastAsia" w:eastAsiaTheme="minorEastAsia"/>
          <w:color w:val="auto"/>
          <w:sz w:val="24"/>
        </w:rPr>
        <w:t xml:space="preserve">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19.2.</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 xml:space="preserve"> 查询及记录方式：采购人或采购代理机构经办人将查询网页打印、签字并存档备查。供应商不良信用记录 以采购人或采购代理机构查询结果为准。</w:t>
      </w:r>
    </w:p>
    <w:p>
      <w:pPr>
        <w:pStyle w:val="6"/>
        <w:spacing w:line="400" w:lineRule="exact"/>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在本磋商文件规定的查询时间之后，网站信息发生的任何变更均不再作为评审依据。</w:t>
      </w:r>
    </w:p>
    <w:p>
      <w:pPr>
        <w:pStyle w:val="6"/>
        <w:spacing w:line="400" w:lineRule="exact"/>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供应商自行提供的与网站信息不一致的其他证明材料亦不作为资格审查的依据。</w:t>
      </w:r>
    </w:p>
    <w:p>
      <w:pPr>
        <w:pStyle w:val="6"/>
        <w:spacing w:line="400" w:lineRule="exact"/>
        <w:ind w:left="0" w:leftChars="0" w:firstLine="0" w:firstLineChars="0"/>
        <w:jc w:val="both"/>
        <w:rPr>
          <w:rFonts w:hint="eastAsia"/>
          <w:color w:val="auto"/>
        </w:rPr>
      </w:pPr>
      <w:r>
        <w:rPr>
          <w:rFonts w:hint="eastAsia" w:ascii="宋体" w:hAnsi="宋体" w:eastAsia="宋体" w:cs="宋体"/>
          <w:b/>
          <w:bCs/>
          <w:color w:val="auto"/>
          <w:sz w:val="24"/>
          <w:u w:val="single"/>
        </w:rPr>
        <w:t>19.</w:t>
      </w:r>
      <w:r>
        <w:rPr>
          <w:rFonts w:hint="eastAsia" w:hAnsi="宋体" w:cs="宋体"/>
          <w:b/>
          <w:bCs/>
          <w:color w:val="auto"/>
          <w:sz w:val="24"/>
          <w:u w:val="single"/>
          <w:lang w:val="en-US" w:eastAsia="zh-CN"/>
        </w:rPr>
        <w:t>3</w:t>
      </w:r>
      <w:r>
        <w:rPr>
          <w:rFonts w:hint="eastAsia" w:ascii="宋体" w:hAnsi="宋体" w:eastAsia="宋体" w:cs="宋体"/>
          <w:b/>
          <w:bCs/>
          <w:color w:val="auto"/>
          <w:sz w:val="24"/>
          <w:u w:val="single"/>
        </w:rPr>
        <w:t xml:space="preserve">   按照《中华人民共和国政府采购法》、《中华人民共和国政府采购法实施条例》《政府采购竞争性磋商采购方式管理暂行办法》及本项目本级和上级财政部门的有关规定依法组建的评标委员会，负责本项目评标工作。</w:t>
      </w:r>
      <w:r>
        <w:rPr>
          <w:rFonts w:hint="eastAsia" w:ascii="宋体" w:hAnsi="宋体" w:eastAsia="宋体" w:cs="宋体"/>
          <w:b/>
          <w:bCs/>
          <w:iCs/>
          <w:color w:val="auto"/>
          <w:sz w:val="24"/>
          <w:u w:val="single"/>
        </w:rPr>
        <w:t>本项目评标委员会由5人单数组成。其中：采购人代表0人，评标专家5人，均由政采云专家库抽取确定。</w:t>
      </w:r>
    </w:p>
    <w:p>
      <w:pPr>
        <w:pStyle w:val="7"/>
        <w:spacing w:before="0" w:after="0" w:line="400" w:lineRule="exact"/>
        <w:rPr>
          <w:rFonts w:hint="eastAsia" w:ascii="宋体" w:hAnsi="宋体" w:eastAsia="宋体" w:cs="宋体"/>
          <w:bCs/>
          <w:color w:val="auto"/>
          <w:bdr w:val="single" w:color="auto" w:sz="4" w:space="0"/>
        </w:rPr>
      </w:pPr>
      <w:bookmarkStart w:id="141" w:name="_Toc520356166"/>
      <w:bookmarkStart w:id="142" w:name="_Toc6842"/>
      <w:bookmarkStart w:id="143" w:name="_Toc31689_WPSOffice_Level2"/>
      <w:bookmarkStart w:id="144" w:name="_Toc518923085"/>
      <w:bookmarkStart w:id="145" w:name="_Toc17843_WPSOffice_Level2"/>
      <w:r>
        <w:rPr>
          <w:rFonts w:hint="eastAsia" w:ascii="宋体" w:hAnsi="宋体" w:eastAsia="宋体" w:cs="宋体"/>
          <w:color w:val="auto"/>
          <w:u w:val="none"/>
        </w:rPr>
        <w:t>20.响应文件的</w:t>
      </w:r>
      <w:bookmarkEnd w:id="141"/>
      <w:r>
        <w:rPr>
          <w:rFonts w:hint="eastAsia" w:ascii="宋体" w:hAnsi="宋体" w:eastAsia="宋体" w:cs="宋体"/>
          <w:color w:val="auto"/>
          <w:u w:val="none"/>
        </w:rPr>
        <w:t>符合性审查与澄清</w:t>
      </w:r>
      <w:bookmarkEnd w:id="142"/>
      <w:bookmarkEnd w:id="143"/>
      <w:bookmarkEnd w:id="144"/>
      <w:bookmarkEnd w:id="145"/>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rPr>
        <w:tab/>
      </w:r>
      <w:r>
        <w:rPr>
          <w:rFonts w:hint="eastAsia" w:ascii="宋体" w:hAnsi="宋体" w:eastAsia="宋体" w:cs="宋体"/>
          <w:color w:val="auto"/>
          <w:sz w:val="24"/>
        </w:rPr>
        <w:t>响应文件的澄清</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20.2.2  供应商的澄清、说明或补正将作为响应文件的一部分。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20.3   响应文件报价出现前后不一致的，按照下列规定修正：</w:t>
      </w:r>
    </w:p>
    <w:p>
      <w:pPr>
        <w:spacing w:line="400" w:lineRule="exact"/>
        <w:ind w:left="1020" w:hanging="1020" w:hangingChars="425"/>
        <w:rPr>
          <w:rFonts w:hint="eastAsia" w:ascii="宋体" w:hAnsi="宋体" w:eastAsia="宋体" w:cs="宋体"/>
          <w:color w:val="auto"/>
          <w:sz w:val="24"/>
        </w:rPr>
      </w:pPr>
      <w:r>
        <w:rPr>
          <w:rFonts w:hint="eastAsia" w:ascii="宋体" w:hAnsi="宋体" w:eastAsia="宋体" w:cs="宋体"/>
          <w:color w:val="auto"/>
          <w:sz w:val="24"/>
        </w:rPr>
        <w:t>　　（一）响应文件中报价一览表（报价表）内容与响应文件中相应内容不一致的，以报价一览表（报价表）为准；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　　（二）大写金额和小写金额不一致的，以大写金额为准；</w:t>
      </w:r>
    </w:p>
    <w:p>
      <w:pPr>
        <w:spacing w:line="400" w:lineRule="exact"/>
        <w:ind w:left="1020" w:hanging="1020" w:hangingChars="425"/>
        <w:rPr>
          <w:rFonts w:hint="eastAsia" w:ascii="宋体" w:hAnsi="宋体" w:eastAsia="宋体" w:cs="宋体"/>
          <w:color w:val="auto"/>
          <w:sz w:val="24"/>
        </w:rPr>
      </w:pPr>
      <w:r>
        <w:rPr>
          <w:rFonts w:hint="eastAsia" w:ascii="宋体" w:hAnsi="宋体" w:eastAsia="宋体" w:cs="宋体"/>
          <w:color w:val="auto"/>
          <w:sz w:val="24"/>
        </w:rPr>
        <w:t>　　（三）单价金额小数点或者百分比有明显错位的，以报价一览表的总价为准，并修改单价；</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　　（四）总价金额与按单价汇总金额不一致的，以单价金额计算结果为准。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hint="eastAsia" w:ascii="宋体" w:hAnsi="宋体" w:eastAsia="宋体" w:cs="宋体"/>
          <w:color w:val="auto"/>
          <w:sz w:val="24"/>
        </w:rPr>
      </w:pPr>
      <w:r>
        <w:rPr>
          <w:rFonts w:hint="eastAsia" w:ascii="宋体" w:hAnsi="宋体" w:eastAsia="宋体" w:cs="宋体"/>
          <w:color w:val="auto"/>
          <w:sz w:val="24"/>
        </w:rPr>
        <w:t>对不同文字文本响应文件的解释发生异议的，以中文文本为准。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ascii="宋体" w:hAnsi="宋体" w:eastAsia="宋体" w:cs="宋体"/>
          <w:b/>
          <w:bCs/>
          <w:color w:val="auto"/>
          <w:sz w:val="24"/>
        </w:rPr>
        <w:t>本项目不适用。</w:t>
      </w:r>
    </w:p>
    <w:p>
      <w:pPr>
        <w:pStyle w:val="7"/>
        <w:spacing w:before="0" w:after="0" w:line="400" w:lineRule="exact"/>
        <w:rPr>
          <w:rFonts w:hint="eastAsia" w:ascii="宋体" w:hAnsi="宋体" w:eastAsia="宋体" w:cs="宋体"/>
          <w:color w:val="auto"/>
          <w:u w:val="none"/>
        </w:rPr>
      </w:pPr>
      <w:bookmarkStart w:id="148" w:name="_Toc26452_WPSOffice_Level2"/>
      <w:bookmarkStart w:id="149" w:name="_Toc8603"/>
      <w:bookmarkStart w:id="150" w:name="_Toc6346_WPSOffice_Level2"/>
      <w:bookmarkStart w:id="151" w:name="_Toc518923086"/>
      <w:r>
        <w:rPr>
          <w:rFonts w:hint="eastAsia" w:ascii="宋体" w:hAnsi="宋体" w:eastAsia="宋体" w:cs="宋体"/>
          <w:color w:val="auto"/>
          <w:u w:val="none"/>
        </w:rPr>
        <w:t>21.响应偏离</w:t>
      </w:r>
      <w:bookmarkEnd w:id="148"/>
      <w:bookmarkEnd w:id="149"/>
      <w:bookmarkEnd w:id="150"/>
      <w:bookmarkEnd w:id="151"/>
    </w:p>
    <w:p>
      <w:pPr>
        <w:spacing w:line="400" w:lineRule="exact"/>
        <w:ind w:left="926" w:leftChars="441" w:firstLine="79" w:firstLineChars="33"/>
        <w:rPr>
          <w:rFonts w:hint="eastAsia" w:ascii="宋体" w:hAnsi="宋体" w:eastAsia="宋体" w:cs="宋体"/>
          <w:color w:val="auto"/>
          <w:sz w:val="24"/>
        </w:rPr>
      </w:pPr>
      <w:r>
        <w:rPr>
          <w:rFonts w:hint="eastAsia" w:ascii="宋体" w:hAnsi="宋体" w:eastAsia="宋体" w:cs="宋体"/>
          <w:color w:val="auto"/>
          <w:sz w:val="24"/>
        </w:rPr>
        <w:t>评审委员会可以接受响应文件中不构成实质性偏离的不正规或不一致，具体由评标委员会进行判定。</w:t>
      </w:r>
    </w:p>
    <w:p>
      <w:pPr>
        <w:pStyle w:val="7"/>
        <w:spacing w:before="0" w:after="0" w:line="400" w:lineRule="exact"/>
        <w:rPr>
          <w:rFonts w:hint="eastAsia" w:ascii="宋体" w:hAnsi="宋体" w:eastAsia="宋体" w:cs="宋体"/>
          <w:color w:val="auto"/>
          <w:u w:val="none"/>
        </w:rPr>
      </w:pPr>
      <w:bookmarkStart w:id="152" w:name="_Toc518923087"/>
      <w:bookmarkStart w:id="153" w:name="_Toc11645_WPSOffice_Level2"/>
      <w:bookmarkStart w:id="154" w:name="_Toc25255"/>
      <w:bookmarkStart w:id="155" w:name="_Toc25236_WPSOffice_Level2"/>
      <w:r>
        <w:rPr>
          <w:rFonts w:hint="eastAsia" w:ascii="宋体" w:hAnsi="宋体" w:eastAsia="宋体" w:cs="宋体"/>
          <w:color w:val="auto"/>
          <w:u w:val="none"/>
        </w:rPr>
        <w:t>22.响应无效</w:t>
      </w:r>
      <w:bookmarkEnd w:id="152"/>
      <w:bookmarkEnd w:id="153"/>
      <w:bookmarkEnd w:id="154"/>
      <w:bookmarkEnd w:id="155"/>
    </w:p>
    <w:p>
      <w:pPr>
        <w:spacing w:line="400" w:lineRule="exact"/>
        <w:ind w:left="852" w:leftChars="-23" w:hanging="900" w:hangingChars="375"/>
        <w:rPr>
          <w:rFonts w:hint="eastAsia" w:ascii="宋体" w:hAnsi="宋体" w:eastAsia="宋体" w:cs="宋体"/>
          <w:color w:val="auto"/>
          <w:sz w:val="24"/>
        </w:rPr>
      </w:pPr>
      <w:r>
        <w:rPr>
          <w:rFonts w:hint="eastAsia" w:ascii="宋体" w:hAnsi="宋体" w:eastAsia="宋体" w:cs="宋体"/>
          <w:color w:val="auto"/>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hint="eastAsia" w:ascii="宋体" w:hAnsi="宋体" w:eastAsia="宋体" w:cs="宋体"/>
          <w:color w:val="auto"/>
          <w:sz w:val="24"/>
        </w:rPr>
      </w:pPr>
      <w:r>
        <w:rPr>
          <w:rFonts w:hint="eastAsia" w:ascii="宋体" w:hAnsi="宋体" w:eastAsia="宋体" w:cs="宋体"/>
          <w:color w:val="auto"/>
          <w:sz w:val="24"/>
        </w:rPr>
        <w:t>磋商小组决定磋商的响应性只根据磋商文件要求、响应文件内容及财政主管部门指定相关信息发布媒体。</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22.2</w:t>
      </w:r>
      <w:r>
        <w:rPr>
          <w:rFonts w:hint="eastAsia" w:ascii="宋体" w:hAnsi="宋体" w:eastAsia="宋体" w:cs="宋体"/>
          <w:color w:val="auto"/>
          <w:sz w:val="24"/>
        </w:rPr>
        <w:tab/>
      </w:r>
      <w:r>
        <w:rPr>
          <w:rFonts w:hint="eastAsia" w:ascii="宋体" w:hAnsi="宋体" w:eastAsia="宋体" w:cs="宋体"/>
          <w:color w:val="auto"/>
          <w:sz w:val="24"/>
        </w:rPr>
        <w:t>如发现下列情况之一的，其磋商将被认定为</w:t>
      </w:r>
      <w:r>
        <w:rPr>
          <w:rFonts w:hint="eastAsia" w:ascii="宋体" w:hAnsi="宋体" w:eastAsia="宋体" w:cs="宋体"/>
          <w:b/>
          <w:bCs/>
          <w:color w:val="auto"/>
          <w:sz w:val="24"/>
        </w:rPr>
        <w:t>无效</w:t>
      </w:r>
      <w:r>
        <w:rPr>
          <w:rFonts w:hint="eastAsia" w:ascii="宋体" w:hAnsi="宋体" w:eastAsia="宋体" w:cs="宋体"/>
          <w:color w:val="auto"/>
          <w:sz w:val="24"/>
        </w:rPr>
        <w:t>：（</w:t>
      </w:r>
      <w:r>
        <w:rPr>
          <w:rFonts w:hint="eastAsia" w:ascii="宋体" w:hAnsi="宋体" w:eastAsia="宋体" w:cs="宋体"/>
          <w:b/>
          <w:color w:val="auto"/>
          <w:sz w:val="24"/>
        </w:rPr>
        <w:t>以下情形应当在磋商文件中规定，并以醒目的方式标明</w:t>
      </w:r>
      <w:r>
        <w:rPr>
          <w:rFonts w:hint="eastAsia" w:ascii="宋体" w:hAnsi="宋体" w:eastAsia="宋体" w:cs="宋体"/>
          <w:color w:val="auto"/>
          <w:sz w:val="24"/>
        </w:rPr>
        <w:t>）</w:t>
      </w:r>
    </w:p>
    <w:p>
      <w:pPr>
        <w:numPr>
          <w:ilvl w:val="0"/>
          <w:numId w:val="4"/>
        </w:numPr>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未按磋商文件规定的形式和金额提交磋商保证金的；</w:t>
      </w:r>
    </w:p>
    <w:p>
      <w:pPr>
        <w:numPr>
          <w:ilvl w:val="0"/>
          <w:numId w:val="4"/>
        </w:numPr>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未按照磋商文件规定要求签署、盖章的；</w:t>
      </w:r>
    </w:p>
    <w:p>
      <w:pPr>
        <w:numPr>
          <w:ilvl w:val="0"/>
          <w:numId w:val="4"/>
        </w:numPr>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未满足磋商文件中技术条款的实质性要求；</w:t>
      </w:r>
    </w:p>
    <w:p>
      <w:pPr>
        <w:numPr>
          <w:ilvl w:val="0"/>
          <w:numId w:val="4"/>
        </w:numPr>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与其他供应商串通参加磋商，或者与采购人串通参加磋商；</w:t>
      </w:r>
    </w:p>
    <w:p>
      <w:pPr>
        <w:numPr>
          <w:ilvl w:val="0"/>
          <w:numId w:val="4"/>
        </w:numPr>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属于磋商文件规定的其他响应无效情形；</w:t>
      </w:r>
    </w:p>
    <w:p>
      <w:pPr>
        <w:numPr>
          <w:ilvl w:val="0"/>
          <w:numId w:val="4"/>
        </w:numPr>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评审委员会认为供应商的报价明显低于其他通过符合性检查供</w:t>
      </w:r>
    </w:p>
    <w:p>
      <w:pPr>
        <w:spacing w:line="400" w:lineRule="exact"/>
        <w:ind w:left="957" w:leftChars="456"/>
        <w:rPr>
          <w:rFonts w:hint="eastAsia" w:ascii="宋体" w:hAnsi="宋体" w:eastAsia="宋体" w:cs="宋体"/>
          <w:b/>
          <w:bCs/>
          <w:color w:val="auto"/>
          <w:sz w:val="24"/>
          <w:u w:val="single"/>
        </w:rPr>
      </w:pPr>
      <w:r>
        <w:rPr>
          <w:rFonts w:hint="eastAsia" w:ascii="宋体" w:hAnsi="宋体" w:eastAsia="宋体" w:cs="宋体"/>
          <w:b/>
          <w:bCs/>
          <w:color w:val="auto"/>
          <w:sz w:val="24"/>
          <w:u w:val="single"/>
        </w:rPr>
        <w:t>应商的报价，有可能影响履约的，且供应商未按照规定证明其报价合理性的；</w:t>
      </w:r>
    </w:p>
    <w:p>
      <w:pPr>
        <w:numPr>
          <w:ilvl w:val="0"/>
          <w:numId w:val="4"/>
        </w:numPr>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响应文件含有采购人不能接受的附加条件的；</w:t>
      </w:r>
    </w:p>
    <w:p>
      <w:pPr>
        <w:numPr>
          <w:ilvl w:val="0"/>
          <w:numId w:val="4"/>
        </w:numPr>
        <w:tabs>
          <w:tab w:val="left" w:pos="0"/>
        </w:tabs>
        <w:spacing w:line="400" w:lineRule="exact"/>
        <w:ind w:left="1020" w:hanging="180"/>
        <w:rPr>
          <w:rFonts w:hint="eastAsia" w:ascii="宋体" w:hAnsi="宋体" w:eastAsia="宋体" w:cs="宋体"/>
          <w:b/>
          <w:bCs/>
          <w:color w:val="auto"/>
          <w:sz w:val="24"/>
          <w:u w:val="single"/>
        </w:rPr>
      </w:pPr>
      <w:r>
        <w:rPr>
          <w:rFonts w:hint="eastAsia" w:ascii="宋体" w:hAnsi="宋体" w:eastAsia="宋体" w:cs="宋体"/>
          <w:b/>
          <w:bCs/>
          <w:color w:val="auto"/>
          <w:sz w:val="24"/>
          <w:u w:val="single"/>
        </w:rPr>
        <w:t>不符合法规和磋商文件中规定的其他实质性要求的。</w:t>
      </w:r>
    </w:p>
    <w:p>
      <w:pPr>
        <w:pStyle w:val="7"/>
        <w:rPr>
          <w:rFonts w:hint="eastAsia" w:ascii="宋体" w:hAnsi="宋体" w:eastAsia="宋体" w:cs="宋体"/>
          <w:color w:val="auto"/>
          <w:u w:val="none"/>
        </w:rPr>
      </w:pPr>
      <w:bookmarkStart w:id="156" w:name="_Toc14330_WPSOffice_Level2"/>
      <w:bookmarkStart w:id="157" w:name="_Toc518923088"/>
      <w:bookmarkStart w:id="158" w:name="_Toc20835"/>
      <w:bookmarkStart w:id="159" w:name="_Toc22743_WPSOffice_Level2"/>
      <w:r>
        <w:rPr>
          <w:rFonts w:hint="eastAsia" w:ascii="宋体" w:hAnsi="宋体" w:eastAsia="宋体" w:cs="宋体"/>
          <w:color w:val="auto"/>
          <w:u w:val="none"/>
        </w:rPr>
        <w:t>23</w:t>
      </w:r>
      <w:bookmarkEnd w:id="147"/>
      <w:r>
        <w:rPr>
          <w:rFonts w:hint="eastAsia" w:ascii="宋体" w:hAnsi="宋体" w:eastAsia="宋体" w:cs="宋体"/>
          <w:color w:val="auto"/>
          <w:u w:val="none"/>
        </w:rPr>
        <w:t>.比较与评价</w:t>
      </w:r>
      <w:bookmarkEnd w:id="156"/>
      <w:bookmarkEnd w:id="157"/>
      <w:bookmarkEnd w:id="158"/>
      <w:bookmarkEnd w:id="159"/>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rPr>
        <w:tab/>
      </w:r>
      <w:r>
        <w:rPr>
          <w:rFonts w:hint="eastAsia" w:ascii="宋体" w:hAnsi="宋体" w:eastAsia="宋体" w:cs="宋体"/>
          <w:color w:val="auto"/>
          <w:sz w:val="24"/>
        </w:rPr>
        <w:t>经符合性审查合格的响应文件，评审委员会将根据磋商文件确定的评审方法和标准，对其技术部分和商务部分作进一步的比较和评价。</w:t>
      </w:r>
    </w:p>
    <w:p>
      <w:pPr>
        <w:pStyle w:val="26"/>
        <w:ind w:left="718" w:leftChars="342" w:firstLine="240" w:firstLineChars="100"/>
        <w:rPr>
          <w:rFonts w:hint="eastAsia" w:ascii="宋体" w:hAnsi="宋体" w:eastAsia="宋体" w:cs="宋体"/>
          <w:b/>
          <w:bCs/>
          <w:color w:val="auto"/>
          <w:sz w:val="24"/>
          <w:u w:val="single"/>
        </w:rPr>
      </w:pPr>
      <w:r>
        <w:rPr>
          <w:rFonts w:hint="eastAsia" w:ascii="宋体" w:hAnsi="宋体" w:eastAsia="宋体" w:cs="宋体"/>
          <w:b/>
          <w:bCs/>
          <w:color w:val="auto"/>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23.2  </w:t>
      </w:r>
      <w:r>
        <w:rPr>
          <w:rFonts w:hint="eastAsia" w:ascii="宋体" w:hAnsi="宋体" w:eastAsia="宋体" w:cs="宋体"/>
          <w:color w:val="auto"/>
          <w:sz w:val="24"/>
        </w:rPr>
        <w:tab/>
      </w:r>
      <w:r>
        <w:rPr>
          <w:rFonts w:hint="eastAsia" w:ascii="宋体" w:hAnsi="宋体" w:eastAsia="宋体" w:cs="宋体"/>
          <w:color w:val="auto"/>
          <w:sz w:val="24"/>
        </w:rPr>
        <w:t>评审严格按照磋商文件的要求和条件进行。根据实际情况，在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中规定采用下列一种评审方法，详细评审标准见磋商文件第六章：</w:t>
      </w:r>
    </w:p>
    <w:p>
      <w:pPr>
        <w:pStyle w:val="17"/>
        <w:spacing w:line="400" w:lineRule="exact"/>
        <w:ind w:left="957" w:leftChars="456" w:firstLine="33" w:firstLineChars="14"/>
        <w:rPr>
          <w:rFonts w:hint="eastAsia" w:ascii="宋体" w:hAnsi="宋体" w:eastAsia="宋体" w:cs="宋体"/>
          <w:color w:val="auto"/>
          <w:sz w:val="24"/>
          <w:szCs w:val="24"/>
        </w:rPr>
      </w:pPr>
      <w:r>
        <w:rPr>
          <w:rFonts w:hint="eastAsia" w:ascii="宋体" w:hAnsi="宋体" w:eastAsia="宋体" w:cs="宋体"/>
          <w:color w:val="auto"/>
          <w:sz w:val="24"/>
          <w:szCs w:val="24"/>
        </w:rPr>
        <w:t>综合评分法，是指响应文件满足磋商文件全部实质性要求，且按照评审因素的量化指标评审得分最高的供应商为成交候选人的评审方法。</w:t>
      </w:r>
    </w:p>
    <w:p>
      <w:pPr>
        <w:pStyle w:val="17"/>
        <w:spacing w:line="400" w:lineRule="exact"/>
        <w:ind w:left="957" w:leftChars="456" w:firstLine="33" w:firstLineChars="14"/>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本项目采用采购方式：竞争性磋商。</w:t>
      </w:r>
    </w:p>
    <w:p>
      <w:pPr>
        <w:pStyle w:val="17"/>
        <w:spacing w:line="400" w:lineRule="exact"/>
        <w:ind w:left="957" w:leftChars="456" w:firstLine="33" w:firstLineChars="14"/>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评分方法：综合评分法</w:t>
      </w:r>
    </w:p>
    <w:p>
      <w:pPr>
        <w:spacing w:line="400" w:lineRule="exact"/>
        <w:ind w:left="958" w:leftChars="342" w:hanging="240" w:hangingChars="1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kern w:val="2"/>
          <w:sz w:val="24"/>
          <w:szCs w:val="24"/>
          <w:lang w:val="en-US" w:eastAsia="zh-CN" w:bidi="ar-SA"/>
        </w:rPr>
        <w:t>价格因素：10分（综合评分法中的价格分统一采用低价优先法计算，即满足招标文件要求且投标价格最低的投标报价为评标基准价，其价格分为满分10分，其投标报价得分=(评标基准价／投标报价)×价格权值×100）</w:t>
      </w:r>
    </w:p>
    <w:p>
      <w:pPr>
        <w:pStyle w:val="17"/>
        <w:spacing w:line="400" w:lineRule="exact"/>
        <w:ind w:left="718" w:leftChars="342"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2、商务因素及技术因素：90分</w:t>
      </w:r>
    </w:p>
    <w:p>
      <w:pPr>
        <w:pStyle w:val="17"/>
        <w:spacing w:line="400" w:lineRule="exact"/>
        <w:ind w:left="900" w:hanging="900" w:hangingChars="375"/>
        <w:rPr>
          <w:rFonts w:hint="eastAsia" w:ascii="宋体" w:hAnsi="宋体" w:eastAsia="宋体" w:cs="宋体"/>
          <w:color w:val="auto"/>
          <w:sz w:val="24"/>
          <w:szCs w:val="24"/>
        </w:rPr>
      </w:pPr>
      <w:r>
        <w:rPr>
          <w:rFonts w:hint="eastAsia" w:ascii="宋体" w:hAnsi="宋体" w:eastAsia="宋体" w:cs="宋体"/>
          <w:color w:val="auto"/>
          <w:sz w:val="24"/>
          <w:szCs w:val="24"/>
        </w:rPr>
        <w:t>23.3  根据《</w:t>
      </w:r>
      <w:r>
        <w:rPr>
          <w:rFonts w:hint="eastAsia" w:ascii="宋体" w:hAnsi="宋体" w:eastAsia="宋体" w:cs="宋体"/>
          <w:color w:val="auto"/>
          <w:sz w:val="24"/>
          <w:szCs w:val="24"/>
          <w:lang w:eastAsia="zh-CN"/>
        </w:rPr>
        <w:t>政府采购促进中小企业发展管理办法</w:t>
      </w:r>
      <w:r>
        <w:rPr>
          <w:rFonts w:hint="eastAsia" w:ascii="宋体" w:hAnsi="宋体" w:eastAsia="宋体" w:cs="宋体"/>
          <w:color w:val="auto"/>
          <w:sz w:val="24"/>
          <w:szCs w:val="24"/>
        </w:rPr>
        <w:t>》（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60" w:name="sendNo"/>
      <w:r>
        <w:rPr>
          <w:rFonts w:hint="eastAsia" w:ascii="宋体" w:hAnsi="宋体" w:eastAsia="宋体" w:cs="宋体"/>
          <w:color w:val="auto"/>
          <w:sz w:val="24"/>
          <w:szCs w:val="24"/>
        </w:rPr>
        <w:t>财库〔</w:t>
      </w:r>
      <w:bookmarkEnd w:id="160"/>
      <w:r>
        <w:rPr>
          <w:rFonts w:hint="eastAsia" w:ascii="宋体" w:hAnsi="宋体" w:eastAsia="宋体" w:cs="宋体"/>
          <w:color w:val="auto"/>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10-20%后参与评审。具体办法详见磋商文件第6章。</w:t>
      </w:r>
    </w:p>
    <w:p>
      <w:pPr>
        <w:pStyle w:val="17"/>
        <w:spacing w:line="400" w:lineRule="exact"/>
        <w:ind w:left="900" w:hanging="900" w:hangingChars="375"/>
        <w:rPr>
          <w:rFonts w:hint="eastAsia" w:ascii="宋体" w:hAnsi="宋体" w:eastAsia="宋体" w:cs="宋体"/>
          <w:color w:val="auto"/>
          <w:sz w:val="24"/>
          <w:szCs w:val="24"/>
        </w:rPr>
      </w:pPr>
      <w:r>
        <w:rPr>
          <w:rFonts w:hint="eastAsia" w:ascii="宋体" w:hAnsi="宋体" w:eastAsia="宋体" w:cs="宋体"/>
          <w:color w:val="auto"/>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ascii="宋体" w:hAnsi="宋体" w:eastAsia="宋体" w:cs="宋体"/>
          <w:b/>
          <w:bCs/>
          <w:color w:val="auto"/>
          <w:sz w:val="24"/>
          <w:szCs w:val="24"/>
        </w:rPr>
        <w:t>本项目不适用。</w:t>
      </w:r>
    </w:p>
    <w:p>
      <w:pPr>
        <w:pStyle w:val="7"/>
        <w:spacing w:before="0" w:after="0" w:line="300" w:lineRule="exact"/>
        <w:rPr>
          <w:rFonts w:hint="eastAsia" w:ascii="宋体" w:hAnsi="宋体" w:eastAsia="宋体" w:cs="宋体"/>
          <w:color w:val="auto"/>
          <w:kern w:val="2"/>
          <w:szCs w:val="24"/>
          <w:u w:val="none"/>
        </w:rPr>
      </w:pPr>
      <w:bookmarkStart w:id="161" w:name="_Toc520356168"/>
      <w:bookmarkStart w:id="162" w:name="_Toc518923089"/>
      <w:bookmarkStart w:id="163" w:name="_Toc5823"/>
      <w:bookmarkStart w:id="164" w:name="_Toc27560_WPSOffice_Level2"/>
      <w:bookmarkStart w:id="165" w:name="_Toc21686_WPSOffice_Level2"/>
      <w:r>
        <w:rPr>
          <w:rFonts w:hint="eastAsia" w:ascii="宋体" w:hAnsi="宋体" w:eastAsia="宋体" w:cs="宋体"/>
          <w:color w:val="auto"/>
          <w:kern w:val="2"/>
          <w:szCs w:val="24"/>
          <w:u w:val="none"/>
        </w:rPr>
        <w:t>24</w:t>
      </w:r>
      <w:bookmarkEnd w:id="161"/>
      <w:r>
        <w:rPr>
          <w:rFonts w:hint="eastAsia" w:ascii="宋体" w:hAnsi="宋体" w:eastAsia="宋体" w:cs="宋体"/>
          <w:color w:val="auto"/>
          <w:kern w:val="2"/>
          <w:szCs w:val="24"/>
          <w:u w:val="none"/>
        </w:rPr>
        <w:t>.废标</w:t>
      </w:r>
      <w:bookmarkEnd w:id="162"/>
      <w:bookmarkEnd w:id="163"/>
      <w:bookmarkEnd w:id="164"/>
      <w:bookmarkEnd w:id="165"/>
    </w:p>
    <w:p>
      <w:pPr>
        <w:spacing w:line="300" w:lineRule="exact"/>
        <w:ind w:left="897" w:leftChars="399" w:hanging="60" w:hangingChars="25"/>
        <w:rPr>
          <w:rFonts w:hint="eastAsia" w:ascii="宋体" w:hAnsi="宋体" w:eastAsia="宋体" w:cs="宋体"/>
          <w:color w:val="auto"/>
          <w:sz w:val="24"/>
        </w:rPr>
      </w:pPr>
      <w:r>
        <w:rPr>
          <w:rFonts w:hint="eastAsia" w:ascii="宋体" w:hAnsi="宋体" w:eastAsia="宋体" w:cs="宋体"/>
          <w:color w:val="auto"/>
          <w:sz w:val="24"/>
        </w:rPr>
        <w:t>出现下列情形之一，将导致项目废标：</w:t>
      </w:r>
    </w:p>
    <w:p>
      <w:pPr>
        <w:spacing w:line="300" w:lineRule="exact"/>
        <w:ind w:left="900" w:hanging="900" w:hangingChars="375"/>
        <w:rPr>
          <w:rFonts w:hint="eastAsia" w:ascii="宋体" w:hAnsi="宋体" w:eastAsia="宋体" w:cs="宋体"/>
          <w:b/>
          <w:bCs/>
          <w:color w:val="auto"/>
          <w:sz w:val="24"/>
          <w:u w:val="single"/>
        </w:rPr>
      </w:pPr>
      <w:r>
        <w:rPr>
          <w:rFonts w:hint="eastAsia" w:ascii="宋体" w:hAnsi="宋体" w:eastAsia="宋体" w:cs="宋体"/>
          <w:color w:val="auto"/>
          <w:sz w:val="24"/>
        </w:rPr>
        <w:tab/>
      </w:r>
      <w:r>
        <w:rPr>
          <w:rFonts w:hint="eastAsia" w:ascii="宋体" w:hAnsi="宋体" w:eastAsia="宋体" w:cs="宋体"/>
          <w:b/>
          <w:bCs/>
          <w:color w:val="auto"/>
          <w:sz w:val="24"/>
          <w:u w:val="single"/>
        </w:rPr>
        <w:t>（1）符合专业条件的供应商或者对磋商文件做实质性响应的供应商不足三家；</w:t>
      </w:r>
    </w:p>
    <w:p>
      <w:pPr>
        <w:spacing w:line="300" w:lineRule="exact"/>
        <w:ind w:left="904" w:hanging="900" w:hangingChars="375"/>
        <w:rPr>
          <w:rFonts w:hint="eastAsia" w:ascii="宋体" w:hAnsi="宋体" w:eastAsia="宋体" w:cs="宋体"/>
          <w:b/>
          <w:bCs/>
          <w:color w:val="auto"/>
          <w:sz w:val="24"/>
          <w:u w:val="single"/>
        </w:rPr>
      </w:pPr>
      <w:r>
        <w:rPr>
          <w:rFonts w:hint="eastAsia" w:ascii="宋体" w:hAnsi="宋体" w:eastAsia="宋体" w:cs="宋体"/>
          <w:b/>
          <w:bCs/>
          <w:color w:val="auto"/>
          <w:sz w:val="24"/>
          <w:u w:val="single"/>
        </w:rPr>
        <w:tab/>
      </w:r>
      <w:r>
        <w:rPr>
          <w:rFonts w:hint="eastAsia" w:ascii="宋体" w:hAnsi="宋体" w:eastAsia="宋体" w:cs="宋体"/>
          <w:b/>
          <w:bCs/>
          <w:color w:val="auto"/>
          <w:sz w:val="24"/>
          <w:u w:val="single"/>
        </w:rPr>
        <w:t>（2）出现影响采购公正的违法、违规行为的；</w:t>
      </w:r>
    </w:p>
    <w:p>
      <w:pPr>
        <w:spacing w:line="300" w:lineRule="exact"/>
        <w:ind w:firstLine="840" w:firstLineChars="350"/>
        <w:rPr>
          <w:rFonts w:hint="eastAsia" w:ascii="宋体" w:hAnsi="宋体" w:eastAsia="宋体" w:cs="宋体"/>
          <w:b/>
          <w:bCs/>
          <w:color w:val="auto"/>
          <w:sz w:val="24"/>
          <w:u w:val="single"/>
        </w:rPr>
      </w:pPr>
      <w:r>
        <w:rPr>
          <w:rFonts w:hint="eastAsia" w:ascii="宋体" w:hAnsi="宋体" w:eastAsia="宋体" w:cs="宋体"/>
          <w:b/>
          <w:bCs/>
          <w:color w:val="auto"/>
          <w:sz w:val="24"/>
          <w:u w:val="single"/>
        </w:rPr>
        <w:t>（3）供应商的报价均超过了采购预算，采购人不能支付的；</w:t>
      </w:r>
    </w:p>
    <w:p>
      <w:pPr>
        <w:spacing w:line="300" w:lineRule="exact"/>
        <w:ind w:firstLine="840" w:firstLineChars="350"/>
        <w:rPr>
          <w:rFonts w:hint="eastAsia" w:ascii="宋体" w:hAnsi="宋体" w:eastAsia="宋体" w:cs="宋体"/>
          <w:b/>
          <w:bCs/>
          <w:color w:val="auto"/>
          <w:sz w:val="24"/>
          <w:u w:val="single"/>
        </w:rPr>
      </w:pPr>
      <w:r>
        <w:rPr>
          <w:rFonts w:hint="eastAsia" w:ascii="宋体" w:hAnsi="宋体" w:eastAsia="宋体" w:cs="宋体"/>
          <w:b/>
          <w:bCs/>
          <w:color w:val="auto"/>
          <w:sz w:val="24"/>
          <w:u w:val="single"/>
        </w:rPr>
        <w:t>（4）因重大变故，采购任务取消的。</w:t>
      </w:r>
    </w:p>
    <w:p>
      <w:pPr>
        <w:pStyle w:val="7"/>
        <w:spacing w:before="0" w:after="0" w:line="300" w:lineRule="exact"/>
        <w:rPr>
          <w:rFonts w:hint="eastAsia" w:ascii="宋体" w:hAnsi="宋体" w:eastAsia="宋体" w:cs="宋体"/>
          <w:color w:val="auto"/>
          <w:u w:val="none"/>
        </w:rPr>
      </w:pPr>
      <w:bookmarkStart w:id="166" w:name="_Toc518923090"/>
      <w:bookmarkStart w:id="167" w:name="_Toc23660"/>
      <w:bookmarkStart w:id="168" w:name="_Toc16649_WPSOffice_Level2"/>
      <w:bookmarkStart w:id="169" w:name="_Toc4205_WPSOffice_Level2"/>
      <w:bookmarkStart w:id="170" w:name="_Toc520356169"/>
      <w:r>
        <w:rPr>
          <w:rFonts w:hint="eastAsia" w:ascii="宋体" w:hAnsi="宋体" w:eastAsia="宋体" w:cs="宋体"/>
          <w:color w:val="auto"/>
          <w:u w:val="none"/>
        </w:rPr>
        <w:t>25.保密原则</w:t>
      </w:r>
      <w:bookmarkEnd w:id="166"/>
      <w:bookmarkEnd w:id="167"/>
      <w:bookmarkEnd w:id="168"/>
      <w:bookmarkEnd w:id="169"/>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25.1</w:t>
      </w:r>
      <w:r>
        <w:rPr>
          <w:rFonts w:hint="eastAsia" w:ascii="宋体" w:hAnsi="宋体" w:eastAsia="宋体" w:cs="宋体"/>
          <w:color w:val="auto"/>
          <w:sz w:val="24"/>
        </w:rPr>
        <w:tab/>
      </w:r>
      <w:r>
        <w:rPr>
          <w:rFonts w:hint="eastAsia" w:ascii="宋体" w:hAnsi="宋体" w:eastAsia="宋体" w:cs="宋体"/>
          <w:color w:val="auto"/>
          <w:sz w:val="24"/>
        </w:rPr>
        <w:t>评审将在严格保密的情况下进行。</w:t>
      </w:r>
    </w:p>
    <w:p>
      <w:pPr>
        <w:spacing w:line="300" w:lineRule="exact"/>
        <w:ind w:left="900" w:hanging="900" w:hangingChars="375"/>
        <w:rPr>
          <w:rFonts w:hint="eastAsia" w:ascii="宋体" w:hAnsi="宋体" w:eastAsia="宋体" w:cs="宋体"/>
          <w:color w:val="auto"/>
        </w:rPr>
      </w:pPr>
      <w:r>
        <w:rPr>
          <w:rFonts w:hint="eastAsia" w:ascii="宋体" w:hAnsi="宋体" w:eastAsia="宋体" w:cs="宋体"/>
          <w:color w:val="auto"/>
          <w:sz w:val="24"/>
        </w:rPr>
        <w:t>25.2</w:t>
      </w:r>
      <w:r>
        <w:rPr>
          <w:rFonts w:hint="eastAsia" w:ascii="宋体" w:hAnsi="宋体" w:eastAsia="宋体" w:cs="宋体"/>
          <w:color w:val="auto"/>
          <w:sz w:val="24"/>
        </w:rPr>
        <w:tab/>
      </w:r>
      <w:r>
        <w:rPr>
          <w:rFonts w:hint="eastAsia" w:ascii="宋体" w:hAnsi="宋体" w:eastAsia="宋体" w:cs="宋体"/>
          <w:color w:val="auto"/>
          <w:sz w:val="24"/>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4193_WPSOffice_Level1"/>
    </w:p>
    <w:p>
      <w:pPr>
        <w:pStyle w:val="26"/>
        <w:rPr>
          <w:rFonts w:hint="eastAsia" w:ascii="宋体" w:hAnsi="宋体" w:eastAsia="宋体" w:cs="宋体"/>
          <w:color w:val="auto"/>
        </w:rPr>
      </w:pPr>
    </w:p>
    <w:p>
      <w:pPr>
        <w:pStyle w:val="5"/>
        <w:spacing w:before="0" w:line="300" w:lineRule="exact"/>
        <w:ind w:left="1079" w:leftChars="257" w:hanging="540"/>
        <w:rPr>
          <w:rFonts w:hint="eastAsia" w:ascii="宋体" w:hAnsi="宋体" w:eastAsia="宋体" w:cs="宋体"/>
          <w:color w:val="auto"/>
          <w:sz w:val="24"/>
        </w:rPr>
      </w:pPr>
      <w:bookmarkStart w:id="175" w:name="_Toc108877078"/>
      <w:bookmarkStart w:id="176" w:name="_Toc108876165"/>
      <w:r>
        <w:rPr>
          <w:rFonts w:hint="eastAsia" w:ascii="宋体" w:hAnsi="宋体" w:eastAsia="宋体" w:cs="宋体"/>
          <w:color w:val="auto"/>
          <w:sz w:val="24"/>
        </w:rPr>
        <w:t>六</w:t>
      </w:r>
      <w:bookmarkEnd w:id="170"/>
      <w:r>
        <w:rPr>
          <w:rFonts w:hint="eastAsia" w:ascii="宋体" w:hAnsi="宋体" w:eastAsia="宋体" w:cs="宋体"/>
          <w:color w:val="auto"/>
          <w:sz w:val="24"/>
        </w:rPr>
        <w:t>确定</w:t>
      </w:r>
      <w:bookmarkEnd w:id="171"/>
      <w:bookmarkEnd w:id="172"/>
      <w:bookmarkEnd w:id="173"/>
      <w:r>
        <w:rPr>
          <w:rFonts w:hint="eastAsia" w:ascii="宋体" w:hAnsi="宋体" w:eastAsia="宋体" w:cs="宋体"/>
          <w:color w:val="auto"/>
          <w:sz w:val="24"/>
        </w:rPr>
        <w:t>成交</w:t>
      </w:r>
      <w:bookmarkEnd w:id="174"/>
      <w:bookmarkEnd w:id="175"/>
      <w:bookmarkEnd w:id="176"/>
    </w:p>
    <w:p>
      <w:pPr>
        <w:pStyle w:val="6"/>
        <w:spacing w:line="300" w:lineRule="exact"/>
        <w:rPr>
          <w:rFonts w:hint="eastAsia" w:ascii="宋体" w:hAnsi="宋体" w:eastAsia="宋体" w:cs="宋体"/>
          <w:color w:val="auto"/>
        </w:rPr>
      </w:pPr>
    </w:p>
    <w:p>
      <w:pPr>
        <w:pStyle w:val="7"/>
        <w:spacing w:before="0" w:after="0" w:line="300" w:lineRule="exact"/>
        <w:rPr>
          <w:rFonts w:hint="eastAsia" w:ascii="宋体" w:hAnsi="宋体" w:eastAsia="宋体" w:cs="宋体"/>
          <w:color w:val="auto"/>
          <w:u w:val="none"/>
        </w:rPr>
      </w:pPr>
      <w:bookmarkStart w:id="177" w:name="_Toc4749_WPSOffice_Level2"/>
      <w:bookmarkStart w:id="178" w:name="_Toc32578"/>
      <w:bookmarkStart w:id="179" w:name="_Toc31921_WPSOffice_Level2"/>
      <w:bookmarkStart w:id="180" w:name="_Ref467307010"/>
      <w:bookmarkStart w:id="181" w:name="_Toc520356170"/>
      <w:bookmarkStart w:id="182" w:name="_Toc518923092"/>
      <w:r>
        <w:rPr>
          <w:rFonts w:hint="eastAsia" w:ascii="宋体" w:hAnsi="宋体" w:eastAsia="宋体" w:cs="宋体"/>
          <w:color w:val="auto"/>
          <w:u w:val="none"/>
        </w:rPr>
        <w:t>26.成交候选人的确定原则及标准</w:t>
      </w:r>
      <w:bookmarkEnd w:id="177"/>
      <w:bookmarkEnd w:id="178"/>
      <w:bookmarkEnd w:id="179"/>
      <w:bookmarkEnd w:id="180"/>
      <w:bookmarkEnd w:id="181"/>
      <w:bookmarkEnd w:id="182"/>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除第28条规定外，对实质上响应磋商文件的供应商按下列方法进行排序，确定成交候选人：</w:t>
      </w:r>
    </w:p>
    <w:p>
      <w:pPr>
        <w:spacing w:line="300" w:lineRule="exact"/>
        <w:ind w:left="901"/>
        <w:rPr>
          <w:rFonts w:hint="eastAsia" w:ascii="宋体" w:hAnsi="宋体" w:eastAsia="宋体" w:cs="宋体"/>
          <w:b/>
          <w:bCs/>
          <w:color w:val="auto"/>
          <w:sz w:val="24"/>
          <w:u w:val="single"/>
        </w:rPr>
      </w:pPr>
      <w:r>
        <w:rPr>
          <w:rFonts w:hint="eastAsia" w:ascii="宋体" w:hAnsi="宋体" w:eastAsia="宋体" w:cs="宋体"/>
          <w:b/>
          <w:bCs/>
          <w:color w:val="auto"/>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7"/>
        <w:spacing w:before="0" w:after="0" w:line="300" w:lineRule="exact"/>
        <w:rPr>
          <w:rFonts w:hint="eastAsia" w:ascii="宋体" w:hAnsi="宋体" w:eastAsia="宋体" w:cs="宋体"/>
          <w:color w:val="auto"/>
          <w:u w:val="none"/>
        </w:rPr>
      </w:pPr>
      <w:bookmarkStart w:id="183" w:name="_Toc520356171"/>
      <w:bookmarkStart w:id="184" w:name="_Toc2420_WPSOffice_Level2"/>
      <w:bookmarkStart w:id="185" w:name="_Toc3689_WPSOffice_Level2"/>
      <w:bookmarkStart w:id="186" w:name="_Toc10555"/>
      <w:bookmarkStart w:id="187" w:name="_Toc518923093"/>
      <w:r>
        <w:rPr>
          <w:rFonts w:hint="eastAsia" w:ascii="宋体" w:hAnsi="宋体" w:eastAsia="宋体" w:cs="宋体"/>
          <w:color w:val="auto"/>
          <w:u w:val="none"/>
        </w:rPr>
        <w:t>27</w:t>
      </w:r>
      <w:bookmarkEnd w:id="183"/>
      <w:r>
        <w:rPr>
          <w:rFonts w:hint="eastAsia" w:ascii="宋体" w:hAnsi="宋体" w:eastAsia="宋体" w:cs="宋体"/>
          <w:color w:val="auto"/>
          <w:u w:val="none"/>
        </w:rPr>
        <w:t>.确定成交候选人和成交人</w:t>
      </w:r>
      <w:bookmarkEnd w:id="184"/>
      <w:bookmarkEnd w:id="185"/>
      <w:bookmarkEnd w:id="186"/>
      <w:bookmarkEnd w:id="187"/>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评审委员会将根据评审标准，按</w:t>
      </w:r>
      <w:r>
        <w:rPr>
          <w:rFonts w:hint="eastAsia" w:ascii="宋体" w:hAnsi="宋体" w:eastAsia="宋体" w:cs="宋体"/>
          <w:color w:val="auto"/>
          <w:sz w:val="24"/>
          <w:u w:val="single"/>
        </w:rPr>
        <w:t>供应商须知资料表中</w:t>
      </w:r>
      <w:r>
        <w:rPr>
          <w:rFonts w:hint="eastAsia" w:ascii="宋体" w:hAnsi="宋体" w:eastAsia="宋体" w:cs="宋体"/>
          <w:color w:val="auto"/>
          <w:sz w:val="24"/>
        </w:rPr>
        <w:t>规定数量推荐成交候选人；</w:t>
      </w:r>
      <w:r>
        <w:rPr>
          <w:rFonts w:hint="eastAsia" w:ascii="宋体" w:hAnsi="宋体" w:eastAsia="宋体" w:cs="宋体"/>
          <w:b/>
          <w:bCs/>
          <w:color w:val="auto"/>
          <w:sz w:val="24"/>
          <w:u w:val="single"/>
        </w:rPr>
        <w:t>磋商小组应当根据综合评分情况，按照评审得分由高到低顺序推荐3名以上成交候选供应商</w:t>
      </w:r>
      <w:r>
        <w:rPr>
          <w:rFonts w:hint="eastAsia" w:ascii="宋体" w:hAnsi="宋体" w:eastAsia="宋体" w:cs="宋体"/>
          <w:color w:val="auto"/>
          <w:sz w:val="24"/>
        </w:rPr>
        <w:t>或根据采购人的委托，直接确定成交人。</w:t>
      </w:r>
    </w:p>
    <w:p>
      <w:pPr>
        <w:pStyle w:val="7"/>
        <w:tabs>
          <w:tab w:val="left" w:pos="900"/>
        </w:tabs>
        <w:spacing w:before="0" w:after="0" w:line="300" w:lineRule="exact"/>
        <w:rPr>
          <w:rFonts w:hint="eastAsia" w:ascii="宋体" w:hAnsi="宋体" w:eastAsia="宋体" w:cs="宋体"/>
          <w:color w:val="auto"/>
          <w:u w:val="none"/>
        </w:rPr>
      </w:pPr>
      <w:bookmarkStart w:id="188" w:name="_Toc520356173"/>
      <w:bookmarkStart w:id="189" w:name="_Ref467306874"/>
      <w:bookmarkStart w:id="190" w:name="_Toc17336_WPSOffice_Level2"/>
      <w:bookmarkStart w:id="191" w:name="_Toc518923094"/>
      <w:bookmarkStart w:id="192" w:name="_Toc620_WPSOffice_Level2"/>
      <w:bookmarkStart w:id="193" w:name="_Toc17138"/>
      <w:r>
        <w:rPr>
          <w:rFonts w:hint="eastAsia" w:ascii="宋体" w:hAnsi="宋体" w:eastAsia="宋体" w:cs="宋体"/>
          <w:color w:val="auto"/>
          <w:u w:val="none"/>
        </w:rPr>
        <w:t>28</w:t>
      </w:r>
      <w:bookmarkEnd w:id="188"/>
      <w:bookmarkEnd w:id="189"/>
      <w:r>
        <w:rPr>
          <w:rFonts w:hint="eastAsia" w:ascii="宋体" w:hAnsi="宋体" w:eastAsia="宋体" w:cs="宋体"/>
          <w:color w:val="auto"/>
          <w:u w:val="none"/>
        </w:rPr>
        <w:t>.采购任务取消</w:t>
      </w:r>
      <w:bookmarkEnd w:id="190"/>
      <w:bookmarkEnd w:id="191"/>
      <w:bookmarkEnd w:id="192"/>
      <w:bookmarkEnd w:id="193"/>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因重大变故采购任务取消时，采购人有权拒绝任何供应商成交，且对受影响的供应商不承担任何责任。</w:t>
      </w:r>
      <w:bookmarkStart w:id="194" w:name="_Toc520356174"/>
    </w:p>
    <w:p>
      <w:pPr>
        <w:pStyle w:val="7"/>
        <w:spacing w:before="0" w:after="0" w:line="300" w:lineRule="exact"/>
        <w:rPr>
          <w:rFonts w:hint="eastAsia" w:ascii="宋体" w:hAnsi="宋体" w:eastAsia="宋体" w:cs="宋体"/>
          <w:color w:val="auto"/>
          <w:u w:val="none"/>
        </w:rPr>
      </w:pPr>
      <w:bookmarkStart w:id="195" w:name="_Toc22810_WPSOffice_Level2"/>
      <w:bookmarkStart w:id="196" w:name="_Toc518923095"/>
      <w:bookmarkStart w:id="197" w:name="_Toc18072"/>
      <w:bookmarkStart w:id="198" w:name="_Toc7273_WPSOffice_Level2"/>
      <w:r>
        <w:rPr>
          <w:rFonts w:hint="eastAsia" w:ascii="宋体" w:hAnsi="宋体" w:eastAsia="宋体" w:cs="宋体"/>
          <w:color w:val="auto"/>
          <w:u w:val="none"/>
        </w:rPr>
        <w:t>29.成交通知书</w:t>
      </w:r>
      <w:bookmarkEnd w:id="194"/>
      <w:r>
        <w:rPr>
          <w:rFonts w:hint="eastAsia" w:ascii="宋体" w:hAnsi="宋体" w:eastAsia="宋体" w:cs="宋体"/>
          <w:color w:val="auto"/>
          <w:u w:val="none"/>
        </w:rPr>
        <w:t>和采购结果通知书</w:t>
      </w:r>
      <w:bookmarkEnd w:id="195"/>
      <w:bookmarkEnd w:id="196"/>
      <w:bookmarkEnd w:id="197"/>
      <w:bookmarkEnd w:id="198"/>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29.1</w:t>
      </w:r>
      <w:r>
        <w:rPr>
          <w:rFonts w:hint="eastAsia" w:ascii="宋体" w:hAnsi="宋体" w:eastAsia="宋体" w:cs="宋体"/>
          <w:color w:val="auto"/>
          <w:sz w:val="24"/>
        </w:rPr>
        <w:tab/>
      </w:r>
      <w:r>
        <w:rPr>
          <w:rFonts w:hint="eastAsia" w:ascii="宋体" w:hAnsi="宋体" w:eastAsia="宋体" w:cs="宋体"/>
          <w:color w:val="auto"/>
          <w:sz w:val="24"/>
        </w:rPr>
        <w:t>在磋商有效期内，成交人确定后，采购人或者采购代理机构发布成交公告，同时以书面形式向成交人发出成交通知书；</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29.2</w:t>
      </w:r>
      <w:r>
        <w:rPr>
          <w:rFonts w:hint="eastAsia" w:ascii="宋体" w:hAnsi="宋体" w:eastAsia="宋体" w:cs="宋体"/>
          <w:color w:val="auto"/>
          <w:sz w:val="24"/>
        </w:rPr>
        <w:tab/>
      </w:r>
      <w:r>
        <w:rPr>
          <w:rFonts w:hint="eastAsia" w:ascii="宋体" w:hAnsi="宋体" w:eastAsia="宋体" w:cs="宋体"/>
          <w:color w:val="auto"/>
          <w:sz w:val="24"/>
        </w:rPr>
        <w:t>成交通知书是合同的组成部分；</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29.3    采购结果通知书和成交通知书同时发出。采购结果通知书中将告知未通过资格审查的供应商未通过的原因；采用综合评分法评审的，还将告知未成交人本人的评审得分和排序。</w:t>
      </w:r>
    </w:p>
    <w:p>
      <w:pPr>
        <w:pStyle w:val="7"/>
        <w:spacing w:before="0" w:after="0" w:line="300" w:lineRule="exact"/>
        <w:rPr>
          <w:rFonts w:hint="eastAsia" w:ascii="宋体" w:hAnsi="宋体" w:eastAsia="宋体" w:cs="宋体"/>
          <w:color w:val="auto"/>
          <w:u w:val="none"/>
        </w:rPr>
      </w:pPr>
      <w:bookmarkStart w:id="199" w:name="_Toc520356175"/>
      <w:bookmarkStart w:id="200" w:name="_Ref467306978"/>
      <w:bookmarkStart w:id="201" w:name="_Toc518923096"/>
      <w:bookmarkStart w:id="202" w:name="_Ref467306377"/>
      <w:bookmarkStart w:id="203" w:name="_Toc9717_WPSOffice_Level2"/>
      <w:bookmarkStart w:id="204" w:name="_Ref467307204"/>
      <w:bookmarkStart w:id="205" w:name="_Ref467307062"/>
      <w:bookmarkStart w:id="206" w:name="_Toc16952"/>
      <w:bookmarkStart w:id="207" w:name="_Toc23285_WPSOffice_Level2"/>
      <w:r>
        <w:rPr>
          <w:rFonts w:hint="eastAsia" w:ascii="宋体" w:hAnsi="宋体" w:eastAsia="宋体" w:cs="宋体"/>
          <w:color w:val="auto"/>
          <w:u w:val="none"/>
        </w:rPr>
        <w:t>30.签订合同</w:t>
      </w:r>
      <w:bookmarkEnd w:id="199"/>
      <w:bookmarkEnd w:id="200"/>
      <w:bookmarkEnd w:id="201"/>
      <w:bookmarkEnd w:id="202"/>
      <w:bookmarkEnd w:id="203"/>
      <w:bookmarkEnd w:id="204"/>
      <w:bookmarkEnd w:id="205"/>
      <w:bookmarkEnd w:id="206"/>
      <w:bookmarkEnd w:id="207"/>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30.1</w:t>
      </w:r>
      <w:r>
        <w:rPr>
          <w:rFonts w:hint="eastAsia" w:ascii="宋体" w:hAnsi="宋体" w:eastAsia="宋体" w:cs="宋体"/>
          <w:color w:val="auto"/>
          <w:sz w:val="24"/>
        </w:rPr>
        <w:tab/>
      </w:r>
      <w:r>
        <w:rPr>
          <w:rFonts w:hint="eastAsia" w:ascii="宋体" w:hAnsi="宋体" w:eastAsia="宋体" w:cs="宋体"/>
          <w:color w:val="auto"/>
          <w:sz w:val="24"/>
        </w:rPr>
        <w:t>成交人应当自发出成交通知书之日起30日内，与采购人签订合同。</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30.2</w:t>
      </w:r>
      <w:r>
        <w:rPr>
          <w:rFonts w:hint="eastAsia" w:ascii="宋体" w:hAnsi="宋体" w:eastAsia="宋体" w:cs="宋体"/>
          <w:color w:val="auto"/>
          <w:sz w:val="24"/>
        </w:rPr>
        <w:tab/>
      </w:r>
      <w:bookmarkStart w:id="208" w:name="_Ref467307090"/>
      <w:bookmarkStart w:id="209" w:name="_Toc520356176"/>
      <w:bookmarkStart w:id="210" w:name="_Ref467306425"/>
      <w:r>
        <w:rPr>
          <w:rFonts w:hint="eastAsia" w:ascii="宋体" w:hAnsi="宋体" w:eastAsia="宋体" w:cs="宋体"/>
          <w:color w:val="auto"/>
          <w:sz w:val="24"/>
        </w:rPr>
        <w:t>磋商文件、成交人的响应文件及其澄清文件等，均为签订合同的依据。</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30.4   当出现法规规定的</w:t>
      </w:r>
      <w:r>
        <w:rPr>
          <w:rFonts w:hint="eastAsia" w:ascii="宋体" w:hAnsi="宋体" w:eastAsia="宋体" w:cs="宋体"/>
          <w:b/>
          <w:color w:val="auto"/>
          <w:sz w:val="24"/>
        </w:rPr>
        <w:t>成交无效或成交结果无效</w:t>
      </w:r>
      <w:r>
        <w:rPr>
          <w:rFonts w:hint="eastAsia" w:ascii="宋体" w:hAnsi="宋体" w:eastAsia="宋体" w:cs="宋体"/>
          <w:color w:val="auto"/>
          <w:sz w:val="24"/>
        </w:rPr>
        <w:t>情形时，采购人可与排名下一位的成交候选人另行签订合同，或依法重新开展采购活动。</w:t>
      </w:r>
    </w:p>
    <w:p>
      <w:pPr>
        <w:pStyle w:val="7"/>
        <w:spacing w:before="0" w:after="0" w:line="300" w:lineRule="exact"/>
        <w:rPr>
          <w:rFonts w:hint="eastAsia" w:ascii="宋体" w:hAnsi="宋体" w:eastAsia="宋体" w:cs="宋体"/>
          <w:color w:val="auto"/>
          <w:u w:val="none"/>
        </w:rPr>
      </w:pPr>
      <w:bookmarkStart w:id="211" w:name="_Toc4302"/>
      <w:bookmarkStart w:id="212" w:name="_Toc4147_WPSOffice_Level2"/>
      <w:bookmarkStart w:id="213" w:name="_Toc518923097"/>
      <w:bookmarkStart w:id="214" w:name="_Toc10642_WPSOffice_Level2"/>
      <w:r>
        <w:rPr>
          <w:rFonts w:hint="eastAsia" w:ascii="宋体" w:hAnsi="宋体" w:eastAsia="宋体" w:cs="宋体"/>
          <w:color w:val="auto"/>
          <w:u w:val="none"/>
        </w:rPr>
        <w:t>31.履约保证金</w:t>
      </w:r>
      <w:bookmarkEnd w:id="208"/>
      <w:bookmarkEnd w:id="209"/>
      <w:bookmarkEnd w:id="210"/>
      <w:bookmarkEnd w:id="211"/>
      <w:bookmarkEnd w:id="212"/>
      <w:bookmarkEnd w:id="213"/>
      <w:bookmarkEnd w:id="214"/>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31.1</w:t>
      </w:r>
      <w:r>
        <w:rPr>
          <w:rFonts w:hint="eastAsia" w:ascii="宋体" w:hAnsi="宋体" w:eastAsia="宋体" w:cs="宋体"/>
          <w:color w:val="auto"/>
          <w:sz w:val="24"/>
        </w:rPr>
        <w:tab/>
      </w:r>
      <w:r>
        <w:rPr>
          <w:rFonts w:hint="eastAsia" w:ascii="宋体" w:hAnsi="宋体" w:eastAsia="宋体" w:cs="宋体"/>
          <w:color w:val="auto"/>
          <w:sz w:val="24"/>
        </w:rPr>
        <w:t>成交人应按照</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规定向采购人缴纳履约保证金（如采用保函形式，格式见本章附件1）。</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31.2</w:t>
      </w:r>
      <w:r>
        <w:rPr>
          <w:rFonts w:hint="eastAsia" w:ascii="宋体" w:hAnsi="宋体" w:eastAsia="宋体" w:cs="宋体"/>
          <w:color w:val="auto"/>
          <w:sz w:val="24"/>
        </w:rPr>
        <w:tab/>
      </w:r>
      <w:r>
        <w:rPr>
          <w:rFonts w:hint="eastAsia" w:ascii="宋体" w:hAnsi="宋体" w:eastAsia="宋体" w:cs="宋体"/>
          <w:color w:val="auto"/>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31.3   如果成交人没有按照上述履约保证金的规定执行，将视为放弃成交资格，成交人的磋商保证金将不予退还。在此情况下，采购人可确定下一候选人为成交人，也可以重新开展采购活动。</w:t>
      </w:r>
    </w:p>
    <w:p>
      <w:pPr>
        <w:pStyle w:val="7"/>
        <w:spacing w:before="0" w:after="0" w:line="300" w:lineRule="exact"/>
        <w:rPr>
          <w:rFonts w:hint="eastAsia" w:ascii="宋体" w:hAnsi="宋体" w:eastAsia="宋体" w:cs="宋体"/>
          <w:color w:val="auto"/>
          <w:u w:val="none"/>
        </w:rPr>
      </w:pPr>
      <w:bookmarkStart w:id="215" w:name="_Toc518923098"/>
      <w:bookmarkStart w:id="216" w:name="_Toc21635_WPSOffice_Level2"/>
      <w:bookmarkStart w:id="217" w:name="_Toc12960_WPSOffice_Level2"/>
      <w:bookmarkStart w:id="218" w:name="_Toc8476"/>
      <w:r>
        <w:rPr>
          <w:rFonts w:hint="eastAsia" w:ascii="宋体" w:hAnsi="宋体" w:eastAsia="宋体" w:cs="宋体"/>
          <w:color w:val="auto"/>
          <w:u w:val="none"/>
        </w:rPr>
        <w:t>32.成交服务费</w:t>
      </w:r>
      <w:bookmarkEnd w:id="215"/>
      <w:bookmarkEnd w:id="216"/>
      <w:bookmarkEnd w:id="217"/>
      <w:bookmarkEnd w:id="218"/>
    </w:p>
    <w:p>
      <w:pPr>
        <w:spacing w:line="300" w:lineRule="exact"/>
        <w:ind w:left="840" w:leftChars="200" w:hanging="420" w:hangingChars="175"/>
        <w:rPr>
          <w:rFonts w:hint="eastAsia" w:ascii="宋体" w:hAnsi="宋体" w:eastAsia="宋体" w:cs="宋体"/>
          <w:color w:val="auto"/>
          <w:sz w:val="24"/>
        </w:rPr>
      </w:pPr>
      <w:r>
        <w:rPr>
          <w:rFonts w:hint="eastAsia" w:ascii="宋体" w:hAnsi="宋体" w:eastAsia="宋体" w:cs="宋体"/>
          <w:color w:val="auto"/>
          <w:sz w:val="24"/>
        </w:rPr>
        <w:t>无。</w:t>
      </w:r>
    </w:p>
    <w:p>
      <w:pPr>
        <w:pStyle w:val="7"/>
        <w:spacing w:before="0" w:after="0" w:line="300" w:lineRule="exact"/>
        <w:rPr>
          <w:rFonts w:hint="eastAsia" w:ascii="宋体" w:hAnsi="宋体" w:eastAsia="宋体" w:cs="宋体"/>
          <w:color w:val="auto"/>
          <w:u w:val="none"/>
        </w:rPr>
      </w:pPr>
      <w:bookmarkStart w:id="219" w:name="_Toc518923099"/>
      <w:bookmarkStart w:id="220" w:name="_Toc9330_WPSOffice_Level2"/>
      <w:bookmarkStart w:id="221" w:name="_Toc31411"/>
      <w:bookmarkStart w:id="222" w:name="_Toc30567_WPSOffice_Level2"/>
      <w:r>
        <w:rPr>
          <w:rFonts w:hint="eastAsia" w:ascii="宋体" w:hAnsi="宋体" w:eastAsia="宋体" w:cs="宋体"/>
          <w:color w:val="auto"/>
          <w:u w:val="none"/>
        </w:rPr>
        <w:t>33.政府采购信用担保</w:t>
      </w:r>
      <w:bookmarkEnd w:id="219"/>
      <w:bookmarkEnd w:id="220"/>
      <w:bookmarkEnd w:id="221"/>
      <w:bookmarkEnd w:id="222"/>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33.1   本项目是否属于信用担保试点范围见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spacing w:line="300" w:lineRule="exact"/>
        <w:ind w:left="850" w:hanging="849" w:hangingChars="354"/>
        <w:rPr>
          <w:rFonts w:hint="eastAsia" w:ascii="宋体" w:hAnsi="宋体" w:eastAsia="宋体" w:cs="宋体"/>
          <w:color w:val="auto"/>
          <w:sz w:val="24"/>
        </w:rPr>
      </w:pPr>
      <w:r>
        <w:rPr>
          <w:rFonts w:hint="eastAsia" w:ascii="宋体" w:hAnsi="宋体" w:eastAsia="宋体" w:cs="宋体"/>
          <w:color w:val="auto"/>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33.2.1 供应商递交的磋商担保函和履约担保函应符合本磋商文件的规定。</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33.2.2 成交人可以采取融资担保的形式为政府采购项目履约进行融资。</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33.2.3 合格的政府采购专业信用担保机构见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pStyle w:val="7"/>
        <w:spacing w:before="0" w:after="0" w:line="300" w:lineRule="exact"/>
        <w:rPr>
          <w:rFonts w:hint="eastAsia" w:ascii="宋体" w:hAnsi="宋体" w:eastAsia="宋体" w:cs="宋体"/>
          <w:color w:val="auto"/>
          <w:u w:val="none"/>
        </w:rPr>
      </w:pPr>
      <w:bookmarkStart w:id="223" w:name="_Toc518923100"/>
      <w:bookmarkStart w:id="224" w:name="_Toc4701"/>
      <w:bookmarkStart w:id="225" w:name="_Toc5233_WPSOffice_Level2"/>
      <w:bookmarkStart w:id="226" w:name="_Toc9469_WPSOffice_Level2"/>
      <w:r>
        <w:rPr>
          <w:rFonts w:hint="eastAsia" w:ascii="宋体" w:hAnsi="宋体" w:eastAsia="宋体" w:cs="宋体"/>
          <w:color w:val="auto"/>
          <w:u w:val="none"/>
        </w:rPr>
        <w:t>34.廉洁自律规定</w:t>
      </w:r>
      <w:bookmarkEnd w:id="223"/>
      <w:bookmarkEnd w:id="224"/>
      <w:bookmarkEnd w:id="225"/>
      <w:bookmarkEnd w:id="226"/>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34.1   采购代理机构工作人员不得以不正当手段获取政府采购代理业务，不得与采购人、供应商恶意串通操纵政府采购活动。</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34.3   为强化采购代理机构内部监督机制，供应商可按</w:t>
      </w:r>
      <w:r>
        <w:rPr>
          <w:rFonts w:hint="eastAsia" w:ascii="宋体" w:hAnsi="宋体" w:eastAsia="宋体" w:cs="宋体"/>
          <w:color w:val="auto"/>
          <w:sz w:val="24"/>
          <w:u w:val="single"/>
        </w:rPr>
        <w:t>供应商须知资料表中的</w:t>
      </w:r>
      <w:r>
        <w:rPr>
          <w:rFonts w:hint="eastAsia" w:ascii="宋体" w:hAnsi="宋体" w:eastAsia="宋体" w:cs="宋体"/>
          <w:color w:val="auto"/>
          <w:sz w:val="24"/>
        </w:rPr>
        <w:t>监督电话和信箱，反映采购代理机构的廉洁自律等问题。</w:t>
      </w:r>
    </w:p>
    <w:p>
      <w:pPr>
        <w:pStyle w:val="7"/>
        <w:spacing w:before="0" w:after="0" w:line="300" w:lineRule="exact"/>
        <w:rPr>
          <w:rFonts w:hint="eastAsia" w:ascii="宋体" w:hAnsi="宋体" w:eastAsia="宋体" w:cs="宋体"/>
          <w:color w:val="auto"/>
          <w:u w:val="none"/>
        </w:rPr>
      </w:pPr>
      <w:bookmarkStart w:id="227" w:name="_Toc27272_WPSOffice_Level2"/>
      <w:bookmarkStart w:id="228" w:name="_Toc27811_WPSOffice_Level2"/>
      <w:bookmarkStart w:id="229" w:name="_Toc21055"/>
      <w:bookmarkStart w:id="230" w:name="_Toc518923101"/>
      <w:r>
        <w:rPr>
          <w:rFonts w:hint="eastAsia" w:ascii="宋体" w:hAnsi="宋体" w:eastAsia="宋体" w:cs="宋体"/>
          <w:color w:val="auto"/>
          <w:u w:val="none"/>
        </w:rPr>
        <w:t>35.人员回避</w:t>
      </w:r>
      <w:bookmarkEnd w:id="227"/>
      <w:bookmarkEnd w:id="228"/>
      <w:bookmarkEnd w:id="229"/>
      <w:bookmarkEnd w:id="230"/>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供应商认为采购人员及其相关人员有法律法规所列与其他供应商有利害关系的，可以向采购人或采购代理机构书面提出回避申请，并说明理由。</w:t>
      </w:r>
    </w:p>
    <w:p>
      <w:pPr>
        <w:pStyle w:val="7"/>
        <w:rPr>
          <w:rFonts w:hint="eastAsia" w:ascii="宋体" w:hAnsi="宋体" w:eastAsia="宋体" w:cs="宋体"/>
          <w:color w:val="auto"/>
          <w:u w:val="none"/>
        </w:rPr>
      </w:pPr>
      <w:r>
        <w:rPr>
          <w:rFonts w:hint="eastAsia" w:ascii="宋体" w:hAnsi="宋体" w:eastAsia="宋体" w:cs="宋体"/>
          <w:color w:val="auto"/>
          <w:u w:val="none"/>
        </w:rPr>
        <w:t>36.质疑与接收</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jc w:val="left"/>
        <w:rPr>
          <w:rFonts w:hint="eastAsia" w:ascii="宋体" w:hAnsi="宋体" w:eastAsia="宋体" w:cs="宋体"/>
          <w:color w:val="auto"/>
          <w:sz w:val="24"/>
        </w:rPr>
      </w:pPr>
      <w:r>
        <w:rPr>
          <w:rFonts w:hint="eastAsia" w:ascii="宋体" w:hAnsi="宋体" w:eastAsia="宋体" w:cs="宋体"/>
          <w:color w:val="auto"/>
          <w:sz w:val="24"/>
        </w:rPr>
        <w:t>超出法定质疑期的、重复提出的、分次提出的或内容、形式不符合《政府采购质疑和投诉办法》的，质疑供应商将依法承担不利后果。</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36.3  采购代理机构质疑函接收部门、联系电话和通讯地址, 见供应商须知资料表。</w:t>
      </w:r>
    </w:p>
    <w:p>
      <w:pPr>
        <w:ind w:left="900" w:hanging="900" w:hangingChars="375"/>
        <w:jc w:val="left"/>
        <w:rPr>
          <w:rFonts w:hint="eastAsia" w:ascii="宋体" w:hAnsi="宋体" w:eastAsia="宋体" w:cs="宋体"/>
          <w:bCs/>
          <w:color w:val="auto"/>
          <w:sz w:val="24"/>
        </w:rPr>
      </w:pPr>
      <w:r>
        <w:rPr>
          <w:rFonts w:hint="eastAsia" w:ascii="宋体" w:hAnsi="宋体" w:eastAsia="宋体" w:cs="宋体"/>
          <w:color w:val="auto"/>
          <w:sz w:val="24"/>
        </w:rPr>
        <w:t>37、</w:t>
      </w:r>
      <w:r>
        <w:rPr>
          <w:rFonts w:hint="eastAsia" w:ascii="宋体" w:hAnsi="宋体" w:eastAsia="宋体" w:cs="宋体"/>
          <w:bCs/>
          <w:color w:val="auto"/>
          <w:sz w:val="24"/>
        </w:rPr>
        <w:t>质疑的提出</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37.1   本采购文件中所称质疑及答复，是指参加本次采购活动的供应商对政府采购活动中的采购文件、采购过程和成交结果向采购方提出质疑，采购方答复质疑的行为。</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37.2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（一）对可以质疑的采购文件提出质疑的，为收到采购文件之日或者采购文件公告期限届满之日；</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（二）对采购过程提出质疑的，为各采购程序环节结束之日；</w:t>
      </w:r>
    </w:p>
    <w:p>
      <w:pPr>
        <w:ind w:firstLine="720" w:firstLineChars="300"/>
        <w:jc w:val="left"/>
        <w:rPr>
          <w:rFonts w:hint="eastAsia" w:ascii="宋体" w:hAnsi="宋体" w:eastAsia="宋体" w:cs="宋体"/>
          <w:color w:val="auto"/>
          <w:sz w:val="24"/>
        </w:rPr>
      </w:pPr>
      <w:r>
        <w:rPr>
          <w:rFonts w:hint="eastAsia" w:ascii="宋体" w:hAnsi="宋体" w:eastAsia="宋体" w:cs="宋体"/>
          <w:color w:val="auto"/>
          <w:sz w:val="24"/>
        </w:rPr>
        <w:t>（三）对成交结果提出质疑的，为成交结果公告期限届满之日。</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37.3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37.4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37.5   提出质疑应当符合下列条件：</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（一）质疑主体应当符合有关规定；</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（二）在质疑法定期限内提出；</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（三）属于可以提出质疑的政府采购事项受理范围和本项目采购人的管辖权范围；</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（四）政府采购法律、法规、规章规定的其他条件。</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37.7  质疑人所提供的证明材料应当具有真实性、合法性以及与质疑事项的关联性和证明力，否则不能作为认定该质疑事项成立的依据。</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37.8  质疑人提出质疑时应当提交质疑函。质疑函包括下列内容：</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（一）提出质疑的质疑人的名称、地址、邮编、联系人及联系电话等；</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（二）质疑项目的名称、编号；</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（三）质疑事项；</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（四）事实依据和证明材料；</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（五）法律依据；</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（六）提出质疑的日期。</w:t>
      </w:r>
    </w:p>
    <w:p>
      <w:pPr>
        <w:ind w:left="957" w:leftChars="456" w:firstLine="60" w:firstLineChars="25"/>
        <w:jc w:val="left"/>
        <w:rPr>
          <w:rFonts w:hint="eastAsia" w:ascii="宋体" w:hAnsi="宋体" w:eastAsia="宋体" w:cs="宋体"/>
          <w:color w:val="auto"/>
          <w:sz w:val="24"/>
        </w:rPr>
      </w:pPr>
      <w:r>
        <w:rPr>
          <w:rFonts w:hint="eastAsia" w:ascii="宋体" w:hAnsi="宋体" w:eastAsia="宋体" w:cs="宋体"/>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37.9  质疑人可以委托代理人进行质疑。代理人应当提交授权委托书。授权委托书应当载明委托代理的具体权限、期限和相关事项。</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37.10  质疑的审查和受理</w:t>
      </w:r>
    </w:p>
    <w:p>
      <w:pPr>
        <w:ind w:left="957" w:leftChars="456"/>
        <w:jc w:val="left"/>
        <w:rPr>
          <w:rFonts w:hint="eastAsia" w:ascii="宋体" w:hAnsi="宋体" w:eastAsia="宋体" w:cs="宋体"/>
          <w:color w:val="auto"/>
          <w:sz w:val="24"/>
        </w:rPr>
      </w:pPr>
      <w:r>
        <w:rPr>
          <w:rFonts w:hint="eastAsia" w:ascii="宋体" w:hAnsi="宋体" w:eastAsia="宋体" w:cs="宋体"/>
          <w:color w:val="auto"/>
          <w:sz w:val="24"/>
        </w:rPr>
        <w:t>采购方在收到质疑函后应当及时审查是否符合质疑受理条件，对符合质疑受理条件的，及时予以受理。</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37.11  对不符合质疑受理条件的，分别按照下列不同情形予以处理：</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（二）质疑主体不符合有关规定的，告知质疑人不予受理；</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（三）超过质疑法定期限提出质疑的，告知质疑人不予受理；</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（四）对不属于可以提出质疑的政府采购事项提出质疑的，告知质疑人不予受理；</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（五）质疑不属于本项目采购方管辖的，告知质疑人向有管辖权的采购人提出质疑；</w:t>
      </w:r>
    </w:p>
    <w:p>
      <w:pPr>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（六）质疑不符合其他条件的，告知质疑人不予受理。</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38、质疑的处理和答复</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38.1   采购方受理质疑后，将及时把质疑函发送给被质疑人，并要求其在一定限期内提交书面答复，同时提供有关证据、依据和相关材料。</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38.2  对于质疑事项中涉及的问题较多、情况比较复杂的，为了全面查清事实、取得充分的证据，采购方认为有必要时，可以进行调查取证或者组织质证。</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38.3  对评审过程、成交结果提出质疑的，采购方可以组织原评审委员会协助答复质疑。</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38.4   质疑处理过程中，质疑人书面申请撤回质疑的，将终止质疑处理程序。</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38.5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38.6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38.7  采购方将在正式受理质疑后7个工作日内作出答复。</w:t>
      </w:r>
    </w:p>
    <w:p>
      <w:pPr>
        <w:pStyle w:val="51"/>
        <w:rPr>
          <w:rFonts w:hint="eastAsia" w:ascii="宋体" w:hAnsi="宋体" w:eastAsia="宋体" w:cs="宋体"/>
          <w:color w:val="auto"/>
        </w:rPr>
      </w:pPr>
      <w:r>
        <w:rPr>
          <w:rFonts w:hint="eastAsia" w:ascii="宋体" w:hAnsi="宋体" w:eastAsia="宋体" w:cs="宋体"/>
          <w:color w:val="auto"/>
        </w:rPr>
        <w:t>38.8   质疑答复应当包括下列内容：</w:t>
      </w:r>
    </w:p>
    <w:p>
      <w:pPr>
        <w:pStyle w:val="51"/>
        <w:rPr>
          <w:rFonts w:hint="eastAsia" w:ascii="宋体" w:hAnsi="宋体" w:eastAsia="宋体" w:cs="宋体"/>
          <w:color w:val="auto"/>
        </w:rPr>
      </w:pPr>
      <w:r>
        <w:rPr>
          <w:rFonts w:hint="eastAsia" w:ascii="宋体" w:hAnsi="宋体" w:eastAsia="宋体" w:cs="宋体"/>
          <w:color w:val="auto"/>
        </w:rPr>
        <w:t>（一）质疑人的姓名或者名称；</w:t>
      </w:r>
    </w:p>
    <w:p>
      <w:pPr>
        <w:pStyle w:val="51"/>
        <w:rPr>
          <w:rFonts w:hint="eastAsia" w:ascii="宋体" w:hAnsi="宋体" w:eastAsia="宋体" w:cs="宋体"/>
          <w:color w:val="auto"/>
        </w:rPr>
      </w:pPr>
      <w:r>
        <w:rPr>
          <w:rFonts w:hint="eastAsia" w:ascii="宋体" w:hAnsi="宋体" w:eastAsia="宋体" w:cs="宋体"/>
          <w:color w:val="auto"/>
        </w:rPr>
        <w:t>（二）收到质疑函的日期、质疑项目名称及编号；</w:t>
      </w:r>
    </w:p>
    <w:p>
      <w:pPr>
        <w:pStyle w:val="51"/>
        <w:rPr>
          <w:rFonts w:hint="eastAsia" w:ascii="宋体" w:hAnsi="宋体" w:eastAsia="宋体" w:cs="宋体"/>
          <w:color w:val="auto"/>
        </w:rPr>
      </w:pPr>
      <w:r>
        <w:rPr>
          <w:rFonts w:hint="eastAsia" w:ascii="宋体" w:hAnsi="宋体" w:eastAsia="宋体" w:cs="宋体"/>
          <w:color w:val="auto"/>
        </w:rPr>
        <w:t>（三）质疑事项、质疑答复的具体内容、事实依据和法律依据；</w:t>
      </w:r>
    </w:p>
    <w:p>
      <w:pPr>
        <w:pStyle w:val="51"/>
        <w:rPr>
          <w:rFonts w:hint="eastAsia" w:ascii="宋体" w:hAnsi="宋体" w:eastAsia="宋体" w:cs="宋体"/>
          <w:color w:val="auto"/>
        </w:rPr>
      </w:pPr>
      <w:r>
        <w:rPr>
          <w:rFonts w:hint="eastAsia" w:ascii="宋体" w:hAnsi="宋体" w:eastAsia="宋体" w:cs="宋体"/>
          <w:color w:val="auto"/>
        </w:rPr>
        <w:t>（四）告知质疑供应商依法投诉的权利；</w:t>
      </w:r>
    </w:p>
    <w:p>
      <w:pPr>
        <w:pStyle w:val="51"/>
        <w:ind w:firstLine="960" w:firstLineChars="400"/>
        <w:rPr>
          <w:rFonts w:hint="eastAsia" w:ascii="宋体" w:hAnsi="宋体" w:eastAsia="宋体" w:cs="宋体"/>
          <w:color w:val="auto"/>
        </w:rPr>
      </w:pPr>
      <w:r>
        <w:rPr>
          <w:rFonts w:hint="eastAsia" w:ascii="宋体" w:hAnsi="宋体" w:eastAsia="宋体" w:cs="宋体"/>
          <w:color w:val="auto"/>
        </w:rPr>
        <w:t>（五）质疑答复人名称；</w:t>
      </w:r>
    </w:p>
    <w:p>
      <w:pPr>
        <w:ind w:left="718" w:leftChars="342" w:firstLine="240" w:firstLineChars="100"/>
        <w:jc w:val="left"/>
        <w:rPr>
          <w:rFonts w:hint="eastAsia" w:ascii="宋体" w:hAnsi="宋体" w:eastAsia="宋体" w:cs="宋体"/>
          <w:b/>
          <w:bCs/>
          <w:color w:val="auto"/>
          <w:sz w:val="24"/>
        </w:rPr>
      </w:pPr>
      <w:r>
        <w:rPr>
          <w:rFonts w:hint="eastAsia" w:ascii="宋体" w:hAnsi="宋体" w:eastAsia="宋体" w:cs="宋体"/>
          <w:color w:val="auto"/>
          <w:sz w:val="24"/>
        </w:rPr>
        <w:t>（六）答复质疑的日期。</w:t>
      </w:r>
    </w:p>
    <w:p>
      <w:pPr>
        <w:jc w:val="center"/>
        <w:rPr>
          <w:rFonts w:hint="eastAsia" w:ascii="宋体" w:hAnsi="宋体" w:eastAsia="宋体" w:cs="宋体"/>
          <w:b/>
          <w:color w:val="auto"/>
          <w:sz w:val="24"/>
        </w:rPr>
      </w:pPr>
      <w:r>
        <w:rPr>
          <w:rFonts w:hint="eastAsia" w:ascii="宋体" w:hAnsi="宋体" w:eastAsia="宋体" w:cs="宋体"/>
          <w:b/>
          <w:color w:val="auto"/>
          <w:sz w:val="24"/>
        </w:rPr>
        <w:t>质疑函范本</w:t>
      </w:r>
    </w:p>
    <w:p>
      <w:pPr>
        <w:adjustRightInd w:val="0"/>
        <w:snapToGrid w:val="0"/>
        <w:spacing w:before="312" w:beforeLines="100" w:line="360" w:lineRule="auto"/>
        <w:outlineLvl w:val="1"/>
        <w:rPr>
          <w:rFonts w:hint="eastAsia" w:ascii="宋体" w:hAnsi="宋体" w:eastAsia="宋体" w:cs="宋体"/>
          <w:bCs/>
          <w:color w:val="auto"/>
          <w:sz w:val="24"/>
        </w:rPr>
      </w:pPr>
      <w:bookmarkStart w:id="231" w:name="_Toc108876166"/>
      <w:bookmarkStart w:id="232" w:name="_Toc108877079"/>
      <w:r>
        <w:rPr>
          <w:rFonts w:hint="eastAsia" w:ascii="宋体" w:hAnsi="宋体" w:eastAsia="宋体" w:cs="宋体"/>
          <w:bCs/>
          <w:color w:val="auto"/>
          <w:sz w:val="24"/>
        </w:rPr>
        <w:t>一、质疑供应商基本信息</w:t>
      </w:r>
      <w:bookmarkEnd w:id="231"/>
      <w:bookmarkEnd w:id="232"/>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质疑供应商：</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地址：邮编：</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联系人：联系电话：</w:t>
      </w:r>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授权代表：</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联系电话：</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地址：邮编：</w:t>
      </w:r>
    </w:p>
    <w:p>
      <w:pPr>
        <w:adjustRightInd w:val="0"/>
        <w:snapToGrid w:val="0"/>
        <w:spacing w:line="360" w:lineRule="auto"/>
        <w:outlineLvl w:val="1"/>
        <w:rPr>
          <w:rFonts w:hint="eastAsia" w:ascii="宋体" w:hAnsi="宋体" w:eastAsia="宋体" w:cs="宋体"/>
          <w:bCs/>
          <w:color w:val="auto"/>
          <w:sz w:val="24"/>
        </w:rPr>
      </w:pPr>
      <w:bookmarkStart w:id="233" w:name="_Toc108876167"/>
      <w:bookmarkStart w:id="234" w:name="_Toc108877080"/>
      <w:r>
        <w:rPr>
          <w:rFonts w:hint="eastAsia" w:ascii="宋体" w:hAnsi="宋体" w:eastAsia="宋体" w:cs="宋体"/>
          <w:bCs/>
          <w:color w:val="auto"/>
          <w:sz w:val="24"/>
        </w:rPr>
        <w:t>二、质疑项目基本情况</w:t>
      </w:r>
      <w:bookmarkEnd w:id="233"/>
      <w:bookmarkEnd w:id="234"/>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质疑项目的名称：</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质疑项目的编号：包号：</w:t>
      </w:r>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采购人名称：</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采购文件获取日期：</w:t>
      </w:r>
    </w:p>
    <w:p>
      <w:pPr>
        <w:adjustRightInd w:val="0"/>
        <w:snapToGrid w:val="0"/>
        <w:spacing w:line="360" w:lineRule="auto"/>
        <w:outlineLvl w:val="1"/>
        <w:rPr>
          <w:rFonts w:hint="eastAsia" w:ascii="宋体" w:hAnsi="宋体" w:eastAsia="宋体" w:cs="宋体"/>
          <w:bCs/>
          <w:color w:val="auto"/>
          <w:sz w:val="24"/>
        </w:rPr>
      </w:pPr>
      <w:bookmarkStart w:id="235" w:name="_Toc108876168"/>
      <w:bookmarkStart w:id="236" w:name="_Toc108877081"/>
      <w:r>
        <w:rPr>
          <w:rFonts w:hint="eastAsia" w:ascii="宋体" w:hAnsi="宋体" w:eastAsia="宋体" w:cs="宋体"/>
          <w:bCs/>
          <w:color w:val="auto"/>
          <w:sz w:val="24"/>
        </w:rPr>
        <w:t>三、质疑事项具体内容</w:t>
      </w:r>
      <w:bookmarkEnd w:id="235"/>
      <w:bookmarkEnd w:id="236"/>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质疑事项1：</w:t>
      </w:r>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事实依据：</w:t>
      </w: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法律依据：</w:t>
      </w:r>
    </w:p>
    <w:p>
      <w:pPr>
        <w:adjustRightInd w:val="0"/>
        <w:snapToGrid w:val="0"/>
        <w:spacing w:line="360" w:lineRule="auto"/>
        <w:rPr>
          <w:rFonts w:hint="eastAsia" w:ascii="宋体" w:hAnsi="宋体" w:eastAsia="宋体" w:cs="宋体"/>
          <w:color w:val="auto"/>
          <w:sz w:val="24"/>
          <w:u w:val="dotted"/>
        </w:rPr>
      </w:pPr>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质疑事项2</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w:t>
      </w:r>
    </w:p>
    <w:p>
      <w:pPr>
        <w:adjustRightInd w:val="0"/>
        <w:snapToGrid w:val="0"/>
        <w:spacing w:line="360" w:lineRule="auto"/>
        <w:outlineLvl w:val="1"/>
        <w:rPr>
          <w:rFonts w:hint="eastAsia" w:ascii="宋体" w:hAnsi="宋体" w:eastAsia="宋体" w:cs="宋体"/>
          <w:bCs/>
          <w:color w:val="auto"/>
          <w:sz w:val="24"/>
        </w:rPr>
      </w:pPr>
      <w:bookmarkStart w:id="237" w:name="_Toc108876169"/>
      <w:bookmarkStart w:id="238" w:name="_Toc108877082"/>
      <w:r>
        <w:rPr>
          <w:rFonts w:hint="eastAsia" w:ascii="宋体" w:hAnsi="宋体" w:eastAsia="宋体" w:cs="宋体"/>
          <w:bCs/>
          <w:color w:val="auto"/>
          <w:sz w:val="24"/>
        </w:rPr>
        <w:t>四、与质疑事项相关的质疑请求</w:t>
      </w:r>
      <w:bookmarkEnd w:id="237"/>
      <w:bookmarkEnd w:id="238"/>
    </w:p>
    <w:p>
      <w:pPr>
        <w:adjustRightInd w:val="0"/>
        <w:snapToGrid w:val="0"/>
        <w:spacing w:line="360" w:lineRule="auto"/>
        <w:rPr>
          <w:rFonts w:hint="eastAsia" w:ascii="宋体" w:hAnsi="宋体" w:eastAsia="宋体" w:cs="宋体"/>
          <w:color w:val="auto"/>
          <w:sz w:val="24"/>
          <w:u w:val="dotted"/>
        </w:rPr>
      </w:pPr>
      <w:r>
        <w:rPr>
          <w:rFonts w:hint="eastAsia" w:ascii="宋体" w:hAnsi="宋体" w:eastAsia="宋体" w:cs="宋体"/>
          <w:color w:val="auto"/>
          <w:sz w:val="24"/>
        </w:rPr>
        <w:t>请求：</w:t>
      </w:r>
    </w:p>
    <w:p>
      <w:pPr>
        <w:rPr>
          <w:rFonts w:hint="eastAsia" w:ascii="宋体" w:hAnsi="宋体" w:eastAsia="宋体" w:cs="宋体"/>
          <w:color w:val="auto"/>
          <w:sz w:val="24"/>
        </w:rPr>
      </w:pPr>
      <w:r>
        <w:rPr>
          <w:rFonts w:hint="eastAsia" w:ascii="宋体" w:hAnsi="宋体" w:eastAsia="宋体" w:cs="宋体"/>
          <w:color w:val="auto"/>
          <w:sz w:val="24"/>
        </w:rPr>
        <w:t>签字(签章)：公章：</w:t>
      </w:r>
    </w:p>
    <w:p>
      <w:pPr>
        <w:rPr>
          <w:rFonts w:hint="eastAsia" w:ascii="宋体" w:hAnsi="宋体" w:eastAsia="宋体" w:cs="宋体"/>
          <w:color w:val="auto"/>
          <w:sz w:val="24"/>
        </w:rPr>
      </w:pPr>
      <w:r>
        <w:rPr>
          <w:rFonts w:hint="eastAsia" w:ascii="宋体" w:hAnsi="宋体" w:eastAsia="宋体" w:cs="宋体"/>
          <w:color w:val="auto"/>
          <w:sz w:val="24"/>
        </w:rPr>
        <w:t>日期：</w:t>
      </w: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rPr>
          <w:rFonts w:hint="eastAsia" w:ascii="宋体" w:hAnsi="宋体" w:eastAsia="宋体" w:cs="宋体"/>
          <w:b/>
          <w:color w:val="auto"/>
          <w:sz w:val="24"/>
        </w:rPr>
      </w:pPr>
      <w:r>
        <w:rPr>
          <w:rFonts w:hint="eastAsia" w:ascii="宋体" w:hAnsi="宋体" w:eastAsia="宋体" w:cs="宋体"/>
          <w:b/>
          <w:color w:val="auto"/>
          <w:sz w:val="24"/>
        </w:rPr>
        <w:t>质疑函制作说明：</w:t>
      </w:r>
    </w:p>
    <w:p>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1.供应商提出质疑时，应提交质疑函和必要的证明材料。</w:t>
      </w:r>
    </w:p>
    <w:p>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2.质疑供应商若委托代理人进行质疑的，质疑函应按要求列明“授权代表”的有关内容，并在附件中提交由质疑</w:t>
      </w:r>
      <w:r>
        <w:rPr>
          <w:rFonts w:hint="eastAsia" w:ascii="宋体" w:hAnsi="宋体" w:eastAsia="宋体" w:cs="宋体"/>
          <w:color w:val="auto"/>
          <w:kern w:val="0"/>
          <w:sz w:val="24"/>
        </w:rPr>
        <w:t>供应商签署的授权委托书。授权委托书应载明代理人的姓名或者名称、代理事项、具体权限、期限和相关事项。</w:t>
      </w:r>
    </w:p>
    <w:p>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3.质疑供应商若对项目的某一分包进行质疑，质疑函中应列明具体分包号。</w:t>
      </w:r>
    </w:p>
    <w:p>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4.质疑函的质疑事项应具体、明确，并有必要的事实依据和法律依据。</w:t>
      </w:r>
    </w:p>
    <w:p>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5.质疑函的质疑请求应与质疑事项相关。</w:t>
      </w:r>
    </w:p>
    <w:p>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6.质疑供应商为自然人的，质疑函应由本人签字；质疑供应商为法人或者其他组织的，质疑函应由法定代表人、主要负责人，或者其授权代表签字或者盖章，并加盖公章。</w:t>
      </w:r>
    </w:p>
    <w:p>
      <w:pPr>
        <w:pStyle w:val="5"/>
        <w:spacing w:before="0" w:line="240" w:lineRule="atLeast"/>
        <w:rPr>
          <w:rFonts w:hint="eastAsia" w:ascii="宋体" w:hAnsi="宋体" w:eastAsia="宋体" w:cs="宋体"/>
          <w:color w:val="auto"/>
          <w:szCs w:val="24"/>
        </w:rPr>
      </w:pPr>
      <w:r>
        <w:rPr>
          <w:rFonts w:hint="eastAsia" w:ascii="宋体" w:hAnsi="宋体" w:eastAsia="宋体" w:cs="宋体"/>
          <w:color w:val="auto"/>
        </w:rPr>
        <w:br w:type="page"/>
      </w:r>
      <w:bookmarkStart w:id="239" w:name="_Toc21504_WPSOffice_Level1"/>
      <w:bookmarkStart w:id="240" w:name="_Toc23883"/>
      <w:bookmarkStart w:id="241" w:name="_Toc18483"/>
      <w:bookmarkStart w:id="242" w:name="_Toc108876170"/>
      <w:bookmarkStart w:id="243" w:name="_Toc3584_WPSOffice_Level1"/>
      <w:bookmarkStart w:id="244" w:name="_Toc518923103"/>
      <w:bookmarkStart w:id="245" w:name="_Toc108877083"/>
      <w:bookmarkStart w:id="246" w:name="_Toc22084_WPSOffice_Level1"/>
      <w:r>
        <w:rPr>
          <w:rFonts w:hint="eastAsia" w:ascii="宋体" w:hAnsi="宋体" w:eastAsia="宋体" w:cs="宋体"/>
          <w:color w:val="auto"/>
          <w:szCs w:val="24"/>
        </w:rPr>
        <w:t>附件1：履约保证金保函（格式）</w:t>
      </w:r>
      <w:bookmarkEnd w:id="239"/>
      <w:bookmarkEnd w:id="240"/>
      <w:bookmarkEnd w:id="241"/>
      <w:bookmarkEnd w:id="242"/>
      <w:bookmarkEnd w:id="243"/>
      <w:bookmarkEnd w:id="244"/>
      <w:bookmarkEnd w:id="245"/>
      <w:bookmarkEnd w:id="246"/>
    </w:p>
    <w:p>
      <w:pPr>
        <w:pStyle w:val="17"/>
        <w:spacing w:line="240" w:lineRule="atLeast"/>
        <w:ind w:left="1079" w:leftChars="257" w:hanging="540"/>
        <w:rPr>
          <w:rFonts w:hint="eastAsia" w:ascii="宋体" w:hAnsi="宋体" w:eastAsia="宋体" w:cs="宋体"/>
          <w:b/>
          <w:color w:val="auto"/>
          <w:sz w:val="24"/>
        </w:rPr>
      </w:pPr>
      <w:r>
        <w:rPr>
          <w:rFonts w:hint="eastAsia" w:ascii="宋体" w:hAnsi="宋体" w:eastAsia="宋体" w:cs="宋体"/>
          <w:b/>
          <w:color w:val="auto"/>
          <w:sz w:val="24"/>
        </w:rPr>
        <w:t>（成交后开具）</w:t>
      </w:r>
    </w:p>
    <w:p>
      <w:pPr>
        <w:pStyle w:val="17"/>
        <w:spacing w:line="240" w:lineRule="atLeast"/>
        <w:rPr>
          <w:rFonts w:hint="eastAsia" w:ascii="宋体" w:hAnsi="宋体" w:eastAsia="宋体" w:cs="宋体"/>
          <w:color w:val="auto"/>
          <w:sz w:val="24"/>
        </w:rPr>
      </w:pPr>
      <w:r>
        <w:rPr>
          <w:rFonts w:hint="eastAsia" w:ascii="宋体" w:hAnsi="宋体" w:eastAsia="宋体" w:cs="宋体"/>
          <w:color w:val="auto"/>
          <w:sz w:val="24"/>
        </w:rPr>
        <w:t>致: (</w:t>
      </w:r>
      <w:r>
        <w:rPr>
          <w:rFonts w:hint="eastAsia" w:ascii="宋体" w:hAnsi="宋体" w:eastAsia="宋体" w:cs="宋体"/>
          <w:color w:val="auto"/>
          <w:sz w:val="24"/>
          <w:u w:val="single"/>
        </w:rPr>
        <w:t>买方名称</w:t>
      </w:r>
      <w:r>
        <w:rPr>
          <w:rFonts w:hint="eastAsia" w:ascii="宋体" w:hAnsi="宋体" w:eastAsia="宋体" w:cs="宋体"/>
          <w:color w:val="auto"/>
          <w:sz w:val="24"/>
        </w:rPr>
        <w:t>)</w:t>
      </w:r>
    </w:p>
    <w:p>
      <w:pPr>
        <w:pStyle w:val="17"/>
        <w:spacing w:line="240" w:lineRule="atLeast"/>
        <w:ind w:left="1079" w:leftChars="257" w:hanging="540"/>
        <w:jc w:val="center"/>
        <w:rPr>
          <w:rFonts w:hint="eastAsia" w:ascii="宋体" w:hAnsi="宋体" w:eastAsia="宋体" w:cs="宋体"/>
          <w:color w:val="auto"/>
          <w:sz w:val="24"/>
        </w:rPr>
      </w:pPr>
      <w:r>
        <w:rPr>
          <w:rFonts w:hint="eastAsia" w:ascii="宋体" w:hAnsi="宋体" w:eastAsia="宋体" w:cs="宋体"/>
          <w:color w:val="auto"/>
          <w:sz w:val="24"/>
        </w:rPr>
        <w:t>号合同履约保函</w:t>
      </w:r>
    </w:p>
    <w:p>
      <w:pPr>
        <w:pStyle w:val="17"/>
        <w:spacing w:line="240" w:lineRule="atLeast"/>
        <w:ind w:firstLine="600" w:firstLineChars="250"/>
        <w:rPr>
          <w:rFonts w:hint="eastAsia" w:ascii="宋体" w:hAnsi="宋体" w:eastAsia="宋体" w:cs="宋体"/>
          <w:color w:val="auto"/>
          <w:sz w:val="24"/>
        </w:rPr>
      </w:pPr>
      <w:r>
        <w:rPr>
          <w:rFonts w:hint="eastAsia" w:ascii="宋体" w:hAnsi="宋体" w:eastAsia="宋体" w:cs="宋体"/>
          <w:color w:val="auto"/>
          <w:sz w:val="24"/>
        </w:rPr>
        <w:t>本保函作为贵方与(</w:t>
      </w:r>
      <w:r>
        <w:rPr>
          <w:rFonts w:hint="eastAsia" w:ascii="宋体" w:hAnsi="宋体" w:eastAsia="宋体" w:cs="宋体"/>
          <w:color w:val="auto"/>
          <w:sz w:val="24"/>
          <w:u w:val="single"/>
        </w:rPr>
        <w:t>卖方名称</w:t>
      </w:r>
      <w:r>
        <w:rPr>
          <w:rFonts w:hint="eastAsia" w:ascii="宋体" w:hAnsi="宋体" w:eastAsia="宋体" w:cs="宋体"/>
          <w:color w:val="auto"/>
          <w:sz w:val="24"/>
        </w:rPr>
        <w:t>)(以下简称卖方)于年月日就项目(以下简称项目)项下提供(</w:t>
      </w:r>
      <w:r>
        <w:rPr>
          <w:rFonts w:hint="eastAsia" w:ascii="宋体" w:hAnsi="宋体" w:eastAsia="宋体" w:cs="宋体"/>
          <w:color w:val="auto"/>
          <w:sz w:val="24"/>
          <w:u w:val="single"/>
        </w:rPr>
        <w:t>服务名称</w:t>
      </w:r>
      <w:r>
        <w:rPr>
          <w:rFonts w:hint="eastAsia" w:ascii="宋体" w:hAnsi="宋体" w:eastAsia="宋体" w:cs="宋体"/>
          <w:color w:val="auto"/>
          <w:sz w:val="24"/>
        </w:rPr>
        <w:t>)(以下简称服务)签订的(</w:t>
      </w:r>
      <w:r>
        <w:rPr>
          <w:rFonts w:hint="eastAsia" w:ascii="宋体" w:hAnsi="宋体" w:eastAsia="宋体" w:cs="宋体"/>
          <w:color w:val="auto"/>
          <w:sz w:val="24"/>
          <w:u w:val="single"/>
        </w:rPr>
        <w:t>合同号</w:t>
      </w:r>
      <w:r>
        <w:rPr>
          <w:rFonts w:hint="eastAsia" w:ascii="宋体" w:hAnsi="宋体" w:eastAsia="宋体" w:cs="宋体"/>
          <w:color w:val="auto"/>
          <w:sz w:val="24"/>
        </w:rPr>
        <w:t>)号合同的履约保函。</w:t>
      </w:r>
    </w:p>
    <w:p>
      <w:pPr>
        <w:pStyle w:val="17"/>
        <w:spacing w:line="240" w:lineRule="atLeast"/>
        <w:ind w:firstLine="540" w:firstLineChars="225"/>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u w:val="single"/>
        </w:rPr>
        <w:t>出具保函的银行名称</w:t>
      </w:r>
      <w:r>
        <w:rPr>
          <w:rFonts w:hint="eastAsia" w:ascii="宋体" w:hAnsi="宋体" w:eastAsia="宋体" w:cs="宋体"/>
          <w:color w:val="auto"/>
          <w:sz w:val="24"/>
        </w:rPr>
        <w:t>)(以下简称银行)无条件地、不可撤销地具结保证本行、其继承人和受让人无追索地向贵方以(</w:t>
      </w:r>
      <w:r>
        <w:rPr>
          <w:rFonts w:hint="eastAsia" w:ascii="宋体" w:hAnsi="宋体" w:eastAsia="宋体" w:cs="宋体"/>
          <w:color w:val="auto"/>
          <w:sz w:val="24"/>
          <w:u w:val="single"/>
        </w:rPr>
        <w:t>货币名称</w:t>
      </w:r>
      <w:r>
        <w:rPr>
          <w:rFonts w:hint="eastAsia" w:ascii="宋体" w:hAnsi="宋体" w:eastAsia="宋体" w:cs="宋体"/>
          <w:color w:val="auto"/>
          <w:sz w:val="24"/>
        </w:rPr>
        <w:t>)支付总额不超过(</w:t>
      </w:r>
      <w:r>
        <w:rPr>
          <w:rFonts w:hint="eastAsia" w:ascii="宋体" w:hAnsi="宋体" w:eastAsia="宋体" w:cs="宋体"/>
          <w:color w:val="auto"/>
          <w:sz w:val="24"/>
          <w:u w:val="single"/>
        </w:rPr>
        <w:t>货币数量</w:t>
      </w:r>
      <w:r>
        <w:rPr>
          <w:rFonts w:hint="eastAsia" w:ascii="宋体" w:hAnsi="宋体" w:eastAsia="宋体" w:cs="宋体"/>
          <w:color w:val="auto"/>
          <w:sz w:val="24"/>
        </w:rPr>
        <w:t>),即相当于合同价格的%,并以此约定如下:</w:t>
      </w:r>
    </w:p>
    <w:p>
      <w:pPr>
        <w:pStyle w:val="17"/>
        <w:ind w:left="539" w:leftChars="257"/>
        <w:rPr>
          <w:rFonts w:hint="eastAsia" w:ascii="宋体" w:hAnsi="宋体" w:eastAsia="宋体" w:cs="宋体"/>
          <w:color w:val="auto"/>
          <w:sz w:val="24"/>
        </w:rPr>
      </w:pPr>
      <w:r>
        <w:rPr>
          <w:rFonts w:hint="eastAsia" w:ascii="宋体" w:hAnsi="宋体" w:eastAsia="宋体" w:cs="宋体"/>
          <w:color w:val="auto"/>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7"/>
        <w:spacing w:line="240" w:lineRule="atLeast"/>
        <w:ind w:left="540"/>
        <w:rPr>
          <w:rFonts w:hint="eastAsia" w:ascii="宋体" w:hAnsi="宋体" w:eastAsia="宋体" w:cs="宋体"/>
          <w:color w:val="auto"/>
          <w:sz w:val="24"/>
        </w:rPr>
      </w:pPr>
      <w:r>
        <w:rPr>
          <w:rFonts w:hint="eastAsia" w:ascii="宋体" w:hAnsi="宋体" w:eastAsia="宋体" w:cs="宋体"/>
          <w:color w:val="auto"/>
          <w:sz w:val="24"/>
        </w:rPr>
        <w:t>2.本保函项下的任何支付应为免税和净值。对于现有或将来的税收、关税、收费、费用扣减或预提税款，不论这些款项是何种性质和由谁征收，都不应从本保函项下的支付中扣除。</w:t>
      </w:r>
    </w:p>
    <w:p>
      <w:pPr>
        <w:pStyle w:val="17"/>
        <w:spacing w:line="240" w:lineRule="atLeast"/>
        <w:ind w:left="540"/>
        <w:rPr>
          <w:rFonts w:hint="eastAsia" w:ascii="宋体" w:hAnsi="宋体" w:eastAsia="宋体" w:cs="宋体"/>
          <w:color w:val="auto"/>
          <w:sz w:val="24"/>
        </w:rPr>
      </w:pPr>
      <w:r>
        <w:rPr>
          <w:rFonts w:hint="eastAsia" w:ascii="宋体" w:hAnsi="宋体" w:eastAsia="宋体" w:cs="宋体"/>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4.本保函在本合同规定的保证期期满前完全有效。</w:t>
      </w:r>
    </w:p>
    <w:p>
      <w:pPr>
        <w:pStyle w:val="17"/>
        <w:spacing w:line="240" w:lineRule="atLeast"/>
        <w:ind w:left="1079" w:leftChars="257" w:hanging="540"/>
        <w:rPr>
          <w:rFonts w:hint="eastAsia" w:ascii="宋体" w:hAnsi="宋体" w:eastAsia="宋体" w:cs="宋体"/>
          <w:color w:val="auto"/>
          <w:sz w:val="24"/>
        </w:rPr>
      </w:pPr>
    </w:p>
    <w:p>
      <w:pPr>
        <w:pStyle w:val="17"/>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谨启</w:t>
      </w:r>
    </w:p>
    <w:p>
      <w:pPr>
        <w:pStyle w:val="17"/>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出具保函银行名称：</w:t>
      </w:r>
    </w:p>
    <w:p>
      <w:pPr>
        <w:pStyle w:val="17"/>
        <w:spacing w:line="240" w:lineRule="atLeast"/>
        <w:ind w:left="1079" w:leftChars="257" w:hanging="540"/>
        <w:rPr>
          <w:rFonts w:hint="eastAsia" w:ascii="宋体" w:hAnsi="宋体" w:eastAsia="宋体" w:cs="宋体"/>
          <w:color w:val="auto"/>
          <w:sz w:val="24"/>
          <w:u w:val="single"/>
        </w:rPr>
      </w:pPr>
      <w:r>
        <w:rPr>
          <w:rFonts w:hint="eastAsia" w:ascii="宋体" w:hAnsi="宋体" w:eastAsia="宋体" w:cs="宋体"/>
          <w:color w:val="auto"/>
          <w:sz w:val="24"/>
        </w:rPr>
        <w:t>签字人姓名和职务：</w:t>
      </w:r>
    </w:p>
    <w:p>
      <w:pPr>
        <w:pStyle w:val="17"/>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签字人签名：</w:t>
      </w:r>
    </w:p>
    <w:p>
      <w:pPr>
        <w:pStyle w:val="17"/>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公章：</w:t>
      </w:r>
    </w:p>
    <w:p>
      <w:pPr>
        <w:widowControl/>
        <w:jc w:val="left"/>
        <w:rPr>
          <w:rFonts w:hint="eastAsia" w:ascii="宋体" w:hAnsi="宋体" w:eastAsia="宋体" w:cs="宋体"/>
          <w:color w:val="auto"/>
          <w:sz w:val="24"/>
          <w:szCs w:val="22"/>
        </w:rPr>
      </w:pPr>
      <w:r>
        <w:rPr>
          <w:rFonts w:hint="eastAsia" w:ascii="宋体" w:hAnsi="宋体" w:eastAsia="宋体" w:cs="宋体"/>
          <w:color w:val="auto"/>
          <w:sz w:val="24"/>
        </w:rPr>
        <w:br w:type="page"/>
      </w:r>
    </w:p>
    <w:p>
      <w:pPr>
        <w:pStyle w:val="5"/>
        <w:rPr>
          <w:rFonts w:hint="eastAsia" w:ascii="宋体" w:hAnsi="宋体" w:eastAsia="宋体" w:cs="宋体"/>
          <w:color w:val="auto"/>
        </w:rPr>
      </w:pPr>
      <w:bookmarkStart w:id="247" w:name="_Toc108877084"/>
      <w:bookmarkStart w:id="248" w:name="_Toc25500_WPSOffice_Level1"/>
      <w:bookmarkStart w:id="249" w:name="_Toc27788"/>
      <w:bookmarkStart w:id="250" w:name="_Toc518923104"/>
      <w:bookmarkStart w:id="251" w:name="_Toc9904"/>
      <w:bookmarkStart w:id="252" w:name="_Toc391_WPSOffice_Level1"/>
      <w:bookmarkStart w:id="253" w:name="_Toc10323_WPSOffice_Level1"/>
      <w:bookmarkStart w:id="254" w:name="_Toc108876171"/>
      <w:r>
        <w:rPr>
          <w:rFonts w:hint="eastAsia" w:ascii="宋体" w:hAnsi="宋体" w:eastAsia="宋体" w:cs="宋体"/>
          <w:color w:val="auto"/>
        </w:rPr>
        <w:t>附件2：履约担保函格式</w:t>
      </w:r>
      <w:bookmarkEnd w:id="247"/>
      <w:bookmarkEnd w:id="248"/>
      <w:bookmarkEnd w:id="249"/>
      <w:bookmarkEnd w:id="250"/>
      <w:bookmarkEnd w:id="251"/>
      <w:bookmarkEnd w:id="252"/>
      <w:bookmarkEnd w:id="253"/>
      <w:bookmarkEnd w:id="254"/>
    </w:p>
    <w:p>
      <w:pPr>
        <w:rPr>
          <w:rFonts w:hint="eastAsia" w:ascii="宋体" w:hAnsi="宋体" w:eastAsia="宋体" w:cs="宋体"/>
          <w:color w:val="auto"/>
          <w:sz w:val="24"/>
        </w:rPr>
      </w:pPr>
      <w:bookmarkStart w:id="255" w:name="_Toc13630"/>
      <w:bookmarkStart w:id="256" w:name="_Toc515904842"/>
      <w:bookmarkStart w:id="257" w:name="_Toc30995"/>
      <w:bookmarkStart w:id="258" w:name="_Toc20933_WPSOffice_Level1"/>
      <w:bookmarkStart w:id="259" w:name="_Toc27405_WPSOffice_Level1"/>
      <w:bookmarkStart w:id="260" w:name="_Toc11516_WPSOffice_Level1"/>
      <w:bookmarkStart w:id="261" w:name="_Toc518923105"/>
      <w:r>
        <w:rPr>
          <w:rFonts w:hint="eastAsia" w:ascii="宋体" w:hAnsi="宋体" w:eastAsia="宋体" w:cs="宋体"/>
          <w:color w:val="auto"/>
          <w:sz w:val="24"/>
        </w:rPr>
        <w:t>（采用政府采购信用担保形式时使用）</w:t>
      </w:r>
      <w:bookmarkEnd w:id="255"/>
      <w:bookmarkEnd w:id="256"/>
      <w:bookmarkEnd w:id="257"/>
      <w:bookmarkEnd w:id="258"/>
      <w:bookmarkEnd w:id="259"/>
      <w:bookmarkEnd w:id="260"/>
      <w:bookmarkEnd w:id="261"/>
    </w:p>
    <w:p>
      <w:pPr>
        <w:spacing w:line="360" w:lineRule="auto"/>
        <w:rPr>
          <w:rFonts w:hint="eastAsia" w:ascii="宋体" w:hAnsi="宋体" w:eastAsia="宋体" w:cs="宋体"/>
          <w:color w:val="auto"/>
          <w:sz w:val="24"/>
        </w:rPr>
      </w:pPr>
      <w:r>
        <w:rPr>
          <w:rFonts w:hint="eastAsia" w:ascii="宋体" w:hAnsi="宋体" w:eastAsia="宋体" w:cs="宋体"/>
          <w:color w:val="auto"/>
          <w:sz w:val="24"/>
        </w:rPr>
        <w:t>政府采购履约担保函（项目用）</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编号：</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（采购人）：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鉴于你方与（以下简称供应商）于年月日签定编号为的《政府采购合同》（以下简称主合同），且依据该合同的约定，供应商应在年</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hint="eastAsia" w:ascii="宋体" w:hAnsi="宋体" w:eastAsia="宋体" w:cs="宋体"/>
          <w:color w:val="auto"/>
          <w:sz w:val="24"/>
        </w:rPr>
      </w:pPr>
      <w:bookmarkStart w:id="262" w:name="_Toc11823_WPSOffice_Level1"/>
      <w:bookmarkStart w:id="263" w:name="_Toc10654_WPSOffice_Level1"/>
      <w:bookmarkStart w:id="264" w:name="_Toc108877085"/>
      <w:bookmarkStart w:id="265" w:name="_Toc108876172"/>
      <w:r>
        <w:rPr>
          <w:rFonts w:hint="eastAsia" w:ascii="宋体" w:hAnsi="宋体" w:eastAsia="宋体" w:cs="宋体"/>
          <w:color w:val="auto"/>
          <w:sz w:val="24"/>
        </w:rPr>
        <w:t>一、保证责任的情形及保证金额</w:t>
      </w:r>
      <w:bookmarkEnd w:id="262"/>
      <w:bookmarkEnd w:id="263"/>
      <w:bookmarkEnd w:id="264"/>
      <w:bookmarkEnd w:id="265"/>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（一）在供应商出现下列情形之一时，我方承担保证责任：</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1．将成交项目转让给他人，或者在响应文件中未说明，且未经采购招标机构人同意，将成交项目分包给他人的；</w:t>
      </w:r>
    </w:p>
    <w:p>
      <w:pPr>
        <w:rPr>
          <w:rFonts w:hint="eastAsia" w:ascii="宋体" w:hAnsi="宋体" w:eastAsia="宋体" w:cs="宋体"/>
          <w:color w:val="auto"/>
          <w:sz w:val="24"/>
        </w:rPr>
      </w:pPr>
      <w:r>
        <w:rPr>
          <w:rFonts w:hint="eastAsia" w:ascii="宋体" w:hAnsi="宋体" w:eastAsia="宋体" w:cs="宋体"/>
          <w:color w:val="auto"/>
          <w:sz w:val="24"/>
        </w:rPr>
        <w:t xml:space="preserve">　　2．主合同约定的应当缴纳履约保证金的情形: </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（1）未按主合同约定的质量、数量和期限供应货物/提供服务/完成工程的；</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（二）我方的保证范围是主合同约定的合同价款总额的%数额为元（大写），币种为。（即主合同履约保证金金额）</w:t>
      </w:r>
    </w:p>
    <w:p>
      <w:pPr>
        <w:ind w:firstLine="480" w:firstLineChars="200"/>
        <w:outlineLvl w:val="1"/>
        <w:rPr>
          <w:rFonts w:hint="eastAsia" w:ascii="宋体" w:hAnsi="宋体" w:eastAsia="宋体" w:cs="宋体"/>
          <w:color w:val="auto"/>
          <w:sz w:val="24"/>
        </w:rPr>
      </w:pPr>
      <w:bookmarkStart w:id="266" w:name="_Toc3896_WPSOffice_Level1"/>
      <w:bookmarkStart w:id="267" w:name="_Toc108876173"/>
      <w:bookmarkStart w:id="268" w:name="_Toc108877086"/>
      <w:bookmarkStart w:id="269" w:name="_Toc7886_WPSOffice_Level1"/>
      <w:r>
        <w:rPr>
          <w:rFonts w:hint="eastAsia" w:ascii="宋体" w:hAnsi="宋体" w:eastAsia="宋体" w:cs="宋体"/>
          <w:color w:val="auto"/>
          <w:sz w:val="24"/>
        </w:rPr>
        <w:t>二、保证的方式及保证期间</w:t>
      </w:r>
      <w:bookmarkEnd w:id="266"/>
      <w:bookmarkEnd w:id="267"/>
      <w:bookmarkEnd w:id="268"/>
      <w:bookmarkEnd w:id="269"/>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我方保证的方式为：连带责任保证。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我方保证的期间为：自本合同生效之日起至供应商按照主合同约定的供货/完工期限届满后日内。</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如果供应商未按主合同约定向贵方供应货物/提供服务/完成工程的，由我方在保证金额内向你方支付上述款项。</w:t>
      </w:r>
    </w:p>
    <w:p>
      <w:pPr>
        <w:ind w:firstLine="480" w:firstLineChars="200"/>
        <w:outlineLvl w:val="1"/>
        <w:rPr>
          <w:rFonts w:hint="eastAsia" w:ascii="宋体" w:hAnsi="宋体" w:eastAsia="宋体" w:cs="宋体"/>
          <w:color w:val="auto"/>
          <w:sz w:val="24"/>
        </w:rPr>
      </w:pPr>
      <w:bookmarkStart w:id="270" w:name="_Toc108877087"/>
      <w:bookmarkStart w:id="271" w:name="_Toc13180_WPSOffice_Level1"/>
      <w:bookmarkStart w:id="272" w:name="_Toc108876174"/>
      <w:bookmarkStart w:id="273" w:name="_Toc6638_WPSOffice_Level1"/>
      <w:r>
        <w:rPr>
          <w:rFonts w:hint="eastAsia" w:ascii="宋体" w:hAnsi="宋体" w:eastAsia="宋体" w:cs="宋体"/>
          <w:color w:val="auto"/>
          <w:sz w:val="24"/>
        </w:rPr>
        <w:t>三、承担保证责任的程序</w:t>
      </w:r>
      <w:bookmarkEnd w:id="270"/>
      <w:bookmarkEnd w:id="271"/>
      <w:bookmarkEnd w:id="272"/>
      <w:bookmarkEnd w:id="273"/>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2．我方收到你方的书面索赔通知及相应证明材料，在工作日内进行核定后按照本保函的承诺承担保证责任。</w:t>
      </w:r>
    </w:p>
    <w:p>
      <w:pPr>
        <w:ind w:firstLine="480" w:firstLineChars="200"/>
        <w:outlineLvl w:val="1"/>
        <w:rPr>
          <w:rFonts w:hint="eastAsia" w:ascii="宋体" w:hAnsi="宋体" w:eastAsia="宋体" w:cs="宋体"/>
          <w:color w:val="auto"/>
          <w:sz w:val="24"/>
        </w:rPr>
      </w:pPr>
      <w:bookmarkStart w:id="274" w:name="_Toc14402_WPSOffice_Level1"/>
      <w:bookmarkStart w:id="275" w:name="_Toc108876175"/>
      <w:bookmarkStart w:id="276" w:name="_Toc32368_WPSOffice_Level1"/>
      <w:bookmarkStart w:id="277" w:name="_Toc108877088"/>
      <w:r>
        <w:rPr>
          <w:rFonts w:hint="eastAsia" w:ascii="宋体" w:hAnsi="宋体" w:eastAsia="宋体" w:cs="宋体"/>
          <w:color w:val="auto"/>
          <w:sz w:val="24"/>
        </w:rPr>
        <w:t>四、保证责任的终止</w:t>
      </w:r>
      <w:bookmarkEnd w:id="274"/>
      <w:bookmarkEnd w:id="275"/>
      <w:bookmarkEnd w:id="276"/>
      <w:bookmarkEnd w:id="277"/>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2．我方按照本保函向你方履行了保证责任后，自我方向你方支付款项（支付款项从我方账户划出）之日起，保证责任即终止。</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3．按照法律法规的规定或出现应终止我方保证责任的其它情形的，我方在本保函项下的保证责任亦终止。</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hint="eastAsia" w:ascii="宋体" w:hAnsi="宋体" w:eastAsia="宋体" w:cs="宋体"/>
          <w:color w:val="auto"/>
          <w:sz w:val="24"/>
        </w:rPr>
      </w:pPr>
      <w:bookmarkStart w:id="278" w:name="_Toc23917_WPSOffice_Level1"/>
      <w:bookmarkStart w:id="279" w:name="_Toc15921_WPSOffice_Level1"/>
      <w:bookmarkStart w:id="280" w:name="_Toc108876176"/>
      <w:bookmarkStart w:id="281" w:name="_Toc108877089"/>
      <w:r>
        <w:rPr>
          <w:rFonts w:hint="eastAsia" w:ascii="宋体" w:hAnsi="宋体" w:eastAsia="宋体" w:cs="宋体"/>
          <w:color w:val="auto"/>
          <w:sz w:val="24"/>
        </w:rPr>
        <w:t>五、免责条款</w:t>
      </w:r>
      <w:bookmarkEnd w:id="278"/>
      <w:bookmarkEnd w:id="279"/>
      <w:bookmarkEnd w:id="280"/>
      <w:bookmarkEnd w:id="281"/>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1．因你方违反主合同约定致使供应商不能履行义务的，我方不承担保证责任。</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2．依照法律法规的规定或你方与供应商的另行约定，全部或者部分免除供应商应缴纳的保证金义务的，我方亦免除相应的保证责任。</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3．因不可抗力造成供应商不能履行供货义务的，我方不承担保证责任。</w:t>
      </w:r>
    </w:p>
    <w:p>
      <w:pPr>
        <w:ind w:firstLine="480" w:firstLineChars="200"/>
        <w:outlineLvl w:val="1"/>
        <w:rPr>
          <w:rFonts w:hint="eastAsia" w:ascii="宋体" w:hAnsi="宋体" w:eastAsia="宋体" w:cs="宋体"/>
          <w:color w:val="auto"/>
          <w:sz w:val="24"/>
        </w:rPr>
      </w:pPr>
      <w:bookmarkStart w:id="282" w:name="_Toc108876177"/>
      <w:bookmarkStart w:id="283" w:name="_Toc2970_WPSOffice_Level1"/>
      <w:bookmarkStart w:id="284" w:name="_Toc6543_WPSOffice_Level1"/>
      <w:bookmarkStart w:id="285" w:name="_Toc108877090"/>
      <w:r>
        <w:rPr>
          <w:rFonts w:hint="eastAsia" w:ascii="宋体" w:hAnsi="宋体" w:eastAsia="宋体" w:cs="宋体"/>
          <w:color w:val="auto"/>
          <w:sz w:val="24"/>
        </w:rPr>
        <w:t>六、争议的解决</w:t>
      </w:r>
      <w:bookmarkEnd w:id="282"/>
      <w:bookmarkEnd w:id="283"/>
      <w:bookmarkEnd w:id="284"/>
      <w:bookmarkEnd w:id="285"/>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因本保函发生的纠纷，由你我双方协商解决，协商不成的，通过诉讼程序解决，诉讼管辖地法院为法院。</w:t>
      </w:r>
    </w:p>
    <w:p>
      <w:pPr>
        <w:ind w:firstLine="480" w:firstLineChars="200"/>
        <w:outlineLvl w:val="1"/>
        <w:rPr>
          <w:rFonts w:hint="eastAsia" w:ascii="宋体" w:hAnsi="宋体" w:eastAsia="宋体" w:cs="宋体"/>
          <w:color w:val="auto"/>
          <w:sz w:val="24"/>
        </w:rPr>
      </w:pPr>
      <w:bookmarkStart w:id="286" w:name="_Toc108876178"/>
      <w:bookmarkStart w:id="287" w:name="_Toc3482_WPSOffice_Level1"/>
      <w:bookmarkStart w:id="288" w:name="_Toc108877091"/>
      <w:bookmarkStart w:id="289" w:name="_Toc548_WPSOffice_Level1"/>
      <w:r>
        <w:rPr>
          <w:rFonts w:hint="eastAsia" w:ascii="宋体" w:hAnsi="宋体" w:eastAsia="宋体" w:cs="宋体"/>
          <w:color w:val="auto"/>
          <w:sz w:val="24"/>
        </w:rPr>
        <w:t>七、保函的生效</w:t>
      </w:r>
      <w:bookmarkEnd w:id="286"/>
      <w:bookmarkEnd w:id="287"/>
      <w:bookmarkEnd w:id="288"/>
      <w:bookmarkEnd w:id="289"/>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本保函自我方加盖公章之日起生效。</w:t>
      </w:r>
    </w:p>
    <w:p>
      <w:pPr>
        <w:pStyle w:val="2"/>
        <w:rPr>
          <w:rFonts w:hint="eastAsia" w:ascii="宋体" w:hAnsi="宋体" w:eastAsia="宋体" w:cs="宋体"/>
          <w:color w:val="auto"/>
        </w:rPr>
      </w:pPr>
    </w:p>
    <w:p>
      <w:pPr>
        <w:ind w:firstLine="5400" w:firstLineChars="2250"/>
        <w:rPr>
          <w:rFonts w:hint="eastAsia" w:ascii="宋体" w:hAnsi="宋体" w:eastAsia="宋体" w:cs="宋体"/>
          <w:color w:val="auto"/>
          <w:sz w:val="24"/>
        </w:rPr>
      </w:pPr>
      <w:r>
        <w:rPr>
          <w:rFonts w:hint="eastAsia" w:ascii="宋体" w:hAnsi="宋体" w:eastAsia="宋体" w:cs="宋体"/>
          <w:color w:val="auto"/>
          <w:sz w:val="24"/>
        </w:rPr>
        <w:t>保证人：（公章）</w:t>
      </w:r>
    </w:p>
    <w:p>
      <w:pPr>
        <w:ind w:firstLine="5760" w:firstLineChars="2400"/>
        <w:rPr>
          <w:rFonts w:hint="eastAsia" w:ascii="宋体" w:hAnsi="宋体" w:eastAsia="宋体" w:cs="宋体"/>
          <w:color w:val="auto"/>
          <w:sz w:val="24"/>
        </w:rPr>
      </w:pPr>
      <w:r>
        <w:rPr>
          <w:rFonts w:hint="eastAsia" w:ascii="宋体" w:hAnsi="宋体" w:eastAsia="宋体" w:cs="宋体"/>
          <w:color w:val="auto"/>
          <w:sz w:val="24"/>
        </w:rPr>
        <w:t>年  月  日</w:t>
      </w:r>
    </w:p>
    <w:p>
      <w:pPr>
        <w:pStyle w:val="6"/>
        <w:spacing w:line="240" w:lineRule="atLeast"/>
        <w:ind w:firstLine="0"/>
        <w:rPr>
          <w:rFonts w:hint="eastAsia" w:ascii="宋体" w:hAnsi="宋体" w:eastAsia="宋体" w:cs="宋体"/>
          <w:color w:val="auto"/>
          <w:kern w:val="2"/>
          <w:szCs w:val="24"/>
        </w:rPr>
      </w:pPr>
      <w:r>
        <w:rPr>
          <w:rFonts w:hint="eastAsia" w:ascii="宋体" w:hAnsi="宋体" w:eastAsia="宋体" w:cs="宋体"/>
          <w:b/>
          <w:color w:val="auto"/>
        </w:rPr>
        <w:br w:type="page"/>
      </w:r>
    </w:p>
    <w:p>
      <w:pPr>
        <w:pStyle w:val="4"/>
        <w:spacing w:before="0" w:after="0" w:line="240" w:lineRule="atLeast"/>
        <w:rPr>
          <w:rFonts w:hint="eastAsia" w:ascii="宋体" w:hAnsi="宋体" w:eastAsia="宋体" w:cs="宋体"/>
          <w:color w:val="auto"/>
        </w:rPr>
      </w:pPr>
      <w:bookmarkStart w:id="290" w:name="_Toc216582812"/>
      <w:bookmarkStart w:id="291" w:name="_Toc108877092"/>
      <w:bookmarkStart w:id="292" w:name="_Toc22577_WPSOffice_Level1"/>
      <w:bookmarkStart w:id="293" w:name="_Toc6923"/>
      <w:bookmarkStart w:id="294" w:name="_Toc518923106"/>
      <w:r>
        <w:rPr>
          <w:rFonts w:hint="eastAsia" w:ascii="宋体" w:hAnsi="宋体" w:eastAsia="宋体" w:cs="宋体"/>
          <w:color w:val="auto"/>
        </w:rPr>
        <w:t>第二章响应文件格式</w:t>
      </w:r>
      <w:bookmarkEnd w:id="290"/>
      <w:bookmarkEnd w:id="291"/>
      <w:bookmarkEnd w:id="292"/>
      <w:bookmarkEnd w:id="293"/>
      <w:bookmarkEnd w:id="294"/>
    </w:p>
    <w:p>
      <w:pPr>
        <w:spacing w:line="240" w:lineRule="atLeast"/>
        <w:ind w:left="735" w:leftChars="350" w:firstLine="120" w:firstLineChars="50"/>
        <w:rPr>
          <w:rFonts w:hint="eastAsia" w:ascii="宋体" w:hAnsi="宋体" w:eastAsia="宋体" w:cs="宋体"/>
          <w:color w:val="auto"/>
          <w:sz w:val="24"/>
        </w:rPr>
      </w:pPr>
    </w:p>
    <w:p>
      <w:pPr>
        <w:pStyle w:val="5"/>
        <w:spacing w:before="0" w:line="360" w:lineRule="exact"/>
        <w:ind w:left="1079" w:leftChars="257" w:hanging="540"/>
        <w:rPr>
          <w:rFonts w:hint="eastAsia" w:ascii="宋体" w:hAnsi="宋体" w:eastAsia="宋体" w:cs="宋体"/>
          <w:color w:val="auto"/>
          <w:sz w:val="24"/>
        </w:rPr>
      </w:pPr>
      <w:bookmarkStart w:id="295" w:name="_Toc515647803"/>
      <w:bookmarkStart w:id="296" w:name="_Toc18694"/>
      <w:bookmarkStart w:id="297" w:name="_Toc18974"/>
      <w:bookmarkStart w:id="298" w:name="_Toc25620_WPSOffice_Level2"/>
      <w:bookmarkStart w:id="299" w:name="_Toc27612"/>
      <w:bookmarkStart w:id="300" w:name="_Toc6762_WPSOffice_Level2"/>
      <w:bookmarkStart w:id="301" w:name="_Toc108877093"/>
      <w:bookmarkStart w:id="302" w:name="_Toc975"/>
      <w:r>
        <w:rPr>
          <w:rFonts w:hint="eastAsia" w:ascii="宋体" w:hAnsi="宋体" w:eastAsia="宋体" w:cs="宋体"/>
          <w:color w:val="auto"/>
          <w:sz w:val="24"/>
        </w:rPr>
        <w:t>第一部分报价一览表及资格证明文件</w:t>
      </w:r>
      <w:bookmarkEnd w:id="295"/>
      <w:bookmarkEnd w:id="296"/>
      <w:bookmarkEnd w:id="297"/>
      <w:bookmarkEnd w:id="298"/>
      <w:bookmarkEnd w:id="299"/>
      <w:bookmarkEnd w:id="300"/>
      <w:bookmarkEnd w:id="301"/>
      <w:bookmarkEnd w:id="302"/>
    </w:p>
    <w:p>
      <w:pPr>
        <w:spacing w:line="360" w:lineRule="exact"/>
        <w:ind w:left="708" w:hanging="708" w:hangingChars="295"/>
        <w:jc w:val="center"/>
        <w:rPr>
          <w:rFonts w:hint="eastAsia" w:ascii="宋体" w:hAnsi="宋体" w:eastAsia="宋体" w:cs="宋体"/>
          <w:color w:val="auto"/>
          <w:sz w:val="24"/>
        </w:rPr>
      </w:pPr>
    </w:p>
    <w:p>
      <w:pPr>
        <w:tabs>
          <w:tab w:val="left" w:pos="5580"/>
        </w:tabs>
        <w:spacing w:line="360" w:lineRule="exact"/>
        <w:ind w:firstLine="424" w:firstLineChars="177"/>
        <w:rPr>
          <w:rFonts w:hint="eastAsia" w:ascii="宋体" w:hAnsi="宋体" w:eastAsia="宋体" w:cs="宋体"/>
          <w:color w:val="auto"/>
          <w:sz w:val="24"/>
        </w:rPr>
      </w:pPr>
      <w:bookmarkStart w:id="303" w:name="_Toc11180"/>
      <w:bookmarkStart w:id="304" w:name="_Toc515647816"/>
      <w:bookmarkStart w:id="305" w:name="_Toc520356217"/>
      <w:bookmarkStart w:id="306" w:name="_Ref467988698"/>
      <w:bookmarkStart w:id="307" w:name="_Toc480942349"/>
      <w:bookmarkStart w:id="308" w:name="_Toc216582813"/>
      <w:r>
        <w:rPr>
          <w:rFonts w:hint="eastAsia" w:ascii="宋体" w:hAnsi="宋体" w:eastAsia="宋体" w:cs="宋体"/>
          <w:color w:val="auto"/>
          <w:sz w:val="24"/>
        </w:rPr>
        <w:t xml:space="preserve"> 1 、报价一览表（见响应文件格式一）;</w:t>
      </w:r>
    </w:p>
    <w:p>
      <w:pPr>
        <w:tabs>
          <w:tab w:val="left" w:pos="5580"/>
        </w:tabs>
        <w:spacing w:line="360" w:lineRule="exact"/>
        <w:ind w:left="1" w:firstLine="564" w:firstLineChars="235"/>
        <w:rPr>
          <w:rFonts w:hint="eastAsia" w:ascii="宋体" w:hAnsi="宋体" w:eastAsia="宋体" w:cs="宋体"/>
          <w:color w:val="auto"/>
          <w:sz w:val="24"/>
        </w:rPr>
      </w:pPr>
      <w:r>
        <w:rPr>
          <w:rFonts w:hint="eastAsia" w:ascii="宋体" w:hAnsi="宋体" w:eastAsia="宋体" w:cs="宋体"/>
          <w:color w:val="auto"/>
          <w:sz w:val="24"/>
        </w:rPr>
        <w:t>2、法人或者非法人组织的营业执照等证明文件复印件（须加盖本单位公章）</w:t>
      </w:r>
    </w:p>
    <w:p>
      <w:pPr>
        <w:tabs>
          <w:tab w:val="left" w:pos="5580"/>
        </w:tabs>
        <w:spacing w:line="360" w:lineRule="exact"/>
        <w:ind w:left="1" w:firstLine="564" w:firstLineChars="235"/>
        <w:rPr>
          <w:rFonts w:hint="eastAsia" w:ascii="宋体" w:hAnsi="宋体" w:eastAsia="宋体" w:cs="宋体"/>
          <w:color w:val="auto"/>
          <w:sz w:val="24"/>
        </w:rPr>
      </w:pPr>
      <w:r>
        <w:rPr>
          <w:rFonts w:hint="eastAsia" w:ascii="宋体" w:hAnsi="宋体" w:eastAsia="宋体" w:cs="宋体"/>
          <w:color w:val="auto"/>
          <w:sz w:val="24"/>
        </w:rPr>
        <w:t>3、法定代表人授权书（见响应文件格式）;</w:t>
      </w:r>
    </w:p>
    <w:p>
      <w:pPr>
        <w:tabs>
          <w:tab w:val="left" w:pos="5580"/>
        </w:tabs>
        <w:spacing w:line="360" w:lineRule="exact"/>
        <w:ind w:left="1" w:firstLine="564" w:firstLineChars="235"/>
        <w:rPr>
          <w:rFonts w:hint="eastAsia" w:ascii="宋体" w:hAnsi="宋体" w:eastAsia="宋体" w:cs="宋体"/>
          <w:color w:val="auto"/>
          <w:sz w:val="24"/>
        </w:rPr>
      </w:pPr>
      <w:r>
        <w:rPr>
          <w:rFonts w:hint="eastAsia" w:ascii="宋体" w:hAnsi="宋体" w:eastAsia="宋体" w:cs="宋体"/>
          <w:color w:val="auto"/>
          <w:sz w:val="24"/>
        </w:rPr>
        <w:t>4、磋商保证金收据；</w:t>
      </w:r>
    </w:p>
    <w:p>
      <w:pPr>
        <w:tabs>
          <w:tab w:val="left" w:pos="5580"/>
        </w:tabs>
        <w:spacing w:line="360" w:lineRule="exact"/>
        <w:ind w:left="1" w:firstLine="564" w:firstLineChars="235"/>
        <w:rPr>
          <w:rFonts w:hint="eastAsia" w:ascii="宋体" w:hAnsi="宋体" w:eastAsia="宋体" w:cs="宋体"/>
          <w:color w:val="auto"/>
          <w:sz w:val="24"/>
        </w:rPr>
      </w:pPr>
      <w:r>
        <w:rPr>
          <w:rFonts w:hint="eastAsia" w:ascii="宋体" w:hAnsi="宋体" w:eastAsia="宋体" w:cs="宋体"/>
          <w:color w:val="auto"/>
          <w:sz w:val="24"/>
        </w:rPr>
        <w:t>5、税收、社会保障资金的缴纳记录;</w:t>
      </w:r>
    </w:p>
    <w:p>
      <w:pPr>
        <w:tabs>
          <w:tab w:val="left" w:pos="5580"/>
        </w:tabs>
        <w:spacing w:line="360" w:lineRule="exact"/>
        <w:ind w:left="1" w:firstLine="564" w:firstLineChars="235"/>
        <w:rPr>
          <w:rFonts w:hint="eastAsia" w:ascii="宋体" w:hAnsi="宋体" w:eastAsia="宋体" w:cs="宋体"/>
          <w:color w:val="auto"/>
          <w:sz w:val="24"/>
        </w:rPr>
      </w:pPr>
      <w:r>
        <w:rPr>
          <w:rFonts w:hint="eastAsia" w:ascii="宋体" w:hAnsi="宋体" w:eastAsia="宋体" w:cs="宋体"/>
          <w:color w:val="auto"/>
          <w:sz w:val="24"/>
        </w:rPr>
        <w:t>6、参加政府采购活动前3年内在经营活动中没有重大违法记录的书面声明及反商业贿赂承诺书;</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7、具有良好的商业信誉和健全的财务会计制度的证明文件</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8、信用中国截图</w:t>
      </w:r>
    </w:p>
    <w:p>
      <w:pPr>
        <w:pStyle w:val="6"/>
        <w:rPr>
          <w:rFonts w:hint="eastAsia" w:ascii="宋体" w:hAnsi="宋体" w:eastAsia="宋体" w:cs="宋体"/>
          <w:color w:val="auto"/>
        </w:rPr>
      </w:pPr>
      <w:r>
        <w:rPr>
          <w:rFonts w:hint="eastAsia" w:ascii="宋体" w:hAnsi="宋体" w:eastAsia="宋体" w:cs="宋体"/>
          <w:color w:val="auto"/>
        </w:rPr>
        <w:t>9、供应商须知资料表要求的其他资格证明文件</w:t>
      </w:r>
    </w:p>
    <w:p>
      <w:pPr>
        <w:widowControl/>
        <w:jc w:val="left"/>
        <w:rPr>
          <w:rFonts w:hint="eastAsia" w:ascii="宋体" w:hAnsi="宋体" w:eastAsia="宋体" w:cs="宋体"/>
          <w:b/>
          <w:color w:val="auto"/>
          <w:kern w:val="0"/>
          <w:sz w:val="24"/>
          <w:szCs w:val="20"/>
        </w:rPr>
      </w:pPr>
      <w:bookmarkStart w:id="309" w:name="_Toc30524"/>
      <w:bookmarkStart w:id="310" w:name="_Toc515647804"/>
      <w:bookmarkStart w:id="311" w:name="_Toc16568"/>
      <w:bookmarkStart w:id="312" w:name="_Toc21614"/>
      <w:bookmarkStart w:id="313" w:name="_Toc14118"/>
      <w:bookmarkStart w:id="314" w:name="_Toc3620"/>
      <w:bookmarkStart w:id="315" w:name="_Toc30630"/>
      <w:bookmarkStart w:id="316" w:name="_Toc16750"/>
      <w:bookmarkStart w:id="317" w:name="_Toc11138"/>
      <w:r>
        <w:rPr>
          <w:rFonts w:hint="eastAsia" w:ascii="宋体" w:hAnsi="宋体" w:eastAsia="宋体" w:cs="宋体"/>
          <w:color w:val="auto"/>
          <w:sz w:val="24"/>
        </w:rPr>
        <w:br w:type="page"/>
      </w:r>
    </w:p>
    <w:bookmarkEnd w:id="309"/>
    <w:bookmarkEnd w:id="310"/>
    <w:bookmarkEnd w:id="311"/>
    <w:bookmarkEnd w:id="312"/>
    <w:bookmarkEnd w:id="313"/>
    <w:bookmarkEnd w:id="314"/>
    <w:bookmarkEnd w:id="315"/>
    <w:bookmarkEnd w:id="316"/>
    <w:bookmarkEnd w:id="317"/>
    <w:p>
      <w:pPr>
        <w:tabs>
          <w:tab w:val="left" w:pos="1800"/>
          <w:tab w:val="left" w:pos="5580"/>
        </w:tabs>
        <w:spacing w:line="240" w:lineRule="atLeast"/>
        <w:ind w:left="1079" w:leftChars="257" w:right="-867" w:rightChars="-413" w:hanging="540"/>
        <w:rPr>
          <w:rFonts w:hint="eastAsia" w:ascii="宋体" w:hAnsi="宋体" w:eastAsia="宋体" w:cs="宋体"/>
          <w:color w:val="auto"/>
          <w:sz w:val="24"/>
        </w:rPr>
      </w:pPr>
    </w:p>
    <w:p>
      <w:pPr>
        <w:pStyle w:val="5"/>
        <w:spacing w:before="0" w:line="240" w:lineRule="atLeast"/>
        <w:ind w:left="1079" w:leftChars="257" w:hanging="540"/>
        <w:rPr>
          <w:rFonts w:hint="eastAsia" w:ascii="宋体" w:hAnsi="宋体" w:eastAsia="宋体" w:cs="宋体"/>
          <w:color w:val="auto"/>
          <w:sz w:val="24"/>
        </w:rPr>
      </w:pPr>
      <w:bookmarkStart w:id="318" w:name="_Toc108876181"/>
      <w:bookmarkStart w:id="319" w:name="_Toc108877094"/>
      <w:r>
        <w:rPr>
          <w:rFonts w:hint="eastAsia" w:ascii="宋体" w:hAnsi="宋体" w:eastAsia="宋体" w:cs="宋体"/>
          <w:color w:val="auto"/>
          <w:sz w:val="24"/>
        </w:rPr>
        <w:t>1  报价一览表（响应文件格式一）</w:t>
      </w:r>
      <w:bookmarkEnd w:id="318"/>
      <w:bookmarkEnd w:id="319"/>
    </w:p>
    <w:p>
      <w:pPr>
        <w:pStyle w:val="17"/>
        <w:tabs>
          <w:tab w:val="left" w:pos="5580"/>
        </w:tabs>
        <w:spacing w:line="240" w:lineRule="atLeast"/>
        <w:rPr>
          <w:rFonts w:hint="eastAsia" w:ascii="宋体" w:hAnsi="宋体" w:eastAsia="宋体" w:cs="宋体"/>
          <w:color w:val="auto"/>
          <w:sz w:val="24"/>
          <w:szCs w:val="24"/>
        </w:rPr>
      </w:pPr>
    </w:p>
    <w:p>
      <w:pPr>
        <w:jc w:val="center"/>
        <w:rPr>
          <w:rFonts w:hint="eastAsia" w:ascii="宋体" w:hAnsi="宋体" w:eastAsia="宋体" w:cs="宋体"/>
          <w:b/>
          <w:color w:val="auto"/>
          <w:sz w:val="24"/>
        </w:rPr>
      </w:pPr>
      <w:bookmarkStart w:id="320" w:name="_Hlt520356241"/>
      <w:bookmarkEnd w:id="320"/>
      <w:bookmarkStart w:id="321" w:name="_Toc108875565"/>
      <w:bookmarkStart w:id="322" w:name="_Toc494296984"/>
      <w:r>
        <w:rPr>
          <w:rFonts w:hint="eastAsia" w:ascii="宋体" w:hAnsi="宋体" w:eastAsia="宋体" w:cs="宋体"/>
          <w:b/>
          <w:color w:val="auto"/>
          <w:sz w:val="24"/>
        </w:rPr>
        <w:t>首轮报价一览表</w:t>
      </w:r>
      <w:bookmarkEnd w:id="321"/>
      <w:bookmarkEnd w:id="322"/>
    </w:p>
    <w:p>
      <w:pPr>
        <w:tabs>
          <w:tab w:val="left" w:pos="1800"/>
          <w:tab w:val="left" w:pos="55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项目名称：2022年喀什文化旅游上海广告宣传项目（第一标段：电视、电台、地铁电子屏常规媒体宣传）             </w:t>
      </w:r>
    </w:p>
    <w:tbl>
      <w:tblPr>
        <w:tblStyle w:val="38"/>
        <w:tblpPr w:leftFromText="180" w:rightFromText="180" w:vertAnchor="text" w:horzAnchor="page" w:tblpX="1592" w:tblpY="546"/>
        <w:tblOverlap w:val="never"/>
        <w:tblW w:w="8737" w:type="dxa"/>
        <w:tblInd w:w="0" w:type="dxa"/>
        <w:tblLayout w:type="fixed"/>
        <w:tblCellMar>
          <w:top w:w="0" w:type="dxa"/>
          <w:left w:w="0" w:type="dxa"/>
          <w:bottom w:w="0" w:type="dxa"/>
          <w:right w:w="0" w:type="dxa"/>
        </w:tblCellMar>
      </w:tblPr>
      <w:tblGrid>
        <w:gridCol w:w="2059"/>
        <w:gridCol w:w="1479"/>
        <w:gridCol w:w="1525"/>
        <w:gridCol w:w="1132"/>
        <w:gridCol w:w="1038"/>
        <w:gridCol w:w="1504"/>
      </w:tblGrid>
      <w:tr>
        <w:tblPrEx>
          <w:tblCellMar>
            <w:top w:w="0" w:type="dxa"/>
            <w:left w:w="0" w:type="dxa"/>
            <w:bottom w:w="0" w:type="dxa"/>
            <w:right w:w="0" w:type="dxa"/>
          </w:tblCellMar>
        </w:tblPrEx>
        <w:trPr>
          <w:trHeight w:val="1287" w:hRule="atLeast"/>
        </w:trPr>
        <w:tc>
          <w:tcPr>
            <w:tcW w:w="205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color w:val="auto"/>
                <w:sz w:val="24"/>
              </w:rPr>
            </w:pPr>
            <w:r>
              <w:rPr>
                <w:rFonts w:hint="eastAsia" w:ascii="宋体" w:hAnsi="宋体" w:eastAsia="宋体" w:cs="宋体"/>
                <w:color w:val="auto"/>
                <w:sz w:val="24"/>
              </w:rPr>
              <w:t>服务名称</w:t>
            </w:r>
          </w:p>
        </w:tc>
        <w:tc>
          <w:tcPr>
            <w:tcW w:w="147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报价总价</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磋商保证金</w:t>
            </w: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服务期限</w:t>
            </w: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服务地点</w:t>
            </w: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CellMar>
            <w:top w:w="0" w:type="dxa"/>
            <w:left w:w="0" w:type="dxa"/>
            <w:bottom w:w="0" w:type="dxa"/>
            <w:right w:w="0" w:type="dxa"/>
          </w:tblCellMar>
        </w:tblPrEx>
        <w:trPr>
          <w:cantSplit/>
          <w:trHeight w:val="1692" w:hRule="atLeast"/>
        </w:trPr>
        <w:tc>
          <w:tcPr>
            <w:tcW w:w="205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ascii="宋体" w:hAnsi="宋体" w:eastAsia="宋体" w:cs="宋体"/>
                <w:color w:val="auto"/>
                <w:sz w:val="24"/>
              </w:rPr>
            </w:pPr>
            <w:r>
              <w:rPr>
                <w:rFonts w:hint="eastAsia" w:ascii="宋体" w:hAnsi="宋体" w:eastAsia="宋体" w:cs="宋体"/>
                <w:color w:val="auto"/>
                <w:sz w:val="24"/>
              </w:rPr>
              <w:t>2022年喀什文化旅游上海广告宣传项目（第一标段：电视、电台、地铁电子屏常规媒体宣传）</w:t>
            </w:r>
          </w:p>
        </w:tc>
        <w:tc>
          <w:tcPr>
            <w:tcW w:w="1479"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大写：</w:t>
            </w:r>
          </w:p>
          <w:p>
            <w:pPr>
              <w:pStyle w:val="26"/>
              <w:rPr>
                <w:rFonts w:hint="eastAsia" w:ascii="宋体" w:hAnsi="宋体" w:eastAsia="宋体" w:cs="宋体"/>
                <w:color w:val="auto"/>
                <w:sz w:val="24"/>
              </w:rPr>
            </w:pPr>
          </w:p>
          <w:p>
            <w:pPr>
              <w:tabs>
                <w:tab w:val="left" w:pos="5580"/>
              </w:tabs>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小写：</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宋体" w:hAnsi="宋体" w:eastAsia="宋体" w:cs="宋体"/>
                <w:color w:val="auto"/>
                <w:sz w:val="24"/>
              </w:rPr>
            </w:pP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宋体" w:hAnsi="宋体" w:eastAsia="宋体" w:cs="宋体"/>
                <w:color w:val="auto"/>
                <w:sz w:val="24"/>
              </w:rPr>
            </w:pP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宋体" w:hAnsi="宋体" w:eastAsia="宋体" w:cs="宋体"/>
                <w:color w:val="auto"/>
                <w:sz w:val="24"/>
              </w:rPr>
            </w:pP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hint="eastAsia" w:ascii="宋体" w:hAnsi="宋体" w:eastAsia="宋体" w:cs="宋体"/>
                <w:color w:val="auto"/>
                <w:sz w:val="24"/>
              </w:rPr>
            </w:pPr>
          </w:p>
        </w:tc>
      </w:tr>
    </w:tbl>
    <w:p>
      <w:pPr>
        <w:tabs>
          <w:tab w:val="left" w:pos="1800"/>
          <w:tab w:val="left" w:pos="5580"/>
        </w:tabs>
        <w:spacing w:line="5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报价单位：元</w:t>
      </w:r>
    </w:p>
    <w:p>
      <w:pPr>
        <w:pStyle w:val="17"/>
        <w:tabs>
          <w:tab w:val="left" w:pos="5580"/>
        </w:tabs>
        <w:spacing w:line="240" w:lineRule="atLeast"/>
        <w:ind w:left="1079" w:leftChars="257" w:hanging="540"/>
        <w:rPr>
          <w:rFonts w:hint="eastAsia" w:ascii="宋体" w:hAnsi="宋体" w:eastAsia="宋体" w:cs="宋体"/>
          <w:color w:val="auto"/>
          <w:sz w:val="24"/>
          <w:szCs w:val="24"/>
        </w:rPr>
      </w:pPr>
    </w:p>
    <w:p>
      <w:pPr>
        <w:pStyle w:val="17"/>
        <w:tabs>
          <w:tab w:val="left" w:pos="5580"/>
        </w:tabs>
        <w:spacing w:line="240" w:lineRule="atLeast"/>
        <w:ind w:left="1079" w:leftChars="257" w:hanging="540"/>
        <w:rPr>
          <w:rFonts w:hint="eastAsia" w:ascii="宋体" w:hAnsi="宋体" w:eastAsia="宋体" w:cs="宋体"/>
          <w:color w:val="auto"/>
          <w:sz w:val="24"/>
          <w:szCs w:val="24"/>
          <w:u w:val="single"/>
        </w:rPr>
      </w:pPr>
    </w:p>
    <w:p>
      <w:pPr>
        <w:pStyle w:val="17"/>
        <w:tabs>
          <w:tab w:val="left" w:pos="5580"/>
        </w:tabs>
        <w:spacing w:line="240" w:lineRule="atLeast"/>
        <w:ind w:left="1079"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供应商名称（单位盖章）：</w:t>
      </w:r>
    </w:p>
    <w:p>
      <w:pPr>
        <w:pStyle w:val="17"/>
        <w:tabs>
          <w:tab w:val="left" w:pos="5580"/>
        </w:tabs>
        <w:spacing w:line="240" w:lineRule="atLeast"/>
        <w:ind w:left="1079"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法定代表人或委托代理(签字):</w:t>
      </w:r>
      <w:r>
        <w:rPr>
          <w:rFonts w:hint="eastAsia" w:ascii="宋体" w:hAnsi="宋体" w:eastAsia="宋体" w:cs="宋体"/>
          <w:color w:val="auto"/>
          <w:sz w:val="24"/>
          <w:szCs w:val="24"/>
          <w:u w:val="single"/>
        </w:rPr>
        <w:tab/>
      </w:r>
    </w:p>
    <w:p>
      <w:pPr>
        <w:pStyle w:val="17"/>
        <w:tabs>
          <w:tab w:val="left" w:pos="5580"/>
        </w:tabs>
        <w:spacing w:line="240" w:lineRule="atLeast"/>
        <w:ind w:left="1079" w:leftChars="257" w:hanging="540"/>
        <w:rPr>
          <w:rFonts w:hint="eastAsia" w:ascii="宋体" w:hAnsi="宋体" w:eastAsia="宋体" w:cs="宋体"/>
          <w:color w:val="auto"/>
          <w:sz w:val="24"/>
          <w:szCs w:val="24"/>
        </w:rPr>
      </w:pPr>
    </w:p>
    <w:p>
      <w:pPr>
        <w:pStyle w:val="17"/>
        <w:tabs>
          <w:tab w:val="left" w:pos="5580"/>
        </w:tabs>
        <w:spacing w:line="24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 1、此表应按供应商须知的规定装订密封。</w:t>
      </w:r>
    </w:p>
    <w:p>
      <w:pPr>
        <w:ind w:firstLine="960" w:firstLineChars="400"/>
        <w:rPr>
          <w:rFonts w:hint="eastAsia" w:ascii="宋体" w:hAnsi="宋体" w:eastAsia="宋体" w:cs="宋体"/>
          <w:color w:val="auto"/>
          <w:sz w:val="24"/>
        </w:rPr>
      </w:pPr>
      <w:bookmarkStart w:id="323" w:name="_Toc108876182"/>
      <w:bookmarkStart w:id="324" w:name="_Toc108875566"/>
      <w:r>
        <w:rPr>
          <w:rFonts w:hint="eastAsia" w:ascii="宋体" w:hAnsi="宋体" w:eastAsia="宋体" w:cs="宋体"/>
          <w:color w:val="auto"/>
          <w:sz w:val="24"/>
        </w:rPr>
        <w:t>2、此表中，单位为元。</w:t>
      </w:r>
      <w:bookmarkEnd w:id="323"/>
      <w:bookmarkEnd w:id="324"/>
    </w:p>
    <w:p>
      <w:pPr>
        <w:pStyle w:val="17"/>
        <w:tabs>
          <w:tab w:val="left" w:pos="5580"/>
        </w:tabs>
        <w:spacing w:line="240" w:lineRule="atLeast"/>
        <w:outlineLvl w:val="1"/>
        <w:rPr>
          <w:rFonts w:hint="eastAsia" w:ascii="宋体" w:hAnsi="宋体" w:eastAsia="宋体" w:cs="宋体"/>
          <w:b/>
          <w:bCs/>
          <w:color w:val="auto"/>
          <w:sz w:val="24"/>
        </w:rPr>
      </w:pPr>
    </w:p>
    <w:p>
      <w:pPr>
        <w:pStyle w:val="6"/>
        <w:tabs>
          <w:tab w:val="left" w:pos="5580"/>
        </w:tabs>
        <w:spacing w:line="240" w:lineRule="atLeast"/>
        <w:ind w:firstLine="0"/>
        <w:jc w:val="center"/>
        <w:outlineLvl w:val="1"/>
        <w:rPr>
          <w:rFonts w:hint="eastAsia" w:ascii="宋体" w:hAnsi="宋体" w:eastAsia="宋体" w:cs="宋体"/>
          <w:b/>
          <w:bCs/>
          <w:color w:val="auto"/>
          <w:sz w:val="28"/>
          <w:szCs w:val="24"/>
        </w:rPr>
      </w:pPr>
    </w:p>
    <w:p>
      <w:pPr>
        <w:widowControl/>
        <w:jc w:val="left"/>
        <w:rPr>
          <w:rFonts w:hint="eastAsia" w:ascii="宋体" w:hAnsi="宋体" w:eastAsia="宋体" w:cs="宋体"/>
          <w:b/>
          <w:bCs/>
          <w:color w:val="auto"/>
          <w:kern w:val="0"/>
          <w:sz w:val="28"/>
        </w:rPr>
      </w:pPr>
      <w:r>
        <w:rPr>
          <w:rFonts w:hint="eastAsia" w:ascii="宋体" w:hAnsi="宋体" w:eastAsia="宋体" w:cs="宋体"/>
          <w:b/>
          <w:bCs/>
          <w:color w:val="auto"/>
          <w:sz w:val="28"/>
        </w:rPr>
        <w:br w:type="page"/>
      </w:r>
    </w:p>
    <w:p>
      <w:pPr>
        <w:jc w:val="center"/>
        <w:rPr>
          <w:rFonts w:hint="eastAsia" w:ascii="宋体" w:hAnsi="宋体" w:eastAsia="宋体" w:cs="宋体"/>
          <w:b/>
          <w:color w:val="auto"/>
          <w:sz w:val="24"/>
        </w:rPr>
      </w:pPr>
      <w:bookmarkStart w:id="325" w:name="_Toc108875567"/>
      <w:r>
        <w:rPr>
          <w:rFonts w:hint="eastAsia" w:ascii="宋体" w:hAnsi="宋体" w:eastAsia="宋体" w:cs="宋体"/>
          <w:b/>
          <w:color w:val="auto"/>
          <w:sz w:val="24"/>
        </w:rPr>
        <w:t>二轮报价一览表</w:t>
      </w:r>
      <w:bookmarkEnd w:id="325"/>
    </w:p>
    <w:p>
      <w:pPr>
        <w:tabs>
          <w:tab w:val="left" w:pos="1800"/>
          <w:tab w:val="left" w:pos="5580"/>
        </w:tabs>
        <w:spacing w:line="5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项目名称：2022年喀什文化旅游上海广告宣传项目（第一标段：电视、电台、地铁电子屏常规媒体宣传）报价单位：元</w:t>
      </w:r>
    </w:p>
    <w:p>
      <w:pPr>
        <w:pStyle w:val="26"/>
        <w:rPr>
          <w:rFonts w:hint="eastAsia" w:ascii="宋体" w:hAnsi="宋体" w:eastAsia="宋体" w:cs="宋体"/>
          <w:color w:val="auto"/>
          <w:sz w:val="24"/>
        </w:rPr>
      </w:pPr>
    </w:p>
    <w:tbl>
      <w:tblPr>
        <w:tblStyle w:val="38"/>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color w:val="auto"/>
                <w:sz w:val="24"/>
              </w:rPr>
            </w:pPr>
            <w:r>
              <w:rPr>
                <w:rFonts w:hint="eastAsia" w:ascii="宋体" w:hAnsi="宋体" w:eastAsia="宋体" w:cs="宋体"/>
                <w:color w:val="auto"/>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ascii="宋体" w:hAnsi="宋体" w:eastAsia="宋体" w:cs="宋体"/>
                <w:color w:val="auto"/>
                <w:sz w:val="24"/>
              </w:rPr>
            </w:pPr>
            <w:r>
              <w:rPr>
                <w:rFonts w:hint="eastAsia" w:ascii="宋体" w:hAnsi="宋体" w:eastAsia="宋体" w:cs="宋体"/>
                <w:color w:val="auto"/>
                <w:sz w:val="24"/>
              </w:rPr>
              <w:t xml:space="preserve">2022年喀什文化旅游上海广告宣传项目（第一标段：电视、电台、地铁电子屏常规媒体宣传）   </w:t>
            </w:r>
          </w:p>
          <w:p>
            <w:pPr>
              <w:pStyle w:val="36"/>
              <w:ind w:firstLine="240"/>
              <w:rPr>
                <w:rFonts w:hint="eastAsia" w:ascii="宋体" w:hAnsi="宋体" w:eastAsia="宋体" w:cs="宋体"/>
                <w:color w:val="auto"/>
                <w:sz w:val="24"/>
                <w:szCs w:val="24"/>
              </w:rPr>
            </w:pP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大写：</w:t>
            </w:r>
          </w:p>
          <w:p>
            <w:pPr>
              <w:pStyle w:val="26"/>
              <w:rPr>
                <w:rFonts w:hint="eastAsia" w:ascii="宋体" w:hAnsi="宋体" w:eastAsia="宋体" w:cs="宋体"/>
                <w:color w:val="auto"/>
                <w:sz w:val="24"/>
              </w:rPr>
            </w:pPr>
          </w:p>
          <w:p>
            <w:pPr>
              <w:tabs>
                <w:tab w:val="left" w:pos="5580"/>
              </w:tabs>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宋体" w:hAnsi="宋体" w:eastAsia="宋体" w:cs="宋体"/>
                <w:color w:val="auto"/>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宋体" w:hAnsi="宋体" w:eastAsia="宋体" w:cs="宋体"/>
                <w:color w:val="auto"/>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eastAsia" w:ascii="宋体" w:hAnsi="宋体" w:eastAsia="宋体" w:cs="宋体"/>
                <w:color w:val="auto"/>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hint="eastAsia" w:ascii="宋体" w:hAnsi="宋体" w:eastAsia="宋体" w:cs="宋体"/>
                <w:color w:val="auto"/>
                <w:sz w:val="24"/>
              </w:rPr>
            </w:pPr>
          </w:p>
        </w:tc>
      </w:tr>
    </w:tbl>
    <w:p>
      <w:pPr>
        <w:pStyle w:val="17"/>
        <w:tabs>
          <w:tab w:val="left" w:pos="5580"/>
        </w:tabs>
        <w:spacing w:line="240" w:lineRule="atLeast"/>
        <w:ind w:left="1079" w:leftChars="257" w:hanging="540"/>
        <w:rPr>
          <w:rFonts w:hint="eastAsia" w:ascii="宋体" w:hAnsi="宋体" w:eastAsia="宋体" w:cs="宋体"/>
          <w:color w:val="auto"/>
          <w:sz w:val="24"/>
          <w:szCs w:val="24"/>
          <w:u w:val="single"/>
        </w:rPr>
      </w:pPr>
    </w:p>
    <w:p>
      <w:pPr>
        <w:pStyle w:val="17"/>
        <w:tabs>
          <w:tab w:val="left" w:pos="5580"/>
        </w:tabs>
        <w:spacing w:line="240" w:lineRule="atLeast"/>
        <w:ind w:left="1079"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供应商名称（单位盖章）：</w:t>
      </w:r>
    </w:p>
    <w:p>
      <w:pPr>
        <w:pStyle w:val="17"/>
        <w:tabs>
          <w:tab w:val="left" w:pos="5580"/>
        </w:tabs>
        <w:spacing w:line="240" w:lineRule="atLeast"/>
        <w:ind w:left="1079"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法定代表人或委托代理(签字):</w:t>
      </w:r>
      <w:r>
        <w:rPr>
          <w:rFonts w:hint="eastAsia" w:ascii="宋体" w:hAnsi="宋体" w:eastAsia="宋体" w:cs="宋体"/>
          <w:color w:val="auto"/>
          <w:sz w:val="24"/>
          <w:szCs w:val="24"/>
          <w:u w:val="single"/>
        </w:rPr>
        <w:tab/>
      </w: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注:1、此表应按供应商须知的规定装订密封。</w:t>
      </w:r>
    </w:p>
    <w:p>
      <w:pPr>
        <w:ind w:firstLine="480" w:firstLineChars="200"/>
        <w:rPr>
          <w:rFonts w:hint="eastAsia" w:ascii="宋体" w:hAnsi="宋体" w:eastAsia="宋体" w:cs="宋体"/>
          <w:color w:val="auto"/>
          <w:sz w:val="24"/>
        </w:rPr>
      </w:pPr>
      <w:bookmarkStart w:id="326" w:name="_Toc108875568"/>
      <w:bookmarkStart w:id="327" w:name="_Toc108876183"/>
      <w:r>
        <w:rPr>
          <w:rFonts w:hint="eastAsia" w:ascii="宋体" w:hAnsi="宋体" w:eastAsia="宋体" w:cs="宋体"/>
          <w:color w:val="auto"/>
          <w:sz w:val="24"/>
        </w:rPr>
        <w:t>2、此表中，单位为元。</w:t>
      </w:r>
      <w:bookmarkEnd w:id="326"/>
      <w:bookmarkEnd w:id="327"/>
    </w:p>
    <w:p>
      <w:pPr>
        <w:rPr>
          <w:rFonts w:hint="eastAsia" w:ascii="宋体" w:hAnsi="宋体" w:eastAsia="宋体" w:cs="宋体"/>
          <w:color w:val="auto"/>
          <w:sz w:val="24"/>
        </w:rPr>
      </w:pPr>
      <w:r>
        <w:rPr>
          <w:rFonts w:hint="eastAsia" w:ascii="宋体" w:hAnsi="宋体" w:eastAsia="宋体" w:cs="宋体"/>
          <w:color w:val="auto"/>
          <w:sz w:val="24"/>
        </w:rPr>
        <w:t xml:space="preserve">    </w:t>
      </w:r>
      <w:bookmarkStart w:id="328" w:name="_Toc108876184"/>
      <w:bookmarkStart w:id="329" w:name="_Toc108875569"/>
      <w:r>
        <w:rPr>
          <w:rFonts w:hint="eastAsia" w:ascii="宋体" w:hAnsi="宋体" w:eastAsia="宋体" w:cs="宋体"/>
          <w:color w:val="auto"/>
          <w:sz w:val="24"/>
        </w:rPr>
        <w:t>3、此表无需填写、无需装订在投标文件中，此表为现场填写。</w:t>
      </w:r>
      <w:bookmarkEnd w:id="328"/>
      <w:bookmarkEnd w:id="329"/>
    </w:p>
    <w:p>
      <w:pPr>
        <w:widowControl/>
        <w:jc w:val="left"/>
        <w:rPr>
          <w:rFonts w:hint="eastAsia" w:ascii="宋体" w:hAnsi="宋体" w:eastAsia="宋体" w:cs="宋体"/>
          <w:b/>
          <w:i/>
          <w:color w:val="auto"/>
          <w:kern w:val="0"/>
          <w:sz w:val="24"/>
          <w:szCs w:val="20"/>
        </w:rPr>
      </w:pPr>
      <w:r>
        <w:rPr>
          <w:rFonts w:hint="eastAsia" w:ascii="宋体" w:hAnsi="宋体" w:eastAsia="宋体" w:cs="宋体"/>
          <w:i/>
          <w:color w:val="auto"/>
          <w:sz w:val="24"/>
        </w:rPr>
        <w:br w:type="page"/>
      </w:r>
    </w:p>
    <w:p>
      <w:pPr>
        <w:pStyle w:val="5"/>
        <w:spacing w:before="0" w:line="240" w:lineRule="atLeast"/>
        <w:jc w:val="both"/>
        <w:rPr>
          <w:rFonts w:hint="eastAsia" w:ascii="宋体" w:hAnsi="宋体" w:eastAsia="宋体" w:cs="宋体"/>
          <w:color w:val="auto"/>
          <w:sz w:val="24"/>
        </w:rPr>
      </w:pPr>
      <w:bookmarkStart w:id="330" w:name="_Toc108877095"/>
      <w:bookmarkStart w:id="331" w:name="_Toc108876185"/>
      <w:r>
        <w:rPr>
          <w:rFonts w:hint="eastAsia" w:ascii="宋体" w:hAnsi="宋体" w:eastAsia="宋体" w:cs="宋体"/>
          <w:color w:val="auto"/>
          <w:sz w:val="24"/>
        </w:rPr>
        <w:t>2 法人或者非法人组织的营业执照等证明文件或自然人的身份证明</w:t>
      </w:r>
      <w:bookmarkEnd w:id="330"/>
      <w:bookmarkEnd w:id="331"/>
    </w:p>
    <w:p>
      <w:pPr>
        <w:pStyle w:val="17"/>
        <w:tabs>
          <w:tab w:val="left" w:pos="5580"/>
        </w:tabs>
        <w:spacing w:line="240" w:lineRule="atLeast"/>
        <w:ind w:left="1079" w:leftChars="257" w:hanging="540"/>
        <w:jc w:val="center"/>
        <w:rPr>
          <w:rFonts w:hint="eastAsia" w:ascii="宋体" w:hAnsi="宋体" w:eastAsia="宋体" w:cs="宋体"/>
          <w:b/>
          <w:color w:val="auto"/>
          <w:sz w:val="24"/>
        </w:rPr>
      </w:pPr>
    </w:p>
    <w:p>
      <w:pPr>
        <w:pStyle w:val="17"/>
        <w:tabs>
          <w:tab w:val="left" w:pos="5580"/>
        </w:tabs>
        <w:spacing w:line="240" w:lineRule="atLeast"/>
        <w:ind w:left="1079" w:leftChars="257" w:hanging="540"/>
        <w:rPr>
          <w:rFonts w:hint="eastAsia" w:ascii="宋体" w:hAnsi="宋体" w:eastAsia="宋体" w:cs="宋体"/>
          <w:b/>
          <w:color w:val="auto"/>
          <w:sz w:val="24"/>
        </w:rPr>
      </w:pPr>
    </w:p>
    <w:p>
      <w:pPr>
        <w:pStyle w:val="17"/>
        <w:tabs>
          <w:tab w:val="left" w:pos="5580"/>
        </w:tabs>
        <w:spacing w:line="240" w:lineRule="atLeast"/>
        <w:ind w:left="1079" w:leftChars="257" w:hanging="540"/>
        <w:rPr>
          <w:rFonts w:hint="eastAsia" w:ascii="宋体" w:hAnsi="宋体" w:eastAsia="宋体" w:cs="宋体"/>
          <w:b/>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说明：1.提供有效的营业执照等证明文件复印件，复印件上应加盖本单位章。</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      2. 投标人为自然人的，应提供身份证明的复印件。</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      3.联合体投标应提供联合体各方满足以上要求的证明文件。</w:t>
      </w:r>
    </w:p>
    <w:p>
      <w:pPr>
        <w:widowControl/>
        <w:jc w:val="left"/>
        <w:rPr>
          <w:rFonts w:hint="eastAsia" w:ascii="宋体" w:hAnsi="宋体" w:eastAsia="宋体" w:cs="宋体"/>
          <w:b/>
          <w:color w:val="auto"/>
          <w:kern w:val="0"/>
          <w:sz w:val="24"/>
          <w:szCs w:val="20"/>
        </w:rPr>
      </w:pPr>
      <w:bookmarkStart w:id="332" w:name="_Toc29899"/>
      <w:bookmarkStart w:id="333" w:name="_Toc1957"/>
      <w:bookmarkStart w:id="334" w:name="_Toc16184"/>
      <w:bookmarkStart w:id="335" w:name="_Toc17577"/>
      <w:bookmarkStart w:id="336" w:name="_Toc28979"/>
      <w:bookmarkStart w:id="337" w:name="_Toc32302"/>
      <w:bookmarkStart w:id="338" w:name="_Toc515647805"/>
      <w:bookmarkStart w:id="339" w:name="_Toc6475"/>
      <w:bookmarkStart w:id="340" w:name="_Toc3087"/>
      <w:r>
        <w:rPr>
          <w:rFonts w:hint="eastAsia" w:ascii="宋体" w:hAnsi="宋体" w:eastAsia="宋体" w:cs="宋体"/>
          <w:color w:val="auto"/>
          <w:sz w:val="24"/>
        </w:rPr>
        <w:br w:type="page"/>
      </w:r>
    </w:p>
    <w:p>
      <w:pPr>
        <w:pStyle w:val="5"/>
        <w:spacing w:before="0" w:line="240" w:lineRule="atLeast"/>
        <w:rPr>
          <w:rFonts w:hint="eastAsia" w:ascii="宋体" w:hAnsi="宋体" w:eastAsia="宋体" w:cs="宋体"/>
          <w:color w:val="auto"/>
          <w:sz w:val="24"/>
        </w:rPr>
      </w:pPr>
      <w:bookmarkStart w:id="341" w:name="_Toc108877096"/>
      <w:bookmarkStart w:id="342" w:name="_Toc108876186"/>
      <w:r>
        <w:rPr>
          <w:rFonts w:hint="eastAsia" w:ascii="宋体" w:hAnsi="宋体" w:eastAsia="宋体" w:cs="宋体"/>
          <w:color w:val="auto"/>
          <w:sz w:val="24"/>
        </w:rPr>
        <w:t xml:space="preserve">3  </w:t>
      </w:r>
      <w:bookmarkEnd w:id="332"/>
      <w:bookmarkEnd w:id="333"/>
      <w:bookmarkEnd w:id="334"/>
      <w:bookmarkEnd w:id="335"/>
      <w:bookmarkEnd w:id="336"/>
      <w:bookmarkEnd w:id="337"/>
      <w:bookmarkEnd w:id="338"/>
      <w:bookmarkEnd w:id="339"/>
      <w:bookmarkEnd w:id="340"/>
      <w:r>
        <w:rPr>
          <w:rFonts w:hint="eastAsia" w:ascii="宋体" w:hAnsi="宋体" w:eastAsia="宋体" w:cs="宋体"/>
          <w:color w:val="auto"/>
          <w:sz w:val="24"/>
        </w:rPr>
        <w:t>法定代表人身份证明</w:t>
      </w:r>
      <w:bookmarkEnd w:id="341"/>
      <w:bookmarkEnd w:id="342"/>
    </w:p>
    <w:p>
      <w:pPr>
        <w:rPr>
          <w:rFonts w:hint="eastAsia" w:ascii="宋体" w:hAnsi="宋体" w:eastAsia="宋体" w:cs="宋体"/>
          <w:color w:val="auto"/>
          <w:sz w:val="24"/>
          <w:szCs w:val="20"/>
        </w:rPr>
      </w:pPr>
    </w:p>
    <w:p>
      <w:pPr>
        <w:ind w:firstLine="240" w:firstLineChars="100"/>
        <w:rPr>
          <w:rFonts w:hint="eastAsia" w:ascii="宋体" w:hAnsi="宋体" w:eastAsia="宋体" w:cs="宋体"/>
          <w:color w:val="auto"/>
          <w:sz w:val="24"/>
          <w:szCs w:val="20"/>
        </w:rPr>
      </w:pPr>
      <w:r>
        <w:rPr>
          <w:rFonts w:hint="eastAsia" w:ascii="宋体" w:hAnsi="宋体" w:eastAsia="宋体" w:cs="宋体"/>
          <w:color w:val="auto"/>
          <w:sz w:val="24"/>
          <w:szCs w:val="20"/>
        </w:rPr>
        <w:t>同志，现任我单位职务，为法定代表人，特此证明。</w:t>
      </w:r>
    </w:p>
    <w:p>
      <w:pPr>
        <w:ind w:firstLine="240" w:firstLineChars="100"/>
        <w:rPr>
          <w:rFonts w:hint="eastAsia" w:ascii="宋体" w:hAnsi="宋体" w:eastAsia="宋体" w:cs="宋体"/>
          <w:color w:val="auto"/>
          <w:sz w:val="24"/>
          <w:szCs w:val="20"/>
        </w:rPr>
      </w:pPr>
      <w:r>
        <w:rPr>
          <w:rFonts w:hint="eastAsia" w:ascii="宋体" w:hAnsi="宋体" w:eastAsia="宋体" w:cs="宋体"/>
          <w:color w:val="auto"/>
          <w:sz w:val="24"/>
          <w:szCs w:val="20"/>
        </w:rPr>
        <w:t>签发日期：单位：（盖章）</w:t>
      </w:r>
    </w:p>
    <w:p>
      <w:pPr>
        <w:ind w:firstLine="240" w:firstLineChars="100"/>
        <w:rPr>
          <w:rFonts w:hint="eastAsia" w:ascii="宋体" w:hAnsi="宋体" w:eastAsia="宋体" w:cs="宋体"/>
          <w:color w:val="auto"/>
          <w:sz w:val="24"/>
          <w:szCs w:val="20"/>
        </w:rPr>
      </w:pPr>
      <w:r>
        <w:rPr>
          <w:rFonts w:hint="eastAsia" w:ascii="宋体" w:hAnsi="宋体" w:eastAsia="宋体" w:cs="宋体"/>
          <w:color w:val="auto"/>
          <w:sz w:val="24"/>
          <w:szCs w:val="20"/>
        </w:rPr>
        <w:t>附：代表人性别：年龄：身份证号码：</w:t>
      </w:r>
    </w:p>
    <w:p>
      <w:pPr>
        <w:ind w:firstLine="240" w:firstLineChars="100"/>
        <w:rPr>
          <w:rFonts w:hint="eastAsia" w:ascii="宋体" w:hAnsi="宋体" w:eastAsia="宋体" w:cs="宋体"/>
          <w:color w:val="auto"/>
          <w:sz w:val="24"/>
          <w:szCs w:val="20"/>
        </w:rPr>
      </w:pPr>
      <w:r>
        <w:rPr>
          <w:rFonts w:hint="eastAsia" w:ascii="宋体" w:hAnsi="宋体" w:eastAsia="宋体" w:cs="宋体"/>
          <w:color w:val="auto"/>
          <w:sz w:val="24"/>
          <w:szCs w:val="20"/>
        </w:rPr>
        <w:t>联系电话：</w:t>
      </w:r>
    </w:p>
    <w:p>
      <w:pPr>
        <w:ind w:firstLine="240" w:firstLineChars="100"/>
        <w:rPr>
          <w:rFonts w:hint="eastAsia" w:ascii="宋体" w:hAnsi="宋体" w:eastAsia="宋体" w:cs="宋体"/>
          <w:color w:val="auto"/>
          <w:sz w:val="24"/>
          <w:szCs w:val="20"/>
        </w:rPr>
      </w:pPr>
      <w:r>
        <w:rPr>
          <w:rFonts w:hint="eastAsia" w:ascii="宋体" w:hAnsi="宋体" w:eastAsia="宋体" w:cs="宋体"/>
          <w:color w:val="auto"/>
          <w:sz w:val="24"/>
          <w:szCs w:val="20"/>
        </w:rPr>
        <w:t>营业执照号码：</w:t>
      </w:r>
    </w:p>
    <w:p>
      <w:pPr>
        <w:rPr>
          <w:rFonts w:hint="eastAsia" w:ascii="宋体" w:hAnsi="宋体" w:eastAsia="宋体" w:cs="宋体"/>
          <w:color w:val="auto"/>
          <w:sz w:val="24"/>
          <w:szCs w:val="20"/>
        </w:rPr>
      </w:pPr>
      <w:r>
        <w:rPr>
          <w:rFonts w:hint="eastAsia" w:ascii="宋体" w:hAnsi="宋体" w:eastAsia="宋体" w:cs="宋体"/>
          <w:color w:val="auto"/>
          <w:sz w:val="24"/>
          <w:szCs w:val="20"/>
        </w:rPr>
        <w:t>说明：</w:t>
      </w:r>
    </w:p>
    <w:p>
      <w:pPr>
        <w:ind w:firstLine="240" w:firstLineChars="100"/>
        <w:rPr>
          <w:rFonts w:hint="eastAsia" w:ascii="宋体" w:hAnsi="宋体" w:eastAsia="宋体" w:cs="宋体"/>
          <w:color w:val="auto"/>
          <w:sz w:val="24"/>
          <w:szCs w:val="20"/>
        </w:rPr>
      </w:pPr>
      <w:r>
        <w:rPr>
          <w:rFonts w:hint="eastAsia" w:ascii="宋体" w:hAnsi="宋体" w:eastAsia="宋体" w:cs="宋体"/>
          <w:color w:val="auto"/>
          <w:sz w:val="24"/>
          <w:szCs w:val="20"/>
        </w:rPr>
        <w:t>1、法定代表人为企业事业单位、国家机关、社会团体的主要行政负责人。</w:t>
      </w:r>
    </w:p>
    <w:p>
      <w:pPr>
        <w:rPr>
          <w:rFonts w:hint="eastAsia" w:ascii="宋体" w:hAnsi="宋体" w:eastAsia="宋体" w:cs="宋体"/>
          <w:color w:val="auto"/>
          <w:sz w:val="24"/>
          <w:szCs w:val="20"/>
        </w:rPr>
      </w:pPr>
      <w:r>
        <w:rPr>
          <w:rFonts w:hint="eastAsia" w:ascii="宋体" w:hAnsi="宋体" w:eastAsia="宋体" w:cs="宋体"/>
          <w:color w:val="auto"/>
          <w:sz w:val="24"/>
          <w:szCs w:val="20"/>
        </w:rPr>
        <w:t xml:space="preserve">  2、内容必须填写真实、清楚、涂改无效，不得转让。</w:t>
      </w:r>
    </w:p>
    <w:p>
      <w:pPr>
        <w:ind w:firstLine="240" w:firstLineChars="100"/>
        <w:rPr>
          <w:rFonts w:hint="eastAsia" w:ascii="宋体" w:hAnsi="宋体" w:eastAsia="宋体" w:cs="宋体"/>
          <w:color w:val="auto"/>
          <w:sz w:val="24"/>
          <w:szCs w:val="20"/>
        </w:rPr>
      </w:pPr>
      <w:r>
        <w:rPr>
          <w:rFonts w:hint="eastAsia" w:ascii="宋体" w:hAnsi="宋体" w:eastAsia="宋体" w:cs="宋体"/>
          <w:color w:val="auto"/>
          <w:sz w:val="24"/>
          <w:szCs w:val="20"/>
        </w:rPr>
        <w:t>3、将此证明书原件提交采购代理机构作为磋商响应文件附件。</w:t>
      </w:r>
    </w:p>
    <w:p>
      <w:pPr>
        <w:rPr>
          <w:rFonts w:hint="eastAsia" w:ascii="宋体" w:hAnsi="宋体" w:eastAsia="宋体" w:cs="宋体"/>
          <w:color w:val="auto"/>
          <w:sz w:val="24"/>
          <w:szCs w:val="20"/>
        </w:rPr>
      </w:pPr>
      <w:r>
        <w:rPr>
          <w:rFonts w:hint="eastAsia" w:ascii="宋体" w:hAnsi="宋体" w:eastAsia="宋体" w:cs="宋体"/>
          <w:color w:val="auto"/>
          <w:sz w:val="24"/>
          <w:szCs w:val="20"/>
        </w:rPr>
        <w:t xml:space="preserve">  (为避免废标，请供应商务必提供本附件)</w:t>
      </w:r>
    </w:p>
    <w:p>
      <w:pPr>
        <w:rPr>
          <w:rFonts w:hint="eastAsia" w:ascii="宋体" w:hAnsi="宋体" w:eastAsia="宋体" w:cs="宋体"/>
          <w:color w:val="auto"/>
          <w:sz w:val="24"/>
          <w:szCs w:val="20"/>
        </w:rPr>
      </w:pPr>
    </w:p>
    <w:p>
      <w:pPr>
        <w:rPr>
          <w:rFonts w:hint="eastAsia" w:ascii="宋体" w:hAnsi="宋体" w:eastAsia="宋体" w:cs="宋体"/>
          <w:color w:val="auto"/>
          <w:sz w:val="24"/>
          <w:szCs w:val="20"/>
        </w:rPr>
      </w:pPr>
      <w:r>
        <w:rPr>
          <w:rFonts w:hint="eastAsia" w:ascii="宋体" w:hAnsi="宋体" w:eastAsia="宋体" w:cs="宋体"/>
          <w:color w:val="auto"/>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w:t>
                            </w:r>
                          </w:p>
                          <w:p/>
                          <w:p>
                            <w:pPr>
                              <w:pStyle w:val="15"/>
                            </w:pPr>
                          </w:p>
                          <w:p>
                            <w:pPr>
                              <w:pStyle w:val="15"/>
                            </w:pPr>
                          </w:p>
                          <w:p>
                            <w:pPr>
                              <w:pStyle w:val="15"/>
                            </w:pPr>
                          </w:p>
                          <w:p>
                            <w:pPr>
                              <w:pStyle w:val="15"/>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w:t>
                      </w:r>
                    </w:p>
                    <w:p/>
                    <w:p>
                      <w:pPr>
                        <w:pStyle w:val="15"/>
                      </w:pPr>
                    </w:p>
                    <w:p>
                      <w:pPr>
                        <w:pStyle w:val="15"/>
                      </w:pPr>
                    </w:p>
                    <w:p>
                      <w:pPr>
                        <w:pStyle w:val="15"/>
                      </w:pPr>
                    </w:p>
                    <w:p>
                      <w:pPr>
                        <w:pStyle w:val="15"/>
                      </w:pPr>
                    </w:p>
                  </w:txbxContent>
                </v:textbox>
              </v:roundrect>
            </w:pict>
          </mc:Fallback>
        </mc:AlternateContent>
      </w:r>
      <w:r>
        <w:rPr>
          <w:rFonts w:hint="eastAsia" w:ascii="宋体" w:hAnsi="宋体" w:eastAsia="宋体" w:cs="宋体"/>
          <w:color w:val="auto"/>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宋体" w:hAnsi="宋体" w:eastAsia="宋体" w:cs="宋体"/>
          <w:color w:val="auto"/>
          <w:sz w:val="24"/>
          <w:szCs w:val="20"/>
        </w:rPr>
      </w:pPr>
    </w:p>
    <w:p>
      <w:pPr>
        <w:autoSpaceDE w:val="0"/>
        <w:autoSpaceDN w:val="0"/>
        <w:adjustRightInd w:val="0"/>
        <w:ind w:right="246"/>
        <w:rPr>
          <w:rFonts w:hint="eastAsia" w:ascii="宋体" w:hAnsi="宋体" w:eastAsia="宋体" w:cs="宋体"/>
          <w:color w:val="auto"/>
          <w:sz w:val="24"/>
          <w:szCs w:val="20"/>
        </w:rPr>
      </w:pPr>
    </w:p>
    <w:p>
      <w:pPr>
        <w:autoSpaceDE w:val="0"/>
        <w:autoSpaceDN w:val="0"/>
        <w:adjustRightInd w:val="0"/>
        <w:ind w:right="246" w:firstLine="784" w:firstLineChars="327"/>
        <w:rPr>
          <w:rFonts w:hint="eastAsia" w:ascii="宋体" w:hAnsi="宋体" w:eastAsia="宋体" w:cs="宋体"/>
          <w:color w:val="auto"/>
          <w:sz w:val="24"/>
          <w:szCs w:val="20"/>
        </w:rPr>
      </w:pPr>
    </w:p>
    <w:p>
      <w:pPr>
        <w:autoSpaceDE w:val="0"/>
        <w:autoSpaceDN w:val="0"/>
        <w:adjustRightInd w:val="0"/>
        <w:ind w:right="246" w:firstLine="784" w:firstLineChars="327"/>
        <w:rPr>
          <w:rFonts w:hint="eastAsia" w:ascii="宋体" w:hAnsi="宋体" w:eastAsia="宋体" w:cs="宋体"/>
          <w:color w:val="auto"/>
          <w:sz w:val="24"/>
          <w:szCs w:val="20"/>
        </w:rPr>
      </w:pPr>
    </w:p>
    <w:p>
      <w:pPr>
        <w:autoSpaceDE w:val="0"/>
        <w:autoSpaceDN w:val="0"/>
        <w:adjustRightInd w:val="0"/>
        <w:ind w:right="246" w:firstLine="784" w:firstLineChars="327"/>
        <w:rPr>
          <w:rFonts w:hint="eastAsia" w:ascii="宋体" w:hAnsi="宋体" w:eastAsia="宋体" w:cs="宋体"/>
          <w:color w:val="auto"/>
          <w:sz w:val="24"/>
          <w:szCs w:val="20"/>
        </w:rPr>
      </w:pPr>
    </w:p>
    <w:p>
      <w:pPr>
        <w:autoSpaceDE w:val="0"/>
        <w:autoSpaceDN w:val="0"/>
        <w:adjustRightInd w:val="0"/>
        <w:ind w:right="246" w:firstLine="784" w:firstLineChars="327"/>
        <w:rPr>
          <w:rFonts w:hint="eastAsia" w:ascii="宋体" w:hAnsi="宋体" w:eastAsia="宋体" w:cs="宋体"/>
          <w:color w:val="auto"/>
          <w:sz w:val="24"/>
          <w:szCs w:val="20"/>
        </w:rPr>
      </w:pPr>
    </w:p>
    <w:p>
      <w:pPr>
        <w:autoSpaceDE w:val="0"/>
        <w:autoSpaceDN w:val="0"/>
        <w:adjustRightInd w:val="0"/>
        <w:ind w:right="246" w:firstLine="784" w:firstLineChars="327"/>
        <w:rPr>
          <w:rFonts w:hint="eastAsia" w:ascii="宋体" w:hAnsi="宋体" w:eastAsia="宋体" w:cs="宋体"/>
          <w:color w:val="auto"/>
          <w:sz w:val="24"/>
          <w:szCs w:val="20"/>
        </w:rPr>
      </w:pPr>
    </w:p>
    <w:p>
      <w:pPr>
        <w:autoSpaceDE w:val="0"/>
        <w:autoSpaceDN w:val="0"/>
        <w:adjustRightInd w:val="0"/>
        <w:ind w:right="246" w:firstLine="784" w:firstLineChars="327"/>
        <w:rPr>
          <w:rFonts w:hint="eastAsia" w:ascii="宋体" w:hAnsi="宋体" w:eastAsia="宋体" w:cs="宋体"/>
          <w:color w:val="auto"/>
          <w:sz w:val="24"/>
          <w:szCs w:val="20"/>
        </w:rPr>
      </w:pPr>
      <w:r>
        <w:rPr>
          <w:rFonts w:hint="eastAsia" w:ascii="宋体" w:hAnsi="宋体" w:eastAsia="宋体" w:cs="宋体"/>
          <w:color w:val="auto"/>
          <w:sz w:val="24"/>
          <w:szCs w:val="20"/>
        </w:rPr>
        <w:t>供应商（盖章）：</w:t>
      </w:r>
    </w:p>
    <w:p>
      <w:pPr>
        <w:adjustRightInd w:val="0"/>
        <w:snapToGrid w:val="0"/>
        <w:ind w:firstLine="784" w:firstLineChars="327"/>
        <w:rPr>
          <w:rFonts w:hint="eastAsia" w:ascii="宋体" w:hAnsi="宋体" w:eastAsia="宋体" w:cs="宋体"/>
          <w:color w:val="auto"/>
          <w:sz w:val="24"/>
          <w:szCs w:val="20"/>
        </w:rPr>
      </w:pPr>
      <w:r>
        <w:rPr>
          <w:rFonts w:hint="eastAsia" w:ascii="宋体" w:hAnsi="宋体" w:eastAsia="宋体" w:cs="宋体"/>
          <w:color w:val="auto"/>
          <w:sz w:val="24"/>
          <w:szCs w:val="20"/>
        </w:rPr>
        <w:t>法定代表人签字或盖章：</w:t>
      </w:r>
    </w:p>
    <w:p>
      <w:pPr>
        <w:adjustRightInd w:val="0"/>
        <w:snapToGrid w:val="0"/>
        <w:ind w:firstLine="784" w:firstLineChars="327"/>
        <w:rPr>
          <w:rFonts w:hint="eastAsia" w:ascii="宋体" w:hAnsi="宋体" w:eastAsia="宋体" w:cs="宋体"/>
          <w:color w:val="auto"/>
          <w:sz w:val="24"/>
          <w:szCs w:val="20"/>
        </w:rPr>
      </w:pPr>
      <w:r>
        <w:rPr>
          <w:rFonts w:hint="eastAsia" w:ascii="宋体" w:hAnsi="宋体" w:eastAsia="宋体" w:cs="宋体"/>
          <w:color w:val="auto"/>
          <w:sz w:val="24"/>
          <w:szCs w:val="20"/>
        </w:rPr>
        <w:t>日期：</w:t>
      </w:r>
    </w:p>
    <w:p>
      <w:pPr>
        <w:pStyle w:val="17"/>
        <w:tabs>
          <w:tab w:val="left" w:pos="5580"/>
        </w:tabs>
        <w:rPr>
          <w:rFonts w:hint="eastAsia" w:ascii="宋体" w:hAnsi="宋体" w:eastAsia="宋体" w:cs="宋体"/>
          <w:color w:val="auto"/>
          <w:sz w:val="24"/>
        </w:rPr>
      </w:pPr>
    </w:p>
    <w:p>
      <w:pPr>
        <w:pStyle w:val="17"/>
        <w:tabs>
          <w:tab w:val="left" w:pos="5580"/>
        </w:tabs>
        <w:rPr>
          <w:rFonts w:hint="eastAsia" w:ascii="宋体" w:hAnsi="宋体" w:eastAsia="宋体" w:cs="宋体"/>
          <w:color w:val="auto"/>
          <w:sz w:val="24"/>
        </w:rPr>
      </w:pPr>
    </w:p>
    <w:p>
      <w:pPr>
        <w:pStyle w:val="17"/>
        <w:tabs>
          <w:tab w:val="left" w:pos="5580"/>
        </w:tabs>
        <w:rPr>
          <w:rFonts w:hint="eastAsia" w:ascii="宋体" w:hAnsi="宋体" w:eastAsia="宋体" w:cs="宋体"/>
          <w:color w:val="auto"/>
          <w:sz w:val="24"/>
        </w:rPr>
      </w:pPr>
      <w:r>
        <w:rPr>
          <w:rFonts w:hint="eastAsia" w:ascii="宋体" w:hAnsi="宋体" w:eastAsia="宋体" w:cs="宋体"/>
          <w:color w:val="auto"/>
          <w:sz w:val="24"/>
        </w:rPr>
        <w:t>说明：1.提供有效的营业执照等证明文件复印件，复印件上应加盖本单位章。</w:t>
      </w:r>
    </w:p>
    <w:p>
      <w:pPr>
        <w:pStyle w:val="17"/>
        <w:tabs>
          <w:tab w:val="left" w:pos="5580"/>
        </w:tabs>
        <w:ind w:left="1079" w:leftChars="257" w:hanging="540"/>
        <w:outlineLvl w:val="2"/>
        <w:rPr>
          <w:rFonts w:hint="eastAsia" w:ascii="宋体" w:hAnsi="宋体" w:eastAsia="宋体" w:cs="宋体"/>
          <w:color w:val="auto"/>
          <w:sz w:val="24"/>
        </w:rPr>
      </w:pPr>
      <w:r>
        <w:rPr>
          <w:rFonts w:hint="eastAsia" w:ascii="宋体" w:hAnsi="宋体" w:eastAsia="宋体" w:cs="宋体"/>
          <w:color w:val="auto"/>
          <w:sz w:val="24"/>
        </w:rPr>
        <w:t xml:space="preserve">  2. 供应商为自然人的，应提供身份证明的复印件。</w:t>
      </w:r>
    </w:p>
    <w:p>
      <w:pPr>
        <w:pStyle w:val="17"/>
        <w:tabs>
          <w:tab w:val="left" w:pos="5580"/>
        </w:tabs>
        <w:ind w:left="1079" w:leftChars="257" w:hanging="540"/>
        <w:outlineLvl w:val="2"/>
        <w:rPr>
          <w:rFonts w:hint="eastAsia" w:ascii="宋体" w:hAnsi="宋体" w:eastAsia="宋体" w:cs="宋体"/>
          <w:color w:val="auto"/>
          <w:sz w:val="24"/>
        </w:rPr>
      </w:pPr>
      <w:r>
        <w:rPr>
          <w:rFonts w:hint="eastAsia" w:ascii="宋体" w:hAnsi="宋体" w:eastAsia="宋体" w:cs="宋体"/>
          <w:color w:val="auto"/>
          <w:sz w:val="24"/>
        </w:rPr>
        <w:t xml:space="preserve">  3.联合体提交响应文件应提供联合体各方满足以上要求的证明文件。</w:t>
      </w:r>
    </w:p>
    <w:p>
      <w:pPr>
        <w:widowControl/>
        <w:jc w:val="left"/>
        <w:rPr>
          <w:rFonts w:hint="eastAsia" w:ascii="宋体" w:hAnsi="宋体" w:eastAsia="宋体" w:cs="宋体"/>
          <w:color w:val="auto"/>
          <w:sz w:val="24"/>
          <w:szCs w:val="22"/>
        </w:rPr>
      </w:pPr>
      <w:bookmarkStart w:id="343" w:name="_Toc16640"/>
      <w:bookmarkStart w:id="344" w:name="_Toc6829"/>
      <w:bookmarkStart w:id="345" w:name="_Toc22472"/>
      <w:bookmarkStart w:id="346" w:name="_Toc13107"/>
      <w:bookmarkStart w:id="347" w:name="_Toc515647807"/>
      <w:bookmarkStart w:id="348" w:name="_Toc1083"/>
      <w:bookmarkStart w:id="349" w:name="_Toc5436"/>
      <w:bookmarkStart w:id="350" w:name="_Toc21867"/>
      <w:bookmarkStart w:id="351" w:name="_Toc515647808"/>
      <w:bookmarkStart w:id="352" w:name="_Toc32520"/>
      <w:bookmarkStart w:id="353" w:name="_Toc7039"/>
      <w:r>
        <w:rPr>
          <w:rFonts w:hint="eastAsia" w:ascii="宋体" w:hAnsi="宋体" w:eastAsia="宋体" w:cs="宋体"/>
          <w:color w:val="auto"/>
          <w:sz w:val="24"/>
          <w:szCs w:val="22"/>
        </w:rPr>
        <w:br w:type="page"/>
      </w:r>
    </w:p>
    <w:p>
      <w:pPr>
        <w:pStyle w:val="5"/>
        <w:spacing w:before="0" w:line="240" w:lineRule="atLeast"/>
        <w:jc w:val="both"/>
        <w:rPr>
          <w:rFonts w:hint="eastAsia" w:ascii="宋体" w:hAnsi="宋体" w:eastAsia="宋体" w:cs="宋体"/>
          <w:b w:val="0"/>
          <w:color w:val="auto"/>
          <w:sz w:val="24"/>
          <w:u w:val="single"/>
        </w:rPr>
      </w:pPr>
      <w:bookmarkStart w:id="354" w:name="_Toc108876187"/>
      <w:bookmarkStart w:id="355" w:name="_Toc108877097"/>
      <w:r>
        <w:rPr>
          <w:rFonts w:hint="eastAsia" w:ascii="宋体" w:hAnsi="宋体" w:eastAsia="宋体" w:cs="宋体"/>
          <w:color w:val="auto"/>
          <w:sz w:val="24"/>
        </w:rPr>
        <w:t>3 .1 法定代表人授权委托书(响应文件格式二，自然人投标的无需提供)</w:t>
      </w:r>
      <w:bookmarkEnd w:id="343"/>
      <w:bookmarkEnd w:id="344"/>
      <w:bookmarkEnd w:id="345"/>
      <w:bookmarkEnd w:id="346"/>
      <w:bookmarkEnd w:id="347"/>
      <w:bookmarkEnd w:id="348"/>
      <w:bookmarkEnd w:id="349"/>
      <w:bookmarkEnd w:id="350"/>
      <w:bookmarkEnd w:id="354"/>
      <w:bookmarkEnd w:id="355"/>
    </w:p>
    <w:p>
      <w:pPr>
        <w:pStyle w:val="17"/>
        <w:tabs>
          <w:tab w:val="left" w:pos="5580"/>
        </w:tabs>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本授权书于年月日签字生效,特此声明。</w:t>
      </w: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7"/>
        <w:tabs>
          <w:tab w:val="left" w:pos="5580"/>
        </w:tabs>
        <w:spacing w:line="240" w:lineRule="atLeast"/>
        <w:rPr>
          <w:rFonts w:hint="eastAsia" w:ascii="宋体" w:hAnsi="宋体" w:eastAsia="宋体" w:cs="宋体"/>
          <w:color w:val="auto"/>
          <w:sz w:val="24"/>
        </w:rPr>
      </w:pPr>
    </w:p>
    <w:p>
      <w:pPr>
        <w:pStyle w:val="17"/>
        <w:tabs>
          <w:tab w:val="left" w:pos="5580"/>
        </w:tabs>
        <w:spacing w:line="240" w:lineRule="atLeast"/>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供应商（盖单位章）;                           </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法定代表人（签字或签章）：</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身份证号码：__________________________________ </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委托代理人：</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身份证号码：</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详细通讯地址：</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邮政编码：</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传　　　　真：</w:t>
      </w:r>
    </w:p>
    <w:p>
      <w:pPr>
        <w:spacing w:line="460" w:lineRule="exact"/>
        <w:ind w:firstLine="480" w:firstLineChars="200"/>
        <w:rPr>
          <w:rFonts w:hint="eastAsia" w:ascii="宋体" w:hAnsi="宋体" w:eastAsia="宋体" w:cs="宋体"/>
          <w:b/>
          <w:color w:val="auto"/>
          <w:kern w:val="0"/>
          <w:sz w:val="24"/>
          <w:szCs w:val="20"/>
        </w:rPr>
      </w:pPr>
      <w:r>
        <w:rPr>
          <w:rFonts w:hint="eastAsia" w:ascii="宋体" w:hAnsi="宋体" w:eastAsia="宋体" w:cs="宋体"/>
          <w:color w:val="auto"/>
          <w:sz w:val="24"/>
          <w:szCs w:val="20"/>
        </w:rPr>
        <w:t>电　　　　话：</w:t>
      </w:r>
      <w:bookmarkEnd w:id="351"/>
      <w:bookmarkEnd w:id="352"/>
      <w:bookmarkEnd w:id="353"/>
      <w:bookmarkStart w:id="356" w:name="_Toc8410"/>
      <w:bookmarkStart w:id="357" w:name="_Toc28445"/>
      <w:bookmarkStart w:id="358" w:name="_Toc515647809"/>
      <w:bookmarkStart w:id="359" w:name="_Toc22138"/>
      <w:bookmarkStart w:id="360" w:name="_Toc15480"/>
      <w:bookmarkStart w:id="361" w:name="_Toc10290"/>
      <w:bookmarkStart w:id="362" w:name="_Toc4923"/>
      <w:bookmarkStart w:id="363" w:name="_Toc11047"/>
    </w:p>
    <w:bookmarkEnd w:id="356"/>
    <w:bookmarkEnd w:id="357"/>
    <w:bookmarkEnd w:id="358"/>
    <w:bookmarkEnd w:id="359"/>
    <w:bookmarkEnd w:id="360"/>
    <w:bookmarkEnd w:id="361"/>
    <w:bookmarkEnd w:id="362"/>
    <w:bookmarkEnd w:id="363"/>
    <w:p>
      <w:pPr>
        <w:widowControl/>
        <w:jc w:val="left"/>
        <w:rPr>
          <w:rFonts w:hint="eastAsia" w:ascii="宋体" w:hAnsi="宋体" w:eastAsia="宋体" w:cs="宋体"/>
          <w:color w:val="auto"/>
          <w:kern w:val="0"/>
          <w:sz w:val="28"/>
          <w:szCs w:val="28"/>
        </w:rPr>
      </w:pPr>
      <w:r>
        <w:rPr>
          <w:rFonts w:hint="eastAsia" w:ascii="宋体" w:hAnsi="宋体" w:eastAsia="宋体" w:cs="宋体"/>
          <w:b/>
          <w:color w:val="auto"/>
          <w:sz w:val="28"/>
          <w:szCs w:val="28"/>
        </w:rPr>
        <w:br w:type="page"/>
      </w:r>
    </w:p>
    <w:p>
      <w:pPr>
        <w:pStyle w:val="5"/>
        <w:numPr>
          <w:ilvl w:val="0"/>
          <w:numId w:val="5"/>
        </w:numPr>
        <w:spacing w:before="0" w:line="240" w:lineRule="atLeast"/>
        <w:rPr>
          <w:rFonts w:hint="eastAsia" w:ascii="宋体" w:hAnsi="宋体" w:eastAsia="宋体" w:cs="宋体"/>
          <w:color w:val="auto"/>
          <w:sz w:val="24"/>
        </w:rPr>
      </w:pPr>
      <w:bookmarkStart w:id="364" w:name="_Toc108876188"/>
      <w:bookmarkStart w:id="365" w:name="_Toc108877098"/>
      <w:r>
        <w:rPr>
          <w:rFonts w:hint="eastAsia" w:ascii="宋体" w:hAnsi="宋体" w:eastAsia="宋体" w:cs="宋体"/>
          <w:color w:val="auto"/>
          <w:sz w:val="24"/>
        </w:rPr>
        <w:t>磋商保证金收据</w:t>
      </w:r>
      <w:bookmarkEnd w:id="364"/>
      <w:bookmarkEnd w:id="365"/>
    </w:p>
    <w:p>
      <w:pPr>
        <w:spacing w:line="360" w:lineRule="exact"/>
        <w:ind w:firstLine="630" w:firstLineChars="300"/>
        <w:rPr>
          <w:rFonts w:hint="eastAsia" w:ascii="宋体" w:hAnsi="宋体" w:eastAsia="宋体" w:cs="宋体"/>
          <w:color w:val="auto"/>
        </w:rPr>
      </w:pPr>
      <w:r>
        <w:rPr>
          <w:rFonts w:hint="eastAsia" w:ascii="宋体" w:hAnsi="宋体" w:eastAsia="宋体" w:cs="宋体"/>
          <w:color w:val="auto"/>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8"/>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hint="eastAsia" w:ascii="宋体" w:hAnsi="宋体" w:eastAsia="宋体" w:cs="宋体"/>
                <w:color w:val="auto"/>
              </w:rPr>
            </w:pPr>
          </w:p>
          <w:p>
            <w:pPr>
              <w:spacing w:line="360" w:lineRule="exact"/>
              <w:rPr>
                <w:rFonts w:hint="eastAsia" w:ascii="宋体" w:hAnsi="宋体" w:eastAsia="宋体" w:cs="宋体"/>
                <w:color w:val="auto"/>
              </w:rPr>
            </w:pPr>
          </w:p>
          <w:p>
            <w:pPr>
              <w:spacing w:line="360" w:lineRule="exact"/>
              <w:rPr>
                <w:rFonts w:hint="eastAsia" w:ascii="宋体" w:hAnsi="宋体" w:eastAsia="宋体" w:cs="宋体"/>
                <w:color w:val="auto"/>
              </w:rPr>
            </w:pPr>
          </w:p>
          <w:p>
            <w:pPr>
              <w:spacing w:line="360" w:lineRule="exact"/>
              <w:jc w:val="center"/>
              <w:rPr>
                <w:rFonts w:hint="eastAsia" w:ascii="宋体" w:hAnsi="宋体" w:eastAsia="宋体" w:cs="宋体"/>
                <w:color w:val="auto"/>
              </w:rPr>
            </w:pPr>
          </w:p>
          <w:p>
            <w:pPr>
              <w:spacing w:line="360" w:lineRule="exact"/>
              <w:jc w:val="center"/>
              <w:rPr>
                <w:rFonts w:hint="eastAsia" w:ascii="宋体" w:hAnsi="宋体" w:eastAsia="宋体" w:cs="宋体"/>
                <w:color w:val="auto"/>
              </w:rPr>
            </w:pPr>
            <w:r>
              <w:rPr>
                <w:rFonts w:hint="eastAsia" w:ascii="宋体" w:hAnsi="宋体" w:eastAsia="宋体" w:cs="宋体"/>
                <w:color w:val="auto"/>
              </w:rPr>
              <w:t>投标保证金收据或银行转账回执单复印件</w:t>
            </w:r>
          </w:p>
        </w:tc>
      </w:tr>
    </w:tbl>
    <w:p>
      <w:pPr>
        <w:spacing w:line="240" w:lineRule="atLeast"/>
        <w:rPr>
          <w:rFonts w:hint="eastAsia" w:ascii="宋体" w:hAnsi="宋体" w:eastAsia="宋体" w:cs="宋体"/>
          <w:color w:val="auto"/>
          <w:sz w:val="24"/>
        </w:rPr>
      </w:pPr>
    </w:p>
    <w:p>
      <w:pPr>
        <w:widowControl/>
        <w:jc w:val="left"/>
        <w:rPr>
          <w:rFonts w:hint="eastAsia" w:ascii="宋体" w:hAnsi="宋体" w:eastAsia="宋体" w:cs="宋体"/>
          <w:color w:val="auto"/>
        </w:rPr>
      </w:pPr>
      <w:r>
        <w:rPr>
          <w:rFonts w:hint="eastAsia" w:ascii="宋体" w:hAnsi="宋体" w:eastAsia="宋体" w:cs="宋体"/>
          <w:color w:val="auto"/>
        </w:rPr>
        <w:br w:type="page"/>
      </w:r>
    </w:p>
    <w:p>
      <w:pPr>
        <w:spacing w:line="360" w:lineRule="exact"/>
        <w:jc w:val="center"/>
        <w:outlineLvl w:val="1"/>
        <w:rPr>
          <w:rFonts w:hint="eastAsia" w:ascii="宋体" w:hAnsi="宋体" w:eastAsia="宋体" w:cs="宋体"/>
          <w:color w:val="auto"/>
          <w:sz w:val="28"/>
          <w:szCs w:val="28"/>
        </w:rPr>
      </w:pPr>
    </w:p>
    <w:p>
      <w:pPr>
        <w:spacing w:line="360" w:lineRule="exact"/>
        <w:jc w:val="center"/>
        <w:outlineLvl w:val="1"/>
        <w:rPr>
          <w:rFonts w:hint="eastAsia" w:ascii="宋体" w:hAnsi="宋体" w:eastAsia="宋体" w:cs="宋体"/>
          <w:color w:val="auto"/>
          <w:sz w:val="28"/>
          <w:szCs w:val="28"/>
        </w:rPr>
      </w:pPr>
      <w:bookmarkStart w:id="366" w:name="_Toc108877099"/>
      <w:bookmarkStart w:id="367" w:name="_Toc108876189"/>
      <w:r>
        <w:rPr>
          <w:rFonts w:hint="eastAsia" w:ascii="宋体" w:hAnsi="宋体" w:eastAsia="宋体" w:cs="宋体"/>
          <w:color w:val="auto"/>
          <w:sz w:val="28"/>
          <w:szCs w:val="28"/>
        </w:rPr>
        <w:t>政府采购磋商担保函（响应文件格式三）</w:t>
      </w:r>
      <w:bookmarkEnd w:id="366"/>
      <w:bookmarkEnd w:id="367"/>
    </w:p>
    <w:p>
      <w:pPr>
        <w:spacing w:line="360" w:lineRule="exact"/>
        <w:ind w:firstLine="6960" w:firstLineChars="2900"/>
        <w:rPr>
          <w:rFonts w:hint="eastAsia" w:ascii="宋体" w:hAnsi="宋体" w:eastAsia="宋体" w:cs="宋体"/>
          <w:color w:val="auto"/>
          <w:sz w:val="24"/>
        </w:rPr>
      </w:pPr>
      <w:r>
        <w:rPr>
          <w:rFonts w:hint="eastAsia" w:ascii="宋体" w:hAnsi="宋体" w:eastAsia="宋体" w:cs="宋体"/>
          <w:color w:val="auto"/>
          <w:sz w:val="24"/>
        </w:rPr>
        <w:t>编号：</w:t>
      </w:r>
    </w:p>
    <w:p>
      <w:pPr>
        <w:spacing w:line="360" w:lineRule="exact"/>
        <w:rPr>
          <w:rFonts w:hint="eastAsia" w:ascii="宋体" w:hAnsi="宋体" w:eastAsia="宋体" w:cs="宋体"/>
          <w:color w:val="auto"/>
        </w:rPr>
      </w:pPr>
    </w:p>
    <w:p>
      <w:pPr>
        <w:spacing w:line="360" w:lineRule="exact"/>
        <w:rPr>
          <w:rFonts w:hint="eastAsia" w:ascii="宋体" w:hAnsi="宋体" w:eastAsia="宋体" w:cs="宋体"/>
          <w:color w:val="auto"/>
          <w:sz w:val="24"/>
        </w:rPr>
      </w:pPr>
      <w:r>
        <w:rPr>
          <w:rFonts w:hint="eastAsia" w:ascii="宋体" w:hAnsi="宋体" w:eastAsia="宋体" w:cs="宋体"/>
          <w:color w:val="auto"/>
          <w:sz w:val="24"/>
        </w:rPr>
        <w:t>（采购人）：</w:t>
      </w:r>
    </w:p>
    <w:p>
      <w:pPr>
        <w:spacing w:line="360" w:lineRule="exact"/>
        <w:rPr>
          <w:rFonts w:hint="eastAsia" w:ascii="宋体" w:hAnsi="宋体" w:eastAsia="宋体" w:cs="宋体"/>
          <w:color w:val="auto"/>
          <w:sz w:val="24"/>
        </w:rPr>
      </w:pP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鉴于（以下简称“供应商”）拟参加编号为的</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rPr>
          <w:rFonts w:hint="eastAsia" w:ascii="宋体" w:hAnsi="宋体" w:eastAsia="宋体" w:cs="宋体"/>
          <w:color w:val="auto"/>
          <w:sz w:val="24"/>
        </w:rPr>
      </w:pPr>
      <w:r>
        <w:rPr>
          <w:rFonts w:hint="eastAsia" w:ascii="宋体" w:hAnsi="宋体" w:eastAsia="宋体" w:cs="宋体"/>
          <w:color w:val="auto"/>
          <w:sz w:val="24"/>
        </w:rPr>
        <w:t>一、保证责任的情形及保证金额</w:t>
      </w:r>
    </w:p>
    <w:p>
      <w:pPr>
        <w:spacing w:line="36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（一）在供应商出现下列情形之一时，我方承担保证责任：</w:t>
      </w:r>
    </w:p>
    <w:p>
      <w:pPr>
        <w:spacing w:line="36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1．成交后供应商无正当理由不与采购人或者采购代理机构签订《政府采购合同》；</w:t>
      </w:r>
    </w:p>
    <w:p>
      <w:pPr>
        <w:spacing w:line="360" w:lineRule="exact"/>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rPr>
        <w:t>2．磋商文件规定的供应商应当缴纳保证金的其他情形。</w:t>
      </w:r>
    </w:p>
    <w:p>
      <w:pPr>
        <w:spacing w:line="36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（二）我方承担保证责任的最高金额为人民币元（大写），即本项目的磋商保证金金额。</w:t>
      </w:r>
    </w:p>
    <w:p>
      <w:pPr>
        <w:rPr>
          <w:rFonts w:hint="eastAsia" w:ascii="宋体" w:hAnsi="宋体" w:eastAsia="宋体" w:cs="宋体"/>
          <w:color w:val="auto"/>
          <w:sz w:val="24"/>
        </w:rPr>
      </w:pPr>
      <w:r>
        <w:rPr>
          <w:rFonts w:hint="eastAsia" w:ascii="宋体" w:hAnsi="宋体" w:eastAsia="宋体" w:cs="宋体"/>
          <w:color w:val="auto"/>
          <w:sz w:val="24"/>
        </w:rPr>
        <w:t>二、保证的方式及保证期间</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我方保证的方式为：连带责任保证。</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我方的保证期间为：自本保函生效之日起个月止。</w:t>
      </w:r>
    </w:p>
    <w:p>
      <w:pPr>
        <w:rPr>
          <w:rFonts w:hint="eastAsia" w:ascii="宋体" w:hAnsi="宋体" w:eastAsia="宋体" w:cs="宋体"/>
          <w:color w:val="auto"/>
          <w:sz w:val="24"/>
        </w:rPr>
      </w:pPr>
      <w:r>
        <w:rPr>
          <w:rFonts w:hint="eastAsia" w:ascii="宋体" w:hAnsi="宋体" w:eastAsia="宋体" w:cs="宋体"/>
          <w:color w:val="auto"/>
          <w:sz w:val="24"/>
        </w:rPr>
        <w:t>三、承担保证责任的程序</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2．我方在收到索赔通知及相关证明材料后，在</w:t>
      </w:r>
      <w:r>
        <w:rPr>
          <w:rFonts w:hint="eastAsia" w:ascii="宋体" w:hAnsi="宋体" w:eastAsia="宋体" w:cs="宋体"/>
          <w:color w:val="auto"/>
          <w:sz w:val="24"/>
          <w:u w:val="single"/>
        </w:rPr>
        <w:t>　　　</w:t>
      </w:r>
      <w:r>
        <w:rPr>
          <w:rFonts w:hint="eastAsia" w:ascii="宋体" w:hAnsi="宋体" w:eastAsia="宋体" w:cs="宋体"/>
          <w:color w:val="auto"/>
          <w:sz w:val="24"/>
        </w:rPr>
        <w:t>个工作日内进行审查，符合应承担保证责任情形的，我方应按照你方的要求代供应商向你方支付磋商保证金。</w:t>
      </w:r>
    </w:p>
    <w:p>
      <w:pPr>
        <w:rPr>
          <w:rFonts w:hint="eastAsia" w:ascii="宋体" w:hAnsi="宋体" w:eastAsia="宋体" w:cs="宋体"/>
          <w:color w:val="auto"/>
          <w:sz w:val="24"/>
        </w:rPr>
      </w:pPr>
      <w:r>
        <w:rPr>
          <w:rFonts w:hint="eastAsia" w:ascii="宋体" w:hAnsi="宋体" w:eastAsia="宋体" w:cs="宋体"/>
          <w:color w:val="auto"/>
          <w:sz w:val="24"/>
        </w:rPr>
        <w:t>四、保证责任的终止</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1．保证期间届满你方未向我方书面主张保证责任的，自保证期间届满次日起，我方保证责任自动终止。</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2．我方按照本保函向你贵方履行了保证责任后，自我方向你贵方支付款项（支付款项从我方账户划出）之日起，保证责任终止。</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3．按照法律法规的规定或出现我方保证责任终止的其它情形的，我方在本保函项下的保证责任亦终止。</w:t>
      </w:r>
    </w:p>
    <w:p>
      <w:pPr>
        <w:rPr>
          <w:rFonts w:hint="eastAsia" w:ascii="宋体" w:hAnsi="宋体" w:eastAsia="宋体" w:cs="宋体"/>
          <w:color w:val="auto"/>
          <w:sz w:val="24"/>
        </w:rPr>
      </w:pPr>
      <w:r>
        <w:rPr>
          <w:rFonts w:hint="eastAsia" w:ascii="宋体" w:hAnsi="宋体" w:eastAsia="宋体" w:cs="宋体"/>
          <w:color w:val="auto"/>
          <w:sz w:val="24"/>
        </w:rPr>
        <w:t>五、免责条款</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1．依照法律规定或你方与供应商的另行约定，全部或者部分免除供应商磋商保证金义务时，我方亦免除相应的保证责任。</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2．因你方原因致使供应商发生本保函第一条第（一）款约定情形的，我方不承担保证责任。</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3．因不可抗力造成供应商发生本保函第一条约定情形的，我方不承担保证责任。</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4．你方或其他有权机关对磋商文件进行任何澄清或修改，加重我方保证责任的，我方对加重部分不承担保证责任，但该澄清或修改经我方事先书面同意的除外。</w:t>
      </w:r>
    </w:p>
    <w:p>
      <w:pPr>
        <w:rPr>
          <w:rFonts w:hint="eastAsia" w:ascii="宋体" w:hAnsi="宋体" w:eastAsia="宋体" w:cs="宋体"/>
          <w:color w:val="auto"/>
          <w:sz w:val="24"/>
        </w:rPr>
      </w:pPr>
      <w:r>
        <w:rPr>
          <w:rFonts w:hint="eastAsia" w:ascii="宋体" w:hAnsi="宋体" w:eastAsia="宋体" w:cs="宋体"/>
          <w:color w:val="auto"/>
          <w:sz w:val="24"/>
        </w:rPr>
        <w:t>六、争议的解决</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因本保函发生的纠纷，由你我双方协商解决，协商不成的，通过诉讼程序解决，诉讼管辖地法院为法院。</w:t>
      </w:r>
    </w:p>
    <w:p>
      <w:pPr>
        <w:rPr>
          <w:rFonts w:hint="eastAsia" w:ascii="宋体" w:hAnsi="宋体" w:eastAsia="宋体" w:cs="宋体"/>
          <w:color w:val="auto"/>
          <w:sz w:val="24"/>
        </w:rPr>
      </w:pPr>
      <w:r>
        <w:rPr>
          <w:rFonts w:hint="eastAsia" w:ascii="宋体" w:hAnsi="宋体" w:eastAsia="宋体" w:cs="宋体"/>
          <w:color w:val="auto"/>
          <w:sz w:val="24"/>
        </w:rPr>
        <w:t>七、保函的生效</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本保函自我方加盖公章之日起生效。</w:t>
      </w:r>
    </w:p>
    <w:p>
      <w:pPr>
        <w:spacing w:line="360" w:lineRule="exact"/>
        <w:ind w:firstLine="6360" w:firstLineChars="2650"/>
        <w:rPr>
          <w:rFonts w:hint="eastAsia" w:ascii="宋体" w:hAnsi="宋体" w:eastAsia="宋体" w:cs="宋体"/>
          <w:color w:val="auto"/>
          <w:sz w:val="24"/>
        </w:rPr>
      </w:pPr>
      <w:r>
        <w:rPr>
          <w:rFonts w:hint="eastAsia" w:ascii="宋体" w:hAnsi="宋体" w:eastAsia="宋体" w:cs="宋体"/>
          <w:color w:val="auto"/>
          <w:sz w:val="24"/>
        </w:rPr>
        <w:t>保证人：  （公章）</w:t>
      </w:r>
    </w:p>
    <w:p>
      <w:pPr>
        <w:spacing w:line="360" w:lineRule="exact"/>
        <w:rPr>
          <w:rFonts w:hint="eastAsia" w:ascii="宋体" w:hAnsi="宋体" w:eastAsia="宋体" w:cs="宋体"/>
          <w:color w:val="auto"/>
          <w:sz w:val="24"/>
        </w:rPr>
      </w:pPr>
    </w:p>
    <w:p>
      <w:pPr>
        <w:spacing w:line="360" w:lineRule="exact"/>
        <w:ind w:firstLine="6600" w:firstLineChars="2750"/>
        <w:rPr>
          <w:rFonts w:hint="eastAsia" w:ascii="宋体" w:hAnsi="宋体" w:eastAsia="宋体" w:cs="宋体"/>
          <w:color w:val="auto"/>
          <w:sz w:val="24"/>
        </w:rPr>
      </w:pPr>
      <w:r>
        <w:rPr>
          <w:rFonts w:hint="eastAsia" w:ascii="宋体" w:hAnsi="宋体" w:eastAsia="宋体" w:cs="宋体"/>
          <w:color w:val="auto"/>
          <w:sz w:val="24"/>
        </w:rPr>
        <w:t>年  月  日</w:t>
      </w:r>
    </w:p>
    <w:p>
      <w:pPr>
        <w:widowControl/>
        <w:jc w:val="left"/>
        <w:rPr>
          <w:rFonts w:hint="eastAsia" w:ascii="宋体" w:hAnsi="宋体" w:eastAsia="宋体" w:cs="宋体"/>
          <w:color w:val="auto"/>
          <w:sz w:val="24"/>
        </w:rPr>
      </w:pPr>
      <w:bookmarkStart w:id="368" w:name="_Toc518923111"/>
      <w:bookmarkStart w:id="369" w:name="_Toc27589"/>
      <w:bookmarkStart w:id="370" w:name="_Toc15031"/>
      <w:bookmarkStart w:id="371" w:name="_Toc31179"/>
      <w:bookmarkStart w:id="372" w:name="_Toc6113"/>
      <w:bookmarkStart w:id="373" w:name="_Toc22500"/>
      <w:bookmarkStart w:id="374" w:name="_Toc8873"/>
      <w:bookmarkStart w:id="375" w:name="_Toc5167"/>
      <w:bookmarkStart w:id="376" w:name="_Toc515647814"/>
      <w:bookmarkStart w:id="377" w:name="_Toc23044"/>
      <w:bookmarkStart w:id="378" w:name="_Toc2502"/>
      <w:r>
        <w:rPr>
          <w:rFonts w:hint="eastAsia" w:ascii="宋体" w:hAnsi="宋体" w:eastAsia="宋体" w:cs="宋体"/>
          <w:b/>
          <w:color w:val="auto"/>
          <w:sz w:val="24"/>
        </w:rPr>
        <w:br w:type="page"/>
      </w:r>
    </w:p>
    <w:p>
      <w:pPr>
        <w:pStyle w:val="5"/>
        <w:spacing w:before="0" w:line="240" w:lineRule="atLeast"/>
        <w:ind w:left="1079" w:leftChars="257" w:hanging="540"/>
        <w:rPr>
          <w:rFonts w:hint="eastAsia" w:ascii="宋体" w:hAnsi="宋体" w:eastAsia="宋体" w:cs="宋体"/>
          <w:color w:val="auto"/>
          <w:sz w:val="24"/>
        </w:rPr>
      </w:pPr>
      <w:bookmarkStart w:id="379" w:name="_Toc108877100"/>
      <w:bookmarkStart w:id="380" w:name="_Toc108876190"/>
      <w:r>
        <w:rPr>
          <w:rFonts w:hint="eastAsia" w:ascii="宋体" w:hAnsi="宋体" w:eastAsia="宋体" w:cs="宋体"/>
          <w:color w:val="auto"/>
          <w:sz w:val="24"/>
        </w:rPr>
        <w:t>5  税收、社会保障资金的缴纳记录</w:t>
      </w:r>
      <w:bookmarkEnd w:id="368"/>
      <w:bookmarkEnd w:id="369"/>
      <w:bookmarkEnd w:id="379"/>
      <w:bookmarkEnd w:id="380"/>
    </w:p>
    <w:p>
      <w:pPr>
        <w:pStyle w:val="17"/>
        <w:tabs>
          <w:tab w:val="left" w:pos="5580"/>
        </w:tabs>
        <w:spacing w:line="240" w:lineRule="atLeast"/>
        <w:ind w:left="1079" w:leftChars="257" w:hanging="540"/>
        <w:jc w:val="center"/>
        <w:rPr>
          <w:rFonts w:hint="eastAsia" w:ascii="宋体" w:hAnsi="宋体" w:eastAsia="宋体" w:cs="宋体"/>
          <w:b/>
          <w:color w:val="auto"/>
          <w:sz w:val="24"/>
        </w:rPr>
      </w:pPr>
    </w:p>
    <w:p>
      <w:pPr>
        <w:pStyle w:val="17"/>
        <w:tabs>
          <w:tab w:val="left" w:pos="5580"/>
        </w:tabs>
        <w:spacing w:line="240" w:lineRule="atLeast"/>
        <w:ind w:left="540"/>
        <w:rPr>
          <w:rFonts w:hint="eastAsia" w:ascii="宋体" w:hAnsi="宋体" w:eastAsia="宋体" w:cs="宋体"/>
          <w:b/>
          <w:color w:val="auto"/>
          <w:sz w:val="24"/>
        </w:rPr>
      </w:pPr>
    </w:p>
    <w:p>
      <w:pPr>
        <w:pStyle w:val="17"/>
        <w:tabs>
          <w:tab w:val="left" w:pos="5580"/>
        </w:tabs>
        <w:spacing w:line="240" w:lineRule="atLeast"/>
        <w:ind w:left="540"/>
        <w:rPr>
          <w:rFonts w:hint="eastAsia" w:ascii="宋体" w:hAnsi="宋体" w:eastAsia="宋体" w:cs="宋体"/>
          <w:color w:val="auto"/>
          <w:sz w:val="24"/>
        </w:rPr>
      </w:pPr>
      <w:r>
        <w:rPr>
          <w:rFonts w:hint="eastAsia" w:ascii="宋体" w:hAnsi="宋体" w:eastAsia="宋体" w:cs="宋体"/>
          <w:color w:val="auto"/>
          <w:sz w:val="24"/>
        </w:rPr>
        <w:t>说明：1.按照</w:t>
      </w:r>
      <w:r>
        <w:rPr>
          <w:rFonts w:hint="eastAsia" w:ascii="宋体" w:hAnsi="宋体" w:eastAsia="宋体" w:cs="宋体"/>
          <w:color w:val="auto"/>
          <w:sz w:val="24"/>
          <w:u w:val="single"/>
        </w:rPr>
        <w:t>投标人须知资料表</w:t>
      </w:r>
      <w:r>
        <w:rPr>
          <w:rFonts w:hint="eastAsia" w:ascii="宋体" w:hAnsi="宋体" w:eastAsia="宋体" w:cs="宋体"/>
          <w:color w:val="auto"/>
          <w:sz w:val="24"/>
        </w:rPr>
        <w:t>中的规定提供复印件。</w:t>
      </w: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      2.复印件上应加盖本单位章。</w:t>
      </w:r>
    </w:p>
    <w:p>
      <w:pPr>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      3.如果是联合体投标，联合体各方均需提供上述证明。</w:t>
      </w:r>
    </w:p>
    <w:p>
      <w:pPr>
        <w:widowControl/>
        <w:jc w:val="left"/>
        <w:rPr>
          <w:rFonts w:hint="eastAsia" w:ascii="宋体" w:hAnsi="宋体" w:eastAsia="宋体" w:cs="宋体"/>
          <w:color w:val="auto"/>
          <w:sz w:val="24"/>
          <w:szCs w:val="22"/>
        </w:rPr>
      </w:pPr>
      <w:r>
        <w:rPr>
          <w:rFonts w:hint="eastAsia" w:ascii="宋体" w:hAnsi="宋体" w:eastAsia="宋体" w:cs="宋体"/>
          <w:b/>
          <w:color w:val="auto"/>
          <w:sz w:val="24"/>
          <w:szCs w:val="22"/>
        </w:rPr>
        <w:br w:type="page"/>
      </w:r>
    </w:p>
    <w:p>
      <w:pPr>
        <w:pStyle w:val="5"/>
        <w:spacing w:before="0" w:line="360" w:lineRule="exact"/>
        <w:ind w:left="741" w:leftChars="353"/>
        <w:jc w:val="both"/>
        <w:rPr>
          <w:rFonts w:hint="eastAsia" w:ascii="宋体" w:hAnsi="宋体" w:eastAsia="宋体" w:cs="宋体"/>
          <w:color w:val="auto"/>
          <w:sz w:val="24"/>
        </w:rPr>
      </w:pPr>
      <w:bookmarkStart w:id="381" w:name="_Toc108876191"/>
      <w:bookmarkStart w:id="382" w:name="_Toc108877101"/>
      <w:r>
        <w:rPr>
          <w:rFonts w:hint="eastAsia" w:ascii="宋体" w:hAnsi="宋体" w:eastAsia="宋体" w:cs="宋体"/>
          <w:color w:val="auto"/>
          <w:sz w:val="24"/>
        </w:rPr>
        <w:t>6、参加政府采购活动前3年内</w:t>
      </w:r>
      <w:bookmarkStart w:id="383" w:name="_Toc515647812"/>
      <w:bookmarkStart w:id="384" w:name="_Toc6008"/>
      <w:bookmarkStart w:id="385" w:name="_Toc1137"/>
      <w:r>
        <w:rPr>
          <w:rFonts w:hint="eastAsia" w:ascii="宋体" w:hAnsi="宋体" w:eastAsia="宋体" w:cs="宋体"/>
          <w:color w:val="auto"/>
          <w:sz w:val="24"/>
        </w:rPr>
        <w:t>在经营活动中没有重大违法记录的书面声明</w:t>
      </w:r>
      <w:bookmarkEnd w:id="370"/>
      <w:bookmarkEnd w:id="371"/>
      <w:bookmarkEnd w:id="372"/>
      <w:bookmarkEnd w:id="373"/>
      <w:bookmarkEnd w:id="374"/>
      <w:bookmarkEnd w:id="375"/>
      <w:bookmarkEnd w:id="383"/>
      <w:bookmarkEnd w:id="384"/>
      <w:bookmarkEnd w:id="385"/>
      <w:r>
        <w:rPr>
          <w:rFonts w:hint="eastAsia" w:ascii="宋体" w:hAnsi="宋体" w:eastAsia="宋体" w:cs="宋体"/>
          <w:color w:val="auto"/>
          <w:sz w:val="24"/>
        </w:rPr>
        <w:t>及反商业贿赂承诺书</w:t>
      </w:r>
      <w:bookmarkEnd w:id="381"/>
      <w:bookmarkEnd w:id="382"/>
    </w:p>
    <w:p>
      <w:pPr>
        <w:pStyle w:val="17"/>
        <w:tabs>
          <w:tab w:val="left" w:pos="5580"/>
        </w:tabs>
        <w:spacing w:line="360" w:lineRule="exact"/>
        <w:ind w:left="1079" w:leftChars="257" w:hanging="540"/>
        <w:jc w:val="center"/>
        <w:rPr>
          <w:rFonts w:hint="eastAsia" w:ascii="宋体" w:hAnsi="宋体" w:eastAsia="宋体" w:cs="宋体"/>
          <w:b/>
          <w:color w:val="auto"/>
          <w:sz w:val="24"/>
        </w:rPr>
      </w:pPr>
    </w:p>
    <w:p>
      <w:pPr>
        <w:pStyle w:val="17"/>
        <w:tabs>
          <w:tab w:val="left" w:pos="5580"/>
        </w:tabs>
        <w:spacing w:line="360" w:lineRule="exact"/>
        <w:ind w:left="1079" w:leftChars="257" w:hanging="540"/>
        <w:rPr>
          <w:rFonts w:hint="eastAsia" w:ascii="宋体" w:hAnsi="宋体" w:eastAsia="宋体" w:cs="宋体"/>
          <w:color w:val="auto"/>
          <w:sz w:val="24"/>
        </w:rPr>
      </w:pPr>
    </w:p>
    <w:p>
      <w:pPr>
        <w:pStyle w:val="17"/>
        <w:tabs>
          <w:tab w:val="left" w:pos="5580"/>
        </w:tabs>
        <w:spacing w:line="360" w:lineRule="exact"/>
        <w:ind w:left="1079" w:leftChars="257" w:hanging="540"/>
        <w:rPr>
          <w:rFonts w:hint="eastAsia" w:ascii="宋体" w:hAnsi="宋体" w:eastAsia="宋体" w:cs="宋体"/>
          <w:color w:val="auto"/>
          <w:sz w:val="24"/>
        </w:rPr>
      </w:pP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说明：1.供应商应按照相关法规规定如实作出说明。</w:t>
      </w:r>
    </w:p>
    <w:p>
      <w:pPr>
        <w:pStyle w:val="17"/>
        <w:tabs>
          <w:tab w:val="left" w:pos="5580"/>
        </w:tabs>
        <w:spacing w:line="360" w:lineRule="exact"/>
        <w:ind w:left="644" w:leftChars="307" w:firstLine="600" w:firstLineChars="250"/>
        <w:rPr>
          <w:rFonts w:hint="eastAsia" w:ascii="宋体" w:hAnsi="宋体" w:eastAsia="宋体" w:cs="宋体"/>
          <w:color w:val="auto"/>
          <w:sz w:val="24"/>
        </w:rPr>
      </w:pPr>
      <w:r>
        <w:rPr>
          <w:rFonts w:hint="eastAsia" w:ascii="宋体" w:hAnsi="宋体" w:eastAsia="宋体" w:cs="宋体"/>
          <w:color w:val="auto"/>
          <w:sz w:val="24"/>
        </w:rPr>
        <w:t>2．按照磋商文件的规定加盖单位章（自然人响应的无需盖章，需要签字）。</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      3.如果是联合体提交响应文件，联合体各方均需提供上述证明。</w:t>
      </w:r>
    </w:p>
    <w:p>
      <w:pPr>
        <w:widowControl/>
        <w:jc w:val="left"/>
        <w:rPr>
          <w:rFonts w:hint="eastAsia" w:ascii="宋体" w:hAnsi="宋体" w:eastAsia="宋体" w:cs="宋体"/>
          <w:color w:val="auto"/>
          <w:sz w:val="24"/>
          <w:szCs w:val="22"/>
        </w:rPr>
      </w:pPr>
      <w:bookmarkStart w:id="386" w:name="_Toc24488"/>
      <w:bookmarkStart w:id="387" w:name="_Toc11163"/>
      <w:bookmarkStart w:id="388" w:name="_Toc11862"/>
      <w:bookmarkStart w:id="389" w:name="_Toc15456"/>
      <w:bookmarkStart w:id="390" w:name="_Toc12185"/>
      <w:bookmarkStart w:id="391" w:name="_Toc17207"/>
      <w:bookmarkStart w:id="392" w:name="_Toc29703"/>
      <w:bookmarkStart w:id="393" w:name="_Toc32295"/>
      <w:bookmarkStart w:id="394" w:name="_Toc515647813"/>
      <w:r>
        <w:rPr>
          <w:rFonts w:hint="eastAsia" w:ascii="宋体" w:hAnsi="宋体" w:eastAsia="宋体" w:cs="宋体"/>
          <w:b/>
          <w:color w:val="auto"/>
          <w:sz w:val="24"/>
          <w:szCs w:val="22"/>
        </w:rPr>
        <w:br w:type="page"/>
      </w:r>
    </w:p>
    <w:p>
      <w:pPr>
        <w:pStyle w:val="5"/>
        <w:keepNext w:val="0"/>
        <w:keepLines w:val="0"/>
        <w:spacing w:before="0" w:line="240" w:lineRule="atLeast"/>
        <w:ind w:left="1079" w:leftChars="257" w:hanging="540"/>
        <w:rPr>
          <w:rFonts w:hint="eastAsia" w:ascii="宋体" w:hAnsi="宋体" w:eastAsia="宋体" w:cs="宋体"/>
          <w:color w:val="auto"/>
          <w:sz w:val="24"/>
        </w:rPr>
      </w:pPr>
      <w:bookmarkStart w:id="395" w:name="_Toc108876192"/>
      <w:bookmarkStart w:id="396" w:name="_Toc108877102"/>
      <w:r>
        <w:rPr>
          <w:rFonts w:hint="eastAsia" w:ascii="宋体" w:hAnsi="宋体" w:eastAsia="宋体" w:cs="宋体"/>
          <w:color w:val="auto"/>
          <w:sz w:val="24"/>
        </w:rPr>
        <w:t>7、具有良好的商业信誉和健全的财务会计制度的证明文件</w:t>
      </w:r>
      <w:bookmarkEnd w:id="395"/>
      <w:bookmarkEnd w:id="396"/>
    </w:p>
    <w:p>
      <w:pPr>
        <w:tabs>
          <w:tab w:val="left" w:pos="5580"/>
        </w:tabs>
        <w:spacing w:line="240" w:lineRule="atLeast"/>
        <w:ind w:left="1079" w:leftChars="257" w:hanging="540"/>
        <w:jc w:val="center"/>
        <w:rPr>
          <w:rFonts w:hint="eastAsia" w:ascii="宋体" w:hAnsi="宋体" w:eastAsia="宋体" w:cs="宋体"/>
          <w:b/>
          <w:color w:val="auto"/>
          <w:sz w:val="24"/>
        </w:rPr>
      </w:pPr>
    </w:p>
    <w:p>
      <w:pPr>
        <w:tabs>
          <w:tab w:val="left" w:pos="3060"/>
          <w:tab w:val="left" w:pos="5580"/>
        </w:tabs>
        <w:spacing w:line="240" w:lineRule="atLeast"/>
        <w:rPr>
          <w:rFonts w:hint="eastAsia" w:ascii="宋体" w:hAnsi="宋体" w:eastAsia="宋体" w:cs="宋体"/>
          <w:b/>
          <w:color w:val="auto"/>
          <w:sz w:val="24"/>
        </w:rPr>
      </w:pPr>
    </w:p>
    <w:p>
      <w:pPr>
        <w:tabs>
          <w:tab w:val="left" w:pos="5580"/>
        </w:tabs>
        <w:spacing w:line="240" w:lineRule="atLeast"/>
        <w:ind w:left="1079" w:leftChars="257" w:hanging="540"/>
        <w:jc w:val="center"/>
        <w:rPr>
          <w:rFonts w:hint="eastAsia" w:ascii="宋体" w:hAnsi="宋体" w:eastAsia="宋体" w:cs="宋体"/>
          <w:b/>
          <w:color w:val="auto"/>
          <w:sz w:val="24"/>
        </w:rPr>
      </w:pP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说明：</w:t>
      </w:r>
    </w:p>
    <w:p>
      <w:pPr>
        <w:pStyle w:val="17"/>
        <w:tabs>
          <w:tab w:val="left" w:pos="5580"/>
        </w:tabs>
        <w:spacing w:line="360" w:lineRule="exact"/>
        <w:ind w:left="1079" w:leftChars="257" w:hanging="540"/>
        <w:jc w:val="left"/>
        <w:rPr>
          <w:rFonts w:hint="eastAsia" w:ascii="宋体" w:hAnsi="宋体" w:eastAsia="宋体" w:cs="宋体"/>
          <w:color w:val="auto"/>
          <w:sz w:val="24"/>
        </w:rPr>
      </w:pPr>
      <w:r>
        <w:rPr>
          <w:rFonts w:hint="eastAsia" w:asciiTheme="minorEastAsia" w:hAnsiTheme="minorEastAsia" w:eastAsiaTheme="minorEastAsia" w:cstheme="minorEastAsia"/>
          <w:sz w:val="24"/>
          <w:szCs w:val="24"/>
        </w:rPr>
        <w:t>提供近两年任意一年财务审计报告；（新成立的公司须提供近一个月的银行资信证明）</w:t>
      </w:r>
      <w:r>
        <w:rPr>
          <w:rFonts w:hint="eastAsia" w:ascii="宋体" w:hAnsi="宋体" w:eastAsia="宋体" w:cs="宋体"/>
          <w:color w:val="auto"/>
          <w:sz w:val="24"/>
        </w:rPr>
        <w:t>；</w:t>
      </w:r>
    </w:p>
    <w:p>
      <w:pPr>
        <w:widowControl/>
        <w:jc w:val="left"/>
        <w:rPr>
          <w:rFonts w:hint="eastAsia" w:ascii="宋体" w:hAnsi="宋体" w:eastAsia="宋体" w:cs="宋体"/>
          <w:b/>
          <w:color w:val="auto"/>
          <w:kern w:val="0"/>
          <w:sz w:val="24"/>
          <w:szCs w:val="20"/>
        </w:rPr>
      </w:pPr>
      <w:r>
        <w:rPr>
          <w:rFonts w:hint="eastAsia" w:ascii="宋体" w:hAnsi="宋体" w:eastAsia="宋体" w:cs="宋体"/>
          <w:color w:val="auto"/>
          <w:sz w:val="24"/>
        </w:rPr>
        <w:br w:type="page"/>
      </w:r>
    </w:p>
    <w:p>
      <w:pPr>
        <w:jc w:val="center"/>
        <w:rPr>
          <w:rFonts w:hint="eastAsia" w:ascii="宋体" w:hAnsi="宋体" w:eastAsia="宋体" w:cs="宋体"/>
          <w:b/>
          <w:bCs/>
          <w:color w:val="auto"/>
          <w:sz w:val="24"/>
        </w:rPr>
      </w:pPr>
      <w:r>
        <w:rPr>
          <w:rFonts w:hint="eastAsia" w:ascii="宋体" w:hAnsi="宋体" w:eastAsia="宋体" w:cs="宋体"/>
          <w:color w:val="auto"/>
          <w:sz w:val="24"/>
        </w:rPr>
        <w:t>8、</w:t>
      </w:r>
      <w:bookmarkStart w:id="397" w:name="_Toc24428"/>
      <w:bookmarkStart w:id="398" w:name="_Toc515647811"/>
      <w:bookmarkStart w:id="399" w:name="_Toc12631"/>
      <w:bookmarkStart w:id="400" w:name="_Toc10692"/>
      <w:bookmarkStart w:id="401" w:name="_Toc522633283"/>
      <w:r>
        <w:rPr>
          <w:rFonts w:hint="eastAsia" w:ascii="宋体" w:hAnsi="宋体" w:eastAsia="宋体" w:cs="宋体"/>
          <w:b/>
          <w:bCs/>
          <w:color w:val="auto"/>
          <w:sz w:val="24"/>
        </w:rPr>
        <w:t>参加政府采购活动前3年内</w:t>
      </w:r>
      <w:bookmarkEnd w:id="397"/>
      <w:bookmarkEnd w:id="398"/>
      <w:r>
        <w:rPr>
          <w:rFonts w:hint="eastAsia" w:ascii="宋体" w:hAnsi="宋体" w:eastAsia="宋体" w:cs="宋体"/>
          <w:b/>
          <w:bCs/>
          <w:color w:val="auto"/>
          <w:sz w:val="24"/>
        </w:rPr>
        <w:t>在经营活动中没有重大违法记录的书面声明</w:t>
      </w:r>
      <w:bookmarkEnd w:id="399"/>
      <w:r>
        <w:rPr>
          <w:rFonts w:hint="eastAsia" w:ascii="宋体" w:hAnsi="宋体" w:eastAsia="宋体" w:cs="宋体"/>
          <w:b/>
          <w:bCs/>
          <w:color w:val="auto"/>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400"/>
      <w:bookmarkEnd w:id="401"/>
    </w:p>
    <w:p>
      <w:pPr>
        <w:pStyle w:val="17"/>
        <w:tabs>
          <w:tab w:val="left" w:pos="5580"/>
        </w:tabs>
        <w:spacing w:line="240" w:lineRule="atLeast"/>
        <w:ind w:left="1079" w:leftChars="257" w:hanging="540"/>
        <w:jc w:val="center"/>
        <w:rPr>
          <w:rFonts w:hint="eastAsia" w:ascii="宋体" w:hAnsi="宋体" w:eastAsia="宋体" w:cs="宋体"/>
          <w:b/>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p>
    <w:p>
      <w:pPr>
        <w:pStyle w:val="17"/>
        <w:tabs>
          <w:tab w:val="left" w:pos="5580"/>
        </w:tabs>
        <w:spacing w:line="240" w:lineRule="atLeast"/>
        <w:ind w:left="1079" w:leftChars="257" w:hanging="540"/>
        <w:rPr>
          <w:rFonts w:hint="eastAsia" w:ascii="宋体" w:hAnsi="宋体" w:eastAsia="宋体" w:cs="宋体"/>
          <w:color w:val="auto"/>
          <w:sz w:val="24"/>
        </w:rPr>
      </w:pPr>
      <w:r>
        <w:rPr>
          <w:rFonts w:hint="eastAsia" w:ascii="宋体" w:hAnsi="宋体" w:eastAsia="宋体" w:cs="宋体"/>
          <w:color w:val="auto"/>
          <w:sz w:val="24"/>
        </w:rPr>
        <w:t>说明：1.投标人应按照相关法规规定如实作出说明，并提供招标公告发布至投标截止时间前在上述网站查询结果截图。</w:t>
      </w:r>
    </w:p>
    <w:p>
      <w:pPr>
        <w:pStyle w:val="17"/>
        <w:tabs>
          <w:tab w:val="left" w:pos="5580"/>
        </w:tabs>
        <w:spacing w:line="240" w:lineRule="atLeast"/>
        <w:ind w:left="644" w:leftChars="307" w:firstLine="600" w:firstLineChars="250"/>
        <w:rPr>
          <w:rFonts w:hint="eastAsia" w:ascii="宋体" w:hAnsi="宋体" w:eastAsia="宋体" w:cs="宋体"/>
          <w:color w:val="auto"/>
          <w:sz w:val="24"/>
        </w:rPr>
      </w:pPr>
      <w:r>
        <w:rPr>
          <w:rFonts w:hint="eastAsia" w:ascii="宋体" w:hAnsi="宋体" w:eastAsia="宋体" w:cs="宋体"/>
          <w:color w:val="auto"/>
          <w:sz w:val="24"/>
        </w:rPr>
        <w:t>2．按照招标文件的规定加盖单位章（自然人投标的无需盖章，需要签字）。</w:t>
      </w:r>
    </w:p>
    <w:p>
      <w:pPr>
        <w:pStyle w:val="17"/>
        <w:tabs>
          <w:tab w:val="left" w:pos="5580"/>
        </w:tabs>
        <w:spacing w:line="240" w:lineRule="atLeast"/>
        <w:ind w:left="1079" w:leftChars="257" w:hanging="540"/>
        <w:rPr>
          <w:rFonts w:hint="eastAsia" w:ascii="宋体" w:hAnsi="宋体" w:eastAsia="宋体" w:cs="宋体"/>
          <w:color w:val="auto"/>
          <w:sz w:val="24"/>
        </w:rPr>
      </w:pPr>
    </w:p>
    <w:p>
      <w:pPr>
        <w:pStyle w:val="6"/>
        <w:rPr>
          <w:rFonts w:hint="eastAsia" w:ascii="宋体" w:hAnsi="宋体" w:eastAsia="宋体" w:cs="宋体"/>
          <w:color w:val="auto"/>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5"/>
        <w:spacing w:before="0" w:line="360" w:lineRule="exact"/>
        <w:rPr>
          <w:rFonts w:hint="eastAsia" w:ascii="宋体" w:hAnsi="宋体" w:eastAsia="宋体" w:cs="宋体"/>
          <w:color w:val="auto"/>
          <w:sz w:val="24"/>
        </w:rPr>
      </w:pPr>
      <w:bookmarkStart w:id="402" w:name="_Toc108876193"/>
      <w:bookmarkStart w:id="403" w:name="_Toc108877103"/>
      <w:r>
        <w:rPr>
          <w:rFonts w:hint="eastAsia" w:ascii="宋体" w:hAnsi="宋体" w:eastAsia="宋体" w:cs="宋体"/>
          <w:color w:val="auto"/>
          <w:sz w:val="24"/>
        </w:rPr>
        <w:t>9、供应商须知资料表要求的其他资格证明文件</w:t>
      </w:r>
      <w:bookmarkEnd w:id="386"/>
      <w:bookmarkEnd w:id="387"/>
      <w:bookmarkEnd w:id="388"/>
      <w:bookmarkEnd w:id="389"/>
      <w:bookmarkEnd w:id="390"/>
      <w:bookmarkEnd w:id="391"/>
      <w:bookmarkEnd w:id="392"/>
      <w:bookmarkEnd w:id="393"/>
      <w:bookmarkEnd w:id="394"/>
      <w:bookmarkEnd w:id="402"/>
      <w:bookmarkEnd w:id="403"/>
    </w:p>
    <w:p>
      <w:pPr>
        <w:spacing w:line="360" w:lineRule="exact"/>
        <w:ind w:left="1079" w:leftChars="257" w:hanging="540"/>
        <w:jc w:val="center"/>
        <w:rPr>
          <w:rFonts w:hint="eastAsia" w:ascii="宋体" w:hAnsi="宋体" w:eastAsia="宋体" w:cs="宋体"/>
          <w:b/>
          <w:bCs/>
          <w:color w:val="auto"/>
          <w:sz w:val="24"/>
        </w:rPr>
      </w:pPr>
    </w:p>
    <w:p>
      <w:pPr>
        <w:spacing w:line="360" w:lineRule="exact"/>
        <w:rPr>
          <w:rFonts w:hint="eastAsia" w:ascii="宋体" w:hAnsi="宋体" w:eastAsia="宋体" w:cs="宋体"/>
          <w:b/>
          <w:bCs/>
          <w:color w:val="auto"/>
          <w:sz w:val="24"/>
        </w:rPr>
      </w:pP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说明：1.应提供</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要求的其他资格证明文件。</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 xml:space="preserve">      2.复印件上应加盖本单位章（自然人响应的无需盖章，需要签字）。</w:t>
      </w:r>
    </w:p>
    <w:p>
      <w:pPr>
        <w:pStyle w:val="17"/>
        <w:tabs>
          <w:tab w:val="left" w:pos="5580"/>
        </w:tabs>
        <w:spacing w:line="360" w:lineRule="exact"/>
        <w:ind w:left="1260" w:leftChars="344" w:hanging="538"/>
        <w:rPr>
          <w:rFonts w:hint="eastAsia" w:ascii="宋体" w:hAnsi="宋体" w:eastAsia="宋体" w:cs="宋体"/>
          <w:color w:val="auto"/>
          <w:sz w:val="24"/>
        </w:rPr>
      </w:pPr>
      <w:r>
        <w:rPr>
          <w:rFonts w:hint="eastAsia" w:ascii="宋体" w:hAnsi="宋体" w:eastAsia="宋体" w:cs="宋体"/>
          <w:color w:val="auto"/>
          <w:sz w:val="24"/>
        </w:rPr>
        <w:t xml:space="preserve">     3. 如果是联合体提交响应文件，联合体各方需提供的满足磋商文件要求的其他资格证明文件。</w:t>
      </w:r>
    </w:p>
    <w:bookmarkEnd w:id="303"/>
    <w:bookmarkEnd w:id="304"/>
    <w:bookmarkEnd w:id="376"/>
    <w:bookmarkEnd w:id="377"/>
    <w:bookmarkEnd w:id="378"/>
    <w:p>
      <w:pPr>
        <w:widowControl/>
        <w:jc w:val="left"/>
        <w:rPr>
          <w:rFonts w:hint="eastAsia" w:ascii="宋体" w:hAnsi="宋体" w:eastAsia="宋体" w:cs="宋体"/>
          <w:color w:val="auto"/>
          <w:sz w:val="24"/>
          <w:szCs w:val="22"/>
        </w:rPr>
      </w:pPr>
      <w:bookmarkStart w:id="404" w:name="_Toc6295"/>
      <w:bookmarkStart w:id="405" w:name="_Toc23485"/>
      <w:bookmarkStart w:id="406" w:name="_Toc24267_WPSOffice_Level2"/>
      <w:bookmarkStart w:id="407" w:name="_Toc5279"/>
      <w:bookmarkStart w:id="408" w:name="_Toc9513_WPSOffice_Level2"/>
      <w:bookmarkStart w:id="409" w:name="_Toc26170"/>
      <w:bookmarkStart w:id="410" w:name="_Toc515647817"/>
      <w:bookmarkStart w:id="411" w:name="_Toc14915"/>
      <w:bookmarkStart w:id="412" w:name="_Toc23960"/>
      <w:bookmarkStart w:id="413" w:name="_Toc5068"/>
      <w:bookmarkStart w:id="414" w:name="_Toc2041"/>
      <w:r>
        <w:rPr>
          <w:rFonts w:hint="eastAsia" w:ascii="宋体" w:hAnsi="宋体" w:eastAsia="宋体" w:cs="宋体"/>
          <w:color w:val="auto"/>
          <w:sz w:val="24"/>
        </w:rPr>
        <w:br w:type="page"/>
      </w:r>
    </w:p>
    <w:p>
      <w:pPr>
        <w:pStyle w:val="17"/>
        <w:tabs>
          <w:tab w:val="left" w:pos="5580"/>
        </w:tabs>
        <w:spacing w:line="360" w:lineRule="exact"/>
        <w:ind w:left="1079" w:leftChars="257" w:hanging="540"/>
        <w:jc w:val="center"/>
        <w:outlineLvl w:val="1"/>
        <w:rPr>
          <w:rFonts w:hint="eastAsia" w:ascii="宋体" w:hAnsi="宋体" w:eastAsia="宋体" w:cs="宋体"/>
          <w:color w:val="auto"/>
          <w:sz w:val="24"/>
        </w:rPr>
      </w:pPr>
      <w:bookmarkStart w:id="415" w:name="_Toc108877104"/>
      <w:r>
        <w:rPr>
          <w:rFonts w:hint="eastAsia" w:ascii="宋体" w:hAnsi="宋体" w:eastAsia="宋体" w:cs="宋体"/>
          <w:b/>
          <w:color w:val="auto"/>
          <w:kern w:val="0"/>
          <w:sz w:val="24"/>
        </w:rPr>
        <w:t>第二部分商务及技术文件</w:t>
      </w:r>
      <w:bookmarkEnd w:id="404"/>
      <w:bookmarkEnd w:id="405"/>
      <w:bookmarkEnd w:id="406"/>
      <w:bookmarkEnd w:id="407"/>
      <w:bookmarkEnd w:id="408"/>
      <w:bookmarkEnd w:id="415"/>
    </w:p>
    <w:p>
      <w:pPr>
        <w:pStyle w:val="17"/>
        <w:numPr>
          <w:ilvl w:val="0"/>
          <w:numId w:val="6"/>
        </w:numPr>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磋商响应函（响应文件格式五）</w:t>
      </w:r>
    </w:p>
    <w:p>
      <w:pPr>
        <w:pStyle w:val="5"/>
        <w:spacing w:before="0" w:line="240" w:lineRule="atLeast"/>
        <w:ind w:firstLine="720" w:firstLineChars="300"/>
        <w:jc w:val="both"/>
        <w:rPr>
          <w:rFonts w:hint="eastAsia" w:ascii="宋体" w:hAnsi="宋体" w:eastAsia="宋体" w:cs="宋体"/>
          <w:b w:val="0"/>
          <w:color w:val="auto"/>
          <w:kern w:val="2"/>
          <w:sz w:val="24"/>
          <w:szCs w:val="22"/>
        </w:rPr>
      </w:pPr>
      <w:bookmarkStart w:id="416" w:name="_Toc108876195"/>
      <w:bookmarkStart w:id="417" w:name="_Toc108877105"/>
      <w:r>
        <w:rPr>
          <w:rFonts w:hint="eastAsia" w:ascii="宋体" w:hAnsi="宋体" w:eastAsia="宋体" w:cs="宋体"/>
          <w:b w:val="0"/>
          <w:color w:val="auto"/>
          <w:kern w:val="2"/>
          <w:sz w:val="24"/>
          <w:szCs w:val="22"/>
        </w:rPr>
        <w:t>2、投标保证金缴纳凭证复印件或投标担保函</w:t>
      </w:r>
      <w:bookmarkEnd w:id="416"/>
      <w:bookmarkEnd w:id="417"/>
    </w:p>
    <w:p>
      <w:pPr>
        <w:pStyle w:val="17"/>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3、投标分项报价表（投标文件格式五）</w:t>
      </w:r>
    </w:p>
    <w:p>
      <w:pPr>
        <w:pStyle w:val="17"/>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4、商务条款偏离表（响应文件格式十）</w:t>
      </w:r>
    </w:p>
    <w:p>
      <w:pPr>
        <w:pStyle w:val="17"/>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5、</w:t>
      </w:r>
      <w:bookmarkStart w:id="839" w:name="_GoBack"/>
      <w:bookmarkEnd w:id="839"/>
      <w:r>
        <w:rPr>
          <w:rFonts w:hint="eastAsia" w:ascii="宋体" w:hAnsi="宋体" w:eastAsia="宋体" w:cs="宋体"/>
          <w:color w:val="auto"/>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7"/>
        <w:spacing w:line="360" w:lineRule="exact"/>
        <w:ind w:firstLine="720" w:firstLineChars="300"/>
        <w:outlineLvl w:val="1"/>
        <w:rPr>
          <w:rFonts w:hint="eastAsia" w:ascii="宋体" w:hAnsi="宋体" w:eastAsia="宋体" w:cs="宋体"/>
          <w:color w:val="auto"/>
          <w:sz w:val="24"/>
        </w:rPr>
      </w:pPr>
      <w:bookmarkStart w:id="418" w:name="_Toc31905_WPSOffice_Level2"/>
      <w:bookmarkStart w:id="419" w:name="_Toc108877106"/>
      <w:bookmarkStart w:id="420" w:name="_Toc10232_WPSOffice_Level2"/>
      <w:bookmarkStart w:id="421" w:name="_Toc108876196"/>
      <w:r>
        <w:rPr>
          <w:rFonts w:hint="eastAsia" w:ascii="宋体" w:hAnsi="宋体" w:eastAsia="宋体" w:cs="宋体"/>
          <w:color w:val="auto"/>
          <w:sz w:val="24"/>
        </w:rPr>
        <w:t>5-1《供应商企业（单位）类型声明函》（响应文件格式十一）</w:t>
      </w:r>
      <w:bookmarkEnd w:id="418"/>
      <w:bookmarkEnd w:id="419"/>
      <w:bookmarkEnd w:id="420"/>
      <w:bookmarkEnd w:id="421"/>
    </w:p>
    <w:p>
      <w:pPr>
        <w:pStyle w:val="17"/>
        <w:spacing w:line="360" w:lineRule="exact"/>
        <w:ind w:firstLine="720" w:firstLineChars="300"/>
        <w:outlineLvl w:val="1"/>
        <w:rPr>
          <w:rFonts w:hint="eastAsia" w:ascii="宋体" w:hAnsi="宋体" w:eastAsia="宋体" w:cs="宋体"/>
          <w:color w:val="auto"/>
          <w:sz w:val="24"/>
        </w:rPr>
      </w:pPr>
      <w:bookmarkStart w:id="422" w:name="_Toc108877107"/>
      <w:bookmarkStart w:id="423" w:name="_Toc108876197"/>
      <w:bookmarkStart w:id="424" w:name="_Toc2883_WPSOffice_Level2"/>
      <w:bookmarkStart w:id="425" w:name="_Toc30193_WPSOffice_Level2"/>
      <w:r>
        <w:rPr>
          <w:rFonts w:hint="eastAsia" w:ascii="宋体" w:hAnsi="宋体" w:eastAsia="宋体" w:cs="宋体"/>
          <w:color w:val="auto"/>
          <w:sz w:val="24"/>
        </w:rPr>
        <w:t>5-2《制造商供应商企业（单位）类型声明函》（响应文件格式十二）</w:t>
      </w:r>
      <w:bookmarkEnd w:id="422"/>
      <w:bookmarkEnd w:id="423"/>
      <w:bookmarkEnd w:id="424"/>
      <w:bookmarkEnd w:id="425"/>
    </w:p>
    <w:p>
      <w:pPr>
        <w:pStyle w:val="17"/>
        <w:spacing w:line="360" w:lineRule="exact"/>
        <w:ind w:firstLine="720" w:firstLineChars="300"/>
        <w:outlineLvl w:val="1"/>
        <w:rPr>
          <w:rFonts w:hint="eastAsia" w:ascii="宋体" w:hAnsi="宋体" w:eastAsia="宋体" w:cs="宋体"/>
          <w:color w:val="auto"/>
          <w:sz w:val="24"/>
        </w:rPr>
      </w:pPr>
      <w:bookmarkStart w:id="426" w:name="_Toc2617_WPSOffice_Level2"/>
      <w:bookmarkStart w:id="427" w:name="_Toc12463_WPSOffice_Level2"/>
      <w:bookmarkStart w:id="428" w:name="_Toc108876198"/>
      <w:bookmarkStart w:id="429" w:name="_Toc108877108"/>
      <w:r>
        <w:rPr>
          <w:rFonts w:hint="eastAsia" w:ascii="宋体" w:hAnsi="宋体" w:eastAsia="宋体" w:cs="宋体"/>
          <w:color w:val="auto"/>
          <w:sz w:val="24"/>
        </w:rPr>
        <w:t>5-3《残疾人福利性单位声明函》（响应文件格式十三）</w:t>
      </w:r>
      <w:bookmarkEnd w:id="426"/>
      <w:bookmarkEnd w:id="427"/>
      <w:bookmarkEnd w:id="428"/>
      <w:bookmarkEnd w:id="429"/>
    </w:p>
    <w:p>
      <w:pPr>
        <w:pStyle w:val="17"/>
        <w:spacing w:line="360" w:lineRule="exact"/>
        <w:ind w:firstLine="720" w:firstLineChars="300"/>
        <w:outlineLvl w:val="2"/>
        <w:rPr>
          <w:rFonts w:hint="eastAsia" w:ascii="宋体" w:hAnsi="宋体" w:eastAsia="宋体" w:cs="宋体"/>
          <w:color w:val="auto"/>
          <w:sz w:val="24"/>
        </w:rPr>
      </w:pPr>
      <w:r>
        <w:rPr>
          <w:rFonts w:hint="eastAsia" w:ascii="宋体" w:hAnsi="宋体" w:eastAsia="宋体" w:cs="宋体"/>
          <w:color w:val="auto"/>
          <w:sz w:val="24"/>
        </w:rPr>
        <w:t>6、供应商关联单位的说明（格式自拟）</w:t>
      </w:r>
    </w:p>
    <w:p>
      <w:pPr>
        <w:pStyle w:val="17"/>
        <w:spacing w:line="360" w:lineRule="exact"/>
        <w:ind w:firstLine="720" w:firstLineChars="300"/>
        <w:outlineLvl w:val="2"/>
        <w:rPr>
          <w:rFonts w:hint="eastAsia" w:ascii="宋体" w:hAnsi="宋体" w:eastAsia="宋体" w:cs="宋体"/>
          <w:color w:val="auto"/>
          <w:sz w:val="24"/>
        </w:rPr>
      </w:pPr>
      <w:r>
        <w:rPr>
          <w:rFonts w:hint="eastAsia" w:ascii="宋体" w:hAnsi="宋体" w:eastAsia="宋体" w:cs="宋体"/>
          <w:color w:val="auto"/>
          <w:sz w:val="24"/>
        </w:rPr>
        <w:t>7、响应文件还应包括供应商须知第10条的所有技术文件</w:t>
      </w:r>
    </w:p>
    <w:p>
      <w:pPr>
        <w:pStyle w:val="17"/>
        <w:spacing w:line="360" w:lineRule="exact"/>
        <w:ind w:firstLine="720" w:firstLineChars="300"/>
        <w:outlineLvl w:val="2"/>
        <w:rPr>
          <w:rFonts w:hint="eastAsia" w:ascii="宋体" w:hAnsi="宋体" w:eastAsia="宋体" w:cs="宋体"/>
          <w:color w:val="auto"/>
          <w:sz w:val="24"/>
        </w:rPr>
      </w:pPr>
      <w:r>
        <w:rPr>
          <w:rFonts w:hint="eastAsia" w:ascii="宋体" w:hAnsi="宋体" w:eastAsia="宋体" w:cs="宋体"/>
          <w:color w:val="auto"/>
          <w:sz w:val="24"/>
        </w:rPr>
        <w:t>8、其他有利于磋商响应的技术条件</w:t>
      </w:r>
    </w:p>
    <w:p>
      <w:pPr>
        <w:pStyle w:val="17"/>
        <w:spacing w:line="360" w:lineRule="exact"/>
        <w:ind w:firstLine="720" w:firstLineChars="300"/>
        <w:outlineLvl w:val="2"/>
        <w:rPr>
          <w:rFonts w:hint="eastAsia" w:ascii="宋体" w:hAnsi="宋体" w:eastAsia="宋体" w:cs="宋体"/>
          <w:color w:val="auto"/>
          <w:sz w:val="24"/>
        </w:rPr>
      </w:pPr>
      <w:r>
        <w:rPr>
          <w:rFonts w:hint="eastAsia" w:ascii="宋体" w:hAnsi="宋体" w:eastAsia="宋体" w:cs="宋体"/>
          <w:color w:val="auto"/>
          <w:sz w:val="24"/>
        </w:rPr>
        <w:t>9、响应文件格式范本</w:t>
      </w:r>
    </w:p>
    <w:p>
      <w:pPr>
        <w:widowControl/>
        <w:jc w:val="left"/>
        <w:rPr>
          <w:rFonts w:hint="eastAsia" w:ascii="宋体" w:hAnsi="宋体" w:eastAsia="宋体" w:cs="宋体"/>
          <w:color w:val="auto"/>
          <w:sz w:val="24"/>
          <w:szCs w:val="22"/>
        </w:rPr>
      </w:pPr>
      <w:bookmarkStart w:id="430" w:name="_Toc28097"/>
      <w:r>
        <w:rPr>
          <w:rFonts w:hint="eastAsia" w:ascii="宋体" w:hAnsi="宋体" w:eastAsia="宋体" w:cs="宋体"/>
          <w:b/>
          <w:color w:val="auto"/>
          <w:sz w:val="24"/>
          <w:szCs w:val="22"/>
        </w:rPr>
        <w:br w:type="page"/>
      </w:r>
    </w:p>
    <w:p>
      <w:pPr>
        <w:pStyle w:val="5"/>
        <w:spacing w:before="0" w:line="360" w:lineRule="exact"/>
        <w:ind w:left="1079" w:leftChars="257" w:hanging="540"/>
        <w:rPr>
          <w:rFonts w:hint="eastAsia" w:ascii="宋体" w:hAnsi="宋体" w:eastAsia="宋体" w:cs="宋体"/>
          <w:color w:val="auto"/>
          <w:sz w:val="24"/>
        </w:rPr>
      </w:pPr>
      <w:bookmarkStart w:id="431" w:name="_Toc108876199"/>
      <w:bookmarkStart w:id="432" w:name="_Toc108877109"/>
      <w:r>
        <w:rPr>
          <w:rFonts w:hint="eastAsia" w:ascii="宋体" w:hAnsi="宋体" w:eastAsia="宋体" w:cs="宋体"/>
          <w:color w:val="auto"/>
          <w:sz w:val="24"/>
        </w:rPr>
        <w:t xml:space="preserve">1   </w:t>
      </w:r>
      <w:bookmarkEnd w:id="305"/>
      <w:bookmarkEnd w:id="306"/>
      <w:bookmarkEnd w:id="307"/>
      <w:bookmarkStart w:id="433" w:name="_Hlt520355504"/>
      <w:bookmarkEnd w:id="433"/>
      <w:r>
        <w:rPr>
          <w:rFonts w:hint="eastAsia" w:ascii="宋体" w:hAnsi="宋体" w:eastAsia="宋体" w:cs="宋体"/>
          <w:color w:val="auto"/>
          <w:sz w:val="24"/>
        </w:rPr>
        <w:t>磋商响应函（响应文件格式五）</w:t>
      </w:r>
      <w:bookmarkEnd w:id="308"/>
      <w:bookmarkEnd w:id="409"/>
      <w:bookmarkEnd w:id="410"/>
      <w:bookmarkEnd w:id="411"/>
      <w:bookmarkEnd w:id="412"/>
      <w:bookmarkEnd w:id="413"/>
      <w:bookmarkEnd w:id="414"/>
      <w:bookmarkEnd w:id="430"/>
      <w:bookmarkEnd w:id="431"/>
      <w:bookmarkEnd w:id="432"/>
    </w:p>
    <w:p>
      <w:pPr>
        <w:tabs>
          <w:tab w:val="left" w:pos="5580"/>
        </w:tabs>
        <w:spacing w:line="360" w:lineRule="exact"/>
        <w:ind w:left="1079" w:leftChars="257" w:hanging="540"/>
        <w:rPr>
          <w:rFonts w:hint="eastAsia" w:ascii="宋体" w:hAnsi="宋体" w:eastAsia="宋体" w:cs="宋体"/>
          <w:color w:val="auto"/>
          <w:sz w:val="24"/>
        </w:rPr>
      </w:pPr>
    </w:p>
    <w:p>
      <w:pPr>
        <w:tabs>
          <w:tab w:val="left" w:pos="5580"/>
        </w:tabs>
        <w:spacing w:line="360" w:lineRule="exact"/>
        <w:ind w:left="1080" w:hanging="1080"/>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采购方</w:t>
      </w:r>
    </w:p>
    <w:p>
      <w:pPr>
        <w:pStyle w:val="17"/>
        <w:tabs>
          <w:tab w:val="left" w:pos="5580"/>
        </w:tabs>
        <w:spacing w:line="360" w:lineRule="exact"/>
        <w:ind w:left="1079" w:leftChars="257" w:hanging="540"/>
        <w:rPr>
          <w:rFonts w:hint="eastAsia" w:ascii="宋体" w:hAnsi="宋体" w:eastAsia="宋体" w:cs="宋体"/>
          <w:color w:val="auto"/>
          <w:sz w:val="24"/>
        </w:rPr>
      </w:pPr>
    </w:p>
    <w:p>
      <w:pPr>
        <w:pStyle w:val="17"/>
        <w:tabs>
          <w:tab w:val="left" w:pos="5580"/>
        </w:tabs>
        <w:spacing w:line="360" w:lineRule="exact"/>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color w:val="auto"/>
          <w:sz w:val="24"/>
          <w:u w:val="single"/>
        </w:rPr>
        <w:t>项目名称</w:t>
      </w:r>
      <w:r>
        <w:rPr>
          <w:rFonts w:hint="eastAsia" w:ascii="宋体" w:hAnsi="宋体" w:eastAsia="宋体" w:cs="宋体"/>
          <w:color w:val="auto"/>
          <w:sz w:val="24"/>
        </w:rPr>
        <w:t>)项目的磋商邀请(</w:t>
      </w:r>
      <w:r>
        <w:rPr>
          <w:rFonts w:hint="eastAsia" w:ascii="宋体" w:hAnsi="宋体" w:eastAsia="宋体" w:cs="宋体"/>
          <w:color w:val="auto"/>
          <w:sz w:val="24"/>
          <w:u w:val="single"/>
        </w:rPr>
        <w:t>磋商文件编号</w:t>
      </w:r>
      <w:r>
        <w:rPr>
          <w:rFonts w:hint="eastAsia" w:ascii="宋体" w:hAnsi="宋体" w:eastAsia="宋体" w:cs="宋体"/>
          <w:color w:val="auto"/>
          <w:sz w:val="24"/>
        </w:rPr>
        <w:t>),签字代表(</w:t>
      </w:r>
      <w:r>
        <w:rPr>
          <w:rFonts w:hint="eastAsia" w:ascii="宋体" w:hAnsi="宋体" w:eastAsia="宋体" w:cs="宋体"/>
          <w:color w:val="auto"/>
          <w:sz w:val="24"/>
          <w:u w:val="single"/>
        </w:rPr>
        <w:t>姓名、职务</w:t>
      </w:r>
      <w:r>
        <w:rPr>
          <w:rFonts w:hint="eastAsia" w:ascii="宋体" w:hAnsi="宋体" w:eastAsia="宋体" w:cs="宋体"/>
          <w:color w:val="auto"/>
          <w:sz w:val="24"/>
        </w:rPr>
        <w:t>)经正式授权并代表供应商（</w:t>
      </w:r>
      <w:r>
        <w:rPr>
          <w:rFonts w:hint="eastAsia" w:ascii="宋体" w:hAnsi="宋体" w:eastAsia="宋体" w:cs="宋体"/>
          <w:color w:val="auto"/>
          <w:sz w:val="24"/>
          <w:u w:val="single"/>
        </w:rPr>
        <w:t>名称、地址</w:t>
      </w:r>
      <w:r>
        <w:rPr>
          <w:rFonts w:hint="eastAsia" w:ascii="宋体" w:hAnsi="宋体" w:eastAsia="宋体" w:cs="宋体"/>
          <w:color w:val="auto"/>
          <w:sz w:val="24"/>
        </w:rPr>
        <w:t>）提交下述文件正本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份及电子文档 </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份，并以形式出具的金额为人民币</w:t>
      </w:r>
      <w:r>
        <w:rPr>
          <w:rFonts w:hint="eastAsia" w:ascii="宋体" w:hAnsi="宋体" w:eastAsia="宋体" w:cs="宋体"/>
          <w:color w:val="auto"/>
          <w:sz w:val="24"/>
          <w:u w:val="single"/>
        </w:rPr>
        <w:t>　　　　</w:t>
      </w:r>
      <w:r>
        <w:rPr>
          <w:rFonts w:hint="eastAsia" w:ascii="宋体" w:hAnsi="宋体" w:eastAsia="宋体" w:cs="宋体"/>
          <w:color w:val="auto"/>
          <w:sz w:val="24"/>
        </w:rPr>
        <w:t>元的磋商保证金。</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据此，签字代表宣布同意如下：</w:t>
      </w:r>
    </w:p>
    <w:p>
      <w:pPr>
        <w:pStyle w:val="17"/>
        <w:tabs>
          <w:tab w:val="left" w:pos="720"/>
          <w:tab w:val="left" w:pos="900"/>
        </w:tabs>
        <w:spacing w:line="360" w:lineRule="exact"/>
        <w:ind w:left="768" w:leftChars="257" w:hanging="229"/>
        <w:rPr>
          <w:rFonts w:hint="eastAsia" w:ascii="宋体" w:hAnsi="宋体" w:eastAsia="宋体" w:cs="宋体"/>
          <w:color w:val="auto"/>
          <w:sz w:val="24"/>
          <w:u w:val="single"/>
        </w:rPr>
      </w:pPr>
      <w:r>
        <w:rPr>
          <w:rFonts w:hint="eastAsia" w:ascii="宋体" w:hAnsi="宋体" w:eastAsia="宋体" w:cs="宋体"/>
          <w:color w:val="auto"/>
          <w:sz w:val="24"/>
        </w:rPr>
        <w:t>（1）附报价价格表中规定的应提供服务的报价总价详见报价一览表，</w:t>
      </w:r>
      <w:r>
        <w:rPr>
          <w:rFonts w:hint="eastAsia" w:ascii="宋体" w:hAnsi="宋体" w:eastAsia="宋体" w:cs="宋体"/>
          <w:color w:val="auto"/>
          <w:sz w:val="24"/>
          <w:u w:val="single"/>
        </w:rPr>
        <w:t>其中由小型和</w:t>
      </w:r>
      <w:r>
        <w:rPr>
          <w:rFonts w:hint="eastAsia" w:ascii="宋体" w:hAnsi="宋体" w:eastAsia="宋体" w:cs="宋体"/>
          <w:color w:val="auto"/>
          <w:sz w:val="24"/>
        </w:rPr>
        <w:t>微型企业制造产品的价格为</w:t>
      </w:r>
      <w:r>
        <w:rPr>
          <w:rFonts w:hint="eastAsia" w:ascii="宋体" w:hAnsi="宋体" w:eastAsia="宋体" w:cs="宋体"/>
          <w:color w:val="auto"/>
          <w:sz w:val="24"/>
          <w:u w:val="single"/>
        </w:rPr>
        <w:t>　　（用文字和数字表示），占报价总价   %</w:t>
      </w:r>
      <w:r>
        <w:rPr>
          <w:rFonts w:hint="eastAsia" w:ascii="宋体" w:hAnsi="宋体" w:eastAsia="宋体" w:cs="宋体"/>
          <w:color w:val="auto"/>
          <w:sz w:val="24"/>
        </w:rPr>
        <w:t>。</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（2）本磋商文件有效期为自递交响应文件截止之日起个</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日历日。</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（3）联合体中的大中型企业和其他自然人、法人或者非法人组织，与联合体中的小型、微型企业之间</w:t>
      </w:r>
      <w:r>
        <w:rPr>
          <w:rFonts w:hint="eastAsia" w:ascii="宋体" w:hAnsi="宋体" w:eastAsia="宋体" w:cs="宋体"/>
          <w:color w:val="auto"/>
          <w:sz w:val="24"/>
          <w:u w:val="single"/>
        </w:rPr>
        <w:t>（</w:t>
      </w:r>
      <w:r>
        <w:rPr>
          <w:rFonts w:hint="eastAsia" w:ascii="宋体" w:hAnsi="宋体" w:eastAsia="宋体" w:cs="宋体"/>
          <w:color w:val="auto"/>
          <w:sz w:val="24"/>
        </w:rPr>
        <w:t>存在、不存在）投资关系（如果是联合体的话）。</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（4）已详细审查全部磋商文件，包括所有补充通知（如果有的话），完全理解并同意放弃对这方面有不明、误解和质疑的权力。</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（5）在规定的递交响应文件时间后，遵守磋商文件中有关保证金的规定。</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（6）我方不是为本项目提供整体设计、规范编制或者项目管理、监理、检测等服务的供应商，我方不是采购代理机构的附属机构。</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（7）在领取成交通知书的同时按磋商文件规定的形式，向贵方一次性支付成交服务费。</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（8）按照贵方可能要求，提供与其响应文件有关的一切数据或资料，完全理解贵方不一定接受最低价的报价或收到的任何响应文件。</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（9）按照磋商文件的规定履行合同责任和义务。</w:t>
      </w:r>
    </w:p>
    <w:p>
      <w:pPr>
        <w:pStyle w:val="17"/>
        <w:tabs>
          <w:tab w:val="left" w:pos="5580"/>
        </w:tabs>
        <w:spacing w:line="360" w:lineRule="exact"/>
        <w:ind w:left="358" w:leftChars="68" w:hanging="216" w:hangingChars="90"/>
        <w:rPr>
          <w:rFonts w:hint="eastAsia" w:ascii="宋体" w:hAnsi="宋体" w:eastAsia="宋体" w:cs="宋体"/>
          <w:color w:val="auto"/>
          <w:sz w:val="24"/>
        </w:rPr>
      </w:pPr>
      <w:r>
        <w:rPr>
          <w:rFonts w:hint="eastAsia" w:ascii="宋体" w:hAnsi="宋体" w:eastAsia="宋体" w:cs="宋体"/>
          <w:color w:val="auto"/>
          <w:sz w:val="24"/>
        </w:rPr>
        <w:t>与本磋商文件有关的一切正式往来信函请寄：</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地址传真</w:t>
      </w:r>
    </w:p>
    <w:p>
      <w:pPr>
        <w:pStyle w:val="17"/>
        <w:tabs>
          <w:tab w:val="left" w:pos="5580"/>
        </w:tabs>
        <w:spacing w:line="360" w:lineRule="exact"/>
        <w:ind w:left="1079" w:leftChars="257" w:hanging="540"/>
        <w:rPr>
          <w:rFonts w:hint="eastAsia" w:ascii="宋体" w:hAnsi="宋体" w:eastAsia="宋体" w:cs="宋体"/>
          <w:b/>
          <w:color w:val="auto"/>
          <w:sz w:val="24"/>
        </w:rPr>
      </w:pPr>
      <w:r>
        <w:rPr>
          <w:rFonts w:hint="eastAsia" w:ascii="宋体" w:hAnsi="宋体" w:eastAsia="宋体" w:cs="宋体"/>
          <w:color w:val="auto"/>
          <w:sz w:val="24"/>
        </w:rPr>
        <w:t>电话电子函件</w:t>
      </w:r>
    </w:p>
    <w:p>
      <w:pPr>
        <w:pStyle w:val="17"/>
        <w:tabs>
          <w:tab w:val="left" w:pos="5580"/>
        </w:tabs>
        <w:spacing w:line="360" w:lineRule="exact"/>
        <w:ind w:left="1079" w:leftChars="257" w:hanging="540"/>
        <w:rPr>
          <w:rFonts w:hint="eastAsia" w:ascii="宋体" w:hAnsi="宋体" w:eastAsia="宋体" w:cs="宋体"/>
          <w:color w:val="auto"/>
          <w:sz w:val="24"/>
        </w:rPr>
      </w:pP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法定代表人或其委托代理人签字-----------------</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供应商名称（全称）-----------------</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供应商开户银行（全称）</w:t>
      </w:r>
      <w:r>
        <w:rPr>
          <w:rFonts w:hint="eastAsia" w:ascii="宋体" w:hAnsi="宋体" w:eastAsia="宋体" w:cs="宋体"/>
          <w:color w:val="auto"/>
          <w:sz w:val="24"/>
          <w:u w:val="single"/>
        </w:rPr>
        <w:t>　　　　　　</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供应商银行帐号</w:t>
      </w:r>
      <w:r>
        <w:rPr>
          <w:rFonts w:hint="eastAsia" w:ascii="宋体" w:hAnsi="宋体" w:eastAsia="宋体" w:cs="宋体"/>
          <w:color w:val="auto"/>
          <w:sz w:val="24"/>
          <w:u w:val="single"/>
        </w:rPr>
        <w:t>　　　　　　　　　　</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供应商单位章-------------------------</w:t>
      </w:r>
    </w:p>
    <w:p>
      <w:pPr>
        <w:pStyle w:val="17"/>
        <w:tabs>
          <w:tab w:val="left" w:pos="5580"/>
        </w:tabs>
        <w:spacing w:line="360" w:lineRule="exact"/>
        <w:ind w:left="1079" w:leftChars="257" w:hanging="540"/>
        <w:rPr>
          <w:rFonts w:hint="eastAsia" w:ascii="宋体" w:hAnsi="宋体" w:eastAsia="宋体" w:cs="宋体"/>
          <w:color w:val="auto"/>
          <w:sz w:val="24"/>
        </w:rPr>
      </w:pPr>
      <w:r>
        <w:rPr>
          <w:rFonts w:hint="eastAsia" w:ascii="宋体" w:hAnsi="宋体" w:eastAsia="宋体" w:cs="宋体"/>
          <w:color w:val="auto"/>
          <w:sz w:val="24"/>
        </w:rPr>
        <w:t>日期-------------------------------</w:t>
      </w:r>
    </w:p>
    <w:p>
      <w:pPr>
        <w:spacing w:line="360" w:lineRule="exact"/>
        <w:rPr>
          <w:rFonts w:hint="eastAsia" w:ascii="宋体" w:hAnsi="宋体" w:eastAsia="宋体" w:cs="宋体"/>
          <w:color w:val="auto"/>
        </w:rPr>
        <w:sectPr>
          <w:footerReference r:id="rId7" w:type="default"/>
          <w:pgSz w:w="11906" w:h="16838"/>
          <w:pgMar w:top="1440" w:right="1576" w:bottom="1440" w:left="1576" w:header="851" w:footer="992" w:gutter="0"/>
          <w:cols w:space="720" w:num="1"/>
          <w:docGrid w:type="linesAndChars" w:linePitch="312" w:charSpace="0"/>
        </w:sectPr>
      </w:pPr>
    </w:p>
    <w:p>
      <w:pPr>
        <w:pStyle w:val="5"/>
        <w:spacing w:before="0" w:line="240" w:lineRule="atLeast"/>
        <w:ind w:left="1079" w:leftChars="257" w:hanging="540"/>
        <w:rPr>
          <w:rFonts w:hint="eastAsia" w:ascii="宋体" w:hAnsi="宋体" w:eastAsia="宋体" w:cs="宋体"/>
          <w:color w:val="auto"/>
          <w:sz w:val="24"/>
        </w:rPr>
      </w:pPr>
      <w:bookmarkStart w:id="434" w:name="_Hlt520355938"/>
      <w:bookmarkEnd w:id="434"/>
      <w:bookmarkStart w:id="435" w:name="_Hlt520356243"/>
      <w:bookmarkEnd w:id="435"/>
      <w:bookmarkStart w:id="436" w:name="_Toc108876200"/>
      <w:bookmarkStart w:id="437" w:name="_Toc518923117"/>
      <w:bookmarkStart w:id="438" w:name="_Toc108877110"/>
      <w:bookmarkStart w:id="439" w:name="_Toc24886"/>
      <w:bookmarkStart w:id="440" w:name="_Toc28959"/>
      <w:bookmarkStart w:id="441" w:name="_Toc1399"/>
      <w:bookmarkStart w:id="442" w:name="_Toc515647820"/>
      <w:bookmarkStart w:id="443" w:name="_Toc22563"/>
      <w:bookmarkStart w:id="444" w:name="_Toc24837"/>
      <w:bookmarkStart w:id="445" w:name="_Toc23925"/>
      <w:bookmarkStart w:id="446" w:name="_Toc13833"/>
      <w:bookmarkStart w:id="447" w:name="_Toc216582817"/>
      <w:r>
        <w:rPr>
          <w:rFonts w:hint="eastAsia" w:ascii="宋体" w:hAnsi="宋体" w:eastAsia="宋体" w:cs="宋体"/>
          <w:color w:val="auto"/>
          <w:sz w:val="24"/>
        </w:rPr>
        <w:t>2   投标保证金缴纳凭证复印件或投标担保函</w:t>
      </w:r>
      <w:bookmarkEnd w:id="436"/>
      <w:bookmarkEnd w:id="437"/>
      <w:bookmarkEnd w:id="438"/>
      <w:bookmarkEnd w:id="439"/>
    </w:p>
    <w:p>
      <w:pPr>
        <w:ind w:firstLine="420" w:firstLineChars="200"/>
        <w:rPr>
          <w:rFonts w:hint="eastAsia" w:ascii="宋体" w:hAnsi="宋体" w:eastAsia="宋体" w:cs="宋体"/>
          <w:color w:val="auto"/>
          <w:sz w:val="24"/>
        </w:rPr>
      </w:pPr>
      <w:bookmarkStart w:id="448" w:name="_Toc494296665"/>
      <w:bookmarkStart w:id="449" w:name="_Toc494296991"/>
      <w:r>
        <w:rPr>
          <w:rFonts w:hint="eastAsia" w:ascii="宋体" w:hAnsi="宋体" w:eastAsia="宋体" w:cs="宋体"/>
          <w:color w:val="auto"/>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448"/>
      <w:bookmarkEnd w:id="449"/>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政府采购投标担保函（项目用）（投标文件格式四）</w:t>
      </w:r>
    </w:p>
    <w:p>
      <w:pPr>
        <w:ind w:firstLine="6720" w:firstLineChars="3200"/>
        <w:rPr>
          <w:rFonts w:hint="eastAsia" w:ascii="宋体" w:hAnsi="宋体" w:eastAsia="宋体" w:cs="宋体"/>
          <w:color w:val="auto"/>
        </w:rPr>
      </w:pPr>
      <w:r>
        <w:rPr>
          <w:rFonts w:hint="eastAsia" w:ascii="宋体" w:hAnsi="宋体" w:eastAsia="宋体" w:cs="宋体"/>
          <w:color w:val="auto"/>
        </w:rPr>
        <w:t>编号：</w:t>
      </w:r>
    </w:p>
    <w:p>
      <w:pPr>
        <w:rPr>
          <w:rFonts w:hint="eastAsia" w:ascii="宋体" w:hAnsi="宋体" w:eastAsia="宋体" w:cs="宋体"/>
          <w:color w:val="auto"/>
        </w:rPr>
      </w:pPr>
      <w:r>
        <w:rPr>
          <w:rFonts w:hint="eastAsia" w:ascii="宋体" w:hAnsi="宋体" w:eastAsia="宋体" w:cs="宋体"/>
          <w:color w:val="auto"/>
        </w:rPr>
        <w:t>（采购人或采购代理机构）：</w:t>
      </w:r>
    </w:p>
    <w:p>
      <w:pPr>
        <w:ind w:firstLine="420" w:firstLineChars="200"/>
        <w:rPr>
          <w:rFonts w:hint="eastAsia" w:ascii="宋体" w:hAnsi="宋体" w:eastAsia="宋体" w:cs="宋体"/>
          <w:color w:val="auto"/>
        </w:rPr>
      </w:pPr>
      <w:r>
        <w:rPr>
          <w:rFonts w:hint="eastAsia" w:ascii="宋体" w:hAnsi="宋体" w:eastAsia="宋体" w:cs="宋体"/>
          <w:color w:val="auto"/>
        </w:rPr>
        <w:t>鉴于（以下简称“投标人”）拟参加编号为的</w:t>
      </w:r>
    </w:p>
    <w:p>
      <w:pPr>
        <w:rPr>
          <w:rFonts w:hint="eastAsia" w:ascii="宋体" w:hAnsi="宋体" w:eastAsia="宋体" w:cs="宋体"/>
          <w:color w:val="auto"/>
        </w:rPr>
      </w:pPr>
      <w:r>
        <w:rPr>
          <w:rFonts w:hint="eastAsia" w:ascii="宋体" w:hAnsi="宋体" w:eastAsia="宋体" w:cs="宋体"/>
          <w:color w:val="auto"/>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宋体" w:hAnsi="宋体" w:eastAsia="宋体" w:cs="宋体"/>
          <w:color w:val="auto"/>
        </w:rPr>
      </w:pPr>
      <w:r>
        <w:rPr>
          <w:rFonts w:hint="eastAsia" w:ascii="宋体" w:hAnsi="宋体" w:eastAsia="宋体" w:cs="宋体"/>
          <w:color w:val="auto"/>
        </w:rPr>
        <w:t>一、保证责任的情形及保证金额</w:t>
      </w:r>
    </w:p>
    <w:p>
      <w:pPr>
        <w:ind w:firstLine="210" w:firstLineChars="100"/>
        <w:rPr>
          <w:rFonts w:hint="eastAsia" w:ascii="宋体" w:hAnsi="宋体" w:eastAsia="宋体" w:cs="宋体"/>
          <w:color w:val="auto"/>
        </w:rPr>
      </w:pPr>
      <w:r>
        <w:rPr>
          <w:rFonts w:hint="eastAsia" w:ascii="宋体" w:hAnsi="宋体" w:eastAsia="宋体" w:cs="宋体"/>
          <w:color w:val="auto"/>
        </w:rPr>
        <w:t>（一）在投标人出现下列情形之一时，我方承担保证责任：</w:t>
      </w:r>
    </w:p>
    <w:p>
      <w:pPr>
        <w:ind w:firstLine="420" w:firstLineChars="200"/>
        <w:rPr>
          <w:rFonts w:hint="eastAsia" w:ascii="宋体" w:hAnsi="宋体" w:eastAsia="宋体" w:cs="宋体"/>
          <w:color w:val="auto"/>
        </w:rPr>
      </w:pPr>
      <w:r>
        <w:rPr>
          <w:rFonts w:hint="eastAsia" w:ascii="宋体" w:hAnsi="宋体" w:eastAsia="宋体" w:cs="宋体"/>
          <w:color w:val="auto"/>
        </w:rPr>
        <w:t>1．中标后投标人无正当理由不与采购人或者采购代理机构签订《政府采购合同》；</w:t>
      </w:r>
    </w:p>
    <w:p>
      <w:pPr>
        <w:ind w:firstLine="420" w:firstLineChars="200"/>
        <w:rPr>
          <w:rFonts w:hint="eastAsia" w:ascii="宋体" w:hAnsi="宋体" w:eastAsia="宋体" w:cs="宋体"/>
          <w:color w:val="auto"/>
        </w:rPr>
      </w:pPr>
      <w:r>
        <w:rPr>
          <w:rFonts w:hint="eastAsia" w:ascii="宋体" w:hAnsi="宋体" w:eastAsia="宋体" w:cs="宋体"/>
          <w:color w:val="auto"/>
        </w:rPr>
        <w:t>2．招标文件规定的投标人应当缴纳保证金的其他情形。</w:t>
      </w:r>
    </w:p>
    <w:p>
      <w:pPr>
        <w:ind w:firstLine="210" w:firstLineChars="100"/>
        <w:rPr>
          <w:rFonts w:hint="eastAsia" w:ascii="宋体" w:hAnsi="宋体" w:eastAsia="宋体" w:cs="宋体"/>
          <w:color w:val="auto"/>
        </w:rPr>
      </w:pPr>
      <w:r>
        <w:rPr>
          <w:rFonts w:hint="eastAsia" w:ascii="宋体" w:hAnsi="宋体" w:eastAsia="宋体" w:cs="宋体"/>
          <w:color w:val="auto"/>
        </w:rPr>
        <w:t>（二）我方承担保证责任的最高金额为人民币元（大写），即本项目的投标保证金金额。</w:t>
      </w:r>
    </w:p>
    <w:p>
      <w:pPr>
        <w:ind w:firstLine="420" w:firstLineChars="200"/>
        <w:rPr>
          <w:rFonts w:hint="eastAsia" w:ascii="宋体" w:hAnsi="宋体" w:eastAsia="宋体" w:cs="宋体"/>
          <w:color w:val="auto"/>
        </w:rPr>
      </w:pPr>
      <w:r>
        <w:rPr>
          <w:rFonts w:hint="eastAsia" w:ascii="宋体" w:hAnsi="宋体" w:eastAsia="宋体" w:cs="宋体"/>
          <w:color w:val="auto"/>
        </w:rPr>
        <w:t>二、保证的方式及保证期间</w:t>
      </w:r>
    </w:p>
    <w:p>
      <w:pPr>
        <w:ind w:firstLine="420" w:firstLineChars="200"/>
        <w:rPr>
          <w:rFonts w:hint="eastAsia" w:ascii="宋体" w:hAnsi="宋体" w:eastAsia="宋体" w:cs="宋体"/>
          <w:color w:val="auto"/>
        </w:rPr>
      </w:pPr>
      <w:r>
        <w:rPr>
          <w:rFonts w:hint="eastAsia" w:ascii="宋体" w:hAnsi="宋体" w:eastAsia="宋体" w:cs="宋体"/>
          <w:color w:val="auto"/>
        </w:rPr>
        <w:t>我方保证的方式为：连带责任保证。</w:t>
      </w:r>
    </w:p>
    <w:p>
      <w:pPr>
        <w:ind w:firstLine="420" w:firstLineChars="200"/>
        <w:rPr>
          <w:rFonts w:hint="eastAsia" w:ascii="宋体" w:hAnsi="宋体" w:eastAsia="宋体" w:cs="宋体"/>
          <w:color w:val="auto"/>
        </w:rPr>
      </w:pPr>
      <w:r>
        <w:rPr>
          <w:rFonts w:hint="eastAsia" w:ascii="宋体" w:hAnsi="宋体" w:eastAsia="宋体" w:cs="宋体"/>
          <w:color w:val="auto"/>
        </w:rPr>
        <w:t>我方的保证期间为：自本保函生效之日起个月止。</w:t>
      </w:r>
    </w:p>
    <w:p>
      <w:pPr>
        <w:ind w:firstLine="420" w:firstLineChars="200"/>
        <w:rPr>
          <w:rFonts w:hint="eastAsia" w:ascii="宋体" w:hAnsi="宋体" w:eastAsia="宋体" w:cs="宋体"/>
          <w:color w:val="auto"/>
        </w:rPr>
      </w:pPr>
      <w:r>
        <w:rPr>
          <w:rFonts w:hint="eastAsia" w:ascii="宋体" w:hAnsi="宋体" w:eastAsia="宋体" w:cs="宋体"/>
          <w:color w:val="auto"/>
        </w:rPr>
        <w:t>三、承担保证责任的程序</w:t>
      </w:r>
    </w:p>
    <w:p>
      <w:pPr>
        <w:ind w:firstLine="420" w:firstLineChars="200"/>
        <w:rPr>
          <w:rFonts w:hint="eastAsia" w:ascii="宋体" w:hAnsi="宋体" w:eastAsia="宋体" w:cs="宋体"/>
          <w:color w:val="auto"/>
        </w:rPr>
      </w:pPr>
      <w:r>
        <w:rPr>
          <w:rFonts w:hint="eastAsia" w:ascii="宋体" w:hAnsi="宋体" w:eastAsia="宋体" w:cs="宋体"/>
          <w:color w:val="auto"/>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宋体" w:hAnsi="宋体" w:eastAsia="宋体" w:cs="宋体"/>
          <w:color w:val="auto"/>
        </w:rPr>
      </w:pPr>
      <w:r>
        <w:rPr>
          <w:rFonts w:hint="eastAsia" w:ascii="宋体" w:hAnsi="宋体" w:eastAsia="宋体" w:cs="宋体"/>
          <w:color w:val="auto"/>
        </w:rPr>
        <w:t>2．我方在收到索赔通知及相关证明材料后，在</w:t>
      </w:r>
      <w:r>
        <w:rPr>
          <w:rFonts w:hint="eastAsia" w:ascii="宋体" w:hAnsi="宋体" w:eastAsia="宋体" w:cs="宋体"/>
          <w:color w:val="auto"/>
          <w:u w:val="single"/>
        </w:rPr>
        <w:t>　　　</w:t>
      </w:r>
      <w:r>
        <w:rPr>
          <w:rFonts w:hint="eastAsia" w:ascii="宋体" w:hAnsi="宋体" w:eastAsia="宋体" w:cs="宋体"/>
          <w:color w:val="auto"/>
        </w:rPr>
        <w:t>个工作日内进行审查，符合应承担保证责任情形的，我方应按照你方的要求代投标人向你方支付投标保证金。</w:t>
      </w:r>
    </w:p>
    <w:p>
      <w:pPr>
        <w:ind w:firstLine="420" w:firstLineChars="200"/>
        <w:rPr>
          <w:rFonts w:hint="eastAsia" w:ascii="宋体" w:hAnsi="宋体" w:eastAsia="宋体" w:cs="宋体"/>
          <w:color w:val="auto"/>
        </w:rPr>
      </w:pPr>
      <w:r>
        <w:rPr>
          <w:rFonts w:hint="eastAsia" w:ascii="宋体" w:hAnsi="宋体" w:eastAsia="宋体" w:cs="宋体"/>
          <w:color w:val="auto"/>
        </w:rPr>
        <w:t>四、保证责任的终止</w:t>
      </w:r>
    </w:p>
    <w:p>
      <w:pPr>
        <w:ind w:firstLine="420" w:firstLineChars="200"/>
        <w:rPr>
          <w:rFonts w:hint="eastAsia" w:ascii="宋体" w:hAnsi="宋体" w:eastAsia="宋体" w:cs="宋体"/>
          <w:color w:val="auto"/>
        </w:rPr>
      </w:pPr>
      <w:r>
        <w:rPr>
          <w:rFonts w:hint="eastAsia" w:ascii="宋体" w:hAnsi="宋体" w:eastAsia="宋体" w:cs="宋体"/>
          <w:color w:val="auto"/>
        </w:rPr>
        <w:t>1．保证期间届满你方未向我方书面主张保证责任的，自保证期间届满次日起，我方保证责任自动终止。</w:t>
      </w:r>
    </w:p>
    <w:p>
      <w:pPr>
        <w:ind w:firstLine="420" w:firstLineChars="200"/>
        <w:rPr>
          <w:rFonts w:hint="eastAsia" w:ascii="宋体" w:hAnsi="宋体" w:eastAsia="宋体" w:cs="宋体"/>
          <w:color w:val="auto"/>
        </w:rPr>
      </w:pPr>
      <w:r>
        <w:rPr>
          <w:rFonts w:hint="eastAsia" w:ascii="宋体" w:hAnsi="宋体" w:eastAsia="宋体" w:cs="宋体"/>
          <w:color w:val="auto"/>
        </w:rPr>
        <w:t>2．我方按照本保函向你贵方履行了保证责任后，自我方向你贵方支付款项（支付款项从我方账户划出）之日起，保证责任终止。</w:t>
      </w:r>
    </w:p>
    <w:p>
      <w:pPr>
        <w:ind w:firstLine="420" w:firstLineChars="200"/>
        <w:rPr>
          <w:rFonts w:hint="eastAsia" w:ascii="宋体" w:hAnsi="宋体" w:eastAsia="宋体" w:cs="宋体"/>
          <w:color w:val="auto"/>
        </w:rPr>
      </w:pPr>
      <w:r>
        <w:rPr>
          <w:rFonts w:hint="eastAsia" w:ascii="宋体" w:hAnsi="宋体" w:eastAsia="宋体" w:cs="宋体"/>
          <w:color w:val="auto"/>
        </w:rPr>
        <w:t>3．按照法律法规的规定或出现我方保证责任终止的其它情形的，我方在本保函项下的保证责任亦终止。</w:t>
      </w:r>
    </w:p>
    <w:p>
      <w:pPr>
        <w:ind w:firstLine="420" w:firstLineChars="200"/>
        <w:rPr>
          <w:rFonts w:hint="eastAsia" w:ascii="宋体" w:hAnsi="宋体" w:eastAsia="宋体" w:cs="宋体"/>
          <w:color w:val="auto"/>
        </w:rPr>
      </w:pPr>
      <w:r>
        <w:rPr>
          <w:rFonts w:hint="eastAsia" w:ascii="宋体" w:hAnsi="宋体" w:eastAsia="宋体" w:cs="宋体"/>
          <w:color w:val="auto"/>
        </w:rPr>
        <w:t>五、免责条款</w:t>
      </w:r>
    </w:p>
    <w:p>
      <w:pPr>
        <w:ind w:firstLine="420" w:firstLineChars="200"/>
        <w:rPr>
          <w:rFonts w:hint="eastAsia" w:ascii="宋体" w:hAnsi="宋体" w:eastAsia="宋体" w:cs="宋体"/>
          <w:color w:val="auto"/>
        </w:rPr>
      </w:pPr>
      <w:r>
        <w:rPr>
          <w:rFonts w:hint="eastAsia" w:ascii="宋体" w:hAnsi="宋体" w:eastAsia="宋体" w:cs="宋体"/>
          <w:color w:val="auto"/>
        </w:rPr>
        <w:t>1．依照法律规定或你方与投标人的另行约定，全部或者部分免除投标人投标保证金义务时，我方亦免除相应的保证责任。</w:t>
      </w:r>
    </w:p>
    <w:p>
      <w:pPr>
        <w:ind w:firstLine="420" w:firstLineChars="200"/>
        <w:rPr>
          <w:rFonts w:hint="eastAsia" w:ascii="宋体" w:hAnsi="宋体" w:eastAsia="宋体" w:cs="宋体"/>
          <w:color w:val="auto"/>
        </w:rPr>
      </w:pPr>
      <w:r>
        <w:rPr>
          <w:rFonts w:hint="eastAsia" w:ascii="宋体" w:hAnsi="宋体" w:eastAsia="宋体" w:cs="宋体"/>
          <w:color w:val="auto"/>
        </w:rPr>
        <w:t>2．因你方原因致使投标人发生本保函第一条第（一）款约定情形的，我方不承担保证责任。</w:t>
      </w:r>
    </w:p>
    <w:p>
      <w:pPr>
        <w:ind w:firstLine="420" w:firstLineChars="200"/>
        <w:rPr>
          <w:rFonts w:hint="eastAsia" w:ascii="宋体" w:hAnsi="宋体" w:eastAsia="宋体" w:cs="宋体"/>
          <w:color w:val="auto"/>
        </w:rPr>
      </w:pPr>
      <w:r>
        <w:rPr>
          <w:rFonts w:hint="eastAsia" w:ascii="宋体" w:hAnsi="宋体" w:eastAsia="宋体" w:cs="宋体"/>
          <w:color w:val="auto"/>
        </w:rPr>
        <w:t>3．因不可抗力造成投标人发生本保函第一条约定情形的，我方不承担保证责任。</w:t>
      </w:r>
    </w:p>
    <w:p>
      <w:pPr>
        <w:ind w:firstLine="420" w:firstLineChars="200"/>
        <w:rPr>
          <w:rFonts w:hint="eastAsia" w:ascii="宋体" w:hAnsi="宋体" w:eastAsia="宋体" w:cs="宋体"/>
          <w:color w:val="auto"/>
        </w:rPr>
      </w:pPr>
      <w:r>
        <w:rPr>
          <w:rFonts w:hint="eastAsia" w:ascii="宋体" w:hAnsi="宋体" w:eastAsia="宋体" w:cs="宋体"/>
          <w:color w:val="auto"/>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宋体" w:hAnsi="宋体" w:eastAsia="宋体" w:cs="宋体"/>
          <w:color w:val="auto"/>
        </w:rPr>
      </w:pPr>
      <w:r>
        <w:rPr>
          <w:rFonts w:hint="eastAsia" w:ascii="宋体" w:hAnsi="宋体" w:eastAsia="宋体" w:cs="宋体"/>
          <w:color w:val="auto"/>
        </w:rPr>
        <w:t>六、争议的解决</w:t>
      </w:r>
    </w:p>
    <w:p>
      <w:pPr>
        <w:ind w:firstLine="420" w:firstLineChars="200"/>
        <w:rPr>
          <w:rFonts w:hint="eastAsia" w:ascii="宋体" w:hAnsi="宋体" w:eastAsia="宋体" w:cs="宋体"/>
          <w:color w:val="auto"/>
        </w:rPr>
      </w:pPr>
      <w:r>
        <w:rPr>
          <w:rFonts w:hint="eastAsia" w:ascii="宋体" w:hAnsi="宋体" w:eastAsia="宋体" w:cs="宋体"/>
          <w:color w:val="auto"/>
        </w:rPr>
        <w:t>因本保函发生的纠纷，由你我双方协商解决，协商不成的，通过诉讼程序解决，诉讼管辖地法院为法院。</w:t>
      </w:r>
    </w:p>
    <w:p>
      <w:pPr>
        <w:ind w:firstLine="420" w:firstLineChars="200"/>
        <w:rPr>
          <w:rFonts w:hint="eastAsia" w:ascii="宋体" w:hAnsi="宋体" w:eastAsia="宋体" w:cs="宋体"/>
          <w:color w:val="auto"/>
        </w:rPr>
      </w:pPr>
      <w:r>
        <w:rPr>
          <w:rFonts w:hint="eastAsia" w:ascii="宋体" w:hAnsi="宋体" w:eastAsia="宋体" w:cs="宋体"/>
          <w:color w:val="auto"/>
        </w:rPr>
        <w:t>七、保函的生效</w:t>
      </w:r>
    </w:p>
    <w:p>
      <w:pPr>
        <w:ind w:firstLine="420" w:firstLineChars="200"/>
        <w:rPr>
          <w:rFonts w:hint="eastAsia" w:ascii="宋体" w:hAnsi="宋体" w:eastAsia="宋体" w:cs="宋体"/>
          <w:color w:val="auto"/>
        </w:rPr>
      </w:pPr>
      <w:r>
        <w:rPr>
          <w:rFonts w:hint="eastAsia" w:ascii="宋体" w:hAnsi="宋体" w:eastAsia="宋体" w:cs="宋体"/>
          <w:color w:val="auto"/>
        </w:rPr>
        <w:t>本保函自我方加盖公章之日起生效。</w:t>
      </w:r>
    </w:p>
    <w:p>
      <w:pPr>
        <w:ind w:firstLine="5565" w:firstLineChars="2650"/>
        <w:rPr>
          <w:rFonts w:hint="eastAsia" w:ascii="宋体" w:hAnsi="宋体" w:eastAsia="宋体" w:cs="宋体"/>
          <w:color w:val="auto"/>
        </w:rPr>
      </w:pPr>
      <w:r>
        <w:rPr>
          <w:rFonts w:hint="eastAsia" w:ascii="宋体" w:hAnsi="宋体" w:eastAsia="宋体" w:cs="宋体"/>
          <w:color w:val="auto"/>
        </w:rPr>
        <w:t>保证人：（公章）</w:t>
      </w:r>
    </w:p>
    <w:p>
      <w:pPr>
        <w:rPr>
          <w:rFonts w:hint="eastAsia" w:ascii="宋体" w:hAnsi="宋体" w:eastAsia="宋体" w:cs="宋体"/>
          <w:color w:val="auto"/>
        </w:rPr>
      </w:pPr>
    </w:p>
    <w:p>
      <w:pPr>
        <w:ind w:firstLine="5775" w:firstLineChars="2750"/>
        <w:rPr>
          <w:rFonts w:hint="eastAsia" w:ascii="宋体" w:hAnsi="宋体" w:eastAsia="宋体" w:cs="宋体"/>
          <w:color w:val="auto"/>
        </w:rPr>
      </w:pPr>
      <w:r>
        <w:rPr>
          <w:rFonts w:hint="eastAsia" w:ascii="宋体" w:hAnsi="宋体" w:eastAsia="宋体" w:cs="宋体"/>
          <w:color w:val="auto"/>
        </w:rPr>
        <w:t>年  月  日</w:t>
      </w:r>
    </w:p>
    <w:p>
      <w:pPr>
        <w:ind w:firstLine="5775" w:firstLineChars="2750"/>
        <w:rPr>
          <w:rFonts w:hint="eastAsia" w:ascii="宋体" w:hAnsi="宋体" w:eastAsia="宋体" w:cs="宋体"/>
          <w:color w:val="auto"/>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bookmarkEnd w:id="440"/>
    <w:bookmarkEnd w:id="441"/>
    <w:bookmarkEnd w:id="442"/>
    <w:bookmarkEnd w:id="443"/>
    <w:bookmarkEnd w:id="444"/>
    <w:bookmarkEnd w:id="445"/>
    <w:bookmarkEnd w:id="446"/>
    <w:bookmarkEnd w:id="447"/>
    <w:p>
      <w:pPr>
        <w:pStyle w:val="5"/>
        <w:spacing w:before="0" w:line="240" w:lineRule="atLeast"/>
        <w:ind w:left="1080" w:leftChars="257" w:hanging="540"/>
        <w:rPr>
          <w:rFonts w:hint="eastAsia" w:ascii="宋体" w:hAnsi="宋体" w:eastAsia="宋体" w:cs="宋体"/>
          <w:color w:val="auto"/>
          <w:sz w:val="24"/>
        </w:rPr>
      </w:pPr>
      <w:bookmarkStart w:id="450" w:name="_Toc108877111"/>
      <w:bookmarkStart w:id="451" w:name="_Toc518923118"/>
      <w:bookmarkStart w:id="452" w:name="_Toc108876201"/>
      <w:bookmarkStart w:id="453" w:name="_Toc1893"/>
      <w:r>
        <w:rPr>
          <w:rFonts w:hint="eastAsia" w:ascii="宋体" w:hAnsi="宋体" w:eastAsia="宋体" w:cs="宋体"/>
          <w:color w:val="auto"/>
          <w:sz w:val="24"/>
        </w:rPr>
        <w:t>3   投标分项报价表（投标文件格式五）</w:t>
      </w:r>
      <w:bookmarkEnd w:id="450"/>
      <w:bookmarkEnd w:id="451"/>
      <w:bookmarkEnd w:id="452"/>
      <w:bookmarkEnd w:id="453"/>
    </w:p>
    <w:p>
      <w:pPr>
        <w:pStyle w:val="17"/>
        <w:spacing w:line="240" w:lineRule="atLeast"/>
        <w:ind w:left="1080" w:leftChars="257" w:hanging="540"/>
        <w:rPr>
          <w:rFonts w:hint="eastAsia" w:ascii="宋体" w:hAnsi="宋体" w:eastAsia="宋体" w:cs="宋体"/>
          <w:color w:val="auto"/>
          <w:sz w:val="24"/>
        </w:rPr>
      </w:pPr>
    </w:p>
    <w:p>
      <w:pPr>
        <w:pStyle w:val="17"/>
        <w:spacing w:line="240" w:lineRule="atLeast"/>
        <w:ind w:left="-141" w:leftChars="-67"/>
        <w:rPr>
          <w:rFonts w:hint="eastAsia" w:ascii="宋体" w:hAnsi="宋体" w:eastAsia="宋体" w:cs="宋体"/>
          <w:color w:val="auto"/>
          <w:sz w:val="24"/>
        </w:rPr>
      </w:pPr>
      <w:r>
        <w:rPr>
          <w:rFonts w:hint="eastAsia" w:ascii="宋体" w:hAnsi="宋体" w:eastAsia="宋体" w:cs="宋体"/>
          <w:color w:val="auto"/>
          <w:sz w:val="24"/>
        </w:rPr>
        <w:t>项目名称:                      招标编号:             分包号: 　        　</w:t>
      </w:r>
    </w:p>
    <w:p>
      <w:pPr>
        <w:pStyle w:val="17"/>
        <w:spacing w:line="240" w:lineRule="atLeast"/>
        <w:ind w:left="-141" w:leftChars="-67" w:firstLine="6120" w:firstLineChars="2550"/>
        <w:rPr>
          <w:rFonts w:hint="eastAsia" w:ascii="宋体" w:hAnsi="宋体" w:eastAsia="宋体" w:cs="宋体"/>
          <w:color w:val="auto"/>
          <w:sz w:val="24"/>
        </w:rPr>
      </w:pPr>
      <w:r>
        <w:rPr>
          <w:rFonts w:hint="eastAsia" w:ascii="宋体" w:hAnsi="宋体" w:eastAsia="宋体" w:cs="宋体"/>
          <w:color w:val="auto"/>
          <w:sz w:val="24"/>
        </w:rPr>
        <w:t>报价单位：人民币 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vAlign w:val="center"/>
          </w:tcPr>
          <w:p>
            <w:pPr>
              <w:pStyle w:val="17"/>
              <w:spacing w:line="240" w:lineRule="atLeast"/>
              <w:ind w:left="269" w:leftChars="128"/>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3796" w:type="dxa"/>
            <w:vAlign w:val="center"/>
          </w:tcPr>
          <w:p>
            <w:pPr>
              <w:pStyle w:val="17"/>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2162" w:type="dxa"/>
            <w:vAlign w:val="center"/>
          </w:tcPr>
          <w:p>
            <w:pPr>
              <w:pStyle w:val="17"/>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报价</w:t>
            </w:r>
          </w:p>
        </w:tc>
        <w:tc>
          <w:tcPr>
            <w:tcW w:w="1667" w:type="dxa"/>
            <w:vAlign w:val="center"/>
          </w:tcPr>
          <w:p>
            <w:pPr>
              <w:pStyle w:val="17"/>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vAlign w:val="center"/>
          </w:tcPr>
          <w:p>
            <w:pPr>
              <w:pStyle w:val="17"/>
              <w:spacing w:line="240" w:lineRule="atLeast"/>
              <w:ind w:left="269" w:leftChars="128"/>
              <w:jc w:val="center"/>
              <w:rPr>
                <w:rFonts w:hint="eastAsia" w:ascii="宋体" w:hAnsi="宋体" w:eastAsia="宋体" w:cs="宋体"/>
                <w:color w:val="auto"/>
                <w:sz w:val="24"/>
              </w:rPr>
            </w:pPr>
            <w:r>
              <w:rPr>
                <w:rFonts w:hint="eastAsia" w:ascii="宋体" w:hAnsi="宋体" w:eastAsia="宋体" w:cs="宋体"/>
                <w:color w:val="auto"/>
                <w:sz w:val="24"/>
              </w:rPr>
              <w:t>1.</w:t>
            </w:r>
          </w:p>
        </w:tc>
        <w:tc>
          <w:tcPr>
            <w:tcW w:w="3796" w:type="dxa"/>
            <w:vAlign w:val="center"/>
          </w:tcPr>
          <w:p>
            <w:pPr>
              <w:pStyle w:val="17"/>
              <w:spacing w:line="240" w:lineRule="atLeast"/>
              <w:jc w:val="center"/>
              <w:rPr>
                <w:rFonts w:hint="eastAsia" w:ascii="宋体" w:hAnsi="宋体" w:eastAsia="宋体" w:cs="宋体"/>
                <w:color w:val="auto"/>
                <w:sz w:val="24"/>
              </w:rPr>
            </w:pPr>
          </w:p>
        </w:tc>
        <w:tc>
          <w:tcPr>
            <w:tcW w:w="2162" w:type="dxa"/>
            <w:vAlign w:val="center"/>
          </w:tcPr>
          <w:p>
            <w:pPr>
              <w:pStyle w:val="17"/>
              <w:spacing w:line="240" w:lineRule="atLeast"/>
              <w:ind w:left="1080" w:leftChars="257" w:hanging="540"/>
              <w:jc w:val="center"/>
              <w:rPr>
                <w:rFonts w:hint="eastAsia" w:ascii="宋体" w:hAnsi="宋体" w:eastAsia="宋体" w:cs="宋体"/>
                <w:color w:val="auto"/>
                <w:sz w:val="24"/>
              </w:rPr>
            </w:pPr>
          </w:p>
        </w:tc>
        <w:tc>
          <w:tcPr>
            <w:tcW w:w="1667" w:type="dxa"/>
            <w:vAlign w:val="center"/>
          </w:tcPr>
          <w:p>
            <w:pPr>
              <w:pStyle w:val="17"/>
              <w:spacing w:line="240" w:lineRule="atLeast"/>
              <w:ind w:left="1080" w:leftChars="257" w:hanging="54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7"/>
              <w:spacing w:line="240" w:lineRule="atLeast"/>
              <w:ind w:left="269" w:leftChars="128"/>
              <w:jc w:val="center"/>
              <w:rPr>
                <w:rFonts w:hint="eastAsia" w:ascii="宋体" w:hAnsi="宋体" w:eastAsia="宋体" w:cs="宋体"/>
                <w:color w:val="auto"/>
                <w:sz w:val="24"/>
              </w:rPr>
            </w:pPr>
            <w:r>
              <w:rPr>
                <w:rFonts w:hint="eastAsia" w:ascii="宋体" w:hAnsi="宋体" w:eastAsia="宋体" w:cs="宋体"/>
                <w:color w:val="auto"/>
                <w:sz w:val="24"/>
              </w:rPr>
              <w:t>2.</w:t>
            </w:r>
          </w:p>
        </w:tc>
        <w:tc>
          <w:tcPr>
            <w:tcW w:w="3796" w:type="dxa"/>
            <w:vAlign w:val="center"/>
          </w:tcPr>
          <w:p>
            <w:pPr>
              <w:pStyle w:val="17"/>
              <w:spacing w:line="240" w:lineRule="atLeast"/>
              <w:jc w:val="center"/>
              <w:rPr>
                <w:rFonts w:hint="eastAsia" w:ascii="宋体" w:hAnsi="宋体" w:eastAsia="宋体" w:cs="宋体"/>
                <w:color w:val="auto"/>
                <w:sz w:val="24"/>
              </w:rPr>
            </w:pPr>
          </w:p>
        </w:tc>
        <w:tc>
          <w:tcPr>
            <w:tcW w:w="2162" w:type="dxa"/>
            <w:vAlign w:val="center"/>
          </w:tcPr>
          <w:p>
            <w:pPr>
              <w:pStyle w:val="17"/>
              <w:spacing w:line="240" w:lineRule="atLeast"/>
              <w:ind w:left="1080" w:leftChars="257" w:hanging="540"/>
              <w:jc w:val="center"/>
              <w:rPr>
                <w:rFonts w:hint="eastAsia" w:ascii="宋体" w:hAnsi="宋体" w:eastAsia="宋体" w:cs="宋体"/>
                <w:color w:val="auto"/>
                <w:sz w:val="24"/>
              </w:rPr>
            </w:pPr>
          </w:p>
        </w:tc>
        <w:tc>
          <w:tcPr>
            <w:tcW w:w="1667" w:type="dxa"/>
            <w:vAlign w:val="center"/>
          </w:tcPr>
          <w:p>
            <w:pPr>
              <w:pStyle w:val="17"/>
              <w:spacing w:line="240" w:lineRule="atLeast"/>
              <w:ind w:left="1080" w:leftChars="257" w:hanging="54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7"/>
              <w:spacing w:line="240" w:lineRule="atLeast"/>
              <w:ind w:left="269" w:leftChars="128"/>
              <w:jc w:val="center"/>
              <w:rPr>
                <w:rFonts w:hint="eastAsia" w:ascii="宋体" w:hAnsi="宋体" w:eastAsia="宋体" w:cs="宋体"/>
                <w:color w:val="auto"/>
                <w:sz w:val="24"/>
              </w:rPr>
            </w:pPr>
            <w:r>
              <w:rPr>
                <w:rFonts w:hint="eastAsia" w:ascii="宋体" w:hAnsi="宋体" w:eastAsia="宋体" w:cs="宋体"/>
                <w:color w:val="auto"/>
                <w:sz w:val="24"/>
              </w:rPr>
              <w:t>3.</w:t>
            </w:r>
          </w:p>
        </w:tc>
        <w:tc>
          <w:tcPr>
            <w:tcW w:w="3796" w:type="dxa"/>
            <w:vAlign w:val="center"/>
          </w:tcPr>
          <w:p>
            <w:pPr>
              <w:pStyle w:val="17"/>
              <w:spacing w:line="240" w:lineRule="atLeast"/>
              <w:jc w:val="center"/>
              <w:rPr>
                <w:rFonts w:hint="eastAsia" w:ascii="宋体" w:hAnsi="宋体" w:eastAsia="宋体" w:cs="宋体"/>
                <w:color w:val="auto"/>
                <w:sz w:val="24"/>
              </w:rPr>
            </w:pPr>
          </w:p>
        </w:tc>
        <w:tc>
          <w:tcPr>
            <w:tcW w:w="2162" w:type="dxa"/>
            <w:vAlign w:val="center"/>
          </w:tcPr>
          <w:p>
            <w:pPr>
              <w:pStyle w:val="17"/>
              <w:spacing w:line="240" w:lineRule="atLeast"/>
              <w:ind w:left="1080" w:leftChars="257" w:hanging="540"/>
              <w:jc w:val="center"/>
              <w:rPr>
                <w:rFonts w:hint="eastAsia" w:ascii="宋体" w:hAnsi="宋体" w:eastAsia="宋体" w:cs="宋体"/>
                <w:color w:val="auto"/>
                <w:sz w:val="24"/>
              </w:rPr>
            </w:pPr>
          </w:p>
        </w:tc>
        <w:tc>
          <w:tcPr>
            <w:tcW w:w="1667" w:type="dxa"/>
            <w:vAlign w:val="center"/>
          </w:tcPr>
          <w:p>
            <w:pPr>
              <w:pStyle w:val="17"/>
              <w:spacing w:line="240" w:lineRule="atLeast"/>
              <w:ind w:left="1080" w:leftChars="257" w:hanging="54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7"/>
              <w:spacing w:line="240" w:lineRule="atLeast"/>
              <w:ind w:left="269" w:leftChars="128"/>
              <w:jc w:val="center"/>
              <w:rPr>
                <w:rFonts w:hint="eastAsia" w:ascii="宋体" w:hAnsi="宋体" w:eastAsia="宋体" w:cs="宋体"/>
                <w:color w:val="auto"/>
                <w:sz w:val="24"/>
              </w:rPr>
            </w:pPr>
            <w:r>
              <w:rPr>
                <w:rFonts w:hint="eastAsia" w:ascii="宋体" w:hAnsi="宋体" w:eastAsia="宋体" w:cs="宋体"/>
                <w:color w:val="auto"/>
                <w:sz w:val="24"/>
              </w:rPr>
              <w:t>4.</w:t>
            </w:r>
          </w:p>
        </w:tc>
        <w:tc>
          <w:tcPr>
            <w:tcW w:w="3796" w:type="dxa"/>
            <w:vAlign w:val="center"/>
          </w:tcPr>
          <w:p>
            <w:pPr>
              <w:pStyle w:val="17"/>
              <w:spacing w:line="240" w:lineRule="atLeast"/>
              <w:jc w:val="center"/>
              <w:rPr>
                <w:rFonts w:hint="eastAsia" w:ascii="宋体" w:hAnsi="宋体" w:eastAsia="宋体" w:cs="宋体"/>
                <w:color w:val="auto"/>
                <w:sz w:val="24"/>
              </w:rPr>
            </w:pPr>
          </w:p>
        </w:tc>
        <w:tc>
          <w:tcPr>
            <w:tcW w:w="2162" w:type="dxa"/>
            <w:vAlign w:val="center"/>
          </w:tcPr>
          <w:p>
            <w:pPr>
              <w:pStyle w:val="17"/>
              <w:spacing w:line="240" w:lineRule="atLeast"/>
              <w:ind w:left="1080" w:leftChars="257" w:hanging="540"/>
              <w:jc w:val="center"/>
              <w:rPr>
                <w:rFonts w:hint="eastAsia" w:ascii="宋体" w:hAnsi="宋体" w:eastAsia="宋体" w:cs="宋体"/>
                <w:color w:val="auto"/>
                <w:sz w:val="24"/>
              </w:rPr>
            </w:pPr>
          </w:p>
        </w:tc>
        <w:tc>
          <w:tcPr>
            <w:tcW w:w="1667" w:type="dxa"/>
            <w:vAlign w:val="center"/>
          </w:tcPr>
          <w:p>
            <w:pPr>
              <w:pStyle w:val="17"/>
              <w:spacing w:line="240" w:lineRule="atLeast"/>
              <w:ind w:left="1080" w:leftChars="257" w:hanging="54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vAlign w:val="center"/>
          </w:tcPr>
          <w:p>
            <w:pPr>
              <w:pStyle w:val="17"/>
              <w:spacing w:line="240" w:lineRule="atLeast"/>
              <w:ind w:left="269" w:leftChars="128"/>
              <w:jc w:val="center"/>
              <w:rPr>
                <w:rFonts w:hint="eastAsia" w:ascii="宋体" w:hAnsi="宋体" w:eastAsia="宋体" w:cs="宋体"/>
                <w:color w:val="auto"/>
                <w:sz w:val="24"/>
              </w:rPr>
            </w:pPr>
            <w:r>
              <w:rPr>
                <w:rFonts w:hint="eastAsia" w:ascii="宋体" w:hAnsi="宋体" w:eastAsia="宋体" w:cs="宋体"/>
                <w:color w:val="auto"/>
                <w:sz w:val="24"/>
              </w:rPr>
              <w:t>5.</w:t>
            </w:r>
          </w:p>
        </w:tc>
        <w:tc>
          <w:tcPr>
            <w:tcW w:w="3796" w:type="dxa"/>
            <w:vAlign w:val="center"/>
          </w:tcPr>
          <w:p>
            <w:pPr>
              <w:pStyle w:val="17"/>
              <w:spacing w:line="240" w:lineRule="atLeast"/>
              <w:jc w:val="center"/>
              <w:rPr>
                <w:rFonts w:hint="eastAsia" w:ascii="宋体" w:hAnsi="宋体" w:eastAsia="宋体" w:cs="宋体"/>
                <w:color w:val="auto"/>
                <w:sz w:val="24"/>
              </w:rPr>
            </w:pPr>
          </w:p>
        </w:tc>
        <w:tc>
          <w:tcPr>
            <w:tcW w:w="2162" w:type="dxa"/>
            <w:vAlign w:val="center"/>
          </w:tcPr>
          <w:p>
            <w:pPr>
              <w:pStyle w:val="17"/>
              <w:spacing w:line="240" w:lineRule="atLeast"/>
              <w:ind w:left="1080" w:leftChars="257" w:hanging="540"/>
              <w:jc w:val="center"/>
              <w:rPr>
                <w:rFonts w:hint="eastAsia" w:ascii="宋体" w:hAnsi="宋体" w:eastAsia="宋体" w:cs="宋体"/>
                <w:color w:val="auto"/>
                <w:sz w:val="24"/>
              </w:rPr>
            </w:pPr>
          </w:p>
        </w:tc>
        <w:tc>
          <w:tcPr>
            <w:tcW w:w="1667" w:type="dxa"/>
            <w:vAlign w:val="center"/>
          </w:tcPr>
          <w:p>
            <w:pPr>
              <w:pStyle w:val="17"/>
              <w:spacing w:line="240" w:lineRule="atLeast"/>
              <w:ind w:left="1080" w:leftChars="257" w:hanging="54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7"/>
              <w:spacing w:line="240" w:lineRule="atLeast"/>
              <w:ind w:left="269" w:leftChars="128"/>
              <w:jc w:val="center"/>
              <w:rPr>
                <w:rFonts w:hint="eastAsia" w:ascii="宋体" w:hAnsi="宋体" w:eastAsia="宋体" w:cs="宋体"/>
                <w:color w:val="auto"/>
                <w:sz w:val="24"/>
              </w:rPr>
            </w:pPr>
            <w:r>
              <w:rPr>
                <w:rFonts w:hint="eastAsia" w:ascii="宋体" w:hAnsi="宋体" w:eastAsia="宋体" w:cs="宋体"/>
                <w:color w:val="auto"/>
                <w:sz w:val="24"/>
              </w:rPr>
              <w:t>6.</w:t>
            </w:r>
          </w:p>
        </w:tc>
        <w:tc>
          <w:tcPr>
            <w:tcW w:w="3796" w:type="dxa"/>
            <w:vAlign w:val="center"/>
          </w:tcPr>
          <w:p>
            <w:pPr>
              <w:pStyle w:val="17"/>
              <w:spacing w:line="240" w:lineRule="atLeast"/>
              <w:jc w:val="center"/>
              <w:rPr>
                <w:rFonts w:hint="eastAsia" w:ascii="宋体" w:hAnsi="宋体" w:eastAsia="宋体" w:cs="宋体"/>
                <w:color w:val="auto"/>
                <w:sz w:val="24"/>
              </w:rPr>
            </w:pPr>
          </w:p>
        </w:tc>
        <w:tc>
          <w:tcPr>
            <w:tcW w:w="2162" w:type="dxa"/>
            <w:vAlign w:val="center"/>
          </w:tcPr>
          <w:p>
            <w:pPr>
              <w:pStyle w:val="17"/>
              <w:spacing w:line="240" w:lineRule="atLeast"/>
              <w:ind w:left="1080" w:leftChars="257" w:hanging="540"/>
              <w:jc w:val="center"/>
              <w:rPr>
                <w:rFonts w:hint="eastAsia" w:ascii="宋体" w:hAnsi="宋体" w:eastAsia="宋体" w:cs="宋体"/>
                <w:color w:val="auto"/>
                <w:sz w:val="24"/>
              </w:rPr>
            </w:pPr>
          </w:p>
        </w:tc>
        <w:tc>
          <w:tcPr>
            <w:tcW w:w="1667" w:type="dxa"/>
            <w:vAlign w:val="center"/>
          </w:tcPr>
          <w:p>
            <w:pPr>
              <w:pStyle w:val="17"/>
              <w:spacing w:line="240" w:lineRule="atLeast"/>
              <w:ind w:left="1080" w:leftChars="257" w:hanging="54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vAlign w:val="center"/>
          </w:tcPr>
          <w:p>
            <w:pPr>
              <w:pStyle w:val="17"/>
              <w:spacing w:line="240" w:lineRule="atLeast"/>
              <w:rPr>
                <w:rFonts w:hint="eastAsia" w:ascii="宋体" w:hAnsi="宋体" w:eastAsia="宋体" w:cs="宋体"/>
                <w:color w:val="auto"/>
                <w:sz w:val="24"/>
              </w:rPr>
            </w:pPr>
            <w:r>
              <w:rPr>
                <w:rFonts w:hint="eastAsia" w:ascii="宋体" w:hAnsi="宋体" w:eastAsia="宋体" w:cs="宋体"/>
                <w:color w:val="auto"/>
                <w:sz w:val="24"/>
              </w:rPr>
              <w:t>总价：</w:t>
            </w:r>
          </w:p>
        </w:tc>
        <w:tc>
          <w:tcPr>
            <w:tcW w:w="1667" w:type="dxa"/>
            <w:vAlign w:val="center"/>
          </w:tcPr>
          <w:p>
            <w:pPr>
              <w:pStyle w:val="17"/>
              <w:spacing w:line="240" w:lineRule="atLeast"/>
              <w:ind w:left="1080" w:leftChars="257" w:hanging="540"/>
              <w:jc w:val="center"/>
              <w:rPr>
                <w:rFonts w:hint="eastAsia" w:ascii="宋体" w:hAnsi="宋体" w:eastAsia="宋体" w:cs="宋体"/>
                <w:color w:val="auto"/>
                <w:sz w:val="24"/>
              </w:rPr>
            </w:pPr>
          </w:p>
        </w:tc>
      </w:tr>
    </w:tbl>
    <w:p>
      <w:pPr>
        <w:pStyle w:val="17"/>
        <w:spacing w:line="240" w:lineRule="atLeast"/>
        <w:ind w:left="1080" w:leftChars="257" w:hanging="540"/>
        <w:rPr>
          <w:rFonts w:hint="eastAsia" w:ascii="宋体" w:hAnsi="宋体" w:eastAsia="宋体" w:cs="宋体"/>
          <w:color w:val="auto"/>
          <w:sz w:val="24"/>
        </w:rPr>
      </w:pPr>
    </w:p>
    <w:p>
      <w:pPr>
        <w:pStyle w:val="17"/>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法定代表人或其委托代理人签字: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pPr>
        <w:pStyle w:val="17"/>
        <w:tabs>
          <w:tab w:val="left" w:pos="5370"/>
        </w:tabs>
        <w:spacing w:line="240" w:lineRule="atLeast"/>
        <w:ind w:left="1080" w:leftChars="257" w:hanging="540"/>
        <w:rPr>
          <w:rFonts w:hint="eastAsia" w:ascii="宋体" w:hAnsi="宋体" w:eastAsia="宋体" w:cs="宋体"/>
          <w:color w:val="auto"/>
          <w:sz w:val="24"/>
          <w:u w:val="single"/>
        </w:rPr>
      </w:pPr>
      <w:r>
        <w:rPr>
          <w:rFonts w:hint="eastAsia" w:ascii="宋体" w:hAnsi="宋体" w:eastAsia="宋体" w:cs="宋体"/>
          <w:color w:val="auto"/>
          <w:sz w:val="24"/>
        </w:rPr>
        <w:t>投标人(盖单位章):</w:t>
      </w:r>
      <w:r>
        <w:rPr>
          <w:rFonts w:hint="eastAsia" w:ascii="宋体" w:hAnsi="宋体" w:eastAsia="宋体" w:cs="宋体"/>
          <w:color w:val="auto"/>
          <w:sz w:val="24"/>
          <w:u w:val="single"/>
        </w:rPr>
        <w:tab/>
      </w:r>
    </w:p>
    <w:p>
      <w:pPr>
        <w:pStyle w:val="17"/>
        <w:spacing w:line="240" w:lineRule="atLeast"/>
        <w:ind w:left="1080" w:leftChars="257" w:hanging="540"/>
        <w:rPr>
          <w:rFonts w:hint="eastAsia" w:ascii="宋体" w:hAnsi="宋体" w:eastAsia="宋体" w:cs="宋体"/>
          <w:color w:val="auto"/>
          <w:sz w:val="24"/>
        </w:rPr>
      </w:pPr>
    </w:p>
    <w:p>
      <w:pPr>
        <w:pStyle w:val="17"/>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注:1. 如果按分项报价计算的结果与总价不一致,以分项报价为准修正总价。</w:t>
      </w:r>
    </w:p>
    <w:p>
      <w:pPr>
        <w:pStyle w:val="17"/>
        <w:spacing w:line="240" w:lineRule="atLeast"/>
        <w:ind w:left="1079" w:leftChars="428" w:hanging="180" w:hangingChars="75"/>
        <w:rPr>
          <w:rFonts w:hint="eastAsia" w:ascii="宋体" w:hAnsi="宋体" w:eastAsia="宋体" w:cs="宋体"/>
          <w:color w:val="auto"/>
          <w:sz w:val="24"/>
        </w:rPr>
      </w:pPr>
      <w:r>
        <w:rPr>
          <w:rFonts w:hint="eastAsia" w:ascii="宋体" w:hAnsi="宋体" w:eastAsia="宋体" w:cs="宋体"/>
          <w:color w:val="auto"/>
          <w:sz w:val="24"/>
        </w:rPr>
        <w:t>2. 上述各项的详细分项报价，可另页描述。</w:t>
      </w:r>
    </w:p>
    <w:p>
      <w:pPr>
        <w:pStyle w:val="17"/>
        <w:spacing w:line="360" w:lineRule="exact"/>
        <w:ind w:left="1080" w:leftChars="257" w:hanging="540"/>
        <w:rPr>
          <w:rFonts w:hint="eastAsia" w:ascii="宋体" w:hAnsi="宋体" w:eastAsia="宋体" w:cs="宋体"/>
          <w:color w:val="auto"/>
          <w:sz w:val="24"/>
        </w:rPr>
      </w:pPr>
      <w:r>
        <w:rPr>
          <w:rFonts w:hint="eastAsia" w:ascii="宋体" w:hAnsi="宋体" w:eastAsia="宋体" w:cs="宋体"/>
          <w:color w:val="auto"/>
          <w:sz w:val="24"/>
        </w:rPr>
        <w:t xml:space="preserve">   3. 如果开标一览表（报价表）内容与投标文件中明细表内容不一致的，以开标一览表（报价表）内容为准。</w:t>
      </w:r>
    </w:p>
    <w:p>
      <w:pPr>
        <w:widowControl/>
        <w:jc w:val="left"/>
        <w:rPr>
          <w:rFonts w:hint="eastAsia" w:ascii="宋体" w:hAnsi="宋体" w:eastAsia="宋体" w:cs="宋体"/>
          <w:color w:val="auto"/>
          <w:sz w:val="24"/>
        </w:rPr>
      </w:pPr>
      <w:r>
        <w:rPr>
          <w:rFonts w:hint="eastAsia" w:ascii="宋体" w:hAnsi="宋体" w:eastAsia="宋体" w:cs="宋体"/>
          <w:color w:val="auto"/>
          <w:sz w:val="24"/>
        </w:rPr>
        <w:t xml:space="preserve"> </w:t>
      </w:r>
    </w:p>
    <w:p>
      <w:pPr>
        <w:pStyle w:val="2"/>
        <w:rPr>
          <w:rFonts w:hint="eastAsia" w:ascii="宋体" w:hAnsi="宋体" w:eastAsia="宋体" w:cs="宋体"/>
          <w:color w:val="auto"/>
        </w:rPr>
      </w:pPr>
      <w:r>
        <w:rPr>
          <w:rFonts w:hint="eastAsia" w:ascii="宋体" w:hAnsi="宋体" w:eastAsia="宋体" w:cs="宋体"/>
          <w:color w:val="auto"/>
        </w:rPr>
        <w:br w:type="page"/>
      </w:r>
    </w:p>
    <w:p>
      <w:pPr>
        <w:widowControl/>
        <w:jc w:val="left"/>
        <w:rPr>
          <w:rFonts w:hint="eastAsia" w:ascii="宋体" w:hAnsi="宋体" w:eastAsia="宋体" w:cs="宋体"/>
          <w:color w:val="auto"/>
          <w:sz w:val="24"/>
          <w:szCs w:val="22"/>
        </w:rPr>
      </w:pPr>
    </w:p>
    <w:p>
      <w:pPr>
        <w:pStyle w:val="5"/>
        <w:spacing w:before="0" w:line="240" w:lineRule="atLeast"/>
        <w:ind w:left="1080" w:leftChars="257" w:hanging="540"/>
        <w:rPr>
          <w:rFonts w:hint="eastAsia" w:ascii="宋体" w:hAnsi="宋体" w:eastAsia="宋体" w:cs="宋体"/>
          <w:color w:val="auto"/>
          <w:sz w:val="24"/>
        </w:rPr>
      </w:pPr>
      <w:bookmarkStart w:id="454" w:name="_Toc216582818"/>
      <w:bookmarkStart w:id="455" w:name="_Toc1980"/>
      <w:bookmarkStart w:id="456" w:name="_Toc23"/>
      <w:bookmarkStart w:id="457" w:name="_Toc4280"/>
      <w:bookmarkStart w:id="458" w:name="_Toc28674"/>
      <w:bookmarkStart w:id="459" w:name="_Toc4342"/>
      <w:bookmarkStart w:id="460" w:name="_Toc21009"/>
      <w:bookmarkStart w:id="461" w:name="_Toc515647821"/>
      <w:bookmarkStart w:id="462" w:name="_Toc108877112"/>
      <w:bookmarkStart w:id="463" w:name="_Toc108876202"/>
      <w:r>
        <w:rPr>
          <w:rFonts w:hint="eastAsia" w:ascii="宋体" w:hAnsi="宋体" w:eastAsia="宋体" w:cs="宋体"/>
          <w:color w:val="auto"/>
          <w:sz w:val="24"/>
        </w:rPr>
        <w:t>4  商务条款偏离表</w:t>
      </w:r>
      <w:bookmarkEnd w:id="454"/>
      <w:r>
        <w:rPr>
          <w:rFonts w:hint="eastAsia" w:ascii="宋体" w:hAnsi="宋体" w:eastAsia="宋体" w:cs="宋体"/>
          <w:color w:val="auto"/>
          <w:sz w:val="24"/>
        </w:rPr>
        <w:t>（响应文件格式十）</w:t>
      </w:r>
      <w:bookmarkEnd w:id="455"/>
      <w:bookmarkEnd w:id="456"/>
      <w:bookmarkEnd w:id="457"/>
      <w:bookmarkEnd w:id="458"/>
      <w:bookmarkEnd w:id="459"/>
      <w:bookmarkEnd w:id="460"/>
      <w:bookmarkEnd w:id="461"/>
      <w:r>
        <w:rPr>
          <w:rFonts w:hint="eastAsia" w:ascii="宋体" w:hAnsi="宋体" w:eastAsia="宋体" w:cs="宋体"/>
          <w:color w:val="auto"/>
          <w:sz w:val="24"/>
          <w:szCs w:val="24"/>
        </w:rPr>
        <w:t>(本项目不适用）</w:t>
      </w:r>
      <w:bookmarkEnd w:id="462"/>
      <w:bookmarkEnd w:id="463"/>
    </w:p>
    <w:p>
      <w:pPr>
        <w:pStyle w:val="5"/>
        <w:spacing w:before="0" w:line="360" w:lineRule="exact"/>
        <w:ind w:left="1080" w:leftChars="257" w:hanging="540"/>
        <w:rPr>
          <w:rFonts w:hint="eastAsia" w:ascii="宋体" w:hAnsi="宋体" w:eastAsia="宋体" w:cs="宋体"/>
          <w:color w:val="auto"/>
          <w:sz w:val="24"/>
        </w:rPr>
      </w:pPr>
    </w:p>
    <w:p>
      <w:pPr>
        <w:pStyle w:val="17"/>
        <w:spacing w:line="360" w:lineRule="exact"/>
        <w:ind w:left="1080" w:leftChars="257" w:hanging="540"/>
        <w:rPr>
          <w:rFonts w:hint="eastAsia" w:ascii="宋体" w:hAnsi="宋体" w:eastAsia="宋体" w:cs="宋体"/>
          <w:color w:val="auto"/>
          <w:sz w:val="24"/>
        </w:rPr>
      </w:pPr>
    </w:p>
    <w:p>
      <w:pPr>
        <w:pStyle w:val="17"/>
        <w:spacing w:line="360" w:lineRule="exact"/>
        <w:ind w:left="1080" w:leftChars="257" w:hanging="540"/>
        <w:rPr>
          <w:rFonts w:hint="eastAsia" w:ascii="宋体" w:hAnsi="宋体" w:eastAsia="宋体" w:cs="宋体"/>
          <w:color w:val="auto"/>
          <w:sz w:val="24"/>
        </w:rPr>
      </w:pPr>
      <w:r>
        <w:rPr>
          <w:rFonts w:hint="eastAsia" w:ascii="宋体" w:hAnsi="宋体" w:eastAsia="宋体" w:cs="宋体"/>
          <w:color w:val="auto"/>
          <w:sz w:val="24"/>
        </w:rPr>
        <w:t>项目名称:                      磋商文件编号:             包号:</w:t>
      </w:r>
    </w:p>
    <w:p>
      <w:pPr>
        <w:pStyle w:val="17"/>
        <w:spacing w:line="360" w:lineRule="exact"/>
        <w:ind w:left="1080" w:leftChars="257" w:hanging="540"/>
        <w:rPr>
          <w:rFonts w:hint="eastAsia" w:ascii="宋体" w:hAnsi="宋体" w:eastAsia="宋体" w:cs="宋体"/>
          <w:color w:val="auto"/>
          <w:sz w:val="24"/>
        </w:rPr>
      </w:pPr>
    </w:p>
    <w:tbl>
      <w:tblPr>
        <w:tblStyle w:val="38"/>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520" w:type="dxa"/>
          </w:tcPr>
          <w:p>
            <w:pPr>
              <w:pStyle w:val="17"/>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磋商文件的商务条款</w:t>
            </w:r>
          </w:p>
        </w:tc>
        <w:tc>
          <w:tcPr>
            <w:tcW w:w="2520" w:type="dxa"/>
          </w:tcPr>
          <w:p>
            <w:pPr>
              <w:pStyle w:val="17"/>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响应文件的商务条款</w:t>
            </w:r>
          </w:p>
        </w:tc>
        <w:tc>
          <w:tcPr>
            <w:tcW w:w="900" w:type="dxa"/>
          </w:tcPr>
          <w:p>
            <w:pPr>
              <w:pStyle w:val="17"/>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jc w:val="center"/>
              <w:rPr>
                <w:rFonts w:hint="eastAsia" w:ascii="宋体" w:hAnsi="宋体" w:eastAsia="宋体" w:cs="宋体"/>
                <w:color w:val="auto"/>
                <w:sz w:val="24"/>
              </w:rPr>
            </w:pPr>
          </w:p>
        </w:tc>
        <w:tc>
          <w:tcPr>
            <w:tcW w:w="2520" w:type="dxa"/>
          </w:tcPr>
          <w:p>
            <w:pPr>
              <w:pStyle w:val="17"/>
              <w:spacing w:line="360" w:lineRule="exact"/>
              <w:ind w:left="1080" w:leftChars="257" w:hanging="540"/>
              <w:jc w:val="center"/>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2520" w:type="dxa"/>
          </w:tcPr>
          <w:p>
            <w:pPr>
              <w:pStyle w:val="17"/>
              <w:spacing w:line="360" w:lineRule="exact"/>
              <w:ind w:left="1080" w:leftChars="257" w:hanging="540"/>
              <w:rPr>
                <w:rFonts w:hint="eastAsia" w:ascii="宋体" w:hAnsi="宋体" w:eastAsia="宋体" w:cs="宋体"/>
                <w:color w:val="auto"/>
                <w:sz w:val="24"/>
              </w:rPr>
            </w:pPr>
          </w:p>
        </w:tc>
        <w:tc>
          <w:tcPr>
            <w:tcW w:w="900" w:type="dxa"/>
          </w:tcPr>
          <w:p>
            <w:pPr>
              <w:pStyle w:val="17"/>
              <w:spacing w:line="360" w:lineRule="exact"/>
              <w:ind w:left="1080" w:leftChars="257" w:hanging="540"/>
              <w:rPr>
                <w:rFonts w:hint="eastAsia" w:ascii="宋体" w:hAnsi="宋体" w:eastAsia="宋体" w:cs="宋体"/>
                <w:color w:val="auto"/>
                <w:sz w:val="24"/>
              </w:rPr>
            </w:pPr>
          </w:p>
        </w:tc>
      </w:tr>
    </w:tbl>
    <w:p>
      <w:pPr>
        <w:pStyle w:val="17"/>
        <w:spacing w:line="360" w:lineRule="exact"/>
        <w:ind w:left="1080" w:leftChars="257" w:hanging="540"/>
        <w:rPr>
          <w:rFonts w:hint="eastAsia" w:ascii="宋体" w:hAnsi="宋体" w:eastAsia="宋体" w:cs="宋体"/>
          <w:color w:val="auto"/>
          <w:sz w:val="24"/>
        </w:rPr>
      </w:pPr>
    </w:p>
    <w:p>
      <w:pPr>
        <w:pStyle w:val="17"/>
        <w:spacing w:line="360" w:lineRule="exact"/>
        <w:ind w:left="1080" w:leftChars="257" w:hanging="540"/>
        <w:rPr>
          <w:rFonts w:hint="eastAsia" w:ascii="宋体" w:hAnsi="宋体" w:eastAsia="宋体" w:cs="宋体"/>
          <w:color w:val="auto"/>
          <w:sz w:val="24"/>
        </w:rPr>
      </w:pPr>
    </w:p>
    <w:p>
      <w:pPr>
        <w:pStyle w:val="17"/>
        <w:spacing w:line="360" w:lineRule="exact"/>
        <w:ind w:left="1080" w:leftChars="257" w:hanging="540"/>
        <w:rPr>
          <w:rFonts w:hint="eastAsia" w:ascii="宋体" w:hAnsi="宋体" w:eastAsia="宋体" w:cs="宋体"/>
          <w:color w:val="auto"/>
          <w:sz w:val="24"/>
        </w:rPr>
      </w:pPr>
      <w:r>
        <w:rPr>
          <w:rFonts w:hint="eastAsia" w:ascii="宋体" w:hAnsi="宋体" w:eastAsia="宋体" w:cs="宋体"/>
          <w:color w:val="auto"/>
          <w:sz w:val="24"/>
        </w:rPr>
        <w:t>法定代表人或其委托代理人签字:</w:t>
      </w:r>
      <w:r>
        <w:rPr>
          <w:rFonts w:hint="eastAsia" w:ascii="宋体" w:hAnsi="宋体" w:eastAsia="宋体" w:cs="宋体"/>
          <w:color w:val="auto"/>
          <w:sz w:val="24"/>
          <w:u w:val="single"/>
        </w:rPr>
        <w:tab/>
      </w:r>
    </w:p>
    <w:p>
      <w:pPr>
        <w:pStyle w:val="17"/>
        <w:tabs>
          <w:tab w:val="left" w:pos="5370"/>
        </w:tabs>
        <w:spacing w:line="360" w:lineRule="exact"/>
        <w:ind w:left="1080" w:leftChars="257" w:hanging="540"/>
        <w:rPr>
          <w:rFonts w:hint="eastAsia" w:ascii="宋体" w:hAnsi="宋体" w:eastAsia="宋体" w:cs="宋体"/>
          <w:color w:val="auto"/>
          <w:sz w:val="24"/>
          <w:u w:val="single"/>
        </w:rPr>
      </w:pPr>
      <w:r>
        <w:rPr>
          <w:rFonts w:hint="eastAsia" w:ascii="宋体" w:hAnsi="宋体" w:eastAsia="宋体" w:cs="宋体"/>
          <w:color w:val="auto"/>
          <w:sz w:val="24"/>
        </w:rPr>
        <w:t>供应商(盖单位章):</w:t>
      </w:r>
      <w:r>
        <w:rPr>
          <w:rFonts w:hint="eastAsia" w:ascii="宋体" w:hAnsi="宋体" w:eastAsia="宋体" w:cs="宋体"/>
          <w:color w:val="auto"/>
          <w:sz w:val="24"/>
          <w:u w:val="single"/>
        </w:rPr>
        <w:tab/>
      </w:r>
    </w:p>
    <w:p>
      <w:pPr>
        <w:widowControl/>
        <w:jc w:val="left"/>
        <w:rPr>
          <w:rFonts w:hint="eastAsia" w:ascii="宋体" w:hAnsi="宋体" w:eastAsia="宋体" w:cs="宋体"/>
          <w:b/>
          <w:color w:val="auto"/>
          <w:kern w:val="0"/>
          <w:sz w:val="24"/>
          <w:szCs w:val="20"/>
        </w:rPr>
      </w:pPr>
      <w:bookmarkStart w:id="464" w:name="_Hlt520274393"/>
      <w:bookmarkEnd w:id="464"/>
      <w:bookmarkStart w:id="465" w:name="_Hlt520350918"/>
      <w:bookmarkEnd w:id="465"/>
      <w:bookmarkStart w:id="466" w:name="_Hlt520343392"/>
      <w:bookmarkEnd w:id="466"/>
      <w:bookmarkStart w:id="467" w:name="_Hlt520350957"/>
      <w:bookmarkEnd w:id="467"/>
      <w:bookmarkStart w:id="468" w:name="_Hlt520274407"/>
      <w:bookmarkEnd w:id="468"/>
      <w:bookmarkStart w:id="469" w:name="_Hlt520343000"/>
      <w:bookmarkEnd w:id="469"/>
      <w:bookmarkStart w:id="470" w:name="_Hlt520273711"/>
      <w:bookmarkEnd w:id="470"/>
      <w:bookmarkStart w:id="471" w:name="_Hlt520274065"/>
      <w:bookmarkEnd w:id="471"/>
      <w:bookmarkStart w:id="472" w:name="_Hlt520274911"/>
      <w:bookmarkEnd w:id="472"/>
      <w:bookmarkStart w:id="473" w:name="_Hlt520271212"/>
      <w:bookmarkEnd w:id="473"/>
      <w:bookmarkStart w:id="474" w:name="_Hlt520273973"/>
      <w:bookmarkEnd w:id="474"/>
      <w:bookmarkStart w:id="475" w:name="_Toc281"/>
      <w:bookmarkStart w:id="476" w:name="_Toc10725"/>
      <w:bookmarkStart w:id="477" w:name="_Toc26282"/>
      <w:bookmarkStart w:id="478" w:name="_Toc21312"/>
      <w:bookmarkStart w:id="479" w:name="_Toc3916"/>
      <w:bookmarkStart w:id="480" w:name="_Toc515647823"/>
      <w:bookmarkStart w:id="481" w:name="_Toc17036"/>
      <w:r>
        <w:rPr>
          <w:rFonts w:hint="eastAsia" w:ascii="宋体" w:hAnsi="宋体" w:eastAsia="宋体" w:cs="宋体"/>
          <w:color w:val="auto"/>
          <w:sz w:val="24"/>
        </w:rPr>
        <w:br w:type="page"/>
      </w:r>
    </w:p>
    <w:p>
      <w:pPr>
        <w:pStyle w:val="5"/>
        <w:spacing w:before="0" w:line="360" w:lineRule="exact"/>
        <w:rPr>
          <w:rFonts w:hint="eastAsia" w:ascii="宋体" w:hAnsi="宋体" w:eastAsia="宋体" w:cs="宋体"/>
          <w:color w:val="auto"/>
          <w:sz w:val="24"/>
        </w:rPr>
      </w:pPr>
      <w:bookmarkStart w:id="482" w:name="_Toc108876203"/>
      <w:bookmarkStart w:id="483" w:name="_Toc108877113"/>
      <w:r>
        <w:rPr>
          <w:rFonts w:hint="eastAsia" w:ascii="宋体" w:hAnsi="宋体" w:eastAsia="宋体" w:cs="宋体"/>
          <w:color w:val="auto"/>
          <w:sz w:val="24"/>
        </w:rPr>
        <w:t>5-1 供应商企业（单位）类型声明函（响应文件格式十一）</w:t>
      </w:r>
      <w:bookmarkEnd w:id="475"/>
      <w:bookmarkEnd w:id="476"/>
      <w:bookmarkEnd w:id="477"/>
      <w:bookmarkEnd w:id="478"/>
      <w:bookmarkEnd w:id="479"/>
      <w:bookmarkEnd w:id="480"/>
      <w:bookmarkEnd w:id="481"/>
      <w:bookmarkEnd w:id="482"/>
      <w:bookmarkEnd w:id="483"/>
    </w:p>
    <w:p>
      <w:pPr>
        <w:spacing w:line="360" w:lineRule="exact"/>
        <w:ind w:left="1080" w:leftChars="257" w:hanging="540"/>
        <w:jc w:val="center"/>
        <w:rPr>
          <w:rFonts w:hint="eastAsia" w:ascii="宋体" w:hAnsi="宋体" w:eastAsia="宋体" w:cs="宋体"/>
          <w:b/>
          <w:color w:val="auto"/>
          <w:kern w:val="0"/>
          <w:sz w:val="24"/>
          <w:szCs w:val="20"/>
        </w:rPr>
      </w:pPr>
    </w:p>
    <w:p>
      <w:pPr>
        <w:widowControl/>
        <w:spacing w:before="100" w:after="100" w:line="3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本企业（单位）郑重声明下列事项（按照实际情况勾选或填空）：</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1、□本企业（单位）为直接供应商提供本企业（单位）制造的货物。</w:t>
      </w:r>
    </w:p>
    <w:p>
      <w:pPr>
        <w:widowControl/>
        <w:numPr>
          <w:ilvl w:val="0"/>
          <w:numId w:val="7"/>
        </w:numPr>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本企业（单位）对上述声明的真实性负责。如有虚假，将依法承担相应责任。</w:t>
      </w:r>
    </w:p>
    <w:p>
      <w:pPr>
        <w:widowControl/>
        <w:spacing w:before="100" w:after="100" w:line="360" w:lineRule="exact"/>
        <w:ind w:firstLine="3120" w:firstLineChars="13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供应商名称（盖单位章）：______________ </w:t>
      </w:r>
    </w:p>
    <w:p>
      <w:pPr>
        <w:widowControl/>
        <w:spacing w:before="100" w:after="100" w:line="360" w:lineRule="exact"/>
        <w:ind w:firstLine="3120" w:firstLineChars="13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日　期：____________                     </w:t>
      </w:r>
    </w:p>
    <w:p>
      <w:pPr>
        <w:widowControl/>
        <w:spacing w:before="100" w:after="100" w:line="360" w:lineRule="exact"/>
        <w:ind w:firstLine="420"/>
        <w:jc w:val="left"/>
        <w:rPr>
          <w:rFonts w:hint="eastAsia" w:ascii="宋体" w:hAnsi="宋体" w:eastAsia="宋体" w:cs="宋体"/>
          <w:color w:val="auto"/>
          <w:kern w:val="0"/>
          <w:sz w:val="24"/>
        </w:rPr>
      </w:pPr>
    </w:p>
    <w:p>
      <w:pPr>
        <w:spacing w:line="360" w:lineRule="exact"/>
        <w:ind w:left="1080" w:leftChars="257" w:hanging="540"/>
        <w:jc w:val="center"/>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　</w:t>
      </w:r>
    </w:p>
    <w:p>
      <w:pPr>
        <w:pStyle w:val="5"/>
        <w:spacing w:before="0" w:line="360" w:lineRule="exact"/>
        <w:jc w:val="both"/>
        <w:rPr>
          <w:rFonts w:hint="eastAsia" w:ascii="宋体" w:hAnsi="宋体" w:eastAsia="宋体" w:cs="宋体"/>
          <w:color w:val="auto"/>
          <w:sz w:val="24"/>
        </w:rPr>
      </w:pPr>
      <w:r>
        <w:rPr>
          <w:rFonts w:hint="eastAsia" w:ascii="宋体" w:hAnsi="宋体" w:eastAsia="宋体" w:cs="宋体"/>
          <w:b w:val="0"/>
          <w:color w:val="auto"/>
          <w:sz w:val="24"/>
        </w:rPr>
        <w:br w:type="page"/>
      </w:r>
      <w:bookmarkStart w:id="484" w:name="_Toc30941"/>
      <w:bookmarkStart w:id="485" w:name="_Toc11803"/>
      <w:bookmarkStart w:id="486" w:name="_Toc108876204"/>
      <w:bookmarkStart w:id="487" w:name="_Toc108877114"/>
      <w:bookmarkStart w:id="488" w:name="_Toc13461"/>
      <w:bookmarkStart w:id="489" w:name="_Toc30508"/>
      <w:bookmarkStart w:id="490" w:name="_Toc10977"/>
      <w:bookmarkStart w:id="491" w:name="_Toc19302"/>
      <w:bookmarkStart w:id="492" w:name="_Toc515647824"/>
      <w:r>
        <w:rPr>
          <w:rFonts w:hint="eastAsia" w:ascii="宋体" w:hAnsi="宋体" w:eastAsia="宋体" w:cs="宋体"/>
          <w:b w:val="0"/>
          <w:color w:val="auto"/>
          <w:sz w:val="24"/>
        </w:rPr>
        <w:t>5</w:t>
      </w:r>
      <w:r>
        <w:rPr>
          <w:rFonts w:hint="eastAsia" w:ascii="宋体" w:hAnsi="宋体" w:eastAsia="宋体" w:cs="宋体"/>
          <w:color w:val="auto"/>
          <w:sz w:val="24"/>
        </w:rPr>
        <w:t>-2   制造商企业（单位）类型声明函（响应文件格式十二）</w:t>
      </w:r>
      <w:bookmarkEnd w:id="484"/>
      <w:bookmarkEnd w:id="485"/>
      <w:bookmarkEnd w:id="486"/>
      <w:bookmarkEnd w:id="487"/>
      <w:bookmarkEnd w:id="488"/>
      <w:bookmarkEnd w:id="489"/>
      <w:bookmarkEnd w:id="490"/>
      <w:bookmarkEnd w:id="491"/>
      <w:bookmarkEnd w:id="492"/>
    </w:p>
    <w:p>
      <w:pPr>
        <w:rPr>
          <w:rFonts w:hint="eastAsia" w:ascii="宋体" w:hAnsi="宋体" w:eastAsia="宋体" w:cs="宋体"/>
          <w:color w:val="auto"/>
        </w:rPr>
      </w:pPr>
    </w:p>
    <w:p>
      <w:pPr>
        <w:spacing w:line="360" w:lineRule="exact"/>
        <w:ind w:left="1080" w:leftChars="257" w:hanging="540"/>
        <w:jc w:val="center"/>
        <w:rPr>
          <w:rFonts w:hint="eastAsia" w:ascii="宋体" w:hAnsi="宋体" w:eastAsia="宋体" w:cs="宋体"/>
          <w:b/>
          <w:color w:val="auto"/>
          <w:kern w:val="0"/>
          <w:sz w:val="24"/>
          <w:szCs w:val="20"/>
        </w:rPr>
      </w:pP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本企业为______（请填写：中型、小型、微型）企业。</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本单位为（请填写：是、不是）残疾人福利性单位。</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本企业（单位）提供本企业（单位）制造的货物。</w:t>
      </w:r>
    </w:p>
    <w:p>
      <w:pPr>
        <w:widowControl/>
        <w:spacing w:before="100" w:after="100" w:line="360" w:lineRule="exac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本企业（单位）对上述声明的真实性负责。如有虚假，将依法承担相应责任。</w:t>
      </w:r>
    </w:p>
    <w:p>
      <w:pPr>
        <w:widowControl/>
        <w:spacing w:before="100" w:after="100" w:line="360" w:lineRule="exact"/>
        <w:ind w:firstLine="420"/>
        <w:jc w:val="left"/>
        <w:rPr>
          <w:rFonts w:hint="eastAsia" w:ascii="宋体" w:hAnsi="宋体" w:eastAsia="宋体" w:cs="宋体"/>
          <w:color w:val="auto"/>
          <w:kern w:val="0"/>
          <w:sz w:val="24"/>
          <w:u w:val="single" w:color="FFFFFF"/>
        </w:rPr>
      </w:pPr>
      <w:r>
        <w:rPr>
          <w:rFonts w:hint="eastAsia" w:ascii="宋体" w:hAnsi="宋体" w:eastAsia="宋体" w:cs="宋体"/>
          <w:color w:val="auto"/>
          <w:kern w:val="0"/>
          <w:sz w:val="24"/>
          <w:u w:val="single" w:color="FFFFFF"/>
        </w:rPr>
        <w:t>本声明函经制造商和供应商共同盖章生效。</w:t>
      </w:r>
    </w:p>
    <w:p>
      <w:pPr>
        <w:widowControl/>
        <w:spacing w:before="100" w:after="100" w:line="360" w:lineRule="exact"/>
        <w:ind w:firstLine="5160" w:firstLineChars="2150"/>
        <w:jc w:val="left"/>
        <w:rPr>
          <w:rFonts w:hint="eastAsia" w:ascii="宋体" w:hAnsi="宋体" w:eastAsia="宋体" w:cs="宋体"/>
          <w:color w:val="auto"/>
          <w:kern w:val="0"/>
          <w:sz w:val="24"/>
        </w:rPr>
      </w:pPr>
    </w:p>
    <w:p>
      <w:pPr>
        <w:widowControl/>
        <w:spacing w:before="100" w:after="100" w:line="360" w:lineRule="exact"/>
        <w:ind w:firstLine="5160" w:firstLineChars="2150"/>
        <w:jc w:val="left"/>
        <w:rPr>
          <w:rFonts w:hint="eastAsia" w:ascii="宋体" w:hAnsi="宋体" w:eastAsia="宋体" w:cs="宋体"/>
          <w:color w:val="auto"/>
          <w:kern w:val="0"/>
          <w:sz w:val="24"/>
        </w:rPr>
      </w:pPr>
    </w:p>
    <w:p>
      <w:pPr>
        <w:widowControl/>
        <w:spacing w:before="100" w:after="100" w:line="360" w:lineRule="exact"/>
        <w:ind w:firstLine="5160" w:firstLineChars="2150"/>
        <w:jc w:val="left"/>
        <w:rPr>
          <w:rFonts w:hint="eastAsia" w:ascii="宋体" w:hAnsi="宋体" w:eastAsia="宋体" w:cs="宋体"/>
          <w:color w:val="auto"/>
          <w:kern w:val="0"/>
          <w:sz w:val="24"/>
        </w:rPr>
      </w:pPr>
    </w:p>
    <w:p>
      <w:pPr>
        <w:widowControl/>
        <w:spacing w:before="100" w:after="100" w:line="360" w:lineRule="exact"/>
        <w:ind w:firstLine="5160" w:firstLineChars="2150"/>
        <w:jc w:val="left"/>
        <w:rPr>
          <w:rFonts w:hint="eastAsia" w:ascii="宋体" w:hAnsi="宋体" w:eastAsia="宋体" w:cs="宋体"/>
          <w:color w:val="auto"/>
          <w:kern w:val="0"/>
          <w:sz w:val="24"/>
        </w:rPr>
      </w:pPr>
    </w:p>
    <w:p>
      <w:pPr>
        <w:widowControl/>
        <w:spacing w:before="100" w:after="100" w:line="360" w:lineRule="exact"/>
        <w:jc w:val="left"/>
        <w:rPr>
          <w:rFonts w:hint="eastAsia" w:ascii="宋体" w:hAnsi="宋体" w:eastAsia="宋体" w:cs="宋体"/>
          <w:color w:val="auto"/>
          <w:kern w:val="0"/>
          <w:sz w:val="24"/>
        </w:rPr>
      </w:pPr>
    </w:p>
    <w:p>
      <w:pPr>
        <w:widowControl/>
        <w:spacing w:before="100" w:after="100" w:line="360" w:lineRule="exact"/>
        <w:ind w:firstLine="3120" w:firstLineChars="1300"/>
        <w:jc w:val="left"/>
        <w:rPr>
          <w:rFonts w:hint="eastAsia" w:ascii="宋体" w:hAnsi="宋体" w:eastAsia="宋体" w:cs="宋体"/>
          <w:color w:val="auto"/>
          <w:kern w:val="0"/>
          <w:sz w:val="24"/>
        </w:rPr>
      </w:pPr>
      <w:r>
        <w:rPr>
          <w:rFonts w:hint="eastAsia" w:ascii="宋体" w:hAnsi="宋体" w:eastAsia="宋体" w:cs="宋体"/>
          <w:color w:val="auto"/>
          <w:kern w:val="0"/>
          <w:sz w:val="24"/>
          <w:u w:val="single" w:color="FFFFFF"/>
        </w:rPr>
        <w:t>制造商名称（盖单位章）</w:t>
      </w:r>
      <w:r>
        <w:rPr>
          <w:rFonts w:hint="eastAsia" w:ascii="宋体" w:hAnsi="宋体" w:eastAsia="宋体" w:cs="宋体"/>
          <w:color w:val="auto"/>
          <w:kern w:val="0"/>
          <w:sz w:val="24"/>
        </w:rPr>
        <w:t>：</w:t>
      </w:r>
    </w:p>
    <w:p>
      <w:pPr>
        <w:widowControl/>
        <w:spacing w:before="100" w:after="100" w:line="360" w:lineRule="exact"/>
        <w:ind w:firstLine="3120" w:firstLineChars="13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供应商名称（盖单位章）：___________    </w:t>
      </w:r>
    </w:p>
    <w:p>
      <w:pPr>
        <w:widowControl/>
        <w:spacing w:before="100" w:after="100" w:line="360" w:lineRule="exact"/>
        <w:ind w:firstLine="3120" w:firstLineChars="13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日　期：____________                     </w:t>
      </w:r>
    </w:p>
    <w:p>
      <w:pPr>
        <w:widowControl/>
        <w:spacing w:before="100" w:after="100" w:line="360" w:lineRule="exact"/>
        <w:ind w:firstLine="420"/>
        <w:jc w:val="left"/>
        <w:rPr>
          <w:rFonts w:hint="eastAsia" w:ascii="宋体" w:hAnsi="宋体" w:eastAsia="宋体" w:cs="宋体"/>
          <w:color w:val="auto"/>
          <w:kern w:val="0"/>
          <w:szCs w:val="21"/>
        </w:rPr>
      </w:pPr>
    </w:p>
    <w:p>
      <w:pPr>
        <w:widowControl/>
        <w:spacing w:before="100" w:after="100" w:line="360" w:lineRule="exact"/>
        <w:jc w:val="left"/>
        <w:rPr>
          <w:rFonts w:hint="eastAsia" w:ascii="宋体" w:hAnsi="宋体" w:eastAsia="宋体" w:cs="宋体"/>
          <w:color w:val="auto"/>
        </w:rPr>
      </w:pPr>
    </w:p>
    <w:p>
      <w:pPr>
        <w:pStyle w:val="6"/>
        <w:rPr>
          <w:rFonts w:hint="eastAsia" w:ascii="宋体" w:hAnsi="宋体" w:eastAsia="宋体" w:cs="宋体"/>
          <w:color w:val="auto"/>
        </w:rPr>
      </w:pPr>
    </w:p>
    <w:p>
      <w:pPr>
        <w:pStyle w:val="6"/>
        <w:rPr>
          <w:rFonts w:hint="eastAsia" w:ascii="宋体" w:hAnsi="宋体" w:eastAsia="宋体" w:cs="宋体"/>
          <w:color w:val="auto"/>
        </w:rPr>
      </w:pPr>
    </w:p>
    <w:p>
      <w:pPr>
        <w:pStyle w:val="6"/>
        <w:rPr>
          <w:rFonts w:hint="eastAsia" w:ascii="宋体" w:hAnsi="宋体" w:eastAsia="宋体" w:cs="宋体"/>
          <w:color w:val="auto"/>
        </w:rPr>
      </w:pPr>
    </w:p>
    <w:p>
      <w:pPr>
        <w:pStyle w:val="6"/>
        <w:rPr>
          <w:rFonts w:hint="eastAsia" w:ascii="宋体" w:hAnsi="宋体" w:eastAsia="宋体" w:cs="宋体"/>
          <w:color w:val="auto"/>
        </w:rPr>
      </w:pPr>
    </w:p>
    <w:p>
      <w:pPr>
        <w:pStyle w:val="6"/>
        <w:rPr>
          <w:rFonts w:hint="eastAsia" w:ascii="宋体" w:hAnsi="宋体" w:eastAsia="宋体" w:cs="宋体"/>
          <w:color w:val="auto"/>
        </w:rPr>
      </w:pPr>
    </w:p>
    <w:p>
      <w:pPr>
        <w:pStyle w:val="6"/>
        <w:rPr>
          <w:rFonts w:hint="eastAsia" w:ascii="宋体" w:hAnsi="宋体" w:eastAsia="宋体" w:cs="宋体"/>
          <w:color w:val="auto"/>
        </w:rPr>
      </w:pPr>
    </w:p>
    <w:p>
      <w:pPr>
        <w:pStyle w:val="5"/>
        <w:spacing w:before="0" w:line="360" w:lineRule="exact"/>
        <w:jc w:val="both"/>
        <w:rPr>
          <w:rFonts w:hint="eastAsia" w:ascii="宋体" w:hAnsi="宋体" w:eastAsia="宋体" w:cs="宋体"/>
          <w:color w:val="auto"/>
          <w:sz w:val="24"/>
        </w:rPr>
      </w:pPr>
      <w:bookmarkStart w:id="493" w:name="_Toc19284"/>
      <w:bookmarkStart w:id="494" w:name="_Toc26728"/>
      <w:bookmarkStart w:id="495" w:name="_Toc8320"/>
      <w:bookmarkStart w:id="496" w:name="_Toc20016"/>
      <w:bookmarkStart w:id="497" w:name="_Toc515647825"/>
      <w:bookmarkStart w:id="498" w:name="_Toc23068"/>
      <w:bookmarkStart w:id="499" w:name="_Toc31054"/>
      <w:bookmarkStart w:id="500" w:name="OLE_LINK14"/>
      <w:bookmarkStart w:id="501" w:name="OLE_LINK13"/>
    </w:p>
    <w:p>
      <w:pPr>
        <w:pStyle w:val="5"/>
        <w:spacing w:before="0" w:line="360" w:lineRule="exact"/>
        <w:jc w:val="both"/>
        <w:rPr>
          <w:rFonts w:hint="eastAsia" w:ascii="宋体" w:hAnsi="宋体" w:eastAsia="宋体" w:cs="宋体"/>
          <w:color w:val="auto"/>
          <w:sz w:val="24"/>
        </w:rPr>
      </w:pPr>
      <w:bookmarkStart w:id="502" w:name="_Toc108877115"/>
      <w:bookmarkStart w:id="503" w:name="_Toc108876205"/>
      <w:r>
        <w:rPr>
          <w:rFonts w:hint="eastAsia" w:ascii="宋体" w:hAnsi="宋体" w:eastAsia="宋体" w:cs="宋体"/>
          <w:color w:val="auto"/>
          <w:sz w:val="24"/>
        </w:rPr>
        <w:t>5-3   残疾人福利性单位声明函（本项目不适用）（响应文件格式十三）</w:t>
      </w:r>
      <w:bookmarkEnd w:id="493"/>
      <w:bookmarkEnd w:id="494"/>
      <w:bookmarkEnd w:id="495"/>
      <w:bookmarkEnd w:id="496"/>
      <w:bookmarkEnd w:id="497"/>
      <w:bookmarkEnd w:id="498"/>
      <w:bookmarkEnd w:id="499"/>
      <w:bookmarkEnd w:id="502"/>
      <w:bookmarkEnd w:id="503"/>
    </w:p>
    <w:p>
      <w:pPr>
        <w:rPr>
          <w:rFonts w:hint="eastAsia" w:ascii="宋体" w:hAnsi="宋体" w:eastAsia="宋体" w:cs="宋体"/>
          <w:color w:val="auto"/>
        </w:rPr>
      </w:pPr>
    </w:p>
    <w:bookmarkEnd w:id="500"/>
    <w:bookmarkEnd w:id="501"/>
    <w:p>
      <w:pPr>
        <w:spacing w:line="360" w:lineRule="exact"/>
        <w:ind w:left="1080" w:leftChars="257" w:hanging="540"/>
        <w:jc w:val="center"/>
        <w:rPr>
          <w:rFonts w:hint="eastAsia" w:ascii="宋体" w:hAnsi="宋体" w:eastAsia="宋体" w:cs="宋体"/>
          <w:color w:val="auto"/>
          <w:kern w:val="0"/>
          <w:sz w:val="24"/>
          <w:szCs w:val="20"/>
        </w:rPr>
      </w:pPr>
    </w:p>
    <w:p>
      <w:pPr>
        <w:spacing w:line="360" w:lineRule="exact"/>
        <w:ind w:firstLine="567"/>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本单位对上述声明的真实性负责。如有虚假，将依法承担相应责任。</w:t>
      </w:r>
    </w:p>
    <w:p>
      <w:pPr>
        <w:spacing w:line="360" w:lineRule="exact"/>
        <w:ind w:left="1080" w:leftChars="257" w:hanging="540"/>
        <w:jc w:val="center"/>
        <w:rPr>
          <w:rFonts w:hint="eastAsia" w:ascii="宋体" w:hAnsi="宋体" w:eastAsia="宋体" w:cs="宋体"/>
          <w:color w:val="auto"/>
          <w:kern w:val="0"/>
          <w:sz w:val="24"/>
          <w:szCs w:val="20"/>
        </w:rPr>
      </w:pPr>
    </w:p>
    <w:p>
      <w:pPr>
        <w:spacing w:line="360" w:lineRule="exact"/>
        <w:ind w:left="1080" w:leftChars="257" w:hanging="540"/>
        <w:jc w:val="center"/>
        <w:rPr>
          <w:rFonts w:hint="eastAsia" w:ascii="宋体" w:hAnsi="宋体" w:eastAsia="宋体" w:cs="宋体"/>
          <w:color w:val="auto"/>
          <w:kern w:val="0"/>
          <w:sz w:val="24"/>
          <w:szCs w:val="20"/>
        </w:rPr>
      </w:pPr>
    </w:p>
    <w:p>
      <w:pPr>
        <w:spacing w:line="360" w:lineRule="exact"/>
        <w:ind w:left="1080" w:leftChars="257" w:hanging="540"/>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 xml:space="preserve">              残疾人福利性单位名称（盖单位章）：______________</w:t>
      </w:r>
    </w:p>
    <w:p>
      <w:pPr>
        <w:spacing w:line="360" w:lineRule="exact"/>
        <w:ind w:firstLine="2400" w:firstLineChars="1000"/>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日    期：___________________</w:t>
      </w:r>
    </w:p>
    <w:p>
      <w:pPr>
        <w:rPr>
          <w:rFonts w:hint="eastAsia" w:ascii="宋体" w:hAnsi="宋体" w:eastAsia="宋体" w:cs="宋体"/>
          <w:color w:val="auto"/>
          <w:sz w:val="24"/>
        </w:rPr>
      </w:pPr>
      <w:bookmarkStart w:id="504" w:name="_Toc28099"/>
      <w:bookmarkStart w:id="505" w:name="_Toc30795"/>
      <w:bookmarkStart w:id="506" w:name="_Toc515647827"/>
      <w:r>
        <w:rPr>
          <w:rFonts w:hint="eastAsia" w:ascii="宋体" w:hAnsi="宋体" w:eastAsia="宋体" w:cs="宋体"/>
          <w:color w:val="auto"/>
          <w:sz w:val="24"/>
        </w:rPr>
        <w:br w:type="page"/>
      </w:r>
    </w:p>
    <w:p>
      <w:pPr>
        <w:pStyle w:val="5"/>
        <w:spacing w:before="0" w:line="360" w:lineRule="exact"/>
        <w:rPr>
          <w:rFonts w:hint="eastAsia" w:ascii="宋体" w:hAnsi="宋体" w:eastAsia="宋体" w:cs="宋体"/>
          <w:color w:val="auto"/>
          <w:sz w:val="24"/>
        </w:rPr>
      </w:pPr>
      <w:bookmarkStart w:id="507" w:name="_Toc108877116"/>
      <w:bookmarkStart w:id="508" w:name="_Toc108876206"/>
      <w:r>
        <w:rPr>
          <w:rFonts w:hint="eastAsia" w:ascii="宋体" w:hAnsi="宋体" w:eastAsia="宋体" w:cs="宋体"/>
          <w:color w:val="auto"/>
          <w:sz w:val="24"/>
        </w:rPr>
        <w:t>5-4中小企业声明函</w:t>
      </w:r>
      <w:bookmarkEnd w:id="507"/>
      <w:bookmarkEnd w:id="508"/>
    </w:p>
    <w:p>
      <w:pPr>
        <w:pStyle w:val="109"/>
        <w:jc w:val="center"/>
        <w:rPr>
          <w:rFonts w:hint="eastAsia" w:ascii="宋体" w:hAnsi="宋体" w:eastAsia="宋体" w:cs="宋体"/>
          <w:color w:val="auto"/>
          <w:sz w:val="24"/>
        </w:rPr>
      </w:pPr>
      <w:bookmarkStart w:id="509" w:name="_Toc25642"/>
      <w:bookmarkStart w:id="510" w:name="_Toc31547"/>
      <w:bookmarkStart w:id="511" w:name="_Toc256000041"/>
    </w:p>
    <w:p>
      <w:pPr>
        <w:pStyle w:val="109"/>
        <w:jc w:val="center"/>
        <w:rPr>
          <w:rFonts w:hint="eastAsia" w:ascii="宋体" w:hAnsi="宋体" w:eastAsia="宋体" w:cs="宋体"/>
          <w:color w:val="auto"/>
          <w:sz w:val="24"/>
        </w:rPr>
      </w:pPr>
      <w:r>
        <w:rPr>
          <w:rFonts w:hint="eastAsia" w:ascii="宋体" w:hAnsi="宋体" w:eastAsia="宋体" w:cs="宋体"/>
          <w:color w:val="auto"/>
          <w:sz w:val="24"/>
        </w:rPr>
        <w:t>中小企业声明函</w:t>
      </w:r>
      <w:bookmarkEnd w:id="509"/>
      <w:bookmarkEnd w:id="510"/>
      <w:bookmarkEnd w:id="511"/>
    </w:p>
    <w:p>
      <w:pPr>
        <w:pStyle w:val="109"/>
        <w:jc w:val="center"/>
        <w:rPr>
          <w:rFonts w:hint="eastAsia" w:ascii="宋体" w:hAnsi="宋体" w:eastAsia="宋体" w:cs="宋体"/>
          <w:color w:val="auto"/>
          <w:sz w:val="24"/>
        </w:rPr>
      </w:pPr>
      <w:r>
        <w:rPr>
          <w:rFonts w:hint="eastAsia" w:ascii="宋体" w:hAnsi="宋体" w:eastAsia="宋体" w:cs="宋体"/>
          <w:color w:val="auto"/>
          <w:sz w:val="24"/>
          <w:szCs w:val="21"/>
        </w:rPr>
        <w:t>（中、小、微型企业产品价格需扣除的须提供）</w:t>
      </w:r>
    </w:p>
    <w:p>
      <w:pPr>
        <w:pStyle w:val="110"/>
        <w:spacing w:line="520" w:lineRule="exact"/>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本公司（联合体）郑重声明，《政府采购促进中小企业发展暂行办法》（财库〔2020〕46号）、《关于进一步加大政府采购支持中小企业力度的通知》（财库〔2022〕19号）的规定，本公司（联合体）参加</w:t>
      </w:r>
      <w:r>
        <w:rPr>
          <w:rFonts w:hint="eastAsia" w:ascii="宋体" w:hAnsi="宋体" w:eastAsia="宋体" w:cs="宋体"/>
          <w:color w:val="auto"/>
          <w:spacing w:val="-2"/>
          <w:sz w:val="24"/>
          <w:szCs w:val="24"/>
          <w:u w:val="single"/>
          <w:lang w:val="en-US" w:eastAsia="zh-CN"/>
        </w:rPr>
        <w:t>（单位名称）</w:t>
      </w:r>
      <w:r>
        <w:rPr>
          <w:rFonts w:hint="eastAsia" w:ascii="宋体" w:hAnsi="宋体" w:eastAsia="宋体" w:cs="宋体"/>
          <w:color w:val="auto"/>
          <w:spacing w:val="-2"/>
          <w:sz w:val="24"/>
          <w:szCs w:val="24"/>
          <w:lang w:val="en-US" w:eastAsia="zh-CN"/>
        </w:rPr>
        <w:t>的</w:t>
      </w:r>
      <w:r>
        <w:rPr>
          <w:rFonts w:hint="eastAsia" w:ascii="宋体" w:hAnsi="宋体" w:eastAsia="宋体" w:cs="宋体"/>
          <w:color w:val="auto"/>
          <w:spacing w:val="-2"/>
          <w:sz w:val="24"/>
          <w:szCs w:val="24"/>
          <w:u w:val="single"/>
          <w:lang w:val="en-US" w:eastAsia="zh-CN"/>
        </w:rPr>
        <w:t>（项目名称）</w:t>
      </w:r>
      <w:r>
        <w:rPr>
          <w:rFonts w:hint="eastAsia" w:ascii="宋体" w:hAnsi="宋体" w:eastAsia="宋体" w:cs="宋体"/>
          <w:color w:val="auto"/>
          <w:spacing w:val="-2"/>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10"/>
        <w:spacing w:line="520" w:lineRule="exact"/>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u w:val="single"/>
          <w:lang w:val="en-US" w:eastAsia="zh-CN"/>
        </w:rPr>
        <w:t>（标的名称）</w:t>
      </w:r>
      <w:r>
        <w:rPr>
          <w:rFonts w:hint="eastAsia" w:ascii="宋体" w:hAnsi="宋体" w:eastAsia="宋体" w:cs="宋体"/>
          <w:color w:val="auto"/>
          <w:spacing w:val="-2"/>
          <w:sz w:val="24"/>
          <w:szCs w:val="24"/>
          <w:lang w:val="en-US" w:eastAsia="zh-CN"/>
        </w:rPr>
        <w:t>，属于</w:t>
      </w:r>
      <w:r>
        <w:rPr>
          <w:rFonts w:hint="eastAsia" w:ascii="宋体" w:hAnsi="宋体" w:eastAsia="宋体" w:cs="宋体"/>
          <w:color w:val="auto"/>
          <w:spacing w:val="-2"/>
          <w:sz w:val="24"/>
          <w:szCs w:val="24"/>
          <w:u w:val="single"/>
          <w:lang w:val="en-US" w:eastAsia="zh-CN"/>
        </w:rPr>
        <w:t>（采购文件中明确的所属行业）</w:t>
      </w:r>
      <w:r>
        <w:rPr>
          <w:rFonts w:hint="eastAsia" w:ascii="宋体" w:hAnsi="宋体" w:eastAsia="宋体" w:cs="宋体"/>
          <w:color w:val="auto"/>
          <w:spacing w:val="-2"/>
          <w:sz w:val="24"/>
          <w:szCs w:val="24"/>
          <w:lang w:val="en-US" w:eastAsia="zh-CN"/>
        </w:rPr>
        <w:t>；承建（承接）企业为</w:t>
      </w:r>
      <w:r>
        <w:rPr>
          <w:rFonts w:hint="eastAsia" w:ascii="宋体" w:hAnsi="宋体" w:eastAsia="宋体" w:cs="宋体"/>
          <w:color w:val="auto"/>
          <w:spacing w:val="-2"/>
          <w:sz w:val="24"/>
          <w:szCs w:val="24"/>
          <w:u w:val="single"/>
          <w:lang w:val="en-US" w:eastAsia="zh-CN"/>
        </w:rPr>
        <w:t>（企业名称）</w:t>
      </w:r>
      <w:r>
        <w:rPr>
          <w:rFonts w:hint="eastAsia" w:ascii="宋体" w:hAnsi="宋体" w:eastAsia="宋体" w:cs="宋体"/>
          <w:color w:val="auto"/>
          <w:spacing w:val="-2"/>
          <w:sz w:val="24"/>
          <w:szCs w:val="24"/>
          <w:lang w:val="en-US" w:eastAsia="zh-CN"/>
        </w:rPr>
        <w:t>，从业人员</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single"/>
          <w:lang w:val="en-US" w:eastAsia="zh-CN"/>
        </w:rPr>
        <w:tab/>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en-US" w:eastAsia="zh-CN"/>
        </w:rPr>
        <w:t xml:space="preserve">人，营业收入为 </w:t>
      </w:r>
      <w:r>
        <w:rPr>
          <w:rFonts w:hint="eastAsia" w:ascii="宋体" w:hAnsi="宋体" w:eastAsia="宋体" w:cs="宋体"/>
          <w:color w:val="auto"/>
          <w:spacing w:val="-2"/>
          <w:sz w:val="24"/>
          <w:szCs w:val="24"/>
          <w:u w:val="single"/>
          <w:lang w:val="en-US" w:eastAsia="zh-CN"/>
        </w:rPr>
        <w:tab/>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en-US" w:eastAsia="zh-CN"/>
        </w:rPr>
        <w:t>万元，资产总额为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single"/>
          <w:lang w:val="en-US" w:eastAsia="zh-CN"/>
        </w:rPr>
        <w:tab/>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en-US" w:eastAsia="zh-CN"/>
        </w:rPr>
        <w:t>万元，属于</w:t>
      </w:r>
      <w:r>
        <w:rPr>
          <w:rFonts w:hint="eastAsia" w:ascii="宋体" w:hAnsi="宋体" w:eastAsia="宋体" w:cs="宋体"/>
          <w:color w:val="auto"/>
          <w:spacing w:val="-2"/>
          <w:sz w:val="24"/>
          <w:szCs w:val="24"/>
          <w:u w:val="single"/>
          <w:lang w:val="en-US" w:eastAsia="zh-CN"/>
        </w:rPr>
        <w:t>（中型企业、小型企业、微型企业）</w:t>
      </w:r>
      <w:r>
        <w:rPr>
          <w:rFonts w:hint="eastAsia" w:ascii="宋体" w:hAnsi="宋体" w:eastAsia="宋体" w:cs="宋体"/>
          <w:color w:val="auto"/>
          <w:spacing w:val="-2"/>
          <w:sz w:val="24"/>
          <w:szCs w:val="24"/>
          <w:lang w:val="en-US" w:eastAsia="zh-CN"/>
        </w:rPr>
        <w:t>；</w:t>
      </w:r>
    </w:p>
    <w:p>
      <w:pPr>
        <w:pStyle w:val="110"/>
        <w:spacing w:line="520" w:lineRule="exact"/>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u w:val="single"/>
          <w:lang w:val="en-US" w:eastAsia="zh-CN"/>
        </w:rPr>
        <w:t>（标的名称）</w:t>
      </w:r>
      <w:r>
        <w:rPr>
          <w:rFonts w:hint="eastAsia" w:ascii="宋体" w:hAnsi="宋体" w:eastAsia="宋体" w:cs="宋体"/>
          <w:color w:val="auto"/>
          <w:spacing w:val="-2"/>
          <w:sz w:val="24"/>
          <w:szCs w:val="24"/>
          <w:lang w:val="en-US" w:eastAsia="zh-CN"/>
        </w:rPr>
        <w:t>，属于</w:t>
      </w:r>
      <w:r>
        <w:rPr>
          <w:rFonts w:hint="eastAsia" w:ascii="宋体" w:hAnsi="宋体" w:eastAsia="宋体" w:cs="宋体"/>
          <w:color w:val="auto"/>
          <w:spacing w:val="-2"/>
          <w:sz w:val="24"/>
          <w:szCs w:val="24"/>
          <w:u w:val="single"/>
          <w:lang w:val="en-US" w:eastAsia="zh-CN"/>
        </w:rPr>
        <w:t>（采购文件中明确的所属行业）</w:t>
      </w:r>
      <w:r>
        <w:rPr>
          <w:rFonts w:hint="eastAsia" w:ascii="宋体" w:hAnsi="宋体" w:eastAsia="宋体" w:cs="宋体"/>
          <w:color w:val="auto"/>
          <w:spacing w:val="-2"/>
          <w:sz w:val="24"/>
          <w:szCs w:val="24"/>
          <w:lang w:val="en-US" w:eastAsia="zh-CN"/>
        </w:rPr>
        <w:t>；承建（承接）企业为</w:t>
      </w:r>
      <w:r>
        <w:rPr>
          <w:rFonts w:hint="eastAsia" w:ascii="宋体" w:hAnsi="宋体" w:eastAsia="宋体" w:cs="宋体"/>
          <w:color w:val="auto"/>
          <w:spacing w:val="-2"/>
          <w:sz w:val="24"/>
          <w:szCs w:val="24"/>
          <w:u w:val="single"/>
          <w:lang w:val="en-US" w:eastAsia="zh-CN"/>
        </w:rPr>
        <w:t>（企业名称）</w:t>
      </w:r>
      <w:r>
        <w:rPr>
          <w:rFonts w:hint="eastAsia" w:ascii="宋体" w:hAnsi="宋体" w:eastAsia="宋体" w:cs="宋体"/>
          <w:color w:val="auto"/>
          <w:spacing w:val="-2"/>
          <w:sz w:val="24"/>
          <w:szCs w:val="24"/>
          <w:lang w:val="en-US" w:eastAsia="zh-CN"/>
        </w:rPr>
        <w:t>，从业人员</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single"/>
          <w:lang w:val="en-US" w:eastAsia="zh-CN"/>
        </w:rPr>
        <w:tab/>
      </w:r>
      <w:r>
        <w:rPr>
          <w:rFonts w:hint="eastAsia" w:ascii="宋体" w:hAnsi="宋体" w:eastAsia="宋体" w:cs="宋体"/>
          <w:color w:val="auto"/>
          <w:spacing w:val="-2"/>
          <w:sz w:val="24"/>
          <w:szCs w:val="24"/>
          <w:lang w:val="en-US" w:eastAsia="zh-CN"/>
        </w:rPr>
        <w:t>人，营业收入为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single"/>
          <w:lang w:val="en-US" w:eastAsia="zh-CN"/>
        </w:rPr>
        <w:tab/>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en-US" w:eastAsia="zh-CN"/>
        </w:rPr>
        <w:t>万元，资产总额为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single"/>
          <w:lang w:val="en-US" w:eastAsia="zh-CN"/>
        </w:rPr>
        <w:tab/>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en-US" w:eastAsia="zh-CN"/>
        </w:rPr>
        <w:t>万元，属于</w:t>
      </w:r>
      <w:r>
        <w:rPr>
          <w:rFonts w:hint="eastAsia" w:ascii="宋体" w:hAnsi="宋体" w:eastAsia="宋体" w:cs="宋体"/>
          <w:color w:val="auto"/>
          <w:spacing w:val="-2"/>
          <w:sz w:val="24"/>
          <w:szCs w:val="24"/>
          <w:u w:val="single"/>
          <w:lang w:val="en-US" w:eastAsia="zh-CN"/>
        </w:rPr>
        <w:t>（中型企业、小型企业、微型企业）</w:t>
      </w:r>
      <w:r>
        <w:rPr>
          <w:rFonts w:hint="eastAsia" w:ascii="宋体" w:hAnsi="宋体" w:eastAsia="宋体" w:cs="宋体"/>
          <w:color w:val="auto"/>
          <w:spacing w:val="-2"/>
          <w:sz w:val="24"/>
          <w:szCs w:val="24"/>
          <w:lang w:val="en-US" w:eastAsia="zh-CN"/>
        </w:rPr>
        <w:t>；</w:t>
      </w:r>
    </w:p>
    <w:p>
      <w:pPr>
        <w:pStyle w:val="110"/>
        <w:spacing w:line="520" w:lineRule="exact"/>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以上企业，不属于大企业的分支机构，不存在控股股东为大企业的情形，也不存在与大企业的负责人为同一人的情形。</w:t>
      </w:r>
    </w:p>
    <w:p>
      <w:pPr>
        <w:pStyle w:val="110"/>
        <w:spacing w:line="520" w:lineRule="exact"/>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本企业对上述声明内容的真实性负责。如有虚假，将依 法承担相应责任。</w:t>
      </w:r>
    </w:p>
    <w:p>
      <w:pPr>
        <w:pStyle w:val="111"/>
        <w:spacing w:before="35" w:line="316" w:lineRule="auto"/>
        <w:ind w:right="2166" w:firstLine="4012" w:firstLineChars="17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企业名称（盖章）：</w:t>
      </w:r>
    </w:p>
    <w:p>
      <w:pPr>
        <w:pStyle w:val="110"/>
        <w:spacing w:line="520" w:lineRule="exact"/>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 xml:space="preserve">                                 日期：</w:t>
      </w:r>
    </w:p>
    <w:p>
      <w:pPr>
        <w:pStyle w:val="110"/>
        <w:spacing w:line="520" w:lineRule="exact"/>
        <w:ind w:firstLine="474" w:firstLineChars="200"/>
        <w:rPr>
          <w:rFonts w:hint="eastAsia" w:ascii="宋体" w:hAnsi="宋体" w:eastAsia="宋体" w:cs="宋体"/>
          <w:color w:val="auto"/>
          <w:spacing w:val="-2"/>
          <w:sz w:val="24"/>
          <w:szCs w:val="24"/>
          <w:lang w:val="en-US" w:eastAsia="zh-CN"/>
        </w:rPr>
      </w:pPr>
      <w:r>
        <w:rPr>
          <w:rFonts w:hint="eastAsia" w:ascii="宋体" w:hAnsi="宋体" w:eastAsia="宋体" w:cs="宋体"/>
          <w:b/>
          <w:bCs/>
          <w:color w:val="auto"/>
          <w:spacing w:val="-2"/>
          <w:sz w:val="24"/>
          <w:szCs w:val="24"/>
          <w:lang w:val="en-US" w:eastAsia="zh-CN"/>
        </w:rPr>
        <w:t>注：潜在投标企业属于中小微企业的，请在投标文件中提供“中小企业声明函”，如果未提供或提供虚假的“中小企业声明函”，投标企业将承担由此造成的一切不利后果。</w:t>
      </w:r>
    </w:p>
    <w:bookmarkEnd w:id="504"/>
    <w:bookmarkEnd w:id="505"/>
    <w:bookmarkEnd w:id="506"/>
    <w:p>
      <w:pPr>
        <w:pStyle w:val="5"/>
        <w:spacing w:before="0" w:line="360" w:lineRule="exact"/>
        <w:rPr>
          <w:rFonts w:hint="eastAsia" w:ascii="宋体" w:hAnsi="宋体" w:eastAsia="宋体" w:cs="宋体"/>
          <w:color w:val="auto"/>
          <w:sz w:val="24"/>
        </w:rPr>
      </w:pPr>
      <w:bookmarkStart w:id="512" w:name="_Toc108876207"/>
      <w:bookmarkStart w:id="513" w:name="_Toc14172"/>
      <w:bookmarkStart w:id="514" w:name="_Toc108877117"/>
      <w:bookmarkStart w:id="515" w:name="_Toc29422"/>
      <w:bookmarkStart w:id="516" w:name="_Toc12633"/>
      <w:bookmarkStart w:id="517" w:name="_Toc17980"/>
      <w:r>
        <w:rPr>
          <w:rFonts w:hint="eastAsia" w:ascii="宋体" w:hAnsi="宋体" w:eastAsia="宋体" w:cs="宋体"/>
          <w:color w:val="auto"/>
          <w:sz w:val="24"/>
        </w:rPr>
        <w:t>6   供应商关联单位的说明</w:t>
      </w:r>
      <w:bookmarkEnd w:id="512"/>
      <w:bookmarkEnd w:id="513"/>
      <w:bookmarkEnd w:id="514"/>
      <w:bookmarkEnd w:id="515"/>
      <w:bookmarkEnd w:id="516"/>
      <w:bookmarkEnd w:id="517"/>
    </w:p>
    <w:p>
      <w:pPr>
        <w:pStyle w:val="6"/>
        <w:spacing w:line="360" w:lineRule="exact"/>
        <w:jc w:val="center"/>
        <w:rPr>
          <w:rFonts w:hint="eastAsia" w:ascii="宋体" w:hAnsi="宋体" w:eastAsia="宋体" w:cs="宋体"/>
          <w:color w:val="auto"/>
        </w:rPr>
      </w:pPr>
    </w:p>
    <w:p>
      <w:pPr>
        <w:pStyle w:val="6"/>
        <w:spacing w:line="360" w:lineRule="exact"/>
        <w:ind w:firstLine="480" w:firstLineChars="200"/>
        <w:rPr>
          <w:rFonts w:hint="eastAsia" w:ascii="宋体" w:hAnsi="宋体" w:eastAsia="宋体" w:cs="宋体"/>
          <w:color w:val="auto"/>
        </w:rPr>
      </w:pPr>
      <w:r>
        <w:rPr>
          <w:rFonts w:hint="eastAsia" w:ascii="宋体" w:hAnsi="宋体" w:eastAsia="宋体" w:cs="宋体"/>
          <w:color w:val="auto"/>
        </w:rPr>
        <w:t>说明：供应商应当如实披露与本单位存在下列关联关系的单位名称：</w:t>
      </w:r>
    </w:p>
    <w:p>
      <w:pPr>
        <w:pStyle w:val="6"/>
        <w:spacing w:line="360" w:lineRule="exact"/>
        <w:ind w:left="479" w:leftChars="228" w:firstLine="0"/>
        <w:rPr>
          <w:rFonts w:hint="eastAsia" w:ascii="宋体" w:hAnsi="宋体" w:eastAsia="宋体" w:cs="宋体"/>
          <w:color w:val="auto"/>
        </w:rPr>
      </w:pPr>
      <w:r>
        <w:rPr>
          <w:rFonts w:hint="eastAsia" w:ascii="宋体" w:hAnsi="宋体" w:eastAsia="宋体" w:cs="宋体"/>
          <w:color w:val="auto"/>
        </w:rPr>
        <w:t>（1）与供应商单位负责人为同一人的其他单位；</w:t>
      </w:r>
      <w:r>
        <w:rPr>
          <w:rFonts w:hint="eastAsia" w:ascii="宋体" w:hAnsi="宋体" w:eastAsia="宋体" w:cs="宋体"/>
          <w:color w:val="auto"/>
        </w:rPr>
        <w:br w:type="textWrapping"/>
      </w:r>
      <w:r>
        <w:rPr>
          <w:rFonts w:hint="eastAsia" w:ascii="宋体" w:hAnsi="宋体" w:eastAsia="宋体" w:cs="宋体"/>
          <w:color w:val="auto"/>
        </w:rPr>
        <w:t>（2）与供应商存在直接控股、管理关系的其他单位。</w:t>
      </w:r>
    </w:p>
    <w:p>
      <w:pPr>
        <w:pStyle w:val="6"/>
        <w:spacing w:line="360" w:lineRule="exact"/>
        <w:ind w:firstLine="480" w:firstLineChars="200"/>
        <w:rPr>
          <w:rFonts w:hint="eastAsia" w:ascii="宋体" w:hAnsi="宋体" w:eastAsia="宋体" w:cs="宋体"/>
          <w:color w:val="auto"/>
        </w:rPr>
      </w:pPr>
    </w:p>
    <w:p>
      <w:pPr>
        <w:pStyle w:val="5"/>
        <w:spacing w:before="0" w:line="360" w:lineRule="exact"/>
        <w:jc w:val="both"/>
        <w:rPr>
          <w:rFonts w:hint="eastAsia" w:ascii="宋体" w:hAnsi="宋体" w:eastAsia="宋体" w:cs="宋体"/>
          <w:color w:val="auto"/>
          <w:sz w:val="24"/>
        </w:rPr>
      </w:pPr>
      <w:bookmarkStart w:id="518" w:name="_Toc108876208"/>
      <w:bookmarkStart w:id="519" w:name="_Toc28910"/>
      <w:bookmarkStart w:id="520" w:name="_Toc17333"/>
      <w:bookmarkStart w:id="521" w:name="_Toc9060"/>
      <w:bookmarkStart w:id="522" w:name="_Toc9124"/>
      <w:bookmarkStart w:id="523" w:name="_Toc108877118"/>
      <w:bookmarkStart w:id="524" w:name="_Toc7414"/>
      <w:bookmarkStart w:id="525" w:name="_Toc9517"/>
      <w:bookmarkStart w:id="526" w:name="_Toc515647828"/>
      <w:r>
        <w:rPr>
          <w:rFonts w:hint="eastAsia" w:ascii="宋体" w:hAnsi="宋体" w:eastAsia="宋体" w:cs="宋体"/>
          <w:color w:val="auto"/>
          <w:sz w:val="24"/>
        </w:rPr>
        <w:t>7  响应文件还应包括供应商须知第10条的所有技术文件</w:t>
      </w:r>
      <w:bookmarkEnd w:id="518"/>
      <w:bookmarkEnd w:id="519"/>
      <w:bookmarkEnd w:id="520"/>
      <w:bookmarkEnd w:id="521"/>
      <w:bookmarkEnd w:id="522"/>
      <w:bookmarkEnd w:id="523"/>
      <w:bookmarkEnd w:id="524"/>
      <w:bookmarkEnd w:id="525"/>
      <w:bookmarkEnd w:id="526"/>
    </w:p>
    <w:p>
      <w:pPr>
        <w:rPr>
          <w:rFonts w:hint="eastAsia" w:ascii="宋体" w:hAnsi="宋体" w:eastAsia="宋体" w:cs="宋体"/>
          <w:color w:val="auto"/>
        </w:rPr>
      </w:pPr>
    </w:p>
    <w:p>
      <w:pPr>
        <w:pStyle w:val="5"/>
        <w:spacing w:before="0" w:line="360" w:lineRule="exact"/>
        <w:jc w:val="both"/>
        <w:rPr>
          <w:rFonts w:hint="eastAsia" w:ascii="宋体" w:hAnsi="宋体" w:eastAsia="宋体" w:cs="宋体"/>
          <w:color w:val="auto"/>
          <w:sz w:val="24"/>
        </w:rPr>
      </w:pPr>
      <w:bookmarkStart w:id="527" w:name="_Toc21017"/>
      <w:bookmarkStart w:id="528" w:name="_Toc19460"/>
      <w:bookmarkStart w:id="529" w:name="_Toc21672"/>
      <w:bookmarkStart w:id="530" w:name="_Toc18089"/>
      <w:bookmarkStart w:id="531" w:name="_Toc108876209"/>
      <w:bookmarkStart w:id="532" w:name="_Toc30129"/>
      <w:bookmarkStart w:id="533" w:name="_Toc29188"/>
      <w:bookmarkStart w:id="534" w:name="_Toc108877119"/>
      <w:r>
        <w:rPr>
          <w:rFonts w:hint="eastAsia" w:ascii="宋体" w:hAnsi="宋体" w:eastAsia="宋体" w:cs="宋体"/>
          <w:color w:val="auto"/>
          <w:sz w:val="24"/>
        </w:rPr>
        <w:t>8 其他有利于磋商的技术条件</w:t>
      </w:r>
      <w:bookmarkEnd w:id="527"/>
      <w:bookmarkEnd w:id="528"/>
      <w:bookmarkEnd w:id="529"/>
      <w:bookmarkEnd w:id="530"/>
      <w:bookmarkEnd w:id="531"/>
      <w:bookmarkEnd w:id="532"/>
      <w:bookmarkEnd w:id="533"/>
      <w:bookmarkEnd w:id="534"/>
    </w:p>
    <w:p>
      <w:pPr>
        <w:spacing w:line="240" w:lineRule="atLeast"/>
        <w:outlineLvl w:val="2"/>
        <w:rPr>
          <w:rFonts w:hint="eastAsia" w:ascii="宋体" w:hAnsi="宋体" w:eastAsia="宋体" w:cs="宋体"/>
          <w:b/>
          <w:color w:val="auto"/>
          <w:kern w:val="0"/>
          <w:sz w:val="24"/>
          <w:szCs w:val="20"/>
        </w:rPr>
      </w:pPr>
      <w:bookmarkStart w:id="535" w:name="_Toc30798"/>
      <w:bookmarkStart w:id="536" w:name="_Toc18887"/>
      <w:bookmarkStart w:id="537" w:name="_Toc28994"/>
      <w:bookmarkStart w:id="538" w:name="_Toc23729"/>
      <w:bookmarkStart w:id="539" w:name="_Toc13771"/>
    </w:p>
    <w:p>
      <w:pPr>
        <w:widowControl/>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br w:type="page"/>
      </w:r>
    </w:p>
    <w:p>
      <w:pPr>
        <w:pStyle w:val="17"/>
        <w:spacing w:line="360" w:lineRule="exact"/>
        <w:outlineLvl w:val="2"/>
        <w:rPr>
          <w:rFonts w:hint="eastAsia" w:ascii="宋体" w:hAnsi="宋体" w:eastAsia="宋体" w:cs="宋体"/>
          <w:color w:val="auto"/>
          <w:sz w:val="24"/>
        </w:rPr>
      </w:pPr>
      <w:r>
        <w:rPr>
          <w:rFonts w:hint="eastAsia" w:ascii="宋体" w:hAnsi="宋体" w:eastAsia="宋体" w:cs="宋体"/>
          <w:b/>
          <w:color w:val="auto"/>
          <w:kern w:val="0"/>
          <w:sz w:val="24"/>
          <w:szCs w:val="20"/>
        </w:rPr>
        <w:t>9 响应文件格式范本</w:t>
      </w:r>
      <w:bookmarkEnd w:id="535"/>
      <w:bookmarkEnd w:id="536"/>
      <w:bookmarkEnd w:id="537"/>
      <w:bookmarkEnd w:id="538"/>
      <w:bookmarkEnd w:id="539"/>
    </w:p>
    <w:tbl>
      <w:tblPr>
        <w:tblStyle w:val="38"/>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（正本/副本）</w:t>
            </w:r>
          </w:p>
          <w:p>
            <w:pPr>
              <w:pStyle w:val="3"/>
              <w:ind w:firstLine="4216" w:firstLineChars="1500"/>
              <w:rPr>
                <w:rFonts w:hint="eastAsia" w:ascii="宋体" w:hAnsi="宋体" w:eastAsia="宋体" w:cs="宋体"/>
                <w:b/>
                <w:bCs/>
                <w:color w:val="auto"/>
                <w:sz w:val="28"/>
                <w:szCs w:val="28"/>
              </w:rPr>
            </w:pPr>
          </w:p>
          <w:p>
            <w:pPr>
              <w:pStyle w:val="3"/>
              <w:ind w:firstLine="4216" w:firstLineChars="1500"/>
              <w:rPr>
                <w:rFonts w:hint="eastAsia" w:ascii="宋体" w:hAnsi="宋体" w:eastAsia="宋体" w:cs="宋体"/>
                <w:b/>
                <w:bCs/>
                <w:color w:val="auto"/>
                <w:sz w:val="28"/>
                <w:szCs w:val="28"/>
              </w:rPr>
            </w:pPr>
          </w:p>
          <w:p>
            <w:pPr>
              <w:pStyle w:val="3"/>
              <w:rPr>
                <w:rFonts w:hint="eastAsia" w:ascii="宋体" w:hAnsi="宋体" w:eastAsia="宋体" w:cs="宋体"/>
                <w:b/>
                <w:bCs/>
                <w:color w:val="auto"/>
                <w:sz w:val="28"/>
                <w:szCs w:val="28"/>
              </w:rPr>
            </w:pPr>
          </w:p>
          <w:p>
            <w:pPr>
              <w:pStyle w:val="3"/>
              <w:ind w:firstLine="2530" w:firstLineChars="900"/>
              <w:rPr>
                <w:rFonts w:hint="eastAsia" w:ascii="宋体" w:hAnsi="宋体" w:eastAsia="宋体" w:cs="宋体"/>
                <w:b/>
                <w:bCs/>
                <w:color w:val="auto"/>
                <w:sz w:val="28"/>
                <w:szCs w:val="28"/>
              </w:rPr>
            </w:pPr>
            <w:r>
              <w:rPr>
                <w:rFonts w:hint="eastAsia" w:ascii="宋体" w:hAnsi="宋体" w:eastAsia="宋体" w:cs="宋体"/>
                <w:b/>
                <w:bCs/>
                <w:color w:val="auto"/>
                <w:sz w:val="28"/>
                <w:szCs w:val="28"/>
              </w:rPr>
              <w:t>***** *** *** *** ***   项目</w:t>
            </w:r>
          </w:p>
          <w:p>
            <w:pPr>
              <w:pStyle w:val="3"/>
              <w:jc w:val="center"/>
              <w:rPr>
                <w:rFonts w:hint="eastAsia" w:ascii="宋体" w:hAnsi="宋体" w:eastAsia="宋体" w:cs="宋体"/>
                <w:b/>
                <w:bCs/>
                <w:color w:val="auto"/>
                <w:sz w:val="21"/>
                <w:szCs w:val="21"/>
              </w:rPr>
            </w:pPr>
          </w:p>
          <w:p>
            <w:pPr>
              <w:pStyle w:val="3"/>
              <w:ind w:firstLine="3162" w:firstLineChars="1500"/>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w:t>
            </w:r>
          </w:p>
          <w:p>
            <w:pPr>
              <w:pStyle w:val="3"/>
              <w:jc w:val="center"/>
              <w:rPr>
                <w:rFonts w:hint="eastAsia" w:ascii="宋体" w:hAnsi="宋体" w:eastAsia="宋体" w:cs="宋体"/>
                <w:b/>
                <w:bCs/>
                <w:color w:val="auto"/>
                <w:sz w:val="48"/>
              </w:rPr>
            </w:pPr>
          </w:p>
          <w:p>
            <w:pPr>
              <w:pStyle w:val="3"/>
              <w:jc w:val="center"/>
              <w:rPr>
                <w:rFonts w:hint="eastAsia" w:ascii="宋体" w:hAnsi="宋体" w:eastAsia="宋体" w:cs="宋体"/>
                <w:b/>
                <w:bCs/>
                <w:color w:val="auto"/>
                <w:sz w:val="48"/>
              </w:rPr>
            </w:pPr>
            <w:r>
              <w:rPr>
                <w:rFonts w:hint="eastAsia" w:ascii="宋体" w:hAnsi="宋体" w:eastAsia="宋体" w:cs="宋体"/>
                <w:b/>
                <w:bCs/>
                <w:color w:val="auto"/>
                <w:sz w:val="48"/>
              </w:rPr>
              <w:t>响应文件</w:t>
            </w:r>
          </w:p>
          <w:p>
            <w:pPr>
              <w:jc w:val="center"/>
              <w:rPr>
                <w:rFonts w:hint="eastAsia" w:ascii="宋体" w:hAnsi="宋体" w:eastAsia="宋体" w:cs="宋体"/>
                <w:b/>
                <w:color w:val="auto"/>
                <w:sz w:val="32"/>
              </w:rPr>
            </w:pPr>
          </w:p>
          <w:p>
            <w:pPr>
              <w:pStyle w:val="6"/>
              <w:rPr>
                <w:rFonts w:hint="eastAsia" w:ascii="宋体" w:hAnsi="宋体" w:eastAsia="宋体" w:cs="宋体"/>
                <w:b/>
                <w:color w:val="auto"/>
                <w:sz w:val="32"/>
              </w:rPr>
            </w:pPr>
          </w:p>
          <w:p>
            <w:pPr>
              <w:pStyle w:val="6"/>
              <w:rPr>
                <w:rFonts w:hint="eastAsia" w:ascii="宋体" w:hAnsi="宋体" w:eastAsia="宋体" w:cs="宋体"/>
                <w:b/>
                <w:color w:val="auto"/>
                <w:sz w:val="32"/>
              </w:rPr>
            </w:pPr>
          </w:p>
          <w:p>
            <w:pPr>
              <w:spacing w:line="360" w:lineRule="auto"/>
              <w:ind w:left="176" w:leftChars="84" w:firstLine="840" w:firstLineChars="400"/>
              <w:rPr>
                <w:rFonts w:hint="eastAsia" w:ascii="宋体" w:hAnsi="宋体" w:eastAsia="宋体" w:cs="宋体"/>
                <w:color w:val="auto"/>
                <w:szCs w:val="21"/>
              </w:rPr>
            </w:pPr>
            <w:r>
              <w:rPr>
                <w:rFonts w:hint="eastAsia" w:ascii="宋体" w:hAnsi="宋体" w:eastAsia="宋体" w:cs="宋体"/>
                <w:color w:val="auto"/>
                <w:szCs w:val="21"/>
              </w:rPr>
              <w:t>投标单位：（公章）</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项目名称：</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项目编号：</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联系人：</w:t>
            </w:r>
          </w:p>
          <w:p>
            <w:pPr>
              <w:spacing w:line="360" w:lineRule="auto"/>
              <w:ind w:left="176" w:leftChars="84" w:firstLine="840" w:firstLineChars="400"/>
              <w:rPr>
                <w:rFonts w:hint="eastAsia" w:ascii="宋体" w:hAnsi="宋体" w:eastAsia="宋体" w:cs="宋体"/>
                <w:color w:val="auto"/>
                <w:szCs w:val="21"/>
              </w:rPr>
            </w:pPr>
            <w:r>
              <w:rPr>
                <w:rFonts w:hint="eastAsia" w:ascii="宋体" w:hAnsi="宋体" w:eastAsia="宋体" w:cs="宋体"/>
                <w:color w:val="auto"/>
                <w:szCs w:val="21"/>
              </w:rPr>
              <w:t>电话：</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地址：</w:t>
            </w:r>
          </w:p>
          <w:p>
            <w:pPr>
              <w:spacing w:line="360" w:lineRule="auto"/>
              <w:ind w:left="176" w:leftChars="84" w:firstLine="960" w:firstLineChars="400"/>
              <w:rPr>
                <w:rFonts w:hint="eastAsia" w:ascii="宋体" w:hAnsi="宋体" w:eastAsia="宋体" w:cs="宋体"/>
                <w:color w:val="auto"/>
                <w:sz w:val="24"/>
              </w:rPr>
            </w:pPr>
          </w:p>
          <w:p>
            <w:pPr>
              <w:jc w:val="center"/>
              <w:rPr>
                <w:rFonts w:hint="eastAsia" w:ascii="宋体" w:hAnsi="宋体" w:eastAsia="宋体" w:cs="宋体"/>
                <w:b/>
                <w:bCs/>
                <w:color w:val="auto"/>
              </w:rPr>
            </w:pPr>
          </w:p>
          <w:p>
            <w:pPr>
              <w:jc w:val="center"/>
              <w:rPr>
                <w:rFonts w:hint="eastAsia" w:ascii="宋体" w:hAnsi="宋体" w:eastAsia="宋体" w:cs="宋体"/>
                <w:b/>
                <w:bCs/>
                <w:color w:val="auto"/>
              </w:rPr>
            </w:pPr>
          </w:p>
          <w:p>
            <w:pPr>
              <w:jc w:val="center"/>
              <w:rPr>
                <w:rFonts w:hint="eastAsia" w:ascii="宋体" w:hAnsi="宋体" w:eastAsia="宋体" w:cs="宋体"/>
                <w:b/>
                <w:bCs/>
                <w:color w:val="auto"/>
              </w:rPr>
            </w:pPr>
            <w:r>
              <w:rPr>
                <w:rFonts w:hint="eastAsia" w:ascii="宋体" w:hAnsi="宋体" w:eastAsia="宋体" w:cs="宋体"/>
                <w:b/>
                <w:bCs/>
                <w:color w:val="auto"/>
              </w:rPr>
              <w:t>注：在xxx年xx月xx日之前不得启封</w:t>
            </w:r>
          </w:p>
        </w:tc>
      </w:tr>
    </w:tbl>
    <w:p>
      <w:pPr>
        <w:spacing w:line="240" w:lineRule="atLeast"/>
        <w:jc w:val="left"/>
        <w:rPr>
          <w:rFonts w:hint="eastAsia" w:ascii="宋体" w:hAnsi="宋体" w:eastAsia="宋体" w:cs="宋体"/>
          <w:b/>
          <w:color w:val="auto"/>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pStyle w:val="4"/>
        <w:tabs>
          <w:tab w:val="left" w:pos="0"/>
          <w:tab w:val="left" w:pos="3165"/>
          <w:tab w:val="center" w:pos="4153"/>
        </w:tabs>
        <w:spacing w:before="0" w:after="0" w:line="360" w:lineRule="auto"/>
        <w:rPr>
          <w:rFonts w:hint="eastAsia" w:ascii="宋体" w:hAnsi="宋体" w:eastAsia="宋体" w:cs="宋体"/>
          <w:color w:val="auto"/>
        </w:rPr>
      </w:pPr>
      <w:bookmarkStart w:id="540" w:name="_Toc21156_WPSOffice_Level1"/>
      <w:bookmarkStart w:id="541" w:name="_Toc218935350"/>
      <w:bookmarkStart w:id="542" w:name="_Toc507399902"/>
      <w:bookmarkStart w:id="543" w:name="_Toc108877120"/>
      <w:bookmarkStart w:id="544" w:name="_Toc216582822"/>
      <w:bookmarkStart w:id="545" w:name="_Toc9913"/>
      <w:bookmarkStart w:id="546" w:name="_Toc219175634"/>
      <w:bookmarkStart w:id="547" w:name="_Toc518923124"/>
      <w:r>
        <w:rPr>
          <w:rFonts w:hint="eastAsia" w:ascii="宋体" w:hAnsi="宋体" w:eastAsia="宋体" w:cs="宋体"/>
          <w:color w:val="auto"/>
        </w:rPr>
        <w:t>第三章</w:t>
      </w:r>
      <w:bookmarkEnd w:id="540"/>
      <w:bookmarkEnd w:id="541"/>
      <w:bookmarkEnd w:id="542"/>
      <w:bookmarkEnd w:id="543"/>
      <w:bookmarkEnd w:id="544"/>
      <w:bookmarkEnd w:id="545"/>
      <w:bookmarkEnd w:id="546"/>
      <w:bookmarkEnd w:id="547"/>
      <w:bookmarkStart w:id="548" w:name="_Toc35393629"/>
      <w:bookmarkStart w:id="549" w:name="_Toc28359012"/>
      <w:bookmarkStart w:id="550" w:name="_Toc28359089"/>
      <w:bookmarkStart w:id="551" w:name="_Toc35393798"/>
      <w:bookmarkStart w:id="552" w:name="_Toc28647"/>
      <w:bookmarkStart w:id="553" w:name="_Toc216582823"/>
      <w:bookmarkStart w:id="554" w:name="_Toc518923125"/>
      <w:bookmarkStart w:id="555" w:name="_Toc512937850"/>
      <w:bookmarkStart w:id="556" w:name="_Toc507399903"/>
    </w:p>
    <w:bookmarkEnd w:id="548"/>
    <w:bookmarkEnd w:id="549"/>
    <w:bookmarkEnd w:id="550"/>
    <w:bookmarkEnd w:id="551"/>
    <w:p>
      <w:pPr>
        <w:pStyle w:val="4"/>
        <w:tabs>
          <w:tab w:val="left" w:pos="0"/>
          <w:tab w:val="left" w:pos="3165"/>
          <w:tab w:val="center" w:pos="4153"/>
        </w:tabs>
        <w:spacing w:before="0" w:after="0" w:line="360" w:lineRule="auto"/>
        <w:rPr>
          <w:rFonts w:hint="eastAsia" w:ascii="宋体" w:hAnsi="宋体" w:eastAsia="宋体" w:cs="宋体"/>
          <w:color w:val="auto"/>
          <w:sz w:val="28"/>
          <w:szCs w:val="28"/>
        </w:rPr>
      </w:pPr>
      <w:bookmarkStart w:id="557" w:name="_Toc108877121"/>
      <w:r>
        <w:rPr>
          <w:rFonts w:hint="eastAsia" w:ascii="宋体" w:hAnsi="宋体" w:eastAsia="宋体" w:cs="宋体"/>
          <w:color w:val="auto"/>
          <w:sz w:val="28"/>
          <w:szCs w:val="28"/>
        </w:rPr>
        <w:t>2022年喀什文化旅游上海广告宣传项目的竞争性磋商公告</w:t>
      </w:r>
      <w:bookmarkEnd w:id="557"/>
    </w:p>
    <w:p>
      <w:pPr>
        <w:pBdr>
          <w:top w:val="single" w:color="auto" w:sz="4" w:space="1"/>
          <w:left w:val="single" w:color="auto" w:sz="4" w:space="4"/>
          <w:bottom w:val="single" w:color="auto" w:sz="4" w:space="1"/>
          <w:right w:val="single" w:color="auto" w:sz="4" w:space="4"/>
        </w:pBdr>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rPr>
      </w:pPr>
      <w:r>
        <w:rPr>
          <w:rFonts w:hint="eastAsia" w:ascii="宋体" w:hAnsi="宋体" w:eastAsia="宋体" w:cs="宋体"/>
          <w:color w:val="auto"/>
          <w:sz w:val="24"/>
          <w:u w:val="single"/>
        </w:rPr>
        <w:t xml:space="preserve"> 2022年喀什文化旅游上海广告宣传项目</w:t>
      </w:r>
      <w:r>
        <w:rPr>
          <w:rFonts w:hint="eastAsia" w:ascii="宋体" w:hAnsi="宋体" w:eastAsia="宋体" w:cs="宋体"/>
          <w:color w:val="auto"/>
          <w:sz w:val="24"/>
        </w:rPr>
        <w:t>的潜在投标人应在</w:t>
      </w:r>
      <w:r>
        <w:rPr>
          <w:rFonts w:hint="eastAsia" w:ascii="宋体" w:hAnsi="宋体" w:eastAsia="宋体" w:cs="宋体"/>
          <w:color w:val="auto"/>
          <w:sz w:val="24"/>
          <w:u w:val="single"/>
        </w:rPr>
        <w:t>新疆政府采购网（www.zcygov.cn）</w:t>
      </w:r>
      <w:r>
        <w:rPr>
          <w:rFonts w:hint="eastAsia" w:ascii="宋体" w:hAnsi="宋体" w:eastAsia="宋体" w:cs="宋体"/>
          <w:color w:val="auto"/>
          <w:sz w:val="24"/>
        </w:rPr>
        <w:t>获取磋商文件，并于</w:t>
      </w:r>
      <w:r>
        <w:rPr>
          <w:rFonts w:hint="eastAsia" w:ascii="宋体" w:hAnsi="宋体" w:eastAsia="宋体" w:cs="宋体"/>
          <w:color w:val="auto"/>
          <w:sz w:val="24"/>
          <w:u w:val="single"/>
        </w:rPr>
        <w:t xml:space="preserve"> 2022</w:t>
      </w:r>
      <w:r>
        <w:rPr>
          <w:rFonts w:hint="eastAsia" w:ascii="宋体" w:hAnsi="宋体" w:eastAsia="宋体" w:cs="宋体"/>
          <w:bCs/>
          <w:color w:val="auto"/>
          <w:sz w:val="24"/>
          <w:u w:val="single"/>
        </w:rPr>
        <w:t>年0</w:t>
      </w:r>
      <w:r>
        <w:rPr>
          <w:rFonts w:hint="eastAsia" w:ascii="宋体" w:hAnsi="宋体" w:eastAsia="宋体" w:cs="宋体"/>
          <w:bCs/>
          <w:color w:val="auto"/>
          <w:sz w:val="24"/>
          <w:u w:val="single"/>
          <w:lang w:val="en-US" w:eastAsia="zh-CN"/>
        </w:rPr>
        <w:t>8</w:t>
      </w:r>
      <w:r>
        <w:rPr>
          <w:rFonts w:hint="eastAsia" w:ascii="宋体" w:hAnsi="宋体" w:eastAsia="宋体" w:cs="宋体"/>
          <w:bCs/>
          <w:color w:val="auto"/>
          <w:sz w:val="24"/>
          <w:u w:val="single"/>
        </w:rPr>
        <w:t>月</w:t>
      </w:r>
      <w:r>
        <w:rPr>
          <w:rFonts w:hint="eastAsia" w:ascii="宋体" w:hAnsi="宋体" w:eastAsia="宋体" w:cs="宋体"/>
          <w:bCs/>
          <w:color w:val="auto"/>
          <w:sz w:val="24"/>
          <w:u w:val="single"/>
          <w:lang w:val="en-US" w:eastAsia="zh-CN"/>
        </w:rPr>
        <w:t>01</w:t>
      </w:r>
      <w:r>
        <w:rPr>
          <w:rFonts w:hint="eastAsia" w:ascii="宋体" w:hAnsi="宋体" w:eastAsia="宋体" w:cs="宋体"/>
          <w:bCs/>
          <w:color w:val="auto"/>
          <w:sz w:val="24"/>
          <w:u w:val="single"/>
        </w:rPr>
        <w:t>日12点00分（</w:t>
      </w:r>
      <w:r>
        <w:rPr>
          <w:rFonts w:hint="eastAsia" w:ascii="宋体" w:hAnsi="宋体" w:eastAsia="宋体" w:cs="宋体"/>
          <w:bCs/>
          <w:color w:val="auto"/>
          <w:sz w:val="24"/>
        </w:rPr>
        <w:t>北京时间）前递交投标文件</w:t>
      </w:r>
      <w:r>
        <w:rPr>
          <w:rFonts w:hint="eastAsia" w:ascii="宋体" w:hAnsi="宋体" w:eastAsia="宋体" w:cs="宋体"/>
          <w:color w:val="auto"/>
          <w:sz w:val="24"/>
        </w:rPr>
        <w:t>。</w:t>
      </w:r>
    </w:p>
    <w:p>
      <w:pPr>
        <w:pStyle w:val="5"/>
        <w:autoSpaceDE/>
        <w:autoSpaceDN/>
        <w:adjustRightInd/>
        <w:spacing w:line="480" w:lineRule="exact"/>
        <w:jc w:val="both"/>
        <w:rPr>
          <w:rFonts w:hint="eastAsia" w:ascii="宋体" w:hAnsi="宋体" w:eastAsia="宋体" w:cs="宋体"/>
          <w:b w:val="0"/>
          <w:color w:val="auto"/>
          <w:sz w:val="28"/>
          <w:szCs w:val="28"/>
        </w:rPr>
      </w:pPr>
      <w:bookmarkStart w:id="558" w:name="_Toc108876212"/>
      <w:bookmarkStart w:id="559" w:name="_Toc108877122"/>
      <w:r>
        <w:rPr>
          <w:rFonts w:hint="eastAsia" w:ascii="宋体" w:hAnsi="宋体" w:eastAsia="宋体" w:cs="宋体"/>
          <w:b w:val="0"/>
          <w:color w:val="auto"/>
          <w:sz w:val="28"/>
          <w:szCs w:val="28"/>
        </w:rPr>
        <w:t>一、项目基本情况</w:t>
      </w:r>
      <w:bookmarkEnd w:id="558"/>
      <w:bookmarkEnd w:id="559"/>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项目编号：</w:t>
      </w:r>
      <w:r>
        <w:rPr>
          <w:rFonts w:hint="eastAsia" w:ascii="宋体" w:hAnsi="宋体" w:eastAsia="宋体" w:cs="宋体"/>
          <w:color w:val="auto"/>
          <w:sz w:val="24"/>
        </w:rPr>
        <w:t>XJYZH(CS)-2022-02号</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项目名称：</w:t>
      </w:r>
      <w:r>
        <w:rPr>
          <w:rFonts w:hint="eastAsia" w:ascii="宋体" w:hAnsi="宋体" w:eastAsia="宋体" w:cs="宋体"/>
          <w:color w:val="auto"/>
          <w:sz w:val="28"/>
          <w:szCs w:val="28"/>
        </w:rPr>
        <w:t>2022年喀什文化旅游上海广告宣传项目</w:t>
      </w:r>
    </w:p>
    <w:p>
      <w:pPr>
        <w:spacing w:line="48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采购方式：</w:t>
      </w:r>
      <w:r>
        <w:rPr>
          <w:rFonts w:hint="eastAsia" w:ascii="宋体" w:hAnsi="宋体" w:eastAsia="宋体" w:cs="宋体"/>
          <w:color w:val="auto"/>
          <w:sz w:val="28"/>
          <w:szCs w:val="28"/>
        </w:rPr>
        <w:t>□竞争性谈判 ☑竞争性磋商 □询价</w:t>
      </w:r>
    </w:p>
    <w:p>
      <w:pPr>
        <w:spacing w:line="40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标项1：电视、电台、地铁电子屏常规媒体宣传</w:t>
      </w:r>
    </w:p>
    <w:p>
      <w:pPr>
        <w:spacing w:line="40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预算金额</w:t>
      </w:r>
      <w:r>
        <w:rPr>
          <w:rFonts w:hint="eastAsia" w:ascii="宋体" w:hAnsi="宋体" w:eastAsia="宋体" w:cs="宋体"/>
          <w:color w:val="auto"/>
          <w:sz w:val="28"/>
          <w:szCs w:val="28"/>
        </w:rPr>
        <w:t>：450000.00元（肆拾伍万元整）；</w:t>
      </w:r>
    </w:p>
    <w:p>
      <w:pPr>
        <w:spacing w:line="40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最高限价：</w:t>
      </w:r>
      <w:r>
        <w:rPr>
          <w:rFonts w:hint="eastAsia" w:ascii="宋体" w:hAnsi="宋体" w:eastAsia="宋体" w:cs="宋体"/>
          <w:color w:val="auto"/>
          <w:sz w:val="28"/>
          <w:szCs w:val="28"/>
        </w:rPr>
        <w:t>450000.00元（肆拾伍万元整）；</w:t>
      </w:r>
    </w:p>
    <w:p>
      <w:pPr>
        <w:pStyle w:val="26"/>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服务期限:</w:t>
      </w:r>
      <w:r>
        <w:rPr>
          <w:rFonts w:hint="eastAsia" w:ascii="宋体" w:hAnsi="宋体" w:eastAsia="宋体" w:cs="宋体"/>
          <w:color w:val="auto"/>
          <w:sz w:val="28"/>
          <w:szCs w:val="28"/>
        </w:rPr>
        <w:t>100天</w:t>
      </w:r>
      <w:r>
        <w:rPr>
          <w:rFonts w:hint="eastAsia" w:ascii="宋体" w:hAnsi="宋体" w:eastAsia="宋体" w:cs="宋体"/>
          <w:b/>
          <w:bCs/>
          <w:color w:val="auto"/>
          <w:sz w:val="28"/>
          <w:szCs w:val="28"/>
        </w:rPr>
        <w:t>(具体情况由中标单位和业主在合同中约定)</w:t>
      </w:r>
    </w:p>
    <w:p>
      <w:pPr>
        <w:spacing w:line="400" w:lineRule="exact"/>
        <w:ind w:firstLine="562" w:firstLineChars="200"/>
        <w:rPr>
          <w:rFonts w:hint="eastAsia" w:ascii="宋体" w:hAnsi="宋体" w:eastAsia="宋体" w:cs="宋体"/>
          <w:b/>
          <w:bCs/>
          <w:color w:val="auto"/>
          <w:sz w:val="30"/>
          <w:szCs w:val="30"/>
        </w:rPr>
      </w:pPr>
      <w:r>
        <w:rPr>
          <w:rFonts w:hint="eastAsia" w:ascii="宋体" w:hAnsi="宋体" w:eastAsia="宋体" w:cs="宋体"/>
          <w:b/>
          <w:bCs/>
          <w:color w:val="auto"/>
          <w:sz w:val="28"/>
          <w:szCs w:val="28"/>
        </w:rPr>
        <w:t>采购需求：</w:t>
      </w:r>
      <w:r>
        <w:rPr>
          <w:rFonts w:hint="eastAsia" w:ascii="宋体" w:hAnsi="宋体" w:eastAsia="宋体" w:cs="宋体"/>
          <w:color w:val="auto"/>
          <w:sz w:val="28"/>
          <w:szCs w:val="28"/>
        </w:rPr>
        <w:t>详见竞争性磋商文件</w:t>
      </w:r>
    </w:p>
    <w:p>
      <w:pPr>
        <w:spacing w:line="40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标项2：抖音、微信、小红书主流新媒体全国宣传计划</w:t>
      </w:r>
    </w:p>
    <w:p>
      <w:pPr>
        <w:spacing w:line="40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预算金额</w:t>
      </w:r>
      <w:r>
        <w:rPr>
          <w:rFonts w:hint="eastAsia" w:ascii="宋体" w:hAnsi="宋体" w:eastAsia="宋体" w:cs="宋体"/>
          <w:color w:val="auto"/>
          <w:sz w:val="28"/>
          <w:szCs w:val="28"/>
        </w:rPr>
        <w:t>：550000.00元（伍拾伍万元整）；</w:t>
      </w:r>
    </w:p>
    <w:p>
      <w:pPr>
        <w:spacing w:line="40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最高限价：</w:t>
      </w:r>
      <w:r>
        <w:rPr>
          <w:rFonts w:hint="eastAsia" w:ascii="宋体" w:hAnsi="宋体" w:eastAsia="宋体" w:cs="宋体"/>
          <w:color w:val="auto"/>
          <w:sz w:val="28"/>
          <w:szCs w:val="28"/>
        </w:rPr>
        <w:t>550000.00元（伍拾伍万元整）；</w:t>
      </w:r>
    </w:p>
    <w:p>
      <w:pPr>
        <w:pStyle w:val="26"/>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服务期限:</w:t>
      </w:r>
      <w:r>
        <w:rPr>
          <w:rFonts w:hint="eastAsia" w:ascii="宋体" w:hAnsi="宋体" w:eastAsia="宋体" w:cs="宋体"/>
          <w:color w:val="auto"/>
          <w:sz w:val="28"/>
          <w:szCs w:val="28"/>
        </w:rPr>
        <w:t>100天</w:t>
      </w:r>
      <w:r>
        <w:rPr>
          <w:rFonts w:hint="eastAsia" w:ascii="宋体" w:hAnsi="宋体" w:eastAsia="宋体" w:cs="宋体"/>
          <w:b/>
          <w:bCs/>
          <w:color w:val="auto"/>
          <w:sz w:val="28"/>
          <w:szCs w:val="28"/>
        </w:rPr>
        <w:t>(具体情况由中标单位和业主在合同中约定)</w:t>
      </w:r>
    </w:p>
    <w:p>
      <w:pPr>
        <w:spacing w:line="400" w:lineRule="exact"/>
        <w:ind w:firstLine="562" w:firstLineChars="200"/>
        <w:rPr>
          <w:rFonts w:hint="eastAsia" w:ascii="宋体" w:hAnsi="宋体" w:eastAsia="宋体" w:cs="宋体"/>
          <w:b/>
          <w:bCs/>
          <w:color w:val="auto"/>
          <w:sz w:val="30"/>
          <w:szCs w:val="30"/>
        </w:rPr>
      </w:pPr>
      <w:r>
        <w:rPr>
          <w:rFonts w:hint="eastAsia" w:ascii="宋体" w:hAnsi="宋体" w:eastAsia="宋体" w:cs="宋体"/>
          <w:b/>
          <w:bCs/>
          <w:color w:val="auto"/>
          <w:sz w:val="28"/>
          <w:szCs w:val="28"/>
        </w:rPr>
        <w:t>采购需求：</w:t>
      </w:r>
      <w:r>
        <w:rPr>
          <w:rFonts w:hint="eastAsia" w:ascii="宋体" w:hAnsi="宋体" w:eastAsia="宋体" w:cs="宋体"/>
          <w:color w:val="auto"/>
          <w:sz w:val="28"/>
          <w:szCs w:val="28"/>
        </w:rPr>
        <w:t>详见竞争性磋商文件</w:t>
      </w:r>
    </w:p>
    <w:p>
      <w:pPr>
        <w:pStyle w:val="5"/>
        <w:numPr>
          <w:ilvl w:val="0"/>
          <w:numId w:val="8"/>
        </w:numPr>
        <w:spacing w:line="480" w:lineRule="exact"/>
        <w:jc w:val="both"/>
        <w:rPr>
          <w:rFonts w:hint="eastAsia" w:ascii="宋体" w:hAnsi="宋体" w:eastAsia="宋体" w:cs="宋体"/>
          <w:b w:val="0"/>
          <w:color w:val="auto"/>
          <w:sz w:val="28"/>
          <w:szCs w:val="28"/>
        </w:rPr>
      </w:pPr>
      <w:bookmarkStart w:id="560" w:name="_Toc35393630"/>
      <w:bookmarkStart w:id="561" w:name="_Toc28359013"/>
      <w:bookmarkStart w:id="562" w:name="_Toc108876213"/>
      <w:bookmarkStart w:id="563" w:name="_Toc35393799"/>
      <w:bookmarkStart w:id="564" w:name="_Toc28359090"/>
      <w:bookmarkStart w:id="565" w:name="_Toc108877123"/>
      <w:r>
        <w:rPr>
          <w:rFonts w:hint="eastAsia" w:ascii="宋体" w:hAnsi="宋体" w:eastAsia="宋体" w:cs="宋体"/>
          <w:b w:val="0"/>
          <w:color w:val="auto"/>
          <w:sz w:val="28"/>
          <w:szCs w:val="28"/>
        </w:rPr>
        <w:t>申请人的资格要求：</w:t>
      </w:r>
      <w:bookmarkEnd w:id="560"/>
      <w:bookmarkEnd w:id="561"/>
      <w:bookmarkEnd w:id="562"/>
      <w:bookmarkEnd w:id="563"/>
      <w:bookmarkEnd w:id="564"/>
      <w:bookmarkEnd w:id="565"/>
    </w:p>
    <w:p>
      <w:pPr>
        <w:widowControl/>
        <w:spacing w:before="50" w:after="50" w:line="320" w:lineRule="exact"/>
        <w:ind w:firstLine="480" w:firstLineChars="200"/>
        <w:jc w:val="left"/>
        <w:rPr>
          <w:rFonts w:hint="eastAsia" w:ascii="宋体" w:hAnsi="宋体" w:eastAsia="宋体" w:cs="宋体"/>
          <w:bCs/>
          <w:color w:val="auto"/>
          <w:kern w:val="0"/>
          <w:sz w:val="24"/>
        </w:rPr>
      </w:pPr>
      <w:bookmarkStart w:id="566" w:name="_Toc28359014"/>
      <w:bookmarkStart w:id="567" w:name="_Toc28359091"/>
      <w:r>
        <w:rPr>
          <w:rFonts w:hint="eastAsia" w:ascii="宋体" w:hAnsi="宋体" w:eastAsia="宋体" w:cs="宋体"/>
          <w:bCs/>
          <w:color w:val="auto"/>
          <w:kern w:val="0"/>
          <w:sz w:val="24"/>
        </w:rPr>
        <w:t>1、满足《中华人民共和国政府采购法》第二十二条规定；</w:t>
      </w:r>
    </w:p>
    <w:p>
      <w:pPr>
        <w:widowControl/>
        <w:spacing w:before="50" w:after="50" w:line="320" w:lineRule="exact"/>
        <w:ind w:firstLine="720" w:firstLineChars="3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（1）具有健全的财务会计制度；</w:t>
      </w:r>
    </w:p>
    <w:p>
      <w:pPr>
        <w:widowControl/>
        <w:spacing w:before="50" w:after="50" w:line="320" w:lineRule="exact"/>
        <w:ind w:firstLine="720" w:firstLineChars="3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（2）具有履行合同所必需的设备和专业技术能力；</w:t>
      </w:r>
    </w:p>
    <w:p>
      <w:pPr>
        <w:widowControl/>
        <w:spacing w:before="50" w:after="50" w:line="320" w:lineRule="exact"/>
        <w:ind w:firstLine="720" w:firstLineChars="3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（3）有依法缴纳税收和社会保障资金的良好记录；</w:t>
      </w:r>
    </w:p>
    <w:p>
      <w:pPr>
        <w:widowControl/>
        <w:spacing w:before="50" w:after="50" w:line="320" w:lineRule="exact"/>
        <w:ind w:firstLine="720" w:firstLineChars="3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（4）参加政府采购活动前三年内，在经营活动中没有重大违法记录；</w:t>
      </w:r>
    </w:p>
    <w:p>
      <w:pPr>
        <w:widowControl/>
        <w:spacing w:before="50" w:after="50" w:line="320" w:lineRule="exact"/>
        <w:ind w:firstLine="720" w:firstLineChars="3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（5）法律、行政法规规定的其他条件。</w:t>
      </w:r>
    </w:p>
    <w:p>
      <w:pPr>
        <w:widowControl/>
        <w:spacing w:before="50" w:after="50" w:line="320" w:lineRule="exact"/>
        <w:ind w:left="719" w:leftChars="228" w:hanging="240" w:hangingChars="1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3、法律、行政法规规定的其他条件。</w:t>
      </w:r>
    </w:p>
    <w:p>
      <w:pPr>
        <w:widowControl/>
        <w:spacing w:before="50" w:after="50" w:line="320" w:lineRule="exact"/>
        <w:ind w:left="479" w:leftChars="228" w:firstLine="0" w:firstLineChars="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4、与招标人存在利害关系可能影响招标公正性的法人、其他组织或者个人，不得参加投标。单位负责人为同一人或者存在控股、管理关系的不同单位，不得参加同一包投标或者未划分包的同一招标项目投标。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5、提供针对本次项目《反商业贿赂承诺书》。</w:t>
      </w:r>
    </w:p>
    <w:p>
      <w:pPr>
        <w:spacing w:line="400" w:lineRule="exact"/>
        <w:ind w:firstLine="480" w:firstLineChars="200"/>
        <w:rPr>
          <w:rFonts w:hint="eastAsia" w:ascii="宋体" w:hAnsi="宋体" w:eastAsia="宋体" w:cs="宋体"/>
          <w:b/>
          <w:color w:val="auto"/>
          <w:sz w:val="24"/>
        </w:rPr>
      </w:pPr>
      <w:r>
        <w:rPr>
          <w:rFonts w:hint="eastAsia" w:ascii="宋体" w:hAnsi="宋体" w:eastAsia="宋体" w:cs="宋体"/>
          <w:bCs/>
          <w:color w:val="auto"/>
          <w:kern w:val="0"/>
          <w:sz w:val="24"/>
        </w:rPr>
        <w:t>6、本项目不接受联合体投标。</w:t>
      </w:r>
    </w:p>
    <w:p>
      <w:pPr>
        <w:pStyle w:val="5"/>
        <w:spacing w:line="480" w:lineRule="exact"/>
        <w:jc w:val="both"/>
        <w:rPr>
          <w:rFonts w:hint="eastAsia" w:ascii="宋体" w:hAnsi="宋体" w:eastAsia="宋体" w:cs="宋体"/>
          <w:bCs/>
          <w:color w:val="auto"/>
          <w:kern w:val="2"/>
          <w:sz w:val="28"/>
          <w:szCs w:val="28"/>
        </w:rPr>
      </w:pPr>
      <w:bookmarkStart w:id="568" w:name="_Toc35393631"/>
      <w:bookmarkStart w:id="569" w:name="_Toc108876214"/>
      <w:bookmarkStart w:id="570" w:name="_Toc35393800"/>
      <w:bookmarkStart w:id="571" w:name="_Toc108877124"/>
      <w:r>
        <w:rPr>
          <w:rFonts w:hint="eastAsia" w:ascii="宋体" w:hAnsi="宋体" w:eastAsia="宋体" w:cs="宋体"/>
          <w:bCs/>
          <w:color w:val="auto"/>
          <w:kern w:val="2"/>
          <w:sz w:val="28"/>
          <w:szCs w:val="28"/>
        </w:rPr>
        <w:t>三、获取采购文件</w:t>
      </w:r>
      <w:bookmarkEnd w:id="566"/>
      <w:bookmarkEnd w:id="567"/>
      <w:bookmarkEnd w:id="568"/>
      <w:bookmarkEnd w:id="569"/>
      <w:bookmarkEnd w:id="570"/>
      <w:bookmarkEnd w:id="571"/>
    </w:p>
    <w:p>
      <w:pPr>
        <w:spacing w:line="480" w:lineRule="exact"/>
        <w:ind w:firstLine="540"/>
        <w:rPr>
          <w:rFonts w:hint="eastAsia"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u w:val="single"/>
        </w:rPr>
        <w:t>2022年7月</w:t>
      </w:r>
      <w:r>
        <w:rPr>
          <w:rFonts w:hint="eastAsia" w:ascii="宋体" w:hAnsi="宋体" w:cs="宋体"/>
          <w:color w:val="auto"/>
          <w:sz w:val="28"/>
          <w:szCs w:val="28"/>
          <w:u w:val="single"/>
          <w:lang w:val="en-US" w:eastAsia="zh-CN"/>
        </w:rPr>
        <w:t>21</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2022年7月2</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，每天上午1</w:t>
      </w:r>
      <w:r>
        <w:rPr>
          <w:rFonts w:hint="eastAsia" w:ascii="宋体" w:hAnsi="宋体" w:eastAsia="宋体" w:cs="宋体"/>
          <w:color w:val="auto"/>
          <w:sz w:val="28"/>
          <w:szCs w:val="28"/>
          <w:u w:val="single"/>
        </w:rPr>
        <w:t>0:00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14:00</w:t>
      </w:r>
      <w:r>
        <w:rPr>
          <w:rFonts w:hint="eastAsia" w:ascii="宋体" w:hAnsi="宋体" w:eastAsia="宋体" w:cs="宋体"/>
          <w:color w:val="auto"/>
          <w:sz w:val="28"/>
          <w:szCs w:val="28"/>
        </w:rPr>
        <w:t>，下午</w:t>
      </w:r>
      <w:r>
        <w:rPr>
          <w:rFonts w:hint="eastAsia" w:ascii="宋体" w:hAnsi="宋体" w:eastAsia="宋体" w:cs="宋体"/>
          <w:color w:val="auto"/>
          <w:sz w:val="28"/>
          <w:szCs w:val="28"/>
          <w:u w:val="single"/>
        </w:rPr>
        <w:t>16:00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20：00</w:t>
      </w:r>
      <w:r>
        <w:rPr>
          <w:rFonts w:hint="eastAsia" w:ascii="宋体" w:hAnsi="宋体" w:eastAsia="宋体" w:cs="宋体"/>
          <w:color w:val="auto"/>
          <w:sz w:val="28"/>
          <w:szCs w:val="28"/>
        </w:rPr>
        <w:t>（法定节假日除外 ）</w:t>
      </w:r>
    </w:p>
    <w:p>
      <w:pPr>
        <w:spacing w:line="400" w:lineRule="exact"/>
        <w:ind w:firstLine="540"/>
        <w:rPr>
          <w:rFonts w:hint="eastAsia" w:ascii="宋体" w:hAnsi="宋体" w:eastAsia="宋体" w:cs="宋体"/>
          <w:color w:val="auto"/>
          <w:sz w:val="28"/>
          <w:szCs w:val="28"/>
        </w:rPr>
      </w:pPr>
      <w:bookmarkStart w:id="572" w:name="_Toc35393632"/>
      <w:bookmarkStart w:id="573" w:name="_Toc28359092"/>
      <w:bookmarkStart w:id="574" w:name="_Toc35393801"/>
      <w:bookmarkStart w:id="575" w:name="_Toc28359015"/>
      <w:r>
        <w:rPr>
          <w:rFonts w:hint="eastAsia" w:ascii="宋体" w:hAnsi="宋体" w:eastAsia="宋体" w:cs="宋体"/>
          <w:color w:val="auto"/>
          <w:sz w:val="28"/>
          <w:szCs w:val="28"/>
        </w:rPr>
        <w:t>获取地点及方式：供应商登陆政采云平台http://www.zcygov.cn/，在线申请获取采购文件（登录政府采购云平台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ascii="宋体" w:hAnsi="宋体" w:eastAsia="宋体" w:cs="宋体"/>
          <w:color w:val="auto"/>
          <w:sz w:val="28"/>
          <w:szCs w:val="28"/>
          <w:lang w:eastAsia="zh-CN"/>
        </w:rPr>
        <w:t>。</w:t>
      </w:r>
    </w:p>
    <w:p>
      <w:pPr>
        <w:pStyle w:val="5"/>
        <w:spacing w:line="400" w:lineRule="exact"/>
        <w:jc w:val="both"/>
        <w:rPr>
          <w:rFonts w:hint="eastAsia" w:ascii="宋体" w:hAnsi="宋体" w:eastAsia="宋体" w:cs="宋体"/>
          <w:b w:val="0"/>
          <w:color w:val="auto"/>
          <w:sz w:val="28"/>
          <w:szCs w:val="28"/>
        </w:rPr>
      </w:pPr>
      <w:bookmarkStart w:id="576" w:name="_Toc108876215"/>
      <w:bookmarkStart w:id="577" w:name="_Toc108877125"/>
      <w:r>
        <w:rPr>
          <w:rFonts w:hint="eastAsia" w:ascii="宋体" w:hAnsi="宋体" w:eastAsia="宋体" w:cs="宋体"/>
          <w:b w:val="0"/>
          <w:color w:val="auto"/>
          <w:sz w:val="28"/>
          <w:szCs w:val="28"/>
        </w:rPr>
        <w:t>四、响应文件提交</w:t>
      </w:r>
      <w:bookmarkEnd w:id="572"/>
      <w:bookmarkEnd w:id="573"/>
      <w:bookmarkEnd w:id="574"/>
      <w:bookmarkEnd w:id="575"/>
      <w:bookmarkEnd w:id="576"/>
      <w:bookmarkEnd w:id="577"/>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截止时间：2022</w:t>
      </w:r>
      <w:r>
        <w:rPr>
          <w:rFonts w:hint="eastAsia" w:ascii="宋体" w:hAnsi="宋体" w:eastAsia="宋体" w:cs="宋体"/>
          <w:bCs/>
          <w:color w:val="auto"/>
          <w:sz w:val="28"/>
          <w:szCs w:val="28"/>
        </w:rPr>
        <w:t>年</w:t>
      </w:r>
      <w:r>
        <w:rPr>
          <w:rFonts w:hint="eastAsia" w:ascii="宋体" w:hAnsi="宋体" w:eastAsia="宋体" w:cs="宋体"/>
          <w:bCs/>
          <w:color w:val="auto"/>
          <w:sz w:val="28"/>
          <w:szCs w:val="28"/>
          <w:lang w:val="en-US" w:eastAsia="zh-CN"/>
        </w:rPr>
        <w:t>8</w:t>
      </w:r>
      <w:r>
        <w:rPr>
          <w:rFonts w:hint="eastAsia" w:ascii="宋体" w:hAnsi="宋体" w:eastAsia="宋体" w:cs="宋体"/>
          <w:bCs/>
          <w:color w:val="auto"/>
          <w:sz w:val="28"/>
          <w:szCs w:val="28"/>
        </w:rPr>
        <w:t>月</w:t>
      </w: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日12点 00分</w:t>
      </w:r>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地点：喀什市中亚商贸城B4二楼S16号</w:t>
      </w:r>
    </w:p>
    <w:p>
      <w:pPr>
        <w:pStyle w:val="5"/>
        <w:spacing w:line="480" w:lineRule="exact"/>
        <w:jc w:val="both"/>
        <w:rPr>
          <w:rFonts w:hint="eastAsia" w:ascii="宋体" w:hAnsi="宋体" w:eastAsia="宋体" w:cs="宋体"/>
          <w:b w:val="0"/>
          <w:color w:val="auto"/>
          <w:sz w:val="28"/>
          <w:szCs w:val="28"/>
        </w:rPr>
      </w:pPr>
      <w:bookmarkStart w:id="578" w:name="_Toc35393802"/>
      <w:bookmarkStart w:id="579" w:name="_Toc35393633"/>
      <w:bookmarkStart w:id="580" w:name="_Toc28359093"/>
      <w:bookmarkStart w:id="581" w:name="_Toc28359016"/>
      <w:bookmarkStart w:id="582" w:name="_Toc108876216"/>
      <w:bookmarkStart w:id="583" w:name="_Toc108877126"/>
      <w:r>
        <w:rPr>
          <w:rFonts w:hint="eastAsia" w:ascii="宋体" w:hAnsi="宋体" w:eastAsia="宋体" w:cs="宋体"/>
          <w:b w:val="0"/>
          <w:color w:val="auto"/>
          <w:sz w:val="28"/>
          <w:szCs w:val="28"/>
        </w:rPr>
        <w:t>五、开</w:t>
      </w:r>
      <w:bookmarkEnd w:id="578"/>
      <w:bookmarkEnd w:id="579"/>
      <w:bookmarkEnd w:id="580"/>
      <w:bookmarkEnd w:id="581"/>
      <w:r>
        <w:rPr>
          <w:rFonts w:hint="eastAsia" w:ascii="宋体" w:hAnsi="宋体" w:eastAsia="宋体" w:cs="宋体"/>
          <w:b w:val="0"/>
          <w:color w:val="auto"/>
          <w:sz w:val="28"/>
          <w:szCs w:val="28"/>
        </w:rPr>
        <w:t>标</w:t>
      </w:r>
      <w:bookmarkEnd w:id="582"/>
      <w:bookmarkEnd w:id="583"/>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时间：2022年</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日12点 00分</w:t>
      </w:r>
    </w:p>
    <w:p>
      <w:pPr>
        <w:pStyle w:val="5"/>
        <w:spacing w:line="480" w:lineRule="exact"/>
        <w:ind w:firstLine="560" w:firstLineChars="200"/>
        <w:jc w:val="both"/>
        <w:rPr>
          <w:rFonts w:hint="eastAsia" w:ascii="宋体" w:hAnsi="宋体" w:eastAsia="宋体" w:cs="宋体"/>
          <w:b w:val="0"/>
          <w:bCs/>
          <w:color w:val="auto"/>
          <w:sz w:val="28"/>
          <w:szCs w:val="28"/>
        </w:rPr>
      </w:pPr>
      <w:bookmarkStart w:id="584" w:name="_Toc108877127"/>
      <w:bookmarkStart w:id="585" w:name="_Toc108876217"/>
      <w:r>
        <w:rPr>
          <w:rFonts w:hint="eastAsia" w:ascii="宋体" w:hAnsi="宋体" w:eastAsia="宋体" w:cs="宋体"/>
          <w:b w:val="0"/>
          <w:bCs/>
          <w:color w:val="auto"/>
          <w:sz w:val="28"/>
          <w:szCs w:val="28"/>
        </w:rPr>
        <w:t>地点：</w:t>
      </w:r>
      <w:bookmarkStart w:id="586" w:name="_Toc35393635"/>
      <w:bookmarkStart w:id="587" w:name="_Toc35393804"/>
      <w:r>
        <w:rPr>
          <w:rFonts w:hint="eastAsia" w:ascii="宋体" w:hAnsi="宋体" w:eastAsia="宋体" w:cs="宋体"/>
          <w:b w:val="0"/>
          <w:bCs/>
          <w:color w:val="auto"/>
          <w:sz w:val="28"/>
          <w:szCs w:val="28"/>
        </w:rPr>
        <w:t>喀什市中亚商贸城B4二楼S16号</w:t>
      </w:r>
      <w:bookmarkEnd w:id="584"/>
      <w:bookmarkEnd w:id="585"/>
    </w:p>
    <w:p>
      <w:pPr>
        <w:pStyle w:val="5"/>
        <w:spacing w:line="480" w:lineRule="exact"/>
        <w:jc w:val="both"/>
        <w:rPr>
          <w:rFonts w:hint="eastAsia" w:ascii="宋体" w:hAnsi="宋体" w:eastAsia="宋体" w:cs="宋体"/>
          <w:b w:val="0"/>
          <w:color w:val="auto"/>
          <w:sz w:val="28"/>
          <w:szCs w:val="28"/>
        </w:rPr>
      </w:pPr>
      <w:bookmarkStart w:id="588" w:name="_Toc108876218"/>
      <w:bookmarkStart w:id="589" w:name="_Toc108877128"/>
      <w:r>
        <w:rPr>
          <w:rFonts w:hint="eastAsia" w:ascii="宋体" w:hAnsi="宋体" w:eastAsia="宋体" w:cs="宋体"/>
          <w:b w:val="0"/>
          <w:color w:val="auto"/>
          <w:sz w:val="28"/>
          <w:szCs w:val="28"/>
        </w:rPr>
        <w:t>六、其他补充事宜</w:t>
      </w:r>
      <w:bookmarkEnd w:id="586"/>
      <w:bookmarkEnd w:id="587"/>
      <w:bookmarkEnd w:id="588"/>
      <w:bookmarkEnd w:id="589"/>
    </w:p>
    <w:p>
      <w:pPr>
        <w:pStyle w:val="26"/>
        <w:spacing w:line="480" w:lineRule="exact"/>
        <w:ind w:firstLine="560"/>
        <w:rPr>
          <w:rFonts w:hint="eastAsia" w:ascii="宋体" w:hAnsi="宋体" w:eastAsia="宋体" w:cs="宋体"/>
          <w:bCs/>
          <w:color w:val="auto"/>
          <w:sz w:val="21"/>
          <w:szCs w:val="21"/>
        </w:rPr>
      </w:pPr>
      <w:bookmarkStart w:id="590" w:name="_Toc35393795"/>
      <w:bookmarkStart w:id="591" w:name="_Toc35393626"/>
      <w:bookmarkStart w:id="592" w:name="_Toc35393636"/>
      <w:bookmarkStart w:id="593" w:name="_Toc28359018"/>
      <w:bookmarkStart w:id="594" w:name="_Toc35393805"/>
      <w:bookmarkStart w:id="595" w:name="_Toc28359095"/>
      <w:r>
        <w:rPr>
          <w:rFonts w:hint="eastAsia" w:ascii="宋体" w:hAnsi="宋体" w:eastAsia="宋体" w:cs="宋体"/>
          <w:bCs/>
          <w:color w:val="auto"/>
          <w:sz w:val="21"/>
          <w:szCs w:val="21"/>
        </w:rPr>
        <w:t>特别提示：</w:t>
      </w:r>
    </w:p>
    <w:p>
      <w:pPr>
        <w:pStyle w:val="26"/>
        <w:spacing w:line="480" w:lineRule="exact"/>
        <w:ind w:firstLine="560"/>
        <w:rPr>
          <w:rFonts w:hint="eastAsia" w:ascii="宋体" w:hAnsi="宋体" w:eastAsia="宋体" w:cs="宋体"/>
          <w:bCs/>
          <w:color w:val="auto"/>
          <w:sz w:val="21"/>
          <w:szCs w:val="21"/>
        </w:rPr>
      </w:pPr>
      <w:r>
        <w:rPr>
          <w:rFonts w:hint="eastAsia" w:ascii="宋体" w:hAnsi="宋体" w:eastAsia="宋体" w:cs="宋体"/>
          <w:bCs/>
          <w:color w:val="auto"/>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6"/>
        <w:spacing w:line="480" w:lineRule="exact"/>
        <w:ind w:firstLine="560"/>
        <w:rPr>
          <w:rFonts w:hint="eastAsia" w:ascii="宋体" w:hAnsi="宋体" w:eastAsia="宋体" w:cs="宋体"/>
          <w:bCs/>
          <w:color w:val="auto"/>
          <w:sz w:val="21"/>
          <w:szCs w:val="21"/>
        </w:rPr>
      </w:pPr>
      <w:r>
        <w:rPr>
          <w:rFonts w:hint="eastAsia" w:ascii="宋体" w:hAnsi="宋体" w:eastAsia="宋体" w:cs="宋体"/>
          <w:bCs/>
          <w:color w:val="auto"/>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6"/>
        <w:spacing w:line="480" w:lineRule="exact"/>
        <w:ind w:firstLine="560"/>
        <w:rPr>
          <w:rFonts w:hint="eastAsia" w:ascii="宋体" w:hAnsi="宋体" w:eastAsia="宋体" w:cs="宋体"/>
          <w:bCs/>
          <w:color w:val="auto"/>
          <w:sz w:val="28"/>
          <w:szCs w:val="28"/>
        </w:rPr>
      </w:pPr>
      <w:r>
        <w:rPr>
          <w:rFonts w:hint="eastAsia" w:ascii="宋体" w:hAnsi="宋体" w:eastAsia="宋体" w:cs="宋体"/>
          <w:bCs/>
          <w:color w:val="auto"/>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590"/>
    <w:bookmarkEnd w:id="591"/>
    <w:p>
      <w:pPr>
        <w:pStyle w:val="5"/>
        <w:spacing w:line="480" w:lineRule="exact"/>
        <w:jc w:val="both"/>
        <w:rPr>
          <w:rFonts w:hint="eastAsia" w:ascii="宋体" w:hAnsi="宋体" w:eastAsia="宋体" w:cs="宋体"/>
          <w:b w:val="0"/>
          <w:color w:val="auto"/>
          <w:kern w:val="2"/>
          <w:sz w:val="28"/>
          <w:szCs w:val="28"/>
          <w:lang w:val="en-US" w:eastAsia="zh-CN" w:bidi="ar-SA"/>
        </w:rPr>
      </w:pPr>
      <w:bookmarkStart w:id="596" w:name="_Toc108877129"/>
      <w:bookmarkStart w:id="597" w:name="_Toc108876219"/>
      <w:r>
        <w:rPr>
          <w:rFonts w:hint="eastAsia" w:ascii="宋体" w:hAnsi="宋体" w:eastAsia="宋体" w:cs="宋体"/>
          <w:b w:val="0"/>
          <w:color w:val="auto"/>
          <w:kern w:val="2"/>
          <w:sz w:val="28"/>
          <w:szCs w:val="28"/>
          <w:lang w:val="en-US" w:eastAsia="zh-CN" w:bidi="ar-SA"/>
        </w:rPr>
        <w:t>七、凡对本次采购提出询问，请按以下方式联系。</w:t>
      </w:r>
      <w:bookmarkEnd w:id="592"/>
      <w:bookmarkEnd w:id="593"/>
      <w:bookmarkEnd w:id="594"/>
      <w:bookmarkEnd w:id="595"/>
      <w:bookmarkEnd w:id="596"/>
      <w:bookmarkEnd w:id="597"/>
    </w:p>
    <w:p>
      <w:pPr>
        <w:widowControl/>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1.采购人信息</w:t>
      </w:r>
    </w:p>
    <w:p>
      <w:pPr>
        <w:pStyle w:val="26"/>
        <w:ind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名 称：喀什地区文化广播电视和旅游局</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联系人：矫健 </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地址：喀什市博物馆院内</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联系方式：18099563936</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2、采购代理机构信息</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名  称：新疆昱泽晖项目管理有限公司</w:t>
      </w:r>
    </w:p>
    <w:p>
      <w:pPr>
        <w:spacing w:line="400" w:lineRule="exact"/>
        <w:ind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地　址：喀什市中亚商贸城B4二楼S16号</w:t>
      </w:r>
    </w:p>
    <w:p>
      <w:pPr>
        <w:spacing w:line="400" w:lineRule="exact"/>
        <w:ind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联系方式：17361586449</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3、监督部门：喀什地区财政局政府采购管理办公室</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监督投诉电话：0998-2597000 </w:t>
      </w:r>
    </w:p>
    <w:p>
      <w:pPr>
        <w:spacing w:line="400" w:lineRule="exact"/>
        <w:ind w:firstLine="560" w:firstLineChars="20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地  址：喀什地区财政局（喀什市解放北路46号）</w:t>
      </w:r>
    </w:p>
    <w:bookmarkEnd w:id="552"/>
    <w:bookmarkEnd w:id="553"/>
    <w:bookmarkEnd w:id="554"/>
    <w:bookmarkEnd w:id="555"/>
    <w:bookmarkEnd w:id="556"/>
    <w:p>
      <w:pPr>
        <w:widowControl/>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br w:type="page"/>
      </w:r>
    </w:p>
    <w:p>
      <w:pPr>
        <w:spacing w:line="240" w:lineRule="atLeast"/>
        <w:jc w:val="center"/>
        <w:outlineLvl w:val="0"/>
        <w:rPr>
          <w:rFonts w:hint="eastAsia" w:ascii="宋体" w:hAnsi="宋体" w:eastAsia="宋体" w:cs="宋体"/>
          <w:b/>
          <w:bCs/>
          <w:color w:val="auto"/>
          <w:sz w:val="30"/>
          <w:szCs w:val="30"/>
        </w:rPr>
      </w:pPr>
      <w:bookmarkStart w:id="598" w:name="_Toc108877130"/>
      <w:r>
        <w:rPr>
          <w:rFonts w:hint="eastAsia" w:ascii="宋体" w:hAnsi="宋体" w:eastAsia="宋体" w:cs="宋体"/>
          <w:b/>
          <w:bCs/>
          <w:color w:val="auto"/>
          <w:sz w:val="30"/>
          <w:szCs w:val="30"/>
        </w:rPr>
        <w:t>第四章供应商须知资料表</w:t>
      </w:r>
      <w:bookmarkEnd w:id="598"/>
    </w:p>
    <w:p>
      <w:pPr>
        <w:spacing w:line="240" w:lineRule="atLeast"/>
        <w:ind w:left="479" w:leftChars="228"/>
        <w:rPr>
          <w:rFonts w:hint="eastAsia" w:ascii="宋体" w:hAnsi="宋体" w:eastAsia="宋体" w:cs="宋体"/>
          <w:color w:val="auto"/>
          <w:sz w:val="24"/>
        </w:rPr>
      </w:pPr>
      <w:r>
        <w:rPr>
          <w:rFonts w:hint="eastAsia" w:ascii="宋体" w:hAnsi="宋体" w:eastAsia="宋体" w:cs="宋体"/>
          <w:b/>
          <w:color w:val="auto"/>
          <w:sz w:val="24"/>
        </w:rPr>
        <w:t>本表是本项目的具体资料，是对供应商须知的具体补充和修改，如有矛盾，应以本资料表为准</w:t>
      </w:r>
      <w:r>
        <w:rPr>
          <w:rFonts w:hint="eastAsia" w:ascii="宋体" w:hAnsi="宋体" w:eastAsia="宋体" w:cs="宋体"/>
          <w:color w:val="auto"/>
          <w:sz w:val="24"/>
        </w:rPr>
        <w:t>。</w:t>
      </w:r>
    </w:p>
    <w:tbl>
      <w:tblPr>
        <w:tblStyle w:val="38"/>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条款号</w:t>
            </w:r>
          </w:p>
        </w:tc>
        <w:tc>
          <w:tcPr>
            <w:tcW w:w="7875" w:type="dxa"/>
            <w:vAlign w:val="center"/>
          </w:tcPr>
          <w:p>
            <w:pPr>
              <w:spacing w:line="240" w:lineRule="atLeast"/>
              <w:ind w:left="1080" w:leftChars="257" w:hanging="540"/>
              <w:rPr>
                <w:rFonts w:hint="eastAsia" w:ascii="宋体" w:hAnsi="宋体" w:eastAsia="宋体" w:cs="宋体"/>
                <w:b/>
                <w:color w:val="auto"/>
                <w:sz w:val="24"/>
              </w:rPr>
            </w:pPr>
            <w:r>
              <w:rPr>
                <w:rFonts w:hint="eastAsia" w:ascii="宋体" w:hAnsi="宋体" w:eastAsia="宋体" w:cs="宋体"/>
                <w:b/>
                <w:color w:val="auto"/>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1.1</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采购人：喀什地区文化广播电视和旅游局</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联系人：矫健 </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电  话：18099563936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1.2</w:t>
            </w:r>
          </w:p>
        </w:tc>
        <w:tc>
          <w:tcPr>
            <w:tcW w:w="7875" w:type="dxa"/>
            <w:vAlign w:val="center"/>
          </w:tcPr>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采购代理机构：</w:t>
            </w:r>
            <w:r>
              <w:rPr>
                <w:rFonts w:hint="eastAsia" w:ascii="宋体" w:hAnsi="宋体" w:eastAsia="宋体" w:cs="宋体"/>
                <w:color w:val="auto"/>
                <w:sz w:val="24"/>
                <w:u w:val="single"/>
              </w:rPr>
              <w:t>新疆昱泽晖项目管理有限公司</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地址：喀什市中亚商贸城B4二楼S16号</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电话：</w:t>
            </w:r>
            <w:r>
              <w:rPr>
                <w:rFonts w:hint="eastAsia" w:ascii="宋体" w:hAnsi="宋体" w:eastAsia="宋体" w:cs="宋体"/>
                <w:color w:val="auto"/>
                <w:sz w:val="24"/>
                <w:u w:val="single"/>
              </w:rPr>
              <w:t>17361586449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6" w:hRule="atLeast"/>
        </w:trPr>
        <w:tc>
          <w:tcPr>
            <w:tcW w:w="1559" w:type="dxa"/>
            <w:vAlign w:val="center"/>
          </w:tcPr>
          <w:p>
            <w:pPr>
              <w:widowControl/>
              <w:spacing w:before="50" w:after="50" w:line="320" w:lineRule="exact"/>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1.3</w:t>
            </w:r>
          </w:p>
        </w:tc>
        <w:tc>
          <w:tcPr>
            <w:tcW w:w="7875" w:type="dxa"/>
            <w:vAlign w:val="center"/>
          </w:tcPr>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合格投标人的资格要求：</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1、满足《中华人民共和国政府采购法》第二十二条规定；</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（1）具有健全的财务会计制度；</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（2）具有履行合同所必需的设备和专业技术能力；</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（3）有依法缴纳税收和社会保障资金的良好记录；</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（4）参加政府采购活动前三年内，在经营活动中没有重大违法记录；</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（5）法律、行政法规规定的其他条件。</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3、法律、行政法规规定的其他条件。</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4、与招标人存在利害关系可能影响招标公正性的法人、其他组织或者个人，不得参加投标。单位负责人为同一人或者存在控股、管理关系的不同单位，不得参加同一包投标或者未划分包的同一招标项目投标。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5、提供针对本次项目《反商业贿赂承诺书》。</w:t>
            </w:r>
          </w:p>
          <w:p>
            <w:pPr>
              <w:widowControl/>
              <w:spacing w:before="50" w:after="50" w:line="320" w:lineRule="exact"/>
              <w:jc w:val="left"/>
              <w:rPr>
                <w:rFonts w:hint="eastAsia" w:ascii="宋体" w:hAnsi="宋体" w:eastAsia="宋体" w:cs="宋体"/>
                <w:color w:val="auto"/>
              </w:rPr>
            </w:pPr>
            <w:r>
              <w:rPr>
                <w:rFonts w:hint="eastAsia" w:ascii="宋体" w:hAnsi="宋体" w:eastAsia="宋体" w:cs="宋体"/>
                <w:bCs/>
                <w:color w:val="auto"/>
                <w:kern w:val="0"/>
                <w:sz w:val="24"/>
              </w:rPr>
              <w:t>6、本项目不接受联合体投标。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1.3.4</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是否允许采购进口产品：</w:t>
            </w:r>
            <w:r>
              <w:rPr>
                <w:rFonts w:hint="eastAsia" w:ascii="宋体" w:hAnsi="宋体" w:eastAsia="宋体" w:cs="宋体"/>
                <w:color w:val="auto"/>
                <w:sz w:val="24"/>
                <w:u w:val="single"/>
              </w:rPr>
              <w:t>否</w:t>
            </w:r>
            <w:r>
              <w:rPr>
                <w:rFonts w:hint="eastAsia" w:ascii="宋体" w:hAnsi="宋体" w:eastAsia="宋体" w:cs="宋体"/>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1.3.5</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是否为专门面向中小企业采购：是（是、否）</w:t>
            </w:r>
          </w:p>
          <w:p>
            <w:pPr>
              <w:pStyle w:val="2"/>
              <w:rPr>
                <w:rFonts w:hint="eastAsia" w:ascii="宋体" w:hAnsi="宋体" w:eastAsia="宋体" w:cs="宋体"/>
                <w:color w:val="auto"/>
              </w:rPr>
            </w:pPr>
            <w:r>
              <w:rPr>
                <w:rFonts w:hint="eastAsia" w:ascii="宋体" w:hAnsi="宋体" w:eastAsia="宋体" w:cs="宋体"/>
                <w:b/>
                <w:bCs w:val="0"/>
                <w:color w:val="auto"/>
              </w:rPr>
              <w:t>（注：潜在投标企业属于中小微企业的，请在投标文件中提供“中小企业声明函”，如果未提供或提供虚假的“中小企业声明函”，投标企业将承担由此造成的一切不利后果。）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是否允许联合体投标：</w:t>
            </w:r>
            <w:r>
              <w:rPr>
                <w:rFonts w:hint="eastAsia" w:ascii="宋体" w:hAnsi="宋体" w:eastAsia="宋体" w:cs="宋体"/>
                <w:color w:val="auto"/>
                <w:sz w:val="24"/>
                <w:u w:val="single"/>
              </w:rPr>
              <w:t>否</w:t>
            </w:r>
            <w:r>
              <w:rPr>
                <w:rFonts w:hint="eastAsia" w:ascii="宋体" w:hAnsi="宋体" w:eastAsia="宋体" w:cs="宋体"/>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2.2</w:t>
            </w:r>
          </w:p>
        </w:tc>
        <w:tc>
          <w:tcPr>
            <w:tcW w:w="7875" w:type="dxa"/>
            <w:vAlign w:val="center"/>
          </w:tcPr>
          <w:p>
            <w:pPr>
              <w:spacing w:line="320" w:lineRule="exact"/>
              <w:rPr>
                <w:rFonts w:hint="eastAsia" w:ascii="宋体" w:hAnsi="宋体" w:eastAsia="宋体" w:cs="宋体"/>
                <w:color w:val="auto"/>
                <w:sz w:val="24"/>
              </w:rPr>
            </w:pPr>
            <w:r>
              <w:rPr>
                <w:rFonts w:hint="eastAsia" w:ascii="宋体" w:hAnsi="宋体" w:eastAsia="宋体" w:cs="宋体"/>
                <w:bCs/>
                <w:color w:val="auto"/>
                <w:kern w:val="0"/>
                <w:sz w:val="24"/>
              </w:rPr>
              <w:t>2022年喀什文化旅游上海广告宣传项目（第一标段：电视、电台、地铁电子屏常规媒体宣传）；最高限价：450000.00元（肆拾伍万元整）;服务期限:</w:t>
            </w:r>
            <w:r>
              <w:rPr>
                <w:rFonts w:hint="eastAsia" w:ascii="宋体" w:hAnsi="宋体" w:eastAsia="宋体" w:cs="宋体"/>
                <w:color w:val="auto"/>
                <w:sz w:val="28"/>
                <w:szCs w:val="28"/>
              </w:rPr>
              <w:t>100天</w:t>
            </w:r>
            <w:r>
              <w:rPr>
                <w:rFonts w:hint="eastAsia" w:ascii="宋体" w:hAnsi="宋体" w:eastAsia="宋体" w:cs="宋体"/>
                <w:bCs/>
                <w:color w:val="auto"/>
                <w:kern w:val="0"/>
                <w:sz w:val="24"/>
              </w:rPr>
              <w:t>(具体情况由中标单位和业主在合同中约定);服务地点:喀什地区文化广播电视和旅游局指定地点(具体情况由中标单位和业主在合同中约定)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6.1</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答疑与澄清：</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5" w:hRule="atLeast"/>
        </w:trPr>
        <w:tc>
          <w:tcPr>
            <w:tcW w:w="1559" w:type="dxa"/>
            <w:vAlign w:val="center"/>
          </w:tcPr>
          <w:p>
            <w:pPr>
              <w:spacing w:line="240" w:lineRule="atLeast"/>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12.1</w:t>
            </w:r>
          </w:p>
        </w:tc>
        <w:tc>
          <w:tcPr>
            <w:tcW w:w="7875" w:type="dxa"/>
            <w:vAlign w:val="center"/>
          </w:tcPr>
          <w:p>
            <w:pPr>
              <w:spacing w:line="320" w:lineRule="exac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保证金形式：</w:t>
            </w:r>
            <w:r>
              <w:rPr>
                <w:rFonts w:hint="eastAsia" w:ascii="宋体" w:hAnsi="宋体" w:eastAsia="宋体" w:cs="宋体"/>
                <w:color w:val="auto"/>
                <w:kern w:val="0"/>
                <w:sz w:val="24"/>
                <w:szCs w:val="20"/>
                <w:lang w:eastAsia="zh-CN"/>
              </w:rPr>
              <w:t>☑</w:t>
            </w:r>
            <w:r>
              <w:rPr>
                <w:rFonts w:hint="eastAsia" w:ascii="宋体" w:hAnsi="宋体" w:eastAsia="宋体" w:cs="宋体"/>
                <w:color w:val="auto"/>
                <w:kern w:val="0"/>
                <w:sz w:val="24"/>
                <w:szCs w:val="20"/>
              </w:rPr>
              <w:t>保函☑电汇□支票☑网银（本项目允许的其他形式）</w:t>
            </w:r>
          </w:p>
          <w:p>
            <w:pPr>
              <w:spacing w:line="320" w:lineRule="exac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保证金数额：8000.00元，大写：捌仟元整（人民币）</w:t>
            </w:r>
          </w:p>
          <w:p>
            <w:pPr>
              <w:pStyle w:val="6"/>
              <w:ind w:firstLine="0"/>
              <w:rPr>
                <w:rFonts w:hint="eastAsia" w:ascii="宋体" w:hAnsi="宋体" w:eastAsia="宋体" w:cs="宋体"/>
                <w:color w:val="auto"/>
              </w:rPr>
            </w:pPr>
            <w:r>
              <w:rPr>
                <w:rFonts w:hint="eastAsia" w:ascii="宋体" w:hAnsi="宋体" w:eastAsia="宋体" w:cs="宋体"/>
                <w:color w:val="auto"/>
              </w:rPr>
              <w:t>投标保证金提交截止时间：2022年7月</w:t>
            </w:r>
            <w:r>
              <w:rPr>
                <w:rFonts w:hint="eastAsia" w:ascii="宋体" w:hAnsi="宋体" w:eastAsia="宋体" w:cs="宋体"/>
                <w:color w:val="auto"/>
                <w:lang w:val="en-US" w:eastAsia="zh-CN"/>
              </w:rPr>
              <w:t>31</w:t>
            </w:r>
            <w:r>
              <w:rPr>
                <w:rFonts w:hint="eastAsia" w:ascii="宋体" w:hAnsi="宋体" w:eastAsia="宋体" w:cs="宋体"/>
                <w:color w:val="auto"/>
              </w:rPr>
              <w:t>日北京时间下午18:00前。投标保证金缴纳要求：投标保证金在2022年7月</w:t>
            </w:r>
            <w:r>
              <w:rPr>
                <w:rFonts w:hint="eastAsia" w:ascii="宋体" w:hAnsi="宋体" w:eastAsia="宋体" w:cs="宋体"/>
                <w:color w:val="auto"/>
                <w:lang w:val="en-US" w:eastAsia="zh-CN"/>
              </w:rPr>
              <w:t>31</w:t>
            </w:r>
            <w:r>
              <w:rPr>
                <w:rFonts w:hint="eastAsia" w:ascii="宋体" w:hAnsi="宋体" w:eastAsia="宋体" w:cs="宋体"/>
                <w:color w:val="auto"/>
              </w:rPr>
              <w:t>日下午18：00时前（北京时间）前以总公司的基本账户通过网银一次性汇入指定账户（以到账为准），不接受现金、支票、分公司及任何个人汇款。确认到帐后，持银行交款单、企业基本账户开户许可证到新疆昱泽晖项目管理有限公司换取收据，开标现场持投标保证金收据原件。标书内附收据复印件或转账凭证。</w:t>
            </w:r>
          </w:p>
          <w:p>
            <w:pPr>
              <w:pStyle w:val="6"/>
              <w:ind w:firstLine="0"/>
              <w:rPr>
                <w:rFonts w:hint="eastAsia" w:ascii="宋体" w:hAnsi="宋体" w:eastAsia="宋体" w:cs="宋体"/>
                <w:color w:val="auto"/>
              </w:rPr>
            </w:pPr>
            <w:r>
              <w:rPr>
                <w:rFonts w:hint="eastAsia" w:ascii="宋体" w:hAnsi="宋体" w:eastAsia="宋体" w:cs="宋体"/>
                <w:color w:val="auto"/>
              </w:rPr>
              <w:t>账  号：1070 8059 9065</w:t>
            </w:r>
          </w:p>
          <w:p>
            <w:pPr>
              <w:pStyle w:val="6"/>
              <w:ind w:firstLine="0"/>
              <w:rPr>
                <w:rFonts w:hint="eastAsia" w:ascii="宋体" w:hAnsi="宋体" w:eastAsia="宋体" w:cs="宋体"/>
                <w:color w:val="auto"/>
              </w:rPr>
            </w:pPr>
            <w:r>
              <w:rPr>
                <w:rFonts w:hint="eastAsia" w:ascii="宋体" w:hAnsi="宋体" w:eastAsia="宋体" w:cs="宋体"/>
                <w:color w:val="auto"/>
              </w:rPr>
              <w:t>行  号：104894001054</w:t>
            </w:r>
          </w:p>
          <w:p>
            <w:pPr>
              <w:pStyle w:val="6"/>
              <w:ind w:firstLine="0"/>
              <w:rPr>
                <w:rFonts w:hint="eastAsia" w:ascii="宋体" w:hAnsi="宋体" w:eastAsia="宋体" w:cs="宋体"/>
                <w:color w:val="auto"/>
              </w:rPr>
            </w:pPr>
            <w:r>
              <w:rPr>
                <w:rFonts w:hint="eastAsia" w:ascii="宋体" w:hAnsi="宋体" w:eastAsia="宋体" w:cs="宋体"/>
                <w:color w:val="auto"/>
              </w:rPr>
              <w:t>开户行：中国银行喀什市青年南路支行</w:t>
            </w:r>
          </w:p>
          <w:p>
            <w:pPr>
              <w:pStyle w:val="6"/>
              <w:ind w:firstLine="0"/>
              <w:rPr>
                <w:rFonts w:hint="eastAsia" w:ascii="宋体" w:hAnsi="宋体" w:eastAsia="宋体" w:cs="宋体"/>
                <w:color w:val="auto"/>
              </w:rPr>
            </w:pPr>
            <w:r>
              <w:rPr>
                <w:rFonts w:hint="eastAsia" w:ascii="宋体" w:hAnsi="宋体" w:eastAsia="宋体" w:cs="宋体"/>
                <w:color w:val="auto"/>
              </w:rPr>
              <w:t>开户名：新疆昱泽晖项目管理有限公司</w:t>
            </w:r>
          </w:p>
          <w:p>
            <w:pPr>
              <w:pStyle w:val="6"/>
              <w:ind w:firstLine="0"/>
              <w:rPr>
                <w:rFonts w:hint="eastAsia" w:ascii="宋体" w:hAnsi="宋体" w:eastAsia="宋体" w:cs="宋体"/>
                <w:color w:val="auto"/>
              </w:rPr>
            </w:pPr>
            <w:r>
              <w:rPr>
                <w:rFonts w:hint="eastAsia" w:ascii="宋体" w:hAnsi="宋体" w:eastAsia="宋体" w:cs="宋体"/>
                <w:color w:val="auto"/>
              </w:rPr>
              <w:t>联 系 人：蒋女士</w:t>
            </w:r>
          </w:p>
          <w:p>
            <w:pPr>
              <w:pStyle w:val="6"/>
              <w:ind w:firstLine="0"/>
              <w:rPr>
                <w:rFonts w:hint="eastAsia" w:ascii="宋体" w:hAnsi="宋体" w:eastAsia="宋体" w:cs="宋体"/>
                <w:color w:val="auto"/>
              </w:rPr>
            </w:pPr>
            <w:r>
              <w:rPr>
                <w:rFonts w:hint="eastAsia" w:ascii="宋体" w:hAnsi="宋体" w:eastAsia="宋体" w:cs="宋体"/>
                <w:color w:val="auto"/>
              </w:rPr>
              <w:t>电    话：0998-2610086   14781838936</w:t>
            </w:r>
          </w:p>
          <w:p>
            <w:pP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磋商保证金的退还：中标通知书发出之日起5个工作日内退还未中标人的磋商保证金，中标单位磋商保证金在与采购单位签订合同后，把合同扫描件和磋商保证金银行转账回执单发到邮箱407292510@qq.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12.2</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b/>
                <w:bCs/>
                <w:color w:val="auto"/>
                <w:sz w:val="24"/>
              </w:rPr>
              <w:t xml:space="preserve">履约保证金金额：合同总价的5%（不得超过政府采购合同金额的10%）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13.1</w:t>
            </w:r>
          </w:p>
        </w:tc>
        <w:tc>
          <w:tcPr>
            <w:tcW w:w="7875" w:type="dxa"/>
            <w:vAlign w:val="center"/>
          </w:tcPr>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投标有效期：</w:t>
            </w:r>
            <w:r>
              <w:rPr>
                <w:rFonts w:hint="eastAsia" w:ascii="宋体" w:hAnsi="宋体" w:eastAsia="宋体" w:cs="宋体"/>
                <w:color w:val="auto"/>
                <w:sz w:val="24"/>
                <w:u w:val="single"/>
              </w:rPr>
              <w:t>60</w:t>
            </w:r>
            <w:r>
              <w:rPr>
                <w:rFonts w:hint="eastAsia" w:ascii="宋体" w:hAnsi="宋体" w:eastAsia="宋体" w:cs="宋体"/>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14.1</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投标文件的组成：</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响应文件包括“报价一览表及资格证明文件”和“商务及技术文件”两部分，两部分合订成一册密封递交。</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响应文件：正本：1份、副本：2份；（正、副本分别单独密封提交，密封袋封面右上角标明“正本”和“副本”字样）。</w:t>
            </w:r>
          </w:p>
          <w:p>
            <w:pPr>
              <w:spacing w:line="240" w:lineRule="atLeast"/>
              <w:rPr>
                <w:rFonts w:hint="eastAsia" w:ascii="宋体" w:hAnsi="宋体" w:eastAsia="宋体" w:cs="宋体"/>
                <w:color w:val="auto"/>
                <w:sz w:val="24"/>
              </w:rPr>
            </w:pPr>
            <w:r>
              <w:rPr>
                <w:rFonts w:hint="eastAsia" w:ascii="宋体" w:hAnsi="宋体" w:eastAsia="宋体" w:cs="宋体"/>
                <w:b/>
                <w:bCs/>
                <w:color w:val="auto"/>
                <w:sz w:val="24"/>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rFonts w:hint="eastAsia" w:ascii="宋体" w:hAnsi="宋体" w:eastAsia="宋体" w:cs="宋体"/>
                <w:color w:val="auto"/>
              </w:rPr>
            </w:pPr>
            <w:r>
              <w:rPr>
                <w:rFonts w:hint="eastAsia" w:ascii="宋体" w:hAnsi="宋体" w:eastAsia="宋体" w:cs="宋体"/>
                <w:color w:val="auto"/>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14.3</w:t>
            </w:r>
          </w:p>
        </w:tc>
        <w:tc>
          <w:tcPr>
            <w:tcW w:w="7875" w:type="dxa"/>
            <w:vAlign w:val="center"/>
          </w:tcPr>
          <w:p>
            <w:pPr>
              <w:spacing w:line="240" w:lineRule="atLeast"/>
              <w:rPr>
                <w:rFonts w:hint="eastAsia" w:ascii="宋体" w:hAnsi="宋体" w:eastAsia="宋体" w:cs="宋体"/>
                <w:b/>
                <w:color w:val="auto"/>
                <w:sz w:val="24"/>
              </w:rPr>
            </w:pPr>
            <w:r>
              <w:rPr>
                <w:rFonts w:hint="eastAsia" w:ascii="宋体" w:hAnsi="宋体" w:eastAsia="宋体" w:cs="宋体"/>
                <w:b/>
                <w:color w:val="auto"/>
                <w:sz w:val="24"/>
              </w:rPr>
              <w:t>投标文件的封装：</w:t>
            </w:r>
          </w:p>
          <w:p>
            <w:pPr>
              <w:spacing w:line="240" w:lineRule="atLeast"/>
              <w:rPr>
                <w:rFonts w:hint="eastAsia" w:ascii="宋体" w:hAnsi="宋体" w:eastAsia="宋体" w:cs="宋体"/>
                <w:b/>
                <w:color w:val="auto"/>
                <w:sz w:val="24"/>
              </w:rPr>
            </w:pPr>
            <w:r>
              <w:rPr>
                <w:rFonts w:hint="eastAsia" w:ascii="宋体" w:hAnsi="宋体" w:eastAsia="宋体" w:cs="宋体"/>
                <w:b/>
                <w:color w:val="auto"/>
                <w:kern w:val="0"/>
                <w:sz w:val="24"/>
              </w:rPr>
              <w:t>封面及封套上写明：</w:t>
            </w:r>
          </w:p>
          <w:p>
            <w:pPr>
              <w:rPr>
                <w:rFonts w:hint="eastAsia" w:ascii="宋体" w:hAnsi="宋体" w:eastAsia="宋体" w:cs="宋体"/>
                <w:b/>
                <w:color w:val="auto"/>
                <w:sz w:val="24"/>
              </w:rPr>
            </w:pPr>
            <w:r>
              <w:rPr>
                <w:rFonts w:hint="eastAsia" w:ascii="宋体" w:hAnsi="宋体" w:eastAsia="宋体" w:cs="宋体"/>
                <w:b/>
                <w:color w:val="auto"/>
                <w:sz w:val="24"/>
              </w:rPr>
              <w:t>项目名称：</w:t>
            </w:r>
            <w:r>
              <w:rPr>
                <w:rFonts w:hint="eastAsia" w:ascii="宋体" w:hAnsi="宋体" w:eastAsia="宋体" w:cs="宋体"/>
                <w:b/>
                <w:color w:val="auto"/>
                <w:sz w:val="24"/>
                <w:u w:val="single"/>
              </w:rPr>
              <w:t>本采购项目全称</w:t>
            </w:r>
          </w:p>
          <w:p>
            <w:pPr>
              <w:rPr>
                <w:rFonts w:hint="eastAsia" w:ascii="宋体" w:hAnsi="宋体" w:eastAsia="宋体" w:cs="宋体"/>
                <w:b/>
                <w:color w:val="auto"/>
                <w:sz w:val="24"/>
              </w:rPr>
            </w:pPr>
            <w:r>
              <w:rPr>
                <w:rFonts w:hint="eastAsia" w:ascii="宋体" w:hAnsi="宋体" w:eastAsia="宋体" w:cs="宋体"/>
                <w:b/>
                <w:color w:val="auto"/>
                <w:sz w:val="24"/>
              </w:rPr>
              <w:t>项目编号：</w:t>
            </w:r>
            <w:r>
              <w:rPr>
                <w:rFonts w:hint="eastAsia" w:ascii="宋体" w:hAnsi="宋体" w:eastAsia="宋体" w:cs="宋体"/>
                <w:b/>
                <w:color w:val="auto"/>
                <w:sz w:val="24"/>
                <w:u w:val="single"/>
              </w:rPr>
              <w:t>本采购项目编号</w:t>
            </w:r>
          </w:p>
          <w:p>
            <w:pPr>
              <w:adjustRightInd w:val="0"/>
              <w:snapToGrid w:val="0"/>
              <w:rPr>
                <w:rFonts w:hint="eastAsia" w:ascii="宋体" w:hAnsi="宋体" w:eastAsia="宋体" w:cs="宋体"/>
                <w:b/>
                <w:color w:val="auto"/>
                <w:sz w:val="24"/>
                <w:u w:val="single"/>
              </w:rPr>
            </w:pPr>
            <w:r>
              <w:rPr>
                <w:rFonts w:hint="eastAsia" w:ascii="宋体" w:hAnsi="宋体" w:eastAsia="宋体" w:cs="宋体"/>
                <w:b/>
                <w:color w:val="auto"/>
                <w:sz w:val="24"/>
              </w:rPr>
              <w:t>投标人名称：</w:t>
            </w:r>
            <w:r>
              <w:rPr>
                <w:rFonts w:hint="eastAsia" w:ascii="宋体" w:hAnsi="宋体" w:eastAsia="宋体" w:cs="宋体"/>
                <w:b/>
                <w:color w:val="auto"/>
                <w:sz w:val="24"/>
                <w:u w:val="single"/>
              </w:rPr>
              <w:t>供应商全称（加盖公章）</w:t>
            </w:r>
          </w:p>
          <w:p>
            <w:pPr>
              <w:spacing w:line="240" w:lineRule="atLeast"/>
              <w:rPr>
                <w:rFonts w:hint="eastAsia" w:ascii="宋体" w:hAnsi="宋体" w:eastAsia="宋体" w:cs="宋体"/>
                <w:b/>
                <w:color w:val="auto"/>
                <w:sz w:val="24"/>
              </w:rPr>
            </w:pPr>
            <w:r>
              <w:rPr>
                <w:rFonts w:hint="eastAsia" w:ascii="宋体" w:hAnsi="宋体" w:eastAsia="宋体" w:cs="宋体"/>
                <w:b/>
                <w:color w:val="auto"/>
                <w:sz w:val="24"/>
              </w:rPr>
              <w:t>法定代表人盖章或代理人签字或盖章：</w:t>
            </w:r>
          </w:p>
          <w:p>
            <w:pPr>
              <w:spacing w:line="240" w:lineRule="atLeast"/>
              <w:rPr>
                <w:rFonts w:hint="eastAsia" w:ascii="宋体" w:hAnsi="宋体" w:eastAsia="宋体" w:cs="宋体"/>
                <w:b/>
                <w:color w:val="auto"/>
                <w:sz w:val="24"/>
                <w:u w:val="single"/>
              </w:rPr>
            </w:pPr>
            <w:r>
              <w:rPr>
                <w:rFonts w:hint="eastAsia" w:ascii="宋体" w:hAnsi="宋体" w:eastAsia="宋体" w:cs="宋体"/>
                <w:b/>
                <w:color w:val="auto"/>
                <w:sz w:val="24"/>
              </w:rPr>
              <w:t>日期：</w:t>
            </w:r>
          </w:p>
          <w:p>
            <w:pPr>
              <w:adjustRightInd w:val="0"/>
              <w:snapToGrid w:val="0"/>
              <w:rPr>
                <w:rFonts w:hint="eastAsia" w:ascii="宋体" w:hAnsi="宋体" w:eastAsia="宋体" w:cs="宋体"/>
                <w:color w:val="auto"/>
                <w:sz w:val="24"/>
              </w:rPr>
            </w:pPr>
            <w:r>
              <w:rPr>
                <w:rFonts w:hint="eastAsia" w:ascii="宋体" w:hAnsi="宋体" w:eastAsia="宋体" w:cs="宋体"/>
                <w:b/>
                <w:color w:val="auto"/>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16.1</w:t>
            </w:r>
          </w:p>
        </w:tc>
        <w:tc>
          <w:tcPr>
            <w:tcW w:w="7875" w:type="dxa"/>
            <w:vAlign w:val="center"/>
          </w:tcPr>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投标截止时间：</w:t>
            </w:r>
            <w:r>
              <w:rPr>
                <w:rFonts w:hint="eastAsia" w:ascii="宋体" w:hAnsi="宋体" w:eastAsia="宋体" w:cs="宋体"/>
                <w:color w:val="auto"/>
                <w:sz w:val="24"/>
                <w:u w:val="single"/>
              </w:rPr>
              <w:t>2022年</w:t>
            </w:r>
            <w:r>
              <w:rPr>
                <w:rFonts w:hint="eastAsia" w:ascii="宋体" w:hAnsi="宋体" w:eastAsia="宋体" w:cs="宋体"/>
                <w:color w:val="auto"/>
                <w:sz w:val="24"/>
                <w:u w:val="single"/>
                <w:lang w:val="en-US" w:eastAsia="zh-CN"/>
              </w:rPr>
              <w:t>8</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rPr>
              <w:t>日上午12：00</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投标文件递交地点：喀什市中亚商贸城B4二楼S16号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18.1</w:t>
            </w:r>
          </w:p>
        </w:tc>
        <w:tc>
          <w:tcPr>
            <w:tcW w:w="7875" w:type="dxa"/>
            <w:vAlign w:val="center"/>
          </w:tcPr>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开标时间：</w:t>
            </w:r>
            <w:r>
              <w:rPr>
                <w:rFonts w:hint="eastAsia" w:ascii="宋体" w:hAnsi="宋体" w:eastAsia="宋体" w:cs="宋体"/>
                <w:color w:val="auto"/>
                <w:sz w:val="24"/>
                <w:u w:val="single"/>
              </w:rPr>
              <w:t>2022年</w:t>
            </w:r>
            <w:r>
              <w:rPr>
                <w:rFonts w:hint="eastAsia" w:ascii="宋体" w:hAnsi="宋体" w:eastAsia="宋体" w:cs="宋体"/>
                <w:color w:val="auto"/>
                <w:sz w:val="24"/>
                <w:u w:val="single"/>
                <w:lang w:val="en-US" w:eastAsia="zh-CN"/>
              </w:rPr>
              <w:t>8</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rPr>
              <w:t>日上午12：00</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开标地点：喀什市中亚商贸城B4二楼S16号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19.1</w:t>
            </w:r>
          </w:p>
        </w:tc>
        <w:tc>
          <w:tcPr>
            <w:tcW w:w="7875" w:type="dxa"/>
            <w:vAlign w:val="center"/>
          </w:tcPr>
          <w:p>
            <w:pPr>
              <w:spacing w:line="240" w:lineRule="atLeast"/>
              <w:rPr>
                <w:rFonts w:hint="eastAsia" w:ascii="宋体" w:hAnsi="宋体" w:eastAsia="宋体" w:cs="宋体"/>
                <w:color w:val="auto"/>
                <w:spacing w:val="-2"/>
                <w:kern w:val="0"/>
                <w:sz w:val="24"/>
              </w:rPr>
            </w:pPr>
            <w:r>
              <w:rPr>
                <w:rFonts w:hint="eastAsia" w:ascii="宋体" w:hAnsi="宋体" w:eastAsia="宋体" w:cs="宋体"/>
                <w:color w:val="auto"/>
                <w:kern w:val="0"/>
                <w:sz w:val="24"/>
              </w:rPr>
              <w:t>评标小组构</w:t>
            </w:r>
            <w:r>
              <w:rPr>
                <w:rFonts w:hint="eastAsia" w:ascii="宋体" w:hAnsi="宋体" w:eastAsia="宋体" w:cs="宋体"/>
                <w:color w:val="auto"/>
                <w:spacing w:val="-2"/>
                <w:kern w:val="0"/>
                <w:sz w:val="24"/>
              </w:rPr>
              <w:t>成</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5</w:t>
            </w:r>
            <w:r>
              <w:rPr>
                <w:rFonts w:hint="eastAsia" w:ascii="宋体" w:hAnsi="宋体" w:eastAsia="宋体" w:cs="宋体"/>
                <w:color w:val="auto"/>
                <w:kern w:val="0"/>
                <w:sz w:val="24"/>
              </w:rPr>
              <w:t>人，其中</w:t>
            </w:r>
            <w:r>
              <w:rPr>
                <w:rFonts w:hint="eastAsia" w:ascii="宋体" w:hAnsi="宋体" w:eastAsia="宋体" w:cs="宋体"/>
                <w:color w:val="auto"/>
                <w:spacing w:val="-2"/>
                <w:kern w:val="0"/>
                <w:sz w:val="24"/>
              </w:rPr>
              <w:t>招</w:t>
            </w:r>
            <w:r>
              <w:rPr>
                <w:rFonts w:hint="eastAsia" w:ascii="宋体" w:hAnsi="宋体" w:eastAsia="宋体" w:cs="宋体"/>
                <w:color w:val="auto"/>
                <w:kern w:val="0"/>
                <w:sz w:val="24"/>
              </w:rPr>
              <w:t>标</w:t>
            </w:r>
            <w:r>
              <w:rPr>
                <w:rFonts w:hint="eastAsia" w:ascii="宋体" w:hAnsi="宋体" w:eastAsia="宋体" w:cs="宋体"/>
                <w:color w:val="auto"/>
                <w:spacing w:val="-2"/>
                <w:kern w:val="0"/>
                <w:sz w:val="24"/>
              </w:rPr>
              <w:t>人</w:t>
            </w:r>
            <w:r>
              <w:rPr>
                <w:rFonts w:hint="eastAsia" w:ascii="宋体" w:hAnsi="宋体" w:eastAsia="宋体" w:cs="宋体"/>
                <w:color w:val="auto"/>
                <w:kern w:val="0"/>
                <w:sz w:val="24"/>
              </w:rPr>
              <w:t>代</w:t>
            </w:r>
            <w:r>
              <w:rPr>
                <w:rFonts w:hint="eastAsia" w:ascii="宋体" w:hAnsi="宋体" w:eastAsia="宋体" w:cs="宋体"/>
                <w:color w:val="auto"/>
                <w:spacing w:val="-3"/>
                <w:kern w:val="0"/>
                <w:sz w:val="24"/>
              </w:rPr>
              <w:t>表</w:t>
            </w:r>
            <w:r>
              <w:rPr>
                <w:rFonts w:hint="eastAsia" w:ascii="宋体" w:hAnsi="宋体" w:eastAsia="宋体" w:cs="宋体"/>
                <w:color w:val="auto"/>
                <w:spacing w:val="43"/>
                <w:kern w:val="0"/>
                <w:sz w:val="24"/>
                <w:u w:val="single"/>
              </w:rPr>
              <w:t>0</w:t>
            </w:r>
            <w:r>
              <w:rPr>
                <w:rFonts w:hint="eastAsia" w:ascii="宋体" w:hAnsi="宋体" w:eastAsia="宋体" w:cs="宋体"/>
                <w:color w:val="auto"/>
                <w:spacing w:val="-2"/>
                <w:kern w:val="0"/>
                <w:sz w:val="24"/>
              </w:rPr>
              <w:t>人</w:t>
            </w:r>
            <w:r>
              <w:rPr>
                <w:rFonts w:hint="eastAsia" w:ascii="宋体" w:hAnsi="宋体" w:eastAsia="宋体" w:cs="宋体"/>
                <w:color w:val="auto"/>
                <w:spacing w:val="-60"/>
                <w:kern w:val="0"/>
                <w:sz w:val="24"/>
              </w:rPr>
              <w:t>，</w:t>
            </w:r>
            <w:r>
              <w:rPr>
                <w:rFonts w:hint="eastAsia" w:ascii="宋体" w:hAnsi="宋体" w:eastAsia="宋体" w:cs="宋体"/>
                <w:color w:val="auto"/>
                <w:kern w:val="0"/>
                <w:sz w:val="24"/>
              </w:rPr>
              <w:t>专</w:t>
            </w:r>
            <w:r>
              <w:rPr>
                <w:rFonts w:hint="eastAsia" w:ascii="宋体" w:hAnsi="宋体" w:eastAsia="宋体" w:cs="宋体"/>
                <w:color w:val="auto"/>
                <w:spacing w:val="1"/>
                <w:kern w:val="0"/>
                <w:sz w:val="24"/>
              </w:rPr>
              <w:t>家：</w:t>
            </w:r>
            <w:r>
              <w:rPr>
                <w:rFonts w:hint="eastAsia" w:ascii="宋体" w:hAnsi="宋体" w:eastAsia="宋体" w:cs="宋体"/>
                <w:color w:val="auto"/>
                <w:spacing w:val="1"/>
                <w:kern w:val="0"/>
                <w:sz w:val="24"/>
                <w:u w:val="single"/>
              </w:rPr>
              <w:t>5</w:t>
            </w:r>
            <w:r>
              <w:rPr>
                <w:rFonts w:hint="eastAsia" w:ascii="宋体" w:hAnsi="宋体" w:eastAsia="宋体" w:cs="宋体"/>
                <w:color w:val="auto"/>
                <w:spacing w:val="-2"/>
                <w:kern w:val="0"/>
                <w:sz w:val="24"/>
              </w:rPr>
              <w:t>人；</w:t>
            </w:r>
          </w:p>
          <w:p>
            <w:pPr>
              <w:spacing w:line="240" w:lineRule="atLeast"/>
              <w:rPr>
                <w:rFonts w:hint="eastAsia" w:ascii="宋体" w:hAnsi="宋体" w:eastAsia="宋体" w:cs="宋体"/>
                <w:color w:val="auto"/>
                <w:sz w:val="24"/>
              </w:rPr>
            </w:pPr>
            <w:r>
              <w:rPr>
                <w:rFonts w:hint="eastAsia" w:ascii="宋体" w:hAnsi="宋体" w:eastAsia="宋体" w:cs="宋体"/>
                <w:color w:val="auto"/>
                <w:kern w:val="0"/>
                <w:sz w:val="24"/>
              </w:rPr>
              <w:t>评标小组成员</w:t>
            </w:r>
            <w:r>
              <w:rPr>
                <w:rFonts w:hint="eastAsia" w:ascii="宋体" w:hAnsi="宋体" w:eastAsia="宋体" w:cs="宋体"/>
                <w:color w:val="auto"/>
                <w:spacing w:val="-2"/>
                <w:kern w:val="0"/>
                <w:sz w:val="24"/>
              </w:rPr>
              <w:t>确</w:t>
            </w:r>
            <w:r>
              <w:rPr>
                <w:rFonts w:hint="eastAsia" w:ascii="宋体" w:hAnsi="宋体" w:eastAsia="宋体" w:cs="宋体"/>
                <w:color w:val="auto"/>
                <w:kern w:val="0"/>
                <w:sz w:val="24"/>
              </w:rPr>
              <w:t>定</w:t>
            </w:r>
            <w:r>
              <w:rPr>
                <w:rFonts w:hint="eastAsia" w:ascii="宋体" w:hAnsi="宋体" w:eastAsia="宋体" w:cs="宋体"/>
                <w:color w:val="auto"/>
                <w:spacing w:val="-2"/>
                <w:kern w:val="0"/>
                <w:sz w:val="24"/>
              </w:rPr>
              <w:t>方</w:t>
            </w:r>
            <w:r>
              <w:rPr>
                <w:rFonts w:hint="eastAsia" w:ascii="宋体" w:hAnsi="宋体" w:eastAsia="宋体" w:cs="宋体"/>
                <w:color w:val="auto"/>
                <w:kern w:val="0"/>
                <w:sz w:val="24"/>
              </w:rPr>
              <w:t>式：政府采购评审专家库内相关专业的专家名单中随机抽取。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23.2</w:t>
            </w:r>
          </w:p>
        </w:tc>
        <w:tc>
          <w:tcPr>
            <w:tcW w:w="7875" w:type="dxa"/>
            <w:vAlign w:val="center"/>
          </w:tcPr>
          <w:p>
            <w:pPr>
              <w:spacing w:line="240" w:lineRule="atLeast"/>
              <w:rPr>
                <w:rFonts w:hint="eastAsia" w:ascii="宋体" w:hAnsi="宋体" w:eastAsia="宋体" w:cs="宋体"/>
                <w:i/>
                <w:color w:val="auto"/>
                <w:sz w:val="24"/>
              </w:rPr>
            </w:pPr>
            <w:r>
              <w:rPr>
                <w:rFonts w:hint="eastAsia" w:ascii="宋体" w:hAnsi="宋体" w:eastAsia="宋体" w:cs="宋体"/>
                <w:color w:val="auto"/>
                <w:sz w:val="24"/>
              </w:rPr>
              <w:t>评标方法：</w:t>
            </w:r>
            <w:r>
              <w:rPr>
                <w:rFonts w:hint="eastAsia" w:ascii="宋体" w:hAnsi="宋体" w:eastAsia="宋体" w:cs="宋体"/>
                <w:color w:val="auto"/>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27</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推荐中标候选供应商的数量：</w:t>
            </w:r>
            <w:r>
              <w:rPr>
                <w:rFonts w:hint="eastAsia" w:ascii="宋体" w:hAnsi="宋体" w:eastAsia="宋体" w:cs="宋体"/>
                <w:color w:val="auto"/>
                <w:sz w:val="24"/>
                <w:u w:val="single"/>
              </w:rPr>
              <w:t>3</w:t>
            </w:r>
            <w:r>
              <w:rPr>
                <w:rFonts w:hint="eastAsia" w:ascii="宋体" w:hAnsi="宋体" w:eastAsia="宋体" w:cs="宋体"/>
                <w:color w:val="auto"/>
                <w:sz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27</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招标人是否委托磋商小组直接确定中标人：</w:t>
            </w:r>
            <w:r>
              <w:rPr>
                <w:rFonts w:hint="eastAsia" w:ascii="宋体" w:hAnsi="宋体" w:eastAsia="宋体" w:cs="宋体"/>
                <w:color w:val="auto"/>
                <w:sz w:val="24"/>
                <w:u w:val="single"/>
              </w:rPr>
              <w:t xml:space="preserve">  </w:t>
            </w:r>
            <w:r>
              <w:rPr>
                <w:rFonts w:hint="eastAsia" w:ascii="宋体" w:hAnsi="宋体" w:eastAsia="宋体" w:cs="宋体"/>
                <w:iCs/>
                <w:color w:val="auto"/>
                <w:sz w:val="24"/>
                <w:u w:val="single"/>
              </w:rPr>
              <w:t xml:space="preserve">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备注</w:t>
            </w: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如磋商文件正文部分与须知表内容不一致，以投标须知表内容为准。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hint="eastAsia" w:ascii="宋体" w:hAnsi="宋体" w:eastAsia="宋体" w:cs="宋体"/>
                <w:color w:val="auto"/>
                <w:sz w:val="24"/>
              </w:rPr>
            </w:pPr>
          </w:p>
        </w:tc>
        <w:tc>
          <w:tcPr>
            <w:tcW w:w="7875"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招标代理服务费由中标方向新疆昱泽晖项目管理有限公司支付。</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收费比例为国家计委计价格[2015]299号文件规定标准确定以中标价格的1.5%计取。</w:t>
            </w:r>
          </w:p>
        </w:tc>
      </w:tr>
    </w:tbl>
    <w:p>
      <w:pPr>
        <w:spacing w:line="240" w:lineRule="atLeast"/>
        <w:ind w:left="1080" w:leftChars="257" w:hanging="540"/>
        <w:rPr>
          <w:rFonts w:hint="eastAsia" w:ascii="宋体" w:hAnsi="宋体" w:eastAsia="宋体" w:cs="宋体"/>
          <w:color w:val="auto"/>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hint="eastAsia" w:ascii="宋体" w:hAnsi="宋体" w:eastAsia="宋体" w:cs="宋体"/>
          <w:b/>
          <w:color w:val="auto"/>
          <w:kern w:val="0"/>
          <w:sz w:val="32"/>
          <w:szCs w:val="32"/>
        </w:rPr>
      </w:pPr>
      <w:bookmarkStart w:id="599" w:name="_Toc216582825"/>
      <w:bookmarkStart w:id="600" w:name="_Toc219175638"/>
      <w:bookmarkStart w:id="601" w:name="_Toc218935351"/>
      <w:bookmarkStart w:id="602" w:name="_Toc512937852"/>
      <w:bookmarkStart w:id="603" w:name="_Toc29079_WPSOffice_Level1"/>
      <w:bookmarkStart w:id="604" w:name="_Toc7112"/>
      <w:bookmarkStart w:id="605" w:name="_Toc216513787"/>
      <w:bookmarkStart w:id="606" w:name="_Toc216582811"/>
      <w:bookmarkStart w:id="607" w:name="_Toc219175635"/>
      <w:bookmarkStart w:id="608" w:name="_Toc518923126"/>
      <w:bookmarkStart w:id="609" w:name="_Toc218935354"/>
      <w:bookmarkStart w:id="610" w:name="_Toc507399906"/>
      <w:r>
        <w:rPr>
          <w:rFonts w:hint="eastAsia" w:ascii="宋体" w:hAnsi="宋体" w:eastAsia="宋体" w:cs="宋体"/>
          <w:b/>
          <w:color w:val="auto"/>
          <w:kern w:val="0"/>
          <w:sz w:val="32"/>
          <w:szCs w:val="32"/>
        </w:rPr>
        <w:t>资格审查表</w:t>
      </w:r>
    </w:p>
    <w:p>
      <w:pPr>
        <w:rPr>
          <w:rFonts w:hint="eastAsia" w:ascii="宋体" w:hAnsi="宋体" w:eastAsia="宋体" w:cs="宋体"/>
          <w:color w:val="auto"/>
        </w:rPr>
      </w:pPr>
    </w:p>
    <w:tbl>
      <w:tblPr>
        <w:tblStyle w:val="38"/>
        <w:tblW w:w="13542" w:type="dxa"/>
        <w:jc w:val="center"/>
        <w:tblLayout w:type="fixed"/>
        <w:tblCellMar>
          <w:top w:w="0" w:type="dxa"/>
          <w:left w:w="108" w:type="dxa"/>
          <w:bottom w:w="0" w:type="dxa"/>
          <w:right w:w="108" w:type="dxa"/>
        </w:tblCellMar>
      </w:tblPr>
      <w:tblGrid>
        <w:gridCol w:w="1149"/>
        <w:gridCol w:w="1294"/>
        <w:gridCol w:w="1652"/>
        <w:gridCol w:w="1394"/>
        <w:gridCol w:w="1606"/>
        <w:gridCol w:w="1151"/>
        <w:gridCol w:w="1103"/>
        <w:gridCol w:w="2609"/>
        <w:gridCol w:w="792"/>
        <w:gridCol w:w="792"/>
      </w:tblGrid>
      <w:tr>
        <w:tblPrEx>
          <w:tblCellMar>
            <w:top w:w="0" w:type="dxa"/>
            <w:left w:w="108" w:type="dxa"/>
            <w:bottom w:w="0" w:type="dxa"/>
            <w:right w:w="108" w:type="dxa"/>
          </w:tblCellMar>
        </w:tblPrEx>
        <w:trPr>
          <w:trHeight w:val="450"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rPr>
            </w:pPr>
            <w:r>
              <w:rPr>
                <w:rFonts w:hint="eastAsia" w:ascii="宋体" w:hAnsi="宋体" w:eastAsia="宋体" w:cs="宋体"/>
                <w:color w:val="auto"/>
                <w:kern w:val="0"/>
                <w:sz w:val="22"/>
                <w:szCs w:val="22"/>
                <w:lang w:bidi="ar"/>
              </w:rPr>
              <w:t xml:space="preserve">投标人名 </w:t>
            </w:r>
          </w:p>
          <w:p>
            <w:pPr>
              <w:widowControl/>
              <w:jc w:val="left"/>
              <w:rPr>
                <w:rFonts w:hint="eastAsia" w:ascii="宋体" w:hAnsi="宋体" w:eastAsia="宋体" w:cs="宋体"/>
                <w:color w:val="auto"/>
              </w:rPr>
            </w:pPr>
            <w:r>
              <w:rPr>
                <w:rFonts w:hint="eastAsia" w:ascii="宋体" w:hAnsi="宋体" w:eastAsia="宋体" w:cs="宋体"/>
                <w:color w:val="auto"/>
                <w:kern w:val="0"/>
                <w:sz w:val="22"/>
                <w:szCs w:val="22"/>
                <w:lang w:bidi="ar"/>
              </w:rPr>
              <w:t>称</w:t>
            </w:r>
          </w:p>
          <w:p>
            <w:pPr>
              <w:widowControl/>
              <w:jc w:val="center"/>
              <w:rPr>
                <w:rFonts w:hint="eastAsia" w:ascii="宋体" w:hAnsi="宋体" w:eastAsia="宋体" w:cs="宋体"/>
                <w:color w:val="auto"/>
                <w:kern w:val="0"/>
                <w:sz w:val="18"/>
                <w:szCs w:val="18"/>
              </w:rPr>
            </w:pPr>
          </w:p>
        </w:tc>
        <w:tc>
          <w:tcPr>
            <w:tcW w:w="10809" w:type="dxa"/>
            <w:gridSpan w:val="7"/>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法定代表人授权委托书及被委托人身份证（法定代表人投标提供法定代表人身份证明及身份证）</w:t>
            </w:r>
          </w:p>
        </w:tc>
        <w:tc>
          <w:tcPr>
            <w:tcW w:w="7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p>
        </w:tc>
        <w:tc>
          <w:tcPr>
            <w:tcW w:w="792" w:type="dxa"/>
            <w:vMerge w:val="restart"/>
            <w:tcBorders>
              <w:top w:val="single" w:color="auto" w:sz="4" w:space="0"/>
              <w:left w:val="nil"/>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审查结论</w:t>
            </w:r>
          </w:p>
        </w:tc>
      </w:tr>
      <w:tr>
        <w:tblPrEx>
          <w:tblCellMar>
            <w:top w:w="0" w:type="dxa"/>
            <w:left w:w="108" w:type="dxa"/>
            <w:bottom w:w="0" w:type="dxa"/>
            <w:right w:w="108" w:type="dxa"/>
          </w:tblCellMar>
        </w:tblPrEx>
        <w:trPr>
          <w:trHeight w:val="3516"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29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具有合格有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效的营业执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照副本（三证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合一）</w:t>
            </w:r>
          </w:p>
          <w:p>
            <w:pPr>
              <w:widowControl/>
              <w:jc w:val="center"/>
              <w:rPr>
                <w:rFonts w:hint="eastAsia" w:ascii="宋体" w:hAnsi="宋体" w:eastAsia="宋体" w:cs="宋体"/>
                <w:color w:val="auto"/>
                <w:kern w:val="0"/>
                <w:sz w:val="18"/>
                <w:szCs w:val="18"/>
              </w:rPr>
            </w:pPr>
          </w:p>
        </w:tc>
        <w:tc>
          <w:tcPr>
            <w:tcW w:w="1652"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法定代表人授权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委托书及被委托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人身份证（法定代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表人投标提供法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 xml:space="preserve">定代表人身份证 </w:t>
            </w:r>
          </w:p>
          <w:p>
            <w:pPr>
              <w:widowControl/>
              <w:jc w:val="left"/>
              <w:rPr>
                <w:rFonts w:hint="eastAsia" w:ascii="宋体" w:hAnsi="宋体" w:eastAsia="宋体" w:cs="宋体"/>
                <w:color w:val="auto"/>
              </w:rPr>
            </w:pPr>
            <w:r>
              <w:rPr>
                <w:rFonts w:hint="eastAsia" w:ascii="宋体" w:hAnsi="宋体" w:eastAsia="宋体" w:cs="宋体"/>
                <w:color w:val="auto"/>
                <w:kern w:val="0"/>
                <w:sz w:val="18"/>
                <w:szCs w:val="18"/>
                <w:lang w:bidi="ar"/>
              </w:rPr>
              <w:t>明及身份证</w:t>
            </w:r>
          </w:p>
          <w:p>
            <w:pPr>
              <w:widowControl/>
              <w:jc w:val="center"/>
              <w:rPr>
                <w:rFonts w:hint="eastAsia" w:ascii="宋体" w:hAnsi="宋体" w:eastAsia="宋体" w:cs="宋体"/>
                <w:color w:val="auto"/>
                <w:kern w:val="0"/>
                <w:sz w:val="20"/>
                <w:szCs w:val="20"/>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具有良好的商业信誉和健全的财务会计制度，提供近两年任意一年财务审计报告（新成立公司需提供有效银行资信证明）</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有依法缴纳税收和社会保障资金的良好记录，提供2022年度连续3个月的社保证明</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投标单位（供应商）提供针对本次项目反商业贿赂承诺书</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参加政府采购活动前3年内在经营活动中没有重大违法记录的书面声明</w:t>
            </w:r>
          </w:p>
        </w:tc>
        <w:tc>
          <w:tcPr>
            <w:tcW w:w="26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“信用中国”网站（http://www.creditchina.gov.cn/）和中国政府采购网（www.ccgp.gov.cn）、国家企业信用信息公示系统（http://www.gsxt.gov.cn）无违法违规行为的查询纪录</w:t>
            </w: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22"/>
                <w:szCs w:val="22"/>
              </w:rPr>
              <w:t>保证金转账凭证单</w:t>
            </w:r>
          </w:p>
        </w:tc>
        <w:tc>
          <w:tcPr>
            <w:tcW w:w="792" w:type="dxa"/>
            <w:vMerge w:val="continue"/>
            <w:tcBorders>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368"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26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329"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26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306"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26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26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26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26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bl>
    <w:p>
      <w:pPr>
        <w:rPr>
          <w:rFonts w:hint="eastAsia" w:ascii="宋体" w:hAnsi="宋体" w:eastAsia="宋体" w:cs="宋体"/>
          <w:b/>
          <w:color w:val="auto"/>
          <w:sz w:val="32"/>
          <w:szCs w:val="40"/>
        </w:rPr>
      </w:pPr>
    </w:p>
    <w:bookmarkEnd w:id="599"/>
    <w:bookmarkEnd w:id="600"/>
    <w:bookmarkEnd w:id="601"/>
    <w:bookmarkEnd w:id="602"/>
    <w:bookmarkEnd w:id="603"/>
    <w:bookmarkEnd w:id="604"/>
    <w:bookmarkEnd w:id="605"/>
    <w:bookmarkEnd w:id="606"/>
    <w:bookmarkEnd w:id="607"/>
    <w:bookmarkEnd w:id="608"/>
    <w:bookmarkEnd w:id="609"/>
    <w:bookmarkEnd w:id="610"/>
    <w:p>
      <w:pPr>
        <w:rPr>
          <w:rFonts w:hint="eastAsia" w:ascii="宋体" w:hAnsi="宋体" w:eastAsia="宋体" w:cs="宋体"/>
          <w:color w:val="auto"/>
          <w:sz w:val="28"/>
          <w:szCs w:val="28"/>
        </w:rPr>
      </w:pPr>
      <w:bookmarkStart w:id="611" w:name="_Toc22779"/>
      <w:bookmarkStart w:id="612" w:name="_Toc9887"/>
      <w:bookmarkStart w:id="613" w:name="_Toc515647831"/>
      <w:bookmarkStart w:id="614" w:name="_Toc9032"/>
      <w:r>
        <w:rPr>
          <w:rFonts w:hint="eastAsia" w:ascii="宋体" w:hAnsi="宋体" w:eastAsia="宋体" w:cs="宋体"/>
          <w:b/>
          <w:bCs/>
          <w:color w:val="auto"/>
          <w:sz w:val="28"/>
          <w:szCs w:val="28"/>
        </w:rPr>
        <w:t>备注：1、以上资料现场携带；2、以上资料装订在投标文件中。</w:t>
      </w:r>
    </w:p>
    <w:p>
      <w:pPr>
        <w:jc w:val="center"/>
        <w:rPr>
          <w:rFonts w:hint="eastAsia" w:ascii="宋体" w:hAnsi="宋体" w:eastAsia="宋体" w:cs="宋体"/>
          <w:color w:val="auto"/>
          <w:sz w:val="28"/>
          <w:szCs w:val="28"/>
        </w:rPr>
        <w:sectPr>
          <w:pgSz w:w="16838" w:h="11906" w:orient="landscape"/>
          <w:pgMar w:top="1797" w:right="1440" w:bottom="1797" w:left="1440" w:header="851" w:footer="992" w:gutter="0"/>
          <w:cols w:space="720" w:num="1"/>
          <w:docGrid w:linePitch="312" w:charSpace="0"/>
        </w:sectPr>
      </w:pPr>
    </w:p>
    <w:bookmarkEnd w:id="611"/>
    <w:bookmarkEnd w:id="612"/>
    <w:bookmarkEnd w:id="613"/>
    <w:bookmarkEnd w:id="614"/>
    <w:p>
      <w:pPr>
        <w:pStyle w:val="4"/>
        <w:rPr>
          <w:rFonts w:hint="eastAsia" w:ascii="宋体" w:hAnsi="宋体" w:eastAsia="宋体" w:cs="宋体"/>
          <w:color w:val="auto"/>
        </w:rPr>
      </w:pPr>
      <w:bookmarkStart w:id="615" w:name="_Toc108877131"/>
      <w:bookmarkStart w:id="616" w:name="_Toc1213263"/>
      <w:bookmarkStart w:id="617" w:name="_Toc287112607"/>
      <w:bookmarkStart w:id="618" w:name="_Toc387416363"/>
      <w:bookmarkStart w:id="619" w:name="_Toc507399904"/>
      <w:r>
        <w:rPr>
          <w:rFonts w:hint="eastAsia" w:ascii="宋体" w:hAnsi="宋体" w:eastAsia="宋体" w:cs="宋体"/>
          <w:color w:val="auto"/>
        </w:rPr>
        <w:t>第五章服务需求</w:t>
      </w:r>
      <w:bookmarkEnd w:id="615"/>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2022年喀什文化旅游上海广告宣传项目（第一标段：电视、电台、地铁电子屏常规媒体宣传）</w:t>
      </w:r>
    </w:p>
    <w:p>
      <w:pPr>
        <w:pStyle w:val="6"/>
        <w:keepNext w:val="0"/>
        <w:keepLines w:val="0"/>
        <w:pageBreakBefore w:val="0"/>
        <w:widowControl w:val="0"/>
        <w:numPr>
          <w:ilvl w:val="0"/>
          <w:numId w:val="9"/>
        </w:numPr>
        <w:kinsoku/>
        <w:wordWrap/>
        <w:overflowPunct/>
        <w:topLinePunct w:val="0"/>
        <w:autoSpaceDE w:val="0"/>
        <w:autoSpaceDN w:val="0"/>
        <w:bidi w:val="0"/>
        <w:adjustRightInd w:val="0"/>
        <w:snapToGrid/>
        <w:spacing w:line="46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商务要求：</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0" w:firstLine="240"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1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交付地点：采购人指定地点。</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2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②</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合同履行期限：具体以实际签订合同时间为准。</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付款方式：甲方分两次完成给乙方付款。第一次付款：合同签订后，甲方收到发票后5个工作日内支付合同款项60%；第二次付款：活动结束后，由甲方聘请第三方进行项目审计，出具审计报告后10日内，甲方收到发票后5个工作日内，一次性支付合同款项剩余的40%（具体以合同约定为准）。</w:t>
      </w:r>
    </w:p>
    <w:p>
      <w:pPr>
        <w:pStyle w:val="26"/>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2、服务需求：</w:t>
      </w:r>
    </w:p>
    <w:p>
      <w:pPr>
        <w:pStyle w:val="3"/>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（1）上海电视台宣传：开展喀什旅游报道、专访</w:t>
      </w:r>
    </w:p>
    <w:p>
      <w:pPr>
        <w:pStyle w:val="3"/>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bookmarkStart w:id="620" w:name="OLE_LINK1"/>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1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 xml:space="preserve"> </w:t>
      </w:r>
      <w:bookmarkEnd w:id="620"/>
      <w:r>
        <w:rPr>
          <w:rFonts w:hint="eastAsia" w:ascii="宋体" w:hAnsi="宋体" w:eastAsia="宋体" w:cs="宋体"/>
          <w:b w:val="0"/>
          <w:bCs w:val="0"/>
          <w:color w:val="auto"/>
          <w:kern w:val="2"/>
          <w:sz w:val="24"/>
          <w:szCs w:val="24"/>
          <w:highlight w:val="none"/>
          <w:lang w:val="en-US" w:eastAsia="zh-CN" w:bidi="ar-SA"/>
        </w:rPr>
        <w:t>喀什旅游宣传推广周期间，喀什旅游专题报道；</w:t>
      </w:r>
    </w:p>
    <w:p>
      <w:pPr>
        <w:pStyle w:val="3"/>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bookmarkStart w:id="621" w:name="OLE_LINK2"/>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2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②</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 xml:space="preserve"> </w:t>
      </w:r>
      <w:bookmarkEnd w:id="621"/>
      <w:r>
        <w:rPr>
          <w:rFonts w:hint="eastAsia" w:ascii="宋体" w:hAnsi="宋体" w:eastAsia="宋体" w:cs="宋体"/>
          <w:b w:val="0"/>
          <w:bCs w:val="0"/>
          <w:color w:val="auto"/>
          <w:kern w:val="2"/>
          <w:sz w:val="24"/>
          <w:szCs w:val="24"/>
          <w:highlight w:val="none"/>
          <w:lang w:val="en-US" w:eastAsia="zh-CN" w:bidi="ar-SA"/>
        </w:rPr>
        <w:t>喀什金秋胡杨季专题报道。</w:t>
      </w:r>
    </w:p>
    <w:p>
      <w:pPr>
        <w:pStyle w:val="3"/>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（2）上海广播宣传</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1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 xml:space="preserve"> 覆盖面广的899长三角之声（覆盖江浙沪）</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2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②</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 xml:space="preserve"> 收听率最高的990早新闻</w:t>
      </w:r>
    </w:p>
    <w:p>
      <w:pPr>
        <w:pStyle w:val="3"/>
        <w:keepNext w:val="0"/>
        <w:keepLines w:val="0"/>
        <w:pageBreakBefore w:val="0"/>
        <w:widowControl w:val="0"/>
        <w:kinsoku/>
        <w:wordWrap/>
        <w:overflowPunct/>
        <w:topLinePunct w:val="0"/>
        <w:bidi w:val="0"/>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622" w:name="OLE_LINK8"/>
      <w:r>
        <w:rPr>
          <w:rFonts w:hint="eastAsia" w:ascii="宋体" w:hAnsi="宋体" w:eastAsia="宋体" w:cs="宋体"/>
          <w:b w:val="0"/>
          <w:bCs w:val="0"/>
          <w:color w:val="auto"/>
          <w:kern w:val="2"/>
          <w:sz w:val="24"/>
          <w:szCs w:val="24"/>
          <w:highlight w:val="none"/>
          <w:lang w:val="en-US" w:eastAsia="zh-CN" w:bidi="ar-SA"/>
        </w:rPr>
        <w:t>以上</w:t>
      </w:r>
      <w:bookmarkEnd w:id="622"/>
      <w:r>
        <w:rPr>
          <w:rFonts w:hint="eastAsia" w:ascii="宋体" w:hAnsi="宋体" w:eastAsia="宋体" w:cs="宋体"/>
          <w:b w:val="0"/>
          <w:bCs w:val="0"/>
          <w:color w:val="auto"/>
          <w:kern w:val="2"/>
          <w:sz w:val="24"/>
          <w:szCs w:val="24"/>
          <w:highlight w:val="none"/>
          <w:lang w:val="en-US" w:eastAsia="zh-CN" w:bidi="ar-SA"/>
        </w:rPr>
        <w:t>按频道播放。此为初步计划，执行时将根据最终确定的频道进行投放调整。</w:t>
      </w:r>
    </w:p>
    <w:p>
      <w:pPr>
        <w:pStyle w:val="3"/>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（3）上海地铁电子屏广告</w:t>
      </w:r>
    </w:p>
    <w:p>
      <w:pPr>
        <w:pStyle w:val="3"/>
        <w:keepNext w:val="0"/>
        <w:keepLines w:val="0"/>
        <w:pageBreakBefore w:val="0"/>
        <w:widowControl w:val="0"/>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选择上海流量大的部分地铁站内电子投放图片或者视频广告，</w:t>
      </w:r>
      <w:bookmarkStart w:id="623" w:name="OLE_LINK10"/>
      <w:r>
        <w:rPr>
          <w:rFonts w:hint="eastAsia" w:ascii="宋体" w:hAnsi="宋体" w:eastAsia="宋体" w:cs="宋体"/>
          <w:b w:val="0"/>
          <w:bCs w:val="0"/>
          <w:color w:val="auto"/>
          <w:kern w:val="2"/>
          <w:sz w:val="24"/>
          <w:szCs w:val="24"/>
          <w:highlight w:val="none"/>
          <w:lang w:val="en-US" w:eastAsia="zh-CN" w:bidi="ar-SA"/>
        </w:rPr>
        <w:t>突出暑期喀什旅游季“形象+产品广告</w:t>
      </w:r>
      <w:bookmarkEnd w:id="623"/>
      <w:r>
        <w:rPr>
          <w:rFonts w:hint="eastAsia" w:ascii="宋体" w:hAnsi="宋体" w:eastAsia="宋体" w:cs="宋体"/>
          <w:b w:val="0"/>
          <w:bCs w:val="0"/>
          <w:color w:val="auto"/>
          <w:kern w:val="2"/>
          <w:sz w:val="24"/>
          <w:szCs w:val="24"/>
          <w:highlight w:val="none"/>
          <w:lang w:val="en-US" w:eastAsia="zh-CN" w:bidi="ar-SA"/>
        </w:rPr>
        <w:t>”组合宣传。</w:t>
      </w:r>
    </w:p>
    <w:p>
      <w:pPr>
        <w:pStyle w:val="6"/>
        <w:keepNext w:val="0"/>
        <w:keepLines w:val="0"/>
        <w:pageBreakBefore w:val="0"/>
        <w:widowControl w:val="0"/>
        <w:numPr>
          <w:ilvl w:val="0"/>
          <w:numId w:val="0"/>
        </w:numPr>
        <w:kinsoku/>
        <w:wordWrap/>
        <w:overflowPunct/>
        <w:topLinePunct w:val="0"/>
        <w:bidi w:val="0"/>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（4）投放明细</w:t>
      </w:r>
    </w:p>
    <w:tbl>
      <w:tblPr>
        <w:tblStyle w:val="38"/>
        <w:tblW w:w="0" w:type="auto"/>
        <w:jc w:val="center"/>
        <w:tblLayout w:type="fixed"/>
        <w:tblCellMar>
          <w:top w:w="0" w:type="dxa"/>
          <w:left w:w="108" w:type="dxa"/>
          <w:bottom w:w="0" w:type="dxa"/>
          <w:right w:w="108" w:type="dxa"/>
        </w:tblCellMar>
      </w:tblPr>
      <w:tblGrid>
        <w:gridCol w:w="1271"/>
        <w:gridCol w:w="4639"/>
        <w:gridCol w:w="850"/>
        <w:gridCol w:w="1457"/>
      </w:tblGrid>
      <w:tr>
        <w:tblPrEx>
          <w:tblCellMar>
            <w:top w:w="0" w:type="dxa"/>
            <w:left w:w="108" w:type="dxa"/>
            <w:bottom w:w="0" w:type="dxa"/>
            <w:right w:w="108" w:type="dxa"/>
          </w:tblCellMar>
        </w:tblPrEx>
        <w:trPr>
          <w:trHeight w:val="513" w:hRule="exac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463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85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合计（万元）</w:t>
            </w:r>
          </w:p>
        </w:tc>
      </w:tr>
      <w:tr>
        <w:tblPrEx>
          <w:tblCellMar>
            <w:top w:w="0" w:type="dxa"/>
            <w:left w:w="108" w:type="dxa"/>
            <w:bottom w:w="0" w:type="dxa"/>
            <w:right w:w="108" w:type="dxa"/>
          </w:tblCellMar>
        </w:tblPrEx>
        <w:trPr>
          <w:trHeight w:val="397" w:hRule="exact"/>
          <w:jc w:val="center"/>
        </w:trPr>
        <w:tc>
          <w:tcPr>
            <w:tcW w:w="1271"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电视宣传</w:t>
            </w:r>
          </w:p>
        </w:tc>
        <w:tc>
          <w:tcPr>
            <w:tcW w:w="4639"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专题报道（喀什宣传周）</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97" w:hRule="exact"/>
          <w:jc w:val="center"/>
        </w:trPr>
        <w:tc>
          <w:tcPr>
            <w:tcW w:w="127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4639"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专题报道（胡杨季）</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97" w:hRule="exact"/>
          <w:jc w:val="center"/>
        </w:trPr>
        <w:tc>
          <w:tcPr>
            <w:tcW w:w="1271"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电台广告</w:t>
            </w:r>
          </w:p>
        </w:tc>
        <w:tc>
          <w:tcPr>
            <w:tcW w:w="4639"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899长三角之声 8次/天</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15天</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97" w:hRule="exact"/>
          <w:jc w:val="center"/>
        </w:trPr>
        <w:tc>
          <w:tcPr>
            <w:tcW w:w="12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c>
          <w:tcPr>
            <w:tcW w:w="4639"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990</w:t>
            </w:r>
            <w:r>
              <w:rPr>
                <w:rFonts w:hint="eastAsia" w:ascii="宋体" w:hAnsi="宋体" w:eastAsia="宋体" w:cs="宋体"/>
                <w:color w:val="auto"/>
                <w:sz w:val="24"/>
                <w:szCs w:val="24"/>
                <w:lang w:val="en-US" w:eastAsia="zh-CN"/>
              </w:rPr>
              <w:t>新闻套播</w:t>
            </w:r>
            <w:r>
              <w:rPr>
                <w:rFonts w:hint="eastAsia" w:ascii="宋体" w:hAnsi="宋体" w:eastAsia="宋体" w:cs="宋体"/>
                <w:color w:val="auto"/>
                <w:sz w:val="24"/>
                <w:szCs w:val="24"/>
              </w:rPr>
              <w:t xml:space="preserve"> 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次/天</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15天</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97" w:hRule="exac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地铁广告</w:t>
            </w:r>
          </w:p>
        </w:tc>
        <w:tc>
          <w:tcPr>
            <w:tcW w:w="4639"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地铁站内电子屏广告投放</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100次/天</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4周</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397" w:hRule="exact"/>
          <w:jc w:val="center"/>
        </w:trPr>
        <w:tc>
          <w:tcPr>
            <w:tcW w:w="1271" w:type="dxa"/>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策划实施</w:t>
            </w:r>
          </w:p>
        </w:tc>
        <w:tc>
          <w:tcPr>
            <w:tcW w:w="4639" w:type="dxa"/>
            <w:tcBorders>
              <w:top w:val="single" w:color="000000"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广告策划、文案编写、设计、实施执行等</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eastAsia="zh-CN"/>
              </w:rPr>
            </w:pPr>
          </w:p>
        </w:tc>
      </w:tr>
      <w:tr>
        <w:tblPrEx>
          <w:tblCellMar>
            <w:top w:w="0" w:type="dxa"/>
            <w:left w:w="108" w:type="dxa"/>
            <w:bottom w:w="0" w:type="dxa"/>
            <w:right w:w="108" w:type="dxa"/>
          </w:tblCellMar>
        </w:tblPrEx>
        <w:trPr>
          <w:trHeight w:val="397" w:hRule="exac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杂费</w:t>
            </w:r>
          </w:p>
        </w:tc>
        <w:tc>
          <w:tcPr>
            <w:tcW w:w="4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利税、其他</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等</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eastAsia="zh-CN"/>
              </w:rPr>
            </w:pPr>
          </w:p>
        </w:tc>
      </w:tr>
      <w:tr>
        <w:tblPrEx>
          <w:tblCellMar>
            <w:top w:w="0" w:type="dxa"/>
            <w:left w:w="108" w:type="dxa"/>
            <w:bottom w:w="0" w:type="dxa"/>
            <w:right w:w="108" w:type="dxa"/>
          </w:tblCellMar>
        </w:tblPrEx>
        <w:trPr>
          <w:trHeight w:val="445" w:hRule="exact"/>
          <w:jc w:val="center"/>
        </w:trPr>
        <w:tc>
          <w:tcPr>
            <w:tcW w:w="67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val="en-US" w:eastAsia="zh-CN"/>
              </w:rPr>
            </w:pPr>
          </w:p>
        </w:tc>
      </w:tr>
    </w:tbl>
    <w:p>
      <w:pPr>
        <w:pStyle w:val="6"/>
        <w:ind w:left="0" w:leftChars="0" w:firstLine="0" w:firstLineChars="0"/>
        <w:rPr>
          <w:rFonts w:hint="eastAsia" w:ascii="宋体" w:hAnsi="宋体" w:eastAsia="宋体" w:cs="宋体"/>
          <w:b w:val="0"/>
          <w:bCs w:val="0"/>
          <w:color w:val="auto"/>
          <w:kern w:val="2"/>
          <w:sz w:val="24"/>
          <w:szCs w:val="24"/>
          <w:highlight w:val="red"/>
          <w:lang w:val="en-US" w:eastAsia="zh-CN" w:bidi="ar-SA"/>
        </w:rPr>
      </w:pPr>
    </w:p>
    <w:p>
      <w:pPr>
        <w:rPr>
          <w:rFonts w:hint="eastAsia" w:ascii="宋体" w:hAnsi="宋体" w:eastAsia="宋体" w:cs="宋体"/>
          <w:b/>
          <w:bCs/>
          <w:color w:val="auto"/>
          <w:kern w:val="2"/>
          <w:sz w:val="24"/>
          <w:szCs w:val="24"/>
          <w:highlight w:val="none"/>
          <w:lang w:val="en-US" w:eastAsia="zh-CN" w:bidi="ar-SA"/>
        </w:rPr>
      </w:pPr>
    </w:p>
    <w:p>
      <w:pPr>
        <w:pStyle w:val="51"/>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3、服务方案：</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1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供应商须提供详细的实施方案，针对项目有较为详尽的项目需求分析以及清晰地描述，充分理解该项目的需求，思路清晰、分析透彻，描述内容清晰合理</w:t>
      </w:r>
      <w:r>
        <w:rPr>
          <w:rFonts w:hint="eastAsia"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针对项目实施进度计划以及具体时间安排及计划表（注：所有设计方案应在项目开展前5日提出）</w:t>
      </w:r>
      <w:r>
        <w:rPr>
          <w:rFonts w:hint="eastAsia" w:hAnsi="宋体" w:cs="宋体"/>
          <w:b w:val="0"/>
          <w:bCs w:val="0"/>
          <w:color w:val="auto"/>
          <w:kern w:val="2"/>
          <w:sz w:val="24"/>
          <w:szCs w:val="24"/>
          <w:highlight w:val="none"/>
          <w:lang w:val="en-US" w:eastAsia="zh-CN" w:bidi="ar-SA"/>
        </w:rPr>
        <w:t>。</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hAnsi="宋体" w:cs="宋体"/>
          <w:b w:val="0"/>
          <w:bCs w:val="0"/>
          <w:color w:val="auto"/>
          <w:kern w:val="2"/>
          <w:sz w:val="24"/>
          <w:szCs w:val="24"/>
          <w:highlight w:val="none"/>
          <w:lang w:val="en-US" w:eastAsia="zh-CN" w:bidi="ar-SA"/>
        </w:rPr>
      </w:pPr>
      <w:r>
        <w:rPr>
          <w:rFonts w:hint="eastAsia" w:hAnsi="宋体" w:cs="宋体"/>
          <w:b w:val="0"/>
          <w:bCs w:val="0"/>
          <w:color w:val="auto"/>
          <w:kern w:val="2"/>
          <w:sz w:val="24"/>
          <w:szCs w:val="24"/>
          <w:highlight w:val="none"/>
          <w:lang w:val="en-US" w:eastAsia="zh-CN" w:bidi="ar-SA"/>
        </w:rPr>
        <w:t>②</w:t>
      </w:r>
      <w:r>
        <w:rPr>
          <w:rFonts w:hint="eastAsia" w:ascii="宋体" w:hAnsi="宋体" w:eastAsia="宋体" w:cs="宋体"/>
          <w:b w:val="0"/>
          <w:bCs w:val="0"/>
          <w:color w:val="auto"/>
          <w:kern w:val="2"/>
          <w:sz w:val="24"/>
          <w:szCs w:val="24"/>
          <w:highlight w:val="none"/>
          <w:lang w:val="en-US" w:eastAsia="zh-CN" w:bidi="ar-SA"/>
        </w:rPr>
        <w:t>在广告宣传执行过程中因不可抗力因素导致广告临时调整或漏播等其他情况未达到宣传效果时，供应商须提供</w:t>
      </w:r>
      <w:r>
        <w:rPr>
          <w:rFonts w:hint="eastAsia" w:hAnsi="宋体" w:cs="宋体"/>
          <w:b w:val="0"/>
          <w:bCs w:val="0"/>
          <w:color w:val="auto"/>
          <w:kern w:val="2"/>
          <w:sz w:val="24"/>
          <w:szCs w:val="24"/>
          <w:highlight w:val="none"/>
          <w:lang w:val="en-US" w:eastAsia="zh-CN" w:bidi="ar-SA"/>
        </w:rPr>
        <w:t>全面、</w:t>
      </w:r>
      <w:r>
        <w:rPr>
          <w:rFonts w:hint="eastAsia" w:ascii="宋体" w:hAnsi="宋体" w:eastAsia="宋体" w:cs="宋体"/>
          <w:b w:val="0"/>
          <w:bCs w:val="0"/>
          <w:color w:val="auto"/>
          <w:kern w:val="2"/>
          <w:sz w:val="24"/>
          <w:szCs w:val="24"/>
          <w:highlight w:val="none"/>
          <w:lang w:val="en-US" w:eastAsia="zh-CN" w:bidi="ar-SA"/>
        </w:rPr>
        <w:t>详细</w:t>
      </w:r>
      <w:r>
        <w:rPr>
          <w:rFonts w:hint="eastAsia" w:hAnsi="宋体" w:cs="宋体"/>
          <w:b w:val="0"/>
          <w:bCs w:val="0"/>
          <w:color w:val="auto"/>
          <w:kern w:val="2"/>
          <w:sz w:val="24"/>
          <w:szCs w:val="24"/>
          <w:highlight w:val="none"/>
          <w:lang w:val="en-US" w:eastAsia="zh-CN" w:bidi="ar-SA"/>
        </w:rPr>
        <w:t>、合理</w:t>
      </w:r>
      <w:r>
        <w:rPr>
          <w:rFonts w:hint="eastAsia" w:ascii="宋体" w:hAnsi="宋体" w:eastAsia="宋体" w:cs="宋体"/>
          <w:b w:val="0"/>
          <w:bCs w:val="0"/>
          <w:color w:val="auto"/>
          <w:kern w:val="2"/>
          <w:sz w:val="24"/>
          <w:szCs w:val="24"/>
          <w:highlight w:val="none"/>
          <w:lang w:val="en-US" w:eastAsia="zh-CN" w:bidi="ar-SA"/>
        </w:rPr>
        <w:t>的应急预案；包含备播预案、</w:t>
      </w:r>
      <w:r>
        <w:rPr>
          <w:rFonts w:hint="eastAsia" w:ascii="宋体" w:hAnsi="宋体" w:eastAsia="宋体" w:cs="宋体"/>
          <w:color w:val="auto"/>
          <w:highlight w:val="none"/>
          <w:lang w:val="en-US" w:eastAsia="zh-CN"/>
        </w:rPr>
        <w:t>疫情防控、紧急情况等应急</w:t>
      </w:r>
      <w:r>
        <w:rPr>
          <w:rFonts w:hint="eastAsia" w:ascii="宋体" w:hAnsi="宋体" w:eastAsia="宋体" w:cs="宋体"/>
          <w:b w:val="0"/>
          <w:bCs w:val="0"/>
          <w:color w:val="auto"/>
          <w:kern w:val="2"/>
          <w:sz w:val="24"/>
          <w:szCs w:val="24"/>
          <w:highlight w:val="none"/>
          <w:lang w:val="en-US" w:eastAsia="zh-CN" w:bidi="ar-SA"/>
        </w:rPr>
        <w:t>措施等方面</w:t>
      </w:r>
      <w:r>
        <w:rPr>
          <w:rFonts w:hint="eastAsia" w:hAnsi="宋体" w:cs="宋体"/>
          <w:b w:val="0"/>
          <w:bCs w:val="0"/>
          <w:color w:val="auto"/>
          <w:kern w:val="2"/>
          <w:sz w:val="24"/>
          <w:szCs w:val="24"/>
          <w:highlight w:val="none"/>
          <w:lang w:val="en-US" w:eastAsia="zh-CN" w:bidi="ar-SA"/>
        </w:rPr>
        <w:t>。</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hAnsi="宋体" w:cs="宋体"/>
          <w:b w:val="0"/>
          <w:bCs w:val="0"/>
          <w:color w:val="auto"/>
          <w:kern w:val="2"/>
          <w:sz w:val="24"/>
          <w:szCs w:val="24"/>
          <w:highlight w:val="none"/>
          <w:lang w:val="en-US" w:eastAsia="zh-CN" w:bidi="ar-SA"/>
        </w:rPr>
      </w:pPr>
      <w:r>
        <w:rPr>
          <w:rFonts w:hint="eastAsia" w:hAnsi="宋体" w:cs="宋体"/>
          <w:b w:val="0"/>
          <w:bCs w:val="0"/>
          <w:color w:val="auto"/>
          <w:kern w:val="2"/>
          <w:sz w:val="24"/>
          <w:szCs w:val="24"/>
          <w:highlight w:val="none"/>
          <w:lang w:val="en-US" w:eastAsia="zh-CN" w:bidi="ar-SA"/>
        </w:rPr>
        <w:t>③供应商应在项目实施过程中对项目质量、进度、安全等措施安排科学合理，以及在实施过程中可能存在的问题提出合理性建议。</w:t>
      </w:r>
    </w:p>
    <w:p>
      <w:pPr>
        <w:pStyle w:val="51"/>
        <w:keepNext w:val="0"/>
        <w:keepLines w:val="0"/>
        <w:pageBreakBefore w:val="0"/>
        <w:widowControl w:val="0"/>
        <w:kinsoku/>
        <w:wordWrap/>
        <w:overflowPunct/>
        <w:topLinePunct w:val="0"/>
        <w:bidi w:val="0"/>
        <w:snapToGrid/>
        <w:spacing w:line="460" w:lineRule="exac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4、人员要求：</w:t>
      </w:r>
      <w:r>
        <w:rPr>
          <w:rFonts w:hint="eastAsia" w:ascii="宋体" w:hAnsi="宋体" w:eastAsia="宋体" w:cs="宋体"/>
          <w:color w:val="auto"/>
          <w:highlight w:val="none"/>
        </w:rPr>
        <w:t>投标单位自行配备执行团队，项目团队配置合理、人员构成科学、专业性强、团队经验丰富</w:t>
      </w:r>
      <w:r>
        <w:rPr>
          <w:rFonts w:hint="eastAsia" w:hAnsi="宋体" w:cs="宋体"/>
          <w:color w:val="auto"/>
          <w:highlight w:val="none"/>
          <w:lang w:eastAsia="zh-CN"/>
        </w:rPr>
        <w:t>，</w:t>
      </w:r>
      <w:r>
        <w:rPr>
          <w:rFonts w:hint="eastAsia" w:ascii="宋体" w:hAnsi="宋体" w:eastAsia="宋体" w:cs="宋体"/>
          <w:b w:val="0"/>
          <w:bCs w:val="0"/>
          <w:color w:val="auto"/>
          <w:kern w:val="2"/>
          <w:sz w:val="24"/>
          <w:szCs w:val="24"/>
          <w:highlight w:val="none"/>
          <w:lang w:val="en-US" w:eastAsia="zh-CN" w:bidi="ar-SA"/>
        </w:rPr>
        <w:t>有利于项目的执行</w:t>
      </w:r>
      <w:r>
        <w:rPr>
          <w:rFonts w:hint="eastAsia" w:hAnsi="宋体" w:cs="宋体"/>
          <w:b w:val="0"/>
          <w:bCs w:val="0"/>
          <w:color w:val="auto"/>
          <w:kern w:val="2"/>
          <w:sz w:val="24"/>
          <w:szCs w:val="24"/>
          <w:highlight w:val="none"/>
          <w:lang w:val="en-US" w:eastAsia="zh-CN" w:bidi="ar-SA"/>
        </w:rPr>
        <w:t>；</w:t>
      </w:r>
      <w:r>
        <w:rPr>
          <w:rFonts w:hint="eastAsia" w:hAnsi="宋体" w:cs="宋体"/>
          <w:color w:val="auto"/>
          <w:highlight w:val="none"/>
          <w:lang w:val="en-US" w:eastAsia="zh-CN"/>
        </w:rPr>
        <w:t>项目负责人要求本科及以上</w:t>
      </w:r>
      <w:r>
        <w:rPr>
          <w:rFonts w:hint="eastAsia" w:ascii="宋体" w:hAnsi="宋体" w:cs="宋体"/>
          <w:color w:val="auto"/>
          <w:highlight w:val="none"/>
          <w:lang w:val="en-US" w:eastAsia="zh-CN"/>
        </w:rPr>
        <w:t>学历、</w:t>
      </w:r>
      <w:r>
        <w:rPr>
          <w:rFonts w:hint="eastAsia" w:hAnsi="宋体" w:cs="宋体"/>
          <w:color w:val="auto"/>
          <w:highlight w:val="none"/>
          <w:lang w:val="en-US" w:eastAsia="zh-CN"/>
        </w:rPr>
        <w:t>三年以上相关工作</w:t>
      </w:r>
      <w:r>
        <w:rPr>
          <w:rFonts w:hint="eastAsia" w:ascii="宋体" w:hAnsi="宋体" w:cs="宋体"/>
          <w:color w:val="auto"/>
          <w:highlight w:val="none"/>
          <w:lang w:val="en-US" w:eastAsia="zh-CN"/>
        </w:rPr>
        <w:t>经验</w:t>
      </w:r>
      <w:r>
        <w:rPr>
          <w:rFonts w:hint="eastAsia" w:hAnsi="宋体" w:cs="宋体"/>
          <w:color w:val="auto"/>
          <w:highlight w:val="none"/>
          <w:lang w:val="en-US" w:eastAsia="zh-CN"/>
        </w:rPr>
        <w:t>，团队执行人员要求大专及以上学历，一年以上相关工作经验，</w:t>
      </w:r>
      <w:r>
        <w:rPr>
          <w:rFonts w:hint="eastAsia" w:ascii="宋体" w:hAnsi="宋体" w:cs="宋体"/>
          <w:color w:val="auto"/>
          <w:highlight w:val="none"/>
          <w:lang w:val="en-US" w:eastAsia="zh-CN"/>
        </w:rPr>
        <w:t>并提供证明</w:t>
      </w:r>
      <w:r>
        <w:rPr>
          <w:rFonts w:hint="eastAsia" w:hAnsi="宋体" w:cs="宋体"/>
          <w:color w:val="auto"/>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（本项目团队人员配备不少于</w:t>
      </w:r>
      <w:r>
        <w:rPr>
          <w:rFonts w:hint="eastAsia"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人（含</w:t>
      </w:r>
      <w:r>
        <w:rPr>
          <w:rFonts w:hint="eastAsia"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人））。</w:t>
      </w:r>
    </w:p>
    <w:p>
      <w:pPr>
        <w:keepNext w:val="0"/>
        <w:keepLines w:val="0"/>
        <w:pageBreakBefore w:val="0"/>
        <w:widowControl w:val="0"/>
        <w:numPr>
          <w:ilvl w:val="0"/>
          <w:numId w:val="0"/>
        </w:numPr>
        <w:kinsoku/>
        <w:wordWrap/>
        <w:overflowPunct/>
        <w:topLinePunct w:val="0"/>
        <w:bidi w:val="0"/>
        <w:snapToGrid/>
        <w:spacing w:line="4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5、验收要求：</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1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验收方案：活动结束后采购单位以会议的形式形成报告，对此次会议的评议逐级上报。</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②验收标准：中标人与采购人应严格按照《关于加强政府采购项目履约验收工作的通知》的要求进行验收。</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注：活动要服从目的地新冠肺炎疫情防控工作的有关要求，注意预防新型冠状病毒和食物中毒等。</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如因疫情等原因导致项目无法如期实行，征求甲方同意后可延期实行。</w:t>
      </w:r>
    </w:p>
    <w:p>
      <w:pPr>
        <w:pStyle w:val="5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p>
    <w:p>
      <w:pPr>
        <w:rPr>
          <w:rFonts w:hint="eastAsia" w:ascii="宋体" w:hAnsi="宋体" w:eastAsia="宋体" w:cs="宋体"/>
          <w:color w:val="auto"/>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4"/>
        </w:rPr>
      </w:pPr>
      <w:r>
        <w:rPr>
          <w:rFonts w:hint="eastAsia" w:ascii="宋体" w:hAnsi="宋体" w:eastAsia="宋体" w:cs="宋体"/>
          <w:color w:val="auto"/>
          <w:sz w:val="24"/>
        </w:rPr>
        <w:br w:type="page"/>
      </w:r>
    </w:p>
    <w:bookmarkEnd w:id="616"/>
    <w:bookmarkEnd w:id="617"/>
    <w:bookmarkEnd w:id="618"/>
    <w:p>
      <w:pPr>
        <w:pStyle w:val="4"/>
        <w:rPr>
          <w:rFonts w:hint="eastAsia" w:ascii="宋体" w:hAnsi="宋体" w:eastAsia="宋体" w:cs="宋体"/>
          <w:color w:val="auto"/>
        </w:rPr>
      </w:pPr>
      <w:bookmarkStart w:id="624" w:name="_Toc108877132"/>
      <w:bookmarkStart w:id="625" w:name="_Toc18979"/>
      <w:bookmarkStart w:id="626" w:name="_Toc24666"/>
      <w:bookmarkStart w:id="627" w:name="_Toc14939"/>
      <w:bookmarkStart w:id="628" w:name="_Toc1213267"/>
      <w:r>
        <w:rPr>
          <w:rFonts w:hint="eastAsia" w:ascii="宋体" w:hAnsi="宋体" w:eastAsia="宋体" w:cs="宋体"/>
          <w:color w:val="auto"/>
        </w:rPr>
        <w:t>第六章评审方法和标准</w:t>
      </w:r>
      <w:bookmarkEnd w:id="62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本项目将按照磋商文件第一章供应商须知中“五磋商开启及评审”、“六 确定成交”及本章的规定评审</w:t>
      </w:r>
    </w:p>
    <w:p>
      <w:pPr>
        <w:pStyle w:val="3"/>
        <w:tabs>
          <w:tab w:val="clear" w:pos="567"/>
        </w:tabs>
        <w:spacing w:before="0" w:line="240" w:lineRule="atLeast"/>
        <w:ind w:firstLine="542" w:firstLineChars="225"/>
        <w:jc w:val="center"/>
        <w:rPr>
          <w:rFonts w:hint="eastAsia" w:ascii="宋体" w:hAnsi="宋体" w:eastAsia="宋体" w:cs="宋体"/>
          <w:b/>
          <w:color w:val="auto"/>
        </w:rPr>
      </w:pPr>
    </w:p>
    <w:p>
      <w:pPr>
        <w:pStyle w:val="3"/>
        <w:tabs>
          <w:tab w:val="clear" w:pos="567"/>
        </w:tabs>
        <w:spacing w:before="0" w:line="240" w:lineRule="atLeast"/>
        <w:ind w:firstLine="542" w:firstLineChars="225"/>
        <w:jc w:val="center"/>
        <w:rPr>
          <w:rFonts w:hint="eastAsia" w:ascii="宋体" w:hAnsi="宋体" w:eastAsia="宋体" w:cs="宋体"/>
          <w:b/>
          <w:color w:val="auto"/>
        </w:rPr>
      </w:pPr>
      <w:r>
        <w:rPr>
          <w:rFonts w:hint="eastAsia" w:ascii="宋体" w:hAnsi="宋体" w:eastAsia="宋体" w:cs="宋体"/>
          <w:b/>
          <w:color w:val="auto"/>
        </w:rPr>
        <w:t>一、开标</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开标</w:t>
      </w:r>
    </w:p>
    <w:p>
      <w:pPr>
        <w:pStyle w:val="3"/>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auto"/>
        </w:rPr>
      </w:pPr>
      <w:r>
        <w:rPr>
          <w:rFonts w:hint="eastAsia" w:ascii="宋体" w:hAnsi="宋体" w:eastAsia="宋体" w:cs="宋体"/>
          <w:color w:val="auto"/>
        </w:rPr>
        <w:t>1、本次招标按招标文件中规定的时间地点进行开标，将邀请投标人的法定代表人或其授权委托人参加开标会；</w:t>
      </w:r>
    </w:p>
    <w:p>
      <w:pPr>
        <w:pStyle w:val="3"/>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auto"/>
        </w:rPr>
      </w:pPr>
      <w:r>
        <w:rPr>
          <w:rFonts w:hint="eastAsia" w:ascii="宋体" w:hAnsi="宋体" w:eastAsia="宋体" w:cs="宋体"/>
          <w:color w:val="auto"/>
        </w:rPr>
        <w:t>2、开标时由投标人或者其推选的代表检查响应文件密封情况，确认无误后拆封唱标，唱“磋商报价表”内容，以及招标代理认为合适的其他内容并记录；</w:t>
      </w:r>
    </w:p>
    <w:p>
      <w:pPr>
        <w:pStyle w:val="3"/>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auto"/>
        </w:rPr>
      </w:pPr>
      <w:r>
        <w:rPr>
          <w:rFonts w:hint="eastAsia" w:ascii="宋体" w:hAnsi="宋体" w:eastAsia="宋体" w:cs="宋体"/>
          <w:color w:val="auto"/>
        </w:rPr>
        <w:t>3、开标程序、评标原则在开标会议上宣布。</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4、采购人或采购代理机构依据法律法规和招标文件中规定的内容，对投标人的资格进行审查。未通过资格审查的投标人不进入评标；进入评标的投标人不足3家的，不得评标。</w:t>
      </w:r>
    </w:p>
    <w:p>
      <w:pPr>
        <w:keepNext w:val="0"/>
        <w:keepLines w:val="0"/>
        <w:pageBreakBefore w:val="0"/>
        <w:widowControl/>
        <w:kinsoku/>
        <w:wordWrap/>
        <w:overflowPunct/>
        <w:topLinePunct w:val="0"/>
        <w:autoSpaceDE/>
        <w:autoSpaceDN/>
        <w:bidi w:val="0"/>
        <w:adjustRightInd/>
        <w:snapToGrid/>
        <w:spacing w:line="400" w:lineRule="exact"/>
        <w:ind w:firstLine="542" w:firstLineChars="225"/>
        <w:textAlignment w:val="auto"/>
        <w:rPr>
          <w:rFonts w:hint="eastAsia" w:ascii="宋体" w:hAnsi="宋体" w:eastAsia="宋体" w:cs="宋体"/>
          <w:b/>
          <w:bCs/>
          <w:color w:val="auto"/>
          <w:kern w:val="0"/>
          <w:sz w:val="24"/>
        </w:rPr>
      </w:pPr>
      <w:bookmarkStart w:id="629" w:name="_Hlk22377230"/>
      <w:r>
        <w:rPr>
          <w:rFonts w:hint="eastAsia" w:ascii="宋体" w:hAnsi="宋体" w:eastAsia="宋体" w:cs="宋体"/>
          <w:b/>
          <w:color w:val="auto"/>
          <w:kern w:val="0"/>
          <w:sz w:val="24"/>
        </w:rPr>
        <w:t>投标人现场准备的投标资格证明文件应按下列顺序提供，</w:t>
      </w:r>
      <w:r>
        <w:rPr>
          <w:rFonts w:hint="eastAsia" w:ascii="宋体" w:hAnsi="宋体" w:eastAsia="宋体" w:cs="宋体"/>
          <w:b/>
          <w:bCs/>
          <w:color w:val="auto"/>
          <w:kern w:val="0"/>
          <w:sz w:val="24"/>
        </w:rPr>
        <w:t>其中 ：</w:t>
      </w: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项</w:t>
      </w:r>
      <w:r>
        <w:rPr>
          <w:rFonts w:hint="eastAsia" w:ascii="宋体" w:hAnsi="宋体" w:eastAsia="宋体" w:cs="宋体"/>
          <w:b/>
          <w:bCs/>
          <w:color w:val="auto"/>
          <w:kern w:val="0"/>
          <w:sz w:val="24"/>
        </w:rPr>
        <w:t>为开标时资格审查的必备条件</w:t>
      </w:r>
    </w:p>
    <w:p>
      <w:pPr>
        <w:keepNext w:val="0"/>
        <w:keepLines w:val="0"/>
        <w:pageBreakBefore w:val="0"/>
        <w:kinsoku/>
        <w:wordWrap/>
        <w:overflowPunct/>
        <w:topLinePunct w:val="0"/>
        <w:autoSpaceDE/>
        <w:autoSpaceDN/>
        <w:bidi w:val="0"/>
        <w:adjustRightInd/>
        <w:snapToGrid/>
        <w:spacing w:line="400" w:lineRule="exact"/>
        <w:ind w:left="904" w:hanging="900" w:hangingChars="375"/>
        <w:textAlignment w:val="auto"/>
        <w:rPr>
          <w:rFonts w:hint="eastAsia" w:ascii="宋体" w:hAnsi="宋体" w:eastAsia="宋体" w:cs="宋体"/>
          <w:b/>
          <w:bCs/>
          <w:color w:val="auto"/>
          <w:sz w:val="24"/>
          <w:u w:val="single"/>
        </w:rPr>
      </w:pPr>
      <w:r>
        <w:rPr>
          <w:rFonts w:hint="eastAsia" w:ascii="宋体" w:hAnsi="宋体" w:eastAsia="宋体" w:cs="宋体"/>
          <w:color w:val="auto"/>
          <w:sz w:val="24"/>
          <w:szCs w:val="24"/>
        </w:rPr>
        <w:t xml:space="preserve">  </w:t>
      </w:r>
      <w:bookmarkEnd w:id="629"/>
      <w:r>
        <w:rPr>
          <w:rFonts w:hint="eastAsia" w:ascii="宋体" w:hAnsi="宋体" w:eastAsia="宋体" w:cs="宋体"/>
          <w:b/>
          <w:bCs/>
          <w:color w:val="auto"/>
          <w:sz w:val="24"/>
          <w:u w:val="single"/>
        </w:rPr>
        <w:t>（1）具有合格有效的营业执照副本（三证合一）原件或者加盖公章的复印件；</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hint="eastAsia" w:ascii="宋体" w:hAnsi="宋体" w:eastAsia="宋体" w:cs="宋体"/>
          <w:b/>
          <w:bCs/>
          <w:color w:val="auto"/>
          <w:sz w:val="24"/>
          <w:u w:val="single"/>
        </w:rPr>
      </w:pPr>
      <w:r>
        <w:rPr>
          <w:rFonts w:hint="eastAsia" w:ascii="宋体" w:hAnsi="宋体" w:eastAsia="宋体" w:cs="宋体"/>
          <w:b/>
          <w:bCs/>
          <w:color w:val="auto"/>
          <w:sz w:val="24"/>
          <w:u w:val="single"/>
        </w:rPr>
        <w:t>（2）法定代表人授权委托书及被委托人身份证原件或者加盖公章的复印件（法定代表人投标提供法定代表人身份证明及身份证）；</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hint="eastAsia" w:ascii="宋体" w:hAnsi="宋体" w:eastAsia="宋体" w:cs="宋体"/>
          <w:b/>
          <w:bCs/>
          <w:color w:val="auto"/>
          <w:sz w:val="24"/>
          <w:u w:val="single"/>
        </w:rPr>
      </w:pPr>
      <w:r>
        <w:rPr>
          <w:rFonts w:hint="eastAsia" w:ascii="宋体" w:hAnsi="宋体" w:eastAsia="宋体" w:cs="宋体"/>
          <w:b/>
          <w:bCs/>
          <w:color w:val="auto"/>
          <w:sz w:val="24"/>
          <w:u w:val="single"/>
        </w:rPr>
        <w:t>（3）具有良好的商业信誉和健全的财务会计制度，提供近两年任意一年财务审计报告原件或者加盖公章的复印件（新成立公司需提供有效银行资信证明）；</w:t>
      </w:r>
    </w:p>
    <w:p>
      <w:pPr>
        <w:keepNext w:val="0"/>
        <w:keepLines w:val="0"/>
        <w:pageBreakBefore w:val="0"/>
        <w:widowControl w:val="0"/>
        <w:kinsoku/>
        <w:wordWrap/>
        <w:overflowPunct/>
        <w:topLinePunct w:val="0"/>
        <w:autoSpaceDE/>
        <w:autoSpaceDN/>
        <w:bidi w:val="0"/>
        <w:adjustRightInd/>
        <w:snapToGrid/>
        <w:spacing w:line="420" w:lineRule="exact"/>
        <w:ind w:left="904" w:hanging="904" w:hangingChars="375"/>
        <w:textAlignment w:val="auto"/>
        <w:rPr>
          <w:rFonts w:hint="eastAsia" w:ascii="宋体" w:hAnsi="宋体" w:eastAsia="宋体" w:cs="宋体"/>
          <w:b/>
          <w:bCs/>
          <w:color w:val="auto"/>
          <w:sz w:val="24"/>
          <w:u w:val="single"/>
        </w:rPr>
      </w:pPr>
      <w:r>
        <w:rPr>
          <w:rFonts w:hint="eastAsia" w:ascii="宋体" w:hAnsi="宋体" w:eastAsia="宋体" w:cs="宋体"/>
          <w:b/>
          <w:bCs/>
          <w:color w:val="auto"/>
          <w:sz w:val="24"/>
          <w:u w:val="single"/>
        </w:rPr>
        <w:t>（4）有依法缴纳税收和社会保障资金的良好记录，提供2022年度连续三个月的社保证明原件或者加盖公章的复印件；</w:t>
      </w:r>
    </w:p>
    <w:p>
      <w:pPr>
        <w:keepNext w:val="0"/>
        <w:keepLines w:val="0"/>
        <w:pageBreakBefore w:val="0"/>
        <w:widowControl w:val="0"/>
        <w:kinsoku/>
        <w:wordWrap/>
        <w:overflowPunct/>
        <w:topLinePunct w:val="0"/>
        <w:autoSpaceDE/>
        <w:autoSpaceDN/>
        <w:bidi w:val="0"/>
        <w:adjustRightInd/>
        <w:snapToGrid/>
        <w:spacing w:line="420" w:lineRule="exact"/>
        <w:ind w:left="904" w:hanging="904" w:hangingChars="375"/>
        <w:textAlignment w:val="auto"/>
        <w:rPr>
          <w:rFonts w:hint="eastAsia" w:ascii="宋体" w:hAnsi="宋体" w:eastAsia="宋体" w:cs="宋体"/>
          <w:b/>
          <w:bCs/>
          <w:color w:val="auto"/>
          <w:sz w:val="24"/>
          <w:u w:val="single"/>
        </w:rPr>
      </w:pPr>
      <w:r>
        <w:rPr>
          <w:rFonts w:hint="eastAsia" w:ascii="宋体" w:hAnsi="宋体" w:eastAsia="宋体" w:cs="宋体"/>
          <w:b/>
          <w:bCs/>
          <w:color w:val="auto"/>
          <w:sz w:val="24"/>
          <w:u w:val="single"/>
        </w:rPr>
        <w:t>（5）投标单位（供应商）提供针对本次项目反商业贿赂承诺书；</w:t>
      </w:r>
    </w:p>
    <w:p>
      <w:pPr>
        <w:keepNext w:val="0"/>
        <w:keepLines w:val="0"/>
        <w:pageBreakBefore w:val="0"/>
        <w:widowControl w:val="0"/>
        <w:kinsoku/>
        <w:wordWrap/>
        <w:overflowPunct/>
        <w:topLinePunct w:val="0"/>
        <w:autoSpaceDE/>
        <w:autoSpaceDN/>
        <w:bidi w:val="0"/>
        <w:adjustRightInd/>
        <w:snapToGrid/>
        <w:spacing w:line="420" w:lineRule="exact"/>
        <w:ind w:left="904" w:hanging="904" w:hangingChars="375"/>
        <w:textAlignment w:val="auto"/>
        <w:rPr>
          <w:rFonts w:hint="eastAsia" w:ascii="宋体" w:hAnsi="宋体" w:eastAsia="宋体" w:cs="宋体"/>
          <w:b/>
          <w:bCs/>
          <w:color w:val="auto"/>
          <w:sz w:val="24"/>
          <w:u w:val="single"/>
        </w:rPr>
      </w:pPr>
      <w:r>
        <w:rPr>
          <w:rFonts w:hint="eastAsia" w:ascii="宋体" w:hAnsi="宋体" w:eastAsia="宋体" w:cs="宋体"/>
          <w:b/>
          <w:bCs/>
          <w:color w:val="auto"/>
          <w:sz w:val="24"/>
          <w:u w:val="single"/>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20" w:lineRule="exact"/>
        <w:ind w:left="904" w:hanging="904" w:hangingChars="375"/>
        <w:textAlignment w:val="auto"/>
        <w:rPr>
          <w:rFonts w:hint="eastAsia" w:ascii="宋体" w:hAnsi="宋体" w:eastAsia="宋体" w:cs="宋体"/>
          <w:color w:val="auto"/>
          <w:sz w:val="24"/>
          <w:szCs w:val="24"/>
        </w:rPr>
      </w:pPr>
      <w:r>
        <w:rPr>
          <w:rFonts w:hint="eastAsia" w:ascii="宋体" w:hAnsi="宋体" w:eastAsia="宋体" w:cs="宋体"/>
          <w:b/>
          <w:bCs/>
          <w:color w:val="auto"/>
          <w:sz w:val="24"/>
          <w:u w:val="single"/>
        </w:rPr>
        <w:t>（7）“信用中国”网站（http://www.creditchina.gov.cn/）和中国政府采购网（www.ccgp.gov.cn）、国家企业信用信息公示系统（http://www.gsxt.gov.cn）无违法违规行为的查询纪录；（采购代理机构将在开标前1个工作日至投标截止后1小时的期间内查询投标人的信用记录,投标人存在不良信用记录的或被列入失信被执行人、重大税收违法案件当事人名单的，其投标将被认定为投标无效）；</w:t>
      </w:r>
    </w:p>
    <w:p>
      <w:pPr>
        <w:pStyle w:val="5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上述资质开标证明文件能通过官网查询的，均视为合格供应商。</w:t>
      </w:r>
    </w:p>
    <w:p>
      <w:pPr>
        <w:pStyle w:val="5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在资格审查过程中，潜在投标企业提供的资质不全时，可打开投标文件正本进一步核实，符合条件的均视为合格供应商。</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rPr>
      </w:pPr>
      <w:r>
        <w:rPr>
          <w:rFonts w:hint="eastAsia" w:ascii="宋体" w:hAnsi="宋体" w:eastAsia="宋体" w:cs="宋体"/>
          <w:b/>
          <w:color w:val="auto"/>
          <w:sz w:val="24"/>
        </w:rPr>
        <w:t xml:space="preserve">  </w:t>
      </w:r>
      <w:r>
        <w:rPr>
          <w:rFonts w:hint="eastAsia" w:ascii="宋体" w:hAnsi="宋体" w:eastAsia="宋体" w:cs="宋体"/>
          <w:b/>
          <w:color w:val="auto"/>
          <w:sz w:val="28"/>
          <w:szCs w:val="28"/>
        </w:rPr>
        <w:t xml:space="preserve"> 二、磋商与评审</w:t>
      </w:r>
    </w:p>
    <w:p>
      <w:pPr>
        <w:spacing w:line="360" w:lineRule="exact"/>
        <w:ind w:left="477" w:leftChars="227"/>
        <w:jc w:val="lef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磋商</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1　本次磋商按磋商文件中规定的时间和地点进行磋商，允许投标人的法定代表人或其授权人参加磋商会。</w:t>
      </w:r>
    </w:p>
    <w:p>
      <w:pPr>
        <w:spacing w:line="3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2磋商依据</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2.1　 磋商的依据为磋商文件（包括招标方的竞争性磋商文件和投标方的投标文件）。</w:t>
      </w:r>
    </w:p>
    <w:p>
      <w:pPr>
        <w:spacing w:line="360" w:lineRule="exac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3、磋商小组</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　磋商小组</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3.1.1　招标方将根据《中华人民共和国政府采购法》、《政府采购非招标采购方式管理办法》(财政部令第74号)、《中华人民共和国政府采购法实施条例》及《政府采购竞争性磋商采购方式管理暂行办法》（财库[2014]214号）的规定，依法组建本次招标的磋商小组，负责本次招标的磋商谈判评定活动。</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3.1.2 　磋商小组人选于开标前确定。磋商小组成员名单在磋商前保密。</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3.1.3 　磋商小组由有关技术、经济等方面的专家和采购人熟悉相关业务的代表人员组成，成员为三人以上的单数，其中技术、经济等方面的成员人数不少于成员总数的三分之二。</w:t>
      </w:r>
      <w:r>
        <w:rPr>
          <w:rFonts w:hint="eastAsia" w:ascii="宋体" w:hAnsi="宋体" w:eastAsia="宋体" w:cs="宋体"/>
          <w:b/>
          <w:bCs/>
          <w:color w:val="auto"/>
        </w:rPr>
        <w:t>本项目磋商小组成员5人。</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3.1.4　按前款规定，磋商小组的成员，由招标方从政府采购专家库中采取随机抽取的方式确定。对于技术复杂、专业性要求较高或者国家有特殊要求的招标项目，采取随机抽取的方式抽取的专家不能满足磋商工作需要时，将采取直接确定的方式选定磋商小组的人选。</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3.1.5　磋商小组成员遵循法定的回避规定。</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3.1.6  磋商小组在采购活动过程中应当履行下列职责：</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（一）审查供应商的响应文件并作出评价；</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（二）要求供应商解释或者澄清其响应文件；</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（三）编写评审报告；</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（四）告知采购人、采购代理机构在评审过程中发现的供应商的违法违规行为。</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3.1.7 磋商小组成员应当履行下列义务：</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（一）遵纪守法，客观、公正、廉洁地履行职责；</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（二）根据磋商文件的规定独立进行评审，对个人的评审意见承担法律责任；</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（三）参与评审报告的起草；</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（四）配合采购人、采购代理机构答复供应商提出的质疑；</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（五）配合财政部门的投诉处理和监督检查工作。</w:t>
      </w:r>
    </w:p>
    <w:p>
      <w:pPr>
        <w:spacing w:line="3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4. 竞争性磋商的报价方式</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4.1.1　磋商文件能够详细列明采购标的的技术、服务要求的，磋商结束后，磋商小组应当要求所有实质性响应的供应商在规定时间内提交最后报价。</w:t>
      </w:r>
    </w:p>
    <w:p>
      <w:pPr>
        <w:pStyle w:val="3"/>
        <w:tabs>
          <w:tab w:val="clear" w:pos="567"/>
        </w:tabs>
        <w:spacing w:before="0" w:line="360" w:lineRule="exact"/>
        <w:ind w:firstLine="540" w:firstLineChars="225"/>
        <w:rPr>
          <w:rFonts w:hint="eastAsia" w:ascii="宋体" w:hAnsi="宋体" w:eastAsia="宋体" w:cs="宋体"/>
          <w:color w:val="auto"/>
          <w:lang w:eastAsia="zh-CN"/>
        </w:rPr>
      </w:pPr>
      <w:r>
        <w:rPr>
          <w:rFonts w:hint="eastAsia" w:ascii="宋体" w:hAnsi="宋体" w:eastAsia="宋体" w:cs="宋体"/>
          <w:color w:val="auto"/>
        </w:rPr>
        <w:t>4</w:t>
      </w:r>
      <w:r>
        <w:rPr>
          <w:rFonts w:hint="eastAsia" w:ascii="宋体" w:hAnsi="宋体" w:eastAsia="宋体" w:cs="宋体"/>
          <w:color w:val="auto"/>
          <w:lang w:val="zh-CN"/>
        </w:rPr>
        <w:t>.1.2</w:t>
      </w:r>
      <w:r>
        <w:rPr>
          <w:rFonts w:hint="eastAsia" w:ascii="宋体" w:hAnsi="宋体" w:eastAsia="宋体" w:cs="宋体"/>
          <w:color w:val="auto"/>
        </w:rPr>
        <w:t>根据《中华人民共和国政府采购法》、《中华人民共和国政府采购法实施条例》（国务院令第658号）等相关法规的规定，现对本项目最高限价作如下说明：本项目</w:t>
      </w:r>
      <w:r>
        <w:rPr>
          <w:rFonts w:hint="eastAsia" w:cs="宋体"/>
          <w:color w:val="auto"/>
          <w:lang w:val="en-US" w:eastAsia="zh-CN"/>
        </w:rPr>
        <w:t>为</w:t>
      </w:r>
      <w:r>
        <w:rPr>
          <w:rFonts w:hint="eastAsia" w:ascii="宋体" w:hAnsi="宋体" w:eastAsia="宋体" w:cs="宋体"/>
          <w:color w:val="auto"/>
        </w:rPr>
        <w:t>第一标段</w:t>
      </w:r>
      <w:r>
        <w:rPr>
          <w:rFonts w:hint="eastAsia" w:cs="宋体"/>
          <w:color w:val="auto"/>
          <w:lang w:eastAsia="zh-CN"/>
        </w:rPr>
        <w:t>，</w:t>
      </w:r>
      <w:r>
        <w:rPr>
          <w:rFonts w:hint="eastAsia" w:ascii="宋体" w:hAnsi="宋体" w:eastAsia="宋体" w:cs="宋体"/>
          <w:color w:val="auto"/>
        </w:rPr>
        <w:t>最高限价450000</w:t>
      </w:r>
      <w:r>
        <w:rPr>
          <w:rFonts w:hint="eastAsia" w:cs="宋体"/>
          <w:color w:val="auto"/>
          <w:lang w:eastAsia="zh-CN"/>
        </w:rPr>
        <w:t>。</w:t>
      </w:r>
    </w:p>
    <w:p>
      <w:pPr>
        <w:pStyle w:val="3"/>
        <w:tabs>
          <w:tab w:val="clear" w:pos="567"/>
        </w:tabs>
        <w:spacing w:before="0" w:line="360" w:lineRule="exact"/>
        <w:ind w:firstLine="540" w:firstLineChars="225"/>
        <w:rPr>
          <w:rFonts w:hint="eastAsia" w:ascii="宋体" w:hAnsi="宋体" w:eastAsia="宋体" w:cs="宋体"/>
          <w:color w:val="auto"/>
          <w:lang w:val="zh-CN"/>
        </w:rPr>
      </w:pPr>
      <w:r>
        <w:rPr>
          <w:rFonts w:hint="eastAsia" w:ascii="宋体" w:hAnsi="宋体" w:eastAsia="宋体" w:cs="宋体"/>
          <w:color w:val="auto"/>
        </w:rPr>
        <w:t>4</w:t>
      </w:r>
      <w:r>
        <w:rPr>
          <w:rFonts w:hint="eastAsia" w:ascii="宋体" w:hAnsi="宋体" w:eastAsia="宋体" w:cs="宋体"/>
          <w:color w:val="auto"/>
          <w:lang w:val="zh-CN"/>
        </w:rPr>
        <w:t>.1.3  采用两次报价的方式。</w:t>
      </w:r>
    </w:p>
    <w:p>
      <w:pPr>
        <w:pStyle w:val="3"/>
        <w:tabs>
          <w:tab w:val="clear" w:pos="567"/>
        </w:tabs>
        <w:spacing w:before="0" w:line="360" w:lineRule="exact"/>
        <w:ind w:firstLine="540" w:firstLineChars="225"/>
        <w:rPr>
          <w:rFonts w:hint="eastAsia" w:ascii="宋体" w:hAnsi="宋体" w:eastAsia="宋体" w:cs="宋体"/>
          <w:color w:val="auto"/>
          <w:lang w:val="zh-CN"/>
        </w:rPr>
      </w:pPr>
      <w:r>
        <w:rPr>
          <w:rFonts w:hint="eastAsia" w:ascii="宋体" w:hAnsi="宋体" w:eastAsia="宋体" w:cs="宋体"/>
          <w:color w:val="auto"/>
        </w:rPr>
        <w:t>4</w:t>
      </w:r>
      <w:r>
        <w:rPr>
          <w:rFonts w:hint="eastAsia" w:ascii="宋体" w:hAnsi="宋体" w:eastAsia="宋体" w:cs="宋体"/>
          <w:color w:val="auto"/>
          <w:lang w:val="zh-CN"/>
        </w:rPr>
        <w:t>.1.4  供应商在提交的投标文件中的报价以公开的方式，在开标现场当场公布。该报价只允许有一个报价，任何有选择性的报价将不予接受。</w:t>
      </w:r>
    </w:p>
    <w:p>
      <w:pPr>
        <w:pStyle w:val="3"/>
        <w:tabs>
          <w:tab w:val="clear" w:pos="567"/>
        </w:tabs>
        <w:spacing w:before="0" w:line="360" w:lineRule="exact"/>
        <w:ind w:firstLine="540" w:firstLineChars="225"/>
        <w:rPr>
          <w:rFonts w:hint="eastAsia" w:ascii="宋体" w:hAnsi="宋体" w:eastAsia="宋体" w:cs="宋体"/>
          <w:color w:val="auto"/>
          <w:lang w:val="zh-CN"/>
        </w:rPr>
      </w:pPr>
      <w:r>
        <w:rPr>
          <w:rFonts w:hint="eastAsia" w:ascii="宋体" w:hAnsi="宋体" w:eastAsia="宋体" w:cs="宋体"/>
          <w:color w:val="auto"/>
        </w:rPr>
        <w:t>4</w:t>
      </w:r>
      <w:r>
        <w:rPr>
          <w:rFonts w:hint="eastAsia" w:ascii="宋体" w:hAnsi="宋体" w:eastAsia="宋体" w:cs="宋体"/>
          <w:color w:val="auto"/>
          <w:lang w:val="zh-CN"/>
        </w:rPr>
        <w:t>.1.5  磋商结束后，投标方可根据</w:t>
      </w:r>
      <w:r>
        <w:rPr>
          <w:rFonts w:hint="eastAsia" w:cs="宋体"/>
          <w:color w:val="auto"/>
          <w:lang w:val="en-US" w:eastAsia="zh-CN"/>
        </w:rPr>
        <w:t>磋商</w:t>
      </w:r>
      <w:r>
        <w:rPr>
          <w:rFonts w:hint="eastAsia" w:ascii="宋体" w:hAnsi="宋体" w:eastAsia="宋体" w:cs="宋体"/>
          <w:color w:val="auto"/>
          <w:lang w:val="zh-CN"/>
        </w:rPr>
        <w:t>情况，进行第二次报价，该报价为谈判的最终报价。</w:t>
      </w:r>
    </w:p>
    <w:p>
      <w:pPr>
        <w:pStyle w:val="3"/>
        <w:tabs>
          <w:tab w:val="clear" w:pos="567"/>
        </w:tabs>
        <w:spacing w:before="0" w:line="360" w:lineRule="exact"/>
        <w:ind w:firstLine="540" w:firstLineChars="225"/>
        <w:rPr>
          <w:rFonts w:hint="eastAsia" w:ascii="宋体" w:hAnsi="宋体" w:eastAsia="宋体" w:cs="宋体"/>
          <w:color w:val="auto"/>
          <w:lang w:val="zh-CN"/>
        </w:rPr>
      </w:pPr>
      <w:r>
        <w:rPr>
          <w:rFonts w:hint="eastAsia" w:ascii="宋体" w:hAnsi="宋体" w:eastAsia="宋体" w:cs="宋体"/>
          <w:color w:val="auto"/>
        </w:rPr>
        <w:t>4</w:t>
      </w:r>
      <w:r>
        <w:rPr>
          <w:rFonts w:hint="eastAsia" w:ascii="宋体" w:hAnsi="宋体" w:eastAsia="宋体" w:cs="宋体"/>
          <w:color w:val="auto"/>
          <w:lang w:val="zh-CN"/>
        </w:rPr>
        <w:t>.1.6 投标方在进行二次报价时，报价应用大写书写，写明投标人名称，并由投标被授权人签章后，以现场或密封的形式送达磋商现场。</w:t>
      </w:r>
    </w:p>
    <w:p>
      <w:pPr>
        <w:pStyle w:val="3"/>
        <w:tabs>
          <w:tab w:val="clear" w:pos="567"/>
        </w:tabs>
        <w:spacing w:before="0" w:line="360" w:lineRule="exact"/>
        <w:ind w:firstLine="540" w:firstLineChars="225"/>
        <w:rPr>
          <w:rFonts w:hint="eastAsia" w:ascii="宋体" w:hAnsi="宋体" w:eastAsia="宋体" w:cs="宋体"/>
          <w:color w:val="auto"/>
          <w:lang w:val="zh-CN"/>
        </w:rPr>
      </w:pPr>
      <w:r>
        <w:rPr>
          <w:rFonts w:hint="eastAsia" w:ascii="宋体" w:hAnsi="宋体" w:eastAsia="宋体" w:cs="宋体"/>
          <w:color w:val="auto"/>
          <w:lang w:val="zh-CN"/>
        </w:rPr>
        <w:t>所有投标人的二次报价收集齐全后，招标方将在监标人员的现场监督下，现场统一唱出二次报价。</w:t>
      </w:r>
    </w:p>
    <w:p>
      <w:pPr>
        <w:pStyle w:val="3"/>
        <w:tabs>
          <w:tab w:val="clear" w:pos="567"/>
        </w:tabs>
        <w:spacing w:before="0" w:line="360" w:lineRule="exact"/>
        <w:ind w:firstLine="540" w:firstLineChars="225"/>
        <w:rPr>
          <w:rFonts w:hint="eastAsia" w:ascii="宋体" w:hAnsi="宋体" w:eastAsia="宋体" w:cs="宋体"/>
          <w:color w:val="auto"/>
          <w:lang w:val="zh-CN"/>
        </w:rPr>
      </w:pPr>
      <w:r>
        <w:rPr>
          <w:rFonts w:hint="eastAsia" w:ascii="宋体" w:hAnsi="宋体" w:eastAsia="宋体" w:cs="宋体"/>
          <w:color w:val="auto"/>
        </w:rPr>
        <w:t>4</w:t>
      </w:r>
      <w:r>
        <w:rPr>
          <w:rFonts w:hint="eastAsia" w:ascii="宋体" w:hAnsi="宋体" w:eastAsia="宋体" w:cs="宋体"/>
          <w:color w:val="auto"/>
          <w:lang w:val="zh-CN"/>
        </w:rPr>
        <w:t>.1.7 两次报价均应报出拟提供服务的单价和总价，二次报价可只报总价（以现场要求为准）。</w:t>
      </w:r>
    </w:p>
    <w:p>
      <w:pPr>
        <w:spacing w:line="3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5.</w:t>
      </w:r>
      <w:r>
        <w:rPr>
          <w:rFonts w:hint="eastAsia" w:ascii="宋体" w:hAnsi="宋体" w:eastAsia="宋体" w:cs="宋体"/>
          <w:color w:val="auto"/>
          <w:sz w:val="28"/>
          <w:szCs w:val="28"/>
        </w:rPr>
        <w:t xml:space="preserve"> </w:t>
      </w:r>
      <w:r>
        <w:rPr>
          <w:rFonts w:hint="eastAsia" w:ascii="宋体" w:hAnsi="宋体" w:eastAsia="宋体" w:cs="宋体"/>
          <w:b/>
          <w:color w:val="auto"/>
          <w:sz w:val="28"/>
          <w:szCs w:val="28"/>
        </w:rPr>
        <w:t>磋商和评审过程的保密性</w:t>
      </w:r>
    </w:p>
    <w:p>
      <w:pPr>
        <w:pStyle w:val="3"/>
        <w:tabs>
          <w:tab w:val="clear" w:pos="567"/>
        </w:tabs>
        <w:spacing w:before="0" w:line="360" w:lineRule="exact"/>
        <w:ind w:firstLine="540" w:firstLineChars="225"/>
        <w:rPr>
          <w:rFonts w:hint="eastAsia" w:ascii="宋体" w:hAnsi="宋体" w:eastAsia="宋体" w:cs="宋体"/>
          <w:color w:val="auto"/>
          <w:lang w:val="zh-CN"/>
        </w:rPr>
      </w:pPr>
      <w:r>
        <w:rPr>
          <w:rFonts w:hint="eastAsia" w:ascii="宋体" w:hAnsi="宋体" w:eastAsia="宋体" w:cs="宋体"/>
          <w:color w:val="auto"/>
        </w:rPr>
        <w:t>5</w:t>
      </w:r>
      <w:r>
        <w:rPr>
          <w:rFonts w:hint="eastAsia" w:ascii="宋体" w:hAnsi="宋体" w:eastAsia="宋体" w:cs="宋体"/>
          <w:color w:val="auto"/>
          <w:lang w:val="zh-CN"/>
        </w:rPr>
        <w:t>.1　所有与本次磋商采购有关的人员，均不得向供应商及与磋商项目无关的其他人员，透露与磋商有关的资料以及授予合同的意见等。</w:t>
      </w:r>
    </w:p>
    <w:p>
      <w:pPr>
        <w:pStyle w:val="3"/>
        <w:tabs>
          <w:tab w:val="clear" w:pos="567"/>
        </w:tabs>
        <w:spacing w:before="0" w:line="360" w:lineRule="exact"/>
        <w:ind w:firstLine="540" w:firstLineChars="225"/>
        <w:rPr>
          <w:rFonts w:hint="eastAsia" w:ascii="宋体" w:hAnsi="宋体" w:eastAsia="宋体" w:cs="宋体"/>
          <w:color w:val="auto"/>
          <w:sz w:val="28"/>
          <w:szCs w:val="28"/>
        </w:rPr>
      </w:pPr>
      <w:r>
        <w:rPr>
          <w:rFonts w:hint="eastAsia" w:ascii="宋体" w:hAnsi="宋体" w:eastAsia="宋体" w:cs="宋体"/>
          <w:color w:val="auto"/>
        </w:rPr>
        <w:t>5</w:t>
      </w:r>
      <w:r>
        <w:rPr>
          <w:rFonts w:hint="eastAsia" w:ascii="宋体" w:hAnsi="宋体" w:eastAsia="宋体" w:cs="宋体"/>
          <w:color w:val="auto"/>
          <w:lang w:val="zh-CN"/>
        </w:rPr>
        <w:t>.2　在磋商过程中，供应商试图在投标文件审查、澄清、比较及授予合同方面向采购人员施加影响的任何行为都可能导致其投标文件被拒绝。</w:t>
      </w:r>
    </w:p>
    <w:p>
      <w:pPr>
        <w:pStyle w:val="112"/>
        <w:spacing w:line="360" w:lineRule="exact"/>
        <w:ind w:firstLine="562"/>
        <w:rPr>
          <w:rFonts w:hint="eastAsia" w:ascii="宋体" w:hAnsi="宋体" w:eastAsia="宋体" w:cs="宋体"/>
          <w:b/>
          <w:bCs/>
          <w:color w:val="auto"/>
          <w:sz w:val="28"/>
          <w:szCs w:val="28"/>
        </w:rPr>
      </w:pPr>
      <w:r>
        <w:rPr>
          <w:rFonts w:hint="eastAsia" w:ascii="宋体" w:hAnsi="宋体" w:eastAsia="宋体" w:cs="宋体"/>
          <w:b/>
          <w:bCs/>
          <w:color w:val="auto"/>
          <w:sz w:val="28"/>
          <w:szCs w:val="28"/>
        </w:rPr>
        <w:t>6.  磋商程序、综合评分</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6.1　磋商程序：磋商小组所有成员应当集中与单一供应商分别进行磋商，并给予所有参加磋商的供应商平等的磋商机会。</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2）经磋商确定符合采购需求的供应商后，由磋商小组采用综合评分法对供应商的响应文件进行综合评分。综合评分法，是指响应文件满足磋商文件全部实质性要求且按评审因素的量化指标评审得分最高的供应商为成交候选供应商的评审方法。</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 xml:space="preserve"> (3) 磋商小组应当根据综合评分情况，按照评审得分由高到低顺序确定成交候选供应商，并编写评审报告。评审得分相同的，按照技术指标优劣顺序推荐。</w:t>
      </w:r>
    </w:p>
    <w:p>
      <w:pPr>
        <w:pStyle w:val="3"/>
        <w:tabs>
          <w:tab w:val="clear" w:pos="567"/>
        </w:tabs>
        <w:spacing w:before="0" w:line="360" w:lineRule="exact"/>
        <w:ind w:firstLine="540" w:firstLineChars="225"/>
        <w:rPr>
          <w:rFonts w:hint="eastAsia" w:ascii="宋体" w:hAnsi="宋体" w:eastAsia="宋体" w:cs="宋体"/>
          <w:color w:val="auto"/>
        </w:rPr>
      </w:pPr>
      <w:r>
        <w:rPr>
          <w:rFonts w:hint="eastAsia" w:ascii="宋体" w:hAnsi="宋体" w:eastAsia="宋体" w:cs="宋体"/>
          <w:color w:val="auto"/>
        </w:rPr>
        <w:t>6.2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pPr>
        <w:spacing w:line="400" w:lineRule="atLeast"/>
        <w:ind w:firstLine="482" w:firstLineChars="200"/>
        <w:rPr>
          <w:rFonts w:hint="eastAsia" w:ascii="宋体" w:hAnsi="宋体" w:eastAsia="宋体" w:cs="宋体"/>
          <w:b/>
          <w:color w:val="auto"/>
          <w:sz w:val="24"/>
        </w:rPr>
      </w:pPr>
    </w:p>
    <w:p>
      <w:pPr>
        <w:pStyle w:val="37"/>
        <w:ind w:firstLine="480"/>
        <w:rPr>
          <w:rFonts w:hint="eastAsia" w:ascii="宋体" w:hAnsi="宋体" w:eastAsia="宋体" w:cs="宋体"/>
          <w:color w:val="auto"/>
        </w:rPr>
      </w:pPr>
    </w:p>
    <w:p>
      <w:pPr>
        <w:pStyle w:val="3"/>
        <w:tabs>
          <w:tab w:val="clear" w:pos="567"/>
        </w:tabs>
        <w:spacing w:before="0" w:line="240" w:lineRule="atLeast"/>
        <w:ind w:firstLine="632" w:firstLineChars="22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三、定标</w:t>
      </w:r>
    </w:p>
    <w:p>
      <w:pPr>
        <w:spacing w:line="400" w:lineRule="atLeast"/>
        <w:ind w:firstLine="474" w:firstLineChars="200"/>
        <w:rPr>
          <w:rFonts w:hint="eastAsia" w:ascii="宋体" w:hAnsi="宋体" w:eastAsia="宋体" w:cs="宋体"/>
          <w:b/>
          <w:bCs/>
          <w:color w:val="auto"/>
          <w:spacing w:val="-2"/>
          <w:sz w:val="24"/>
        </w:rPr>
      </w:pPr>
      <w:r>
        <w:rPr>
          <w:rFonts w:hint="eastAsia" w:ascii="宋体" w:hAnsi="宋体" w:eastAsia="宋体" w:cs="宋体"/>
          <w:b/>
          <w:bCs/>
          <w:color w:val="auto"/>
          <w:spacing w:val="-2"/>
          <w:sz w:val="24"/>
        </w:rPr>
        <w:t>定标</w:t>
      </w:r>
    </w:p>
    <w:p>
      <w:pPr>
        <w:spacing w:line="400" w:lineRule="atLeast"/>
        <w:ind w:firstLine="482" w:firstLineChars="200"/>
        <w:rPr>
          <w:rFonts w:hint="eastAsia" w:ascii="宋体" w:hAnsi="宋体" w:eastAsia="宋体" w:cs="宋体"/>
          <w:b/>
          <w:color w:val="auto"/>
          <w:sz w:val="24"/>
        </w:rPr>
      </w:pPr>
      <w:r>
        <w:rPr>
          <w:rFonts w:hint="eastAsia" w:ascii="宋体" w:hAnsi="宋体" w:eastAsia="宋体" w:cs="宋体"/>
          <w:b/>
          <w:color w:val="auto"/>
          <w:sz w:val="24"/>
        </w:rPr>
        <w:t>1.定标标准</w:t>
      </w:r>
    </w:p>
    <w:p>
      <w:pPr>
        <w:spacing w:line="400" w:lineRule="atLeast"/>
        <w:ind w:firstLine="472" w:firstLineChars="200"/>
        <w:rPr>
          <w:rFonts w:hint="eastAsia" w:ascii="宋体" w:hAnsi="宋体" w:eastAsia="宋体" w:cs="宋体"/>
          <w:color w:val="auto"/>
          <w:spacing w:val="-2"/>
          <w:sz w:val="24"/>
        </w:rPr>
      </w:pPr>
      <w:r>
        <w:rPr>
          <w:rFonts w:hint="eastAsia" w:ascii="宋体" w:hAnsi="宋体" w:eastAsia="宋体" w:cs="宋体"/>
          <w:color w:val="auto"/>
          <w:spacing w:val="-2"/>
          <w:sz w:val="24"/>
        </w:rPr>
        <w:t>（一）原则：本项目根据磋商小组推荐的中标候选人名单，按顺序确定中标人。</w:t>
      </w:r>
    </w:p>
    <w:p>
      <w:pPr>
        <w:spacing w:line="400" w:lineRule="atLeast"/>
        <w:ind w:firstLine="482" w:firstLineChars="200"/>
        <w:rPr>
          <w:rFonts w:hint="eastAsia" w:ascii="宋体" w:hAnsi="宋体" w:eastAsia="宋体" w:cs="宋体"/>
          <w:b/>
          <w:color w:val="auto"/>
          <w:sz w:val="24"/>
        </w:rPr>
      </w:pPr>
      <w:bookmarkStart w:id="630" w:name="_Toc217446062"/>
      <w:r>
        <w:rPr>
          <w:rFonts w:hint="eastAsia" w:ascii="宋体" w:hAnsi="宋体" w:eastAsia="宋体" w:cs="宋体"/>
          <w:b/>
          <w:color w:val="auto"/>
          <w:sz w:val="24"/>
        </w:rPr>
        <w:t>（二）程序</w:t>
      </w:r>
      <w:bookmarkEnd w:id="630"/>
    </w:p>
    <w:p>
      <w:pPr>
        <w:spacing w:line="400" w:lineRule="atLeast"/>
        <w:ind w:firstLine="472" w:firstLineChars="200"/>
        <w:rPr>
          <w:rFonts w:hint="eastAsia" w:ascii="宋体" w:hAnsi="宋体" w:eastAsia="宋体" w:cs="宋体"/>
          <w:color w:val="auto"/>
          <w:spacing w:val="-2"/>
          <w:sz w:val="24"/>
        </w:rPr>
      </w:pPr>
      <w:r>
        <w:rPr>
          <w:rFonts w:hint="eastAsia" w:ascii="宋体" w:hAnsi="宋体" w:eastAsia="宋体" w:cs="宋体"/>
          <w:color w:val="auto"/>
          <w:spacing w:val="-2"/>
          <w:sz w:val="24"/>
        </w:rPr>
        <w:t>1、采购代理机构在评审结束后2个工作日内将评审报告送采购人。</w:t>
      </w:r>
    </w:p>
    <w:p>
      <w:pPr>
        <w:spacing w:line="400" w:lineRule="atLeast"/>
        <w:ind w:firstLine="472" w:firstLineChars="200"/>
        <w:rPr>
          <w:rFonts w:hint="eastAsia" w:ascii="宋体" w:hAnsi="宋体" w:eastAsia="宋体" w:cs="宋体"/>
          <w:color w:val="auto"/>
          <w:spacing w:val="-2"/>
          <w:sz w:val="24"/>
        </w:rPr>
      </w:pPr>
      <w:r>
        <w:rPr>
          <w:rFonts w:hint="eastAsia" w:ascii="宋体" w:hAnsi="宋体" w:eastAsia="宋体" w:cs="宋体"/>
          <w:color w:val="auto"/>
          <w:spacing w:val="-2"/>
          <w:sz w:val="24"/>
        </w:rPr>
        <w:t>2、采购人在收到评审报告后5个工作日内，按照评审报告中推荐的中标候选人顺序确定中标人。注意，采购人按照推荐的中标候选人顺序确定中标人，不能认为采购人只能确定第一中标候选人为中标人，采购人有正当理由的，可以确定后一顺序中标候选人为中标人，依次类推。根据采购人确定的中标人，并自采购人确定中标之日起3个工作日内向中标人发出中标通知书。中标人自收到中标通知书之日起5日内应与采购人签订合同书。</w:t>
      </w:r>
    </w:p>
    <w:p>
      <w:pPr>
        <w:spacing w:line="400" w:lineRule="atLeas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3、采购单位不退回投标人响应文件和其他资料。</w:t>
      </w:r>
    </w:p>
    <w:p>
      <w:pPr>
        <w:pStyle w:val="2"/>
        <w:rPr>
          <w:rFonts w:hint="eastAsia" w:ascii="宋体" w:hAnsi="宋体" w:eastAsia="宋体" w:cs="宋体"/>
          <w:color w:val="auto"/>
        </w:rPr>
      </w:pPr>
    </w:p>
    <w:p>
      <w:pPr>
        <w:pStyle w:val="3"/>
        <w:tabs>
          <w:tab w:val="clear" w:pos="567"/>
        </w:tabs>
        <w:spacing w:before="0" w:line="240" w:lineRule="atLeast"/>
        <w:ind w:firstLine="632" w:firstLineChars="22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四、落实政府采购政策</w:t>
      </w:r>
    </w:p>
    <w:p>
      <w:pPr>
        <w:rPr>
          <w:rFonts w:hint="eastAsia" w:ascii="宋体" w:hAnsi="宋体" w:eastAsia="宋体" w:cs="宋体"/>
          <w:color w:val="auto"/>
        </w:rPr>
      </w:pPr>
    </w:p>
    <w:p>
      <w:pPr>
        <w:ind w:firstLine="422" w:firstLineChars="200"/>
        <w:rPr>
          <w:rFonts w:hint="eastAsia" w:ascii="宋体" w:hAnsi="宋体" w:eastAsia="宋体" w:cs="宋体"/>
          <w:b/>
          <w:bCs/>
          <w:color w:val="auto"/>
        </w:rPr>
      </w:pPr>
      <w:r>
        <w:rPr>
          <w:rFonts w:hint="eastAsia" w:ascii="宋体" w:hAnsi="宋体" w:eastAsia="宋体" w:cs="宋体"/>
          <w:b/>
          <w:bCs/>
          <w:color w:val="auto"/>
        </w:rPr>
        <w:t>本项目为专门面向中小微企业项目，投标供应商需提供“中小企业声明函”，如未提供或提供虚假的“中小企业声明函”，投标企业将承担因此造成的一切不利后果。</w:t>
      </w:r>
    </w:p>
    <w:p>
      <w:pPr>
        <w:pStyle w:val="3"/>
        <w:tabs>
          <w:tab w:val="clear" w:pos="567"/>
        </w:tabs>
        <w:spacing w:before="0" w:line="360" w:lineRule="atLeast"/>
        <w:ind w:firstLine="540" w:firstLineChars="225"/>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w:t>
      </w:r>
      <w:r>
        <w:rPr>
          <w:rFonts w:hint="eastAsia" w:ascii="宋体" w:hAnsi="宋体" w:eastAsia="宋体" w:cs="宋体"/>
          <w:color w:val="auto"/>
          <w:sz w:val="24"/>
          <w:szCs w:val="24"/>
        </w:rPr>
        <w:t>《关于进一步加大政府采购支持中小企业力度的通知》（财库〔2022〕19号）、</w:t>
      </w:r>
      <w:r>
        <w:rPr>
          <w:rFonts w:hint="eastAsia" w:ascii="宋体" w:hAnsi="宋体" w:eastAsia="宋体" w:cs="宋体"/>
          <w:color w:val="auto"/>
        </w:rPr>
        <w:t>《财政部 司法部关于政府采购支持监狱企业发展有关问题的通知》（财库〔2014〕68号）和《三部门联合发布关于促进残疾人就业政府采购政策的通知》（</w:t>
      </w:r>
      <w:r>
        <w:rPr>
          <w:rFonts w:hint="eastAsia" w:ascii="宋体" w:hAnsi="宋体" w:eastAsia="宋体" w:cs="宋体"/>
          <w:bCs/>
          <w:color w:val="auto"/>
        </w:rPr>
        <w:t>财库〔2017〕141号</w:t>
      </w:r>
      <w:r>
        <w:rPr>
          <w:rFonts w:hint="eastAsia" w:ascii="宋体" w:hAnsi="宋体" w:eastAsia="宋体" w:cs="宋体"/>
          <w:color w:val="auto"/>
        </w:rPr>
        <w:t>）的规定，对满足价格扣除条件且在响应文件中提交了《投标人企业类型声明函》或省级以上监狱管理局、戒毒管理局（含新疆生产建设兵团）出具的属于监狱企业的证明文件的投标人，其</w:t>
      </w:r>
      <w:r>
        <w:rPr>
          <w:rFonts w:hint="eastAsia" w:ascii="宋体" w:hAnsi="宋体" w:eastAsia="宋体" w:cs="宋体"/>
          <w:color w:val="auto"/>
          <w:lang w:val="en-US" w:eastAsia="zh-CN"/>
        </w:rPr>
        <w:t>磋商</w:t>
      </w:r>
      <w:r>
        <w:rPr>
          <w:rFonts w:hint="eastAsia" w:ascii="宋体" w:hAnsi="宋体" w:eastAsia="宋体" w:cs="宋体"/>
          <w:color w:val="auto"/>
        </w:rPr>
        <w:t>报价扣除10%后参与评审。对于同时属于小微企业、监狱企业不重复进行投标报价扣除。</w:t>
      </w:r>
    </w:p>
    <w:p>
      <w:pPr>
        <w:pStyle w:val="3"/>
        <w:tabs>
          <w:tab w:val="clear" w:pos="567"/>
        </w:tabs>
        <w:spacing w:before="0" w:line="360" w:lineRule="atLeast"/>
        <w:ind w:firstLine="540" w:firstLineChars="225"/>
        <w:rPr>
          <w:rFonts w:hint="eastAsia" w:ascii="宋体" w:hAnsi="宋体" w:eastAsia="宋体" w:cs="宋体"/>
          <w:color w:val="auto"/>
        </w:rPr>
      </w:pPr>
      <w:r>
        <w:rPr>
          <w:rFonts w:hint="eastAsia" w:ascii="宋体" w:hAnsi="宋体" w:eastAsia="宋体" w:cs="宋体"/>
          <w:color w:val="auto"/>
        </w:rPr>
        <w:t>2.投标人所投产品如被列入财政部与国家主管部门颁发的节能产品目录或环境标志产品目录或无线局域网产品目录，应提供相关证明，在评标时予以优先采购，具体优惠措施为：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2"/>
        <w:rPr>
          <w:rFonts w:hint="eastAsia" w:ascii="宋体" w:hAnsi="宋体" w:eastAsia="宋体" w:cs="宋体"/>
          <w:color w:val="auto"/>
          <w:lang w:val="en-US" w:eastAsia="zh-CN"/>
        </w:rPr>
      </w:pPr>
      <w:r>
        <w:rPr>
          <w:rFonts w:hint="eastAsia" w:ascii="宋体" w:hAnsi="宋体" w:eastAsia="宋体" w:cs="宋体"/>
          <w:color w:val="auto"/>
        </w:rPr>
        <w:t>如采购人所采购产品为政府强制采购的节能产品，供应商所投产品的品牌及型号必须为清单中有效期内产品并提供证明文件，否则其投标将被认定为投标无效。</w:t>
      </w:r>
      <w:r>
        <w:rPr>
          <w:rFonts w:hint="eastAsia" w:ascii="宋体" w:hAnsi="宋体" w:eastAsia="宋体" w:cs="宋体"/>
          <w:b/>
          <w:bCs w:val="0"/>
          <w:color w:val="auto"/>
          <w:lang w:val="en-US" w:eastAsia="zh-CN"/>
        </w:rPr>
        <w:t>本项目不适用。</w:t>
      </w:r>
    </w:p>
    <w:p>
      <w:pPr>
        <w:pStyle w:val="3"/>
        <w:tabs>
          <w:tab w:val="clear" w:pos="567"/>
        </w:tabs>
        <w:spacing w:before="0" w:line="240" w:lineRule="atLeast"/>
        <w:ind w:firstLine="632" w:firstLineChars="22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五、纪律和监督</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1．对采购人的纪律要求</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采购人不得泄漏招标投标活动中应当保密的情况和资料，不得与供应商串通损害国家利益、社会公共利益或者他人合法权益。</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下列行为视为采购人与供应商串通投标：</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(1）采购人在开标前开启响应文件，并将投标情况告知其它供应商，或者协助供应商撤换响应文件，更改报价；</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(2）采购人向供应商泄露标底；</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(3）采购人与供应商商定，投标时压低或抬高标价，中标后再给供应商或采购人额外补偿；</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(4）采购人预先内定中标供应商；</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(5）其它串通投标行为。</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2.对供应商的纪律要求</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供应商不得相互串通投标或者与采购人串通投标，不得向采购人或者评审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下列情况视为投标人之间串通投标，其投标无效：</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（1）不同供应商响应文件由同一单位或个人编制；</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（2）不同供应商委托同一单位或个人办理投标事宜的；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（3）不同供应商的响应文件载明的联系人员为同一个人的；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（4）不同供应商的响应文件异常一致或报价呈规律性差异；</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（5）不同供应商的响应文件相互混装的；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（6）不同供应商磋商保证金从同一单位或个人的帐户转出；</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3.对评审小组成员的纪律要求</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评审小组成员不得收受他人的财物或者其他好处，不得向他人透漏对响应文件的评审和比较、中标候选人的推荐情况以及评标有关的其他情况。在评标活动中，评审小组成员不得擅离职守，影响评标程序正常进行，不得使用“评标办法”没有规定的评审因素和标准进行评标。</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4.对参与评标活动有关的工作人员的纪律要求</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pStyle w:val="3"/>
        <w:tabs>
          <w:tab w:val="clear" w:pos="567"/>
        </w:tabs>
        <w:spacing w:before="0" w:line="240" w:lineRule="atLeast"/>
        <w:ind w:firstLine="632" w:firstLineChars="22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六、响应无效及废标条款</w:t>
      </w:r>
    </w:p>
    <w:p>
      <w:pPr>
        <w:spacing w:line="400" w:lineRule="exact"/>
        <w:jc w:val="left"/>
        <w:rPr>
          <w:rFonts w:hint="eastAsia" w:ascii="宋体" w:hAnsi="宋体" w:eastAsia="宋体" w:cs="宋体"/>
          <w:b/>
          <w:bCs/>
          <w:color w:val="auto"/>
          <w:spacing w:val="-2"/>
          <w:sz w:val="24"/>
        </w:rPr>
      </w:pPr>
      <w:r>
        <w:rPr>
          <w:rFonts w:hint="eastAsia" w:ascii="宋体" w:hAnsi="宋体" w:eastAsia="宋体" w:cs="宋体"/>
          <w:b/>
          <w:bCs/>
          <w:color w:val="auto"/>
          <w:spacing w:val="-2"/>
          <w:sz w:val="24"/>
        </w:rPr>
        <w:t>响应无效的界定：招标采购中，出现下列情形之一的，响应无效：</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1.未按招标文件规定的形式和金额提交保证金的；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2.未按照招标文件规定要求签署、盖章的；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3.不具备招标文件中规定的资格要求的。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4.报价超过招标文件中规定的预算金额或者最高限价的；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5.响应文件含有采购人不能接受的附加条件的；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6.法律、法规和招标文件规定的其他无效情形</w:t>
      </w:r>
    </w:p>
    <w:p>
      <w:pPr>
        <w:pStyle w:val="37"/>
        <w:spacing w:line="400" w:lineRule="exact"/>
        <w:ind w:firstLine="474"/>
        <w:rPr>
          <w:rFonts w:hint="eastAsia" w:ascii="宋体" w:hAnsi="宋体" w:eastAsia="宋体" w:cs="宋体"/>
          <w:b/>
          <w:bCs/>
          <w:color w:val="auto"/>
          <w:spacing w:val="-2"/>
        </w:rPr>
      </w:pPr>
      <w:r>
        <w:rPr>
          <w:rFonts w:hint="eastAsia" w:ascii="宋体" w:hAnsi="宋体" w:eastAsia="宋体" w:cs="宋体"/>
          <w:b/>
          <w:bCs/>
          <w:color w:val="auto"/>
          <w:spacing w:val="-2"/>
        </w:rPr>
        <w:t xml:space="preserve">出现下列情形之一，将导致项目废标： </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1.符合专业条件的供应商或者对招标文件做实质性响应的供应商不足三家；</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2.出现影响采购公正的违法、违规行为的；</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3.投标人的报价均超过了采购预算，采购人不能支付的；</w:t>
      </w:r>
    </w:p>
    <w:p>
      <w:pPr>
        <w:spacing w:line="400" w:lineRule="exact"/>
        <w:ind w:firstLine="472" w:firstLineChars="200"/>
        <w:jc w:val="left"/>
        <w:rPr>
          <w:rFonts w:hint="eastAsia" w:ascii="宋体" w:hAnsi="宋体" w:eastAsia="宋体" w:cs="宋体"/>
          <w:color w:val="auto"/>
        </w:rPr>
      </w:pPr>
      <w:r>
        <w:rPr>
          <w:rFonts w:hint="eastAsia" w:ascii="宋体" w:hAnsi="宋体" w:eastAsia="宋体" w:cs="宋体"/>
          <w:color w:val="auto"/>
          <w:spacing w:val="-2"/>
          <w:sz w:val="24"/>
        </w:rPr>
        <w:t>4.因重大变故，采购任务取消的。</w:t>
      </w:r>
    </w:p>
    <w:p>
      <w:pPr>
        <w:spacing w:line="360" w:lineRule="exact"/>
        <w:jc w:val="left"/>
        <w:rPr>
          <w:rFonts w:hint="eastAsia" w:ascii="宋体" w:hAnsi="宋体" w:eastAsia="宋体" w:cs="宋体"/>
          <w:color w:val="auto"/>
          <w:spacing w:val="-2"/>
          <w:sz w:val="24"/>
        </w:rPr>
      </w:pPr>
      <w:r>
        <w:rPr>
          <w:rFonts w:hint="eastAsia" w:ascii="宋体" w:hAnsi="宋体" w:eastAsia="宋体" w:cs="宋体"/>
          <w:b/>
          <w:bCs/>
          <w:color w:val="auto"/>
          <w:spacing w:val="-2"/>
          <w:sz w:val="24"/>
        </w:rPr>
        <w:t xml:space="preserve"> </w:t>
      </w:r>
    </w:p>
    <w:p>
      <w:pPr>
        <w:pStyle w:val="3"/>
        <w:tabs>
          <w:tab w:val="clear" w:pos="567"/>
        </w:tabs>
        <w:spacing w:before="0" w:line="240" w:lineRule="atLeast"/>
        <w:ind w:firstLine="632" w:firstLineChars="22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七、成交候选人并列式时的处理方式</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评标结果按评审后得分由高到低顺序排列。得分相同的，按投标报价由低到高顺序排列。得分且投标报价相同的并列。响应文件满足招标文件全部实质性要求，且按照评审因素的量化指标评审得分最高的供应商为排名第一的成交候选人。</w:t>
      </w:r>
    </w:p>
    <w:p>
      <w:pPr>
        <w:spacing w:line="400" w:lineRule="exact"/>
        <w:jc w:val="left"/>
        <w:rPr>
          <w:rFonts w:hint="eastAsia" w:ascii="宋体" w:hAnsi="宋体" w:eastAsia="宋体" w:cs="宋体"/>
          <w:color w:val="auto"/>
          <w:spacing w:val="-2"/>
          <w:sz w:val="24"/>
        </w:rPr>
      </w:pPr>
      <w:r>
        <w:rPr>
          <w:rFonts w:hint="eastAsia" w:ascii="宋体" w:hAnsi="宋体" w:eastAsia="宋体" w:cs="宋体"/>
          <w:color w:val="auto"/>
          <w:spacing w:val="-2"/>
          <w:sz w:val="24"/>
        </w:rPr>
        <w:t xml:space="preserve"> </w:t>
      </w:r>
      <w:r>
        <w:rPr>
          <w:rFonts w:hint="eastAsia" w:ascii="宋体" w:hAnsi="宋体" w:eastAsia="宋体" w:cs="宋体"/>
          <w:b/>
          <w:bCs/>
          <w:color w:val="auto"/>
          <w:spacing w:val="-2"/>
          <w:sz w:val="24"/>
        </w:rPr>
        <w:t>详细的评标标准：（具体内容详见综合评分表）</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（1）价格分占10%，完全满足招标文件参数的投标报价中的最低价为评标基准价，按照下列公式计算每个供应商的投标价格得分。投标报价得分=(评标基准价／投标报价)×价格权值。（详见综合评分表）</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计算分数时四舍五入取小数点后两位,分数最高不超过10分。由监标人员负责核准每个合格供应商的价格得分。</w:t>
      </w:r>
    </w:p>
    <w:p>
      <w:pPr>
        <w:spacing w:line="400" w:lineRule="exact"/>
        <w:ind w:firstLine="472" w:firstLineChars="200"/>
        <w:jc w:val="left"/>
        <w:rPr>
          <w:rFonts w:hint="eastAsia" w:ascii="宋体" w:hAnsi="宋体" w:eastAsia="宋体" w:cs="宋体"/>
          <w:color w:val="auto"/>
          <w:spacing w:val="-2"/>
          <w:sz w:val="24"/>
        </w:rPr>
      </w:pPr>
      <w:r>
        <w:rPr>
          <w:rFonts w:hint="eastAsia" w:ascii="宋体" w:hAnsi="宋体" w:eastAsia="宋体" w:cs="宋体"/>
          <w:color w:val="auto"/>
          <w:spacing w:val="-2"/>
          <w:sz w:val="24"/>
        </w:rPr>
        <w:t>（2）技术商务占90%（详见综合评分表）</w:t>
      </w:r>
    </w:p>
    <w:p>
      <w:pPr>
        <w:rPr>
          <w:rFonts w:hint="eastAsia" w:ascii="宋体" w:hAnsi="宋体" w:eastAsia="宋体" w:cs="宋体"/>
          <w:color w:val="auto"/>
          <w:spacing w:val="-2"/>
          <w:sz w:val="24"/>
        </w:rPr>
      </w:pPr>
      <w:r>
        <w:rPr>
          <w:rFonts w:hint="eastAsia" w:ascii="宋体" w:hAnsi="宋体" w:eastAsia="宋体" w:cs="宋体"/>
          <w:color w:val="auto"/>
          <w:spacing w:val="-2"/>
          <w:sz w:val="24"/>
        </w:rPr>
        <w:t>注：若为中小企业，其投标报价扣除 10%后参与评审，提供相关证明资料（须在磋商报价表后附证明材料），否则不予扣除。</w:t>
      </w:r>
    </w:p>
    <w:p>
      <w:pPr>
        <w:pStyle w:val="2"/>
        <w:rPr>
          <w:rFonts w:hint="eastAsia" w:ascii="宋体" w:hAnsi="宋体" w:eastAsia="宋体" w:cs="宋体"/>
          <w:color w:val="auto"/>
          <w:spacing w:val="-2"/>
        </w:rPr>
      </w:pPr>
    </w:p>
    <w:p>
      <w:pPr>
        <w:pStyle w:val="3"/>
        <w:rPr>
          <w:rFonts w:hint="eastAsia" w:ascii="宋体" w:hAnsi="宋体" w:eastAsia="宋体" w:cs="宋体"/>
          <w:color w:val="auto"/>
          <w:spacing w:val="-2"/>
        </w:rPr>
      </w:pPr>
    </w:p>
    <w:p>
      <w:pPr>
        <w:rPr>
          <w:rFonts w:hint="eastAsia" w:ascii="宋体" w:hAnsi="宋体" w:eastAsia="宋体" w:cs="宋体"/>
          <w:color w:val="auto"/>
          <w:spacing w:val="-2"/>
          <w:sz w:val="24"/>
        </w:rPr>
      </w:pPr>
    </w:p>
    <w:p>
      <w:pPr>
        <w:pStyle w:val="2"/>
        <w:rPr>
          <w:rFonts w:hint="eastAsia" w:ascii="宋体" w:hAnsi="宋体" w:eastAsia="宋体" w:cs="宋体"/>
          <w:color w:val="auto"/>
        </w:rPr>
      </w:pPr>
    </w:p>
    <w:p>
      <w:pPr>
        <w:pStyle w:val="5"/>
        <w:numPr>
          <w:ilvl w:val="0"/>
          <w:numId w:val="10"/>
        </w:numPr>
        <w:jc w:val="both"/>
        <w:rPr>
          <w:rFonts w:hint="eastAsia" w:ascii="宋体" w:hAnsi="宋体" w:eastAsia="宋体" w:cs="宋体"/>
          <w:color w:val="auto"/>
        </w:rPr>
      </w:pPr>
      <w:bookmarkStart w:id="631" w:name="_Toc108877133"/>
      <w:r>
        <w:rPr>
          <w:rFonts w:hint="eastAsia" w:ascii="宋体" w:hAnsi="宋体" w:eastAsia="宋体" w:cs="宋体"/>
          <w:color w:val="auto"/>
        </w:rPr>
        <w:t>资格审查</w:t>
      </w:r>
      <w:bookmarkEnd w:id="625"/>
      <w:bookmarkEnd w:id="626"/>
      <w:bookmarkEnd w:id="627"/>
      <w:bookmarkEnd w:id="631"/>
    </w:p>
    <w:tbl>
      <w:tblPr>
        <w:tblStyle w:val="38"/>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r>
              <w:rPr>
                <w:rFonts w:hint="eastAsia" w:ascii="宋体" w:hAnsi="宋体" w:eastAsia="宋体" w:cs="宋体"/>
                <w:color w:val="auto"/>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lang w:eastAsia="zh-CN"/>
              </w:rPr>
            </w:pPr>
            <w:r>
              <w:rPr>
                <w:rFonts w:hint="eastAsia" w:ascii="宋体" w:hAnsi="宋体" w:eastAsia="宋体" w:cs="宋体"/>
                <w:color w:val="auto"/>
              </w:rPr>
              <w:t>投标文件审查及响应性</w:t>
            </w:r>
          </w:p>
          <w:p>
            <w:pPr>
              <w:jc w:val="left"/>
              <w:rPr>
                <w:rFonts w:hint="eastAsia" w:ascii="宋体" w:hAnsi="宋体" w:eastAsia="宋体" w:cs="宋体"/>
                <w:color w:val="auto"/>
              </w:rPr>
            </w:pPr>
            <w:r>
              <w:rPr>
                <w:rFonts w:hint="eastAsia" w:ascii="宋体" w:hAnsi="宋体" w:eastAsia="宋体" w:cs="宋体"/>
                <w:color w:val="auto"/>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投标人1</w:t>
            </w: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投标人2</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r>
              <w:rPr>
                <w:rFonts w:hint="eastAsia" w:ascii="宋体" w:hAnsi="宋体" w:eastAsia="宋体" w:cs="宋体"/>
                <w:color w:val="auto"/>
              </w:rPr>
              <w:t>投标人3</w:t>
            </w: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pPr>
              <w:jc w:val="left"/>
              <w:rPr>
                <w:rFonts w:hint="eastAsia" w:ascii="宋体" w:hAnsi="宋体" w:eastAsia="宋体" w:cs="宋体"/>
                <w:color w:val="auto"/>
              </w:rPr>
            </w:pPr>
          </w:p>
        </w:tc>
        <w:tc>
          <w:tcPr>
            <w:tcW w:w="6225" w:type="dxa"/>
            <w:vMerge w:val="continue"/>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是否合格</w:t>
            </w: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r>
              <w:rPr>
                <w:rFonts w:hint="eastAsia" w:ascii="宋体" w:hAnsi="宋体" w:eastAsia="宋体" w:cs="宋体"/>
                <w:color w:val="auto"/>
              </w:rPr>
              <w:t>是否合格</w:t>
            </w:r>
          </w:p>
        </w:tc>
      </w:tr>
      <w:tr>
        <w:tblPrEx>
          <w:tblCellMar>
            <w:top w:w="0" w:type="dxa"/>
            <w:left w:w="15" w:type="dxa"/>
            <w:bottom w:w="0" w:type="dxa"/>
            <w:right w:w="15" w:type="dxa"/>
          </w:tblCellMar>
        </w:tblPrEx>
        <w:trPr>
          <w:trHeight w:val="941"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rPr>
            </w:pPr>
            <w:r>
              <w:rPr>
                <w:rFonts w:hint="eastAsia" w:ascii="宋体" w:hAnsi="宋体" w:eastAsia="宋体" w:cs="宋体"/>
                <w:color w:val="auto"/>
              </w:rPr>
              <w:t>1</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合格有效的企业法人营业执照（三证合一）副本（原件、复印件、影印件均可）或电子营业执照打印件或同等法律效力的证明文件（发证机关或公证机关出具的证明材料）</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84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法定代表人身份证明及身份证或法定代表人授权委托书和委托代理人身份证;</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817"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rPr>
            </w:pPr>
            <w:r>
              <w:rPr>
                <w:rFonts w:hint="eastAsia" w:ascii="宋体" w:hAnsi="宋体" w:eastAsia="宋体" w:cs="宋体"/>
                <w:color w:val="auto"/>
              </w:rPr>
              <w:t>3</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上一年度（2021年）度财务审计报告（新成立公司提供有效银行资信证明）;</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88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rPr>
            </w:pPr>
            <w:r>
              <w:rPr>
                <w:rFonts w:hint="eastAsia" w:ascii="宋体" w:hAnsi="宋体" w:eastAsia="宋体" w:cs="宋体"/>
                <w:color w:val="auto"/>
              </w:rPr>
              <w:t>4</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投标人提供依法缴纳的</w:t>
            </w:r>
            <w:r>
              <w:rPr>
                <w:rFonts w:hint="eastAsia" w:ascii="宋体" w:hAnsi="宋体" w:cs="宋体"/>
                <w:color w:val="auto"/>
                <w:lang w:val="en-US" w:eastAsia="zh-CN"/>
              </w:rPr>
              <w:t>连续</w:t>
            </w:r>
            <w:r>
              <w:rPr>
                <w:rFonts w:hint="eastAsia" w:ascii="宋体" w:hAnsi="宋体" w:eastAsia="宋体" w:cs="宋体"/>
                <w:color w:val="auto"/>
              </w:rPr>
              <w:t>三个月社保缴纳记录及税收良好记录证明（完税证明或税务部门出具的其他证明，非社会保险类）;</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有依法缴纳税收（提供2022年税务机关出具近三个月的完税证明或缴税资料（2022年3月份后成立的公司按实际发生提供）和社会保障资金的良好记录；</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746"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投标人提供针对本次项目《反商业贿赂承诺书》;</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1129"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7</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宋体" w:hAnsi="宋体" w:eastAsia="宋体" w:cs="宋体"/>
                <w:color w:val="auto"/>
              </w:rPr>
            </w:pPr>
            <w:r>
              <w:rPr>
                <w:rFonts w:hint="eastAsia" w:ascii="宋体" w:hAnsi="宋体" w:eastAsia="宋体" w:cs="宋体"/>
                <w:color w:val="auto"/>
              </w:rPr>
              <w:t>供应商在“信用中国”（www.creditchina.gov.cn）和中国政府采购网（www.ccgp.gov.cn）网站上未列入失信被执行人、重大税收违法案件当事人名单、政府采购严重违法失信行为记录名单（财库[2016]125号）</w:t>
            </w:r>
          </w:p>
        </w:tc>
        <w:tc>
          <w:tcPr>
            <w:tcW w:w="1296"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jc w:val="left"/>
              <w:rPr>
                <w:rFonts w:hint="eastAsia" w:ascii="宋体" w:hAnsi="宋体" w:eastAsia="宋体" w:cs="宋体"/>
                <w:color w:val="auto"/>
              </w:rPr>
            </w:pPr>
            <w:r>
              <w:rPr>
                <w:rFonts w:hint="eastAsia" w:ascii="宋体" w:hAnsi="宋体" w:eastAsia="宋体" w:cs="宋体"/>
                <w:color w:val="auto"/>
              </w:rPr>
              <w:t>评审结果</w:t>
            </w:r>
          </w:p>
        </w:tc>
        <w:tc>
          <w:tcPr>
            <w:tcW w:w="1296" w:type="dxa"/>
            <w:tcBorders>
              <w:top w:val="single" w:color="000000" w:sz="4" w:space="0"/>
              <w:left w:val="single" w:color="000000" w:sz="4" w:space="0"/>
              <w:bottom w:val="nil"/>
              <w:right w:val="single" w:color="000000" w:sz="4" w:space="0"/>
            </w:tcBorders>
            <w:noWrap/>
            <w:vAlign w:val="center"/>
          </w:tcPr>
          <w:p>
            <w:pPr>
              <w:jc w:val="left"/>
              <w:rPr>
                <w:rFonts w:hint="eastAsia" w:ascii="宋体" w:hAnsi="宋体" w:eastAsia="宋体" w:cs="宋体"/>
                <w:color w:val="auto"/>
              </w:rPr>
            </w:pPr>
          </w:p>
        </w:tc>
        <w:tc>
          <w:tcPr>
            <w:tcW w:w="873" w:type="dxa"/>
            <w:tcBorders>
              <w:top w:val="single" w:color="000000" w:sz="4" w:space="0"/>
              <w:left w:val="single" w:color="000000" w:sz="4" w:space="0"/>
              <w:bottom w:val="nil"/>
              <w:right w:val="single" w:color="000000" w:sz="4" w:space="0"/>
            </w:tcBorders>
            <w:noWrap/>
            <w:vAlign w:val="center"/>
          </w:tcPr>
          <w:p>
            <w:pPr>
              <w:jc w:val="left"/>
              <w:rPr>
                <w:rFonts w:hint="eastAsia" w:ascii="宋体" w:hAnsi="宋体" w:eastAsia="宋体" w:cs="宋体"/>
                <w:color w:val="auto"/>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rPr>
            </w:pPr>
            <w:r>
              <w:rPr>
                <w:rFonts w:hint="eastAsia" w:ascii="宋体" w:hAnsi="宋体" w:eastAsia="宋体" w:cs="宋体"/>
                <w:color w:val="auto"/>
              </w:rPr>
              <w:t>“√”表示合格；“×”表示不合格，一项不合格为无效投标处，如不合格，请在结果中写明原因。</w:t>
            </w:r>
          </w:p>
        </w:tc>
      </w:tr>
    </w:tbl>
    <w:p>
      <w:pPr>
        <w:jc w:val="left"/>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br w:type="page"/>
      </w:r>
    </w:p>
    <w:p>
      <w:pPr>
        <w:pStyle w:val="5"/>
        <w:numPr>
          <w:ilvl w:val="0"/>
          <w:numId w:val="10"/>
        </w:numPr>
        <w:jc w:val="both"/>
        <w:rPr>
          <w:rFonts w:hint="eastAsia" w:ascii="宋体" w:hAnsi="宋体" w:eastAsia="宋体" w:cs="宋体"/>
          <w:color w:val="auto"/>
        </w:rPr>
      </w:pPr>
      <w:bookmarkStart w:id="632" w:name="_Toc108877134"/>
      <w:r>
        <w:rPr>
          <w:rFonts w:hint="eastAsia" w:ascii="宋体" w:hAnsi="宋体" w:eastAsia="宋体" w:cs="宋体"/>
          <w:color w:val="auto"/>
        </w:rPr>
        <w:t>符合性审查表</w:t>
      </w:r>
      <w:bookmarkEnd w:id="632"/>
    </w:p>
    <w:tbl>
      <w:tblPr>
        <w:tblStyle w:val="38"/>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评审内容</w:t>
            </w:r>
          </w:p>
        </w:tc>
        <w:tc>
          <w:tcPr>
            <w:tcW w:w="1637"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序号</w:t>
            </w:r>
          </w:p>
        </w:tc>
        <w:tc>
          <w:tcPr>
            <w:tcW w:w="6755" w:type="dxa"/>
            <w:vAlign w:val="center"/>
          </w:tcPr>
          <w:p>
            <w:pPr>
              <w:spacing w:line="300" w:lineRule="auto"/>
              <w:ind w:left="60"/>
              <w:rPr>
                <w:rFonts w:hint="eastAsia" w:ascii="宋体" w:hAnsi="宋体" w:eastAsia="宋体" w:cs="宋体"/>
                <w:color w:val="auto"/>
                <w:sz w:val="24"/>
              </w:rPr>
            </w:pPr>
          </w:p>
        </w:tc>
        <w:tc>
          <w:tcPr>
            <w:tcW w:w="1637"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投标报价未高于预算金额</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投标内容是否符合本招标文件要求</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3</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供应商按招标文件规定提交响应文件份数</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4</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投标书制作、签署和盖章是否符合本招标文件要求</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5</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按招标文件规定的格式填写，内容全或关键字迹清晰、数量等齐全</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6</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没有采购人不能接受的附加条件的</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7</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服务地点及服务时间符合招标文件</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8</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不同供应商的响应文件没有错漏一致的情况</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9</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投标有效期符合招标文件</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满足招标文件实质性要求的其他情形</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供应商附有详细地址、联系人、电话标明的</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6755" w:type="dxa"/>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响应文件没有散页、活页、未胶装的</w:t>
            </w:r>
          </w:p>
        </w:tc>
        <w:tc>
          <w:tcPr>
            <w:tcW w:w="1637" w:type="dxa"/>
            <w:vAlign w:val="center"/>
          </w:tcPr>
          <w:p>
            <w:pPr>
              <w:spacing w:line="300" w:lineRule="auto"/>
              <w:ind w:left="6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结论：通过评审打“√”，未通过评审打“×”</w:t>
            </w:r>
          </w:p>
        </w:tc>
        <w:tc>
          <w:tcPr>
            <w:tcW w:w="1637" w:type="dxa"/>
            <w:vAlign w:val="center"/>
          </w:tcPr>
          <w:p>
            <w:pPr>
              <w:spacing w:line="300" w:lineRule="auto"/>
              <w:ind w:left="60"/>
              <w:rPr>
                <w:rFonts w:hint="eastAsia" w:ascii="宋体" w:hAnsi="宋体" w:eastAsia="宋体" w:cs="宋体"/>
                <w:color w:val="auto"/>
                <w:sz w:val="24"/>
              </w:rPr>
            </w:pPr>
          </w:p>
        </w:tc>
      </w:tr>
    </w:tbl>
    <w:p>
      <w:pPr>
        <w:spacing w:line="300" w:lineRule="auto"/>
        <w:rPr>
          <w:rFonts w:hint="eastAsia" w:ascii="宋体" w:hAnsi="宋体" w:eastAsia="宋体" w:cs="宋体"/>
          <w:color w:val="auto"/>
          <w:sz w:val="24"/>
        </w:rPr>
      </w:pPr>
    </w:p>
    <w:p>
      <w:pPr>
        <w:spacing w:line="300" w:lineRule="auto"/>
        <w:ind w:left="60"/>
        <w:rPr>
          <w:rFonts w:hint="eastAsia" w:ascii="宋体" w:hAnsi="宋体" w:eastAsia="宋体" w:cs="宋体"/>
          <w:color w:val="auto"/>
          <w:sz w:val="24"/>
        </w:rPr>
      </w:pPr>
    </w:p>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left="60"/>
        <w:rPr>
          <w:rFonts w:hint="eastAsia" w:ascii="宋体" w:hAnsi="宋体" w:eastAsia="宋体" w:cs="宋体"/>
          <w:color w:val="auto"/>
          <w:sz w:val="24"/>
        </w:rPr>
      </w:pPr>
      <w:r>
        <w:rPr>
          <w:rFonts w:hint="eastAsia" w:ascii="宋体" w:hAnsi="宋体" w:eastAsia="宋体" w:cs="宋体"/>
          <w:color w:val="auto"/>
          <w:sz w:val="24"/>
        </w:rPr>
        <w:t>（1）上述各项中用“√”表示通过，“×”表示不通过；</w:t>
      </w:r>
    </w:p>
    <w:p>
      <w:pPr>
        <w:spacing w:line="300" w:lineRule="auto"/>
        <w:ind w:left="779" w:leftChars="28" w:hanging="720" w:hangingChars="300"/>
        <w:rPr>
          <w:rFonts w:hint="eastAsia" w:ascii="宋体" w:hAnsi="宋体" w:eastAsia="宋体" w:cs="宋体"/>
          <w:color w:val="auto"/>
          <w:sz w:val="24"/>
        </w:rPr>
      </w:pPr>
      <w:r>
        <w:rPr>
          <w:rFonts w:hint="eastAsia" w:ascii="宋体" w:hAnsi="宋体" w:eastAsia="宋体" w:cs="宋体"/>
          <w:color w:val="auto"/>
          <w:sz w:val="24"/>
        </w:rPr>
        <w:t>（2）上述各项中如有一项为“×”，则结论为“×”，表示该响应文件中存在重大偏差，不能通过初步评审；评委对某一分项评审认为不合格时，必须要写明原因。</w:t>
      </w:r>
    </w:p>
    <w:p>
      <w:pPr>
        <w:spacing w:line="300" w:lineRule="auto"/>
        <w:rPr>
          <w:rFonts w:hint="eastAsia" w:ascii="宋体" w:hAnsi="宋体" w:eastAsia="宋体" w:cs="宋体"/>
          <w:color w:val="auto"/>
          <w:sz w:val="24"/>
        </w:rPr>
      </w:pPr>
      <w:r>
        <w:rPr>
          <w:rFonts w:hint="eastAsia" w:ascii="宋体" w:hAnsi="宋体" w:eastAsia="宋体" w:cs="宋体"/>
          <w:color w:val="auto"/>
          <w:sz w:val="24"/>
        </w:rPr>
        <w:t>（3）响应文件最终合格与否，以所有评委的评审意见中少数服从多数为原则定论。</w:t>
      </w:r>
    </w:p>
    <w:p>
      <w:pPr>
        <w:widowControl/>
        <w:jc w:val="left"/>
        <w:rPr>
          <w:rFonts w:hint="eastAsia" w:ascii="宋体" w:hAnsi="宋体" w:eastAsia="宋体" w:cs="宋体"/>
          <w:color w:val="auto"/>
          <w:kern w:val="0"/>
          <w:sz w:val="24"/>
          <w:szCs w:val="20"/>
        </w:rPr>
      </w:pPr>
      <w:r>
        <w:rPr>
          <w:rFonts w:hint="eastAsia" w:ascii="宋体" w:hAnsi="宋体" w:eastAsia="宋体" w:cs="宋体"/>
          <w:color w:val="auto"/>
        </w:rPr>
        <w:br w:type="page"/>
      </w:r>
      <w:bookmarkEnd w:id="628"/>
    </w:p>
    <w:tbl>
      <w:tblPr>
        <w:tblStyle w:val="38"/>
        <w:tblW w:w="0" w:type="auto"/>
        <w:jc w:val="center"/>
        <w:tblLayout w:type="fixed"/>
        <w:tblCellMar>
          <w:top w:w="0" w:type="dxa"/>
          <w:left w:w="108" w:type="dxa"/>
          <w:bottom w:w="0" w:type="dxa"/>
          <w:right w:w="108" w:type="dxa"/>
        </w:tblCellMar>
      </w:tblPr>
      <w:tblGrid>
        <w:gridCol w:w="2473"/>
        <w:gridCol w:w="3720"/>
        <w:gridCol w:w="870"/>
        <w:gridCol w:w="1065"/>
        <w:gridCol w:w="833"/>
      </w:tblGrid>
      <w:tr>
        <w:tblPrEx>
          <w:tblCellMar>
            <w:top w:w="0" w:type="dxa"/>
            <w:left w:w="108" w:type="dxa"/>
            <w:bottom w:w="0" w:type="dxa"/>
            <w:right w:w="108" w:type="dxa"/>
          </w:tblCellMar>
        </w:tblPrEx>
        <w:trPr>
          <w:trHeight w:val="585" w:hRule="atLeast"/>
          <w:jc w:val="center"/>
        </w:trPr>
        <w:tc>
          <w:tcPr>
            <w:tcW w:w="8961" w:type="dxa"/>
            <w:gridSpan w:val="5"/>
            <w:tcBorders>
              <w:top w:val="nil"/>
              <w:left w:val="nil"/>
              <w:bottom w:val="single" w:color="auto" w:sz="4" w:space="0"/>
              <w:right w:val="nil"/>
            </w:tcBorders>
            <w:vAlign w:val="center"/>
          </w:tcPr>
          <w:p>
            <w:pPr>
              <w:pStyle w:val="5"/>
              <w:numPr>
                <w:ilvl w:val="0"/>
                <w:numId w:val="10"/>
              </w:numPr>
              <w:jc w:val="both"/>
              <w:rPr>
                <w:rFonts w:hint="eastAsia" w:ascii="宋体" w:hAnsi="宋体" w:eastAsia="宋体" w:cs="宋体"/>
                <w:color w:val="auto"/>
              </w:rPr>
            </w:pPr>
            <w:bookmarkStart w:id="633" w:name="_Toc108877135"/>
            <w:r>
              <w:rPr>
                <w:rFonts w:hint="eastAsia" w:ascii="宋体" w:hAnsi="宋体" w:eastAsia="宋体" w:cs="宋体"/>
                <w:color w:val="auto"/>
              </w:rPr>
              <w:t>商务符合性审查表</w:t>
            </w:r>
            <w:bookmarkEnd w:id="633"/>
          </w:p>
        </w:tc>
      </w:tr>
      <w:tr>
        <w:tblPrEx>
          <w:tblCellMar>
            <w:top w:w="0" w:type="dxa"/>
            <w:left w:w="108" w:type="dxa"/>
            <w:bottom w:w="0" w:type="dxa"/>
            <w:right w:w="108" w:type="dxa"/>
          </w:tblCellMar>
        </w:tblPrEx>
        <w:trPr>
          <w:trHeight w:val="344" w:hRule="atLeast"/>
          <w:jc w:val="center"/>
        </w:trPr>
        <w:tc>
          <w:tcPr>
            <w:tcW w:w="61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审查事项</w:t>
            </w:r>
          </w:p>
        </w:tc>
        <w:tc>
          <w:tcPr>
            <w:tcW w:w="27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投标人名称及审查情况</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招标文件条款（投标人须知、投标人须知资料表条款号）</w:t>
            </w:r>
          </w:p>
        </w:tc>
        <w:tc>
          <w:tcPr>
            <w:tcW w:w="3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本项目要求</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9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中小企业投标要求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本项目</w:t>
            </w:r>
            <w:r>
              <w:rPr>
                <w:rFonts w:hint="eastAsia" w:ascii="宋体" w:hAnsi="宋体" w:eastAsia="宋体" w:cs="宋体"/>
                <w:color w:val="auto"/>
                <w:kern w:val="0"/>
                <w:szCs w:val="21"/>
                <w:u w:val="single"/>
              </w:rPr>
              <w:t>适用</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联合体投标规定</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本项目</w:t>
            </w:r>
            <w:r>
              <w:rPr>
                <w:rFonts w:hint="eastAsia" w:ascii="宋体" w:hAnsi="宋体" w:eastAsia="宋体" w:cs="宋体"/>
                <w:color w:val="auto"/>
                <w:kern w:val="0"/>
                <w:szCs w:val="21"/>
                <w:u w:val="single"/>
              </w:rPr>
              <w:t>不接受</w:t>
            </w:r>
            <w:r>
              <w:rPr>
                <w:rFonts w:hint="eastAsia" w:ascii="宋体" w:hAnsi="宋体" w:eastAsia="宋体" w:cs="宋体"/>
                <w:color w:val="auto"/>
                <w:kern w:val="0"/>
                <w:szCs w:val="21"/>
              </w:rPr>
              <w:t>联合体投标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投标人的关联性</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在同一包内，单位负责人为非同一人或者不存在直接控股、管理关系的不同供应商。</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未发现影响采购人决策行为</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投标人在投标过程中未向采购人提供、给予任何有价值的物品，影响其正常决策行为。</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满足投标范围的完整性要求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投标人对所投分包磋商文件中所列的所有内容进行投标。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未包含价格调整要求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投标人所报的各分项投标报价在合同履行过程中是固定不变的，不得以任何理由予以变更。</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374"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磋商保证金</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符合招标文件要求</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投标有效期满足要求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自提交响应文件截止之日起</w:t>
            </w:r>
            <w:r>
              <w:rPr>
                <w:rFonts w:hint="eastAsia" w:ascii="宋体" w:hAnsi="宋体" w:eastAsia="宋体" w:cs="宋体"/>
                <w:color w:val="auto"/>
                <w:szCs w:val="21"/>
                <w:u w:val="single"/>
              </w:rPr>
              <w:t xml:space="preserve"> 60 日</w:t>
            </w:r>
            <w:r>
              <w:rPr>
                <w:rFonts w:hint="eastAsia" w:ascii="宋体" w:hAnsi="宋体" w:eastAsia="宋体" w:cs="宋体"/>
                <w:color w:val="auto"/>
                <w:szCs w:val="21"/>
              </w:rPr>
              <w:t>历日内</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响应文件的装订方式</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所有响应文件采用不可拆装的胶订方式装订</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647"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响应文件的签署和盖章符合要求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按照招标文件规定要求签署、盖章。</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9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接受价格的算术修正</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响应文件报价出现前后不一致的，应按照招标文件规定的顺序修正。修正后的报价经投标人确认后产生约束力。</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符合强制采购节能产品要求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本项目</w:t>
            </w:r>
            <w:r>
              <w:rPr>
                <w:rFonts w:hint="eastAsia" w:ascii="宋体" w:hAnsi="宋体" w:cs="宋体"/>
                <w:color w:val="auto"/>
                <w:kern w:val="0"/>
                <w:szCs w:val="21"/>
                <w:lang w:val="en-US" w:eastAsia="zh-CN"/>
              </w:rPr>
              <w:t>不</w:t>
            </w:r>
            <w:r>
              <w:rPr>
                <w:rFonts w:hint="eastAsia" w:ascii="宋体" w:hAnsi="宋体" w:eastAsia="宋体" w:cs="宋体"/>
                <w:color w:val="auto"/>
                <w:kern w:val="0"/>
                <w:szCs w:val="21"/>
                <w:u w:val="single"/>
              </w:rPr>
              <w:t>适用</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未发现串通投标</w:t>
            </w:r>
          </w:p>
        </w:tc>
        <w:tc>
          <w:tcPr>
            <w:tcW w:w="3720" w:type="dxa"/>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color w:val="auto"/>
                <w:kern w:val="0"/>
                <w:szCs w:val="21"/>
              </w:rPr>
            </w:pPr>
            <w:r>
              <w:rPr>
                <w:rFonts w:hint="eastAsia" w:ascii="宋体" w:hAnsi="宋体" w:eastAsia="宋体" w:cs="宋体"/>
                <w:color w:val="auto"/>
                <w:szCs w:val="21"/>
              </w:rPr>
              <w:t>未与其他投标人串通投标，或者与招标人串通投标。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报价说明可以接受</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投标人的报价明显低于其他通过符合性检查投标人的报价，有可能影响履约的，投标人能按照规定证明其报价合理性。</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r>
              <w:rPr>
                <w:rFonts w:hint="eastAsia" w:ascii="宋体" w:hAnsi="宋体" w:eastAsia="宋体" w:cs="宋体"/>
                <w:color w:val="auto"/>
                <w:sz w:val="22"/>
                <w:szCs w:val="22"/>
              </w:rPr>
              <w:t>无采购人不能接受的附加条件</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响应文件未含有采购人不能接受的附加条件。</w:t>
            </w:r>
          </w:p>
        </w:tc>
        <w:tc>
          <w:tcPr>
            <w:tcW w:w="8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421" w:hRule="atLeast"/>
          <w:jc w:val="center"/>
        </w:trPr>
        <w:tc>
          <w:tcPr>
            <w:tcW w:w="61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szCs w:val="21"/>
              </w:rPr>
            </w:pPr>
            <w:r>
              <w:rPr>
                <w:rFonts w:hint="eastAsia" w:ascii="宋体" w:hAnsi="宋体" w:eastAsia="宋体" w:cs="宋体"/>
                <w:b/>
                <w:color w:val="auto"/>
                <w:kern w:val="0"/>
                <w:sz w:val="22"/>
                <w:szCs w:val="22"/>
              </w:rPr>
              <w:t>结论</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rPr>
            </w:pPr>
          </w:p>
        </w:tc>
      </w:tr>
    </w:tbl>
    <w:p>
      <w:pPr>
        <w:pStyle w:val="6"/>
        <w:ind w:firstLine="480"/>
        <w:rPr>
          <w:rFonts w:hint="eastAsia" w:ascii="宋体" w:hAnsi="宋体" w:eastAsia="宋体" w:cs="宋体"/>
          <w:color w:val="auto"/>
        </w:rPr>
      </w:pPr>
      <w:r>
        <w:rPr>
          <w:rFonts w:hint="eastAsia" w:ascii="宋体" w:hAnsi="宋体" w:eastAsia="宋体" w:cs="宋体"/>
          <w:color w:val="auto"/>
        </w:rPr>
        <w:t>备注：</w:t>
      </w:r>
    </w:p>
    <w:p>
      <w:pPr>
        <w:pStyle w:val="6"/>
        <w:ind w:firstLine="480"/>
        <w:rPr>
          <w:rFonts w:hint="eastAsia" w:ascii="宋体" w:hAnsi="宋体" w:eastAsia="宋体" w:cs="宋体"/>
          <w:color w:val="auto"/>
        </w:rPr>
      </w:pPr>
      <w:r>
        <w:rPr>
          <w:rFonts w:hint="eastAsia" w:ascii="宋体" w:hAnsi="宋体" w:eastAsia="宋体" w:cs="宋体"/>
          <w:color w:val="auto"/>
        </w:rPr>
        <w:t>本表由评审小组的每位专家分别填写；</w:t>
      </w:r>
    </w:p>
    <w:p>
      <w:pPr>
        <w:pStyle w:val="6"/>
        <w:ind w:firstLine="480"/>
        <w:rPr>
          <w:rFonts w:hint="eastAsia" w:ascii="宋体" w:hAnsi="宋体" w:eastAsia="宋体" w:cs="宋体"/>
          <w:color w:val="auto"/>
        </w:rPr>
      </w:pPr>
      <w:r>
        <w:rPr>
          <w:rFonts w:hint="eastAsia" w:ascii="宋体" w:hAnsi="宋体" w:eastAsia="宋体" w:cs="宋体"/>
          <w:color w:val="auto"/>
        </w:rPr>
        <w:t>每一项目符合的打“√”；不符合的打“×”，并注明不符合的具体内容；出现一个“×”的审查结论为不通过；</w:t>
      </w:r>
    </w:p>
    <w:p>
      <w:pPr>
        <w:pStyle w:val="6"/>
        <w:ind w:firstLine="480"/>
        <w:rPr>
          <w:rFonts w:hint="eastAsia" w:ascii="宋体" w:hAnsi="宋体" w:eastAsia="宋体" w:cs="宋体"/>
          <w:color w:val="auto"/>
        </w:rPr>
      </w:pPr>
      <w:r>
        <w:rPr>
          <w:rFonts w:hint="eastAsia" w:ascii="宋体" w:hAnsi="宋体" w:eastAsia="宋体" w:cs="宋体"/>
          <w:color w:val="auto"/>
        </w:rPr>
        <w:t>审查结论一栏填写“是”或“否”。</w:t>
      </w:r>
    </w:p>
    <w:p>
      <w:pPr>
        <w:pStyle w:val="6"/>
        <w:ind w:firstLine="480"/>
        <w:rPr>
          <w:rFonts w:hint="eastAsia" w:ascii="宋体" w:hAnsi="宋体" w:eastAsia="宋体" w:cs="宋体"/>
          <w:color w:val="auto"/>
        </w:rPr>
      </w:pPr>
      <w:r>
        <w:rPr>
          <w:rFonts w:hint="eastAsia" w:ascii="宋体" w:hAnsi="宋体" w:eastAsia="宋体" w:cs="宋体"/>
          <w:color w:val="auto"/>
        </w:rPr>
        <w:t>超过半数的评委的结论是“否”的投标人不能进入下一轮评标。</w:t>
      </w:r>
    </w:p>
    <w:p>
      <w:pPr>
        <w:rPr>
          <w:rFonts w:hint="eastAsia" w:ascii="宋体" w:hAnsi="宋体" w:eastAsia="宋体" w:cs="宋体"/>
          <w:b/>
          <w:bCs/>
          <w:color w:val="auto"/>
          <w:szCs w:val="20"/>
        </w:rPr>
      </w:pPr>
      <w:r>
        <w:rPr>
          <w:rFonts w:hint="eastAsia" w:ascii="宋体" w:hAnsi="宋体" w:eastAsia="宋体" w:cs="宋体"/>
          <w:b/>
          <w:bCs/>
          <w:color w:val="auto"/>
          <w:szCs w:val="20"/>
        </w:rPr>
        <w:br w:type="page"/>
      </w:r>
    </w:p>
    <w:p>
      <w:pPr>
        <w:tabs>
          <w:tab w:val="left" w:pos="1107"/>
        </w:tabs>
        <w:ind w:left="720" w:hanging="720"/>
        <w:jc w:val="center"/>
        <w:rPr>
          <w:rFonts w:hint="eastAsia" w:ascii="宋体" w:hAnsi="宋体" w:eastAsia="宋体" w:cs="宋体"/>
          <w:b/>
          <w:bCs/>
          <w:color w:val="auto"/>
          <w:szCs w:val="20"/>
        </w:rPr>
      </w:pPr>
      <w:r>
        <w:rPr>
          <w:rFonts w:hint="eastAsia" w:ascii="宋体" w:hAnsi="宋体" w:eastAsia="宋体" w:cs="宋体"/>
          <w:b/>
          <w:bCs/>
          <w:color w:val="auto"/>
          <w:szCs w:val="20"/>
        </w:rPr>
        <w:t>评分各项目权重分配</w:t>
      </w:r>
    </w:p>
    <w:tbl>
      <w:tblPr>
        <w:tblStyle w:val="38"/>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3260"/>
        <w:gridCol w:w="3118"/>
        <w:gridCol w:w="10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1124" w:type="dxa"/>
            <w:vAlign w:val="center"/>
          </w:tcPr>
          <w:p>
            <w:pPr>
              <w:jc w:val="center"/>
              <w:rPr>
                <w:rFonts w:hint="eastAsia" w:ascii="宋体" w:hAnsi="宋体" w:eastAsia="宋体" w:cs="宋体"/>
                <w:color w:val="auto"/>
              </w:rPr>
            </w:pPr>
            <w:r>
              <w:rPr>
                <w:rFonts w:hint="eastAsia" w:ascii="宋体" w:hAnsi="宋体" w:eastAsia="宋体" w:cs="宋体"/>
                <w:color w:val="auto"/>
              </w:rPr>
              <w:t>评分项目</w:t>
            </w:r>
          </w:p>
        </w:tc>
        <w:tc>
          <w:tcPr>
            <w:tcW w:w="3260" w:type="dxa"/>
            <w:vAlign w:val="center"/>
          </w:tcPr>
          <w:p>
            <w:pPr>
              <w:spacing w:line="0" w:lineRule="atLeast"/>
              <w:jc w:val="center"/>
              <w:rPr>
                <w:rFonts w:hint="eastAsia" w:ascii="宋体" w:hAnsi="宋体" w:eastAsia="宋体" w:cs="宋体"/>
                <w:b/>
                <w:color w:val="auto"/>
              </w:rPr>
            </w:pPr>
            <w:r>
              <w:rPr>
                <w:rFonts w:hint="eastAsia" w:ascii="宋体" w:hAnsi="宋体" w:eastAsia="宋体" w:cs="宋体"/>
                <w:b/>
                <w:color w:val="auto"/>
              </w:rPr>
              <w:t>商务、技术评分（90%）</w:t>
            </w:r>
          </w:p>
        </w:tc>
        <w:tc>
          <w:tcPr>
            <w:tcW w:w="3118" w:type="dxa"/>
            <w:vAlign w:val="center"/>
          </w:tcPr>
          <w:p>
            <w:pPr>
              <w:spacing w:line="0" w:lineRule="atLeast"/>
              <w:jc w:val="center"/>
              <w:rPr>
                <w:rFonts w:hint="eastAsia" w:ascii="宋体" w:hAnsi="宋体" w:eastAsia="宋体" w:cs="宋体"/>
                <w:b/>
                <w:color w:val="auto"/>
              </w:rPr>
            </w:pPr>
            <w:r>
              <w:rPr>
                <w:rFonts w:hint="eastAsia" w:ascii="宋体" w:hAnsi="宋体" w:eastAsia="宋体" w:cs="宋体"/>
                <w:b/>
                <w:color w:val="auto"/>
              </w:rPr>
              <w:t>报价评分（10%）</w:t>
            </w:r>
          </w:p>
        </w:tc>
        <w:tc>
          <w:tcPr>
            <w:tcW w:w="1038" w:type="dxa"/>
            <w:vAlign w:val="center"/>
          </w:tcPr>
          <w:p>
            <w:pPr>
              <w:spacing w:line="0" w:lineRule="atLeast"/>
              <w:jc w:val="center"/>
              <w:rPr>
                <w:rFonts w:hint="eastAsia" w:ascii="宋体" w:hAnsi="宋体" w:eastAsia="宋体" w:cs="宋体"/>
                <w:color w:val="auto"/>
                <w:szCs w:val="20"/>
              </w:rPr>
            </w:pPr>
            <w:r>
              <w:rPr>
                <w:rFonts w:hint="eastAsia" w:ascii="宋体" w:hAnsi="宋体" w:eastAsia="宋体" w:cs="宋体"/>
                <w:color w:val="auto"/>
                <w:szCs w:val="20"/>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124" w:type="dxa"/>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权重（%）</w:t>
            </w:r>
          </w:p>
        </w:tc>
        <w:tc>
          <w:tcPr>
            <w:tcW w:w="3260" w:type="dxa"/>
            <w:vAlign w:val="center"/>
          </w:tcPr>
          <w:p>
            <w:pPr>
              <w:spacing w:line="0" w:lineRule="atLeas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90%</w:t>
            </w:r>
          </w:p>
        </w:tc>
        <w:tc>
          <w:tcPr>
            <w:tcW w:w="3118" w:type="dxa"/>
            <w:vAlign w:val="center"/>
          </w:tcPr>
          <w:p>
            <w:pPr>
              <w:spacing w:line="0" w:lineRule="atLeas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10%</w:t>
            </w:r>
          </w:p>
        </w:tc>
        <w:tc>
          <w:tcPr>
            <w:tcW w:w="1038" w:type="dxa"/>
            <w:vAlign w:val="center"/>
          </w:tcPr>
          <w:p>
            <w:pPr>
              <w:spacing w:line="0" w:lineRule="atLeast"/>
              <w:jc w:val="center"/>
              <w:rPr>
                <w:rFonts w:hint="eastAsia" w:ascii="宋体" w:hAnsi="宋体" w:eastAsia="宋体" w:cs="宋体"/>
                <w:color w:val="auto"/>
                <w:sz w:val="18"/>
                <w:szCs w:val="18"/>
              </w:rPr>
            </w:pPr>
            <w:r>
              <w:rPr>
                <w:rFonts w:hint="eastAsia" w:ascii="宋体" w:hAnsi="宋体" w:eastAsia="宋体" w:cs="宋体"/>
                <w:color w:val="auto"/>
                <w:sz w:val="18"/>
                <w:szCs w:val="18"/>
              </w:rPr>
              <w:t>100%</w:t>
            </w:r>
          </w:p>
        </w:tc>
      </w:tr>
    </w:tbl>
    <w:p>
      <w:pPr>
        <w:ind w:firstLine="424" w:firstLineChars="202"/>
        <w:rPr>
          <w:rFonts w:hint="eastAsia" w:ascii="宋体" w:hAnsi="宋体" w:eastAsia="宋体" w:cs="宋体"/>
          <w:bCs/>
          <w:color w:val="auto"/>
        </w:rPr>
      </w:pPr>
    </w:p>
    <w:p>
      <w:pPr>
        <w:pStyle w:val="7"/>
        <w:spacing w:before="72" w:after="72"/>
        <w:jc w:val="center"/>
        <w:rPr>
          <w:rFonts w:hint="eastAsia" w:ascii="宋体" w:hAnsi="宋体" w:eastAsia="宋体" w:cs="宋体"/>
          <w:color w:val="auto"/>
          <w:szCs w:val="24"/>
        </w:rPr>
      </w:pPr>
      <w:bookmarkStart w:id="634" w:name="_Toc1213268"/>
      <w:r>
        <w:rPr>
          <w:rFonts w:hint="eastAsia" w:ascii="宋体" w:hAnsi="宋体" w:eastAsia="宋体" w:cs="宋体"/>
          <w:color w:val="auto"/>
          <w:szCs w:val="24"/>
        </w:rPr>
        <w:t>商务、技术评分细则表</w:t>
      </w:r>
      <w:bookmarkEnd w:id="634"/>
    </w:p>
    <w:tbl>
      <w:tblPr>
        <w:tblStyle w:val="38"/>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091"/>
        <w:gridCol w:w="643"/>
        <w:gridCol w:w="641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511"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91"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43"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6415"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9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响应报价</w:t>
            </w:r>
          </w:p>
        </w:tc>
        <w:tc>
          <w:tcPr>
            <w:tcW w:w="643" w:type="dxa"/>
            <w:vAlign w:val="center"/>
          </w:tcPr>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6415"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价格分统一采用低价优先法计算，即满足招标文件要求且最后报价最低的投标人的价格为评标基准价，其价格分为满分。</w:t>
            </w:r>
          </w:p>
          <w:p>
            <w:pPr>
              <w:rPr>
                <w:rFonts w:hint="eastAsia" w:ascii="宋体" w:hAnsi="宋体" w:eastAsia="宋体" w:cs="宋体"/>
                <w:color w:val="auto"/>
                <w:highlight w:val="none"/>
              </w:rPr>
            </w:pPr>
            <w:r>
              <w:rPr>
                <w:rFonts w:hint="eastAsia" w:ascii="宋体" w:hAnsi="宋体" w:eastAsia="宋体" w:cs="宋体"/>
                <w:color w:val="auto"/>
                <w:highlight w:val="none"/>
              </w:rPr>
              <w:t>投标人的价格分统一按照下列公式计算：</w:t>
            </w:r>
          </w:p>
          <w:p>
            <w:pPr>
              <w:rPr>
                <w:rFonts w:hint="eastAsia" w:ascii="宋体" w:hAnsi="宋体" w:eastAsia="宋体" w:cs="宋体"/>
                <w:color w:val="auto"/>
                <w:highlight w:val="none"/>
              </w:rPr>
            </w:pPr>
            <w:r>
              <w:rPr>
                <w:rFonts w:hint="eastAsia" w:ascii="宋体" w:hAnsi="宋体" w:eastAsia="宋体" w:cs="宋体"/>
                <w:color w:val="auto"/>
                <w:highlight w:val="none"/>
              </w:rPr>
              <w:t>投标报价得分=（评标基准价/最后投标报价）</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价格权值</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100</w:t>
            </w:r>
          </w:p>
          <w:p>
            <w:pPr>
              <w:rPr>
                <w:rFonts w:hint="eastAsia" w:ascii="宋体" w:hAnsi="宋体" w:eastAsia="宋体" w:cs="宋体"/>
                <w:color w:val="auto"/>
                <w:highlight w:val="none"/>
              </w:rPr>
            </w:pPr>
            <w:r>
              <w:rPr>
                <w:rFonts w:hint="eastAsia" w:ascii="宋体" w:hAnsi="宋体" w:eastAsia="宋体" w:cs="宋体"/>
                <w:color w:val="auto"/>
                <w:highlight w:val="none"/>
              </w:rPr>
              <w:t>供应商的价格分统一按照下列公式计算：</w:t>
            </w:r>
          </w:p>
          <w:p>
            <w:pPr>
              <w:rPr>
                <w:rFonts w:hint="eastAsia" w:ascii="宋体" w:hAnsi="宋体" w:eastAsia="宋体" w:cs="宋体"/>
                <w:color w:val="auto"/>
                <w:highlight w:val="none"/>
              </w:rPr>
            </w:pPr>
            <w:r>
              <w:rPr>
                <w:rFonts w:hint="eastAsia" w:ascii="宋体" w:hAnsi="宋体" w:eastAsia="宋体" w:cs="宋体"/>
                <w:color w:val="auto"/>
                <w:highlight w:val="none"/>
              </w:rPr>
              <w:t>项目评审过程中，不得去掉最后报价中的最高报价和最低报价。</w:t>
            </w:r>
          </w:p>
          <w:p>
            <w:pPr>
              <w:rPr>
                <w:rFonts w:hint="eastAsia" w:ascii="宋体" w:hAnsi="宋体" w:eastAsia="宋体" w:cs="宋体"/>
                <w:color w:val="auto"/>
                <w:highlight w:val="none"/>
              </w:rPr>
            </w:pPr>
            <w:r>
              <w:rPr>
                <w:rFonts w:hint="eastAsia" w:ascii="宋体" w:hAnsi="宋体" w:eastAsia="宋体" w:cs="宋体"/>
                <w:color w:val="auto"/>
                <w:highlight w:val="none"/>
              </w:rPr>
              <w:t>价格评审得分保留小数点后两位，第三位四舍五入。综合得分最高者优先推荐。</w:t>
            </w:r>
          </w:p>
          <w:p>
            <w:pPr>
              <w:rPr>
                <w:rFonts w:hint="eastAsia" w:ascii="宋体" w:hAnsi="宋体" w:eastAsia="宋体" w:cs="宋体"/>
                <w:color w:val="auto"/>
                <w:highlight w:val="none"/>
              </w:rPr>
            </w:pPr>
            <w:r>
              <w:rPr>
                <w:rFonts w:hint="eastAsia" w:ascii="宋体" w:hAnsi="宋体" w:eastAsia="宋体" w:cs="宋体"/>
                <w:color w:val="auto"/>
                <w:highlight w:val="none"/>
              </w:rPr>
              <w:t>根据中华人民共和国财政部、中华人民共和国工业和信息化部《</w:t>
            </w:r>
            <w:r>
              <w:rPr>
                <w:rFonts w:hint="eastAsia" w:ascii="宋体" w:hAnsi="宋体" w:eastAsia="宋体" w:cs="宋体"/>
                <w:color w:val="auto"/>
                <w:highlight w:val="none"/>
                <w:lang w:eastAsia="zh-CN"/>
              </w:rPr>
              <w:t>政府采购促进中小企业发展管理办法</w:t>
            </w:r>
            <w:r>
              <w:rPr>
                <w:rFonts w:hint="eastAsia" w:ascii="宋体" w:hAnsi="宋体" w:eastAsia="宋体" w:cs="宋体"/>
                <w:color w:val="auto"/>
                <w:highlight w:val="none"/>
              </w:rPr>
              <w:t>》（财库[2020]46 号）、《关于进一步加大政府采购支持中小企业力度的通知》（财库〔2022〕19号）文件的规定，属于中小企业评审优惠内容及幅度如下：</w:t>
            </w:r>
          </w:p>
          <w:p>
            <w:pPr>
              <w:rPr>
                <w:rFonts w:hint="eastAsia" w:ascii="宋体" w:hAnsi="宋体" w:eastAsia="宋体" w:cs="宋体"/>
                <w:color w:val="auto"/>
                <w:highlight w:val="none"/>
              </w:rPr>
            </w:pPr>
            <w:r>
              <w:rPr>
                <w:rFonts w:hint="eastAsia" w:ascii="宋体" w:hAnsi="宋体" w:eastAsia="宋体" w:cs="宋体"/>
                <w:color w:val="auto"/>
                <w:highlight w:val="none"/>
              </w:rPr>
              <w:t>对于非专门面向中小企业的项目，对小型和微型企业（或联合体各方均为小型、微型企业的）产品的价格给予10%的扣除，用扣除后的价格参与价格分的评审。</w:t>
            </w:r>
          </w:p>
          <w:p>
            <w:pPr>
              <w:rPr>
                <w:rFonts w:hint="eastAsia" w:ascii="宋体" w:hAnsi="宋体" w:eastAsia="宋体" w:cs="宋体"/>
                <w:color w:val="auto"/>
                <w:highlight w:val="none"/>
              </w:rPr>
            </w:pPr>
            <w:r>
              <w:rPr>
                <w:rFonts w:hint="eastAsia" w:ascii="宋体" w:hAnsi="宋体" w:eastAsia="宋体" w:cs="宋体"/>
                <w:color w:val="auto"/>
                <w:highlight w:val="none"/>
              </w:rPr>
              <w:t>小型和微型企业适用价格扣除办法时应提供的相关资料：</w:t>
            </w:r>
          </w:p>
          <w:p>
            <w:pPr>
              <w:rPr>
                <w:rFonts w:hint="eastAsia" w:ascii="宋体" w:hAnsi="宋体" w:eastAsia="宋体" w:cs="宋体"/>
                <w:color w:val="auto"/>
                <w:highlight w:val="none"/>
              </w:rPr>
            </w:pPr>
            <w:r>
              <w:rPr>
                <w:rFonts w:hint="eastAsia" w:ascii="宋体" w:hAnsi="宋体" w:eastAsia="宋体" w:cs="宋体"/>
                <w:color w:val="auto"/>
                <w:highlight w:val="none"/>
              </w:rPr>
              <w:t>①、《中小企业声明函》；</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511" w:type="dxa"/>
            <w:vMerge w:val="restart"/>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091" w:type="dxa"/>
            <w:vMerge w:val="restart"/>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企业综合实力</w:t>
            </w:r>
          </w:p>
        </w:tc>
        <w:tc>
          <w:tcPr>
            <w:tcW w:w="643" w:type="dxa"/>
            <w:tcBorders>
              <w:bottom w:val="single" w:color="auto" w:sz="4" w:space="0"/>
            </w:tcBorders>
            <w:vAlign w:val="center"/>
          </w:tcPr>
          <w:p>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企业业绩6</w:t>
            </w:r>
          </w:p>
        </w:tc>
        <w:tc>
          <w:tcPr>
            <w:tcW w:w="6415" w:type="dxa"/>
            <w:tcBorders>
              <w:bottom w:val="single" w:color="auto" w:sz="4" w:space="0"/>
            </w:tcBorders>
            <w:vAlign w:val="center"/>
          </w:tcPr>
          <w:p>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能提供投标人相似业绩的证明。每提供一个合同</w:t>
            </w:r>
            <w:r>
              <w:rPr>
                <w:rFonts w:hint="eastAsia" w:ascii="宋体" w:hAnsi="宋体" w:cs="宋体"/>
                <w:color w:val="auto"/>
                <w:highlight w:val="none"/>
                <w:lang w:val="en-US" w:eastAsia="zh-CN"/>
              </w:rPr>
              <w:t>复印件</w:t>
            </w:r>
            <w:r>
              <w:rPr>
                <w:rFonts w:hint="eastAsia" w:ascii="宋体" w:hAnsi="宋体" w:eastAsia="宋体" w:cs="宋体"/>
                <w:color w:val="auto"/>
                <w:highlight w:val="none"/>
                <w:lang w:val="en-US" w:eastAsia="zh-CN"/>
              </w:rPr>
              <w:t>业绩得3分（最高不超过6分）不提供的不得分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Merge w:val="continue"/>
            <w:vAlign w:val="center"/>
          </w:tcPr>
          <w:p>
            <w:pPr>
              <w:jc w:val="center"/>
              <w:rPr>
                <w:rFonts w:hint="eastAsia" w:ascii="宋体" w:hAnsi="宋体" w:eastAsia="宋体" w:cs="宋体"/>
                <w:color w:val="auto"/>
                <w:highlight w:val="none"/>
                <w:lang w:val="en-US" w:eastAsia="zh-CN"/>
              </w:rPr>
            </w:pPr>
          </w:p>
        </w:tc>
        <w:tc>
          <w:tcPr>
            <w:tcW w:w="1091" w:type="dxa"/>
            <w:vMerge w:val="continue"/>
            <w:vAlign w:val="center"/>
          </w:tcPr>
          <w:p>
            <w:pPr>
              <w:jc w:val="center"/>
              <w:rPr>
                <w:rFonts w:hint="eastAsia" w:ascii="宋体" w:hAnsi="宋体" w:eastAsia="宋体" w:cs="宋体"/>
                <w:color w:val="auto"/>
                <w:highlight w:val="none"/>
              </w:rPr>
            </w:pPr>
          </w:p>
        </w:tc>
        <w:tc>
          <w:tcPr>
            <w:tcW w:w="643" w:type="dxa"/>
            <w:tcBorders>
              <w:top w:val="single" w:color="auto" w:sz="4" w:space="0"/>
            </w:tcBorders>
            <w:vAlign w:val="center"/>
          </w:tcPr>
          <w:p>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人员配备12</w:t>
            </w:r>
          </w:p>
        </w:tc>
        <w:tc>
          <w:tcPr>
            <w:tcW w:w="6415" w:type="dxa"/>
            <w:tcBorders>
              <w:top w:val="single" w:color="auto" w:sz="4" w:space="0"/>
            </w:tcBorders>
            <w:vAlign w:val="center"/>
          </w:tcPr>
          <w:p>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投标单位</w:t>
            </w:r>
            <w:r>
              <w:rPr>
                <w:rFonts w:hint="eastAsia" w:ascii="宋体" w:hAnsi="宋体" w:cs="宋体"/>
                <w:color w:val="auto"/>
                <w:highlight w:val="none"/>
                <w:lang w:val="en-US" w:eastAsia="zh-CN"/>
              </w:rPr>
              <w:t>根据磋商文件中的</w:t>
            </w:r>
            <w:r>
              <w:rPr>
                <w:rFonts w:hint="eastAsia" w:ascii="宋体" w:hAnsi="宋体" w:eastAsia="宋体" w:cs="宋体"/>
                <w:color w:val="auto"/>
                <w:highlight w:val="none"/>
              </w:rPr>
              <w:t>项目团队配置、人员构成、团队经验</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学历等方面进行综合考虑；项目团队配置合理，学历、经验达到要求并提供证明的，</w:t>
            </w:r>
            <w:r>
              <w:rPr>
                <w:rFonts w:hint="eastAsia" w:ascii="宋体" w:hAnsi="宋体" w:eastAsia="宋体" w:cs="宋体"/>
                <w:color w:val="auto"/>
                <w:highlight w:val="none"/>
              </w:rPr>
              <w:t>人员≥</w:t>
            </w:r>
            <w:r>
              <w:rPr>
                <w:rFonts w:hint="eastAsia" w:ascii="宋体" w:hAnsi="宋体" w:cs="宋体"/>
                <w:color w:val="auto"/>
                <w:highlight w:val="none"/>
                <w:lang w:val="en-US" w:eastAsia="zh-CN"/>
              </w:rPr>
              <w:t>6</w:t>
            </w:r>
            <w:r>
              <w:rPr>
                <w:rFonts w:hint="eastAsia" w:ascii="宋体" w:hAnsi="宋体" w:eastAsia="宋体" w:cs="宋体"/>
                <w:color w:val="auto"/>
                <w:highlight w:val="none"/>
              </w:rPr>
              <w:t>人得</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r>
              <w:rPr>
                <w:rFonts w:hint="eastAsia" w:ascii="宋体" w:hAnsi="宋体" w:eastAsia="宋体" w:cs="宋体"/>
                <w:color w:val="auto"/>
                <w:highlight w:val="none"/>
              </w:rPr>
              <w:t>项目团队配置不合理、</w:t>
            </w:r>
            <w:r>
              <w:rPr>
                <w:rFonts w:hint="eastAsia" w:ascii="宋体" w:hAnsi="宋体" w:cs="宋体"/>
                <w:color w:val="auto"/>
                <w:highlight w:val="none"/>
                <w:lang w:val="en-US" w:eastAsia="zh-CN"/>
              </w:rPr>
              <w:t>学历不够、经验不足，</w:t>
            </w:r>
            <w:r>
              <w:rPr>
                <w:rFonts w:hint="eastAsia" w:ascii="宋体" w:hAnsi="宋体" w:eastAsia="宋体" w:cs="宋体"/>
                <w:color w:val="auto"/>
                <w:highlight w:val="none"/>
              </w:rPr>
              <w:t>人员≥</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511"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09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服务方案</w:t>
            </w:r>
          </w:p>
        </w:tc>
        <w:tc>
          <w:tcPr>
            <w:tcW w:w="643"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415" w:type="dxa"/>
            <w:vAlign w:val="center"/>
          </w:tcPr>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投标单位根据</w:t>
            </w:r>
            <w:r>
              <w:rPr>
                <w:rFonts w:hint="eastAsia" w:ascii="宋体" w:hAnsi="宋体" w:cs="宋体"/>
                <w:color w:val="auto"/>
                <w:highlight w:val="none"/>
                <w:lang w:val="en-US" w:eastAsia="zh-CN"/>
              </w:rPr>
              <w:t>磋商</w:t>
            </w:r>
            <w:r>
              <w:rPr>
                <w:rFonts w:hint="eastAsia" w:ascii="宋体" w:hAnsi="宋体" w:eastAsia="宋体" w:cs="宋体"/>
                <w:color w:val="auto"/>
                <w:highlight w:val="none"/>
                <w:lang w:val="en-US" w:eastAsia="zh-CN"/>
              </w:rPr>
              <w:t>文件中整体项目的服务需求分析、时间安排、投放要求等进行项目整体计划、规划，整体方案实用性</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进行综合考虑。</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服务方案安排</w:t>
            </w:r>
            <w:r>
              <w:rPr>
                <w:rFonts w:hint="eastAsia" w:ascii="宋体" w:hAnsi="宋体" w:cs="宋体"/>
                <w:color w:val="auto"/>
                <w:highlight w:val="none"/>
                <w:lang w:val="en-US" w:eastAsia="zh-CN"/>
              </w:rPr>
              <w:t>全面</w:t>
            </w:r>
            <w:r>
              <w:rPr>
                <w:rFonts w:hint="eastAsia" w:ascii="宋体" w:hAnsi="宋体" w:eastAsia="宋体" w:cs="宋体"/>
                <w:color w:val="auto"/>
                <w:highlight w:val="none"/>
                <w:lang w:val="en-US" w:eastAsia="zh-CN"/>
              </w:rPr>
              <w:t>，能完全满足</w:t>
            </w:r>
            <w:r>
              <w:rPr>
                <w:rFonts w:hint="eastAsia" w:ascii="宋体" w:hAnsi="宋体" w:cs="宋体"/>
                <w:color w:val="auto"/>
                <w:highlight w:val="none"/>
                <w:lang w:val="en-US" w:eastAsia="zh-CN"/>
              </w:rPr>
              <w:t>并优于</w:t>
            </w:r>
            <w:r>
              <w:rPr>
                <w:rFonts w:hint="eastAsia" w:ascii="宋体" w:hAnsi="宋体" w:eastAsia="宋体" w:cs="宋体"/>
                <w:color w:val="auto"/>
                <w:highlight w:val="none"/>
                <w:lang w:val="en-US" w:eastAsia="zh-CN"/>
              </w:rPr>
              <w:t>采购人的服务需求，对投放的整体进度有详细计划，分工安排具有合理性、针对性的，得40分</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服务方案安排合理，能满足采购人的服务需求，整体方案实用性一般，对投放的整体进度有详细计划，分工安排合理得</w:t>
            </w:r>
            <w:r>
              <w:rPr>
                <w:rFonts w:hint="eastAsia" w:ascii="宋体" w:hAnsi="宋体" w:cs="宋体"/>
                <w:color w:val="auto"/>
                <w:highlight w:val="none"/>
                <w:lang w:val="en-US" w:eastAsia="zh-CN"/>
              </w:rPr>
              <w:t>30</w:t>
            </w:r>
            <w:r>
              <w:rPr>
                <w:rFonts w:hint="eastAsia" w:ascii="宋体" w:hAnsi="宋体" w:eastAsia="宋体" w:cs="宋体"/>
                <w:color w:val="auto"/>
                <w:highlight w:val="none"/>
                <w:lang w:val="en-US" w:eastAsia="zh-CN"/>
              </w:rPr>
              <w:t>分</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服务方案安排一般，能基本满足采购人的服务需求，整体方案实用性一般，对投放的整体进度有详细计划，分工安排一般得</w:t>
            </w: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分</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服务方案存在瑕疵，只能基本满足采购人的服务需求，方案内容针对性差，整体方案实用性</w:t>
            </w:r>
            <w:r>
              <w:rPr>
                <w:rFonts w:hint="eastAsia" w:ascii="宋体" w:hAnsi="宋体" w:cs="宋体"/>
                <w:color w:val="auto"/>
                <w:highlight w:val="none"/>
                <w:lang w:val="en-US" w:eastAsia="zh-CN"/>
              </w:rPr>
              <w:t>不强</w:t>
            </w:r>
            <w:r>
              <w:rPr>
                <w:rFonts w:hint="eastAsia" w:ascii="宋体" w:hAnsi="宋体" w:eastAsia="宋体" w:cs="宋体"/>
                <w:color w:val="auto"/>
                <w:highlight w:val="none"/>
                <w:lang w:val="en-US" w:eastAsia="zh-CN"/>
              </w:rPr>
              <w:t>，对投放的整体进度、详细计划、分工安排</w:t>
            </w:r>
            <w:r>
              <w:rPr>
                <w:rFonts w:hint="eastAsia" w:ascii="宋体" w:hAnsi="宋体" w:cs="宋体"/>
                <w:color w:val="auto"/>
                <w:highlight w:val="none"/>
                <w:lang w:val="en-US" w:eastAsia="zh-CN"/>
              </w:rPr>
              <w:t>不合理</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分。未提供服务方案的</w:t>
            </w:r>
            <w:r>
              <w:rPr>
                <w:rFonts w:hint="eastAsia" w:ascii="宋体" w:hAnsi="宋体" w:cs="宋体"/>
                <w:color w:val="auto"/>
                <w:highlight w:val="none"/>
                <w:lang w:val="en-US" w:eastAsia="zh-CN"/>
              </w:rPr>
              <w:t>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09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应急预案</w:t>
            </w:r>
          </w:p>
        </w:tc>
        <w:tc>
          <w:tcPr>
            <w:tcW w:w="643" w:type="dxa"/>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p>
        </w:tc>
        <w:tc>
          <w:tcPr>
            <w:tcW w:w="6415" w:type="dxa"/>
            <w:vAlign w:val="center"/>
          </w:tcPr>
          <w:p>
            <w:pP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在广告</w:t>
            </w:r>
            <w:r>
              <w:rPr>
                <w:rFonts w:hint="eastAsia" w:ascii="宋体" w:hAnsi="宋体" w:eastAsia="宋体" w:cs="宋体"/>
                <w:color w:val="auto"/>
                <w:highlight w:val="none"/>
                <w:lang w:val="en-US" w:eastAsia="zh-CN"/>
              </w:rPr>
              <w:t>宣传</w:t>
            </w:r>
            <w:r>
              <w:rPr>
                <w:rFonts w:hint="eastAsia" w:ascii="宋体" w:hAnsi="宋体" w:eastAsia="宋体" w:cs="宋体"/>
                <w:color w:val="auto"/>
                <w:highlight w:val="none"/>
              </w:rPr>
              <w:t>执行过程中因不可抗力因素导致广告临时调整或漏播</w:t>
            </w:r>
            <w:r>
              <w:rPr>
                <w:rFonts w:hint="eastAsia" w:ascii="宋体" w:hAnsi="宋体" w:eastAsia="宋体" w:cs="宋体"/>
                <w:color w:val="auto"/>
                <w:highlight w:val="none"/>
                <w:lang w:val="en-US" w:eastAsia="zh-CN"/>
              </w:rPr>
              <w:t>等其他情况未达到宣传效果时</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具</w:t>
            </w:r>
            <w:r>
              <w:rPr>
                <w:rFonts w:hint="eastAsia" w:ascii="宋体" w:hAnsi="宋体" w:eastAsia="宋体" w:cs="宋体"/>
                <w:color w:val="auto"/>
                <w:highlight w:val="none"/>
              </w:rPr>
              <w:t>有</w:t>
            </w:r>
            <w:r>
              <w:rPr>
                <w:rFonts w:hint="eastAsia" w:ascii="宋体" w:hAnsi="宋体" w:eastAsia="宋体" w:cs="宋体"/>
                <w:color w:val="auto"/>
                <w:highlight w:val="none"/>
                <w:lang w:val="en-US" w:eastAsia="zh-CN"/>
              </w:rPr>
              <w:t>相对应的应急预案，包含备播预案、疫情防控、紧急情况等应急措施，应急预案全面详细合理</w:t>
            </w:r>
            <w:r>
              <w:rPr>
                <w:rFonts w:hint="eastAsia" w:ascii="宋体" w:hAnsi="宋体" w:cs="宋体"/>
                <w:color w:val="auto"/>
                <w:highlight w:val="none"/>
                <w:lang w:val="en-US" w:eastAsia="zh-CN"/>
              </w:rPr>
              <w:t>有</w:t>
            </w:r>
            <w:r>
              <w:rPr>
                <w:rFonts w:hint="eastAsia" w:ascii="宋体" w:hAnsi="宋体" w:eastAsia="宋体" w:cs="宋体"/>
                <w:color w:val="auto"/>
                <w:highlight w:val="none"/>
                <w:lang w:val="en-US" w:eastAsia="zh-CN"/>
              </w:rPr>
              <w:t>预见性给与1</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分，应急预案全面性缺失给与8分，应急预案不够全面</w:t>
            </w:r>
            <w:r>
              <w:rPr>
                <w:rFonts w:hint="eastAsia" w:ascii="宋体" w:hAnsi="宋体" w:cs="宋体"/>
                <w:color w:val="auto"/>
                <w:highlight w:val="none"/>
                <w:lang w:val="en-US" w:eastAsia="zh-CN"/>
              </w:rPr>
              <w:t>给与3分，不提供</w:t>
            </w:r>
            <w:r>
              <w:rPr>
                <w:rFonts w:hint="eastAsia" w:ascii="宋体" w:hAnsi="宋体" w:eastAsia="宋体" w:cs="宋体"/>
                <w:color w:val="auto"/>
                <w:highlight w:val="none"/>
                <w:lang w:val="en-US" w:eastAsia="zh-CN"/>
              </w:rPr>
              <w:t>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511" w:type="dxa"/>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1091"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保证措施</w:t>
            </w:r>
          </w:p>
        </w:tc>
        <w:tc>
          <w:tcPr>
            <w:tcW w:w="643"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6415"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在</w:t>
            </w:r>
            <w:r>
              <w:rPr>
                <w:rFonts w:hint="eastAsia" w:ascii="宋体" w:hAnsi="宋体" w:eastAsia="宋体" w:cs="宋体"/>
                <w:color w:val="auto"/>
                <w:highlight w:val="none"/>
                <w:lang w:val="en-US" w:eastAsia="zh-CN"/>
              </w:rPr>
              <w:t>项目实施过程中</w:t>
            </w:r>
            <w:r>
              <w:rPr>
                <w:rFonts w:hint="eastAsia" w:ascii="宋体" w:hAnsi="宋体" w:cs="宋体"/>
                <w:color w:val="auto"/>
                <w:highlight w:val="none"/>
                <w:lang w:val="en-US" w:eastAsia="zh-CN"/>
              </w:rPr>
              <w:t>对</w:t>
            </w:r>
            <w:r>
              <w:rPr>
                <w:rFonts w:hint="eastAsia" w:ascii="宋体" w:hAnsi="宋体" w:eastAsia="宋体" w:cs="宋体"/>
                <w:color w:val="auto"/>
                <w:highlight w:val="none"/>
                <w:lang w:val="en-US" w:eastAsia="zh-CN"/>
              </w:rPr>
              <w:t>项目质量、进度、安全等措施安排是否科学合理</w:t>
            </w:r>
            <w:r>
              <w:rPr>
                <w:rFonts w:hint="eastAsia" w:ascii="宋体" w:hAnsi="宋体" w:cs="宋体"/>
                <w:color w:val="auto"/>
                <w:kern w:val="2"/>
                <w:sz w:val="21"/>
                <w:szCs w:val="21"/>
                <w:highlight w:val="none"/>
                <w:lang w:val="en-US" w:eastAsia="zh-CN" w:bidi="ar-SA"/>
              </w:rPr>
              <w:t>，</w:t>
            </w:r>
            <w:r>
              <w:rPr>
                <w:rFonts w:hint="eastAsia" w:ascii="宋体" w:hAnsi="宋体" w:cs="宋体"/>
                <w:color w:val="auto"/>
                <w:highlight w:val="none"/>
                <w:lang w:val="en-US" w:eastAsia="zh-CN"/>
              </w:rPr>
              <w:t>及</w:t>
            </w:r>
            <w:r>
              <w:rPr>
                <w:rFonts w:hint="eastAsia" w:ascii="宋体" w:hAnsi="宋体" w:eastAsia="宋体" w:cs="宋体"/>
                <w:color w:val="auto"/>
                <w:highlight w:val="none"/>
                <w:lang w:val="en-US" w:eastAsia="zh-CN"/>
              </w:rPr>
              <w:t>提出实施过程中可能存在的问题</w:t>
            </w:r>
            <w:r>
              <w:rPr>
                <w:rFonts w:hint="eastAsia" w:ascii="宋体" w:hAnsi="宋体" w:eastAsia="宋体" w:cs="宋体"/>
                <w:color w:val="auto"/>
                <w:kern w:val="2"/>
                <w:sz w:val="21"/>
                <w:szCs w:val="21"/>
                <w:highlight w:val="none"/>
                <w:lang w:val="en-US" w:eastAsia="zh-CN" w:bidi="ar-SA"/>
              </w:rPr>
              <w:t>进行</w:t>
            </w:r>
            <w:r>
              <w:rPr>
                <w:rFonts w:hint="eastAsia" w:ascii="宋体" w:hAnsi="宋体" w:eastAsia="宋体" w:cs="宋体"/>
                <w:color w:val="auto"/>
                <w:highlight w:val="none"/>
                <w:lang w:val="en-US" w:eastAsia="zh-CN"/>
              </w:rPr>
              <w:t>评价，</w:t>
            </w:r>
            <w:r>
              <w:rPr>
                <w:rFonts w:hint="eastAsia" w:ascii="宋体" w:hAnsi="宋体" w:cs="宋体"/>
                <w:color w:val="auto"/>
                <w:highlight w:val="none"/>
                <w:lang w:val="en-US" w:eastAsia="zh-CN"/>
              </w:rPr>
              <w:t>各项措施安排全面合理，并</w:t>
            </w:r>
            <w:r>
              <w:rPr>
                <w:rFonts w:hint="eastAsia" w:ascii="宋体" w:hAnsi="宋体" w:eastAsia="宋体" w:cs="宋体"/>
                <w:color w:val="auto"/>
                <w:highlight w:val="none"/>
                <w:lang w:val="en-US" w:eastAsia="zh-CN"/>
              </w:rPr>
              <w:t>提出明确详细的合理性建议得</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各项措施安排比较合理、全面性</w:t>
            </w:r>
            <w:r>
              <w:rPr>
                <w:rFonts w:hint="eastAsia" w:ascii="宋体" w:hAnsi="宋体" w:eastAsia="宋体" w:cs="宋体"/>
                <w:color w:val="auto"/>
                <w:highlight w:val="none"/>
                <w:lang w:val="en-US" w:eastAsia="zh-CN"/>
              </w:rPr>
              <w:t>缺失</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提出</w:t>
            </w:r>
            <w:r>
              <w:rPr>
                <w:rFonts w:hint="eastAsia" w:ascii="宋体" w:hAnsi="宋体" w:cs="宋体"/>
                <w:color w:val="auto"/>
                <w:highlight w:val="none"/>
                <w:lang w:val="en-US" w:eastAsia="zh-CN"/>
              </w:rPr>
              <w:t>的合理性建议</w:t>
            </w:r>
            <w:r>
              <w:rPr>
                <w:rFonts w:hint="eastAsia" w:ascii="宋体" w:hAnsi="宋体" w:eastAsia="宋体" w:cs="宋体"/>
                <w:color w:val="auto"/>
                <w:highlight w:val="none"/>
                <w:lang w:val="en-US" w:eastAsia="zh-CN"/>
              </w:rPr>
              <w:t>较合理的得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各项措施安排基本合理，全面性不够，</w:t>
            </w:r>
            <w:r>
              <w:rPr>
                <w:rFonts w:hint="eastAsia" w:ascii="宋体" w:hAnsi="宋体" w:eastAsia="宋体" w:cs="宋体"/>
                <w:color w:val="auto"/>
                <w:highlight w:val="none"/>
                <w:lang w:val="en-US" w:eastAsia="zh-CN"/>
              </w:rPr>
              <w:t>提出</w:t>
            </w:r>
            <w:r>
              <w:rPr>
                <w:rFonts w:hint="eastAsia" w:ascii="宋体" w:hAnsi="宋体" w:cs="宋体"/>
                <w:color w:val="auto"/>
                <w:highlight w:val="none"/>
                <w:lang w:val="en-US" w:eastAsia="zh-CN"/>
              </w:rPr>
              <w:t>的合理性建议</w:t>
            </w:r>
            <w:r>
              <w:rPr>
                <w:rFonts w:hint="eastAsia" w:ascii="宋体" w:hAnsi="宋体" w:eastAsia="宋体" w:cs="宋体"/>
                <w:color w:val="auto"/>
                <w:highlight w:val="none"/>
                <w:lang w:val="en-US" w:eastAsia="zh-CN"/>
              </w:rPr>
              <w:t>基本明确的得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不提供</w:t>
            </w:r>
            <w:r>
              <w:rPr>
                <w:rFonts w:hint="eastAsia" w:ascii="宋体" w:hAnsi="宋体" w:eastAsia="宋体" w:cs="宋体"/>
                <w:color w:val="auto"/>
                <w:highlight w:val="none"/>
                <w:lang w:val="en-US" w:eastAsia="zh-CN"/>
              </w:rPr>
              <w:t>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511" w:type="dxa"/>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109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标书完整性</w:t>
            </w:r>
          </w:p>
        </w:tc>
        <w:tc>
          <w:tcPr>
            <w:tcW w:w="643" w:type="dxa"/>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6415"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文件格式和内容严格按照招标文件要求编制，同时文字清晰（合同复印件要求关键页清晰可辨认）、内容完整、装订整齐、目录简洁、正文有页码，得3分；投标文件中提供的影印件、扫描件、图片中字迹清晰、可辨认，得2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rPr>
                <w:rFonts w:hint="eastAsia" w:ascii="宋体" w:hAnsi="宋体" w:eastAsia="宋体" w:cs="宋体"/>
                <w:color w:val="auto"/>
                <w:highlight w:val="none"/>
              </w:rPr>
            </w:pPr>
          </w:p>
        </w:tc>
        <w:tc>
          <w:tcPr>
            <w:tcW w:w="1091"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43"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100</w:t>
            </w:r>
          </w:p>
        </w:tc>
        <w:tc>
          <w:tcPr>
            <w:tcW w:w="6415" w:type="dxa"/>
            <w:vAlign w:val="center"/>
          </w:tcPr>
          <w:p>
            <w:pPr>
              <w:rPr>
                <w:rFonts w:hint="eastAsia" w:ascii="宋体" w:hAnsi="宋体" w:eastAsia="宋体" w:cs="宋体"/>
                <w:color w:val="auto"/>
                <w:highlight w:val="none"/>
              </w:rPr>
            </w:pPr>
          </w:p>
        </w:tc>
      </w:tr>
    </w:tbl>
    <w:p>
      <w:pPr>
        <w:rPr>
          <w:rFonts w:hint="eastAsia" w:ascii="宋体" w:hAnsi="宋体" w:eastAsia="宋体" w:cs="宋体"/>
          <w:color w:val="auto"/>
        </w:rPr>
      </w:pPr>
    </w:p>
    <w:bookmarkEnd w:id="619"/>
    <w:p>
      <w:pPr>
        <w:widowControl/>
        <w:jc w:val="left"/>
        <w:rPr>
          <w:rFonts w:hint="eastAsia" w:ascii="宋体" w:hAnsi="宋体" w:eastAsia="宋体" w:cs="宋体"/>
          <w:b/>
          <w:color w:val="auto"/>
          <w:w w:val="110"/>
          <w:sz w:val="52"/>
        </w:rPr>
      </w:pPr>
      <w:r>
        <w:rPr>
          <w:rFonts w:hint="eastAsia" w:ascii="宋体" w:hAnsi="宋体" w:eastAsia="宋体" w:cs="宋体"/>
          <w:b/>
          <w:color w:val="auto"/>
          <w:w w:val="110"/>
          <w:sz w:val="52"/>
        </w:rPr>
        <w:br w:type="page"/>
      </w:r>
    </w:p>
    <w:p>
      <w:pPr>
        <w:tabs>
          <w:tab w:val="center" w:pos="4536"/>
          <w:tab w:val="left" w:pos="7560"/>
        </w:tabs>
        <w:spacing w:line="360" w:lineRule="auto"/>
        <w:jc w:val="center"/>
        <w:rPr>
          <w:rFonts w:hint="eastAsia" w:ascii="宋体" w:hAnsi="宋体" w:eastAsia="宋体" w:cs="宋体"/>
          <w:b/>
          <w:color w:val="auto"/>
          <w:sz w:val="52"/>
        </w:rPr>
      </w:pPr>
      <w:r>
        <w:rPr>
          <w:rFonts w:hint="eastAsia" w:ascii="宋体" w:hAnsi="宋体" w:eastAsia="宋体" w:cs="宋体"/>
          <w:b/>
          <w:color w:val="auto"/>
          <w:w w:val="110"/>
          <w:sz w:val="52"/>
        </w:rPr>
        <w:t xml:space="preserve">采 购 </w:t>
      </w:r>
      <w:r>
        <w:rPr>
          <w:rFonts w:hint="eastAsia" w:ascii="宋体" w:hAnsi="宋体" w:eastAsia="宋体" w:cs="宋体"/>
          <w:b/>
          <w:color w:val="auto"/>
          <w:sz w:val="52"/>
        </w:rPr>
        <w:t>合 同</w:t>
      </w:r>
    </w:p>
    <w:p>
      <w:pPr>
        <w:pStyle w:val="6"/>
        <w:spacing w:line="240" w:lineRule="atLeast"/>
        <w:ind w:left="1080" w:leftChars="257" w:hanging="540"/>
        <w:rPr>
          <w:rFonts w:hint="eastAsia" w:ascii="宋体" w:hAnsi="宋体" w:eastAsia="宋体" w:cs="宋体"/>
          <w:color w:val="auto"/>
          <w:sz w:val="28"/>
        </w:rPr>
      </w:pPr>
    </w:p>
    <w:p>
      <w:pPr>
        <w:spacing w:line="240" w:lineRule="atLeast"/>
        <w:ind w:left="-567" w:leftChars="-270" w:firstLine="540"/>
        <w:jc w:val="center"/>
        <w:rPr>
          <w:rFonts w:hint="eastAsia" w:ascii="宋体" w:hAnsi="宋体" w:eastAsia="宋体" w:cs="宋体"/>
          <w:color w:val="auto"/>
          <w:kern w:val="44"/>
          <w:sz w:val="28"/>
          <w:szCs w:val="28"/>
        </w:rPr>
      </w:pPr>
      <w:r>
        <w:rPr>
          <w:rFonts w:hint="eastAsia" w:ascii="宋体" w:hAnsi="宋体" w:eastAsia="宋体" w:cs="宋体"/>
          <w:color w:val="auto"/>
          <w:kern w:val="44"/>
          <w:sz w:val="28"/>
          <w:szCs w:val="28"/>
        </w:rPr>
        <w:t>请参照服务类政府采购合同参考范本订立采购合同。</w:t>
      </w:r>
    </w:p>
    <w:p>
      <w:pPr>
        <w:pStyle w:val="6"/>
        <w:spacing w:line="240" w:lineRule="atLeast"/>
        <w:ind w:firstLine="0"/>
        <w:rPr>
          <w:rFonts w:hint="eastAsia" w:ascii="宋体" w:hAnsi="宋体" w:eastAsia="宋体" w:cs="宋体"/>
          <w:color w:val="auto"/>
        </w:rPr>
      </w:pPr>
    </w:p>
    <w:p>
      <w:pPr>
        <w:rPr>
          <w:rFonts w:hint="eastAsia" w:ascii="宋体" w:hAnsi="宋体" w:eastAsia="宋体" w:cs="宋体"/>
          <w:color w:val="auto"/>
          <w:sz w:val="24"/>
          <w:u w:val="single"/>
        </w:rPr>
      </w:pPr>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w:t>
      </w:r>
    </w:p>
    <w:p>
      <w:pPr>
        <w:spacing w:line="480" w:lineRule="auto"/>
        <w:jc w:val="center"/>
        <w:rPr>
          <w:rFonts w:hint="eastAsia" w:ascii="宋体" w:hAnsi="宋体" w:eastAsia="宋体" w:cs="宋体"/>
          <w:b/>
          <w:color w:val="auto"/>
          <w:sz w:val="28"/>
          <w:szCs w:val="28"/>
        </w:rPr>
      </w:pPr>
    </w:p>
    <w:p>
      <w:pPr>
        <w:pStyle w:val="26"/>
        <w:rPr>
          <w:rFonts w:hint="eastAsia" w:ascii="宋体" w:hAnsi="宋体" w:eastAsia="宋体" w:cs="宋体"/>
          <w:b/>
          <w:color w:val="auto"/>
          <w:sz w:val="28"/>
          <w:szCs w:val="28"/>
        </w:rPr>
      </w:pPr>
    </w:p>
    <w:p>
      <w:pPr>
        <w:pStyle w:val="26"/>
        <w:rPr>
          <w:rFonts w:hint="eastAsia" w:ascii="宋体" w:hAnsi="宋体" w:eastAsia="宋体" w:cs="宋体"/>
          <w:b/>
          <w:color w:val="auto"/>
          <w:sz w:val="28"/>
          <w:szCs w:val="28"/>
        </w:rPr>
      </w:pPr>
    </w:p>
    <w:p>
      <w:pPr>
        <w:spacing w:line="480" w:lineRule="auto"/>
        <w:jc w:val="center"/>
        <w:rPr>
          <w:rFonts w:hint="eastAsia" w:ascii="宋体" w:hAnsi="宋体" w:eastAsia="宋体" w:cs="宋体"/>
          <w:b/>
          <w:color w:val="auto"/>
          <w:sz w:val="28"/>
          <w:szCs w:val="28"/>
        </w:rPr>
      </w:pPr>
    </w:p>
    <w:p>
      <w:pPr>
        <w:spacing w:line="480" w:lineRule="auto"/>
        <w:jc w:val="center"/>
        <w:rPr>
          <w:rFonts w:hint="eastAsia" w:ascii="宋体" w:hAnsi="宋体" w:eastAsia="宋体" w:cs="宋体"/>
          <w:b/>
          <w:color w:val="auto"/>
          <w:sz w:val="28"/>
          <w:szCs w:val="28"/>
        </w:rPr>
      </w:pPr>
    </w:p>
    <w:p>
      <w:pPr>
        <w:spacing w:line="48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政府采购合同参考范本</w:t>
      </w:r>
    </w:p>
    <w:p>
      <w:pPr>
        <w:spacing w:line="480" w:lineRule="auto"/>
        <w:jc w:val="center"/>
        <w:rPr>
          <w:rFonts w:hint="eastAsia" w:ascii="宋体" w:hAnsi="宋体" w:eastAsia="宋体" w:cs="宋体"/>
          <w:b/>
          <w:color w:val="auto"/>
          <w:sz w:val="24"/>
        </w:rPr>
      </w:pPr>
      <w:r>
        <w:rPr>
          <w:rFonts w:hint="eastAsia" w:ascii="宋体" w:hAnsi="宋体" w:eastAsia="宋体" w:cs="宋体"/>
          <w:b/>
          <w:color w:val="auto"/>
          <w:sz w:val="24"/>
        </w:rPr>
        <w:t>（服务类）</w:t>
      </w:r>
    </w:p>
    <w:p>
      <w:pPr>
        <w:pStyle w:val="64"/>
        <w:ind w:firstLine="0"/>
        <w:rPr>
          <w:rFonts w:hint="eastAsia" w:ascii="宋体" w:hAnsi="宋体" w:eastAsia="宋体" w:cs="宋体"/>
          <w:color w:val="auto"/>
          <w:szCs w:val="24"/>
        </w:rPr>
      </w:pPr>
    </w:p>
    <w:p>
      <w:pPr>
        <w:pStyle w:val="64"/>
        <w:ind w:firstLine="0"/>
        <w:rPr>
          <w:rFonts w:hint="eastAsia" w:ascii="宋体" w:hAnsi="宋体" w:eastAsia="宋体" w:cs="宋体"/>
          <w:color w:val="auto"/>
          <w:szCs w:val="24"/>
        </w:rPr>
      </w:pPr>
    </w:p>
    <w:p>
      <w:pPr>
        <w:pStyle w:val="64"/>
        <w:ind w:firstLine="0"/>
        <w:rPr>
          <w:rFonts w:hint="eastAsia" w:ascii="宋体" w:hAnsi="宋体" w:eastAsia="宋体" w:cs="宋体"/>
          <w:color w:val="auto"/>
          <w:szCs w:val="24"/>
        </w:rPr>
      </w:pPr>
    </w:p>
    <w:p>
      <w:pPr>
        <w:pStyle w:val="64"/>
        <w:ind w:firstLine="0"/>
        <w:jc w:val="center"/>
        <w:rPr>
          <w:rFonts w:hint="eastAsia" w:ascii="宋体" w:hAnsi="宋体" w:eastAsia="宋体" w:cs="宋体"/>
          <w:b/>
          <w:color w:val="auto"/>
          <w:szCs w:val="24"/>
        </w:rPr>
      </w:pPr>
      <w:r>
        <w:rPr>
          <w:rFonts w:hint="eastAsia" w:ascii="宋体" w:hAnsi="宋体" w:eastAsia="宋体" w:cs="宋体"/>
          <w:b/>
          <w:color w:val="auto"/>
          <w:szCs w:val="24"/>
        </w:rPr>
        <w:t>第一部分 合同书</w:t>
      </w:r>
    </w:p>
    <w:p>
      <w:pPr>
        <w:pStyle w:val="64"/>
        <w:ind w:firstLine="0"/>
        <w:rPr>
          <w:rFonts w:hint="eastAsia" w:ascii="宋体" w:hAnsi="宋体" w:eastAsia="宋体" w:cs="宋体"/>
          <w:color w:val="auto"/>
          <w:szCs w:val="24"/>
        </w:rPr>
      </w:pPr>
    </w:p>
    <w:p>
      <w:pPr>
        <w:pStyle w:val="64"/>
        <w:ind w:firstLine="0"/>
        <w:rPr>
          <w:rFonts w:hint="eastAsia" w:ascii="宋体" w:hAnsi="宋体" w:eastAsia="宋体" w:cs="宋体"/>
          <w:color w:val="auto"/>
          <w:szCs w:val="24"/>
        </w:rPr>
      </w:pPr>
    </w:p>
    <w:p>
      <w:pPr>
        <w:spacing w:before="120" w:line="22" w:lineRule="atLeast"/>
        <w:rPr>
          <w:rFonts w:hint="eastAsia" w:ascii="宋体" w:hAnsi="宋体" w:eastAsia="宋体" w:cs="宋体"/>
          <w:color w:val="auto"/>
          <w:sz w:val="24"/>
        </w:rPr>
      </w:pPr>
    </w:p>
    <w:p>
      <w:pPr>
        <w:spacing w:before="120" w:line="22" w:lineRule="atLeast"/>
        <w:ind w:left="960"/>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pPr>
        <w:pStyle w:val="94"/>
        <w:spacing w:before="120" w:line="22" w:lineRule="atLeast"/>
        <w:rPr>
          <w:rFonts w:hint="eastAsia" w:ascii="宋体" w:hAnsi="宋体" w:eastAsia="宋体" w:cs="宋体"/>
          <w:color w:val="auto"/>
          <w:szCs w:val="24"/>
        </w:rPr>
      </w:pPr>
    </w:p>
    <w:p>
      <w:pPr>
        <w:rPr>
          <w:rFonts w:hint="eastAsia" w:ascii="宋体" w:hAnsi="宋体" w:eastAsia="宋体" w:cs="宋体"/>
          <w:color w:val="auto"/>
          <w:szCs w:val="24"/>
        </w:rPr>
      </w:pPr>
    </w:p>
    <w:p>
      <w:pPr>
        <w:pStyle w:val="2"/>
        <w:rPr>
          <w:rFonts w:hint="eastAsia"/>
          <w:color w:val="auto"/>
        </w:rPr>
      </w:pPr>
    </w:p>
    <w:p>
      <w:pPr>
        <w:rPr>
          <w:rFonts w:hint="eastAsia" w:ascii="宋体" w:hAnsi="宋体" w:eastAsia="宋体" w:cs="宋体"/>
          <w:color w:val="auto"/>
        </w:rPr>
      </w:pP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签订地：</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utoSpaceDE w:val="0"/>
        <w:autoSpaceDN w:val="0"/>
        <w:adjustRightInd w:val="0"/>
        <w:spacing w:line="600" w:lineRule="exact"/>
        <w:ind w:firstLine="640"/>
        <w:jc w:val="center"/>
        <w:rPr>
          <w:rFonts w:hint="eastAsia" w:ascii="宋体" w:hAnsi="宋体" w:eastAsia="宋体" w:cs="宋体"/>
          <w:color w:val="auto"/>
          <w:sz w:val="24"/>
        </w:rPr>
        <w:sectPr>
          <w:headerReference r:id="rId21" w:type="first"/>
          <w:footerReference r:id="rId24" w:type="first"/>
          <w:headerReference r:id="rId19" w:type="default"/>
          <w:footerReference r:id="rId22" w:type="default"/>
          <w:headerReference r:id="rId20" w:type="even"/>
          <w:footerReference r:id="rId23" w:type="even"/>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（政府采购方式）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（同前页项目名称）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pPr>
        <w:spacing w:line="560" w:lineRule="exact"/>
        <w:ind w:firstLine="482" w:firstLineChars="200"/>
        <w:outlineLvl w:val="0"/>
        <w:rPr>
          <w:rFonts w:hint="eastAsia" w:ascii="宋体" w:hAnsi="宋体" w:eastAsia="宋体" w:cs="宋体"/>
          <w:color w:val="auto"/>
          <w:sz w:val="24"/>
        </w:rPr>
      </w:pPr>
      <w:bookmarkStart w:id="635" w:name="_Toc19273"/>
      <w:bookmarkStart w:id="636" w:name="_Toc15367"/>
      <w:bookmarkStart w:id="637" w:name="_Toc108877136"/>
      <w:bookmarkStart w:id="638" w:name="_Toc20421"/>
      <w:bookmarkStart w:id="639" w:name="_Toc28855"/>
      <w:bookmarkStart w:id="640" w:name="_Toc22967"/>
      <w:r>
        <w:rPr>
          <w:rFonts w:hint="eastAsia" w:ascii="宋体" w:hAnsi="宋体" w:eastAsia="宋体" w:cs="宋体"/>
          <w:b/>
          <w:color w:val="auto"/>
          <w:sz w:val="24"/>
        </w:rPr>
        <w:t>1.1 合同组成部分</w:t>
      </w:r>
      <w:bookmarkEnd w:id="635"/>
      <w:bookmarkEnd w:id="636"/>
      <w:bookmarkEnd w:id="637"/>
      <w:bookmarkEnd w:id="638"/>
      <w:bookmarkEnd w:id="639"/>
      <w:bookmarkEnd w:id="64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中标通知书；</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投标文件（含澄清或者说明文件）；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1.1.4 招标文件（含澄清或者修改文件）；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pPr>
        <w:spacing w:line="560" w:lineRule="exact"/>
        <w:ind w:firstLine="482" w:firstLineChars="200"/>
        <w:outlineLvl w:val="0"/>
        <w:rPr>
          <w:rFonts w:hint="eastAsia" w:ascii="宋体" w:hAnsi="宋体" w:eastAsia="宋体" w:cs="宋体"/>
          <w:b/>
          <w:color w:val="auto"/>
          <w:sz w:val="24"/>
        </w:rPr>
      </w:pPr>
      <w:bookmarkStart w:id="641" w:name="_Toc18585"/>
      <w:bookmarkStart w:id="642" w:name="_Toc108877137"/>
      <w:bookmarkStart w:id="643" w:name="_Toc6311"/>
      <w:bookmarkStart w:id="644" w:name="_Toc6773"/>
      <w:bookmarkStart w:id="645" w:name="_Toc22185"/>
      <w:bookmarkStart w:id="646" w:name="_Toc2918"/>
      <w:r>
        <w:rPr>
          <w:rFonts w:hint="eastAsia" w:ascii="宋体" w:hAnsi="宋体" w:eastAsia="宋体" w:cs="宋体"/>
          <w:b/>
          <w:color w:val="auto"/>
          <w:sz w:val="24"/>
        </w:rPr>
        <w:t>1.2 标的</w:t>
      </w:r>
      <w:bookmarkEnd w:id="641"/>
      <w:bookmarkEnd w:id="642"/>
      <w:bookmarkEnd w:id="643"/>
      <w:bookmarkEnd w:id="644"/>
      <w:bookmarkEnd w:id="645"/>
      <w:bookmarkEnd w:id="646"/>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 标的名称：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1.2.2 标的数量：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标的质量：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647" w:name="_Toc21124"/>
      <w:bookmarkStart w:id="648" w:name="_Toc4929"/>
      <w:bookmarkStart w:id="649" w:name="_Toc13918"/>
      <w:bookmarkStart w:id="650" w:name="_Toc1386"/>
      <w:bookmarkStart w:id="651" w:name="_Toc108877138"/>
      <w:bookmarkStart w:id="652" w:name="_Toc5635"/>
      <w:r>
        <w:rPr>
          <w:rFonts w:hint="eastAsia" w:ascii="宋体" w:hAnsi="宋体" w:eastAsia="宋体" w:cs="宋体"/>
          <w:b/>
          <w:color w:val="auto"/>
          <w:sz w:val="24"/>
        </w:rPr>
        <w:t>1.3 价款</w:t>
      </w:r>
      <w:bookmarkEnd w:id="647"/>
      <w:bookmarkEnd w:id="648"/>
      <w:bookmarkEnd w:id="649"/>
      <w:bookmarkEnd w:id="650"/>
      <w:bookmarkEnd w:id="651"/>
      <w:bookmarkEnd w:id="65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w:t>
      </w:r>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402" w:type="dxa"/>
            <w:vAlign w:val="center"/>
          </w:tcPr>
          <w:p>
            <w:pPr>
              <w:pStyle w:val="72"/>
              <w:spacing w:line="560" w:lineRule="exact"/>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分项名称</w:t>
            </w:r>
          </w:p>
        </w:tc>
        <w:tc>
          <w:tcPr>
            <w:tcW w:w="2552" w:type="dxa"/>
            <w:vAlign w:val="center"/>
          </w:tcPr>
          <w:p>
            <w:pPr>
              <w:pStyle w:val="72"/>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宋体" w:hAnsi="宋体" w:eastAsia="宋体" w:cs="宋体"/>
                <w:color w:val="auto"/>
                <w:sz w:val="24"/>
                <w:szCs w:val="24"/>
              </w:rPr>
            </w:pPr>
          </w:p>
        </w:tc>
        <w:tc>
          <w:tcPr>
            <w:tcW w:w="3402" w:type="dxa"/>
            <w:vAlign w:val="center"/>
          </w:tcPr>
          <w:p>
            <w:pPr>
              <w:pStyle w:val="72"/>
              <w:spacing w:line="560" w:lineRule="exact"/>
              <w:ind w:firstLine="200"/>
              <w:jc w:val="center"/>
              <w:rPr>
                <w:rFonts w:hint="eastAsia" w:ascii="宋体" w:hAnsi="宋体" w:eastAsia="宋体" w:cs="宋体"/>
                <w:color w:val="auto"/>
                <w:sz w:val="24"/>
                <w:szCs w:val="24"/>
              </w:rPr>
            </w:pPr>
          </w:p>
        </w:tc>
        <w:tc>
          <w:tcPr>
            <w:tcW w:w="2552" w:type="dxa"/>
            <w:vAlign w:val="center"/>
          </w:tcPr>
          <w:p>
            <w:pPr>
              <w:pStyle w:val="72"/>
              <w:spacing w:line="560" w:lineRule="exact"/>
              <w:ind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宋体" w:hAnsi="宋体" w:eastAsia="宋体" w:cs="宋体"/>
                <w:color w:val="auto"/>
                <w:sz w:val="24"/>
                <w:szCs w:val="24"/>
              </w:rPr>
            </w:pPr>
          </w:p>
        </w:tc>
        <w:tc>
          <w:tcPr>
            <w:tcW w:w="3402" w:type="dxa"/>
            <w:vAlign w:val="center"/>
          </w:tcPr>
          <w:p>
            <w:pPr>
              <w:pStyle w:val="72"/>
              <w:spacing w:line="560" w:lineRule="exact"/>
              <w:ind w:firstLine="200"/>
              <w:jc w:val="center"/>
              <w:rPr>
                <w:rFonts w:hint="eastAsia" w:ascii="宋体" w:hAnsi="宋体" w:eastAsia="宋体" w:cs="宋体"/>
                <w:color w:val="auto"/>
                <w:sz w:val="24"/>
                <w:szCs w:val="24"/>
              </w:rPr>
            </w:pPr>
          </w:p>
        </w:tc>
        <w:tc>
          <w:tcPr>
            <w:tcW w:w="2552" w:type="dxa"/>
            <w:vAlign w:val="center"/>
          </w:tcPr>
          <w:p>
            <w:pPr>
              <w:pStyle w:val="72"/>
              <w:spacing w:line="560" w:lineRule="exact"/>
              <w:ind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宋体" w:hAnsi="宋体" w:eastAsia="宋体" w:cs="宋体"/>
                <w:color w:val="auto"/>
                <w:sz w:val="24"/>
                <w:szCs w:val="24"/>
              </w:rPr>
            </w:pPr>
          </w:p>
        </w:tc>
        <w:tc>
          <w:tcPr>
            <w:tcW w:w="3402" w:type="dxa"/>
            <w:vAlign w:val="center"/>
          </w:tcPr>
          <w:p>
            <w:pPr>
              <w:pStyle w:val="72"/>
              <w:spacing w:line="560" w:lineRule="exact"/>
              <w:ind w:firstLine="200"/>
              <w:jc w:val="center"/>
              <w:rPr>
                <w:rFonts w:hint="eastAsia" w:ascii="宋体" w:hAnsi="宋体" w:eastAsia="宋体" w:cs="宋体"/>
                <w:color w:val="auto"/>
                <w:sz w:val="24"/>
                <w:szCs w:val="24"/>
              </w:rPr>
            </w:pPr>
          </w:p>
        </w:tc>
        <w:tc>
          <w:tcPr>
            <w:tcW w:w="2552" w:type="dxa"/>
            <w:vAlign w:val="center"/>
          </w:tcPr>
          <w:p>
            <w:pPr>
              <w:pStyle w:val="72"/>
              <w:spacing w:line="560" w:lineRule="exact"/>
              <w:ind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2"/>
              <w:spacing w:line="560" w:lineRule="exact"/>
              <w:ind w:firstLine="200"/>
              <w:jc w:val="center"/>
              <w:rPr>
                <w:rFonts w:hint="eastAsia" w:ascii="宋体" w:hAnsi="宋体" w:eastAsia="宋体" w:cs="宋体"/>
                <w:color w:val="auto"/>
                <w:sz w:val="24"/>
                <w:szCs w:val="24"/>
              </w:rPr>
            </w:pPr>
          </w:p>
        </w:tc>
        <w:tc>
          <w:tcPr>
            <w:tcW w:w="3402" w:type="dxa"/>
            <w:vAlign w:val="center"/>
          </w:tcPr>
          <w:p>
            <w:pPr>
              <w:pStyle w:val="72"/>
              <w:spacing w:line="560" w:lineRule="exact"/>
              <w:ind w:firstLine="200"/>
              <w:jc w:val="center"/>
              <w:rPr>
                <w:rFonts w:hint="eastAsia" w:ascii="宋体" w:hAnsi="宋体" w:eastAsia="宋体" w:cs="宋体"/>
                <w:color w:val="auto"/>
                <w:sz w:val="24"/>
                <w:szCs w:val="24"/>
              </w:rPr>
            </w:pPr>
          </w:p>
        </w:tc>
        <w:tc>
          <w:tcPr>
            <w:tcW w:w="2552" w:type="dxa"/>
            <w:vAlign w:val="center"/>
          </w:tcPr>
          <w:p>
            <w:pPr>
              <w:pStyle w:val="72"/>
              <w:spacing w:line="560" w:lineRule="exact"/>
              <w:ind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72"/>
              <w:spacing w:line="560" w:lineRule="exact"/>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2552" w:type="dxa"/>
            <w:vAlign w:val="center"/>
          </w:tcPr>
          <w:p>
            <w:pPr>
              <w:pStyle w:val="72"/>
              <w:spacing w:line="560" w:lineRule="exact"/>
              <w:ind w:firstLine="200"/>
              <w:jc w:val="center"/>
              <w:rPr>
                <w:rFonts w:hint="eastAsia" w:ascii="宋体" w:hAnsi="宋体" w:eastAsia="宋体" w:cs="宋体"/>
                <w:color w:val="auto"/>
                <w:sz w:val="24"/>
                <w:szCs w:val="24"/>
              </w:rPr>
            </w:pPr>
          </w:p>
        </w:tc>
      </w:tr>
    </w:tbl>
    <w:p>
      <w:pPr>
        <w:spacing w:line="560" w:lineRule="exact"/>
        <w:ind w:firstLine="482" w:firstLineChars="200"/>
        <w:outlineLvl w:val="0"/>
        <w:rPr>
          <w:rFonts w:hint="eastAsia" w:ascii="宋体" w:hAnsi="宋体" w:eastAsia="宋体" w:cs="宋体"/>
          <w:b/>
          <w:color w:val="auto"/>
          <w:sz w:val="24"/>
        </w:rPr>
      </w:pPr>
      <w:bookmarkStart w:id="653" w:name="_Toc3654"/>
      <w:bookmarkStart w:id="654" w:name="_Toc30158"/>
      <w:bookmarkStart w:id="655" w:name="_Toc108877139"/>
      <w:bookmarkStart w:id="656" w:name="_Toc14993"/>
      <w:bookmarkStart w:id="657" w:name="_Toc26916"/>
      <w:bookmarkStart w:id="658" w:name="_Toc30506"/>
      <w:r>
        <w:rPr>
          <w:rFonts w:hint="eastAsia" w:ascii="宋体" w:hAnsi="宋体" w:eastAsia="宋体" w:cs="宋体"/>
          <w:b/>
          <w:color w:val="auto"/>
          <w:sz w:val="24"/>
        </w:rPr>
        <w:t>1.4 付款方式和发票开具方式</w:t>
      </w:r>
      <w:bookmarkEnd w:id="653"/>
      <w:bookmarkEnd w:id="654"/>
      <w:bookmarkEnd w:id="655"/>
      <w:bookmarkEnd w:id="656"/>
      <w:bookmarkEnd w:id="657"/>
      <w:bookmarkEnd w:id="65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659" w:name="_Toc3625"/>
      <w:bookmarkStart w:id="660" w:name="_Toc8772"/>
      <w:bookmarkStart w:id="661" w:name="_Toc4760"/>
      <w:bookmarkStart w:id="662" w:name="_Toc31421"/>
      <w:bookmarkStart w:id="663" w:name="_Toc11108"/>
      <w:bookmarkStart w:id="664" w:name="_Toc108877140"/>
      <w:r>
        <w:rPr>
          <w:rFonts w:hint="eastAsia" w:ascii="宋体" w:hAnsi="宋体" w:eastAsia="宋体" w:cs="宋体"/>
          <w:b/>
          <w:color w:val="auto"/>
          <w:sz w:val="24"/>
        </w:rPr>
        <w:t>1.5 履行期限、地点和方式</w:t>
      </w:r>
      <w:bookmarkEnd w:id="659"/>
      <w:bookmarkEnd w:id="660"/>
      <w:bookmarkEnd w:id="661"/>
      <w:bookmarkEnd w:id="662"/>
      <w:bookmarkEnd w:id="663"/>
      <w:bookmarkEnd w:id="664"/>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履行期限：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履行地点：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 履行方式：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color w:val="auto"/>
          <w:sz w:val="24"/>
          <w:u w:val="single"/>
        </w:rPr>
      </w:pPr>
      <w:bookmarkStart w:id="665" w:name="_Toc2375"/>
      <w:bookmarkStart w:id="666" w:name="_Toc8586"/>
      <w:bookmarkStart w:id="667" w:name="_Toc5698"/>
      <w:bookmarkStart w:id="668" w:name="_Toc3079"/>
      <w:bookmarkStart w:id="669" w:name="_Toc108877141"/>
      <w:bookmarkStart w:id="670" w:name="_Toc24662"/>
      <w:r>
        <w:rPr>
          <w:rFonts w:hint="eastAsia" w:ascii="宋体" w:hAnsi="宋体" w:eastAsia="宋体" w:cs="宋体"/>
          <w:b/>
          <w:color w:val="auto"/>
          <w:sz w:val="24"/>
        </w:rPr>
        <w:t>1.6 违约责任</w:t>
      </w:r>
      <w:bookmarkEnd w:id="665"/>
      <w:bookmarkEnd w:id="666"/>
      <w:bookmarkEnd w:id="667"/>
      <w:bookmarkEnd w:id="668"/>
      <w:bookmarkEnd w:id="669"/>
      <w:bookmarkEnd w:id="67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auto"/>
          <w:sz w:val="24"/>
        </w:rPr>
      </w:pPr>
      <w:bookmarkStart w:id="671" w:name="_Toc9497"/>
      <w:bookmarkStart w:id="672" w:name="_Toc30329"/>
      <w:bookmarkStart w:id="673" w:name="_Toc32454"/>
      <w:bookmarkStart w:id="674" w:name="_Toc26807"/>
      <w:bookmarkStart w:id="675" w:name="_Toc18683"/>
      <w:bookmarkStart w:id="676" w:name="_Toc108877142"/>
      <w:r>
        <w:rPr>
          <w:rFonts w:hint="eastAsia" w:ascii="宋体" w:hAnsi="宋体" w:eastAsia="宋体" w:cs="宋体"/>
          <w:b/>
          <w:color w:val="auto"/>
          <w:sz w:val="24"/>
        </w:rPr>
        <w:t>1.7 合同争议的解决</w:t>
      </w:r>
      <w:bookmarkEnd w:id="671"/>
      <w:bookmarkEnd w:id="672"/>
      <w:bookmarkEnd w:id="673"/>
      <w:bookmarkEnd w:id="674"/>
      <w:bookmarkEnd w:id="675"/>
      <w:bookmarkEnd w:id="67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仲裁委员会依申请仲裁时其现行有效的仲裁规则裁决；</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rPr>
        <w:t>人民法院起诉。</w:t>
      </w:r>
    </w:p>
    <w:p>
      <w:pPr>
        <w:spacing w:line="560" w:lineRule="exact"/>
        <w:ind w:firstLine="482" w:firstLineChars="200"/>
        <w:outlineLvl w:val="0"/>
        <w:rPr>
          <w:rFonts w:hint="eastAsia" w:ascii="宋体" w:hAnsi="宋体" w:eastAsia="宋体" w:cs="宋体"/>
          <w:b/>
          <w:color w:val="auto"/>
          <w:sz w:val="24"/>
        </w:rPr>
      </w:pPr>
      <w:bookmarkStart w:id="677" w:name="_Toc23784"/>
      <w:bookmarkStart w:id="678" w:name="_Toc16417"/>
      <w:bookmarkStart w:id="679" w:name="_Toc15827"/>
      <w:bookmarkStart w:id="680" w:name="_Toc108877143"/>
      <w:bookmarkStart w:id="681" w:name="_Toc26227"/>
      <w:bookmarkStart w:id="682" w:name="_Toc12273"/>
      <w:r>
        <w:rPr>
          <w:rFonts w:hint="eastAsia" w:ascii="宋体" w:hAnsi="宋体" w:eastAsia="宋体" w:cs="宋体"/>
          <w:b/>
          <w:color w:val="auto"/>
          <w:sz w:val="24"/>
        </w:rPr>
        <w:t>1.8 合同生效</w:t>
      </w:r>
      <w:bookmarkEnd w:id="677"/>
      <w:bookmarkEnd w:id="678"/>
      <w:bookmarkEnd w:id="679"/>
      <w:bookmarkEnd w:id="680"/>
      <w:bookmarkEnd w:id="681"/>
      <w:bookmarkEnd w:id="682"/>
    </w:p>
    <w:p>
      <w:pPr>
        <w:spacing w:line="56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本合同自双方当事人盖章或者签字时生效。</w:t>
      </w:r>
    </w:p>
    <w:p>
      <w:pPr>
        <w:autoSpaceDE w:val="0"/>
        <w:autoSpaceDN w:val="0"/>
        <w:adjustRightInd w:val="0"/>
        <w:spacing w:line="560" w:lineRule="exact"/>
        <w:rPr>
          <w:rFonts w:hint="eastAsia" w:ascii="宋体" w:hAnsi="宋体" w:eastAsia="宋体" w:cs="宋体"/>
          <w:color w:val="auto"/>
          <w:sz w:val="24"/>
          <w:lang w:val="zh-CN"/>
        </w:rPr>
      </w:pP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b/>
          <w:color w:val="auto"/>
          <w:sz w:val="24"/>
          <w:lang w:val="zh-CN"/>
        </w:rPr>
        <w:t>甲方</w:t>
      </w:r>
      <w:r>
        <w:rPr>
          <w:rFonts w:hint="eastAsia" w:ascii="宋体" w:hAnsi="宋体" w:eastAsia="宋体" w:cs="宋体"/>
          <w:color w:val="auto"/>
          <w:sz w:val="24"/>
          <w:lang w:val="zh-CN"/>
        </w:rPr>
        <w:t xml:space="preserve">：                             </w:t>
      </w:r>
      <w:r>
        <w:rPr>
          <w:rFonts w:hint="eastAsia" w:ascii="宋体" w:hAnsi="宋体" w:eastAsia="宋体" w:cs="宋体"/>
          <w:b/>
          <w:color w:val="auto"/>
          <w:sz w:val="24"/>
          <w:lang w:val="zh-CN"/>
        </w:rPr>
        <w:t xml:space="preserve">      乙方</w:t>
      </w:r>
      <w:r>
        <w:rPr>
          <w:rFonts w:hint="eastAsia" w:ascii="宋体" w:hAnsi="宋体" w:eastAsia="宋体" w:cs="宋体"/>
          <w:color w:val="auto"/>
          <w:sz w:val="24"/>
          <w:lang w:val="zh-CN"/>
        </w:rPr>
        <w:t>：</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lang w:val="zh-CN"/>
        </w:rPr>
      </w:pP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pPr>
        <w:widowControl/>
        <w:spacing w:line="560" w:lineRule="exact"/>
        <w:jc w:val="left"/>
        <w:rPr>
          <w:rFonts w:hint="eastAsia" w:ascii="宋体" w:hAnsi="宋体" w:eastAsia="宋体" w:cs="宋体"/>
          <w:b/>
          <w:color w:val="auto"/>
        </w:rPr>
      </w:pPr>
      <w:bookmarkStart w:id="683" w:name="_Toc331685783"/>
    </w:p>
    <w:p>
      <w:pPr>
        <w:widowControl/>
        <w:spacing w:line="560" w:lineRule="exact"/>
        <w:jc w:val="left"/>
        <w:rPr>
          <w:rFonts w:hint="eastAsia" w:ascii="宋体" w:hAnsi="宋体" w:eastAsia="宋体" w:cs="宋体"/>
          <w:b/>
          <w:color w:val="auto"/>
        </w:rPr>
      </w:pPr>
    </w:p>
    <w:p>
      <w:pPr>
        <w:pStyle w:val="64"/>
        <w:spacing w:line="560" w:lineRule="exact"/>
        <w:ind w:firstLine="200"/>
        <w:jc w:val="center"/>
        <w:rPr>
          <w:rFonts w:hint="eastAsia" w:ascii="宋体" w:hAnsi="宋体" w:eastAsia="宋体" w:cs="宋体"/>
          <w:b/>
          <w:color w:val="auto"/>
          <w:szCs w:val="24"/>
        </w:rPr>
      </w:pPr>
      <w:r>
        <w:rPr>
          <w:rFonts w:hint="eastAsia" w:ascii="宋体" w:hAnsi="宋体" w:eastAsia="宋体" w:cs="宋体"/>
          <w:b/>
          <w:color w:val="auto"/>
          <w:szCs w:val="24"/>
        </w:rPr>
        <w:t>第二部分 合同一般条款</w:t>
      </w:r>
      <w:bookmarkEnd w:id="683"/>
    </w:p>
    <w:p>
      <w:pPr>
        <w:spacing w:line="560" w:lineRule="exact"/>
        <w:ind w:firstLine="482" w:firstLineChars="200"/>
        <w:outlineLvl w:val="0"/>
        <w:rPr>
          <w:rFonts w:hint="eastAsia" w:ascii="宋体" w:hAnsi="宋体" w:eastAsia="宋体" w:cs="宋体"/>
          <w:b/>
          <w:color w:val="auto"/>
          <w:sz w:val="24"/>
        </w:rPr>
      </w:pPr>
      <w:bookmarkStart w:id="684" w:name="_Ref467378499"/>
      <w:bookmarkStart w:id="685" w:name="_Toc108877144"/>
      <w:bookmarkStart w:id="686" w:name="_Ref467379205"/>
      <w:bookmarkStart w:id="687" w:name="_Ref467379109"/>
      <w:bookmarkStart w:id="688" w:name="_Ref467379195"/>
      <w:bookmarkStart w:id="689" w:name="_Toc279701240"/>
      <w:bookmarkStart w:id="690" w:name="_Toc14021"/>
      <w:bookmarkStart w:id="691" w:name="_Toc25079"/>
      <w:bookmarkStart w:id="692" w:name="_Ref467378463"/>
      <w:bookmarkStart w:id="693" w:name="_Toc487900349"/>
      <w:bookmarkStart w:id="694" w:name="_Ref467379225"/>
      <w:bookmarkStart w:id="695" w:name="_Ref467379101"/>
      <w:bookmarkStart w:id="696" w:name="_Toc31297"/>
      <w:bookmarkStart w:id="697" w:name="_Ref467379214"/>
      <w:bookmarkStart w:id="698" w:name="_Toc19680"/>
      <w:bookmarkStart w:id="699" w:name="_Toc259093669"/>
      <w:bookmarkStart w:id="700" w:name="_Toc5228"/>
      <w:bookmarkStart w:id="701" w:name="_Ref467379094"/>
      <w:bookmarkStart w:id="702" w:name="_Ref467378404"/>
      <w:r>
        <w:rPr>
          <w:rFonts w:hint="eastAsia" w:ascii="宋体" w:hAnsi="宋体" w:eastAsia="宋体" w:cs="宋体"/>
          <w:b/>
          <w:color w:val="auto"/>
          <w:sz w:val="24"/>
        </w:rPr>
        <w:t>2.1 定义</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color w:val="auto"/>
          <w:sz w:val="24"/>
        </w:rPr>
      </w:pPr>
      <w:bookmarkStart w:id="703" w:name="_Ref467378840"/>
      <w:r>
        <w:rPr>
          <w:rFonts w:hint="eastAsia" w:ascii="宋体" w:hAnsi="宋体" w:eastAsia="宋体" w:cs="宋体"/>
          <w:color w:val="auto"/>
          <w:sz w:val="24"/>
        </w:rPr>
        <w:t>2.1.4 “甲方”系指与中标供应商签署合同的采购人</w:t>
      </w:r>
      <w:bookmarkEnd w:id="703"/>
      <w:r>
        <w:rPr>
          <w:rFonts w:hint="eastAsia" w:ascii="宋体" w:hAnsi="宋体" w:eastAsia="宋体" w:cs="宋体"/>
          <w:color w:val="auto"/>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rPr>
      </w:pPr>
      <w:bookmarkStart w:id="704" w:name="_Ref467379400"/>
      <w:r>
        <w:rPr>
          <w:rFonts w:hint="eastAsia" w:ascii="宋体" w:hAnsi="宋体" w:eastAsia="宋体" w:cs="宋体"/>
          <w:color w:val="auto"/>
          <w:sz w:val="24"/>
        </w:rPr>
        <w:t>2.1.5 “乙方”系指根据合同约定提供服务的中标供应商</w:t>
      </w:r>
      <w:bookmarkEnd w:id="704"/>
      <w:r>
        <w:rPr>
          <w:rFonts w:hint="eastAsia" w:ascii="宋体" w:hAnsi="宋体" w:eastAsia="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rPr>
      </w:pPr>
      <w:bookmarkStart w:id="705" w:name="_Ref467379436"/>
      <w:r>
        <w:rPr>
          <w:rFonts w:hint="eastAsia" w:ascii="宋体" w:hAnsi="宋体" w:eastAsia="宋体" w:cs="宋体"/>
          <w:color w:val="auto"/>
          <w:sz w:val="24"/>
        </w:rPr>
        <w:t>2.1.6 “现场”系指合同约定提供服务的地点。</w:t>
      </w:r>
      <w:bookmarkEnd w:id="705"/>
    </w:p>
    <w:p>
      <w:pPr>
        <w:spacing w:line="560" w:lineRule="exact"/>
        <w:ind w:firstLine="482" w:firstLineChars="200"/>
        <w:outlineLvl w:val="0"/>
        <w:rPr>
          <w:rFonts w:hint="eastAsia" w:ascii="宋体" w:hAnsi="宋体" w:eastAsia="宋体" w:cs="宋体"/>
          <w:b/>
          <w:color w:val="auto"/>
          <w:sz w:val="24"/>
        </w:rPr>
      </w:pPr>
      <w:bookmarkStart w:id="706" w:name="_Toc487900350"/>
      <w:bookmarkStart w:id="707" w:name="_Toc279701241"/>
      <w:bookmarkStart w:id="708" w:name="_Toc31402"/>
      <w:bookmarkStart w:id="709" w:name="_Toc3769"/>
      <w:bookmarkStart w:id="710" w:name="_Toc259093670"/>
      <w:bookmarkStart w:id="711" w:name="_Toc16752"/>
      <w:bookmarkStart w:id="712" w:name="_Toc108877145"/>
      <w:bookmarkStart w:id="713" w:name="_Toc23289"/>
      <w:bookmarkStart w:id="714" w:name="_Toc19539"/>
      <w:r>
        <w:rPr>
          <w:rFonts w:hint="eastAsia" w:ascii="宋体" w:hAnsi="宋体" w:eastAsia="宋体" w:cs="宋体"/>
          <w:b/>
          <w:color w:val="auto"/>
          <w:sz w:val="24"/>
        </w:rPr>
        <w:t>2.2 技术规范</w:t>
      </w:r>
      <w:bookmarkEnd w:id="706"/>
      <w:bookmarkEnd w:id="707"/>
      <w:bookmarkEnd w:id="708"/>
      <w:bookmarkEnd w:id="709"/>
      <w:bookmarkEnd w:id="710"/>
      <w:bookmarkEnd w:id="711"/>
      <w:bookmarkEnd w:id="712"/>
      <w:bookmarkEnd w:id="713"/>
      <w:bookmarkEnd w:id="71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auto"/>
          <w:sz w:val="24"/>
        </w:rPr>
      </w:pPr>
      <w:bookmarkStart w:id="715" w:name="_Toc4133"/>
      <w:bookmarkStart w:id="716" w:name="_Toc13673"/>
      <w:bookmarkStart w:id="717" w:name="_Toc12412"/>
      <w:bookmarkStart w:id="718" w:name="_Toc108877146"/>
      <w:bookmarkStart w:id="719" w:name="_Toc279701242"/>
      <w:bookmarkStart w:id="720" w:name="_Toc487900351"/>
      <w:bookmarkStart w:id="721" w:name="_Toc259093671"/>
      <w:bookmarkStart w:id="722" w:name="_Toc27945"/>
      <w:bookmarkStart w:id="723" w:name="_Toc9161"/>
      <w:r>
        <w:rPr>
          <w:rFonts w:hint="eastAsia" w:ascii="宋体" w:hAnsi="宋体" w:eastAsia="宋体" w:cs="宋体"/>
          <w:b/>
          <w:color w:val="auto"/>
          <w:sz w:val="24"/>
        </w:rPr>
        <w:t>2.3 知识产权</w:t>
      </w:r>
      <w:bookmarkEnd w:id="715"/>
      <w:bookmarkEnd w:id="716"/>
      <w:bookmarkEnd w:id="717"/>
      <w:bookmarkEnd w:id="718"/>
      <w:bookmarkEnd w:id="719"/>
      <w:bookmarkEnd w:id="720"/>
      <w:bookmarkEnd w:id="721"/>
      <w:bookmarkEnd w:id="722"/>
      <w:bookmarkEnd w:id="723"/>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 合同涉及技术成果的归属和收益的分成办法的，详见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2.4 履约检查和问题反馈</w:t>
      </w:r>
    </w:p>
    <w:p>
      <w:pPr>
        <w:spacing w:line="560" w:lineRule="exact"/>
        <w:ind w:firstLine="480" w:firstLineChars="200"/>
        <w:rPr>
          <w:rFonts w:hint="eastAsia" w:ascii="宋体" w:hAnsi="宋体" w:eastAsia="宋体" w:cs="宋体"/>
          <w:color w:val="auto"/>
          <w:sz w:val="24"/>
        </w:rPr>
      </w:pPr>
      <w:bookmarkStart w:id="724" w:name="_Ref467379657"/>
      <w:r>
        <w:rPr>
          <w:rFonts w:hint="eastAsia" w:ascii="宋体" w:hAnsi="宋体" w:eastAsia="宋体" w:cs="宋体"/>
          <w:color w:val="auto"/>
          <w:sz w:val="24"/>
        </w:rPr>
        <w:t>2.4.1</w:t>
      </w:r>
      <w:bookmarkEnd w:id="724"/>
      <w:bookmarkStart w:id="725" w:name="_Toc186431854"/>
      <w:bookmarkStart w:id="726" w:name="_Toc259093676"/>
      <w:bookmarkStart w:id="727" w:name="_Toc487900357"/>
      <w:bookmarkStart w:id="728" w:name="_Ref467379793"/>
      <w:bookmarkStart w:id="729" w:name="_Ref467379807"/>
      <w:bookmarkStart w:id="730" w:name="_Toc279701247"/>
      <w:r>
        <w:rPr>
          <w:rFonts w:hint="eastAsia" w:ascii="宋体" w:hAnsi="宋体" w:eastAsia="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合同履行期间，甲方有权将履行过程中出现的问题反馈给乙方，双方当事人应以书面形式约定需要完善和改进的内容</w:t>
      </w:r>
      <w:bookmarkEnd w:id="725"/>
      <w:bookmarkStart w:id="731" w:name="_Toc186431855"/>
      <w:r>
        <w:rPr>
          <w:rFonts w:hint="eastAsia" w:ascii="宋体" w:hAnsi="宋体" w:eastAsia="宋体" w:cs="宋体"/>
          <w:color w:val="auto"/>
          <w:sz w:val="24"/>
        </w:rPr>
        <w:t>。</w:t>
      </w:r>
    </w:p>
    <w:bookmarkEnd w:id="731"/>
    <w:p>
      <w:pPr>
        <w:spacing w:line="560" w:lineRule="exact"/>
        <w:ind w:firstLine="482" w:firstLineChars="200"/>
        <w:outlineLvl w:val="0"/>
        <w:rPr>
          <w:rFonts w:hint="eastAsia" w:ascii="宋体" w:hAnsi="宋体" w:eastAsia="宋体" w:cs="宋体"/>
          <w:b/>
          <w:color w:val="auto"/>
          <w:sz w:val="24"/>
        </w:rPr>
      </w:pPr>
      <w:bookmarkStart w:id="732" w:name="_Toc22011"/>
      <w:bookmarkStart w:id="733" w:name="_Toc32670"/>
      <w:bookmarkStart w:id="734" w:name="_Toc108877147"/>
      <w:bookmarkStart w:id="735" w:name="_Toc15447"/>
      <w:bookmarkStart w:id="736" w:name="_Toc26555"/>
      <w:bookmarkStart w:id="737" w:name="_Toc31233"/>
      <w:r>
        <w:rPr>
          <w:rFonts w:hint="eastAsia" w:ascii="宋体" w:hAnsi="宋体" w:eastAsia="宋体" w:cs="宋体"/>
          <w:b/>
          <w:color w:val="auto"/>
          <w:sz w:val="24"/>
        </w:rPr>
        <w:t>2.5 结算方式和付款条件</w:t>
      </w:r>
      <w:bookmarkEnd w:id="726"/>
      <w:bookmarkEnd w:id="727"/>
      <w:bookmarkEnd w:id="728"/>
      <w:bookmarkEnd w:id="729"/>
      <w:bookmarkEnd w:id="730"/>
      <w:bookmarkEnd w:id="732"/>
      <w:bookmarkEnd w:id="733"/>
      <w:bookmarkEnd w:id="734"/>
      <w:bookmarkEnd w:id="735"/>
      <w:bookmarkEnd w:id="736"/>
      <w:bookmarkEnd w:id="73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738" w:name="_Ref467379863"/>
      <w:bookmarkStart w:id="739" w:name="_Ref467379923"/>
      <w:bookmarkStart w:id="740" w:name="_Toc487900358"/>
      <w:bookmarkStart w:id="741" w:name="_Ref467379852"/>
      <w:bookmarkStart w:id="742" w:name="_Toc259093677"/>
      <w:bookmarkStart w:id="743" w:name="_Toc279701248"/>
      <w:bookmarkStart w:id="744" w:name="_Toc18990"/>
      <w:bookmarkStart w:id="745" w:name="_Toc13154"/>
      <w:bookmarkStart w:id="746" w:name="_Toc13467"/>
      <w:bookmarkStart w:id="747" w:name="_Toc16163"/>
      <w:bookmarkStart w:id="748" w:name="_Toc30507"/>
      <w:bookmarkStart w:id="749" w:name="_Toc108877148"/>
      <w:r>
        <w:rPr>
          <w:rFonts w:hint="eastAsia" w:ascii="宋体" w:hAnsi="宋体" w:eastAsia="宋体" w:cs="宋体"/>
          <w:b/>
          <w:color w:val="auto"/>
          <w:sz w:val="24"/>
        </w:rPr>
        <w:t>2.6 技术资料</w:t>
      </w:r>
      <w:bookmarkEnd w:id="738"/>
      <w:bookmarkEnd w:id="739"/>
      <w:bookmarkEnd w:id="740"/>
      <w:bookmarkEnd w:id="741"/>
      <w:bookmarkEnd w:id="742"/>
      <w:bookmarkEnd w:id="743"/>
      <w:r>
        <w:rPr>
          <w:rFonts w:hint="eastAsia" w:ascii="宋体" w:hAnsi="宋体" w:eastAsia="宋体" w:cs="宋体"/>
          <w:b/>
          <w:color w:val="auto"/>
          <w:sz w:val="24"/>
        </w:rPr>
        <w:t>和保密义务</w:t>
      </w:r>
      <w:bookmarkEnd w:id="744"/>
      <w:bookmarkEnd w:id="745"/>
      <w:bookmarkEnd w:id="746"/>
      <w:bookmarkEnd w:id="747"/>
      <w:bookmarkEnd w:id="748"/>
      <w:bookmarkEnd w:id="74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2.6.2 乙方有义务妥善保管和保护由甲方提供的前款信息和资料等；</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auto"/>
          <w:sz w:val="24"/>
        </w:rPr>
      </w:pPr>
      <w:bookmarkStart w:id="750" w:name="_Toc108877149"/>
      <w:bookmarkStart w:id="751" w:name="_Toc19069"/>
      <w:bookmarkStart w:id="752" w:name="_Toc279701252"/>
      <w:bookmarkStart w:id="753" w:name="_Toc487900362"/>
      <w:bookmarkStart w:id="754" w:name="_Toc259093681"/>
      <w:r>
        <w:rPr>
          <w:rFonts w:hint="eastAsia" w:ascii="宋体" w:hAnsi="宋体" w:eastAsia="宋体" w:cs="宋体"/>
          <w:b/>
          <w:color w:val="auto"/>
          <w:sz w:val="24"/>
        </w:rPr>
        <w:t>2.7 质量保证</w:t>
      </w:r>
      <w:bookmarkEnd w:id="750"/>
      <w:bookmarkEnd w:id="75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auto"/>
          <w:sz w:val="24"/>
        </w:rPr>
      </w:pPr>
      <w:bookmarkStart w:id="755" w:name="_Toc22267"/>
      <w:bookmarkStart w:id="756" w:name="_Toc108877150"/>
      <w:r>
        <w:rPr>
          <w:rFonts w:hint="eastAsia" w:ascii="宋体" w:hAnsi="宋体" w:eastAsia="宋体" w:cs="宋体"/>
          <w:b/>
          <w:color w:val="auto"/>
          <w:sz w:val="24"/>
        </w:rPr>
        <w:t>2.8 延迟</w:t>
      </w:r>
      <w:bookmarkEnd w:id="752"/>
      <w:bookmarkEnd w:id="753"/>
      <w:bookmarkEnd w:id="754"/>
      <w:r>
        <w:rPr>
          <w:rFonts w:hint="eastAsia" w:ascii="宋体" w:hAnsi="宋体" w:eastAsia="宋体" w:cs="宋体"/>
          <w:b/>
          <w:color w:val="auto"/>
          <w:sz w:val="24"/>
        </w:rPr>
        <w:t>履行</w:t>
      </w:r>
      <w:bookmarkEnd w:id="755"/>
      <w:bookmarkEnd w:id="75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color w:val="auto"/>
          <w:sz w:val="24"/>
        </w:rPr>
      </w:pPr>
      <w:bookmarkStart w:id="757" w:name="_Toc10611"/>
      <w:bookmarkStart w:id="758" w:name="_Toc108877151"/>
      <w:bookmarkStart w:id="759" w:name="_Toc259093683"/>
      <w:bookmarkStart w:id="760" w:name="_Ref467378121"/>
      <w:bookmarkStart w:id="761" w:name="_Toc279701254"/>
      <w:bookmarkStart w:id="762" w:name="_Toc487900364"/>
      <w:r>
        <w:rPr>
          <w:rFonts w:hint="eastAsia" w:ascii="宋体" w:hAnsi="宋体" w:eastAsia="宋体" w:cs="宋体"/>
          <w:b/>
          <w:color w:val="auto"/>
          <w:sz w:val="24"/>
        </w:rPr>
        <w:t>2.9 合同变更</w:t>
      </w:r>
      <w:bookmarkEnd w:id="757"/>
      <w:bookmarkEnd w:id="75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763" w:name="_Toc279701259"/>
      <w:bookmarkStart w:id="764" w:name="_Toc487900369"/>
      <w:bookmarkStart w:id="765" w:name="_Toc259093688"/>
    </w:p>
    <w:p>
      <w:pPr>
        <w:spacing w:line="560" w:lineRule="exact"/>
        <w:ind w:firstLine="482" w:firstLineChars="200"/>
        <w:outlineLvl w:val="0"/>
        <w:rPr>
          <w:rFonts w:hint="eastAsia" w:ascii="宋体" w:hAnsi="宋体" w:eastAsia="宋体" w:cs="宋体"/>
          <w:b/>
          <w:color w:val="auto"/>
          <w:sz w:val="24"/>
        </w:rPr>
      </w:pPr>
      <w:bookmarkStart w:id="766" w:name="_Toc26689"/>
      <w:bookmarkStart w:id="767" w:name="_Toc108877152"/>
      <w:bookmarkStart w:id="768" w:name="_Toc42"/>
      <w:bookmarkStart w:id="769" w:name="_Toc10663"/>
      <w:bookmarkStart w:id="770" w:name="_Toc21830"/>
      <w:bookmarkStart w:id="771" w:name="_Toc23368"/>
      <w:r>
        <w:rPr>
          <w:rFonts w:hint="eastAsia" w:ascii="宋体" w:hAnsi="宋体" w:eastAsia="宋体" w:cs="宋体"/>
          <w:b/>
          <w:color w:val="auto"/>
          <w:sz w:val="24"/>
        </w:rPr>
        <w:t>2.10 合同转让</w:t>
      </w:r>
      <w:bookmarkEnd w:id="763"/>
      <w:bookmarkEnd w:id="764"/>
      <w:bookmarkEnd w:id="765"/>
      <w:r>
        <w:rPr>
          <w:rFonts w:hint="eastAsia" w:ascii="宋体" w:hAnsi="宋体" w:eastAsia="宋体" w:cs="宋体"/>
          <w:b/>
          <w:color w:val="auto"/>
          <w:sz w:val="24"/>
        </w:rPr>
        <w:t>和分包</w:t>
      </w:r>
      <w:bookmarkEnd w:id="766"/>
      <w:bookmarkEnd w:id="767"/>
      <w:bookmarkEnd w:id="768"/>
      <w:bookmarkEnd w:id="769"/>
      <w:bookmarkEnd w:id="770"/>
      <w:bookmarkEnd w:id="77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color w:val="auto"/>
          <w:sz w:val="24"/>
        </w:rPr>
      </w:pPr>
      <w:bookmarkStart w:id="772" w:name="_Toc25571"/>
      <w:bookmarkStart w:id="773" w:name="_Toc32494"/>
      <w:bookmarkStart w:id="774" w:name="_Toc14371"/>
      <w:bookmarkStart w:id="775" w:name="_Toc108877153"/>
      <w:bookmarkStart w:id="776" w:name="_Toc26633"/>
      <w:bookmarkStart w:id="777" w:name="_Toc4720"/>
      <w:r>
        <w:rPr>
          <w:rFonts w:hint="eastAsia" w:ascii="宋体" w:hAnsi="宋体" w:eastAsia="宋体" w:cs="宋体"/>
          <w:b/>
          <w:color w:val="auto"/>
          <w:sz w:val="24"/>
        </w:rPr>
        <w:t>2.11 不可抗力</w:t>
      </w:r>
      <w:bookmarkEnd w:id="772"/>
      <w:bookmarkEnd w:id="773"/>
      <w:bookmarkEnd w:id="774"/>
      <w:bookmarkEnd w:id="775"/>
      <w:bookmarkEnd w:id="776"/>
      <w:bookmarkEnd w:id="77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因不可抗力致使不能实现合同目的的，当事人可以解除合同；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2.11.3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2.11.4受不可抗力影响的一方在不可抗力发生后，应在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color w:val="auto"/>
          <w:sz w:val="24"/>
        </w:rPr>
      </w:pPr>
      <w:bookmarkStart w:id="778" w:name="_Toc25783"/>
      <w:bookmarkStart w:id="779" w:name="_Toc3638"/>
      <w:bookmarkStart w:id="780" w:name="_Toc259093684"/>
      <w:bookmarkStart w:id="781" w:name="_Toc14115"/>
      <w:bookmarkStart w:id="782" w:name="_Toc279701255"/>
      <w:bookmarkStart w:id="783" w:name="_Toc487900365"/>
      <w:bookmarkStart w:id="784" w:name="_Toc24465"/>
      <w:bookmarkStart w:id="785" w:name="_Toc23854"/>
      <w:bookmarkStart w:id="786" w:name="_Toc108877154"/>
      <w:r>
        <w:rPr>
          <w:rFonts w:hint="eastAsia" w:ascii="宋体" w:hAnsi="宋体" w:eastAsia="宋体" w:cs="宋体"/>
          <w:b/>
          <w:color w:val="auto"/>
          <w:sz w:val="24"/>
        </w:rPr>
        <w:t>2.12 税费</w:t>
      </w:r>
      <w:bookmarkEnd w:id="778"/>
      <w:bookmarkEnd w:id="779"/>
      <w:bookmarkEnd w:id="780"/>
      <w:bookmarkEnd w:id="781"/>
      <w:bookmarkEnd w:id="782"/>
      <w:bookmarkEnd w:id="783"/>
      <w:bookmarkEnd w:id="784"/>
      <w:bookmarkEnd w:id="785"/>
      <w:bookmarkEnd w:id="78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color w:val="auto"/>
          <w:sz w:val="24"/>
        </w:rPr>
      </w:pPr>
      <w:bookmarkStart w:id="787" w:name="_Toc30105"/>
      <w:bookmarkStart w:id="788" w:name="_Toc14814"/>
      <w:bookmarkStart w:id="789" w:name="_Toc26883"/>
      <w:bookmarkStart w:id="790" w:name="_Toc259093687"/>
      <w:bookmarkStart w:id="791" w:name="_Toc25525"/>
      <w:bookmarkStart w:id="792" w:name="_Toc7315"/>
      <w:bookmarkStart w:id="793" w:name="_Toc487900368"/>
      <w:bookmarkStart w:id="794" w:name="_Toc108877155"/>
      <w:bookmarkStart w:id="795" w:name="_Toc279701258"/>
      <w:r>
        <w:rPr>
          <w:rFonts w:hint="eastAsia" w:ascii="宋体" w:hAnsi="宋体" w:eastAsia="宋体" w:cs="宋体"/>
          <w:b/>
          <w:color w:val="auto"/>
          <w:sz w:val="24"/>
        </w:rPr>
        <w:t>2.13 乙方破产</w:t>
      </w:r>
      <w:bookmarkEnd w:id="787"/>
      <w:bookmarkEnd w:id="788"/>
      <w:bookmarkEnd w:id="789"/>
      <w:bookmarkEnd w:id="790"/>
      <w:bookmarkEnd w:id="791"/>
      <w:bookmarkEnd w:id="792"/>
      <w:bookmarkEnd w:id="793"/>
      <w:bookmarkEnd w:id="794"/>
      <w:bookmarkEnd w:id="795"/>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auto"/>
          <w:sz w:val="24"/>
        </w:rPr>
      </w:pPr>
      <w:bookmarkStart w:id="796" w:name="_Toc23323"/>
      <w:bookmarkStart w:id="797" w:name="_Toc1123"/>
      <w:bookmarkStart w:id="798" w:name="_Toc2016"/>
      <w:bookmarkStart w:id="799" w:name="_Toc108877156"/>
      <w:r>
        <w:rPr>
          <w:rFonts w:hint="eastAsia" w:ascii="宋体" w:hAnsi="宋体" w:eastAsia="宋体" w:cs="宋体"/>
          <w:b/>
          <w:color w:val="auto"/>
          <w:sz w:val="24"/>
        </w:rPr>
        <w:t>2.14 合同中止、终止</w:t>
      </w:r>
      <w:bookmarkEnd w:id="796"/>
      <w:bookmarkEnd w:id="797"/>
      <w:bookmarkEnd w:id="798"/>
      <w:bookmarkEnd w:id="79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2.14.1 双方当事人不得擅自中止或者终止合同；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auto"/>
          <w:sz w:val="24"/>
        </w:rPr>
      </w:pPr>
      <w:bookmarkStart w:id="800" w:name="_Toc14525"/>
      <w:bookmarkStart w:id="801" w:name="_Toc17363"/>
      <w:bookmarkStart w:id="802" w:name="_Toc108877157"/>
      <w:bookmarkStart w:id="803" w:name="_Toc1969"/>
      <w:r>
        <w:rPr>
          <w:rFonts w:hint="eastAsia" w:ascii="宋体" w:hAnsi="宋体" w:eastAsia="宋体" w:cs="宋体"/>
          <w:b/>
          <w:color w:val="auto"/>
          <w:sz w:val="24"/>
        </w:rPr>
        <w:t>2.15 检验和验收</w:t>
      </w:r>
      <w:bookmarkEnd w:id="800"/>
      <w:bookmarkEnd w:id="801"/>
      <w:bookmarkEnd w:id="802"/>
      <w:bookmarkEnd w:id="803"/>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2.15.1 乙方按照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的约定，定期提交服务报告，甲方按照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759"/>
    <w:bookmarkEnd w:id="760"/>
    <w:bookmarkEnd w:id="761"/>
    <w:bookmarkEnd w:id="762"/>
    <w:p>
      <w:pPr>
        <w:spacing w:line="560" w:lineRule="exact"/>
        <w:ind w:firstLine="482" w:firstLineChars="200"/>
        <w:outlineLvl w:val="0"/>
        <w:rPr>
          <w:rFonts w:hint="eastAsia" w:ascii="宋体" w:hAnsi="宋体" w:eastAsia="宋体" w:cs="宋体"/>
          <w:b/>
          <w:color w:val="auto"/>
          <w:sz w:val="24"/>
        </w:rPr>
      </w:pPr>
      <w:bookmarkStart w:id="804" w:name="_Toc279701261"/>
      <w:bookmarkStart w:id="805" w:name="_Toc487900371"/>
      <w:bookmarkStart w:id="806" w:name="_Toc259093690"/>
      <w:bookmarkStart w:id="807" w:name="_Toc25198"/>
      <w:bookmarkStart w:id="808" w:name="_Toc12666"/>
      <w:bookmarkStart w:id="809" w:name="_Toc108877158"/>
      <w:bookmarkStart w:id="810" w:name="_Toc31892"/>
      <w:bookmarkStart w:id="811" w:name="_Toc9808"/>
      <w:bookmarkStart w:id="812" w:name="_Toc2308"/>
      <w:r>
        <w:rPr>
          <w:rFonts w:hint="eastAsia" w:ascii="宋体" w:hAnsi="宋体" w:eastAsia="宋体" w:cs="宋体"/>
          <w:b/>
          <w:color w:val="auto"/>
          <w:sz w:val="24"/>
        </w:rPr>
        <w:t>2.16 通知</w:t>
      </w:r>
      <w:bookmarkEnd w:id="804"/>
      <w:bookmarkEnd w:id="805"/>
      <w:bookmarkEnd w:id="806"/>
      <w:r>
        <w:rPr>
          <w:rFonts w:hint="eastAsia" w:ascii="宋体" w:hAnsi="宋体" w:eastAsia="宋体" w:cs="宋体"/>
          <w:b/>
          <w:color w:val="auto"/>
          <w:sz w:val="24"/>
        </w:rPr>
        <w:t>和送达</w:t>
      </w:r>
      <w:bookmarkEnd w:id="807"/>
      <w:bookmarkEnd w:id="808"/>
      <w:bookmarkEnd w:id="809"/>
      <w:bookmarkEnd w:id="810"/>
      <w:bookmarkEnd w:id="811"/>
      <w:bookmarkEnd w:id="812"/>
    </w:p>
    <w:p>
      <w:pPr>
        <w:spacing w:line="560" w:lineRule="exact"/>
        <w:ind w:firstLine="480" w:firstLineChars="200"/>
        <w:rPr>
          <w:rFonts w:hint="eastAsia" w:ascii="宋体" w:hAnsi="宋体" w:eastAsia="宋体" w:cs="宋体"/>
          <w:color w:val="auto"/>
          <w:sz w:val="24"/>
        </w:rPr>
      </w:pPr>
      <w:bookmarkStart w:id="813" w:name="_Toc29220"/>
      <w:bookmarkStart w:id="814" w:name="_Toc7073"/>
      <w:bookmarkStart w:id="815" w:name="_Toc487900372"/>
      <w:bookmarkStart w:id="816" w:name="_Toc259093691"/>
      <w:bookmarkStart w:id="817" w:name="_Toc279701262"/>
      <w:r>
        <w:rPr>
          <w:rFonts w:hint="eastAsia" w:ascii="宋体" w:hAnsi="宋体" w:eastAsia="宋体" w:cs="宋体"/>
          <w:color w:val="auto"/>
          <w:sz w:val="24"/>
        </w:rPr>
        <w:t>2.16.1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813"/>
      <w:bookmarkEnd w:id="814"/>
    </w:p>
    <w:p>
      <w:pPr>
        <w:spacing w:line="560" w:lineRule="exact"/>
        <w:ind w:firstLine="480" w:firstLineChars="200"/>
        <w:rPr>
          <w:rFonts w:hint="eastAsia" w:ascii="宋体" w:hAnsi="宋体" w:eastAsia="宋体" w:cs="宋体"/>
          <w:color w:val="auto"/>
          <w:sz w:val="24"/>
        </w:rPr>
      </w:pPr>
      <w:bookmarkStart w:id="818" w:name="_Toc27674"/>
      <w:bookmarkStart w:id="819" w:name="_Toc18401"/>
      <w:r>
        <w:rPr>
          <w:rFonts w:hint="eastAsia" w:ascii="宋体" w:hAnsi="宋体" w:eastAsia="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818"/>
      <w:bookmarkEnd w:id="819"/>
    </w:p>
    <w:bookmarkEnd w:id="815"/>
    <w:bookmarkEnd w:id="816"/>
    <w:bookmarkEnd w:id="817"/>
    <w:p>
      <w:pPr>
        <w:spacing w:line="560" w:lineRule="exact"/>
        <w:ind w:firstLine="482" w:firstLineChars="200"/>
        <w:outlineLvl w:val="0"/>
        <w:rPr>
          <w:rFonts w:hint="eastAsia" w:ascii="宋体" w:hAnsi="宋体" w:eastAsia="宋体" w:cs="宋体"/>
          <w:b/>
          <w:color w:val="auto"/>
          <w:sz w:val="24"/>
        </w:rPr>
      </w:pPr>
      <w:bookmarkStart w:id="820" w:name="_Toc20808"/>
      <w:bookmarkStart w:id="821" w:name="_Toc259093692"/>
      <w:bookmarkStart w:id="822" w:name="_Toc12254"/>
      <w:bookmarkStart w:id="823" w:name="_Toc108877159"/>
      <w:bookmarkStart w:id="824" w:name="_Toc487900373"/>
      <w:bookmarkStart w:id="825" w:name="_Toc279701263"/>
      <w:bookmarkStart w:id="826" w:name="_Toc27644"/>
      <w:bookmarkStart w:id="827" w:name="_Toc5063"/>
      <w:bookmarkStart w:id="828" w:name="_Toc28906"/>
      <w:r>
        <w:rPr>
          <w:rFonts w:hint="eastAsia" w:ascii="宋体" w:hAnsi="宋体" w:eastAsia="宋体" w:cs="宋体"/>
          <w:b/>
          <w:color w:val="auto"/>
          <w:sz w:val="24"/>
        </w:rPr>
        <w:t>2.17 合同使用的文字和适用的法律</w:t>
      </w:r>
      <w:bookmarkEnd w:id="820"/>
      <w:bookmarkEnd w:id="821"/>
      <w:bookmarkEnd w:id="822"/>
      <w:bookmarkEnd w:id="823"/>
      <w:bookmarkEnd w:id="824"/>
      <w:bookmarkEnd w:id="825"/>
      <w:bookmarkEnd w:id="826"/>
      <w:bookmarkEnd w:id="827"/>
      <w:bookmarkEnd w:id="82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 合同使用汉语书就、变更和解释；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 合同适用中华人民共和国法律。</w:t>
      </w:r>
    </w:p>
    <w:p>
      <w:pPr>
        <w:spacing w:line="560" w:lineRule="exact"/>
        <w:ind w:firstLine="482" w:firstLineChars="200"/>
        <w:outlineLvl w:val="0"/>
        <w:rPr>
          <w:rFonts w:hint="eastAsia" w:ascii="宋体" w:hAnsi="宋体" w:eastAsia="宋体" w:cs="宋体"/>
          <w:b/>
          <w:color w:val="auto"/>
          <w:sz w:val="24"/>
        </w:rPr>
      </w:pPr>
      <w:bookmarkStart w:id="829" w:name="_Toc30096"/>
      <w:bookmarkStart w:id="830" w:name="_Toc27127"/>
      <w:bookmarkStart w:id="831" w:name="_Toc22266"/>
      <w:bookmarkStart w:id="832" w:name="_Toc108877160"/>
      <w:bookmarkStart w:id="833" w:name="_Toc1492"/>
      <w:bookmarkStart w:id="834" w:name="_Toc279701264"/>
      <w:bookmarkStart w:id="835" w:name="_Toc27403"/>
      <w:bookmarkStart w:id="836" w:name="_Toc259093693"/>
      <w:bookmarkStart w:id="837" w:name="_Toc487900374"/>
      <w:r>
        <w:rPr>
          <w:rFonts w:hint="eastAsia" w:ascii="宋体" w:hAnsi="宋体" w:eastAsia="宋体" w:cs="宋体"/>
          <w:b/>
          <w:color w:val="auto"/>
          <w:sz w:val="24"/>
        </w:rPr>
        <w:t>2.18 履约保证金</w:t>
      </w:r>
      <w:bookmarkEnd w:id="829"/>
      <w:bookmarkEnd w:id="830"/>
      <w:bookmarkEnd w:id="831"/>
      <w:bookmarkEnd w:id="832"/>
      <w:bookmarkEnd w:id="833"/>
      <w:bookmarkEnd w:id="834"/>
      <w:bookmarkEnd w:id="835"/>
      <w:bookmarkEnd w:id="83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2.18.1 采购文件要求乙方提交履约保证金的，乙方应按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2.18.2 履约保证金在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约定期间内不予退还或者应完全有效，前述约定期间届满之日起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837"/>
    <w:p>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2.19 合同份数</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规定，每份均具有同等法律效力。</w:t>
      </w:r>
    </w:p>
    <w:p>
      <w:pPr>
        <w:pStyle w:val="64"/>
        <w:spacing w:line="560" w:lineRule="exact"/>
        <w:ind w:firstLine="0"/>
        <w:jc w:val="center"/>
        <w:rPr>
          <w:rFonts w:hint="eastAsia" w:ascii="宋体" w:hAnsi="宋体" w:eastAsia="宋体" w:cs="宋体"/>
          <w:b/>
          <w:color w:val="auto"/>
          <w:szCs w:val="24"/>
        </w:rPr>
      </w:pPr>
      <w:r>
        <w:rPr>
          <w:rFonts w:hint="eastAsia" w:ascii="宋体" w:hAnsi="宋体" w:eastAsia="宋体" w:cs="宋体"/>
          <w:color w:val="auto"/>
          <w:szCs w:val="24"/>
        </w:rPr>
        <w:br w:type="page"/>
      </w:r>
      <w:bookmarkStart w:id="838" w:name="_Toc331685784"/>
      <w:r>
        <w:rPr>
          <w:rFonts w:hint="eastAsia" w:ascii="宋体" w:hAnsi="宋体" w:eastAsia="宋体" w:cs="宋体"/>
          <w:b/>
          <w:color w:val="auto"/>
          <w:szCs w:val="24"/>
        </w:rPr>
        <w:t>第三部分  合同专用条款</w:t>
      </w:r>
      <w:bookmarkEnd w:id="83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633" w:type="dxa"/>
            <w:vAlign w:val="center"/>
          </w:tcPr>
          <w:p>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color w:val="auto"/>
                <w:sz w:val="24"/>
              </w:rPr>
            </w:pPr>
          </w:p>
        </w:tc>
        <w:tc>
          <w:tcPr>
            <w:tcW w:w="7633" w:type="dxa"/>
            <w:vAlign w:val="center"/>
          </w:tcPr>
          <w:p>
            <w:pPr>
              <w:spacing w:line="560" w:lineRule="exact"/>
              <w:rPr>
                <w:rFonts w:hint="eastAsia" w:ascii="宋体" w:hAnsi="宋体" w:eastAsia="宋体" w:cs="宋体"/>
                <w:color w:val="auto"/>
                <w:sz w:val="24"/>
              </w:rPr>
            </w:pPr>
          </w:p>
        </w:tc>
      </w:tr>
    </w:tbl>
    <w:p>
      <w:pPr>
        <w:spacing w:after="156" w:line="560" w:lineRule="exact"/>
        <w:ind w:firstLine="480"/>
        <w:rPr>
          <w:rFonts w:hint="eastAsia" w:ascii="宋体" w:hAnsi="宋体" w:eastAsia="宋体" w:cs="宋体"/>
          <w:color w:val="auto"/>
        </w:rPr>
      </w:pPr>
    </w:p>
    <w:p>
      <w:pPr>
        <w:pStyle w:val="6"/>
        <w:spacing w:line="240" w:lineRule="atLeast"/>
        <w:ind w:firstLine="0"/>
        <w:rPr>
          <w:rFonts w:hint="eastAsia" w:ascii="宋体" w:hAnsi="宋体" w:eastAsia="宋体" w:cs="宋体"/>
          <w:color w:val="auto"/>
        </w:rPr>
      </w:pPr>
    </w:p>
    <w:p>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4.质疑函的质疑事项应具体、明确，并有必要的事实依据和法律依据。</w:t>
      </w:r>
    </w:p>
    <w:p>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5.质疑函的质疑请求应与质疑事项相关。</w:t>
      </w:r>
    </w:p>
    <w:p>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6.质疑供应商为自然人的，质疑函应由本人签字；质疑供应商为法人或者其他组织的，质疑函应由法定代表人、主要负责人，或者其授权代表签字或者盖章，并加盖公章。</w:t>
      </w:r>
    </w:p>
    <w:p>
      <w:pPr>
        <w:pStyle w:val="26"/>
        <w:rPr>
          <w:rFonts w:hint="eastAsia" w:ascii="宋体" w:hAnsi="宋体" w:eastAsia="宋体" w:cs="宋体"/>
          <w:color w:val="auto"/>
        </w:rPr>
      </w:pPr>
    </w:p>
    <w:p>
      <w:pPr>
        <w:rPr>
          <w:rFonts w:hint="eastAsia" w:ascii="宋体" w:hAnsi="宋体" w:eastAsia="宋体" w:cs="宋体"/>
          <w:color w:val="auto"/>
        </w:rPr>
      </w:pPr>
    </w:p>
    <w:sectPr>
      <w:headerReference r:id="rId25" w:type="default"/>
      <w:footerReference r:id="rId26"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end"/>
    </w:r>
  </w:p>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fldChar w:fldCharType="begin"/>
                          </w:r>
                          <w:r>
                            <w:instrText xml:space="preserve">PAGE   \* MERGEFORMAT</w:instrText>
                          </w:r>
                          <w:r>
                            <w:fldChar w:fldCharType="separate"/>
                          </w:r>
                          <w:r>
                            <w:rPr>
                              <w:lang w:val="zh-CN"/>
                            </w:rPr>
                            <w:t>69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69</w:t>
                    </w:r>
                    <w:r>
                      <w:rPr>
                        <w:lang w:val="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2"/>
                            <w:rPr>
                              <w:rStyle w:val="48"/>
                            </w:rPr>
                          </w:pPr>
                          <w:r>
                            <w:fldChar w:fldCharType="begin"/>
                          </w:r>
                          <w:r>
                            <w:rPr>
                              <w:rStyle w:val="48"/>
                            </w:rPr>
                            <w:instrText xml:space="preserve">PAGE  </w:instrText>
                          </w:r>
                          <w:r>
                            <w:fldChar w:fldCharType="separate"/>
                          </w:r>
                          <w:r>
                            <w:rPr>
                              <w:rStyle w:val="48"/>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2"/>
                      <w:rPr>
                        <w:rStyle w:val="48"/>
                      </w:rPr>
                    </w:pPr>
                    <w:r>
                      <w:fldChar w:fldCharType="begin"/>
                    </w:r>
                    <w:r>
                      <w:rPr>
                        <w:rStyle w:val="48"/>
                      </w:rPr>
                      <w:instrText xml:space="preserve">PAGE  </w:instrText>
                    </w:r>
                    <w:r>
                      <w:fldChar w:fldCharType="separate"/>
                    </w:r>
                    <w:r>
                      <w:rPr>
                        <w:rStyle w:val="48"/>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separate"/>
    </w:r>
    <w:r>
      <w:rPr>
        <w:rStyle w:val="48"/>
      </w:rPr>
      <w:t>42</w: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8"/>
      </w:rPr>
    </w:pPr>
  </w:p>
  <w:p>
    <w:pPr>
      <w:pStyle w:val="2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thinThickSmallGap" w:color="auto" w:sz="12" w:space="0"/>
      </w:pBdr>
      <w:tabs>
        <w:tab w:val="left" w:pos="1959"/>
        <w:tab w:val="clear" w:pos="4153"/>
      </w:tabs>
      <w:jc w:val="both"/>
    </w:pPr>
    <w:r>
      <w:rPr>
        <w:rFonts w:hint="eastAsia"/>
      </w:rPr>
      <w:tab/>
    </w:r>
  </w:p>
  <w:p>
    <w:pPr>
      <w:pStyle w:val="23"/>
      <w:pBdr>
        <w:bottom w:val="thinThickSmallGap" w:color="auto" w:sz="12" w:space="0"/>
      </w:pBdr>
      <w:tabs>
        <w:tab w:val="left" w:pos="1959"/>
        <w:tab w:val="clear" w:pos="4153"/>
      </w:tabs>
      <w:jc w:val="both"/>
    </w:pPr>
  </w:p>
  <w:p>
    <w:pPr>
      <w:pStyle w:val="23"/>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BD042"/>
    <w:multiLevelType w:val="singleLevel"/>
    <w:tmpl w:val="81DBD042"/>
    <w:lvl w:ilvl="0" w:tentative="0">
      <w:start w:val="1"/>
      <w:numFmt w:val="decimal"/>
      <w:suff w:val="nothing"/>
      <w:lvlText w:val="%1、"/>
      <w:lvlJc w:val="left"/>
    </w:lvl>
  </w:abstractNum>
  <w:abstractNum w:abstractNumId="1">
    <w:nsid w:val="A9FBD15B"/>
    <w:multiLevelType w:val="singleLevel"/>
    <w:tmpl w:val="A9FBD15B"/>
    <w:lvl w:ilvl="0" w:tentative="0">
      <w:start w:val="1"/>
      <w:numFmt w:val="decimal"/>
      <w:suff w:val="nothing"/>
      <w:lvlText w:val="%1、"/>
      <w:lvlJc w:val="left"/>
    </w:lvl>
  </w:abstractNum>
  <w:abstractNum w:abstractNumId="2">
    <w:nsid w:val="C986EB5F"/>
    <w:multiLevelType w:val="singleLevel"/>
    <w:tmpl w:val="C986EB5F"/>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9"/>
    <w:multiLevelType w:val="multilevel"/>
    <w:tmpl w:val="00000009"/>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8">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72CC41D7"/>
    <w:multiLevelType w:val="multilevel"/>
    <w:tmpl w:val="72CC41D7"/>
    <w:lvl w:ilvl="0" w:tentative="0">
      <w:start w:val="4"/>
      <w:numFmt w:val="decimal"/>
      <w:lvlText w:val="%1、"/>
      <w:lvlJc w:val="left"/>
      <w:pPr>
        <w:ind w:left="242" w:hanging="720"/>
      </w:pPr>
      <w:rPr>
        <w:rFonts w:hint="default"/>
      </w:rPr>
    </w:lvl>
    <w:lvl w:ilvl="1" w:tentative="0">
      <w:start w:val="1"/>
      <w:numFmt w:val="lowerLetter"/>
      <w:lvlText w:val="%2)"/>
      <w:lvlJc w:val="left"/>
      <w:pPr>
        <w:ind w:left="362" w:hanging="420"/>
      </w:pPr>
    </w:lvl>
    <w:lvl w:ilvl="2" w:tentative="0">
      <w:start w:val="1"/>
      <w:numFmt w:val="lowerRoman"/>
      <w:lvlText w:val="%3."/>
      <w:lvlJc w:val="right"/>
      <w:pPr>
        <w:ind w:left="782" w:hanging="420"/>
      </w:pPr>
    </w:lvl>
    <w:lvl w:ilvl="3" w:tentative="0">
      <w:start w:val="1"/>
      <w:numFmt w:val="decimal"/>
      <w:lvlText w:val="%4."/>
      <w:lvlJc w:val="left"/>
      <w:pPr>
        <w:ind w:left="1202" w:hanging="420"/>
      </w:pPr>
    </w:lvl>
    <w:lvl w:ilvl="4" w:tentative="0">
      <w:start w:val="1"/>
      <w:numFmt w:val="lowerLetter"/>
      <w:lvlText w:val="%5)"/>
      <w:lvlJc w:val="left"/>
      <w:pPr>
        <w:ind w:left="1622" w:hanging="420"/>
      </w:pPr>
    </w:lvl>
    <w:lvl w:ilvl="5" w:tentative="0">
      <w:start w:val="1"/>
      <w:numFmt w:val="lowerRoman"/>
      <w:lvlText w:val="%6."/>
      <w:lvlJc w:val="right"/>
      <w:pPr>
        <w:ind w:left="2042" w:hanging="420"/>
      </w:pPr>
    </w:lvl>
    <w:lvl w:ilvl="6" w:tentative="0">
      <w:start w:val="1"/>
      <w:numFmt w:val="decimal"/>
      <w:lvlText w:val="%7."/>
      <w:lvlJc w:val="left"/>
      <w:pPr>
        <w:ind w:left="2462" w:hanging="420"/>
      </w:pPr>
    </w:lvl>
    <w:lvl w:ilvl="7" w:tentative="0">
      <w:start w:val="1"/>
      <w:numFmt w:val="lowerLetter"/>
      <w:lvlText w:val="%8)"/>
      <w:lvlJc w:val="left"/>
      <w:pPr>
        <w:ind w:left="2882" w:hanging="420"/>
      </w:pPr>
    </w:lvl>
    <w:lvl w:ilvl="8" w:tentative="0">
      <w:start w:val="1"/>
      <w:numFmt w:val="lowerRoman"/>
      <w:lvlText w:val="%9."/>
      <w:lvlJc w:val="right"/>
      <w:pPr>
        <w:ind w:left="3302" w:hanging="420"/>
      </w:pPr>
    </w:lvl>
  </w:abstractNum>
  <w:num w:numId="1">
    <w:abstractNumId w:val="8"/>
  </w:num>
  <w:num w:numId="2">
    <w:abstractNumId w:val="5"/>
  </w:num>
  <w:num w:numId="3">
    <w:abstractNumId w:val="6"/>
  </w:num>
  <w:num w:numId="4">
    <w:abstractNumId w:val="4"/>
  </w:num>
  <w:num w:numId="5">
    <w:abstractNumId w:val="9"/>
  </w:num>
  <w:num w:numId="6">
    <w:abstractNumId w:val="1"/>
  </w:num>
  <w:num w:numId="7">
    <w:abstractNumId w:val="3"/>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NzE3YTVmNWM5MmVjZTc0YmVkM2FhMjIyYmRlZGYifQ=="/>
  </w:docVars>
  <w:rsids>
    <w:rsidRoot w:val="00A5025E"/>
    <w:rsid w:val="00000614"/>
    <w:rsid w:val="000141BE"/>
    <w:rsid w:val="00043144"/>
    <w:rsid w:val="0007543B"/>
    <w:rsid w:val="000E1928"/>
    <w:rsid w:val="001242AB"/>
    <w:rsid w:val="001F75B9"/>
    <w:rsid w:val="002C5149"/>
    <w:rsid w:val="003600C8"/>
    <w:rsid w:val="00365489"/>
    <w:rsid w:val="003C3B5E"/>
    <w:rsid w:val="003C7AF8"/>
    <w:rsid w:val="003F7ABF"/>
    <w:rsid w:val="00411E09"/>
    <w:rsid w:val="004428BC"/>
    <w:rsid w:val="00487383"/>
    <w:rsid w:val="00533E4E"/>
    <w:rsid w:val="005855A0"/>
    <w:rsid w:val="005A1EB8"/>
    <w:rsid w:val="005F0ACC"/>
    <w:rsid w:val="00666D84"/>
    <w:rsid w:val="00692870"/>
    <w:rsid w:val="006D5484"/>
    <w:rsid w:val="00712BB0"/>
    <w:rsid w:val="00745D83"/>
    <w:rsid w:val="007B05D8"/>
    <w:rsid w:val="00821A30"/>
    <w:rsid w:val="00846734"/>
    <w:rsid w:val="0084720D"/>
    <w:rsid w:val="00850247"/>
    <w:rsid w:val="008D019A"/>
    <w:rsid w:val="008F1E9F"/>
    <w:rsid w:val="008F6740"/>
    <w:rsid w:val="00927D00"/>
    <w:rsid w:val="00947F08"/>
    <w:rsid w:val="00954306"/>
    <w:rsid w:val="0097521E"/>
    <w:rsid w:val="00996275"/>
    <w:rsid w:val="00A429D6"/>
    <w:rsid w:val="00A5025E"/>
    <w:rsid w:val="00A644F8"/>
    <w:rsid w:val="00AC3793"/>
    <w:rsid w:val="00AD5849"/>
    <w:rsid w:val="00AF7E74"/>
    <w:rsid w:val="00B01173"/>
    <w:rsid w:val="00B13095"/>
    <w:rsid w:val="00B344CE"/>
    <w:rsid w:val="00B40D29"/>
    <w:rsid w:val="00B42531"/>
    <w:rsid w:val="00B517BF"/>
    <w:rsid w:val="00CA1366"/>
    <w:rsid w:val="00CB7ABF"/>
    <w:rsid w:val="00CE6E7F"/>
    <w:rsid w:val="00DF56A2"/>
    <w:rsid w:val="00E72B80"/>
    <w:rsid w:val="00F05EDF"/>
    <w:rsid w:val="00F247C9"/>
    <w:rsid w:val="00F700E7"/>
    <w:rsid w:val="00FC784A"/>
    <w:rsid w:val="00FF560C"/>
    <w:rsid w:val="010E0234"/>
    <w:rsid w:val="01472CDB"/>
    <w:rsid w:val="015010AB"/>
    <w:rsid w:val="015E7D92"/>
    <w:rsid w:val="018D1970"/>
    <w:rsid w:val="01A36139"/>
    <w:rsid w:val="022D5F56"/>
    <w:rsid w:val="02916703"/>
    <w:rsid w:val="02A6711D"/>
    <w:rsid w:val="02EB4BE9"/>
    <w:rsid w:val="02F82571"/>
    <w:rsid w:val="033F1861"/>
    <w:rsid w:val="03442F4A"/>
    <w:rsid w:val="0364342E"/>
    <w:rsid w:val="03703C4C"/>
    <w:rsid w:val="03906A9D"/>
    <w:rsid w:val="03941396"/>
    <w:rsid w:val="03C915BA"/>
    <w:rsid w:val="040516DB"/>
    <w:rsid w:val="04286A2C"/>
    <w:rsid w:val="042C49E6"/>
    <w:rsid w:val="04610B65"/>
    <w:rsid w:val="048346AF"/>
    <w:rsid w:val="04860654"/>
    <w:rsid w:val="04873A46"/>
    <w:rsid w:val="0488243E"/>
    <w:rsid w:val="04D71736"/>
    <w:rsid w:val="04E10D08"/>
    <w:rsid w:val="04EA162B"/>
    <w:rsid w:val="05090A18"/>
    <w:rsid w:val="05183E1B"/>
    <w:rsid w:val="05205A09"/>
    <w:rsid w:val="0546541E"/>
    <w:rsid w:val="055200FB"/>
    <w:rsid w:val="059E483A"/>
    <w:rsid w:val="059F3086"/>
    <w:rsid w:val="05B252A3"/>
    <w:rsid w:val="062C0380"/>
    <w:rsid w:val="06377C85"/>
    <w:rsid w:val="0657245C"/>
    <w:rsid w:val="067D77AC"/>
    <w:rsid w:val="06975764"/>
    <w:rsid w:val="06AA4286"/>
    <w:rsid w:val="06BB7780"/>
    <w:rsid w:val="06D55558"/>
    <w:rsid w:val="06DC43B2"/>
    <w:rsid w:val="06E80B45"/>
    <w:rsid w:val="06EA4B5F"/>
    <w:rsid w:val="07006BED"/>
    <w:rsid w:val="07085B68"/>
    <w:rsid w:val="074A3C4B"/>
    <w:rsid w:val="077E07E1"/>
    <w:rsid w:val="079D69A1"/>
    <w:rsid w:val="07B97CA2"/>
    <w:rsid w:val="07CB4302"/>
    <w:rsid w:val="07F02425"/>
    <w:rsid w:val="081831DA"/>
    <w:rsid w:val="083F0BCA"/>
    <w:rsid w:val="087416D4"/>
    <w:rsid w:val="08A07B0D"/>
    <w:rsid w:val="08A71F12"/>
    <w:rsid w:val="08CA4B48"/>
    <w:rsid w:val="08D12032"/>
    <w:rsid w:val="08F2696F"/>
    <w:rsid w:val="0913191F"/>
    <w:rsid w:val="095249D3"/>
    <w:rsid w:val="095C26FE"/>
    <w:rsid w:val="09642EB4"/>
    <w:rsid w:val="099B575C"/>
    <w:rsid w:val="09B46598"/>
    <w:rsid w:val="09B721ED"/>
    <w:rsid w:val="09B86559"/>
    <w:rsid w:val="09D417F7"/>
    <w:rsid w:val="09E5606A"/>
    <w:rsid w:val="0A387B0A"/>
    <w:rsid w:val="0A5B1BB3"/>
    <w:rsid w:val="0A881B1D"/>
    <w:rsid w:val="0AAA230B"/>
    <w:rsid w:val="0AB1686A"/>
    <w:rsid w:val="0AFC2388"/>
    <w:rsid w:val="0B182E23"/>
    <w:rsid w:val="0B1B2C26"/>
    <w:rsid w:val="0B307ACE"/>
    <w:rsid w:val="0B4A3340"/>
    <w:rsid w:val="0B4F64D5"/>
    <w:rsid w:val="0B6906AA"/>
    <w:rsid w:val="0B7E6116"/>
    <w:rsid w:val="0BA341BF"/>
    <w:rsid w:val="0BB329A8"/>
    <w:rsid w:val="0BC23AAB"/>
    <w:rsid w:val="0C38783A"/>
    <w:rsid w:val="0C8B3619"/>
    <w:rsid w:val="0C8C208F"/>
    <w:rsid w:val="0CA84E57"/>
    <w:rsid w:val="0CD638BB"/>
    <w:rsid w:val="0CF268EB"/>
    <w:rsid w:val="0D2850F2"/>
    <w:rsid w:val="0D3C5121"/>
    <w:rsid w:val="0D4A0173"/>
    <w:rsid w:val="0D533658"/>
    <w:rsid w:val="0D635D5C"/>
    <w:rsid w:val="0D643474"/>
    <w:rsid w:val="0D706B58"/>
    <w:rsid w:val="0DA86917"/>
    <w:rsid w:val="0DAB048E"/>
    <w:rsid w:val="0DDD3149"/>
    <w:rsid w:val="0DF30354"/>
    <w:rsid w:val="0DF32E73"/>
    <w:rsid w:val="0E1D0DA5"/>
    <w:rsid w:val="0E586C7B"/>
    <w:rsid w:val="0E82013C"/>
    <w:rsid w:val="0EC87C61"/>
    <w:rsid w:val="0EDA7D85"/>
    <w:rsid w:val="0EE472DF"/>
    <w:rsid w:val="0EFA0EBB"/>
    <w:rsid w:val="0F02611B"/>
    <w:rsid w:val="0F39381D"/>
    <w:rsid w:val="0F457CE8"/>
    <w:rsid w:val="0F4B41BB"/>
    <w:rsid w:val="0F9F151A"/>
    <w:rsid w:val="0FBD0479"/>
    <w:rsid w:val="0FD7494D"/>
    <w:rsid w:val="0FD7617F"/>
    <w:rsid w:val="0FDE0FEA"/>
    <w:rsid w:val="0FF501C7"/>
    <w:rsid w:val="100C1AE0"/>
    <w:rsid w:val="10473E6F"/>
    <w:rsid w:val="10897BD2"/>
    <w:rsid w:val="108E1C7E"/>
    <w:rsid w:val="10D2036D"/>
    <w:rsid w:val="10F57AD2"/>
    <w:rsid w:val="1118255B"/>
    <w:rsid w:val="116A2FEE"/>
    <w:rsid w:val="11EF2BBD"/>
    <w:rsid w:val="12216843"/>
    <w:rsid w:val="124F4F89"/>
    <w:rsid w:val="125457F4"/>
    <w:rsid w:val="126967B3"/>
    <w:rsid w:val="12DC2072"/>
    <w:rsid w:val="12F312CE"/>
    <w:rsid w:val="12F71113"/>
    <w:rsid w:val="13096C23"/>
    <w:rsid w:val="133D279D"/>
    <w:rsid w:val="13477EED"/>
    <w:rsid w:val="139F23F7"/>
    <w:rsid w:val="13AD64E5"/>
    <w:rsid w:val="14233444"/>
    <w:rsid w:val="143B7F26"/>
    <w:rsid w:val="144435AB"/>
    <w:rsid w:val="144E46F9"/>
    <w:rsid w:val="145862E3"/>
    <w:rsid w:val="148C4FD2"/>
    <w:rsid w:val="148F64BF"/>
    <w:rsid w:val="14A03739"/>
    <w:rsid w:val="14A46317"/>
    <w:rsid w:val="14AC2803"/>
    <w:rsid w:val="14B13342"/>
    <w:rsid w:val="14D70619"/>
    <w:rsid w:val="152B5806"/>
    <w:rsid w:val="155F2C44"/>
    <w:rsid w:val="156F7B86"/>
    <w:rsid w:val="1575228A"/>
    <w:rsid w:val="15CF19FA"/>
    <w:rsid w:val="15F77C50"/>
    <w:rsid w:val="16174847"/>
    <w:rsid w:val="1641446F"/>
    <w:rsid w:val="16706A2E"/>
    <w:rsid w:val="16C0495F"/>
    <w:rsid w:val="179F3A1B"/>
    <w:rsid w:val="17B272EF"/>
    <w:rsid w:val="17DF66DE"/>
    <w:rsid w:val="17EA3591"/>
    <w:rsid w:val="17EF3217"/>
    <w:rsid w:val="17EF533B"/>
    <w:rsid w:val="180E29BA"/>
    <w:rsid w:val="1820242C"/>
    <w:rsid w:val="1865223F"/>
    <w:rsid w:val="187D3481"/>
    <w:rsid w:val="18867086"/>
    <w:rsid w:val="18F56825"/>
    <w:rsid w:val="19191E7E"/>
    <w:rsid w:val="19844475"/>
    <w:rsid w:val="19A43F2E"/>
    <w:rsid w:val="19CD504F"/>
    <w:rsid w:val="1A0C7F7F"/>
    <w:rsid w:val="1A1B135F"/>
    <w:rsid w:val="1A38631F"/>
    <w:rsid w:val="1A744557"/>
    <w:rsid w:val="1A7F13ED"/>
    <w:rsid w:val="1A942D5E"/>
    <w:rsid w:val="1A9E28C8"/>
    <w:rsid w:val="1ADB6024"/>
    <w:rsid w:val="1ADD6D65"/>
    <w:rsid w:val="1AE45BF4"/>
    <w:rsid w:val="1B1C6D90"/>
    <w:rsid w:val="1B6B1F26"/>
    <w:rsid w:val="1B6D0D27"/>
    <w:rsid w:val="1BB0006D"/>
    <w:rsid w:val="1BB44C8B"/>
    <w:rsid w:val="1BD2353F"/>
    <w:rsid w:val="1BD82893"/>
    <w:rsid w:val="1C121B47"/>
    <w:rsid w:val="1C4056FD"/>
    <w:rsid w:val="1C7A5A5A"/>
    <w:rsid w:val="1CEE0848"/>
    <w:rsid w:val="1CFE36B2"/>
    <w:rsid w:val="1D110BF5"/>
    <w:rsid w:val="1D1F2F14"/>
    <w:rsid w:val="1D2C01B2"/>
    <w:rsid w:val="1D337526"/>
    <w:rsid w:val="1DA63B2A"/>
    <w:rsid w:val="1DED24F7"/>
    <w:rsid w:val="1E1C2EE0"/>
    <w:rsid w:val="1E2D718E"/>
    <w:rsid w:val="1E503F0D"/>
    <w:rsid w:val="1E551DFA"/>
    <w:rsid w:val="1F0A2960"/>
    <w:rsid w:val="1F237F59"/>
    <w:rsid w:val="1F71218E"/>
    <w:rsid w:val="1F775599"/>
    <w:rsid w:val="1F9C1CE4"/>
    <w:rsid w:val="1F9F64A3"/>
    <w:rsid w:val="1F9F7EE2"/>
    <w:rsid w:val="1FCA3912"/>
    <w:rsid w:val="2009453A"/>
    <w:rsid w:val="200C442A"/>
    <w:rsid w:val="20140C3B"/>
    <w:rsid w:val="20787608"/>
    <w:rsid w:val="20850A82"/>
    <w:rsid w:val="20DB5F99"/>
    <w:rsid w:val="20F1452C"/>
    <w:rsid w:val="20F508CB"/>
    <w:rsid w:val="211F4EDF"/>
    <w:rsid w:val="21536A7E"/>
    <w:rsid w:val="217E237C"/>
    <w:rsid w:val="21C44F74"/>
    <w:rsid w:val="21E2159F"/>
    <w:rsid w:val="220A6DFB"/>
    <w:rsid w:val="22277F6E"/>
    <w:rsid w:val="22607C42"/>
    <w:rsid w:val="22815E6E"/>
    <w:rsid w:val="22E279D3"/>
    <w:rsid w:val="22EB10C4"/>
    <w:rsid w:val="22F8092A"/>
    <w:rsid w:val="23205D86"/>
    <w:rsid w:val="232F02B2"/>
    <w:rsid w:val="23512BA2"/>
    <w:rsid w:val="23533CD0"/>
    <w:rsid w:val="23786FA6"/>
    <w:rsid w:val="237D2742"/>
    <w:rsid w:val="23962431"/>
    <w:rsid w:val="239D2913"/>
    <w:rsid w:val="23CA32C9"/>
    <w:rsid w:val="23CC5331"/>
    <w:rsid w:val="23E80503"/>
    <w:rsid w:val="23EB56FE"/>
    <w:rsid w:val="23F77EB1"/>
    <w:rsid w:val="24360745"/>
    <w:rsid w:val="244C03C3"/>
    <w:rsid w:val="2461365F"/>
    <w:rsid w:val="24624BE9"/>
    <w:rsid w:val="24832224"/>
    <w:rsid w:val="2489379E"/>
    <w:rsid w:val="249A7538"/>
    <w:rsid w:val="24A426B1"/>
    <w:rsid w:val="24A67F0C"/>
    <w:rsid w:val="250D1E87"/>
    <w:rsid w:val="25136A12"/>
    <w:rsid w:val="258D72BA"/>
    <w:rsid w:val="25960A46"/>
    <w:rsid w:val="25960B87"/>
    <w:rsid w:val="25CC70D1"/>
    <w:rsid w:val="25F9543C"/>
    <w:rsid w:val="2657503E"/>
    <w:rsid w:val="267011E6"/>
    <w:rsid w:val="26BA490E"/>
    <w:rsid w:val="26CE04BC"/>
    <w:rsid w:val="26ED2465"/>
    <w:rsid w:val="27037402"/>
    <w:rsid w:val="273967E4"/>
    <w:rsid w:val="27650140"/>
    <w:rsid w:val="276A496A"/>
    <w:rsid w:val="27764054"/>
    <w:rsid w:val="27A350EA"/>
    <w:rsid w:val="27BC2C3B"/>
    <w:rsid w:val="27C21152"/>
    <w:rsid w:val="27DC26F2"/>
    <w:rsid w:val="280A3719"/>
    <w:rsid w:val="28143D90"/>
    <w:rsid w:val="281F05A8"/>
    <w:rsid w:val="28396AC9"/>
    <w:rsid w:val="28435124"/>
    <w:rsid w:val="286A4A6B"/>
    <w:rsid w:val="289E5D1B"/>
    <w:rsid w:val="28B70805"/>
    <w:rsid w:val="28CF7770"/>
    <w:rsid w:val="28D9041B"/>
    <w:rsid w:val="29134911"/>
    <w:rsid w:val="2920004A"/>
    <w:rsid w:val="292259BA"/>
    <w:rsid w:val="292D34F1"/>
    <w:rsid w:val="29423E8B"/>
    <w:rsid w:val="29962107"/>
    <w:rsid w:val="2A291FC9"/>
    <w:rsid w:val="2A314E4B"/>
    <w:rsid w:val="2A417FDC"/>
    <w:rsid w:val="2A664DE6"/>
    <w:rsid w:val="2A9410B6"/>
    <w:rsid w:val="2AB8143C"/>
    <w:rsid w:val="2ABA0FFB"/>
    <w:rsid w:val="2AC94D8A"/>
    <w:rsid w:val="2AE82D10"/>
    <w:rsid w:val="2B0F281A"/>
    <w:rsid w:val="2B3F4BA4"/>
    <w:rsid w:val="2B493687"/>
    <w:rsid w:val="2B576A40"/>
    <w:rsid w:val="2B626DED"/>
    <w:rsid w:val="2B852FC6"/>
    <w:rsid w:val="2BE0761E"/>
    <w:rsid w:val="2BE138DB"/>
    <w:rsid w:val="2BF05131"/>
    <w:rsid w:val="2C0A1914"/>
    <w:rsid w:val="2C6F54FE"/>
    <w:rsid w:val="2C8114F5"/>
    <w:rsid w:val="2C8B2BC2"/>
    <w:rsid w:val="2CB847EB"/>
    <w:rsid w:val="2CC77032"/>
    <w:rsid w:val="2CE73722"/>
    <w:rsid w:val="2CF0545F"/>
    <w:rsid w:val="2CF45893"/>
    <w:rsid w:val="2D1F6668"/>
    <w:rsid w:val="2D5874E9"/>
    <w:rsid w:val="2D92328E"/>
    <w:rsid w:val="2E0103AF"/>
    <w:rsid w:val="2E7E37DB"/>
    <w:rsid w:val="2E861E59"/>
    <w:rsid w:val="2ECC4C73"/>
    <w:rsid w:val="2F09602F"/>
    <w:rsid w:val="2F375E6B"/>
    <w:rsid w:val="2F484C45"/>
    <w:rsid w:val="2F541D8A"/>
    <w:rsid w:val="2F557F65"/>
    <w:rsid w:val="2F6E2D76"/>
    <w:rsid w:val="2F7010F8"/>
    <w:rsid w:val="2F7475C9"/>
    <w:rsid w:val="2F9120BF"/>
    <w:rsid w:val="2FAE1590"/>
    <w:rsid w:val="2FEC4291"/>
    <w:rsid w:val="2FF95CBC"/>
    <w:rsid w:val="30090215"/>
    <w:rsid w:val="301C03DC"/>
    <w:rsid w:val="303E389F"/>
    <w:rsid w:val="307B0895"/>
    <w:rsid w:val="30AE3E4E"/>
    <w:rsid w:val="30DA1C03"/>
    <w:rsid w:val="30DC3F4B"/>
    <w:rsid w:val="30FA127D"/>
    <w:rsid w:val="30FC78F2"/>
    <w:rsid w:val="31143681"/>
    <w:rsid w:val="31202994"/>
    <w:rsid w:val="312F2DFF"/>
    <w:rsid w:val="318A4203"/>
    <w:rsid w:val="31CE5E3B"/>
    <w:rsid w:val="31D528AF"/>
    <w:rsid w:val="321A0AA2"/>
    <w:rsid w:val="322873F3"/>
    <w:rsid w:val="322C4F5F"/>
    <w:rsid w:val="32326DEE"/>
    <w:rsid w:val="32954FA2"/>
    <w:rsid w:val="32C81AA6"/>
    <w:rsid w:val="32FF7EFF"/>
    <w:rsid w:val="33204B29"/>
    <w:rsid w:val="33291417"/>
    <w:rsid w:val="33552D94"/>
    <w:rsid w:val="335C4122"/>
    <w:rsid w:val="33612954"/>
    <w:rsid w:val="33C64AD9"/>
    <w:rsid w:val="33C81463"/>
    <w:rsid w:val="33EE5634"/>
    <w:rsid w:val="341C3351"/>
    <w:rsid w:val="343E7EEC"/>
    <w:rsid w:val="34654056"/>
    <w:rsid w:val="34D50630"/>
    <w:rsid w:val="34D73DF5"/>
    <w:rsid w:val="34E23003"/>
    <w:rsid w:val="352D1FED"/>
    <w:rsid w:val="352F7F62"/>
    <w:rsid w:val="358F297C"/>
    <w:rsid w:val="35B25E93"/>
    <w:rsid w:val="35FE497A"/>
    <w:rsid w:val="363E2205"/>
    <w:rsid w:val="36420B37"/>
    <w:rsid w:val="365E6AB0"/>
    <w:rsid w:val="36BF4266"/>
    <w:rsid w:val="36D84D32"/>
    <w:rsid w:val="37042FAF"/>
    <w:rsid w:val="3710696F"/>
    <w:rsid w:val="374D2C1B"/>
    <w:rsid w:val="37637359"/>
    <w:rsid w:val="379248A0"/>
    <w:rsid w:val="37AE210E"/>
    <w:rsid w:val="37E013FA"/>
    <w:rsid w:val="37E83018"/>
    <w:rsid w:val="37EA43F2"/>
    <w:rsid w:val="383279FC"/>
    <w:rsid w:val="388603C8"/>
    <w:rsid w:val="38B714FF"/>
    <w:rsid w:val="38CF088C"/>
    <w:rsid w:val="38E31511"/>
    <w:rsid w:val="38F65019"/>
    <w:rsid w:val="39004832"/>
    <w:rsid w:val="3933325D"/>
    <w:rsid w:val="39512EA8"/>
    <w:rsid w:val="39DF4E9C"/>
    <w:rsid w:val="39EC03D3"/>
    <w:rsid w:val="3A1B194A"/>
    <w:rsid w:val="3A305784"/>
    <w:rsid w:val="3A4F6E02"/>
    <w:rsid w:val="3A5679A8"/>
    <w:rsid w:val="3AA571A5"/>
    <w:rsid w:val="3AC75C48"/>
    <w:rsid w:val="3B0A31EE"/>
    <w:rsid w:val="3B215059"/>
    <w:rsid w:val="3B334A39"/>
    <w:rsid w:val="3B4B19FF"/>
    <w:rsid w:val="3B4D642A"/>
    <w:rsid w:val="3B5F7073"/>
    <w:rsid w:val="3B75543E"/>
    <w:rsid w:val="3B8B5A4A"/>
    <w:rsid w:val="3BED3712"/>
    <w:rsid w:val="3BF15392"/>
    <w:rsid w:val="3C1A2B1F"/>
    <w:rsid w:val="3C266C7D"/>
    <w:rsid w:val="3C3B510C"/>
    <w:rsid w:val="3C466B39"/>
    <w:rsid w:val="3C536552"/>
    <w:rsid w:val="3C8F37BA"/>
    <w:rsid w:val="3CD04C4C"/>
    <w:rsid w:val="3D450D14"/>
    <w:rsid w:val="3DBD6779"/>
    <w:rsid w:val="3DCC5CB2"/>
    <w:rsid w:val="3DE74CF1"/>
    <w:rsid w:val="3E126736"/>
    <w:rsid w:val="3E2058F7"/>
    <w:rsid w:val="3E2152F1"/>
    <w:rsid w:val="3E254F74"/>
    <w:rsid w:val="3E37297D"/>
    <w:rsid w:val="3E3C5BA9"/>
    <w:rsid w:val="3E765532"/>
    <w:rsid w:val="3E7E4C29"/>
    <w:rsid w:val="3E834AA1"/>
    <w:rsid w:val="3E9A01AB"/>
    <w:rsid w:val="3ECA2721"/>
    <w:rsid w:val="3ED84235"/>
    <w:rsid w:val="3EDA33A8"/>
    <w:rsid w:val="3F1246D0"/>
    <w:rsid w:val="3F3146B5"/>
    <w:rsid w:val="3F4D4DFB"/>
    <w:rsid w:val="3F9A5EB8"/>
    <w:rsid w:val="3FA52951"/>
    <w:rsid w:val="3FB7388A"/>
    <w:rsid w:val="3FBE0E8C"/>
    <w:rsid w:val="3FD51AD6"/>
    <w:rsid w:val="3FE70617"/>
    <w:rsid w:val="40023787"/>
    <w:rsid w:val="401376C2"/>
    <w:rsid w:val="401A5B6A"/>
    <w:rsid w:val="402E5098"/>
    <w:rsid w:val="4089252E"/>
    <w:rsid w:val="408B2545"/>
    <w:rsid w:val="409262C6"/>
    <w:rsid w:val="40CB4C09"/>
    <w:rsid w:val="40CC2102"/>
    <w:rsid w:val="40E6543D"/>
    <w:rsid w:val="40E7153F"/>
    <w:rsid w:val="40EC6619"/>
    <w:rsid w:val="41160359"/>
    <w:rsid w:val="413555A6"/>
    <w:rsid w:val="41841772"/>
    <w:rsid w:val="41AC140F"/>
    <w:rsid w:val="41AD7743"/>
    <w:rsid w:val="424A7D66"/>
    <w:rsid w:val="424B0943"/>
    <w:rsid w:val="427447C8"/>
    <w:rsid w:val="4277622B"/>
    <w:rsid w:val="427D1C6D"/>
    <w:rsid w:val="42886E4E"/>
    <w:rsid w:val="429E2FDE"/>
    <w:rsid w:val="429F7E96"/>
    <w:rsid w:val="42BA091A"/>
    <w:rsid w:val="42E348E7"/>
    <w:rsid w:val="42F92708"/>
    <w:rsid w:val="43133472"/>
    <w:rsid w:val="4375764C"/>
    <w:rsid w:val="441E71D2"/>
    <w:rsid w:val="443B1BA5"/>
    <w:rsid w:val="4457749C"/>
    <w:rsid w:val="44953313"/>
    <w:rsid w:val="44D254FD"/>
    <w:rsid w:val="44D4228E"/>
    <w:rsid w:val="44D50270"/>
    <w:rsid w:val="44DD798D"/>
    <w:rsid w:val="44F119A0"/>
    <w:rsid w:val="453E3EEA"/>
    <w:rsid w:val="453F5F31"/>
    <w:rsid w:val="459A37A7"/>
    <w:rsid w:val="45A952B4"/>
    <w:rsid w:val="45CF7C8A"/>
    <w:rsid w:val="45D644FA"/>
    <w:rsid w:val="45EC57D9"/>
    <w:rsid w:val="45ED740E"/>
    <w:rsid w:val="461C1F98"/>
    <w:rsid w:val="46220F5F"/>
    <w:rsid w:val="46266C74"/>
    <w:rsid w:val="463C6FBB"/>
    <w:rsid w:val="46946A17"/>
    <w:rsid w:val="46B671E1"/>
    <w:rsid w:val="46F37018"/>
    <w:rsid w:val="477345AF"/>
    <w:rsid w:val="479573E8"/>
    <w:rsid w:val="47B11952"/>
    <w:rsid w:val="47CB4133"/>
    <w:rsid w:val="47DE37DF"/>
    <w:rsid w:val="48152DDA"/>
    <w:rsid w:val="481C0FB9"/>
    <w:rsid w:val="484A511B"/>
    <w:rsid w:val="488726F9"/>
    <w:rsid w:val="48951C3A"/>
    <w:rsid w:val="48CD2F48"/>
    <w:rsid w:val="48EB41D1"/>
    <w:rsid w:val="48EC61C7"/>
    <w:rsid w:val="493F03A6"/>
    <w:rsid w:val="4983784B"/>
    <w:rsid w:val="498D790E"/>
    <w:rsid w:val="499B4168"/>
    <w:rsid w:val="49E8151D"/>
    <w:rsid w:val="49F32C6E"/>
    <w:rsid w:val="49FF6446"/>
    <w:rsid w:val="4A1F6D79"/>
    <w:rsid w:val="4A2E724F"/>
    <w:rsid w:val="4A2F4DA6"/>
    <w:rsid w:val="4A3571B5"/>
    <w:rsid w:val="4A43371A"/>
    <w:rsid w:val="4A6B379A"/>
    <w:rsid w:val="4AB443EC"/>
    <w:rsid w:val="4AE51B52"/>
    <w:rsid w:val="4AE7158A"/>
    <w:rsid w:val="4AEF0708"/>
    <w:rsid w:val="4AF057F4"/>
    <w:rsid w:val="4AF6697E"/>
    <w:rsid w:val="4AFD0C3F"/>
    <w:rsid w:val="4B01564D"/>
    <w:rsid w:val="4B0408DF"/>
    <w:rsid w:val="4B2923E0"/>
    <w:rsid w:val="4B517C5D"/>
    <w:rsid w:val="4B552F2D"/>
    <w:rsid w:val="4B64002A"/>
    <w:rsid w:val="4B67503C"/>
    <w:rsid w:val="4B691A5E"/>
    <w:rsid w:val="4B8E5703"/>
    <w:rsid w:val="4B96734D"/>
    <w:rsid w:val="4B9B775B"/>
    <w:rsid w:val="4BB672A6"/>
    <w:rsid w:val="4BBC00F3"/>
    <w:rsid w:val="4BF36D71"/>
    <w:rsid w:val="4C0F63F9"/>
    <w:rsid w:val="4C141988"/>
    <w:rsid w:val="4C1B4AE3"/>
    <w:rsid w:val="4C4579F1"/>
    <w:rsid w:val="4C461CE3"/>
    <w:rsid w:val="4C9953A9"/>
    <w:rsid w:val="4C9F2E01"/>
    <w:rsid w:val="4CAE04B3"/>
    <w:rsid w:val="4CE258DD"/>
    <w:rsid w:val="4CF3280B"/>
    <w:rsid w:val="4D451792"/>
    <w:rsid w:val="4D482286"/>
    <w:rsid w:val="4D4E65C8"/>
    <w:rsid w:val="4D80037C"/>
    <w:rsid w:val="4D8A6D95"/>
    <w:rsid w:val="4DA61F88"/>
    <w:rsid w:val="4DC26064"/>
    <w:rsid w:val="4DC74685"/>
    <w:rsid w:val="4E0F475B"/>
    <w:rsid w:val="4E297FD3"/>
    <w:rsid w:val="4E897C63"/>
    <w:rsid w:val="4ED7702B"/>
    <w:rsid w:val="4F100974"/>
    <w:rsid w:val="4F310DC5"/>
    <w:rsid w:val="4F501D26"/>
    <w:rsid w:val="4F8D0A94"/>
    <w:rsid w:val="4FEF2861"/>
    <w:rsid w:val="4FF43F30"/>
    <w:rsid w:val="4FF8102F"/>
    <w:rsid w:val="4FFD3C93"/>
    <w:rsid w:val="501651D3"/>
    <w:rsid w:val="503254B6"/>
    <w:rsid w:val="50357961"/>
    <w:rsid w:val="50413516"/>
    <w:rsid w:val="504D49B4"/>
    <w:rsid w:val="50646BE5"/>
    <w:rsid w:val="50AD59A2"/>
    <w:rsid w:val="50BF504F"/>
    <w:rsid w:val="50CC6549"/>
    <w:rsid w:val="50D74B6F"/>
    <w:rsid w:val="50EA500B"/>
    <w:rsid w:val="51122FEA"/>
    <w:rsid w:val="5113060E"/>
    <w:rsid w:val="511E3D1B"/>
    <w:rsid w:val="51204F1B"/>
    <w:rsid w:val="51290EFC"/>
    <w:rsid w:val="513121BD"/>
    <w:rsid w:val="51B0561D"/>
    <w:rsid w:val="51B604D8"/>
    <w:rsid w:val="51C5417A"/>
    <w:rsid w:val="51D96FAA"/>
    <w:rsid w:val="522D3402"/>
    <w:rsid w:val="5243281F"/>
    <w:rsid w:val="52440431"/>
    <w:rsid w:val="528E3C12"/>
    <w:rsid w:val="52914A9E"/>
    <w:rsid w:val="52D71999"/>
    <w:rsid w:val="52D7552E"/>
    <w:rsid w:val="5338665D"/>
    <w:rsid w:val="53415089"/>
    <w:rsid w:val="53502F5B"/>
    <w:rsid w:val="53574C37"/>
    <w:rsid w:val="53672993"/>
    <w:rsid w:val="537938ED"/>
    <w:rsid w:val="5382012B"/>
    <w:rsid w:val="53946EBF"/>
    <w:rsid w:val="53A626B6"/>
    <w:rsid w:val="53B32621"/>
    <w:rsid w:val="53CD3436"/>
    <w:rsid w:val="53E73A84"/>
    <w:rsid w:val="5404133F"/>
    <w:rsid w:val="54277B0C"/>
    <w:rsid w:val="54467194"/>
    <w:rsid w:val="54681F80"/>
    <w:rsid w:val="54693D4B"/>
    <w:rsid w:val="54806D26"/>
    <w:rsid w:val="54D93004"/>
    <w:rsid w:val="54DE0C8F"/>
    <w:rsid w:val="54E75F75"/>
    <w:rsid w:val="55033D60"/>
    <w:rsid w:val="55310341"/>
    <w:rsid w:val="555057DB"/>
    <w:rsid w:val="558A4BAA"/>
    <w:rsid w:val="55970BB6"/>
    <w:rsid w:val="55AC0589"/>
    <w:rsid w:val="55BC1BF5"/>
    <w:rsid w:val="55E7031F"/>
    <w:rsid w:val="56187F25"/>
    <w:rsid w:val="564358F6"/>
    <w:rsid w:val="5647613F"/>
    <w:rsid w:val="56775BCE"/>
    <w:rsid w:val="56926074"/>
    <w:rsid w:val="569C0B56"/>
    <w:rsid w:val="56D211BD"/>
    <w:rsid w:val="570F3866"/>
    <w:rsid w:val="571A7A8C"/>
    <w:rsid w:val="572A1E9D"/>
    <w:rsid w:val="572B5B5C"/>
    <w:rsid w:val="57362BA2"/>
    <w:rsid w:val="577128DB"/>
    <w:rsid w:val="578B41F1"/>
    <w:rsid w:val="578C0965"/>
    <w:rsid w:val="58193AFF"/>
    <w:rsid w:val="583A2309"/>
    <w:rsid w:val="586C1A03"/>
    <w:rsid w:val="58800A97"/>
    <w:rsid w:val="58816094"/>
    <w:rsid w:val="58AA4946"/>
    <w:rsid w:val="58AF76AF"/>
    <w:rsid w:val="58B14A34"/>
    <w:rsid w:val="59372AC7"/>
    <w:rsid w:val="59625009"/>
    <w:rsid w:val="596A2BEE"/>
    <w:rsid w:val="596F04FF"/>
    <w:rsid w:val="59916628"/>
    <w:rsid w:val="59C75A20"/>
    <w:rsid w:val="59ED5C6E"/>
    <w:rsid w:val="5A0617E3"/>
    <w:rsid w:val="5A116935"/>
    <w:rsid w:val="5A4D51B1"/>
    <w:rsid w:val="5A6C5F1D"/>
    <w:rsid w:val="5A6F4908"/>
    <w:rsid w:val="5A832CA1"/>
    <w:rsid w:val="5AA02300"/>
    <w:rsid w:val="5AC02939"/>
    <w:rsid w:val="5B31034C"/>
    <w:rsid w:val="5B38103A"/>
    <w:rsid w:val="5B646496"/>
    <w:rsid w:val="5B6C7E8E"/>
    <w:rsid w:val="5B6F6839"/>
    <w:rsid w:val="5B733855"/>
    <w:rsid w:val="5B792EE8"/>
    <w:rsid w:val="5BB176CB"/>
    <w:rsid w:val="5BB3525D"/>
    <w:rsid w:val="5BD448EE"/>
    <w:rsid w:val="5BF85B63"/>
    <w:rsid w:val="5C235097"/>
    <w:rsid w:val="5C293E97"/>
    <w:rsid w:val="5C382CB4"/>
    <w:rsid w:val="5CDA7285"/>
    <w:rsid w:val="5CE60D7D"/>
    <w:rsid w:val="5D606B34"/>
    <w:rsid w:val="5DA9161B"/>
    <w:rsid w:val="5DB5176B"/>
    <w:rsid w:val="5DDC18AA"/>
    <w:rsid w:val="5DDE4634"/>
    <w:rsid w:val="5DE83338"/>
    <w:rsid w:val="5E07729E"/>
    <w:rsid w:val="5E0A20FB"/>
    <w:rsid w:val="5E0B21C9"/>
    <w:rsid w:val="5E106FE8"/>
    <w:rsid w:val="5E5076DB"/>
    <w:rsid w:val="5E763B28"/>
    <w:rsid w:val="5E7C6E12"/>
    <w:rsid w:val="5EA900EE"/>
    <w:rsid w:val="5EBA7DA6"/>
    <w:rsid w:val="5EE55F22"/>
    <w:rsid w:val="5F3E2B94"/>
    <w:rsid w:val="5F4E641B"/>
    <w:rsid w:val="5F815228"/>
    <w:rsid w:val="5F8F0D79"/>
    <w:rsid w:val="5F9173C8"/>
    <w:rsid w:val="5F9B6D78"/>
    <w:rsid w:val="5FEF619A"/>
    <w:rsid w:val="5FF6379A"/>
    <w:rsid w:val="603B0C6D"/>
    <w:rsid w:val="60563B24"/>
    <w:rsid w:val="60825A40"/>
    <w:rsid w:val="60A2735E"/>
    <w:rsid w:val="60AB6B51"/>
    <w:rsid w:val="60CF4739"/>
    <w:rsid w:val="60E064A7"/>
    <w:rsid w:val="61097B02"/>
    <w:rsid w:val="61166C62"/>
    <w:rsid w:val="61204699"/>
    <w:rsid w:val="613D4CE3"/>
    <w:rsid w:val="613F6380"/>
    <w:rsid w:val="61722375"/>
    <w:rsid w:val="617839D3"/>
    <w:rsid w:val="618B2914"/>
    <w:rsid w:val="619C5535"/>
    <w:rsid w:val="61B8543B"/>
    <w:rsid w:val="61BB512B"/>
    <w:rsid w:val="62483537"/>
    <w:rsid w:val="62540D47"/>
    <w:rsid w:val="626F6E96"/>
    <w:rsid w:val="627B3800"/>
    <w:rsid w:val="62C43069"/>
    <w:rsid w:val="62E11C40"/>
    <w:rsid w:val="6301497A"/>
    <w:rsid w:val="63182269"/>
    <w:rsid w:val="631A647E"/>
    <w:rsid w:val="632E1DAF"/>
    <w:rsid w:val="63614687"/>
    <w:rsid w:val="63844B2D"/>
    <w:rsid w:val="63DF4FE5"/>
    <w:rsid w:val="63FF3903"/>
    <w:rsid w:val="642B2E0C"/>
    <w:rsid w:val="6435673D"/>
    <w:rsid w:val="645547A0"/>
    <w:rsid w:val="645A3CC7"/>
    <w:rsid w:val="648161FA"/>
    <w:rsid w:val="64965770"/>
    <w:rsid w:val="64A6031D"/>
    <w:rsid w:val="64E01D20"/>
    <w:rsid w:val="64FA60E1"/>
    <w:rsid w:val="650B4248"/>
    <w:rsid w:val="650E1C57"/>
    <w:rsid w:val="65132446"/>
    <w:rsid w:val="6514390C"/>
    <w:rsid w:val="65441196"/>
    <w:rsid w:val="65487318"/>
    <w:rsid w:val="659C0A1C"/>
    <w:rsid w:val="65AC4A3A"/>
    <w:rsid w:val="65BD12A3"/>
    <w:rsid w:val="65C274C9"/>
    <w:rsid w:val="65D250F3"/>
    <w:rsid w:val="66393AC7"/>
    <w:rsid w:val="66474E49"/>
    <w:rsid w:val="665A6CC1"/>
    <w:rsid w:val="669920DF"/>
    <w:rsid w:val="66BA451C"/>
    <w:rsid w:val="66D95088"/>
    <w:rsid w:val="67153C4F"/>
    <w:rsid w:val="6779667A"/>
    <w:rsid w:val="67E42DE3"/>
    <w:rsid w:val="67E63748"/>
    <w:rsid w:val="680E1AEF"/>
    <w:rsid w:val="680F35AD"/>
    <w:rsid w:val="681B47DD"/>
    <w:rsid w:val="683C5B59"/>
    <w:rsid w:val="68746D29"/>
    <w:rsid w:val="68BA6245"/>
    <w:rsid w:val="68CD4BF1"/>
    <w:rsid w:val="68CF0BBE"/>
    <w:rsid w:val="694133B6"/>
    <w:rsid w:val="6945663E"/>
    <w:rsid w:val="695E5625"/>
    <w:rsid w:val="69823CED"/>
    <w:rsid w:val="69B227A4"/>
    <w:rsid w:val="69B87C37"/>
    <w:rsid w:val="69BB33CD"/>
    <w:rsid w:val="69C32790"/>
    <w:rsid w:val="69CD4A5E"/>
    <w:rsid w:val="69E81A82"/>
    <w:rsid w:val="69EE301F"/>
    <w:rsid w:val="69FB330B"/>
    <w:rsid w:val="6A440D73"/>
    <w:rsid w:val="6A48088C"/>
    <w:rsid w:val="6A62713F"/>
    <w:rsid w:val="6A916D3D"/>
    <w:rsid w:val="6AA96C71"/>
    <w:rsid w:val="6AAD4C88"/>
    <w:rsid w:val="6ADE6F27"/>
    <w:rsid w:val="6AE62CF1"/>
    <w:rsid w:val="6AFB18D2"/>
    <w:rsid w:val="6AFB4205"/>
    <w:rsid w:val="6B5775E2"/>
    <w:rsid w:val="6BDA3F4C"/>
    <w:rsid w:val="6C070C78"/>
    <w:rsid w:val="6C0C7883"/>
    <w:rsid w:val="6C1E52DC"/>
    <w:rsid w:val="6C510124"/>
    <w:rsid w:val="6C63376F"/>
    <w:rsid w:val="6CCB3AEB"/>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1E1558"/>
    <w:rsid w:val="6F1F6C2C"/>
    <w:rsid w:val="6F736086"/>
    <w:rsid w:val="6F795D04"/>
    <w:rsid w:val="6F8C18B0"/>
    <w:rsid w:val="6FBA36B9"/>
    <w:rsid w:val="6FBA67EB"/>
    <w:rsid w:val="6FF44C21"/>
    <w:rsid w:val="700D41B0"/>
    <w:rsid w:val="704E5264"/>
    <w:rsid w:val="7058021D"/>
    <w:rsid w:val="708E3A71"/>
    <w:rsid w:val="70D533D8"/>
    <w:rsid w:val="70DF29A1"/>
    <w:rsid w:val="70F20AE9"/>
    <w:rsid w:val="710E1A7C"/>
    <w:rsid w:val="711841BB"/>
    <w:rsid w:val="712150B6"/>
    <w:rsid w:val="713A39CC"/>
    <w:rsid w:val="71767ADD"/>
    <w:rsid w:val="718165CF"/>
    <w:rsid w:val="71AE6E4F"/>
    <w:rsid w:val="71B418F8"/>
    <w:rsid w:val="72736772"/>
    <w:rsid w:val="72B04752"/>
    <w:rsid w:val="72B4536B"/>
    <w:rsid w:val="72BD6398"/>
    <w:rsid w:val="72C1247E"/>
    <w:rsid w:val="738F49CC"/>
    <w:rsid w:val="739236B8"/>
    <w:rsid w:val="73D16770"/>
    <w:rsid w:val="73E3353B"/>
    <w:rsid w:val="743772C5"/>
    <w:rsid w:val="743C156A"/>
    <w:rsid w:val="7449604D"/>
    <w:rsid w:val="74566752"/>
    <w:rsid w:val="747E78A1"/>
    <w:rsid w:val="74886964"/>
    <w:rsid w:val="749F51CD"/>
    <w:rsid w:val="74B22400"/>
    <w:rsid w:val="755439BF"/>
    <w:rsid w:val="75721DF1"/>
    <w:rsid w:val="758078FF"/>
    <w:rsid w:val="759D7430"/>
    <w:rsid w:val="75A751E0"/>
    <w:rsid w:val="75B44349"/>
    <w:rsid w:val="75C31803"/>
    <w:rsid w:val="75E91CE8"/>
    <w:rsid w:val="75EC1791"/>
    <w:rsid w:val="763931DE"/>
    <w:rsid w:val="764364A0"/>
    <w:rsid w:val="7671679B"/>
    <w:rsid w:val="76716B5F"/>
    <w:rsid w:val="767F5A29"/>
    <w:rsid w:val="76C90347"/>
    <w:rsid w:val="76E27503"/>
    <w:rsid w:val="76ED5091"/>
    <w:rsid w:val="77335598"/>
    <w:rsid w:val="7736545B"/>
    <w:rsid w:val="773E2058"/>
    <w:rsid w:val="773E6738"/>
    <w:rsid w:val="774553B7"/>
    <w:rsid w:val="77AF7427"/>
    <w:rsid w:val="77FA64EE"/>
    <w:rsid w:val="7808185B"/>
    <w:rsid w:val="78392496"/>
    <w:rsid w:val="78765F72"/>
    <w:rsid w:val="789B123B"/>
    <w:rsid w:val="78AB6FE1"/>
    <w:rsid w:val="78AF0701"/>
    <w:rsid w:val="78B26DFF"/>
    <w:rsid w:val="78C943A2"/>
    <w:rsid w:val="78D163BC"/>
    <w:rsid w:val="7921264D"/>
    <w:rsid w:val="79392861"/>
    <w:rsid w:val="79535359"/>
    <w:rsid w:val="797307EF"/>
    <w:rsid w:val="799123FF"/>
    <w:rsid w:val="79A635CD"/>
    <w:rsid w:val="79B07DDC"/>
    <w:rsid w:val="79C12A01"/>
    <w:rsid w:val="7A074A44"/>
    <w:rsid w:val="7A282F39"/>
    <w:rsid w:val="7A343531"/>
    <w:rsid w:val="7A3D4254"/>
    <w:rsid w:val="7A540938"/>
    <w:rsid w:val="7A9725D4"/>
    <w:rsid w:val="7AA04369"/>
    <w:rsid w:val="7AAC4588"/>
    <w:rsid w:val="7AED1F94"/>
    <w:rsid w:val="7AF30C33"/>
    <w:rsid w:val="7AFF2092"/>
    <w:rsid w:val="7B1277B8"/>
    <w:rsid w:val="7B131527"/>
    <w:rsid w:val="7B134203"/>
    <w:rsid w:val="7B4D4962"/>
    <w:rsid w:val="7B893410"/>
    <w:rsid w:val="7B9C3965"/>
    <w:rsid w:val="7BA944C5"/>
    <w:rsid w:val="7BBC1070"/>
    <w:rsid w:val="7BC538AF"/>
    <w:rsid w:val="7BE30826"/>
    <w:rsid w:val="7C09257B"/>
    <w:rsid w:val="7C70329D"/>
    <w:rsid w:val="7C7A19AF"/>
    <w:rsid w:val="7C814C9E"/>
    <w:rsid w:val="7CCA41E8"/>
    <w:rsid w:val="7CE21D5D"/>
    <w:rsid w:val="7D433B59"/>
    <w:rsid w:val="7D75093D"/>
    <w:rsid w:val="7DC105E8"/>
    <w:rsid w:val="7DCB089E"/>
    <w:rsid w:val="7DD16DBF"/>
    <w:rsid w:val="7E27682C"/>
    <w:rsid w:val="7E3241A4"/>
    <w:rsid w:val="7E724D5A"/>
    <w:rsid w:val="7EAC722A"/>
    <w:rsid w:val="7F0215EE"/>
    <w:rsid w:val="7F0F3B31"/>
    <w:rsid w:val="7F1B6B79"/>
    <w:rsid w:val="7F4D7768"/>
    <w:rsid w:val="7F4F0D9B"/>
    <w:rsid w:val="7F751233"/>
    <w:rsid w:val="7FD80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5"/>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8">
    <w:name w:val="heading 4"/>
    <w:basedOn w:val="1"/>
    <w:next w:val="1"/>
    <w:unhideWhenUsed/>
    <w:qFormat/>
    <w:uiPriority w:val="99"/>
    <w:pPr>
      <w:keepNext/>
      <w:keepLines/>
      <w:spacing w:before="280" w:after="290" w:line="376" w:lineRule="auto"/>
      <w:outlineLvl w:val="3"/>
    </w:pPr>
    <w:rPr>
      <w:rFonts w:hint="eastAsia" w:ascii="Arial" w:hAnsi="Arial" w:eastAsia="黑体"/>
      <w:b/>
      <w:sz w:val="28"/>
    </w:rPr>
  </w:style>
  <w:style w:type="paragraph" w:styleId="9">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6">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next w:val="1"/>
    <w:link w:val="62"/>
    <w:qFormat/>
    <w:uiPriority w:val="0"/>
    <w:pPr>
      <w:tabs>
        <w:tab w:val="left" w:pos="567"/>
      </w:tabs>
      <w:spacing w:before="120" w:line="22" w:lineRule="atLeast"/>
    </w:pPr>
    <w:rPr>
      <w:rFonts w:ascii="宋体" w:hAnsi="宋体"/>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toc 7"/>
    <w:basedOn w:val="1"/>
    <w:next w:val="1"/>
    <w:qFormat/>
    <w:uiPriority w:val="39"/>
    <w:pPr>
      <w:ind w:left="2520" w:leftChars="1200"/>
    </w:pPr>
  </w:style>
  <w:style w:type="paragraph" w:styleId="11">
    <w:name w:val="Document Map"/>
    <w:basedOn w:val="1"/>
    <w:link w:val="105"/>
    <w:semiHidden/>
    <w:unhideWhenUsed/>
    <w:qFormat/>
    <w:uiPriority w:val="99"/>
    <w:rPr>
      <w:rFonts w:ascii="宋体"/>
      <w:sz w:val="18"/>
      <w:szCs w:val="18"/>
    </w:rPr>
  </w:style>
  <w:style w:type="paragraph" w:styleId="12">
    <w:name w:val="toa heading"/>
    <w:basedOn w:val="1"/>
    <w:next w:val="1"/>
    <w:qFormat/>
    <w:uiPriority w:val="0"/>
    <w:pPr>
      <w:spacing w:before="120"/>
    </w:pPr>
    <w:rPr>
      <w:rFonts w:ascii="Arial" w:hAnsi="Arial" w:cs="Arial"/>
      <w:sz w:val="24"/>
    </w:rPr>
  </w:style>
  <w:style w:type="paragraph" w:styleId="13">
    <w:name w:val="annotation text"/>
    <w:basedOn w:val="1"/>
    <w:link w:val="75"/>
    <w:unhideWhenUsed/>
    <w:qFormat/>
    <w:uiPriority w:val="0"/>
    <w:pPr>
      <w:jc w:val="left"/>
    </w:pPr>
  </w:style>
  <w:style w:type="paragraph" w:styleId="14">
    <w:name w:val="Body Text Indent"/>
    <w:basedOn w:val="1"/>
    <w:next w:val="8"/>
    <w:link w:val="80"/>
    <w:qFormat/>
    <w:uiPriority w:val="0"/>
    <w:pPr>
      <w:spacing w:line="360" w:lineRule="auto"/>
      <w:ind w:firstLine="570"/>
    </w:pPr>
    <w:rPr>
      <w:sz w:val="24"/>
    </w:r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74"/>
    <w:qFormat/>
    <w:uiPriority w:val="0"/>
    <w:rPr>
      <w:rFonts w:ascii="宋体" w:hAnsi="Courier New"/>
      <w:szCs w:val="22"/>
    </w:rPr>
  </w:style>
  <w:style w:type="paragraph" w:styleId="18">
    <w:name w:val="toc 8"/>
    <w:basedOn w:val="1"/>
    <w:next w:val="1"/>
    <w:qFormat/>
    <w:uiPriority w:val="39"/>
    <w:pPr>
      <w:ind w:left="2940" w:leftChars="1400"/>
    </w:pPr>
  </w:style>
  <w:style w:type="paragraph" w:styleId="19">
    <w:name w:val="Date"/>
    <w:basedOn w:val="1"/>
    <w:next w:val="1"/>
    <w:link w:val="58"/>
    <w:qFormat/>
    <w:uiPriority w:val="0"/>
    <w:pPr>
      <w:ind w:left="100" w:leftChars="2500"/>
    </w:pPr>
    <w:rPr>
      <w:rFonts w:ascii="仿宋_GB2312" w:hAnsi="宋体" w:eastAsia="仿宋_GB2312"/>
      <w:color w:val="000000"/>
      <w:sz w:val="24"/>
    </w:rPr>
  </w:style>
  <w:style w:type="paragraph" w:styleId="20">
    <w:name w:val="Body Text Indent 2"/>
    <w:basedOn w:val="1"/>
    <w:link w:val="81"/>
    <w:qFormat/>
    <w:uiPriority w:val="0"/>
    <w:pPr>
      <w:ind w:firstLine="480" w:firstLineChars="200"/>
    </w:pPr>
    <w:rPr>
      <w:rFonts w:ascii="仿宋_GB2312" w:eastAsia="仿宋_GB2312"/>
      <w:sz w:val="24"/>
    </w:rPr>
  </w:style>
  <w:style w:type="paragraph" w:styleId="21">
    <w:name w:val="Balloon Text"/>
    <w:basedOn w:val="1"/>
    <w:link w:val="60"/>
    <w:qFormat/>
    <w:uiPriority w:val="0"/>
    <w:rPr>
      <w:sz w:val="18"/>
      <w:szCs w:val="18"/>
    </w:rPr>
  </w:style>
  <w:style w:type="paragraph" w:styleId="22">
    <w:name w:val="footer"/>
    <w:basedOn w:val="1"/>
    <w:link w:val="6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3">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footnote text"/>
    <w:basedOn w:val="1"/>
    <w:link w:val="78"/>
    <w:qFormat/>
    <w:uiPriority w:val="0"/>
    <w:pPr>
      <w:snapToGrid w:val="0"/>
      <w:jc w:val="left"/>
    </w:pPr>
    <w:rPr>
      <w:sz w:val="18"/>
    </w:rPr>
  </w:style>
  <w:style w:type="paragraph" w:styleId="27">
    <w:name w:val="toc 6"/>
    <w:basedOn w:val="1"/>
    <w:next w:val="1"/>
    <w:qFormat/>
    <w:uiPriority w:val="39"/>
    <w:pPr>
      <w:ind w:left="2100" w:leftChars="1000"/>
    </w:pPr>
  </w:style>
  <w:style w:type="paragraph" w:styleId="2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next w:val="33"/>
    <w:qFormat/>
    <w:uiPriority w:val="0"/>
    <w:pPr>
      <w:widowControl/>
      <w:spacing w:before="100" w:beforeAutospacing="1" w:after="100" w:afterAutospacing="1"/>
      <w:jc w:val="left"/>
    </w:pPr>
    <w:rPr>
      <w:rFonts w:ascii="宋体" w:hAnsi="宋体" w:cs="宋体"/>
      <w:kern w:val="0"/>
      <w:sz w:val="24"/>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index 1"/>
    <w:basedOn w:val="1"/>
    <w:next w:val="1"/>
    <w:qFormat/>
    <w:uiPriority w:val="0"/>
    <w:rPr>
      <w:szCs w:val="20"/>
    </w:rPr>
  </w:style>
  <w:style w:type="paragraph" w:styleId="35">
    <w:name w:val="annotation subject"/>
    <w:basedOn w:val="13"/>
    <w:next w:val="13"/>
    <w:link w:val="70"/>
    <w:qFormat/>
    <w:uiPriority w:val="0"/>
    <w:rPr>
      <w:b/>
      <w:bCs/>
    </w:rPr>
  </w:style>
  <w:style w:type="paragraph" w:styleId="36">
    <w:name w:val="Body Text First Indent"/>
    <w:basedOn w:val="3"/>
    <w:next w:val="1"/>
    <w:qFormat/>
    <w:uiPriority w:val="0"/>
    <w:pPr>
      <w:ind w:firstLine="420" w:firstLineChars="100"/>
    </w:pPr>
    <w:rPr>
      <w:rFonts w:ascii="Times New Roman" w:hAnsi="Times New Roman"/>
      <w:sz w:val="18"/>
      <w:szCs w:val="18"/>
    </w:rPr>
  </w:style>
  <w:style w:type="paragraph" w:styleId="37">
    <w:name w:val="Body Text First Indent 2"/>
    <w:basedOn w:val="14"/>
    <w:link w:val="89"/>
    <w:qFormat/>
    <w:uiPriority w:val="0"/>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Medium Grid 3 Accent 1"/>
    <w:basedOn w:val="38"/>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1">
    <w:name w:val="Medium Grid 3 Accent 2"/>
    <w:basedOn w:val="38"/>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2">
    <w:name w:val="Medium Grid 3 Accent 3"/>
    <w:basedOn w:val="38"/>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3">
    <w:name w:val="Medium Grid 3 Accent 4"/>
    <w:basedOn w:val="38"/>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4">
    <w:name w:val="Medium Grid 3 Accent 5"/>
    <w:basedOn w:val="38"/>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5">
    <w:name w:val="Medium Grid 3 Accent 6"/>
    <w:basedOn w:val="38"/>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7">
    <w:name w:val="Strong"/>
    <w:qFormat/>
    <w:uiPriority w:val="0"/>
    <w:rPr>
      <w:b/>
      <w:bCs/>
      <w:szCs w:val="21"/>
    </w:rPr>
  </w:style>
  <w:style w:type="character" w:styleId="48">
    <w:name w:val="page number"/>
    <w:basedOn w:val="46"/>
    <w:qFormat/>
    <w:uiPriority w:val="0"/>
    <w:rPr>
      <w:rFonts w:ascii="Times New Roman" w:hAnsi="Times New Roman" w:eastAsia="宋体" w:cs="Times New Roman"/>
    </w:rPr>
  </w:style>
  <w:style w:type="character" w:styleId="49">
    <w:name w:val="Hyperlink"/>
    <w:qFormat/>
    <w:uiPriority w:val="99"/>
    <w:rPr>
      <w:rFonts w:ascii="Times New Roman" w:hAnsi="Times New Roman" w:eastAsia="宋体" w:cs="Times New Roman"/>
      <w:color w:val="0000FF"/>
      <w:u w:val="single"/>
    </w:rPr>
  </w:style>
  <w:style w:type="character" w:styleId="50">
    <w:name w:val="annotation reference"/>
    <w:qFormat/>
    <w:uiPriority w:val="0"/>
    <w:rPr>
      <w:rFonts w:ascii="Times New Roman" w:hAnsi="Times New Roman" w:eastAsia="宋体" w:cs="Times New Roman"/>
      <w:sz w:val="21"/>
      <w:szCs w:val="21"/>
    </w:rPr>
  </w:style>
  <w:style w:type="paragraph" w:customStyle="1" w:styleId="5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标题 1 Char"/>
    <w:basedOn w:val="46"/>
    <w:link w:val="4"/>
    <w:qFormat/>
    <w:uiPriority w:val="0"/>
    <w:rPr>
      <w:rFonts w:ascii="宋体" w:hAnsi="Times New Roman" w:eastAsia="宋体" w:cs="Times New Roman"/>
      <w:b/>
      <w:kern w:val="44"/>
      <w:sz w:val="32"/>
      <w:szCs w:val="20"/>
    </w:rPr>
  </w:style>
  <w:style w:type="character" w:customStyle="1" w:styleId="54">
    <w:name w:val="标题 2 Char"/>
    <w:basedOn w:val="46"/>
    <w:link w:val="5"/>
    <w:qFormat/>
    <w:uiPriority w:val="0"/>
    <w:rPr>
      <w:rFonts w:ascii="Arial" w:hAnsi="Arial" w:eastAsia="黑体" w:cs="Times New Roman"/>
      <w:b/>
      <w:kern w:val="0"/>
      <w:sz w:val="30"/>
      <w:szCs w:val="20"/>
    </w:rPr>
  </w:style>
  <w:style w:type="character" w:customStyle="1" w:styleId="55">
    <w:name w:val="标题 3 Char"/>
    <w:basedOn w:val="46"/>
    <w:link w:val="7"/>
    <w:qFormat/>
    <w:uiPriority w:val="0"/>
    <w:rPr>
      <w:rFonts w:ascii="宋体" w:hAnsi="Times New Roman" w:eastAsia="宋体" w:cs="Times New Roman"/>
      <w:b/>
      <w:kern w:val="0"/>
      <w:sz w:val="24"/>
      <w:szCs w:val="20"/>
      <w:u w:val="single"/>
    </w:rPr>
  </w:style>
  <w:style w:type="character" w:customStyle="1" w:styleId="56">
    <w:name w:val="font01"/>
    <w:qFormat/>
    <w:uiPriority w:val="0"/>
    <w:rPr>
      <w:rFonts w:hint="eastAsia" w:ascii="宋体" w:hAnsi="宋体" w:eastAsia="宋体" w:cs="宋体"/>
      <w:color w:val="000000"/>
      <w:sz w:val="24"/>
      <w:szCs w:val="24"/>
      <w:u w:val="none"/>
    </w:rPr>
  </w:style>
  <w:style w:type="character" w:customStyle="1" w:styleId="57">
    <w:name w:val="批注文字 Char1"/>
    <w:qFormat/>
    <w:uiPriority w:val="0"/>
    <w:rPr>
      <w:rFonts w:ascii="Times New Roman" w:hAnsi="Times New Roman" w:eastAsia="宋体" w:cs="Times New Roman"/>
      <w:kern w:val="2"/>
      <w:sz w:val="21"/>
      <w:szCs w:val="24"/>
    </w:rPr>
  </w:style>
  <w:style w:type="character" w:customStyle="1" w:styleId="58">
    <w:name w:val="日期 Char"/>
    <w:link w:val="19"/>
    <w:qFormat/>
    <w:uiPriority w:val="0"/>
    <w:rPr>
      <w:rFonts w:ascii="仿宋_GB2312" w:hAnsi="宋体" w:eastAsia="仿宋_GB2312" w:cs="Times New Roman"/>
      <w:color w:val="000000"/>
      <w:sz w:val="24"/>
      <w:szCs w:val="24"/>
    </w:rPr>
  </w:style>
  <w:style w:type="character" w:customStyle="1" w:styleId="59">
    <w:name w:val="font31"/>
    <w:qFormat/>
    <w:uiPriority w:val="0"/>
    <w:rPr>
      <w:rFonts w:hint="default" w:ascii="Times New Roman" w:hAnsi="Times New Roman" w:cs="Times New Roman"/>
      <w:color w:val="000000"/>
      <w:sz w:val="20"/>
      <w:szCs w:val="20"/>
      <w:u w:val="none"/>
    </w:rPr>
  </w:style>
  <w:style w:type="character" w:customStyle="1" w:styleId="60">
    <w:name w:val="批注框文本 Char"/>
    <w:link w:val="21"/>
    <w:qFormat/>
    <w:uiPriority w:val="0"/>
    <w:rPr>
      <w:rFonts w:ascii="Times New Roman" w:hAnsi="Times New Roman" w:eastAsia="宋体" w:cs="Times New Roman"/>
      <w:sz w:val="18"/>
      <w:szCs w:val="18"/>
    </w:rPr>
  </w:style>
  <w:style w:type="character" w:customStyle="1" w:styleId="61">
    <w:name w:val="页脚 Char"/>
    <w:link w:val="22"/>
    <w:qFormat/>
    <w:uiPriority w:val="0"/>
    <w:rPr>
      <w:rFonts w:ascii="宋体" w:hAnsi="Times New Roman" w:eastAsia="宋体" w:cs="Times New Roman"/>
      <w:sz w:val="18"/>
    </w:rPr>
  </w:style>
  <w:style w:type="character" w:customStyle="1" w:styleId="62">
    <w:name w:val="正文文本 Char"/>
    <w:link w:val="3"/>
    <w:qFormat/>
    <w:uiPriority w:val="0"/>
    <w:rPr>
      <w:rFonts w:ascii="宋体" w:hAnsi="宋体" w:eastAsia="宋体" w:cs="Times New Roman"/>
      <w:sz w:val="24"/>
      <w:szCs w:val="24"/>
    </w:rPr>
  </w:style>
  <w:style w:type="character" w:customStyle="1" w:styleId="63">
    <w:name w:val="正文缩进 Char1"/>
    <w:link w:val="64"/>
    <w:qFormat/>
    <w:uiPriority w:val="0"/>
    <w:rPr>
      <w:rFonts w:ascii="宋体" w:hAnsi="Times New Roman" w:eastAsia="宋体" w:cs="Times New Roman"/>
      <w:sz w:val="24"/>
    </w:rPr>
  </w:style>
  <w:style w:type="paragraph" w:customStyle="1" w:styleId="64">
    <w:name w:val="正文缩进1"/>
    <w:basedOn w:val="1"/>
    <w:link w:val="63"/>
    <w:qFormat/>
    <w:uiPriority w:val="0"/>
    <w:pPr>
      <w:autoSpaceDE w:val="0"/>
      <w:autoSpaceDN w:val="0"/>
      <w:adjustRightInd w:val="0"/>
      <w:ind w:firstLine="420"/>
      <w:jc w:val="left"/>
    </w:pPr>
    <w:rPr>
      <w:rFonts w:ascii="宋体"/>
      <w:sz w:val="24"/>
      <w:szCs w:val="22"/>
    </w:rPr>
  </w:style>
  <w:style w:type="character" w:customStyle="1" w:styleId="65">
    <w:name w:val="批注文字 Char"/>
    <w:qFormat/>
    <w:uiPriority w:val="0"/>
    <w:rPr>
      <w:rFonts w:ascii="Times New Roman" w:hAnsi="Times New Roman" w:eastAsia="宋体" w:cs="Times New Roman"/>
      <w:kern w:val="2"/>
      <w:sz w:val="21"/>
      <w:szCs w:val="24"/>
    </w:rPr>
  </w:style>
  <w:style w:type="character" w:customStyle="1" w:styleId="66">
    <w:name w:val="font41"/>
    <w:qFormat/>
    <w:uiPriority w:val="0"/>
    <w:rPr>
      <w:rFonts w:hint="eastAsia" w:ascii="宋体" w:hAnsi="宋体" w:eastAsia="宋体"/>
      <w:color w:val="000000"/>
      <w:sz w:val="20"/>
      <w:szCs w:val="20"/>
      <w:u w:val="none"/>
    </w:rPr>
  </w:style>
  <w:style w:type="character" w:customStyle="1" w:styleId="67">
    <w:name w:val="批注框文本 Char1"/>
    <w:qFormat/>
    <w:uiPriority w:val="0"/>
    <w:rPr>
      <w:rFonts w:ascii="Times New Roman" w:hAnsi="Times New Roman" w:eastAsia="宋体" w:cs="Times New Roman"/>
      <w:kern w:val="2"/>
      <w:sz w:val="18"/>
      <w:szCs w:val="18"/>
    </w:rPr>
  </w:style>
  <w:style w:type="character" w:customStyle="1" w:styleId="68">
    <w:name w:val="页眉 Char"/>
    <w:link w:val="23"/>
    <w:qFormat/>
    <w:uiPriority w:val="0"/>
    <w:rPr>
      <w:rFonts w:ascii="Times New Roman" w:hAnsi="Times New Roman" w:eastAsia="宋体" w:cs="Times New Roman"/>
      <w:sz w:val="18"/>
      <w:szCs w:val="18"/>
    </w:rPr>
  </w:style>
  <w:style w:type="character" w:customStyle="1" w:styleId="69">
    <w:name w:val="页眉 Char1"/>
    <w:qFormat/>
    <w:uiPriority w:val="0"/>
    <w:rPr>
      <w:rFonts w:ascii="Times New Roman" w:hAnsi="Times New Roman" w:eastAsia="宋体" w:cs="Times New Roman"/>
      <w:kern w:val="2"/>
      <w:sz w:val="18"/>
      <w:szCs w:val="18"/>
    </w:rPr>
  </w:style>
  <w:style w:type="character" w:customStyle="1" w:styleId="70">
    <w:name w:val="批注主题 Char"/>
    <w:link w:val="35"/>
    <w:qFormat/>
    <w:uiPriority w:val="0"/>
    <w:rPr>
      <w:rFonts w:ascii="Times New Roman" w:hAnsi="Times New Roman" w:eastAsia="宋体" w:cs="Times New Roman"/>
      <w:b/>
      <w:bCs/>
      <w:szCs w:val="24"/>
    </w:rPr>
  </w:style>
  <w:style w:type="character" w:customStyle="1" w:styleId="71">
    <w:name w:val="纯文本 Char1"/>
    <w:link w:val="72"/>
    <w:qFormat/>
    <w:uiPriority w:val="99"/>
    <w:rPr>
      <w:rFonts w:ascii="宋体" w:hAnsi="Courier New" w:eastAsia="宋体" w:cs="Times New Roman"/>
    </w:rPr>
  </w:style>
  <w:style w:type="paragraph" w:customStyle="1" w:styleId="72">
    <w:name w:val="纯文本1"/>
    <w:basedOn w:val="1"/>
    <w:link w:val="71"/>
    <w:qFormat/>
    <w:uiPriority w:val="99"/>
    <w:rPr>
      <w:rFonts w:ascii="宋体" w:hAnsi="Courier New"/>
      <w:szCs w:val="22"/>
    </w:rPr>
  </w:style>
  <w:style w:type="character" w:customStyle="1" w:styleId="73">
    <w:name w:val="批注主题 Char1"/>
    <w:qFormat/>
    <w:uiPriority w:val="0"/>
    <w:rPr>
      <w:rFonts w:ascii="Times New Roman" w:hAnsi="Times New Roman" w:eastAsia="宋体" w:cs="Times New Roman"/>
      <w:b/>
      <w:bCs/>
      <w:kern w:val="2"/>
      <w:sz w:val="21"/>
      <w:szCs w:val="24"/>
    </w:rPr>
  </w:style>
  <w:style w:type="character" w:customStyle="1" w:styleId="74">
    <w:name w:val="纯文本 Char"/>
    <w:link w:val="17"/>
    <w:qFormat/>
    <w:uiPriority w:val="0"/>
    <w:rPr>
      <w:rFonts w:ascii="宋体" w:hAnsi="Courier New" w:eastAsia="宋体" w:cs="Times New Roman"/>
    </w:rPr>
  </w:style>
  <w:style w:type="character" w:customStyle="1" w:styleId="75">
    <w:name w:val="批注文字 Char2"/>
    <w:basedOn w:val="46"/>
    <w:link w:val="13"/>
    <w:semiHidden/>
    <w:qFormat/>
    <w:uiPriority w:val="99"/>
    <w:rPr>
      <w:rFonts w:ascii="Times New Roman" w:hAnsi="Times New Roman" w:eastAsia="宋体" w:cs="Times New Roman"/>
      <w:szCs w:val="24"/>
    </w:rPr>
  </w:style>
  <w:style w:type="character" w:customStyle="1" w:styleId="76">
    <w:name w:val="批注主题 Char2"/>
    <w:basedOn w:val="75"/>
    <w:semiHidden/>
    <w:qFormat/>
    <w:uiPriority w:val="99"/>
    <w:rPr>
      <w:rFonts w:ascii="Times New Roman" w:hAnsi="Times New Roman" w:eastAsia="宋体" w:cs="Times New Roman"/>
      <w:b/>
      <w:bCs/>
      <w:szCs w:val="24"/>
    </w:rPr>
  </w:style>
  <w:style w:type="character" w:customStyle="1" w:styleId="77">
    <w:name w:val="纯文本 Char2"/>
    <w:basedOn w:val="46"/>
    <w:semiHidden/>
    <w:qFormat/>
    <w:uiPriority w:val="99"/>
    <w:rPr>
      <w:rFonts w:ascii="宋体" w:hAnsi="Courier New" w:eastAsia="宋体" w:cs="Courier New"/>
      <w:szCs w:val="21"/>
    </w:rPr>
  </w:style>
  <w:style w:type="character" w:customStyle="1" w:styleId="78">
    <w:name w:val="脚注文本 Char"/>
    <w:basedOn w:val="46"/>
    <w:link w:val="26"/>
    <w:qFormat/>
    <w:uiPriority w:val="0"/>
    <w:rPr>
      <w:rFonts w:ascii="Times New Roman" w:hAnsi="Times New Roman" w:eastAsia="宋体" w:cs="Times New Roman"/>
      <w:sz w:val="18"/>
      <w:szCs w:val="24"/>
    </w:rPr>
  </w:style>
  <w:style w:type="character" w:customStyle="1" w:styleId="79">
    <w:name w:val="正文文本 Char1"/>
    <w:basedOn w:val="46"/>
    <w:semiHidden/>
    <w:qFormat/>
    <w:uiPriority w:val="99"/>
    <w:rPr>
      <w:rFonts w:ascii="Times New Roman" w:hAnsi="Times New Roman" w:eastAsia="宋体" w:cs="Times New Roman"/>
      <w:szCs w:val="24"/>
    </w:rPr>
  </w:style>
  <w:style w:type="character" w:customStyle="1" w:styleId="80">
    <w:name w:val="正文文本缩进 Char"/>
    <w:basedOn w:val="46"/>
    <w:link w:val="14"/>
    <w:qFormat/>
    <w:uiPriority w:val="0"/>
    <w:rPr>
      <w:rFonts w:ascii="Times New Roman" w:hAnsi="Times New Roman" w:eastAsia="宋体" w:cs="Times New Roman"/>
      <w:sz w:val="24"/>
      <w:szCs w:val="24"/>
    </w:rPr>
  </w:style>
  <w:style w:type="character" w:customStyle="1" w:styleId="81">
    <w:name w:val="正文文本缩进 2 Char"/>
    <w:basedOn w:val="46"/>
    <w:link w:val="20"/>
    <w:qFormat/>
    <w:uiPriority w:val="0"/>
    <w:rPr>
      <w:rFonts w:ascii="仿宋_GB2312" w:hAnsi="Times New Roman" w:eastAsia="仿宋_GB2312" w:cs="Times New Roman"/>
      <w:sz w:val="24"/>
      <w:szCs w:val="24"/>
    </w:rPr>
  </w:style>
  <w:style w:type="character" w:customStyle="1" w:styleId="82">
    <w:name w:val="正文文本缩进 3 Char"/>
    <w:basedOn w:val="46"/>
    <w:link w:val="28"/>
    <w:qFormat/>
    <w:uiPriority w:val="0"/>
    <w:rPr>
      <w:rFonts w:ascii="宋体" w:hAnsi="Times New Roman" w:eastAsia="宋体" w:cs="Times New Roman"/>
      <w:kern w:val="0"/>
      <w:sz w:val="24"/>
      <w:szCs w:val="20"/>
    </w:rPr>
  </w:style>
  <w:style w:type="character" w:customStyle="1" w:styleId="83">
    <w:name w:val="日期 Char1"/>
    <w:basedOn w:val="46"/>
    <w:semiHidden/>
    <w:qFormat/>
    <w:uiPriority w:val="99"/>
    <w:rPr>
      <w:rFonts w:ascii="Times New Roman" w:hAnsi="Times New Roman" w:eastAsia="宋体" w:cs="Times New Roman"/>
      <w:szCs w:val="24"/>
    </w:rPr>
  </w:style>
  <w:style w:type="character" w:customStyle="1" w:styleId="84">
    <w:name w:val="批注框文本 Char2"/>
    <w:basedOn w:val="46"/>
    <w:semiHidden/>
    <w:qFormat/>
    <w:uiPriority w:val="99"/>
    <w:rPr>
      <w:rFonts w:ascii="Times New Roman" w:hAnsi="Times New Roman" w:eastAsia="宋体" w:cs="Times New Roman"/>
      <w:sz w:val="18"/>
      <w:szCs w:val="18"/>
    </w:rPr>
  </w:style>
  <w:style w:type="character" w:customStyle="1" w:styleId="85">
    <w:name w:val="页脚 Char1"/>
    <w:basedOn w:val="46"/>
    <w:semiHidden/>
    <w:qFormat/>
    <w:uiPriority w:val="99"/>
    <w:rPr>
      <w:rFonts w:ascii="Times New Roman" w:hAnsi="Times New Roman" w:eastAsia="宋体" w:cs="Times New Roman"/>
      <w:sz w:val="18"/>
      <w:szCs w:val="18"/>
    </w:rPr>
  </w:style>
  <w:style w:type="character" w:customStyle="1" w:styleId="86">
    <w:name w:val="页眉 Char2"/>
    <w:basedOn w:val="46"/>
    <w:semiHidden/>
    <w:qFormat/>
    <w:uiPriority w:val="99"/>
    <w:rPr>
      <w:rFonts w:ascii="Times New Roman" w:hAnsi="Times New Roman" w:eastAsia="宋体" w:cs="Times New Roman"/>
      <w:sz w:val="18"/>
      <w:szCs w:val="18"/>
    </w:rPr>
  </w:style>
  <w:style w:type="paragraph"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自定义正文"/>
    <w:basedOn w:val="1"/>
    <w:qFormat/>
    <w:uiPriority w:val="0"/>
    <w:pPr>
      <w:spacing w:afterLines="50"/>
      <w:ind w:firstLine="200" w:firstLineChars="200"/>
    </w:pPr>
    <w:rPr>
      <w:rFonts w:ascii="Calibri" w:hAnsi="Calibri"/>
    </w:rPr>
  </w:style>
  <w:style w:type="character" w:customStyle="1" w:styleId="89">
    <w:name w:val="正文首行缩进 2 Char"/>
    <w:basedOn w:val="80"/>
    <w:link w:val="37"/>
    <w:qFormat/>
    <w:uiPriority w:val="0"/>
    <w:rPr>
      <w:rFonts w:ascii="Times New Roman" w:hAnsi="Times New Roman" w:eastAsia="宋体" w:cs="Times New Roman"/>
      <w:sz w:val="24"/>
      <w:szCs w:val="24"/>
    </w:rPr>
  </w:style>
  <w:style w:type="paragraph" w:customStyle="1" w:styleId="9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1">
    <w:name w:val="图例"/>
    <w:basedOn w:val="1"/>
    <w:qFormat/>
    <w:uiPriority w:val="0"/>
    <w:pPr>
      <w:spacing w:before="120" w:after="120"/>
      <w:jc w:val="center"/>
    </w:pPr>
    <w:rPr>
      <w:rFonts w:eastAsia="仿宋_GB2312"/>
      <w:b/>
      <w:szCs w:val="20"/>
    </w:rPr>
  </w:style>
  <w:style w:type="paragraph" w:customStyle="1" w:styleId="92">
    <w:name w:val="_Style 3"/>
    <w:basedOn w:val="1"/>
    <w:qFormat/>
    <w:uiPriority w:val="0"/>
    <w:pPr>
      <w:ind w:firstLine="420" w:firstLineChars="200"/>
    </w:pPr>
    <w:rPr>
      <w:rFonts w:ascii="Calibri" w:hAnsi="Calibri"/>
      <w:szCs w:val="22"/>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索引 11"/>
    <w:basedOn w:val="1"/>
    <w:next w:val="1"/>
    <w:qFormat/>
    <w:uiPriority w:val="0"/>
    <w:pPr>
      <w:spacing w:line="360" w:lineRule="auto"/>
    </w:pPr>
    <w:rPr>
      <w:rFonts w:ascii="仿宋_GB2312" w:eastAsia="仿宋_GB2312"/>
      <w:sz w:val="24"/>
      <w:szCs w:val="20"/>
    </w:rPr>
  </w:style>
  <w:style w:type="paragraph" w:customStyle="1" w:styleId="95">
    <w:name w:val="Char Char Char Char"/>
    <w:basedOn w:val="1"/>
    <w:qFormat/>
    <w:uiPriority w:val="0"/>
    <w:pPr>
      <w:tabs>
        <w:tab w:val="left" w:pos="360"/>
      </w:tabs>
      <w:ind w:firstLine="420" w:firstLineChars="150"/>
    </w:pPr>
  </w:style>
  <w:style w:type="paragraph" w:styleId="96">
    <w:name w:val="List Paragraph"/>
    <w:basedOn w:val="1"/>
    <w:qFormat/>
    <w:uiPriority w:val="0"/>
    <w:pPr>
      <w:widowControl/>
      <w:ind w:firstLine="420" w:firstLineChars="200"/>
      <w:jc w:val="left"/>
    </w:pPr>
    <w:rPr>
      <w:kern w:val="0"/>
      <w:sz w:val="24"/>
    </w:rPr>
  </w:style>
  <w:style w:type="paragraph" w:customStyle="1" w:styleId="97">
    <w:name w:val="Char"/>
    <w:basedOn w:val="1"/>
    <w:qFormat/>
    <w:uiPriority w:val="0"/>
    <w:pPr>
      <w:tabs>
        <w:tab w:val="left" w:pos="360"/>
      </w:tabs>
    </w:pPr>
    <w:rPr>
      <w:sz w:val="24"/>
    </w:rPr>
  </w:style>
  <w:style w:type="paragraph" w:customStyle="1" w:styleId="98">
    <w:name w:val="列出段落1"/>
    <w:basedOn w:val="1"/>
    <w:qFormat/>
    <w:uiPriority w:val="0"/>
    <w:pPr>
      <w:ind w:firstLine="420" w:firstLineChars="200"/>
    </w:pPr>
    <w:rPr>
      <w:rFonts w:ascii="Calibri" w:hAnsi="Calibri"/>
      <w:szCs w:val="22"/>
    </w:rPr>
  </w:style>
  <w:style w:type="table" w:customStyle="1" w:styleId="99">
    <w:name w:val="中等深浅网格 31"/>
    <w:basedOn w:val="38"/>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0">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2">
    <w:name w:val="font51"/>
    <w:basedOn w:val="46"/>
    <w:qFormat/>
    <w:uiPriority w:val="0"/>
    <w:rPr>
      <w:rFonts w:hint="eastAsia" w:ascii="宋体" w:hAnsi="宋体" w:eastAsia="宋体" w:cs="宋体"/>
      <w:color w:val="FF0000"/>
      <w:sz w:val="18"/>
      <w:szCs w:val="18"/>
      <w:u w:val="none"/>
    </w:rPr>
  </w:style>
  <w:style w:type="paragraph" w:customStyle="1" w:styleId="10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样式 标题 6 + 黑色"/>
    <w:basedOn w:val="9"/>
    <w:qFormat/>
    <w:uiPriority w:val="0"/>
    <w:pPr>
      <w:spacing w:before="120" w:after="60"/>
    </w:pPr>
    <w:rPr>
      <w:color w:val="000000"/>
      <w:sz w:val="28"/>
    </w:rPr>
  </w:style>
  <w:style w:type="character" w:customStyle="1" w:styleId="105">
    <w:name w:val="文档结构图 Char"/>
    <w:basedOn w:val="46"/>
    <w:link w:val="11"/>
    <w:semiHidden/>
    <w:qFormat/>
    <w:uiPriority w:val="99"/>
    <w:rPr>
      <w:rFonts w:ascii="宋体" w:hAnsi="Times New Roman"/>
      <w:kern w:val="2"/>
      <w:sz w:val="18"/>
      <w:szCs w:val="18"/>
    </w:rPr>
  </w:style>
  <w:style w:type="paragraph" w:customStyle="1" w:styleId="106">
    <w:name w:val="正文1"/>
    <w:qFormat/>
    <w:uiPriority w:val="0"/>
    <w:rPr>
      <w:rFonts w:ascii="Times New Roman" w:hAnsi="Times New Roman" w:eastAsia="Times New Roman" w:cs="Times New Roman"/>
      <w:sz w:val="24"/>
      <w:szCs w:val="24"/>
      <w:lang w:val="en-US" w:eastAsia="zh-CN" w:bidi="ar-SA"/>
    </w:rPr>
  </w:style>
  <w:style w:type="paragraph" w:customStyle="1" w:styleId="107">
    <w:name w:val="NOTE_Normal"/>
    <w:basedOn w:val="1"/>
    <w:next w:val="3"/>
    <w:qFormat/>
    <w:uiPriority w:val="0"/>
  </w:style>
  <w:style w:type="paragraph" w:customStyle="1" w:styleId="108">
    <w:name w:val="Table Paragraph"/>
    <w:basedOn w:val="1"/>
    <w:qFormat/>
    <w:uiPriority w:val="1"/>
    <w:rPr>
      <w:rFonts w:ascii="宋体" w:hAnsi="宋体" w:cs="宋体"/>
      <w:lang w:val="zh-CN" w:bidi="zh-CN"/>
    </w:rPr>
  </w:style>
  <w:style w:type="paragraph" w:customStyle="1" w:styleId="109">
    <w:name w:val="Normal_8"/>
    <w:qFormat/>
    <w:uiPriority w:val="0"/>
    <w:rPr>
      <w:rFonts w:ascii="黑体" w:hAnsi="黑体" w:eastAsia="黑体" w:cs="Times New Roman"/>
      <w:b/>
      <w:sz w:val="32"/>
      <w:szCs w:val="24"/>
      <w:lang w:val="en-US" w:eastAsia="zh-CN" w:bidi="ar-SA"/>
    </w:rPr>
  </w:style>
  <w:style w:type="paragraph" w:customStyle="1" w:styleId="110">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正文文本1"/>
    <w:basedOn w:val="110"/>
    <w:qFormat/>
    <w:uiPriority w:val="1"/>
    <w:pPr>
      <w:ind w:left="220"/>
    </w:pPr>
    <w:rPr>
      <w:rFonts w:eastAsia="Times New Roman"/>
      <w:sz w:val="32"/>
      <w:szCs w:val="32"/>
    </w:rPr>
  </w:style>
  <w:style w:type="paragraph" w:customStyle="1" w:styleId="112">
    <w:name w:val="正文 1.1.1"/>
    <w:basedOn w:val="1"/>
    <w:next w:val="1"/>
    <w:qFormat/>
    <w:uiPriority w:val="0"/>
    <w:pPr>
      <w:adjustRightInd w:val="0"/>
      <w:spacing w:line="360" w:lineRule="auto"/>
      <w:ind w:firstLine="482" w:firstLineChars="200"/>
      <w:textAlignment w:val="baseline"/>
      <w:outlineLvl w:val="2"/>
    </w:pPr>
    <w:rPr>
      <w:rFonts w:ascii="仿宋_GB2312" w:hAnsi="Arial"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A63CE-3A26-4860-8EA2-089240C4E21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39984</Words>
  <Characters>42307</Characters>
  <Lines>330</Lines>
  <Paragraphs>93</Paragraphs>
  <TotalTime>0</TotalTime>
  <ScaleCrop>false</ScaleCrop>
  <LinksUpToDate>false</LinksUpToDate>
  <CharactersWithSpaces>44456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2022-07-26T04:10:00Z</cp:lastPrinted>
  <dcterms:modified xsi:type="dcterms:W3CDTF">2022-07-27T10:15:00Z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F8E3B77E7DAB4264BBD7C2EBA6A5A67C</vt:lpwstr>
  </property>
</Properties>
</file>