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4"/>
        <w:shd w:val="clear" w:color="auto" w:fill="FFFFFF"/>
        <w:spacing w:line="360" w:lineRule="exact"/>
        <w:jc w:val="right"/>
        <w:rPr>
          <w:rFonts w:ascii="仿宋" w:hAnsi="仿宋" w:eastAsia="仿宋"/>
          <w:color w:val="auto"/>
          <w:sz w:val="18"/>
          <w:szCs w:val="18"/>
          <w:lang w:val="zh-CN"/>
        </w:rPr>
      </w:pPr>
    </w:p>
    <w:p>
      <w:pPr>
        <w:shd w:val="clear" w:color="auto" w:fill="FFFFFF"/>
        <w:autoSpaceDE w:val="0"/>
        <w:autoSpaceDN w:val="0"/>
        <w:adjustRightInd w:val="0"/>
        <w:spacing w:line="360" w:lineRule="exact"/>
        <w:rPr>
          <w:rFonts w:ascii="仿宋" w:hAnsi="仿宋" w:eastAsia="仿宋"/>
          <w:b/>
          <w:bCs/>
          <w:color w:val="auto"/>
          <w:kern w:val="0"/>
          <w:sz w:val="28"/>
          <w:szCs w:val="28"/>
        </w:rPr>
      </w:pPr>
    </w:p>
    <w:p>
      <w:pPr>
        <w:shd w:val="clear" w:color="auto" w:fill="FFFFFF"/>
        <w:autoSpaceDE w:val="0"/>
        <w:autoSpaceDN w:val="0"/>
        <w:adjustRightInd w:val="0"/>
        <w:spacing w:line="360" w:lineRule="exact"/>
        <w:jc w:val="center"/>
        <w:rPr>
          <w:rFonts w:ascii="仿宋" w:hAnsi="仿宋" w:eastAsia="仿宋"/>
          <w:b/>
          <w:bCs/>
          <w:color w:val="auto"/>
          <w:kern w:val="0"/>
          <w:sz w:val="32"/>
          <w:szCs w:val="32"/>
        </w:rPr>
      </w:pPr>
      <w:r>
        <w:rPr>
          <w:rFonts w:hint="eastAsia" w:ascii="仿宋" w:hAnsi="仿宋" w:eastAsia="仿宋"/>
          <w:b/>
          <w:bCs/>
          <w:color w:val="auto"/>
          <w:kern w:val="0"/>
          <w:sz w:val="32"/>
          <w:szCs w:val="32"/>
        </w:rPr>
        <w:t>目    录</w:t>
      </w:r>
    </w:p>
    <w:p>
      <w:pPr>
        <w:shd w:val="clear" w:color="auto" w:fill="FFFFFF"/>
        <w:autoSpaceDE w:val="0"/>
        <w:autoSpaceDN w:val="0"/>
        <w:adjustRightInd w:val="0"/>
        <w:spacing w:line="360" w:lineRule="exact"/>
        <w:rPr>
          <w:rFonts w:ascii="仿宋" w:hAnsi="仿宋" w:eastAsia="仿宋"/>
          <w:color w:val="auto"/>
          <w:kern w:val="0"/>
          <w:sz w:val="28"/>
          <w:szCs w:val="28"/>
        </w:rPr>
      </w:pPr>
    </w:p>
    <w:p>
      <w:pPr>
        <w:tabs>
          <w:tab w:val="right" w:leader="dot" w:pos="9628"/>
        </w:tabs>
        <w:spacing w:before="120" w:after="120"/>
        <w:jc w:val="left"/>
        <w:rPr>
          <w:rFonts w:ascii="仿宋" w:hAnsi="仿宋" w:eastAsia="仿宋"/>
          <w:color w:val="auto"/>
          <w:sz w:val="28"/>
          <w:szCs w:val="28"/>
        </w:rPr>
      </w:pPr>
      <w:r>
        <w:rPr>
          <w:rFonts w:ascii="仿宋" w:hAnsi="仿宋" w:eastAsia="仿宋"/>
          <w:caps/>
          <w:color w:val="auto"/>
          <w:kern w:val="0"/>
          <w:sz w:val="28"/>
          <w:szCs w:val="28"/>
        </w:rPr>
        <w:fldChar w:fldCharType="begin"/>
      </w:r>
      <w:r>
        <w:rPr>
          <w:rFonts w:ascii="仿宋" w:hAnsi="仿宋" w:eastAsia="仿宋"/>
          <w:caps/>
          <w:color w:val="auto"/>
          <w:kern w:val="0"/>
          <w:sz w:val="28"/>
          <w:szCs w:val="28"/>
        </w:rPr>
        <w:instrText xml:space="preserve"> TOC \o "1-1" \h \z \u </w:instrText>
      </w:r>
      <w:r>
        <w:rPr>
          <w:rFonts w:ascii="仿宋" w:hAnsi="仿宋" w:eastAsia="仿宋"/>
          <w:caps/>
          <w:color w:val="auto"/>
          <w:kern w:val="0"/>
          <w:sz w:val="28"/>
          <w:szCs w:val="28"/>
        </w:rPr>
        <w:fldChar w:fldCharType="separate"/>
      </w:r>
      <w:r>
        <w:rPr>
          <w:color w:val="auto"/>
        </w:rPr>
        <w:fldChar w:fldCharType="begin"/>
      </w:r>
      <w:r>
        <w:rPr>
          <w:color w:val="auto"/>
        </w:rPr>
        <w:instrText xml:space="preserve"> HYPERLINK \l "_Toc76141883" </w:instrText>
      </w:r>
      <w:r>
        <w:rPr>
          <w:color w:val="auto"/>
        </w:rPr>
        <w:fldChar w:fldCharType="separate"/>
      </w:r>
      <w:r>
        <w:rPr>
          <w:rFonts w:hint="eastAsia" w:ascii="仿宋" w:hAnsi="仿宋" w:eastAsia="仿宋"/>
          <w:bCs/>
          <w:caps/>
          <w:color w:val="auto"/>
          <w:sz w:val="28"/>
        </w:rPr>
        <w:t>第一章</w:t>
      </w:r>
      <w:r>
        <w:rPr>
          <w:rFonts w:ascii="仿宋" w:hAnsi="仿宋" w:eastAsia="仿宋"/>
          <w:bCs/>
          <w:caps/>
          <w:color w:val="auto"/>
          <w:sz w:val="28"/>
        </w:rPr>
        <w:t xml:space="preserve">  </w:t>
      </w:r>
      <w:r>
        <w:rPr>
          <w:rFonts w:hint="eastAsia" w:ascii="仿宋" w:hAnsi="仿宋" w:eastAsia="仿宋"/>
          <w:bCs/>
          <w:caps/>
          <w:color w:val="auto"/>
          <w:sz w:val="28"/>
        </w:rPr>
        <w:t>招标公告</w:t>
      </w:r>
      <w:r>
        <w:rPr>
          <w:rFonts w:ascii="仿宋" w:hAnsi="仿宋" w:eastAsia="仿宋"/>
          <w:bCs/>
          <w:caps/>
          <w:color w:val="auto"/>
          <w:sz w:val="28"/>
          <w:szCs w:val="28"/>
        </w:rPr>
        <w:tab/>
      </w:r>
      <w:r>
        <w:rPr>
          <w:rFonts w:ascii="仿宋" w:hAnsi="仿宋" w:eastAsia="仿宋"/>
          <w:bCs/>
          <w:caps/>
          <w:color w:val="auto"/>
          <w:sz w:val="28"/>
          <w:szCs w:val="28"/>
        </w:rPr>
        <w:fldChar w:fldCharType="begin"/>
      </w:r>
      <w:r>
        <w:rPr>
          <w:rFonts w:ascii="仿宋" w:hAnsi="仿宋" w:eastAsia="仿宋"/>
          <w:bCs/>
          <w:caps/>
          <w:color w:val="auto"/>
          <w:sz w:val="28"/>
          <w:szCs w:val="28"/>
        </w:rPr>
        <w:instrText xml:space="preserve"> PAGEREF _Toc76141883 \h </w:instrText>
      </w:r>
      <w:r>
        <w:rPr>
          <w:rFonts w:ascii="仿宋" w:hAnsi="仿宋" w:eastAsia="仿宋"/>
          <w:bCs/>
          <w:caps/>
          <w:color w:val="auto"/>
          <w:sz w:val="28"/>
          <w:szCs w:val="28"/>
        </w:rPr>
        <w:fldChar w:fldCharType="separate"/>
      </w:r>
      <w:r>
        <w:rPr>
          <w:rFonts w:ascii="仿宋" w:hAnsi="仿宋" w:eastAsia="仿宋"/>
          <w:bCs/>
          <w:caps/>
          <w:color w:val="auto"/>
          <w:sz w:val="28"/>
          <w:szCs w:val="28"/>
        </w:rPr>
        <w:t>- 2 -</w:t>
      </w:r>
      <w:r>
        <w:rPr>
          <w:rFonts w:ascii="仿宋" w:hAnsi="仿宋" w:eastAsia="仿宋"/>
          <w:bCs/>
          <w:caps/>
          <w:color w:val="auto"/>
          <w:sz w:val="28"/>
          <w:szCs w:val="28"/>
        </w:rPr>
        <w:fldChar w:fldCharType="end"/>
      </w:r>
      <w:r>
        <w:rPr>
          <w:rFonts w:ascii="仿宋" w:hAnsi="仿宋" w:eastAsia="仿宋"/>
          <w:bCs/>
          <w:caps/>
          <w:color w:val="auto"/>
          <w:sz w:val="28"/>
          <w:szCs w:val="28"/>
        </w:rPr>
        <w:fldChar w:fldCharType="end"/>
      </w:r>
    </w:p>
    <w:p>
      <w:pPr>
        <w:tabs>
          <w:tab w:val="right" w:leader="dot" w:pos="9628"/>
        </w:tabs>
        <w:spacing w:before="120" w:after="120"/>
        <w:jc w:val="left"/>
        <w:rPr>
          <w:rFonts w:ascii="仿宋" w:hAnsi="仿宋" w:eastAsia="仿宋"/>
          <w:color w:val="auto"/>
          <w:sz w:val="28"/>
          <w:szCs w:val="28"/>
        </w:rPr>
      </w:pPr>
      <w:r>
        <w:rPr>
          <w:color w:val="auto"/>
        </w:rPr>
        <w:fldChar w:fldCharType="begin"/>
      </w:r>
      <w:r>
        <w:rPr>
          <w:color w:val="auto"/>
        </w:rPr>
        <w:instrText xml:space="preserve"> HYPERLINK \l "_Toc76141884" </w:instrText>
      </w:r>
      <w:r>
        <w:rPr>
          <w:color w:val="auto"/>
        </w:rPr>
        <w:fldChar w:fldCharType="separate"/>
      </w:r>
      <w:r>
        <w:rPr>
          <w:rFonts w:hint="eastAsia" w:ascii="仿宋" w:hAnsi="仿宋" w:eastAsia="仿宋"/>
          <w:bCs/>
          <w:caps/>
          <w:color w:val="auto"/>
          <w:sz w:val="28"/>
        </w:rPr>
        <w:t>第二章</w:t>
      </w:r>
      <w:r>
        <w:rPr>
          <w:rFonts w:ascii="仿宋" w:hAnsi="仿宋" w:eastAsia="仿宋"/>
          <w:bCs/>
          <w:caps/>
          <w:color w:val="auto"/>
          <w:sz w:val="28"/>
        </w:rPr>
        <w:t xml:space="preserve">  </w:t>
      </w:r>
      <w:r>
        <w:rPr>
          <w:rFonts w:hint="eastAsia" w:ascii="仿宋" w:hAnsi="仿宋" w:eastAsia="仿宋"/>
          <w:bCs/>
          <w:caps/>
          <w:color w:val="auto"/>
          <w:sz w:val="28"/>
        </w:rPr>
        <w:t>投标须知前附表及投标须知</w:t>
      </w:r>
      <w:r>
        <w:rPr>
          <w:rFonts w:ascii="仿宋" w:hAnsi="仿宋" w:eastAsia="仿宋"/>
          <w:bCs/>
          <w:caps/>
          <w:color w:val="auto"/>
          <w:sz w:val="28"/>
          <w:szCs w:val="28"/>
        </w:rPr>
        <w:tab/>
      </w:r>
      <w:r>
        <w:rPr>
          <w:rFonts w:ascii="仿宋" w:hAnsi="仿宋" w:eastAsia="仿宋"/>
          <w:bCs/>
          <w:caps/>
          <w:color w:val="auto"/>
          <w:sz w:val="28"/>
          <w:szCs w:val="28"/>
        </w:rPr>
        <w:fldChar w:fldCharType="begin"/>
      </w:r>
      <w:r>
        <w:rPr>
          <w:rFonts w:ascii="仿宋" w:hAnsi="仿宋" w:eastAsia="仿宋"/>
          <w:bCs/>
          <w:caps/>
          <w:color w:val="auto"/>
          <w:sz w:val="28"/>
          <w:szCs w:val="28"/>
        </w:rPr>
        <w:instrText xml:space="preserve"> PAGEREF _Toc76141884 \h </w:instrText>
      </w:r>
      <w:r>
        <w:rPr>
          <w:rFonts w:ascii="仿宋" w:hAnsi="仿宋" w:eastAsia="仿宋"/>
          <w:bCs/>
          <w:caps/>
          <w:color w:val="auto"/>
          <w:sz w:val="28"/>
          <w:szCs w:val="28"/>
        </w:rPr>
        <w:fldChar w:fldCharType="separate"/>
      </w:r>
      <w:r>
        <w:rPr>
          <w:rFonts w:ascii="仿宋" w:hAnsi="仿宋" w:eastAsia="仿宋"/>
          <w:bCs/>
          <w:caps/>
          <w:color w:val="auto"/>
          <w:sz w:val="28"/>
          <w:szCs w:val="28"/>
        </w:rPr>
        <w:t xml:space="preserve">- </w:t>
      </w:r>
      <w:r>
        <w:rPr>
          <w:rFonts w:hint="eastAsia" w:ascii="仿宋" w:hAnsi="仿宋" w:eastAsia="仿宋"/>
          <w:bCs/>
          <w:caps/>
          <w:color w:val="auto"/>
          <w:sz w:val="28"/>
          <w:szCs w:val="28"/>
        </w:rPr>
        <w:t>5</w:t>
      </w:r>
      <w:r>
        <w:rPr>
          <w:rFonts w:ascii="仿宋" w:hAnsi="仿宋" w:eastAsia="仿宋"/>
          <w:bCs/>
          <w:caps/>
          <w:color w:val="auto"/>
          <w:sz w:val="28"/>
          <w:szCs w:val="28"/>
        </w:rPr>
        <w:t xml:space="preserve"> -</w:t>
      </w:r>
      <w:r>
        <w:rPr>
          <w:rFonts w:ascii="仿宋" w:hAnsi="仿宋" w:eastAsia="仿宋"/>
          <w:bCs/>
          <w:caps/>
          <w:color w:val="auto"/>
          <w:sz w:val="28"/>
          <w:szCs w:val="28"/>
        </w:rPr>
        <w:fldChar w:fldCharType="end"/>
      </w:r>
      <w:r>
        <w:rPr>
          <w:rFonts w:ascii="仿宋" w:hAnsi="仿宋" w:eastAsia="仿宋"/>
          <w:bCs/>
          <w:caps/>
          <w:color w:val="auto"/>
          <w:sz w:val="28"/>
          <w:szCs w:val="28"/>
        </w:rPr>
        <w:fldChar w:fldCharType="end"/>
      </w:r>
    </w:p>
    <w:p>
      <w:pPr>
        <w:tabs>
          <w:tab w:val="right" w:leader="dot" w:pos="9628"/>
        </w:tabs>
        <w:spacing w:before="120" w:after="120"/>
        <w:jc w:val="left"/>
        <w:rPr>
          <w:rFonts w:ascii="仿宋" w:hAnsi="仿宋" w:eastAsia="仿宋"/>
          <w:color w:val="auto"/>
          <w:sz w:val="28"/>
          <w:szCs w:val="28"/>
        </w:rPr>
      </w:pPr>
      <w:r>
        <w:rPr>
          <w:color w:val="auto"/>
        </w:rPr>
        <w:fldChar w:fldCharType="begin"/>
      </w:r>
      <w:r>
        <w:rPr>
          <w:color w:val="auto"/>
        </w:rPr>
        <w:instrText xml:space="preserve"> HYPERLINK \l "_Toc76141885" </w:instrText>
      </w:r>
      <w:r>
        <w:rPr>
          <w:color w:val="auto"/>
        </w:rPr>
        <w:fldChar w:fldCharType="separate"/>
      </w:r>
      <w:r>
        <w:rPr>
          <w:rFonts w:hint="eastAsia" w:ascii="仿宋" w:hAnsi="仿宋" w:eastAsia="仿宋"/>
          <w:bCs/>
          <w:caps/>
          <w:color w:val="auto"/>
          <w:sz w:val="28"/>
        </w:rPr>
        <w:t>第三章</w:t>
      </w:r>
      <w:r>
        <w:rPr>
          <w:rFonts w:ascii="仿宋" w:hAnsi="仿宋" w:eastAsia="仿宋"/>
          <w:bCs/>
          <w:caps/>
          <w:color w:val="auto"/>
          <w:sz w:val="28"/>
        </w:rPr>
        <w:t xml:space="preserve">  </w:t>
      </w:r>
      <w:r>
        <w:rPr>
          <w:rFonts w:hint="eastAsia" w:ascii="仿宋" w:hAnsi="仿宋" w:eastAsia="仿宋"/>
          <w:bCs/>
          <w:caps/>
          <w:color w:val="auto"/>
          <w:sz w:val="28"/>
        </w:rPr>
        <w:t>合同条款</w:t>
      </w:r>
      <w:r>
        <w:rPr>
          <w:rFonts w:ascii="仿宋" w:hAnsi="仿宋" w:eastAsia="仿宋"/>
          <w:bCs/>
          <w:caps/>
          <w:color w:val="auto"/>
          <w:sz w:val="28"/>
          <w:szCs w:val="28"/>
        </w:rPr>
        <w:tab/>
      </w:r>
      <w:r>
        <w:rPr>
          <w:rFonts w:ascii="仿宋" w:hAnsi="仿宋" w:eastAsia="仿宋"/>
          <w:bCs/>
          <w:caps/>
          <w:color w:val="auto"/>
          <w:sz w:val="28"/>
          <w:szCs w:val="28"/>
        </w:rPr>
        <w:fldChar w:fldCharType="begin"/>
      </w:r>
      <w:r>
        <w:rPr>
          <w:rFonts w:ascii="仿宋" w:hAnsi="仿宋" w:eastAsia="仿宋"/>
          <w:bCs/>
          <w:caps/>
          <w:color w:val="auto"/>
          <w:sz w:val="28"/>
          <w:szCs w:val="28"/>
        </w:rPr>
        <w:instrText xml:space="preserve"> PAGEREF _Toc76141885 \h </w:instrText>
      </w:r>
      <w:r>
        <w:rPr>
          <w:rFonts w:ascii="仿宋" w:hAnsi="仿宋" w:eastAsia="仿宋"/>
          <w:bCs/>
          <w:caps/>
          <w:color w:val="auto"/>
          <w:sz w:val="28"/>
          <w:szCs w:val="28"/>
        </w:rPr>
        <w:fldChar w:fldCharType="separate"/>
      </w:r>
      <w:r>
        <w:rPr>
          <w:rFonts w:ascii="仿宋" w:hAnsi="仿宋" w:eastAsia="仿宋"/>
          <w:bCs/>
          <w:caps/>
          <w:color w:val="auto"/>
          <w:sz w:val="28"/>
          <w:szCs w:val="28"/>
        </w:rPr>
        <w:t>- 2</w:t>
      </w:r>
      <w:r>
        <w:rPr>
          <w:rFonts w:hint="eastAsia" w:ascii="仿宋" w:hAnsi="仿宋" w:eastAsia="仿宋"/>
          <w:bCs/>
          <w:caps/>
          <w:color w:val="auto"/>
          <w:sz w:val="28"/>
          <w:szCs w:val="28"/>
        </w:rPr>
        <w:t>8</w:t>
      </w:r>
      <w:r>
        <w:rPr>
          <w:rFonts w:ascii="仿宋" w:hAnsi="仿宋" w:eastAsia="仿宋"/>
          <w:bCs/>
          <w:caps/>
          <w:color w:val="auto"/>
          <w:sz w:val="28"/>
          <w:szCs w:val="28"/>
        </w:rPr>
        <w:t xml:space="preserve"> -</w:t>
      </w:r>
      <w:r>
        <w:rPr>
          <w:rFonts w:ascii="仿宋" w:hAnsi="仿宋" w:eastAsia="仿宋"/>
          <w:bCs/>
          <w:caps/>
          <w:color w:val="auto"/>
          <w:sz w:val="28"/>
          <w:szCs w:val="28"/>
        </w:rPr>
        <w:fldChar w:fldCharType="end"/>
      </w:r>
      <w:r>
        <w:rPr>
          <w:rFonts w:ascii="仿宋" w:hAnsi="仿宋" w:eastAsia="仿宋"/>
          <w:bCs/>
          <w:caps/>
          <w:color w:val="auto"/>
          <w:sz w:val="28"/>
          <w:szCs w:val="28"/>
        </w:rPr>
        <w:fldChar w:fldCharType="end"/>
      </w:r>
    </w:p>
    <w:p>
      <w:pPr>
        <w:tabs>
          <w:tab w:val="right" w:leader="dot" w:pos="9628"/>
        </w:tabs>
        <w:spacing w:before="120" w:after="120"/>
        <w:jc w:val="left"/>
        <w:rPr>
          <w:rFonts w:ascii="仿宋" w:hAnsi="仿宋" w:eastAsia="仿宋"/>
          <w:color w:val="auto"/>
          <w:sz w:val="28"/>
          <w:szCs w:val="28"/>
        </w:rPr>
      </w:pPr>
      <w:r>
        <w:rPr>
          <w:color w:val="auto"/>
        </w:rPr>
        <w:fldChar w:fldCharType="begin"/>
      </w:r>
      <w:r>
        <w:rPr>
          <w:color w:val="auto"/>
        </w:rPr>
        <w:instrText xml:space="preserve"> HYPERLINK \l "_Toc76141886" </w:instrText>
      </w:r>
      <w:r>
        <w:rPr>
          <w:color w:val="auto"/>
        </w:rPr>
        <w:fldChar w:fldCharType="separate"/>
      </w:r>
      <w:r>
        <w:rPr>
          <w:rFonts w:hint="eastAsia" w:ascii="仿宋" w:hAnsi="仿宋" w:eastAsia="仿宋"/>
          <w:bCs/>
          <w:caps/>
          <w:color w:val="auto"/>
          <w:sz w:val="28"/>
        </w:rPr>
        <w:t>第四章</w:t>
      </w:r>
      <w:r>
        <w:rPr>
          <w:rFonts w:ascii="仿宋" w:hAnsi="仿宋" w:eastAsia="仿宋"/>
          <w:bCs/>
          <w:caps/>
          <w:color w:val="auto"/>
          <w:sz w:val="28"/>
        </w:rPr>
        <w:t xml:space="preserve">  </w:t>
      </w:r>
      <w:r>
        <w:rPr>
          <w:rFonts w:hint="eastAsia" w:ascii="仿宋" w:hAnsi="仿宋" w:eastAsia="仿宋"/>
          <w:bCs/>
          <w:caps/>
          <w:color w:val="auto"/>
          <w:sz w:val="28"/>
        </w:rPr>
        <w:t>采购需求</w:t>
      </w:r>
      <w:r>
        <w:rPr>
          <w:rFonts w:ascii="仿宋" w:hAnsi="仿宋" w:eastAsia="仿宋"/>
          <w:bCs/>
          <w:caps/>
          <w:color w:val="auto"/>
          <w:sz w:val="28"/>
          <w:szCs w:val="28"/>
        </w:rPr>
        <w:tab/>
      </w:r>
      <w:r>
        <w:rPr>
          <w:rFonts w:ascii="仿宋" w:hAnsi="仿宋" w:eastAsia="仿宋"/>
          <w:bCs/>
          <w:caps/>
          <w:color w:val="auto"/>
          <w:sz w:val="28"/>
          <w:szCs w:val="28"/>
        </w:rPr>
        <w:fldChar w:fldCharType="begin"/>
      </w:r>
      <w:r>
        <w:rPr>
          <w:rFonts w:ascii="仿宋" w:hAnsi="仿宋" w:eastAsia="仿宋"/>
          <w:bCs/>
          <w:caps/>
          <w:color w:val="auto"/>
          <w:sz w:val="28"/>
          <w:szCs w:val="28"/>
        </w:rPr>
        <w:instrText xml:space="preserve"> PAGEREF _Toc76141886 \h </w:instrText>
      </w:r>
      <w:r>
        <w:rPr>
          <w:rFonts w:ascii="仿宋" w:hAnsi="仿宋" w:eastAsia="仿宋"/>
          <w:bCs/>
          <w:caps/>
          <w:color w:val="auto"/>
          <w:sz w:val="28"/>
          <w:szCs w:val="28"/>
        </w:rPr>
        <w:fldChar w:fldCharType="separate"/>
      </w:r>
      <w:r>
        <w:rPr>
          <w:rFonts w:ascii="仿宋" w:hAnsi="仿宋" w:eastAsia="仿宋"/>
          <w:bCs/>
          <w:caps/>
          <w:color w:val="auto"/>
          <w:sz w:val="28"/>
          <w:szCs w:val="28"/>
        </w:rPr>
        <w:t xml:space="preserve">- </w:t>
      </w:r>
      <w:r>
        <w:rPr>
          <w:rFonts w:hint="eastAsia" w:ascii="仿宋" w:hAnsi="仿宋" w:eastAsia="仿宋"/>
          <w:bCs/>
          <w:caps/>
          <w:color w:val="auto"/>
          <w:sz w:val="28"/>
          <w:szCs w:val="28"/>
        </w:rPr>
        <w:t>45</w:t>
      </w:r>
      <w:r>
        <w:rPr>
          <w:rFonts w:ascii="仿宋" w:hAnsi="仿宋" w:eastAsia="仿宋"/>
          <w:bCs/>
          <w:caps/>
          <w:color w:val="auto"/>
          <w:sz w:val="28"/>
          <w:szCs w:val="28"/>
        </w:rPr>
        <w:t xml:space="preserve"> -</w:t>
      </w:r>
      <w:r>
        <w:rPr>
          <w:rFonts w:ascii="仿宋" w:hAnsi="仿宋" w:eastAsia="仿宋"/>
          <w:bCs/>
          <w:caps/>
          <w:color w:val="auto"/>
          <w:sz w:val="28"/>
          <w:szCs w:val="28"/>
        </w:rPr>
        <w:fldChar w:fldCharType="end"/>
      </w:r>
      <w:r>
        <w:rPr>
          <w:rFonts w:ascii="仿宋" w:hAnsi="仿宋" w:eastAsia="仿宋"/>
          <w:bCs/>
          <w:caps/>
          <w:color w:val="auto"/>
          <w:sz w:val="28"/>
          <w:szCs w:val="28"/>
        </w:rPr>
        <w:fldChar w:fldCharType="end"/>
      </w:r>
    </w:p>
    <w:p>
      <w:pPr>
        <w:tabs>
          <w:tab w:val="right" w:leader="dot" w:pos="9628"/>
        </w:tabs>
        <w:spacing w:before="120" w:after="120"/>
        <w:jc w:val="left"/>
        <w:rPr>
          <w:rFonts w:ascii="仿宋" w:hAnsi="仿宋" w:eastAsia="仿宋"/>
          <w:color w:val="auto"/>
          <w:sz w:val="28"/>
          <w:szCs w:val="28"/>
        </w:rPr>
      </w:pPr>
      <w:r>
        <w:rPr>
          <w:color w:val="auto"/>
        </w:rPr>
        <w:fldChar w:fldCharType="begin"/>
      </w:r>
      <w:r>
        <w:rPr>
          <w:color w:val="auto"/>
        </w:rPr>
        <w:instrText xml:space="preserve"> HYPERLINK \l "_Toc76141887" </w:instrText>
      </w:r>
      <w:r>
        <w:rPr>
          <w:color w:val="auto"/>
        </w:rPr>
        <w:fldChar w:fldCharType="separate"/>
      </w:r>
      <w:r>
        <w:rPr>
          <w:rFonts w:hint="eastAsia" w:ascii="仿宋" w:hAnsi="仿宋" w:eastAsia="仿宋"/>
          <w:bCs/>
          <w:caps/>
          <w:color w:val="auto"/>
          <w:sz w:val="28"/>
        </w:rPr>
        <w:t>第五章</w:t>
      </w:r>
      <w:r>
        <w:rPr>
          <w:rFonts w:ascii="仿宋" w:hAnsi="仿宋" w:eastAsia="仿宋"/>
          <w:bCs/>
          <w:caps/>
          <w:color w:val="auto"/>
          <w:sz w:val="28"/>
        </w:rPr>
        <w:t xml:space="preserve">  </w:t>
      </w:r>
      <w:r>
        <w:rPr>
          <w:rFonts w:hint="eastAsia" w:ascii="仿宋" w:hAnsi="仿宋" w:eastAsia="仿宋"/>
          <w:bCs/>
          <w:caps/>
          <w:color w:val="auto"/>
          <w:sz w:val="28"/>
        </w:rPr>
        <w:t>投标文件格式</w:t>
      </w:r>
      <w:r>
        <w:rPr>
          <w:rFonts w:ascii="仿宋" w:hAnsi="仿宋" w:eastAsia="仿宋"/>
          <w:bCs/>
          <w:caps/>
          <w:color w:val="auto"/>
          <w:sz w:val="28"/>
          <w:szCs w:val="28"/>
        </w:rPr>
        <w:tab/>
      </w:r>
      <w:r>
        <w:rPr>
          <w:rFonts w:ascii="仿宋" w:hAnsi="仿宋" w:eastAsia="仿宋"/>
          <w:bCs/>
          <w:caps/>
          <w:color w:val="auto"/>
          <w:sz w:val="28"/>
          <w:szCs w:val="28"/>
        </w:rPr>
        <w:fldChar w:fldCharType="begin"/>
      </w:r>
      <w:r>
        <w:rPr>
          <w:rFonts w:ascii="仿宋" w:hAnsi="仿宋" w:eastAsia="仿宋"/>
          <w:bCs/>
          <w:caps/>
          <w:color w:val="auto"/>
          <w:sz w:val="28"/>
          <w:szCs w:val="28"/>
        </w:rPr>
        <w:instrText xml:space="preserve"> PAGEREF _Toc76141887 \h </w:instrText>
      </w:r>
      <w:r>
        <w:rPr>
          <w:rFonts w:ascii="仿宋" w:hAnsi="仿宋" w:eastAsia="仿宋"/>
          <w:bCs/>
          <w:caps/>
          <w:color w:val="auto"/>
          <w:sz w:val="28"/>
          <w:szCs w:val="28"/>
        </w:rPr>
        <w:fldChar w:fldCharType="separate"/>
      </w:r>
      <w:r>
        <w:rPr>
          <w:rFonts w:ascii="仿宋" w:hAnsi="仿宋" w:eastAsia="仿宋"/>
          <w:bCs/>
          <w:caps/>
          <w:color w:val="auto"/>
          <w:sz w:val="28"/>
          <w:szCs w:val="28"/>
        </w:rPr>
        <w:t xml:space="preserve">- </w:t>
      </w:r>
      <w:r>
        <w:rPr>
          <w:rFonts w:hint="eastAsia" w:ascii="仿宋" w:hAnsi="仿宋" w:eastAsia="仿宋"/>
          <w:bCs/>
          <w:caps/>
          <w:color w:val="auto"/>
          <w:sz w:val="28"/>
          <w:szCs w:val="28"/>
        </w:rPr>
        <w:t>49</w:t>
      </w:r>
      <w:r>
        <w:rPr>
          <w:rFonts w:ascii="仿宋" w:hAnsi="仿宋" w:eastAsia="仿宋"/>
          <w:bCs/>
          <w:caps/>
          <w:color w:val="auto"/>
          <w:sz w:val="28"/>
          <w:szCs w:val="28"/>
        </w:rPr>
        <w:t xml:space="preserve"> -</w:t>
      </w:r>
      <w:r>
        <w:rPr>
          <w:rFonts w:ascii="仿宋" w:hAnsi="仿宋" w:eastAsia="仿宋"/>
          <w:bCs/>
          <w:caps/>
          <w:color w:val="auto"/>
          <w:sz w:val="28"/>
          <w:szCs w:val="28"/>
        </w:rPr>
        <w:fldChar w:fldCharType="end"/>
      </w:r>
      <w:r>
        <w:rPr>
          <w:rFonts w:ascii="仿宋" w:hAnsi="仿宋" w:eastAsia="仿宋"/>
          <w:bCs/>
          <w:caps/>
          <w:color w:val="auto"/>
          <w:sz w:val="28"/>
          <w:szCs w:val="28"/>
        </w:rPr>
        <w:fldChar w:fldCharType="end"/>
      </w:r>
    </w:p>
    <w:p>
      <w:pPr>
        <w:widowControl/>
        <w:shd w:val="clear" w:color="auto" w:fill="FFFFFF"/>
        <w:spacing w:line="360" w:lineRule="exact"/>
        <w:rPr>
          <w:rFonts w:ascii="仿宋" w:hAnsi="仿宋" w:eastAsia="仿宋"/>
          <w:b/>
          <w:bCs/>
          <w:color w:val="auto"/>
          <w:kern w:val="0"/>
          <w:sz w:val="28"/>
          <w:szCs w:val="28"/>
        </w:rPr>
      </w:pPr>
      <w:r>
        <w:rPr>
          <w:rFonts w:ascii="仿宋" w:hAnsi="仿宋" w:eastAsia="仿宋"/>
          <w:b/>
          <w:bCs/>
          <w:color w:val="auto"/>
          <w:kern w:val="0"/>
          <w:sz w:val="28"/>
          <w:szCs w:val="28"/>
        </w:rPr>
        <w:fldChar w:fldCharType="end"/>
      </w:r>
    </w:p>
    <w:p>
      <w:pPr>
        <w:pStyle w:val="57"/>
        <w:ind w:firstLine="210"/>
        <w:rPr>
          <w:color w:val="auto"/>
          <w:kern w:val="0"/>
        </w:rPr>
      </w:pPr>
      <w:r>
        <w:rPr>
          <w:color w:val="auto"/>
          <w:kern w:val="0"/>
        </w:rPr>
        <w:br w:type="page"/>
      </w:r>
    </w:p>
    <w:p>
      <w:pPr>
        <w:widowControl/>
        <w:shd w:val="clear" w:color="auto" w:fill="FFFFFF"/>
        <w:spacing w:line="360" w:lineRule="exact"/>
        <w:rPr>
          <w:rFonts w:ascii="仿宋" w:hAnsi="仿宋" w:eastAsia="仿宋" w:cs="宋体"/>
          <w:color w:val="auto"/>
          <w:kern w:val="0"/>
          <w:sz w:val="18"/>
          <w:szCs w:val="18"/>
        </w:rPr>
      </w:pPr>
    </w:p>
    <w:p>
      <w:pPr>
        <w:pStyle w:val="327"/>
        <w:spacing w:beforeLines="50" w:afterLines="50" w:line="360" w:lineRule="auto"/>
        <w:jc w:val="center"/>
        <w:rPr>
          <w:rFonts w:ascii="仿宋" w:hAnsi="仿宋" w:eastAsia="仿宋"/>
          <w:b/>
          <w:color w:val="auto"/>
          <w:sz w:val="32"/>
          <w:szCs w:val="32"/>
        </w:rPr>
      </w:pPr>
      <w:r>
        <w:rPr>
          <w:rFonts w:hint="eastAsia" w:ascii="仿宋" w:hAnsi="仿宋" w:eastAsia="仿宋"/>
          <w:b/>
          <w:color w:val="auto"/>
          <w:sz w:val="32"/>
          <w:szCs w:val="32"/>
        </w:rPr>
        <w:t>第一章  招标公告</w:t>
      </w:r>
    </w:p>
    <w:p>
      <w:pPr>
        <w:spacing w:line="400" w:lineRule="exact"/>
        <w:ind w:firstLine="482" w:firstLineChars="200"/>
        <w:rPr>
          <w:rFonts w:ascii="仿宋" w:hAnsi="仿宋" w:eastAsia="仿宋"/>
          <w:b/>
          <w:color w:val="auto"/>
          <w:sz w:val="24"/>
        </w:rPr>
      </w:pPr>
      <w:r>
        <w:rPr>
          <w:rFonts w:hint="eastAsia" w:ascii="仿宋" w:hAnsi="仿宋" w:eastAsia="仿宋"/>
          <w:b/>
          <w:color w:val="auto"/>
          <w:sz w:val="24"/>
        </w:rPr>
        <w:t>一、项目基本情况</w:t>
      </w:r>
    </w:p>
    <w:p>
      <w:pPr>
        <w:spacing w:line="400" w:lineRule="exact"/>
        <w:ind w:firstLine="480" w:firstLineChars="200"/>
        <w:rPr>
          <w:rFonts w:ascii="仿宋" w:hAnsi="仿宋"/>
          <w:color w:val="auto"/>
          <w:sz w:val="24"/>
        </w:rPr>
      </w:pPr>
      <w:r>
        <w:rPr>
          <w:rFonts w:hint="eastAsia" w:ascii="仿宋" w:hAnsi="仿宋" w:eastAsia="仿宋"/>
          <w:color w:val="auto"/>
          <w:sz w:val="24"/>
        </w:rPr>
        <w:t>项目编号：</w:t>
      </w:r>
      <w:r>
        <w:rPr>
          <w:rFonts w:ascii="宋体" w:hAnsi="宋体" w:cs="宋体"/>
          <w:color w:val="auto"/>
          <w:sz w:val="24"/>
          <w:shd w:val="clear" w:color="auto" w:fill="FFFFFF"/>
        </w:rPr>
        <w:t>202</w:t>
      </w:r>
      <w:r>
        <w:rPr>
          <w:rFonts w:hint="eastAsia" w:ascii="宋体" w:hAnsi="宋体" w:cs="宋体"/>
          <w:color w:val="auto"/>
          <w:sz w:val="24"/>
          <w:shd w:val="clear" w:color="auto" w:fill="FFFFFF"/>
        </w:rPr>
        <w:t>2PCGK075</w:t>
      </w:r>
    </w:p>
    <w:p>
      <w:pPr>
        <w:spacing w:line="400" w:lineRule="exact"/>
        <w:ind w:firstLine="480" w:firstLineChars="200"/>
        <w:rPr>
          <w:rFonts w:ascii="仿宋" w:hAnsi="仿宋" w:eastAsia="仿宋" w:cs="Arial"/>
          <w:color w:val="auto"/>
          <w:spacing w:val="-11"/>
          <w:sz w:val="24"/>
        </w:rPr>
      </w:pPr>
      <w:r>
        <w:rPr>
          <w:rFonts w:hint="eastAsia" w:ascii="仿宋" w:hAnsi="仿宋" w:eastAsia="仿宋"/>
          <w:color w:val="auto"/>
          <w:sz w:val="24"/>
        </w:rPr>
        <w:t>项目名称：</w:t>
      </w:r>
      <w:r>
        <w:rPr>
          <w:rFonts w:hint="eastAsia" w:ascii="仿宋" w:hAnsi="仿宋" w:eastAsia="仿宋"/>
          <w:color w:val="auto"/>
          <w:spacing w:val="-11"/>
          <w:sz w:val="24"/>
        </w:rPr>
        <w:t>库尔勒市妇幼保健计划生育服务中心（库尔勒市妇幼保健院）超融合系统采购</w:t>
      </w:r>
    </w:p>
    <w:p>
      <w:pPr>
        <w:spacing w:line="400" w:lineRule="exact"/>
        <w:ind w:firstLine="480" w:firstLineChars="200"/>
        <w:rPr>
          <w:rFonts w:ascii="仿宋" w:hAnsi="仿宋" w:eastAsia="仿宋" w:cs="Arial"/>
          <w:color w:val="auto"/>
          <w:sz w:val="24"/>
        </w:rPr>
      </w:pPr>
      <w:r>
        <w:rPr>
          <w:rFonts w:hint="eastAsia" w:ascii="仿宋" w:hAnsi="仿宋" w:eastAsia="仿宋" w:cs="Arial"/>
          <w:color w:val="auto"/>
          <w:sz w:val="24"/>
        </w:rPr>
        <w:t>采购方式：公开招标</w:t>
      </w:r>
    </w:p>
    <w:p>
      <w:pPr>
        <w:spacing w:line="400" w:lineRule="exact"/>
        <w:ind w:firstLine="480" w:firstLineChars="200"/>
        <w:rPr>
          <w:rFonts w:ascii="仿宋" w:hAnsi="仿宋" w:eastAsia="仿宋"/>
          <w:color w:val="auto"/>
          <w:sz w:val="24"/>
        </w:rPr>
      </w:pPr>
      <w:r>
        <w:rPr>
          <w:rFonts w:hint="eastAsia" w:ascii="仿宋" w:hAnsi="仿宋" w:eastAsia="仿宋"/>
          <w:color w:val="auto"/>
          <w:sz w:val="24"/>
        </w:rPr>
        <w:t xml:space="preserve">预算金额（元）：1122600.00 </w:t>
      </w:r>
    </w:p>
    <w:p>
      <w:pPr>
        <w:spacing w:line="400" w:lineRule="exact"/>
        <w:ind w:firstLine="480" w:firstLineChars="200"/>
        <w:rPr>
          <w:rFonts w:ascii="仿宋" w:hAnsi="仿宋" w:eastAsia="仿宋"/>
          <w:color w:val="auto"/>
          <w:sz w:val="24"/>
        </w:rPr>
      </w:pPr>
      <w:r>
        <w:rPr>
          <w:rFonts w:hint="eastAsia" w:ascii="仿宋" w:hAnsi="仿宋" w:eastAsia="仿宋"/>
          <w:color w:val="auto"/>
          <w:sz w:val="24"/>
        </w:rPr>
        <w:t>最高限价（元）：1122600.00</w:t>
      </w:r>
    </w:p>
    <w:p>
      <w:pPr>
        <w:spacing w:line="400" w:lineRule="exact"/>
        <w:ind w:firstLine="480" w:firstLineChars="200"/>
        <w:rPr>
          <w:rFonts w:ascii="仿宋" w:hAnsi="仿宋" w:eastAsia="仿宋"/>
          <w:color w:val="auto"/>
          <w:sz w:val="24"/>
        </w:rPr>
      </w:pPr>
      <w:r>
        <w:rPr>
          <w:rFonts w:hint="eastAsia" w:ascii="仿宋" w:hAnsi="仿宋" w:eastAsia="仿宋"/>
          <w:color w:val="auto"/>
          <w:sz w:val="24"/>
        </w:rPr>
        <w:t>采购需求：</w:t>
      </w:r>
    </w:p>
    <w:p>
      <w:pPr>
        <w:spacing w:line="400" w:lineRule="exact"/>
        <w:ind w:firstLine="480" w:firstLineChars="200"/>
        <w:rPr>
          <w:rFonts w:ascii="仿宋" w:hAnsi="仿宋" w:eastAsia="仿宋"/>
          <w:color w:val="auto"/>
          <w:sz w:val="24"/>
        </w:rPr>
      </w:pPr>
      <w:r>
        <w:rPr>
          <w:rFonts w:hint="eastAsia" w:ascii="仿宋" w:hAnsi="仿宋" w:eastAsia="仿宋"/>
          <w:color w:val="auto"/>
          <w:sz w:val="24"/>
        </w:rPr>
        <w:t>标项一</w:t>
      </w:r>
    </w:p>
    <w:p>
      <w:pPr>
        <w:spacing w:line="400" w:lineRule="exact"/>
        <w:ind w:left="479" w:leftChars="228"/>
        <w:rPr>
          <w:rFonts w:ascii="仿宋" w:hAnsi="仿宋" w:eastAsia="仿宋"/>
          <w:color w:val="auto"/>
          <w:sz w:val="24"/>
        </w:rPr>
      </w:pPr>
      <w:r>
        <w:rPr>
          <w:rFonts w:hint="eastAsia" w:ascii="仿宋" w:hAnsi="仿宋" w:eastAsia="仿宋"/>
          <w:color w:val="auto"/>
          <w:sz w:val="24"/>
        </w:rPr>
        <w:t>标项名称：</w:t>
      </w:r>
      <w:r>
        <w:rPr>
          <w:rFonts w:hint="eastAsia" w:ascii="仿宋" w:hAnsi="仿宋" w:eastAsia="仿宋"/>
          <w:color w:val="auto"/>
          <w:spacing w:val="-11"/>
          <w:sz w:val="24"/>
        </w:rPr>
        <w:t>库尔勒市妇幼保健计划生育服务中心（库尔勒市妇幼保健院）超融合系统采购</w:t>
      </w:r>
      <w:r>
        <w:rPr>
          <w:rFonts w:hint="eastAsia" w:ascii="仿宋" w:hAnsi="仿宋" w:eastAsia="仿宋"/>
          <w:color w:val="auto"/>
          <w:sz w:val="24"/>
        </w:rPr>
        <w:t xml:space="preserve">       项目编号：2022PCGK075</w:t>
      </w:r>
    </w:p>
    <w:p>
      <w:pPr>
        <w:spacing w:line="400" w:lineRule="exact"/>
        <w:ind w:firstLine="480" w:firstLineChars="200"/>
        <w:rPr>
          <w:rFonts w:ascii="仿宋" w:hAnsi="仿宋" w:eastAsia="仿宋"/>
          <w:color w:val="auto"/>
          <w:sz w:val="24"/>
        </w:rPr>
      </w:pPr>
      <w:r>
        <w:rPr>
          <w:rFonts w:hint="eastAsia" w:ascii="仿宋" w:hAnsi="仿宋" w:eastAsia="仿宋"/>
          <w:color w:val="auto"/>
          <w:sz w:val="24"/>
        </w:rPr>
        <w:t>数量：1批</w:t>
      </w:r>
    </w:p>
    <w:p>
      <w:pPr>
        <w:spacing w:line="400" w:lineRule="exact"/>
        <w:ind w:firstLine="480" w:firstLineChars="200"/>
        <w:rPr>
          <w:rFonts w:ascii="仿宋" w:hAnsi="仿宋" w:eastAsia="仿宋"/>
          <w:color w:val="auto"/>
          <w:sz w:val="24"/>
        </w:rPr>
      </w:pPr>
      <w:r>
        <w:rPr>
          <w:rFonts w:hint="eastAsia" w:ascii="仿宋" w:hAnsi="仿宋" w:eastAsia="仿宋"/>
          <w:color w:val="auto"/>
          <w:sz w:val="24"/>
        </w:rPr>
        <w:t>预算金额（元）：1122600.00</w:t>
      </w:r>
    </w:p>
    <w:p>
      <w:pPr>
        <w:spacing w:line="400" w:lineRule="exact"/>
        <w:ind w:firstLine="480" w:firstLineChars="200"/>
        <w:rPr>
          <w:rFonts w:ascii="仿宋" w:hAnsi="仿宋" w:eastAsia="仿宋"/>
          <w:color w:val="auto"/>
          <w:sz w:val="24"/>
        </w:rPr>
      </w:pPr>
      <w:r>
        <w:rPr>
          <w:rFonts w:hint="eastAsia" w:ascii="仿宋" w:hAnsi="仿宋" w:eastAsia="仿宋"/>
          <w:color w:val="auto"/>
          <w:sz w:val="24"/>
        </w:rPr>
        <w:t>简要规格描述或项目基本概况介绍、用途：超融合服务器6台、交换机、系统集成服务等，详见招标文件《采购需求》。</w:t>
      </w:r>
    </w:p>
    <w:p>
      <w:pPr>
        <w:spacing w:line="400" w:lineRule="exact"/>
        <w:ind w:firstLine="480" w:firstLineChars="200"/>
        <w:rPr>
          <w:rFonts w:ascii="仿宋" w:hAnsi="仿宋" w:eastAsia="仿宋"/>
          <w:color w:val="auto"/>
          <w:sz w:val="24"/>
        </w:rPr>
      </w:pPr>
      <w:r>
        <w:rPr>
          <w:rFonts w:hint="eastAsia" w:ascii="仿宋" w:hAnsi="仿宋" w:eastAsia="仿宋"/>
          <w:color w:val="auto"/>
          <w:sz w:val="24"/>
        </w:rPr>
        <w:t>备注：无</w:t>
      </w:r>
    </w:p>
    <w:p>
      <w:pPr>
        <w:widowControl/>
        <w:shd w:val="clear" w:color="auto" w:fill="FFFFFF"/>
        <w:spacing w:line="400" w:lineRule="exact"/>
        <w:ind w:firstLine="480" w:firstLineChars="200"/>
        <w:rPr>
          <w:rFonts w:ascii="仿宋" w:hAnsi="仿宋" w:eastAsia="仿宋"/>
          <w:color w:val="auto"/>
          <w:sz w:val="24"/>
        </w:rPr>
      </w:pPr>
      <w:r>
        <w:rPr>
          <w:rFonts w:hint="eastAsia" w:ascii="仿宋" w:hAnsi="仿宋" w:eastAsia="仿宋"/>
          <w:color w:val="auto"/>
          <w:sz w:val="24"/>
        </w:rPr>
        <w:t>合同履行期限：从合同签订之日起至保修期结束。</w:t>
      </w:r>
    </w:p>
    <w:p>
      <w:pPr>
        <w:widowControl/>
        <w:shd w:val="clear" w:color="auto" w:fill="FFFFFF"/>
        <w:spacing w:line="400" w:lineRule="exact"/>
        <w:ind w:firstLine="480" w:firstLineChars="200"/>
        <w:rPr>
          <w:rFonts w:ascii="仿宋" w:hAnsi="仿宋" w:eastAsia="仿宋"/>
          <w:color w:val="auto"/>
          <w:sz w:val="24"/>
        </w:rPr>
      </w:pPr>
      <w:r>
        <w:rPr>
          <w:rFonts w:hint="eastAsia" w:ascii="仿宋" w:hAnsi="仿宋" w:eastAsia="仿宋"/>
          <w:color w:val="auto"/>
          <w:sz w:val="24"/>
        </w:rPr>
        <w:t xml:space="preserve">本项目（ </w:t>
      </w:r>
      <w:r>
        <w:rPr>
          <w:rFonts w:hint="eastAsia" w:ascii="仿宋" w:hAnsi="仿宋" w:eastAsia="仿宋"/>
          <w:color w:val="auto"/>
          <w:sz w:val="24"/>
          <w:lang w:eastAsia="zh-CN"/>
        </w:rPr>
        <w:t>否</w:t>
      </w:r>
      <w:r>
        <w:rPr>
          <w:rFonts w:hint="eastAsia" w:ascii="仿宋" w:hAnsi="仿宋" w:eastAsia="仿宋"/>
          <w:color w:val="auto"/>
          <w:sz w:val="24"/>
        </w:rPr>
        <w:t xml:space="preserve"> ）接受联合体投标。</w:t>
      </w:r>
      <w:bookmarkStart w:id="11" w:name="_GoBack"/>
      <w:bookmarkEnd w:id="11"/>
    </w:p>
    <w:p>
      <w:pPr>
        <w:widowControl/>
        <w:shd w:val="clear" w:color="auto" w:fill="FFFFFF"/>
        <w:spacing w:line="400" w:lineRule="exact"/>
        <w:ind w:firstLine="482" w:firstLineChars="200"/>
        <w:rPr>
          <w:rFonts w:ascii="仿宋" w:hAnsi="仿宋" w:eastAsia="仿宋" w:cs="宋体"/>
          <w:b/>
          <w:color w:val="auto"/>
          <w:sz w:val="24"/>
        </w:rPr>
      </w:pPr>
      <w:r>
        <w:rPr>
          <w:rFonts w:hint="eastAsia" w:ascii="仿宋" w:hAnsi="仿宋" w:eastAsia="仿宋" w:cs="宋体"/>
          <w:b/>
          <w:color w:val="auto"/>
          <w:sz w:val="24"/>
        </w:rPr>
        <w:t>二</w:t>
      </w:r>
      <w:r>
        <w:rPr>
          <w:rFonts w:ascii="仿宋" w:hAnsi="仿宋" w:eastAsia="仿宋" w:cs="宋体"/>
          <w:b/>
          <w:color w:val="auto"/>
          <w:sz w:val="24"/>
        </w:rPr>
        <w:t>、</w:t>
      </w:r>
      <w:r>
        <w:rPr>
          <w:rFonts w:hint="eastAsia" w:ascii="仿宋" w:hAnsi="仿宋" w:eastAsia="仿宋" w:cs="宋体"/>
          <w:b/>
          <w:color w:val="auto"/>
          <w:sz w:val="24"/>
        </w:rPr>
        <w:t>申请人的</w:t>
      </w:r>
      <w:r>
        <w:rPr>
          <w:rFonts w:ascii="仿宋" w:hAnsi="仿宋" w:eastAsia="仿宋" w:cs="宋体"/>
          <w:b/>
          <w:color w:val="auto"/>
          <w:sz w:val="24"/>
        </w:rPr>
        <w:t>资格要求:</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1.满足《中华人民共和国政府采购法》第二十二条规定；</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2.落实政府采购政策需满足的资格要求：无</w:t>
      </w:r>
    </w:p>
    <w:p>
      <w:pPr>
        <w:widowControl/>
        <w:shd w:val="clear" w:color="auto" w:fill="FFFFFF"/>
        <w:spacing w:line="440" w:lineRule="exact"/>
        <w:ind w:firstLine="480" w:firstLineChars="200"/>
        <w:rPr>
          <w:rFonts w:ascii="仿宋" w:hAnsi="仿宋" w:eastAsia="仿宋"/>
          <w:color w:val="auto"/>
          <w:sz w:val="24"/>
        </w:rPr>
      </w:pPr>
      <w:r>
        <w:rPr>
          <w:rFonts w:hint="eastAsia" w:ascii="仿宋" w:hAnsi="仿宋" w:eastAsia="仿宋" w:cs="宋体"/>
          <w:color w:val="auto"/>
          <w:sz w:val="24"/>
        </w:rPr>
        <w:t>3.本项目的特定资格要求：无</w:t>
      </w:r>
    </w:p>
    <w:p>
      <w:pPr>
        <w:widowControl/>
        <w:shd w:val="clear" w:color="auto" w:fill="FFFFFF"/>
        <w:spacing w:line="440" w:lineRule="exact"/>
        <w:ind w:firstLine="482" w:firstLineChars="200"/>
        <w:rPr>
          <w:rFonts w:ascii="仿宋" w:hAnsi="仿宋" w:eastAsia="仿宋" w:cs="宋体"/>
          <w:b/>
          <w:color w:val="auto"/>
          <w:sz w:val="24"/>
        </w:rPr>
      </w:pPr>
      <w:r>
        <w:rPr>
          <w:rFonts w:hint="eastAsia" w:ascii="仿宋" w:hAnsi="仿宋" w:eastAsia="仿宋" w:cs="宋体"/>
          <w:b/>
          <w:color w:val="auto"/>
          <w:sz w:val="24"/>
        </w:rPr>
        <w:t>三、获取招标文件</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时间：  2022年07月15日 至 2022年07月22日，每天上午 10:00至12:00 ，下午 12:00至19:00 （北京时间，法定节假日除外）</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地点：政采云平台（https://www.zcygov.cn/）</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方式：供应商登陆政采云平台https://www.zcygov.cn/进入“项目采购”栏目，在获取招标文件菜单中选择所要投标的项目，申请获取招标文件。线下获取无效。</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获取招标文件应上传：</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 xml:space="preserve">（1）供应商营业执照或其他组织资格证书（扫描件）； </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（2）法定代表人（或者负责人）授权委托书及被授权人身份证（扫描件）；法定代表人（或者负责人）不授权投标代表的，提供法定代表人（或者负责人）资格证明书及本人身份证（扫描件）。</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售价（元）：0</w:t>
      </w:r>
    </w:p>
    <w:p>
      <w:pPr>
        <w:widowControl/>
        <w:shd w:val="clear" w:color="auto" w:fill="FFFFFF"/>
        <w:spacing w:line="440" w:lineRule="exact"/>
        <w:ind w:firstLine="482" w:firstLineChars="200"/>
        <w:rPr>
          <w:rFonts w:ascii="仿宋" w:hAnsi="仿宋" w:eastAsia="仿宋" w:cs="宋体"/>
          <w:b/>
          <w:bCs/>
          <w:color w:val="auto"/>
          <w:sz w:val="24"/>
        </w:rPr>
      </w:pPr>
      <w:r>
        <w:rPr>
          <w:rFonts w:hint="eastAsia" w:ascii="仿宋" w:hAnsi="仿宋" w:eastAsia="仿宋" w:cs="宋体"/>
          <w:b/>
          <w:bCs/>
          <w:color w:val="auto"/>
          <w:sz w:val="24"/>
        </w:rPr>
        <w:t>四、提交投标文件截止时间、开标时间和地点</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提交投标文件截止时间：2022年8月4日 11:00（北京时间）</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投标地点：政采云平台（https://www.zcygov.cn/），本项目采用不见面开标，加密的电子投标文件在投标截止时间前通过CA在政采云平台上传。</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开标时间：2022年8月4日 11:00（北京时间）</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开标地点：政采云平台（https://www.zcygov.cn/）</w:t>
      </w:r>
    </w:p>
    <w:p>
      <w:pPr>
        <w:widowControl/>
        <w:shd w:val="clear" w:color="auto" w:fill="FFFFFF"/>
        <w:spacing w:line="440" w:lineRule="exact"/>
        <w:ind w:firstLine="482" w:firstLineChars="200"/>
        <w:rPr>
          <w:rFonts w:ascii="仿宋" w:hAnsi="仿宋" w:eastAsia="仿宋" w:cs="宋体"/>
          <w:b/>
          <w:color w:val="auto"/>
          <w:sz w:val="24"/>
        </w:rPr>
      </w:pPr>
      <w:r>
        <w:rPr>
          <w:rFonts w:hint="eastAsia" w:ascii="仿宋" w:hAnsi="仿宋" w:eastAsia="仿宋" w:cs="宋体"/>
          <w:b/>
          <w:color w:val="auto"/>
          <w:sz w:val="24"/>
        </w:rPr>
        <w:t>五、公告期限</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自本公告发布之日起5个工作日。</w:t>
      </w:r>
    </w:p>
    <w:p>
      <w:pPr>
        <w:widowControl/>
        <w:shd w:val="clear" w:color="auto" w:fill="FFFFFF"/>
        <w:spacing w:line="440" w:lineRule="exact"/>
        <w:ind w:firstLine="482" w:firstLineChars="200"/>
        <w:rPr>
          <w:rFonts w:ascii="仿宋" w:hAnsi="仿宋" w:eastAsia="仿宋" w:cs="宋体"/>
          <w:b/>
          <w:color w:val="auto"/>
          <w:sz w:val="24"/>
        </w:rPr>
      </w:pPr>
      <w:r>
        <w:rPr>
          <w:rFonts w:hint="eastAsia" w:ascii="仿宋" w:hAnsi="仿宋" w:eastAsia="仿宋" w:cs="宋体"/>
          <w:b/>
          <w:color w:val="auto"/>
          <w:sz w:val="24"/>
        </w:rPr>
        <w:t>六、其他补充事宜</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1.</w:t>
      </w:r>
      <w:r>
        <w:rPr>
          <w:rFonts w:hint="eastAsia"/>
          <w:color w:val="auto"/>
        </w:rPr>
        <w:t xml:space="preserve"> </w:t>
      </w:r>
      <w:r>
        <w:rPr>
          <w:rFonts w:hint="eastAsia" w:ascii="仿宋" w:hAnsi="仿宋" w:eastAsia="仿宋" w:cs="宋体"/>
          <w:color w:val="auto"/>
          <w:sz w:val="24"/>
        </w:rPr>
        <w:t>本项目公告期限为5个工作日，供应商认为招标文件使自己的权益受到损害的，可以自收到招标文件之日（发售截止日之后收到招标文件的，以发售截止日为准）或者招标文件公告期限届满之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2.本项目实行电子招投标，供应商须登录政采云平台申请获取招标文件，并通过政采云电子投标客户端制作投标文件，同时自行承担与投标有关的一切费用。</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3.各供应商应在开标前确保成为新疆维吾尔自治区政府采购网正式注册入库供应商，并完成CA数字证书申领。因未注册入库、未办理CA数字证书等原因造成无法投标或投标失败等后果由供应商自行承担。</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4.供应商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400-881-7190进行咨询。</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5.本项目采用不见面开标，供应商须在投标截止时间前通过CA在政采云平台上传加密的电子投标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6. 供应商在开标时须使用制作加密电子投标文件所使用的CA锁解密，供应商须提前配置好电脑浏览器（建议使用360浏览器或谷歌浏览器），开标时使用制作加密电子投标文件的CA锁进行远程解密及报价确认，本项目投标文件解密时间定为30分钟，如因供应商自身原因导致无法正常解密或确认，后果由供应商自行承担。</w:t>
      </w:r>
    </w:p>
    <w:p>
      <w:pPr>
        <w:widowControl/>
        <w:shd w:val="clear" w:color="auto" w:fill="FFFFFF"/>
        <w:spacing w:line="440" w:lineRule="exact"/>
        <w:ind w:firstLine="482" w:firstLineChars="200"/>
        <w:rPr>
          <w:rFonts w:ascii="仿宋" w:hAnsi="仿宋" w:eastAsia="仿宋" w:cs="Arial"/>
          <w:color w:val="auto"/>
          <w:sz w:val="24"/>
        </w:rPr>
      </w:pPr>
      <w:r>
        <w:rPr>
          <w:rFonts w:hint="eastAsia" w:ascii="仿宋" w:hAnsi="仿宋" w:eastAsia="仿宋" w:cs="宋体"/>
          <w:b/>
          <w:color w:val="auto"/>
          <w:sz w:val="24"/>
        </w:rPr>
        <w:t>七、对本次采购提出询问，请按以下方式联系</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1.采购人信息</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名 称：</w:t>
      </w:r>
      <w:r>
        <w:rPr>
          <w:rFonts w:hint="eastAsia" w:ascii="仿宋" w:hAnsi="仿宋" w:eastAsia="仿宋"/>
          <w:color w:val="auto"/>
          <w:sz w:val="24"/>
        </w:rPr>
        <w:t>库尔勒市妇幼保健计划生育服务中心（库尔勒市妇幼保健院）</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地 址：巴音郭楞蒙古自治州库尔勒市梨乡路6号</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联系方式：</w:t>
      </w:r>
      <w:r>
        <w:rPr>
          <w:rFonts w:ascii="仿宋" w:hAnsi="仿宋" w:eastAsia="仿宋" w:cs="宋体"/>
          <w:color w:val="auto"/>
          <w:sz w:val="24"/>
        </w:rPr>
        <w:t>0996-</w:t>
      </w:r>
      <w:r>
        <w:rPr>
          <w:rFonts w:hint="eastAsia" w:ascii="仿宋" w:hAnsi="仿宋" w:eastAsia="仿宋" w:cs="宋体"/>
          <w:color w:val="auto"/>
          <w:sz w:val="24"/>
        </w:rPr>
        <w:t>2260503</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2.采购代理机构信息</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名 称：新疆品创项目管理咨询有限公司</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地 址：新疆乌鲁木齐市沙依巴克区长江路76号兴乐世贸广场29楼 业务二部</w:t>
      </w:r>
    </w:p>
    <w:p>
      <w:pPr>
        <w:widowControl/>
        <w:shd w:val="clear" w:color="auto" w:fill="FFFFFF"/>
        <w:spacing w:line="440" w:lineRule="exact"/>
        <w:ind w:firstLine="480" w:firstLineChars="200"/>
        <w:rPr>
          <w:rFonts w:ascii="仿宋" w:hAnsi="仿宋" w:eastAsia="仿宋" w:cs="宋体"/>
          <w:color w:val="auto"/>
          <w:sz w:val="24"/>
        </w:rPr>
      </w:pPr>
      <w:r>
        <w:rPr>
          <w:rFonts w:hint="eastAsia" w:ascii="仿宋" w:hAnsi="仿宋" w:eastAsia="仿宋" w:cs="宋体"/>
          <w:color w:val="auto"/>
          <w:sz w:val="24"/>
        </w:rPr>
        <w:t>项目联系人：</w:t>
      </w:r>
      <w:r>
        <w:rPr>
          <w:rFonts w:hint="eastAsia" w:ascii="仿宋" w:hAnsi="仿宋" w:eastAsia="仿宋" w:cs="Arial"/>
          <w:color w:val="auto"/>
          <w:sz w:val="24"/>
        </w:rPr>
        <w:t>向磊、齐娟、周娟、郭克栋、张轩、甘甜</w:t>
      </w:r>
    </w:p>
    <w:p>
      <w:pPr>
        <w:widowControl/>
        <w:shd w:val="clear" w:color="auto" w:fill="FFFFFF"/>
        <w:spacing w:line="440" w:lineRule="exact"/>
        <w:ind w:firstLine="480" w:firstLineChars="200"/>
        <w:rPr>
          <w:rFonts w:ascii="仿宋" w:hAnsi="仿宋" w:eastAsia="仿宋" w:cs="宋体"/>
          <w:color w:val="auto"/>
          <w:sz w:val="28"/>
        </w:rPr>
      </w:pPr>
      <w:r>
        <w:rPr>
          <w:rFonts w:hint="eastAsia" w:ascii="仿宋" w:hAnsi="仿宋" w:eastAsia="仿宋" w:cs="宋体"/>
          <w:color w:val="auto"/>
          <w:sz w:val="24"/>
        </w:rPr>
        <w:t>电话：0991-5221699、15352628861</w:t>
      </w:r>
    </w:p>
    <w:p>
      <w:pPr>
        <w:widowControl/>
        <w:shd w:val="clear" w:color="auto" w:fill="FFFFFF"/>
        <w:spacing w:line="440" w:lineRule="exact"/>
        <w:ind w:firstLine="480" w:firstLineChars="200"/>
        <w:rPr>
          <w:rFonts w:ascii="仿宋" w:hAnsi="仿宋" w:eastAsia="仿宋" w:cs="Arial"/>
          <w:color w:val="auto"/>
          <w:sz w:val="24"/>
        </w:rPr>
      </w:pPr>
      <w:r>
        <w:rPr>
          <w:rFonts w:hint="eastAsia" w:ascii="仿宋" w:hAnsi="仿宋" w:eastAsia="仿宋" w:cs="宋体"/>
          <w:color w:val="auto"/>
          <w:sz w:val="24"/>
        </w:rPr>
        <w:t>邮箱：599251130@qq.com</w:t>
      </w:r>
    </w:p>
    <w:p>
      <w:pPr>
        <w:widowControl/>
        <w:jc w:val="center"/>
        <w:rPr>
          <w:rFonts w:ascii="仿宋" w:hAnsi="仿宋" w:eastAsia="仿宋"/>
          <w:b/>
          <w:color w:val="auto"/>
          <w:sz w:val="32"/>
          <w:szCs w:val="32"/>
        </w:rPr>
      </w:pPr>
      <w:r>
        <w:rPr>
          <w:rFonts w:ascii="仿宋" w:hAnsi="仿宋" w:eastAsia="仿宋"/>
          <w:b/>
          <w:color w:val="auto"/>
          <w:sz w:val="32"/>
          <w:szCs w:val="32"/>
        </w:rPr>
        <w:br w:type="page"/>
      </w:r>
      <w:r>
        <w:rPr>
          <w:rFonts w:hint="eastAsia" w:ascii="仿宋" w:hAnsi="仿宋" w:eastAsia="仿宋"/>
          <w:b/>
          <w:color w:val="auto"/>
          <w:sz w:val="32"/>
          <w:szCs w:val="32"/>
        </w:rPr>
        <w:t>第二章  投标须知前附表及投标须知</w:t>
      </w:r>
    </w:p>
    <w:p>
      <w:pPr>
        <w:shd w:val="clear" w:color="auto" w:fill="FFFFFF"/>
        <w:autoSpaceDE w:val="0"/>
        <w:autoSpaceDN w:val="0"/>
        <w:adjustRightInd w:val="0"/>
        <w:spacing w:line="360" w:lineRule="exact"/>
        <w:jc w:val="center"/>
        <w:rPr>
          <w:rFonts w:ascii="仿宋" w:hAnsi="仿宋" w:eastAsia="仿宋"/>
          <w:b/>
          <w:bCs/>
          <w:color w:val="auto"/>
          <w:kern w:val="0"/>
          <w:sz w:val="28"/>
          <w:szCs w:val="28"/>
        </w:rPr>
      </w:pPr>
      <w:r>
        <w:rPr>
          <w:rFonts w:hint="eastAsia" w:ascii="仿宋" w:hAnsi="仿宋" w:eastAsia="仿宋"/>
          <w:b/>
          <w:bCs/>
          <w:color w:val="auto"/>
          <w:kern w:val="0"/>
          <w:sz w:val="28"/>
          <w:szCs w:val="28"/>
        </w:rPr>
        <w:t>一、投标须知前附表</w:t>
      </w:r>
    </w:p>
    <w:p>
      <w:pPr>
        <w:shd w:val="clear" w:color="auto" w:fill="FFFFFF"/>
        <w:autoSpaceDE w:val="0"/>
        <w:autoSpaceDN w:val="0"/>
        <w:adjustRightInd w:val="0"/>
        <w:spacing w:line="360" w:lineRule="exact"/>
        <w:jc w:val="center"/>
        <w:rPr>
          <w:rFonts w:ascii="仿宋" w:hAnsi="仿宋" w:eastAsia="仿宋"/>
          <w:b/>
          <w:bCs/>
          <w:color w:val="auto"/>
          <w:kern w:val="0"/>
          <w:sz w:val="28"/>
          <w:szCs w:val="28"/>
        </w:rPr>
      </w:pPr>
    </w:p>
    <w:tbl>
      <w:tblPr>
        <w:tblStyle w:val="59"/>
        <w:tblW w:w="9923" w:type="dxa"/>
        <w:tblInd w:w="25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993"/>
        <w:gridCol w:w="72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项号</w:t>
            </w: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内  容</w:t>
            </w:r>
          </w:p>
        </w:tc>
        <w:tc>
          <w:tcPr>
            <w:tcW w:w="7218"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restart"/>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１</w:t>
            </w: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项目名称</w:t>
            </w:r>
          </w:p>
        </w:tc>
        <w:tc>
          <w:tcPr>
            <w:tcW w:w="7218" w:type="dxa"/>
            <w:vAlign w:val="center"/>
          </w:tcPr>
          <w:p>
            <w:pPr>
              <w:shd w:val="clear" w:color="auto" w:fill="FFFFFF"/>
              <w:autoSpaceDE w:val="0"/>
              <w:autoSpaceDN w:val="0"/>
              <w:spacing w:line="360" w:lineRule="exact"/>
              <w:rPr>
                <w:rFonts w:ascii="仿宋" w:hAnsi="仿宋" w:eastAsia="仿宋"/>
                <w:bCs/>
                <w:color w:val="auto"/>
                <w:spacing w:val="-4"/>
                <w:kern w:val="0"/>
                <w:sz w:val="24"/>
              </w:rPr>
            </w:pPr>
            <w:r>
              <w:rPr>
                <w:rFonts w:hint="eastAsia" w:ascii="仿宋" w:hAnsi="仿宋" w:eastAsia="仿宋"/>
                <w:color w:val="auto"/>
                <w:sz w:val="24"/>
              </w:rPr>
              <w:t>库尔勒市妇幼保健计划生育服务中心（库尔勒市妇幼保健院）超融合系统采购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color w:val="auto"/>
                <w:kern w:val="0"/>
                <w:sz w:val="24"/>
              </w:rPr>
            </w:pP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cs="Arial"/>
                <w:color w:val="auto"/>
                <w:sz w:val="24"/>
              </w:rPr>
              <w:t>项目编号</w:t>
            </w:r>
          </w:p>
        </w:tc>
        <w:tc>
          <w:tcPr>
            <w:tcW w:w="7218" w:type="dxa"/>
            <w:vAlign w:val="center"/>
          </w:tcPr>
          <w:p>
            <w:pPr>
              <w:shd w:val="clear" w:color="auto" w:fill="FFFFFF"/>
              <w:autoSpaceDE w:val="0"/>
              <w:autoSpaceDN w:val="0"/>
              <w:spacing w:line="360" w:lineRule="exact"/>
              <w:rPr>
                <w:rFonts w:ascii="仿宋" w:hAnsi="仿宋" w:eastAsia="仿宋" w:cs="Arial"/>
                <w:color w:val="auto"/>
                <w:sz w:val="24"/>
              </w:rPr>
            </w:pPr>
            <w:r>
              <w:rPr>
                <w:rFonts w:hint="eastAsia" w:ascii="仿宋" w:hAnsi="仿宋" w:eastAsia="仿宋" w:cs="Arial"/>
                <w:color w:val="auto"/>
                <w:sz w:val="24"/>
              </w:rPr>
              <w:t>2022PCGK075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color w:val="auto"/>
                <w:kern w:val="0"/>
                <w:sz w:val="24"/>
              </w:rPr>
            </w:pPr>
          </w:p>
        </w:tc>
        <w:tc>
          <w:tcPr>
            <w:tcW w:w="1993" w:type="dxa"/>
            <w:vAlign w:val="center"/>
          </w:tcPr>
          <w:p>
            <w:pPr>
              <w:shd w:val="clear" w:color="auto" w:fill="FFFFFF"/>
              <w:autoSpaceDE w:val="0"/>
              <w:autoSpaceDN w:val="0"/>
              <w:spacing w:line="360" w:lineRule="exact"/>
              <w:jc w:val="center"/>
              <w:rPr>
                <w:rFonts w:ascii="仿宋" w:hAnsi="仿宋" w:eastAsia="仿宋" w:cs="Arial"/>
                <w:color w:val="auto"/>
                <w:sz w:val="24"/>
              </w:rPr>
            </w:pPr>
            <w:r>
              <w:rPr>
                <w:rFonts w:hint="eastAsia" w:ascii="仿宋" w:hAnsi="仿宋" w:eastAsia="仿宋" w:cs="Arial"/>
                <w:color w:val="auto"/>
                <w:sz w:val="24"/>
              </w:rPr>
              <w:t>采购人</w:t>
            </w:r>
          </w:p>
        </w:tc>
        <w:tc>
          <w:tcPr>
            <w:tcW w:w="7218" w:type="dxa"/>
            <w:vAlign w:val="center"/>
          </w:tcPr>
          <w:p>
            <w:pPr>
              <w:shd w:val="clear" w:color="auto" w:fill="FFFFFF"/>
              <w:autoSpaceDE w:val="0"/>
              <w:autoSpaceDN w:val="0"/>
              <w:spacing w:line="360" w:lineRule="exact"/>
              <w:rPr>
                <w:rFonts w:ascii="仿宋" w:hAnsi="仿宋" w:eastAsia="仿宋" w:cs="Arial"/>
                <w:color w:val="auto"/>
                <w:sz w:val="24"/>
              </w:rPr>
            </w:pPr>
            <w:r>
              <w:rPr>
                <w:rFonts w:hint="eastAsia" w:ascii="仿宋" w:hAnsi="仿宋" w:eastAsia="仿宋"/>
                <w:color w:val="auto"/>
                <w:sz w:val="24"/>
              </w:rPr>
              <w:t>库尔勒市妇幼保健计划生育服务中心（库尔勒市妇幼保健院）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color w:val="auto"/>
                <w:kern w:val="0"/>
                <w:sz w:val="24"/>
              </w:rPr>
            </w:pP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采购方式</w:t>
            </w:r>
          </w:p>
        </w:tc>
        <w:tc>
          <w:tcPr>
            <w:tcW w:w="7218" w:type="dxa"/>
            <w:vAlign w:val="center"/>
          </w:tcPr>
          <w:p>
            <w:pPr>
              <w:shd w:val="clear" w:color="auto" w:fill="FFFFFF"/>
              <w:autoSpaceDE w:val="0"/>
              <w:autoSpaceDN w:val="0"/>
              <w:spacing w:line="360" w:lineRule="exact"/>
              <w:rPr>
                <w:rFonts w:ascii="仿宋" w:hAnsi="仿宋" w:eastAsia="仿宋"/>
                <w:bCs/>
                <w:color w:val="auto"/>
                <w:kern w:val="0"/>
                <w:sz w:val="24"/>
              </w:rPr>
            </w:pPr>
            <w:r>
              <w:rPr>
                <w:rFonts w:hint="eastAsia" w:ascii="仿宋" w:hAnsi="仿宋" w:eastAsia="仿宋"/>
                <w:bCs/>
                <w:color w:val="auto"/>
                <w:kern w:val="0"/>
                <w:sz w:val="24"/>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color w:val="auto"/>
                <w:kern w:val="0"/>
                <w:sz w:val="24"/>
              </w:rPr>
            </w:pP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资金来源</w:t>
            </w:r>
          </w:p>
        </w:tc>
        <w:tc>
          <w:tcPr>
            <w:tcW w:w="7218" w:type="dxa"/>
            <w:vAlign w:val="center"/>
          </w:tcPr>
          <w:p>
            <w:pPr>
              <w:shd w:val="clear" w:color="auto" w:fill="FFFFFF"/>
              <w:autoSpaceDE w:val="0"/>
              <w:autoSpaceDN w:val="0"/>
              <w:spacing w:line="360" w:lineRule="exact"/>
              <w:rPr>
                <w:rFonts w:ascii="仿宋" w:hAnsi="仿宋" w:eastAsia="仿宋"/>
                <w:bCs/>
                <w:color w:val="auto"/>
                <w:kern w:val="0"/>
                <w:sz w:val="24"/>
              </w:rPr>
            </w:pPr>
            <w:r>
              <w:rPr>
                <w:rFonts w:hint="eastAsia" w:ascii="仿宋" w:hAnsi="仿宋" w:eastAsia="仿宋" w:cs="Arial"/>
                <w:color w:val="auto"/>
                <w:sz w:val="24"/>
              </w:rPr>
              <w:t>自筹资金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9"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color w:val="auto"/>
                <w:kern w:val="0"/>
                <w:sz w:val="24"/>
              </w:rPr>
            </w:pP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资格审查方式</w:t>
            </w:r>
          </w:p>
        </w:tc>
        <w:tc>
          <w:tcPr>
            <w:tcW w:w="7218" w:type="dxa"/>
            <w:vAlign w:val="center"/>
          </w:tcPr>
          <w:p>
            <w:pPr>
              <w:shd w:val="clear" w:color="auto" w:fill="FFFFFF"/>
              <w:autoSpaceDE w:val="0"/>
              <w:autoSpaceDN w:val="0"/>
              <w:spacing w:line="360" w:lineRule="exact"/>
              <w:rPr>
                <w:rFonts w:ascii="仿宋" w:hAnsi="仿宋" w:eastAsia="仿宋"/>
                <w:bCs/>
                <w:color w:val="auto"/>
                <w:kern w:val="0"/>
                <w:sz w:val="24"/>
              </w:rPr>
            </w:pPr>
            <w:r>
              <w:rPr>
                <w:rFonts w:hint="eastAsia" w:ascii="仿宋" w:hAnsi="仿宋" w:eastAsia="仿宋"/>
                <w:bCs/>
                <w:color w:val="auto"/>
                <w:kern w:val="0"/>
                <w:sz w:val="24"/>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color w:val="auto"/>
                <w:kern w:val="0"/>
                <w:sz w:val="24"/>
              </w:rPr>
            </w:pP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采购内容</w:t>
            </w:r>
          </w:p>
        </w:tc>
        <w:tc>
          <w:tcPr>
            <w:tcW w:w="7218" w:type="dxa"/>
            <w:vAlign w:val="center"/>
          </w:tcPr>
          <w:p>
            <w:pPr>
              <w:widowControl/>
              <w:shd w:val="clear" w:color="auto" w:fill="FFFFFF"/>
              <w:spacing w:line="360" w:lineRule="exact"/>
              <w:rPr>
                <w:rFonts w:ascii="仿宋" w:hAnsi="仿宋" w:eastAsia="仿宋" w:cs="Arial"/>
                <w:color w:val="auto"/>
                <w:sz w:val="24"/>
              </w:rPr>
            </w:pPr>
            <w:r>
              <w:rPr>
                <w:rFonts w:hint="eastAsia" w:ascii="仿宋" w:hAnsi="仿宋" w:eastAsia="仿宋" w:cs="Arial"/>
                <w:color w:val="auto"/>
                <w:sz w:val="24"/>
              </w:rPr>
              <w:t>1.超融合服务器6台；2.超融合软件</w:t>
            </w:r>
            <w:r>
              <w:rPr>
                <w:rFonts w:hint="eastAsia" w:ascii="仿宋" w:hAnsi="仿宋" w:eastAsia="仿宋" w:cs="Arial"/>
                <w:b/>
                <w:bCs/>
                <w:color w:val="auto"/>
                <w:sz w:val="24"/>
              </w:rPr>
              <w:t>（核心产品）</w:t>
            </w:r>
            <w:r>
              <w:rPr>
                <w:rFonts w:hint="eastAsia" w:ascii="仿宋" w:hAnsi="仿宋" w:eastAsia="仿宋" w:cs="Arial"/>
                <w:color w:val="auto"/>
                <w:sz w:val="24"/>
              </w:rPr>
              <w:t>1套；3.业务、存储网交换机4台；4.管理网交换机2台、5.集成服务（含软件授权、系统设计运维等）。具体技术要求详见本文件《采购需求》。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2</w:t>
            </w: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预算</w:t>
            </w:r>
            <w:r>
              <w:rPr>
                <w:rFonts w:hint="eastAsia" w:ascii="仿宋" w:hAnsi="仿宋" w:eastAsia="仿宋" w:cs="Arial"/>
                <w:color w:val="auto"/>
                <w:sz w:val="24"/>
              </w:rPr>
              <w:t>及最高限价</w:t>
            </w:r>
          </w:p>
        </w:tc>
        <w:tc>
          <w:tcPr>
            <w:tcW w:w="7218" w:type="dxa"/>
            <w:vAlign w:val="center"/>
          </w:tcPr>
          <w:p>
            <w:pPr>
              <w:shd w:val="clear" w:color="auto" w:fill="FFFFFF"/>
              <w:autoSpaceDE w:val="0"/>
              <w:autoSpaceDN w:val="0"/>
              <w:spacing w:line="360" w:lineRule="exact"/>
              <w:rPr>
                <w:rFonts w:ascii="仿宋" w:hAnsi="仿宋" w:eastAsia="仿宋"/>
                <w:b/>
                <w:color w:val="auto"/>
                <w:sz w:val="24"/>
              </w:rPr>
            </w:pPr>
            <w:r>
              <w:rPr>
                <w:rFonts w:hint="eastAsia" w:ascii="仿宋" w:hAnsi="仿宋" w:eastAsia="仿宋" w:cs="Arial"/>
                <w:color w:val="auto"/>
                <w:sz w:val="24"/>
              </w:rPr>
              <w:t>预算（同最高限价）为</w:t>
            </w:r>
            <w:r>
              <w:rPr>
                <w:rFonts w:hint="eastAsia" w:ascii="仿宋" w:hAnsi="仿宋" w:eastAsia="仿宋"/>
                <w:color w:val="auto"/>
                <w:sz w:val="24"/>
              </w:rPr>
              <w:t>1122600.00</w:t>
            </w:r>
            <w:r>
              <w:rPr>
                <w:rFonts w:hint="eastAsia" w:ascii="仿宋" w:hAnsi="仿宋" w:eastAsia="仿宋" w:cs="Arial"/>
                <w:color w:val="auto"/>
                <w:sz w:val="24"/>
              </w:rPr>
              <w:t>元。包括全套设备系统的供应、运输、保险、安装调试、验收、税金、培训及售后服务等全部费用。</w:t>
            </w:r>
          </w:p>
          <w:p>
            <w:pPr>
              <w:widowControl/>
              <w:shd w:val="clear" w:color="auto" w:fill="FFFFFF"/>
              <w:spacing w:line="360" w:lineRule="exact"/>
              <w:rPr>
                <w:rFonts w:ascii="仿宋" w:hAnsi="仿宋" w:eastAsia="仿宋"/>
                <w:b/>
                <w:color w:val="auto"/>
                <w:sz w:val="24"/>
              </w:rPr>
            </w:pPr>
            <w:r>
              <w:rPr>
                <w:rFonts w:hint="eastAsia" w:ascii="仿宋" w:hAnsi="仿宋" w:eastAsia="仿宋"/>
                <w:b/>
                <w:color w:val="auto"/>
                <w:sz w:val="24"/>
              </w:rPr>
              <w:t>供应商投标报价超过最高限价的按无效投标处理。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3</w:t>
            </w: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质量标准</w:t>
            </w:r>
          </w:p>
        </w:tc>
        <w:tc>
          <w:tcPr>
            <w:tcW w:w="7218" w:type="dxa"/>
            <w:vAlign w:val="center"/>
          </w:tcPr>
          <w:p>
            <w:pPr>
              <w:shd w:val="clear" w:color="auto" w:fill="FFFFFF"/>
              <w:autoSpaceDE w:val="0"/>
              <w:autoSpaceDN w:val="0"/>
              <w:spacing w:line="360" w:lineRule="exact"/>
              <w:rPr>
                <w:rFonts w:ascii="仿宋" w:hAnsi="仿宋" w:eastAsia="仿宋"/>
                <w:bCs/>
                <w:color w:val="auto"/>
                <w:kern w:val="0"/>
                <w:sz w:val="24"/>
              </w:rPr>
            </w:pPr>
            <w:r>
              <w:rPr>
                <w:rFonts w:hint="eastAsia" w:ascii="仿宋" w:hAnsi="仿宋" w:eastAsia="仿宋"/>
                <w:bCs/>
                <w:color w:val="auto"/>
                <w:kern w:val="0"/>
                <w:sz w:val="24"/>
              </w:rPr>
              <w:t>合格（通过采购人及有关部门组织的项目验收）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4</w:t>
            </w: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供应商资格</w:t>
            </w:r>
          </w:p>
        </w:tc>
        <w:tc>
          <w:tcPr>
            <w:tcW w:w="7218" w:type="dxa"/>
            <w:vAlign w:val="center"/>
          </w:tcPr>
          <w:p>
            <w:pPr>
              <w:widowControl/>
              <w:shd w:val="clear" w:color="auto" w:fill="FFFFFF"/>
              <w:spacing w:line="400" w:lineRule="exact"/>
              <w:rPr>
                <w:rFonts w:ascii="仿宋" w:hAnsi="仿宋" w:eastAsia="仿宋" w:cs="Arial"/>
                <w:color w:val="auto"/>
                <w:sz w:val="24"/>
              </w:rPr>
            </w:pPr>
            <w:r>
              <w:rPr>
                <w:rFonts w:hint="eastAsia" w:ascii="仿宋" w:hAnsi="仿宋" w:eastAsia="仿宋" w:cs="Arial"/>
                <w:color w:val="auto"/>
                <w:sz w:val="24"/>
              </w:rPr>
              <w:t>4.1.供应商须满足《中华人民共和国政府采购法》第二十二条款规定。</w:t>
            </w:r>
          </w:p>
          <w:p>
            <w:pPr>
              <w:widowControl/>
              <w:spacing w:line="360" w:lineRule="exact"/>
              <w:rPr>
                <w:rFonts w:ascii="仿宋" w:hAnsi="仿宋" w:eastAsia="仿宋" w:cs="宋体"/>
                <w:color w:val="auto"/>
                <w:kern w:val="0"/>
                <w:sz w:val="24"/>
              </w:rPr>
            </w:pPr>
            <w:r>
              <w:rPr>
                <w:rFonts w:hint="eastAsia" w:ascii="仿宋" w:hAnsi="仿宋" w:eastAsia="仿宋" w:cs="宋体"/>
                <w:color w:val="auto"/>
                <w:kern w:val="0"/>
                <w:sz w:val="24"/>
              </w:rPr>
              <w:t>4.2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ww.ccgp.gov.cn）】。</w:t>
            </w:r>
            <w:r>
              <w:rPr>
                <w:rFonts w:hint="eastAsia" w:ascii="仿宋" w:hAnsi="仿宋" w:eastAsia="仿宋" w:cs="宋体"/>
                <w:b/>
                <w:color w:val="auto"/>
                <w:sz w:val="24"/>
              </w:rPr>
              <w:t>（注：招标代理机构在开标时间后至资格审查结束前通过上述查询渠道进行网上查询，对存在“失信被执行人”、“重大税收违法案件当事人名单”、“政府采购严重违法失信行为记录名单”情形的供应商，资格审查不合格，投标无效，同时其信用信息查询记录作为证据存档。）</w:t>
            </w:r>
          </w:p>
          <w:p>
            <w:pPr>
              <w:widowControl/>
              <w:spacing w:line="360" w:lineRule="exact"/>
              <w:rPr>
                <w:rFonts w:ascii="仿宋" w:hAnsi="仿宋" w:eastAsia="仿宋" w:cs="宋体"/>
                <w:color w:val="auto"/>
                <w:kern w:val="0"/>
                <w:sz w:val="24"/>
              </w:rPr>
            </w:pPr>
            <w:r>
              <w:rPr>
                <w:rFonts w:hint="eastAsia" w:ascii="仿宋" w:hAnsi="仿宋" w:eastAsia="仿宋" w:cs="宋体"/>
                <w:color w:val="auto"/>
                <w:kern w:val="0"/>
                <w:sz w:val="24"/>
              </w:rPr>
              <w:t>4.3供应商不得存在下列情形之一：</w:t>
            </w:r>
          </w:p>
          <w:p>
            <w:pPr>
              <w:widowControl/>
              <w:spacing w:line="360" w:lineRule="exact"/>
              <w:rPr>
                <w:rFonts w:ascii="仿宋" w:hAnsi="仿宋" w:eastAsia="仿宋" w:cs="宋体"/>
                <w:color w:val="auto"/>
                <w:kern w:val="0"/>
                <w:sz w:val="24"/>
              </w:rPr>
            </w:pPr>
            <w:r>
              <w:rPr>
                <w:rFonts w:hint="eastAsia" w:ascii="仿宋" w:hAnsi="仿宋" w:eastAsia="仿宋" w:cs="宋体"/>
                <w:color w:val="auto"/>
                <w:kern w:val="0"/>
                <w:sz w:val="24"/>
              </w:rPr>
              <w:t>（l）与采购人、采购代理机构存在隶属关系或者其他利害关系。</w:t>
            </w:r>
          </w:p>
          <w:p>
            <w:pPr>
              <w:widowControl/>
              <w:spacing w:line="360" w:lineRule="exact"/>
              <w:rPr>
                <w:rFonts w:ascii="仿宋" w:hAnsi="仿宋" w:eastAsia="仿宋" w:cs="宋体"/>
                <w:color w:val="auto"/>
                <w:kern w:val="0"/>
                <w:sz w:val="24"/>
              </w:rPr>
            </w:pPr>
            <w:r>
              <w:rPr>
                <w:rFonts w:hint="eastAsia" w:ascii="仿宋" w:hAnsi="仿宋" w:eastAsia="仿宋" w:cs="宋体"/>
                <w:color w:val="auto"/>
                <w:kern w:val="0"/>
                <w:sz w:val="24"/>
              </w:rPr>
              <w:t>（2）与其他供应商的法定代表人（或者负责人）为同一人；或者与其他供应商存在直接控股、管理关系的；</w:t>
            </w:r>
          </w:p>
          <w:p>
            <w:pPr>
              <w:widowControl/>
              <w:shd w:val="clear" w:color="auto" w:fill="FFFFFF"/>
              <w:spacing w:line="360" w:lineRule="exact"/>
              <w:rPr>
                <w:rFonts w:ascii="仿宋" w:hAnsi="仿宋" w:eastAsia="仿宋" w:cs="宋体"/>
                <w:color w:val="auto"/>
                <w:kern w:val="0"/>
                <w:sz w:val="24"/>
              </w:rPr>
            </w:pPr>
            <w:r>
              <w:rPr>
                <w:rFonts w:hint="eastAsia" w:ascii="仿宋" w:hAnsi="仿宋" w:eastAsia="仿宋" w:cs="宋体"/>
                <w:color w:val="auto"/>
                <w:kern w:val="0"/>
                <w:sz w:val="24"/>
              </w:rPr>
              <w:t>（3）为采购项目提供整体设计、规范编制或者项目管理、监理、检测等服务的供应商,不得再参加该采购项目的其他采购活动。</w:t>
            </w:r>
          </w:p>
          <w:p>
            <w:pPr>
              <w:widowControl/>
              <w:shd w:val="clear" w:color="auto" w:fill="FFFFFF"/>
              <w:spacing w:line="400" w:lineRule="exact"/>
              <w:rPr>
                <w:rFonts w:ascii="仿宋" w:hAnsi="仿宋" w:eastAsia="仿宋"/>
                <w:color w:val="auto"/>
                <w:sz w:val="24"/>
              </w:rPr>
            </w:pPr>
            <w:r>
              <w:rPr>
                <w:rFonts w:hint="eastAsia" w:ascii="仿宋" w:hAnsi="仿宋" w:eastAsia="仿宋" w:cs="宋体"/>
                <w:color w:val="auto"/>
                <w:kern w:val="0"/>
                <w:sz w:val="24"/>
              </w:rPr>
              <w:t>4.4</w:t>
            </w:r>
            <w:r>
              <w:rPr>
                <w:rFonts w:hint="eastAsia" w:ascii="仿宋" w:hAnsi="仿宋" w:eastAsia="仿宋"/>
                <w:color w:val="auto"/>
                <w:sz w:val="24"/>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5</w:t>
            </w: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投标文件份数</w:t>
            </w:r>
          </w:p>
        </w:tc>
        <w:tc>
          <w:tcPr>
            <w:tcW w:w="7218" w:type="dxa"/>
            <w:vAlign w:val="center"/>
          </w:tcPr>
          <w:p>
            <w:pPr>
              <w:shd w:val="clear" w:color="auto" w:fill="FFFFFF"/>
              <w:autoSpaceDE w:val="0"/>
              <w:autoSpaceDN w:val="0"/>
              <w:spacing w:line="360" w:lineRule="exact"/>
              <w:rPr>
                <w:rFonts w:ascii="仿宋" w:hAnsi="仿宋" w:eastAsia="仿宋"/>
                <w:bCs/>
                <w:color w:val="auto"/>
                <w:kern w:val="0"/>
                <w:sz w:val="24"/>
              </w:rPr>
            </w:pPr>
            <w:r>
              <w:rPr>
                <w:rFonts w:hint="eastAsia" w:ascii="仿宋" w:hAnsi="仿宋" w:eastAsia="仿宋"/>
                <w:bCs/>
                <w:color w:val="auto"/>
                <w:kern w:val="0"/>
                <w:sz w:val="24"/>
              </w:rPr>
              <w:t>5.1</w:t>
            </w:r>
            <w:r>
              <w:rPr>
                <w:rFonts w:hint="eastAsia" w:ascii="仿宋" w:hAnsi="仿宋" w:eastAsia="仿宋"/>
                <w:b/>
                <w:bCs/>
                <w:color w:val="auto"/>
                <w:kern w:val="0"/>
                <w:sz w:val="24"/>
              </w:rPr>
              <w:t>投标文件组成：详见本文件“二、投标须知”第21项要求。</w:t>
            </w:r>
          </w:p>
          <w:p>
            <w:pPr>
              <w:shd w:val="clear" w:color="auto" w:fill="FFFFFF"/>
              <w:autoSpaceDE w:val="0"/>
              <w:autoSpaceDN w:val="0"/>
              <w:spacing w:line="360" w:lineRule="exact"/>
              <w:rPr>
                <w:rFonts w:ascii="仿宋" w:hAnsi="仿宋" w:eastAsia="仿宋"/>
                <w:bCs/>
                <w:color w:val="auto"/>
                <w:kern w:val="0"/>
                <w:sz w:val="24"/>
              </w:rPr>
            </w:pPr>
            <w:r>
              <w:rPr>
                <w:rFonts w:hint="eastAsia" w:ascii="仿宋" w:hAnsi="仿宋" w:eastAsia="仿宋"/>
                <w:bCs/>
                <w:color w:val="auto"/>
                <w:kern w:val="0"/>
                <w:sz w:val="24"/>
              </w:rPr>
              <w:t>5.2</w:t>
            </w:r>
            <w:r>
              <w:rPr>
                <w:rFonts w:hint="eastAsia" w:ascii="仿宋" w:hAnsi="仿宋" w:eastAsia="仿宋"/>
                <w:b/>
                <w:bCs/>
                <w:color w:val="auto"/>
                <w:kern w:val="0"/>
                <w:sz w:val="24"/>
              </w:rPr>
              <w:t>投标文件份数</w:t>
            </w:r>
          </w:p>
          <w:p>
            <w:pPr>
              <w:shd w:val="clear" w:color="auto" w:fill="FFFFFF"/>
              <w:autoSpaceDE w:val="0"/>
              <w:autoSpaceDN w:val="0"/>
              <w:spacing w:line="360" w:lineRule="exact"/>
              <w:rPr>
                <w:rFonts w:ascii="仿宋" w:hAnsi="仿宋" w:eastAsia="仿宋"/>
                <w:bCs/>
                <w:color w:val="auto"/>
                <w:kern w:val="0"/>
                <w:sz w:val="24"/>
              </w:rPr>
            </w:pPr>
            <w:r>
              <w:rPr>
                <w:rFonts w:hint="eastAsia" w:ascii="仿宋" w:hAnsi="仿宋" w:eastAsia="仿宋"/>
                <w:bCs/>
                <w:color w:val="auto"/>
                <w:kern w:val="0"/>
                <w:sz w:val="24"/>
              </w:rPr>
              <w:t>5.2.1</w:t>
            </w:r>
            <w:r>
              <w:rPr>
                <w:rFonts w:hint="eastAsia" w:ascii="仿宋" w:hAnsi="仿宋" w:eastAsia="仿宋"/>
                <w:b/>
                <w:bCs/>
                <w:color w:val="auto"/>
                <w:spacing w:val="-10"/>
                <w:kern w:val="0"/>
                <w:sz w:val="24"/>
              </w:rPr>
              <w:t>加密的电子投标文件</w:t>
            </w:r>
            <w:r>
              <w:rPr>
                <w:rFonts w:hint="eastAsia" w:ascii="仿宋" w:hAnsi="仿宋" w:eastAsia="仿宋"/>
                <w:bCs/>
                <w:color w:val="auto"/>
                <w:spacing w:val="-10"/>
                <w:kern w:val="0"/>
                <w:sz w:val="24"/>
              </w:rPr>
              <w:t>在投标截止时间前通过CA在政采云平台上传，</w:t>
            </w:r>
            <w:r>
              <w:rPr>
                <w:rFonts w:hint="eastAsia" w:ascii="仿宋" w:hAnsi="仿宋" w:eastAsia="仿宋"/>
                <w:bCs/>
                <w:color w:val="auto"/>
                <w:kern w:val="0"/>
                <w:sz w:val="24"/>
              </w:rPr>
              <w:t>加密的电子投标文件为使用</w:t>
            </w:r>
            <w:r>
              <w:rPr>
                <w:rFonts w:hint="eastAsia" w:ascii="仿宋" w:hAnsi="仿宋" w:eastAsia="仿宋" w:cs="宋体"/>
                <w:color w:val="auto"/>
                <w:sz w:val="24"/>
              </w:rPr>
              <w:t>政采云电子投标客户端制</w:t>
            </w:r>
            <w:r>
              <w:rPr>
                <w:rFonts w:hint="eastAsia" w:ascii="仿宋" w:hAnsi="仿宋" w:eastAsia="仿宋"/>
                <w:bCs/>
                <w:color w:val="auto"/>
                <w:kern w:val="0"/>
                <w:sz w:val="24"/>
              </w:rPr>
              <w:t>作生成的加密版投标文件。</w:t>
            </w:r>
            <w:r>
              <w:rPr>
                <w:rFonts w:hint="eastAsia" w:ascii="仿宋" w:hAnsi="仿宋" w:eastAsia="仿宋"/>
                <w:b/>
                <w:bCs/>
                <w:color w:val="auto"/>
                <w:kern w:val="0"/>
                <w:sz w:val="24"/>
              </w:rPr>
              <w:t>供应商未按上述要求提供加密的电子投标文件的，将导致投标无效。</w:t>
            </w:r>
          </w:p>
          <w:p>
            <w:pPr>
              <w:shd w:val="clear" w:color="auto" w:fill="FFFFFF"/>
              <w:autoSpaceDE w:val="0"/>
              <w:autoSpaceDN w:val="0"/>
              <w:spacing w:line="360" w:lineRule="exact"/>
              <w:rPr>
                <w:rFonts w:ascii="仿宋" w:hAnsi="仿宋" w:eastAsia="仿宋"/>
                <w:bCs/>
                <w:color w:val="auto"/>
                <w:kern w:val="0"/>
                <w:sz w:val="24"/>
              </w:rPr>
            </w:pPr>
            <w:r>
              <w:rPr>
                <w:rFonts w:hint="eastAsia" w:ascii="仿宋" w:hAnsi="仿宋" w:eastAsia="仿宋"/>
                <w:bCs/>
                <w:color w:val="auto"/>
                <w:kern w:val="0"/>
                <w:sz w:val="24"/>
              </w:rPr>
              <w:t>5.2.2</w:t>
            </w:r>
            <w:r>
              <w:rPr>
                <w:rFonts w:hint="eastAsia" w:ascii="仿宋" w:hAnsi="仿宋" w:eastAsia="仿宋"/>
                <w:b/>
                <w:bCs/>
                <w:color w:val="auto"/>
                <w:kern w:val="0"/>
                <w:sz w:val="24"/>
              </w:rPr>
              <w:t>未加密的纸质版投标文件</w:t>
            </w:r>
            <w:r>
              <w:rPr>
                <w:rFonts w:hint="eastAsia" w:ascii="仿宋" w:hAnsi="仿宋" w:eastAsia="仿宋" w:cs="宋体"/>
                <w:b/>
                <w:color w:val="auto"/>
                <w:sz w:val="24"/>
              </w:rPr>
              <w:t>须在本项目中标通知书发出后3个工作日内提供</w:t>
            </w:r>
            <w:r>
              <w:rPr>
                <w:rFonts w:hint="eastAsia" w:ascii="仿宋" w:hAnsi="仿宋" w:eastAsia="仿宋"/>
                <w:b/>
                <w:bCs/>
                <w:color w:val="auto"/>
                <w:kern w:val="0"/>
                <w:sz w:val="24"/>
              </w:rPr>
              <w:t>。</w:t>
            </w:r>
            <w:r>
              <w:rPr>
                <w:rFonts w:hint="eastAsia" w:ascii="仿宋" w:hAnsi="仿宋" w:eastAsia="仿宋" w:cs="宋体"/>
                <w:b/>
                <w:color w:val="auto"/>
                <w:sz w:val="24"/>
              </w:rPr>
              <w:t>中标单位须提供</w:t>
            </w:r>
            <w:r>
              <w:rPr>
                <w:rFonts w:hint="eastAsia" w:ascii="仿宋" w:hAnsi="仿宋" w:eastAsia="仿宋"/>
                <w:b/>
                <w:bCs/>
                <w:color w:val="auto"/>
                <w:kern w:val="0"/>
                <w:sz w:val="24"/>
              </w:rPr>
              <w:t>纸质版投标文件正本</w:t>
            </w:r>
            <w:r>
              <w:rPr>
                <w:rFonts w:hint="eastAsia" w:ascii="仿宋" w:hAnsi="仿宋" w:eastAsia="仿宋"/>
                <w:b/>
                <w:bCs/>
                <w:color w:val="auto"/>
                <w:kern w:val="0"/>
                <w:sz w:val="24"/>
                <w:u w:val="single"/>
              </w:rPr>
              <w:t xml:space="preserve"> 1 </w:t>
            </w:r>
            <w:r>
              <w:rPr>
                <w:rFonts w:hint="eastAsia" w:ascii="仿宋" w:hAnsi="仿宋" w:eastAsia="仿宋"/>
                <w:b/>
                <w:bCs/>
                <w:color w:val="auto"/>
                <w:kern w:val="0"/>
                <w:sz w:val="24"/>
              </w:rPr>
              <w:t>份，副本</w:t>
            </w:r>
            <w:r>
              <w:rPr>
                <w:rFonts w:hint="eastAsia" w:ascii="仿宋" w:hAnsi="仿宋" w:eastAsia="仿宋"/>
                <w:b/>
                <w:bCs/>
                <w:color w:val="auto"/>
                <w:kern w:val="0"/>
                <w:sz w:val="24"/>
                <w:u w:val="single"/>
              </w:rPr>
              <w:t xml:space="preserve"> 3 </w:t>
            </w:r>
            <w:r>
              <w:rPr>
                <w:rFonts w:hint="eastAsia" w:ascii="仿宋" w:hAnsi="仿宋" w:eastAsia="仿宋"/>
                <w:b/>
                <w:bCs/>
                <w:color w:val="auto"/>
                <w:kern w:val="0"/>
                <w:sz w:val="24"/>
              </w:rPr>
              <w:t>份。</w:t>
            </w:r>
          </w:p>
          <w:p>
            <w:pPr>
              <w:shd w:val="clear" w:color="auto" w:fill="FFFFFF"/>
              <w:autoSpaceDE w:val="0"/>
              <w:autoSpaceDN w:val="0"/>
              <w:spacing w:line="360" w:lineRule="exact"/>
              <w:rPr>
                <w:rFonts w:ascii="仿宋" w:hAnsi="仿宋" w:eastAsia="仿宋" w:cs="宋体"/>
                <w:color w:val="auto"/>
                <w:sz w:val="24"/>
              </w:rPr>
            </w:pPr>
            <w:r>
              <w:rPr>
                <w:rFonts w:hint="eastAsia" w:ascii="仿宋" w:hAnsi="仿宋" w:eastAsia="仿宋" w:cs="宋体"/>
                <w:color w:val="auto"/>
                <w:sz w:val="24"/>
              </w:rPr>
              <w:t>说明：</w:t>
            </w:r>
          </w:p>
          <w:p>
            <w:pPr>
              <w:shd w:val="clear" w:color="auto" w:fill="FFFFFF"/>
              <w:autoSpaceDE w:val="0"/>
              <w:autoSpaceDN w:val="0"/>
              <w:spacing w:line="360" w:lineRule="exact"/>
              <w:rPr>
                <w:rFonts w:ascii="仿宋" w:hAnsi="仿宋" w:eastAsia="仿宋"/>
                <w:bCs/>
                <w:color w:val="auto"/>
                <w:kern w:val="0"/>
                <w:sz w:val="24"/>
              </w:rPr>
            </w:pPr>
            <w:r>
              <w:rPr>
                <w:rFonts w:hint="eastAsia" w:ascii="仿宋" w:hAnsi="仿宋" w:eastAsia="仿宋" w:cs="宋体"/>
                <w:color w:val="auto"/>
                <w:sz w:val="24"/>
              </w:rPr>
              <w:t>（1）</w:t>
            </w:r>
            <w:r>
              <w:rPr>
                <w:rFonts w:hint="eastAsia" w:ascii="仿宋" w:hAnsi="仿宋" w:eastAsia="仿宋"/>
                <w:bCs/>
                <w:color w:val="auto"/>
                <w:kern w:val="0"/>
                <w:sz w:val="24"/>
              </w:rPr>
              <w:t>未加密的纸质版投标文件应与加密的电子投标文件内容一致。</w:t>
            </w:r>
          </w:p>
          <w:p>
            <w:pPr>
              <w:shd w:val="clear" w:color="auto" w:fill="FFFFFF"/>
              <w:autoSpaceDE w:val="0"/>
              <w:autoSpaceDN w:val="0"/>
              <w:spacing w:line="360" w:lineRule="exact"/>
              <w:rPr>
                <w:rFonts w:ascii="仿宋" w:hAnsi="仿宋" w:eastAsia="仿宋" w:cs="宋体"/>
                <w:color w:val="auto"/>
                <w:sz w:val="24"/>
              </w:rPr>
            </w:pPr>
            <w:r>
              <w:rPr>
                <w:rFonts w:hint="eastAsia" w:ascii="仿宋" w:hAnsi="仿宋" w:eastAsia="仿宋"/>
                <w:bCs/>
                <w:color w:val="auto"/>
                <w:kern w:val="0"/>
                <w:sz w:val="24"/>
              </w:rPr>
              <w:t>（2）</w:t>
            </w:r>
            <w:r>
              <w:rPr>
                <w:rFonts w:hint="eastAsia" w:ascii="仿宋" w:hAnsi="仿宋" w:eastAsia="仿宋" w:cs="宋体"/>
                <w:color w:val="auto"/>
                <w:sz w:val="24"/>
              </w:rPr>
              <w:t>纸质版投标文件递交或邮寄至：</w:t>
            </w:r>
            <w:r>
              <w:rPr>
                <w:rFonts w:hint="eastAsia" w:ascii="仿宋" w:hAnsi="仿宋" w:eastAsia="仿宋"/>
                <w:bCs/>
                <w:color w:val="auto"/>
                <w:kern w:val="0"/>
                <w:sz w:val="24"/>
              </w:rPr>
              <w:t>库尔勒市梨乡路豪景大厦1102室，邢安泽19999172826。</w:t>
            </w:r>
          </w:p>
          <w:p>
            <w:pPr>
              <w:shd w:val="clear" w:color="auto" w:fill="FFFFFF"/>
              <w:autoSpaceDE w:val="0"/>
              <w:autoSpaceDN w:val="0"/>
              <w:spacing w:line="360" w:lineRule="exact"/>
              <w:rPr>
                <w:rFonts w:ascii="仿宋" w:hAnsi="仿宋" w:eastAsia="仿宋"/>
                <w:b/>
                <w:bCs/>
                <w:color w:val="auto"/>
                <w:kern w:val="0"/>
                <w:sz w:val="24"/>
              </w:rPr>
            </w:pPr>
            <w:r>
              <w:rPr>
                <w:rFonts w:hint="eastAsia" w:ascii="仿宋" w:hAnsi="仿宋" w:eastAsia="仿宋" w:cs="宋体"/>
                <w:color w:val="auto"/>
                <w:sz w:val="24"/>
              </w:rPr>
              <w:t>（3）</w:t>
            </w:r>
            <w:r>
              <w:rPr>
                <w:rFonts w:hint="eastAsia" w:ascii="仿宋" w:hAnsi="仿宋" w:eastAsia="仿宋"/>
                <w:b/>
                <w:bCs/>
                <w:color w:val="auto"/>
                <w:kern w:val="0"/>
                <w:sz w:val="24"/>
              </w:rPr>
              <w:t>供应商应按上述要求提供未加密的纸质版投标文件，以便投标保证金及时退还。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6</w:t>
            </w: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投标文件递交截止时间</w:t>
            </w:r>
          </w:p>
        </w:tc>
        <w:tc>
          <w:tcPr>
            <w:tcW w:w="7218" w:type="dxa"/>
            <w:vAlign w:val="center"/>
          </w:tcPr>
          <w:p>
            <w:pPr>
              <w:shd w:val="clear" w:color="auto" w:fill="FFFFFF"/>
              <w:autoSpaceDE w:val="0"/>
              <w:autoSpaceDN w:val="0"/>
              <w:spacing w:line="360" w:lineRule="exact"/>
              <w:rPr>
                <w:rFonts w:ascii="仿宋" w:hAnsi="仿宋" w:eastAsia="仿宋"/>
                <w:color w:val="auto"/>
                <w:sz w:val="24"/>
              </w:rPr>
            </w:pPr>
            <w:r>
              <w:rPr>
                <w:rFonts w:hint="eastAsia" w:ascii="仿宋" w:hAnsi="仿宋" w:eastAsia="仿宋" w:cs="宋体"/>
                <w:color w:val="auto"/>
                <w:sz w:val="24"/>
              </w:rPr>
              <w:t>2022年8月4日11：00时（北京时间）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7</w:t>
            </w: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投标有效期限</w:t>
            </w:r>
            <w:r>
              <w:rPr>
                <w:rFonts w:hint="eastAsia" w:ascii="仿宋" w:hAnsi="仿宋" w:eastAsia="仿宋"/>
                <w:b/>
                <w:bCs/>
                <w:color w:val="auto"/>
                <w:sz w:val="24"/>
              </w:rPr>
              <w:t>（实质性条款）</w:t>
            </w:r>
          </w:p>
        </w:tc>
        <w:tc>
          <w:tcPr>
            <w:tcW w:w="7218" w:type="dxa"/>
            <w:vAlign w:val="center"/>
          </w:tcPr>
          <w:p>
            <w:pPr>
              <w:shd w:val="clear" w:color="auto" w:fill="FFFFFF"/>
              <w:autoSpaceDE w:val="0"/>
              <w:autoSpaceDN w:val="0"/>
              <w:spacing w:line="360" w:lineRule="exact"/>
              <w:rPr>
                <w:rFonts w:ascii="仿宋" w:hAnsi="仿宋" w:eastAsia="仿宋"/>
                <w:bCs/>
                <w:color w:val="auto"/>
                <w:kern w:val="0"/>
                <w:sz w:val="24"/>
              </w:rPr>
            </w:pPr>
            <w:r>
              <w:rPr>
                <w:rFonts w:hint="eastAsia" w:ascii="仿宋" w:hAnsi="仿宋" w:eastAsia="仿宋"/>
                <w:bCs/>
                <w:color w:val="auto"/>
                <w:kern w:val="0"/>
                <w:sz w:val="24"/>
              </w:rPr>
              <w:t>投标截止后</w:t>
            </w:r>
            <w:r>
              <w:rPr>
                <w:rFonts w:hint="eastAsia" w:ascii="仿宋" w:hAnsi="仿宋" w:eastAsia="仿宋"/>
                <w:bCs/>
                <w:color w:val="auto"/>
                <w:kern w:val="0"/>
                <w:sz w:val="24"/>
                <w:u w:val="single"/>
              </w:rPr>
              <w:t>90</w:t>
            </w:r>
            <w:r>
              <w:rPr>
                <w:rFonts w:hint="eastAsia" w:ascii="仿宋" w:hAnsi="仿宋" w:eastAsia="仿宋"/>
                <w:bCs/>
                <w:color w:val="auto"/>
                <w:kern w:val="0"/>
                <w:sz w:val="24"/>
              </w:rPr>
              <w:t>天（日历日）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8</w:t>
            </w: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投标文件递交地点</w:t>
            </w:r>
          </w:p>
        </w:tc>
        <w:tc>
          <w:tcPr>
            <w:tcW w:w="7218" w:type="dxa"/>
            <w:vAlign w:val="center"/>
          </w:tcPr>
          <w:p>
            <w:pPr>
              <w:widowControl/>
              <w:shd w:val="clear" w:color="auto" w:fill="FFFFFF"/>
              <w:spacing w:line="360" w:lineRule="exact"/>
              <w:jc w:val="left"/>
              <w:rPr>
                <w:rFonts w:ascii="仿宋" w:hAnsi="仿宋" w:eastAsia="仿宋" w:cs="宋体"/>
                <w:color w:val="auto"/>
                <w:spacing w:val="-10"/>
                <w:kern w:val="0"/>
                <w:sz w:val="24"/>
              </w:rPr>
            </w:pPr>
            <w:r>
              <w:rPr>
                <w:rFonts w:hint="eastAsia" w:ascii="仿宋" w:hAnsi="仿宋" w:eastAsia="仿宋" w:cs="宋体"/>
                <w:color w:val="auto"/>
                <w:spacing w:val="-10"/>
                <w:kern w:val="0"/>
                <w:sz w:val="24"/>
              </w:rPr>
              <w:t>本项目采用不见面开标，加密的电子投标文件须在投标截止时间前通过CA在政采云平台上传。</w:t>
            </w:r>
          </w:p>
          <w:p>
            <w:pPr>
              <w:widowControl/>
              <w:shd w:val="clear" w:color="auto" w:fill="FFFFFF"/>
              <w:spacing w:line="360" w:lineRule="exact"/>
              <w:jc w:val="left"/>
              <w:rPr>
                <w:rFonts w:ascii="仿宋" w:hAnsi="仿宋" w:eastAsia="仿宋"/>
                <w:bCs/>
                <w:color w:val="auto"/>
                <w:spacing w:val="-10"/>
                <w:kern w:val="0"/>
                <w:sz w:val="24"/>
              </w:rPr>
            </w:pPr>
            <w:r>
              <w:rPr>
                <w:rFonts w:hint="eastAsia" w:ascii="仿宋" w:hAnsi="仿宋" w:eastAsia="仿宋" w:cs="宋体"/>
                <w:color w:val="auto"/>
                <w:spacing w:val="-10"/>
                <w:kern w:val="0"/>
                <w:sz w:val="24"/>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9</w:t>
            </w: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开标时间、开标地点</w:t>
            </w:r>
          </w:p>
        </w:tc>
        <w:tc>
          <w:tcPr>
            <w:tcW w:w="7218" w:type="dxa"/>
            <w:vAlign w:val="center"/>
          </w:tcPr>
          <w:p>
            <w:pPr>
              <w:shd w:val="clear" w:color="auto" w:fill="FFFFFF"/>
              <w:autoSpaceDE w:val="0"/>
              <w:autoSpaceDN w:val="0"/>
              <w:spacing w:line="360" w:lineRule="exact"/>
              <w:rPr>
                <w:rFonts w:ascii="仿宋" w:hAnsi="仿宋" w:eastAsia="仿宋"/>
                <w:bCs/>
                <w:color w:val="auto"/>
                <w:kern w:val="0"/>
                <w:sz w:val="24"/>
              </w:rPr>
            </w:pPr>
            <w:r>
              <w:rPr>
                <w:rFonts w:hint="eastAsia" w:ascii="仿宋" w:hAnsi="仿宋" w:eastAsia="仿宋" w:cs="宋体"/>
                <w:color w:val="auto"/>
                <w:sz w:val="24"/>
              </w:rPr>
              <w:t>开标时间：2022年8月4日 11:00时（北京时间）</w:t>
            </w:r>
          </w:p>
          <w:p>
            <w:pPr>
              <w:shd w:val="clear" w:color="auto" w:fill="FFFFFF"/>
              <w:autoSpaceDE w:val="0"/>
              <w:autoSpaceDN w:val="0"/>
              <w:spacing w:line="360" w:lineRule="exact"/>
              <w:rPr>
                <w:rFonts w:ascii="仿宋" w:hAnsi="仿宋" w:eastAsia="仿宋" w:cs="宋体"/>
                <w:color w:val="auto"/>
                <w:sz w:val="24"/>
              </w:rPr>
            </w:pPr>
            <w:r>
              <w:rPr>
                <w:rFonts w:hint="eastAsia" w:ascii="仿宋" w:hAnsi="仿宋" w:eastAsia="仿宋"/>
                <w:bCs/>
                <w:color w:val="auto"/>
                <w:kern w:val="0"/>
                <w:sz w:val="24"/>
              </w:rPr>
              <w:t>开标地点：</w:t>
            </w:r>
            <w:r>
              <w:rPr>
                <w:rFonts w:hint="eastAsia" w:ascii="仿宋" w:hAnsi="仿宋" w:eastAsia="仿宋" w:cs="宋体"/>
                <w:color w:val="auto"/>
                <w:sz w:val="24"/>
              </w:rPr>
              <w:t>政采云开标大厅（</w:t>
            </w:r>
            <w:r>
              <w:rPr>
                <w:color w:val="auto"/>
              </w:rPr>
              <w:fldChar w:fldCharType="begin"/>
            </w:r>
            <w:r>
              <w:rPr>
                <w:color w:val="auto"/>
              </w:rPr>
              <w:instrText xml:space="preserve"> HYPERLINK "https://www.zcygov.cn" </w:instrText>
            </w:r>
            <w:r>
              <w:rPr>
                <w:color w:val="auto"/>
              </w:rPr>
              <w:fldChar w:fldCharType="separate"/>
            </w:r>
            <w:r>
              <w:rPr>
                <w:rStyle w:val="68"/>
                <w:rFonts w:ascii="仿宋" w:hAnsi="仿宋" w:eastAsia="仿宋" w:cs="宋体"/>
                <w:color w:val="auto"/>
                <w:sz w:val="24"/>
              </w:rPr>
              <w:t>https://www.zcygov.cn</w:t>
            </w:r>
            <w:r>
              <w:rPr>
                <w:rStyle w:val="68"/>
                <w:rFonts w:ascii="仿宋" w:hAnsi="仿宋" w:eastAsia="仿宋" w:cs="宋体"/>
                <w:color w:val="auto"/>
                <w:sz w:val="24"/>
              </w:rPr>
              <w:fldChar w:fldCharType="end"/>
            </w:r>
            <w:r>
              <w:rPr>
                <w:rFonts w:hint="eastAsia" w:ascii="仿宋" w:hAnsi="仿宋" w:eastAsia="仿宋" w:cs="宋体"/>
                <w:color w:val="auto"/>
                <w:sz w:val="24"/>
              </w:rPr>
              <w:t>）</w:t>
            </w:r>
          </w:p>
          <w:p>
            <w:pPr>
              <w:shd w:val="clear" w:color="auto" w:fill="FFFFFF"/>
              <w:autoSpaceDE w:val="0"/>
              <w:autoSpaceDN w:val="0"/>
              <w:spacing w:line="360" w:lineRule="exact"/>
              <w:rPr>
                <w:rFonts w:ascii="仿宋" w:hAnsi="仿宋" w:eastAsia="仿宋"/>
                <w:b/>
                <w:bCs/>
                <w:color w:val="auto"/>
                <w:kern w:val="0"/>
                <w:sz w:val="24"/>
                <w:u w:val="single"/>
              </w:rPr>
            </w:pPr>
            <w:r>
              <w:rPr>
                <w:rFonts w:hint="eastAsia" w:ascii="仿宋" w:hAnsi="仿宋" w:eastAsia="仿宋"/>
                <w:b/>
                <w:bCs/>
                <w:color w:val="auto"/>
                <w:kern w:val="0"/>
                <w:sz w:val="24"/>
              </w:rPr>
              <w:t>本项目采用</w:t>
            </w:r>
            <w:r>
              <w:rPr>
                <w:rFonts w:hint="eastAsia" w:ascii="仿宋" w:hAnsi="仿宋" w:eastAsia="仿宋"/>
                <w:b/>
                <w:bCs/>
                <w:color w:val="auto"/>
                <w:kern w:val="0"/>
                <w:sz w:val="24"/>
                <w:u w:val="single"/>
              </w:rPr>
              <w:t xml:space="preserve">  不见面开标  </w:t>
            </w:r>
          </w:p>
          <w:p>
            <w:pPr>
              <w:widowControl/>
              <w:shd w:val="clear" w:color="auto" w:fill="FFFFFF"/>
              <w:spacing w:line="360" w:lineRule="exact"/>
              <w:jc w:val="left"/>
              <w:rPr>
                <w:rFonts w:ascii="仿宋" w:hAnsi="仿宋" w:eastAsia="仿宋"/>
                <w:bCs/>
                <w:color w:val="auto"/>
                <w:kern w:val="0"/>
                <w:sz w:val="24"/>
              </w:rPr>
            </w:pPr>
            <w:r>
              <w:rPr>
                <w:rFonts w:hint="eastAsia" w:ascii="仿宋" w:hAnsi="仿宋" w:eastAsia="仿宋"/>
                <w:bCs/>
                <w:color w:val="auto"/>
                <w:kern w:val="0"/>
                <w:sz w:val="24"/>
              </w:rPr>
              <w:t>注：（1）供应商远程参与开标，并在规定的时间内完成对投标文件远程解密及报价确认，本项目供应商解密时长：30分钟，因供应商自身原因导致解密或报价确认失败，投标无效。</w:t>
            </w:r>
          </w:p>
          <w:p>
            <w:pPr>
              <w:shd w:val="clear" w:color="auto" w:fill="FFFFFF"/>
              <w:autoSpaceDE w:val="0"/>
              <w:autoSpaceDN w:val="0"/>
              <w:spacing w:line="360" w:lineRule="exact"/>
              <w:rPr>
                <w:rFonts w:ascii="仿宋" w:hAnsi="仿宋" w:eastAsia="仿宋"/>
                <w:bCs/>
                <w:color w:val="auto"/>
                <w:kern w:val="0"/>
                <w:sz w:val="24"/>
              </w:rPr>
            </w:pPr>
            <w:r>
              <w:rPr>
                <w:rFonts w:hint="eastAsia" w:ascii="仿宋" w:hAnsi="仿宋" w:eastAsia="仿宋"/>
                <w:bCs/>
                <w:color w:val="auto"/>
                <w:kern w:val="0"/>
                <w:sz w:val="24"/>
              </w:rPr>
              <w:t>（2）因网上招标系统故障导致所有供应商均解密失败时，由采购人或采购代理机构现场请示项目主管部门处理。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10</w:t>
            </w: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评标办法</w:t>
            </w:r>
          </w:p>
        </w:tc>
        <w:tc>
          <w:tcPr>
            <w:tcW w:w="7218" w:type="dxa"/>
            <w:vAlign w:val="center"/>
          </w:tcPr>
          <w:p>
            <w:pPr>
              <w:shd w:val="clear" w:color="auto" w:fill="FFFFFF"/>
              <w:autoSpaceDE w:val="0"/>
              <w:autoSpaceDN w:val="0"/>
              <w:spacing w:line="360" w:lineRule="exact"/>
              <w:rPr>
                <w:rFonts w:ascii="仿宋" w:hAnsi="仿宋" w:eastAsia="仿宋"/>
                <w:bCs/>
                <w:color w:val="auto"/>
                <w:kern w:val="0"/>
                <w:sz w:val="24"/>
              </w:rPr>
            </w:pPr>
            <w:r>
              <w:rPr>
                <w:rFonts w:hint="eastAsia" w:ascii="仿宋" w:hAnsi="仿宋" w:eastAsia="仿宋"/>
                <w:bCs/>
                <w:color w:val="auto"/>
                <w:kern w:val="0"/>
                <w:sz w:val="24"/>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11</w:t>
            </w: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投标保证金</w:t>
            </w:r>
          </w:p>
        </w:tc>
        <w:tc>
          <w:tcPr>
            <w:tcW w:w="7218" w:type="dxa"/>
            <w:vAlign w:val="center"/>
          </w:tcPr>
          <w:p>
            <w:pPr>
              <w:pStyle w:val="83"/>
              <w:shd w:val="clear" w:color="auto" w:fill="FFFFFF"/>
              <w:spacing w:line="360" w:lineRule="exact"/>
              <w:ind w:firstLine="0" w:firstLineChars="0"/>
              <w:rPr>
                <w:rFonts w:ascii="仿宋" w:hAnsi="仿宋" w:eastAsia="仿宋" w:cs="Times New Roman"/>
                <w:bCs/>
                <w:color w:val="auto"/>
                <w:kern w:val="0"/>
                <w:sz w:val="24"/>
                <w:szCs w:val="24"/>
              </w:rPr>
            </w:pPr>
            <w:r>
              <w:rPr>
                <w:rFonts w:hint="eastAsia" w:ascii="仿宋" w:hAnsi="仿宋" w:eastAsia="仿宋" w:cs="Times New Roman"/>
                <w:bCs/>
                <w:color w:val="auto"/>
                <w:kern w:val="0"/>
                <w:sz w:val="24"/>
                <w:szCs w:val="24"/>
              </w:rPr>
              <w:t>金额：</w:t>
            </w:r>
            <w:r>
              <w:rPr>
                <w:rFonts w:hint="eastAsia" w:ascii="仿宋" w:hAnsi="仿宋" w:eastAsia="仿宋"/>
                <w:bCs/>
                <w:color w:val="auto"/>
                <w:sz w:val="24"/>
                <w:szCs w:val="24"/>
              </w:rPr>
              <w:t>16000.00元（壹万陆仟元）</w:t>
            </w:r>
          </w:p>
          <w:p>
            <w:pPr>
              <w:shd w:val="clear" w:color="auto" w:fill="FFFFFF"/>
              <w:spacing w:line="360" w:lineRule="exact"/>
              <w:rPr>
                <w:rFonts w:ascii="仿宋" w:hAnsi="仿宋" w:eastAsia="仿宋"/>
                <w:bCs/>
                <w:color w:val="auto"/>
                <w:kern w:val="0"/>
                <w:sz w:val="24"/>
              </w:rPr>
            </w:pPr>
            <w:r>
              <w:rPr>
                <w:rFonts w:hint="eastAsia" w:ascii="仿宋" w:hAnsi="仿宋" w:eastAsia="仿宋" w:cs="Arial"/>
                <w:bCs/>
                <w:color w:val="auto"/>
                <w:sz w:val="24"/>
              </w:rPr>
              <w:t>供应商应于</w:t>
            </w:r>
            <w:r>
              <w:rPr>
                <w:rFonts w:hint="eastAsia" w:ascii="仿宋" w:hAnsi="仿宋" w:eastAsia="仿宋" w:cs="宋体"/>
                <w:color w:val="auto"/>
                <w:sz w:val="24"/>
              </w:rPr>
              <w:t>2022年8月4日 11:00时（北京时间）</w:t>
            </w:r>
            <w:r>
              <w:rPr>
                <w:rFonts w:hint="eastAsia" w:ascii="仿宋" w:hAnsi="仿宋" w:eastAsia="仿宋" w:cs="Arial"/>
                <w:bCs/>
                <w:color w:val="auto"/>
                <w:sz w:val="24"/>
              </w:rPr>
              <w:t>前</w:t>
            </w:r>
            <w:r>
              <w:rPr>
                <w:rFonts w:hint="eastAsia" w:ascii="仿宋" w:hAnsi="仿宋" w:eastAsia="仿宋"/>
                <w:bCs/>
                <w:color w:val="auto"/>
                <w:kern w:val="0"/>
                <w:sz w:val="24"/>
              </w:rPr>
              <w:t>，将投标保证金由供应商账户缴纳至采购代理机构指定账户。</w:t>
            </w:r>
            <w:r>
              <w:rPr>
                <w:rFonts w:hint="eastAsia" w:ascii="仿宋" w:hAnsi="仿宋" w:eastAsia="仿宋"/>
                <w:bCs/>
                <w:color w:val="auto"/>
                <w:kern w:val="0"/>
                <w:sz w:val="24"/>
                <w:szCs w:val="20"/>
              </w:rPr>
              <w:t>投标保证金</w:t>
            </w:r>
            <w:r>
              <w:rPr>
                <w:rFonts w:hint="eastAsia" w:ascii="仿宋" w:hAnsi="仿宋" w:eastAsia="仿宋"/>
                <w:bCs/>
                <w:color w:val="auto"/>
                <w:kern w:val="0"/>
                <w:sz w:val="24"/>
              </w:rPr>
              <w:t>应采用人民币，以非现金形式的电汇、网银支付等方式提交。</w:t>
            </w:r>
          </w:p>
          <w:p>
            <w:pPr>
              <w:shd w:val="clear" w:color="auto" w:fill="FFFFFF"/>
              <w:spacing w:line="360" w:lineRule="exact"/>
              <w:rPr>
                <w:rFonts w:ascii="仿宋" w:hAnsi="仿宋" w:eastAsia="仿宋"/>
                <w:bCs/>
                <w:color w:val="auto"/>
                <w:kern w:val="0"/>
                <w:sz w:val="24"/>
              </w:rPr>
            </w:pPr>
            <w:r>
              <w:rPr>
                <w:rFonts w:hint="eastAsia" w:ascii="仿宋" w:hAnsi="仿宋" w:eastAsia="仿宋"/>
                <w:bCs/>
                <w:color w:val="auto"/>
                <w:kern w:val="0"/>
                <w:sz w:val="24"/>
              </w:rPr>
              <w:t>账户名称：新疆品创项目管理咨询有限公司</w:t>
            </w:r>
          </w:p>
          <w:p>
            <w:pPr>
              <w:shd w:val="clear" w:color="auto" w:fill="FFFFFF"/>
              <w:spacing w:line="360" w:lineRule="exact"/>
              <w:rPr>
                <w:rFonts w:ascii="仿宋" w:hAnsi="仿宋" w:eastAsia="仿宋"/>
                <w:bCs/>
                <w:color w:val="auto"/>
                <w:kern w:val="0"/>
                <w:sz w:val="24"/>
              </w:rPr>
            </w:pPr>
            <w:r>
              <w:rPr>
                <w:rFonts w:hint="eastAsia" w:ascii="仿宋" w:hAnsi="仿宋" w:eastAsia="仿宋"/>
                <w:bCs/>
                <w:color w:val="auto"/>
                <w:kern w:val="0"/>
                <w:sz w:val="24"/>
              </w:rPr>
              <w:t>开户银行：中国银行股份有限公司乌鲁木齐市安居南路支行</w:t>
            </w:r>
          </w:p>
          <w:p>
            <w:pPr>
              <w:shd w:val="clear" w:color="auto" w:fill="FFFFFF"/>
              <w:spacing w:line="360" w:lineRule="exact"/>
              <w:rPr>
                <w:rFonts w:ascii="仿宋" w:hAnsi="仿宋" w:eastAsia="仿宋"/>
                <w:bCs/>
                <w:color w:val="auto"/>
                <w:kern w:val="0"/>
                <w:sz w:val="24"/>
              </w:rPr>
            </w:pPr>
            <w:r>
              <w:rPr>
                <w:rFonts w:hint="eastAsia" w:ascii="仿宋" w:hAnsi="仿宋" w:eastAsia="仿宋"/>
                <w:bCs/>
                <w:color w:val="auto"/>
                <w:kern w:val="0"/>
                <w:sz w:val="24"/>
              </w:rPr>
              <w:t>账号：</w:t>
            </w:r>
            <w:r>
              <w:rPr>
                <w:rFonts w:ascii="仿宋" w:hAnsi="仿宋" w:eastAsia="仿宋"/>
                <w:bCs/>
                <w:color w:val="auto"/>
                <w:kern w:val="0"/>
                <w:sz w:val="24"/>
              </w:rPr>
              <w:t>107685372797</w:t>
            </w:r>
          </w:p>
          <w:p>
            <w:pPr>
              <w:shd w:val="clear" w:color="auto" w:fill="FFFFFF"/>
              <w:spacing w:line="360" w:lineRule="exact"/>
              <w:rPr>
                <w:rFonts w:ascii="仿宋" w:hAnsi="仿宋" w:eastAsia="仿宋"/>
                <w:bCs/>
                <w:color w:val="auto"/>
                <w:kern w:val="0"/>
                <w:sz w:val="24"/>
              </w:rPr>
            </w:pPr>
            <w:r>
              <w:rPr>
                <w:rFonts w:hint="eastAsia" w:ascii="仿宋" w:hAnsi="仿宋" w:eastAsia="仿宋"/>
                <w:bCs/>
                <w:color w:val="auto"/>
                <w:kern w:val="0"/>
                <w:sz w:val="24"/>
              </w:rPr>
              <w:t>行号：</w:t>
            </w:r>
            <w:r>
              <w:rPr>
                <w:rFonts w:ascii="仿宋" w:hAnsi="仿宋" w:eastAsia="仿宋"/>
                <w:bCs/>
                <w:color w:val="auto"/>
                <w:kern w:val="0"/>
                <w:sz w:val="24"/>
              </w:rPr>
              <w:t>104881005046</w:t>
            </w:r>
          </w:p>
          <w:p>
            <w:pPr>
              <w:pStyle w:val="83"/>
              <w:shd w:val="clear" w:color="auto" w:fill="FFFFFF"/>
              <w:spacing w:line="360" w:lineRule="exact"/>
              <w:ind w:firstLine="0" w:firstLineChars="0"/>
              <w:rPr>
                <w:rFonts w:ascii="仿宋" w:hAnsi="仿宋" w:eastAsia="仿宋"/>
                <w:bCs/>
                <w:color w:val="auto"/>
                <w:sz w:val="24"/>
                <w:szCs w:val="24"/>
              </w:rPr>
            </w:pPr>
            <w:r>
              <w:rPr>
                <w:rFonts w:hint="eastAsia" w:ascii="仿宋" w:hAnsi="仿宋" w:eastAsia="仿宋"/>
                <w:bCs/>
                <w:color w:val="auto"/>
                <w:sz w:val="24"/>
              </w:rPr>
              <w:t>注：</w:t>
            </w:r>
            <w:r>
              <w:rPr>
                <w:rFonts w:hint="eastAsia" w:ascii="仿宋" w:hAnsi="仿宋" w:eastAsia="仿宋"/>
                <w:bCs/>
                <w:color w:val="auto"/>
                <w:sz w:val="24"/>
                <w:szCs w:val="24"/>
              </w:rPr>
              <w:t>1、如果发现供应商有围标、串标行为，其投标无效，且投标保证金将被没收，不予退还；</w:t>
            </w:r>
          </w:p>
          <w:p>
            <w:pPr>
              <w:pStyle w:val="83"/>
              <w:shd w:val="clear" w:color="auto" w:fill="FFFFFF"/>
              <w:spacing w:line="360" w:lineRule="exact"/>
              <w:ind w:firstLine="0" w:firstLineChars="0"/>
              <w:rPr>
                <w:rFonts w:ascii="仿宋" w:hAnsi="仿宋" w:eastAsia="仿宋"/>
                <w:bCs/>
                <w:color w:val="auto"/>
                <w:sz w:val="24"/>
                <w:szCs w:val="24"/>
              </w:rPr>
            </w:pPr>
            <w:r>
              <w:rPr>
                <w:rFonts w:hint="eastAsia" w:ascii="仿宋" w:hAnsi="仿宋" w:eastAsia="仿宋"/>
                <w:bCs/>
                <w:color w:val="auto"/>
                <w:sz w:val="24"/>
                <w:szCs w:val="24"/>
              </w:rPr>
              <w:t>2、投标保证金未按规定时间缴纳或提交金额不足的，其投标将被否决，供应商应充分考虑资金在途时间；</w:t>
            </w:r>
          </w:p>
          <w:p>
            <w:pPr>
              <w:pStyle w:val="83"/>
              <w:shd w:val="clear" w:color="auto" w:fill="FFFFFF"/>
              <w:spacing w:line="360" w:lineRule="exact"/>
              <w:ind w:firstLine="0" w:firstLineChars="0"/>
              <w:rPr>
                <w:rFonts w:ascii="仿宋" w:hAnsi="仿宋" w:eastAsia="仿宋" w:cs="Times New Roman"/>
                <w:b/>
                <w:bCs/>
                <w:color w:val="auto"/>
                <w:kern w:val="0"/>
                <w:sz w:val="24"/>
                <w:szCs w:val="24"/>
              </w:rPr>
            </w:pPr>
            <w:r>
              <w:rPr>
                <w:rFonts w:ascii="仿宋" w:hAnsi="仿宋" w:eastAsia="仿宋"/>
                <w:b/>
                <w:bCs/>
                <w:color w:val="auto"/>
                <w:sz w:val="24"/>
                <w:szCs w:val="24"/>
              </w:rPr>
              <w:t>3</w:t>
            </w:r>
            <w:r>
              <w:rPr>
                <w:rFonts w:hint="eastAsia" w:ascii="仿宋" w:hAnsi="仿宋" w:eastAsia="仿宋"/>
                <w:b/>
                <w:bCs/>
                <w:color w:val="auto"/>
                <w:sz w:val="24"/>
                <w:szCs w:val="24"/>
              </w:rPr>
              <w:t>、供应商缴纳投标保证金时，须备注“</w:t>
            </w:r>
            <w:r>
              <w:rPr>
                <w:rFonts w:hint="eastAsia" w:ascii="仿宋" w:hAnsi="仿宋" w:eastAsia="仿宋" w:cs="仿宋"/>
                <w:b/>
                <w:bCs/>
                <w:color w:val="auto"/>
                <w:sz w:val="24"/>
                <w:szCs w:val="24"/>
              </w:rPr>
              <w:t>二部</w:t>
            </w:r>
            <w:r>
              <w:rPr>
                <w:rFonts w:ascii="仿宋" w:hAnsi="仿宋" w:eastAsia="仿宋" w:cs="仿宋"/>
                <w:b/>
                <w:color w:val="auto"/>
                <w:sz w:val="24"/>
                <w:szCs w:val="24"/>
              </w:rPr>
              <w:t>PCGK0</w:t>
            </w:r>
            <w:r>
              <w:rPr>
                <w:rFonts w:hint="eastAsia" w:ascii="仿宋" w:hAnsi="仿宋" w:eastAsia="仿宋" w:cs="仿宋"/>
                <w:b/>
                <w:color w:val="auto"/>
                <w:sz w:val="24"/>
                <w:szCs w:val="24"/>
              </w:rPr>
              <w:t>75</w:t>
            </w:r>
            <w:r>
              <w:rPr>
                <w:rFonts w:hint="eastAsia" w:ascii="仿宋" w:hAnsi="仿宋" w:eastAsia="仿宋"/>
                <w:b/>
                <w:bCs/>
                <w:color w:val="auto"/>
                <w:sz w:val="24"/>
                <w:szCs w:val="24"/>
              </w:rPr>
              <w:t>”</w:t>
            </w:r>
            <w:r>
              <w:rPr>
                <w:rFonts w:hint="eastAsia" w:ascii="仿宋" w:hAnsi="仿宋" w:eastAsia="仿宋"/>
                <w:bCs/>
                <w:color w:val="auto"/>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12</w:t>
            </w: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采购文件售价</w:t>
            </w:r>
          </w:p>
        </w:tc>
        <w:tc>
          <w:tcPr>
            <w:tcW w:w="7218" w:type="dxa"/>
            <w:vAlign w:val="center"/>
          </w:tcPr>
          <w:p>
            <w:pPr>
              <w:shd w:val="clear" w:color="auto" w:fill="FFFFFF"/>
              <w:autoSpaceDE w:val="0"/>
              <w:autoSpaceDN w:val="0"/>
              <w:spacing w:line="360" w:lineRule="exact"/>
              <w:rPr>
                <w:rFonts w:ascii="仿宋" w:hAnsi="仿宋" w:eastAsia="仿宋"/>
                <w:bCs/>
                <w:color w:val="auto"/>
                <w:kern w:val="0"/>
                <w:sz w:val="24"/>
              </w:rPr>
            </w:pPr>
            <w:r>
              <w:rPr>
                <w:rFonts w:hint="eastAsia" w:ascii="仿宋" w:hAnsi="仿宋" w:eastAsia="仿宋"/>
                <w:color w:val="auto"/>
                <w:sz w:val="24"/>
              </w:rPr>
              <w:t>政采云平台免费下载。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13</w:t>
            </w:r>
          </w:p>
        </w:tc>
        <w:tc>
          <w:tcPr>
            <w:tcW w:w="1993" w:type="dxa"/>
            <w:vAlign w:val="center"/>
          </w:tcPr>
          <w:p>
            <w:pPr>
              <w:pStyle w:val="83"/>
              <w:shd w:val="clear" w:color="auto" w:fill="FFFFFF"/>
              <w:spacing w:line="360" w:lineRule="exact"/>
              <w:ind w:firstLine="0" w:firstLineChars="0"/>
              <w:jc w:val="center"/>
              <w:rPr>
                <w:rFonts w:ascii="仿宋" w:hAnsi="仿宋" w:eastAsia="仿宋" w:cs="Times New Roman"/>
                <w:bCs/>
                <w:color w:val="auto"/>
                <w:kern w:val="0"/>
                <w:sz w:val="24"/>
                <w:szCs w:val="24"/>
              </w:rPr>
            </w:pPr>
            <w:r>
              <w:rPr>
                <w:rFonts w:hint="eastAsia" w:ascii="仿宋" w:hAnsi="仿宋" w:eastAsia="仿宋" w:cs="Times New Roman"/>
                <w:bCs/>
                <w:color w:val="auto"/>
                <w:kern w:val="0"/>
                <w:sz w:val="24"/>
                <w:szCs w:val="24"/>
              </w:rPr>
              <w:t>对采购文件的质疑</w:t>
            </w:r>
          </w:p>
        </w:tc>
        <w:tc>
          <w:tcPr>
            <w:tcW w:w="7218" w:type="dxa"/>
            <w:vAlign w:val="center"/>
          </w:tcPr>
          <w:p>
            <w:pPr>
              <w:pStyle w:val="83"/>
              <w:shd w:val="clear" w:color="auto" w:fill="FFFFFF"/>
              <w:spacing w:line="360" w:lineRule="exact"/>
              <w:ind w:firstLine="0" w:firstLineChars="0"/>
              <w:rPr>
                <w:rFonts w:ascii="仿宋" w:hAnsi="仿宋" w:eastAsia="仿宋"/>
                <w:bCs/>
                <w:color w:val="auto"/>
                <w:sz w:val="24"/>
                <w:szCs w:val="24"/>
              </w:rPr>
            </w:pPr>
            <w:r>
              <w:rPr>
                <w:rFonts w:hint="eastAsia" w:ascii="仿宋" w:hAnsi="仿宋" w:eastAsia="仿宋"/>
                <w:bCs/>
                <w:color w:val="auto"/>
                <w:sz w:val="24"/>
                <w:szCs w:val="24"/>
              </w:rPr>
              <w:t>供应商如需对招标文件内容质疑，须按以下要求提出：</w:t>
            </w:r>
          </w:p>
          <w:p>
            <w:pPr>
              <w:pStyle w:val="83"/>
              <w:shd w:val="clear" w:color="auto" w:fill="FFFFFF"/>
              <w:spacing w:line="360" w:lineRule="exact"/>
              <w:ind w:firstLine="0" w:firstLineChars="0"/>
              <w:rPr>
                <w:rFonts w:ascii="仿宋" w:hAnsi="仿宋" w:eastAsia="仿宋"/>
                <w:bCs/>
                <w:color w:val="auto"/>
                <w:sz w:val="24"/>
                <w:szCs w:val="24"/>
              </w:rPr>
            </w:pPr>
            <w:r>
              <w:rPr>
                <w:rFonts w:hint="eastAsia" w:ascii="仿宋" w:hAnsi="仿宋" w:eastAsia="仿宋"/>
                <w:bCs/>
                <w:color w:val="auto"/>
                <w:sz w:val="24"/>
                <w:szCs w:val="24"/>
              </w:rPr>
              <w:t>①接受对招标文件提出质疑的截止时间：</w:t>
            </w:r>
            <w:r>
              <w:rPr>
                <w:rFonts w:hint="eastAsia" w:ascii="仿宋" w:hAnsi="仿宋" w:eastAsia="仿宋" w:cs="宋体"/>
                <w:color w:val="auto"/>
                <w:sz w:val="24"/>
                <w:szCs w:val="24"/>
              </w:rPr>
              <w:t>2022年8月2日12:00时</w:t>
            </w:r>
            <w:r>
              <w:rPr>
                <w:rFonts w:hint="eastAsia" w:ascii="仿宋" w:hAnsi="仿宋" w:eastAsia="仿宋" w:cs="仿宋"/>
                <w:bCs/>
                <w:color w:val="auto"/>
                <w:sz w:val="24"/>
                <w:szCs w:val="24"/>
              </w:rPr>
              <w:t>，供应商应在法定质疑期内一次性提出所有质疑内容</w:t>
            </w:r>
            <w:r>
              <w:rPr>
                <w:rFonts w:hint="eastAsia" w:ascii="仿宋" w:hAnsi="仿宋" w:eastAsia="仿宋"/>
                <w:bCs/>
                <w:color w:val="auto"/>
                <w:sz w:val="24"/>
                <w:szCs w:val="24"/>
              </w:rPr>
              <w:t>。</w:t>
            </w:r>
          </w:p>
          <w:p>
            <w:pPr>
              <w:pStyle w:val="83"/>
              <w:shd w:val="clear" w:color="auto" w:fill="FFFFFF"/>
              <w:spacing w:line="360" w:lineRule="exact"/>
              <w:ind w:firstLine="0" w:firstLineChars="0"/>
              <w:rPr>
                <w:rFonts w:ascii="仿宋" w:hAnsi="仿宋" w:eastAsia="仿宋"/>
                <w:bCs/>
                <w:color w:val="auto"/>
                <w:sz w:val="24"/>
                <w:szCs w:val="24"/>
              </w:rPr>
            </w:pPr>
            <w:r>
              <w:rPr>
                <w:rFonts w:hint="eastAsia" w:ascii="仿宋" w:hAnsi="仿宋" w:eastAsia="仿宋"/>
                <w:bCs/>
                <w:color w:val="auto"/>
                <w:sz w:val="24"/>
                <w:szCs w:val="24"/>
              </w:rPr>
              <w:t>②质疑函应以书面形式（按照财政部94号令要求）通知采购代理机构。采购代理机构将在收到质疑函后7个工作日内作出答复，并以书面形式通知质疑供应商和其他有关供应商。</w:t>
            </w:r>
          </w:p>
          <w:p>
            <w:pPr>
              <w:pStyle w:val="83"/>
              <w:shd w:val="clear" w:color="auto" w:fill="FFFFFF"/>
              <w:spacing w:line="360" w:lineRule="exact"/>
              <w:ind w:firstLine="0" w:firstLineChars="0"/>
              <w:rPr>
                <w:rFonts w:ascii="仿宋" w:hAnsi="仿宋" w:eastAsia="仿宋"/>
                <w:bCs/>
                <w:color w:val="auto"/>
                <w:sz w:val="24"/>
                <w:szCs w:val="24"/>
              </w:rPr>
            </w:pPr>
            <w:r>
              <w:rPr>
                <w:rFonts w:hint="eastAsia" w:ascii="仿宋" w:hAnsi="仿宋" w:eastAsia="仿宋"/>
                <w:bCs/>
                <w:color w:val="auto"/>
                <w:sz w:val="24"/>
                <w:szCs w:val="24"/>
              </w:rPr>
              <w:t>③联系部门：新疆品创项目管理咨询有限公司 业务二部</w:t>
            </w:r>
          </w:p>
          <w:p>
            <w:pPr>
              <w:pStyle w:val="83"/>
              <w:shd w:val="clear" w:color="auto" w:fill="FFFFFF"/>
              <w:spacing w:line="360" w:lineRule="exact"/>
              <w:ind w:firstLine="0" w:firstLineChars="0"/>
              <w:rPr>
                <w:rFonts w:ascii="仿宋" w:hAnsi="仿宋" w:eastAsia="仿宋"/>
                <w:bCs/>
                <w:color w:val="auto"/>
                <w:sz w:val="24"/>
                <w:szCs w:val="24"/>
              </w:rPr>
            </w:pPr>
            <w:r>
              <w:rPr>
                <w:rFonts w:hint="eastAsia" w:ascii="仿宋" w:hAnsi="仿宋" w:eastAsia="仿宋"/>
                <w:bCs/>
                <w:color w:val="auto"/>
                <w:sz w:val="24"/>
                <w:szCs w:val="24"/>
              </w:rPr>
              <w:t>④联系电话：</w:t>
            </w:r>
            <w:r>
              <w:rPr>
                <w:rFonts w:hint="eastAsia" w:ascii="仿宋" w:hAnsi="仿宋" w:eastAsia="仿宋" w:cs="宋体"/>
                <w:color w:val="auto"/>
                <w:sz w:val="24"/>
              </w:rPr>
              <w:t>0991-5221699</w:t>
            </w:r>
          </w:p>
          <w:p>
            <w:pPr>
              <w:pStyle w:val="83"/>
              <w:shd w:val="clear" w:color="auto" w:fill="FFFFFF"/>
              <w:spacing w:line="360" w:lineRule="exact"/>
              <w:ind w:firstLine="0" w:firstLineChars="0"/>
              <w:rPr>
                <w:rFonts w:ascii="仿宋" w:hAnsi="仿宋" w:eastAsia="仿宋" w:cs="Times New Roman"/>
                <w:bCs/>
                <w:color w:val="auto"/>
                <w:kern w:val="0"/>
                <w:sz w:val="24"/>
                <w:szCs w:val="24"/>
              </w:rPr>
            </w:pPr>
            <w:r>
              <w:rPr>
                <w:rFonts w:hint="eastAsia" w:ascii="仿宋" w:hAnsi="仿宋" w:eastAsia="仿宋"/>
                <w:bCs/>
                <w:color w:val="auto"/>
                <w:sz w:val="24"/>
                <w:szCs w:val="24"/>
              </w:rPr>
              <w:t xml:space="preserve">⑤通讯地址：新疆乌鲁木齐市沙依巴克区长江路76号兴乐世贸广场29楼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14</w:t>
            </w: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履约保证金</w:t>
            </w:r>
          </w:p>
        </w:tc>
        <w:tc>
          <w:tcPr>
            <w:tcW w:w="7218" w:type="dxa"/>
            <w:vAlign w:val="center"/>
          </w:tcPr>
          <w:p>
            <w:pPr>
              <w:spacing w:line="360" w:lineRule="exact"/>
              <w:rPr>
                <w:rFonts w:ascii="仿宋" w:hAnsi="仿宋" w:eastAsia="仿宋"/>
                <w:color w:val="auto"/>
                <w:sz w:val="24"/>
              </w:rPr>
            </w:pPr>
            <w:r>
              <w:rPr>
                <w:rFonts w:hint="eastAsia" w:ascii="仿宋" w:hAnsi="仿宋" w:eastAsia="仿宋"/>
                <w:color w:val="auto"/>
                <w:sz w:val="24"/>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12" w:type="dxa"/>
            <w:vMerge w:val="restart"/>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15</w:t>
            </w: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交货期及完工期</w:t>
            </w:r>
            <w:r>
              <w:rPr>
                <w:rFonts w:hint="eastAsia" w:ascii="仿宋" w:hAnsi="仿宋" w:eastAsia="仿宋"/>
                <w:b/>
                <w:bCs/>
                <w:color w:val="auto"/>
                <w:sz w:val="24"/>
              </w:rPr>
              <w:t>（实质性条款）</w:t>
            </w:r>
          </w:p>
        </w:tc>
        <w:tc>
          <w:tcPr>
            <w:tcW w:w="7218" w:type="dxa"/>
            <w:vAlign w:val="center"/>
          </w:tcPr>
          <w:p>
            <w:pPr>
              <w:spacing w:line="360" w:lineRule="exact"/>
              <w:rPr>
                <w:rFonts w:ascii="仿宋" w:hAnsi="仿宋" w:eastAsia="仿宋" w:cs="Calibri"/>
                <w:b/>
                <w:bCs/>
                <w:color w:val="auto"/>
                <w:sz w:val="24"/>
              </w:rPr>
            </w:pPr>
            <w:r>
              <w:rPr>
                <w:rFonts w:hint="eastAsia" w:ascii="仿宋" w:hAnsi="仿宋" w:eastAsia="仿宋" w:cs="Calibri"/>
                <w:color w:val="auto"/>
                <w:sz w:val="24"/>
              </w:rPr>
              <w:t>合同签订生效后30个日历日内全部货到买方指定地点，10日内完成全部实施工作。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color w:val="auto"/>
                <w:kern w:val="0"/>
                <w:sz w:val="24"/>
              </w:rPr>
            </w:pPr>
          </w:p>
        </w:tc>
        <w:tc>
          <w:tcPr>
            <w:tcW w:w="1993" w:type="dxa"/>
            <w:vAlign w:val="center"/>
          </w:tcPr>
          <w:p>
            <w:pPr>
              <w:pStyle w:val="83"/>
              <w:shd w:val="clear" w:color="auto" w:fill="FFFFFF"/>
              <w:spacing w:line="360" w:lineRule="exact"/>
              <w:ind w:firstLine="0" w:firstLineChars="0"/>
              <w:jc w:val="center"/>
              <w:rPr>
                <w:rFonts w:ascii="仿宋" w:hAnsi="仿宋" w:eastAsia="仿宋" w:cs="Calibri"/>
                <w:bCs/>
                <w:color w:val="auto"/>
                <w:kern w:val="0"/>
                <w:sz w:val="24"/>
                <w:szCs w:val="24"/>
              </w:rPr>
            </w:pPr>
            <w:r>
              <w:rPr>
                <w:rFonts w:hint="eastAsia" w:ascii="仿宋" w:hAnsi="仿宋" w:eastAsia="仿宋" w:cs="Calibri"/>
                <w:bCs/>
                <w:color w:val="auto"/>
                <w:kern w:val="0"/>
                <w:sz w:val="24"/>
                <w:szCs w:val="24"/>
              </w:rPr>
              <w:t>交货地点</w:t>
            </w:r>
          </w:p>
          <w:p>
            <w:pPr>
              <w:pStyle w:val="83"/>
              <w:shd w:val="clear" w:color="auto" w:fill="FFFFFF"/>
              <w:spacing w:line="360" w:lineRule="exact"/>
              <w:ind w:firstLine="0" w:firstLineChars="0"/>
              <w:jc w:val="center"/>
              <w:rPr>
                <w:rFonts w:ascii="仿宋" w:hAnsi="仿宋" w:eastAsia="仿宋" w:cs="Calibri"/>
                <w:bCs/>
                <w:color w:val="auto"/>
                <w:kern w:val="0"/>
                <w:sz w:val="24"/>
                <w:szCs w:val="24"/>
              </w:rPr>
            </w:pPr>
            <w:r>
              <w:rPr>
                <w:rFonts w:hint="eastAsia" w:ascii="仿宋" w:hAnsi="仿宋" w:eastAsia="仿宋"/>
                <w:b/>
                <w:bCs/>
                <w:color w:val="auto"/>
                <w:sz w:val="24"/>
                <w:szCs w:val="24"/>
              </w:rPr>
              <w:t>（实质性条款）</w:t>
            </w:r>
          </w:p>
        </w:tc>
        <w:tc>
          <w:tcPr>
            <w:tcW w:w="7218" w:type="dxa"/>
            <w:vAlign w:val="center"/>
          </w:tcPr>
          <w:p>
            <w:pPr>
              <w:pStyle w:val="83"/>
              <w:shd w:val="clear" w:color="auto" w:fill="FFFFFF"/>
              <w:spacing w:line="360" w:lineRule="exact"/>
              <w:ind w:firstLine="0" w:firstLineChars="0"/>
              <w:rPr>
                <w:rFonts w:ascii="仿宋" w:hAnsi="仿宋" w:eastAsia="仿宋" w:cs="Calibri"/>
                <w:bCs/>
                <w:color w:val="auto"/>
                <w:kern w:val="0"/>
                <w:sz w:val="24"/>
                <w:szCs w:val="24"/>
              </w:rPr>
            </w:pPr>
            <w:r>
              <w:rPr>
                <w:rFonts w:hint="eastAsia" w:ascii="仿宋" w:hAnsi="仿宋" w:eastAsia="仿宋" w:cs="Arial"/>
                <w:color w:val="auto"/>
                <w:sz w:val="24"/>
              </w:rPr>
              <w:t>库尔勒市妇幼保健计划生育服务中心（库尔勒市妇幼保健院）（具体为买方指定院内地点）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16</w:t>
            </w:r>
          </w:p>
        </w:tc>
        <w:tc>
          <w:tcPr>
            <w:tcW w:w="1993" w:type="dxa"/>
            <w:vAlign w:val="center"/>
          </w:tcPr>
          <w:p>
            <w:pPr>
              <w:pStyle w:val="83"/>
              <w:shd w:val="clear" w:color="auto" w:fill="FFFFFF"/>
              <w:spacing w:line="360" w:lineRule="exact"/>
              <w:ind w:firstLine="0" w:firstLineChars="0"/>
              <w:jc w:val="center"/>
              <w:rPr>
                <w:rFonts w:ascii="仿宋" w:hAnsi="仿宋" w:eastAsia="仿宋" w:cs="Calibri"/>
                <w:bCs/>
                <w:color w:val="auto"/>
                <w:kern w:val="0"/>
                <w:sz w:val="24"/>
                <w:szCs w:val="24"/>
              </w:rPr>
            </w:pPr>
            <w:r>
              <w:rPr>
                <w:rFonts w:hint="eastAsia" w:ascii="仿宋" w:hAnsi="仿宋" w:eastAsia="仿宋" w:cs="Calibri"/>
                <w:bCs/>
                <w:color w:val="auto"/>
                <w:kern w:val="0"/>
                <w:sz w:val="24"/>
                <w:szCs w:val="24"/>
              </w:rPr>
              <w:t>付款方式</w:t>
            </w:r>
          </w:p>
          <w:p>
            <w:pPr>
              <w:pStyle w:val="83"/>
              <w:shd w:val="clear" w:color="auto" w:fill="FFFFFF"/>
              <w:spacing w:line="360" w:lineRule="exact"/>
              <w:ind w:firstLine="0" w:firstLineChars="0"/>
              <w:jc w:val="center"/>
              <w:rPr>
                <w:rFonts w:ascii="仿宋" w:hAnsi="仿宋" w:eastAsia="仿宋" w:cs="Calibri"/>
                <w:bCs/>
                <w:color w:val="auto"/>
                <w:kern w:val="0"/>
                <w:sz w:val="24"/>
                <w:szCs w:val="24"/>
              </w:rPr>
            </w:pPr>
            <w:r>
              <w:rPr>
                <w:rFonts w:hint="eastAsia" w:ascii="仿宋" w:hAnsi="仿宋" w:eastAsia="仿宋"/>
                <w:b/>
                <w:bCs/>
                <w:color w:val="auto"/>
                <w:sz w:val="24"/>
                <w:szCs w:val="24"/>
              </w:rPr>
              <w:t>（实质性条款）</w:t>
            </w:r>
          </w:p>
        </w:tc>
        <w:tc>
          <w:tcPr>
            <w:tcW w:w="7218" w:type="dxa"/>
            <w:vAlign w:val="center"/>
          </w:tcPr>
          <w:p>
            <w:pPr>
              <w:pStyle w:val="304"/>
              <w:snapToGrid w:val="0"/>
              <w:spacing w:line="400" w:lineRule="exact"/>
              <w:rPr>
                <w:rFonts w:ascii="仿宋" w:hAnsi="仿宋" w:eastAsia="仿宋"/>
                <w:color w:val="auto"/>
                <w:sz w:val="24"/>
              </w:rPr>
            </w:pPr>
            <w:r>
              <w:rPr>
                <w:rFonts w:hint="eastAsia" w:ascii="仿宋" w:hAnsi="仿宋" w:eastAsia="仿宋"/>
                <w:color w:val="auto"/>
                <w:sz w:val="24"/>
              </w:rPr>
              <w:t>1、合同签订全部货到甲方指定地点，乙方向甲方提供真实合法有效的全额发票，甲方收到发票后支付合同总价的30%；</w:t>
            </w:r>
          </w:p>
          <w:p>
            <w:pPr>
              <w:pStyle w:val="304"/>
              <w:snapToGrid w:val="0"/>
              <w:spacing w:line="400" w:lineRule="exact"/>
              <w:rPr>
                <w:rFonts w:ascii="仿宋" w:hAnsi="仿宋" w:eastAsia="仿宋"/>
                <w:color w:val="auto"/>
                <w:sz w:val="24"/>
              </w:rPr>
            </w:pPr>
            <w:r>
              <w:rPr>
                <w:rFonts w:hint="eastAsia" w:ascii="仿宋" w:hAnsi="仿宋" w:eastAsia="仿宋"/>
                <w:color w:val="auto"/>
                <w:sz w:val="24"/>
              </w:rPr>
              <w:t>2、项目完工并最终验收合格交付使用正常运行满5日，支付合同总价的55%；</w:t>
            </w:r>
          </w:p>
          <w:p>
            <w:pPr>
              <w:pStyle w:val="304"/>
              <w:snapToGrid w:val="0"/>
              <w:spacing w:line="400" w:lineRule="exact"/>
              <w:rPr>
                <w:rFonts w:ascii="仿宋" w:hAnsi="仿宋" w:eastAsia="仿宋"/>
                <w:color w:val="auto"/>
                <w:sz w:val="24"/>
              </w:rPr>
            </w:pPr>
            <w:r>
              <w:rPr>
                <w:rFonts w:hint="eastAsia" w:ascii="仿宋" w:hAnsi="仿宋" w:eastAsia="仿宋"/>
                <w:color w:val="auto"/>
                <w:sz w:val="24"/>
              </w:rPr>
              <w:t>3、项目验收满1年，支付合同总价的5%；</w:t>
            </w:r>
          </w:p>
          <w:p>
            <w:pPr>
              <w:pStyle w:val="304"/>
              <w:snapToGrid w:val="0"/>
              <w:spacing w:line="400" w:lineRule="exact"/>
              <w:rPr>
                <w:rFonts w:ascii="仿宋" w:hAnsi="仿宋" w:eastAsia="仿宋"/>
                <w:color w:val="auto"/>
                <w:sz w:val="24"/>
              </w:rPr>
            </w:pPr>
            <w:r>
              <w:rPr>
                <w:rFonts w:hint="eastAsia" w:ascii="仿宋" w:hAnsi="仿宋" w:eastAsia="仿宋"/>
                <w:color w:val="auto"/>
                <w:sz w:val="24"/>
              </w:rPr>
              <w:t>4、项目验收满2年，支付合同总价的5%；</w:t>
            </w:r>
          </w:p>
          <w:p>
            <w:pPr>
              <w:pStyle w:val="304"/>
              <w:snapToGrid w:val="0"/>
              <w:spacing w:line="400" w:lineRule="exact"/>
              <w:rPr>
                <w:rFonts w:ascii="仿宋" w:hAnsi="仿宋" w:eastAsia="仿宋"/>
                <w:color w:val="auto"/>
                <w:sz w:val="24"/>
              </w:rPr>
            </w:pPr>
            <w:r>
              <w:rPr>
                <w:rFonts w:hint="eastAsia" w:ascii="仿宋" w:hAnsi="仿宋" w:eastAsia="仿宋"/>
                <w:color w:val="auto"/>
                <w:sz w:val="24"/>
              </w:rPr>
              <w:t>5、项目验收满3年，支付合同总价的5%。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74"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17</w:t>
            </w:r>
          </w:p>
        </w:tc>
        <w:tc>
          <w:tcPr>
            <w:tcW w:w="1993" w:type="dxa"/>
            <w:vAlign w:val="center"/>
          </w:tcPr>
          <w:p>
            <w:pPr>
              <w:shd w:val="clear" w:color="auto" w:fill="FFFFFF"/>
              <w:autoSpaceDE w:val="0"/>
              <w:autoSpaceDN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保修期</w:t>
            </w:r>
            <w:r>
              <w:rPr>
                <w:rFonts w:hint="eastAsia" w:ascii="仿宋" w:hAnsi="仿宋" w:eastAsia="仿宋"/>
                <w:b/>
                <w:bCs/>
                <w:color w:val="auto"/>
                <w:sz w:val="24"/>
              </w:rPr>
              <w:t>（实质性条款）</w:t>
            </w:r>
          </w:p>
        </w:tc>
        <w:tc>
          <w:tcPr>
            <w:tcW w:w="7218" w:type="dxa"/>
            <w:vAlign w:val="center"/>
          </w:tcPr>
          <w:p>
            <w:pPr>
              <w:pStyle w:val="83"/>
              <w:shd w:val="clear" w:color="auto" w:fill="FFFFFF"/>
              <w:spacing w:line="360" w:lineRule="exact"/>
              <w:ind w:firstLine="0" w:firstLineChars="0"/>
              <w:rPr>
                <w:rFonts w:ascii="仿宋" w:hAnsi="仿宋" w:eastAsia="仿宋"/>
                <w:color w:val="auto"/>
                <w:sz w:val="24"/>
              </w:rPr>
            </w:pPr>
            <w:r>
              <w:rPr>
                <w:rFonts w:hint="eastAsia" w:ascii="仿宋" w:hAnsi="仿宋" w:eastAsia="仿宋"/>
                <w:color w:val="auto"/>
                <w:sz w:val="24"/>
              </w:rPr>
              <w:t>提供</w:t>
            </w:r>
            <w:r>
              <w:rPr>
                <w:rFonts w:ascii="Arial" w:hAnsi="Arial" w:eastAsia="仿宋" w:cs="Arial"/>
                <w:color w:val="auto"/>
                <w:sz w:val="24"/>
              </w:rPr>
              <w:t>≥</w:t>
            </w:r>
            <w:r>
              <w:rPr>
                <w:rFonts w:hint="eastAsia" w:ascii="仿宋" w:hAnsi="仿宋" w:eastAsia="仿宋"/>
                <w:color w:val="auto"/>
                <w:sz w:val="24"/>
              </w:rPr>
              <w:t>3年原厂质保服务，保修期自全部产品到货且系统最终验收合格之日起计算。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18</w:t>
            </w:r>
          </w:p>
        </w:tc>
        <w:tc>
          <w:tcPr>
            <w:tcW w:w="1993" w:type="dxa"/>
            <w:vAlign w:val="center"/>
          </w:tcPr>
          <w:p>
            <w:pPr>
              <w:shd w:val="clear" w:color="auto" w:fill="FFFFFF"/>
              <w:autoSpaceDE w:val="0"/>
              <w:autoSpaceDN w:val="0"/>
              <w:spacing w:line="360" w:lineRule="exact"/>
              <w:ind w:firstLine="240" w:firstLineChars="100"/>
              <w:rPr>
                <w:rFonts w:ascii="仿宋" w:hAnsi="仿宋" w:eastAsia="仿宋"/>
                <w:bCs/>
                <w:color w:val="auto"/>
                <w:kern w:val="0"/>
                <w:sz w:val="24"/>
              </w:rPr>
            </w:pPr>
            <w:r>
              <w:rPr>
                <w:rFonts w:hint="eastAsia" w:ascii="仿宋" w:hAnsi="仿宋" w:eastAsia="仿宋" w:cs="宋体"/>
                <w:color w:val="auto"/>
                <w:kern w:val="1"/>
                <w:sz w:val="24"/>
              </w:rPr>
              <w:t>政府采购政策</w:t>
            </w:r>
          </w:p>
        </w:tc>
        <w:tc>
          <w:tcPr>
            <w:tcW w:w="7218" w:type="dxa"/>
            <w:vAlign w:val="center"/>
          </w:tcPr>
          <w:p>
            <w:pPr>
              <w:shd w:val="clear" w:color="auto" w:fill="FFFFFF"/>
              <w:spacing w:line="360" w:lineRule="exact"/>
              <w:rPr>
                <w:rFonts w:ascii="仿宋" w:hAnsi="仿宋" w:eastAsia="仿宋"/>
                <w:b/>
                <w:color w:val="auto"/>
                <w:kern w:val="0"/>
                <w:sz w:val="24"/>
                <w:szCs w:val="20"/>
              </w:rPr>
            </w:pPr>
            <w:r>
              <w:rPr>
                <w:rFonts w:hint="eastAsia" w:ascii="仿宋" w:hAnsi="仿宋" w:eastAsia="仿宋"/>
                <w:b/>
                <w:color w:val="auto"/>
                <w:kern w:val="0"/>
                <w:sz w:val="24"/>
                <w:szCs w:val="20"/>
              </w:rPr>
              <w:t>18.1本项目不专门面向中小企业采购。</w:t>
            </w:r>
          </w:p>
          <w:p>
            <w:pPr>
              <w:shd w:val="clear" w:color="auto" w:fill="FFFFFF"/>
              <w:spacing w:line="360" w:lineRule="exact"/>
              <w:rPr>
                <w:rFonts w:ascii="仿宋" w:hAnsi="仿宋" w:eastAsia="仿宋"/>
                <w:color w:val="auto"/>
                <w:kern w:val="0"/>
                <w:sz w:val="24"/>
                <w:szCs w:val="20"/>
              </w:rPr>
            </w:pPr>
            <w:r>
              <w:rPr>
                <w:rFonts w:hint="eastAsia" w:ascii="仿宋" w:hAnsi="仿宋" w:eastAsia="仿宋"/>
                <w:color w:val="auto"/>
                <w:kern w:val="0"/>
                <w:sz w:val="24"/>
                <w:szCs w:val="20"/>
              </w:rPr>
              <w:t>18.2根据工信部等部委发布的《关于印发中小企业划型标准规定的通知》（工信部联企业〔2011〕300号）、财政部、工业和信息化部《政府采购促进中小企业发展管理办法 》（财库[2020]46号文）规定，</w:t>
            </w:r>
            <w:r>
              <w:rPr>
                <w:rFonts w:hint="eastAsia" w:ascii="仿宋" w:hAnsi="仿宋" w:eastAsia="仿宋"/>
                <w:b/>
                <w:color w:val="auto"/>
                <w:kern w:val="0"/>
                <w:sz w:val="24"/>
                <w:szCs w:val="20"/>
              </w:rPr>
              <w:t>本次采购标的所属行业为</w:t>
            </w:r>
            <w:r>
              <w:rPr>
                <w:rFonts w:hint="eastAsia" w:ascii="仿宋" w:hAnsi="仿宋" w:eastAsia="仿宋"/>
                <w:b/>
                <w:color w:val="auto"/>
                <w:kern w:val="0"/>
                <w:sz w:val="24"/>
                <w:szCs w:val="20"/>
                <w:u w:val="single"/>
              </w:rPr>
              <w:t>工业制造业</w:t>
            </w:r>
            <w:r>
              <w:rPr>
                <w:rFonts w:hint="eastAsia" w:ascii="仿宋" w:hAnsi="仿宋" w:eastAsia="仿宋"/>
                <w:b/>
                <w:color w:val="auto"/>
                <w:kern w:val="0"/>
                <w:sz w:val="24"/>
                <w:szCs w:val="20"/>
              </w:rPr>
              <w:t>。</w:t>
            </w:r>
          </w:p>
          <w:p>
            <w:pPr>
              <w:shd w:val="clear" w:color="auto" w:fill="FFFFFF"/>
              <w:spacing w:line="360" w:lineRule="exact"/>
              <w:rPr>
                <w:rFonts w:ascii="仿宋" w:hAnsi="仿宋" w:eastAsia="仿宋"/>
                <w:color w:val="auto"/>
                <w:kern w:val="0"/>
                <w:sz w:val="24"/>
                <w:szCs w:val="20"/>
              </w:rPr>
            </w:pPr>
            <w:r>
              <w:rPr>
                <w:rFonts w:hint="eastAsia" w:ascii="仿宋" w:hAnsi="仿宋" w:eastAsia="仿宋"/>
                <w:color w:val="auto"/>
                <w:kern w:val="0"/>
                <w:sz w:val="24"/>
                <w:szCs w:val="20"/>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hd w:val="clear" w:color="auto" w:fill="FFFFFF"/>
              <w:spacing w:line="360" w:lineRule="exact"/>
              <w:rPr>
                <w:rFonts w:ascii="仿宋" w:hAnsi="仿宋" w:eastAsia="仿宋"/>
                <w:color w:val="auto"/>
                <w:kern w:val="0"/>
                <w:sz w:val="24"/>
                <w:szCs w:val="20"/>
              </w:rPr>
            </w:pPr>
            <w:r>
              <w:rPr>
                <w:rFonts w:hint="eastAsia" w:ascii="仿宋" w:hAnsi="仿宋" w:eastAsia="仿宋"/>
                <w:color w:val="auto"/>
                <w:kern w:val="0"/>
                <w:sz w:val="24"/>
                <w:szCs w:val="20"/>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pPr>
              <w:shd w:val="clear" w:color="auto" w:fill="FFFFFF"/>
              <w:spacing w:line="360" w:lineRule="exact"/>
              <w:rPr>
                <w:rFonts w:ascii="仿宋" w:hAnsi="仿宋" w:eastAsia="仿宋"/>
                <w:color w:val="auto"/>
                <w:kern w:val="0"/>
                <w:sz w:val="24"/>
                <w:szCs w:val="20"/>
              </w:rPr>
            </w:pPr>
            <w:r>
              <w:rPr>
                <w:rFonts w:hint="eastAsia" w:ascii="仿宋" w:hAnsi="仿宋" w:eastAsia="仿宋"/>
                <w:color w:val="auto"/>
                <w:kern w:val="0"/>
                <w:sz w:val="24"/>
                <w:szCs w:val="20"/>
              </w:rPr>
              <w:t>（3）对满足以上（1）（2）两项条件并按照本文件第五章规定格式提供《中小企业声明函》（须内容填写完整）的小微企业的投标总报价给予</w:t>
            </w:r>
            <w:r>
              <w:rPr>
                <w:rFonts w:hint="eastAsia" w:ascii="仿宋" w:hAnsi="仿宋" w:eastAsia="仿宋"/>
                <w:b/>
                <w:color w:val="auto"/>
                <w:kern w:val="0"/>
                <w:sz w:val="24"/>
                <w:szCs w:val="20"/>
              </w:rPr>
              <w:t xml:space="preserve"> 10 %</w:t>
            </w:r>
            <w:r>
              <w:rPr>
                <w:rFonts w:hint="eastAsia" w:ascii="仿宋" w:hAnsi="仿宋" w:eastAsia="仿宋"/>
                <w:color w:val="auto"/>
                <w:kern w:val="0"/>
                <w:sz w:val="24"/>
                <w:szCs w:val="20"/>
              </w:rPr>
              <w:t>的扣除，用扣除后的价格参与评审。</w:t>
            </w:r>
          </w:p>
          <w:p>
            <w:pPr>
              <w:shd w:val="clear" w:color="auto" w:fill="FFFFFF"/>
              <w:spacing w:line="360" w:lineRule="exact"/>
              <w:rPr>
                <w:rFonts w:ascii="仿宋" w:hAnsi="仿宋" w:eastAsia="仿宋"/>
                <w:color w:val="auto"/>
                <w:kern w:val="0"/>
                <w:sz w:val="24"/>
                <w:szCs w:val="20"/>
              </w:rPr>
            </w:pPr>
            <w:r>
              <w:rPr>
                <w:rFonts w:hint="eastAsia" w:ascii="仿宋" w:hAnsi="仿宋" w:eastAsia="仿宋"/>
                <w:color w:val="auto"/>
                <w:kern w:val="0"/>
                <w:sz w:val="24"/>
                <w:szCs w:val="20"/>
              </w:rPr>
              <w:t>（4）依据本办法规定享受扶持政策获得政府采购合同的，小微企业不得将合同分包给大中型企业，中型企业不得将合同分包给大型企业。</w:t>
            </w:r>
          </w:p>
          <w:p>
            <w:pPr>
              <w:shd w:val="clear" w:color="auto" w:fill="FFFFFF"/>
              <w:spacing w:line="360" w:lineRule="exact"/>
              <w:rPr>
                <w:rFonts w:ascii="仿宋" w:hAnsi="仿宋" w:eastAsia="仿宋"/>
                <w:color w:val="auto"/>
                <w:kern w:val="0"/>
                <w:sz w:val="24"/>
                <w:szCs w:val="20"/>
              </w:rPr>
            </w:pPr>
            <w:r>
              <w:rPr>
                <w:rFonts w:hint="eastAsia" w:ascii="仿宋" w:hAnsi="仿宋" w:eastAsia="仿宋"/>
                <w:color w:val="auto"/>
                <w:kern w:val="0"/>
                <w:sz w:val="24"/>
                <w:szCs w:val="20"/>
              </w:rPr>
              <w:t>（5）提供由省级以上监狱管理局、戒毒管理局（含新疆生产建设兵团）出具的属于监狱企业证明文件（扫描件）的，视同为小型和微型企业。</w:t>
            </w:r>
          </w:p>
          <w:p>
            <w:pPr>
              <w:shd w:val="clear" w:color="auto" w:fill="FFFFFF"/>
              <w:spacing w:line="360" w:lineRule="exact"/>
              <w:rPr>
                <w:rFonts w:ascii="仿宋" w:hAnsi="仿宋" w:eastAsia="仿宋"/>
                <w:color w:val="auto"/>
                <w:kern w:val="0"/>
                <w:sz w:val="24"/>
                <w:szCs w:val="20"/>
              </w:rPr>
            </w:pPr>
            <w:r>
              <w:rPr>
                <w:rFonts w:hint="eastAsia" w:ascii="仿宋" w:hAnsi="仿宋" w:eastAsia="仿宋"/>
                <w:color w:val="auto"/>
                <w:kern w:val="0"/>
                <w:sz w:val="24"/>
                <w:szCs w:val="20"/>
              </w:rPr>
              <w:t>（6）符合享受政府采购支持政策的残疾人福利性单位条件且提供《残疾人福利性单位声明函》的，视同为小型和微型企业。</w:t>
            </w:r>
          </w:p>
          <w:p>
            <w:pPr>
              <w:shd w:val="clear" w:color="auto" w:fill="FFFFFF"/>
              <w:spacing w:line="360" w:lineRule="exact"/>
              <w:rPr>
                <w:rFonts w:ascii="仿宋" w:hAnsi="仿宋" w:eastAsia="仿宋"/>
                <w:color w:val="auto"/>
                <w:kern w:val="0"/>
                <w:sz w:val="24"/>
                <w:szCs w:val="20"/>
              </w:rPr>
            </w:pPr>
            <w:r>
              <w:rPr>
                <w:rFonts w:hint="eastAsia" w:ascii="仿宋" w:hAnsi="仿宋" w:eastAsia="仿宋"/>
                <w:color w:val="auto"/>
                <w:kern w:val="0"/>
                <w:sz w:val="24"/>
                <w:szCs w:val="20"/>
              </w:rPr>
              <w:t>18.3节能、环境标志产品评审优惠内容及加分幅度：</w:t>
            </w:r>
          </w:p>
          <w:p>
            <w:pPr>
              <w:shd w:val="clear" w:color="auto" w:fill="FFFFFF"/>
              <w:spacing w:line="360" w:lineRule="exact"/>
              <w:rPr>
                <w:rFonts w:ascii="仿宋" w:hAnsi="仿宋" w:eastAsia="仿宋"/>
                <w:color w:val="auto"/>
                <w:kern w:val="0"/>
                <w:sz w:val="24"/>
                <w:szCs w:val="20"/>
              </w:rPr>
            </w:pPr>
            <w:r>
              <w:rPr>
                <w:rFonts w:hint="eastAsia" w:ascii="仿宋" w:hAnsi="仿宋" w:eastAsia="仿宋"/>
                <w:color w:val="auto"/>
                <w:kern w:val="0"/>
                <w:sz w:val="24"/>
                <w:szCs w:val="20"/>
              </w:rPr>
              <w:t>严格执行《财政部 发展改革委 生态环境部 市场监管总局关于调整优化节能产品、环境标志产品政府采购执行机制的通知》（财库〔2019〕9 号）。</w:t>
            </w:r>
          </w:p>
          <w:p>
            <w:pPr>
              <w:shd w:val="clear" w:color="auto" w:fill="FFFFFF"/>
              <w:spacing w:line="360" w:lineRule="exact"/>
              <w:rPr>
                <w:rFonts w:ascii="仿宋" w:hAnsi="仿宋" w:eastAsia="仿宋"/>
                <w:color w:val="auto"/>
                <w:kern w:val="0"/>
                <w:sz w:val="24"/>
                <w:szCs w:val="20"/>
              </w:rPr>
            </w:pPr>
            <w:r>
              <w:rPr>
                <w:rFonts w:hint="eastAsia" w:ascii="仿宋" w:hAnsi="仿宋" w:eastAsia="仿宋"/>
                <w:color w:val="auto"/>
                <w:kern w:val="0"/>
                <w:sz w:val="24"/>
                <w:szCs w:val="20"/>
              </w:rPr>
              <w:t>（1）本次采购产品属于政府强制采购产品类别的，须按照要求提供依据国家确定的认证机构出具的、处于有效期之内的节能产品认证证书，</w:t>
            </w:r>
            <w:r>
              <w:rPr>
                <w:rFonts w:hint="eastAsia" w:ascii="仿宋" w:hAnsi="仿宋" w:eastAsia="仿宋"/>
                <w:b/>
                <w:color w:val="auto"/>
                <w:kern w:val="0"/>
                <w:sz w:val="24"/>
                <w:szCs w:val="20"/>
              </w:rPr>
              <w:t>否则投标无效</w:t>
            </w:r>
            <w:r>
              <w:rPr>
                <w:rFonts w:hint="eastAsia" w:ascii="仿宋" w:hAnsi="仿宋" w:eastAsia="仿宋"/>
                <w:color w:val="auto"/>
                <w:kern w:val="0"/>
                <w:sz w:val="24"/>
                <w:szCs w:val="20"/>
              </w:rPr>
              <w:t>。</w:t>
            </w:r>
          </w:p>
          <w:p>
            <w:pPr>
              <w:pStyle w:val="83"/>
              <w:shd w:val="clear" w:color="auto" w:fill="FFFFFF"/>
              <w:spacing w:line="360" w:lineRule="exact"/>
              <w:ind w:firstLine="0" w:firstLineChars="0"/>
              <w:rPr>
                <w:rFonts w:ascii="仿宋" w:hAnsi="仿宋" w:eastAsia="仿宋" w:cs="宋体"/>
                <w:color w:val="auto"/>
                <w:kern w:val="1"/>
                <w:sz w:val="24"/>
              </w:rPr>
            </w:pPr>
            <w:r>
              <w:rPr>
                <w:rFonts w:hint="eastAsia" w:ascii="仿宋" w:hAnsi="仿宋" w:eastAsia="仿宋"/>
                <w:color w:val="auto"/>
                <w:kern w:val="0"/>
                <w:sz w:val="24"/>
                <w:szCs w:val="20"/>
              </w:rPr>
              <w:t>（2）属于政府优先采购产品类别的，须按照要求提供依据国家确定的认证机构出具的、处于有效期之内的节能产品或环境标志产品认证证书，否则不予认定。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19</w:t>
            </w:r>
          </w:p>
        </w:tc>
        <w:tc>
          <w:tcPr>
            <w:tcW w:w="1993" w:type="dxa"/>
            <w:vAlign w:val="center"/>
          </w:tcPr>
          <w:p>
            <w:pPr>
              <w:spacing w:line="360" w:lineRule="exact"/>
              <w:rPr>
                <w:rFonts w:ascii="仿宋" w:hAnsi="仿宋" w:eastAsia="仿宋" w:cs="宋体"/>
                <w:color w:val="auto"/>
                <w:kern w:val="1"/>
                <w:sz w:val="24"/>
              </w:rPr>
            </w:pPr>
            <w:r>
              <w:rPr>
                <w:rFonts w:hint="eastAsia" w:ascii="仿宋" w:hAnsi="仿宋" w:eastAsia="仿宋" w:cs="宋体"/>
                <w:color w:val="auto"/>
                <w:kern w:val="1"/>
                <w:sz w:val="24"/>
              </w:rPr>
              <w:t>其他说明</w:t>
            </w:r>
          </w:p>
        </w:tc>
        <w:tc>
          <w:tcPr>
            <w:tcW w:w="7218" w:type="dxa"/>
            <w:vAlign w:val="center"/>
          </w:tcPr>
          <w:p>
            <w:pPr>
              <w:spacing w:line="360" w:lineRule="exact"/>
              <w:rPr>
                <w:rFonts w:ascii="仿宋" w:hAnsi="仿宋" w:eastAsia="仿宋" w:cs="宋体"/>
                <w:color w:val="auto"/>
                <w:kern w:val="1"/>
                <w:sz w:val="24"/>
              </w:rPr>
            </w:pPr>
            <w:r>
              <w:rPr>
                <w:rFonts w:hint="eastAsia" w:ascii="仿宋" w:hAnsi="仿宋" w:eastAsia="仿宋" w:cs="宋体"/>
                <w:color w:val="auto"/>
                <w:kern w:val="1"/>
                <w:sz w:val="24"/>
              </w:rPr>
              <w:t>19.1.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spacing w:line="360" w:lineRule="exact"/>
              <w:rPr>
                <w:rFonts w:ascii="仿宋" w:hAnsi="仿宋" w:eastAsia="仿宋" w:cs="宋体"/>
                <w:b/>
                <w:color w:val="auto"/>
                <w:kern w:val="1"/>
                <w:sz w:val="24"/>
              </w:rPr>
            </w:pPr>
            <w:r>
              <w:rPr>
                <w:rFonts w:hint="eastAsia" w:ascii="仿宋" w:hAnsi="仿宋" w:eastAsia="仿宋" w:cs="宋体"/>
                <w:color w:val="auto"/>
                <w:kern w:val="1"/>
                <w:sz w:val="24"/>
              </w:rPr>
              <w:t>19.2.非单一产品采购项目，采购人应当根据采购项目技术构成、产品价格比重等合理确定核心产品，并在招标文件中载明。多家供应商提供的核心产品品牌相同的，按前款规定处理。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20</w:t>
            </w:r>
          </w:p>
        </w:tc>
        <w:tc>
          <w:tcPr>
            <w:tcW w:w="1993" w:type="dxa"/>
            <w:vAlign w:val="center"/>
          </w:tcPr>
          <w:p>
            <w:pPr>
              <w:pStyle w:val="650"/>
              <w:spacing w:line="420" w:lineRule="exact"/>
              <w:jc w:val="both"/>
              <w:rPr>
                <w:rFonts w:ascii="仿宋" w:hAnsi="仿宋" w:eastAsia="仿宋"/>
                <w:color w:val="auto"/>
                <w:kern w:val="2"/>
              </w:rPr>
            </w:pPr>
            <w:r>
              <w:rPr>
                <w:rFonts w:hint="eastAsia" w:ascii="仿宋" w:hAnsi="仿宋" w:eastAsia="仿宋" w:cs="宋体"/>
                <w:color w:val="auto"/>
                <w:spacing w:val="-16"/>
                <w:kern w:val="24"/>
              </w:rPr>
              <w:t>招标代理服务费</w:t>
            </w:r>
          </w:p>
        </w:tc>
        <w:tc>
          <w:tcPr>
            <w:tcW w:w="7218" w:type="dxa"/>
            <w:vAlign w:val="center"/>
          </w:tcPr>
          <w:p>
            <w:pPr>
              <w:pStyle w:val="728"/>
              <w:spacing w:line="340" w:lineRule="exact"/>
              <w:rPr>
                <w:rFonts w:ascii="仿宋" w:hAnsi="仿宋" w:eastAsia="仿宋"/>
                <w:color w:val="auto"/>
                <w:kern w:val="0"/>
                <w:sz w:val="24"/>
                <w:szCs w:val="24"/>
              </w:rPr>
            </w:pPr>
            <w:r>
              <w:rPr>
                <w:rFonts w:hint="eastAsia" w:ascii="仿宋" w:hAnsi="仿宋" w:eastAsia="仿宋"/>
                <w:color w:val="auto"/>
                <w:sz w:val="24"/>
                <w:szCs w:val="24"/>
              </w:rPr>
              <w:t>交纳时间：</w:t>
            </w:r>
            <w:bookmarkStart w:id="0" w:name="EB38aee35c8bb7443381a66f9cccb3a2a3"/>
            <w:bookmarkEnd w:id="0"/>
            <w:r>
              <w:rPr>
                <w:rFonts w:hint="eastAsia" w:ascii="仿宋" w:hAnsi="仿宋" w:eastAsia="仿宋" w:cs="宋体"/>
                <w:color w:val="auto"/>
                <w:kern w:val="0"/>
                <w:sz w:val="24"/>
                <w:szCs w:val="24"/>
              </w:rPr>
              <w:t>中标单位在《中标通知书》核发前一次性交纳。</w:t>
            </w:r>
          </w:p>
          <w:p>
            <w:pPr>
              <w:pStyle w:val="728"/>
              <w:spacing w:line="340" w:lineRule="exact"/>
              <w:rPr>
                <w:rFonts w:ascii="仿宋" w:hAnsi="仿宋" w:eastAsia="仿宋" w:cs="宋体"/>
                <w:color w:val="auto"/>
                <w:kern w:val="0"/>
                <w:sz w:val="24"/>
                <w:szCs w:val="24"/>
              </w:rPr>
            </w:pPr>
            <w:r>
              <w:rPr>
                <w:rFonts w:hint="eastAsia" w:ascii="仿宋" w:hAnsi="仿宋" w:eastAsia="仿宋"/>
                <w:color w:val="auto"/>
                <w:kern w:val="0"/>
                <w:sz w:val="24"/>
                <w:szCs w:val="24"/>
              </w:rPr>
              <w:t>交纳金额：</w:t>
            </w:r>
            <w:bookmarkStart w:id="1" w:name="EB2141701fe45e43ecb43361d4713eb39b"/>
            <w:bookmarkEnd w:id="1"/>
            <w:r>
              <w:rPr>
                <w:rFonts w:hint="eastAsia" w:ascii="仿宋" w:hAnsi="仿宋" w:eastAsia="仿宋" w:cs="宋体"/>
                <w:color w:val="auto"/>
                <w:kern w:val="0"/>
                <w:sz w:val="24"/>
                <w:szCs w:val="24"/>
              </w:rPr>
              <w:t>参照【2022】1980号文件执行。</w:t>
            </w:r>
          </w:p>
          <w:p>
            <w:pPr>
              <w:pStyle w:val="728"/>
              <w:spacing w:line="340" w:lineRule="exact"/>
              <w:rPr>
                <w:rFonts w:ascii="仿宋" w:hAnsi="仿宋" w:eastAsia="仿宋"/>
                <w:color w:val="auto"/>
                <w:kern w:val="0"/>
                <w:sz w:val="24"/>
                <w:szCs w:val="24"/>
              </w:rPr>
            </w:pPr>
            <w:r>
              <w:rPr>
                <w:rFonts w:hint="eastAsia" w:ascii="仿宋" w:hAnsi="仿宋" w:eastAsia="仿宋"/>
                <w:bCs/>
                <w:color w:val="auto"/>
                <w:sz w:val="24"/>
                <w:szCs w:val="24"/>
              </w:rPr>
              <w:t>账户名称：新疆品创项目管理咨询有限公司</w:t>
            </w:r>
          </w:p>
          <w:p>
            <w:pPr>
              <w:pStyle w:val="83"/>
              <w:shd w:val="clear" w:color="auto" w:fill="FFFFFF"/>
              <w:spacing w:line="340" w:lineRule="exact"/>
              <w:ind w:firstLine="0" w:firstLineChars="0"/>
              <w:rPr>
                <w:rFonts w:ascii="仿宋" w:hAnsi="仿宋" w:eastAsia="仿宋"/>
                <w:bCs/>
                <w:color w:val="auto"/>
                <w:sz w:val="24"/>
                <w:szCs w:val="24"/>
              </w:rPr>
            </w:pPr>
            <w:r>
              <w:rPr>
                <w:rFonts w:hint="eastAsia" w:ascii="仿宋" w:hAnsi="仿宋" w:eastAsia="仿宋"/>
                <w:bCs/>
                <w:color w:val="auto"/>
                <w:sz w:val="24"/>
                <w:szCs w:val="24"/>
              </w:rPr>
              <w:t>开户银行：中国银行股份有限公司乌鲁木齐市安居南路支行</w:t>
            </w:r>
          </w:p>
          <w:p>
            <w:pPr>
              <w:pStyle w:val="83"/>
              <w:shd w:val="clear" w:color="auto" w:fill="FFFFFF"/>
              <w:spacing w:line="340" w:lineRule="exact"/>
              <w:ind w:firstLine="0" w:firstLineChars="0"/>
              <w:rPr>
                <w:rFonts w:ascii="仿宋" w:hAnsi="仿宋" w:eastAsia="仿宋"/>
                <w:bCs/>
                <w:color w:val="auto"/>
                <w:sz w:val="24"/>
                <w:szCs w:val="24"/>
              </w:rPr>
            </w:pPr>
            <w:r>
              <w:rPr>
                <w:rFonts w:hint="eastAsia" w:ascii="仿宋" w:hAnsi="仿宋" w:eastAsia="仿宋"/>
                <w:bCs/>
                <w:color w:val="auto"/>
                <w:sz w:val="24"/>
                <w:szCs w:val="24"/>
              </w:rPr>
              <w:t>账号：107685372797</w:t>
            </w:r>
          </w:p>
          <w:p>
            <w:pPr>
              <w:pStyle w:val="650"/>
              <w:spacing w:line="420" w:lineRule="exact"/>
              <w:jc w:val="both"/>
              <w:rPr>
                <w:rFonts w:ascii="仿宋" w:hAnsi="仿宋" w:eastAsia="仿宋"/>
                <w:color w:val="auto"/>
                <w:kern w:val="2"/>
              </w:rPr>
            </w:pPr>
            <w:r>
              <w:rPr>
                <w:rFonts w:hint="eastAsia" w:ascii="仿宋" w:hAnsi="仿宋" w:eastAsia="仿宋"/>
                <w:bCs/>
                <w:color w:val="auto"/>
              </w:rPr>
              <w:t>行号：104881005046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auto"/>
                <w:kern w:val="0"/>
                <w:sz w:val="24"/>
              </w:rPr>
            </w:pPr>
            <w:r>
              <w:rPr>
                <w:rFonts w:hint="eastAsia" w:ascii="仿宋" w:hAnsi="仿宋" w:eastAsia="仿宋"/>
                <w:color w:val="auto"/>
                <w:kern w:val="0"/>
                <w:sz w:val="24"/>
              </w:rPr>
              <w:t>21</w:t>
            </w:r>
          </w:p>
        </w:tc>
        <w:tc>
          <w:tcPr>
            <w:tcW w:w="9211" w:type="dxa"/>
            <w:gridSpan w:val="2"/>
            <w:vAlign w:val="center"/>
          </w:tcPr>
          <w:p>
            <w:pPr>
              <w:pStyle w:val="650"/>
              <w:spacing w:line="420" w:lineRule="exact"/>
              <w:jc w:val="both"/>
              <w:rPr>
                <w:rFonts w:ascii="仿宋" w:hAnsi="仿宋" w:eastAsia="仿宋" w:cs="宋体"/>
                <w:b/>
                <w:color w:val="auto"/>
                <w:kern w:val="1"/>
              </w:rPr>
            </w:pPr>
            <w:r>
              <w:rPr>
                <w:rFonts w:hint="eastAsia" w:ascii="仿宋" w:hAnsi="仿宋" w:eastAsia="仿宋" w:cs="宋体"/>
                <w:color w:val="auto"/>
                <w:kern w:val="1"/>
              </w:rPr>
              <w:t>在评标过程直至签订合同前的任何时间，如经证实发现供应商提供虚假投标资料(包括技术支持资料)或信息骗取中标的，或者未按本招标文件要求提交履约保证金的（如有要求），将取消其中标资格，没收其投标保证金，并报主管部门备案。</w:t>
            </w:r>
          </w:p>
        </w:tc>
      </w:tr>
    </w:tbl>
    <w:p>
      <w:pPr>
        <w:widowControl/>
        <w:jc w:val="left"/>
        <w:rPr>
          <w:rFonts w:ascii="仿宋" w:hAnsi="仿宋" w:eastAsia="仿宋"/>
          <w:b/>
          <w:bCs/>
          <w:color w:val="auto"/>
          <w:kern w:val="0"/>
          <w:sz w:val="28"/>
          <w:szCs w:val="28"/>
        </w:rPr>
      </w:pPr>
      <w:r>
        <w:rPr>
          <w:rFonts w:ascii="仿宋" w:hAnsi="仿宋" w:eastAsia="仿宋"/>
          <w:b/>
          <w:bCs/>
          <w:color w:val="auto"/>
          <w:kern w:val="0"/>
          <w:sz w:val="28"/>
          <w:szCs w:val="28"/>
        </w:rPr>
        <w:br w:type="page"/>
      </w:r>
    </w:p>
    <w:p>
      <w:pPr>
        <w:shd w:val="clear" w:color="auto" w:fill="FFFFFF"/>
        <w:autoSpaceDE w:val="0"/>
        <w:autoSpaceDN w:val="0"/>
        <w:adjustRightInd w:val="0"/>
        <w:spacing w:line="440" w:lineRule="exact"/>
        <w:jc w:val="center"/>
        <w:rPr>
          <w:rFonts w:ascii="仿宋" w:hAnsi="仿宋" w:eastAsia="仿宋"/>
          <w:b/>
          <w:bCs/>
          <w:color w:val="auto"/>
          <w:kern w:val="0"/>
          <w:sz w:val="28"/>
          <w:szCs w:val="28"/>
        </w:rPr>
      </w:pPr>
      <w:r>
        <w:rPr>
          <w:rFonts w:hint="eastAsia" w:ascii="仿宋" w:hAnsi="仿宋" w:eastAsia="仿宋"/>
          <w:b/>
          <w:bCs/>
          <w:color w:val="auto"/>
          <w:kern w:val="0"/>
          <w:sz w:val="28"/>
          <w:szCs w:val="28"/>
        </w:rPr>
        <w:t>二、投标须知</w:t>
      </w:r>
    </w:p>
    <w:p>
      <w:pPr>
        <w:shd w:val="clear" w:color="auto" w:fill="FFFFFF"/>
        <w:spacing w:line="420" w:lineRule="exact"/>
        <w:ind w:firstLine="480" w:firstLineChars="200"/>
        <w:rPr>
          <w:rFonts w:ascii="仿宋" w:hAnsi="仿宋" w:eastAsia="仿宋"/>
          <w:color w:val="auto"/>
          <w:sz w:val="24"/>
        </w:rPr>
      </w:pPr>
      <w:bookmarkStart w:id="2" w:name="_Hlk519798821"/>
      <w:bookmarkStart w:id="3" w:name="_Hlk519799218"/>
      <w:r>
        <w:rPr>
          <w:rFonts w:hint="eastAsia" w:ascii="仿宋" w:hAnsi="仿宋" w:eastAsia="仿宋"/>
          <w:color w:val="auto"/>
          <w:sz w:val="24"/>
        </w:rPr>
        <w:t>（一）总则</w:t>
      </w:r>
    </w:p>
    <w:p>
      <w:pPr>
        <w:shd w:val="clear" w:color="auto" w:fill="FFFFFF"/>
        <w:spacing w:line="420" w:lineRule="exact"/>
        <w:ind w:firstLine="482" w:firstLineChars="200"/>
        <w:rPr>
          <w:rFonts w:ascii="仿宋" w:hAnsi="仿宋" w:eastAsia="仿宋"/>
          <w:b/>
          <w:color w:val="auto"/>
          <w:sz w:val="24"/>
        </w:rPr>
      </w:pPr>
      <w:r>
        <w:rPr>
          <w:rFonts w:hint="eastAsia" w:ascii="仿宋" w:hAnsi="仿宋" w:eastAsia="仿宋"/>
          <w:b/>
          <w:color w:val="auto"/>
          <w:sz w:val="24"/>
        </w:rPr>
        <w:t>1. 项目说明</w:t>
      </w:r>
    </w:p>
    <w:p>
      <w:pPr>
        <w:shd w:val="clear" w:color="auto" w:fill="FFFFFF"/>
        <w:spacing w:line="420" w:lineRule="exact"/>
        <w:ind w:firstLine="480" w:firstLineChars="200"/>
        <w:rPr>
          <w:rFonts w:ascii="仿宋" w:hAnsi="仿宋" w:eastAsia="仿宋"/>
          <w:color w:val="auto"/>
          <w:sz w:val="24"/>
        </w:rPr>
      </w:pPr>
      <w:r>
        <w:rPr>
          <w:rFonts w:hint="eastAsia" w:ascii="仿宋" w:hAnsi="仿宋" w:eastAsia="仿宋"/>
          <w:color w:val="auto"/>
          <w:sz w:val="24"/>
        </w:rPr>
        <w:t>1.1 本项目概况详见投标须知前附表（以下简称“前附表”）第1项所述。</w:t>
      </w:r>
    </w:p>
    <w:p>
      <w:pPr>
        <w:shd w:val="clear" w:color="auto" w:fill="FFFFFF"/>
        <w:spacing w:line="420" w:lineRule="exact"/>
        <w:ind w:firstLine="480" w:firstLineChars="200"/>
        <w:rPr>
          <w:rFonts w:ascii="仿宋" w:hAnsi="仿宋" w:eastAsia="仿宋"/>
          <w:color w:val="auto"/>
          <w:sz w:val="24"/>
        </w:rPr>
      </w:pPr>
      <w:r>
        <w:rPr>
          <w:rFonts w:hint="eastAsia" w:ascii="仿宋" w:hAnsi="仿宋" w:eastAsia="仿宋"/>
          <w:color w:val="auto"/>
          <w:sz w:val="24"/>
        </w:rPr>
        <w:t>1.2本招标项目已经批准，已具备招标条件，现对该项目组织进行公开招标。</w:t>
      </w:r>
    </w:p>
    <w:p>
      <w:pPr>
        <w:shd w:val="clear" w:color="auto" w:fill="FFFFFF"/>
        <w:spacing w:line="420" w:lineRule="exact"/>
        <w:ind w:firstLine="480" w:firstLineChars="200"/>
        <w:rPr>
          <w:rFonts w:ascii="仿宋" w:hAnsi="仿宋" w:eastAsia="仿宋"/>
          <w:color w:val="auto"/>
          <w:sz w:val="24"/>
        </w:rPr>
      </w:pPr>
      <w:r>
        <w:rPr>
          <w:rFonts w:hint="eastAsia" w:ascii="仿宋" w:hAnsi="仿宋" w:eastAsia="仿宋"/>
          <w:color w:val="auto"/>
          <w:kern w:val="0"/>
          <w:sz w:val="24"/>
        </w:rPr>
        <w:t>1.3</w:t>
      </w:r>
      <w:r>
        <w:rPr>
          <w:rFonts w:hint="eastAsia" w:ascii="仿宋" w:hAnsi="仿宋" w:eastAsia="仿宋"/>
          <w:color w:val="auto"/>
          <w:sz w:val="24"/>
        </w:rPr>
        <w:t>本招标项目供应商的资格审查采取资格后审方式。本次招标不接受联合体投标、不接受备选方案。</w:t>
      </w:r>
    </w:p>
    <w:p>
      <w:pPr>
        <w:shd w:val="clear" w:color="auto" w:fill="FFFFFF"/>
        <w:spacing w:line="420" w:lineRule="exact"/>
        <w:ind w:firstLine="480" w:firstLineChars="200"/>
        <w:rPr>
          <w:rFonts w:ascii="仿宋" w:hAnsi="仿宋" w:eastAsia="仿宋"/>
          <w:color w:val="auto"/>
          <w:sz w:val="24"/>
        </w:rPr>
      </w:pPr>
      <w:r>
        <w:rPr>
          <w:rFonts w:hint="eastAsia" w:ascii="仿宋" w:hAnsi="仿宋" w:eastAsia="仿宋"/>
          <w:color w:val="auto"/>
          <w:sz w:val="24"/>
        </w:rPr>
        <w:t>1.4 资格后审包括下列的内容</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1.4.1 供应商应满足“前附表”第4项规定的资格要求 ；</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1.4.2招标文件有要求供应商法定代表人（或负责人）或其授权代表签字或盖章和加盖供应商公章要求的，供应商须按招标文件要求签署；</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1.4.3交货期符合招标文件要求；</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1.4.4交货地点符合招标文件规定；</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1.4.5投标内容、数量、质量、服务等满足招标文件要求；</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1.4.6符合招标文件中规定的其他实质性要求；</w:t>
      </w:r>
    </w:p>
    <w:p>
      <w:pPr>
        <w:shd w:val="clear" w:color="auto" w:fill="FFFFFF"/>
        <w:spacing w:line="420" w:lineRule="exact"/>
        <w:ind w:firstLine="480" w:firstLineChars="200"/>
        <w:rPr>
          <w:rFonts w:ascii="仿宋" w:hAnsi="仿宋" w:eastAsia="仿宋"/>
          <w:color w:val="auto"/>
          <w:sz w:val="24"/>
        </w:rPr>
      </w:pPr>
      <w:r>
        <w:rPr>
          <w:rFonts w:hint="eastAsia" w:ascii="仿宋" w:hAnsi="仿宋" w:eastAsia="仿宋"/>
          <w:color w:val="auto"/>
          <w:kern w:val="0"/>
          <w:sz w:val="24"/>
        </w:rPr>
        <w:t>1.4.7无法律、法规和规章禁止的其他情况。</w:t>
      </w:r>
    </w:p>
    <w:p>
      <w:pPr>
        <w:shd w:val="clear" w:color="auto" w:fill="FFFFFF"/>
        <w:spacing w:line="420" w:lineRule="exact"/>
        <w:ind w:firstLine="482" w:firstLineChars="200"/>
        <w:rPr>
          <w:rFonts w:ascii="仿宋" w:hAnsi="仿宋" w:eastAsia="仿宋"/>
          <w:b/>
          <w:color w:val="auto"/>
          <w:sz w:val="24"/>
        </w:rPr>
      </w:pPr>
      <w:r>
        <w:rPr>
          <w:rFonts w:hint="eastAsia" w:ascii="仿宋" w:hAnsi="仿宋" w:eastAsia="仿宋"/>
          <w:b/>
          <w:color w:val="auto"/>
          <w:sz w:val="24"/>
        </w:rPr>
        <w:t>2. 招标范围</w:t>
      </w:r>
    </w:p>
    <w:p>
      <w:pPr>
        <w:shd w:val="clear" w:color="auto" w:fill="FFFFFF"/>
        <w:spacing w:line="420" w:lineRule="exact"/>
        <w:ind w:firstLine="480" w:firstLineChars="200"/>
        <w:rPr>
          <w:rFonts w:ascii="仿宋" w:hAnsi="仿宋" w:eastAsia="仿宋"/>
          <w:color w:val="auto"/>
          <w:sz w:val="24"/>
        </w:rPr>
      </w:pPr>
      <w:r>
        <w:rPr>
          <w:rFonts w:hint="eastAsia" w:ascii="仿宋" w:hAnsi="仿宋" w:eastAsia="仿宋"/>
          <w:color w:val="auto"/>
          <w:sz w:val="24"/>
        </w:rPr>
        <w:t>2.1本招标项目招标范围</w:t>
      </w:r>
      <w:r>
        <w:rPr>
          <w:rFonts w:hint="eastAsia" w:ascii="仿宋" w:hAnsi="仿宋" w:eastAsia="仿宋"/>
          <w:color w:val="auto"/>
          <w:kern w:val="0"/>
          <w:sz w:val="24"/>
        </w:rPr>
        <w:t>已通过“前附表”第1项</w:t>
      </w:r>
      <w:r>
        <w:rPr>
          <w:rFonts w:hint="eastAsia" w:ascii="仿宋" w:hAnsi="仿宋" w:eastAsia="仿宋"/>
          <w:color w:val="auto"/>
          <w:sz w:val="24"/>
        </w:rPr>
        <w:t>采购内容</w:t>
      </w:r>
      <w:r>
        <w:rPr>
          <w:rFonts w:hint="eastAsia" w:ascii="仿宋" w:hAnsi="仿宋" w:eastAsia="仿宋"/>
          <w:color w:val="auto"/>
          <w:kern w:val="0"/>
          <w:sz w:val="24"/>
        </w:rPr>
        <w:t>所述，</w:t>
      </w:r>
      <w:r>
        <w:rPr>
          <w:rFonts w:hint="eastAsia" w:ascii="仿宋" w:hAnsi="仿宋" w:eastAsia="仿宋"/>
          <w:color w:val="auto"/>
          <w:sz w:val="24"/>
        </w:rPr>
        <w:t>指本项目招标文件中范围内所要求的所有工作内容。</w:t>
      </w:r>
    </w:p>
    <w:p>
      <w:pPr>
        <w:shd w:val="clear" w:color="auto" w:fill="FFFFFF"/>
        <w:spacing w:line="420" w:lineRule="exact"/>
        <w:ind w:firstLine="482" w:firstLineChars="200"/>
        <w:rPr>
          <w:rFonts w:ascii="仿宋" w:hAnsi="仿宋" w:eastAsia="仿宋"/>
          <w:b/>
          <w:color w:val="auto"/>
          <w:sz w:val="24"/>
        </w:rPr>
      </w:pPr>
      <w:r>
        <w:rPr>
          <w:rFonts w:hint="eastAsia" w:ascii="仿宋" w:hAnsi="仿宋" w:eastAsia="仿宋"/>
          <w:b/>
          <w:color w:val="auto"/>
          <w:sz w:val="24"/>
        </w:rPr>
        <w:t>3. 适用法律及约束力</w:t>
      </w:r>
    </w:p>
    <w:p>
      <w:pPr>
        <w:shd w:val="clear" w:color="auto" w:fill="FFFFFF"/>
        <w:spacing w:line="420" w:lineRule="exact"/>
        <w:ind w:firstLine="480" w:firstLineChars="200"/>
        <w:rPr>
          <w:rFonts w:ascii="仿宋" w:hAnsi="仿宋" w:eastAsia="仿宋"/>
          <w:color w:val="auto"/>
          <w:sz w:val="24"/>
        </w:rPr>
      </w:pPr>
      <w:r>
        <w:rPr>
          <w:rFonts w:hint="eastAsia" w:ascii="仿宋" w:hAnsi="仿宋" w:eastAsia="仿宋"/>
          <w:color w:val="auto"/>
          <w:sz w:val="24"/>
        </w:rPr>
        <w:t>3.1 本次招标及由本次招标产生的合同受中华人民共和国的相关法律、法规制约和保护。供应商一旦购买了招标文件并参加本项目，即被认为接受了招标文件中的所有条件和规定。</w:t>
      </w:r>
    </w:p>
    <w:p>
      <w:pPr>
        <w:shd w:val="clear" w:color="auto" w:fill="FFFFFF"/>
        <w:spacing w:line="420" w:lineRule="exact"/>
        <w:ind w:firstLine="480" w:firstLineChars="200"/>
        <w:rPr>
          <w:rFonts w:ascii="仿宋" w:hAnsi="仿宋" w:eastAsia="仿宋"/>
          <w:color w:val="auto"/>
          <w:sz w:val="24"/>
        </w:rPr>
      </w:pPr>
      <w:r>
        <w:rPr>
          <w:rFonts w:hint="eastAsia" w:ascii="仿宋" w:hAnsi="仿宋" w:eastAsia="仿宋"/>
          <w:color w:val="auto"/>
          <w:sz w:val="24"/>
        </w:rPr>
        <w:t>3.2供应商应保证，在中华人民共和国境内使用投标成果、服务或其任何一部分时，不会产生因第三方提出侵犯其专利权或其它知识产权而引起的法律和经济纠纷。</w:t>
      </w:r>
    </w:p>
    <w:p>
      <w:pPr>
        <w:shd w:val="clear" w:color="auto" w:fill="FFFFFF"/>
        <w:spacing w:line="420" w:lineRule="exact"/>
        <w:ind w:firstLine="482" w:firstLineChars="200"/>
        <w:rPr>
          <w:rFonts w:ascii="仿宋" w:hAnsi="仿宋" w:eastAsia="仿宋"/>
          <w:b/>
          <w:color w:val="auto"/>
          <w:sz w:val="24"/>
        </w:rPr>
      </w:pPr>
      <w:r>
        <w:rPr>
          <w:rFonts w:hint="eastAsia" w:ascii="仿宋" w:hAnsi="仿宋" w:eastAsia="仿宋"/>
          <w:b/>
          <w:color w:val="auto"/>
          <w:sz w:val="24"/>
        </w:rPr>
        <w:t>4. 招标项目实施要求</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4.1质量标准已通过“前附表”第3项所述。</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sz w:val="24"/>
        </w:rPr>
        <w:t>4.2 供应商与采购人签订合同后，按照招标文件及合同相关的要求编制现场服务计划。</w:t>
      </w:r>
    </w:p>
    <w:p>
      <w:pPr>
        <w:shd w:val="clear" w:color="auto" w:fill="FFFFFF"/>
        <w:spacing w:line="420" w:lineRule="exact"/>
        <w:ind w:firstLine="482" w:firstLineChars="200"/>
        <w:rPr>
          <w:rFonts w:ascii="仿宋" w:hAnsi="仿宋" w:eastAsia="仿宋"/>
          <w:b/>
          <w:color w:val="auto"/>
          <w:sz w:val="24"/>
        </w:rPr>
      </w:pPr>
      <w:r>
        <w:rPr>
          <w:rFonts w:hint="eastAsia" w:ascii="仿宋" w:hAnsi="仿宋" w:eastAsia="仿宋"/>
          <w:b/>
          <w:color w:val="auto"/>
          <w:sz w:val="24"/>
        </w:rPr>
        <w:t>5. 交货期及交货地点</w:t>
      </w:r>
    </w:p>
    <w:p>
      <w:pPr>
        <w:shd w:val="clear" w:color="auto" w:fill="FFFFFF"/>
        <w:spacing w:line="420" w:lineRule="exact"/>
        <w:ind w:firstLine="480" w:firstLineChars="200"/>
        <w:rPr>
          <w:rFonts w:ascii="仿宋" w:hAnsi="仿宋" w:eastAsia="仿宋"/>
          <w:color w:val="auto"/>
          <w:sz w:val="24"/>
        </w:rPr>
      </w:pPr>
      <w:r>
        <w:rPr>
          <w:rFonts w:hint="eastAsia" w:ascii="仿宋" w:hAnsi="仿宋" w:eastAsia="仿宋"/>
          <w:color w:val="auto"/>
          <w:sz w:val="24"/>
        </w:rPr>
        <w:t>5.1 交货期已</w:t>
      </w:r>
      <w:r>
        <w:rPr>
          <w:rFonts w:hint="eastAsia" w:ascii="仿宋" w:hAnsi="仿宋" w:eastAsia="仿宋"/>
          <w:color w:val="auto"/>
          <w:kern w:val="0"/>
          <w:sz w:val="24"/>
        </w:rPr>
        <w:t>通过“前附表”第15项所述，</w:t>
      </w:r>
      <w:r>
        <w:rPr>
          <w:rFonts w:hint="eastAsia" w:ascii="仿宋" w:hAnsi="仿宋" w:eastAsia="仿宋"/>
          <w:color w:val="auto"/>
          <w:sz w:val="24"/>
        </w:rPr>
        <w:t>是指完成本项目采购内容及配套服务工作、验收合格并移交采购人的时间；交货地点已</w:t>
      </w:r>
      <w:r>
        <w:rPr>
          <w:rFonts w:hint="eastAsia" w:ascii="仿宋" w:hAnsi="仿宋" w:eastAsia="仿宋"/>
          <w:color w:val="auto"/>
          <w:kern w:val="0"/>
          <w:sz w:val="24"/>
        </w:rPr>
        <w:t>通过“前附表”第15项所述</w:t>
      </w:r>
      <w:r>
        <w:rPr>
          <w:rFonts w:hint="eastAsia" w:ascii="仿宋" w:hAnsi="仿宋" w:eastAsia="仿宋"/>
          <w:color w:val="auto"/>
          <w:sz w:val="24"/>
        </w:rPr>
        <w:t>。</w:t>
      </w:r>
    </w:p>
    <w:p>
      <w:pPr>
        <w:shd w:val="clear" w:color="auto" w:fill="FFFFFF"/>
        <w:spacing w:line="42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6. 资金来源</w:t>
      </w:r>
    </w:p>
    <w:p>
      <w:pPr>
        <w:shd w:val="clear" w:color="auto" w:fill="FFFFFF"/>
        <w:spacing w:line="420" w:lineRule="exact"/>
        <w:ind w:firstLine="480" w:firstLineChars="200"/>
        <w:rPr>
          <w:rFonts w:ascii="仿宋" w:hAnsi="仿宋" w:eastAsia="仿宋"/>
          <w:b/>
          <w:bCs/>
          <w:color w:val="auto"/>
          <w:kern w:val="0"/>
          <w:sz w:val="24"/>
        </w:rPr>
      </w:pPr>
      <w:r>
        <w:rPr>
          <w:rFonts w:hint="eastAsia" w:ascii="仿宋" w:hAnsi="仿宋" w:eastAsia="仿宋"/>
          <w:bCs/>
          <w:color w:val="auto"/>
          <w:kern w:val="0"/>
          <w:sz w:val="24"/>
        </w:rPr>
        <w:t>6.1</w:t>
      </w:r>
      <w:r>
        <w:rPr>
          <w:rFonts w:hint="eastAsia" w:ascii="仿宋" w:hAnsi="仿宋" w:eastAsia="仿宋"/>
          <w:color w:val="auto"/>
          <w:kern w:val="0"/>
          <w:sz w:val="24"/>
        </w:rPr>
        <w:t>采购单位的资金通过“前附表”第 1 项所述的方式获得，并将部分资金用于本项目合同下的合格支付。</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7. 供应商资格要求</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供应商资格要求须满足“前附表”第4项要求。</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 xml:space="preserve">8. </w:t>
      </w:r>
      <w:r>
        <w:rPr>
          <w:rFonts w:hint="eastAsia" w:ascii="仿宋" w:hAnsi="仿宋" w:eastAsia="仿宋"/>
          <w:b/>
          <w:bCs/>
          <w:color w:val="auto"/>
          <w:kern w:val="0"/>
          <w:sz w:val="24"/>
        </w:rPr>
        <w:t>投标费用</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供应商应承担其编制投标文件与递交投标文件所涉及的一切费用，不论投标结果如何，采购人或采购代理机构均无义务和责任承担这些费用。</w:t>
      </w:r>
    </w:p>
    <w:p>
      <w:pPr>
        <w:shd w:val="clear" w:color="auto" w:fill="FFFFFF"/>
        <w:spacing w:line="42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9. 授权委托</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9.1 供应商代表为法定代表人</w:t>
      </w:r>
      <w:r>
        <w:rPr>
          <w:rFonts w:hint="eastAsia" w:ascii="仿宋" w:hAnsi="仿宋" w:eastAsia="仿宋"/>
          <w:color w:val="auto"/>
          <w:kern w:val="0"/>
          <w:sz w:val="24"/>
        </w:rPr>
        <w:t>（或负责人）</w:t>
      </w:r>
      <w:r>
        <w:rPr>
          <w:rFonts w:hint="eastAsia" w:ascii="仿宋" w:hAnsi="仿宋" w:eastAsia="仿宋"/>
          <w:bCs/>
          <w:color w:val="auto"/>
          <w:kern w:val="0"/>
          <w:sz w:val="24"/>
        </w:rPr>
        <w:t>的，须持有法定代表人</w:t>
      </w:r>
      <w:r>
        <w:rPr>
          <w:rFonts w:hint="eastAsia" w:ascii="仿宋" w:hAnsi="仿宋" w:eastAsia="仿宋"/>
          <w:color w:val="auto"/>
          <w:kern w:val="0"/>
          <w:sz w:val="24"/>
        </w:rPr>
        <w:t>（或负责人）</w:t>
      </w:r>
      <w:r>
        <w:rPr>
          <w:rFonts w:hint="eastAsia" w:ascii="仿宋" w:hAnsi="仿宋" w:eastAsia="仿宋"/>
          <w:bCs/>
          <w:color w:val="auto"/>
          <w:kern w:val="0"/>
          <w:sz w:val="24"/>
        </w:rPr>
        <w:t>资格证明书和法定代表人</w:t>
      </w:r>
      <w:r>
        <w:rPr>
          <w:rFonts w:hint="eastAsia" w:ascii="仿宋" w:hAnsi="仿宋" w:eastAsia="仿宋"/>
          <w:color w:val="auto"/>
          <w:kern w:val="0"/>
          <w:sz w:val="24"/>
        </w:rPr>
        <w:t>（或负责人）</w:t>
      </w:r>
      <w:r>
        <w:rPr>
          <w:rFonts w:hint="eastAsia" w:ascii="仿宋" w:hAnsi="仿宋" w:eastAsia="仿宋"/>
          <w:bCs/>
          <w:color w:val="auto"/>
          <w:kern w:val="0"/>
          <w:sz w:val="24"/>
        </w:rPr>
        <w:t>身份证；供应商代表不是供应商的法定代表人</w:t>
      </w:r>
      <w:r>
        <w:rPr>
          <w:rFonts w:hint="eastAsia" w:ascii="仿宋" w:hAnsi="仿宋" w:eastAsia="仿宋"/>
          <w:color w:val="auto"/>
          <w:kern w:val="0"/>
          <w:sz w:val="24"/>
        </w:rPr>
        <w:t>（或负责人）</w:t>
      </w:r>
      <w:r>
        <w:rPr>
          <w:rFonts w:hint="eastAsia" w:ascii="仿宋" w:hAnsi="仿宋" w:eastAsia="仿宋"/>
          <w:bCs/>
          <w:color w:val="auto"/>
          <w:kern w:val="0"/>
          <w:sz w:val="24"/>
        </w:rPr>
        <w:t>的，须持有法定代表人</w:t>
      </w:r>
      <w:r>
        <w:rPr>
          <w:rFonts w:hint="eastAsia" w:ascii="仿宋" w:hAnsi="仿宋" w:eastAsia="仿宋"/>
          <w:color w:val="auto"/>
          <w:kern w:val="0"/>
          <w:sz w:val="24"/>
        </w:rPr>
        <w:t>（或负责人）</w:t>
      </w:r>
      <w:r>
        <w:rPr>
          <w:rFonts w:hint="eastAsia" w:ascii="仿宋" w:hAnsi="仿宋" w:eastAsia="仿宋"/>
          <w:bCs/>
          <w:color w:val="auto"/>
          <w:kern w:val="0"/>
          <w:sz w:val="24"/>
        </w:rPr>
        <w:t>授权委托书和授权代表人的本人身份证。</w:t>
      </w:r>
    </w:p>
    <w:p>
      <w:pPr>
        <w:shd w:val="clear" w:color="auto" w:fill="FFFFFF"/>
        <w:spacing w:line="42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10. 联合体投标</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10.1投标须知前附表中接受联合体投标的，供应商可以联合体形式投标，否则联合体投标视为无效投标；接受联合体投标的，除应符合本章第7</w:t>
      </w:r>
      <w:r>
        <w:rPr>
          <w:rFonts w:hint="eastAsia" w:ascii="仿宋" w:hAnsi="仿宋" w:eastAsia="仿宋"/>
          <w:bCs/>
          <w:color w:val="auto"/>
          <w:kern w:val="0"/>
          <w:sz w:val="24"/>
          <w:lang w:val="zh-CN"/>
        </w:rPr>
        <w:t>款</w:t>
      </w:r>
      <w:r>
        <w:rPr>
          <w:rFonts w:hint="eastAsia" w:ascii="仿宋" w:hAnsi="仿宋" w:eastAsia="仿宋"/>
          <w:bCs/>
          <w:color w:val="auto"/>
          <w:kern w:val="0"/>
          <w:sz w:val="24"/>
        </w:rPr>
        <w:t xml:space="preserve">规定外，还应遵守以下规定： </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（l）联合体各方应按招标文件提供的格式签订</w:t>
      </w:r>
      <w:r>
        <w:rPr>
          <w:rFonts w:hint="eastAsia" w:ascii="仿宋" w:hAnsi="仿宋" w:eastAsia="仿宋"/>
          <w:bCs/>
          <w:color w:val="auto"/>
          <w:kern w:val="0"/>
          <w:sz w:val="24"/>
          <w:u w:val="single"/>
        </w:rPr>
        <w:t>联合体协议</w:t>
      </w:r>
      <w:r>
        <w:rPr>
          <w:rFonts w:hint="eastAsia" w:ascii="仿宋" w:hAnsi="仿宋" w:eastAsia="仿宋"/>
          <w:bCs/>
          <w:color w:val="auto"/>
          <w:kern w:val="0"/>
          <w:sz w:val="24"/>
        </w:rPr>
        <w:t>，明确联合体牵头人和各方的权利义务、合同工作量比例；</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（2）联合体各方签订联合体协议书后，不得再单独参加或者与其他供应商组成新的联合体参加同一项目的采购活动。</w:t>
      </w:r>
    </w:p>
    <w:p>
      <w:pPr>
        <w:shd w:val="clear" w:color="auto" w:fill="FFFFFF"/>
        <w:spacing w:line="42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11.信用信息查询</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11.1查询渠道：“信用中国”网站（www.creditchina.gov.cn）、中国政府采购网（</w:t>
      </w:r>
      <w:r>
        <w:rPr>
          <w:color w:val="auto"/>
        </w:rPr>
        <w:fldChar w:fldCharType="begin"/>
      </w:r>
      <w:r>
        <w:rPr>
          <w:color w:val="auto"/>
        </w:rPr>
        <w:instrText xml:space="preserve"> HYPERLINK "http://www.ccgp.gov.cn" </w:instrText>
      </w:r>
      <w:r>
        <w:rPr>
          <w:color w:val="auto"/>
        </w:rPr>
        <w:fldChar w:fldCharType="separate"/>
      </w:r>
      <w:r>
        <w:rPr>
          <w:rStyle w:val="68"/>
          <w:rFonts w:hint="eastAsia" w:ascii="仿宋" w:hAnsi="仿宋" w:eastAsia="仿宋"/>
          <w:bCs/>
          <w:color w:val="auto"/>
          <w:kern w:val="0"/>
          <w:sz w:val="24"/>
        </w:rPr>
        <w:t>www.ccgp.gov.cn</w:t>
      </w:r>
      <w:r>
        <w:rPr>
          <w:rStyle w:val="68"/>
          <w:rFonts w:hint="eastAsia" w:ascii="仿宋" w:hAnsi="仿宋" w:eastAsia="仿宋"/>
          <w:bCs/>
          <w:color w:val="auto"/>
          <w:kern w:val="0"/>
          <w:sz w:val="24"/>
        </w:rPr>
        <w:fldChar w:fldCharType="end"/>
      </w:r>
      <w:r>
        <w:rPr>
          <w:rFonts w:hint="eastAsia" w:ascii="仿宋" w:hAnsi="仿宋" w:eastAsia="仿宋"/>
          <w:bCs/>
          <w:color w:val="auto"/>
          <w:kern w:val="0"/>
          <w:sz w:val="24"/>
        </w:rPr>
        <w:t>）。</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11.2根据《关于在政府采购活动中查询及使用信用记录有关问题的通知》(财库[2016]125号)的规定，对被列入“失信被执行人”、“重大税收违法案件当事人名单”、“政府采购严重违法失信行为记录名单”的供应商，拒绝参与本项目政府采购活动。</w:t>
      </w:r>
    </w:p>
    <w:p>
      <w:pPr>
        <w:shd w:val="clear" w:color="auto" w:fill="FFFFFF"/>
        <w:spacing w:line="420" w:lineRule="exact"/>
        <w:ind w:firstLine="480" w:firstLineChars="200"/>
        <w:rPr>
          <w:rFonts w:ascii="仿宋" w:hAnsi="仿宋" w:eastAsia="仿宋"/>
          <w:color w:val="auto"/>
          <w:sz w:val="24"/>
        </w:rPr>
      </w:pPr>
      <w:r>
        <w:rPr>
          <w:rFonts w:hint="eastAsia" w:ascii="仿宋" w:hAnsi="仿宋" w:eastAsia="仿宋"/>
          <w:bCs/>
          <w:color w:val="auto"/>
          <w:kern w:val="0"/>
          <w:sz w:val="24"/>
        </w:rPr>
        <w:t>11.3</w:t>
      </w:r>
      <w:r>
        <w:rPr>
          <w:rFonts w:hint="eastAsia" w:ascii="仿宋" w:hAnsi="仿宋" w:eastAsia="仿宋" w:cs="宋体"/>
          <w:color w:val="auto"/>
          <w:sz w:val="24"/>
        </w:rPr>
        <w:t>招标代理机构在开标时间后至资格审查结束前通过上述查询渠道进行网上查询，对存在“失信被执行人”、“重大税收违法案件当事人名单”、“政府采购严重违法失信行为记录名单”情形的供应商，资格审查不合格，投标无效，同时其信用信息查询记录作为证据存档。</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color w:val="auto"/>
          <w:sz w:val="24"/>
        </w:rPr>
        <w:t>11.4两个以上的自然人、法人或者其他组织组成一个联合体，以一个供应商的身份共同参加政府采购活动的，将对所有联合体成员进行信用记录查询，联合体成员存在不良信用记录的，视同联合体存在不良信用记录。</w:t>
      </w:r>
    </w:p>
    <w:p>
      <w:pPr>
        <w:shd w:val="clear" w:color="auto" w:fill="FFFFFF"/>
        <w:spacing w:line="42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（二）招标文件</w:t>
      </w:r>
    </w:p>
    <w:p>
      <w:pPr>
        <w:shd w:val="clear" w:color="auto" w:fill="FFFFFF"/>
        <w:spacing w:line="42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12. 招标文件的组成</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12.1 招标文件包括下列内容</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第一章 招标公告</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第二章 投标须知前附表及投标须知</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第三章 合同条款</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第四章 采购需求</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第五章 投标文件格式</w:t>
      </w:r>
    </w:p>
    <w:p>
      <w:pPr>
        <w:shd w:val="clear" w:color="auto" w:fill="FFFFFF"/>
        <w:autoSpaceDE w:val="0"/>
        <w:autoSpaceDN w:val="0"/>
        <w:adjustRightInd w:val="0"/>
        <w:spacing w:line="420" w:lineRule="exact"/>
        <w:ind w:firstLine="480" w:firstLineChars="200"/>
        <w:rPr>
          <w:rFonts w:ascii="仿宋" w:hAnsi="仿宋" w:eastAsia="仿宋"/>
          <w:color w:val="auto"/>
          <w:sz w:val="24"/>
          <w:lang w:val="zh-CN"/>
        </w:rPr>
      </w:pPr>
      <w:r>
        <w:rPr>
          <w:rFonts w:hint="eastAsia" w:ascii="仿宋" w:hAnsi="仿宋" w:eastAsia="仿宋"/>
          <w:color w:val="auto"/>
          <w:sz w:val="24"/>
          <w:lang w:val="zh-CN"/>
        </w:rPr>
        <w:t>12.2</w:t>
      </w:r>
      <w:r>
        <w:rPr>
          <w:rFonts w:hint="eastAsia" w:ascii="仿宋" w:hAnsi="仿宋" w:eastAsia="仿宋"/>
          <w:b/>
          <w:bCs/>
          <w:color w:val="auto"/>
          <w:sz w:val="24"/>
          <w:lang w:val="zh-CN"/>
        </w:rPr>
        <w:t>招标的最小单位是标项。招标文件未分标项的，供应商须对全部招标内容投标，不得部分投标；招标文件分标项的，供应商应当以标项为单位编制并提交投标文件。</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sz w:val="24"/>
          <w:lang w:val="zh-CN"/>
        </w:rPr>
        <w:t>12.3 招标文件如果要求供应商提交备选投标方案的，供应商可以提交备选方案；否则，备选方案将被拒绝。</w:t>
      </w:r>
    </w:p>
    <w:p>
      <w:pPr>
        <w:shd w:val="clear" w:color="auto" w:fill="FFFFFF"/>
        <w:spacing w:line="420" w:lineRule="exact"/>
        <w:ind w:firstLine="480" w:firstLineChars="200"/>
        <w:rPr>
          <w:rFonts w:ascii="仿宋" w:hAnsi="仿宋" w:eastAsia="仿宋"/>
          <w:color w:val="auto"/>
          <w:sz w:val="24"/>
          <w:lang w:val="zh-CN"/>
        </w:rPr>
      </w:pPr>
      <w:r>
        <w:rPr>
          <w:rFonts w:hint="eastAsia" w:ascii="仿宋" w:hAnsi="仿宋" w:eastAsia="仿宋"/>
          <w:color w:val="auto"/>
          <w:sz w:val="24"/>
          <w:lang w:val="zh-CN"/>
        </w:rPr>
        <w:t>12.4 招标文件由本文件及由采购人按招标文件有关规定发出的招标文件补充构成。</w:t>
      </w:r>
    </w:p>
    <w:p>
      <w:pPr>
        <w:shd w:val="clear" w:color="auto" w:fill="FFFFFF"/>
        <w:spacing w:line="420" w:lineRule="exact"/>
        <w:ind w:firstLine="480" w:firstLineChars="200"/>
        <w:rPr>
          <w:rFonts w:ascii="仿宋" w:hAnsi="仿宋" w:eastAsia="仿宋"/>
          <w:color w:val="auto"/>
          <w:sz w:val="24"/>
          <w:lang w:val="zh-CN"/>
        </w:rPr>
      </w:pPr>
      <w:r>
        <w:rPr>
          <w:rFonts w:hint="eastAsia" w:ascii="仿宋" w:hAnsi="仿宋" w:eastAsia="仿宋"/>
          <w:color w:val="auto"/>
          <w:sz w:val="24"/>
          <w:lang w:val="zh-CN"/>
        </w:rPr>
        <w:t>12.5 招标文件的澄清、修改、招标答疑会纪要等书面材料在本招标项目中均称招标文件补充。</w:t>
      </w:r>
    </w:p>
    <w:p>
      <w:pPr>
        <w:shd w:val="clear" w:color="auto" w:fill="FFFFFF"/>
        <w:spacing w:line="420" w:lineRule="exact"/>
        <w:ind w:firstLine="480" w:firstLineChars="200"/>
        <w:rPr>
          <w:rFonts w:ascii="仿宋" w:hAnsi="仿宋" w:eastAsia="仿宋"/>
          <w:color w:val="auto"/>
          <w:sz w:val="24"/>
          <w:lang w:val="zh-CN"/>
        </w:rPr>
      </w:pPr>
      <w:r>
        <w:rPr>
          <w:rFonts w:hint="eastAsia" w:ascii="仿宋" w:hAnsi="仿宋" w:eastAsia="仿宋"/>
          <w:color w:val="auto"/>
          <w:sz w:val="24"/>
          <w:lang w:val="zh-CN"/>
        </w:rPr>
        <w:t>12.6 招标文件补充作为招标文件的组成部分，对供应商起同等约束作用。如果招标文件补充内容与在此招标文件补充发出之前的招标文件等书面材料中相关内容相冲突，请供应商执行招标文件补充的相关内容，先前发出的招标文件等书面材料中相关内容自动废止。</w:t>
      </w:r>
    </w:p>
    <w:p>
      <w:pPr>
        <w:shd w:val="clear" w:color="auto" w:fill="FFFFFF"/>
        <w:spacing w:line="420" w:lineRule="exact"/>
        <w:ind w:firstLine="480" w:firstLineChars="200"/>
        <w:rPr>
          <w:rFonts w:ascii="仿宋" w:hAnsi="仿宋" w:eastAsia="仿宋"/>
          <w:color w:val="auto"/>
          <w:sz w:val="24"/>
          <w:lang w:val="zh-CN"/>
        </w:rPr>
      </w:pPr>
      <w:r>
        <w:rPr>
          <w:rFonts w:hint="eastAsia" w:ascii="仿宋" w:hAnsi="仿宋" w:eastAsia="仿宋"/>
          <w:color w:val="auto"/>
          <w:sz w:val="24"/>
          <w:lang w:val="zh-CN"/>
        </w:rPr>
        <w:t>12.7 供应商应认真审阅和理解招标文件所有内容，尤其注意可能引起“否决投标”、“拒绝”、“投标无效”、“评审不予通过”等的条款，按照招标文件要求编制投标文件。任何对招标文件的忽略或误解不能作为投标文件存在缺陷或瑕疵的理由，其风险由供应商承担。</w:t>
      </w:r>
    </w:p>
    <w:p>
      <w:pPr>
        <w:shd w:val="clear" w:color="auto" w:fill="FFFFFF"/>
        <w:spacing w:line="420" w:lineRule="exact"/>
        <w:ind w:firstLine="482" w:firstLineChars="200"/>
        <w:rPr>
          <w:rFonts w:ascii="仿宋" w:hAnsi="仿宋" w:eastAsia="仿宋"/>
          <w:b/>
          <w:color w:val="auto"/>
          <w:sz w:val="24"/>
          <w:lang w:val="zh-CN"/>
        </w:rPr>
      </w:pPr>
      <w:r>
        <w:rPr>
          <w:rFonts w:hint="eastAsia" w:ascii="仿宋" w:hAnsi="仿宋" w:eastAsia="仿宋"/>
          <w:b/>
          <w:color w:val="auto"/>
          <w:sz w:val="24"/>
          <w:lang w:val="zh-CN"/>
        </w:rPr>
        <w:t>13. 招标文件的获取</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13.1招标文件的提供期限自开始发出之日起不得少于五个工作日，具体期限见招标公告。</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13.2凡符合资格要求并有意参加投标的供应商,均可在</w:t>
      </w:r>
      <w:r>
        <w:rPr>
          <w:rFonts w:hint="eastAsia" w:ascii="仿宋" w:hAnsi="仿宋" w:eastAsia="仿宋"/>
          <w:color w:val="auto"/>
          <w:kern w:val="0"/>
          <w:sz w:val="24"/>
        </w:rPr>
        <w:t>本项目公告发布平台免费获取招标文件。</w:t>
      </w:r>
    </w:p>
    <w:p>
      <w:pPr>
        <w:shd w:val="clear" w:color="auto" w:fill="FFFFFF"/>
        <w:spacing w:line="42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14. 招标文件的澄清或修改</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14.1供应商若对招标文件有任何疑问，应当在获取招标文件或者招标文件公告期限届满之日起7个工作日内提出。本项目接受对招标文件质疑的截止时间见“前附表”第13项，供应商须在截止时间前一次性提出对招标文件质疑内容。供应商提出质疑应当提交质疑函和必要的证明材料。质疑函应当包括下列内容：</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14.1.1供应商的姓名或者名称、地址、邮编、联系人及联系电话；</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14.1.2质疑项目的名称、编号；</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14.1.3具体、明确的质疑事项和与质疑事项相关的请求；</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14.1.4事实依据；</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14.1.5必要的法律依据；</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14.1.6提出质疑的日期。</w:t>
      </w:r>
    </w:p>
    <w:p>
      <w:pPr>
        <w:shd w:val="clear" w:color="auto" w:fill="FFFFFF"/>
        <w:spacing w:line="420" w:lineRule="exact"/>
        <w:ind w:firstLine="480" w:firstLineChars="200"/>
        <w:rPr>
          <w:rFonts w:ascii="仿宋" w:hAnsi="仿宋" w:eastAsia="仿宋"/>
          <w:color w:val="auto"/>
          <w:sz w:val="24"/>
          <w:lang w:val="zh-CN"/>
        </w:rPr>
      </w:pPr>
      <w:r>
        <w:rPr>
          <w:rFonts w:hint="eastAsia" w:ascii="仿宋" w:hAnsi="仿宋" w:eastAsia="仿宋"/>
          <w:color w:val="auto"/>
          <w:sz w:val="24"/>
          <w:lang w:val="zh-CN"/>
        </w:rPr>
        <w:t>供应商为自然人的，应当由本人签字；供应商为法人或者其他组织的，应当由法定代表人、主要负责人，或者其授权代表签字或者盖章，并加盖投标单位公章。</w:t>
      </w:r>
    </w:p>
    <w:p>
      <w:pPr>
        <w:shd w:val="clear" w:color="auto" w:fill="FFFFFF"/>
        <w:spacing w:line="420" w:lineRule="exact"/>
        <w:ind w:firstLine="480" w:firstLineChars="200"/>
        <w:rPr>
          <w:rFonts w:ascii="仿宋" w:hAnsi="仿宋" w:eastAsia="仿宋"/>
          <w:color w:val="auto"/>
          <w:sz w:val="24"/>
          <w:lang w:val="zh-CN"/>
        </w:rPr>
      </w:pPr>
      <w:r>
        <w:rPr>
          <w:rFonts w:hint="eastAsia" w:ascii="仿宋" w:hAnsi="仿宋" w:eastAsia="仿宋"/>
          <w:color w:val="auto"/>
          <w:sz w:val="24"/>
          <w:lang w:val="zh-CN"/>
        </w:rPr>
        <w:t>14.2采购人可以对已发出的招标文件进行必要澄清或者修改，澄清或者修改的内容可能影响投标文件编制的，采购人或者采购代理机构应当在投标截止时间至少15日前，以发布公告或书面形式通知所有获取招标文件的潜在投标人；不足15日的，采购人或者采购代理机构应当顺延提交投标文件的截止时间。</w:t>
      </w:r>
    </w:p>
    <w:p>
      <w:pPr>
        <w:shd w:val="clear" w:color="auto" w:fill="FFFFFF"/>
        <w:spacing w:line="420" w:lineRule="exact"/>
        <w:ind w:firstLine="480" w:firstLineChars="200"/>
        <w:rPr>
          <w:rFonts w:ascii="仿宋" w:hAnsi="仿宋" w:eastAsia="仿宋"/>
          <w:color w:val="auto"/>
          <w:sz w:val="24"/>
          <w:lang w:val="zh-CN"/>
        </w:rPr>
      </w:pPr>
      <w:r>
        <w:rPr>
          <w:rFonts w:hint="eastAsia" w:ascii="仿宋" w:hAnsi="仿宋" w:eastAsia="仿宋"/>
          <w:color w:val="auto"/>
          <w:sz w:val="24"/>
          <w:lang w:val="zh-CN"/>
        </w:rPr>
        <w:t>14.3投标文件递交截止时间前，供应商须随时关注本项目招标公告发布网站上本项目的最新的变更公告、更正公告、澄清公告等相关信息，并对上述查看行为自行承担责任；供应商对索取书面修改或者澄清文件或者查阅电子修改或者澄清文件的行为自行承担责任，在投标截止时间后递交的投标文件视为无效投标文件。</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15. 投标报价</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15.1 本招标项目使用的货币为</w:t>
      </w:r>
      <w:r>
        <w:rPr>
          <w:rFonts w:hint="eastAsia" w:ascii="仿宋" w:hAnsi="仿宋" w:eastAsia="仿宋"/>
          <w:color w:val="auto"/>
          <w:kern w:val="0"/>
          <w:sz w:val="24"/>
          <w:u w:val="single"/>
        </w:rPr>
        <w:t xml:space="preserve"> 人民币 </w:t>
      </w:r>
      <w:r>
        <w:rPr>
          <w:rFonts w:hint="eastAsia" w:ascii="仿宋" w:hAnsi="仿宋" w:eastAsia="仿宋"/>
          <w:color w:val="auto"/>
          <w:kern w:val="0"/>
          <w:sz w:val="24"/>
        </w:rPr>
        <w:t>，实施时亦以</w:t>
      </w:r>
      <w:r>
        <w:rPr>
          <w:rFonts w:hint="eastAsia" w:ascii="仿宋" w:hAnsi="仿宋" w:eastAsia="仿宋"/>
          <w:color w:val="auto"/>
          <w:kern w:val="0"/>
          <w:sz w:val="24"/>
          <w:u w:val="single"/>
        </w:rPr>
        <w:t xml:space="preserve"> 人民币 </w:t>
      </w:r>
      <w:r>
        <w:rPr>
          <w:rFonts w:hint="eastAsia" w:ascii="仿宋" w:hAnsi="仿宋" w:eastAsia="仿宋"/>
          <w:color w:val="auto"/>
          <w:kern w:val="0"/>
          <w:sz w:val="24"/>
        </w:rPr>
        <w:t>支付。</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15.2 投标报价为本招标文件所确定的招标范围内的全部工作内容的价格体现。任何有选择的报价将不予接受（除非采购人另有约定），否则，在评标时将视为投标无效。</w:t>
      </w:r>
    </w:p>
    <w:p>
      <w:pPr>
        <w:shd w:val="clear" w:color="auto" w:fill="FFFFFF"/>
        <w:adjustRightInd w:val="0"/>
        <w:snapToGrid w:val="0"/>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15.3</w:t>
      </w:r>
      <w:r>
        <w:rPr>
          <w:rFonts w:ascii="仿宋" w:hAnsi="仿宋" w:eastAsia="仿宋"/>
          <w:color w:val="auto"/>
          <w:kern w:val="0"/>
          <w:sz w:val="24"/>
        </w:rPr>
        <w:t>所有投标报价均以人民币元为计算单位。只要投报了一个确定数额的总价，无论分项价格是否全部填报了相应的金额或免费字样，报价应被视为已经包含了但并不限于各项购买货物、服务等的费用和所需缴纳的所有税、费等。在其他情况下，由于分项报价填报不完整、不清楚或存在其他任何失误，所导致的任何不利后果均应当由投标人自行承担。</w:t>
      </w:r>
    </w:p>
    <w:p>
      <w:pPr>
        <w:shd w:val="clear" w:color="auto" w:fill="FFFFFF"/>
        <w:adjustRightInd w:val="0"/>
        <w:snapToGrid w:val="0"/>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15.4供应商应按本文件给定的格式填报《开标一览表》及《分项报价明细表》，《开标一览表》</w:t>
      </w:r>
      <w:r>
        <w:rPr>
          <w:rFonts w:ascii="仿宋" w:hAnsi="仿宋" w:eastAsia="仿宋"/>
          <w:color w:val="auto"/>
          <w:kern w:val="0"/>
          <w:sz w:val="24"/>
        </w:rPr>
        <w:t>中价格填报处不应有空白，如无费用可填报“/”</w:t>
      </w:r>
      <w:r>
        <w:rPr>
          <w:rFonts w:hint="eastAsia" w:ascii="仿宋" w:hAnsi="仿宋" w:eastAsia="仿宋"/>
          <w:color w:val="auto"/>
          <w:kern w:val="0"/>
          <w:sz w:val="24"/>
        </w:rPr>
        <w:t>。</w:t>
      </w:r>
    </w:p>
    <w:p>
      <w:pPr>
        <w:shd w:val="clear" w:color="auto" w:fill="FFFFFF"/>
        <w:adjustRightInd w:val="0"/>
        <w:snapToGrid w:val="0"/>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15.5供应商</w:t>
      </w:r>
      <w:r>
        <w:rPr>
          <w:rFonts w:ascii="仿宋" w:hAnsi="仿宋" w:eastAsia="仿宋"/>
          <w:color w:val="auto"/>
          <w:kern w:val="0"/>
          <w:sz w:val="24"/>
        </w:rPr>
        <w:t>对投标报价若有说明应在</w:t>
      </w:r>
      <w:r>
        <w:rPr>
          <w:rFonts w:hint="eastAsia" w:ascii="仿宋" w:hAnsi="仿宋" w:eastAsia="仿宋"/>
          <w:color w:val="auto"/>
          <w:kern w:val="0"/>
          <w:sz w:val="24"/>
        </w:rPr>
        <w:t>《开标一览表》</w:t>
      </w:r>
      <w:r>
        <w:rPr>
          <w:rFonts w:ascii="仿宋" w:hAnsi="仿宋" w:eastAsia="仿宋"/>
          <w:color w:val="auto"/>
          <w:kern w:val="0"/>
          <w:sz w:val="24"/>
        </w:rPr>
        <w:t>显著处注明，只有开标时唱出的报价和优惠才会在评标时予以考虑。报价优惠应对应</w:t>
      </w:r>
      <w:r>
        <w:rPr>
          <w:rFonts w:hint="eastAsia" w:ascii="仿宋" w:hAnsi="仿宋" w:eastAsia="仿宋"/>
          <w:color w:val="auto"/>
          <w:kern w:val="0"/>
          <w:sz w:val="24"/>
        </w:rPr>
        <w:t>《开标一览表》及《分项报价明细表》</w:t>
      </w:r>
      <w:r>
        <w:rPr>
          <w:rFonts w:ascii="仿宋" w:hAnsi="仿宋" w:eastAsia="仿宋"/>
          <w:color w:val="auto"/>
          <w:kern w:val="0"/>
          <w:sz w:val="24"/>
        </w:rPr>
        <w:t>提供相应的明细清单。除报价优惠外，任何超出招标文件要求而额外赠送的货物、免费培训等其他形式的优惠，</w:t>
      </w:r>
      <w:r>
        <w:rPr>
          <w:rFonts w:hint="eastAsia" w:ascii="仿宋" w:hAnsi="仿宋" w:eastAsia="仿宋"/>
          <w:color w:val="auto"/>
          <w:kern w:val="0"/>
          <w:sz w:val="24"/>
        </w:rPr>
        <w:t>将不被允许并不予接受</w:t>
      </w:r>
      <w:r>
        <w:rPr>
          <w:rFonts w:ascii="仿宋" w:hAnsi="仿宋" w:eastAsia="仿宋"/>
          <w:color w:val="auto"/>
          <w:kern w:val="0"/>
          <w:sz w:val="24"/>
        </w:rPr>
        <w:t>。</w:t>
      </w:r>
    </w:p>
    <w:p>
      <w:pPr>
        <w:shd w:val="clear" w:color="auto" w:fill="FFFFFF"/>
        <w:adjustRightInd w:val="0"/>
        <w:snapToGrid w:val="0"/>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15.6</w:t>
      </w:r>
      <w:r>
        <w:rPr>
          <w:rFonts w:ascii="仿宋" w:hAnsi="仿宋" w:eastAsia="仿宋"/>
          <w:color w:val="auto"/>
          <w:kern w:val="0"/>
          <w:sz w:val="24"/>
        </w:rPr>
        <w:t>对于有配件、耗材、选件和特殊工具的货物，还应填报投标货物配件、耗材、选件表和备件及特殊工具清单，注明品牌、型号、产地、功能、单价等内容，如招标文件未提供相关格式的，应由投标人自行</w:t>
      </w:r>
      <w:r>
        <w:rPr>
          <w:rFonts w:hint="eastAsia" w:ascii="仿宋" w:hAnsi="仿宋" w:eastAsia="仿宋"/>
          <w:color w:val="auto"/>
          <w:kern w:val="0"/>
          <w:sz w:val="24"/>
        </w:rPr>
        <w:t>设计编写</w:t>
      </w:r>
      <w:r>
        <w:rPr>
          <w:rFonts w:ascii="仿宋" w:hAnsi="仿宋" w:eastAsia="仿宋"/>
          <w:color w:val="auto"/>
          <w:kern w:val="0"/>
          <w:sz w:val="24"/>
        </w:rPr>
        <w:t>。</w:t>
      </w:r>
    </w:p>
    <w:p>
      <w:pPr>
        <w:shd w:val="clear" w:color="auto" w:fill="FFFFFF"/>
        <w:adjustRightInd w:val="0"/>
        <w:snapToGrid w:val="0"/>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15.7供应商的任何错漏、优惠、竞争性报价不得作为减轻责任、减少服务、增加收费、降低质量的理由。供应商必须自行考虑本项目在实施期间的一切可能产生的费用。在合同执行过程中，采购人将不再另行支付与本项目相关的任何费用。</w:t>
      </w:r>
    </w:p>
    <w:p>
      <w:pPr>
        <w:shd w:val="clear" w:color="auto" w:fill="FFFFFF"/>
        <w:adjustRightInd w:val="0"/>
        <w:snapToGrid w:val="0"/>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15.8投标文件报价出现前后不一致的，除招标文件另有规定外，按照下列规定修正：</w:t>
      </w:r>
    </w:p>
    <w:p>
      <w:pPr>
        <w:shd w:val="clear" w:color="auto" w:fill="FFFFFF"/>
        <w:adjustRightInd w:val="0"/>
        <w:snapToGrid w:val="0"/>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（一）投标文件中《开标一览表》内容与投标文件中相应内容不一致的，以《开标一览表》为准；</w:t>
      </w:r>
    </w:p>
    <w:p>
      <w:pPr>
        <w:shd w:val="clear" w:color="auto" w:fill="FFFFFF"/>
        <w:adjustRightInd w:val="0"/>
        <w:snapToGrid w:val="0"/>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（二）大写金额和小写金额不一致的，以大写金额为准；</w:t>
      </w:r>
    </w:p>
    <w:p>
      <w:pPr>
        <w:shd w:val="clear" w:color="auto" w:fill="FFFFFF"/>
        <w:adjustRightInd w:val="0"/>
        <w:snapToGrid w:val="0"/>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（三）单价金额小数点或者百分比有明显错位的，以《开标一览表》的总价为准，并修改单价；</w:t>
      </w:r>
    </w:p>
    <w:p>
      <w:pPr>
        <w:shd w:val="clear" w:color="auto" w:fill="FFFFFF"/>
        <w:adjustRightInd w:val="0"/>
        <w:snapToGrid w:val="0"/>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（四）总价金额与按单价汇总金额不一致的，以单价金额计算结果为准。</w:t>
      </w:r>
    </w:p>
    <w:p>
      <w:pPr>
        <w:shd w:val="clear" w:color="auto" w:fill="FFFFFF"/>
        <w:adjustRightInd w:val="0"/>
        <w:snapToGrid w:val="0"/>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同时出现两种以上不一致的，按照前款规定的顺序修正。</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修正后的报价遵照如下规定处理：供应商的澄清、说明或者补正应当采用书面形式，并加盖公章，或者由法定代表人（或负责人）或其授权的代表签字。供应商的澄清、说明或者补正不得超出投标文件的范围或者改变投标文件的实质性内容。修正后的报价经供应商确认后产生约束力，供应商不确认的，其投标无效。</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16.投标保证金</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16.1投标保证金是为了保护采购人和招标机构免遭因供应商的违规、违约行为而引起的风险，采购人/代理机构在受到损害时可根据本须知的有关规定没收供应商的投标保证金。中标人如未能按招标文件要求与采购人签署项目合同并提交履约保证金，视为供应商违约，则采购人有权没收中标人投标保证金。</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16.2 供应商应提交投标保证金，并作为其投标的一部分。招标文件《前附表》规定交纳</w:t>
      </w:r>
      <w:r>
        <w:rPr>
          <w:rFonts w:hint="eastAsia" w:ascii="仿宋" w:hAnsi="仿宋" w:eastAsia="仿宋"/>
          <w:bCs/>
          <w:color w:val="auto"/>
          <w:kern w:val="0"/>
          <w:sz w:val="24"/>
        </w:rPr>
        <w:t>投标保证金的</w:t>
      </w:r>
      <w:r>
        <w:rPr>
          <w:rFonts w:hint="eastAsia" w:ascii="仿宋" w:hAnsi="仿宋" w:eastAsia="仿宋"/>
          <w:color w:val="auto"/>
          <w:kern w:val="0"/>
          <w:sz w:val="24"/>
        </w:rPr>
        <w:t>，</w:t>
      </w:r>
      <w:r>
        <w:rPr>
          <w:rFonts w:hint="eastAsia" w:ascii="仿宋" w:hAnsi="仿宋" w:eastAsia="仿宋"/>
          <w:bCs/>
          <w:color w:val="auto"/>
          <w:kern w:val="0"/>
          <w:sz w:val="24"/>
        </w:rPr>
        <w:t>供应商应按招标文件</w:t>
      </w:r>
      <w:r>
        <w:rPr>
          <w:rFonts w:hint="eastAsia" w:ascii="仿宋" w:hAnsi="仿宋" w:eastAsia="仿宋"/>
          <w:color w:val="auto"/>
          <w:kern w:val="0"/>
          <w:sz w:val="24"/>
        </w:rPr>
        <w:t>《前附表》规定的要求</w:t>
      </w:r>
      <w:r>
        <w:rPr>
          <w:rFonts w:hint="eastAsia" w:ascii="仿宋" w:hAnsi="仿宋" w:eastAsia="仿宋"/>
          <w:bCs/>
          <w:color w:val="auto"/>
          <w:kern w:val="0"/>
          <w:sz w:val="24"/>
        </w:rPr>
        <w:t>提交保证金</w:t>
      </w:r>
      <w:r>
        <w:rPr>
          <w:rFonts w:hint="eastAsia" w:ascii="仿宋" w:hAnsi="仿宋" w:eastAsia="仿宋"/>
          <w:color w:val="auto"/>
          <w:kern w:val="0"/>
          <w:sz w:val="24"/>
        </w:rPr>
        <w:t>，</w:t>
      </w:r>
      <w:r>
        <w:rPr>
          <w:rFonts w:hint="eastAsia" w:ascii="仿宋" w:hAnsi="仿宋" w:eastAsia="仿宋"/>
          <w:bCs/>
          <w:color w:val="auto"/>
          <w:kern w:val="0"/>
          <w:sz w:val="24"/>
        </w:rPr>
        <w:t>投标保证金有效期应与</w:t>
      </w:r>
      <w:r>
        <w:rPr>
          <w:rFonts w:hint="eastAsia" w:ascii="仿宋" w:hAnsi="仿宋" w:eastAsia="仿宋"/>
          <w:color w:val="auto"/>
          <w:kern w:val="0"/>
          <w:sz w:val="24"/>
        </w:rPr>
        <w:t>招标文件规定</w:t>
      </w:r>
      <w:r>
        <w:rPr>
          <w:rFonts w:hint="eastAsia" w:ascii="仿宋" w:hAnsi="仿宋" w:eastAsia="仿宋"/>
          <w:bCs/>
          <w:color w:val="auto"/>
          <w:kern w:val="0"/>
          <w:sz w:val="24"/>
        </w:rPr>
        <w:t>的投标有效期一致。</w:t>
      </w:r>
      <w:r>
        <w:rPr>
          <w:rFonts w:hint="eastAsia" w:ascii="仿宋" w:hAnsi="仿宋" w:eastAsia="仿宋"/>
          <w:b/>
          <w:bCs/>
          <w:color w:val="auto"/>
          <w:kern w:val="0"/>
          <w:sz w:val="24"/>
        </w:rPr>
        <w:t>供应商</w:t>
      </w:r>
      <w:r>
        <w:rPr>
          <w:rFonts w:hint="eastAsia" w:ascii="仿宋" w:hAnsi="仿宋" w:eastAsia="仿宋"/>
          <w:b/>
          <w:color w:val="auto"/>
          <w:kern w:val="0"/>
          <w:sz w:val="24"/>
        </w:rPr>
        <w:t>未按照招标文件《前附表》要求提交投标保证金的，投标无效。</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16.3招标文件接受联合体投标的，可以由联合体中的一方或者共同提交投标保证金。以一方名义提交投标保证金的，对联合体各方均具有约束力。</w:t>
      </w:r>
    </w:p>
    <w:p>
      <w:pPr>
        <w:shd w:val="clear" w:color="auto" w:fill="FFFFFF"/>
        <w:spacing w:line="420" w:lineRule="exact"/>
        <w:ind w:firstLine="480" w:firstLineChars="200"/>
        <w:rPr>
          <w:rFonts w:ascii="仿宋" w:hAnsi="仿宋" w:eastAsia="仿宋"/>
          <w:b/>
          <w:color w:val="auto"/>
          <w:kern w:val="0"/>
          <w:sz w:val="24"/>
        </w:rPr>
      </w:pPr>
      <w:r>
        <w:rPr>
          <w:rFonts w:hint="eastAsia" w:ascii="仿宋" w:hAnsi="仿宋" w:eastAsia="仿宋"/>
          <w:color w:val="auto"/>
          <w:kern w:val="0"/>
          <w:sz w:val="24"/>
        </w:rPr>
        <w:t>16.4 未中标人的投标保证金，将在中标通知书发出5个工作日内退还。因违反规定被没收的投标保证金不予退回。</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16.5 中标人的投标保证金自采购合同签订之日起5个工作日内退还。</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 xml:space="preserve">16.6 </w:t>
      </w:r>
      <w:r>
        <w:rPr>
          <w:rFonts w:hint="eastAsia" w:ascii="仿宋" w:hAnsi="仿宋" w:eastAsia="仿宋"/>
          <w:b/>
          <w:color w:val="auto"/>
          <w:kern w:val="0"/>
          <w:sz w:val="24"/>
        </w:rPr>
        <w:t>下列任何情况发生时，投标保证金将被没收：</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16.6.1 供应商在规定的投标有效期内撤回其投标；</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16.6.2 中标人无正当理由拒绝按规定与采购人签订合同或未能在规定期限内签署合同的或未按招标文件要求提交履约保证金的。</w:t>
      </w:r>
    </w:p>
    <w:p>
      <w:pPr>
        <w:shd w:val="clear" w:color="auto" w:fill="FFFFFF"/>
        <w:autoSpaceDE w:val="0"/>
        <w:autoSpaceDN w:val="0"/>
        <w:adjustRightInd w:val="0"/>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 xml:space="preserve">16.7 </w:t>
      </w:r>
      <w:r>
        <w:rPr>
          <w:rFonts w:hint="eastAsia" w:ascii="仿宋" w:hAnsi="仿宋" w:eastAsia="仿宋"/>
          <w:b/>
          <w:color w:val="auto"/>
          <w:kern w:val="0"/>
          <w:sz w:val="24"/>
        </w:rPr>
        <w:t>供应商办理投标保证金退款申请手续须提供以下资料：</w:t>
      </w:r>
    </w:p>
    <w:p>
      <w:pPr>
        <w:shd w:val="clear" w:color="auto" w:fill="FFFFFF"/>
        <w:autoSpaceDE w:val="0"/>
        <w:autoSpaceDN w:val="0"/>
        <w:adjustRightInd w:val="0"/>
        <w:spacing w:line="420" w:lineRule="exact"/>
        <w:ind w:firstLine="482" w:firstLineChars="200"/>
        <w:jc w:val="left"/>
        <w:rPr>
          <w:rFonts w:ascii="仿宋" w:hAnsi="仿宋" w:eastAsia="仿宋"/>
          <w:b/>
          <w:color w:val="auto"/>
          <w:kern w:val="0"/>
          <w:sz w:val="24"/>
          <w:u w:val="single"/>
        </w:rPr>
      </w:pPr>
      <w:r>
        <w:rPr>
          <w:rFonts w:ascii="仿宋" w:hAnsi="仿宋" w:eastAsia="仿宋"/>
          <w:b/>
          <w:color w:val="auto"/>
          <w:kern w:val="0"/>
          <w:sz w:val="24"/>
          <w:u w:val="single"/>
        </w:rPr>
        <w:t>1</w:t>
      </w:r>
      <w:r>
        <w:rPr>
          <w:rFonts w:hint="eastAsia" w:ascii="仿宋" w:hAnsi="仿宋" w:eastAsia="仿宋"/>
          <w:b/>
          <w:color w:val="auto"/>
          <w:kern w:val="0"/>
          <w:sz w:val="24"/>
          <w:u w:val="single"/>
        </w:rPr>
        <w:t>6</w:t>
      </w:r>
      <w:r>
        <w:rPr>
          <w:rFonts w:ascii="仿宋" w:hAnsi="仿宋" w:eastAsia="仿宋"/>
          <w:b/>
          <w:color w:val="auto"/>
          <w:kern w:val="0"/>
          <w:sz w:val="24"/>
          <w:u w:val="single"/>
        </w:rPr>
        <w:t>.</w:t>
      </w:r>
      <w:r>
        <w:rPr>
          <w:rFonts w:hint="eastAsia" w:ascii="仿宋" w:hAnsi="仿宋" w:eastAsia="仿宋"/>
          <w:b/>
          <w:color w:val="auto"/>
          <w:kern w:val="0"/>
          <w:sz w:val="24"/>
          <w:u w:val="single"/>
        </w:rPr>
        <w:t>7</w:t>
      </w:r>
      <w:r>
        <w:rPr>
          <w:rFonts w:ascii="仿宋" w:hAnsi="仿宋" w:eastAsia="仿宋"/>
          <w:b/>
          <w:color w:val="auto"/>
          <w:kern w:val="0"/>
          <w:sz w:val="24"/>
          <w:u w:val="single"/>
        </w:rPr>
        <w:t xml:space="preserve">.1 </w:t>
      </w:r>
      <w:r>
        <w:rPr>
          <w:rFonts w:hint="eastAsia" w:ascii="仿宋" w:hAnsi="仿宋" w:eastAsia="仿宋"/>
          <w:b/>
          <w:color w:val="auto"/>
          <w:kern w:val="0"/>
          <w:sz w:val="24"/>
          <w:u w:val="single"/>
        </w:rPr>
        <w:t>供应商清晰的单位名称、开户银行名称、银行账号、银行行号。</w:t>
      </w:r>
    </w:p>
    <w:p>
      <w:pPr>
        <w:shd w:val="clear" w:color="auto" w:fill="FFFFFF"/>
        <w:spacing w:line="420" w:lineRule="exact"/>
        <w:ind w:firstLine="482" w:firstLineChars="200"/>
        <w:rPr>
          <w:rFonts w:ascii="仿宋" w:hAnsi="仿宋" w:eastAsia="仿宋"/>
          <w:color w:val="auto"/>
          <w:kern w:val="0"/>
          <w:sz w:val="24"/>
        </w:rPr>
      </w:pPr>
      <w:r>
        <w:rPr>
          <w:rFonts w:ascii="仿宋" w:hAnsi="仿宋" w:eastAsia="仿宋"/>
          <w:b/>
          <w:color w:val="auto"/>
          <w:kern w:val="0"/>
          <w:sz w:val="24"/>
          <w:u w:val="single"/>
        </w:rPr>
        <w:t>1</w:t>
      </w:r>
      <w:r>
        <w:rPr>
          <w:rFonts w:hint="eastAsia" w:ascii="仿宋" w:hAnsi="仿宋" w:eastAsia="仿宋"/>
          <w:b/>
          <w:color w:val="auto"/>
          <w:kern w:val="0"/>
          <w:sz w:val="24"/>
          <w:u w:val="single"/>
        </w:rPr>
        <w:t>6</w:t>
      </w:r>
      <w:r>
        <w:rPr>
          <w:rFonts w:ascii="仿宋" w:hAnsi="仿宋" w:eastAsia="仿宋"/>
          <w:b/>
          <w:color w:val="auto"/>
          <w:kern w:val="0"/>
          <w:sz w:val="24"/>
          <w:u w:val="single"/>
        </w:rPr>
        <w:t>.</w:t>
      </w:r>
      <w:r>
        <w:rPr>
          <w:rFonts w:hint="eastAsia" w:ascii="仿宋" w:hAnsi="仿宋" w:eastAsia="仿宋"/>
          <w:b/>
          <w:color w:val="auto"/>
          <w:kern w:val="0"/>
          <w:sz w:val="24"/>
          <w:u w:val="single"/>
        </w:rPr>
        <w:t>7</w:t>
      </w:r>
      <w:r>
        <w:rPr>
          <w:rFonts w:ascii="仿宋" w:hAnsi="仿宋" w:eastAsia="仿宋"/>
          <w:b/>
          <w:color w:val="auto"/>
          <w:kern w:val="0"/>
          <w:sz w:val="24"/>
          <w:u w:val="single"/>
        </w:rPr>
        <w:t xml:space="preserve">.2 </w:t>
      </w:r>
      <w:r>
        <w:rPr>
          <w:rFonts w:hint="eastAsia" w:ascii="仿宋" w:hAnsi="仿宋" w:eastAsia="仿宋"/>
          <w:b/>
          <w:snapToGrid w:val="0"/>
          <w:color w:val="auto"/>
          <w:kern w:val="0"/>
          <w:sz w:val="24"/>
          <w:u w:val="single"/>
        </w:rPr>
        <w:t>中标方办理投标保证金退款申请时，中标方还须提供与采购人签订的已加盖中标方公章的合同全本复印件或扫描件一份（代理机构存档备查）。</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特殊说明：中标人须自项目验收合格后5个工作日内，将经采购人签章确认的《验收书》复印件1份加盖中标人公章提交至采购代理机构。</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17. 招标答疑会和现场踏勘</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17.1本项目不组织招标答疑会。</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17.2 采购人不组织供应商进行现场踏勘，供应商应自行在投标截止时间前对项目服务现场和周围环境进行勘察，以获取须供应商自己负责的有关编制投标文件和签署合同所需的所有资料。勘察现场所发生的费用及风险由供应商自己承担。</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18. 投标有效期</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18.1 投标有效期见本须知前附表所规定的期限，在此期限内，凡符合本招标文件要求的投标文件均保持有效。</w:t>
      </w:r>
      <w:r>
        <w:rPr>
          <w:rFonts w:hint="eastAsia" w:ascii="仿宋" w:hAnsi="仿宋" w:eastAsia="仿宋"/>
          <w:b/>
          <w:color w:val="auto"/>
          <w:kern w:val="0"/>
          <w:sz w:val="24"/>
        </w:rPr>
        <w:t>投标有效期不足的，投标无效。</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color w:val="auto"/>
          <w:kern w:val="0"/>
          <w:sz w:val="24"/>
        </w:rPr>
        <w:t>18.2 在特殊情况下，采购人在原定的投标有效期内，可以根据需要以发布公告或书面形式向供应商提出延长投标有效期的要求，对此要求供应商须以书面形式予以答复。供应商拒绝延长的，其投标在原投标有效期期届满后将不再有效，但有权收回其投标保证金；同意延长投标有效期的供应商既不能要求也不允许修改或撤回其投标文件。</w:t>
      </w:r>
    </w:p>
    <w:p>
      <w:pPr>
        <w:shd w:val="clear" w:color="auto" w:fill="FFFFFF"/>
        <w:spacing w:line="42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（三） 投标文件的编制</w:t>
      </w:r>
    </w:p>
    <w:p>
      <w:pPr>
        <w:shd w:val="clear" w:color="auto" w:fill="FFFFFF"/>
        <w:spacing w:line="42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19. 投标文件编制要求</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19.1供应商提交的投标文件及供应商与采购代理机构就有关投标的所有来往函电均使用中文。</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20. 投标文件编制的依据</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20.1 采购人提供的采购需求及有关资料；</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20.2 本招标文件及招标文件的修改或者澄清；</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20.3 相关的法律、法规和规定。</w:t>
      </w:r>
    </w:p>
    <w:p>
      <w:pPr>
        <w:shd w:val="clear" w:color="auto" w:fill="FFFFFF"/>
        <w:spacing w:line="420" w:lineRule="exact"/>
        <w:ind w:firstLine="482" w:firstLineChars="200"/>
        <w:rPr>
          <w:rFonts w:ascii="仿宋" w:hAnsi="仿宋" w:eastAsia="仿宋"/>
          <w:b/>
          <w:bCs/>
          <w:color w:val="auto"/>
          <w:kern w:val="0"/>
          <w:sz w:val="24"/>
        </w:rPr>
      </w:pPr>
      <w:r>
        <w:rPr>
          <w:rFonts w:hint="eastAsia" w:ascii="仿宋" w:hAnsi="仿宋" w:eastAsia="仿宋"/>
          <w:b/>
          <w:color w:val="auto"/>
          <w:kern w:val="0"/>
          <w:sz w:val="24"/>
        </w:rPr>
        <w:t>21. 投标文件的组成：</w:t>
      </w:r>
      <w:r>
        <w:rPr>
          <w:rFonts w:hint="eastAsia" w:ascii="仿宋" w:hAnsi="仿宋" w:eastAsia="仿宋"/>
          <w:color w:val="auto"/>
          <w:kern w:val="0"/>
          <w:sz w:val="24"/>
        </w:rPr>
        <w:t>资格响应文件、商务响应文件、技术响应文件、报价响应文件</w:t>
      </w:r>
      <w:r>
        <w:rPr>
          <w:rFonts w:hint="eastAsia" w:ascii="仿宋" w:hAnsi="仿宋" w:eastAsia="仿宋"/>
          <w:bCs/>
          <w:color w:val="auto"/>
          <w:kern w:val="0"/>
          <w:sz w:val="24"/>
        </w:rPr>
        <w:t>。</w:t>
      </w:r>
    </w:p>
    <w:p>
      <w:pPr>
        <w:shd w:val="clear" w:color="auto" w:fill="FFFFFF"/>
        <w:spacing w:line="42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21.1资格响应文件组成</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（1）供应商营业执照或其他组织资格证书，扫描件；</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（2）法定代表人</w:t>
      </w:r>
      <w:r>
        <w:rPr>
          <w:rFonts w:hint="eastAsia" w:ascii="仿宋" w:hAnsi="仿宋" w:eastAsia="仿宋" w:cs="宋体"/>
          <w:b/>
          <w:color w:val="auto"/>
          <w:sz w:val="24"/>
        </w:rPr>
        <w:t>（或负责人）</w:t>
      </w:r>
      <w:r>
        <w:rPr>
          <w:rFonts w:hint="eastAsia" w:ascii="仿宋" w:hAnsi="仿宋" w:eastAsia="仿宋"/>
          <w:b/>
          <w:color w:val="auto"/>
          <w:kern w:val="0"/>
          <w:sz w:val="24"/>
        </w:rPr>
        <w:t>资格证明书和法定代表人</w:t>
      </w:r>
      <w:r>
        <w:rPr>
          <w:rFonts w:hint="eastAsia" w:ascii="仿宋" w:hAnsi="仿宋" w:eastAsia="仿宋" w:cs="宋体"/>
          <w:b/>
          <w:color w:val="auto"/>
          <w:sz w:val="24"/>
        </w:rPr>
        <w:t>（或负责人）</w:t>
      </w:r>
      <w:r>
        <w:rPr>
          <w:rFonts w:hint="eastAsia" w:ascii="仿宋" w:hAnsi="仿宋" w:eastAsia="仿宋"/>
          <w:b/>
          <w:color w:val="auto"/>
          <w:kern w:val="0"/>
          <w:sz w:val="24"/>
        </w:rPr>
        <w:t>身份证或者法定代表人</w:t>
      </w:r>
      <w:r>
        <w:rPr>
          <w:rFonts w:hint="eastAsia" w:ascii="仿宋" w:hAnsi="仿宋" w:eastAsia="仿宋" w:cs="宋体"/>
          <w:b/>
          <w:color w:val="auto"/>
          <w:sz w:val="24"/>
        </w:rPr>
        <w:t>（或负责人）</w:t>
      </w:r>
      <w:r>
        <w:rPr>
          <w:rFonts w:hint="eastAsia" w:ascii="仿宋" w:hAnsi="仿宋" w:eastAsia="仿宋"/>
          <w:b/>
          <w:color w:val="auto"/>
          <w:kern w:val="0"/>
          <w:sz w:val="24"/>
        </w:rPr>
        <w:t>授权委托书及被授权人身份证明，均为扫描件；</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（3）供应商2022年任意连续三个月依法纳税及缴纳社会保险相关证明资料；</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（4）供应商</w:t>
      </w:r>
      <w:r>
        <w:rPr>
          <w:rFonts w:hint="eastAsia" w:ascii="仿宋" w:hAnsi="仿宋" w:eastAsia="仿宋"/>
          <w:b/>
          <w:color w:val="auto"/>
          <w:kern w:val="0"/>
          <w:sz w:val="24"/>
          <w:szCs w:val="22"/>
        </w:rPr>
        <w:t>经审计的2021年度的财务报告复印件（投标单位成立不满一年的不需提供）；</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w:t>
      </w:r>
      <w:r>
        <w:rPr>
          <w:rFonts w:ascii="仿宋" w:hAnsi="仿宋" w:eastAsia="仿宋"/>
          <w:b/>
          <w:color w:val="auto"/>
          <w:kern w:val="0"/>
          <w:sz w:val="24"/>
        </w:rPr>
        <w:t>5</w:t>
      </w:r>
      <w:r>
        <w:rPr>
          <w:rFonts w:hint="eastAsia" w:ascii="仿宋" w:hAnsi="仿宋" w:eastAsia="仿宋"/>
          <w:b/>
          <w:color w:val="auto"/>
          <w:kern w:val="0"/>
          <w:sz w:val="24"/>
        </w:rPr>
        <w:t>）供应商参加本次政府采购活动前3年内在经营活动中没有重大违法记录的书面声明（原件的扫描件）；</w:t>
      </w:r>
    </w:p>
    <w:p>
      <w:pPr>
        <w:shd w:val="clear" w:color="auto" w:fill="FFFFFF"/>
        <w:spacing w:line="440" w:lineRule="exact"/>
        <w:ind w:firstLine="482" w:firstLineChars="200"/>
        <w:rPr>
          <w:rFonts w:ascii="仿宋" w:hAnsi="仿宋" w:eastAsia="仿宋"/>
          <w:bCs/>
          <w:color w:val="auto"/>
          <w:kern w:val="0"/>
          <w:sz w:val="24"/>
        </w:rPr>
      </w:pPr>
      <w:r>
        <w:rPr>
          <w:rFonts w:hint="eastAsia" w:ascii="仿宋" w:hAnsi="仿宋" w:eastAsia="仿宋"/>
          <w:b/>
          <w:color w:val="auto"/>
          <w:kern w:val="0"/>
          <w:sz w:val="24"/>
        </w:rPr>
        <w:t>（6）投标保证金缴纳凭证（网上支付凭证打印件）</w:t>
      </w:r>
      <w:r>
        <w:rPr>
          <w:rFonts w:hint="eastAsia" w:ascii="仿宋" w:hAnsi="仿宋" w:eastAsia="仿宋"/>
          <w:bCs/>
          <w:color w:val="auto"/>
          <w:kern w:val="0"/>
          <w:sz w:val="24"/>
        </w:rPr>
        <w:t>。</w:t>
      </w:r>
    </w:p>
    <w:p>
      <w:pPr>
        <w:shd w:val="clear" w:color="auto" w:fill="FFFFFF"/>
        <w:spacing w:line="44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21.2商务部分主要包括但不限于以下内容：</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（1）投标承诺书；</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（2）售后服务承诺书；</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（3）商务及合同条款偏离表（须包括对本文件《投标须知前附表》提出的“投标有效期”、“交货期及完工期”、“交货地点”、“保修期”、“付款方式”五项内容逐条响应，不接受负偏离）；</w:t>
      </w:r>
    </w:p>
    <w:p>
      <w:pPr>
        <w:shd w:val="clear" w:color="auto" w:fill="FFFFFF"/>
        <w:spacing w:line="44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4）提供投标人近3年内（自2019年6月1日至2022年6月1日）超融合项目（同时包含超融合服务器硬件及超融合软件等核心产品）业绩，中标通知书或合同（均为原件扫描件），证明材料应清晰反映项目名称、产品名称、型号、日期、盖章信息等。</w:t>
      </w:r>
    </w:p>
    <w:p>
      <w:pPr>
        <w:shd w:val="clear" w:color="auto" w:fill="FFFFFF"/>
        <w:spacing w:line="44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（5）供应商认为有必要提供的其他资料。</w:t>
      </w:r>
    </w:p>
    <w:bookmarkEnd w:id="2"/>
    <w:bookmarkEnd w:id="3"/>
    <w:p>
      <w:pPr>
        <w:shd w:val="clear" w:color="auto" w:fill="FFFFFF"/>
        <w:spacing w:line="44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21.3技术部分主要包括但不限于以下内容：</w:t>
      </w:r>
    </w:p>
    <w:p>
      <w:pPr>
        <w:shd w:val="clear" w:color="auto" w:fill="FFFFFF"/>
        <w:spacing w:line="440" w:lineRule="exact"/>
        <w:ind w:firstLine="482" w:firstLineChars="200"/>
        <w:rPr>
          <w:rFonts w:ascii="仿宋" w:hAnsi="仿宋" w:eastAsia="仿宋"/>
          <w:b/>
          <w:bCs/>
          <w:color w:val="auto"/>
          <w:kern w:val="0"/>
          <w:sz w:val="24"/>
        </w:rPr>
      </w:pPr>
      <w:bookmarkStart w:id="4" w:name="_Hlk519798213"/>
      <w:r>
        <w:rPr>
          <w:rFonts w:hint="eastAsia" w:ascii="仿宋" w:hAnsi="仿宋" w:eastAsia="仿宋"/>
          <w:b/>
          <w:bCs/>
          <w:color w:val="auto"/>
          <w:kern w:val="0"/>
          <w:sz w:val="24"/>
        </w:rPr>
        <w:t>（1）技术服务条款偏离表（供应商须对照第四章《采购需求》全部内容逐条列明响应内容及是否偏离等情况；</w:t>
      </w:r>
    </w:p>
    <w:p>
      <w:pPr>
        <w:shd w:val="clear" w:color="auto" w:fill="FFFFFF"/>
        <w:spacing w:line="44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（2）产品详细配置清单；</w:t>
      </w:r>
    </w:p>
    <w:bookmarkEnd w:id="4"/>
    <w:p>
      <w:pPr>
        <w:shd w:val="clear" w:color="auto" w:fill="FFFFFF"/>
        <w:spacing w:line="44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（3）供应商认为有必要提供的其他技术资料。</w:t>
      </w:r>
    </w:p>
    <w:p>
      <w:pPr>
        <w:shd w:val="clear" w:color="auto" w:fill="FFFFFF"/>
        <w:spacing w:line="44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21.4报价部分主要包括但不限于以下内容：</w:t>
      </w:r>
      <w:r>
        <w:rPr>
          <w:rFonts w:hint="eastAsia" w:ascii="仿宋" w:hAnsi="仿宋" w:eastAsia="仿宋"/>
          <w:b/>
          <w:bCs/>
          <w:color w:val="auto"/>
          <w:kern w:val="0"/>
          <w:sz w:val="24"/>
        </w:rPr>
        <w:tab/>
      </w:r>
    </w:p>
    <w:p>
      <w:pPr>
        <w:shd w:val="clear" w:color="auto" w:fill="FFFFFF"/>
        <w:spacing w:line="440" w:lineRule="exact"/>
        <w:ind w:firstLine="482" w:firstLineChars="200"/>
        <w:rPr>
          <w:rFonts w:ascii="仿宋" w:hAnsi="仿宋" w:eastAsia="仿宋"/>
          <w:b/>
          <w:color w:val="auto"/>
          <w:kern w:val="0"/>
          <w:sz w:val="24"/>
        </w:rPr>
      </w:pPr>
      <w:bookmarkStart w:id="5" w:name="_Hlk519798401"/>
      <w:r>
        <w:rPr>
          <w:rFonts w:hint="eastAsia" w:ascii="仿宋" w:hAnsi="仿宋" w:eastAsia="仿宋"/>
          <w:b/>
          <w:color w:val="auto"/>
          <w:kern w:val="0"/>
          <w:sz w:val="24"/>
        </w:rPr>
        <w:t>（1）开标一览表；</w:t>
      </w:r>
    </w:p>
    <w:p>
      <w:pPr>
        <w:shd w:val="clear" w:color="auto" w:fill="FFFFFF"/>
        <w:spacing w:line="44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（2）分项报价明细表（须按本次采购内容列明细设备材料清单及集成费用）；</w:t>
      </w:r>
    </w:p>
    <w:p>
      <w:pPr>
        <w:shd w:val="clear" w:color="auto" w:fill="FFFFFF"/>
        <w:spacing w:line="440" w:lineRule="exact"/>
        <w:ind w:firstLine="480" w:firstLineChars="200"/>
        <w:rPr>
          <w:color w:val="auto"/>
        </w:rPr>
      </w:pPr>
      <w:r>
        <w:rPr>
          <w:rFonts w:hint="eastAsia" w:ascii="仿宋" w:hAnsi="仿宋" w:eastAsia="仿宋"/>
          <w:bCs/>
          <w:color w:val="auto"/>
          <w:kern w:val="0"/>
          <w:sz w:val="24"/>
        </w:rPr>
        <w:t>（3）报价需要的其他资料。</w:t>
      </w:r>
    </w:p>
    <w:bookmarkEnd w:id="5"/>
    <w:p>
      <w:pPr>
        <w:shd w:val="clear" w:color="auto" w:fill="FFFFFF"/>
        <w:spacing w:line="44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22. 投标文件的编制及格式</w:t>
      </w:r>
    </w:p>
    <w:p>
      <w:pPr>
        <w:shd w:val="clear" w:color="auto" w:fill="FFFFFF"/>
        <w:spacing w:line="420" w:lineRule="exact"/>
        <w:ind w:firstLine="482" w:firstLineChars="200"/>
        <w:rPr>
          <w:rFonts w:ascii="仿宋" w:hAnsi="仿宋" w:eastAsia="仿宋"/>
          <w:color w:val="auto"/>
          <w:sz w:val="24"/>
        </w:rPr>
      </w:pPr>
      <w:r>
        <w:rPr>
          <w:rFonts w:hint="eastAsia" w:ascii="仿宋" w:hAnsi="仿宋" w:eastAsia="仿宋"/>
          <w:b/>
          <w:color w:val="auto"/>
          <w:sz w:val="24"/>
        </w:rPr>
        <w:t>22.1 供应商提供的投标文件应按照本须知第20条规定的内容编制，其中，第21.1（1）—（6）、第21.2（1）—（3）、第21.3（1）—（2）、第21.4（1）—（2）为必备项，供应商在投标文件中必须提供有关材料，如果缺项或不符合要求，将导致投标无效。</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sz w:val="24"/>
        </w:rPr>
        <w:t>22.2供应商提供的投标文件应当使用招标文件所提供投标文件格式（表格可按照同样格式扩展），并保证所提供的资料的真实性。未提供格式的，供应商可自行编制。</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22.3投标文件严禁涂改或行间插字和增删，除非这些修改是根据采购人的指示进行的，或者是供应商造成的必须修改的错误，</w:t>
      </w:r>
      <w:r>
        <w:rPr>
          <w:rFonts w:hint="eastAsia" w:ascii="仿宋" w:hAnsi="仿宋" w:eastAsia="仿宋"/>
          <w:color w:val="auto"/>
          <w:sz w:val="24"/>
        </w:rPr>
        <w:t>必要的修改处必须有供应商法人代表或其授权代表人签字并加盖供应商公章，</w:t>
      </w:r>
      <w:r>
        <w:rPr>
          <w:rFonts w:hint="eastAsia" w:ascii="仿宋" w:hAnsi="仿宋" w:eastAsia="仿宋"/>
          <w:b/>
          <w:color w:val="auto"/>
          <w:sz w:val="24"/>
        </w:rPr>
        <w:t>否则，投标无效。</w:t>
      </w:r>
    </w:p>
    <w:p>
      <w:pPr>
        <w:shd w:val="clear" w:color="auto" w:fill="FFFFFF"/>
        <w:spacing w:line="420" w:lineRule="exact"/>
        <w:ind w:firstLine="480" w:firstLineChars="200"/>
        <w:rPr>
          <w:rFonts w:ascii="仿宋" w:hAnsi="仿宋" w:eastAsia="仿宋"/>
          <w:color w:val="auto"/>
          <w:sz w:val="24"/>
        </w:rPr>
      </w:pPr>
      <w:r>
        <w:rPr>
          <w:rFonts w:hint="eastAsia" w:ascii="仿宋" w:hAnsi="仿宋" w:eastAsia="仿宋"/>
          <w:color w:val="auto"/>
          <w:kern w:val="0"/>
          <w:sz w:val="24"/>
        </w:rPr>
        <w:t>22.4</w:t>
      </w:r>
      <w:r>
        <w:rPr>
          <w:rFonts w:hint="eastAsia" w:ascii="仿宋" w:hAnsi="仿宋" w:eastAsia="仿宋"/>
          <w:bCs/>
          <w:color w:val="auto"/>
          <w:sz w:val="24"/>
        </w:rPr>
        <w:t>供应商应当按照招标文件的要求编制投标文件。投标文件应当对招标文件提出的要求和条件作出明确响应。</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23. 投标文件的份数和签署</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23.1 供应商应当按照本须知前附表第5项规定的份数提交投标文件。</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23.2 投标文件签署要求均应符合招标文件相关规定。</w:t>
      </w:r>
    </w:p>
    <w:p>
      <w:pPr>
        <w:shd w:val="clear" w:color="auto" w:fill="FFFFFF"/>
        <w:spacing w:line="420" w:lineRule="exact"/>
        <w:ind w:firstLine="480" w:firstLineChars="200"/>
        <w:rPr>
          <w:rFonts w:ascii="仿宋" w:hAnsi="仿宋" w:eastAsia="仿宋"/>
          <w:color w:val="auto"/>
          <w:kern w:val="0"/>
          <w:sz w:val="24"/>
          <w:u w:val="single"/>
        </w:rPr>
      </w:pPr>
      <w:r>
        <w:rPr>
          <w:rFonts w:hint="eastAsia" w:ascii="仿宋" w:hAnsi="仿宋" w:eastAsia="仿宋"/>
          <w:color w:val="auto"/>
          <w:kern w:val="0"/>
          <w:sz w:val="24"/>
        </w:rPr>
        <w:t>23.3投标文件未按照上述规定编制，</w:t>
      </w:r>
      <w:r>
        <w:rPr>
          <w:rFonts w:hint="eastAsia" w:ascii="仿宋" w:hAnsi="仿宋" w:eastAsia="仿宋"/>
          <w:color w:val="auto"/>
          <w:sz w:val="24"/>
        </w:rPr>
        <w:t>符合性审查</w:t>
      </w:r>
      <w:r>
        <w:rPr>
          <w:rFonts w:hint="eastAsia" w:ascii="仿宋" w:hAnsi="仿宋" w:eastAsia="仿宋"/>
          <w:color w:val="auto"/>
          <w:kern w:val="0"/>
          <w:sz w:val="24"/>
        </w:rPr>
        <w:t>将不予以通过。</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（四） 投标文件的递交</w:t>
      </w:r>
    </w:p>
    <w:p>
      <w:pPr>
        <w:shd w:val="clear" w:color="auto" w:fill="FFFFFF"/>
        <w:spacing w:line="420" w:lineRule="exact"/>
        <w:ind w:firstLine="482" w:firstLineChars="200"/>
        <w:rPr>
          <w:rFonts w:ascii="仿宋" w:hAnsi="仿宋" w:eastAsia="仿宋" w:cs="Arial"/>
          <w:b/>
          <w:color w:val="auto"/>
          <w:sz w:val="24"/>
        </w:rPr>
      </w:pPr>
      <w:r>
        <w:rPr>
          <w:rFonts w:hint="eastAsia" w:ascii="仿宋" w:hAnsi="仿宋" w:eastAsia="仿宋" w:cs="Arial"/>
          <w:b/>
          <w:color w:val="auto"/>
          <w:sz w:val="24"/>
        </w:rPr>
        <w:t>24.电子版投标文件</w:t>
      </w:r>
    </w:p>
    <w:p>
      <w:pPr>
        <w:shd w:val="clear" w:color="auto" w:fill="FFFFFF"/>
        <w:spacing w:line="420" w:lineRule="exact"/>
        <w:ind w:firstLine="482" w:firstLineChars="200"/>
        <w:rPr>
          <w:rFonts w:ascii="仿宋" w:hAnsi="仿宋" w:eastAsia="仿宋"/>
          <w:b/>
          <w:bCs/>
          <w:color w:val="auto"/>
          <w:kern w:val="0"/>
          <w:sz w:val="24"/>
        </w:rPr>
      </w:pPr>
      <w:r>
        <w:rPr>
          <w:rFonts w:hint="eastAsia" w:ascii="仿宋" w:hAnsi="仿宋" w:eastAsia="仿宋" w:cs="Arial"/>
          <w:b/>
          <w:color w:val="auto"/>
          <w:sz w:val="24"/>
        </w:rPr>
        <w:t>24.1供应商</w:t>
      </w:r>
      <w:r>
        <w:rPr>
          <w:rFonts w:hint="eastAsia" w:ascii="仿宋" w:hAnsi="仿宋" w:eastAsia="仿宋"/>
          <w:b/>
          <w:bCs/>
          <w:color w:val="auto"/>
          <w:kern w:val="0"/>
          <w:sz w:val="24"/>
        </w:rPr>
        <w:t>须在投标截止时间前通过CA在政采云平台上传加密的电子投标文件；</w:t>
      </w:r>
      <w:r>
        <w:rPr>
          <w:rFonts w:hint="eastAsia" w:ascii="仿宋" w:hAnsi="仿宋" w:eastAsia="仿宋"/>
          <w:b/>
          <w:color w:val="auto"/>
          <w:kern w:val="0"/>
          <w:sz w:val="24"/>
        </w:rPr>
        <w:t>投标截止时间以政采云平台显示的时间为准，逾期系统将自动关闭，</w:t>
      </w:r>
      <w:r>
        <w:rPr>
          <w:rFonts w:hint="eastAsia" w:ascii="仿宋" w:hAnsi="仿宋" w:eastAsia="仿宋"/>
          <w:b/>
          <w:bCs/>
          <w:color w:val="auto"/>
          <w:kern w:val="0"/>
          <w:sz w:val="24"/>
        </w:rPr>
        <w:t>逾期上传的或者未成功上传到平台的投标文件，投标无效。</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25. 投标文件的提交</w:t>
      </w:r>
    </w:p>
    <w:p>
      <w:pPr>
        <w:shd w:val="clear" w:color="auto" w:fill="FFFFFF"/>
        <w:spacing w:line="420" w:lineRule="exact"/>
        <w:ind w:firstLine="480" w:firstLineChars="200"/>
        <w:rPr>
          <w:rFonts w:ascii="仿宋" w:hAnsi="仿宋" w:eastAsia="仿宋"/>
          <w:b/>
          <w:color w:val="auto"/>
          <w:kern w:val="0"/>
          <w:sz w:val="24"/>
        </w:rPr>
      </w:pPr>
      <w:r>
        <w:rPr>
          <w:rFonts w:hint="eastAsia" w:ascii="仿宋" w:hAnsi="仿宋" w:eastAsia="仿宋"/>
          <w:color w:val="auto"/>
          <w:kern w:val="0"/>
          <w:sz w:val="24"/>
        </w:rPr>
        <w:t>供应商应当按照本投标须知前附表所规定的地点，于投标截止时间前上传加密的电子投标文件。纸质版投标文件按照本投标须知前附表相关规定提交。</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26.</w:t>
      </w:r>
      <w:r>
        <w:rPr>
          <w:rFonts w:hint="eastAsia" w:ascii="仿宋" w:hAnsi="仿宋" w:eastAsia="仿宋"/>
          <w:b/>
          <w:bCs/>
          <w:color w:val="auto"/>
          <w:kern w:val="0"/>
          <w:sz w:val="24"/>
        </w:rPr>
        <w:t>加密的电子投标文件</w:t>
      </w:r>
      <w:r>
        <w:rPr>
          <w:rFonts w:hint="eastAsia" w:ascii="仿宋" w:hAnsi="仿宋" w:eastAsia="仿宋"/>
          <w:b/>
          <w:color w:val="auto"/>
          <w:kern w:val="0"/>
          <w:sz w:val="24"/>
        </w:rPr>
        <w:t>提交的截止时间</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26.1 投标文件提交的截止时间详见本投标须知前附表规定。</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26.2 采购人可按本招标文件第14条规定以修改补充通知的方式，酌情延长提交投标书的截止时间。在上述情况下，采购人与供应商在原投标截止时间前的全部权力和义务，将适用于延长后新的投标截止时间。</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26.3 至投标文件递交截止时间，采购人收到的投标文件少于3个的，不得开标。评标过程中有效供应商少于3个的，应终止评标，由采购人依法重新组织招标。</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27. 迟交的</w:t>
      </w:r>
      <w:r>
        <w:rPr>
          <w:rFonts w:hint="eastAsia" w:ascii="仿宋" w:hAnsi="仿宋" w:eastAsia="仿宋"/>
          <w:b/>
          <w:bCs/>
          <w:color w:val="auto"/>
          <w:kern w:val="0"/>
          <w:sz w:val="24"/>
        </w:rPr>
        <w:t>加密的电子投标文件</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供应商在本投标须知前附表规定的投标截止时间以后提交的投标文件将被拒绝并退回。</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 xml:space="preserve">28. </w:t>
      </w:r>
      <w:r>
        <w:rPr>
          <w:rFonts w:hint="eastAsia" w:ascii="仿宋" w:hAnsi="仿宋" w:eastAsia="仿宋"/>
          <w:b/>
          <w:bCs/>
          <w:color w:val="auto"/>
          <w:kern w:val="0"/>
          <w:sz w:val="24"/>
        </w:rPr>
        <w:t>加密的电子投标文件</w:t>
      </w:r>
      <w:r>
        <w:rPr>
          <w:rFonts w:hint="eastAsia" w:ascii="仿宋" w:hAnsi="仿宋" w:eastAsia="仿宋"/>
          <w:b/>
          <w:color w:val="auto"/>
          <w:kern w:val="0"/>
          <w:sz w:val="24"/>
        </w:rPr>
        <w:t>的补充、修改与撤回</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28.1 供应商在投标须知前附表规定的投标截止时间之前，可以补充、修改或撤回已提交的投标文件。</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28.2 在投标截止时间之后，供应商不得补充、修改投标文件。</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（五） 开标</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29. 开标</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29.1本项目采用不见面开标方式，招标会将于投标须知前附表规定的时间和地点召开，</w:t>
      </w:r>
      <w:r>
        <w:rPr>
          <w:rFonts w:hint="eastAsia" w:ascii="仿宋" w:hAnsi="仿宋" w:eastAsia="仿宋"/>
          <w:bCs/>
          <w:color w:val="auto"/>
          <w:kern w:val="0"/>
          <w:sz w:val="24"/>
        </w:rPr>
        <w:t>供应商无需到达开标现场，仅需在任意地点通过政采云平台完成开标签到、远程解密、报价确认等交互环节。</w:t>
      </w:r>
      <w:r>
        <w:rPr>
          <w:rFonts w:hint="eastAsia" w:ascii="仿宋" w:hAnsi="仿宋" w:eastAsia="仿宋"/>
          <w:color w:val="auto"/>
          <w:kern w:val="0"/>
          <w:sz w:val="24"/>
        </w:rPr>
        <w:t>供应商应在投标截止时间前登录政采云平台签到，同时确保开标期间电脑网络环境畅通，浏览器配置无误，可完成正常的解密和操作。评标委员会成员到场集中评标，但不得参加开标活动。</w:t>
      </w:r>
      <w:r>
        <w:rPr>
          <w:rFonts w:hint="eastAsia" w:ascii="仿宋" w:hAnsi="仿宋" w:eastAsia="仿宋"/>
          <w:b/>
          <w:color w:val="auto"/>
          <w:kern w:val="0"/>
          <w:sz w:val="24"/>
        </w:rPr>
        <w:t>投标截止时间前不得开启投标文件。</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29.2 开标程序</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29.2.1供应商不足3个的，不得开标。</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29.2.2 开标由采购人或采购代理机构主持；</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29.2.3 宣读开标纪律，介绍采购人代表、监督人员；</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29.2.4 供应商解密，解密时长30分钟；</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29.2.5解密后由采购代理机构工作人员宣读《开标一览表》中载明的内容；之后由采购代理机构工作人员开启报价签字时段，供应商在规定时间内对《开标一览表》的内容进行签字确认，本项目报价签字时段设定为30分钟，如供应商未在规定时间内签字确认，后果自负。如供应商代表对唱标人宣读的内容有异议的，应当场提出。</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29.2.6唱标结束后由采购人代表对供应商进行资格审查；资格审查不合格的，投标无效；</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29.2.7 按本文件第 28 条已提交了可接受的撤回通知的投标文件及无效投标文件将不予开启。</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29.3 公开招标数额标准以上的采购项目，投标截止后供应商不足3家或者通过资格审查或符合性审查的供应商不足3家的，除采购任务取消情形外，可按照以下方式处理：</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（一）招标文件存在不合理条款或者招标程序不符合规定的，采购人、采购代理机构改正后依法重新招标；</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（二）招标文件没有不合理条款、招标程序符合规定，需要采用其他采购方式采购的，采购人应当依法报财政部门批准。</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29.4供应商法定代表人（或负责人）或法定代表人（或负责人）授权委托人参与开标远程交互时，中途不得更换，在解密、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29.5采购人或采购代理机构应对开标过程进行记录，由相关工作人员签字确认后随招标文件一并存档。</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30. 资格审查</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30.1开标结束后，采购人按照本须知21.1条资格响应文件要求的（1）-（6）项内容对各供应商进行资格审查，同时由招标代理机构按照《投标须知前附表》第4.2项要求对所有供应商进行信用记录查询，并将查询结果书面记录资料提交采购人。供应商资格审查不合格的，其投标无效。</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30.2合格供应商不足三家的，不进行评标。</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（六） 评标</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31. 评标委员会与评标</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31.1 评标工作由采购人依法组建的评标委员会负责。评标委员会的名单在评标结果公告前应当保密。</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31.2 本项目评标委员会由</w:t>
      </w:r>
      <w:r>
        <w:rPr>
          <w:rFonts w:hint="eastAsia" w:ascii="仿宋" w:hAnsi="仿宋" w:eastAsia="仿宋"/>
          <w:color w:val="auto"/>
          <w:kern w:val="0"/>
          <w:sz w:val="24"/>
          <w:u w:val="single"/>
        </w:rPr>
        <w:t xml:space="preserve"> 5</w:t>
      </w:r>
      <w:r>
        <w:rPr>
          <w:rFonts w:hint="eastAsia" w:ascii="仿宋" w:hAnsi="仿宋" w:eastAsia="仿宋"/>
          <w:color w:val="auto"/>
          <w:kern w:val="0"/>
          <w:sz w:val="24"/>
        </w:rPr>
        <w:t>人组成，其中：新疆政府采购网政采云平台专家库中随机抽取相关专业专家</w:t>
      </w:r>
      <w:r>
        <w:rPr>
          <w:rFonts w:hint="eastAsia" w:ascii="仿宋" w:hAnsi="仿宋" w:eastAsia="仿宋"/>
          <w:color w:val="auto"/>
          <w:kern w:val="0"/>
          <w:sz w:val="24"/>
          <w:u w:val="single"/>
        </w:rPr>
        <w:t xml:space="preserve">  4  </w:t>
      </w:r>
      <w:r>
        <w:rPr>
          <w:rFonts w:hint="eastAsia" w:ascii="仿宋" w:hAnsi="仿宋" w:eastAsia="仿宋"/>
          <w:color w:val="auto"/>
          <w:kern w:val="0"/>
          <w:sz w:val="24"/>
        </w:rPr>
        <w:t>人,采购人代表</w:t>
      </w:r>
      <w:r>
        <w:rPr>
          <w:rFonts w:hint="eastAsia" w:ascii="仿宋" w:hAnsi="仿宋" w:eastAsia="仿宋"/>
          <w:color w:val="auto"/>
          <w:kern w:val="0"/>
          <w:sz w:val="24"/>
          <w:u w:val="single"/>
        </w:rPr>
        <w:t xml:space="preserve">  1  </w:t>
      </w:r>
      <w:r>
        <w:rPr>
          <w:rFonts w:hint="eastAsia" w:ascii="仿宋" w:hAnsi="仿宋" w:eastAsia="仿宋"/>
          <w:color w:val="auto"/>
          <w:kern w:val="0"/>
          <w:sz w:val="24"/>
        </w:rPr>
        <w:t>人。</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31.3 开标结束后，开始评标，评标采用保密方式进行。</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31.4 评标委员会组长由评标委员会成员推举产生，并与评标委员会其他成员有同等的权利和义务。采购人代表不得担任评标委员会组长。</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31.5 评标委员会成员应当客观、公正地履行职责，遵守职业道德，对所提出的评审意见承担个人责任。</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31.6 评标委员会根据招标文件确定的评比标准和方法，对投标文件进行系统地评审和比较。招标文件中没有规定的标准和方法不得作为评标的依据。</w:t>
      </w:r>
    </w:p>
    <w:p>
      <w:pPr>
        <w:shd w:val="clear" w:color="auto" w:fill="FFFFFF"/>
        <w:spacing w:line="420" w:lineRule="exact"/>
        <w:ind w:firstLine="480" w:firstLineChars="200"/>
        <w:rPr>
          <w:rFonts w:ascii="仿宋" w:hAnsi="仿宋" w:eastAsia="仿宋"/>
          <w:color w:val="auto"/>
          <w:kern w:val="0"/>
          <w:sz w:val="24"/>
          <w:u w:val="single"/>
        </w:rPr>
      </w:pPr>
      <w:r>
        <w:rPr>
          <w:rFonts w:hint="eastAsia" w:ascii="仿宋" w:hAnsi="仿宋" w:eastAsia="仿宋"/>
          <w:color w:val="auto"/>
          <w:kern w:val="0"/>
          <w:sz w:val="24"/>
        </w:rPr>
        <w:t>31.7在评标过程中，评标委员会发现有证据表明供应商以他人的名义投标、串通投标、以行贿手段谋取中标或者以其他弄虚作假方式投标的，该供应商的投标作无效标处理。并在评标报告中说明。</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32. 投标文件的澄清</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32.1 为有助于对投标文件进行审查、评估和比较，供应商对评审中评标委员会提出的投标文件中含义不明确、同类问题表述不一致或者有明显文字和计算错误的内容，应通过政采云平台进行澄清、说明或者补正。供应商的澄清、说明或者补正不得超出投标文件的范围或者改变投标文件的实质性内容。</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32.2 供应商未按照要求对投标文件进行澄清、说明或者补正的，评标委员会可以否决其投标。</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33. 投标文件的评审、比较</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33.1 投标文件符合性审查</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33.1.1评标委员会应当对通过资格审查的供应商的投标文件进行符合性审查，以确定其是否满足招标文件的实质性要求。通过符合性审查的供应商的投标文件进入详细评审。</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33.2 投标文件的详细评审</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33.2.1</w:t>
      </w:r>
      <w:r>
        <w:rPr>
          <w:rFonts w:hint="eastAsia" w:ascii="仿宋" w:hAnsi="仿宋" w:eastAsia="仿宋"/>
          <w:bCs/>
          <w:color w:val="auto"/>
          <w:kern w:val="0"/>
          <w:sz w:val="24"/>
        </w:rPr>
        <w:t>综合评分法是指投标文件满足招标文件全部实质性要求，且按照评审因素的量化指标评审综合得分（即商务部分、技术部分、报价部分合计分值）最高的供应商为中标候选人的评标方法。采用综合评分法的，评标委员会将按供应商综合得分顺序由高到低依次排名，得分相同的，按投标报价由低到高顺序排列。得分及报价相同的，按技术指标优劣顺序排列。得分最高的前一至三名供应商将成为中标候选人。</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33.2.2 评审中，评标委员会可以对投标文件中含义不明确、同类问题表述不一致或者有明显文字和计算错误的内容，在规定的时限内要求供应商作出必要的澄清、说明或者补正。</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33.2.3评标委员会认为供应商的报价明显低于其他通过符合性审查供应商的报价，有可能影响产品质量或者不能诚信履约的，应当要求其在评标现场合理的时间内提供相关说明，必要时提交相关证明材料；供应商不能证明其报价合理性的，评标委员会应当将其作为无效投标处理。</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s="宋体"/>
          <w:color w:val="auto"/>
          <w:kern w:val="1"/>
          <w:sz w:val="24"/>
        </w:rPr>
        <w:t>33.2.4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33.2.5评标委员会发现招标文件存在歧义、重大缺陷导致评标工作无法进行，或者招标文件内容违反国家有关强制性规定的，应当停止评标工作，与采购人和采购代理机构沟通并作书面记录。采购人和采购代理机构确认后，应当修改招标文件，重新组织采购活动。</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33.2.6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33.2.7评标结果汇总完成后，除下列情形外，任何人不得修改评标结果：</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（一）分值汇总计算错误的；</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（二）分项评分超出评分标准范围的；</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（三）评标委员会成员对客观评审因素评分不一致的；</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（四）经评标委员会认定评分畸高、畸低的。</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FFFFFF"/>
        <w:spacing w:line="420" w:lineRule="exact"/>
        <w:ind w:firstLine="480" w:firstLineChars="200"/>
        <w:rPr>
          <w:rFonts w:ascii="仿宋" w:hAnsi="仿宋" w:eastAsia="仿宋"/>
          <w:bCs/>
          <w:color w:val="auto"/>
          <w:kern w:val="0"/>
          <w:sz w:val="24"/>
        </w:rPr>
      </w:pPr>
      <w:r>
        <w:rPr>
          <w:rFonts w:hint="eastAsia" w:ascii="仿宋" w:hAnsi="仿宋" w:eastAsia="仿宋"/>
          <w:color w:val="auto"/>
          <w:kern w:val="0"/>
          <w:sz w:val="24"/>
        </w:rPr>
        <w:t>33.2.8 评标委员会依据投标须知前附表规定的评标方法，对供应商的投标文件进行评审和比较，</w:t>
      </w:r>
      <w:r>
        <w:rPr>
          <w:rFonts w:hint="eastAsia" w:ascii="仿宋" w:hAnsi="仿宋" w:eastAsia="仿宋"/>
          <w:bCs/>
          <w:color w:val="auto"/>
          <w:kern w:val="0"/>
          <w:sz w:val="24"/>
        </w:rPr>
        <w:t>供应商最终得分等于商务部分、技术部分、报价部分得分之和。评标委员会确定供应商最终得分向采购人提出书面报告，并推荐合格的中标候选人。</w:t>
      </w:r>
    </w:p>
    <w:p>
      <w:pPr>
        <w:shd w:val="clear" w:color="auto" w:fill="FFFFFF"/>
        <w:spacing w:line="42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34. 评标的办法和标准</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34.1 本招标项目评标办法为：</w:t>
      </w:r>
      <w:r>
        <w:rPr>
          <w:rFonts w:hint="eastAsia" w:ascii="仿宋" w:hAnsi="仿宋" w:eastAsia="仿宋"/>
          <w:b/>
          <w:color w:val="auto"/>
          <w:kern w:val="0"/>
          <w:sz w:val="24"/>
        </w:rPr>
        <w:t>综合评分法</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34.2 审查</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34.2.1 资格审查</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34.2.2 投标文件符合性审查</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34.2.3 投标文件详细评审</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（1）投标报价评审</w:t>
      </w:r>
    </w:p>
    <w:p>
      <w:pPr>
        <w:shd w:val="clear" w:color="auto" w:fill="FFFFFF"/>
        <w:spacing w:line="420" w:lineRule="exact"/>
        <w:ind w:firstLine="480" w:firstLineChars="200"/>
        <w:rPr>
          <w:rFonts w:ascii="仿宋" w:hAnsi="仿宋" w:eastAsia="仿宋"/>
          <w:color w:val="auto"/>
          <w:kern w:val="0"/>
          <w:sz w:val="24"/>
        </w:rPr>
      </w:pPr>
      <w:r>
        <w:rPr>
          <w:rFonts w:hint="eastAsia" w:ascii="仿宋" w:hAnsi="仿宋" w:eastAsia="仿宋"/>
          <w:color w:val="auto"/>
          <w:kern w:val="0"/>
          <w:sz w:val="24"/>
        </w:rPr>
        <w:t>（2）投标文件商务部分、技术部分评审</w:t>
      </w:r>
    </w:p>
    <w:p>
      <w:pPr>
        <w:shd w:val="clear" w:color="auto" w:fill="FFFFFF"/>
        <w:spacing w:line="420" w:lineRule="exact"/>
        <w:ind w:firstLine="480" w:firstLineChars="200"/>
        <w:rPr>
          <w:rFonts w:ascii="仿宋" w:hAnsi="仿宋" w:eastAsia="仿宋"/>
          <w:color w:val="auto"/>
          <w:kern w:val="0"/>
          <w:szCs w:val="21"/>
        </w:rPr>
      </w:pPr>
      <w:r>
        <w:rPr>
          <w:rFonts w:hint="eastAsia" w:ascii="仿宋" w:hAnsi="仿宋" w:eastAsia="仿宋"/>
          <w:color w:val="auto"/>
          <w:kern w:val="0"/>
          <w:sz w:val="24"/>
        </w:rPr>
        <w:t>34.3 评标的具体评审办法和标准</w:t>
      </w: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pStyle w:val="57"/>
        <w:ind w:firstLine="210"/>
        <w:rPr>
          <w:color w:val="auto"/>
        </w:rPr>
      </w:pPr>
    </w:p>
    <w:p>
      <w:pPr>
        <w:pStyle w:val="57"/>
        <w:ind w:firstLine="210"/>
        <w:rPr>
          <w:color w:val="auto"/>
        </w:rPr>
      </w:pPr>
    </w:p>
    <w:p>
      <w:pPr>
        <w:pStyle w:val="57"/>
        <w:ind w:firstLine="210"/>
        <w:rPr>
          <w:color w:val="auto"/>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r>
        <w:rPr>
          <w:rFonts w:hint="eastAsia" w:ascii="仿宋" w:hAnsi="仿宋" w:eastAsia="仿宋"/>
          <w:b/>
          <w:color w:val="auto"/>
          <w:sz w:val="24"/>
        </w:rPr>
        <w:t>34.3.1资格审查</w:t>
      </w: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tbl>
      <w:tblPr>
        <w:tblStyle w:val="59"/>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67"/>
        <w:gridCol w:w="4252"/>
        <w:gridCol w:w="1134"/>
        <w:gridCol w:w="1134"/>
        <w:gridCol w:w="113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82" w:hRule="atLeast"/>
        </w:trPr>
        <w:tc>
          <w:tcPr>
            <w:tcW w:w="851" w:type="dxa"/>
            <w:tcBorders>
              <w:bottom w:val="single" w:color="auto" w:sz="4" w:space="0"/>
            </w:tcBorders>
            <w:vAlign w:val="center"/>
          </w:tcPr>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项目</w:t>
            </w:r>
          </w:p>
        </w:tc>
        <w:tc>
          <w:tcPr>
            <w:tcW w:w="4819" w:type="dxa"/>
            <w:gridSpan w:val="2"/>
            <w:tcBorders>
              <w:bottom w:val="single" w:color="auto" w:sz="4" w:space="0"/>
            </w:tcBorders>
            <w:vAlign w:val="center"/>
          </w:tcPr>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评  审  内  容</w:t>
            </w:r>
          </w:p>
        </w:tc>
        <w:tc>
          <w:tcPr>
            <w:tcW w:w="1134" w:type="dxa"/>
            <w:tcBorders>
              <w:bottom w:val="single" w:color="auto" w:sz="4" w:space="0"/>
            </w:tcBorders>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供应商1</w:t>
            </w:r>
          </w:p>
        </w:tc>
        <w:tc>
          <w:tcPr>
            <w:tcW w:w="1134" w:type="dxa"/>
            <w:tcBorders>
              <w:bottom w:val="single" w:color="auto" w:sz="4" w:space="0"/>
            </w:tcBorders>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供应商2</w:t>
            </w:r>
          </w:p>
        </w:tc>
        <w:tc>
          <w:tcPr>
            <w:tcW w:w="1134" w:type="dxa"/>
            <w:tcBorders>
              <w:bottom w:val="single" w:color="auto" w:sz="4" w:space="0"/>
            </w:tcBorders>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供应商3</w:t>
            </w:r>
          </w:p>
        </w:tc>
        <w:tc>
          <w:tcPr>
            <w:tcW w:w="709" w:type="dxa"/>
            <w:tcBorders>
              <w:bottom w:val="single" w:color="auto" w:sz="4" w:space="0"/>
            </w:tcBorders>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851" w:type="dxa"/>
            <w:vMerge w:val="restart"/>
            <w:vAlign w:val="center"/>
          </w:tcPr>
          <w:p>
            <w:pPr>
              <w:shd w:val="clear" w:color="auto" w:fill="FFFFFF"/>
              <w:spacing w:line="360" w:lineRule="exact"/>
              <w:jc w:val="center"/>
              <w:rPr>
                <w:rFonts w:ascii="仿宋" w:hAnsi="仿宋" w:eastAsia="仿宋"/>
                <w:b/>
                <w:color w:val="auto"/>
                <w:sz w:val="24"/>
              </w:rPr>
            </w:pP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资</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格</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审</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查</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表</w:t>
            </w:r>
          </w:p>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1</w:t>
            </w:r>
          </w:p>
        </w:tc>
        <w:tc>
          <w:tcPr>
            <w:tcW w:w="4252" w:type="dxa"/>
            <w:vAlign w:val="center"/>
          </w:tcPr>
          <w:p>
            <w:pPr>
              <w:shd w:val="clear" w:color="auto" w:fill="FFFFFF"/>
              <w:spacing w:line="340" w:lineRule="exact"/>
              <w:rPr>
                <w:rFonts w:ascii="仿宋" w:hAnsi="仿宋" w:eastAsia="仿宋"/>
                <w:color w:val="auto"/>
                <w:sz w:val="24"/>
              </w:rPr>
            </w:pPr>
            <w:r>
              <w:rPr>
                <w:rFonts w:hint="eastAsia" w:ascii="仿宋" w:hAnsi="仿宋" w:eastAsia="仿宋" w:cs="宋体"/>
                <w:color w:val="auto"/>
                <w:sz w:val="24"/>
              </w:rPr>
              <w:t>供应商营业执照或其他组织资格证书</w:t>
            </w:r>
            <w:r>
              <w:rPr>
                <w:rFonts w:hint="eastAsia" w:ascii="仿宋" w:hAnsi="仿宋" w:eastAsia="仿宋"/>
                <w:bCs/>
                <w:color w:val="auto"/>
                <w:kern w:val="0"/>
                <w:sz w:val="24"/>
              </w:rPr>
              <w:t>，均为证件的扫描件</w:t>
            </w: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709"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31"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2</w:t>
            </w:r>
          </w:p>
        </w:tc>
        <w:tc>
          <w:tcPr>
            <w:tcW w:w="4252" w:type="dxa"/>
            <w:vAlign w:val="center"/>
          </w:tcPr>
          <w:p>
            <w:pPr>
              <w:shd w:val="clear" w:color="auto" w:fill="FFFFFF"/>
              <w:spacing w:line="340" w:lineRule="exact"/>
              <w:rPr>
                <w:rFonts w:ascii="仿宋" w:hAnsi="仿宋" w:eastAsia="仿宋"/>
                <w:color w:val="auto"/>
                <w:sz w:val="24"/>
              </w:rPr>
            </w:pPr>
            <w:r>
              <w:rPr>
                <w:rFonts w:hint="eastAsia" w:ascii="仿宋" w:hAnsi="仿宋" w:eastAsia="仿宋"/>
                <w:bCs/>
                <w:color w:val="auto"/>
                <w:kern w:val="0"/>
                <w:sz w:val="24"/>
              </w:rPr>
              <w:t>法定代表人（或负责人）资格证明书和法定代表人（或负责人）身份证或者法定代表人（或负责人）授权委托书及被授权人身份证明，均为扫描件</w:t>
            </w: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709"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14"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3</w:t>
            </w:r>
          </w:p>
        </w:tc>
        <w:tc>
          <w:tcPr>
            <w:tcW w:w="4252" w:type="dxa"/>
            <w:vAlign w:val="center"/>
          </w:tcPr>
          <w:p>
            <w:pPr>
              <w:shd w:val="clear" w:color="auto" w:fill="FFFFFF"/>
              <w:spacing w:line="340" w:lineRule="exact"/>
              <w:rPr>
                <w:rFonts w:ascii="仿宋" w:hAnsi="仿宋" w:eastAsia="仿宋"/>
                <w:color w:val="auto"/>
                <w:sz w:val="24"/>
              </w:rPr>
            </w:pPr>
            <w:r>
              <w:rPr>
                <w:rFonts w:hint="eastAsia" w:ascii="仿宋" w:hAnsi="仿宋" w:eastAsia="仿宋"/>
                <w:bCs/>
                <w:color w:val="auto"/>
                <w:kern w:val="0"/>
                <w:sz w:val="24"/>
              </w:rPr>
              <w:t>供应商2022年任意连续三个月依法纳税及缴纳社会保险相关证明资料</w:t>
            </w: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709"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1"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4</w:t>
            </w:r>
          </w:p>
        </w:tc>
        <w:tc>
          <w:tcPr>
            <w:tcW w:w="4252" w:type="dxa"/>
            <w:vAlign w:val="center"/>
          </w:tcPr>
          <w:p>
            <w:pPr>
              <w:shd w:val="clear" w:color="auto" w:fill="FFFFFF"/>
              <w:spacing w:line="340" w:lineRule="exact"/>
              <w:rPr>
                <w:rFonts w:ascii="仿宋" w:hAnsi="仿宋" w:eastAsia="仿宋"/>
                <w:color w:val="auto"/>
                <w:sz w:val="24"/>
              </w:rPr>
            </w:pPr>
            <w:r>
              <w:rPr>
                <w:rFonts w:hint="eastAsia" w:ascii="仿宋" w:hAnsi="仿宋" w:eastAsia="仿宋"/>
                <w:bCs/>
                <w:color w:val="auto"/>
                <w:kern w:val="0"/>
                <w:sz w:val="24"/>
              </w:rPr>
              <w:t>供应商</w:t>
            </w:r>
            <w:r>
              <w:rPr>
                <w:rFonts w:hint="eastAsia" w:ascii="仿宋" w:hAnsi="仿宋" w:eastAsia="仿宋"/>
                <w:color w:val="auto"/>
                <w:kern w:val="0"/>
                <w:sz w:val="24"/>
                <w:szCs w:val="22"/>
              </w:rPr>
              <w:t>经审计的</w:t>
            </w:r>
            <w:r>
              <w:rPr>
                <w:rFonts w:ascii="仿宋" w:hAnsi="仿宋" w:eastAsia="仿宋"/>
                <w:color w:val="auto"/>
                <w:kern w:val="0"/>
                <w:sz w:val="24"/>
                <w:szCs w:val="22"/>
              </w:rPr>
              <w:t>202</w:t>
            </w:r>
            <w:r>
              <w:rPr>
                <w:rFonts w:hint="eastAsia" w:ascii="仿宋" w:hAnsi="仿宋" w:eastAsia="仿宋"/>
                <w:color w:val="auto"/>
                <w:kern w:val="0"/>
                <w:sz w:val="24"/>
                <w:szCs w:val="22"/>
              </w:rPr>
              <w:t>1年度的财务报告复印件（投标单位成立不满一年的不需提供）</w:t>
            </w: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709"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35"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5</w:t>
            </w:r>
          </w:p>
        </w:tc>
        <w:tc>
          <w:tcPr>
            <w:tcW w:w="4252" w:type="dxa"/>
            <w:vAlign w:val="center"/>
          </w:tcPr>
          <w:p>
            <w:pPr>
              <w:shd w:val="clear" w:color="auto" w:fill="FFFFFF"/>
              <w:spacing w:line="340" w:lineRule="exact"/>
              <w:rPr>
                <w:rFonts w:ascii="仿宋" w:hAnsi="仿宋" w:eastAsia="仿宋"/>
                <w:color w:val="auto"/>
                <w:sz w:val="24"/>
              </w:rPr>
            </w:pPr>
            <w:r>
              <w:rPr>
                <w:rFonts w:hint="eastAsia" w:ascii="仿宋" w:hAnsi="仿宋" w:eastAsia="仿宋"/>
                <w:bCs/>
                <w:color w:val="auto"/>
                <w:kern w:val="0"/>
                <w:sz w:val="24"/>
              </w:rPr>
              <w:t>供应商参加本次政府采购活动前3年内在经营活动中没有重大违法记录的书面声明（原件的扫描件）</w:t>
            </w: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709"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7"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6</w:t>
            </w:r>
          </w:p>
        </w:tc>
        <w:tc>
          <w:tcPr>
            <w:tcW w:w="4252" w:type="dxa"/>
            <w:vAlign w:val="center"/>
          </w:tcPr>
          <w:p>
            <w:pPr>
              <w:shd w:val="clear" w:color="auto" w:fill="FFFFFF"/>
              <w:spacing w:line="340" w:lineRule="exact"/>
              <w:rPr>
                <w:rFonts w:ascii="仿宋" w:hAnsi="仿宋" w:eastAsia="仿宋"/>
                <w:color w:val="auto"/>
                <w:sz w:val="24"/>
              </w:rPr>
            </w:pPr>
            <w:r>
              <w:rPr>
                <w:rFonts w:hint="eastAsia" w:ascii="仿宋" w:hAnsi="仿宋" w:eastAsia="仿宋"/>
                <w:bCs/>
                <w:color w:val="auto"/>
                <w:kern w:val="0"/>
                <w:sz w:val="24"/>
              </w:rPr>
              <w:t>投标保证金缴纳凭证（网上支付凭证打印件）</w:t>
            </w: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709"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43" w:hRule="atLeast"/>
        </w:trPr>
        <w:tc>
          <w:tcPr>
            <w:tcW w:w="851" w:type="dxa"/>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7</w:t>
            </w:r>
          </w:p>
        </w:tc>
        <w:tc>
          <w:tcPr>
            <w:tcW w:w="4252" w:type="dxa"/>
            <w:vAlign w:val="center"/>
          </w:tcPr>
          <w:p>
            <w:pPr>
              <w:shd w:val="clear" w:color="auto" w:fill="FFFFFF"/>
              <w:spacing w:line="340" w:lineRule="exact"/>
              <w:rPr>
                <w:rFonts w:ascii="仿宋" w:hAnsi="仿宋" w:eastAsia="仿宋"/>
                <w:bCs/>
                <w:color w:val="auto"/>
                <w:kern w:val="0"/>
                <w:sz w:val="24"/>
              </w:rPr>
            </w:pPr>
            <w:r>
              <w:rPr>
                <w:rFonts w:hint="eastAsia" w:ascii="仿宋" w:hAnsi="仿宋" w:eastAsia="仿宋"/>
                <w:color w:val="auto"/>
                <w:sz w:val="24"/>
              </w:rPr>
              <w:t>信用查询记录未出现《投标须知前附表》第4.2项所述违法或失信情形。</w:t>
            </w: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709"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5" w:hRule="atLeast"/>
        </w:trPr>
        <w:tc>
          <w:tcPr>
            <w:tcW w:w="5670" w:type="dxa"/>
            <w:gridSpan w:val="3"/>
            <w:vAlign w:val="center"/>
          </w:tcPr>
          <w:p>
            <w:pPr>
              <w:shd w:val="clear" w:color="auto" w:fill="FFFFFF"/>
              <w:spacing w:line="360" w:lineRule="exact"/>
              <w:jc w:val="right"/>
              <w:rPr>
                <w:rFonts w:ascii="仿宋" w:hAnsi="仿宋" w:eastAsia="仿宋"/>
                <w:color w:val="auto"/>
                <w:sz w:val="24"/>
              </w:rPr>
            </w:pPr>
            <w:r>
              <w:rPr>
                <w:rFonts w:hint="eastAsia" w:ascii="仿宋" w:hAnsi="仿宋" w:eastAsia="仿宋"/>
                <w:color w:val="auto"/>
                <w:sz w:val="24"/>
              </w:rPr>
              <w:t>结论</w:t>
            </w: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709"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68" w:hRule="atLeast"/>
        </w:trPr>
        <w:tc>
          <w:tcPr>
            <w:tcW w:w="9781" w:type="dxa"/>
            <w:gridSpan w:val="7"/>
            <w:vAlign w:val="center"/>
          </w:tcPr>
          <w:p>
            <w:pPr>
              <w:shd w:val="clear" w:color="auto" w:fill="FFFFFF"/>
              <w:spacing w:line="440" w:lineRule="exact"/>
              <w:rPr>
                <w:rFonts w:ascii="仿宋" w:hAnsi="仿宋" w:eastAsia="仿宋"/>
                <w:bCs/>
                <w:color w:val="auto"/>
                <w:kern w:val="0"/>
                <w:sz w:val="24"/>
              </w:rPr>
            </w:pPr>
            <w:r>
              <w:rPr>
                <w:rFonts w:hint="eastAsia" w:ascii="仿宋" w:hAnsi="仿宋" w:eastAsia="仿宋"/>
                <w:b/>
                <w:color w:val="auto"/>
                <w:sz w:val="24"/>
              </w:rPr>
              <w:t>采购人代表签名：</w:t>
            </w:r>
            <w:r>
              <w:rPr>
                <w:rFonts w:ascii="仿宋" w:hAnsi="仿宋" w:eastAsia="仿宋"/>
                <w:bCs/>
                <w:color w:val="auto"/>
                <w:kern w:val="0"/>
                <w:sz w:val="24"/>
              </w:rPr>
              <w:t xml:space="preserve"> </w:t>
            </w:r>
          </w:p>
          <w:p>
            <w:pPr>
              <w:shd w:val="clear" w:color="auto" w:fill="FFFFFF"/>
              <w:spacing w:line="360" w:lineRule="exact"/>
              <w:rPr>
                <w:rFonts w:ascii="仿宋" w:hAnsi="仿宋" w:eastAsia="仿宋"/>
                <w:color w:val="auto"/>
                <w:sz w:val="24"/>
              </w:rPr>
            </w:pPr>
            <w:r>
              <w:rPr>
                <w:rFonts w:hint="eastAsia" w:ascii="仿宋" w:hAnsi="仿宋" w:eastAsia="仿宋"/>
                <w:b/>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83" w:hRule="atLeast"/>
        </w:trPr>
        <w:tc>
          <w:tcPr>
            <w:tcW w:w="9781" w:type="dxa"/>
            <w:gridSpan w:val="7"/>
            <w:vAlign w:val="center"/>
          </w:tcPr>
          <w:p>
            <w:pPr>
              <w:shd w:val="clear" w:color="auto" w:fill="FFFFFF"/>
              <w:spacing w:line="360" w:lineRule="exact"/>
              <w:rPr>
                <w:rFonts w:ascii="仿宋" w:hAnsi="仿宋" w:eastAsia="仿宋"/>
                <w:b/>
                <w:color w:val="auto"/>
                <w:sz w:val="24"/>
              </w:rPr>
            </w:pPr>
            <w:r>
              <w:rPr>
                <w:rFonts w:hint="eastAsia" w:ascii="仿宋" w:hAnsi="仿宋" w:eastAsia="仿宋"/>
                <w:color w:val="auto"/>
                <w:sz w:val="24"/>
              </w:rPr>
              <w:t>备注：上述每一项审查，供应商通过的，以“√”标记；否则，以“×”标记。如果供应商有一项未通过上述审查，其结论请注明“不合格”，全部通过的，其结论请注明“合格”。资格审查不合格的供应商，投标无效。</w:t>
            </w:r>
          </w:p>
        </w:tc>
      </w:tr>
    </w:tbl>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kern w:val="0"/>
          <w:sz w:val="24"/>
        </w:rPr>
      </w:pPr>
      <w:r>
        <w:rPr>
          <w:rFonts w:hint="eastAsia" w:ascii="仿宋" w:hAnsi="仿宋" w:eastAsia="仿宋"/>
          <w:b/>
          <w:color w:val="auto"/>
          <w:sz w:val="24"/>
        </w:rPr>
        <w:t>34.3.2符合性审查</w:t>
      </w:r>
    </w:p>
    <w:tbl>
      <w:tblPr>
        <w:tblStyle w:val="59"/>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67"/>
        <w:gridCol w:w="4561"/>
        <w:gridCol w:w="1035"/>
        <w:gridCol w:w="1012"/>
        <w:gridCol w:w="1023"/>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51" w:type="dxa"/>
            <w:tcBorders>
              <w:bottom w:val="single" w:color="auto" w:sz="4" w:space="0"/>
            </w:tcBorders>
            <w:vAlign w:val="center"/>
          </w:tcPr>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项目</w:t>
            </w:r>
          </w:p>
        </w:tc>
        <w:tc>
          <w:tcPr>
            <w:tcW w:w="5128" w:type="dxa"/>
            <w:gridSpan w:val="2"/>
            <w:tcBorders>
              <w:bottom w:val="single" w:color="auto" w:sz="4" w:space="0"/>
            </w:tcBorders>
            <w:vAlign w:val="center"/>
          </w:tcPr>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评  审  内  容</w:t>
            </w:r>
          </w:p>
        </w:tc>
        <w:tc>
          <w:tcPr>
            <w:tcW w:w="1035" w:type="dxa"/>
            <w:tcBorders>
              <w:bottom w:val="single" w:color="auto" w:sz="4" w:space="0"/>
            </w:tcBorders>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供应商1</w:t>
            </w:r>
          </w:p>
        </w:tc>
        <w:tc>
          <w:tcPr>
            <w:tcW w:w="1012" w:type="dxa"/>
            <w:tcBorders>
              <w:bottom w:val="single" w:color="auto" w:sz="4" w:space="0"/>
            </w:tcBorders>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供应商2</w:t>
            </w:r>
          </w:p>
        </w:tc>
        <w:tc>
          <w:tcPr>
            <w:tcW w:w="1023" w:type="dxa"/>
            <w:tcBorders>
              <w:bottom w:val="single" w:color="auto" w:sz="4" w:space="0"/>
            </w:tcBorders>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供应商3</w:t>
            </w:r>
          </w:p>
        </w:tc>
        <w:tc>
          <w:tcPr>
            <w:tcW w:w="732" w:type="dxa"/>
            <w:tcBorders>
              <w:bottom w:val="single" w:color="auto" w:sz="4" w:space="0"/>
            </w:tcBorders>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1" w:type="dxa"/>
            <w:vMerge w:val="restart"/>
            <w:vAlign w:val="center"/>
          </w:tcPr>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初</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步</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评</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审</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符</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合</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性</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审</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查</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表</w:t>
            </w:r>
          </w:p>
          <w:p>
            <w:pPr>
              <w:shd w:val="clear" w:color="auto" w:fill="FFFFFF"/>
              <w:spacing w:line="360" w:lineRule="exact"/>
              <w:jc w:val="center"/>
              <w:rPr>
                <w:rFonts w:ascii="仿宋" w:hAnsi="仿宋" w:eastAsia="仿宋"/>
                <w:color w:val="auto"/>
                <w:sz w:val="24"/>
              </w:rPr>
            </w:pPr>
            <w:r>
              <w:rPr>
                <w:rFonts w:hint="eastAsia" w:ascii="仿宋" w:hAnsi="仿宋" w:eastAsia="仿宋"/>
                <w:b/>
                <w:color w:val="auto"/>
                <w:sz w:val="24"/>
              </w:rPr>
              <w:t>︺</w:t>
            </w: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1</w:t>
            </w:r>
          </w:p>
        </w:tc>
        <w:tc>
          <w:tcPr>
            <w:tcW w:w="4561" w:type="dxa"/>
            <w:vAlign w:val="center"/>
          </w:tcPr>
          <w:p>
            <w:pPr>
              <w:shd w:val="clear" w:color="auto" w:fill="FFFFFF"/>
              <w:spacing w:line="360" w:lineRule="exact"/>
              <w:rPr>
                <w:rFonts w:ascii="仿宋" w:hAnsi="仿宋" w:eastAsia="仿宋"/>
                <w:color w:val="auto"/>
                <w:sz w:val="24"/>
              </w:rPr>
            </w:pPr>
            <w:r>
              <w:rPr>
                <w:rFonts w:hint="eastAsia" w:ascii="仿宋" w:hAnsi="仿宋" w:eastAsia="仿宋"/>
                <w:color w:val="auto"/>
                <w:sz w:val="24"/>
              </w:rPr>
              <w:t>投标文件组成完整，主要内容按招标文件规定的内容、格式填写装订</w:t>
            </w:r>
          </w:p>
        </w:tc>
        <w:tc>
          <w:tcPr>
            <w:tcW w:w="1035" w:type="dxa"/>
            <w:vAlign w:val="center"/>
          </w:tcPr>
          <w:p>
            <w:pPr>
              <w:shd w:val="clear" w:color="auto" w:fill="FFFFFF"/>
              <w:spacing w:line="360" w:lineRule="exact"/>
              <w:rPr>
                <w:rFonts w:ascii="仿宋" w:hAnsi="仿宋" w:eastAsia="仿宋"/>
                <w:color w:val="auto"/>
                <w:sz w:val="24"/>
              </w:rPr>
            </w:pPr>
          </w:p>
        </w:tc>
        <w:tc>
          <w:tcPr>
            <w:tcW w:w="1012" w:type="dxa"/>
            <w:vAlign w:val="center"/>
          </w:tcPr>
          <w:p>
            <w:pPr>
              <w:shd w:val="clear" w:color="auto" w:fill="FFFFFF"/>
              <w:spacing w:line="360" w:lineRule="exact"/>
              <w:rPr>
                <w:rFonts w:ascii="仿宋" w:hAnsi="仿宋" w:eastAsia="仿宋"/>
                <w:color w:val="auto"/>
                <w:sz w:val="24"/>
              </w:rPr>
            </w:pPr>
          </w:p>
        </w:tc>
        <w:tc>
          <w:tcPr>
            <w:tcW w:w="1023" w:type="dxa"/>
            <w:vAlign w:val="center"/>
          </w:tcPr>
          <w:p>
            <w:pPr>
              <w:shd w:val="clear" w:color="auto" w:fill="FFFFFF"/>
              <w:spacing w:line="360" w:lineRule="exact"/>
              <w:rPr>
                <w:rFonts w:ascii="仿宋" w:hAnsi="仿宋" w:eastAsia="仿宋"/>
                <w:color w:val="auto"/>
                <w:sz w:val="24"/>
              </w:rPr>
            </w:pPr>
          </w:p>
        </w:tc>
        <w:tc>
          <w:tcPr>
            <w:tcW w:w="732"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8"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2</w:t>
            </w:r>
          </w:p>
        </w:tc>
        <w:tc>
          <w:tcPr>
            <w:tcW w:w="4561" w:type="dxa"/>
            <w:vAlign w:val="center"/>
          </w:tcPr>
          <w:p>
            <w:pPr>
              <w:shd w:val="clear" w:color="auto" w:fill="FFFFFF"/>
              <w:spacing w:line="360" w:lineRule="exact"/>
              <w:rPr>
                <w:rFonts w:ascii="仿宋" w:hAnsi="仿宋" w:eastAsia="仿宋"/>
                <w:color w:val="auto"/>
                <w:sz w:val="24"/>
              </w:rPr>
            </w:pPr>
            <w:r>
              <w:rPr>
                <w:rFonts w:hint="eastAsia" w:ascii="仿宋" w:hAnsi="仿宋" w:eastAsia="仿宋"/>
                <w:color w:val="auto"/>
                <w:sz w:val="24"/>
              </w:rPr>
              <w:t>投标总报价未超过本项目的最高限价</w:t>
            </w:r>
          </w:p>
        </w:tc>
        <w:tc>
          <w:tcPr>
            <w:tcW w:w="1035" w:type="dxa"/>
            <w:vAlign w:val="center"/>
          </w:tcPr>
          <w:p>
            <w:pPr>
              <w:shd w:val="clear" w:color="auto" w:fill="FFFFFF"/>
              <w:spacing w:line="360" w:lineRule="exact"/>
              <w:rPr>
                <w:rFonts w:ascii="仿宋" w:hAnsi="仿宋" w:eastAsia="仿宋"/>
                <w:color w:val="auto"/>
                <w:sz w:val="24"/>
              </w:rPr>
            </w:pPr>
          </w:p>
        </w:tc>
        <w:tc>
          <w:tcPr>
            <w:tcW w:w="1012" w:type="dxa"/>
            <w:vAlign w:val="center"/>
          </w:tcPr>
          <w:p>
            <w:pPr>
              <w:shd w:val="clear" w:color="auto" w:fill="FFFFFF"/>
              <w:spacing w:line="360" w:lineRule="exact"/>
              <w:rPr>
                <w:rFonts w:ascii="仿宋" w:hAnsi="仿宋" w:eastAsia="仿宋"/>
                <w:color w:val="auto"/>
                <w:sz w:val="24"/>
              </w:rPr>
            </w:pPr>
          </w:p>
        </w:tc>
        <w:tc>
          <w:tcPr>
            <w:tcW w:w="1023" w:type="dxa"/>
            <w:vAlign w:val="center"/>
          </w:tcPr>
          <w:p>
            <w:pPr>
              <w:shd w:val="clear" w:color="auto" w:fill="FFFFFF"/>
              <w:spacing w:line="360" w:lineRule="exact"/>
              <w:rPr>
                <w:rFonts w:ascii="仿宋" w:hAnsi="仿宋" w:eastAsia="仿宋"/>
                <w:color w:val="auto"/>
                <w:sz w:val="24"/>
              </w:rPr>
            </w:pPr>
          </w:p>
        </w:tc>
        <w:tc>
          <w:tcPr>
            <w:tcW w:w="732"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3</w:t>
            </w:r>
          </w:p>
        </w:tc>
        <w:tc>
          <w:tcPr>
            <w:tcW w:w="4561" w:type="dxa"/>
            <w:vAlign w:val="center"/>
          </w:tcPr>
          <w:p>
            <w:pPr>
              <w:shd w:val="clear" w:color="auto" w:fill="FFFFFF"/>
              <w:spacing w:line="360" w:lineRule="exact"/>
              <w:rPr>
                <w:rFonts w:ascii="仿宋" w:hAnsi="仿宋" w:eastAsia="仿宋"/>
                <w:color w:val="auto"/>
                <w:sz w:val="24"/>
              </w:rPr>
            </w:pPr>
            <w:r>
              <w:rPr>
                <w:rFonts w:hint="eastAsia" w:ascii="仿宋" w:hAnsi="仿宋" w:eastAsia="仿宋"/>
                <w:color w:val="auto"/>
                <w:sz w:val="24"/>
              </w:rPr>
              <w:t>供应商未出现对同一货物做出两个以上报价且未明确效力的</w:t>
            </w:r>
          </w:p>
        </w:tc>
        <w:tc>
          <w:tcPr>
            <w:tcW w:w="1035" w:type="dxa"/>
            <w:vAlign w:val="center"/>
          </w:tcPr>
          <w:p>
            <w:pPr>
              <w:shd w:val="clear" w:color="auto" w:fill="FFFFFF"/>
              <w:spacing w:line="360" w:lineRule="exact"/>
              <w:rPr>
                <w:rFonts w:ascii="仿宋" w:hAnsi="仿宋" w:eastAsia="仿宋"/>
                <w:color w:val="auto"/>
                <w:sz w:val="24"/>
              </w:rPr>
            </w:pPr>
          </w:p>
        </w:tc>
        <w:tc>
          <w:tcPr>
            <w:tcW w:w="1012" w:type="dxa"/>
            <w:vAlign w:val="center"/>
          </w:tcPr>
          <w:p>
            <w:pPr>
              <w:shd w:val="clear" w:color="auto" w:fill="FFFFFF"/>
              <w:spacing w:line="360" w:lineRule="exact"/>
              <w:rPr>
                <w:rFonts w:ascii="仿宋" w:hAnsi="仿宋" w:eastAsia="仿宋"/>
                <w:color w:val="auto"/>
                <w:sz w:val="24"/>
              </w:rPr>
            </w:pPr>
          </w:p>
        </w:tc>
        <w:tc>
          <w:tcPr>
            <w:tcW w:w="1023" w:type="dxa"/>
            <w:vAlign w:val="center"/>
          </w:tcPr>
          <w:p>
            <w:pPr>
              <w:shd w:val="clear" w:color="auto" w:fill="FFFFFF"/>
              <w:spacing w:line="360" w:lineRule="exact"/>
              <w:rPr>
                <w:rFonts w:ascii="仿宋" w:hAnsi="仿宋" w:eastAsia="仿宋"/>
                <w:color w:val="auto"/>
                <w:sz w:val="24"/>
              </w:rPr>
            </w:pPr>
          </w:p>
        </w:tc>
        <w:tc>
          <w:tcPr>
            <w:tcW w:w="732"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4</w:t>
            </w:r>
          </w:p>
        </w:tc>
        <w:tc>
          <w:tcPr>
            <w:tcW w:w="4561" w:type="dxa"/>
            <w:vAlign w:val="center"/>
          </w:tcPr>
          <w:p>
            <w:pPr>
              <w:shd w:val="clear" w:color="auto" w:fill="FFFFFF"/>
              <w:spacing w:line="360" w:lineRule="exact"/>
              <w:rPr>
                <w:rFonts w:ascii="仿宋" w:hAnsi="仿宋" w:eastAsia="仿宋"/>
                <w:color w:val="auto"/>
                <w:sz w:val="24"/>
              </w:rPr>
            </w:pPr>
            <w:r>
              <w:rPr>
                <w:rFonts w:hint="eastAsia" w:ascii="仿宋" w:hAnsi="仿宋" w:eastAsia="仿宋"/>
                <w:color w:val="auto"/>
                <w:sz w:val="24"/>
              </w:rPr>
              <w:t>投标文件载明的</w:t>
            </w:r>
            <w:r>
              <w:rPr>
                <w:rFonts w:hint="eastAsia" w:ascii="仿宋" w:hAnsi="仿宋" w:eastAsia="仿宋"/>
                <w:bCs/>
                <w:color w:val="auto"/>
                <w:kern w:val="0"/>
                <w:sz w:val="24"/>
              </w:rPr>
              <w:t>“投标有效期”、“交货期及完工期”、“交货地点”、“质保期”、“付款方式”</w:t>
            </w:r>
            <w:r>
              <w:rPr>
                <w:rFonts w:hint="eastAsia" w:ascii="仿宋" w:hAnsi="仿宋" w:eastAsia="仿宋"/>
                <w:color w:val="auto"/>
                <w:sz w:val="24"/>
              </w:rPr>
              <w:t>符合招标文件要求，未出现负偏离</w:t>
            </w:r>
          </w:p>
        </w:tc>
        <w:tc>
          <w:tcPr>
            <w:tcW w:w="1035" w:type="dxa"/>
            <w:vAlign w:val="center"/>
          </w:tcPr>
          <w:p>
            <w:pPr>
              <w:shd w:val="clear" w:color="auto" w:fill="FFFFFF"/>
              <w:spacing w:line="360" w:lineRule="exact"/>
              <w:rPr>
                <w:rFonts w:ascii="仿宋" w:hAnsi="仿宋" w:eastAsia="仿宋"/>
                <w:color w:val="auto"/>
                <w:sz w:val="24"/>
              </w:rPr>
            </w:pPr>
          </w:p>
        </w:tc>
        <w:tc>
          <w:tcPr>
            <w:tcW w:w="1012" w:type="dxa"/>
            <w:vAlign w:val="center"/>
          </w:tcPr>
          <w:p>
            <w:pPr>
              <w:shd w:val="clear" w:color="auto" w:fill="FFFFFF"/>
              <w:spacing w:line="360" w:lineRule="exact"/>
              <w:rPr>
                <w:rFonts w:ascii="仿宋" w:hAnsi="仿宋" w:eastAsia="仿宋"/>
                <w:color w:val="auto"/>
                <w:sz w:val="24"/>
              </w:rPr>
            </w:pPr>
          </w:p>
        </w:tc>
        <w:tc>
          <w:tcPr>
            <w:tcW w:w="1023" w:type="dxa"/>
            <w:vAlign w:val="center"/>
          </w:tcPr>
          <w:p>
            <w:pPr>
              <w:shd w:val="clear" w:color="auto" w:fill="FFFFFF"/>
              <w:spacing w:line="360" w:lineRule="exact"/>
              <w:rPr>
                <w:rFonts w:ascii="仿宋" w:hAnsi="仿宋" w:eastAsia="仿宋"/>
                <w:color w:val="auto"/>
                <w:sz w:val="24"/>
              </w:rPr>
            </w:pPr>
          </w:p>
        </w:tc>
        <w:tc>
          <w:tcPr>
            <w:tcW w:w="732"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0"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5</w:t>
            </w:r>
          </w:p>
        </w:tc>
        <w:tc>
          <w:tcPr>
            <w:tcW w:w="4561" w:type="dxa"/>
            <w:vAlign w:val="center"/>
          </w:tcPr>
          <w:p>
            <w:pPr>
              <w:shd w:val="clear" w:color="auto" w:fill="FFFFFF"/>
              <w:spacing w:line="360" w:lineRule="exact"/>
              <w:rPr>
                <w:rFonts w:ascii="仿宋" w:hAnsi="仿宋" w:eastAsia="仿宋"/>
                <w:color w:val="auto"/>
                <w:sz w:val="24"/>
              </w:rPr>
            </w:pPr>
            <w:r>
              <w:rPr>
                <w:rFonts w:hint="eastAsia" w:ascii="仿宋" w:hAnsi="仿宋" w:eastAsia="仿宋"/>
                <w:bCs/>
                <w:color w:val="auto"/>
                <w:kern w:val="0"/>
                <w:sz w:val="24"/>
              </w:rPr>
              <w:t>投标保证金的缴纳主体与供应商一致；且按照招标文件要求的金额、方式提供</w:t>
            </w:r>
          </w:p>
        </w:tc>
        <w:tc>
          <w:tcPr>
            <w:tcW w:w="1035" w:type="dxa"/>
            <w:vAlign w:val="center"/>
          </w:tcPr>
          <w:p>
            <w:pPr>
              <w:shd w:val="clear" w:color="auto" w:fill="FFFFFF"/>
              <w:spacing w:line="360" w:lineRule="exact"/>
              <w:rPr>
                <w:rFonts w:ascii="仿宋" w:hAnsi="仿宋" w:eastAsia="仿宋"/>
                <w:color w:val="auto"/>
                <w:sz w:val="24"/>
              </w:rPr>
            </w:pPr>
          </w:p>
        </w:tc>
        <w:tc>
          <w:tcPr>
            <w:tcW w:w="1012" w:type="dxa"/>
            <w:vAlign w:val="center"/>
          </w:tcPr>
          <w:p>
            <w:pPr>
              <w:shd w:val="clear" w:color="auto" w:fill="FFFFFF"/>
              <w:spacing w:line="360" w:lineRule="exact"/>
              <w:rPr>
                <w:rFonts w:ascii="仿宋" w:hAnsi="仿宋" w:eastAsia="仿宋"/>
                <w:color w:val="auto"/>
                <w:sz w:val="24"/>
              </w:rPr>
            </w:pPr>
          </w:p>
        </w:tc>
        <w:tc>
          <w:tcPr>
            <w:tcW w:w="1023" w:type="dxa"/>
            <w:vAlign w:val="center"/>
          </w:tcPr>
          <w:p>
            <w:pPr>
              <w:shd w:val="clear" w:color="auto" w:fill="FFFFFF"/>
              <w:spacing w:line="360" w:lineRule="exact"/>
              <w:rPr>
                <w:rFonts w:ascii="仿宋" w:hAnsi="仿宋" w:eastAsia="仿宋"/>
                <w:color w:val="auto"/>
                <w:sz w:val="24"/>
              </w:rPr>
            </w:pPr>
          </w:p>
        </w:tc>
        <w:tc>
          <w:tcPr>
            <w:tcW w:w="732"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6</w:t>
            </w:r>
          </w:p>
        </w:tc>
        <w:tc>
          <w:tcPr>
            <w:tcW w:w="4561" w:type="dxa"/>
            <w:vAlign w:val="center"/>
          </w:tcPr>
          <w:p>
            <w:pPr>
              <w:shd w:val="clear" w:color="auto" w:fill="FFFFFF"/>
              <w:spacing w:line="360" w:lineRule="exact"/>
              <w:rPr>
                <w:rFonts w:ascii="仿宋" w:hAnsi="仿宋" w:eastAsia="仿宋"/>
                <w:color w:val="auto"/>
                <w:sz w:val="24"/>
              </w:rPr>
            </w:pPr>
            <w:r>
              <w:rPr>
                <w:rFonts w:hint="eastAsia" w:ascii="仿宋" w:hAnsi="仿宋" w:eastAsia="仿宋"/>
                <w:color w:val="auto"/>
                <w:sz w:val="24"/>
              </w:rPr>
              <w:t>投标文件按照招标文件第二章第21项要求的资格、商务、技术、报价部分提供必备项内容</w:t>
            </w:r>
          </w:p>
        </w:tc>
        <w:tc>
          <w:tcPr>
            <w:tcW w:w="1035" w:type="dxa"/>
            <w:vAlign w:val="center"/>
          </w:tcPr>
          <w:p>
            <w:pPr>
              <w:shd w:val="clear" w:color="auto" w:fill="FFFFFF"/>
              <w:spacing w:line="360" w:lineRule="exact"/>
              <w:rPr>
                <w:rFonts w:ascii="仿宋" w:hAnsi="仿宋" w:eastAsia="仿宋"/>
                <w:color w:val="auto"/>
                <w:sz w:val="24"/>
              </w:rPr>
            </w:pPr>
          </w:p>
        </w:tc>
        <w:tc>
          <w:tcPr>
            <w:tcW w:w="1012" w:type="dxa"/>
            <w:vAlign w:val="center"/>
          </w:tcPr>
          <w:p>
            <w:pPr>
              <w:shd w:val="clear" w:color="auto" w:fill="FFFFFF"/>
              <w:spacing w:line="360" w:lineRule="exact"/>
              <w:rPr>
                <w:rFonts w:ascii="仿宋" w:hAnsi="仿宋" w:eastAsia="仿宋"/>
                <w:color w:val="auto"/>
                <w:sz w:val="24"/>
              </w:rPr>
            </w:pPr>
          </w:p>
        </w:tc>
        <w:tc>
          <w:tcPr>
            <w:tcW w:w="1023" w:type="dxa"/>
            <w:vAlign w:val="center"/>
          </w:tcPr>
          <w:p>
            <w:pPr>
              <w:shd w:val="clear" w:color="auto" w:fill="FFFFFF"/>
              <w:spacing w:line="360" w:lineRule="exact"/>
              <w:rPr>
                <w:rFonts w:ascii="仿宋" w:hAnsi="仿宋" w:eastAsia="仿宋"/>
                <w:color w:val="auto"/>
                <w:sz w:val="24"/>
              </w:rPr>
            </w:pPr>
          </w:p>
        </w:tc>
        <w:tc>
          <w:tcPr>
            <w:tcW w:w="732"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ascii="仿宋" w:hAnsi="仿宋" w:eastAsia="仿宋"/>
                <w:color w:val="auto"/>
                <w:sz w:val="24"/>
              </w:rPr>
              <w:t>7</w:t>
            </w:r>
          </w:p>
        </w:tc>
        <w:tc>
          <w:tcPr>
            <w:tcW w:w="4561" w:type="dxa"/>
            <w:vAlign w:val="center"/>
          </w:tcPr>
          <w:p>
            <w:pPr>
              <w:shd w:val="clear" w:color="auto" w:fill="FFFFFF"/>
              <w:spacing w:line="360" w:lineRule="exact"/>
              <w:rPr>
                <w:rFonts w:ascii="仿宋" w:hAnsi="仿宋" w:eastAsia="仿宋"/>
                <w:color w:val="auto"/>
                <w:sz w:val="24"/>
              </w:rPr>
            </w:pPr>
            <w:r>
              <w:rPr>
                <w:rFonts w:hint="eastAsia" w:ascii="仿宋" w:hAnsi="仿宋" w:eastAsia="仿宋"/>
                <w:color w:val="auto"/>
                <w:sz w:val="24"/>
              </w:rPr>
              <w:t>投标承诺书按招标文件规定格式、内容完整提供，且按招标文件要求签字、盖章</w:t>
            </w:r>
          </w:p>
        </w:tc>
        <w:tc>
          <w:tcPr>
            <w:tcW w:w="1035" w:type="dxa"/>
            <w:vAlign w:val="center"/>
          </w:tcPr>
          <w:p>
            <w:pPr>
              <w:shd w:val="clear" w:color="auto" w:fill="FFFFFF"/>
              <w:spacing w:line="360" w:lineRule="exact"/>
              <w:rPr>
                <w:rFonts w:ascii="仿宋" w:hAnsi="仿宋" w:eastAsia="仿宋"/>
                <w:color w:val="auto"/>
                <w:sz w:val="24"/>
              </w:rPr>
            </w:pPr>
          </w:p>
        </w:tc>
        <w:tc>
          <w:tcPr>
            <w:tcW w:w="1012" w:type="dxa"/>
            <w:vAlign w:val="center"/>
          </w:tcPr>
          <w:p>
            <w:pPr>
              <w:shd w:val="clear" w:color="auto" w:fill="FFFFFF"/>
              <w:spacing w:line="360" w:lineRule="exact"/>
              <w:rPr>
                <w:rFonts w:ascii="仿宋" w:hAnsi="仿宋" w:eastAsia="仿宋"/>
                <w:color w:val="auto"/>
                <w:sz w:val="24"/>
              </w:rPr>
            </w:pPr>
          </w:p>
        </w:tc>
        <w:tc>
          <w:tcPr>
            <w:tcW w:w="1023" w:type="dxa"/>
            <w:vAlign w:val="center"/>
          </w:tcPr>
          <w:p>
            <w:pPr>
              <w:shd w:val="clear" w:color="auto" w:fill="FFFFFF"/>
              <w:spacing w:line="360" w:lineRule="exact"/>
              <w:rPr>
                <w:rFonts w:ascii="仿宋" w:hAnsi="仿宋" w:eastAsia="仿宋"/>
                <w:color w:val="auto"/>
                <w:sz w:val="24"/>
              </w:rPr>
            </w:pPr>
          </w:p>
        </w:tc>
        <w:tc>
          <w:tcPr>
            <w:tcW w:w="732"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0"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ascii="仿宋" w:hAnsi="仿宋" w:eastAsia="仿宋"/>
                <w:color w:val="auto"/>
                <w:sz w:val="24"/>
              </w:rPr>
              <w:t>8</w:t>
            </w:r>
          </w:p>
        </w:tc>
        <w:tc>
          <w:tcPr>
            <w:tcW w:w="4561" w:type="dxa"/>
            <w:vAlign w:val="center"/>
          </w:tcPr>
          <w:p>
            <w:pPr>
              <w:shd w:val="clear" w:color="auto" w:fill="FFFFFF"/>
              <w:spacing w:line="360" w:lineRule="exact"/>
              <w:rPr>
                <w:rFonts w:ascii="仿宋" w:hAnsi="仿宋" w:eastAsia="仿宋"/>
                <w:color w:val="auto"/>
                <w:sz w:val="24"/>
              </w:rPr>
            </w:pPr>
            <w:r>
              <w:rPr>
                <w:rFonts w:hint="eastAsia" w:ascii="仿宋" w:hAnsi="仿宋" w:eastAsia="仿宋"/>
                <w:color w:val="auto"/>
                <w:sz w:val="24"/>
              </w:rPr>
              <w:t>法定代表人</w:t>
            </w:r>
            <w:r>
              <w:rPr>
                <w:rFonts w:hint="eastAsia" w:ascii="仿宋" w:hAnsi="仿宋" w:eastAsia="仿宋"/>
                <w:color w:val="auto"/>
                <w:kern w:val="0"/>
                <w:sz w:val="24"/>
              </w:rPr>
              <w:t>（或负责人）</w:t>
            </w:r>
            <w:r>
              <w:rPr>
                <w:rFonts w:hint="eastAsia" w:ascii="仿宋" w:hAnsi="仿宋" w:eastAsia="仿宋"/>
                <w:color w:val="auto"/>
                <w:sz w:val="24"/>
              </w:rPr>
              <w:t>资格证明书、法定代表人</w:t>
            </w:r>
            <w:r>
              <w:rPr>
                <w:rFonts w:hint="eastAsia" w:ascii="仿宋" w:hAnsi="仿宋" w:eastAsia="仿宋"/>
                <w:color w:val="auto"/>
                <w:kern w:val="0"/>
                <w:sz w:val="24"/>
              </w:rPr>
              <w:t>（或负责人）</w:t>
            </w:r>
            <w:r>
              <w:rPr>
                <w:rFonts w:hint="eastAsia" w:ascii="仿宋" w:hAnsi="仿宋" w:eastAsia="仿宋"/>
                <w:color w:val="auto"/>
                <w:sz w:val="24"/>
              </w:rPr>
              <w:t>授权委托书按招标文件规定格式完整提供，并按招标文件要求签字、盖章</w:t>
            </w:r>
          </w:p>
        </w:tc>
        <w:tc>
          <w:tcPr>
            <w:tcW w:w="1035" w:type="dxa"/>
            <w:vAlign w:val="center"/>
          </w:tcPr>
          <w:p>
            <w:pPr>
              <w:shd w:val="clear" w:color="auto" w:fill="FFFFFF"/>
              <w:spacing w:line="360" w:lineRule="exact"/>
              <w:rPr>
                <w:rFonts w:ascii="仿宋" w:hAnsi="仿宋" w:eastAsia="仿宋"/>
                <w:color w:val="auto"/>
                <w:sz w:val="24"/>
              </w:rPr>
            </w:pPr>
          </w:p>
        </w:tc>
        <w:tc>
          <w:tcPr>
            <w:tcW w:w="1012" w:type="dxa"/>
            <w:vAlign w:val="center"/>
          </w:tcPr>
          <w:p>
            <w:pPr>
              <w:shd w:val="clear" w:color="auto" w:fill="FFFFFF"/>
              <w:spacing w:line="360" w:lineRule="exact"/>
              <w:rPr>
                <w:rFonts w:ascii="仿宋" w:hAnsi="仿宋" w:eastAsia="仿宋"/>
                <w:color w:val="auto"/>
                <w:sz w:val="24"/>
              </w:rPr>
            </w:pPr>
          </w:p>
        </w:tc>
        <w:tc>
          <w:tcPr>
            <w:tcW w:w="1023" w:type="dxa"/>
            <w:vAlign w:val="center"/>
          </w:tcPr>
          <w:p>
            <w:pPr>
              <w:shd w:val="clear" w:color="auto" w:fill="FFFFFF"/>
              <w:spacing w:line="360" w:lineRule="exact"/>
              <w:rPr>
                <w:rFonts w:ascii="仿宋" w:hAnsi="仿宋" w:eastAsia="仿宋"/>
                <w:color w:val="auto"/>
                <w:sz w:val="24"/>
              </w:rPr>
            </w:pPr>
          </w:p>
        </w:tc>
        <w:tc>
          <w:tcPr>
            <w:tcW w:w="732"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ascii="仿宋" w:hAnsi="仿宋" w:eastAsia="仿宋"/>
                <w:color w:val="auto"/>
                <w:sz w:val="24"/>
              </w:rPr>
              <w:t>9</w:t>
            </w:r>
          </w:p>
        </w:tc>
        <w:tc>
          <w:tcPr>
            <w:tcW w:w="4561" w:type="dxa"/>
            <w:vAlign w:val="center"/>
          </w:tcPr>
          <w:p>
            <w:pPr>
              <w:shd w:val="clear" w:color="auto" w:fill="FFFFFF"/>
              <w:spacing w:line="360" w:lineRule="exact"/>
              <w:rPr>
                <w:rFonts w:ascii="仿宋" w:hAnsi="仿宋" w:eastAsia="仿宋"/>
                <w:color w:val="auto"/>
                <w:sz w:val="24"/>
              </w:rPr>
            </w:pPr>
            <w:r>
              <w:rPr>
                <w:rFonts w:hint="eastAsia" w:ascii="仿宋" w:hAnsi="仿宋" w:eastAsia="仿宋"/>
                <w:color w:val="auto"/>
                <w:sz w:val="24"/>
              </w:rPr>
              <w:t>投标文件未附有采购人不能接受的条件</w:t>
            </w:r>
          </w:p>
        </w:tc>
        <w:tc>
          <w:tcPr>
            <w:tcW w:w="1035" w:type="dxa"/>
            <w:vAlign w:val="center"/>
          </w:tcPr>
          <w:p>
            <w:pPr>
              <w:shd w:val="clear" w:color="auto" w:fill="FFFFFF"/>
              <w:spacing w:line="360" w:lineRule="exact"/>
              <w:rPr>
                <w:rFonts w:ascii="仿宋" w:hAnsi="仿宋" w:eastAsia="仿宋"/>
                <w:color w:val="auto"/>
                <w:sz w:val="24"/>
              </w:rPr>
            </w:pPr>
          </w:p>
        </w:tc>
        <w:tc>
          <w:tcPr>
            <w:tcW w:w="1012" w:type="dxa"/>
            <w:vAlign w:val="center"/>
          </w:tcPr>
          <w:p>
            <w:pPr>
              <w:shd w:val="clear" w:color="auto" w:fill="FFFFFF"/>
              <w:spacing w:line="360" w:lineRule="exact"/>
              <w:rPr>
                <w:rFonts w:ascii="仿宋" w:hAnsi="仿宋" w:eastAsia="仿宋"/>
                <w:color w:val="auto"/>
                <w:sz w:val="24"/>
              </w:rPr>
            </w:pPr>
          </w:p>
        </w:tc>
        <w:tc>
          <w:tcPr>
            <w:tcW w:w="1023" w:type="dxa"/>
            <w:vAlign w:val="center"/>
          </w:tcPr>
          <w:p>
            <w:pPr>
              <w:shd w:val="clear" w:color="auto" w:fill="FFFFFF"/>
              <w:spacing w:line="360" w:lineRule="exact"/>
              <w:rPr>
                <w:rFonts w:ascii="仿宋" w:hAnsi="仿宋" w:eastAsia="仿宋"/>
                <w:color w:val="auto"/>
                <w:sz w:val="24"/>
              </w:rPr>
            </w:pPr>
          </w:p>
        </w:tc>
        <w:tc>
          <w:tcPr>
            <w:tcW w:w="732"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1</w:t>
            </w:r>
            <w:r>
              <w:rPr>
                <w:rFonts w:ascii="仿宋" w:hAnsi="仿宋" w:eastAsia="仿宋"/>
                <w:color w:val="auto"/>
                <w:sz w:val="24"/>
              </w:rPr>
              <w:t>0</w:t>
            </w:r>
          </w:p>
        </w:tc>
        <w:tc>
          <w:tcPr>
            <w:tcW w:w="4561" w:type="dxa"/>
            <w:vAlign w:val="center"/>
          </w:tcPr>
          <w:p>
            <w:pPr>
              <w:shd w:val="clear" w:color="auto" w:fill="FFFFFF"/>
              <w:spacing w:line="360" w:lineRule="exact"/>
              <w:rPr>
                <w:rFonts w:ascii="仿宋" w:hAnsi="仿宋" w:eastAsia="仿宋"/>
                <w:color w:val="auto"/>
                <w:sz w:val="24"/>
              </w:rPr>
            </w:pPr>
            <w:r>
              <w:rPr>
                <w:rFonts w:hint="eastAsia" w:ascii="仿宋" w:hAnsi="仿宋" w:eastAsia="仿宋"/>
                <w:color w:val="auto"/>
                <w:kern w:val="0"/>
                <w:sz w:val="24"/>
              </w:rPr>
              <w:t>符合法律、法规和招标文件中规定的实质性要求</w:t>
            </w:r>
          </w:p>
        </w:tc>
        <w:tc>
          <w:tcPr>
            <w:tcW w:w="1035" w:type="dxa"/>
            <w:vAlign w:val="center"/>
          </w:tcPr>
          <w:p>
            <w:pPr>
              <w:shd w:val="clear" w:color="auto" w:fill="FFFFFF"/>
              <w:spacing w:line="360" w:lineRule="exact"/>
              <w:rPr>
                <w:rFonts w:ascii="仿宋" w:hAnsi="仿宋" w:eastAsia="仿宋"/>
                <w:color w:val="auto"/>
                <w:sz w:val="24"/>
              </w:rPr>
            </w:pPr>
          </w:p>
        </w:tc>
        <w:tc>
          <w:tcPr>
            <w:tcW w:w="1012" w:type="dxa"/>
            <w:vAlign w:val="center"/>
          </w:tcPr>
          <w:p>
            <w:pPr>
              <w:shd w:val="clear" w:color="auto" w:fill="FFFFFF"/>
              <w:spacing w:line="360" w:lineRule="exact"/>
              <w:rPr>
                <w:rFonts w:ascii="仿宋" w:hAnsi="仿宋" w:eastAsia="仿宋"/>
                <w:color w:val="auto"/>
                <w:sz w:val="24"/>
              </w:rPr>
            </w:pPr>
          </w:p>
        </w:tc>
        <w:tc>
          <w:tcPr>
            <w:tcW w:w="1023" w:type="dxa"/>
            <w:vAlign w:val="center"/>
          </w:tcPr>
          <w:p>
            <w:pPr>
              <w:shd w:val="clear" w:color="auto" w:fill="FFFFFF"/>
              <w:spacing w:line="360" w:lineRule="exact"/>
              <w:rPr>
                <w:rFonts w:ascii="仿宋" w:hAnsi="仿宋" w:eastAsia="仿宋"/>
                <w:color w:val="auto"/>
                <w:sz w:val="24"/>
              </w:rPr>
            </w:pPr>
          </w:p>
        </w:tc>
        <w:tc>
          <w:tcPr>
            <w:tcW w:w="732"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4" w:hRule="atLeast"/>
        </w:trPr>
        <w:tc>
          <w:tcPr>
            <w:tcW w:w="5979" w:type="dxa"/>
            <w:gridSpan w:val="3"/>
            <w:vAlign w:val="center"/>
          </w:tcPr>
          <w:p>
            <w:pPr>
              <w:shd w:val="clear" w:color="auto" w:fill="FFFFFF"/>
              <w:spacing w:line="360" w:lineRule="exact"/>
              <w:jc w:val="right"/>
              <w:rPr>
                <w:rFonts w:ascii="仿宋" w:hAnsi="仿宋" w:eastAsia="仿宋"/>
                <w:color w:val="auto"/>
                <w:sz w:val="24"/>
              </w:rPr>
            </w:pPr>
            <w:r>
              <w:rPr>
                <w:rFonts w:hint="eastAsia" w:ascii="仿宋" w:hAnsi="仿宋" w:eastAsia="仿宋"/>
                <w:color w:val="auto"/>
                <w:sz w:val="24"/>
              </w:rPr>
              <w:t>结论</w:t>
            </w:r>
          </w:p>
        </w:tc>
        <w:tc>
          <w:tcPr>
            <w:tcW w:w="1035" w:type="dxa"/>
            <w:vAlign w:val="center"/>
          </w:tcPr>
          <w:p>
            <w:pPr>
              <w:shd w:val="clear" w:color="auto" w:fill="FFFFFF"/>
              <w:spacing w:line="360" w:lineRule="exact"/>
              <w:rPr>
                <w:rFonts w:ascii="仿宋" w:hAnsi="仿宋" w:eastAsia="仿宋"/>
                <w:color w:val="auto"/>
                <w:sz w:val="24"/>
              </w:rPr>
            </w:pPr>
          </w:p>
        </w:tc>
        <w:tc>
          <w:tcPr>
            <w:tcW w:w="1012" w:type="dxa"/>
            <w:vAlign w:val="center"/>
          </w:tcPr>
          <w:p>
            <w:pPr>
              <w:shd w:val="clear" w:color="auto" w:fill="FFFFFF"/>
              <w:spacing w:line="360" w:lineRule="exact"/>
              <w:rPr>
                <w:rFonts w:ascii="仿宋" w:hAnsi="仿宋" w:eastAsia="仿宋"/>
                <w:color w:val="auto"/>
                <w:sz w:val="24"/>
              </w:rPr>
            </w:pPr>
          </w:p>
        </w:tc>
        <w:tc>
          <w:tcPr>
            <w:tcW w:w="1023" w:type="dxa"/>
            <w:vAlign w:val="center"/>
          </w:tcPr>
          <w:p>
            <w:pPr>
              <w:shd w:val="clear" w:color="auto" w:fill="FFFFFF"/>
              <w:spacing w:line="360" w:lineRule="exact"/>
              <w:rPr>
                <w:rFonts w:ascii="仿宋" w:hAnsi="仿宋" w:eastAsia="仿宋"/>
                <w:color w:val="auto"/>
                <w:sz w:val="24"/>
              </w:rPr>
            </w:pPr>
          </w:p>
        </w:tc>
        <w:tc>
          <w:tcPr>
            <w:tcW w:w="732"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rPr>
        <w:tc>
          <w:tcPr>
            <w:tcW w:w="9781" w:type="dxa"/>
            <w:gridSpan w:val="7"/>
            <w:vAlign w:val="center"/>
          </w:tcPr>
          <w:p>
            <w:pPr>
              <w:shd w:val="clear" w:color="auto" w:fill="FFFFFF"/>
              <w:spacing w:line="360" w:lineRule="exact"/>
              <w:rPr>
                <w:rFonts w:ascii="仿宋" w:hAnsi="仿宋" w:eastAsia="仿宋"/>
                <w:b/>
                <w:color w:val="auto"/>
                <w:sz w:val="24"/>
              </w:rPr>
            </w:pPr>
            <w:r>
              <w:rPr>
                <w:rFonts w:hint="eastAsia" w:ascii="仿宋" w:hAnsi="仿宋" w:eastAsia="仿宋"/>
                <w:b/>
                <w:color w:val="auto"/>
                <w:sz w:val="24"/>
              </w:rPr>
              <w:t>评标委员会成员签名：</w:t>
            </w:r>
          </w:p>
          <w:p>
            <w:pPr>
              <w:shd w:val="clear" w:color="auto" w:fill="FFFFFF"/>
              <w:spacing w:line="360" w:lineRule="exact"/>
              <w:rPr>
                <w:rFonts w:ascii="仿宋" w:hAnsi="仿宋" w:eastAsia="仿宋"/>
                <w:color w:val="auto"/>
                <w:sz w:val="24"/>
              </w:rPr>
            </w:pPr>
            <w:r>
              <w:rPr>
                <w:rFonts w:hint="eastAsia" w:ascii="仿宋" w:hAnsi="仿宋" w:eastAsia="仿宋"/>
                <w:b/>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9781" w:type="dxa"/>
            <w:gridSpan w:val="7"/>
            <w:vAlign w:val="center"/>
          </w:tcPr>
          <w:p>
            <w:pPr>
              <w:shd w:val="clear" w:color="auto" w:fill="FFFFFF"/>
              <w:spacing w:line="360" w:lineRule="exact"/>
              <w:rPr>
                <w:rFonts w:ascii="仿宋" w:hAnsi="仿宋" w:eastAsia="仿宋"/>
                <w:b/>
                <w:color w:val="auto"/>
                <w:sz w:val="24"/>
              </w:rPr>
            </w:pPr>
            <w:r>
              <w:rPr>
                <w:rFonts w:hint="eastAsia" w:ascii="仿宋" w:hAnsi="仿宋" w:eastAsia="仿宋"/>
                <w:color w:val="auto"/>
                <w:sz w:val="24"/>
              </w:rPr>
              <w:t>备注：上述每一项审查，供应商通过的，以“√”标记；否则，以“×”标记。如果供应商有一项未通过上述审查，其结论请注明“不合格”，全部通过的，其结论请注明“合格”。初步评审合格的供应商方可进入详细评审阶段。</w:t>
            </w:r>
          </w:p>
        </w:tc>
      </w:tr>
    </w:tbl>
    <w:p>
      <w:pPr>
        <w:shd w:val="clear" w:color="auto" w:fill="FFFFFF"/>
        <w:spacing w:line="440" w:lineRule="exact"/>
        <w:rPr>
          <w:rFonts w:ascii="仿宋" w:hAnsi="仿宋" w:eastAsia="仿宋"/>
          <w:b/>
          <w:color w:val="auto"/>
          <w:sz w:val="24"/>
        </w:rPr>
      </w:pPr>
      <w:r>
        <w:rPr>
          <w:rFonts w:hint="eastAsia" w:ascii="仿宋" w:hAnsi="仿宋" w:eastAsia="仿宋"/>
          <w:b/>
          <w:color w:val="auto"/>
          <w:sz w:val="18"/>
          <w:szCs w:val="18"/>
        </w:rPr>
        <w:br w:type="page"/>
      </w:r>
      <w:r>
        <w:rPr>
          <w:rFonts w:hint="eastAsia" w:ascii="仿宋" w:hAnsi="仿宋" w:eastAsia="仿宋"/>
          <w:b/>
          <w:color w:val="auto"/>
          <w:sz w:val="24"/>
        </w:rPr>
        <w:t>34.3.2详细评审</w:t>
      </w:r>
    </w:p>
    <w:p>
      <w:pPr>
        <w:pStyle w:val="523"/>
        <w:shd w:val="clear" w:color="auto" w:fill="FFFFFF"/>
        <w:spacing w:line="440" w:lineRule="exact"/>
        <w:ind w:firstLine="480" w:firstLineChars="200"/>
        <w:jc w:val="both"/>
        <w:rPr>
          <w:rFonts w:ascii="仿宋" w:hAnsi="仿宋" w:eastAsia="仿宋"/>
          <w:color w:val="auto"/>
          <w:sz w:val="24"/>
          <w:szCs w:val="24"/>
        </w:rPr>
      </w:pPr>
      <w:r>
        <w:rPr>
          <w:rFonts w:hint="eastAsia" w:ascii="仿宋" w:hAnsi="仿宋" w:eastAsia="仿宋"/>
          <w:color w:val="auto"/>
          <w:sz w:val="24"/>
          <w:szCs w:val="24"/>
        </w:rPr>
        <w:t>符合性评审合格的供应商方可进入详细评审阶段。详细评审分为投标文件商务、技术部分评审和投标报价评审。其中，报价部分30分，商务部分24分，技术部分46分，合计满分100分。</w:t>
      </w:r>
    </w:p>
    <w:p>
      <w:pPr>
        <w:shd w:val="clear" w:color="auto" w:fill="FFFFFF"/>
        <w:spacing w:line="440" w:lineRule="exact"/>
        <w:rPr>
          <w:rFonts w:ascii="仿宋" w:hAnsi="仿宋" w:eastAsia="仿宋"/>
          <w:b/>
          <w:color w:val="auto"/>
          <w:sz w:val="24"/>
        </w:rPr>
      </w:pPr>
      <w:r>
        <w:rPr>
          <w:rFonts w:hint="eastAsia" w:ascii="仿宋" w:hAnsi="仿宋" w:eastAsia="仿宋"/>
          <w:b/>
          <w:color w:val="auto"/>
          <w:sz w:val="24"/>
        </w:rPr>
        <w:t xml:space="preserve">34.3.3具体评审内容及标准 </w:t>
      </w:r>
    </w:p>
    <w:p>
      <w:pPr>
        <w:pStyle w:val="523"/>
        <w:shd w:val="clear" w:color="auto" w:fill="FFFFFF"/>
        <w:spacing w:line="440" w:lineRule="exact"/>
        <w:jc w:val="center"/>
        <w:rPr>
          <w:rFonts w:ascii="仿宋" w:hAnsi="仿宋" w:eastAsia="仿宋"/>
          <w:b/>
          <w:color w:val="auto"/>
          <w:sz w:val="24"/>
          <w:szCs w:val="24"/>
        </w:rPr>
      </w:pPr>
      <w:r>
        <w:rPr>
          <w:rFonts w:hint="eastAsia" w:ascii="仿宋" w:hAnsi="仿宋" w:eastAsia="仿宋"/>
          <w:b/>
          <w:color w:val="auto"/>
          <w:sz w:val="24"/>
          <w:szCs w:val="24"/>
        </w:rPr>
        <w:t>报价评审</w:t>
      </w:r>
    </w:p>
    <w:tbl>
      <w:tblPr>
        <w:tblStyle w:val="5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157"/>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175" w:type="dxa"/>
          </w:tcPr>
          <w:p>
            <w:pPr>
              <w:shd w:val="clear" w:color="auto" w:fill="FFFFFF"/>
              <w:spacing w:line="500" w:lineRule="exact"/>
              <w:jc w:val="center"/>
              <w:rPr>
                <w:rFonts w:ascii="仿宋" w:hAnsi="仿宋" w:eastAsia="仿宋"/>
                <w:color w:val="auto"/>
                <w:sz w:val="24"/>
              </w:rPr>
            </w:pPr>
            <w:r>
              <w:rPr>
                <w:rFonts w:hint="eastAsia" w:ascii="仿宋" w:hAnsi="仿宋" w:eastAsia="仿宋"/>
                <w:color w:val="auto"/>
                <w:sz w:val="24"/>
              </w:rPr>
              <w:t>评审因素</w:t>
            </w:r>
          </w:p>
        </w:tc>
        <w:tc>
          <w:tcPr>
            <w:tcW w:w="1157" w:type="dxa"/>
            <w:vAlign w:val="center"/>
          </w:tcPr>
          <w:p>
            <w:pPr>
              <w:shd w:val="clear" w:color="auto" w:fill="FFFFFF"/>
              <w:spacing w:line="500" w:lineRule="exact"/>
              <w:jc w:val="center"/>
              <w:rPr>
                <w:rFonts w:ascii="仿宋" w:hAnsi="仿宋" w:eastAsia="仿宋"/>
                <w:color w:val="auto"/>
                <w:sz w:val="24"/>
              </w:rPr>
            </w:pPr>
            <w:r>
              <w:rPr>
                <w:rFonts w:hint="eastAsia" w:ascii="仿宋" w:hAnsi="仿宋" w:eastAsia="仿宋"/>
                <w:color w:val="auto"/>
                <w:sz w:val="24"/>
              </w:rPr>
              <w:t>分值</w:t>
            </w:r>
          </w:p>
        </w:tc>
        <w:tc>
          <w:tcPr>
            <w:tcW w:w="6365" w:type="dxa"/>
            <w:vAlign w:val="center"/>
          </w:tcPr>
          <w:p>
            <w:pPr>
              <w:shd w:val="clear" w:color="auto" w:fill="FFFFFF"/>
              <w:spacing w:line="500" w:lineRule="exact"/>
              <w:jc w:val="center"/>
              <w:rPr>
                <w:rFonts w:ascii="仿宋" w:hAnsi="仿宋" w:eastAsia="仿宋"/>
                <w:color w:val="auto"/>
                <w:sz w:val="24"/>
              </w:rPr>
            </w:pPr>
            <w:r>
              <w:rPr>
                <w:rFonts w:hint="eastAsia" w:ascii="仿宋" w:hAnsi="仿宋" w:eastAsia="仿宋"/>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jc w:val="center"/>
        </w:trPr>
        <w:tc>
          <w:tcPr>
            <w:tcW w:w="2175" w:type="dxa"/>
            <w:vAlign w:val="center"/>
          </w:tcPr>
          <w:p>
            <w:pPr>
              <w:shd w:val="clear" w:color="auto" w:fill="FFFFFF"/>
              <w:spacing w:line="500" w:lineRule="exact"/>
              <w:jc w:val="center"/>
              <w:rPr>
                <w:rFonts w:ascii="仿宋" w:hAnsi="仿宋" w:eastAsia="仿宋"/>
                <w:color w:val="auto"/>
                <w:sz w:val="24"/>
              </w:rPr>
            </w:pPr>
            <w:r>
              <w:rPr>
                <w:rFonts w:hint="eastAsia" w:ascii="仿宋" w:hAnsi="仿宋" w:eastAsia="仿宋"/>
                <w:color w:val="auto"/>
                <w:sz w:val="24"/>
              </w:rPr>
              <w:t>价格部分（30分）</w:t>
            </w:r>
          </w:p>
        </w:tc>
        <w:tc>
          <w:tcPr>
            <w:tcW w:w="1157" w:type="dxa"/>
            <w:vAlign w:val="center"/>
          </w:tcPr>
          <w:p>
            <w:pPr>
              <w:shd w:val="clear" w:color="auto" w:fill="FFFFFF"/>
              <w:spacing w:line="500" w:lineRule="exact"/>
              <w:jc w:val="center"/>
              <w:rPr>
                <w:rFonts w:ascii="仿宋" w:hAnsi="仿宋" w:eastAsia="仿宋"/>
                <w:color w:val="auto"/>
                <w:sz w:val="24"/>
              </w:rPr>
            </w:pPr>
            <w:r>
              <w:rPr>
                <w:rFonts w:hint="eastAsia" w:ascii="仿宋" w:hAnsi="仿宋" w:eastAsia="仿宋"/>
                <w:color w:val="auto"/>
                <w:sz w:val="24"/>
              </w:rPr>
              <w:t>30分</w:t>
            </w:r>
          </w:p>
        </w:tc>
        <w:tc>
          <w:tcPr>
            <w:tcW w:w="6365" w:type="dxa"/>
            <w:vAlign w:val="center"/>
          </w:tcPr>
          <w:p>
            <w:pPr>
              <w:shd w:val="clear" w:color="auto" w:fill="FFFFFF"/>
              <w:spacing w:line="400" w:lineRule="exact"/>
              <w:rPr>
                <w:rFonts w:ascii="仿宋" w:hAnsi="仿宋" w:eastAsia="仿宋"/>
                <w:color w:val="auto"/>
                <w:sz w:val="24"/>
              </w:rPr>
            </w:pPr>
            <w:r>
              <w:rPr>
                <w:rFonts w:hint="eastAsia" w:ascii="仿宋" w:hAnsi="仿宋" w:eastAsia="仿宋"/>
                <w:color w:val="auto"/>
                <w:sz w:val="24"/>
              </w:rPr>
              <w:t>采用低价优先法计算，即满足招标文件要求且投标价格最低的投标报价为评标基准价，其价格分为满分。</w:t>
            </w:r>
          </w:p>
          <w:p>
            <w:pPr>
              <w:shd w:val="clear" w:color="auto" w:fill="FFFFFF"/>
              <w:spacing w:line="400" w:lineRule="exact"/>
              <w:rPr>
                <w:rFonts w:ascii="仿宋" w:hAnsi="仿宋" w:eastAsia="仿宋"/>
                <w:color w:val="auto"/>
                <w:sz w:val="24"/>
              </w:rPr>
            </w:pPr>
            <w:r>
              <w:rPr>
                <w:rFonts w:hint="eastAsia" w:ascii="仿宋" w:hAnsi="仿宋" w:eastAsia="仿宋"/>
                <w:color w:val="auto"/>
                <w:sz w:val="24"/>
              </w:rPr>
              <w:t>其他供应商的价格分统一按照下列公式计算:</w:t>
            </w:r>
          </w:p>
          <w:p>
            <w:pPr>
              <w:shd w:val="clear" w:color="auto" w:fill="FFFFFF"/>
              <w:spacing w:line="400" w:lineRule="exact"/>
              <w:rPr>
                <w:rFonts w:ascii="仿宋" w:hAnsi="仿宋" w:eastAsia="仿宋"/>
                <w:color w:val="auto"/>
                <w:sz w:val="24"/>
              </w:rPr>
            </w:pPr>
            <w:r>
              <w:rPr>
                <w:rFonts w:hint="eastAsia" w:ascii="仿宋" w:hAnsi="仿宋" w:eastAsia="仿宋"/>
                <w:color w:val="auto"/>
                <w:sz w:val="24"/>
              </w:rPr>
              <w:t>投标报价得分=(评标基准价/投标报价)×30%×100（小数点保留两位）</w:t>
            </w:r>
          </w:p>
          <w:p>
            <w:pPr>
              <w:shd w:val="clear" w:color="auto" w:fill="FFFFFF"/>
              <w:spacing w:line="400" w:lineRule="exact"/>
              <w:rPr>
                <w:rFonts w:ascii="仿宋" w:hAnsi="仿宋" w:eastAsia="仿宋"/>
                <w:color w:val="auto"/>
                <w:sz w:val="24"/>
              </w:rPr>
            </w:pPr>
            <w:r>
              <w:rPr>
                <w:rFonts w:hint="eastAsia" w:ascii="仿宋" w:hAnsi="仿宋" w:eastAsia="仿宋"/>
                <w:color w:val="auto"/>
                <w:sz w:val="24"/>
              </w:rPr>
              <w:t>注：对小微企业价格优惠计算方法按本须知“前附表”18.2项执行.</w:t>
            </w:r>
          </w:p>
        </w:tc>
      </w:tr>
    </w:tbl>
    <w:p>
      <w:pPr>
        <w:pStyle w:val="523"/>
        <w:shd w:val="clear" w:color="auto" w:fill="FFFFFF"/>
        <w:spacing w:line="440" w:lineRule="exact"/>
        <w:jc w:val="center"/>
        <w:rPr>
          <w:rFonts w:ascii="仿宋" w:hAnsi="仿宋" w:eastAsia="仿宋"/>
          <w:b/>
          <w:color w:val="auto"/>
          <w:sz w:val="24"/>
          <w:szCs w:val="24"/>
        </w:rPr>
      </w:pPr>
    </w:p>
    <w:p>
      <w:pPr>
        <w:pStyle w:val="523"/>
        <w:shd w:val="clear" w:color="auto" w:fill="FFFFFF"/>
        <w:spacing w:line="440" w:lineRule="exact"/>
        <w:jc w:val="center"/>
        <w:rPr>
          <w:rFonts w:ascii="仿宋" w:hAnsi="仿宋" w:eastAsia="仿宋"/>
          <w:b/>
          <w:color w:val="auto"/>
          <w:sz w:val="24"/>
          <w:szCs w:val="24"/>
        </w:rPr>
      </w:pPr>
      <w:r>
        <w:rPr>
          <w:rFonts w:hint="eastAsia" w:ascii="仿宋" w:hAnsi="仿宋" w:eastAsia="仿宋"/>
          <w:b/>
          <w:color w:val="auto"/>
          <w:sz w:val="24"/>
          <w:szCs w:val="24"/>
        </w:rPr>
        <w:t>商务技术评审</w:t>
      </w:r>
    </w:p>
    <w:tbl>
      <w:tblPr>
        <w:tblStyle w:val="60"/>
        <w:tblW w:w="10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159"/>
        <w:gridCol w:w="876"/>
        <w:gridCol w:w="6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05" w:type="dxa"/>
            <w:vAlign w:val="center"/>
          </w:tcPr>
          <w:p>
            <w:pPr>
              <w:widowControl/>
              <w:spacing w:line="360" w:lineRule="exact"/>
              <w:jc w:val="center"/>
              <w:textAlignment w:val="top"/>
              <w:rPr>
                <w:rFonts w:ascii="仿宋" w:hAnsi="仿宋" w:eastAsia="仿宋" w:cs="仿宋"/>
                <w:bCs/>
                <w:color w:val="auto"/>
                <w:sz w:val="24"/>
              </w:rPr>
            </w:pPr>
            <w:r>
              <w:rPr>
                <w:rFonts w:hint="eastAsia" w:ascii="仿宋" w:hAnsi="仿宋" w:eastAsia="仿宋" w:cs="仿宋"/>
                <w:b/>
                <w:color w:val="auto"/>
                <w:kern w:val="0"/>
                <w:sz w:val="24"/>
              </w:rPr>
              <w:t>评审因素</w:t>
            </w:r>
          </w:p>
        </w:tc>
        <w:tc>
          <w:tcPr>
            <w:tcW w:w="1160" w:type="dxa"/>
            <w:vAlign w:val="center"/>
          </w:tcPr>
          <w:p>
            <w:pPr>
              <w:widowControl/>
              <w:spacing w:line="360" w:lineRule="exact"/>
              <w:jc w:val="center"/>
              <w:textAlignment w:val="top"/>
              <w:rPr>
                <w:rFonts w:ascii="仿宋" w:hAnsi="仿宋" w:eastAsia="仿宋" w:cs="仿宋"/>
                <w:b/>
                <w:color w:val="auto"/>
                <w:kern w:val="0"/>
                <w:sz w:val="24"/>
              </w:rPr>
            </w:pPr>
            <w:r>
              <w:rPr>
                <w:rFonts w:hint="eastAsia" w:ascii="仿宋" w:hAnsi="仿宋" w:eastAsia="仿宋" w:cs="仿宋"/>
                <w:b/>
                <w:color w:val="auto"/>
                <w:kern w:val="0"/>
                <w:sz w:val="24"/>
              </w:rPr>
              <w:t>评审内容</w:t>
            </w:r>
          </w:p>
        </w:tc>
        <w:tc>
          <w:tcPr>
            <w:tcW w:w="876" w:type="dxa"/>
            <w:vAlign w:val="center"/>
          </w:tcPr>
          <w:p>
            <w:pPr>
              <w:widowControl/>
              <w:spacing w:line="360" w:lineRule="exact"/>
              <w:jc w:val="center"/>
              <w:textAlignment w:val="top"/>
              <w:rPr>
                <w:rFonts w:ascii="仿宋" w:hAnsi="仿宋" w:eastAsia="仿宋" w:cs="仿宋"/>
                <w:bCs/>
                <w:color w:val="auto"/>
                <w:sz w:val="24"/>
              </w:rPr>
            </w:pPr>
            <w:r>
              <w:rPr>
                <w:rFonts w:hint="eastAsia" w:ascii="仿宋" w:hAnsi="仿宋" w:eastAsia="仿宋" w:cs="仿宋"/>
                <w:b/>
                <w:color w:val="auto"/>
                <w:kern w:val="0"/>
                <w:sz w:val="24"/>
              </w:rPr>
              <w:t>分值</w:t>
            </w:r>
          </w:p>
        </w:tc>
        <w:tc>
          <w:tcPr>
            <w:tcW w:w="6800" w:type="dxa"/>
            <w:vAlign w:val="center"/>
          </w:tcPr>
          <w:p>
            <w:pPr>
              <w:widowControl/>
              <w:spacing w:line="360" w:lineRule="exact"/>
              <w:jc w:val="center"/>
              <w:textAlignment w:val="top"/>
              <w:rPr>
                <w:rFonts w:ascii="仿宋" w:hAnsi="仿宋" w:eastAsia="仿宋" w:cs="仿宋"/>
                <w:bCs/>
                <w:color w:val="auto"/>
                <w:sz w:val="24"/>
              </w:rPr>
            </w:pPr>
            <w:r>
              <w:rPr>
                <w:rFonts w:hint="eastAsia" w:ascii="仿宋" w:hAnsi="仿宋" w:eastAsia="仿宋" w:cs="仿宋"/>
                <w:b/>
                <w:color w:val="auto"/>
                <w:kern w:val="0"/>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6" w:hRule="atLeast"/>
          <w:jc w:val="center"/>
        </w:trPr>
        <w:tc>
          <w:tcPr>
            <w:tcW w:w="1210" w:type="dxa"/>
            <w:vMerge w:val="restart"/>
            <w:vAlign w:val="center"/>
          </w:tcPr>
          <w:p>
            <w:pPr>
              <w:pStyle w:val="27"/>
              <w:spacing w:line="360" w:lineRule="exact"/>
              <w:jc w:val="both"/>
              <w:rPr>
                <w:rFonts w:ascii="仿宋" w:hAnsi="仿宋" w:eastAsia="仿宋" w:cs="仿宋"/>
                <w:bCs/>
                <w:color w:val="auto"/>
                <w:sz w:val="24"/>
              </w:rPr>
            </w:pPr>
            <w:r>
              <w:rPr>
                <w:rFonts w:hint="eastAsia" w:ascii="仿宋" w:hAnsi="仿宋" w:eastAsia="仿宋" w:cs="仿宋"/>
                <w:bCs/>
                <w:color w:val="auto"/>
                <w:sz w:val="24"/>
              </w:rPr>
              <w:t>商务部分</w:t>
            </w:r>
          </w:p>
          <w:p>
            <w:pPr>
              <w:pStyle w:val="27"/>
              <w:spacing w:line="360" w:lineRule="exact"/>
              <w:jc w:val="both"/>
              <w:rPr>
                <w:rFonts w:ascii="仿宋" w:hAnsi="仿宋" w:eastAsia="仿宋" w:cs="仿宋"/>
                <w:bCs/>
                <w:color w:val="auto"/>
                <w:sz w:val="24"/>
              </w:rPr>
            </w:pPr>
            <w:r>
              <w:rPr>
                <w:rFonts w:hint="eastAsia" w:ascii="仿宋" w:hAnsi="仿宋" w:eastAsia="仿宋" w:cs="仿宋"/>
                <w:bCs/>
                <w:color w:val="auto"/>
                <w:sz w:val="24"/>
              </w:rPr>
              <w:t>（24分）</w:t>
            </w:r>
          </w:p>
        </w:tc>
        <w:tc>
          <w:tcPr>
            <w:tcW w:w="1155" w:type="dxa"/>
            <w:vAlign w:val="center"/>
          </w:tcPr>
          <w:p>
            <w:pPr>
              <w:pStyle w:val="27"/>
              <w:spacing w:line="360" w:lineRule="exact"/>
              <w:jc w:val="center"/>
              <w:rPr>
                <w:rFonts w:ascii="仿宋" w:hAnsi="仿宋" w:eastAsia="仿宋" w:cs="仿宋"/>
                <w:bCs/>
                <w:color w:val="auto"/>
                <w:sz w:val="24"/>
              </w:rPr>
            </w:pPr>
            <w:r>
              <w:rPr>
                <w:rFonts w:hint="eastAsia" w:ascii="仿宋" w:hAnsi="仿宋" w:eastAsia="仿宋" w:cs="仿宋"/>
                <w:bCs/>
                <w:color w:val="auto"/>
                <w:sz w:val="24"/>
              </w:rPr>
              <w:t>服务能力证明</w:t>
            </w:r>
          </w:p>
        </w:tc>
        <w:tc>
          <w:tcPr>
            <w:tcW w:w="876" w:type="dxa"/>
            <w:vAlign w:val="center"/>
          </w:tcPr>
          <w:p>
            <w:pPr>
              <w:pStyle w:val="27"/>
              <w:spacing w:line="360" w:lineRule="exact"/>
              <w:jc w:val="center"/>
              <w:rPr>
                <w:rFonts w:ascii="仿宋" w:hAnsi="仿宋" w:eastAsia="仿宋" w:cs="仿宋"/>
                <w:bCs/>
                <w:color w:val="auto"/>
                <w:sz w:val="24"/>
              </w:rPr>
            </w:pPr>
            <w:r>
              <w:rPr>
                <w:rFonts w:hint="eastAsia" w:ascii="仿宋" w:hAnsi="仿宋" w:eastAsia="仿宋" w:cs="仿宋"/>
                <w:bCs/>
                <w:color w:val="auto"/>
                <w:sz w:val="24"/>
              </w:rPr>
              <w:t>9</w:t>
            </w:r>
          </w:p>
        </w:tc>
        <w:tc>
          <w:tcPr>
            <w:tcW w:w="6800" w:type="dxa"/>
            <w:vAlign w:val="center"/>
          </w:tcPr>
          <w:p>
            <w:pPr>
              <w:pStyle w:val="27"/>
              <w:spacing w:line="360" w:lineRule="exact"/>
              <w:jc w:val="both"/>
              <w:rPr>
                <w:rFonts w:ascii="仿宋" w:hAnsi="仿宋" w:eastAsia="仿宋" w:cs="仿宋"/>
                <w:bCs/>
                <w:color w:val="auto"/>
                <w:sz w:val="24"/>
              </w:rPr>
            </w:pPr>
            <w:r>
              <w:rPr>
                <w:rFonts w:hint="eastAsia" w:ascii="仿宋" w:hAnsi="仿宋" w:eastAsia="仿宋" w:cs="仿宋"/>
                <w:bCs/>
                <w:color w:val="auto"/>
                <w:sz w:val="24"/>
              </w:rPr>
              <w:t>以下需提供相关证明材料：</w:t>
            </w:r>
          </w:p>
          <w:p>
            <w:pPr>
              <w:pStyle w:val="27"/>
              <w:spacing w:line="360" w:lineRule="exact"/>
              <w:jc w:val="both"/>
              <w:rPr>
                <w:rFonts w:ascii="仿宋" w:hAnsi="仿宋" w:eastAsia="仿宋" w:cs="仿宋"/>
                <w:bCs/>
                <w:color w:val="auto"/>
                <w:sz w:val="24"/>
              </w:rPr>
            </w:pPr>
            <w:r>
              <w:rPr>
                <w:rFonts w:hint="eastAsia" w:ascii="仿宋" w:hAnsi="仿宋" w:eastAsia="仿宋" w:cs="仿宋"/>
                <w:bCs/>
                <w:color w:val="auto"/>
                <w:sz w:val="24"/>
              </w:rPr>
              <w:t>1、保证产品稳定性要求，所投标安全产品的厂商，具备CMMI5证书得3分。CMMI3-4得1分，没有不得分；</w:t>
            </w:r>
          </w:p>
          <w:p>
            <w:pPr>
              <w:pStyle w:val="27"/>
              <w:spacing w:line="360" w:lineRule="exact"/>
              <w:jc w:val="both"/>
              <w:rPr>
                <w:rFonts w:ascii="仿宋" w:hAnsi="仿宋" w:eastAsia="仿宋" w:cs="仿宋"/>
                <w:bCs/>
                <w:color w:val="auto"/>
                <w:sz w:val="24"/>
              </w:rPr>
            </w:pPr>
            <w:r>
              <w:rPr>
                <w:rFonts w:hint="eastAsia" w:ascii="仿宋" w:hAnsi="仿宋" w:eastAsia="仿宋" w:cs="仿宋"/>
                <w:bCs/>
                <w:color w:val="auto"/>
                <w:sz w:val="24"/>
              </w:rPr>
              <w:t>2、超融合一体机所部署业务需保证东西向安全，所投标产品的厂商，为国家级网络安全应急服务支撑单位证书（CNCERT），得3分。省级得1分，没有不得分；</w:t>
            </w:r>
          </w:p>
          <w:p>
            <w:pPr>
              <w:pStyle w:val="27"/>
              <w:spacing w:line="360" w:lineRule="exact"/>
              <w:jc w:val="both"/>
              <w:rPr>
                <w:rFonts w:ascii="仿宋" w:hAnsi="仿宋" w:eastAsia="仿宋" w:cs="仿宋"/>
                <w:bCs/>
                <w:color w:val="auto"/>
                <w:sz w:val="24"/>
              </w:rPr>
            </w:pPr>
            <w:r>
              <w:rPr>
                <w:rFonts w:hint="eastAsia" w:ascii="仿宋" w:hAnsi="仿宋" w:eastAsia="仿宋" w:cs="仿宋"/>
                <w:bCs/>
                <w:color w:val="auto"/>
                <w:sz w:val="24"/>
              </w:rPr>
              <w:t>3、为保障云平台的领先性和成熟度，云平台厂商需连续两年入围Gartner《超融合基础设施软件魔力象限》或云平台厂商需连续两年在中国超融合市场占有率为前三名。提供相应证明材料，满足得3分，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210" w:type="dxa"/>
            <w:vMerge w:val="continue"/>
            <w:vAlign w:val="center"/>
          </w:tcPr>
          <w:p>
            <w:pPr>
              <w:pStyle w:val="27"/>
              <w:spacing w:line="360" w:lineRule="exact"/>
              <w:jc w:val="both"/>
              <w:rPr>
                <w:rFonts w:ascii="仿宋" w:hAnsi="仿宋" w:eastAsia="仿宋" w:cs="仿宋"/>
                <w:bCs/>
                <w:color w:val="auto"/>
                <w:sz w:val="24"/>
              </w:rPr>
            </w:pPr>
          </w:p>
        </w:tc>
        <w:tc>
          <w:tcPr>
            <w:tcW w:w="1155" w:type="dxa"/>
            <w:vAlign w:val="center"/>
          </w:tcPr>
          <w:p>
            <w:pPr>
              <w:pStyle w:val="27"/>
              <w:spacing w:line="360" w:lineRule="exact"/>
              <w:jc w:val="center"/>
              <w:rPr>
                <w:rFonts w:ascii="仿宋" w:hAnsi="仿宋" w:eastAsia="仿宋" w:cs="仿宋"/>
                <w:bCs/>
                <w:color w:val="auto"/>
                <w:sz w:val="24"/>
              </w:rPr>
            </w:pPr>
            <w:r>
              <w:rPr>
                <w:rFonts w:hint="eastAsia" w:ascii="仿宋" w:hAnsi="仿宋" w:eastAsia="仿宋" w:cs="仿宋"/>
                <w:bCs/>
                <w:color w:val="auto"/>
                <w:sz w:val="24"/>
              </w:rPr>
              <w:t>业绩</w:t>
            </w:r>
          </w:p>
        </w:tc>
        <w:tc>
          <w:tcPr>
            <w:tcW w:w="876" w:type="dxa"/>
            <w:vAlign w:val="center"/>
          </w:tcPr>
          <w:p>
            <w:pPr>
              <w:pStyle w:val="27"/>
              <w:spacing w:line="360" w:lineRule="exact"/>
              <w:jc w:val="center"/>
              <w:rPr>
                <w:rFonts w:ascii="仿宋" w:hAnsi="仿宋" w:eastAsia="仿宋" w:cs="仿宋"/>
                <w:bCs/>
                <w:color w:val="auto"/>
                <w:sz w:val="24"/>
              </w:rPr>
            </w:pPr>
            <w:r>
              <w:rPr>
                <w:rFonts w:hint="eastAsia" w:ascii="仿宋" w:hAnsi="仿宋" w:eastAsia="仿宋" w:cs="仿宋"/>
                <w:bCs/>
                <w:color w:val="auto"/>
                <w:sz w:val="24"/>
              </w:rPr>
              <w:t>10</w:t>
            </w:r>
          </w:p>
        </w:tc>
        <w:tc>
          <w:tcPr>
            <w:tcW w:w="6800" w:type="dxa"/>
            <w:vAlign w:val="center"/>
          </w:tcPr>
          <w:p>
            <w:pPr>
              <w:pStyle w:val="27"/>
              <w:spacing w:line="360" w:lineRule="exact"/>
              <w:jc w:val="both"/>
              <w:rPr>
                <w:rFonts w:ascii="仿宋" w:hAnsi="仿宋" w:eastAsia="仿宋" w:cs="仿宋"/>
                <w:bCs/>
                <w:color w:val="auto"/>
                <w:sz w:val="24"/>
              </w:rPr>
            </w:pPr>
            <w:r>
              <w:rPr>
                <w:rFonts w:hint="eastAsia" w:ascii="仿宋" w:hAnsi="仿宋" w:eastAsia="仿宋"/>
                <w:bCs/>
                <w:color w:val="auto"/>
                <w:kern w:val="0"/>
                <w:sz w:val="24"/>
              </w:rPr>
              <w:t>提供近3年内（自2019年6月1日至2022年6月1日）超融合项目（同时包含本次所投型号产品超融合服务器硬件及超融合软件等核心产品）业绩，中标通知书或合同（均为原件扫描件），证明材料应包含产品名称、型号、日期、盖章信息等</w:t>
            </w:r>
            <w:r>
              <w:rPr>
                <w:rFonts w:hint="eastAsia" w:ascii="仿宋" w:hAnsi="仿宋" w:eastAsia="仿宋" w:cs="仿宋"/>
                <w:bCs/>
                <w:color w:val="auto"/>
                <w:sz w:val="24"/>
              </w:rPr>
              <w:t>，每提供一个得2分，满分10分。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Merge w:val="continue"/>
            <w:vAlign w:val="center"/>
          </w:tcPr>
          <w:p>
            <w:pPr>
              <w:pStyle w:val="27"/>
              <w:spacing w:line="360" w:lineRule="exact"/>
              <w:jc w:val="both"/>
              <w:rPr>
                <w:rFonts w:ascii="仿宋" w:hAnsi="仿宋" w:eastAsia="仿宋" w:cs="仿宋"/>
                <w:bCs/>
                <w:color w:val="auto"/>
                <w:sz w:val="24"/>
              </w:rPr>
            </w:pPr>
          </w:p>
        </w:tc>
        <w:tc>
          <w:tcPr>
            <w:tcW w:w="1155" w:type="dxa"/>
            <w:vAlign w:val="center"/>
          </w:tcPr>
          <w:p>
            <w:pPr>
              <w:pStyle w:val="27"/>
              <w:spacing w:line="360" w:lineRule="exact"/>
              <w:jc w:val="center"/>
              <w:rPr>
                <w:rFonts w:ascii="仿宋" w:hAnsi="仿宋" w:eastAsia="仿宋" w:cs="仿宋"/>
                <w:bCs/>
                <w:color w:val="auto"/>
                <w:sz w:val="24"/>
              </w:rPr>
            </w:pPr>
            <w:r>
              <w:rPr>
                <w:rFonts w:hint="eastAsia" w:ascii="仿宋" w:hAnsi="仿宋" w:eastAsia="仿宋" w:cs="仿宋"/>
                <w:bCs/>
                <w:color w:val="auto"/>
                <w:sz w:val="24"/>
              </w:rPr>
              <w:t>培训方案</w:t>
            </w:r>
          </w:p>
          <w:p>
            <w:pPr>
              <w:pStyle w:val="27"/>
              <w:spacing w:line="360" w:lineRule="exact"/>
              <w:jc w:val="center"/>
              <w:rPr>
                <w:rFonts w:ascii="仿宋" w:hAnsi="仿宋" w:eastAsia="仿宋" w:cs="仿宋"/>
                <w:bCs/>
                <w:color w:val="auto"/>
                <w:sz w:val="24"/>
              </w:rPr>
            </w:pPr>
          </w:p>
        </w:tc>
        <w:tc>
          <w:tcPr>
            <w:tcW w:w="876" w:type="dxa"/>
            <w:vAlign w:val="center"/>
          </w:tcPr>
          <w:p>
            <w:pPr>
              <w:pStyle w:val="27"/>
              <w:spacing w:line="360" w:lineRule="exact"/>
              <w:jc w:val="center"/>
              <w:rPr>
                <w:rFonts w:ascii="仿宋" w:hAnsi="仿宋" w:eastAsia="仿宋" w:cs="仿宋"/>
                <w:bCs/>
                <w:color w:val="auto"/>
                <w:sz w:val="24"/>
              </w:rPr>
            </w:pPr>
            <w:r>
              <w:rPr>
                <w:rFonts w:hint="eastAsia" w:ascii="仿宋" w:hAnsi="仿宋" w:eastAsia="仿宋" w:cs="仿宋"/>
                <w:bCs/>
                <w:color w:val="auto"/>
                <w:sz w:val="24"/>
              </w:rPr>
              <w:t>3</w:t>
            </w:r>
          </w:p>
        </w:tc>
        <w:tc>
          <w:tcPr>
            <w:tcW w:w="6800" w:type="dxa"/>
            <w:vAlign w:val="center"/>
          </w:tcPr>
          <w:p>
            <w:pPr>
              <w:pStyle w:val="27"/>
              <w:spacing w:line="360" w:lineRule="exact"/>
              <w:jc w:val="both"/>
              <w:rPr>
                <w:rFonts w:ascii="仿宋" w:hAnsi="仿宋" w:eastAsia="仿宋" w:cs="仿宋"/>
                <w:bCs/>
                <w:color w:val="auto"/>
                <w:sz w:val="24"/>
              </w:rPr>
            </w:pPr>
            <w:r>
              <w:rPr>
                <w:rFonts w:hint="eastAsia" w:ascii="仿宋" w:hAnsi="仿宋" w:eastAsia="仿宋" w:cs="仿宋"/>
                <w:bCs/>
                <w:color w:val="auto"/>
                <w:sz w:val="24"/>
              </w:rPr>
              <w:t>提供设备使用培训及相应软件培训方案：</w:t>
            </w:r>
          </w:p>
          <w:p>
            <w:pPr>
              <w:pStyle w:val="27"/>
              <w:spacing w:line="360" w:lineRule="exact"/>
              <w:jc w:val="both"/>
              <w:rPr>
                <w:rFonts w:ascii="仿宋" w:hAnsi="仿宋" w:eastAsia="仿宋" w:cs="仿宋"/>
                <w:bCs/>
                <w:color w:val="auto"/>
                <w:sz w:val="24"/>
              </w:rPr>
            </w:pPr>
            <w:r>
              <w:rPr>
                <w:rFonts w:hint="eastAsia" w:ascii="仿宋" w:hAnsi="仿宋" w:eastAsia="仿宋" w:cs="仿宋"/>
                <w:bCs/>
                <w:color w:val="auto"/>
                <w:sz w:val="24"/>
              </w:rPr>
              <w:t>①方案完全切合项目的实际需求，内容完整，培训目标有保障，具有很强的针对性和可操作性的，得3分；</w:t>
            </w:r>
          </w:p>
          <w:p>
            <w:pPr>
              <w:pStyle w:val="27"/>
              <w:spacing w:line="360" w:lineRule="exact"/>
              <w:jc w:val="both"/>
              <w:rPr>
                <w:rFonts w:ascii="仿宋" w:hAnsi="仿宋" w:eastAsia="仿宋" w:cs="仿宋"/>
                <w:bCs/>
                <w:color w:val="auto"/>
                <w:sz w:val="24"/>
              </w:rPr>
            </w:pPr>
            <w:r>
              <w:rPr>
                <w:rFonts w:hint="eastAsia" w:ascii="仿宋" w:hAnsi="仿宋" w:eastAsia="仿宋" w:cs="仿宋"/>
                <w:bCs/>
                <w:color w:val="auto"/>
                <w:sz w:val="24"/>
              </w:rPr>
              <w:t>②方案可行，但有缺陷待完善或未完全针对本项目，得1分；</w:t>
            </w:r>
          </w:p>
          <w:p>
            <w:pPr>
              <w:pStyle w:val="27"/>
              <w:spacing w:line="360" w:lineRule="exact"/>
              <w:jc w:val="both"/>
              <w:rPr>
                <w:rFonts w:ascii="仿宋" w:hAnsi="仿宋" w:eastAsia="仿宋" w:cs="仿宋"/>
                <w:bCs/>
                <w:color w:val="auto"/>
                <w:sz w:val="24"/>
              </w:rPr>
            </w:pPr>
            <w:r>
              <w:rPr>
                <w:rFonts w:hint="eastAsia" w:ascii="仿宋" w:hAnsi="仿宋" w:eastAsia="仿宋" w:cs="仿宋"/>
                <w:bCs/>
                <w:color w:val="auto"/>
                <w:sz w:val="24"/>
              </w:rPr>
              <w:t>③方案不可行或未提供的，得0分。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Merge w:val="continue"/>
            <w:vAlign w:val="center"/>
          </w:tcPr>
          <w:p>
            <w:pPr>
              <w:pStyle w:val="27"/>
              <w:spacing w:line="360" w:lineRule="exact"/>
              <w:jc w:val="both"/>
              <w:rPr>
                <w:rFonts w:ascii="仿宋" w:hAnsi="仿宋" w:eastAsia="仿宋" w:cs="仿宋"/>
                <w:bCs/>
                <w:color w:val="auto"/>
                <w:sz w:val="24"/>
              </w:rPr>
            </w:pPr>
          </w:p>
        </w:tc>
        <w:tc>
          <w:tcPr>
            <w:tcW w:w="1155" w:type="dxa"/>
            <w:vAlign w:val="center"/>
          </w:tcPr>
          <w:p>
            <w:pPr>
              <w:pStyle w:val="27"/>
              <w:spacing w:line="360" w:lineRule="exact"/>
              <w:jc w:val="center"/>
              <w:rPr>
                <w:rFonts w:ascii="仿宋" w:hAnsi="仿宋" w:eastAsia="仿宋" w:cs="仿宋"/>
                <w:bCs/>
                <w:color w:val="auto"/>
                <w:sz w:val="24"/>
              </w:rPr>
            </w:pPr>
            <w:r>
              <w:rPr>
                <w:rFonts w:hint="eastAsia" w:ascii="仿宋" w:hAnsi="仿宋" w:eastAsia="仿宋" w:cs="仿宋"/>
                <w:bCs/>
                <w:color w:val="auto"/>
                <w:sz w:val="24"/>
              </w:rPr>
              <w:t>标书编制质量</w:t>
            </w:r>
          </w:p>
        </w:tc>
        <w:tc>
          <w:tcPr>
            <w:tcW w:w="876" w:type="dxa"/>
            <w:vAlign w:val="center"/>
          </w:tcPr>
          <w:p>
            <w:pPr>
              <w:pStyle w:val="27"/>
              <w:spacing w:line="360" w:lineRule="exact"/>
              <w:jc w:val="center"/>
              <w:rPr>
                <w:rFonts w:ascii="仿宋" w:hAnsi="仿宋" w:eastAsia="仿宋" w:cs="仿宋"/>
                <w:bCs/>
                <w:color w:val="auto"/>
                <w:sz w:val="24"/>
              </w:rPr>
            </w:pPr>
            <w:r>
              <w:rPr>
                <w:rFonts w:hint="eastAsia" w:ascii="仿宋" w:hAnsi="仿宋" w:eastAsia="仿宋" w:cs="仿宋"/>
                <w:bCs/>
                <w:color w:val="auto"/>
                <w:sz w:val="24"/>
              </w:rPr>
              <w:t>2</w:t>
            </w:r>
          </w:p>
        </w:tc>
        <w:tc>
          <w:tcPr>
            <w:tcW w:w="6800" w:type="dxa"/>
            <w:vAlign w:val="center"/>
          </w:tcPr>
          <w:p>
            <w:pPr>
              <w:pStyle w:val="27"/>
              <w:spacing w:line="360" w:lineRule="exact"/>
              <w:jc w:val="both"/>
              <w:rPr>
                <w:rFonts w:ascii="仿宋" w:hAnsi="仿宋" w:eastAsia="仿宋" w:cs="仿宋"/>
                <w:bCs/>
                <w:color w:val="auto"/>
                <w:sz w:val="24"/>
              </w:rPr>
            </w:pPr>
            <w:r>
              <w:rPr>
                <w:rFonts w:hint="eastAsia" w:ascii="仿宋" w:hAnsi="仿宋" w:eastAsia="仿宋" w:cs="仿宋"/>
                <w:bCs/>
                <w:color w:val="auto"/>
                <w:sz w:val="24"/>
              </w:rPr>
              <w:t>有目录索引、页码无错乱、标题、编号、正文、表格 等排版规范得 1分，电子投标文件的逐项响应且清晰准确得 1分，满分2分。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Merge w:val="restart"/>
            <w:vAlign w:val="center"/>
          </w:tcPr>
          <w:p>
            <w:pPr>
              <w:pStyle w:val="27"/>
              <w:spacing w:line="360" w:lineRule="exact"/>
              <w:jc w:val="both"/>
              <w:rPr>
                <w:rFonts w:ascii="仿宋" w:hAnsi="仿宋" w:eastAsia="仿宋" w:cs="仿宋"/>
                <w:bCs/>
                <w:color w:val="auto"/>
                <w:sz w:val="24"/>
              </w:rPr>
            </w:pPr>
            <w:r>
              <w:rPr>
                <w:rFonts w:hint="eastAsia" w:ascii="仿宋" w:hAnsi="仿宋" w:eastAsia="仿宋" w:cs="仿宋"/>
                <w:bCs/>
                <w:color w:val="auto"/>
                <w:sz w:val="24"/>
              </w:rPr>
              <w:t>技术部分（46分）</w:t>
            </w:r>
          </w:p>
        </w:tc>
        <w:tc>
          <w:tcPr>
            <w:tcW w:w="1155" w:type="dxa"/>
            <w:vAlign w:val="center"/>
          </w:tcPr>
          <w:p>
            <w:pPr>
              <w:pStyle w:val="27"/>
              <w:spacing w:line="360" w:lineRule="exact"/>
              <w:jc w:val="center"/>
              <w:rPr>
                <w:rFonts w:ascii="仿宋" w:hAnsi="仿宋" w:eastAsia="仿宋" w:cs="仿宋"/>
                <w:bCs/>
                <w:color w:val="auto"/>
                <w:sz w:val="24"/>
              </w:rPr>
            </w:pPr>
            <w:r>
              <w:rPr>
                <w:rFonts w:hint="eastAsia" w:ascii="仿宋" w:hAnsi="仿宋" w:eastAsia="仿宋" w:cs="仿宋"/>
                <w:bCs/>
                <w:color w:val="auto"/>
                <w:sz w:val="24"/>
              </w:rPr>
              <w:t>投标产品技术参数响应</w:t>
            </w:r>
          </w:p>
        </w:tc>
        <w:tc>
          <w:tcPr>
            <w:tcW w:w="876" w:type="dxa"/>
            <w:vAlign w:val="center"/>
          </w:tcPr>
          <w:p>
            <w:pPr>
              <w:pStyle w:val="27"/>
              <w:spacing w:line="360" w:lineRule="exact"/>
              <w:jc w:val="center"/>
              <w:rPr>
                <w:rFonts w:ascii="仿宋" w:hAnsi="仿宋" w:eastAsia="仿宋" w:cs="仿宋"/>
                <w:bCs/>
                <w:color w:val="auto"/>
                <w:sz w:val="24"/>
              </w:rPr>
            </w:pPr>
            <w:r>
              <w:rPr>
                <w:rFonts w:hint="eastAsia" w:ascii="仿宋" w:hAnsi="仿宋" w:eastAsia="仿宋" w:cs="仿宋"/>
                <w:bCs/>
                <w:color w:val="auto"/>
                <w:sz w:val="24"/>
              </w:rPr>
              <w:t>21</w:t>
            </w:r>
          </w:p>
        </w:tc>
        <w:tc>
          <w:tcPr>
            <w:tcW w:w="6800" w:type="dxa"/>
            <w:vAlign w:val="center"/>
          </w:tcPr>
          <w:p>
            <w:pPr>
              <w:pStyle w:val="676"/>
              <w:spacing w:line="360" w:lineRule="exact"/>
              <w:ind w:firstLine="0" w:firstLineChars="0"/>
              <w:rPr>
                <w:rFonts w:ascii="仿宋" w:hAnsi="仿宋" w:eastAsia="仿宋" w:cs="仿宋"/>
                <w:bCs/>
                <w:color w:val="auto"/>
              </w:rPr>
            </w:pPr>
            <w:r>
              <w:rPr>
                <w:rFonts w:hint="eastAsia" w:ascii="仿宋" w:hAnsi="仿宋" w:eastAsia="仿宋"/>
                <w:color w:val="auto"/>
                <w:szCs w:val="24"/>
              </w:rPr>
              <w:t>供应商提供的《技术服务条款偏离表》须对照第四章《采购需求》所有条款按照序号逐条列出是否响应及响应内容。第四章《采购需求》中标注★号的条款为重要技术参数条款，其他为一般技术参数条款：</w:t>
            </w:r>
          </w:p>
          <w:p>
            <w:pPr>
              <w:pStyle w:val="27"/>
              <w:spacing w:line="360" w:lineRule="exact"/>
              <w:jc w:val="both"/>
              <w:rPr>
                <w:rFonts w:ascii="仿宋" w:hAnsi="仿宋" w:eastAsia="仿宋" w:cs="仿宋"/>
                <w:bCs/>
                <w:color w:val="auto"/>
                <w:sz w:val="24"/>
              </w:rPr>
            </w:pPr>
            <w:r>
              <w:rPr>
                <w:rFonts w:hint="eastAsia" w:ascii="仿宋" w:hAnsi="仿宋" w:eastAsia="仿宋" w:cs="仿宋"/>
                <w:bCs/>
                <w:color w:val="auto"/>
                <w:sz w:val="24"/>
              </w:rPr>
              <w:t>1.满足《采购需求》中一般参数要求的全部指标得10分，一般参数中凡有一项不满足的扣1分，扣完为止；</w:t>
            </w:r>
          </w:p>
          <w:p>
            <w:pPr>
              <w:pStyle w:val="27"/>
              <w:spacing w:line="360" w:lineRule="exact"/>
              <w:jc w:val="both"/>
              <w:rPr>
                <w:rFonts w:ascii="仿宋" w:hAnsi="仿宋" w:eastAsia="仿宋" w:cs="仿宋"/>
                <w:bCs/>
                <w:color w:val="auto"/>
                <w:sz w:val="24"/>
              </w:rPr>
            </w:pPr>
            <w:r>
              <w:rPr>
                <w:rFonts w:hint="eastAsia" w:ascii="仿宋" w:hAnsi="仿宋" w:eastAsia="仿宋" w:cs="仿宋"/>
                <w:bCs/>
                <w:color w:val="auto"/>
                <w:sz w:val="24"/>
              </w:rPr>
              <w:t>2.标★号的参数为本项目产品重要指标，凡满足一项</w:t>
            </w:r>
            <w:r>
              <w:rPr>
                <w:rFonts w:hint="eastAsia" w:ascii="仿宋" w:hAnsi="仿宋" w:eastAsia="仿宋" w:cs="Times New Roman"/>
                <w:color w:val="auto"/>
                <w:sz w:val="24"/>
                <w:szCs w:val="24"/>
                <w:lang w:val="zh-CN"/>
              </w:rPr>
              <w:t>并按照要求提供相关证明材料的，</w:t>
            </w:r>
            <w:r>
              <w:rPr>
                <w:rFonts w:hint="eastAsia" w:ascii="仿宋" w:hAnsi="仿宋" w:eastAsia="仿宋" w:cs="仿宋"/>
                <w:bCs/>
                <w:color w:val="auto"/>
                <w:sz w:val="24"/>
              </w:rPr>
              <w:t>得1分，不满足不扣分，最多得11分。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Merge w:val="continue"/>
            <w:vAlign w:val="center"/>
          </w:tcPr>
          <w:p>
            <w:pPr>
              <w:pStyle w:val="27"/>
              <w:spacing w:line="360" w:lineRule="exact"/>
              <w:jc w:val="both"/>
              <w:rPr>
                <w:rFonts w:ascii="仿宋" w:hAnsi="仿宋" w:eastAsia="仿宋" w:cs="仿宋"/>
                <w:bCs/>
                <w:color w:val="auto"/>
                <w:sz w:val="24"/>
              </w:rPr>
            </w:pPr>
          </w:p>
        </w:tc>
        <w:tc>
          <w:tcPr>
            <w:tcW w:w="1155" w:type="dxa"/>
            <w:vAlign w:val="center"/>
          </w:tcPr>
          <w:p>
            <w:pPr>
              <w:pStyle w:val="27"/>
              <w:spacing w:line="360" w:lineRule="exact"/>
              <w:jc w:val="center"/>
              <w:rPr>
                <w:rFonts w:ascii="仿宋" w:hAnsi="仿宋" w:eastAsia="仿宋" w:cs="仿宋"/>
                <w:bCs/>
                <w:color w:val="auto"/>
                <w:sz w:val="24"/>
              </w:rPr>
            </w:pPr>
            <w:r>
              <w:rPr>
                <w:rFonts w:hint="eastAsia" w:ascii="仿宋" w:hAnsi="仿宋" w:eastAsia="仿宋" w:cs="仿宋"/>
                <w:bCs/>
                <w:color w:val="auto"/>
                <w:sz w:val="24"/>
              </w:rPr>
              <w:t>重要产品功能展示</w:t>
            </w:r>
          </w:p>
        </w:tc>
        <w:tc>
          <w:tcPr>
            <w:tcW w:w="876" w:type="dxa"/>
            <w:vAlign w:val="center"/>
          </w:tcPr>
          <w:p>
            <w:pPr>
              <w:pStyle w:val="27"/>
              <w:spacing w:line="360" w:lineRule="exact"/>
              <w:jc w:val="center"/>
              <w:rPr>
                <w:rFonts w:ascii="仿宋" w:hAnsi="仿宋" w:eastAsia="仿宋" w:cs="仿宋"/>
                <w:bCs/>
                <w:color w:val="auto"/>
                <w:sz w:val="24"/>
              </w:rPr>
            </w:pPr>
            <w:r>
              <w:rPr>
                <w:rFonts w:hint="eastAsia" w:ascii="仿宋" w:hAnsi="仿宋" w:eastAsia="仿宋" w:cs="仿宋"/>
                <w:bCs/>
                <w:color w:val="auto"/>
                <w:sz w:val="24"/>
              </w:rPr>
              <w:t>15</w:t>
            </w:r>
          </w:p>
        </w:tc>
        <w:tc>
          <w:tcPr>
            <w:tcW w:w="6800" w:type="dxa"/>
            <w:vAlign w:val="center"/>
          </w:tcPr>
          <w:p>
            <w:pPr>
              <w:pStyle w:val="27"/>
              <w:spacing w:line="360" w:lineRule="exact"/>
              <w:jc w:val="both"/>
              <w:rPr>
                <w:rFonts w:ascii="仿宋" w:hAnsi="仿宋" w:eastAsia="仿宋" w:cs="仿宋"/>
                <w:bCs/>
                <w:color w:val="auto"/>
                <w:sz w:val="24"/>
              </w:rPr>
            </w:pPr>
            <w:r>
              <w:rPr>
                <w:rFonts w:hint="eastAsia" w:ascii="仿宋" w:hAnsi="仿宋" w:eastAsia="仿宋" w:cs="仿宋"/>
                <w:bCs/>
                <w:color w:val="auto"/>
                <w:sz w:val="24"/>
              </w:rPr>
              <w:t>以下重要功能需要投标人提供产品功能配置截图（须清晰）：</w:t>
            </w:r>
          </w:p>
          <w:p>
            <w:pPr>
              <w:pStyle w:val="27"/>
              <w:spacing w:line="360" w:lineRule="exact"/>
              <w:jc w:val="both"/>
              <w:rPr>
                <w:rFonts w:ascii="仿宋" w:hAnsi="仿宋" w:eastAsia="仿宋" w:cs="仿宋"/>
                <w:bCs/>
                <w:color w:val="auto"/>
                <w:sz w:val="24"/>
              </w:rPr>
            </w:pPr>
            <w:r>
              <w:rPr>
                <w:rFonts w:hint="eastAsia" w:ascii="仿宋" w:hAnsi="仿宋" w:eastAsia="仿宋" w:cs="仿宋"/>
                <w:bCs/>
                <w:color w:val="auto"/>
                <w:sz w:val="24"/>
              </w:rPr>
              <w:t>1.超融合平台要求内置数据持续保护模块，为保证数据持续保护与超融合平台的统一管理和兼容性（如果所投超融合平台没有以上数据持续保护模块需使用第三软件来完成如下功能，则需第三方软件厂商提供与所投品牌超融合平台完全兼容的证明文件），需提供产品功能清晰版截图。全部满足得5分，部分满足得3分，不满足不得分；</w:t>
            </w:r>
          </w:p>
          <w:p>
            <w:pPr>
              <w:pStyle w:val="27"/>
              <w:spacing w:line="360" w:lineRule="exact"/>
              <w:jc w:val="both"/>
              <w:rPr>
                <w:rFonts w:ascii="仿宋" w:hAnsi="仿宋" w:eastAsia="仿宋" w:cs="仿宋"/>
                <w:bCs/>
                <w:color w:val="auto"/>
                <w:sz w:val="24"/>
              </w:rPr>
            </w:pPr>
            <w:r>
              <w:rPr>
                <w:rFonts w:hint="eastAsia" w:ascii="仿宋" w:hAnsi="仿宋" w:eastAsia="仿宋" w:cs="仿宋"/>
                <w:bCs/>
                <w:color w:val="auto"/>
                <w:sz w:val="24"/>
              </w:rPr>
              <w:t>2.超融合支持存储分卷功能，支持以磁盘为单位，根据业务需求划分为不同的存储卷，如高性能卷，大容量卷，全闪存卷等，可使对存储性能和容量要求不同的业务运行在不同的存储卷上，需提供产品功能清晰版截图。 全部满足得5分，部分满足得3分，不满足不得分；</w:t>
            </w:r>
          </w:p>
          <w:p>
            <w:pPr>
              <w:pStyle w:val="27"/>
              <w:spacing w:line="360" w:lineRule="exact"/>
              <w:jc w:val="both"/>
              <w:rPr>
                <w:rFonts w:ascii="仿宋" w:hAnsi="仿宋" w:eastAsia="仿宋" w:cs="仿宋"/>
                <w:bCs/>
                <w:color w:val="auto"/>
                <w:sz w:val="24"/>
              </w:rPr>
            </w:pPr>
            <w:r>
              <w:rPr>
                <w:rFonts w:hint="eastAsia" w:ascii="仿宋" w:hAnsi="仿宋" w:eastAsia="仿宋" w:cs="仿宋"/>
                <w:bCs/>
                <w:color w:val="auto"/>
                <w:sz w:val="24"/>
              </w:rPr>
              <w:t>3.支持web界面或大屏展示便于客户直观查看虚拟化资源池的使用情况和健康状态，包括集群资源情况，各主机资源使用情况，存储资源池的IO次数、IO速率、IO时延、存储命中率、主机命中率，以及集群故障与告警等，需提供产品功能清晰版截图。 全部满足得5分，部分满足得3分，不满足不得分；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Merge w:val="continue"/>
            <w:vAlign w:val="center"/>
          </w:tcPr>
          <w:p>
            <w:pPr>
              <w:pStyle w:val="27"/>
              <w:spacing w:line="360" w:lineRule="exact"/>
              <w:jc w:val="both"/>
              <w:rPr>
                <w:rFonts w:ascii="仿宋" w:hAnsi="仿宋" w:eastAsia="仿宋" w:cs="仿宋"/>
                <w:bCs/>
                <w:color w:val="auto"/>
                <w:sz w:val="24"/>
              </w:rPr>
            </w:pPr>
          </w:p>
        </w:tc>
        <w:tc>
          <w:tcPr>
            <w:tcW w:w="1155" w:type="dxa"/>
            <w:vAlign w:val="center"/>
          </w:tcPr>
          <w:p>
            <w:pPr>
              <w:pStyle w:val="27"/>
              <w:spacing w:line="360" w:lineRule="exact"/>
              <w:jc w:val="center"/>
              <w:rPr>
                <w:rFonts w:ascii="仿宋" w:hAnsi="仿宋" w:eastAsia="仿宋" w:cs="仿宋"/>
                <w:bCs/>
                <w:color w:val="auto"/>
                <w:sz w:val="24"/>
              </w:rPr>
            </w:pPr>
            <w:r>
              <w:rPr>
                <w:rFonts w:hint="eastAsia" w:ascii="仿宋" w:hAnsi="仿宋" w:eastAsia="仿宋" w:cs="仿宋"/>
                <w:bCs/>
                <w:color w:val="auto"/>
                <w:sz w:val="24"/>
              </w:rPr>
              <w:t>项目建设方案</w:t>
            </w:r>
          </w:p>
        </w:tc>
        <w:tc>
          <w:tcPr>
            <w:tcW w:w="876" w:type="dxa"/>
            <w:vAlign w:val="center"/>
          </w:tcPr>
          <w:p>
            <w:pPr>
              <w:pStyle w:val="27"/>
              <w:spacing w:line="360" w:lineRule="exact"/>
              <w:jc w:val="center"/>
              <w:rPr>
                <w:rFonts w:ascii="仿宋" w:hAnsi="仿宋" w:eastAsia="仿宋" w:cs="仿宋"/>
                <w:bCs/>
                <w:color w:val="auto"/>
                <w:sz w:val="24"/>
              </w:rPr>
            </w:pPr>
            <w:r>
              <w:rPr>
                <w:rFonts w:hint="eastAsia" w:ascii="仿宋" w:hAnsi="仿宋" w:eastAsia="仿宋" w:cs="仿宋"/>
                <w:bCs/>
                <w:color w:val="auto"/>
                <w:sz w:val="24"/>
              </w:rPr>
              <w:t>5</w:t>
            </w:r>
          </w:p>
        </w:tc>
        <w:tc>
          <w:tcPr>
            <w:tcW w:w="6800" w:type="dxa"/>
            <w:vAlign w:val="center"/>
          </w:tcPr>
          <w:p>
            <w:pPr>
              <w:pStyle w:val="27"/>
              <w:spacing w:line="360" w:lineRule="exact"/>
              <w:jc w:val="both"/>
              <w:rPr>
                <w:rFonts w:ascii="仿宋" w:hAnsi="仿宋" w:eastAsia="仿宋" w:cs="仿宋"/>
                <w:bCs/>
                <w:color w:val="auto"/>
                <w:sz w:val="24"/>
              </w:rPr>
            </w:pPr>
            <w:r>
              <w:rPr>
                <w:rFonts w:hint="eastAsia" w:ascii="仿宋" w:hAnsi="仿宋" w:eastAsia="仿宋" w:cs="仿宋"/>
                <w:bCs/>
                <w:color w:val="auto"/>
                <w:sz w:val="24"/>
              </w:rPr>
              <w:t>针对业主核心业务进行现场勘察并匹配完善的技术方案，根据投标人提供的建设方案内容的合理性、安全性、稳定性、先进性、实用性、可操作性进行综合评议：</w:t>
            </w:r>
          </w:p>
          <w:p>
            <w:pPr>
              <w:pStyle w:val="27"/>
              <w:spacing w:line="360" w:lineRule="exact"/>
              <w:jc w:val="both"/>
              <w:rPr>
                <w:rFonts w:ascii="仿宋" w:hAnsi="仿宋" w:eastAsia="仿宋" w:cs="仿宋"/>
                <w:bCs/>
                <w:color w:val="auto"/>
                <w:sz w:val="24"/>
              </w:rPr>
            </w:pPr>
            <w:r>
              <w:rPr>
                <w:rFonts w:hint="eastAsia" w:ascii="仿宋" w:hAnsi="仿宋" w:eastAsia="仿宋" w:cs="仿宋"/>
                <w:bCs/>
                <w:color w:val="auto"/>
                <w:sz w:val="24"/>
              </w:rPr>
              <w:t>①方案完全切合项目的实际需求，内容完整，科学合理，具有很强的针对性和可操作性的，得5分；</w:t>
            </w:r>
          </w:p>
          <w:p>
            <w:pPr>
              <w:pStyle w:val="27"/>
              <w:spacing w:line="360" w:lineRule="exact"/>
              <w:jc w:val="both"/>
              <w:rPr>
                <w:rFonts w:ascii="仿宋" w:hAnsi="仿宋" w:eastAsia="仿宋" w:cs="仿宋"/>
                <w:bCs/>
                <w:color w:val="auto"/>
                <w:sz w:val="24"/>
              </w:rPr>
            </w:pPr>
            <w:r>
              <w:rPr>
                <w:rFonts w:hint="eastAsia" w:ascii="仿宋" w:hAnsi="仿宋" w:eastAsia="仿宋" w:cs="仿宋"/>
                <w:bCs/>
                <w:color w:val="auto"/>
                <w:sz w:val="24"/>
              </w:rPr>
              <w:t>②方案可行，但有缺陷待完善或未完全针对本项目，得3分；</w:t>
            </w:r>
          </w:p>
          <w:p>
            <w:pPr>
              <w:pStyle w:val="27"/>
              <w:spacing w:line="360" w:lineRule="exact"/>
              <w:jc w:val="both"/>
              <w:rPr>
                <w:rFonts w:ascii="仿宋" w:hAnsi="仿宋" w:eastAsia="仿宋" w:cs="仿宋"/>
                <w:bCs/>
                <w:color w:val="auto"/>
                <w:sz w:val="24"/>
              </w:rPr>
            </w:pPr>
            <w:r>
              <w:rPr>
                <w:rFonts w:hint="eastAsia" w:ascii="仿宋" w:hAnsi="仿宋" w:eastAsia="仿宋" w:cs="仿宋"/>
                <w:bCs/>
                <w:color w:val="auto"/>
                <w:sz w:val="24"/>
              </w:rPr>
              <w:t>③方案不可行或未提供的，得0分。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Merge w:val="continue"/>
            <w:vAlign w:val="center"/>
          </w:tcPr>
          <w:p>
            <w:pPr>
              <w:pStyle w:val="27"/>
              <w:spacing w:line="360" w:lineRule="exact"/>
              <w:jc w:val="both"/>
              <w:rPr>
                <w:rFonts w:ascii="仿宋" w:hAnsi="仿宋" w:eastAsia="仿宋" w:cs="仿宋"/>
                <w:bCs/>
                <w:color w:val="auto"/>
                <w:sz w:val="24"/>
              </w:rPr>
            </w:pPr>
          </w:p>
        </w:tc>
        <w:tc>
          <w:tcPr>
            <w:tcW w:w="1155" w:type="dxa"/>
            <w:vAlign w:val="center"/>
          </w:tcPr>
          <w:p>
            <w:pPr>
              <w:pStyle w:val="27"/>
              <w:spacing w:line="360" w:lineRule="exact"/>
              <w:jc w:val="center"/>
              <w:rPr>
                <w:rFonts w:ascii="仿宋" w:hAnsi="仿宋" w:eastAsia="仿宋" w:cs="仿宋"/>
                <w:bCs/>
                <w:color w:val="auto"/>
                <w:sz w:val="24"/>
              </w:rPr>
            </w:pPr>
            <w:r>
              <w:rPr>
                <w:rFonts w:hint="eastAsia" w:ascii="仿宋" w:hAnsi="仿宋" w:eastAsia="仿宋" w:cs="仿宋"/>
                <w:bCs/>
                <w:color w:val="auto"/>
                <w:sz w:val="24"/>
              </w:rPr>
              <w:t>售后服务方案</w:t>
            </w:r>
          </w:p>
        </w:tc>
        <w:tc>
          <w:tcPr>
            <w:tcW w:w="876" w:type="dxa"/>
            <w:vAlign w:val="center"/>
          </w:tcPr>
          <w:p>
            <w:pPr>
              <w:pStyle w:val="27"/>
              <w:spacing w:line="360" w:lineRule="exact"/>
              <w:jc w:val="center"/>
              <w:rPr>
                <w:rFonts w:ascii="仿宋" w:hAnsi="仿宋" w:eastAsia="仿宋" w:cs="仿宋"/>
                <w:bCs/>
                <w:color w:val="auto"/>
                <w:sz w:val="24"/>
              </w:rPr>
            </w:pPr>
          </w:p>
          <w:p>
            <w:pPr>
              <w:pStyle w:val="27"/>
              <w:spacing w:line="360" w:lineRule="exact"/>
              <w:jc w:val="center"/>
              <w:rPr>
                <w:rFonts w:ascii="仿宋" w:hAnsi="仿宋" w:eastAsia="仿宋" w:cs="仿宋"/>
                <w:bCs/>
                <w:color w:val="auto"/>
                <w:sz w:val="24"/>
              </w:rPr>
            </w:pPr>
            <w:r>
              <w:rPr>
                <w:rFonts w:hint="eastAsia" w:ascii="仿宋" w:hAnsi="仿宋" w:eastAsia="仿宋" w:cs="仿宋"/>
                <w:bCs/>
                <w:color w:val="auto"/>
                <w:sz w:val="24"/>
              </w:rPr>
              <w:t>4</w:t>
            </w:r>
          </w:p>
        </w:tc>
        <w:tc>
          <w:tcPr>
            <w:tcW w:w="6800" w:type="dxa"/>
            <w:vAlign w:val="center"/>
          </w:tcPr>
          <w:p>
            <w:pPr>
              <w:pStyle w:val="27"/>
              <w:spacing w:line="360" w:lineRule="exact"/>
              <w:jc w:val="both"/>
              <w:rPr>
                <w:rFonts w:ascii="仿宋" w:hAnsi="仿宋" w:eastAsia="仿宋" w:cs="仿宋"/>
                <w:bCs/>
                <w:color w:val="auto"/>
                <w:sz w:val="24"/>
              </w:rPr>
            </w:pPr>
            <w:r>
              <w:rPr>
                <w:rFonts w:hint="eastAsia" w:ascii="仿宋" w:hAnsi="仿宋" w:eastAsia="仿宋" w:cs="仿宋"/>
                <w:bCs/>
                <w:color w:val="auto"/>
                <w:sz w:val="24"/>
              </w:rPr>
              <w:t>投标人自行编制售后服务方案，包含服务响应时间、服务措施、定期回访计划、相关承诺函等，根据售后服务的可行性、全面性、完整性进行评分：</w:t>
            </w:r>
          </w:p>
          <w:p>
            <w:pPr>
              <w:pStyle w:val="27"/>
              <w:spacing w:line="360" w:lineRule="exact"/>
              <w:jc w:val="both"/>
              <w:rPr>
                <w:rFonts w:ascii="仿宋" w:hAnsi="仿宋" w:eastAsia="仿宋" w:cs="仿宋"/>
                <w:bCs/>
                <w:color w:val="auto"/>
                <w:sz w:val="24"/>
              </w:rPr>
            </w:pPr>
            <w:r>
              <w:rPr>
                <w:rFonts w:hint="eastAsia" w:ascii="仿宋" w:hAnsi="仿宋" w:eastAsia="仿宋" w:cs="仿宋"/>
                <w:bCs/>
                <w:color w:val="auto"/>
                <w:sz w:val="24"/>
              </w:rPr>
              <w:t>①方案完全切合项目的实际需求，内容全面完整，科学合理，具有很强的针对性和可操作性的，得4分；</w:t>
            </w:r>
          </w:p>
          <w:p>
            <w:pPr>
              <w:pStyle w:val="27"/>
              <w:spacing w:line="360" w:lineRule="exact"/>
              <w:jc w:val="both"/>
              <w:rPr>
                <w:rFonts w:ascii="仿宋" w:hAnsi="仿宋" w:eastAsia="仿宋" w:cs="仿宋"/>
                <w:bCs/>
                <w:color w:val="auto"/>
                <w:sz w:val="24"/>
              </w:rPr>
            </w:pPr>
            <w:r>
              <w:rPr>
                <w:rFonts w:hint="eastAsia" w:ascii="仿宋" w:hAnsi="仿宋" w:eastAsia="仿宋" w:cs="仿宋"/>
                <w:bCs/>
                <w:color w:val="auto"/>
                <w:sz w:val="24"/>
              </w:rPr>
              <w:t>②方案可行，但有缺陷待完善或未完全针对本项目，得2分；</w:t>
            </w:r>
          </w:p>
          <w:p>
            <w:pPr>
              <w:pStyle w:val="27"/>
              <w:spacing w:line="360" w:lineRule="exact"/>
              <w:jc w:val="both"/>
              <w:rPr>
                <w:rFonts w:ascii="仿宋" w:hAnsi="仿宋" w:eastAsia="仿宋" w:cs="仿宋"/>
                <w:bCs/>
                <w:color w:val="auto"/>
                <w:sz w:val="24"/>
              </w:rPr>
            </w:pPr>
            <w:r>
              <w:rPr>
                <w:rFonts w:hint="eastAsia" w:ascii="仿宋" w:hAnsi="仿宋" w:eastAsia="仿宋" w:cs="仿宋"/>
                <w:bCs/>
                <w:color w:val="auto"/>
                <w:sz w:val="24"/>
              </w:rPr>
              <w:t>③方案不可行或未提供的，得0分。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Merge w:val="continue"/>
            <w:vAlign w:val="center"/>
          </w:tcPr>
          <w:p>
            <w:pPr>
              <w:widowControl/>
              <w:spacing w:line="360" w:lineRule="exact"/>
              <w:textAlignment w:val="center"/>
              <w:rPr>
                <w:rFonts w:ascii="仿宋" w:hAnsi="仿宋" w:eastAsia="仿宋" w:cs="仿宋"/>
                <w:bCs/>
                <w:color w:val="auto"/>
                <w:sz w:val="24"/>
              </w:rPr>
            </w:pPr>
          </w:p>
        </w:tc>
        <w:tc>
          <w:tcPr>
            <w:tcW w:w="1155" w:type="dxa"/>
            <w:vAlign w:val="center"/>
          </w:tcPr>
          <w:p>
            <w:pPr>
              <w:widowControl/>
              <w:spacing w:line="360" w:lineRule="exact"/>
              <w:jc w:val="center"/>
              <w:textAlignment w:val="center"/>
              <w:rPr>
                <w:rFonts w:ascii="仿宋" w:hAnsi="仿宋" w:eastAsia="仿宋" w:cs="仿宋"/>
                <w:bCs/>
                <w:color w:val="auto"/>
                <w:sz w:val="24"/>
              </w:rPr>
            </w:pPr>
            <w:r>
              <w:rPr>
                <w:rFonts w:hint="eastAsia" w:ascii="仿宋" w:hAnsi="仿宋" w:eastAsia="仿宋"/>
                <w:bCs/>
                <w:color w:val="auto"/>
                <w:kern w:val="0"/>
                <w:sz w:val="24"/>
              </w:rPr>
              <w:t>非强制节能环保产品政策功能评分</w:t>
            </w:r>
          </w:p>
        </w:tc>
        <w:tc>
          <w:tcPr>
            <w:tcW w:w="876" w:type="dxa"/>
            <w:vAlign w:val="center"/>
          </w:tcPr>
          <w:p>
            <w:pPr>
              <w:pStyle w:val="676"/>
              <w:spacing w:line="360" w:lineRule="exact"/>
              <w:ind w:firstLine="0" w:firstLineChars="0"/>
              <w:jc w:val="center"/>
              <w:rPr>
                <w:rFonts w:ascii="仿宋" w:hAnsi="仿宋" w:eastAsia="仿宋" w:cs="仿宋"/>
                <w:bCs/>
                <w:color w:val="auto"/>
                <w:szCs w:val="24"/>
              </w:rPr>
            </w:pPr>
            <w:r>
              <w:rPr>
                <w:rFonts w:hint="eastAsia" w:ascii="仿宋" w:hAnsi="仿宋" w:eastAsia="仿宋"/>
                <w:bCs/>
                <w:color w:val="auto"/>
                <w:kern w:val="0"/>
                <w:szCs w:val="24"/>
              </w:rPr>
              <w:t>1</w:t>
            </w:r>
          </w:p>
        </w:tc>
        <w:tc>
          <w:tcPr>
            <w:tcW w:w="6800" w:type="dxa"/>
            <w:vAlign w:val="center"/>
          </w:tcPr>
          <w:p>
            <w:pPr>
              <w:widowControl/>
              <w:spacing w:line="360" w:lineRule="exact"/>
              <w:textAlignment w:val="center"/>
              <w:rPr>
                <w:rFonts w:ascii="仿宋" w:hAnsi="仿宋" w:eastAsia="仿宋" w:cs="仿宋"/>
                <w:bCs/>
                <w:color w:val="auto"/>
                <w:sz w:val="24"/>
              </w:rPr>
            </w:pPr>
            <w:r>
              <w:rPr>
                <w:rFonts w:hint="eastAsia" w:ascii="仿宋" w:hAnsi="仿宋" w:eastAsia="仿宋"/>
                <w:color w:val="auto"/>
                <w:sz w:val="24"/>
              </w:rPr>
              <w:t>供应商所投开标一览表所列货物如属于政府优先采购产品类别，须按照《财政部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要求提供依据国家确定的认证机构出具的、处于有效期之内的节能产品或环境标志产品认证证书，提供证书原件清晰版扫描件，每项加0.5分，最高1分。</w:t>
            </w:r>
          </w:p>
        </w:tc>
      </w:tr>
    </w:tbl>
    <w:p>
      <w:pPr>
        <w:pStyle w:val="27"/>
        <w:rPr>
          <w:rFonts w:ascii="仿宋" w:hAnsi="仿宋" w:eastAsia="仿宋"/>
          <w:b/>
          <w:color w:val="auto"/>
          <w:sz w:val="24"/>
        </w:rPr>
      </w:pPr>
    </w:p>
    <w:p>
      <w:pPr>
        <w:pStyle w:val="57"/>
        <w:ind w:firstLine="0" w:firstLineChars="0"/>
        <w:rPr>
          <w:color w:val="auto"/>
        </w:rPr>
      </w:pPr>
    </w:p>
    <w:p>
      <w:pPr>
        <w:shd w:val="clear" w:color="auto" w:fill="FFFFFF"/>
        <w:spacing w:line="44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35. 定标原则</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35.1 评标委员会依据投标须知前附表规定的评标方法和标准，按照供应商综合得分排序确定出前三名作为中标候选人推荐给采购人。</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35.2采购代理机构应当在评标结束后2个工作日内将评标报告送采购人。</w:t>
      </w:r>
      <w:r>
        <w:rPr>
          <w:rFonts w:hint="eastAsia" w:ascii="仿宋" w:hAnsi="仿宋" w:eastAsia="仿宋"/>
          <w:bCs/>
          <w:color w:val="auto"/>
          <w:kern w:val="0"/>
          <w:sz w:val="24"/>
        </w:rPr>
        <w:t>采购人应当自收到评标报告之日起５个工作日内，在评标报告确定的中标候选人名单中按顺序确定中标人。</w:t>
      </w:r>
    </w:p>
    <w:p>
      <w:pPr>
        <w:shd w:val="clear" w:color="auto" w:fill="FFFFFF"/>
        <w:spacing w:line="440" w:lineRule="exact"/>
        <w:ind w:firstLine="487" w:firstLineChars="202"/>
        <w:rPr>
          <w:rFonts w:ascii="仿宋" w:hAnsi="仿宋" w:eastAsia="仿宋"/>
          <w:b/>
          <w:color w:val="auto"/>
          <w:kern w:val="0"/>
          <w:sz w:val="24"/>
        </w:rPr>
      </w:pPr>
      <w:r>
        <w:rPr>
          <w:rFonts w:hint="eastAsia" w:ascii="仿宋" w:hAnsi="仿宋" w:eastAsia="仿宋"/>
          <w:b/>
          <w:color w:val="auto"/>
          <w:kern w:val="0"/>
          <w:sz w:val="24"/>
        </w:rPr>
        <w:t>36. 评标过程的保密</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36.1凡属于对投标文件的审查、澄清、评价和比较有关的资料、中标候选人的推荐情况以及与评标有关的其他任何情况，评标委员会成员和与评标活动有关的工作人员不得对任何单位和个人透露。</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36.2 在投标文件的评审和比较、中标候选人推荐以及授予合同的过程中，供应商向采购人或者评标委员会施加影响的任何行为，都将会导致其投标被拒绝。</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36.3 中标人确定后，采购人不对未中标人就评标过程以及未能中标原因做出任何解释。未中标人不得向评标委员会组成人员或者其他有关人员索问评标过程的情况和材料。</w:t>
      </w:r>
    </w:p>
    <w:p>
      <w:pPr>
        <w:shd w:val="clear" w:color="auto" w:fill="FFFFFF"/>
        <w:spacing w:line="440" w:lineRule="exact"/>
        <w:ind w:firstLine="487" w:firstLineChars="202"/>
        <w:rPr>
          <w:rFonts w:ascii="仿宋" w:hAnsi="仿宋" w:eastAsia="仿宋"/>
          <w:b/>
          <w:color w:val="auto"/>
          <w:kern w:val="0"/>
          <w:sz w:val="24"/>
        </w:rPr>
      </w:pPr>
      <w:r>
        <w:rPr>
          <w:rFonts w:hint="eastAsia" w:ascii="仿宋" w:hAnsi="仿宋" w:eastAsia="仿宋"/>
          <w:b/>
          <w:color w:val="auto"/>
          <w:kern w:val="0"/>
          <w:sz w:val="24"/>
        </w:rPr>
        <w:t>（七） 授予合同</w:t>
      </w:r>
    </w:p>
    <w:p>
      <w:pPr>
        <w:shd w:val="clear" w:color="auto" w:fill="FFFFFF"/>
        <w:spacing w:line="440" w:lineRule="exact"/>
        <w:ind w:firstLine="487" w:firstLineChars="202"/>
        <w:rPr>
          <w:rFonts w:ascii="仿宋" w:hAnsi="仿宋" w:eastAsia="仿宋"/>
          <w:b/>
          <w:color w:val="auto"/>
          <w:kern w:val="0"/>
          <w:sz w:val="24"/>
        </w:rPr>
      </w:pPr>
      <w:r>
        <w:rPr>
          <w:rFonts w:hint="eastAsia" w:ascii="仿宋" w:hAnsi="仿宋" w:eastAsia="仿宋"/>
          <w:b/>
          <w:color w:val="auto"/>
          <w:kern w:val="0"/>
          <w:sz w:val="24"/>
        </w:rPr>
        <w:t>37. 确定中标人</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37.1 中标的标准</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37.1.1投标文件满足招标文件全部实质性要求；</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37.1.2 具有良好的履行合同的能力和条件；</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37.1.3 能够最大限度满足招标文件的各项要求；</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37.2 采购人将确定资格合格的中标候选人为中标人。</w:t>
      </w:r>
    </w:p>
    <w:p>
      <w:pPr>
        <w:shd w:val="clear" w:color="auto" w:fill="FFFFFF"/>
        <w:spacing w:line="440" w:lineRule="exact"/>
        <w:ind w:firstLine="487" w:firstLineChars="202"/>
        <w:rPr>
          <w:rFonts w:ascii="仿宋" w:hAnsi="仿宋" w:eastAsia="仿宋"/>
          <w:b/>
          <w:color w:val="auto"/>
          <w:kern w:val="0"/>
          <w:sz w:val="24"/>
        </w:rPr>
      </w:pPr>
      <w:r>
        <w:rPr>
          <w:rFonts w:hint="eastAsia" w:ascii="仿宋" w:hAnsi="仿宋" w:eastAsia="仿宋"/>
          <w:b/>
          <w:color w:val="auto"/>
          <w:kern w:val="0"/>
          <w:sz w:val="24"/>
        </w:rPr>
        <w:t>38. 授予合同的准则</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38.1 采购人将把合同授予经确认的中标人。</w:t>
      </w:r>
    </w:p>
    <w:p>
      <w:pPr>
        <w:shd w:val="clear" w:color="auto" w:fill="FFFFFF"/>
        <w:spacing w:line="440" w:lineRule="exact"/>
        <w:ind w:firstLine="487" w:firstLineChars="202"/>
        <w:rPr>
          <w:rFonts w:ascii="仿宋" w:hAnsi="仿宋" w:eastAsia="仿宋"/>
          <w:b/>
          <w:color w:val="auto"/>
          <w:kern w:val="0"/>
          <w:sz w:val="24"/>
        </w:rPr>
      </w:pPr>
      <w:r>
        <w:rPr>
          <w:rFonts w:hint="eastAsia" w:ascii="仿宋" w:hAnsi="仿宋" w:eastAsia="仿宋"/>
          <w:b/>
          <w:color w:val="auto"/>
          <w:kern w:val="0"/>
          <w:sz w:val="24"/>
        </w:rPr>
        <w:t>39. 中标通知</w:t>
      </w:r>
    </w:p>
    <w:p>
      <w:pPr>
        <w:shd w:val="clear" w:color="auto" w:fill="FFFFFF"/>
        <w:spacing w:line="440" w:lineRule="exact"/>
        <w:ind w:firstLine="484" w:firstLineChars="202"/>
        <w:rPr>
          <w:rFonts w:ascii="仿宋" w:hAnsi="仿宋" w:eastAsia="仿宋"/>
          <w:color w:val="auto"/>
          <w:sz w:val="24"/>
        </w:rPr>
      </w:pPr>
      <w:r>
        <w:rPr>
          <w:rFonts w:hint="eastAsia" w:ascii="仿宋" w:hAnsi="仿宋" w:eastAsia="仿宋"/>
          <w:color w:val="auto"/>
          <w:kern w:val="0"/>
          <w:sz w:val="24"/>
        </w:rPr>
        <w:t>39.1采购人依据评标委员会推荐的中标候选人排序确定排名第一的中标候选人为中标人后，将</w:t>
      </w:r>
      <w:r>
        <w:rPr>
          <w:rFonts w:hint="eastAsia" w:ascii="仿宋" w:hAnsi="仿宋" w:eastAsia="仿宋"/>
          <w:color w:val="auto"/>
          <w:sz w:val="24"/>
        </w:rPr>
        <w:t>对中标结果公示1工作日，同时向中标人发出中标通知书。</w:t>
      </w:r>
    </w:p>
    <w:p>
      <w:pPr>
        <w:shd w:val="clear" w:color="auto" w:fill="FFFFFF"/>
        <w:spacing w:line="440" w:lineRule="exact"/>
        <w:ind w:firstLine="484" w:firstLineChars="202"/>
        <w:rPr>
          <w:rFonts w:ascii="仿宋" w:hAnsi="仿宋" w:eastAsia="仿宋"/>
          <w:color w:val="auto"/>
          <w:sz w:val="24"/>
        </w:rPr>
      </w:pPr>
      <w:r>
        <w:rPr>
          <w:rFonts w:hint="eastAsia" w:ascii="仿宋" w:hAnsi="仿宋" w:eastAsia="仿宋"/>
          <w:color w:val="auto"/>
          <w:sz w:val="24"/>
        </w:rPr>
        <w:t>39.2 供应商对中标或者成交结果有异议的，可以在知道或者应知其权益受到损害之日起7个工作日内，按照《政府采购质疑和投诉办法》（财政部94号令）向采购人或采购代理机构提出质疑。采购人在收到供应商的书面质疑后7个工作日内作出答复，并以书面形式通知质疑供应商和其他有关供应商；作出答复前，将暂停采购活动。</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 xml:space="preserve">39.3 中标通知书对采购人和中标人具有法律约束力。中标通知书发出后，采购人不得违法改变中标结果，中标人无正当理由不得放弃中标。 </w:t>
      </w:r>
    </w:p>
    <w:p>
      <w:pPr>
        <w:shd w:val="clear" w:color="auto" w:fill="FFFFFF"/>
        <w:spacing w:line="440" w:lineRule="exact"/>
        <w:ind w:firstLine="487" w:firstLineChars="202"/>
        <w:rPr>
          <w:rFonts w:ascii="仿宋" w:hAnsi="仿宋" w:eastAsia="仿宋"/>
          <w:b/>
          <w:color w:val="auto"/>
          <w:kern w:val="0"/>
          <w:sz w:val="24"/>
        </w:rPr>
      </w:pPr>
      <w:r>
        <w:rPr>
          <w:rFonts w:hint="eastAsia" w:ascii="仿宋" w:hAnsi="仿宋" w:eastAsia="仿宋"/>
          <w:b/>
          <w:color w:val="auto"/>
          <w:kern w:val="0"/>
          <w:sz w:val="24"/>
        </w:rPr>
        <w:t>40. 合同的签订</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40.1采购人应当自中标通知书发出之日起30日内，按照招标文件和中标人投标文件的规定，与中标人签订政府采购合同。所签订的合同不得对招标文件确定的事项和中标人投标文件作实质性修改。</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40.2 招标文件要求中标人提交履约保证金或者其他形式履约担保的，中标人应当提交；拒绝提交的，视为放弃中标项目，且投标保证金将被没收。</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40.3 招标文件和中标人的投标文件均是该书面合同的附件。</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40.4 中标人因不可抗力或自身原因不能履行采购合同的，采购人可以与排位在中标人之后第一位的中标候选人签订采购合同，以此类推，或采购人重新组织招标。</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40.5 政府采购合同自签订之日起2个工作日内，采购人应当在网上发布合同公告。</w:t>
      </w:r>
    </w:p>
    <w:p>
      <w:pPr>
        <w:shd w:val="clear" w:color="auto" w:fill="FFFFFF"/>
        <w:spacing w:line="440" w:lineRule="exact"/>
        <w:ind w:firstLine="472" w:firstLineChars="196"/>
        <w:rPr>
          <w:rFonts w:ascii="仿宋" w:hAnsi="仿宋" w:eastAsia="仿宋"/>
          <w:b/>
          <w:color w:val="auto"/>
          <w:sz w:val="24"/>
        </w:rPr>
      </w:pPr>
      <w:r>
        <w:rPr>
          <w:rFonts w:hint="eastAsia" w:ascii="仿宋" w:hAnsi="仿宋" w:eastAsia="仿宋"/>
          <w:b/>
          <w:color w:val="auto"/>
          <w:sz w:val="24"/>
        </w:rPr>
        <w:t>41.质疑与投诉</w:t>
      </w:r>
    </w:p>
    <w:p>
      <w:pPr>
        <w:shd w:val="clear" w:color="auto" w:fill="FFFFFF"/>
        <w:spacing w:line="440" w:lineRule="exact"/>
        <w:ind w:firstLine="480" w:firstLineChars="200"/>
        <w:rPr>
          <w:rFonts w:ascii="仿宋" w:hAnsi="仿宋" w:eastAsia="仿宋"/>
          <w:color w:val="auto"/>
          <w:sz w:val="24"/>
        </w:rPr>
      </w:pPr>
      <w:r>
        <w:rPr>
          <w:rFonts w:hint="eastAsia" w:ascii="仿宋" w:hAnsi="仿宋" w:eastAsia="仿宋"/>
          <w:color w:val="auto"/>
          <w:sz w:val="24"/>
        </w:rPr>
        <w:t>41.1、供应商认为招标文件、采购过程、中标或者成交结果使自己的权益受到损害的，可以在知道或者应知其权益受到损害之日起7个工作日内，向采购人、采购代理机构提出质疑。本项目对招标文件内容提出质疑截止时间见前附表第1</w:t>
      </w:r>
      <w:r>
        <w:rPr>
          <w:rFonts w:ascii="仿宋" w:hAnsi="仿宋" w:eastAsia="仿宋"/>
          <w:color w:val="auto"/>
          <w:sz w:val="24"/>
        </w:rPr>
        <w:t>3</w:t>
      </w:r>
      <w:r>
        <w:rPr>
          <w:rFonts w:hint="eastAsia" w:ascii="仿宋" w:hAnsi="仿宋" w:eastAsia="仿宋"/>
          <w:color w:val="auto"/>
          <w:sz w:val="24"/>
        </w:rPr>
        <w:t>项规定。供应商须在法定质疑期内一次性提出针对同一采购程序环节的质疑。</w:t>
      </w:r>
    </w:p>
    <w:p>
      <w:pPr>
        <w:shd w:val="clear" w:color="auto" w:fill="FFFFFF"/>
        <w:spacing w:line="440" w:lineRule="exact"/>
        <w:ind w:firstLine="480" w:firstLineChars="200"/>
        <w:rPr>
          <w:rFonts w:ascii="仿宋" w:hAnsi="仿宋" w:eastAsia="仿宋"/>
          <w:color w:val="auto"/>
          <w:sz w:val="24"/>
        </w:rPr>
      </w:pPr>
      <w:r>
        <w:rPr>
          <w:rFonts w:hint="eastAsia" w:ascii="仿宋" w:hAnsi="仿宋" w:eastAsia="仿宋"/>
          <w:color w:val="auto"/>
          <w:sz w:val="24"/>
        </w:rPr>
        <w:t>41.2、质疑函内容</w:t>
      </w:r>
    </w:p>
    <w:p>
      <w:pPr>
        <w:shd w:val="clear" w:color="auto" w:fill="FFFFFF"/>
        <w:spacing w:line="44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（1）供应商的姓名或者名称、地址、邮编、联系人及联系电话；</w:t>
      </w:r>
    </w:p>
    <w:p>
      <w:pPr>
        <w:shd w:val="clear" w:color="auto" w:fill="FFFFFF"/>
        <w:spacing w:line="44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（2）质疑项目的名称、编号；</w:t>
      </w:r>
    </w:p>
    <w:p>
      <w:pPr>
        <w:shd w:val="clear" w:color="auto" w:fill="FFFFFF"/>
        <w:spacing w:line="44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（3）具体、明确的质疑事项和与质疑事项相关的请求；</w:t>
      </w:r>
    </w:p>
    <w:p>
      <w:pPr>
        <w:shd w:val="clear" w:color="auto" w:fill="FFFFFF"/>
        <w:spacing w:line="44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（4）事实依据；</w:t>
      </w:r>
    </w:p>
    <w:p>
      <w:pPr>
        <w:shd w:val="clear" w:color="auto" w:fill="FFFFFF"/>
        <w:spacing w:line="44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（5）必要的法律依据；</w:t>
      </w:r>
    </w:p>
    <w:p>
      <w:pPr>
        <w:shd w:val="clear" w:color="auto" w:fill="FFFFFF"/>
        <w:spacing w:line="44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（6）提出质疑的日期。</w:t>
      </w:r>
    </w:p>
    <w:p>
      <w:pPr>
        <w:shd w:val="clear" w:color="auto" w:fill="FFFFFF"/>
        <w:spacing w:line="440" w:lineRule="exact"/>
        <w:ind w:firstLine="480" w:firstLineChars="200"/>
        <w:rPr>
          <w:rFonts w:ascii="仿宋" w:hAnsi="仿宋" w:eastAsia="仿宋"/>
          <w:color w:val="auto"/>
          <w:sz w:val="24"/>
        </w:rPr>
      </w:pPr>
      <w:r>
        <w:rPr>
          <w:rFonts w:hint="eastAsia" w:ascii="仿宋" w:hAnsi="仿宋" w:eastAsia="仿宋"/>
          <w:color w:val="auto"/>
          <w:sz w:val="24"/>
          <w:lang w:val="zh-CN"/>
        </w:rPr>
        <w:t>供应商为自然人的，应当由本人签字；供应商为法人或者其他组织的，应当由法定代表人、主要负责人，或者其授权代表签字或者盖章，并加盖投标单位公章。</w:t>
      </w:r>
    </w:p>
    <w:p>
      <w:pPr>
        <w:shd w:val="clear" w:color="auto" w:fill="FFFFFF"/>
        <w:spacing w:line="440" w:lineRule="exact"/>
        <w:ind w:firstLine="480" w:firstLineChars="200"/>
        <w:rPr>
          <w:rFonts w:ascii="仿宋" w:hAnsi="仿宋" w:eastAsia="仿宋"/>
          <w:color w:val="auto"/>
          <w:sz w:val="24"/>
        </w:rPr>
      </w:pPr>
      <w:r>
        <w:rPr>
          <w:rFonts w:hint="eastAsia" w:ascii="仿宋" w:hAnsi="仿宋" w:eastAsia="仿宋"/>
          <w:color w:val="auto"/>
          <w:sz w:val="24"/>
        </w:rPr>
        <w:t>41.3、采购人在收到供应商的书面质疑函后七个工作日内作出答复，并以书面形式通知质疑供应商和其他有关供应商，但答复的内容不涉及商业秘密。</w:t>
      </w:r>
    </w:p>
    <w:p>
      <w:pPr>
        <w:shd w:val="clear" w:color="auto" w:fill="FFFFFF"/>
        <w:adjustRightInd w:val="0"/>
        <w:snapToGrid w:val="0"/>
        <w:spacing w:line="440" w:lineRule="exact"/>
        <w:ind w:firstLine="480" w:firstLineChars="200"/>
        <w:rPr>
          <w:rFonts w:ascii="仿宋" w:hAnsi="仿宋" w:eastAsia="仿宋"/>
          <w:color w:val="auto"/>
          <w:kern w:val="0"/>
          <w:sz w:val="24"/>
        </w:rPr>
      </w:pPr>
      <w:r>
        <w:rPr>
          <w:rFonts w:hint="eastAsia" w:ascii="仿宋" w:hAnsi="仿宋" w:eastAsia="仿宋"/>
          <w:color w:val="auto"/>
          <w:sz w:val="24"/>
        </w:rPr>
        <w:t>41.4、提出质疑的供应商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pPr>
        <w:shd w:val="clear" w:color="auto" w:fill="FFFFFF"/>
        <w:spacing w:line="440" w:lineRule="exact"/>
        <w:ind w:firstLine="487" w:firstLineChars="202"/>
        <w:rPr>
          <w:rFonts w:ascii="仿宋" w:hAnsi="仿宋" w:eastAsia="仿宋"/>
          <w:b/>
          <w:color w:val="auto"/>
          <w:kern w:val="0"/>
          <w:sz w:val="24"/>
        </w:rPr>
      </w:pPr>
      <w:r>
        <w:rPr>
          <w:rFonts w:hint="eastAsia" w:ascii="仿宋" w:hAnsi="仿宋" w:eastAsia="仿宋"/>
          <w:b/>
          <w:color w:val="auto"/>
          <w:kern w:val="0"/>
          <w:sz w:val="24"/>
        </w:rPr>
        <w:t>42. 履约担保（本项目不适用）</w:t>
      </w:r>
    </w:p>
    <w:p>
      <w:pPr>
        <w:shd w:val="clear" w:color="auto" w:fill="FFFFFF"/>
        <w:autoSpaceDE w:val="0"/>
        <w:autoSpaceDN w:val="0"/>
        <w:adjustRightInd w:val="0"/>
        <w:spacing w:line="440" w:lineRule="exact"/>
        <w:ind w:firstLine="438" w:firstLineChars="189"/>
        <w:rPr>
          <w:rFonts w:ascii="仿宋" w:hAnsi="仿宋" w:eastAsia="仿宋"/>
          <w:color w:val="auto"/>
          <w:spacing w:val="-4"/>
          <w:kern w:val="0"/>
          <w:sz w:val="24"/>
        </w:rPr>
      </w:pPr>
      <w:r>
        <w:rPr>
          <w:rFonts w:hint="eastAsia" w:ascii="仿宋" w:hAnsi="仿宋" w:eastAsia="仿宋"/>
          <w:color w:val="auto"/>
          <w:spacing w:val="-4"/>
          <w:kern w:val="0"/>
          <w:sz w:val="24"/>
        </w:rPr>
        <w:t>42.1 中标人须在与采购人签署合同前按招标文件有关要求提交履约担保。中标人应按照下列规定的方式和金额向采购人提交履约担保。</w:t>
      </w:r>
    </w:p>
    <w:p>
      <w:pPr>
        <w:shd w:val="clear" w:color="auto" w:fill="FFFFFF"/>
        <w:autoSpaceDE w:val="0"/>
        <w:autoSpaceDN w:val="0"/>
        <w:adjustRightInd w:val="0"/>
        <w:spacing w:line="440" w:lineRule="exact"/>
        <w:ind w:firstLine="453" w:firstLineChars="189"/>
        <w:rPr>
          <w:rFonts w:ascii="仿宋" w:hAnsi="仿宋" w:eastAsia="仿宋"/>
          <w:color w:val="auto"/>
          <w:kern w:val="0"/>
          <w:sz w:val="24"/>
        </w:rPr>
      </w:pPr>
      <w:r>
        <w:rPr>
          <w:rFonts w:hint="eastAsia" w:ascii="仿宋" w:hAnsi="仿宋" w:eastAsia="仿宋"/>
          <w:color w:val="auto"/>
          <w:kern w:val="0"/>
          <w:sz w:val="24"/>
        </w:rPr>
        <w:t>42.1.1 履约担保采用下列</w:t>
      </w:r>
      <w:r>
        <w:rPr>
          <w:rFonts w:hint="eastAsia" w:ascii="仿宋" w:hAnsi="仿宋" w:eastAsia="仿宋"/>
          <w:color w:val="auto"/>
          <w:kern w:val="0"/>
          <w:sz w:val="24"/>
          <w:u w:val="single"/>
        </w:rPr>
        <w:t xml:space="preserve">  /  </w:t>
      </w:r>
      <w:r>
        <w:rPr>
          <w:rFonts w:hint="eastAsia" w:ascii="仿宋" w:hAnsi="仿宋" w:eastAsia="仿宋"/>
          <w:color w:val="auto"/>
          <w:kern w:val="0"/>
          <w:sz w:val="24"/>
        </w:rPr>
        <w:t>方式</w:t>
      </w:r>
    </w:p>
    <w:p>
      <w:pPr>
        <w:shd w:val="clear" w:color="auto" w:fill="FFFFFF"/>
        <w:autoSpaceDE w:val="0"/>
        <w:autoSpaceDN w:val="0"/>
        <w:adjustRightInd w:val="0"/>
        <w:spacing w:line="440" w:lineRule="exact"/>
        <w:ind w:firstLine="480" w:firstLineChars="200"/>
        <w:rPr>
          <w:rFonts w:ascii="仿宋" w:hAnsi="仿宋" w:eastAsia="仿宋"/>
          <w:color w:val="auto"/>
          <w:kern w:val="0"/>
          <w:sz w:val="24"/>
          <w:u w:val="single"/>
        </w:rPr>
      </w:pPr>
      <w:r>
        <w:rPr>
          <w:rFonts w:hint="eastAsia" w:ascii="仿宋" w:hAnsi="仿宋" w:eastAsia="仿宋"/>
          <w:color w:val="auto"/>
          <w:kern w:val="0"/>
          <w:sz w:val="24"/>
        </w:rPr>
        <w:t>（1）、履约保证金担保方式：</w:t>
      </w:r>
      <w:r>
        <w:rPr>
          <w:rFonts w:hint="eastAsia" w:ascii="仿宋" w:hAnsi="仿宋" w:eastAsia="仿宋"/>
          <w:color w:val="auto"/>
          <w:kern w:val="0"/>
          <w:sz w:val="24"/>
          <w:u w:val="single"/>
        </w:rPr>
        <w:t xml:space="preserve"> / </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sz w:val="24"/>
        </w:rPr>
        <w:t>1） 银行汇票；2） 支票；</w:t>
      </w:r>
      <w:r>
        <w:rPr>
          <w:rFonts w:hint="eastAsia" w:ascii="仿宋" w:hAnsi="仿宋" w:eastAsia="仿宋"/>
          <w:color w:val="auto"/>
          <w:kern w:val="0"/>
          <w:sz w:val="24"/>
        </w:rPr>
        <w:t>3）银行转账；4）担保公司担保；</w:t>
      </w:r>
      <w:r>
        <w:rPr>
          <w:rFonts w:hint="eastAsia" w:ascii="仿宋" w:hAnsi="仿宋" w:eastAsia="仿宋"/>
          <w:color w:val="auto"/>
          <w:sz w:val="24"/>
        </w:rPr>
        <w:t>5）采购人与供应商协商确定的其他担保方式。</w:t>
      </w:r>
    </w:p>
    <w:p>
      <w:pPr>
        <w:shd w:val="clear" w:color="auto" w:fill="FFFFFF"/>
        <w:spacing w:line="440" w:lineRule="exact"/>
        <w:ind w:firstLine="484" w:firstLineChars="202"/>
        <w:rPr>
          <w:rFonts w:ascii="仿宋" w:hAnsi="仿宋" w:eastAsia="仿宋" w:cs="宋体"/>
          <w:b/>
          <w:color w:val="auto"/>
          <w:kern w:val="0"/>
          <w:sz w:val="24"/>
          <w:u w:val="single"/>
        </w:rPr>
      </w:pPr>
      <w:r>
        <w:rPr>
          <w:rFonts w:hint="eastAsia" w:ascii="仿宋" w:hAnsi="仿宋" w:eastAsia="仿宋"/>
          <w:color w:val="auto"/>
          <w:kern w:val="0"/>
          <w:sz w:val="24"/>
        </w:rPr>
        <w:t>42.1.2 履约保证金：见投标须知前附表第14条。</w:t>
      </w:r>
    </w:p>
    <w:p>
      <w:pPr>
        <w:shd w:val="clear" w:color="auto" w:fill="FFFFFF"/>
        <w:spacing w:line="440" w:lineRule="exact"/>
        <w:ind w:firstLine="484" w:firstLineChars="202"/>
        <w:rPr>
          <w:rFonts w:ascii="仿宋" w:hAnsi="仿宋" w:eastAsia="仿宋"/>
          <w:color w:val="auto"/>
          <w:kern w:val="0"/>
          <w:sz w:val="24"/>
        </w:rPr>
      </w:pPr>
      <w:r>
        <w:rPr>
          <w:rFonts w:hint="eastAsia" w:ascii="仿宋" w:hAnsi="仿宋" w:eastAsia="仿宋"/>
          <w:color w:val="auto"/>
          <w:kern w:val="0"/>
          <w:sz w:val="24"/>
        </w:rPr>
        <w:t>42.2 如中标人不能按照投标须知第40条的规定执行，采购人将视为中标人放弃中标项目；已经订立合同的，采购人有充分理由解除合同，给采购人造成损失的，放弃中标项目的中标人应当赔偿。</w:t>
      </w:r>
    </w:p>
    <w:p>
      <w:pPr>
        <w:shd w:val="clear" w:color="auto" w:fill="FFFFFF"/>
        <w:spacing w:line="440" w:lineRule="exact"/>
        <w:ind w:firstLine="487" w:firstLineChars="202"/>
        <w:rPr>
          <w:rFonts w:ascii="仿宋" w:hAnsi="仿宋" w:eastAsia="仿宋"/>
          <w:b/>
          <w:bCs/>
          <w:color w:val="auto"/>
          <w:kern w:val="0"/>
          <w:sz w:val="24"/>
        </w:rPr>
      </w:pPr>
      <w:bookmarkStart w:id="6" w:name="_Toc228180139"/>
      <w:r>
        <w:rPr>
          <w:rFonts w:hint="eastAsia" w:ascii="仿宋" w:hAnsi="仿宋" w:eastAsia="仿宋"/>
          <w:b/>
          <w:color w:val="auto"/>
          <w:kern w:val="0"/>
          <w:sz w:val="24"/>
        </w:rPr>
        <w:t>43.</w:t>
      </w:r>
      <w:bookmarkEnd w:id="6"/>
      <w:r>
        <w:rPr>
          <w:rFonts w:hint="eastAsia" w:ascii="仿宋" w:hAnsi="仿宋" w:eastAsia="仿宋"/>
          <w:b/>
          <w:bCs/>
          <w:color w:val="auto"/>
          <w:kern w:val="0"/>
          <w:sz w:val="24"/>
        </w:rPr>
        <w:t>招标代理服务费</w:t>
      </w:r>
    </w:p>
    <w:p>
      <w:pPr>
        <w:shd w:val="clear" w:color="auto" w:fill="FFFFFF"/>
        <w:spacing w:line="440" w:lineRule="exact"/>
        <w:ind w:firstLine="484" w:firstLineChars="202"/>
        <w:rPr>
          <w:rFonts w:ascii="仿宋" w:hAnsi="仿宋" w:eastAsia="仿宋"/>
          <w:bCs/>
          <w:color w:val="auto"/>
          <w:kern w:val="0"/>
          <w:sz w:val="24"/>
        </w:rPr>
      </w:pPr>
      <w:r>
        <w:rPr>
          <w:rFonts w:hint="eastAsia" w:ascii="仿宋" w:hAnsi="仿宋" w:eastAsia="仿宋"/>
          <w:bCs/>
          <w:color w:val="auto"/>
          <w:kern w:val="0"/>
          <w:sz w:val="24"/>
        </w:rPr>
        <w:t>43.1 中标人应按本招标文件的规定，在领取中标通知书时向采购代理机构一次性支付中标服务费。采购代理机构也可直接从中标人的投标保证金内扣除。</w:t>
      </w:r>
    </w:p>
    <w:p>
      <w:pPr>
        <w:shd w:val="clear" w:color="auto" w:fill="FFFFFF"/>
        <w:spacing w:line="440" w:lineRule="exact"/>
        <w:ind w:firstLine="484" w:firstLineChars="202"/>
        <w:rPr>
          <w:rFonts w:ascii="仿宋" w:hAnsi="仿宋" w:eastAsia="仿宋"/>
          <w:bCs/>
          <w:color w:val="auto"/>
          <w:kern w:val="0"/>
          <w:sz w:val="24"/>
        </w:rPr>
      </w:pPr>
      <w:r>
        <w:rPr>
          <w:rFonts w:hint="eastAsia" w:ascii="仿宋" w:hAnsi="仿宋" w:eastAsia="仿宋"/>
          <w:bCs/>
          <w:color w:val="auto"/>
          <w:kern w:val="0"/>
          <w:sz w:val="24"/>
        </w:rPr>
        <w:t>43.2 中标服务费的计算基数是中标人投标报价的总金额（即中标通知书中载明的中标金额）。</w:t>
      </w:r>
    </w:p>
    <w:p>
      <w:pPr>
        <w:shd w:val="clear" w:color="auto" w:fill="FFFFFF"/>
        <w:spacing w:line="440" w:lineRule="exact"/>
        <w:ind w:firstLine="484" w:firstLineChars="202"/>
        <w:rPr>
          <w:color w:val="auto"/>
        </w:rPr>
      </w:pPr>
      <w:r>
        <w:rPr>
          <w:rFonts w:hint="eastAsia" w:ascii="仿宋" w:hAnsi="仿宋" w:eastAsia="仿宋"/>
          <w:bCs/>
          <w:color w:val="auto"/>
          <w:kern w:val="0"/>
          <w:sz w:val="24"/>
        </w:rPr>
        <w:t>43.3具体收取比例详见《前附表》。</w:t>
      </w:r>
    </w:p>
    <w:p>
      <w:pPr>
        <w:shd w:val="clear" w:color="auto" w:fill="FFFFFF"/>
        <w:spacing w:line="440" w:lineRule="exact"/>
        <w:ind w:firstLine="487" w:firstLineChars="202"/>
        <w:rPr>
          <w:rFonts w:ascii="仿宋" w:hAnsi="仿宋" w:eastAsia="仿宋"/>
          <w:bCs/>
          <w:color w:val="auto"/>
          <w:kern w:val="0"/>
          <w:sz w:val="24"/>
        </w:rPr>
      </w:pPr>
      <w:r>
        <w:rPr>
          <w:rFonts w:hint="eastAsia" w:ascii="仿宋" w:hAnsi="仿宋" w:eastAsia="仿宋"/>
          <w:b/>
          <w:color w:val="auto"/>
          <w:kern w:val="0"/>
          <w:sz w:val="24"/>
        </w:rPr>
        <w:t>44. 其他</w:t>
      </w:r>
    </w:p>
    <w:p>
      <w:pPr>
        <w:shd w:val="clear" w:color="auto" w:fill="FFFFFF"/>
        <w:spacing w:line="440" w:lineRule="exact"/>
        <w:ind w:firstLine="484" w:firstLineChars="202"/>
        <w:rPr>
          <w:rFonts w:ascii="仿宋" w:hAnsi="仿宋" w:eastAsia="仿宋"/>
          <w:bCs/>
          <w:color w:val="auto"/>
          <w:kern w:val="0"/>
          <w:sz w:val="24"/>
        </w:rPr>
      </w:pPr>
      <w:r>
        <w:rPr>
          <w:rFonts w:hint="eastAsia" w:ascii="仿宋" w:hAnsi="仿宋" w:eastAsia="仿宋"/>
          <w:bCs/>
          <w:color w:val="auto"/>
          <w:kern w:val="0"/>
          <w:sz w:val="24"/>
        </w:rPr>
        <w:t>本招标文件是根据《中华人民共和国政府采购法》及其实施条例（658号令）及《政府采购货物和服务招标投标管理办法》（87号令）规定编制的，解释权属新疆品创项目管理咨询有限公司。</w:t>
      </w:r>
    </w:p>
    <w:p>
      <w:pPr>
        <w:pStyle w:val="327"/>
        <w:spacing w:beforeLines="50" w:afterLines="50" w:line="360" w:lineRule="auto"/>
        <w:jc w:val="center"/>
        <w:rPr>
          <w:rFonts w:ascii="仿宋" w:hAnsi="仿宋" w:eastAsia="仿宋"/>
          <w:b/>
          <w:color w:val="auto"/>
          <w:sz w:val="32"/>
          <w:szCs w:val="32"/>
        </w:rPr>
      </w:pPr>
      <w:r>
        <w:rPr>
          <w:rFonts w:hint="eastAsia" w:ascii="仿宋" w:hAnsi="仿宋" w:eastAsia="仿宋"/>
          <w:color w:val="auto"/>
          <w:sz w:val="18"/>
          <w:szCs w:val="18"/>
        </w:rPr>
        <w:br w:type="page"/>
      </w:r>
      <w:bookmarkStart w:id="7" w:name="_Hlk519787567"/>
      <w:r>
        <w:rPr>
          <w:rFonts w:hint="eastAsia" w:ascii="仿宋" w:hAnsi="仿宋" w:eastAsia="仿宋"/>
          <w:b/>
          <w:color w:val="auto"/>
          <w:sz w:val="32"/>
          <w:szCs w:val="32"/>
        </w:rPr>
        <w:t>第三章  合同</w:t>
      </w:r>
      <w:bookmarkEnd w:id="7"/>
      <w:r>
        <w:rPr>
          <w:rFonts w:hint="eastAsia" w:ascii="仿宋" w:hAnsi="仿宋" w:eastAsia="仿宋"/>
          <w:b/>
          <w:color w:val="auto"/>
          <w:sz w:val="32"/>
          <w:szCs w:val="32"/>
        </w:rPr>
        <w:t>专用条款</w:t>
      </w:r>
    </w:p>
    <w:p>
      <w:pPr>
        <w:spacing w:line="400" w:lineRule="exact"/>
        <w:ind w:firstLine="480" w:firstLineChars="200"/>
        <w:rPr>
          <w:rFonts w:ascii="仿宋" w:hAnsi="仿宋" w:eastAsia="仿宋"/>
          <w:color w:val="auto"/>
          <w:sz w:val="24"/>
        </w:rPr>
      </w:pPr>
      <w:bookmarkStart w:id="8" w:name="_Hlk519793124"/>
      <w:r>
        <w:rPr>
          <w:rFonts w:hint="eastAsia" w:ascii="仿宋" w:hAnsi="仿宋" w:eastAsia="仿宋"/>
          <w:color w:val="auto"/>
          <w:sz w:val="24"/>
        </w:rPr>
        <w:t>委托人</w:t>
      </w:r>
      <w:r>
        <w:rPr>
          <w:rFonts w:hint="eastAsia" w:ascii="仿宋" w:hAnsi="仿宋" w:eastAsia="仿宋"/>
          <w:color w:val="auto"/>
          <w:spacing w:val="-11"/>
          <w:sz w:val="24"/>
          <w:u w:val="single"/>
        </w:rPr>
        <w:t>库尔勒市妇幼保健计划生育服务中心（库尔勒市妇幼保健院）</w:t>
      </w:r>
      <w:r>
        <w:rPr>
          <w:rFonts w:hint="eastAsia" w:ascii="仿宋" w:hAnsi="仿宋" w:eastAsia="仿宋"/>
          <w:color w:val="auto"/>
          <w:sz w:val="24"/>
        </w:rPr>
        <w:t>（以下简称甲方）与受托人</w:t>
      </w:r>
      <w:r>
        <w:rPr>
          <w:rFonts w:hint="eastAsia" w:ascii="仿宋" w:hAnsi="仿宋" w:eastAsia="仿宋"/>
          <w:color w:val="auto"/>
          <w:sz w:val="24"/>
          <w:u w:val="single"/>
        </w:rPr>
        <w:t xml:space="preserve">                            </w:t>
      </w:r>
      <w:r>
        <w:rPr>
          <w:rFonts w:hint="eastAsia" w:ascii="仿宋" w:hAnsi="仿宋" w:eastAsia="仿宋"/>
          <w:color w:val="auto"/>
          <w:sz w:val="24"/>
        </w:rPr>
        <w:t>（以下简称乙方），根据《中华人民共和国政府采购法》、《中华人民共和国民法典》等相关法律法规的规定，经平等、自愿协商，就乙方受托为甲方提供</w:t>
      </w:r>
      <w:r>
        <w:rPr>
          <w:rFonts w:hint="eastAsia" w:ascii="仿宋" w:hAnsi="仿宋" w:eastAsia="仿宋"/>
          <w:color w:val="auto"/>
          <w:sz w:val="24"/>
          <w:u w:val="single"/>
        </w:rPr>
        <w:t xml:space="preserve">  </w:t>
      </w:r>
      <w:r>
        <w:rPr>
          <w:rFonts w:hint="eastAsia" w:ascii="仿宋" w:hAnsi="仿宋" w:eastAsia="仿宋"/>
          <w:color w:val="auto"/>
          <w:spacing w:val="-11"/>
          <w:sz w:val="24"/>
          <w:u w:val="single"/>
        </w:rPr>
        <w:t>库尔勒市妇幼保健计划生育服务中心（库尔勒市妇幼保健院）超融合系统采购</w:t>
      </w:r>
      <w:r>
        <w:rPr>
          <w:rFonts w:hint="eastAsia" w:ascii="仿宋" w:hAnsi="仿宋" w:eastAsia="仿宋"/>
          <w:color w:val="auto"/>
          <w:sz w:val="24"/>
          <w:u w:val="single"/>
        </w:rPr>
        <w:t xml:space="preserve">   </w:t>
      </w:r>
      <w:r>
        <w:rPr>
          <w:rFonts w:hint="eastAsia" w:ascii="仿宋" w:hAnsi="仿宋" w:eastAsia="仿宋"/>
          <w:color w:val="auto"/>
          <w:sz w:val="24"/>
        </w:rPr>
        <w:t>（项目名称）货物及技术服务事宜达成一致，签订如下采购合同（以下简称本合同），以资共同信守。</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一、采购人名称：</w:t>
      </w:r>
      <w:r>
        <w:rPr>
          <w:rFonts w:hint="eastAsia" w:ascii="仿宋" w:hAnsi="仿宋" w:eastAsia="仿宋"/>
          <w:color w:val="auto"/>
          <w:spacing w:val="-11"/>
          <w:sz w:val="24"/>
          <w:u w:val="single"/>
        </w:rPr>
        <w:t>库尔勒市妇幼保健计划生育服务中心（库尔勒市妇幼保健院）</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二、项目编号：2022PCGK075</w:t>
      </w:r>
    </w:p>
    <w:p>
      <w:pPr>
        <w:spacing w:line="400" w:lineRule="exact"/>
        <w:ind w:firstLine="480" w:firstLineChars="200"/>
        <w:rPr>
          <w:rFonts w:ascii="仿宋" w:hAnsi="仿宋" w:eastAsia="仿宋"/>
          <w:color w:val="auto"/>
          <w:sz w:val="24"/>
        </w:rPr>
      </w:pPr>
      <w:r>
        <w:rPr>
          <w:rFonts w:hint="eastAsia" w:ascii="仿宋" w:hAnsi="仿宋" w:eastAsia="仿宋"/>
          <w:color w:val="auto"/>
          <w:sz w:val="24"/>
        </w:rPr>
        <w:t>三、项目名称：</w:t>
      </w:r>
      <w:r>
        <w:rPr>
          <w:rFonts w:hint="eastAsia" w:ascii="仿宋" w:hAnsi="仿宋" w:eastAsia="仿宋"/>
          <w:color w:val="auto"/>
          <w:spacing w:val="-11"/>
          <w:sz w:val="24"/>
          <w:u w:val="single"/>
        </w:rPr>
        <w:t>库尔勒市妇幼保健计划生育服务中心（库尔勒市妇幼保健院）超融合系统采购</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四、合同标的</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甲方同意从乙方购买，乙方同意向甲方出售下列设备及服务：</w:t>
      </w:r>
    </w:p>
    <w:tbl>
      <w:tblPr>
        <w:tblStyle w:val="59"/>
        <w:tblW w:w="9962" w:type="dxa"/>
        <w:tblInd w:w="0" w:type="dxa"/>
        <w:tblLayout w:type="fixed"/>
        <w:tblCellMar>
          <w:top w:w="0" w:type="dxa"/>
          <w:left w:w="108" w:type="dxa"/>
          <w:bottom w:w="0" w:type="dxa"/>
          <w:right w:w="108" w:type="dxa"/>
        </w:tblCellMar>
      </w:tblPr>
      <w:tblGrid>
        <w:gridCol w:w="798"/>
        <w:gridCol w:w="1588"/>
        <w:gridCol w:w="1565"/>
        <w:gridCol w:w="746"/>
        <w:gridCol w:w="1065"/>
        <w:gridCol w:w="1271"/>
        <w:gridCol w:w="1153"/>
        <w:gridCol w:w="1117"/>
        <w:gridCol w:w="659"/>
      </w:tblGrid>
      <w:tr>
        <w:tc>
          <w:tcPr>
            <w:tcW w:w="798" w:type="dxa"/>
            <w:tcBorders>
              <w:top w:val="single" w:color="000000" w:sz="4" w:space="0"/>
              <w:left w:val="single" w:color="000000" w:sz="4" w:space="0"/>
              <w:bottom w:val="single" w:color="000000" w:sz="4" w:space="0"/>
              <w:right w:val="single" w:color="000000" w:sz="4" w:space="0"/>
            </w:tcBorders>
            <w:vAlign w:val="center"/>
          </w:tcPr>
          <w:p>
            <w:pPr>
              <w:pStyle w:val="734"/>
              <w:spacing w:line="400" w:lineRule="exact"/>
              <w:jc w:val="center"/>
              <w:rPr>
                <w:rFonts w:ascii="仿宋" w:hAnsi="仿宋" w:eastAsia="仿宋"/>
                <w:color w:val="auto"/>
                <w:sz w:val="24"/>
                <w:szCs w:val="24"/>
              </w:rPr>
            </w:pPr>
            <w:r>
              <w:rPr>
                <w:rFonts w:hint="eastAsia" w:ascii="仿宋" w:hAnsi="仿宋" w:eastAsia="仿宋"/>
                <w:color w:val="auto"/>
                <w:sz w:val="24"/>
                <w:szCs w:val="24"/>
              </w:rPr>
              <w:t>序号</w:t>
            </w:r>
          </w:p>
        </w:tc>
        <w:tc>
          <w:tcPr>
            <w:tcW w:w="1588" w:type="dxa"/>
            <w:tcBorders>
              <w:top w:val="single" w:color="000000" w:sz="4" w:space="0"/>
              <w:left w:val="nil"/>
              <w:bottom w:val="single" w:color="000000" w:sz="4" w:space="0"/>
              <w:right w:val="single" w:color="auto" w:sz="4" w:space="0"/>
            </w:tcBorders>
            <w:vAlign w:val="center"/>
          </w:tcPr>
          <w:p>
            <w:pPr>
              <w:pStyle w:val="734"/>
              <w:spacing w:line="400" w:lineRule="exact"/>
              <w:jc w:val="center"/>
              <w:rPr>
                <w:rFonts w:ascii="仿宋" w:hAnsi="仿宋" w:eastAsia="仿宋"/>
                <w:color w:val="auto"/>
                <w:sz w:val="24"/>
                <w:szCs w:val="24"/>
              </w:rPr>
            </w:pPr>
            <w:r>
              <w:rPr>
                <w:rFonts w:hint="eastAsia" w:ascii="仿宋" w:hAnsi="仿宋" w:eastAsia="仿宋"/>
                <w:color w:val="auto"/>
                <w:sz w:val="24"/>
                <w:szCs w:val="24"/>
              </w:rPr>
              <w:t>货物名称</w:t>
            </w:r>
          </w:p>
        </w:tc>
        <w:tc>
          <w:tcPr>
            <w:tcW w:w="1565" w:type="dxa"/>
            <w:tcBorders>
              <w:top w:val="single" w:color="000000" w:sz="4" w:space="0"/>
              <w:left w:val="single" w:color="auto" w:sz="4" w:space="0"/>
              <w:bottom w:val="single" w:color="000000" w:sz="4" w:space="0"/>
              <w:right w:val="single" w:color="000000" w:sz="4" w:space="0"/>
            </w:tcBorders>
            <w:vAlign w:val="center"/>
          </w:tcPr>
          <w:p>
            <w:pPr>
              <w:pStyle w:val="734"/>
              <w:spacing w:line="400" w:lineRule="exact"/>
              <w:ind w:firstLine="120" w:firstLineChars="50"/>
              <w:jc w:val="center"/>
              <w:rPr>
                <w:rFonts w:ascii="仿宋" w:hAnsi="仿宋" w:eastAsia="仿宋"/>
                <w:color w:val="auto"/>
                <w:sz w:val="24"/>
                <w:szCs w:val="24"/>
              </w:rPr>
            </w:pPr>
            <w:r>
              <w:rPr>
                <w:rFonts w:hint="eastAsia" w:ascii="仿宋" w:hAnsi="仿宋" w:eastAsia="仿宋"/>
                <w:color w:val="auto"/>
                <w:sz w:val="24"/>
                <w:szCs w:val="24"/>
              </w:rPr>
              <w:t>型号规格</w:t>
            </w:r>
          </w:p>
        </w:tc>
        <w:tc>
          <w:tcPr>
            <w:tcW w:w="746" w:type="dxa"/>
            <w:tcBorders>
              <w:top w:val="single" w:color="000000" w:sz="4" w:space="0"/>
              <w:left w:val="nil"/>
              <w:bottom w:val="single" w:color="000000" w:sz="4" w:space="0"/>
              <w:right w:val="single" w:color="auto" w:sz="4" w:space="0"/>
            </w:tcBorders>
            <w:vAlign w:val="center"/>
          </w:tcPr>
          <w:p>
            <w:pPr>
              <w:pStyle w:val="734"/>
              <w:spacing w:line="400" w:lineRule="exact"/>
              <w:jc w:val="center"/>
              <w:rPr>
                <w:rFonts w:ascii="仿宋" w:hAnsi="仿宋" w:eastAsia="仿宋"/>
                <w:color w:val="auto"/>
                <w:sz w:val="24"/>
                <w:szCs w:val="24"/>
              </w:rPr>
            </w:pPr>
            <w:r>
              <w:rPr>
                <w:rFonts w:hint="eastAsia" w:ascii="仿宋" w:hAnsi="仿宋" w:eastAsia="仿宋"/>
                <w:color w:val="auto"/>
                <w:sz w:val="24"/>
                <w:szCs w:val="24"/>
              </w:rPr>
              <w:t>数量</w:t>
            </w:r>
          </w:p>
        </w:tc>
        <w:tc>
          <w:tcPr>
            <w:tcW w:w="1065" w:type="dxa"/>
            <w:tcBorders>
              <w:top w:val="single" w:color="000000" w:sz="4" w:space="0"/>
              <w:left w:val="single" w:color="auto" w:sz="4" w:space="0"/>
              <w:bottom w:val="single" w:color="000000" w:sz="4" w:space="0"/>
              <w:right w:val="single" w:color="000000" w:sz="4" w:space="0"/>
            </w:tcBorders>
            <w:vAlign w:val="center"/>
          </w:tcPr>
          <w:p>
            <w:pPr>
              <w:pStyle w:val="734"/>
              <w:spacing w:line="400" w:lineRule="exact"/>
              <w:jc w:val="center"/>
              <w:rPr>
                <w:rFonts w:ascii="仿宋" w:hAnsi="仿宋" w:eastAsia="仿宋"/>
                <w:color w:val="auto"/>
                <w:sz w:val="24"/>
                <w:szCs w:val="24"/>
              </w:rPr>
            </w:pPr>
            <w:r>
              <w:rPr>
                <w:rFonts w:hint="eastAsia" w:ascii="仿宋" w:hAnsi="仿宋" w:eastAsia="仿宋"/>
                <w:color w:val="auto"/>
                <w:sz w:val="24"/>
                <w:szCs w:val="24"/>
              </w:rPr>
              <w:t>单位</w:t>
            </w:r>
          </w:p>
        </w:tc>
        <w:tc>
          <w:tcPr>
            <w:tcW w:w="1271" w:type="dxa"/>
            <w:tcBorders>
              <w:top w:val="single" w:color="000000" w:sz="4" w:space="0"/>
              <w:left w:val="nil"/>
              <w:bottom w:val="single" w:color="000000" w:sz="4" w:space="0"/>
              <w:right w:val="single" w:color="000000" w:sz="4" w:space="0"/>
            </w:tcBorders>
            <w:vAlign w:val="center"/>
          </w:tcPr>
          <w:p>
            <w:pPr>
              <w:pStyle w:val="734"/>
              <w:spacing w:line="400" w:lineRule="exact"/>
              <w:jc w:val="center"/>
              <w:rPr>
                <w:rFonts w:ascii="仿宋" w:hAnsi="仿宋" w:eastAsia="仿宋"/>
                <w:color w:val="auto"/>
                <w:sz w:val="24"/>
                <w:szCs w:val="24"/>
              </w:rPr>
            </w:pPr>
            <w:r>
              <w:rPr>
                <w:rFonts w:hint="eastAsia" w:ascii="仿宋" w:hAnsi="仿宋" w:eastAsia="仿宋"/>
                <w:color w:val="auto"/>
                <w:sz w:val="24"/>
                <w:szCs w:val="24"/>
              </w:rPr>
              <w:t>产地及品牌</w:t>
            </w:r>
          </w:p>
        </w:tc>
        <w:tc>
          <w:tcPr>
            <w:tcW w:w="1153" w:type="dxa"/>
            <w:tcBorders>
              <w:top w:val="single" w:color="000000" w:sz="4" w:space="0"/>
              <w:left w:val="nil"/>
              <w:bottom w:val="single" w:color="000000" w:sz="4" w:space="0"/>
              <w:right w:val="single" w:color="000000" w:sz="4" w:space="0"/>
            </w:tcBorders>
            <w:vAlign w:val="center"/>
          </w:tcPr>
          <w:p>
            <w:pPr>
              <w:pStyle w:val="734"/>
              <w:spacing w:line="400" w:lineRule="exact"/>
              <w:jc w:val="center"/>
              <w:rPr>
                <w:rFonts w:ascii="仿宋" w:hAnsi="仿宋" w:eastAsia="仿宋"/>
                <w:color w:val="auto"/>
                <w:sz w:val="24"/>
                <w:szCs w:val="24"/>
              </w:rPr>
            </w:pPr>
            <w:r>
              <w:rPr>
                <w:rFonts w:hint="eastAsia" w:ascii="仿宋" w:hAnsi="仿宋" w:eastAsia="仿宋"/>
                <w:color w:val="auto"/>
                <w:sz w:val="24"/>
                <w:szCs w:val="24"/>
              </w:rPr>
              <w:t>单价（元）</w:t>
            </w:r>
          </w:p>
        </w:tc>
        <w:tc>
          <w:tcPr>
            <w:tcW w:w="1117" w:type="dxa"/>
            <w:tcBorders>
              <w:top w:val="single" w:color="000000" w:sz="4" w:space="0"/>
              <w:left w:val="nil"/>
              <w:bottom w:val="single" w:color="000000" w:sz="4" w:space="0"/>
              <w:right w:val="single" w:color="auto" w:sz="4" w:space="0"/>
            </w:tcBorders>
            <w:vAlign w:val="center"/>
          </w:tcPr>
          <w:p>
            <w:pPr>
              <w:pStyle w:val="734"/>
              <w:spacing w:line="400" w:lineRule="exact"/>
              <w:jc w:val="center"/>
              <w:rPr>
                <w:rFonts w:ascii="仿宋" w:hAnsi="仿宋" w:eastAsia="仿宋"/>
                <w:color w:val="auto"/>
                <w:sz w:val="24"/>
                <w:szCs w:val="24"/>
              </w:rPr>
            </w:pPr>
            <w:r>
              <w:rPr>
                <w:rFonts w:hint="eastAsia" w:ascii="仿宋" w:hAnsi="仿宋" w:eastAsia="仿宋"/>
                <w:color w:val="auto"/>
                <w:sz w:val="24"/>
                <w:szCs w:val="24"/>
              </w:rPr>
              <w:t>总价（元）</w:t>
            </w:r>
          </w:p>
        </w:tc>
        <w:tc>
          <w:tcPr>
            <w:tcW w:w="659" w:type="dxa"/>
            <w:tcBorders>
              <w:top w:val="single" w:color="000000" w:sz="4" w:space="0"/>
              <w:left w:val="single" w:color="auto" w:sz="4" w:space="0"/>
              <w:bottom w:val="single" w:color="000000" w:sz="4" w:space="0"/>
              <w:right w:val="single" w:color="000000" w:sz="4" w:space="0"/>
            </w:tcBorders>
            <w:vAlign w:val="center"/>
          </w:tcPr>
          <w:p>
            <w:pPr>
              <w:pStyle w:val="734"/>
              <w:spacing w:line="400" w:lineRule="exact"/>
              <w:jc w:val="center"/>
              <w:rPr>
                <w:rFonts w:ascii="仿宋" w:hAnsi="仿宋" w:eastAsia="仿宋"/>
                <w:color w:val="auto"/>
                <w:sz w:val="24"/>
                <w:szCs w:val="24"/>
              </w:rPr>
            </w:pPr>
          </w:p>
        </w:tc>
      </w:tr>
      <w:tr>
        <w:tc>
          <w:tcPr>
            <w:tcW w:w="798" w:type="dxa"/>
            <w:tcBorders>
              <w:top w:val="single" w:color="000000" w:sz="4" w:space="0"/>
              <w:left w:val="single" w:color="000000"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olor w:val="auto"/>
                <w:sz w:val="24"/>
                <w:szCs w:val="24"/>
              </w:rPr>
            </w:pPr>
          </w:p>
        </w:tc>
        <w:tc>
          <w:tcPr>
            <w:tcW w:w="1588"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color w:val="auto"/>
                <w:sz w:val="24"/>
                <w:szCs w:val="24"/>
              </w:rPr>
            </w:pPr>
          </w:p>
        </w:tc>
        <w:tc>
          <w:tcPr>
            <w:tcW w:w="1565"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olor w:val="auto"/>
                <w:sz w:val="24"/>
                <w:szCs w:val="24"/>
              </w:rPr>
            </w:pPr>
          </w:p>
        </w:tc>
        <w:tc>
          <w:tcPr>
            <w:tcW w:w="746"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color w:val="auto"/>
                <w:sz w:val="24"/>
                <w:szCs w:val="24"/>
              </w:rPr>
            </w:pPr>
          </w:p>
        </w:tc>
        <w:tc>
          <w:tcPr>
            <w:tcW w:w="1065"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olor w:val="auto"/>
                <w:sz w:val="24"/>
                <w:szCs w:val="24"/>
              </w:rPr>
            </w:pPr>
          </w:p>
        </w:tc>
        <w:tc>
          <w:tcPr>
            <w:tcW w:w="1271" w:type="dxa"/>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olor w:val="auto"/>
                <w:sz w:val="24"/>
                <w:szCs w:val="24"/>
              </w:rPr>
            </w:pPr>
          </w:p>
        </w:tc>
        <w:tc>
          <w:tcPr>
            <w:tcW w:w="1153" w:type="dxa"/>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olor w:val="auto"/>
                <w:sz w:val="24"/>
                <w:szCs w:val="24"/>
              </w:rPr>
            </w:pPr>
          </w:p>
        </w:tc>
        <w:tc>
          <w:tcPr>
            <w:tcW w:w="1117"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color w:val="auto"/>
                <w:sz w:val="24"/>
                <w:szCs w:val="24"/>
              </w:rPr>
            </w:pPr>
          </w:p>
        </w:tc>
        <w:tc>
          <w:tcPr>
            <w:tcW w:w="659"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olor w:val="auto"/>
                <w:sz w:val="24"/>
                <w:szCs w:val="24"/>
              </w:rPr>
            </w:pPr>
          </w:p>
        </w:tc>
      </w:tr>
      <w:tr>
        <w:tblPrEx>
          <w:tblCellMar>
            <w:top w:w="0" w:type="dxa"/>
            <w:left w:w="108" w:type="dxa"/>
            <w:bottom w:w="0" w:type="dxa"/>
            <w:right w:w="108" w:type="dxa"/>
          </w:tblCellMar>
        </w:tblPrEx>
        <w:tc>
          <w:tcPr>
            <w:tcW w:w="798" w:type="dxa"/>
            <w:tcBorders>
              <w:top w:val="single" w:color="000000" w:sz="4" w:space="0"/>
              <w:left w:val="single" w:color="000000"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olor w:val="auto"/>
                <w:sz w:val="24"/>
                <w:szCs w:val="24"/>
              </w:rPr>
            </w:pPr>
          </w:p>
        </w:tc>
        <w:tc>
          <w:tcPr>
            <w:tcW w:w="1588"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color w:val="auto"/>
                <w:sz w:val="24"/>
                <w:szCs w:val="24"/>
              </w:rPr>
            </w:pPr>
          </w:p>
        </w:tc>
        <w:tc>
          <w:tcPr>
            <w:tcW w:w="1565"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olor w:val="auto"/>
                <w:sz w:val="24"/>
                <w:szCs w:val="24"/>
              </w:rPr>
            </w:pPr>
          </w:p>
        </w:tc>
        <w:tc>
          <w:tcPr>
            <w:tcW w:w="746"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color w:val="auto"/>
                <w:sz w:val="24"/>
                <w:szCs w:val="24"/>
              </w:rPr>
            </w:pPr>
          </w:p>
        </w:tc>
        <w:tc>
          <w:tcPr>
            <w:tcW w:w="1065"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olor w:val="auto"/>
                <w:sz w:val="24"/>
                <w:szCs w:val="24"/>
              </w:rPr>
            </w:pPr>
          </w:p>
        </w:tc>
        <w:tc>
          <w:tcPr>
            <w:tcW w:w="1271" w:type="dxa"/>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olor w:val="auto"/>
                <w:sz w:val="24"/>
                <w:szCs w:val="24"/>
              </w:rPr>
            </w:pPr>
          </w:p>
        </w:tc>
        <w:tc>
          <w:tcPr>
            <w:tcW w:w="1153" w:type="dxa"/>
            <w:tcBorders>
              <w:top w:val="single" w:color="000000" w:sz="4" w:space="0"/>
              <w:left w:val="nil"/>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olor w:val="auto"/>
                <w:sz w:val="24"/>
                <w:szCs w:val="24"/>
              </w:rPr>
            </w:pPr>
          </w:p>
        </w:tc>
        <w:tc>
          <w:tcPr>
            <w:tcW w:w="1117" w:type="dxa"/>
            <w:tcBorders>
              <w:top w:val="single" w:color="000000" w:sz="4" w:space="0"/>
              <w:left w:val="nil"/>
              <w:bottom w:val="single" w:color="000000" w:sz="4" w:space="0"/>
              <w:right w:val="single" w:color="auto" w:sz="4" w:space="0"/>
            </w:tcBorders>
            <w:vAlign w:val="bottom"/>
          </w:tcPr>
          <w:p>
            <w:pPr>
              <w:pStyle w:val="734"/>
              <w:spacing w:line="400" w:lineRule="exact"/>
              <w:ind w:firstLine="480" w:firstLineChars="200"/>
              <w:jc w:val="center"/>
              <w:rPr>
                <w:rFonts w:ascii="仿宋" w:hAnsi="仿宋" w:eastAsia="仿宋"/>
                <w:color w:val="auto"/>
                <w:sz w:val="24"/>
                <w:szCs w:val="24"/>
              </w:rPr>
            </w:pPr>
          </w:p>
        </w:tc>
        <w:tc>
          <w:tcPr>
            <w:tcW w:w="659" w:type="dxa"/>
            <w:tcBorders>
              <w:top w:val="single" w:color="000000" w:sz="4" w:space="0"/>
              <w:left w:val="single" w:color="auto" w:sz="4" w:space="0"/>
              <w:bottom w:val="single" w:color="000000" w:sz="4" w:space="0"/>
              <w:right w:val="single" w:color="000000" w:sz="4" w:space="0"/>
            </w:tcBorders>
            <w:vAlign w:val="bottom"/>
          </w:tcPr>
          <w:p>
            <w:pPr>
              <w:pStyle w:val="734"/>
              <w:spacing w:line="400" w:lineRule="exact"/>
              <w:ind w:firstLine="480" w:firstLineChars="200"/>
              <w:jc w:val="center"/>
              <w:rPr>
                <w:rFonts w:ascii="仿宋" w:hAnsi="仿宋" w:eastAsia="仿宋"/>
                <w:color w:val="auto"/>
                <w:sz w:val="24"/>
                <w:szCs w:val="24"/>
              </w:rPr>
            </w:pPr>
          </w:p>
        </w:tc>
      </w:tr>
    </w:tbl>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五、交货地点：</w:t>
      </w:r>
      <w:r>
        <w:rPr>
          <w:rFonts w:hint="eastAsia" w:ascii="仿宋" w:hAnsi="仿宋" w:eastAsia="仿宋"/>
          <w:color w:val="auto"/>
          <w:spacing w:val="-11"/>
          <w:sz w:val="24"/>
          <w:u w:val="single"/>
        </w:rPr>
        <w:t>库尔勒市妇幼保健计划生育服务中心（库尔勒市妇幼保健院）</w:t>
      </w:r>
      <w:r>
        <w:rPr>
          <w:rFonts w:hint="eastAsia" w:ascii="仿宋" w:hAnsi="仿宋" w:eastAsia="仿宋"/>
          <w:color w:val="auto"/>
          <w:sz w:val="24"/>
          <w:szCs w:val="24"/>
        </w:rPr>
        <w:t xml:space="preserve">或委托方指定的地点。 </w:t>
      </w:r>
    </w:p>
    <w:p>
      <w:pPr>
        <w:pStyle w:val="734"/>
        <w:spacing w:line="400" w:lineRule="exact"/>
        <w:ind w:firstLine="480" w:firstLineChars="200"/>
        <w:rPr>
          <w:rFonts w:ascii="仿宋" w:hAnsi="仿宋" w:eastAsia="仿宋"/>
          <w:color w:val="auto"/>
          <w:sz w:val="24"/>
          <w:szCs w:val="24"/>
          <w:u w:val="single"/>
        </w:rPr>
      </w:pPr>
      <w:r>
        <w:rPr>
          <w:rFonts w:hint="eastAsia" w:ascii="仿宋" w:hAnsi="仿宋" w:eastAsia="仿宋"/>
          <w:color w:val="auto"/>
          <w:sz w:val="24"/>
          <w:szCs w:val="24"/>
        </w:rPr>
        <w:t>六、交货期及完工期：</w:t>
      </w:r>
      <w:r>
        <w:rPr>
          <w:rFonts w:hint="eastAsia" w:ascii="仿宋" w:hAnsi="仿宋" w:eastAsia="仿宋"/>
          <w:color w:val="auto"/>
          <w:sz w:val="24"/>
          <w:szCs w:val="24"/>
          <w:u w:val="single"/>
        </w:rPr>
        <w:t xml:space="preserve">                                                  </w:t>
      </w:r>
    </w:p>
    <w:p>
      <w:pPr>
        <w:pStyle w:val="734"/>
        <w:spacing w:line="400" w:lineRule="exact"/>
        <w:ind w:firstLine="480" w:firstLineChars="200"/>
        <w:rPr>
          <w:rFonts w:ascii="仿宋" w:hAnsi="仿宋" w:eastAsia="仿宋" w:cs="仿宋"/>
          <w:color w:val="auto"/>
          <w:sz w:val="24"/>
          <w:lang w:val="zh-CN"/>
        </w:rPr>
      </w:pPr>
      <w:r>
        <w:rPr>
          <w:rFonts w:hint="eastAsia" w:ascii="仿宋" w:hAnsi="仿宋" w:eastAsia="仿宋"/>
          <w:color w:val="auto"/>
          <w:sz w:val="24"/>
          <w:szCs w:val="24"/>
        </w:rPr>
        <w:t>七、保修期：</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年</w:t>
      </w:r>
      <w:r>
        <w:rPr>
          <w:rFonts w:hint="eastAsia" w:ascii="仿宋" w:hAnsi="仿宋" w:eastAsia="仿宋" w:cs="仿宋"/>
          <w:color w:val="auto"/>
          <w:sz w:val="24"/>
          <w:lang w:val="zh-CN"/>
        </w:rPr>
        <w:t>的免费原厂维保服务，并在本项目存续期提供永久的技术支持</w:t>
      </w:r>
      <w:r>
        <w:rPr>
          <w:rFonts w:hint="eastAsia" w:ascii="仿宋" w:hAnsi="仿宋" w:eastAsia="仿宋" w:cs="仿宋"/>
          <w:color w:val="auto"/>
          <w:sz w:val="24"/>
        </w:rPr>
        <w:t>及软件系统的免费升级</w:t>
      </w:r>
      <w:r>
        <w:rPr>
          <w:rFonts w:hint="eastAsia" w:ascii="仿宋" w:hAnsi="仿宋" w:eastAsia="仿宋" w:cs="仿宋"/>
          <w:color w:val="auto"/>
          <w:sz w:val="24"/>
          <w:lang w:val="zh-CN"/>
        </w:rPr>
        <w:t>。</w:t>
      </w:r>
      <w:r>
        <w:rPr>
          <w:rFonts w:hint="eastAsia" w:ascii="仿宋" w:hAnsi="仿宋" w:eastAsia="仿宋" w:cs="仿宋"/>
          <w:color w:val="auto"/>
          <w:sz w:val="24"/>
        </w:rPr>
        <w:t>保修</w:t>
      </w:r>
      <w:r>
        <w:rPr>
          <w:rFonts w:hint="eastAsia" w:ascii="仿宋" w:hAnsi="仿宋" w:eastAsia="仿宋" w:cs="仿宋"/>
          <w:color w:val="auto"/>
          <w:sz w:val="24"/>
          <w:lang w:val="zh-CN"/>
        </w:rPr>
        <w:t>期从终验结束之日开始计算，</w:t>
      </w:r>
      <w:r>
        <w:rPr>
          <w:rFonts w:hint="eastAsia" w:ascii="仿宋" w:hAnsi="仿宋" w:eastAsia="仿宋" w:cs="仿宋"/>
          <w:color w:val="auto"/>
          <w:sz w:val="24"/>
        </w:rPr>
        <w:t>保修</w:t>
      </w:r>
      <w:r>
        <w:rPr>
          <w:rFonts w:hint="eastAsia" w:ascii="仿宋" w:hAnsi="仿宋" w:eastAsia="仿宋" w:cs="仿宋"/>
          <w:color w:val="auto"/>
          <w:sz w:val="24"/>
          <w:lang w:val="zh-CN"/>
        </w:rPr>
        <w:t>期内故障设备及配件更换（硬盘不返还）等产生相关费用</w:t>
      </w:r>
      <w:r>
        <w:rPr>
          <w:rFonts w:hint="eastAsia" w:ascii="仿宋" w:hAnsi="仿宋" w:eastAsia="仿宋" w:cs="仿宋"/>
          <w:color w:val="auto"/>
          <w:sz w:val="24"/>
        </w:rPr>
        <w:t>乙方</w:t>
      </w:r>
      <w:r>
        <w:rPr>
          <w:rFonts w:hint="eastAsia" w:ascii="仿宋" w:hAnsi="仿宋" w:eastAsia="仿宋" w:cs="仿宋"/>
          <w:color w:val="auto"/>
          <w:sz w:val="24"/>
          <w:lang w:val="zh-CN"/>
        </w:rPr>
        <w:t>自行承担，且更换设备性能不得低于原设备性能。</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八、合同价格</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合同总金额为人民币元</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（大写）：</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元（小写）。</w:t>
      </w:r>
      <w:r>
        <w:rPr>
          <w:rFonts w:hint="eastAsia" w:ascii="仿宋" w:hAnsi="仿宋" w:eastAsia="仿宋" w:cs="仿宋"/>
          <w:color w:val="auto"/>
          <w:sz w:val="24"/>
        </w:rPr>
        <w:t>该合同总金额包括税费、运输费、交通费、安装费等一切费用。乙方为履行本合同而支出的费用由乙方自行承担。</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九、付款方式</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1、合同价格由甲方分期支付给乙方，具体的支付方式如下：</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rPr>
        <w:t>1</w:t>
      </w:r>
      <w:r>
        <w:rPr>
          <w:rFonts w:hint="eastAsia" w:ascii="仿宋" w:hAnsi="仿宋" w:eastAsia="仿宋"/>
          <w:color w:val="auto"/>
          <w:sz w:val="24"/>
          <w:szCs w:val="24"/>
        </w:rPr>
        <w:t>.1、合同签订全部货到甲方指定地点，乙方向甲方提供真实合法有效的全额发票，甲方收到发票后支付合同总价的30%；</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1.2、项目完工并最终验收合格交付使用正常运行满5日，支付合同总价的55%；</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1.3、项目验收满1年，支付合同总价的5%；</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1.4、项目验收满2年，支付合同总价的5%；</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1.5、项目验收满3年，支付合同总价的5%。</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1.6前述合同价格涵盖本合同及其附件所约定的乙方为甲方提供的所有供货及技术服务内容，金额包干。乙方不得以服务投入人员、投入时间或服务难度较大为由向甲方申请增加合同价格。</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3、乙方的账户名称、开户银行及账号为：</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账 户 名：</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开户银行：</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账    号： </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乙方如变更账户信息，应在变更之日起三日内书面告知甲方，否则甲方不承担逾期付款的违约责任。 </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4、国家根据现行税法对乙方征收的与本合同有关的一切税费均由乙方自行负担。乙方为实施本合同技术服务所支出的人工、交通、物料等成本由乙方自行负担。</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5、乙方未按照本条约定及时提供发票或有其他任何违约行为，甲方有权拒绝向乙方支付任一款项，且不因此承担任何违约责任。</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十、履约保证金：</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1、履约保证金的交纳必须以公对公账户进行电汇或转账，否则不予认可。</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2、交纳时间：/3、交纳金额：/4、为保证本合同的顺利履行，乙方应在本合同签订前向甲方交纳中标总金额的</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作为履约保证金。乙方在本合同中拒不履行相关义务、承担违约责任的，甲方有权从履约保证金中直接扣除。本合同标的系统经甲方终验合格、扣除应由乙方支付的各项费用后，履约保证金由甲方无息退还。</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十一、双方的责任与义务 </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1、甲方的责任与义务  </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1.1审核与确定乙方指派的技术服务人员。  </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1.2按本合同约定向乙方支付合同价格费用。 </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1.3审定乙方提交的工作方案、《技术服务报告》《技术服务中期报告》《技术服务总结报告》及合同约定需乙方提交的材料。 </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1.4对乙方的技术服务进行验收。</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1.5对乙方技术服务进行监督检查，并提出意见，乙方应当按照甲方意见整改，乙方未整改或整改未达到甲方要求及合同约定标准，视为乙方违约，乙方应当承担违约责任。 </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2 、乙方的责任与义务  </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2.1按照本合同约定为甲方提供全部采购标的货物及技术服务。甲方可以就本项目所涉及的服务方式、质量保证、系统维护目标、信息管理手段等相关问题向乙方咨询或征求意见，乙方应当在2日内书面予以解释和答复。</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2.2按照招标文件要求及中标人投标文件要求组织人员提供技术服务，并保证人员的稳定性；如乙方根据具体情况需重新指定项目成员，应当以书面方式通知甲方，征得甲方的书面同意后才可以更换；如发生指定项目成员离职、长期休假、不符合甲方要求等情况时，乙方需保证有充足的符合甲方要求的乙方后备人员到岗提供服务。 </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2.3向甲方提供项目实施的工作方案和时间安排，按照工作方案开展技术服务工作，并于每月（季度）结束后【   】日内提供《技术服务报告》。 </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2.4乙方应将甲方支付的合同价格费用用于本项目的技术服务工作之中，不得擅自挪作他用，技术服务环境和所需工具由乙方自行提供和配备。</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2.5如出现属于软件或系统问题以及其他需技术支持的问题，乙方保证在接到甲方故障通知的【   】小时内解决问题；若甲方要求乙方增派人员到甲方现场解决问题，乙方保证派有关技术人员到甲方现场进行技术支持，所需的差旅费和人工成本费、维修费等一切费用均由乙方自行承担。保修电话：【           】</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2.6乙方应于每【     】个月定期对开发的软件、系统进行升级更新及优化，以确保无故障和BUG，确保软件、系统各项功能正常、高效运行。 </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十二、验收标准和方式</w:t>
      </w:r>
    </w:p>
    <w:p>
      <w:pPr>
        <w:pStyle w:val="734"/>
        <w:spacing w:line="400" w:lineRule="exact"/>
        <w:ind w:firstLine="480" w:firstLineChars="200"/>
        <w:rPr>
          <w:rFonts w:ascii="仿宋" w:hAnsi="仿宋" w:eastAsia="仿宋"/>
          <w:bCs/>
          <w:color w:val="auto"/>
          <w:sz w:val="24"/>
          <w:szCs w:val="24"/>
        </w:rPr>
      </w:pPr>
      <w:r>
        <w:rPr>
          <w:rFonts w:hint="eastAsia" w:ascii="仿宋" w:hAnsi="仿宋" w:eastAsia="仿宋"/>
          <w:color w:val="auto"/>
          <w:sz w:val="24"/>
          <w:szCs w:val="24"/>
        </w:rPr>
        <w:t>1、全部货到甲方指定地点，由甲、乙双方指派代表进行验收，核对清单、凭证、随货技术资料、货物品种、规格、数量、外包装状况、外观，并按</w:t>
      </w:r>
      <w:r>
        <w:rPr>
          <w:rFonts w:hint="eastAsia" w:ascii="仿宋" w:hAnsi="仿宋" w:eastAsia="仿宋"/>
          <w:bCs/>
          <w:color w:val="auto"/>
          <w:sz w:val="24"/>
          <w:szCs w:val="24"/>
        </w:rPr>
        <w:t>投标文件《技术及服务条款偏离表》</w:t>
      </w:r>
      <w:r>
        <w:rPr>
          <w:rFonts w:hint="eastAsia" w:ascii="仿宋" w:hAnsi="仿宋" w:eastAsia="仿宋"/>
          <w:color w:val="auto"/>
          <w:sz w:val="24"/>
          <w:szCs w:val="24"/>
        </w:rPr>
        <w:t>逐项核验各指标。</w:t>
      </w:r>
      <w:r>
        <w:rPr>
          <w:rFonts w:hint="eastAsia" w:ascii="仿宋" w:hAnsi="仿宋" w:eastAsia="仿宋"/>
          <w:bCs/>
          <w:color w:val="auto"/>
          <w:sz w:val="24"/>
          <w:szCs w:val="24"/>
        </w:rPr>
        <w:t>乙方提供给甲方的合同货物及服务的技术规范应与其投标文件中《技术及服务条款偏离表》相一致，逐项验收时如出现</w:t>
      </w:r>
      <w:r>
        <w:rPr>
          <w:rFonts w:ascii="Arial" w:hAnsi="Arial" w:eastAsia="仿宋" w:cs="Arial"/>
          <w:bCs/>
          <w:color w:val="auto"/>
          <w:sz w:val="24"/>
          <w:szCs w:val="24"/>
        </w:rPr>
        <w:t>≥</w:t>
      </w:r>
      <w:r>
        <w:rPr>
          <w:rFonts w:hint="eastAsia" w:ascii="仿宋" w:hAnsi="仿宋" w:eastAsia="仿宋"/>
          <w:bCs/>
          <w:color w:val="auto"/>
          <w:sz w:val="24"/>
          <w:szCs w:val="24"/>
        </w:rPr>
        <w:t>2项条款不一致或不符，则验收不合格，并将根据本合同专用条款第十八项第1.1款，认定乙方根本违约而解除合同。</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项目完工，乙方起草《技术服务总结报告》提交甲方。甲方收到《技术服务总结报告》后，根据本合同约定对乙方提供的技术服务内容及《技术服务总结报告》等，甲方按照项目验收管理办法要求进行项目终验。验收不合格，甲方有权拒绝支付该部分的合同价格费用，并要求乙方按照本合同约定承担违约责任。</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十三、保密事宜</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1、保密范围</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1.1未经甲方书面同意，乙方不得以任何形式公开本合同及其附件及本项目相关文件、资料的任何内容。</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1.2乙方在未征得甲方书面同意的情况下，不得向第三方泄露在项目中接触到的情报、资料和数据。</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1.3乙方在未征得甲方书面同意的情况下，不得为任何其它目的而自行使用或允许他人使用从甲方获得的信息（包括但不限于所有的报告、摘录、纪要、文件、计划、报表、复印件和业务数据等）。</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1.4如果乙方违反本条款的规定，甲方有权解除本合同并要求乙方赔偿甲方因此遭受的全部损失（包括但不限于维修费、交通费、装卸费、主张权利产生的诉讼费、鉴定费、律师费、公告费等费用），该赔偿的金额不低于合同价格总额的10%。触犯保密法律法规的情况由乙方独自承担相应法律责任。</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1.5乙方认为的乙方商业秘密需要乙方事先向甲方书面声明。 </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2、保密期限</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甲乙双方应对上述保密范围所约定的内容承担保密义务。保密期限自本合同生效之日始至本合同约定的信息全部成为公开信息止。本保密条款不因本合同的终止、解除等情形失效。 </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十四、知识产权 </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hint="eastAsia" w:ascii="仿宋" w:hAnsi="仿宋" w:eastAsia="仿宋"/>
          <w:color w:val="auto"/>
          <w:sz w:val="24"/>
          <w:szCs w:val="24"/>
          <w:u w:val="single" w:color="000000"/>
        </w:rPr>
        <w:t xml:space="preserve">   </w:t>
      </w:r>
      <w:r>
        <w:rPr>
          <w:rFonts w:hint="eastAsia" w:ascii="仿宋" w:hAnsi="仿宋" w:eastAsia="仿宋"/>
          <w:color w:val="auto"/>
          <w:spacing w:val="-11"/>
          <w:sz w:val="24"/>
          <w:u w:val="single"/>
        </w:rPr>
        <w:t>库尔勒市妇幼保健计划生育服务中心（库尔勒市妇幼保健院）超融合系统采购</w:t>
      </w:r>
      <w:r>
        <w:rPr>
          <w:rFonts w:hint="eastAsia" w:ascii="仿宋" w:hAnsi="仿宋" w:eastAsia="仿宋"/>
          <w:color w:val="auto"/>
          <w:sz w:val="24"/>
          <w:szCs w:val="24"/>
          <w:u w:val="single" w:color="000000"/>
        </w:rPr>
        <w:t xml:space="preserve"> </w:t>
      </w:r>
      <w:r>
        <w:rPr>
          <w:rFonts w:hint="eastAsia" w:ascii="仿宋" w:hAnsi="仿宋" w:eastAsia="仿宋"/>
          <w:color w:val="auto"/>
          <w:sz w:val="24"/>
          <w:szCs w:val="24"/>
        </w:rPr>
        <w:t>（项目名称）技术支持服务过程中所产生的所有文件、资料等的知识产权均归甲方所有。未经甲方书面许可，乙方不得用于本项目以外的其他用途。因乙方原因造成甲方知识产权遭受侵害的，由乙方负责赔偿。</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乙方保证甲方在接受乙方提供的软件维护与技术支持服务过程中免受第三方提出侵犯其专利权、商标权或著作权或其他权利诉求。因乙方原因导致对其他任何权利的侵犯，应由乙方自行承担全部责任，甲方不承担任何责任。如因乙方原因导致甲方被追诉的，乙方应承担因此给甲方造成的一切损失包括但不限于甲方为此支付的律师费、案件受理费、仲裁费、保险费、执行费、鉴定费及公证费等。</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3、甲方利用乙方提交的技术服务工作成果所完成的新的技术成果，归甲方所有。</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4、乙方利用甲方所提供的技术资料和工作条件完成的新的技术成果，归甲方所有。</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5、乙方郑重承诺：在为本项目提供技术服务过程中，需使用任何第三方拥有所有权、专利权、著作权、商标权或商业秘密等权利的产品或者服务时，须书面告知甲方，在征得甲方的书面同意后，方可执行。 </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十五、项目联系人 </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甲、乙双方确定，在本合同有效期内，甲方指定</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为甲方项目联系人，乙方指定</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为乙方项目联系人。</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乙方保证前述提供的乙方联系人的联系方式真实有效，乙方更换项目联系人应当在决定变更联系人前三日内提前书面通知甲方，在征得甲方的书面同意后方可以更换；决定变更联系方式的，应在变更联系方式前三日内提前书面通知甲方。</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十六、合同变更</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本合同签订后，甲方有权增加、减少或者变更约定的技术服务内容及要求。甲方要求增加、减少或者变更技术服务内容及要求应当通过书面形式通知乙方，乙方应当在收到甲方通知后立即按照新的内容及要求执行。</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除本合同另有约定外，本合同一经签署，未经甲乙双方同意，任何一方不得随意更改本合同。本合同所列的附件，为本合同的组成部分。其它任何口头或未包含在本合同内的，或未依据本合同制定的书面文件，均不对双方具有约束力。</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3、如本合同在履行过程中有任何变更、补充或修改，都必须经甲乙双方协商同意，并由双方法定代表人或授权代表另行签订书面协议。</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十七、违约责任</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1、因甲方原因造成乙方不能按照本合同的约定提供服务的，乙方无需向甲方承担违约责任。在甲方提前书面通知乙方后，乙方应根据实际情况服从和协助甲方制定出新的工作计划，并按新的工作计划开展工作。</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非因甲方原因，乙方如果不能按照本合同约定提供技术服务的，应提前十个工作日向甲方做出书面解释并提出拟采取的补救措施，在征得甲方的认可和同意后，执行补救措施但仍应按照本合同约定承担违约责任。</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3、乙方未按照本合同的约定及乙方的服务承诺履行义务的，每违反一次，应当按照合同总额的5%向甲方支付违约金，甲方有权在下一期合同价格费用中直接扣除违约金，但如乙方的违约行为发生在合同价格全部支付完毕之后，则由乙方直接向甲方支付违约金；甲方亦有权解除合同。因违约给甲方或任何第三方造成损失的，乙方还应当予以赔偿。</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4、乙方应当按照合同约定的时间完成项目并交付验收，乙方逾期的，每日向甲方支付合同总价款千分之二的违约金，逾期10日的，甲方有权解除合同，并要求乙方承担合同价款20%的违约金。</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十八、合同解除</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1、在本合同履行过程中，如果发生以下情形之一，合同一方可以通知对方解除合同：</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1.1因对方根本违约使合同无法继续履行或没有必要继续履行；</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1.2在甲方对乙方违约后采取的补救措施不予接受的情况下，甲方有权解除合同；</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1.2.1如果非因甲方原因，乙方未能在甲方同意延长的限期内按照本合同约定及服务承诺提供服务，甲方有权解除本合同；</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1.2.2乙方在收到甲方的违约通知后五日内，未能纠正其违约行为，甲方有权解除本合同。</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1.3如果乙方未能履行本合同约定的其它任何义务，甲方有权解除本合同。</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1.4如果乙方在服务采购或实施中有腐败和欺诈行为，甲方有权解除本合同。“腐败行为”是指提供、给予任何有价值的东西来影响甲方人员在采购过程或合同实施过程中的行为；“欺诈行为”指为了影响采购过程或合同实施过程而谎报事实，损害甲方的利益，包括投标（报价）人之间串通报价，人为地使投标（报价）丧失竞争性，剥夺甲方从自由公开竞争所能获得的权益。</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1.5如果乙方无实际履行能力以及破产或无清偿能力时，甲方可在任何时候以书面形式通知乙方终止合同，终止该合同将不损害或影响甲方已经采取或将要采取的补救措施的权利。</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1.6由于不可抗力致使本合同不能履行的，甲方可以解除本合同。</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2、双方协商一致可以解除合同。</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3、双方可依据本合同约定的其他可以解除合同的法定情形解除合同。</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4、因乙方的原因，在甲方根据以上条款解除合同后，甲方可以依其认为适当的条件和方法购买相同或者类似未提供的服务，乙方应负担甲方因另行购买相同或者类似服务而多支出的费用。</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十九、转委托</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未经甲方书面同意，乙方不得将本合同约定的供货、软件维护与技术支持服务全部或者部分工作委托给第三方，否则甲方有权要求乙方承担20%违约责任，并赔偿由此造成甲方的一切损失。</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二十、税费</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1、本项目的报价应包含所有税费。</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2、在中国境内外发生的与本合同执行有关的一切税费均应由乙方负担。</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二十一、不可抗力</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1、甲乙双方因不可抗力不能履行合同义务的，根据不可抗力的影响，部分或者全部免除责任。当事人迟延履行后发生不可抗力的，不能免除责任。</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2、本条所述的“不可抗力”系指不能预见、不能避免并不能克服的客观情况，包括战争、严重火灾、洪水、台风、地震、国家法律变化和政府行为等事件，但不包括乙方的违约和疏忽。</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3、在不可抗力事件发生后，受不可抗力影响的一方应在发生不可抗力事由之日起【    】日内以书面形式将不可抗力的情况和原因通知另一方,并在取得不可抗力发生地市级以上政府相关部门证明以后，允许延期履行、部分履行或者不履行合同，并根据情况可部分或全部免于承担违约责任。</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4、除另一方明确要求外，受不可抗力影响的一方应尽可能继续履行合同义务，以及寻求采取合理的方案履行未受不可抗力影响的其他合同义务，并尽可能地及时采取合理的措施减轻不可抗力对本合同的履行所造成的影响。没有采取适当措施致使损失扩大的，该方不得就扩大损失的部分要求免责或赔偿。</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二十二、争议解决</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因本合同引起的或与本合同有关的任何争议，甲乙双方应通过友好协商方式的解决。不愿协商或者协商不成的，按照通用合同条款“争议解决”19.1.1项解决。</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二十三、通知</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甲乙双方确认，本合同约定的关于双方通讯地址、电话、传真均真实有效，如有变更，变更方应按照本合同约定提前书面通知对方。因一方变更前述通讯联系地址、电话、传真而未通知对方，造成对方无法通知的，由此造成的后果由变更而又未依约通知的一方负责。</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2、任何与本合同履行有关的通讯往来和通知均应以书面形式送达，该书面形式包括传真、挂号、特快专递等方式，如没有特别约定，电话和电子邮件的方式不是本合同所约定的送达方式。</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3、以传真方式发出的通知，自传真进入系统视为送达。</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4、如果要求被送达人履行相应的合同义务，通知应该为被通知人履行义务预留合理的时间。</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5、在执行本合同过程中，甲方应于收到乙方各种书面通知、函件后的【   】个工作日内做出响应；乙方应于收到甲方各种书面通知、函件后的【   】个工作日内做出响应。若在本合同其它条款中另有约定的，以约定时间为准。</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二十四、合同生效及其他 </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本合同经甲、乙双方法定代表人</w:t>
      </w:r>
      <w:r>
        <w:rPr>
          <w:rFonts w:hint="eastAsia" w:ascii="仿宋" w:hAnsi="仿宋" w:eastAsia="仿宋"/>
          <w:color w:val="auto"/>
          <w:kern w:val="0"/>
          <w:sz w:val="24"/>
        </w:rPr>
        <w:t>（或负责人）</w:t>
      </w:r>
      <w:r>
        <w:rPr>
          <w:rFonts w:hint="eastAsia" w:ascii="仿宋" w:hAnsi="仿宋" w:eastAsia="仿宋"/>
          <w:color w:val="auto"/>
          <w:sz w:val="24"/>
          <w:szCs w:val="24"/>
        </w:rPr>
        <w:t xml:space="preserve">签字并加盖公章后生效，一式【肆 】份，甲方执【叁 】份，乙方执【 壹】份，每份均具有同等的法律效力。  </w:t>
      </w:r>
    </w:p>
    <w:p>
      <w:pPr>
        <w:spacing w:line="420" w:lineRule="exact"/>
        <w:ind w:firstLine="480" w:firstLineChars="200"/>
        <w:rPr>
          <w:rFonts w:ascii="仿宋" w:hAnsi="仿宋" w:eastAsia="仿宋"/>
          <w:color w:val="auto"/>
          <w:sz w:val="24"/>
        </w:rPr>
      </w:pPr>
      <w:r>
        <w:rPr>
          <w:rFonts w:hint="eastAsia" w:ascii="仿宋" w:hAnsi="仿宋" w:eastAsia="仿宋"/>
          <w:color w:val="auto"/>
          <w:sz w:val="24"/>
        </w:rPr>
        <w:t xml:space="preserve">本合同附件是本合同不可分割部分，具有同等法律效力。 </w:t>
      </w:r>
    </w:p>
    <w:p>
      <w:pPr>
        <w:spacing w:line="420" w:lineRule="exact"/>
        <w:ind w:firstLine="480" w:firstLineChars="200"/>
        <w:rPr>
          <w:rFonts w:ascii="仿宋" w:hAnsi="仿宋" w:eastAsia="仿宋"/>
          <w:color w:val="auto"/>
          <w:sz w:val="24"/>
        </w:rPr>
      </w:pPr>
      <w:r>
        <w:rPr>
          <w:rFonts w:hint="eastAsia" w:ascii="仿宋" w:hAnsi="仿宋" w:eastAsia="仿宋"/>
          <w:color w:val="auto"/>
          <w:sz w:val="24"/>
        </w:rPr>
        <w:t>合同附件：1）设备的配置清单；</w:t>
      </w:r>
    </w:p>
    <w:p>
      <w:pPr>
        <w:spacing w:line="420" w:lineRule="exact"/>
        <w:ind w:firstLine="1680" w:firstLineChars="700"/>
        <w:rPr>
          <w:rFonts w:ascii="仿宋" w:hAnsi="仿宋" w:eastAsia="仿宋"/>
          <w:color w:val="auto"/>
          <w:sz w:val="24"/>
        </w:rPr>
      </w:pPr>
      <w:r>
        <w:rPr>
          <w:rFonts w:hint="eastAsia" w:ascii="仿宋" w:hAnsi="仿宋" w:eastAsia="仿宋"/>
          <w:color w:val="auto"/>
          <w:sz w:val="24"/>
        </w:rPr>
        <w:t>2）技术标准、投标文件的技术响应、设备技术说明；</w:t>
      </w:r>
    </w:p>
    <w:p>
      <w:pPr>
        <w:spacing w:line="420" w:lineRule="exact"/>
        <w:ind w:firstLine="1680" w:firstLineChars="700"/>
        <w:rPr>
          <w:rFonts w:ascii="仿宋" w:hAnsi="仿宋" w:eastAsia="仿宋"/>
          <w:color w:val="auto"/>
          <w:sz w:val="24"/>
        </w:rPr>
      </w:pPr>
      <w:r>
        <w:rPr>
          <w:rFonts w:hint="eastAsia" w:ascii="仿宋" w:hAnsi="仿宋" w:eastAsia="仿宋"/>
          <w:color w:val="auto"/>
          <w:sz w:val="24"/>
        </w:rPr>
        <w:t>3）投标文件、招标文件。</w:t>
      </w:r>
    </w:p>
    <w:p>
      <w:pPr>
        <w:spacing w:line="420" w:lineRule="exact"/>
        <w:rPr>
          <w:rFonts w:ascii="仿宋" w:hAnsi="仿宋" w:eastAsia="仿宋"/>
          <w:color w:val="auto"/>
          <w:sz w:val="24"/>
        </w:rPr>
      </w:pPr>
    </w:p>
    <w:p>
      <w:pPr>
        <w:pStyle w:val="734"/>
        <w:spacing w:line="400" w:lineRule="exact"/>
        <w:rPr>
          <w:rFonts w:ascii="仿宋" w:hAnsi="仿宋" w:eastAsia="仿宋"/>
          <w:color w:val="auto"/>
          <w:sz w:val="24"/>
          <w:szCs w:val="24"/>
        </w:rPr>
      </w:pPr>
      <w:r>
        <w:rPr>
          <w:rFonts w:hint="eastAsia" w:ascii="仿宋" w:hAnsi="仿宋" w:eastAsia="仿宋"/>
          <w:color w:val="auto"/>
          <w:sz w:val="24"/>
          <w:szCs w:val="24"/>
        </w:rPr>
        <w:t>甲方名称（盖章）                          乙方名称（盖章）</w:t>
      </w:r>
    </w:p>
    <w:p>
      <w:pPr>
        <w:pStyle w:val="734"/>
        <w:spacing w:line="400" w:lineRule="exact"/>
        <w:ind w:firstLine="480" w:firstLineChars="200"/>
        <w:rPr>
          <w:rFonts w:ascii="仿宋" w:hAnsi="仿宋" w:eastAsia="仿宋"/>
          <w:color w:val="auto"/>
          <w:sz w:val="24"/>
          <w:szCs w:val="24"/>
        </w:rPr>
      </w:pPr>
    </w:p>
    <w:p>
      <w:pPr>
        <w:pStyle w:val="734"/>
        <w:spacing w:line="400" w:lineRule="exact"/>
        <w:rPr>
          <w:rFonts w:ascii="仿宋" w:hAnsi="仿宋" w:eastAsia="仿宋"/>
          <w:color w:val="auto"/>
          <w:sz w:val="24"/>
          <w:szCs w:val="24"/>
        </w:rPr>
      </w:pPr>
      <w:r>
        <w:rPr>
          <w:rFonts w:hint="eastAsia" w:ascii="仿宋" w:hAnsi="仿宋" w:eastAsia="仿宋"/>
          <w:color w:val="auto"/>
          <w:sz w:val="24"/>
          <w:szCs w:val="24"/>
        </w:rPr>
        <w:t>法定代表人</w:t>
      </w:r>
      <w:r>
        <w:rPr>
          <w:rFonts w:hint="eastAsia" w:ascii="仿宋" w:hAnsi="仿宋" w:eastAsia="仿宋"/>
          <w:color w:val="auto"/>
          <w:kern w:val="0"/>
          <w:sz w:val="24"/>
        </w:rPr>
        <w:t>（或负责人）</w:t>
      </w:r>
      <w:r>
        <w:rPr>
          <w:rFonts w:hint="eastAsia" w:ascii="仿宋" w:hAnsi="仿宋" w:eastAsia="仿宋"/>
          <w:color w:val="auto"/>
          <w:sz w:val="24"/>
          <w:szCs w:val="24"/>
        </w:rPr>
        <w:t>签字：              法定代表人</w:t>
      </w:r>
      <w:r>
        <w:rPr>
          <w:rFonts w:hint="eastAsia" w:ascii="仿宋" w:hAnsi="仿宋" w:eastAsia="仿宋"/>
          <w:color w:val="auto"/>
          <w:kern w:val="0"/>
          <w:sz w:val="24"/>
        </w:rPr>
        <w:t>（或负责人）</w:t>
      </w:r>
      <w:r>
        <w:rPr>
          <w:rFonts w:hint="eastAsia" w:ascii="仿宋" w:hAnsi="仿宋" w:eastAsia="仿宋"/>
          <w:color w:val="auto"/>
          <w:sz w:val="24"/>
          <w:szCs w:val="24"/>
        </w:rPr>
        <w:t xml:space="preserve">签字：          </w:t>
      </w:r>
    </w:p>
    <w:p>
      <w:pPr>
        <w:pStyle w:val="734"/>
        <w:spacing w:line="400" w:lineRule="exact"/>
        <w:rPr>
          <w:rFonts w:ascii="仿宋" w:hAnsi="仿宋" w:eastAsia="仿宋"/>
          <w:color w:val="auto"/>
          <w:sz w:val="24"/>
          <w:szCs w:val="24"/>
        </w:rPr>
      </w:pPr>
      <w:r>
        <w:rPr>
          <w:rFonts w:hint="eastAsia" w:ascii="仿宋" w:hAnsi="仿宋" w:eastAsia="仿宋"/>
          <w:color w:val="auto"/>
          <w:sz w:val="24"/>
          <w:szCs w:val="24"/>
        </w:rPr>
        <w:t xml:space="preserve">地址：                                    地址：                    </w:t>
      </w:r>
    </w:p>
    <w:p>
      <w:pPr>
        <w:pStyle w:val="734"/>
        <w:spacing w:line="400" w:lineRule="exact"/>
        <w:rPr>
          <w:rFonts w:ascii="仿宋" w:hAnsi="仿宋" w:eastAsia="仿宋"/>
          <w:color w:val="auto"/>
          <w:sz w:val="24"/>
          <w:szCs w:val="24"/>
        </w:rPr>
      </w:pPr>
      <w:r>
        <w:rPr>
          <w:rFonts w:hint="eastAsia" w:ascii="仿宋" w:hAnsi="仿宋" w:eastAsia="仿宋"/>
          <w:color w:val="auto"/>
          <w:sz w:val="24"/>
          <w:szCs w:val="24"/>
        </w:rPr>
        <w:t xml:space="preserve">电话：                                    电话：                   </w:t>
      </w:r>
    </w:p>
    <w:p>
      <w:pPr>
        <w:pStyle w:val="734"/>
        <w:spacing w:line="400" w:lineRule="exact"/>
        <w:rPr>
          <w:rFonts w:ascii="仿宋" w:hAnsi="仿宋" w:eastAsia="仿宋"/>
          <w:color w:val="auto"/>
          <w:sz w:val="24"/>
          <w:szCs w:val="24"/>
        </w:rPr>
      </w:pPr>
      <w:r>
        <w:rPr>
          <w:rFonts w:hint="eastAsia" w:ascii="仿宋" w:hAnsi="仿宋" w:eastAsia="仿宋"/>
          <w:color w:val="auto"/>
          <w:sz w:val="24"/>
          <w:szCs w:val="24"/>
        </w:rPr>
        <w:t xml:space="preserve">传真：                                    传真：                    </w:t>
      </w:r>
    </w:p>
    <w:p>
      <w:pPr>
        <w:spacing w:line="400" w:lineRule="exact"/>
        <w:rPr>
          <w:rFonts w:ascii="仿宋" w:hAnsi="仿宋" w:eastAsia="仿宋" w:cs="仿宋"/>
          <w:color w:val="auto"/>
          <w:sz w:val="28"/>
          <w:szCs w:val="28"/>
        </w:rPr>
      </w:pPr>
      <w:r>
        <w:rPr>
          <w:rFonts w:hint="eastAsia" w:ascii="仿宋" w:hAnsi="仿宋" w:eastAsia="仿宋"/>
          <w:color w:val="auto"/>
          <w:sz w:val="24"/>
        </w:rPr>
        <w:t>合同签订日期：     年    月    日         合同签订日期：    年   月  日</w:t>
      </w:r>
    </w:p>
    <w:p>
      <w:pPr>
        <w:spacing w:line="440" w:lineRule="exact"/>
        <w:ind w:firstLine="420" w:firstLineChars="200"/>
        <w:rPr>
          <w:rFonts w:ascii="仿宋" w:hAnsi="仿宋" w:eastAsia="仿宋"/>
          <w:color w:val="auto"/>
        </w:rPr>
      </w:pPr>
    </w:p>
    <w:p>
      <w:pPr>
        <w:widowControl/>
        <w:spacing w:beforeLines="50" w:afterLines="50" w:line="560" w:lineRule="atLeast"/>
        <w:jc w:val="center"/>
        <w:rPr>
          <w:rFonts w:ascii="仿宋" w:hAnsi="仿宋" w:eastAsia="仿宋"/>
          <w:b/>
          <w:color w:val="auto"/>
          <w:sz w:val="32"/>
          <w:szCs w:val="32"/>
        </w:rPr>
      </w:pPr>
    </w:p>
    <w:p>
      <w:pPr>
        <w:pStyle w:val="734"/>
        <w:widowControl/>
        <w:jc w:val="left"/>
        <w:rPr>
          <w:rFonts w:ascii="仿宋" w:hAnsi="仿宋" w:eastAsia="仿宋"/>
          <w:color w:val="auto"/>
          <w:sz w:val="24"/>
          <w:szCs w:val="24"/>
        </w:rPr>
      </w:pPr>
      <w:r>
        <w:rPr>
          <w:rFonts w:hint="eastAsia" w:ascii="仿宋" w:hAnsi="仿宋" w:eastAsia="仿宋"/>
          <w:color w:val="auto"/>
          <w:sz w:val="24"/>
          <w:szCs w:val="24"/>
        </w:rPr>
        <w:br w:type="page"/>
      </w:r>
    </w:p>
    <w:p>
      <w:pPr>
        <w:pStyle w:val="734"/>
        <w:jc w:val="center"/>
        <w:rPr>
          <w:rFonts w:ascii="仿宋" w:hAnsi="仿宋" w:eastAsia="仿宋"/>
          <w:color w:val="auto"/>
          <w:sz w:val="32"/>
          <w:szCs w:val="32"/>
        </w:rPr>
      </w:pPr>
      <w:r>
        <w:rPr>
          <w:rFonts w:hint="eastAsia" w:ascii="仿宋" w:hAnsi="仿宋" w:eastAsia="仿宋"/>
          <w:color w:val="auto"/>
          <w:sz w:val="32"/>
          <w:szCs w:val="32"/>
        </w:rPr>
        <w:t>合同通用条款部分</w:t>
      </w:r>
    </w:p>
    <w:p>
      <w:pPr>
        <w:pStyle w:val="734"/>
        <w:rPr>
          <w:color w:val="auto"/>
        </w:rPr>
      </w:pP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1、定义</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除非另有特别解释或说明，在本合同及与本合同相关的，双方另行签署的其他文件（包括但不限于本合同的附件）中，下述词语均依如下定义进行解释：</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1.1“合同”指甲乙双方签署的，与本项目相关的协议、附件、附录和其他一切文件，还包括招标文件、投标文件中的相关内容及其有效补充文件。</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1.2“附件”是指与本合同的订立、履行有关的，经甲乙双方认可的，对本合同约定的内容进行细化、补充、修改、变更的文件、图纸、音像制品等资料。</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1.3“合同货物”指合同货物清单（同投标文件中投标货物数量、价格表，下同）中所规定的硬件、软件、安装材料、备件及专用器具、文件资料等内容。</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1.4“服务”指根据合同规定乙方应承担的与供货有关的辅助服务，包括（但不限于）合同货物的乙方付费办妥清关、乙方付费运输、保险、安装、测试、调试、培训、维修、提供技术指导和支持、保修期外的维护以及其他类似的义务。</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1.5“检验”指按照本合同约定的标准对合同货物进行的检测与查验。</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1.6“验收证书”指检验完成后由合同双方签署的最终验收确认书。</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1.7“技术资料”指安装、调试、使用、维修合同货物所应具备的产品使用说明书和／或使用指南、操作手册、维修指南、服务手册、电路图、产品演示等文件。</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1.8“保修期”指自验收证书甲方签署之日起，乙方免费对所卖给甲方货物更换整件或零部件，维修、保养，并以自担费用方式保证合同货物正常运行的时期。</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1.9“第三人”是指本合同双方以外的任何中国境内、外的自然人、法人或其他经济组织。</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1.10“法律、法规”是指由中国有关部门制定的法律、行政法规、地方性法规、规章及其他规范性文件以及经全国人民代表大会常务委员会批准的中国缔结、参加的国际条（公）约的有关规定。</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2、合同标的</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2.1、甲方同意从乙方购买，乙方同意向甲方出售下表所列设备及服务：（设备及服务列表见合同专用条款）</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2.2、备件清单、专用工属具清单。</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3、合同价格</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3.1合同总金额详见合同专用条款。</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3.2本合同价格包括设备及技术服务费（包括硬件、软件等有形无形产品）金额及运输、财产及第三方损害赔偿保险、安装、调试、及安装位置调整布置、使用环境形成或恢复等费用，是在竣工交付前、交付时所发生或引起的本合同相关的全部成本、费用等，以及依约在交付后所需承担的维修、保养等售后服务价格的总和，且为完税后价格。</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3.3合同货物详细目录及销售价格见合同货物清单（同投标文件中投标货物数量、价格表）。</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4、支付和结算方式</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4.1双方因本合同发生的一切费用均以人民币结算及支付。</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4.2双方的账户名称、开户银行及账号以本合同提供的为准。</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4.3付款方式：</w:t>
      </w:r>
      <w:r>
        <w:rPr>
          <w:rFonts w:hint="eastAsia" w:ascii="仿宋" w:hAnsi="仿宋" w:eastAsia="仿宋"/>
          <w:color w:val="auto"/>
          <w:sz w:val="24"/>
          <w:szCs w:val="24"/>
          <w:u w:val="single"/>
        </w:rPr>
        <w:t>执行合同专用条款</w:t>
      </w:r>
      <w:r>
        <w:rPr>
          <w:rFonts w:hint="eastAsia" w:ascii="仿宋" w:hAnsi="仿宋" w:eastAsia="仿宋"/>
          <w:color w:val="auto"/>
          <w:sz w:val="24"/>
          <w:szCs w:val="24"/>
        </w:rPr>
        <w:t>。</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4.3.1到货、检验后付款：合同货物全部运抵交货地点、安装到位、试运行完成，经甲方核对无误、检验合格，双方签署验收报告后</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个工作日内，甲方向乙方支付合同总金额的一定比例货款，支付比例、金额见合同条款专用部分；</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4.3.2保修期满后付款：合同货物的保修期（合同货物的保修期自全部货物验收合格，双方签署验收证书之日起算）期满后</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个工作日内，甲方向乙方支付合同余款，支付比例、金额见合同条款专用部分，作为本合同最终结款。</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4.4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5.交货</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5.1乙方负责办理运输和保险，将货物运抵交货地点。有关运输、保险和装卸等一切相关的费用由乙方承担。</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5.2乙方应办理合同货物从出厂至交货竣工移交期间的保险，保险应按照发票金额的110％办理“一切险”。即便若实际办理的保险与该要求存在不一致的情形，相关的风险亦均应由乙方承担。</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5.3货物应运至甲方指定地点，并卸至甲方指定位置，开箱清点及初步检验时双方应派人员参加，如甲方不到场检验，乙方需承担起检验及保管责任，其责任直至所有货物运抵现场并且安装完毕经检验竣工合格交付甲方。</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5.4所有货物运抵现场并且安装完毕经检验竣工合格交付甲方，该日期为交货日期。双方签署竣工交付收货单后为交货完毕。该竣工交付收货单或其它名称的该等收货单一式两份，甲方和乙方各执一份。竣工交货完毕货物所有权发生转移，此前货物毁坏的风险由乙方承担。</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5.5乙方应在货物运到甲方指定地点七日前，向甲方提供货物卸车、清点计划（内容包括：合同号、设备名称、数量、价格、箱数、型号规格、重量和体积、拟发运的时间及其他必要的说明），并于发运的同时通知甲方。</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5.6在现场交货方式下，乙方装运的货物不应超过合同规定的数量或重量。否则乙方应对超运部分的数量或重量而引起的一切后果负责。</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5.7交货日期详见合同条款专用部分。</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5.8运输方式详见合同条款专用部分。</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5.9交货（安装、调试、服务）地点详见合同条款专用部分。</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6．包装和标记</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6.1乙方交付的所有合同货物应具有适于运输的坚固包装，并且乙方应根据合同货物的不同特性和要求采取防潮、防雨、防锈、防震、防腐等保护措施，以确保合同货物安全无损地送达交货地点。</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6.2若合同货物采用集装箱装运的，乙方应在每件包装箱相对的二个侧面上，用不褪色的油漆以醒目的中文做出以下标记：</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收货单位：</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货物名称：</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箱号/件号：</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毛重（千克）：</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尺寸（长×宽×高，以厘米计）：</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发货单位：</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发货单位详细地址：</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6.3乙方应根据合同货物的不同特性和装卸运输上的不同要求，在包装箱相对的二个侧面上用中文标记“勿倒置”、“小心轻放”、“防潮”等标志和“重心”等装卸搬运时适用的通用图案，以利于装卸和搬运。</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6.4下列资料包装在合同货物的包装箱中：</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6.4.1装箱单</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6.4.2合同货物数量和质量合格证书、保修证书</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6.4.3产品使用说明书及其它必要的技术资料</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6.5凡由于乙方对合同货物包装不善、标记不明、防护措施不当或在合同货物装箱前保管不良，致使合同货物遭到损坏或丢失，乙方应负责免费更换，并承担由此给甲方造成的一切损失。</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7．质量标准和检验方式</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7.1乙方应保证提供给甲方的合同货物是货物生产厂商原造的，全新、未使用过的，是用符合要求的工艺和材料制造而成的，并完全满足本项目招标文件规定的质量、性能和规格的要求。</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7.2乙方提供给甲方的合同货物应通过货物制造厂商的出厂检验，并提供质量合格证书。乙方承诺提供给甲方的合同货物的技术规范应与本项目招标文件中投标货物清单、质量要求和供货部分中的规定及投标文件中投标货物技术规格偏离表(如果被采购人接受)相一致，同时，乙方提供的货物质量应符合中华人民共和国相关标准及相应的技术规范、本次采购相关文件中的全部相关要求及乙方工厂相关标准及相应的技术规范中之较高者。</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7.3乙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7.4乙方应保证所提供的货物经正确安装、合理操作和维护保养在其使用寿命期内具有令甲方满意的性能，并对由于合同货物的设计、工艺或材料的缺陷而发生的任何故障负责。</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7.5乙方提供的设备抵达甲方指定地点后的开箱清点及初步检验，应依据乙方提供的开箱要求和环境要求，按照装箱清单进行。乙方应在收到甲方的验货通知后三日内到现场参加开箱清点及初步检验，开箱清点及初步检验时双方均应派员参加，并签署验收证书，以此作为乙方履约进度的依据。否则，乙方应承认甲方的单方检验结果。但在任何情形下，上述验收均不具有减少或免除乙方质量相关责任的法律效果。</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7.6甲方对合同货物的数量、规格和质量的检验，应依据本项目招标文件中的有关规定进行。采用现场交货方式的，检验在交货地点进行。开箱检验的时间不迟于交货日期后三十日。</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7.7若检验时发现货物数量不足、规格与合同要求不符或开箱时虽然货物外包装完好无损，但箱内货物短缺或损伤，双方应签署书面形式证明，乙方应根据该证明及时补足或更换。补足或更换的货物应在签署货损证明之日起规定期限内（详见合同条款专用部分）运达甲方指定地点，相关费用由乙方承担。</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7.8若甲方经进一步检验或在使用中发现货物内在的、非显而易见的损坏或缺陷，或者货物的质量与合同规定不符但并非在验收时属于显而易见(下称“A情形”)；或者在货物质量保证期内(下称“B情形”)、合理使用寿命期限结束前6个月内(下称“C情形”)证实货物或零部件是有缺陷的（包括潜在的缺陷或使用不符合要求的材料等），甲方有权要求乙方免费更换成没有缺陷的货物或零部件，并且，经过该项处理后甲方待遇不得低于国家部委级别发布的“三包”规定的标准。其中：对属于A情形的货物应当用崭新且尚未拆封、未曾使用也未曾展示过的正品合格品整机、整件货物更换而不得仅更换零部件；对属于B情形的货物应当用崭新且尚未拆封、未曾使用也未曾展示过的正品合格品更换；对属于C情形的货物应当用不低于需更换货物成新的正品合格品更换。甲方可以在发现该情形后尽快并且至迟应当在上述各对应期限结束之日起7个工作日内以书面形式通知乙方，乙方应在收到甲方通知后7个工作日内免费完成更换，按本合同前述各条款项规定交付及验收。</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7.9乙方保证向甲方提供的技术资料均是清晰的、正确的、完整的，且除原设备提供的英文技术文档以外，其他文档应提供中文版本。如发现缺失或其它有误的情形，乙方应在该情形出现之日起7日内将需补足的资料交付到甲方指定地点，按本合同前述各条款项规定交付及验收。</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7.10乙方承认本合同项下的货物属于需经试车、运行的货物，应经过至少国家规定的月数的时间周期的整套使用或整套试车、运行期方可以完成最终验收，若无上述时间规定则最低不应少于90天(3个月)。对该类验收不合格或不完全合格的情形，或在本合同约定期限内发现货物缺陷及其它质量的问题或发现不符合设计要求、甲方在招标时的要求，乙方应当严格按照甲方的要求免费给予合理解决直至完全符合招、投标文件要求及本合同约定为止。</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7.11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7.12甲方应将货物验收单同发票一起入账，作为甲方执行了政府采购的凭证。</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8.技术服务和保修责任</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8.1关于本条的特别说明：本条中的服务时间，即相关的服务到达现场或完成维修工作所需的时间：小时、天数等，招标文件或有关保修服务的其它文件中有规定的，遵从其规定；若无相关文件或相关文件中并无规定的，或有关的规定明显与本次采购的采购人的实际需求不符的，则应当按照本合同中的相关规定。乙方对合同货物的技术服务和保修责任详见合同条款专用部分。</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8.2乙方对合同货物的质量保修期见合同条款专用部分。若厂家规定的保修期或合同货物主要部件的保修期长于本合同保修期，应适用其保修期。(在本次招标文件所规定的期限中，若有不同期限自动适用其中期限较长者)。虽有该期限的约定，但：仅为兜底约定；乙方承诺，本合同项下货物的免费保修期或与质量相关的其它期限均自按照本合同约定方式完成最终验收并由甲方签署了货物最终验收单之日起算；本合同甲方、乙方特别约定对本合同项下货物的包退、免费包换、免费包修、负责保修等期限，应当在约定质量保证期限、约定使用寿命、甲方在招标时所要求的期限或行业认可的平均使用寿命、国家部委以上文件所规定的强制适用的期限等不同的期限中，自动适用其中最长的期限；若各方对该类期限不能达成一致的确认则应当通过本合同中所约定的解决争议的方式裁决出相关期限。</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8.3乙方承诺在合同货物的质量保修期内免费为甲方提供合同货物的技术指导和维修服务，提供此项服务的时间见合同条款专用部分。</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8.4乙方保证在合同货物出现故障和缺陷时，或接到甲方提出的技术服务要求后规定时间内（具体见合同条款专用部分）内予以答复，如甲方有要求或必要时，乙方应在接到甲方通知后规定时间内（具体见合同条款专用部分）内派员至甲方免费维修和提供现场指导。</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8.5如乙方在接到甲方维修通知后的规定时间内（具体见合同条款专用部分）仍不能修复有关货物，乙方应提供与该货物同一型号的备用货物，如因此给甲方造成损失，乙方应负责赔偿。</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8.6如乙方在接到甲方提出的技术服务要求或维修通知后的规定时间内（具体见合同条款专用部分）内没有响应、拒绝或没有派员到达甲方提供技术服务、修理或退换货物，甲方有权委托第三人对合同货物进行维修或提供技术服务，由此产生的一切费用由乙方承担。</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8.7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8.8如因乙方提供的货物硬件或软件有缺陷，或乙方提供的技术资料有错误，或乙方在现场的技术人员指导有错误而使合同货物不能达到合同规定的指标和技术性能，乙方应负责按本合同相关条款规定修理或更换，使货物运行指标和技术性能达到合同规定,由此引起的全部费用由乙方承担。若以上原因导致或引起甲方损失及导致或引起第三方受到损害的，全部赔偿责任均应由乙方承担。</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8.9在合同货物免费保修期内，如果由于乙方更换、修理和续补货物，而造成本合同货物不得不停止运行，货物保修期应依照停止运行的实际时间加以延长，如因此给甲方造成损失，乙方应负责赔偿。</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8.10在合同货物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8.11在合同货物保修期届满后，如果因合同货物硬件或软件的固有缺陷和瑕疵出现紧急故障和事故，乙方应在接到甲方通知后立即提供电话支持、远程支持并在规定时间内（具体时间见合同条款专用部分）内到达现场，迅速排除货物故障。</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8.12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8.13乙方保证，乙方依据本合同提供的货物及相关的软件和技术资料，乙方均已得到有关知识产权的权利人的合法授权，如发生涉及到专利权、著作权、商标权等争议，乙方负责处理，并承担由此引起的全部法律及经济责任。</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9.履约保证金</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9.1中标供应商应在收到中标通知书后规定时间内（具体时间见合同条款专用部分）内，以信汇、电汇或履约保函形式向甲方提供履约保证金，保证金金额：见合同条款专用部分。</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9.2如果中标供应商没有按照上述规定执行，甲方将有充分理由取消该中标决定，并没收其投标保证金。在此情况下甲方可将合同授予排名第二的中标候选人，或重新招标。</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9.3若本项目不允许分包或转包的，如果中标供应商在与甲方签定合同以后，将中标项目分包或转包给第三方，甲方将有充分理由终止合同，并没收其履约保证金。</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9.4如乙方未能完全履行合同规定的义务，甲方有权从履约保证金中得到补偿。</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10.审计及检查</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如果采购人要求，中标供应商应允许采购人检查中标供应商与实施本合同有关的资金、帐户和记录，并由采购人指定的审计人员对其进行审计。</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11.违约责任</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11.2若乙方未如期按照合同约定的任何或全部款项内容之要求交付合同货物或提供服务、补足或更换货物且符合要求，或乙方未能履行合同规定的任何其它义务时，甲方有权直接向乙方发出违约通知书，乙方应按照甲方选择的下列一种或多种方式承担赔偿责任及违约责任：</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11.2.1在甲方同意延长的期限内交付全部货物、提供服务并承担由此给甲方造成的直接损失及甲方因此产生的对第三方的责任。</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11.2.2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11.2.3根据货物低劣程度、损坏程度以及使甲方所遭受的损失及甲方因此产生的对第三方的责任，经双方商定降低货物的价格或赔偿甲方所遭受的损失及甲方因此产生的对第三方的责任。</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11.2.4按合同规定的同种货币将甲方所退货物已支付的货款全部退还给甲方，并承担由此发生的直接损失和相关费用及甲方因此产生的对第三方的责任。</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11.2.5甲方有权部分或全部解除合同并要求乙方赔偿由此造成的损失及甲方因此产生的对第三方的责任。此时甲方可采取必要的补救措施，相关费用由乙方承担。</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11.2.6此外，上述情形下甲方为采取必要的补救措施或因防止损失扩大而支出的合理费用应由乙方承担。</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11.3如果乙方在收到甲方的违约通知书后十日内未作答复也没有按照甲方选择的方式承担违约责任，则甲方有权从尚未支付的合同价款中扣回相当于甲方选择的方式计算的索赔金额。如果这些金额不足以补偿，甲方有权向乙方提出不足部分的赔偿要求。</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11.4延期交货或延期付款的违约责任：如乙方延期交货或甲方延期付款，每逾期一天，违约方应按延期交货所折合的金额或延期付款金额的比例（详见合同条款专用部分）向对方支付违约金，但该违约金累计不得超过合同总金额的一定比例（详见合同条款专用部分）；上述逾期超过一定时间（详见合同条款专用部分）且成套集成的货物已交货套数未达合同约定套数90%的以及单套货物未能全部交足的，或非成套、非集成的货物已交货件数未达合同约定件数90%的，守约方有权解除合同，并要求违约方赔偿由此造成的损失。上述逾期超过20天但成套集成的货物已交货套数已达合同约定套数90%的，或非成套、非集成的货物已交货件数已达合同约定件数90%的，守约方不得要求解除合同已经履行的部分只有权决定解除尚未履行的部分，但违约方应当向对方支付相等于比照中国人民银行规定的同期借款利息最高限额的两倍按日计算的金额的违约金。</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11.5其它违约责任</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11.5.1如任何一方无故解除合同或有违反本合同规定的任何情形均属于违约行为，违约方应就每一单项违约向对方支付合同总金额一定比例的违约金，具体比例见合同条款专用部分。</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11.5.2若货物为假冒伪劣产品或其中包括该类情形的零、部件，乙方应按照合同总金额的2倍向甲方支付惩罚性赔偿金，若该赔偿未达到给甲方造成损失的2倍，则乙方应当支付给甲方造成损失的2倍的惩罚性赔偿金，且并不当然免除其依法应受的其它处罚。</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11.5.3如乙方在合同规定的交货日期后10天内仍未能交货，则视为乙方不能交货，甲方有权解除合同，乙方若已经收取了甲方的定金则同时还应双倍返还已收取的定金。</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11.6若发生延期交货或延期付款情形之外的任何违约时，违约方在接到对方关于违约的通知时，均应当就每一项违约向对方支付相当于合同金额5%的违约金。当违约行为给对方造成损失时，若违约金不足以弥补全部损失，违约方还应当赔偿对方因此所受全部损失。当构成严重违约时，对方可以单方面决定解除或终止合同履行，违约方同时还应当承担违约或赔偿责任。</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11.7以上各项交付的违约金并不影响违约方履行合同的各项义务。</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11.8若乙方通过协议、设立控股或分支机构或其它方式就供货或服务等与任何独立或非独立的第三方构成联合、分属或其它关系、相关责任义务等均由乙方与该等组织机构自行协商约定，但在与本协议相关的任何情形下，乙方与其任何一家该等机构二者之间的约定仅属于其内部分担权利义务及其内部约定分担对外责任的办法，乙方与该等机构二者对甲方、用户、相关第三方则应承担连带责任，而乙方依据本合同原所应承担的对甲方、用户或第三方的责任均并不因此被减免。</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11.9本次采购的合同项下的任何合同、文件等均应当符合有关环保、知识产权及其他法律法规的规定，包括童工禁用、劳动保护待遇等法律规定。供应商或中标供应商或乙方或乙方代理商等均已清楚本次政府采购招标中的政府或其部门、采购代理机构、采购人或使用人等，均已尽声明、提示、审慎核查等注意义务及相关责任，若仍发生任何相关违反法律、法规之情形均属供应商或中标供应商或乙方或乙方代理商等单方面之因素、原因、责任。供应商或中标供应商或乙方或乙方代理商等在相关的投标活动中、合同的签订及履行过程中，其投标或签署、履行合同均意味着其已承诺，任何情况下，均将严格遵守法律、法规，并且应当独立承担全部及任何法律责任，包括对采购代理机构、采购人、甲方、最终用户或任何第三方的民事侵权赔偿责任。上述该等责任同时亦均属严重违约责任。</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12.不可抗力</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12.1不可抗力指下列事件：战争、动乱、瘟疫、严重火灾、洪水、地震、风暴或其他自然灾害，以及本合同各方不可预见、不可防止并不能避免或克服的一切其他因素及事件。</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12.2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作出的公证证明。</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12.3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12.4合同各方应根据不可抗力对本合同履行的影响程度，协商确定是否终止本合同，或是继续履行本合同。</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13.联系方式</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13.1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13.2合同双方发出的与本合同有关的通知或回复均应发至合同条款专用部分中的通讯地址，付款或收款应使用合同条款专用部分中的帐号，一方变更通讯地址或帐号，应自变更之日起三个工作日内，将变更后的地址通知对方。变更方不履行通知义务的，应对此造成的一切后果承担法律责任。</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13.3上述发出通知、回复的费用由发出一方承担。</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14.保密条款</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14.1任何一方对其获知的本合同及附件中其他各方的商业秘密和国家秘密负有保密义务。</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14.2在下列情形下：当发布中标公告和其它公告时，当国家机关调查、审查、审计时，以及其他符合法律规定的情形下，无须事先征求供应商/中标供应商同意而可以披露关于采购过程、合同文本、签署情况的资料、供应商/中标供应商的名称及地址、采购内容的有关信息以及补充条款等，但应当在合理的必要范围内。对任何已经公布过的内容或与之内容相同的资料，以及供应商/中标供应商已经泄露或公开的，无须再承担保密责任。</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14.3此外的其它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15.合同的解释和法律适用</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15.1任何一方对本合同及其附件的解释均应遵循诚实信用原则,依照本合同签订时有效的中国法律、法规以及通常的理解进行。</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15.2本合同标题仅供查阅方便，并非对本合同的诠释或解释；本合同中以日表述的时间期限均指自然日。</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15.3对本合同的任何解释均应以书面作出。</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15.4本合同及附件的订立、效力、解释、履行、争议的解决等适用本合同签订时有效的中华人民共和国法律、法规的有关规定。</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16.合同的终止</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16.1本合同因下列原因而终止：</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16.1.1本合同正常履行完毕；</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16.1.2合同双方协议终止本合同的履行；</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16.1.3不可抗力事件导致本合同无法履行或履行不必要；</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16.1.4任何一方行使解除权，解除本合同。</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16.2对本合同终止有过错的一方应赔偿另一方因合同终止而受到的损失。对合同终止双方均无过错的，则各自承担所受到的损失。</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17.法律适用</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17.1本合同及附件的订立、效力、解释、履行、争议的解决等适用本合同签订时有效的中华人民共和国法律、法规的有关规定。</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17.2在本合同履行期间，因中国法律、法规、政策的变化致使本合同的部分条款相冲突、无效或失去可强制执行效力时，双方同意将密切合作，尽快修改本合同中相冲突或无效或失去强制执行效力的有关条款。</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18.权利的保留</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18.1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18.2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19.争议的解决</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19.1合同双方应通过友好协商解决因解释、执行本合同所发生的和本合同有关的一切争议。如果经协商不能达成协议，则双方同意：</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19.1.1在甲方住所地有管辖权的人民法院提起诉讼；</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19.1.2由贸易仲裁委员会根据其现行有效的仲裁程序进行仲裁。仲裁裁决为最终裁决对双方均具有约束力。仲裁费除仲裁机关另有裁决外的应由败诉方承担。</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19.2本项目选择解决方式：见合同条款专用部分。</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19.3在争议解决期间，除了诉讼或仲裁进行过程中正在解决的那部分问题外，合同其余部分应继续履行。</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20.合同的补充、修改和变更</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20.1双方协商一致，可以对本合同进行补充、修改或变更。</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20.2对本合同的补充、修改或变更必须以书面形式进行。补充、修改或变更的协议的签署及生效方式与本合同的签署及生效方式相同。</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20.3招标文件、投标文件及其全部条款、双方签订的补充协议以及修改或变更的条款与本合同具有同等法律效力。</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21.合同的生效</w:t>
      </w:r>
    </w:p>
    <w:p>
      <w:pPr>
        <w:pStyle w:val="734"/>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本合同经双方法定代表人</w:t>
      </w:r>
      <w:r>
        <w:rPr>
          <w:rFonts w:hint="eastAsia" w:ascii="仿宋" w:hAnsi="仿宋" w:eastAsia="仿宋"/>
          <w:color w:val="auto"/>
          <w:kern w:val="0"/>
          <w:sz w:val="24"/>
        </w:rPr>
        <w:t>（或负责人）</w:t>
      </w:r>
      <w:r>
        <w:rPr>
          <w:rFonts w:hint="eastAsia" w:ascii="仿宋" w:hAnsi="仿宋" w:eastAsia="仿宋"/>
          <w:color w:val="auto"/>
          <w:sz w:val="24"/>
          <w:szCs w:val="24"/>
        </w:rPr>
        <w:t>签字并加盖单位公章后生效。</w:t>
      </w:r>
    </w:p>
    <w:p>
      <w:pPr>
        <w:pStyle w:val="734"/>
        <w:spacing w:line="400" w:lineRule="exact"/>
        <w:rPr>
          <w:rFonts w:ascii="仿宋" w:hAnsi="仿宋" w:eastAsia="仿宋"/>
          <w:color w:val="auto"/>
          <w:sz w:val="24"/>
          <w:szCs w:val="24"/>
        </w:rPr>
      </w:pPr>
      <w:r>
        <w:rPr>
          <w:rFonts w:hint="eastAsia" w:ascii="仿宋" w:hAnsi="仿宋" w:eastAsia="仿宋"/>
          <w:color w:val="auto"/>
          <w:sz w:val="24"/>
          <w:szCs w:val="24"/>
        </w:rPr>
        <w:t>甲方名称（盖章）                          乙方名称（盖章）</w:t>
      </w:r>
    </w:p>
    <w:p>
      <w:pPr>
        <w:pStyle w:val="734"/>
        <w:spacing w:line="400" w:lineRule="exact"/>
        <w:rPr>
          <w:rFonts w:ascii="仿宋" w:hAnsi="仿宋" w:eastAsia="仿宋"/>
          <w:color w:val="auto"/>
          <w:sz w:val="24"/>
          <w:szCs w:val="24"/>
        </w:rPr>
      </w:pPr>
      <w:r>
        <w:rPr>
          <w:rFonts w:hint="eastAsia" w:ascii="仿宋" w:hAnsi="仿宋" w:eastAsia="仿宋"/>
          <w:color w:val="auto"/>
          <w:sz w:val="24"/>
          <w:szCs w:val="24"/>
        </w:rPr>
        <w:t>法定代表人</w:t>
      </w:r>
      <w:r>
        <w:rPr>
          <w:rFonts w:hint="eastAsia" w:ascii="仿宋" w:hAnsi="仿宋" w:eastAsia="仿宋"/>
          <w:color w:val="auto"/>
          <w:kern w:val="0"/>
          <w:sz w:val="24"/>
        </w:rPr>
        <w:t>（或负责人）</w:t>
      </w:r>
      <w:r>
        <w:rPr>
          <w:rFonts w:hint="eastAsia" w:ascii="仿宋" w:hAnsi="仿宋" w:eastAsia="仿宋"/>
          <w:color w:val="auto"/>
          <w:sz w:val="24"/>
          <w:szCs w:val="24"/>
        </w:rPr>
        <w:t>签字：              法定代表人</w:t>
      </w:r>
      <w:r>
        <w:rPr>
          <w:rFonts w:hint="eastAsia" w:ascii="仿宋" w:hAnsi="仿宋" w:eastAsia="仿宋"/>
          <w:color w:val="auto"/>
          <w:kern w:val="0"/>
          <w:sz w:val="24"/>
        </w:rPr>
        <w:t>（或负责人）</w:t>
      </w:r>
      <w:r>
        <w:rPr>
          <w:rFonts w:hint="eastAsia" w:ascii="仿宋" w:hAnsi="仿宋" w:eastAsia="仿宋"/>
          <w:color w:val="auto"/>
          <w:sz w:val="24"/>
          <w:szCs w:val="24"/>
        </w:rPr>
        <w:t xml:space="preserve">签字：          </w:t>
      </w:r>
    </w:p>
    <w:p>
      <w:pPr>
        <w:pStyle w:val="734"/>
        <w:spacing w:line="400" w:lineRule="exact"/>
        <w:rPr>
          <w:rFonts w:ascii="仿宋" w:hAnsi="仿宋" w:eastAsia="仿宋"/>
          <w:color w:val="auto"/>
          <w:sz w:val="24"/>
          <w:szCs w:val="24"/>
        </w:rPr>
      </w:pPr>
      <w:r>
        <w:rPr>
          <w:rFonts w:hint="eastAsia" w:ascii="仿宋" w:hAnsi="仿宋" w:eastAsia="仿宋"/>
          <w:color w:val="auto"/>
          <w:sz w:val="24"/>
          <w:szCs w:val="24"/>
        </w:rPr>
        <w:t xml:space="preserve">地址：                                    地址：                    </w:t>
      </w:r>
    </w:p>
    <w:p>
      <w:pPr>
        <w:pStyle w:val="734"/>
        <w:spacing w:line="400" w:lineRule="exact"/>
        <w:rPr>
          <w:rFonts w:ascii="仿宋" w:hAnsi="仿宋" w:eastAsia="仿宋"/>
          <w:color w:val="auto"/>
          <w:sz w:val="24"/>
          <w:szCs w:val="24"/>
        </w:rPr>
      </w:pPr>
      <w:r>
        <w:rPr>
          <w:rFonts w:hint="eastAsia" w:ascii="仿宋" w:hAnsi="仿宋" w:eastAsia="仿宋"/>
          <w:color w:val="auto"/>
          <w:sz w:val="24"/>
          <w:szCs w:val="24"/>
        </w:rPr>
        <w:t xml:space="preserve">电话：                                    电话：                   </w:t>
      </w:r>
    </w:p>
    <w:p>
      <w:pPr>
        <w:pStyle w:val="734"/>
        <w:spacing w:line="400" w:lineRule="exact"/>
        <w:rPr>
          <w:rFonts w:ascii="仿宋" w:hAnsi="仿宋" w:eastAsia="仿宋"/>
          <w:color w:val="auto"/>
          <w:sz w:val="24"/>
          <w:szCs w:val="24"/>
        </w:rPr>
      </w:pPr>
      <w:r>
        <w:rPr>
          <w:rFonts w:hint="eastAsia" w:ascii="仿宋" w:hAnsi="仿宋" w:eastAsia="仿宋"/>
          <w:color w:val="auto"/>
          <w:sz w:val="24"/>
          <w:szCs w:val="24"/>
        </w:rPr>
        <w:t xml:space="preserve">传真：                                    传真：                    </w:t>
      </w:r>
    </w:p>
    <w:p>
      <w:pPr>
        <w:spacing w:line="400" w:lineRule="exact"/>
        <w:rPr>
          <w:rFonts w:ascii="仿宋" w:hAnsi="仿宋" w:eastAsia="仿宋" w:cs="仿宋"/>
          <w:color w:val="auto"/>
          <w:sz w:val="28"/>
          <w:szCs w:val="28"/>
        </w:rPr>
      </w:pPr>
      <w:r>
        <w:rPr>
          <w:rFonts w:hint="eastAsia" w:ascii="仿宋" w:hAnsi="仿宋" w:eastAsia="仿宋"/>
          <w:color w:val="auto"/>
          <w:sz w:val="24"/>
        </w:rPr>
        <w:t>合同签订日期：     年    月    日         合同签订日期：    年   月  日</w:t>
      </w:r>
    </w:p>
    <w:p>
      <w:pPr>
        <w:spacing w:line="400" w:lineRule="exact"/>
        <w:rPr>
          <w:rFonts w:ascii="仿宋" w:hAnsi="仿宋" w:eastAsia="仿宋" w:cs="仿宋"/>
          <w:color w:val="auto"/>
          <w:sz w:val="28"/>
          <w:szCs w:val="28"/>
        </w:rPr>
      </w:pPr>
    </w:p>
    <w:p>
      <w:pPr>
        <w:widowControl/>
        <w:numPr>
          <w:ilvl w:val="0"/>
          <w:numId w:val="11"/>
        </w:numPr>
        <w:spacing w:line="560" w:lineRule="atLeast"/>
        <w:jc w:val="center"/>
        <w:rPr>
          <w:rFonts w:ascii="仿宋" w:hAnsi="仿宋" w:eastAsia="仿宋"/>
          <w:b/>
          <w:color w:val="auto"/>
          <w:sz w:val="32"/>
        </w:rPr>
      </w:pPr>
      <w:r>
        <w:rPr>
          <w:rFonts w:hint="eastAsia" w:ascii="仿宋" w:hAnsi="仿宋" w:eastAsia="仿宋"/>
          <w:b/>
          <w:color w:val="auto"/>
          <w:sz w:val="32"/>
          <w:szCs w:val="32"/>
        </w:rPr>
        <w:t xml:space="preserve"> 采购需求</w:t>
      </w:r>
      <w:bookmarkEnd w:id="8"/>
    </w:p>
    <w:p>
      <w:pPr>
        <w:pStyle w:val="27"/>
        <w:rPr>
          <w:rFonts w:ascii="仿宋" w:hAnsi="仿宋" w:eastAsia="仿宋"/>
          <w:b/>
          <w:color w:val="auto"/>
          <w:szCs w:val="28"/>
        </w:rPr>
      </w:pPr>
      <w:r>
        <w:rPr>
          <w:rFonts w:hint="eastAsia" w:ascii="仿宋" w:hAnsi="仿宋" w:eastAsia="仿宋"/>
          <w:b/>
          <w:color w:val="auto"/>
          <w:szCs w:val="28"/>
        </w:rPr>
        <w:t>（一）超融合一体机</w:t>
      </w:r>
    </w:p>
    <w:tbl>
      <w:tblPr>
        <w:tblStyle w:val="60"/>
        <w:tblW w:w="10680"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60"/>
        <w:gridCol w:w="1230"/>
        <w:gridCol w:w="6970"/>
        <w:gridCol w:w="910"/>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6" w:hRule="atLeast"/>
        </w:trPr>
        <w:tc>
          <w:tcPr>
            <w:tcW w:w="860" w:type="dxa"/>
            <w:shd w:val="clear" w:color="auto" w:fill="FFFFFF"/>
            <w:vAlign w:val="center"/>
          </w:tcPr>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序号</w:t>
            </w:r>
          </w:p>
        </w:tc>
        <w:tc>
          <w:tcPr>
            <w:tcW w:w="1230" w:type="dxa"/>
            <w:shd w:val="clear" w:color="auto" w:fill="FFFFFF"/>
            <w:vAlign w:val="center"/>
          </w:tcPr>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设备名称</w:t>
            </w:r>
          </w:p>
        </w:tc>
        <w:tc>
          <w:tcPr>
            <w:tcW w:w="6970" w:type="dxa"/>
            <w:shd w:val="clear" w:color="auto" w:fill="FFFFFF"/>
            <w:vAlign w:val="center"/>
          </w:tcPr>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主要技术参数</w:t>
            </w:r>
          </w:p>
        </w:tc>
        <w:tc>
          <w:tcPr>
            <w:tcW w:w="910" w:type="dxa"/>
            <w:shd w:val="clear" w:color="auto" w:fill="FFFFFF"/>
            <w:vAlign w:val="center"/>
          </w:tcPr>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单位</w:t>
            </w:r>
          </w:p>
        </w:tc>
        <w:tc>
          <w:tcPr>
            <w:tcW w:w="710" w:type="dxa"/>
            <w:shd w:val="clear" w:color="auto" w:fill="FFFFFF"/>
            <w:vAlign w:val="center"/>
          </w:tcPr>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60" w:type="dxa"/>
            <w:shd w:val="clear" w:color="auto" w:fill="FFFFFF"/>
            <w:vAlign w:val="center"/>
          </w:tcPr>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1</w:t>
            </w:r>
          </w:p>
        </w:tc>
        <w:tc>
          <w:tcPr>
            <w:tcW w:w="1230" w:type="dxa"/>
            <w:shd w:val="clear" w:color="auto" w:fill="FFFFFF"/>
            <w:vAlign w:val="center"/>
          </w:tcPr>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超融合服务器</w:t>
            </w:r>
          </w:p>
        </w:tc>
        <w:tc>
          <w:tcPr>
            <w:tcW w:w="6970" w:type="dxa"/>
            <w:shd w:val="clear" w:color="auto" w:fill="FFFFFF"/>
          </w:tcPr>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1.1.标准高度2U机架式服务器，自带原厂滑动导轨；支持≥2块后置热插拔（2.5寸）系统盘位，≥12个（3.5寸）热插拔盘位扩展，可支持定制PCIe SSD硬盘；</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1.2.配置≥2颗5220R 24核CPU，主频≥2.2GHz；配置≥384 GB DDR4内存，配置≥2*240G SSD系统盘，≥3*960GB SSD缓存盘，≥6*8T SATA数据盘；配置≥800w双交流电源；配置≥6个千兆电口，≥4个万兆光口；配置≥4个万兆光模块，≥4根万兆多模光纤跳线，配置≥2个热插拔系统风扇；</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1.3.RAID功能：RAID卡自带掉电保护模块，≥2G缓存，支持0,1,10等RAID级别；</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1.4.故障定位：标配BMC诊断模块，可实现对CPU/内存/硬盘/网卡/风扇/温度/电源等关键部件的故障诊断；</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1.5.所提供产品为一体机硬件，出厂预装超融合软件系统，非裸机设备，开箱即用，提供≥三年硬件质保服务及系统软件升级服务；</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1.6.为保障售后服务的及时性，所投设备的稳定性、可靠性，必须提供设备生产厂家售后服务承诺保证文件以及投标授权书。</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★1.7.服务器与超融合软件必须是同一品牌。</w:t>
            </w:r>
          </w:p>
        </w:tc>
        <w:tc>
          <w:tcPr>
            <w:tcW w:w="910" w:type="dxa"/>
            <w:shd w:val="clear" w:color="auto" w:fill="FFFFFF"/>
            <w:vAlign w:val="center"/>
          </w:tcPr>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台</w:t>
            </w:r>
          </w:p>
        </w:tc>
        <w:tc>
          <w:tcPr>
            <w:tcW w:w="710" w:type="dxa"/>
            <w:shd w:val="clear" w:color="auto" w:fill="FFFFFF"/>
            <w:vAlign w:val="center"/>
          </w:tcPr>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0" w:type="dxa"/>
            <w:shd w:val="clear" w:color="auto" w:fill="FFFFFF"/>
            <w:vAlign w:val="center"/>
          </w:tcPr>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w:t>
            </w:r>
          </w:p>
        </w:tc>
        <w:tc>
          <w:tcPr>
            <w:tcW w:w="1230" w:type="dxa"/>
            <w:shd w:val="clear" w:color="auto" w:fill="FFFFFF"/>
            <w:vAlign w:val="center"/>
          </w:tcPr>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超融合软件（集成服务）（核心产品）</w:t>
            </w:r>
          </w:p>
        </w:tc>
        <w:tc>
          <w:tcPr>
            <w:tcW w:w="6970" w:type="dxa"/>
            <w:shd w:val="clear" w:color="auto" w:fill="FFFFFF"/>
          </w:tcPr>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云计算管理平台要求：</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2.1.为保证与原有云计算管理平台的兼容性，要求能同时管理新建超融合集群和原有超融合业务集群，实现虚拟化业务的统一管理，投标产品如与原超融合平台不同的品牌，应提供可信的兼容证明。</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2.2.要求虚拟化平台配置≥12颗物理CPU的虚拟化授权，配置包含超融合计算虚拟化、存储虚拟化、网络虚拟化、容灾模块和云计算管理平台，为方便统一管理和后期扩容方便，授权可通过虚拟化平台统一管理和授权，所有虚拟化平台软件，配置≥3年的软件升级服务。 </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2.3.支持对数据库单机和主从的自动化部署、自动主从切换、备份与恢复、监控报表、手动和自动巡检等运维管理功能（需提供产品功能截图）。 </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★2.4.云计算管理平台可以支持扩展同一品牌的存储虚拟化、网络功能虚拟化、虚拟应用防火墙、虚拟应用交付、SSL VPN、数据库审计等功能组件的，并支持统一管理，以保障平台的扩展性和兼容性（需提供产品功能截图）。</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计算虚拟化要求：</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2.5.虚拟化软件非OEM或贴牌产品，不得借用第三方软件的整合，以保证功能的可靠性和安全性；</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虚拟机可以实现物理机的全部功能，如具有自己的资源（内存、CPU、网卡、存储），可以指定单独的MAC地址等。</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2.6支持虚拟机的HA功能。当物理服务器发生故障时，该物理服务器上的所有虚拟机，可以在集群之内的其它物理服务器上重新启动，保障业务连续性。</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2.7.支持配置动态资源扩展功能，系统支持自动评估虚拟机的性能，当虚拟机性能不足时自动为虚拟机添加CPU和内存资源，确保业务持续高效运行。</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2.8.提供虚拟机回收站功能，防止因虚拟机误删除导致数据丢失，超期的文件将被自动删除。（需提供相应的产品功能截图）</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2.9.支持无代理跨物理主机的虚拟机USB映射，单位部分系统需要使用USB KEY时，无需在虚拟机上安装客户端插件，且虚拟机迁移到其它物理主机后，仍能正常使用迁移前所在物理主机上的USB资源，确保业务的自适应能力、使用便捷性。（需提供产品功能截图）</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★2.10.支持平台中的集群资源环境一键检测，对硬件健康、平台底层的虚拟化的运行状态和配置，进行多个维度进行检查，提供快速定位问题功能，确保系统最佳状态（需提供产品功能截图）</w:t>
            </w:r>
          </w:p>
          <w:p>
            <w:pPr>
              <w:pStyle w:val="27"/>
              <w:spacing w:line="360" w:lineRule="exact"/>
              <w:rPr>
                <w:rFonts w:ascii="仿宋" w:hAnsi="仿宋" w:eastAsia="仿宋" w:cs="仿宋"/>
                <w:bCs/>
                <w:color w:val="auto"/>
                <w:sz w:val="24"/>
                <w:szCs w:val="24"/>
              </w:rPr>
            </w:pPr>
            <w:bookmarkStart w:id="9" w:name="_Hlk26531033"/>
            <w:r>
              <w:rPr>
                <w:rFonts w:hint="eastAsia" w:ascii="仿宋" w:hAnsi="仿宋" w:eastAsia="仿宋" w:cs="仿宋"/>
                <w:bCs/>
                <w:color w:val="auto"/>
                <w:sz w:val="24"/>
                <w:szCs w:val="24"/>
              </w:rPr>
              <w:t>★2.11.</w:t>
            </w:r>
            <w:bookmarkEnd w:id="9"/>
            <w:r>
              <w:rPr>
                <w:rFonts w:hint="eastAsia" w:ascii="仿宋" w:hAnsi="仿宋" w:eastAsia="仿宋" w:cs="仿宋"/>
                <w:bCs/>
                <w:color w:val="auto"/>
                <w:sz w:val="24"/>
                <w:szCs w:val="24"/>
              </w:rPr>
              <w:t>支持UPS QoS，为尽可能保障数据中心断电场景下的业务，支持UPS联动，并在市电断电时通过UPS临时供应电量，当UPS电量过低时，按照虚拟机优先级先将不重要的虚拟机进行软关机（需提供产品功能截图） </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网络虚拟化要求：</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2.12.在管理平台上可以通过拖拽虚拟设备图标和连线就能完成网络拓扑的构建，快速的实现整个业务逻辑，并且可以连接、开启、关闭虚拟网络设备，支持对整个平台虚拟设备实现统一的管理，提升运维管理的工作效率（需提供产品功能截图或第三方测试报告）</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2.13.通过License激活的方式，实现网络虚拟化功能（分布式虚拟交换机、虚拟路由器、虚拟应用防火墙、虚拟应用负载均衡），支持Vxlan网络和现有的Vlan网络对接，实现虚拟化平台与原有网络的兼容性（需提供产品功能截图）</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存储虚拟化要求：</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2.14.投标虚拟化产品要求提供第三方测试机构出具的虚拟化软件性能测试报告，为保证第三方测试机构的权威性，要求测试机构具有中国合格评定国家认可委员会（CNAS）实验室认可证书。</w:t>
            </w:r>
          </w:p>
          <w:p>
            <w:pPr>
              <w:pStyle w:val="27"/>
              <w:spacing w:line="360" w:lineRule="exact"/>
              <w:rPr>
                <w:rFonts w:ascii="仿宋" w:hAnsi="仿宋" w:eastAsia="仿宋" w:cs="仿宋"/>
                <w:bCs/>
                <w:color w:val="auto"/>
                <w:sz w:val="24"/>
                <w:szCs w:val="24"/>
              </w:rPr>
            </w:pPr>
            <w:bookmarkStart w:id="10" w:name="_Hlk26531135"/>
            <w:r>
              <w:rPr>
                <w:rFonts w:hint="eastAsia" w:ascii="仿宋" w:hAnsi="仿宋" w:eastAsia="仿宋" w:cs="仿宋"/>
                <w:bCs/>
                <w:color w:val="auto"/>
                <w:sz w:val="24"/>
                <w:szCs w:val="24"/>
              </w:rPr>
              <w:t>2.15.支持存储虚拟化功能，无需安装额外的软件，在统一的管理平台上使用License激活的方式即可开通使用，存储虚拟化与计算虚拟化为紧耦合架构，减少底层开销，提升性能。（需提供产品功能截图）</w:t>
            </w:r>
            <w:bookmarkEnd w:id="10"/>
            <w:r>
              <w:rPr>
                <w:rFonts w:hint="eastAsia" w:ascii="仿宋" w:hAnsi="仿宋" w:eastAsia="仿宋" w:cs="仿宋"/>
                <w:bCs/>
                <w:color w:val="auto"/>
                <w:sz w:val="24"/>
                <w:szCs w:val="24"/>
              </w:rPr>
              <w:t> </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2.16.支持坏道扫描功能，由用户设置扫描的时间段定期对集群的硬盘进行扫描，及时发现潜藏的坏道。（需提供产品功能截图）</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★2.17.支持条带化功能，实现分布式raid0的性能提升效果，并且支持以虚拟磁盘为单位设置不同的条带数。（需提供产品功能截图）</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★2.18.支持数据重建智能保护业务性能，可以对数据重建速度进行智能限速，避免数据重建过程中IO性能占用导致对业务的性能造成影响。（需提供产品功能截图）</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2.19.支持数据重建优先级调整，在故障数据重新恢复时，可由用户指定优先重建的虚拟机，保证重要的业务优先恢复数据的安全性。（需提供具有CNAS、CMA的第三方测试机构的证明材料，至少包含报告首页，对应功能测试页和报告尾页）</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支持数据持续保护模块：</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2.20.为保证业务数据备份和持续保护，要求数据持续保护系统满足以下技术要求：</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支持在CDP数据正式恢复之前，可快速查看灾备的文件目录信息，确定恢复时间点后，再正式进行CDP数据恢复。</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持续数据保护CDP软件模块需采用无代理的方案，避免对虚拟机的稳定性和性能产生影响，可设置RPO为5秒或1秒（需提供产品功能截图）。</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CDP提供与虚拟机故障隔离能力，支持CDP模块故障时，虚拟机仍然能够正常实现数据读写。</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容灾模块：</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2.21.利旧原有容灾模块，配置20个虚拟机容灾授权，保证使用兼容效果。（提供相应的软件著作权登记证书）；</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2.22.支持提供RPO可配置的虚拟机级容灾，RPO值范围从1秒到2秒（需提供产品功能截图）</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2.23.支持容灾状态可视化和状态监控，提供容灾大屏进行容灾计划的实时状态监控，并支持根据中断时长和重试次数设置链路告警策略，保障容灾计划的正常进行（需提供产品功能截图） </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★2.24.为保障企业云安全能力的成熟度与技术程度，云平台厂商需获得CS-CMMI5云安全能力成熟度集成认证。（提供相应证明资料）</w:t>
            </w:r>
          </w:p>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2.25.为确保提供本地化的服务，厂商必须在省内有分公司或者直属的服务办事机构，提供分公司营业执照或者商务局颁发的驻省内城市办事机构登记备案证书，支持本地原厂实施指导服务 。</w:t>
            </w:r>
          </w:p>
        </w:tc>
        <w:tc>
          <w:tcPr>
            <w:tcW w:w="910" w:type="dxa"/>
            <w:shd w:val="clear" w:color="auto" w:fill="FFFFFF"/>
            <w:vAlign w:val="center"/>
          </w:tcPr>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套</w:t>
            </w:r>
          </w:p>
        </w:tc>
        <w:tc>
          <w:tcPr>
            <w:tcW w:w="710" w:type="dxa"/>
            <w:shd w:val="clear" w:color="auto" w:fill="FFFFFF"/>
            <w:vAlign w:val="center"/>
          </w:tcPr>
          <w:p>
            <w:pPr>
              <w:pStyle w:val="27"/>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1</w:t>
            </w:r>
          </w:p>
        </w:tc>
      </w:tr>
    </w:tbl>
    <w:p>
      <w:pPr>
        <w:pStyle w:val="27"/>
        <w:rPr>
          <w:rFonts w:ascii="仿宋" w:hAnsi="仿宋" w:eastAsia="仿宋"/>
          <w:b/>
          <w:color w:val="auto"/>
          <w:szCs w:val="28"/>
        </w:rPr>
      </w:pPr>
      <w:r>
        <w:rPr>
          <w:rFonts w:hint="eastAsia" w:ascii="仿宋" w:hAnsi="仿宋" w:eastAsia="仿宋"/>
          <w:b/>
          <w:color w:val="auto"/>
          <w:szCs w:val="28"/>
        </w:rPr>
        <w:t>（二）业务、存储网交换机</w:t>
      </w:r>
    </w:p>
    <w:tbl>
      <w:tblPr>
        <w:tblStyle w:val="60"/>
        <w:tblW w:w="9880"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1217"/>
        <w:gridCol w:w="6230"/>
        <w:gridCol w:w="894"/>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tcPr>
          <w:p>
            <w:pPr>
              <w:pStyle w:val="27"/>
              <w:spacing w:line="360" w:lineRule="exact"/>
              <w:rPr>
                <w:rFonts w:ascii="仿宋" w:hAnsi="仿宋" w:eastAsia="仿宋"/>
                <w:bCs/>
                <w:color w:val="auto"/>
                <w:sz w:val="24"/>
                <w:szCs w:val="24"/>
              </w:rPr>
            </w:pPr>
            <w:r>
              <w:rPr>
                <w:rFonts w:hint="eastAsia" w:ascii="仿宋" w:hAnsi="仿宋" w:eastAsia="仿宋"/>
                <w:bCs/>
                <w:color w:val="auto"/>
                <w:sz w:val="24"/>
                <w:szCs w:val="24"/>
              </w:rPr>
              <w:t>序号</w:t>
            </w:r>
          </w:p>
        </w:tc>
        <w:tc>
          <w:tcPr>
            <w:tcW w:w="1217" w:type="dxa"/>
          </w:tcPr>
          <w:p>
            <w:pPr>
              <w:pStyle w:val="27"/>
              <w:spacing w:line="360" w:lineRule="exact"/>
              <w:rPr>
                <w:rFonts w:ascii="仿宋" w:hAnsi="仿宋" w:eastAsia="仿宋"/>
                <w:bCs/>
                <w:color w:val="auto"/>
                <w:sz w:val="24"/>
                <w:szCs w:val="24"/>
              </w:rPr>
            </w:pPr>
            <w:r>
              <w:rPr>
                <w:rFonts w:hint="eastAsia" w:ascii="仿宋" w:hAnsi="仿宋" w:eastAsia="仿宋"/>
                <w:bCs/>
                <w:color w:val="auto"/>
                <w:sz w:val="24"/>
                <w:szCs w:val="24"/>
              </w:rPr>
              <w:t>名称</w:t>
            </w:r>
          </w:p>
        </w:tc>
        <w:tc>
          <w:tcPr>
            <w:tcW w:w="6230" w:type="dxa"/>
          </w:tcPr>
          <w:p>
            <w:pPr>
              <w:pStyle w:val="27"/>
              <w:spacing w:line="360" w:lineRule="exact"/>
              <w:rPr>
                <w:rFonts w:ascii="仿宋" w:hAnsi="仿宋" w:eastAsia="仿宋"/>
                <w:bCs/>
                <w:color w:val="auto"/>
                <w:sz w:val="24"/>
                <w:szCs w:val="24"/>
              </w:rPr>
            </w:pPr>
            <w:r>
              <w:rPr>
                <w:rFonts w:hint="eastAsia" w:ascii="仿宋" w:hAnsi="仿宋" w:eastAsia="仿宋"/>
                <w:bCs/>
                <w:color w:val="auto"/>
                <w:sz w:val="24"/>
                <w:szCs w:val="24"/>
              </w:rPr>
              <w:t>参数</w:t>
            </w:r>
          </w:p>
        </w:tc>
        <w:tc>
          <w:tcPr>
            <w:tcW w:w="894" w:type="dxa"/>
          </w:tcPr>
          <w:p>
            <w:pPr>
              <w:pStyle w:val="27"/>
              <w:spacing w:line="360" w:lineRule="exact"/>
              <w:rPr>
                <w:rFonts w:ascii="仿宋" w:hAnsi="仿宋" w:eastAsia="仿宋"/>
                <w:bCs/>
                <w:color w:val="auto"/>
                <w:sz w:val="24"/>
                <w:szCs w:val="24"/>
              </w:rPr>
            </w:pPr>
            <w:r>
              <w:rPr>
                <w:rFonts w:hint="eastAsia" w:ascii="仿宋" w:hAnsi="仿宋" w:eastAsia="仿宋"/>
                <w:bCs/>
                <w:color w:val="auto"/>
                <w:sz w:val="24"/>
                <w:szCs w:val="24"/>
              </w:rPr>
              <w:t>单位</w:t>
            </w:r>
          </w:p>
        </w:tc>
        <w:tc>
          <w:tcPr>
            <w:tcW w:w="926" w:type="dxa"/>
          </w:tcPr>
          <w:p>
            <w:pPr>
              <w:pStyle w:val="27"/>
              <w:spacing w:line="360" w:lineRule="exact"/>
              <w:rPr>
                <w:rFonts w:ascii="仿宋" w:hAnsi="仿宋" w:eastAsia="仿宋"/>
                <w:bCs/>
                <w:color w:val="auto"/>
                <w:sz w:val="24"/>
                <w:szCs w:val="24"/>
              </w:rPr>
            </w:pPr>
            <w:r>
              <w:rPr>
                <w:rFonts w:hint="eastAsia" w:ascii="仿宋" w:hAnsi="仿宋" w:eastAsia="仿宋"/>
                <w:bCs/>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tcPr>
          <w:p>
            <w:pPr>
              <w:pStyle w:val="27"/>
              <w:spacing w:line="360" w:lineRule="exact"/>
              <w:rPr>
                <w:rFonts w:ascii="仿宋" w:hAnsi="仿宋" w:eastAsia="仿宋"/>
                <w:bCs/>
                <w:color w:val="auto"/>
                <w:sz w:val="24"/>
                <w:szCs w:val="24"/>
              </w:rPr>
            </w:pPr>
            <w:r>
              <w:rPr>
                <w:rFonts w:hint="eastAsia" w:ascii="仿宋" w:hAnsi="仿宋" w:eastAsia="仿宋"/>
                <w:bCs/>
                <w:color w:val="auto"/>
                <w:sz w:val="24"/>
                <w:szCs w:val="24"/>
              </w:rPr>
              <w:t>1</w:t>
            </w:r>
          </w:p>
        </w:tc>
        <w:tc>
          <w:tcPr>
            <w:tcW w:w="1217" w:type="dxa"/>
          </w:tcPr>
          <w:p>
            <w:pPr>
              <w:pStyle w:val="27"/>
              <w:spacing w:line="360" w:lineRule="exact"/>
              <w:rPr>
                <w:rFonts w:ascii="仿宋" w:hAnsi="仿宋" w:eastAsia="仿宋"/>
                <w:bCs/>
                <w:color w:val="auto"/>
                <w:sz w:val="24"/>
                <w:szCs w:val="24"/>
              </w:rPr>
            </w:pPr>
            <w:r>
              <w:rPr>
                <w:rFonts w:hint="eastAsia" w:ascii="仿宋" w:hAnsi="仿宋" w:eastAsia="仿宋"/>
                <w:bCs/>
                <w:color w:val="auto"/>
                <w:sz w:val="24"/>
                <w:szCs w:val="24"/>
              </w:rPr>
              <w:t>业务、存储网交换机</w:t>
            </w:r>
          </w:p>
        </w:tc>
        <w:tc>
          <w:tcPr>
            <w:tcW w:w="6230" w:type="dxa"/>
          </w:tcPr>
          <w:p>
            <w:pPr>
              <w:pStyle w:val="27"/>
              <w:spacing w:line="360" w:lineRule="exact"/>
              <w:rPr>
                <w:rFonts w:ascii="仿宋" w:hAnsi="仿宋" w:eastAsia="仿宋"/>
                <w:bCs/>
                <w:color w:val="auto"/>
                <w:sz w:val="24"/>
                <w:szCs w:val="24"/>
              </w:rPr>
            </w:pPr>
            <w:r>
              <w:rPr>
                <w:rFonts w:hint="eastAsia" w:ascii="仿宋" w:hAnsi="仿宋" w:eastAsia="仿宋"/>
                <w:bCs/>
                <w:color w:val="auto"/>
                <w:sz w:val="24"/>
                <w:szCs w:val="24"/>
              </w:rPr>
              <w:t>1.1.性能：交换容量≥23Tbps，包转发率≥720Mpps。</w:t>
            </w:r>
          </w:p>
          <w:p>
            <w:pPr>
              <w:pStyle w:val="27"/>
              <w:spacing w:line="360" w:lineRule="exact"/>
              <w:rPr>
                <w:rFonts w:ascii="仿宋" w:hAnsi="仿宋" w:eastAsia="仿宋"/>
                <w:bCs/>
                <w:color w:val="auto"/>
                <w:sz w:val="24"/>
                <w:szCs w:val="24"/>
              </w:rPr>
            </w:pPr>
            <w:r>
              <w:rPr>
                <w:rFonts w:ascii="仿宋" w:hAnsi="仿宋" w:eastAsia="仿宋"/>
                <w:bCs/>
                <w:color w:val="auto"/>
                <w:sz w:val="24"/>
                <w:szCs w:val="24"/>
              </w:rPr>
              <w:t>★</w:t>
            </w:r>
            <w:r>
              <w:rPr>
                <w:rFonts w:hint="eastAsia" w:ascii="仿宋" w:hAnsi="仿宋" w:eastAsia="仿宋"/>
                <w:bCs/>
                <w:color w:val="auto"/>
                <w:sz w:val="24"/>
                <w:szCs w:val="24"/>
              </w:rPr>
              <w:t>1.2.接口：配置≥24个万兆光口，≥2个40G QSFP+光口。（提供外观证明资料）</w:t>
            </w:r>
          </w:p>
          <w:p>
            <w:pPr>
              <w:pStyle w:val="27"/>
              <w:spacing w:line="360" w:lineRule="exact"/>
              <w:rPr>
                <w:rFonts w:ascii="仿宋" w:hAnsi="仿宋" w:eastAsia="仿宋"/>
                <w:bCs/>
                <w:color w:val="auto"/>
                <w:sz w:val="24"/>
                <w:szCs w:val="24"/>
              </w:rPr>
            </w:pPr>
            <w:r>
              <w:rPr>
                <w:rFonts w:hint="eastAsia" w:ascii="仿宋" w:hAnsi="仿宋" w:eastAsia="仿宋"/>
                <w:bCs/>
                <w:color w:val="auto"/>
                <w:sz w:val="24"/>
                <w:szCs w:val="24"/>
              </w:rPr>
              <w:t>1.3.为保证实施效果，配置≥8个万兆多模光模块及配套光纤跳线，≥1根堆叠所需线缆，配置双交流电源模块。</w:t>
            </w:r>
          </w:p>
          <w:p>
            <w:pPr>
              <w:pStyle w:val="27"/>
              <w:spacing w:line="360" w:lineRule="exact"/>
              <w:rPr>
                <w:rFonts w:ascii="仿宋" w:hAnsi="仿宋" w:eastAsia="仿宋"/>
                <w:bCs/>
                <w:color w:val="auto"/>
                <w:sz w:val="24"/>
                <w:szCs w:val="24"/>
              </w:rPr>
            </w:pPr>
            <w:r>
              <w:rPr>
                <w:rFonts w:hint="eastAsia" w:ascii="仿宋" w:hAnsi="仿宋" w:eastAsia="仿宋"/>
                <w:bCs/>
                <w:color w:val="auto"/>
                <w:sz w:val="24"/>
                <w:szCs w:val="24"/>
              </w:rPr>
              <w:t>1.4.为实现智能化管理，要求交换机可根据需要支持智能交换机和普通交换机两种工作模式，两种模式可在控制器平台灵活的进行切换。</w:t>
            </w:r>
          </w:p>
          <w:p>
            <w:pPr>
              <w:pStyle w:val="27"/>
              <w:spacing w:line="360" w:lineRule="exact"/>
              <w:rPr>
                <w:rFonts w:ascii="仿宋" w:hAnsi="仿宋" w:eastAsia="仿宋"/>
                <w:bCs/>
                <w:color w:val="auto"/>
                <w:sz w:val="24"/>
                <w:szCs w:val="24"/>
              </w:rPr>
            </w:pPr>
            <w:r>
              <w:rPr>
                <w:rFonts w:hint="eastAsia" w:ascii="仿宋" w:hAnsi="仿宋" w:eastAsia="仿宋"/>
                <w:bCs/>
                <w:color w:val="auto"/>
                <w:sz w:val="24"/>
                <w:szCs w:val="24"/>
              </w:rPr>
              <w:t>1.5.支持通过控制器平台查看交换机端口负载情况，提供平台功能截图证明；</w:t>
            </w:r>
          </w:p>
          <w:p>
            <w:pPr>
              <w:pStyle w:val="27"/>
              <w:spacing w:line="360" w:lineRule="exact"/>
              <w:rPr>
                <w:rFonts w:ascii="仿宋" w:hAnsi="仿宋" w:eastAsia="仿宋"/>
                <w:bCs/>
                <w:color w:val="auto"/>
                <w:sz w:val="24"/>
                <w:szCs w:val="24"/>
              </w:rPr>
            </w:pPr>
            <w:r>
              <w:rPr>
                <w:rFonts w:hint="eastAsia" w:ascii="仿宋" w:hAnsi="仿宋" w:eastAsia="仿宋"/>
                <w:bCs/>
                <w:color w:val="auto"/>
                <w:sz w:val="24"/>
                <w:szCs w:val="24"/>
              </w:rPr>
              <w:t>1.6.支持流量端口镜像及重定向功能。</w:t>
            </w:r>
          </w:p>
        </w:tc>
        <w:tc>
          <w:tcPr>
            <w:tcW w:w="894" w:type="dxa"/>
          </w:tcPr>
          <w:p>
            <w:pPr>
              <w:pStyle w:val="27"/>
              <w:spacing w:line="360" w:lineRule="exact"/>
              <w:rPr>
                <w:rFonts w:ascii="仿宋" w:hAnsi="仿宋" w:eastAsia="仿宋"/>
                <w:bCs/>
                <w:color w:val="auto"/>
                <w:sz w:val="24"/>
                <w:szCs w:val="24"/>
              </w:rPr>
            </w:pPr>
            <w:r>
              <w:rPr>
                <w:rFonts w:hint="eastAsia" w:ascii="仿宋" w:hAnsi="仿宋" w:eastAsia="仿宋"/>
                <w:bCs/>
                <w:color w:val="auto"/>
                <w:sz w:val="24"/>
                <w:szCs w:val="24"/>
              </w:rPr>
              <w:t>台</w:t>
            </w:r>
          </w:p>
        </w:tc>
        <w:tc>
          <w:tcPr>
            <w:tcW w:w="926" w:type="dxa"/>
          </w:tcPr>
          <w:p>
            <w:pPr>
              <w:pStyle w:val="27"/>
              <w:spacing w:line="360" w:lineRule="exact"/>
              <w:rPr>
                <w:rFonts w:ascii="仿宋" w:hAnsi="仿宋" w:eastAsia="仿宋"/>
                <w:bCs/>
                <w:color w:val="auto"/>
                <w:sz w:val="24"/>
                <w:szCs w:val="24"/>
              </w:rPr>
            </w:pPr>
            <w:r>
              <w:rPr>
                <w:rFonts w:hint="eastAsia" w:ascii="仿宋" w:hAnsi="仿宋" w:eastAsia="仿宋"/>
                <w:bCs/>
                <w:color w:val="auto"/>
                <w:sz w:val="24"/>
                <w:szCs w:val="24"/>
              </w:rPr>
              <w:t>4</w:t>
            </w:r>
          </w:p>
        </w:tc>
      </w:tr>
    </w:tbl>
    <w:p>
      <w:pPr>
        <w:pStyle w:val="27"/>
        <w:rPr>
          <w:rFonts w:ascii="仿宋" w:hAnsi="仿宋" w:eastAsia="仿宋"/>
          <w:b/>
          <w:color w:val="auto"/>
          <w:szCs w:val="28"/>
        </w:rPr>
      </w:pPr>
      <w:r>
        <w:rPr>
          <w:rFonts w:hint="eastAsia" w:ascii="仿宋" w:hAnsi="仿宋" w:eastAsia="仿宋"/>
          <w:b/>
          <w:color w:val="auto"/>
          <w:szCs w:val="28"/>
        </w:rPr>
        <w:t>（三）管理网交换机</w:t>
      </w:r>
    </w:p>
    <w:tbl>
      <w:tblPr>
        <w:tblStyle w:val="60"/>
        <w:tblW w:w="9848"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1241"/>
        <w:gridCol w:w="6207"/>
        <w:gridCol w:w="882"/>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tcPr>
          <w:p>
            <w:pPr>
              <w:pStyle w:val="27"/>
              <w:spacing w:line="360" w:lineRule="exact"/>
              <w:rPr>
                <w:rFonts w:ascii="仿宋" w:hAnsi="仿宋" w:eastAsia="仿宋"/>
                <w:bCs/>
                <w:color w:val="auto"/>
                <w:sz w:val="24"/>
                <w:szCs w:val="24"/>
              </w:rPr>
            </w:pPr>
            <w:r>
              <w:rPr>
                <w:rFonts w:hint="eastAsia" w:ascii="仿宋" w:hAnsi="仿宋" w:eastAsia="仿宋"/>
                <w:bCs/>
                <w:color w:val="auto"/>
                <w:sz w:val="24"/>
                <w:szCs w:val="24"/>
              </w:rPr>
              <w:t>序号</w:t>
            </w:r>
          </w:p>
        </w:tc>
        <w:tc>
          <w:tcPr>
            <w:tcW w:w="1241" w:type="dxa"/>
          </w:tcPr>
          <w:p>
            <w:pPr>
              <w:pStyle w:val="27"/>
              <w:spacing w:line="360" w:lineRule="exact"/>
              <w:rPr>
                <w:rFonts w:ascii="仿宋" w:hAnsi="仿宋" w:eastAsia="仿宋"/>
                <w:bCs/>
                <w:color w:val="auto"/>
                <w:sz w:val="24"/>
                <w:szCs w:val="24"/>
              </w:rPr>
            </w:pPr>
            <w:r>
              <w:rPr>
                <w:rFonts w:hint="eastAsia" w:ascii="仿宋" w:hAnsi="仿宋" w:eastAsia="仿宋"/>
                <w:bCs/>
                <w:color w:val="auto"/>
                <w:sz w:val="24"/>
                <w:szCs w:val="24"/>
              </w:rPr>
              <w:t>名称</w:t>
            </w:r>
          </w:p>
        </w:tc>
        <w:tc>
          <w:tcPr>
            <w:tcW w:w="6207" w:type="dxa"/>
          </w:tcPr>
          <w:p>
            <w:pPr>
              <w:pStyle w:val="27"/>
              <w:spacing w:line="360" w:lineRule="exact"/>
              <w:rPr>
                <w:rFonts w:ascii="仿宋" w:hAnsi="仿宋" w:eastAsia="仿宋"/>
                <w:bCs/>
                <w:color w:val="auto"/>
                <w:sz w:val="24"/>
                <w:szCs w:val="24"/>
              </w:rPr>
            </w:pPr>
            <w:r>
              <w:rPr>
                <w:rFonts w:hint="eastAsia" w:ascii="仿宋" w:hAnsi="仿宋" w:eastAsia="仿宋"/>
                <w:bCs/>
                <w:color w:val="auto"/>
                <w:sz w:val="24"/>
                <w:szCs w:val="24"/>
              </w:rPr>
              <w:t>参数</w:t>
            </w:r>
          </w:p>
        </w:tc>
        <w:tc>
          <w:tcPr>
            <w:tcW w:w="882" w:type="dxa"/>
          </w:tcPr>
          <w:p>
            <w:pPr>
              <w:pStyle w:val="27"/>
              <w:spacing w:line="360" w:lineRule="exact"/>
              <w:rPr>
                <w:rFonts w:ascii="仿宋" w:hAnsi="仿宋" w:eastAsia="仿宋"/>
                <w:bCs/>
                <w:color w:val="auto"/>
                <w:sz w:val="24"/>
                <w:szCs w:val="24"/>
              </w:rPr>
            </w:pPr>
            <w:r>
              <w:rPr>
                <w:rFonts w:hint="eastAsia" w:ascii="仿宋" w:hAnsi="仿宋" w:eastAsia="仿宋"/>
                <w:bCs/>
                <w:color w:val="auto"/>
                <w:sz w:val="24"/>
                <w:szCs w:val="24"/>
              </w:rPr>
              <w:t>单位</w:t>
            </w:r>
          </w:p>
        </w:tc>
        <w:tc>
          <w:tcPr>
            <w:tcW w:w="929" w:type="dxa"/>
          </w:tcPr>
          <w:p>
            <w:pPr>
              <w:pStyle w:val="27"/>
              <w:spacing w:line="360" w:lineRule="exact"/>
              <w:rPr>
                <w:rFonts w:ascii="仿宋" w:hAnsi="仿宋" w:eastAsia="仿宋"/>
                <w:bCs/>
                <w:color w:val="auto"/>
                <w:sz w:val="24"/>
                <w:szCs w:val="24"/>
              </w:rPr>
            </w:pPr>
            <w:r>
              <w:rPr>
                <w:rFonts w:hint="eastAsia" w:ascii="仿宋" w:hAnsi="仿宋" w:eastAsia="仿宋"/>
                <w:bCs/>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9" w:type="dxa"/>
          </w:tcPr>
          <w:p>
            <w:pPr>
              <w:pStyle w:val="27"/>
              <w:spacing w:line="360" w:lineRule="exact"/>
              <w:rPr>
                <w:rFonts w:ascii="仿宋" w:hAnsi="仿宋" w:eastAsia="仿宋"/>
                <w:bCs/>
                <w:color w:val="auto"/>
                <w:sz w:val="24"/>
                <w:szCs w:val="24"/>
              </w:rPr>
            </w:pPr>
            <w:r>
              <w:rPr>
                <w:rFonts w:hint="eastAsia" w:ascii="仿宋" w:hAnsi="仿宋" w:eastAsia="仿宋"/>
                <w:bCs/>
                <w:color w:val="auto"/>
                <w:sz w:val="24"/>
                <w:szCs w:val="24"/>
              </w:rPr>
              <w:t>1</w:t>
            </w:r>
          </w:p>
        </w:tc>
        <w:tc>
          <w:tcPr>
            <w:tcW w:w="1241" w:type="dxa"/>
          </w:tcPr>
          <w:p>
            <w:pPr>
              <w:pStyle w:val="27"/>
              <w:spacing w:line="360" w:lineRule="exact"/>
              <w:rPr>
                <w:rFonts w:ascii="仿宋" w:hAnsi="仿宋" w:eastAsia="仿宋"/>
                <w:bCs/>
                <w:color w:val="auto"/>
                <w:sz w:val="24"/>
                <w:szCs w:val="24"/>
              </w:rPr>
            </w:pPr>
            <w:r>
              <w:rPr>
                <w:rFonts w:hint="eastAsia" w:ascii="仿宋" w:hAnsi="仿宋" w:eastAsia="仿宋"/>
                <w:bCs/>
                <w:color w:val="auto"/>
                <w:sz w:val="24"/>
                <w:szCs w:val="24"/>
              </w:rPr>
              <w:t>管理交换机</w:t>
            </w:r>
          </w:p>
        </w:tc>
        <w:tc>
          <w:tcPr>
            <w:tcW w:w="6207" w:type="dxa"/>
          </w:tcPr>
          <w:p>
            <w:pPr>
              <w:pStyle w:val="27"/>
              <w:spacing w:line="360" w:lineRule="exact"/>
              <w:rPr>
                <w:rFonts w:ascii="仿宋" w:hAnsi="仿宋" w:eastAsia="仿宋"/>
                <w:bCs/>
                <w:color w:val="auto"/>
                <w:sz w:val="24"/>
                <w:szCs w:val="24"/>
              </w:rPr>
            </w:pPr>
            <w:r>
              <w:rPr>
                <w:rFonts w:hint="eastAsia" w:ascii="仿宋" w:hAnsi="仿宋" w:eastAsia="仿宋"/>
                <w:bCs/>
                <w:color w:val="auto"/>
                <w:sz w:val="24"/>
                <w:szCs w:val="24"/>
              </w:rPr>
              <w:t>1.1.性能：交换容量≥3.36Tbps，包转发率≥120Mpps。</w:t>
            </w:r>
          </w:p>
          <w:p>
            <w:pPr>
              <w:pStyle w:val="27"/>
              <w:spacing w:line="360" w:lineRule="exact"/>
              <w:rPr>
                <w:rFonts w:ascii="仿宋" w:hAnsi="仿宋" w:eastAsia="仿宋"/>
                <w:bCs/>
                <w:color w:val="auto"/>
                <w:sz w:val="24"/>
                <w:szCs w:val="24"/>
              </w:rPr>
            </w:pPr>
            <w:r>
              <w:rPr>
                <w:rFonts w:hint="eastAsia" w:ascii="仿宋" w:hAnsi="仿宋" w:eastAsia="仿宋"/>
                <w:bCs/>
                <w:color w:val="auto"/>
                <w:sz w:val="24"/>
                <w:szCs w:val="24"/>
              </w:rPr>
              <w:t>1.2.接口：配置≥24个千兆电口，≥4个万兆光口及配套光纤跳线。配置≥2个万兆光模块，≥1根堆叠所需线缆。</w:t>
            </w:r>
          </w:p>
          <w:p>
            <w:pPr>
              <w:pStyle w:val="27"/>
              <w:spacing w:line="360" w:lineRule="exact"/>
              <w:rPr>
                <w:rFonts w:ascii="仿宋" w:hAnsi="仿宋" w:eastAsia="仿宋"/>
                <w:bCs/>
                <w:color w:val="auto"/>
                <w:sz w:val="24"/>
                <w:szCs w:val="24"/>
              </w:rPr>
            </w:pPr>
            <w:r>
              <w:rPr>
                <w:rFonts w:hint="eastAsia" w:ascii="仿宋" w:hAnsi="仿宋" w:eastAsia="仿宋"/>
                <w:bCs/>
                <w:color w:val="auto"/>
                <w:sz w:val="24"/>
                <w:szCs w:val="24"/>
              </w:rPr>
              <w:t>1.3.为实现智能化管理，要求交换机可根据需要支持智能交换机和普通交换机两种工作模式，两种模式可在控制器平台灵活的进行切换。</w:t>
            </w:r>
          </w:p>
          <w:p>
            <w:pPr>
              <w:pStyle w:val="27"/>
              <w:spacing w:line="360" w:lineRule="exact"/>
              <w:rPr>
                <w:rFonts w:ascii="仿宋" w:hAnsi="仿宋" w:eastAsia="仿宋"/>
                <w:bCs/>
                <w:color w:val="auto"/>
                <w:sz w:val="24"/>
                <w:szCs w:val="24"/>
              </w:rPr>
            </w:pPr>
            <w:r>
              <w:rPr>
                <w:rFonts w:hint="eastAsia" w:ascii="仿宋" w:hAnsi="仿宋" w:eastAsia="仿宋"/>
                <w:bCs/>
                <w:color w:val="auto"/>
                <w:sz w:val="24"/>
                <w:szCs w:val="24"/>
              </w:rPr>
              <w:t>1.4.支持基于交换机单端口、聚合口的ACL策略；</w:t>
            </w:r>
          </w:p>
          <w:p>
            <w:pPr>
              <w:pStyle w:val="27"/>
              <w:spacing w:line="360" w:lineRule="exact"/>
              <w:rPr>
                <w:rFonts w:ascii="仿宋" w:hAnsi="仿宋" w:eastAsia="仿宋"/>
                <w:bCs/>
                <w:color w:val="auto"/>
                <w:sz w:val="24"/>
                <w:szCs w:val="24"/>
              </w:rPr>
            </w:pPr>
            <w:r>
              <w:rPr>
                <w:rFonts w:hint="eastAsia" w:ascii="仿宋" w:hAnsi="仿宋" w:eastAsia="仿宋"/>
                <w:bCs/>
                <w:color w:val="auto"/>
                <w:sz w:val="24"/>
                <w:szCs w:val="24"/>
              </w:rPr>
              <w:t>1.5.支持通过控制器平台查看交换机端口负载情况，提供平台功能截图证明。</w:t>
            </w:r>
          </w:p>
        </w:tc>
        <w:tc>
          <w:tcPr>
            <w:tcW w:w="882" w:type="dxa"/>
          </w:tcPr>
          <w:p>
            <w:pPr>
              <w:pStyle w:val="27"/>
              <w:spacing w:line="360" w:lineRule="exact"/>
              <w:rPr>
                <w:rFonts w:ascii="仿宋" w:hAnsi="仿宋" w:eastAsia="仿宋"/>
                <w:bCs/>
                <w:color w:val="auto"/>
                <w:sz w:val="24"/>
                <w:szCs w:val="24"/>
              </w:rPr>
            </w:pPr>
            <w:r>
              <w:rPr>
                <w:rFonts w:hint="eastAsia" w:ascii="仿宋" w:hAnsi="仿宋" w:eastAsia="仿宋"/>
                <w:bCs/>
                <w:color w:val="auto"/>
                <w:sz w:val="24"/>
                <w:szCs w:val="24"/>
              </w:rPr>
              <w:t>台</w:t>
            </w:r>
          </w:p>
        </w:tc>
        <w:tc>
          <w:tcPr>
            <w:tcW w:w="929" w:type="dxa"/>
          </w:tcPr>
          <w:p>
            <w:pPr>
              <w:pStyle w:val="27"/>
              <w:spacing w:line="360" w:lineRule="exact"/>
              <w:rPr>
                <w:rFonts w:ascii="仿宋" w:hAnsi="仿宋" w:eastAsia="仿宋"/>
                <w:bCs/>
                <w:color w:val="auto"/>
                <w:sz w:val="24"/>
                <w:szCs w:val="24"/>
              </w:rPr>
            </w:pPr>
            <w:r>
              <w:rPr>
                <w:rFonts w:hint="eastAsia" w:ascii="仿宋" w:hAnsi="仿宋" w:eastAsia="仿宋"/>
                <w:bCs/>
                <w:color w:val="auto"/>
                <w:sz w:val="24"/>
                <w:szCs w:val="24"/>
              </w:rPr>
              <w:t>2</w:t>
            </w:r>
          </w:p>
        </w:tc>
      </w:tr>
    </w:tbl>
    <w:p>
      <w:pPr>
        <w:pStyle w:val="327"/>
        <w:spacing w:line="360" w:lineRule="auto"/>
        <w:jc w:val="center"/>
        <w:rPr>
          <w:rFonts w:ascii="仿宋" w:hAnsi="仿宋" w:eastAsia="仿宋"/>
          <w:b/>
          <w:color w:val="auto"/>
          <w:sz w:val="32"/>
          <w:szCs w:val="32"/>
        </w:rPr>
      </w:pPr>
    </w:p>
    <w:p>
      <w:pPr>
        <w:shd w:val="clear" w:color="auto" w:fill="FFFFFF"/>
        <w:spacing w:line="44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注：1、对上述采购需求中标注★号的条款、要求提供截图、外观证明、证书、附图、证明（或相应证明）资料等各类证明资料的技术条款，应在“备注”栏说明证明资料在《投标文件》的具体页码，否则，视为负偏离。</w:t>
      </w:r>
    </w:p>
    <w:p>
      <w:pPr>
        <w:pStyle w:val="734"/>
        <w:spacing w:line="400" w:lineRule="exact"/>
        <w:ind w:firstLine="482" w:firstLineChars="200"/>
        <w:rPr>
          <w:rFonts w:ascii="仿宋" w:hAnsi="仿宋" w:eastAsia="仿宋"/>
          <w:b/>
          <w:color w:val="auto"/>
          <w:sz w:val="24"/>
          <w:szCs w:val="24"/>
        </w:rPr>
      </w:pPr>
      <w:r>
        <w:rPr>
          <w:rFonts w:hint="eastAsia" w:ascii="仿宋" w:hAnsi="仿宋" w:eastAsia="仿宋"/>
          <w:b/>
          <w:color w:val="auto"/>
          <w:sz w:val="24"/>
          <w:szCs w:val="24"/>
        </w:rPr>
        <w:t>2、中标方提供给采购方的合同货物及服务的技术规范应与其投标文件中《技术及服务条款偏离表》相一致。全部货到甲方指定地点，逐项验收时如出现</w:t>
      </w:r>
      <w:r>
        <w:rPr>
          <w:rFonts w:ascii="仿宋" w:hAnsi="仿宋" w:eastAsia="仿宋"/>
          <w:b/>
          <w:color w:val="auto"/>
          <w:sz w:val="24"/>
          <w:szCs w:val="24"/>
        </w:rPr>
        <w:t>≥</w:t>
      </w:r>
      <w:r>
        <w:rPr>
          <w:rFonts w:hint="eastAsia" w:ascii="仿宋" w:hAnsi="仿宋" w:eastAsia="仿宋"/>
          <w:b/>
          <w:color w:val="auto"/>
          <w:sz w:val="24"/>
          <w:szCs w:val="24"/>
        </w:rPr>
        <w:t>2项条款不一致或不符，则验收不合格，并将依据合同专用条款第十八项第1.1款，认定乙方根本违约而解除合同。</w:t>
      </w:r>
    </w:p>
    <w:p>
      <w:pPr>
        <w:pStyle w:val="2"/>
        <w:ind w:left="359"/>
        <w:rPr>
          <w:color w:val="auto"/>
        </w:rPr>
      </w:pPr>
    </w:p>
    <w:p>
      <w:pPr>
        <w:rPr>
          <w:rFonts w:ascii="仿宋" w:hAnsi="仿宋" w:eastAsia="仿宋"/>
          <w:b/>
          <w:color w:val="auto"/>
          <w:kern w:val="0"/>
          <w:sz w:val="24"/>
        </w:rPr>
      </w:pPr>
      <w:r>
        <w:rPr>
          <w:rFonts w:hint="eastAsia" w:ascii="仿宋" w:hAnsi="仿宋" w:eastAsia="仿宋"/>
          <w:b/>
          <w:color w:val="auto"/>
          <w:kern w:val="0"/>
          <w:sz w:val="24"/>
        </w:rPr>
        <w:br w:type="page"/>
      </w:r>
    </w:p>
    <w:p>
      <w:pPr>
        <w:pStyle w:val="2"/>
        <w:ind w:left="359"/>
        <w:rPr>
          <w:color w:val="auto"/>
        </w:rPr>
      </w:pPr>
    </w:p>
    <w:p>
      <w:pPr>
        <w:pStyle w:val="327"/>
        <w:spacing w:line="360" w:lineRule="auto"/>
        <w:jc w:val="center"/>
        <w:rPr>
          <w:rFonts w:ascii="仿宋" w:hAnsi="仿宋" w:eastAsia="仿宋"/>
          <w:b/>
          <w:color w:val="auto"/>
          <w:sz w:val="32"/>
          <w:szCs w:val="32"/>
        </w:rPr>
      </w:pPr>
      <w:r>
        <w:rPr>
          <w:rFonts w:hint="eastAsia" w:ascii="仿宋" w:hAnsi="仿宋" w:eastAsia="仿宋"/>
          <w:b/>
          <w:color w:val="auto"/>
          <w:sz w:val="32"/>
          <w:szCs w:val="32"/>
        </w:rPr>
        <w:t>第五章  投标文件格式</w:t>
      </w:r>
    </w:p>
    <w:p>
      <w:pPr>
        <w:pStyle w:val="327"/>
        <w:spacing w:line="360" w:lineRule="auto"/>
        <w:jc w:val="center"/>
        <w:rPr>
          <w:rFonts w:ascii="仿宋" w:hAnsi="仿宋" w:eastAsia="仿宋"/>
          <w:b/>
          <w:color w:val="auto"/>
          <w:szCs w:val="24"/>
        </w:rPr>
      </w:pPr>
    </w:p>
    <w:p>
      <w:pPr>
        <w:pStyle w:val="327"/>
        <w:spacing w:line="360" w:lineRule="auto"/>
        <w:jc w:val="center"/>
        <w:rPr>
          <w:rFonts w:ascii="仿宋" w:hAnsi="仿宋" w:eastAsia="仿宋"/>
          <w:b/>
          <w:color w:val="auto"/>
          <w:sz w:val="72"/>
        </w:rPr>
      </w:pPr>
    </w:p>
    <w:p>
      <w:pPr>
        <w:pStyle w:val="327"/>
        <w:spacing w:line="360" w:lineRule="auto"/>
        <w:jc w:val="center"/>
        <w:rPr>
          <w:rFonts w:ascii="仿宋" w:hAnsi="仿宋" w:eastAsia="仿宋"/>
          <w:b/>
          <w:color w:val="auto"/>
          <w:sz w:val="72"/>
        </w:rPr>
      </w:pPr>
    </w:p>
    <w:p>
      <w:pPr>
        <w:ind w:firstLine="560"/>
        <w:rPr>
          <w:rFonts w:ascii="仿宋" w:hAnsi="仿宋" w:eastAsia="仿宋"/>
          <w:color w:val="auto"/>
          <w:sz w:val="28"/>
        </w:rPr>
      </w:pPr>
    </w:p>
    <w:p>
      <w:pPr>
        <w:widowControl/>
        <w:jc w:val="left"/>
        <w:rPr>
          <w:rFonts w:ascii="仿宋" w:hAnsi="仿宋" w:eastAsia="仿宋"/>
          <w:color w:val="auto"/>
          <w:sz w:val="24"/>
        </w:rPr>
      </w:pPr>
      <w:r>
        <w:rPr>
          <w:rFonts w:ascii="仿宋" w:hAnsi="仿宋" w:eastAsia="仿宋"/>
          <w:b/>
          <w:color w:val="auto"/>
          <w:sz w:val="28"/>
          <w:szCs w:val="28"/>
        </w:rPr>
        <w:br w:type="page"/>
      </w:r>
      <w:r>
        <w:rPr>
          <w:rFonts w:hint="eastAsia" w:ascii="仿宋" w:hAnsi="仿宋" w:eastAsia="仿宋"/>
          <w:b/>
          <w:bCs/>
          <w:color w:val="auto"/>
          <w:kern w:val="0"/>
          <w:sz w:val="24"/>
        </w:rPr>
        <w:t>附件一 供应商营业执照或其他组织资格证书（扫描件）</w:t>
      </w:r>
    </w:p>
    <w:p>
      <w:pPr>
        <w:widowControl/>
        <w:spacing w:line="440" w:lineRule="exact"/>
        <w:jc w:val="left"/>
        <w:rPr>
          <w:rFonts w:ascii="仿宋" w:hAnsi="仿宋" w:eastAsia="仿宋"/>
          <w:bCs/>
          <w:color w:val="auto"/>
          <w:sz w:val="24"/>
        </w:rPr>
      </w:pPr>
    </w:p>
    <w:p>
      <w:pPr>
        <w:widowControl/>
        <w:spacing w:line="440" w:lineRule="exact"/>
        <w:jc w:val="left"/>
        <w:rPr>
          <w:rFonts w:ascii="仿宋" w:hAnsi="仿宋" w:eastAsia="仿宋"/>
          <w:bCs/>
          <w:color w:val="auto"/>
          <w:sz w:val="24"/>
        </w:rPr>
      </w:pPr>
    </w:p>
    <w:p>
      <w:pPr>
        <w:widowControl/>
        <w:spacing w:line="440" w:lineRule="exact"/>
        <w:jc w:val="left"/>
        <w:rPr>
          <w:rFonts w:ascii="仿宋" w:hAnsi="仿宋" w:eastAsia="仿宋"/>
          <w:bCs/>
          <w:color w:val="auto"/>
          <w:sz w:val="24"/>
        </w:rPr>
      </w:pPr>
    </w:p>
    <w:p>
      <w:pPr>
        <w:widowControl/>
        <w:spacing w:line="440" w:lineRule="exact"/>
        <w:jc w:val="left"/>
        <w:rPr>
          <w:rFonts w:ascii="仿宋" w:hAnsi="仿宋" w:eastAsia="仿宋"/>
          <w:bCs/>
          <w:color w:val="auto"/>
          <w:sz w:val="24"/>
        </w:rPr>
      </w:pPr>
    </w:p>
    <w:p>
      <w:pPr>
        <w:shd w:val="clear" w:color="auto" w:fill="FFFFFF"/>
        <w:spacing w:line="440" w:lineRule="exact"/>
        <w:rPr>
          <w:rFonts w:ascii="仿宋" w:hAnsi="仿宋" w:eastAsia="仿宋"/>
          <w:bCs/>
          <w:color w:val="auto"/>
          <w:kern w:val="0"/>
          <w:sz w:val="24"/>
        </w:rPr>
      </w:pPr>
      <w:r>
        <w:rPr>
          <w:rFonts w:ascii="仿宋" w:hAnsi="仿宋" w:eastAsia="仿宋"/>
          <w:b/>
          <w:bCs/>
          <w:color w:val="auto"/>
          <w:kern w:val="0"/>
          <w:sz w:val="24"/>
        </w:rPr>
        <w:br w:type="page"/>
      </w:r>
      <w:r>
        <w:rPr>
          <w:rFonts w:hint="eastAsia" w:ascii="仿宋" w:hAnsi="仿宋" w:eastAsia="仿宋"/>
          <w:b/>
          <w:bCs/>
          <w:color w:val="auto"/>
          <w:kern w:val="0"/>
          <w:sz w:val="24"/>
        </w:rPr>
        <w:t>附件二  法定代表人（或负责人）资格证明书及法定代表人（或负责人）授权委托书</w:t>
      </w:r>
    </w:p>
    <w:p>
      <w:pPr>
        <w:shd w:val="clear" w:color="auto" w:fill="FFFFFF"/>
        <w:spacing w:beforeLines="100" w:afterLines="100" w:line="440" w:lineRule="exact"/>
        <w:jc w:val="center"/>
        <w:rPr>
          <w:rFonts w:ascii="仿宋" w:hAnsi="仿宋" w:eastAsia="仿宋"/>
          <w:b/>
          <w:bCs/>
          <w:color w:val="auto"/>
          <w:sz w:val="28"/>
          <w:szCs w:val="28"/>
        </w:rPr>
      </w:pPr>
      <w:r>
        <w:rPr>
          <w:rFonts w:hint="eastAsia" w:ascii="仿宋" w:hAnsi="仿宋" w:eastAsia="仿宋"/>
          <w:b/>
          <w:bCs/>
          <w:color w:val="auto"/>
          <w:sz w:val="28"/>
          <w:szCs w:val="28"/>
        </w:rPr>
        <w:t>法定代表人（或负责人）资格证明书</w:t>
      </w:r>
    </w:p>
    <w:p>
      <w:pPr>
        <w:shd w:val="clear" w:color="auto" w:fill="FFFFFF"/>
        <w:spacing w:line="440" w:lineRule="exact"/>
        <w:rPr>
          <w:rFonts w:ascii="仿宋" w:hAnsi="仿宋" w:eastAsia="仿宋"/>
          <w:color w:val="auto"/>
          <w:sz w:val="24"/>
        </w:rPr>
      </w:pPr>
    </w:p>
    <w:p>
      <w:pPr>
        <w:pStyle w:val="729"/>
        <w:adjustRightInd w:val="0"/>
        <w:snapToGrid w:val="0"/>
        <w:spacing w:line="500" w:lineRule="exact"/>
        <w:rPr>
          <w:rFonts w:ascii="仿宋" w:hAnsi="仿宋" w:eastAsia="仿宋"/>
          <w:color w:val="auto"/>
          <w:sz w:val="24"/>
          <w:szCs w:val="24"/>
        </w:rPr>
      </w:pPr>
      <w:r>
        <w:rPr>
          <w:rFonts w:hint="eastAsia" w:ascii="仿宋" w:hAnsi="仿宋" w:eastAsia="仿宋"/>
          <w:color w:val="auto"/>
          <w:sz w:val="24"/>
          <w:szCs w:val="24"/>
          <w:u w:val="single"/>
        </w:rPr>
        <w:t>（代理机构名称）</w:t>
      </w:r>
      <w:r>
        <w:rPr>
          <w:rFonts w:hint="eastAsia" w:ascii="仿宋" w:hAnsi="仿宋" w:eastAsia="仿宋"/>
          <w:color w:val="auto"/>
          <w:sz w:val="24"/>
          <w:szCs w:val="24"/>
        </w:rPr>
        <w:t>：</w:t>
      </w:r>
    </w:p>
    <w:p>
      <w:pPr>
        <w:pStyle w:val="729"/>
        <w:adjustRightInd w:val="0"/>
        <w:snapToGrid w:val="0"/>
        <w:spacing w:line="5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兹有</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同志为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公司法定代表人</w:t>
      </w:r>
      <w:r>
        <w:rPr>
          <w:rFonts w:hint="eastAsia" w:ascii="仿宋" w:hAnsi="仿宋" w:eastAsia="仿宋"/>
          <w:color w:val="auto"/>
          <w:kern w:val="0"/>
          <w:sz w:val="24"/>
        </w:rPr>
        <w:t>（或负责人）</w:t>
      </w:r>
      <w:r>
        <w:rPr>
          <w:rFonts w:hint="eastAsia" w:ascii="仿宋" w:hAnsi="仿宋" w:eastAsia="仿宋"/>
          <w:color w:val="auto"/>
          <w:sz w:val="24"/>
          <w:szCs w:val="24"/>
        </w:rPr>
        <w:t xml:space="preserve">，代表我公司办理一切社会公务事宜，具有法律效力。 </w:t>
      </w:r>
    </w:p>
    <w:p>
      <w:pPr>
        <w:pStyle w:val="729"/>
        <w:adjustRightInd w:val="0"/>
        <w:snapToGrid w:val="0"/>
        <w:spacing w:line="5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附法定代表人</w:t>
      </w:r>
      <w:r>
        <w:rPr>
          <w:rFonts w:hint="eastAsia" w:ascii="仿宋" w:hAnsi="仿宋" w:eastAsia="仿宋"/>
          <w:color w:val="auto"/>
          <w:kern w:val="0"/>
          <w:sz w:val="24"/>
        </w:rPr>
        <w:t>（或负责人）</w:t>
      </w:r>
      <w:r>
        <w:rPr>
          <w:rFonts w:hint="eastAsia" w:ascii="仿宋" w:hAnsi="仿宋" w:eastAsia="仿宋"/>
          <w:color w:val="auto"/>
          <w:sz w:val="24"/>
          <w:szCs w:val="24"/>
        </w:rPr>
        <w:t xml:space="preserve">基本情况： </w:t>
      </w:r>
    </w:p>
    <w:p>
      <w:pPr>
        <w:pStyle w:val="729"/>
        <w:adjustRightInd w:val="0"/>
        <w:snapToGrid w:val="0"/>
        <w:spacing w:line="500" w:lineRule="exact"/>
        <w:ind w:firstLine="480" w:firstLineChars="200"/>
        <w:rPr>
          <w:rFonts w:ascii="仿宋" w:hAnsi="仿宋" w:eastAsia="仿宋"/>
          <w:color w:val="auto"/>
          <w:sz w:val="24"/>
          <w:szCs w:val="24"/>
          <w:u w:val="single"/>
        </w:rPr>
      </w:pPr>
      <w:r>
        <w:rPr>
          <w:rFonts w:hint="eastAsia" w:ascii="仿宋" w:hAnsi="仿宋" w:eastAsia="仿宋"/>
          <w:color w:val="auto"/>
          <w:sz w:val="24"/>
          <w:szCs w:val="24"/>
        </w:rPr>
        <w:t>姓名：</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性别：</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年龄：</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职务：</w:t>
      </w:r>
      <w:r>
        <w:rPr>
          <w:rFonts w:hint="eastAsia" w:ascii="仿宋" w:hAnsi="仿宋" w:eastAsia="仿宋"/>
          <w:color w:val="auto"/>
          <w:sz w:val="24"/>
          <w:szCs w:val="24"/>
          <w:u w:val="single"/>
        </w:rPr>
        <w:t xml:space="preserve">         </w:t>
      </w:r>
    </w:p>
    <w:p>
      <w:pPr>
        <w:pStyle w:val="729"/>
        <w:adjustRightInd w:val="0"/>
        <w:snapToGrid w:val="0"/>
        <w:spacing w:line="5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身份证号码：</w:t>
      </w:r>
      <w:r>
        <w:rPr>
          <w:rFonts w:hint="eastAsia" w:ascii="仿宋" w:hAnsi="仿宋" w:eastAsia="仿宋"/>
          <w:color w:val="auto"/>
          <w:sz w:val="24"/>
          <w:szCs w:val="24"/>
          <w:u w:val="single"/>
        </w:rPr>
        <w:t xml:space="preserve">                     </w:t>
      </w:r>
    </w:p>
    <w:p>
      <w:pPr>
        <w:pStyle w:val="729"/>
        <w:adjustRightInd w:val="0"/>
        <w:snapToGrid w:val="0"/>
        <w:spacing w:line="5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通讯地址：</w:t>
      </w:r>
      <w:r>
        <w:rPr>
          <w:rFonts w:hint="eastAsia" w:ascii="仿宋" w:hAnsi="仿宋" w:eastAsia="仿宋"/>
          <w:color w:val="auto"/>
          <w:sz w:val="24"/>
          <w:szCs w:val="24"/>
          <w:u w:val="single"/>
        </w:rPr>
        <w:t xml:space="preserve">                       </w:t>
      </w:r>
    </w:p>
    <w:p>
      <w:pPr>
        <w:shd w:val="clear" w:color="auto" w:fill="FFFFFF"/>
        <w:spacing w:line="440" w:lineRule="exact"/>
        <w:ind w:firstLine="480" w:firstLineChars="200"/>
        <w:rPr>
          <w:rFonts w:ascii="仿宋" w:hAnsi="仿宋" w:eastAsia="仿宋"/>
          <w:color w:val="auto"/>
          <w:sz w:val="24"/>
          <w:u w:val="single"/>
        </w:rPr>
      </w:pPr>
      <w:r>
        <w:rPr>
          <w:rFonts w:hint="eastAsia" w:ascii="仿宋" w:hAnsi="仿宋" w:eastAsia="仿宋"/>
          <w:color w:val="auto"/>
          <w:sz w:val="24"/>
        </w:rPr>
        <w:t>电话号码：</w:t>
      </w:r>
      <w:r>
        <w:rPr>
          <w:rFonts w:hint="eastAsia" w:ascii="仿宋" w:hAnsi="仿宋" w:eastAsia="仿宋"/>
          <w:color w:val="auto"/>
          <w:sz w:val="24"/>
          <w:u w:val="single"/>
        </w:rPr>
        <w:t xml:space="preserve">                   </w:t>
      </w:r>
    </w:p>
    <w:p>
      <w:pPr>
        <w:shd w:val="clear" w:color="auto" w:fill="FFFFFF"/>
        <w:spacing w:line="440" w:lineRule="exact"/>
        <w:rPr>
          <w:rFonts w:ascii="仿宋" w:hAnsi="仿宋" w:eastAsia="仿宋"/>
          <w:color w:val="auto"/>
          <w:szCs w:val="21"/>
        </w:rPr>
      </w:pPr>
      <w:r>
        <w:rPr>
          <w:rFonts w:ascii="仿宋" w:hAnsi="仿宋" w:eastAsia="仿宋"/>
          <w:color w:val="auto"/>
          <w:szCs w:val="21"/>
        </w:rPr>
        <w:pict>
          <v:shape id="文本框 4" o:spid="_x0000_s1030" o:spt="202" type="#_x0000_t202" style="position:absolute;left:0pt;margin-left:-19.6pt;margin-top:12.8pt;height:151.1pt;width:252.1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EjMwIAAEkEAAAOAAAAZHJzL2Uyb0RvYy54bWysVM2O0zAQviPxDpbvNE1pd7dR09XSVRHS&#10;8iMtPIDjOImF4zG222R5APYNOHHhznP1ORg72VL+LggfLE9m/M3M942zuuxbRfbCOgk6p+lkSonQ&#10;HEqp65y+e7t9ckGJ80yXTIEWOb0Tjl6uHz9adSYTM2hAlcISBNEu60xOG+9NliSON6JlbgJGaHRW&#10;YFvm0bR1UlrWIXqrktl0epZ0YEtjgQvn8Ov14KTriF9VgvvXVeWEJyqnWJuPu417EfZkvWJZbZlp&#10;JB/LYP9QRcukxqRHqGvmGdlZ+RtUK7kFB5WfcGgTqCrJRewBu0mnv3Rz2zAjYi9IjjNHmtz/g+Wv&#10;9m8skSVqN6NEsxY1Ony+P3z5dvj6icwDP51xGYbdGgz0/TPoMTb26swN8PeOaNg0TNfiylroGsFK&#10;rC8NN5OTqwOOCyBF9xJKzMN2HiJQX9k2kId0EERHne6O2ojeE44fnyI/Z+fo4uhLl+nFEo2Qg2UP&#10;1411/rmAloRDTi2KH+HZ/sb5IfQhJGRzoGS5lUpFw9bFRlmyZzgo27hG9J/ClCZdTpeL2WJg4K8Q&#10;07j+BNFKjxOvZJtTHGBcY5DSoQ4RZ3asN9AXGBu4833Rj3IUUN4hkRaGecb3h4cG7EdKOpzlnLoP&#10;O2YFJeqFRjGW6Xwehj8a88X5DA176ilOPUxzhMqpp2Q4bvzwYHbGyrrBTIP8Gq5QwEpGakOpQ1Wj&#10;7DivUZzxbYUHcWrHqB9/gPV3AAAA//8DAFBLAwQUAAYACAAAACEAWlqbJuIAAAAKAQAADwAAAGRy&#10;cy9kb3ducmV2LnhtbEyPy07DMBBF90j8gzVIbFDrkJJQQpyqAiHRSiz6YO/Egx01Hqex24a/x6xg&#10;OZqje88tF6Pt2BkH3zoScD9NgCE1TrWkBex3b5M5MB8kKdk5QgHf6GFRXV+VslDuQhs8b4NmMYR8&#10;IQWYEPqCc98YtNJPXY8Uf19usDLEc9BcDfISw23H0yTJuZUtxQYje3wx2By2JyvgI3tX+lgfD6+Z&#10;2verzzu9NuulELc34/IZWMAx/MHwqx/VoYpOtTuR8qwTMJk9pREVkGY5sAg85FkcVwuYpY9z4FXJ&#10;/0+ofgAAAP//AwBQSwECLQAUAAYACAAAACEAtoM4kv4AAADhAQAAEwAAAAAAAAAAAAAAAAAAAAAA&#10;W0NvbnRlbnRfVHlwZXNdLnhtbFBLAQItABQABgAIAAAAIQA4/SH/1gAAAJQBAAALAAAAAAAAAAAA&#10;AAAAAC8BAABfcmVscy8ucmVsc1BLAQItABQABgAIAAAAIQCuizEjMwIAAEkEAAAOAAAAAAAAAAAA&#10;AAAAAC4CAABkcnMvZTJvRG9jLnhtbFBLAQItABQABgAIAAAAIQBaWpsm4gAAAAoBAAAPAAAAAAAA&#10;AAAAAAAAAI0EAABkcnMvZG93bnJldi54bWxQSwUGAAAAAAQABADzAAAAnAUAAAAA&#10;">
            <v:path/>
            <v:fill focussize="0,0"/>
            <v:stroke miterlimit="2"/>
            <v:imagedata o:title=""/>
            <o:lock v:ext="edit"/>
            <v:textbox>
              <w:txbxContent>
                <w:p/>
                <w:p/>
                <w:p>
                  <w:pPr>
                    <w:jc w:val="center"/>
                    <w:rPr>
                      <w:rFonts w:ascii="仿宋" w:hAnsi="仿宋" w:eastAsia="仿宋"/>
                      <w:sz w:val="36"/>
                      <w:szCs w:val="36"/>
                    </w:rPr>
                  </w:pPr>
                  <w:r>
                    <w:rPr>
                      <w:rFonts w:hint="eastAsia" w:ascii="仿宋" w:hAnsi="仿宋" w:eastAsia="仿宋"/>
                      <w:sz w:val="36"/>
                      <w:szCs w:val="36"/>
                    </w:rPr>
                    <w:t>法定代表人（或负责人）</w:t>
                  </w:r>
                </w:p>
                <w:p>
                  <w:pPr>
                    <w:jc w:val="center"/>
                    <w:rPr>
                      <w:rFonts w:ascii="仿宋" w:hAnsi="仿宋" w:eastAsia="仿宋"/>
                      <w:sz w:val="36"/>
                      <w:szCs w:val="36"/>
                    </w:rPr>
                  </w:pPr>
                  <w:r>
                    <w:rPr>
                      <w:rFonts w:hint="eastAsia" w:ascii="仿宋" w:hAnsi="仿宋" w:eastAsia="仿宋"/>
                      <w:sz w:val="36"/>
                      <w:szCs w:val="36"/>
                    </w:rPr>
                    <w:t>身份证扫描件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v:textbox>
          </v:shape>
        </w:pict>
      </w:r>
      <w:r>
        <w:rPr>
          <w:rFonts w:ascii="仿宋" w:hAnsi="仿宋" w:eastAsia="仿宋"/>
          <w:color w:val="auto"/>
          <w:szCs w:val="21"/>
        </w:rPr>
        <w:pict>
          <v:shape id="文本框 3" o:spid="_x0000_s1031" o:spt="202" type="#_x0000_t202" style="position:absolute;left:0pt;margin-left:249pt;margin-top:12.8pt;height:151.1pt;width:254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eoNwIAAE8EAAAOAAAAZHJzL2Uyb0RvYy54bWysVM2O0zAQviPxDpbvNGm3Zduo6Wrpqghp&#10;+ZEWHsBxnMTC8RjbbVIeAN6AExfuPFefg7HT7VYLXBA+WJ7M+PPM981kedW3iuyEdRJ0TsejlBKh&#10;OZRS1zn98H7zbE6J80yXTIEWOd0LR69WT58sO5OJCTSgSmEJgmiXdSanjfcmSxLHG9EyNwIjNDor&#10;sC3zaNo6KS3rEL1VySRNnycd2NJY4MI5/HozOOkq4leV4P5tVTnhicop5ubjbuNehD1ZLVlWW2Ya&#10;yY9psH/IomVS46MnqBvmGdla+RtUK7kFB5UfcWgTqCrJRawBqxmnj6q5a5gRsRYkx5kTTe7/wfI3&#10;u3eWyDKnU0o0a1Giw7evh+8/Dz++kItAT2dchlF3BuN8/wJ6lDmW6swt8I+OaFg3TNfi2lroGsFK&#10;TG8cbiZnVwccF0CK7jWU+A7beohAfWXbwB2yQRAdZdqfpBG9Jxw/Xkwms3mKLo6+8WI8X1xG8RKW&#10;3V831vmXAloSDjm1qH2EZ7tb50M6LLsPCa85ULLcSKWiYetirSzZMeyTTVyxgkdhSpMup4vZZDYw&#10;8FeINK4/QbTSY8Mr2eYU+xfXMUjpkIeILXvMN9AXGBu4833RR6Eit8FXQLlHPi0MXY1TiIcG7GdK&#10;OuzonLpPW2YFJeqVRk0W4+k0jEA0prPLCRr23FOce5jmCJVTT8lwXPthbLbGyrrBl4Yu0HCNOlYy&#10;MvyQ1VF97NpI/HHCwlic2zHq4T+w+gUAAP//AwBQSwMEFAAGAAgAAAAhAE5spfjhAAAACwEAAA8A&#10;AABkcnMvZG93bnJldi54bWxMj8FOwzAQRO9I/IO1SFwQdQikhBCnqkBIUIkDpdydeHGixus0dtvw&#10;92xPcNzZ0cybcjG5XhxwDJ0nBTezBARS401HVsHm8+U6BxGiJqN7T6jgBwMsqvOzUhfGH+kDD+to&#10;BYdQKLSCNsahkDI0LTodZn5A4t+3H52OfI5WmlEfOdz1Mk2SuXS6I25o9YBPLTbb9d4peM9ejd3V&#10;u+1zZjbD29eVXbWrpVKXF9PyEUTEKf6Z4YTP6FAxU+33ZILoFdw95LwlKkizOYiTgetYqRXcpvc5&#10;yKqU/zdUvwAAAP//AwBQSwECLQAUAAYACAAAACEAtoM4kv4AAADhAQAAEwAAAAAAAAAAAAAAAAAA&#10;AAAAW0NvbnRlbnRfVHlwZXNdLnhtbFBLAQItABQABgAIAAAAIQA4/SH/1gAAAJQBAAALAAAAAAAA&#10;AAAAAAAAAC8BAABfcmVscy8ucmVsc1BLAQItABQABgAIAAAAIQCLQKeoNwIAAE8EAAAOAAAAAAAA&#10;AAAAAAAAAC4CAABkcnMvZTJvRG9jLnhtbFBLAQItABQABgAIAAAAIQBObKX44QAAAAsBAAAPAAAA&#10;AAAAAAAAAAAAAJEEAABkcnMvZG93bnJldi54bWxQSwUGAAAAAAQABADzAAAAnwUAAAAA&#10;">
            <v:path/>
            <v:fill focussize="0,0"/>
            <v:stroke miterlimit="2"/>
            <v:imagedata o:title=""/>
            <o:lock v:ext="edit"/>
            <v:textbox>
              <w:txbxContent>
                <w:p/>
                <w:p/>
                <w:p>
                  <w:pPr>
                    <w:jc w:val="center"/>
                    <w:rPr>
                      <w:rFonts w:ascii="仿宋" w:hAnsi="仿宋" w:eastAsia="仿宋"/>
                      <w:sz w:val="36"/>
                      <w:szCs w:val="36"/>
                    </w:rPr>
                  </w:pPr>
                  <w:r>
                    <w:rPr>
                      <w:rFonts w:hint="eastAsia" w:ascii="仿宋" w:hAnsi="仿宋" w:eastAsia="仿宋"/>
                      <w:sz w:val="36"/>
                      <w:szCs w:val="36"/>
                    </w:rPr>
                    <w:t>法定代表人（或负责人）</w:t>
                  </w:r>
                </w:p>
                <w:p>
                  <w:pPr>
                    <w:jc w:val="center"/>
                    <w:rPr>
                      <w:rFonts w:ascii="仿宋" w:hAnsi="仿宋" w:eastAsia="仿宋"/>
                      <w:sz w:val="36"/>
                      <w:szCs w:val="36"/>
                    </w:rPr>
                  </w:pPr>
                  <w:r>
                    <w:rPr>
                      <w:rFonts w:hint="eastAsia" w:ascii="仿宋" w:hAnsi="仿宋" w:eastAsia="仿宋"/>
                      <w:sz w:val="36"/>
                      <w:szCs w:val="36"/>
                    </w:rPr>
                    <w:t>身份证扫描件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v:textbox>
          </v:shape>
        </w:pict>
      </w:r>
    </w:p>
    <w:p>
      <w:pPr>
        <w:shd w:val="clear" w:color="auto" w:fill="FFFFFF"/>
        <w:spacing w:line="440" w:lineRule="exact"/>
        <w:rPr>
          <w:rFonts w:ascii="仿宋" w:hAnsi="仿宋" w:eastAsia="仿宋"/>
          <w:color w:val="auto"/>
          <w:szCs w:val="21"/>
        </w:rPr>
      </w:pPr>
    </w:p>
    <w:p>
      <w:pPr>
        <w:shd w:val="clear" w:color="auto" w:fill="FFFFFF"/>
        <w:spacing w:line="440" w:lineRule="exact"/>
        <w:rPr>
          <w:rFonts w:ascii="仿宋" w:hAnsi="仿宋" w:eastAsia="仿宋"/>
          <w:color w:val="auto"/>
          <w:szCs w:val="21"/>
        </w:rPr>
      </w:pPr>
    </w:p>
    <w:p>
      <w:pPr>
        <w:shd w:val="clear" w:color="auto" w:fill="FFFFFF"/>
        <w:spacing w:line="440" w:lineRule="exact"/>
        <w:rPr>
          <w:rFonts w:ascii="仿宋" w:hAnsi="仿宋" w:eastAsia="仿宋"/>
          <w:color w:val="auto"/>
          <w:szCs w:val="21"/>
        </w:rPr>
      </w:pPr>
    </w:p>
    <w:p>
      <w:pPr>
        <w:shd w:val="clear" w:color="auto" w:fill="FFFFFF"/>
        <w:spacing w:line="440" w:lineRule="exact"/>
        <w:rPr>
          <w:rFonts w:ascii="仿宋" w:hAnsi="仿宋" w:eastAsia="仿宋"/>
          <w:color w:val="auto"/>
          <w:szCs w:val="21"/>
        </w:rPr>
      </w:pPr>
    </w:p>
    <w:p>
      <w:pPr>
        <w:shd w:val="clear" w:color="auto" w:fill="FFFFFF"/>
        <w:spacing w:line="440" w:lineRule="exact"/>
        <w:rPr>
          <w:rFonts w:ascii="仿宋" w:hAnsi="仿宋" w:eastAsia="仿宋"/>
          <w:color w:val="auto"/>
          <w:szCs w:val="21"/>
        </w:rPr>
      </w:pPr>
    </w:p>
    <w:p>
      <w:pPr>
        <w:shd w:val="clear" w:color="auto" w:fill="FFFFFF"/>
        <w:spacing w:line="440" w:lineRule="exact"/>
        <w:rPr>
          <w:rFonts w:ascii="仿宋" w:hAnsi="仿宋" w:eastAsia="仿宋"/>
          <w:color w:val="auto"/>
          <w:szCs w:val="21"/>
        </w:rPr>
      </w:pPr>
    </w:p>
    <w:p>
      <w:pPr>
        <w:shd w:val="clear" w:color="auto" w:fill="FFFFFF"/>
        <w:spacing w:line="440" w:lineRule="exact"/>
        <w:rPr>
          <w:rFonts w:ascii="仿宋" w:hAnsi="仿宋" w:eastAsia="仿宋"/>
          <w:color w:val="auto"/>
          <w:szCs w:val="21"/>
        </w:rPr>
      </w:pP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特此证明。</w:t>
      </w:r>
    </w:p>
    <w:p>
      <w:pPr>
        <w:shd w:val="clear" w:color="auto" w:fill="FFFFFF"/>
        <w:spacing w:line="440" w:lineRule="exact"/>
        <w:rPr>
          <w:rFonts w:ascii="仿宋" w:hAnsi="仿宋" w:eastAsia="仿宋"/>
          <w:color w:val="auto"/>
          <w:sz w:val="24"/>
        </w:rPr>
      </w:pPr>
    </w:p>
    <w:p>
      <w:pPr>
        <w:shd w:val="clear" w:color="auto" w:fill="FFFFFF"/>
        <w:spacing w:line="440" w:lineRule="exact"/>
        <w:rPr>
          <w:rFonts w:ascii="仿宋" w:hAnsi="仿宋" w:eastAsia="仿宋"/>
          <w:color w:val="auto"/>
          <w:sz w:val="24"/>
        </w:rPr>
      </w:pPr>
    </w:p>
    <w:p>
      <w:pPr>
        <w:pStyle w:val="304"/>
        <w:shd w:val="clear" w:color="auto" w:fill="FFFFFF"/>
        <w:snapToGrid w:val="0"/>
        <w:spacing w:line="44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法定代表人</w:t>
      </w:r>
      <w:r>
        <w:rPr>
          <w:rFonts w:hint="eastAsia" w:ascii="仿宋" w:hAnsi="仿宋" w:eastAsia="仿宋"/>
          <w:color w:val="auto"/>
          <w:kern w:val="0"/>
          <w:sz w:val="24"/>
        </w:rPr>
        <w:t>（或负责人）</w:t>
      </w:r>
      <w:r>
        <w:rPr>
          <w:rFonts w:hint="eastAsia" w:ascii="仿宋" w:hAnsi="仿宋" w:eastAsia="仿宋"/>
          <w:color w:val="auto"/>
          <w:sz w:val="24"/>
        </w:rPr>
        <w:t>（签字或签章）：</w:t>
      </w:r>
    </w:p>
    <w:p>
      <w:pPr>
        <w:shd w:val="clear" w:color="auto" w:fill="FFFFFF"/>
        <w:tabs>
          <w:tab w:val="left" w:pos="3780"/>
        </w:tabs>
        <w:spacing w:line="440" w:lineRule="exact"/>
        <w:rPr>
          <w:rFonts w:ascii="仿宋" w:hAnsi="仿宋" w:eastAsia="仿宋"/>
          <w:color w:val="auto"/>
          <w:sz w:val="24"/>
        </w:rPr>
      </w:pPr>
      <w:r>
        <w:rPr>
          <w:rFonts w:hint="eastAsia" w:ascii="仿宋" w:hAnsi="仿宋" w:eastAsia="仿宋"/>
          <w:color w:val="auto"/>
          <w:sz w:val="24"/>
        </w:rPr>
        <w:t>日期：  年  月  日</w:t>
      </w:r>
    </w:p>
    <w:p>
      <w:pPr>
        <w:shd w:val="clear" w:color="auto" w:fill="FFFFFF"/>
        <w:spacing w:line="500" w:lineRule="exact"/>
        <w:rPr>
          <w:rFonts w:ascii="仿宋" w:hAnsi="仿宋" w:eastAsia="仿宋"/>
          <w:b/>
          <w:bCs/>
          <w:color w:val="auto"/>
          <w:szCs w:val="21"/>
        </w:rPr>
      </w:pPr>
    </w:p>
    <w:p>
      <w:pPr>
        <w:shd w:val="clear" w:color="auto" w:fill="FFFFFF"/>
        <w:spacing w:line="440" w:lineRule="exact"/>
        <w:rPr>
          <w:rFonts w:ascii="仿宋" w:hAnsi="仿宋" w:eastAsia="仿宋"/>
          <w:bCs/>
          <w:color w:val="auto"/>
          <w:sz w:val="24"/>
        </w:rPr>
      </w:pPr>
      <w:r>
        <w:rPr>
          <w:rFonts w:hint="eastAsia" w:ascii="仿宋" w:hAnsi="仿宋" w:eastAsia="仿宋"/>
          <w:b/>
          <w:bCs/>
          <w:color w:val="auto"/>
          <w:sz w:val="18"/>
          <w:szCs w:val="18"/>
        </w:rPr>
        <w:br w:type="page"/>
      </w:r>
    </w:p>
    <w:p>
      <w:pPr>
        <w:shd w:val="clear" w:color="auto" w:fill="FFFFFF"/>
        <w:spacing w:line="440" w:lineRule="exact"/>
        <w:jc w:val="center"/>
        <w:rPr>
          <w:rFonts w:ascii="仿宋" w:hAnsi="仿宋" w:eastAsia="仿宋"/>
          <w:b/>
          <w:bCs/>
          <w:color w:val="auto"/>
          <w:sz w:val="28"/>
          <w:szCs w:val="28"/>
        </w:rPr>
      </w:pPr>
      <w:r>
        <w:rPr>
          <w:rFonts w:hint="eastAsia" w:ascii="仿宋" w:hAnsi="仿宋" w:eastAsia="仿宋"/>
          <w:b/>
          <w:bCs/>
          <w:color w:val="auto"/>
          <w:sz w:val="28"/>
          <w:szCs w:val="28"/>
        </w:rPr>
        <w:t>法定代表人（或负责人）授权委托书</w:t>
      </w:r>
    </w:p>
    <w:p>
      <w:pPr>
        <w:shd w:val="clear" w:color="auto" w:fill="FFFFFF"/>
        <w:spacing w:line="440" w:lineRule="exact"/>
        <w:jc w:val="center"/>
        <w:rPr>
          <w:rFonts w:ascii="仿宋" w:hAnsi="仿宋" w:eastAsia="仿宋"/>
          <w:b/>
          <w:bCs/>
          <w:color w:val="auto"/>
          <w:sz w:val="24"/>
        </w:rPr>
      </w:pPr>
    </w:p>
    <w:p>
      <w:pPr>
        <w:shd w:val="clear" w:color="auto" w:fill="FFFFFF"/>
        <w:spacing w:line="440" w:lineRule="exact"/>
        <w:ind w:firstLine="453" w:firstLineChars="189"/>
        <w:rPr>
          <w:rFonts w:ascii="仿宋" w:hAnsi="仿宋" w:eastAsia="仿宋"/>
          <w:bCs/>
          <w:color w:val="auto"/>
          <w:sz w:val="24"/>
          <w:u w:val="single"/>
        </w:rPr>
      </w:pPr>
      <w:r>
        <w:rPr>
          <w:rFonts w:hint="eastAsia" w:ascii="仿宋" w:hAnsi="仿宋" w:eastAsia="仿宋"/>
          <w:bCs/>
          <w:color w:val="auto"/>
          <w:sz w:val="24"/>
        </w:rPr>
        <w:t>本授权委托书声明：我系</w:t>
      </w:r>
      <w:r>
        <w:rPr>
          <w:rFonts w:hint="eastAsia" w:ascii="仿宋" w:hAnsi="仿宋" w:eastAsia="仿宋"/>
          <w:bCs/>
          <w:color w:val="auto"/>
          <w:sz w:val="24"/>
          <w:u w:val="single"/>
        </w:rPr>
        <w:t xml:space="preserve">  （供应商名称）  </w:t>
      </w:r>
      <w:r>
        <w:rPr>
          <w:rFonts w:hint="eastAsia" w:ascii="仿宋" w:hAnsi="仿宋" w:eastAsia="仿宋"/>
          <w:bCs/>
          <w:color w:val="auto"/>
          <w:sz w:val="24"/>
        </w:rPr>
        <w:t>的</w:t>
      </w:r>
      <w:r>
        <w:rPr>
          <w:rFonts w:hint="eastAsia" w:ascii="仿宋" w:hAnsi="仿宋" w:eastAsia="仿宋"/>
          <w:color w:val="auto"/>
          <w:sz w:val="24"/>
        </w:rPr>
        <w:t>法定代表人</w:t>
      </w:r>
      <w:r>
        <w:rPr>
          <w:rFonts w:hint="eastAsia" w:ascii="仿宋" w:hAnsi="仿宋" w:eastAsia="仿宋"/>
          <w:color w:val="auto"/>
          <w:kern w:val="0"/>
          <w:sz w:val="24"/>
        </w:rPr>
        <w:t>（或负责人）</w:t>
      </w:r>
      <w:r>
        <w:rPr>
          <w:rFonts w:hint="eastAsia" w:ascii="仿宋" w:hAnsi="仿宋" w:eastAsia="仿宋"/>
          <w:bCs/>
          <w:color w:val="auto"/>
          <w:sz w:val="24"/>
        </w:rPr>
        <w:t>，现授权委托</w:t>
      </w:r>
      <w:r>
        <w:rPr>
          <w:rFonts w:hint="eastAsia" w:ascii="仿宋" w:hAnsi="仿宋" w:eastAsia="仿宋"/>
          <w:bCs/>
          <w:color w:val="auto"/>
          <w:sz w:val="24"/>
          <w:u w:val="single"/>
        </w:rPr>
        <w:t xml:space="preserve">   （供应商名称） </w:t>
      </w:r>
      <w:r>
        <w:rPr>
          <w:rFonts w:hint="eastAsia" w:ascii="仿宋" w:hAnsi="仿宋" w:eastAsia="仿宋"/>
          <w:bCs/>
          <w:color w:val="auto"/>
          <w:sz w:val="24"/>
        </w:rPr>
        <w:t>的</w:t>
      </w:r>
      <w:r>
        <w:rPr>
          <w:rFonts w:hint="eastAsia" w:ascii="仿宋" w:hAnsi="仿宋" w:eastAsia="仿宋"/>
          <w:bCs/>
          <w:color w:val="auto"/>
          <w:sz w:val="24"/>
          <w:u w:val="single"/>
        </w:rPr>
        <w:t xml:space="preserve"> （授权代表姓名） </w:t>
      </w:r>
      <w:r>
        <w:rPr>
          <w:rFonts w:hint="eastAsia" w:ascii="仿宋" w:hAnsi="仿宋" w:eastAsia="仿宋"/>
          <w:bCs/>
          <w:color w:val="auto"/>
          <w:sz w:val="24"/>
        </w:rPr>
        <w:t xml:space="preserve"> 为我的代理人，以</w:t>
      </w:r>
      <w:r>
        <w:rPr>
          <w:rFonts w:hint="eastAsia" w:ascii="仿宋" w:hAnsi="仿宋" w:eastAsia="仿宋"/>
          <w:bCs/>
          <w:color w:val="auto"/>
          <w:sz w:val="24"/>
          <w:u w:val="single"/>
        </w:rPr>
        <w:t>（供应商名称）</w:t>
      </w:r>
      <w:r>
        <w:rPr>
          <w:rFonts w:hint="eastAsia" w:ascii="仿宋" w:hAnsi="仿宋" w:eastAsia="仿宋"/>
          <w:bCs/>
          <w:color w:val="auto"/>
          <w:sz w:val="24"/>
        </w:rPr>
        <w:t>的名义参加</w:t>
      </w:r>
      <w:r>
        <w:rPr>
          <w:rFonts w:hint="eastAsia" w:ascii="仿宋" w:hAnsi="仿宋" w:eastAsia="仿宋"/>
          <w:bCs/>
          <w:color w:val="auto"/>
          <w:sz w:val="24"/>
          <w:u w:val="single"/>
        </w:rPr>
        <w:t>（项目名称和项目编号）</w:t>
      </w:r>
      <w:r>
        <w:rPr>
          <w:rFonts w:hint="eastAsia" w:ascii="仿宋" w:hAnsi="仿宋" w:eastAsia="仿宋"/>
          <w:bCs/>
          <w:color w:val="auto"/>
          <w:sz w:val="24"/>
        </w:rPr>
        <w:t>招标项目的投标活动。代理人在参加整个招标投标活动所签署的一切文件和处理与之相关的一切事物，我均予承认。</w:t>
      </w:r>
    </w:p>
    <w:p>
      <w:pPr>
        <w:shd w:val="clear" w:color="auto" w:fill="FFFFFF"/>
        <w:spacing w:line="440" w:lineRule="exact"/>
        <w:ind w:firstLine="480" w:firstLineChars="200"/>
        <w:rPr>
          <w:rFonts w:ascii="仿宋" w:hAnsi="仿宋" w:eastAsia="仿宋"/>
          <w:bCs/>
          <w:color w:val="auto"/>
          <w:sz w:val="24"/>
          <w:u w:val="single"/>
        </w:rPr>
      </w:pPr>
      <w:r>
        <w:rPr>
          <w:rFonts w:hint="eastAsia" w:ascii="仿宋" w:hAnsi="仿宋" w:eastAsia="仿宋"/>
          <w:bCs/>
          <w:color w:val="auto"/>
          <w:sz w:val="24"/>
        </w:rPr>
        <w:t>代理人：   性别：  年龄：</w:t>
      </w:r>
    </w:p>
    <w:p>
      <w:pPr>
        <w:shd w:val="clear" w:color="auto" w:fill="FFFFFF"/>
        <w:spacing w:line="440" w:lineRule="exact"/>
        <w:ind w:firstLine="480" w:firstLineChars="200"/>
        <w:rPr>
          <w:rFonts w:ascii="仿宋" w:hAnsi="仿宋" w:eastAsia="仿宋"/>
          <w:bCs/>
          <w:color w:val="auto"/>
          <w:sz w:val="24"/>
        </w:rPr>
      </w:pPr>
      <w:r>
        <w:rPr>
          <w:rFonts w:hint="eastAsia" w:ascii="仿宋" w:hAnsi="仿宋" w:eastAsia="仿宋"/>
          <w:bCs/>
          <w:color w:val="auto"/>
          <w:sz w:val="24"/>
        </w:rPr>
        <w:t xml:space="preserve">部  门：   职务：  </w:t>
      </w:r>
      <w:r>
        <w:rPr>
          <w:rFonts w:hint="eastAsia" w:ascii="仿宋" w:hAnsi="仿宋" w:eastAsia="仿宋"/>
          <w:color w:val="auto"/>
          <w:sz w:val="24"/>
        </w:rPr>
        <w:t>电话号码：</w:t>
      </w:r>
    </w:p>
    <w:p>
      <w:pPr>
        <w:shd w:val="clear" w:color="auto" w:fill="FFFFFF"/>
        <w:spacing w:line="440" w:lineRule="exact"/>
        <w:ind w:firstLine="480" w:firstLineChars="200"/>
        <w:rPr>
          <w:rFonts w:ascii="仿宋" w:hAnsi="仿宋" w:eastAsia="仿宋"/>
          <w:bCs/>
          <w:color w:val="auto"/>
          <w:sz w:val="24"/>
          <w:u w:val="single"/>
        </w:rPr>
      </w:pPr>
      <w:r>
        <w:rPr>
          <w:rFonts w:hint="eastAsia" w:ascii="仿宋" w:hAnsi="仿宋" w:eastAsia="仿宋"/>
          <w:bCs/>
          <w:color w:val="auto"/>
          <w:sz w:val="24"/>
        </w:rPr>
        <w:t>代理期限：</w:t>
      </w:r>
    </w:p>
    <w:p>
      <w:pPr>
        <w:shd w:val="clear" w:color="auto" w:fill="FFFFFF"/>
        <w:spacing w:line="440" w:lineRule="exact"/>
        <w:rPr>
          <w:rFonts w:ascii="仿宋" w:hAnsi="仿宋" w:eastAsia="仿宋"/>
          <w:bCs/>
          <w:color w:val="auto"/>
          <w:szCs w:val="21"/>
        </w:rPr>
      </w:pPr>
      <w:r>
        <w:rPr>
          <w:rFonts w:ascii="仿宋" w:hAnsi="仿宋" w:eastAsia="仿宋"/>
          <w:bCs/>
          <w:color w:val="auto"/>
          <w:szCs w:val="21"/>
        </w:rPr>
        <w:pict>
          <v:shape id="文本框 2" o:spid="_x0000_s1032" o:spt="202" type="#_x0000_t202" style="position:absolute;left:0pt;margin-left:-7.3pt;margin-top:9.65pt;height:149.25pt;width:234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3viNAIAAE8EAAAOAAAAZHJzL2Uyb0RvYy54bWysVE2u0zAQ3iNxB8t7mqS0tI2aPj36VIT0&#10;+JEeHMBxnMbC8RjbbVIOADdgxYY95+o5GDt9pfxtEFlYHs/4m5nvG2d51beK7IV1EnRBs1FKidAc&#10;Kqm3BX37ZvNoTonzTFdMgRYFPQhHr1YPHyw7k4sxNKAqYQmCaJd3pqCN9yZPEscb0TI3AiM0Omuw&#10;LfNo2m1SWdYhequScZo+STqwlbHAhXN4ejM46Sri17Xg/lVdO+GJKijW5uNq41qGNVktWb61zDSS&#10;n8pg/1BFy6TGpGeoG+YZ2Vn5G1QruQUHtR9xaBOoa8lF7AG7ydJfurlrmBGxFyTHmTNN7v/B8pf7&#10;15bIqqCPKdGsRYmOnz8dv3w7fv1IxoGezrgco+4Mxvn+KfQoc2zVmVvg7xzRsG6Y3opra6FrBKuw&#10;vCzcTC6uDjgugJTdC6gwD9t5iEB9bdvAHbJBEB1lOpylEb0nHA/Hi1k2T9HF0ZfNF9PJbBpzsPz+&#10;urHOPxPQkrApqEXtIzzb3zofymH5fUjI5kDJaiOViobdlmtlyZ7hnGzid0L/KUxp0hV0MR1PBwb+&#10;CpHG708QrfQ48Eq22NNlkNKhDhFH9lRvoC8wNnDn+7KPQp1VKaE6IJ8WhqnGV4ibBuwHSjqc6IK6&#10;9ztmBSXquUZNFtlkEp5ANCbT2RgNe+kpLz1Mc4QqqKdk2K798Gx2xsptg5mGKdBwjTrWMjIcKh6q&#10;OqmPUxuJP72w8Cwu7Rj14z+w+g4AAP//AwBQSwMEFAAGAAgAAAAhAHcdcn3hAAAACgEAAA8AAABk&#10;cnMvZG93bnJldi54bWxMj8FOwzAQRO9I/IO1SFxQ64QkpYQ4VQVCgkocKOXuxMaOGq/T2G3D37Oc&#10;4Liap5m31WpyPTvpMXQeBaTzBJjG1qsOjYDdx/NsCSxEiUr2HrWAbx1gVV9eVLJU/ozv+rSNhlEJ&#10;hlIKsDEOJeehtdrJMPeDRsq+/OhkpHM0XI3yTOWu57dJsuBOdkgLVg760ep2vz06AW/FizKH5rB/&#10;KtRueP28MRu7WQtxfTWtH4BFPcU/GH71SR1qcmr8EVVgvYBZmi8IpeA+A0ZAXmQ5sEZAlt4tgdcV&#10;//9C/QMAAP//AwBQSwECLQAUAAYACAAAACEAtoM4kv4AAADhAQAAEwAAAAAAAAAAAAAAAAAAAAAA&#10;W0NvbnRlbnRfVHlwZXNdLnhtbFBLAQItABQABgAIAAAAIQA4/SH/1gAAAJQBAAALAAAAAAAAAAAA&#10;AAAAAC8BAABfcmVscy8ucmVsc1BLAQItABQABgAIAAAAIQAGW3viNAIAAE8EAAAOAAAAAAAAAAAA&#10;AAAAAC4CAABkcnMvZTJvRG9jLnhtbFBLAQItABQABgAIAAAAIQB3HXJ94QAAAAoBAAAPAAAAAAAA&#10;AAAAAAAAAI4EAABkcnMvZG93bnJldi54bWxQSwUGAAAAAAQABADzAAAAnAU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代理人身份证扫描件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v:textbox>
          </v:shape>
        </w:pict>
      </w:r>
      <w:r>
        <w:rPr>
          <w:rFonts w:ascii="仿宋" w:hAnsi="仿宋" w:eastAsia="仿宋"/>
          <w:bCs/>
          <w:color w:val="auto"/>
          <w:szCs w:val="21"/>
        </w:rPr>
        <w:pict>
          <v:shape id="文本框 1" o:spid="_x0000_s1033" o:spt="202" type="#_x0000_t202" style="position:absolute;left:0pt;margin-left:244.7pt;margin-top:9.65pt;height:149.25pt;width:234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OfGNQIAAE8EAAAOAAAAZHJzL2Uyb0RvYy54bWysVE2u0zAQ3iNxB8t7mqa0vDZq+vToUxHS&#10;40d6cADXcRoL22Nst0k5ANyAFRv2nKvnYOy0pfxtEFlYHs/488z3zWR+3WlFdsJ5Caak+WBIiTAc&#10;Kmk2JX37ZvVoSokPzFRMgREl3QtPrxcPH8xbW4gRNKAq4QiCGF+0tqRNCLbIMs8boZkfgBUGnTU4&#10;zQKabpNVjrWIrlU2Gg6fZC24yjrgwns8ve2ddJHw61rw8KquvQhElRRzC2l1aV3HNVvMWbFxzDaS&#10;H9Ng/5CFZtLgo2eoWxYY2Tr5G5SW3IGHOgw46AzqWnKRasBq8uEv1dw3zIpUC5Lj7Zkm//9g+cvd&#10;a0dkVdIRJYZplOjw+dPhy7fD148kj/S01hcYdW8xLnRPoUOZU6ne3gF/54mBZcPMRtw4B20jWIXp&#10;pZvZxdUex0eQdfsCKnyHbQMkoK52OnKHbBBER5n2Z2lEFwjHw9HsKp8O0cXRl09nk/HVJGaXseJ0&#10;3TofngnQJG5K6lD7BM92dz70oaeQ+JoHJauVVCoZbrNeKkd2DPtklb4j+k9hypC2pLPJaNIz8FeI&#10;Yfr+BKFlwIZXUmNNl0HKxDxEatljvpG+yFjPXejWXRLq8UmVNVR75NNB39U4hbhpwH2gpMWOLql/&#10;v2VOUKKeG9Rklo/HcQSSMZ5cjdBwl571pYcZjlAlDZT022Xox2Zrndw0+FLfBQZuUMdaJoZjxn1W&#10;qEw0sGuTRscJi2NxaaeoH/+BxXcAAAD//wMAUEsDBBQABgAIAAAAIQAWFtYV4QAAAAoBAAAPAAAA&#10;ZHJzL2Rvd25yZXYueG1sTI/BTsMwDIbvSLxDZCQuaEvHVtaWptMEQoJJHNjGPW1CUq1xuibbyttj&#10;TnC0/0+/P5er0XXsrIfQehQwmybANDZetWgE7HcvkwxYiBKV7DxqAd86wKq6viplofwFP/R5Gw2j&#10;EgyFFGBj7AvOQ2O1k2Hqe42UffnByUjjYLga5IXKXcfvk+SBO9kiXbCy109WN4ftyQl4T1+VOdbH&#10;w3Oq9v3b553Z2M1aiNubcf0ILOox/sHwq0/qUJFT7U+oAusELLJ8QSgF+RwYAXm6pEUtYD5bZsCr&#10;kv9/ofoBAAD//wMAUEsBAi0AFAAGAAgAAAAhALaDOJL+AAAA4QEAABMAAAAAAAAAAAAAAAAAAAAA&#10;AFtDb250ZW50X1R5cGVzXS54bWxQSwECLQAUAAYACAAAACEAOP0h/9YAAACUAQAACwAAAAAAAAAA&#10;AAAAAAAvAQAAX3JlbHMvLnJlbHNQSwECLQAUAAYACAAAACEA1ujnxjUCAABPBAAADgAAAAAAAAAA&#10;AAAAAAAuAgAAZHJzL2Uyb0RvYy54bWxQSwECLQAUAAYACAAAACEAFhbWFeEAAAAKAQAADwAAAAAA&#10;AAAAAAAAAACPBAAAZHJzL2Rvd25yZXYueG1sUEsFBgAAAAAEAAQA8wAAAJ0FA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代理人身份证扫描件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v:textbox>
          </v:shape>
        </w:pict>
      </w:r>
    </w:p>
    <w:p>
      <w:pPr>
        <w:shd w:val="clear" w:color="auto" w:fill="FFFFFF"/>
        <w:spacing w:line="440" w:lineRule="exact"/>
        <w:rPr>
          <w:rFonts w:ascii="仿宋" w:hAnsi="仿宋" w:eastAsia="仿宋"/>
          <w:bCs/>
          <w:color w:val="auto"/>
          <w:szCs w:val="21"/>
        </w:rPr>
      </w:pPr>
    </w:p>
    <w:p>
      <w:pPr>
        <w:shd w:val="clear" w:color="auto" w:fill="FFFFFF"/>
        <w:spacing w:line="440" w:lineRule="exact"/>
        <w:rPr>
          <w:rFonts w:ascii="仿宋" w:hAnsi="仿宋" w:eastAsia="仿宋"/>
          <w:bCs/>
          <w:color w:val="auto"/>
          <w:szCs w:val="21"/>
        </w:rPr>
      </w:pPr>
    </w:p>
    <w:p>
      <w:pPr>
        <w:shd w:val="clear" w:color="auto" w:fill="FFFFFF"/>
        <w:spacing w:line="440" w:lineRule="exact"/>
        <w:rPr>
          <w:rFonts w:ascii="仿宋" w:hAnsi="仿宋" w:eastAsia="仿宋"/>
          <w:bCs/>
          <w:color w:val="auto"/>
          <w:szCs w:val="21"/>
        </w:rPr>
      </w:pPr>
    </w:p>
    <w:p>
      <w:pPr>
        <w:shd w:val="clear" w:color="auto" w:fill="FFFFFF"/>
        <w:spacing w:line="440" w:lineRule="exact"/>
        <w:rPr>
          <w:rFonts w:ascii="仿宋" w:hAnsi="仿宋" w:eastAsia="仿宋"/>
          <w:bCs/>
          <w:color w:val="auto"/>
          <w:szCs w:val="21"/>
        </w:rPr>
      </w:pPr>
    </w:p>
    <w:p>
      <w:pPr>
        <w:shd w:val="clear" w:color="auto" w:fill="FFFFFF"/>
        <w:spacing w:line="440" w:lineRule="exact"/>
        <w:rPr>
          <w:rFonts w:ascii="仿宋" w:hAnsi="仿宋" w:eastAsia="仿宋"/>
          <w:bCs/>
          <w:color w:val="auto"/>
          <w:szCs w:val="21"/>
        </w:rPr>
      </w:pPr>
    </w:p>
    <w:p>
      <w:pPr>
        <w:shd w:val="clear" w:color="auto" w:fill="FFFFFF"/>
        <w:spacing w:line="440" w:lineRule="exact"/>
        <w:rPr>
          <w:rFonts w:ascii="仿宋" w:hAnsi="仿宋" w:eastAsia="仿宋"/>
          <w:bCs/>
          <w:color w:val="auto"/>
          <w:szCs w:val="21"/>
        </w:rPr>
      </w:pPr>
    </w:p>
    <w:p>
      <w:pPr>
        <w:pStyle w:val="304"/>
        <w:shd w:val="clear" w:color="auto" w:fill="FFFFFF"/>
        <w:snapToGrid w:val="0"/>
        <w:spacing w:line="440" w:lineRule="exact"/>
        <w:ind w:firstLine="210"/>
        <w:rPr>
          <w:rFonts w:ascii="仿宋" w:hAnsi="仿宋" w:eastAsia="仿宋"/>
          <w:color w:val="auto"/>
          <w:sz w:val="21"/>
          <w:szCs w:val="21"/>
        </w:rPr>
      </w:pPr>
    </w:p>
    <w:p>
      <w:pPr>
        <w:pStyle w:val="304"/>
        <w:shd w:val="clear" w:color="auto" w:fill="FFFFFF"/>
        <w:snapToGrid w:val="0"/>
        <w:spacing w:line="440" w:lineRule="exact"/>
        <w:ind w:firstLine="210"/>
        <w:rPr>
          <w:rFonts w:ascii="仿宋" w:hAnsi="仿宋" w:eastAsia="仿宋"/>
          <w:color w:val="auto"/>
          <w:sz w:val="21"/>
          <w:szCs w:val="21"/>
        </w:rPr>
      </w:pPr>
    </w:p>
    <w:p>
      <w:pPr>
        <w:pStyle w:val="304"/>
        <w:shd w:val="clear" w:color="auto" w:fill="FFFFFF"/>
        <w:snapToGrid w:val="0"/>
        <w:spacing w:line="440" w:lineRule="exact"/>
        <w:ind w:firstLine="210"/>
        <w:rPr>
          <w:rFonts w:ascii="仿宋" w:hAnsi="仿宋" w:eastAsia="仿宋"/>
          <w:color w:val="auto"/>
          <w:sz w:val="21"/>
          <w:szCs w:val="21"/>
        </w:rPr>
      </w:pPr>
    </w:p>
    <w:p>
      <w:pPr>
        <w:pStyle w:val="304"/>
        <w:shd w:val="clear" w:color="auto" w:fill="FFFFFF"/>
        <w:snapToGrid w:val="0"/>
        <w:spacing w:line="44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法定代表人</w:t>
      </w:r>
      <w:r>
        <w:rPr>
          <w:rFonts w:hint="eastAsia" w:ascii="仿宋" w:hAnsi="仿宋" w:eastAsia="仿宋"/>
          <w:color w:val="auto"/>
          <w:kern w:val="0"/>
          <w:sz w:val="24"/>
        </w:rPr>
        <w:t>（或负责人）</w:t>
      </w:r>
      <w:r>
        <w:rPr>
          <w:rFonts w:hint="eastAsia" w:ascii="仿宋" w:hAnsi="仿宋" w:eastAsia="仿宋"/>
          <w:color w:val="auto"/>
          <w:sz w:val="24"/>
        </w:rPr>
        <w:t>（签字或签章）：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授权代理人（签字或签章）：</w:t>
      </w:r>
    </w:p>
    <w:p>
      <w:pPr>
        <w:widowControl/>
        <w:spacing w:line="440" w:lineRule="exact"/>
        <w:jc w:val="left"/>
        <w:rPr>
          <w:rFonts w:ascii="仿宋" w:hAnsi="仿宋" w:eastAsia="仿宋"/>
          <w:color w:val="auto"/>
          <w:sz w:val="24"/>
        </w:rPr>
      </w:pPr>
      <w:r>
        <w:rPr>
          <w:rFonts w:hint="eastAsia" w:ascii="仿宋" w:hAnsi="仿宋" w:eastAsia="仿宋"/>
          <w:color w:val="auto"/>
          <w:sz w:val="24"/>
        </w:rPr>
        <w:t>日期：  年  月  日</w:t>
      </w:r>
    </w:p>
    <w:p>
      <w:pPr>
        <w:widowControl/>
        <w:spacing w:line="440" w:lineRule="exact"/>
        <w:jc w:val="left"/>
        <w:rPr>
          <w:rFonts w:ascii="仿宋" w:hAnsi="仿宋" w:eastAsia="仿宋"/>
          <w:color w:val="auto"/>
          <w:sz w:val="24"/>
        </w:rPr>
      </w:pPr>
    </w:p>
    <w:p>
      <w:pPr>
        <w:widowControl/>
        <w:spacing w:line="440" w:lineRule="exact"/>
        <w:jc w:val="left"/>
        <w:rPr>
          <w:rFonts w:ascii="仿宋" w:hAnsi="仿宋" w:eastAsia="仿宋"/>
          <w:color w:val="auto"/>
          <w:sz w:val="24"/>
        </w:rPr>
      </w:pPr>
    </w:p>
    <w:p>
      <w:pPr>
        <w:shd w:val="clear" w:color="auto" w:fill="FFFFFF"/>
        <w:spacing w:line="440" w:lineRule="exact"/>
        <w:rPr>
          <w:rFonts w:ascii="仿宋" w:hAnsi="仿宋" w:eastAsia="仿宋"/>
          <w:b/>
          <w:bCs/>
          <w:color w:val="auto"/>
          <w:kern w:val="0"/>
          <w:sz w:val="24"/>
        </w:rPr>
      </w:pPr>
      <w:r>
        <w:rPr>
          <w:rFonts w:ascii="仿宋" w:hAnsi="仿宋" w:eastAsia="仿宋"/>
          <w:b/>
          <w:bCs/>
          <w:color w:val="auto"/>
          <w:kern w:val="0"/>
          <w:sz w:val="24"/>
        </w:rPr>
        <w:br w:type="page"/>
      </w:r>
      <w:r>
        <w:rPr>
          <w:rFonts w:hint="eastAsia" w:ascii="仿宋" w:hAnsi="仿宋" w:eastAsia="仿宋"/>
          <w:b/>
          <w:bCs/>
          <w:color w:val="auto"/>
          <w:kern w:val="0"/>
          <w:sz w:val="24"/>
        </w:rPr>
        <w:t>附件三  供应商2022年任意连续三个月依法纳税及缴纳社会保险相关证明资料</w:t>
      </w:r>
    </w:p>
    <w:p>
      <w:pPr>
        <w:shd w:val="clear" w:color="auto" w:fill="FFFFFF"/>
        <w:spacing w:line="440" w:lineRule="exact"/>
        <w:rPr>
          <w:rFonts w:ascii="仿宋" w:hAnsi="仿宋" w:eastAsia="仿宋"/>
          <w:bCs/>
          <w:color w:val="auto"/>
          <w:sz w:val="24"/>
        </w:rPr>
      </w:pPr>
      <w:r>
        <w:rPr>
          <w:rFonts w:hint="eastAsia" w:ascii="仿宋" w:hAnsi="仿宋" w:eastAsia="仿宋"/>
          <w:bCs/>
          <w:color w:val="auto"/>
          <w:sz w:val="24"/>
        </w:rPr>
        <w:t xml:space="preserve">此处请附： </w:t>
      </w:r>
    </w:p>
    <w:p>
      <w:pPr>
        <w:shd w:val="clear" w:color="auto" w:fill="FFFFFF"/>
        <w:spacing w:line="440" w:lineRule="exact"/>
        <w:rPr>
          <w:rFonts w:ascii="仿宋" w:hAnsi="仿宋" w:eastAsia="仿宋"/>
          <w:bCs/>
          <w:color w:val="auto"/>
          <w:sz w:val="24"/>
        </w:rPr>
      </w:pPr>
      <w:r>
        <w:rPr>
          <w:rFonts w:hint="eastAsia" w:ascii="仿宋" w:hAnsi="仿宋" w:eastAsia="仿宋"/>
          <w:bCs/>
          <w:color w:val="auto"/>
          <w:sz w:val="24"/>
        </w:rPr>
        <w:t>①供应商2022年任意连续三个月公司缴纳税收的凭据或证明材料复印件；</w:t>
      </w:r>
    </w:p>
    <w:p>
      <w:pPr>
        <w:widowControl/>
        <w:spacing w:line="440" w:lineRule="exact"/>
        <w:jc w:val="left"/>
        <w:rPr>
          <w:rFonts w:ascii="仿宋" w:hAnsi="仿宋" w:eastAsia="仿宋"/>
          <w:bCs/>
          <w:color w:val="auto"/>
          <w:sz w:val="24"/>
        </w:rPr>
      </w:pPr>
      <w:r>
        <w:rPr>
          <w:rFonts w:hint="eastAsia" w:ascii="仿宋" w:hAnsi="仿宋" w:eastAsia="仿宋"/>
          <w:bCs/>
          <w:color w:val="auto"/>
          <w:sz w:val="24"/>
        </w:rPr>
        <w:t>②供应商2022年任意连续三个月公司缴纳社会保险的凭据或证明材料复印件；</w:t>
      </w:r>
    </w:p>
    <w:p>
      <w:pPr>
        <w:widowControl/>
        <w:spacing w:line="440" w:lineRule="exact"/>
        <w:ind w:firstLine="1320" w:firstLineChars="550"/>
        <w:jc w:val="left"/>
        <w:rPr>
          <w:rFonts w:ascii="仿宋" w:hAnsi="仿宋" w:eastAsia="仿宋"/>
          <w:bCs/>
          <w:color w:val="auto"/>
          <w:sz w:val="24"/>
        </w:rPr>
      </w:pPr>
    </w:p>
    <w:p>
      <w:pPr>
        <w:widowControl/>
        <w:spacing w:line="440" w:lineRule="exact"/>
        <w:jc w:val="left"/>
        <w:rPr>
          <w:rFonts w:ascii="仿宋" w:hAnsi="仿宋" w:eastAsia="仿宋"/>
          <w:b/>
          <w:color w:val="auto"/>
          <w:kern w:val="0"/>
          <w:sz w:val="24"/>
          <w:szCs w:val="22"/>
        </w:rPr>
      </w:pPr>
      <w:r>
        <w:rPr>
          <w:rFonts w:ascii="仿宋" w:hAnsi="仿宋" w:eastAsia="仿宋"/>
          <w:b/>
          <w:bCs/>
          <w:color w:val="auto"/>
          <w:kern w:val="0"/>
          <w:sz w:val="24"/>
        </w:rPr>
        <w:br w:type="page"/>
      </w:r>
      <w:r>
        <w:rPr>
          <w:rFonts w:hint="eastAsia" w:ascii="仿宋" w:hAnsi="仿宋" w:eastAsia="仿宋"/>
          <w:b/>
          <w:bCs/>
          <w:color w:val="auto"/>
          <w:kern w:val="0"/>
          <w:sz w:val="24"/>
        </w:rPr>
        <w:t>附件四  供应商</w:t>
      </w:r>
      <w:r>
        <w:rPr>
          <w:rFonts w:hint="eastAsia" w:ascii="仿宋" w:hAnsi="仿宋" w:eastAsia="仿宋"/>
          <w:b/>
          <w:color w:val="auto"/>
          <w:kern w:val="0"/>
          <w:sz w:val="24"/>
          <w:szCs w:val="22"/>
        </w:rPr>
        <w:t>经审计的</w:t>
      </w:r>
      <w:r>
        <w:rPr>
          <w:rFonts w:ascii="仿宋" w:hAnsi="仿宋" w:eastAsia="仿宋"/>
          <w:b/>
          <w:color w:val="auto"/>
          <w:kern w:val="0"/>
          <w:sz w:val="24"/>
          <w:szCs w:val="22"/>
        </w:rPr>
        <w:t>202</w:t>
      </w:r>
      <w:r>
        <w:rPr>
          <w:rFonts w:hint="eastAsia" w:ascii="仿宋" w:hAnsi="仿宋" w:eastAsia="仿宋"/>
          <w:b/>
          <w:color w:val="auto"/>
          <w:kern w:val="0"/>
          <w:sz w:val="24"/>
          <w:szCs w:val="22"/>
        </w:rPr>
        <w:t>1年度的财务报告复印件（投标单位成立不满一年的不需提供）</w:t>
      </w:r>
    </w:p>
    <w:p>
      <w:pPr>
        <w:widowControl/>
        <w:spacing w:line="440" w:lineRule="exact"/>
        <w:jc w:val="left"/>
        <w:rPr>
          <w:rFonts w:ascii="仿宋" w:hAnsi="仿宋" w:eastAsia="仿宋"/>
          <w:b/>
          <w:color w:val="auto"/>
          <w:kern w:val="0"/>
          <w:sz w:val="24"/>
          <w:szCs w:val="22"/>
        </w:rPr>
      </w:pPr>
    </w:p>
    <w:p>
      <w:pPr>
        <w:shd w:val="clear" w:color="auto" w:fill="FFFFFF"/>
        <w:spacing w:line="440" w:lineRule="exact"/>
        <w:rPr>
          <w:rFonts w:ascii="仿宋" w:hAnsi="仿宋" w:eastAsia="仿宋"/>
          <w:b/>
          <w:bCs/>
          <w:color w:val="auto"/>
          <w:kern w:val="0"/>
          <w:sz w:val="24"/>
        </w:rPr>
      </w:pPr>
      <w:r>
        <w:rPr>
          <w:rFonts w:ascii="仿宋" w:hAnsi="仿宋" w:eastAsia="仿宋"/>
          <w:b/>
          <w:bCs/>
          <w:color w:val="auto"/>
          <w:kern w:val="0"/>
          <w:sz w:val="24"/>
        </w:rPr>
        <w:br w:type="page"/>
      </w:r>
      <w:r>
        <w:rPr>
          <w:rFonts w:hint="eastAsia" w:ascii="仿宋" w:hAnsi="仿宋" w:eastAsia="仿宋"/>
          <w:b/>
          <w:bCs/>
          <w:color w:val="auto"/>
          <w:kern w:val="0"/>
          <w:sz w:val="24"/>
        </w:rPr>
        <w:t>附件五  供应商参加本次政府采购活动前3年内在经营活动中没有重大违法记录的书面声明</w:t>
      </w:r>
    </w:p>
    <w:p>
      <w:pPr>
        <w:shd w:val="clear" w:color="auto" w:fill="FFFFFF"/>
        <w:spacing w:beforeLines="100" w:afterLines="100" w:line="440" w:lineRule="exact"/>
        <w:jc w:val="center"/>
        <w:rPr>
          <w:rFonts w:ascii="仿宋" w:hAnsi="仿宋" w:eastAsia="仿宋"/>
          <w:color w:val="auto"/>
          <w:sz w:val="28"/>
          <w:szCs w:val="28"/>
        </w:rPr>
      </w:pPr>
      <w:r>
        <w:rPr>
          <w:rFonts w:hint="eastAsia" w:ascii="仿宋" w:hAnsi="仿宋" w:eastAsia="仿宋"/>
          <w:b/>
          <w:bCs/>
          <w:color w:val="auto"/>
          <w:sz w:val="28"/>
          <w:szCs w:val="28"/>
        </w:rPr>
        <w:t>无重大违法记录声明书</w:t>
      </w:r>
    </w:p>
    <w:p>
      <w:pPr>
        <w:shd w:val="clear" w:color="auto" w:fill="FFFFFF"/>
        <w:tabs>
          <w:tab w:val="left" w:pos="996"/>
        </w:tabs>
        <w:spacing w:line="440" w:lineRule="exact"/>
        <w:rPr>
          <w:rFonts w:ascii="仿宋" w:hAnsi="仿宋" w:eastAsia="仿宋"/>
          <w:color w:val="auto"/>
          <w:sz w:val="24"/>
        </w:rPr>
      </w:pPr>
    </w:p>
    <w:p>
      <w:pPr>
        <w:shd w:val="clear" w:color="auto" w:fill="FFFFFF"/>
        <w:tabs>
          <w:tab w:val="left" w:pos="996"/>
        </w:tabs>
        <w:spacing w:line="440" w:lineRule="exact"/>
        <w:rPr>
          <w:rFonts w:ascii="仿宋" w:hAnsi="仿宋" w:eastAsia="仿宋"/>
          <w:color w:val="auto"/>
          <w:sz w:val="24"/>
        </w:rPr>
      </w:pPr>
      <w:r>
        <w:rPr>
          <w:rFonts w:hint="eastAsia" w:ascii="仿宋" w:hAnsi="仿宋" w:eastAsia="仿宋"/>
          <w:color w:val="auto"/>
          <w:sz w:val="24"/>
        </w:rPr>
        <w:t>致：（采购人）</w:t>
      </w:r>
    </w:p>
    <w:p>
      <w:pPr>
        <w:shd w:val="clear" w:color="auto" w:fill="FFFFFF"/>
        <w:tabs>
          <w:tab w:val="left" w:pos="996"/>
        </w:tabs>
        <w:spacing w:line="440" w:lineRule="exact"/>
        <w:rPr>
          <w:rFonts w:ascii="仿宋" w:hAnsi="仿宋" w:eastAsia="仿宋"/>
          <w:color w:val="auto"/>
          <w:sz w:val="24"/>
        </w:rPr>
      </w:pPr>
    </w:p>
    <w:p>
      <w:pPr>
        <w:shd w:val="clear" w:color="auto" w:fill="FFFFFF"/>
        <w:tabs>
          <w:tab w:val="left" w:pos="996"/>
        </w:tabs>
        <w:spacing w:line="440" w:lineRule="exact"/>
        <w:ind w:firstLine="480" w:firstLineChars="200"/>
        <w:rPr>
          <w:rFonts w:ascii="仿宋" w:hAnsi="仿宋" w:eastAsia="仿宋"/>
          <w:color w:val="auto"/>
          <w:sz w:val="24"/>
        </w:rPr>
      </w:pPr>
      <w:r>
        <w:rPr>
          <w:rFonts w:hint="eastAsia" w:ascii="仿宋" w:hAnsi="仿宋" w:eastAsia="仿宋"/>
          <w:color w:val="auto"/>
          <w:sz w:val="24"/>
        </w:rPr>
        <w:t>我公司参与</w:t>
      </w:r>
      <w:r>
        <w:rPr>
          <w:rFonts w:hint="eastAsia" w:ascii="仿宋" w:hAnsi="仿宋" w:eastAsia="仿宋"/>
          <w:color w:val="auto"/>
          <w:sz w:val="24"/>
          <w:u w:val="single"/>
        </w:rPr>
        <w:t>（项目名称、项目编号）</w:t>
      </w:r>
      <w:r>
        <w:rPr>
          <w:rFonts w:hint="eastAsia" w:ascii="仿宋" w:hAnsi="仿宋" w:eastAsia="仿宋"/>
          <w:color w:val="auto"/>
          <w:sz w:val="24"/>
        </w:rPr>
        <w:t>招标投标活动，本公司郑重声明，我方参加本项目政府采购活动前三年内无重大违法记录，符合《政府采购法》规定的供应商条件。若贵方在本项目招标过程中发现我方在政府采购活动前三年内有重大违法记录，我公司将无条件退出本项目的响应，并承担因此引起的一切后果。我方对此声明负全部法律责任。</w:t>
      </w:r>
    </w:p>
    <w:p>
      <w:pPr>
        <w:shd w:val="clear" w:color="auto" w:fill="FFFFFF"/>
        <w:tabs>
          <w:tab w:val="left" w:pos="996"/>
        </w:tabs>
        <w:spacing w:line="440" w:lineRule="exact"/>
        <w:rPr>
          <w:rFonts w:ascii="仿宋" w:hAnsi="仿宋" w:eastAsia="仿宋"/>
          <w:color w:val="auto"/>
          <w:sz w:val="24"/>
        </w:rPr>
      </w:pPr>
      <w:r>
        <w:rPr>
          <w:rFonts w:hint="eastAsia" w:ascii="仿宋" w:hAnsi="仿宋" w:eastAsia="仿宋"/>
          <w:color w:val="auto"/>
          <w:sz w:val="24"/>
        </w:rPr>
        <w:t xml:space="preserve">特此声明  </w:t>
      </w:r>
    </w:p>
    <w:p>
      <w:pPr>
        <w:shd w:val="clear" w:color="auto" w:fill="FFFFFF"/>
        <w:tabs>
          <w:tab w:val="left" w:pos="996"/>
        </w:tabs>
        <w:spacing w:line="440" w:lineRule="exact"/>
        <w:rPr>
          <w:rFonts w:ascii="仿宋" w:hAnsi="仿宋" w:eastAsia="仿宋"/>
          <w:color w:val="auto"/>
          <w:sz w:val="24"/>
        </w:rPr>
      </w:pPr>
    </w:p>
    <w:p>
      <w:pPr>
        <w:shd w:val="clear" w:color="auto" w:fill="FFFFFF"/>
        <w:tabs>
          <w:tab w:val="left" w:pos="996"/>
        </w:tabs>
        <w:spacing w:line="44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tabs>
          <w:tab w:val="left" w:pos="996"/>
        </w:tabs>
        <w:spacing w:line="440" w:lineRule="exact"/>
        <w:rPr>
          <w:rFonts w:ascii="仿宋" w:hAnsi="仿宋" w:eastAsia="仿宋"/>
          <w:color w:val="auto"/>
          <w:sz w:val="24"/>
        </w:rPr>
      </w:pPr>
      <w:r>
        <w:rPr>
          <w:rFonts w:hint="eastAsia" w:ascii="仿宋" w:hAnsi="仿宋" w:eastAsia="仿宋"/>
          <w:color w:val="auto"/>
          <w:sz w:val="24"/>
        </w:rPr>
        <w:t>法定代表人（或负责人）（签字或签章）：</w:t>
      </w:r>
    </w:p>
    <w:p>
      <w:pPr>
        <w:shd w:val="clear" w:color="auto" w:fill="FFFFFF"/>
        <w:tabs>
          <w:tab w:val="left" w:pos="996"/>
        </w:tabs>
        <w:spacing w:line="440" w:lineRule="exact"/>
        <w:rPr>
          <w:rFonts w:ascii="仿宋" w:hAnsi="仿宋" w:eastAsia="仿宋"/>
          <w:color w:val="auto"/>
          <w:sz w:val="24"/>
        </w:rPr>
      </w:pPr>
      <w:r>
        <w:rPr>
          <w:rFonts w:hint="eastAsia" w:ascii="仿宋" w:hAnsi="仿宋" w:eastAsia="仿宋"/>
          <w:color w:val="auto"/>
          <w:sz w:val="24"/>
        </w:rPr>
        <w:t>授权代理人（签字或签章）：</w:t>
      </w:r>
    </w:p>
    <w:p>
      <w:pPr>
        <w:shd w:val="clear" w:color="auto" w:fill="FFFFFF"/>
        <w:tabs>
          <w:tab w:val="left" w:pos="996"/>
        </w:tabs>
        <w:spacing w:line="440" w:lineRule="exact"/>
        <w:rPr>
          <w:rFonts w:ascii="仿宋" w:hAnsi="仿宋" w:eastAsia="仿宋"/>
          <w:color w:val="auto"/>
          <w:sz w:val="24"/>
        </w:rPr>
      </w:pPr>
      <w:r>
        <w:rPr>
          <w:rFonts w:hint="eastAsia" w:ascii="仿宋" w:hAnsi="仿宋" w:eastAsia="仿宋"/>
          <w:color w:val="auto"/>
          <w:sz w:val="24"/>
        </w:rPr>
        <w:t>日期：年月日</w:t>
      </w:r>
    </w:p>
    <w:p>
      <w:pPr>
        <w:shd w:val="clear" w:color="auto" w:fill="FFFFFF"/>
        <w:tabs>
          <w:tab w:val="left" w:pos="996"/>
        </w:tabs>
        <w:spacing w:line="440" w:lineRule="exact"/>
        <w:rPr>
          <w:rFonts w:ascii="仿宋" w:hAnsi="仿宋" w:eastAsia="仿宋"/>
          <w:color w:val="auto"/>
          <w:sz w:val="24"/>
        </w:rPr>
      </w:pPr>
    </w:p>
    <w:p>
      <w:pPr>
        <w:widowControl/>
        <w:spacing w:line="440" w:lineRule="exact"/>
        <w:jc w:val="left"/>
        <w:rPr>
          <w:rFonts w:ascii="仿宋" w:hAnsi="仿宋" w:eastAsia="仿宋"/>
          <w:color w:val="auto"/>
          <w:sz w:val="24"/>
        </w:rPr>
      </w:pPr>
      <w:r>
        <w:rPr>
          <w:rFonts w:hint="eastAsia" w:ascii="仿宋" w:hAnsi="仿宋" w:eastAsia="仿宋"/>
          <w:color w:val="auto"/>
          <w:sz w:val="24"/>
        </w:rPr>
        <w:t>注：[近三年：指成立三年以上的，为提交首次投标文件截止时间前三年内；成立不足三年的，为实际时间。]</w:t>
      </w:r>
    </w:p>
    <w:p>
      <w:pPr>
        <w:widowControl/>
        <w:spacing w:line="440" w:lineRule="exact"/>
        <w:jc w:val="left"/>
        <w:rPr>
          <w:rFonts w:ascii="仿宋" w:hAnsi="仿宋" w:eastAsia="仿宋"/>
          <w:color w:val="auto"/>
          <w:sz w:val="24"/>
        </w:rPr>
      </w:pPr>
    </w:p>
    <w:p>
      <w:pPr>
        <w:shd w:val="clear" w:color="auto" w:fill="FFFFFF"/>
        <w:spacing w:line="440" w:lineRule="exact"/>
        <w:jc w:val="left"/>
        <w:rPr>
          <w:rFonts w:ascii="仿宋" w:hAnsi="仿宋" w:eastAsia="仿宋"/>
          <w:b/>
          <w:bCs/>
          <w:color w:val="auto"/>
          <w:kern w:val="0"/>
          <w:sz w:val="24"/>
        </w:rPr>
      </w:pPr>
    </w:p>
    <w:p>
      <w:pPr>
        <w:shd w:val="clear" w:color="auto" w:fill="FFFFFF"/>
        <w:spacing w:line="440" w:lineRule="exact"/>
        <w:jc w:val="left"/>
        <w:rPr>
          <w:rFonts w:ascii="仿宋" w:hAnsi="仿宋" w:eastAsia="仿宋"/>
          <w:b/>
          <w:bCs/>
          <w:color w:val="auto"/>
          <w:kern w:val="0"/>
          <w:sz w:val="24"/>
        </w:rPr>
      </w:pPr>
    </w:p>
    <w:p>
      <w:pPr>
        <w:shd w:val="clear" w:color="auto" w:fill="FFFFFF"/>
        <w:spacing w:line="440" w:lineRule="exact"/>
        <w:jc w:val="left"/>
        <w:rPr>
          <w:rFonts w:ascii="仿宋" w:hAnsi="仿宋" w:eastAsia="仿宋"/>
          <w:b/>
          <w:bCs/>
          <w:color w:val="auto"/>
          <w:kern w:val="0"/>
          <w:sz w:val="24"/>
        </w:rPr>
      </w:pPr>
    </w:p>
    <w:p>
      <w:pPr>
        <w:shd w:val="clear" w:color="auto" w:fill="FFFFFF"/>
        <w:spacing w:line="440" w:lineRule="exact"/>
        <w:jc w:val="left"/>
        <w:rPr>
          <w:rFonts w:ascii="仿宋" w:hAnsi="仿宋" w:eastAsia="仿宋"/>
          <w:b/>
          <w:bCs/>
          <w:color w:val="auto"/>
          <w:kern w:val="0"/>
          <w:sz w:val="24"/>
        </w:rPr>
      </w:pPr>
    </w:p>
    <w:p>
      <w:pPr>
        <w:shd w:val="clear" w:color="auto" w:fill="FFFFFF"/>
        <w:spacing w:line="440" w:lineRule="exact"/>
        <w:jc w:val="left"/>
        <w:rPr>
          <w:rFonts w:ascii="仿宋" w:hAnsi="仿宋" w:eastAsia="仿宋"/>
          <w:b/>
          <w:bCs/>
          <w:color w:val="auto"/>
          <w:kern w:val="0"/>
          <w:sz w:val="24"/>
        </w:rPr>
      </w:pPr>
    </w:p>
    <w:p>
      <w:pPr>
        <w:shd w:val="clear" w:color="auto" w:fill="FFFFFF"/>
        <w:spacing w:line="440" w:lineRule="exact"/>
        <w:jc w:val="left"/>
        <w:rPr>
          <w:rFonts w:ascii="仿宋" w:hAnsi="仿宋" w:eastAsia="仿宋"/>
          <w:b/>
          <w:bCs/>
          <w:color w:val="auto"/>
          <w:kern w:val="0"/>
          <w:sz w:val="24"/>
        </w:rPr>
      </w:pPr>
    </w:p>
    <w:p>
      <w:pPr>
        <w:shd w:val="clear" w:color="auto" w:fill="FFFFFF"/>
        <w:spacing w:line="440" w:lineRule="exact"/>
        <w:jc w:val="left"/>
        <w:rPr>
          <w:rFonts w:ascii="仿宋" w:hAnsi="仿宋" w:eastAsia="仿宋"/>
          <w:b/>
          <w:bCs/>
          <w:color w:val="auto"/>
          <w:kern w:val="0"/>
          <w:sz w:val="24"/>
        </w:rPr>
      </w:pPr>
    </w:p>
    <w:p>
      <w:pPr>
        <w:shd w:val="clear" w:color="auto" w:fill="FFFFFF"/>
        <w:spacing w:line="440" w:lineRule="exact"/>
        <w:jc w:val="left"/>
        <w:rPr>
          <w:rFonts w:ascii="仿宋" w:hAnsi="仿宋" w:eastAsia="仿宋"/>
          <w:b/>
          <w:bCs/>
          <w:color w:val="auto"/>
          <w:kern w:val="0"/>
          <w:sz w:val="24"/>
        </w:rPr>
      </w:pPr>
    </w:p>
    <w:p>
      <w:pPr>
        <w:shd w:val="clear" w:color="auto" w:fill="FFFFFF"/>
        <w:spacing w:line="440" w:lineRule="exact"/>
        <w:jc w:val="left"/>
        <w:rPr>
          <w:rFonts w:ascii="仿宋" w:hAnsi="仿宋" w:eastAsia="仿宋"/>
          <w:b/>
          <w:bCs/>
          <w:color w:val="auto"/>
          <w:kern w:val="0"/>
          <w:sz w:val="24"/>
        </w:rPr>
      </w:pPr>
    </w:p>
    <w:p>
      <w:pPr>
        <w:shd w:val="clear" w:color="auto" w:fill="FFFFFF"/>
        <w:spacing w:line="440" w:lineRule="exact"/>
        <w:jc w:val="left"/>
        <w:rPr>
          <w:rFonts w:ascii="仿宋" w:hAnsi="仿宋" w:eastAsia="仿宋"/>
          <w:b/>
          <w:bCs/>
          <w:color w:val="auto"/>
          <w:kern w:val="0"/>
          <w:sz w:val="24"/>
        </w:rPr>
      </w:pPr>
    </w:p>
    <w:p>
      <w:pPr>
        <w:shd w:val="clear" w:color="auto" w:fill="FFFFFF"/>
        <w:spacing w:line="440" w:lineRule="exact"/>
        <w:jc w:val="left"/>
        <w:rPr>
          <w:rFonts w:ascii="仿宋" w:hAnsi="仿宋" w:eastAsia="仿宋"/>
          <w:b/>
          <w:bCs/>
          <w:color w:val="auto"/>
          <w:kern w:val="0"/>
          <w:sz w:val="24"/>
        </w:rPr>
      </w:pPr>
    </w:p>
    <w:p>
      <w:pPr>
        <w:shd w:val="clear" w:color="auto" w:fill="FFFFFF"/>
        <w:spacing w:line="440" w:lineRule="exact"/>
        <w:jc w:val="left"/>
        <w:rPr>
          <w:rFonts w:ascii="仿宋" w:hAnsi="仿宋" w:eastAsia="仿宋"/>
          <w:b/>
          <w:bCs/>
          <w:color w:val="auto"/>
          <w:kern w:val="0"/>
          <w:sz w:val="24"/>
        </w:rPr>
      </w:pPr>
    </w:p>
    <w:p>
      <w:pPr>
        <w:shd w:val="clear" w:color="auto" w:fill="FFFFFF"/>
        <w:spacing w:line="440" w:lineRule="exact"/>
        <w:rPr>
          <w:rFonts w:ascii="仿宋" w:hAnsi="仿宋" w:eastAsia="仿宋"/>
          <w:b/>
          <w:bCs/>
          <w:color w:val="auto"/>
          <w:kern w:val="0"/>
          <w:sz w:val="24"/>
        </w:rPr>
      </w:pPr>
      <w:r>
        <w:rPr>
          <w:rFonts w:hint="eastAsia" w:ascii="仿宋" w:hAnsi="仿宋" w:eastAsia="仿宋"/>
          <w:b/>
          <w:bCs/>
          <w:color w:val="auto"/>
          <w:kern w:val="0"/>
          <w:sz w:val="24"/>
        </w:rPr>
        <w:t>附件六  投标保证金缴纳凭证</w:t>
      </w:r>
    </w:p>
    <w:p>
      <w:pPr>
        <w:spacing w:line="460" w:lineRule="exact"/>
        <w:rPr>
          <w:rFonts w:ascii="仿宋" w:hAnsi="仿宋" w:eastAsia="仿宋"/>
          <w:color w:val="auto"/>
          <w:kern w:val="0"/>
          <w:sz w:val="24"/>
        </w:rPr>
      </w:pPr>
      <w:r>
        <w:rPr>
          <w:rFonts w:hint="eastAsia" w:ascii="仿宋" w:hAnsi="仿宋" w:eastAsia="仿宋"/>
          <w:color w:val="auto"/>
          <w:kern w:val="0"/>
          <w:sz w:val="24"/>
        </w:rPr>
        <w:t>此处请附： ①投标保证金打款凭证</w:t>
      </w:r>
    </w:p>
    <w:p>
      <w:pPr>
        <w:spacing w:line="460" w:lineRule="exact"/>
        <w:ind w:firstLine="1320" w:firstLineChars="550"/>
        <w:rPr>
          <w:rFonts w:ascii="仿宋" w:hAnsi="仿宋" w:eastAsia="仿宋"/>
          <w:color w:val="auto"/>
          <w:kern w:val="0"/>
          <w:sz w:val="24"/>
        </w:rPr>
      </w:pPr>
    </w:p>
    <w:p>
      <w:pPr>
        <w:spacing w:line="460" w:lineRule="exact"/>
        <w:ind w:firstLine="1320" w:firstLineChars="550"/>
        <w:rPr>
          <w:rFonts w:ascii="仿宋" w:hAnsi="仿宋" w:eastAsia="仿宋"/>
          <w:color w:val="auto"/>
          <w:kern w:val="0"/>
          <w:sz w:val="24"/>
        </w:rPr>
      </w:pPr>
    </w:p>
    <w:p>
      <w:pPr>
        <w:spacing w:line="460" w:lineRule="exact"/>
        <w:ind w:firstLine="1320" w:firstLineChars="550"/>
        <w:rPr>
          <w:rFonts w:ascii="仿宋" w:hAnsi="仿宋" w:eastAsia="仿宋"/>
          <w:color w:val="auto"/>
          <w:kern w:val="0"/>
          <w:sz w:val="24"/>
        </w:rPr>
      </w:pPr>
    </w:p>
    <w:p>
      <w:pPr>
        <w:spacing w:line="460" w:lineRule="exact"/>
        <w:ind w:firstLine="1320" w:firstLineChars="550"/>
        <w:rPr>
          <w:rFonts w:ascii="仿宋" w:hAnsi="仿宋" w:eastAsia="仿宋"/>
          <w:color w:val="auto"/>
          <w:kern w:val="0"/>
          <w:sz w:val="24"/>
        </w:rPr>
      </w:pPr>
    </w:p>
    <w:p>
      <w:pPr>
        <w:spacing w:line="460" w:lineRule="exact"/>
        <w:ind w:firstLine="1320" w:firstLineChars="550"/>
        <w:rPr>
          <w:rFonts w:ascii="仿宋" w:hAnsi="仿宋" w:eastAsia="仿宋"/>
          <w:color w:val="auto"/>
          <w:kern w:val="0"/>
          <w:sz w:val="24"/>
        </w:rPr>
      </w:pPr>
    </w:p>
    <w:p>
      <w:pPr>
        <w:pStyle w:val="57"/>
        <w:ind w:firstLine="210"/>
        <w:rPr>
          <w:color w:val="auto"/>
        </w:rPr>
      </w:pPr>
    </w:p>
    <w:p>
      <w:pPr>
        <w:pStyle w:val="57"/>
        <w:ind w:firstLine="0" w:firstLineChars="0"/>
        <w:rPr>
          <w:color w:val="auto"/>
        </w:rPr>
      </w:pPr>
    </w:p>
    <w:p>
      <w:pPr>
        <w:spacing w:line="460" w:lineRule="exact"/>
        <w:ind w:firstLine="1320" w:firstLineChars="550"/>
        <w:rPr>
          <w:rFonts w:ascii="仿宋" w:hAnsi="仿宋" w:eastAsia="仿宋"/>
          <w:color w:val="auto"/>
          <w:kern w:val="0"/>
          <w:sz w:val="24"/>
        </w:rPr>
      </w:pPr>
      <w:r>
        <w:rPr>
          <w:rFonts w:hint="eastAsia" w:ascii="仿宋" w:hAnsi="仿宋" w:eastAsia="仿宋"/>
          <w:color w:val="auto"/>
          <w:kern w:val="0"/>
          <w:sz w:val="24"/>
        </w:rPr>
        <w:t>②供应商缴纳保证金的账户信息（作退保证金使用）</w:t>
      </w:r>
    </w:p>
    <w:p>
      <w:pPr>
        <w:spacing w:line="460" w:lineRule="exact"/>
        <w:ind w:firstLine="1320" w:firstLineChars="550"/>
        <w:rPr>
          <w:rFonts w:ascii="仿宋" w:hAnsi="仿宋" w:eastAsia="仿宋"/>
          <w:color w:val="auto"/>
          <w:kern w:val="0"/>
          <w:sz w:val="24"/>
        </w:rPr>
      </w:pPr>
      <w:r>
        <w:rPr>
          <w:rFonts w:hint="eastAsia" w:ascii="仿宋" w:hAnsi="仿宋" w:eastAsia="仿宋"/>
          <w:color w:val="auto"/>
          <w:kern w:val="0"/>
          <w:sz w:val="24"/>
        </w:rPr>
        <w:t>开户行名称：</w:t>
      </w:r>
    </w:p>
    <w:p>
      <w:pPr>
        <w:spacing w:line="460" w:lineRule="exact"/>
        <w:ind w:firstLine="1320" w:firstLineChars="550"/>
        <w:rPr>
          <w:rFonts w:ascii="仿宋" w:hAnsi="仿宋" w:eastAsia="仿宋"/>
          <w:color w:val="auto"/>
          <w:kern w:val="0"/>
          <w:sz w:val="24"/>
        </w:rPr>
      </w:pPr>
      <w:r>
        <w:rPr>
          <w:rFonts w:hint="eastAsia" w:ascii="仿宋" w:hAnsi="仿宋" w:eastAsia="仿宋"/>
          <w:color w:val="auto"/>
          <w:kern w:val="0"/>
          <w:sz w:val="24"/>
        </w:rPr>
        <w:t>银行账号：</w:t>
      </w:r>
    </w:p>
    <w:p>
      <w:pPr>
        <w:widowControl/>
        <w:spacing w:line="440" w:lineRule="exact"/>
        <w:ind w:firstLine="1320" w:firstLineChars="550"/>
        <w:jc w:val="left"/>
        <w:rPr>
          <w:rFonts w:ascii="仿宋" w:hAnsi="仿宋" w:eastAsia="仿宋"/>
          <w:bCs/>
          <w:color w:val="auto"/>
          <w:sz w:val="24"/>
        </w:rPr>
      </w:pPr>
      <w:r>
        <w:rPr>
          <w:rFonts w:hint="eastAsia" w:ascii="仿宋" w:hAnsi="仿宋" w:eastAsia="仿宋"/>
          <w:color w:val="auto"/>
          <w:kern w:val="0"/>
          <w:sz w:val="24"/>
        </w:rPr>
        <w:t>银行行号：</w:t>
      </w:r>
    </w:p>
    <w:p>
      <w:pPr>
        <w:shd w:val="clear" w:color="auto" w:fill="FFFFFF"/>
        <w:spacing w:line="440" w:lineRule="exact"/>
        <w:jc w:val="left"/>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shd w:val="clear" w:color="auto" w:fill="FFFFFF"/>
        <w:spacing w:line="440" w:lineRule="exact"/>
        <w:jc w:val="left"/>
        <w:rPr>
          <w:rFonts w:ascii="仿宋" w:hAnsi="仿宋" w:eastAsia="仿宋"/>
          <w:b/>
          <w:bCs/>
          <w:color w:val="auto"/>
          <w:sz w:val="28"/>
          <w:szCs w:val="28"/>
        </w:rPr>
      </w:pPr>
      <w:r>
        <w:rPr>
          <w:rFonts w:hint="eastAsia" w:ascii="仿宋" w:hAnsi="仿宋" w:eastAsia="仿宋"/>
          <w:b/>
          <w:bCs/>
          <w:color w:val="auto"/>
          <w:kern w:val="0"/>
          <w:sz w:val="24"/>
        </w:rPr>
        <w:t>附件七</w:t>
      </w:r>
    </w:p>
    <w:p>
      <w:pPr>
        <w:shd w:val="clear" w:color="auto" w:fill="FFFFFF"/>
        <w:spacing w:line="440" w:lineRule="exact"/>
        <w:jc w:val="center"/>
        <w:rPr>
          <w:rFonts w:ascii="仿宋" w:hAnsi="仿宋" w:eastAsia="仿宋"/>
          <w:color w:val="auto"/>
          <w:sz w:val="28"/>
          <w:szCs w:val="28"/>
        </w:rPr>
      </w:pPr>
      <w:r>
        <w:rPr>
          <w:rFonts w:hint="eastAsia" w:ascii="仿宋" w:hAnsi="仿宋" w:eastAsia="仿宋"/>
          <w:b/>
          <w:bCs/>
          <w:color w:val="auto"/>
          <w:sz w:val="28"/>
          <w:szCs w:val="28"/>
        </w:rPr>
        <w:t>投标承诺书</w:t>
      </w:r>
    </w:p>
    <w:p>
      <w:pPr>
        <w:shd w:val="clear" w:color="auto" w:fill="FFFFFF"/>
        <w:spacing w:line="440" w:lineRule="exact"/>
        <w:jc w:val="left"/>
        <w:rPr>
          <w:rFonts w:ascii="仿宋" w:hAnsi="仿宋" w:eastAsia="仿宋"/>
          <w:color w:val="auto"/>
          <w:sz w:val="24"/>
          <w:u w:val="single"/>
        </w:rPr>
      </w:pPr>
      <w:r>
        <w:rPr>
          <w:rFonts w:hint="eastAsia" w:ascii="仿宋" w:hAnsi="仿宋" w:eastAsia="仿宋"/>
          <w:color w:val="auto"/>
          <w:sz w:val="24"/>
          <w:u w:val="single"/>
        </w:rPr>
        <w:t xml:space="preserve">（采购人名称） </w:t>
      </w:r>
    </w:p>
    <w:p>
      <w:pPr>
        <w:shd w:val="clear" w:color="auto" w:fill="FFFFFF"/>
        <w:spacing w:line="440" w:lineRule="exact"/>
        <w:ind w:firstLine="489" w:firstLineChars="204"/>
        <w:rPr>
          <w:rFonts w:ascii="仿宋" w:hAnsi="仿宋" w:eastAsia="仿宋"/>
          <w:color w:val="auto"/>
          <w:sz w:val="24"/>
        </w:rPr>
      </w:pPr>
      <w:r>
        <w:rPr>
          <w:rFonts w:hint="eastAsia" w:ascii="仿宋" w:hAnsi="仿宋" w:eastAsia="仿宋"/>
          <w:color w:val="auto"/>
          <w:sz w:val="24"/>
        </w:rPr>
        <w:t>我方收到并研究了贵方</w:t>
      </w:r>
      <w:r>
        <w:rPr>
          <w:rFonts w:hint="eastAsia" w:ascii="仿宋" w:hAnsi="仿宋" w:eastAsia="仿宋"/>
          <w:color w:val="auto"/>
          <w:sz w:val="24"/>
          <w:u w:val="single"/>
        </w:rPr>
        <w:t xml:space="preserve">              </w:t>
      </w:r>
      <w:r>
        <w:rPr>
          <w:rFonts w:hint="eastAsia" w:ascii="仿宋" w:hAnsi="仿宋" w:eastAsia="仿宋"/>
          <w:color w:val="auto"/>
          <w:sz w:val="24"/>
        </w:rPr>
        <w:t>（项目名称、项目编号）项目的招标文件，愿意按照招标文件规定的内容承担该项目的投标任务，严格执行我方所承诺的责任和义务。为此，我方郑重声明以下诸点，并承担法律责任。</w:t>
      </w:r>
    </w:p>
    <w:p>
      <w:pPr>
        <w:shd w:val="clear" w:color="auto" w:fill="FFFFFF"/>
        <w:spacing w:line="440" w:lineRule="exact"/>
        <w:ind w:firstLine="489" w:firstLineChars="204"/>
        <w:rPr>
          <w:rFonts w:ascii="仿宋" w:hAnsi="仿宋" w:eastAsia="仿宋"/>
          <w:color w:val="auto"/>
          <w:sz w:val="24"/>
        </w:rPr>
      </w:pPr>
      <w:r>
        <w:rPr>
          <w:rFonts w:hint="eastAsia" w:ascii="仿宋" w:hAnsi="仿宋" w:eastAsia="仿宋"/>
          <w:color w:val="auto"/>
          <w:sz w:val="24"/>
        </w:rPr>
        <w:t>1、我方提交投标文件：加密的电子投标文件1份，并在投标截止时间前上传至招标文件规定的指定地点。如我方中标，在领取中标通知书时向招标代理机构提供纸质版投标文件正本1份、副本2份；我方愿按《中华人民共和国政府采购法》及其他有关法律、法规的规定及招标文件的规定，自觉履行自己的全部责。</w:t>
      </w:r>
    </w:p>
    <w:p>
      <w:pPr>
        <w:shd w:val="clear" w:color="auto" w:fill="FFFFFF"/>
        <w:spacing w:line="440" w:lineRule="exact"/>
        <w:ind w:firstLine="480" w:firstLineChars="200"/>
        <w:rPr>
          <w:rFonts w:ascii="仿宋" w:hAnsi="仿宋" w:eastAsia="仿宋"/>
          <w:color w:val="auto"/>
          <w:sz w:val="24"/>
        </w:rPr>
      </w:pPr>
      <w:r>
        <w:rPr>
          <w:rFonts w:hint="eastAsia" w:ascii="仿宋" w:hAnsi="仿宋" w:eastAsia="仿宋"/>
          <w:color w:val="auto"/>
          <w:sz w:val="24"/>
        </w:rPr>
        <w:t>2、我方同意在投标有效期内遵守本投标文件，在此期限期满前的任何时间，本投标文件一直对我方具有约束力。</w:t>
      </w:r>
    </w:p>
    <w:p>
      <w:pPr>
        <w:shd w:val="clear" w:color="auto" w:fill="FFFFFF"/>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3、如果我方投标文件被接受，我方将按照招标文件的规定，保证按招标要求和投标文件中的承诺按期、按质、按量交付使用方。</w:t>
      </w:r>
    </w:p>
    <w:p>
      <w:pPr>
        <w:shd w:val="clear" w:color="auto" w:fill="FFFFFF"/>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4、如果我方中标，我方将在招标文件规定的时间内签订委托合同并按招标要求提供履约担保。如果我方违约，除投标保证金不予退还外，贵方有权终止我方中标并选择其它中标人。</w:t>
      </w:r>
    </w:p>
    <w:p>
      <w:pPr>
        <w:shd w:val="clear" w:color="auto" w:fill="FFFFFF"/>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5、如果我方中标，我方将在招标文件规定的时间内签订政府采购合同。如果我方违约，借故拒签合同或拖延签订的，则采购人有权废除授标，没收投标保证金，给采购人造成的损失超过投保证金数额的，我方对超过部分予以赔偿，同时依法承担相应法律责任，采购人可另行选择中标单位。</w:t>
      </w:r>
    </w:p>
    <w:p>
      <w:pPr>
        <w:shd w:val="clear" w:color="auto" w:fill="FFFFFF"/>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6、一旦我方中标，我方愿意按招标要求承担招标代理服务费。</w:t>
      </w:r>
    </w:p>
    <w:p>
      <w:pPr>
        <w:shd w:val="clear" w:color="auto" w:fill="FFFFFF"/>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7、贵方的中标通知书和本投标文件将成为构成约束双方合同的组成部分。</w:t>
      </w:r>
    </w:p>
    <w:p>
      <w:pPr>
        <w:shd w:val="clear" w:color="auto" w:fill="FFFFFF"/>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8、如果我方未中标，贵方没有义务对我方做出任何解释和说明，我方将充分尊重和理解贵方的选择。</w:t>
      </w:r>
    </w:p>
    <w:p>
      <w:pPr>
        <w:shd w:val="clear" w:color="auto" w:fill="FFFFFF"/>
        <w:spacing w:line="440" w:lineRule="exact"/>
        <w:jc w:val="left"/>
        <w:rPr>
          <w:rFonts w:ascii="仿宋" w:hAnsi="仿宋" w:eastAsia="仿宋"/>
          <w:color w:val="auto"/>
          <w:sz w:val="24"/>
        </w:rPr>
      </w:pPr>
      <w:r>
        <w:rPr>
          <w:rFonts w:hint="eastAsia" w:ascii="仿宋" w:hAnsi="仿宋" w:eastAsia="仿宋"/>
          <w:color w:val="auto"/>
          <w:sz w:val="24"/>
        </w:rPr>
        <w:t xml:space="preserve">    9、我方的投标文件自提交投标文件截止之日起有效期为</w:t>
      </w:r>
      <w:r>
        <w:rPr>
          <w:rFonts w:hint="eastAsia" w:ascii="仿宋" w:hAnsi="仿宋" w:eastAsia="仿宋"/>
          <w:color w:val="auto"/>
          <w:sz w:val="24"/>
          <w:u w:val="single"/>
        </w:rPr>
        <w:t xml:space="preserve">        </w:t>
      </w:r>
      <w:r>
        <w:rPr>
          <w:rFonts w:hint="eastAsia" w:ascii="仿宋" w:hAnsi="仿宋" w:eastAsia="仿宋"/>
          <w:color w:val="auto"/>
          <w:sz w:val="24"/>
        </w:rPr>
        <w:t>天。</w:t>
      </w:r>
    </w:p>
    <w:p>
      <w:pPr>
        <w:pStyle w:val="304"/>
        <w:shd w:val="clear" w:color="auto" w:fill="FFFFFF"/>
        <w:snapToGrid w:val="0"/>
        <w:spacing w:line="440" w:lineRule="exact"/>
        <w:rPr>
          <w:rFonts w:ascii="仿宋" w:hAnsi="仿宋" w:eastAsia="仿宋"/>
          <w:color w:val="auto"/>
          <w:sz w:val="24"/>
        </w:rPr>
      </w:pPr>
    </w:p>
    <w:p>
      <w:pPr>
        <w:pStyle w:val="304"/>
        <w:shd w:val="clear" w:color="auto" w:fill="FFFFFF"/>
        <w:snapToGrid w:val="0"/>
        <w:spacing w:line="40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spacing w:line="400" w:lineRule="exact"/>
        <w:rPr>
          <w:rFonts w:ascii="仿宋" w:hAnsi="仿宋" w:eastAsia="仿宋"/>
          <w:color w:val="auto"/>
          <w:sz w:val="24"/>
        </w:rPr>
      </w:pPr>
      <w:r>
        <w:rPr>
          <w:rFonts w:hint="eastAsia" w:ascii="仿宋" w:hAnsi="仿宋" w:eastAsia="仿宋"/>
          <w:color w:val="auto"/>
          <w:sz w:val="24"/>
        </w:rPr>
        <w:t>法定代表人（或负责人）（签字或签章）：</w:t>
      </w:r>
    </w:p>
    <w:p>
      <w:pPr>
        <w:shd w:val="clear" w:color="auto" w:fill="FFFFFF"/>
        <w:spacing w:line="400" w:lineRule="exact"/>
        <w:rPr>
          <w:rFonts w:ascii="仿宋" w:hAnsi="仿宋" w:eastAsia="仿宋"/>
          <w:color w:val="auto"/>
          <w:sz w:val="24"/>
        </w:rPr>
      </w:pPr>
      <w:r>
        <w:rPr>
          <w:rFonts w:hint="eastAsia" w:ascii="仿宋" w:hAnsi="仿宋" w:eastAsia="仿宋"/>
          <w:color w:val="auto"/>
          <w:sz w:val="24"/>
        </w:rPr>
        <w:t>授权代理人（签字或签章）：</w:t>
      </w:r>
    </w:p>
    <w:p>
      <w:pPr>
        <w:widowControl/>
        <w:spacing w:line="400" w:lineRule="exact"/>
        <w:jc w:val="left"/>
        <w:rPr>
          <w:rFonts w:ascii="仿宋" w:hAnsi="仿宋" w:eastAsia="仿宋"/>
          <w:b/>
          <w:bCs/>
          <w:color w:val="auto"/>
          <w:kern w:val="0"/>
          <w:sz w:val="24"/>
        </w:rPr>
      </w:pPr>
      <w:r>
        <w:rPr>
          <w:rFonts w:hint="eastAsia" w:ascii="仿宋" w:hAnsi="仿宋" w:eastAsia="仿宋"/>
          <w:color w:val="auto"/>
          <w:sz w:val="24"/>
        </w:rPr>
        <w:t>日期：  年  月  日</w:t>
      </w:r>
      <w:r>
        <w:rPr>
          <w:rFonts w:hint="eastAsia" w:ascii="仿宋" w:hAnsi="仿宋" w:eastAsia="仿宋"/>
          <w:color w:val="auto"/>
          <w:sz w:val="18"/>
          <w:szCs w:val="18"/>
        </w:rPr>
        <w:br w:type="page"/>
      </w:r>
    </w:p>
    <w:p>
      <w:pPr>
        <w:shd w:val="clear" w:color="auto" w:fill="FFFFFF"/>
        <w:spacing w:line="440" w:lineRule="exact"/>
        <w:rPr>
          <w:rFonts w:ascii="仿宋" w:hAnsi="仿宋" w:eastAsia="仿宋"/>
          <w:b/>
          <w:color w:val="auto"/>
          <w:kern w:val="0"/>
          <w:sz w:val="24"/>
        </w:rPr>
      </w:pPr>
      <w:r>
        <w:rPr>
          <w:rFonts w:hint="eastAsia" w:ascii="仿宋" w:hAnsi="仿宋" w:eastAsia="仿宋"/>
          <w:b/>
          <w:color w:val="auto"/>
          <w:kern w:val="0"/>
          <w:sz w:val="24"/>
        </w:rPr>
        <w:t>附件八 售后服务方案</w:t>
      </w:r>
    </w:p>
    <w:p>
      <w:pPr>
        <w:shd w:val="clear" w:color="auto" w:fill="FFFFFF"/>
        <w:spacing w:line="440" w:lineRule="exact"/>
        <w:rPr>
          <w:rFonts w:ascii="仿宋" w:hAnsi="仿宋" w:eastAsia="仿宋"/>
          <w:bCs/>
          <w:color w:val="auto"/>
          <w:kern w:val="0"/>
          <w:sz w:val="24"/>
        </w:rPr>
      </w:pPr>
      <w:r>
        <w:rPr>
          <w:rFonts w:hint="eastAsia" w:ascii="仿宋" w:hAnsi="仿宋" w:eastAsia="仿宋"/>
          <w:bCs/>
          <w:color w:val="auto"/>
          <w:kern w:val="0"/>
          <w:sz w:val="24"/>
        </w:rPr>
        <w:t>（投标商自行拟定内容，但应按照以下要求签字盖章）</w:t>
      </w:r>
    </w:p>
    <w:p>
      <w:pPr>
        <w:shd w:val="clear" w:color="auto" w:fill="FFFFFF"/>
        <w:spacing w:line="440" w:lineRule="exact"/>
        <w:rPr>
          <w:rFonts w:ascii="仿宋" w:hAnsi="仿宋" w:eastAsia="仿宋"/>
          <w:bCs/>
          <w:color w:val="auto"/>
          <w:kern w:val="0"/>
          <w:sz w:val="24"/>
        </w:rPr>
      </w:pPr>
    </w:p>
    <w:p>
      <w:pPr>
        <w:shd w:val="clear" w:color="auto" w:fill="FFFFFF"/>
        <w:spacing w:line="440" w:lineRule="exact"/>
        <w:rPr>
          <w:rFonts w:ascii="仿宋" w:hAnsi="仿宋" w:eastAsia="仿宋"/>
          <w:bCs/>
          <w:color w:val="auto"/>
          <w:kern w:val="0"/>
          <w:sz w:val="24"/>
        </w:rPr>
      </w:pPr>
    </w:p>
    <w:p>
      <w:pPr>
        <w:shd w:val="clear" w:color="auto" w:fill="FFFFFF"/>
        <w:spacing w:line="440" w:lineRule="exact"/>
        <w:rPr>
          <w:rFonts w:ascii="仿宋" w:hAnsi="仿宋" w:eastAsia="仿宋"/>
          <w:bCs/>
          <w:color w:val="auto"/>
          <w:kern w:val="0"/>
          <w:sz w:val="24"/>
        </w:rPr>
      </w:pPr>
    </w:p>
    <w:p>
      <w:pPr>
        <w:shd w:val="clear" w:color="auto" w:fill="FFFFFF"/>
        <w:spacing w:line="440" w:lineRule="exact"/>
        <w:rPr>
          <w:rFonts w:ascii="仿宋" w:hAnsi="仿宋" w:eastAsia="仿宋"/>
          <w:bCs/>
          <w:color w:val="auto"/>
          <w:kern w:val="0"/>
          <w:sz w:val="24"/>
        </w:rPr>
      </w:pPr>
    </w:p>
    <w:p>
      <w:pPr>
        <w:shd w:val="clear" w:color="auto" w:fill="FFFFFF"/>
        <w:spacing w:line="440" w:lineRule="exact"/>
        <w:rPr>
          <w:rFonts w:ascii="仿宋" w:hAnsi="仿宋" w:eastAsia="仿宋"/>
          <w:bCs/>
          <w:color w:val="auto"/>
          <w:kern w:val="0"/>
          <w:sz w:val="24"/>
        </w:rPr>
      </w:pPr>
    </w:p>
    <w:p>
      <w:pPr>
        <w:shd w:val="clear" w:color="auto" w:fill="FFFFFF"/>
        <w:spacing w:line="440" w:lineRule="exact"/>
        <w:rPr>
          <w:rFonts w:ascii="仿宋" w:hAnsi="仿宋" w:eastAsia="仿宋"/>
          <w:bCs/>
          <w:color w:val="auto"/>
          <w:kern w:val="0"/>
          <w:sz w:val="24"/>
        </w:rPr>
      </w:pPr>
    </w:p>
    <w:p>
      <w:pPr>
        <w:shd w:val="clear" w:color="auto" w:fill="FFFFFF"/>
        <w:spacing w:line="440" w:lineRule="exact"/>
        <w:rPr>
          <w:rFonts w:ascii="仿宋" w:hAnsi="仿宋" w:eastAsia="仿宋"/>
          <w:bCs/>
          <w:color w:val="auto"/>
          <w:kern w:val="0"/>
          <w:sz w:val="24"/>
        </w:rPr>
      </w:pPr>
    </w:p>
    <w:p>
      <w:pPr>
        <w:shd w:val="clear" w:color="auto" w:fill="FFFFFF"/>
        <w:spacing w:line="440" w:lineRule="exact"/>
        <w:rPr>
          <w:rFonts w:ascii="仿宋" w:hAnsi="仿宋" w:eastAsia="仿宋"/>
          <w:bCs/>
          <w:color w:val="auto"/>
          <w:kern w:val="0"/>
          <w:sz w:val="24"/>
        </w:rPr>
      </w:pPr>
    </w:p>
    <w:p>
      <w:pPr>
        <w:pStyle w:val="57"/>
        <w:ind w:firstLine="210"/>
        <w:rPr>
          <w:color w:val="auto"/>
        </w:rPr>
      </w:pPr>
    </w:p>
    <w:p>
      <w:pPr>
        <w:pStyle w:val="57"/>
        <w:ind w:firstLine="210"/>
        <w:rPr>
          <w:color w:val="auto"/>
        </w:rPr>
      </w:pPr>
    </w:p>
    <w:p>
      <w:pPr>
        <w:pStyle w:val="57"/>
        <w:ind w:firstLine="210"/>
        <w:rPr>
          <w:color w:val="auto"/>
        </w:rPr>
      </w:pPr>
    </w:p>
    <w:p>
      <w:pPr>
        <w:pStyle w:val="57"/>
        <w:ind w:firstLine="210"/>
        <w:rPr>
          <w:color w:val="auto"/>
        </w:rPr>
      </w:pPr>
    </w:p>
    <w:p>
      <w:pPr>
        <w:pStyle w:val="57"/>
        <w:ind w:firstLine="210"/>
        <w:rPr>
          <w:color w:val="auto"/>
        </w:rPr>
      </w:pPr>
    </w:p>
    <w:p>
      <w:pPr>
        <w:pStyle w:val="57"/>
        <w:ind w:firstLine="210"/>
        <w:rPr>
          <w:color w:val="auto"/>
        </w:rPr>
      </w:pPr>
    </w:p>
    <w:p>
      <w:pPr>
        <w:pStyle w:val="57"/>
        <w:ind w:firstLine="210"/>
        <w:rPr>
          <w:color w:val="auto"/>
        </w:rPr>
      </w:pPr>
    </w:p>
    <w:p>
      <w:pPr>
        <w:pStyle w:val="57"/>
        <w:ind w:firstLine="210"/>
        <w:rPr>
          <w:color w:val="auto"/>
        </w:rPr>
      </w:pPr>
    </w:p>
    <w:p>
      <w:pPr>
        <w:pStyle w:val="304"/>
        <w:shd w:val="clear" w:color="auto" w:fill="FFFFFF"/>
        <w:snapToGrid w:val="0"/>
        <w:spacing w:line="44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法定代表人（或负责人）（签字或签章）：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授权代理人（签字或签章）：</w:t>
      </w:r>
    </w:p>
    <w:p>
      <w:pPr>
        <w:shd w:val="clear" w:color="auto" w:fill="FFFFFF"/>
        <w:spacing w:line="440" w:lineRule="exact"/>
        <w:rPr>
          <w:rFonts w:ascii="仿宋" w:hAnsi="仿宋" w:eastAsia="仿宋"/>
          <w:bCs/>
          <w:color w:val="auto"/>
          <w:kern w:val="0"/>
          <w:sz w:val="24"/>
        </w:rPr>
      </w:pPr>
      <w:r>
        <w:rPr>
          <w:rFonts w:hint="eastAsia" w:ascii="仿宋" w:hAnsi="仿宋" w:eastAsia="仿宋"/>
          <w:color w:val="auto"/>
          <w:sz w:val="24"/>
        </w:rPr>
        <w:t>日期：  年  月  日</w:t>
      </w:r>
    </w:p>
    <w:p>
      <w:pPr>
        <w:shd w:val="clear" w:color="auto" w:fill="FFFFFF"/>
        <w:spacing w:line="440" w:lineRule="exact"/>
        <w:rPr>
          <w:rFonts w:ascii="仿宋" w:hAnsi="仿宋" w:eastAsia="仿宋"/>
          <w:bCs/>
          <w:color w:val="auto"/>
          <w:kern w:val="0"/>
          <w:sz w:val="24"/>
        </w:rPr>
      </w:pPr>
    </w:p>
    <w:p>
      <w:pPr>
        <w:widowControl/>
        <w:jc w:val="left"/>
        <w:rPr>
          <w:rFonts w:ascii="仿宋" w:hAnsi="仿宋" w:eastAsia="仿宋"/>
          <w:color w:val="auto"/>
          <w:szCs w:val="21"/>
        </w:rPr>
      </w:pPr>
    </w:p>
    <w:p>
      <w:pPr>
        <w:widowControl/>
        <w:jc w:val="left"/>
        <w:rPr>
          <w:rFonts w:ascii="仿宋" w:hAnsi="仿宋" w:eastAsia="仿宋"/>
          <w:b/>
          <w:bCs/>
          <w:color w:val="auto"/>
          <w:kern w:val="0"/>
          <w:sz w:val="24"/>
        </w:rPr>
      </w:pPr>
      <w:r>
        <w:rPr>
          <w:rFonts w:ascii="仿宋" w:hAnsi="仿宋" w:eastAsia="仿宋"/>
          <w:b/>
          <w:bCs/>
          <w:color w:val="auto"/>
          <w:kern w:val="0"/>
          <w:sz w:val="24"/>
        </w:rPr>
        <w:br w:type="page"/>
      </w:r>
    </w:p>
    <w:p>
      <w:pPr>
        <w:widowControl/>
        <w:jc w:val="left"/>
        <w:rPr>
          <w:rFonts w:ascii="仿宋" w:hAnsi="仿宋" w:eastAsia="仿宋"/>
          <w:color w:val="auto"/>
          <w:kern w:val="0"/>
          <w:sz w:val="24"/>
        </w:rPr>
      </w:pPr>
      <w:r>
        <w:rPr>
          <w:rFonts w:hint="eastAsia" w:ascii="仿宋" w:hAnsi="仿宋" w:eastAsia="仿宋"/>
          <w:b/>
          <w:bCs/>
          <w:color w:val="auto"/>
          <w:kern w:val="0"/>
          <w:sz w:val="24"/>
        </w:rPr>
        <w:t>附件九</w:t>
      </w:r>
    </w:p>
    <w:p>
      <w:pPr>
        <w:shd w:val="clear" w:color="auto" w:fill="FFFFFF"/>
        <w:spacing w:line="440" w:lineRule="exact"/>
        <w:jc w:val="center"/>
        <w:rPr>
          <w:rFonts w:ascii="仿宋" w:hAnsi="仿宋" w:eastAsia="仿宋"/>
          <w:color w:val="auto"/>
          <w:sz w:val="28"/>
          <w:szCs w:val="28"/>
        </w:rPr>
      </w:pPr>
      <w:r>
        <w:rPr>
          <w:rFonts w:hint="eastAsia" w:ascii="仿宋" w:hAnsi="仿宋" w:eastAsia="仿宋"/>
          <w:b/>
          <w:bCs/>
          <w:color w:val="auto"/>
          <w:sz w:val="28"/>
          <w:szCs w:val="28"/>
        </w:rPr>
        <w:t>商务及合同条款偏离表</w:t>
      </w:r>
    </w:p>
    <w:p>
      <w:pPr>
        <w:shd w:val="clear" w:color="auto" w:fill="FFFFFF"/>
        <w:spacing w:beforeLines="50" w:line="440" w:lineRule="exact"/>
        <w:ind w:firstLine="480" w:firstLineChars="200"/>
        <w:rPr>
          <w:rFonts w:ascii="仿宋" w:hAnsi="仿宋" w:eastAsia="仿宋"/>
          <w:color w:val="auto"/>
          <w:sz w:val="24"/>
        </w:rPr>
      </w:pPr>
      <w:r>
        <w:rPr>
          <w:rFonts w:hint="eastAsia" w:ascii="仿宋" w:hAnsi="仿宋" w:eastAsia="仿宋"/>
          <w:color w:val="auto"/>
          <w:sz w:val="24"/>
        </w:rPr>
        <w:t>项目名称：                                                  项目编号:</w:t>
      </w:r>
    </w:p>
    <w:tbl>
      <w:tblPr>
        <w:tblStyle w:val="59"/>
        <w:tblW w:w="8954" w:type="dxa"/>
        <w:tblInd w:w="468" w:type="dxa"/>
        <w:tblLayout w:type="fixed"/>
        <w:tblCellMar>
          <w:top w:w="0" w:type="dxa"/>
          <w:left w:w="108" w:type="dxa"/>
          <w:bottom w:w="0" w:type="dxa"/>
          <w:right w:w="108" w:type="dxa"/>
        </w:tblCellMar>
      </w:tblPr>
      <w:tblGrid>
        <w:gridCol w:w="900"/>
        <w:gridCol w:w="1725"/>
        <w:gridCol w:w="1941"/>
        <w:gridCol w:w="2050"/>
        <w:gridCol w:w="2338"/>
      </w:tblGrid>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rPr>
                <w:rFonts w:ascii="仿宋" w:hAnsi="仿宋" w:eastAsia="仿宋"/>
                <w:color w:val="auto"/>
                <w:szCs w:val="21"/>
              </w:rPr>
            </w:pPr>
            <w:r>
              <w:rPr>
                <w:rFonts w:hint="eastAsia" w:ascii="仿宋" w:hAnsi="仿宋" w:eastAsia="仿宋"/>
                <w:color w:val="auto"/>
                <w:szCs w:val="21"/>
              </w:rPr>
              <w:t>序号</w:t>
            </w: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jc w:val="center"/>
              <w:rPr>
                <w:rFonts w:ascii="仿宋" w:hAnsi="仿宋" w:eastAsia="仿宋"/>
                <w:color w:val="auto"/>
                <w:szCs w:val="21"/>
              </w:rPr>
            </w:pPr>
            <w:r>
              <w:rPr>
                <w:rFonts w:hint="eastAsia" w:ascii="仿宋" w:hAnsi="仿宋" w:eastAsia="仿宋"/>
                <w:color w:val="auto"/>
                <w:szCs w:val="21"/>
              </w:rPr>
              <w:t>条款序号</w:t>
            </w: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jc w:val="center"/>
              <w:rPr>
                <w:rFonts w:ascii="仿宋" w:hAnsi="仿宋" w:eastAsia="仿宋"/>
                <w:color w:val="auto"/>
                <w:szCs w:val="21"/>
              </w:rPr>
            </w:pPr>
            <w:r>
              <w:rPr>
                <w:rFonts w:hint="eastAsia" w:ascii="仿宋" w:hAnsi="仿宋" w:eastAsia="仿宋"/>
                <w:color w:val="auto"/>
                <w:szCs w:val="21"/>
              </w:rPr>
              <w:t>招标条款</w:t>
            </w: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jc w:val="center"/>
              <w:rPr>
                <w:rFonts w:ascii="仿宋" w:hAnsi="仿宋" w:eastAsia="仿宋"/>
                <w:color w:val="auto"/>
                <w:szCs w:val="21"/>
              </w:rPr>
            </w:pPr>
            <w:r>
              <w:rPr>
                <w:rFonts w:hint="eastAsia" w:ascii="仿宋" w:hAnsi="仿宋" w:eastAsia="仿宋"/>
                <w:color w:val="auto"/>
                <w:szCs w:val="21"/>
              </w:rPr>
              <w:t>投标条款</w:t>
            </w: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jc w:val="center"/>
              <w:rPr>
                <w:rFonts w:ascii="仿宋" w:hAnsi="仿宋" w:eastAsia="仿宋"/>
                <w:color w:val="auto"/>
                <w:szCs w:val="21"/>
              </w:rPr>
            </w:pPr>
            <w:r>
              <w:rPr>
                <w:rFonts w:hint="eastAsia" w:ascii="仿宋" w:hAnsi="仿宋" w:eastAsia="仿宋"/>
                <w:color w:val="auto"/>
                <w:szCs w:val="21"/>
              </w:rPr>
              <w:t>响应/偏离</w:t>
            </w: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r>
              <w:rPr>
                <w:rFonts w:hint="eastAsia" w:ascii="仿宋" w:hAnsi="仿宋" w:eastAsia="仿宋"/>
                <w:color w:val="auto"/>
                <w:szCs w:val="21"/>
              </w:rPr>
              <w:t>…</w:t>
            </w: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628"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r>
    </w:tbl>
    <w:p>
      <w:pPr>
        <w:pStyle w:val="304"/>
        <w:shd w:val="clear" w:color="auto" w:fill="FFFFFF"/>
        <w:snapToGrid w:val="0"/>
        <w:spacing w:line="440" w:lineRule="exact"/>
        <w:rPr>
          <w:rFonts w:ascii="仿宋" w:hAnsi="仿宋" w:eastAsia="仿宋"/>
          <w:color w:val="auto"/>
          <w:sz w:val="24"/>
        </w:rPr>
      </w:pPr>
    </w:p>
    <w:p>
      <w:pPr>
        <w:shd w:val="clear" w:color="auto" w:fill="FFFFFF"/>
        <w:spacing w:line="420" w:lineRule="exact"/>
        <w:ind w:firstLine="482" w:firstLineChars="200"/>
        <w:rPr>
          <w:rFonts w:ascii="仿宋" w:hAnsi="仿宋" w:eastAsia="仿宋"/>
          <w:b/>
          <w:bCs/>
          <w:color w:val="auto"/>
          <w:sz w:val="24"/>
        </w:rPr>
      </w:pPr>
      <w:r>
        <w:rPr>
          <w:rFonts w:hint="eastAsia" w:ascii="仿宋" w:hAnsi="仿宋" w:eastAsia="仿宋"/>
          <w:b/>
          <w:bCs/>
          <w:color w:val="auto"/>
          <w:sz w:val="24"/>
        </w:rPr>
        <w:t>重要说明：供应商在上表中说明的内容，至少须包括对本文件《投标须知前附表》提出的“投标有效期”、“交货期及完工期”、“交货地点”、“保修期”、“付款方式”五项内容逐条响应，不接受负偏离。</w:t>
      </w:r>
    </w:p>
    <w:p>
      <w:pPr>
        <w:pStyle w:val="304"/>
        <w:shd w:val="clear" w:color="auto" w:fill="FFFFFF"/>
        <w:snapToGrid w:val="0"/>
        <w:spacing w:line="440" w:lineRule="exact"/>
        <w:rPr>
          <w:rFonts w:ascii="仿宋" w:hAnsi="仿宋" w:eastAsia="仿宋"/>
          <w:color w:val="auto"/>
          <w:sz w:val="24"/>
        </w:rPr>
      </w:pPr>
    </w:p>
    <w:p>
      <w:pPr>
        <w:pStyle w:val="304"/>
        <w:shd w:val="clear" w:color="auto" w:fill="FFFFFF"/>
        <w:snapToGrid w:val="0"/>
        <w:spacing w:line="440" w:lineRule="exact"/>
        <w:rPr>
          <w:rFonts w:ascii="仿宋" w:hAnsi="仿宋" w:eastAsia="仿宋"/>
          <w:color w:val="auto"/>
          <w:sz w:val="24"/>
        </w:rPr>
      </w:pPr>
    </w:p>
    <w:p>
      <w:pPr>
        <w:pStyle w:val="304"/>
        <w:shd w:val="clear" w:color="auto" w:fill="FFFFFF"/>
        <w:snapToGrid w:val="0"/>
        <w:spacing w:line="440" w:lineRule="exact"/>
        <w:rPr>
          <w:rFonts w:ascii="仿宋" w:hAnsi="仿宋" w:eastAsia="仿宋"/>
          <w:color w:val="auto"/>
          <w:sz w:val="24"/>
        </w:rPr>
      </w:pPr>
    </w:p>
    <w:p>
      <w:pPr>
        <w:pStyle w:val="304"/>
        <w:shd w:val="clear" w:color="auto" w:fill="FFFFFF"/>
        <w:snapToGrid w:val="0"/>
        <w:spacing w:line="44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法定代表人（或负责人）（签字或签章）：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授权代理人（签字或签章）：</w:t>
      </w:r>
    </w:p>
    <w:p>
      <w:pPr>
        <w:shd w:val="clear" w:color="auto" w:fill="FFFFFF"/>
        <w:spacing w:line="440" w:lineRule="exact"/>
        <w:rPr>
          <w:rFonts w:ascii="仿宋" w:hAnsi="仿宋" w:eastAsia="仿宋"/>
          <w:bCs/>
          <w:color w:val="auto"/>
          <w:kern w:val="0"/>
          <w:sz w:val="24"/>
        </w:rPr>
      </w:pPr>
      <w:r>
        <w:rPr>
          <w:rFonts w:hint="eastAsia" w:ascii="仿宋" w:hAnsi="仿宋" w:eastAsia="仿宋"/>
          <w:color w:val="auto"/>
          <w:sz w:val="24"/>
        </w:rPr>
        <w:t>日期：  年  月  日</w:t>
      </w:r>
    </w:p>
    <w:p>
      <w:pPr>
        <w:widowControl/>
        <w:spacing w:line="440" w:lineRule="exact"/>
        <w:jc w:val="left"/>
        <w:rPr>
          <w:rFonts w:ascii="仿宋" w:hAnsi="仿宋" w:eastAsia="仿宋"/>
          <w:color w:val="auto"/>
          <w:kern w:val="0"/>
          <w:sz w:val="24"/>
        </w:rPr>
      </w:pPr>
    </w:p>
    <w:p>
      <w:pPr>
        <w:pStyle w:val="57"/>
        <w:ind w:firstLine="281"/>
        <w:rPr>
          <w:rFonts w:ascii="仿宋" w:hAnsi="仿宋" w:eastAsia="仿宋"/>
          <w:b/>
          <w:bCs/>
          <w:color w:val="auto"/>
          <w:sz w:val="28"/>
          <w:szCs w:val="28"/>
        </w:rPr>
      </w:pPr>
    </w:p>
    <w:p>
      <w:pPr>
        <w:pStyle w:val="57"/>
        <w:ind w:firstLine="281"/>
        <w:rPr>
          <w:rFonts w:ascii="仿宋" w:hAnsi="仿宋" w:eastAsia="仿宋"/>
          <w:b/>
          <w:bCs/>
          <w:color w:val="auto"/>
          <w:sz w:val="28"/>
          <w:szCs w:val="28"/>
        </w:rPr>
      </w:pPr>
    </w:p>
    <w:p>
      <w:pPr>
        <w:pStyle w:val="57"/>
        <w:ind w:firstLine="281"/>
        <w:rPr>
          <w:rFonts w:ascii="仿宋" w:hAnsi="仿宋" w:eastAsia="仿宋"/>
          <w:b/>
          <w:bCs/>
          <w:color w:val="auto"/>
          <w:sz w:val="28"/>
          <w:szCs w:val="28"/>
        </w:rPr>
      </w:pPr>
    </w:p>
    <w:p>
      <w:pPr>
        <w:widowControl/>
        <w:jc w:val="left"/>
        <w:rPr>
          <w:rFonts w:ascii="仿宋" w:hAnsi="仿宋" w:eastAsia="仿宋"/>
          <w:b/>
          <w:bCs/>
          <w:color w:val="auto"/>
          <w:kern w:val="0"/>
          <w:sz w:val="24"/>
        </w:rPr>
      </w:pPr>
      <w:r>
        <w:rPr>
          <w:rFonts w:hint="eastAsia" w:ascii="仿宋" w:hAnsi="仿宋" w:eastAsia="仿宋"/>
          <w:b/>
          <w:bCs/>
          <w:color w:val="auto"/>
          <w:kern w:val="0"/>
          <w:sz w:val="24"/>
        </w:rPr>
        <w:t>附件十</w:t>
      </w:r>
    </w:p>
    <w:p>
      <w:pPr>
        <w:shd w:val="clear" w:color="auto" w:fill="FFFFFF"/>
        <w:spacing w:line="440" w:lineRule="exact"/>
        <w:jc w:val="center"/>
        <w:rPr>
          <w:rFonts w:ascii="仿宋" w:hAnsi="仿宋" w:eastAsia="仿宋"/>
          <w:b/>
          <w:bCs/>
          <w:color w:val="auto"/>
          <w:sz w:val="28"/>
          <w:szCs w:val="28"/>
        </w:rPr>
      </w:pPr>
    </w:p>
    <w:p>
      <w:pPr>
        <w:widowControl/>
        <w:spacing w:beforeLines="50" w:afterLines="50" w:line="440" w:lineRule="exact"/>
        <w:jc w:val="center"/>
        <w:rPr>
          <w:rFonts w:ascii="仿宋" w:hAnsi="仿宋" w:eastAsia="仿宋"/>
          <w:b/>
          <w:color w:val="auto"/>
          <w:sz w:val="28"/>
          <w:szCs w:val="28"/>
        </w:rPr>
      </w:pPr>
      <w:r>
        <w:rPr>
          <w:rFonts w:hint="eastAsia" w:ascii="仿宋" w:hAnsi="仿宋" w:eastAsia="仿宋"/>
          <w:b/>
          <w:color w:val="auto"/>
          <w:kern w:val="0"/>
          <w:sz w:val="28"/>
          <w:szCs w:val="28"/>
        </w:rPr>
        <w:t>同类项目业绩表</w:t>
      </w:r>
    </w:p>
    <w:tbl>
      <w:tblPr>
        <w:tblStyle w:val="59"/>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196"/>
        <w:gridCol w:w="1550"/>
        <w:gridCol w:w="1282"/>
        <w:gridCol w:w="1393"/>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3F3F3"/>
            <w:vAlign w:val="center"/>
          </w:tcPr>
          <w:p>
            <w:pPr>
              <w:widowControl/>
              <w:spacing w:line="440" w:lineRule="exact"/>
              <w:jc w:val="center"/>
              <w:rPr>
                <w:rFonts w:ascii="仿宋" w:hAnsi="仿宋" w:eastAsia="仿宋"/>
                <w:bCs/>
                <w:color w:val="auto"/>
                <w:szCs w:val="21"/>
              </w:rPr>
            </w:pPr>
            <w:r>
              <w:rPr>
                <w:rFonts w:hint="eastAsia" w:ascii="仿宋" w:hAnsi="仿宋" w:eastAsia="仿宋"/>
                <w:bCs/>
                <w:color w:val="auto"/>
                <w:szCs w:val="21"/>
              </w:rPr>
              <w:t>序号</w:t>
            </w:r>
          </w:p>
        </w:tc>
        <w:tc>
          <w:tcPr>
            <w:tcW w:w="1196" w:type="dxa"/>
            <w:shd w:val="clear" w:color="auto" w:fill="F3F3F3"/>
            <w:vAlign w:val="center"/>
          </w:tcPr>
          <w:p>
            <w:pPr>
              <w:widowControl/>
              <w:spacing w:line="440" w:lineRule="exact"/>
              <w:jc w:val="center"/>
              <w:rPr>
                <w:rFonts w:ascii="仿宋" w:hAnsi="仿宋" w:eastAsia="仿宋"/>
                <w:bCs/>
                <w:color w:val="auto"/>
                <w:szCs w:val="21"/>
              </w:rPr>
            </w:pPr>
            <w:r>
              <w:rPr>
                <w:rFonts w:hint="eastAsia" w:ascii="仿宋" w:hAnsi="仿宋" w:eastAsia="仿宋"/>
                <w:bCs/>
                <w:color w:val="auto"/>
                <w:szCs w:val="21"/>
              </w:rPr>
              <w:t>项目名称</w:t>
            </w:r>
          </w:p>
        </w:tc>
        <w:tc>
          <w:tcPr>
            <w:tcW w:w="1550" w:type="dxa"/>
            <w:shd w:val="clear" w:color="auto" w:fill="F3F3F3"/>
            <w:vAlign w:val="center"/>
          </w:tcPr>
          <w:p>
            <w:pPr>
              <w:widowControl/>
              <w:spacing w:line="440" w:lineRule="exact"/>
              <w:jc w:val="center"/>
              <w:rPr>
                <w:rFonts w:ascii="仿宋" w:hAnsi="仿宋" w:eastAsia="仿宋"/>
                <w:bCs/>
                <w:color w:val="auto"/>
                <w:szCs w:val="21"/>
              </w:rPr>
            </w:pPr>
            <w:r>
              <w:rPr>
                <w:rFonts w:hint="eastAsia" w:ascii="仿宋" w:hAnsi="仿宋" w:eastAsia="仿宋"/>
                <w:bCs/>
                <w:color w:val="auto"/>
                <w:szCs w:val="21"/>
              </w:rPr>
              <w:t>产品名称及规格型号</w:t>
            </w:r>
          </w:p>
        </w:tc>
        <w:tc>
          <w:tcPr>
            <w:tcW w:w="1282" w:type="dxa"/>
            <w:shd w:val="clear" w:color="auto" w:fill="F3F3F3"/>
            <w:vAlign w:val="center"/>
          </w:tcPr>
          <w:p>
            <w:pPr>
              <w:widowControl/>
              <w:spacing w:line="440" w:lineRule="exact"/>
              <w:jc w:val="center"/>
              <w:rPr>
                <w:rFonts w:ascii="仿宋" w:hAnsi="仿宋" w:eastAsia="仿宋"/>
                <w:bCs/>
                <w:color w:val="auto"/>
                <w:szCs w:val="21"/>
              </w:rPr>
            </w:pPr>
            <w:r>
              <w:rPr>
                <w:rFonts w:hint="eastAsia" w:ascii="仿宋" w:hAnsi="仿宋" w:eastAsia="仿宋"/>
                <w:bCs/>
                <w:color w:val="auto"/>
                <w:szCs w:val="21"/>
              </w:rPr>
              <w:t>数量规模</w:t>
            </w:r>
          </w:p>
        </w:tc>
        <w:tc>
          <w:tcPr>
            <w:tcW w:w="1393" w:type="dxa"/>
            <w:shd w:val="clear" w:color="auto" w:fill="F3F3F3"/>
            <w:vAlign w:val="center"/>
          </w:tcPr>
          <w:p>
            <w:pPr>
              <w:widowControl/>
              <w:spacing w:line="440" w:lineRule="exact"/>
              <w:jc w:val="center"/>
              <w:rPr>
                <w:rFonts w:ascii="仿宋" w:hAnsi="仿宋" w:eastAsia="仿宋"/>
                <w:bCs/>
                <w:color w:val="auto"/>
                <w:szCs w:val="21"/>
              </w:rPr>
            </w:pPr>
            <w:r>
              <w:rPr>
                <w:rFonts w:hint="eastAsia" w:ascii="仿宋" w:hAnsi="仿宋" w:eastAsia="仿宋"/>
                <w:bCs/>
                <w:color w:val="auto"/>
                <w:szCs w:val="21"/>
              </w:rPr>
              <w:t>合同价格</w:t>
            </w:r>
          </w:p>
        </w:tc>
        <w:tc>
          <w:tcPr>
            <w:tcW w:w="3120" w:type="dxa"/>
            <w:shd w:val="clear" w:color="auto" w:fill="F3F3F3"/>
            <w:vAlign w:val="center"/>
          </w:tcPr>
          <w:p>
            <w:pPr>
              <w:widowControl/>
              <w:spacing w:line="440" w:lineRule="exact"/>
              <w:jc w:val="center"/>
              <w:rPr>
                <w:rFonts w:ascii="仿宋" w:hAnsi="仿宋" w:eastAsia="仿宋"/>
                <w:bCs/>
                <w:color w:val="auto"/>
                <w:szCs w:val="21"/>
              </w:rPr>
            </w:pPr>
            <w:r>
              <w:rPr>
                <w:rFonts w:hint="eastAsia" w:ascii="仿宋" w:hAnsi="仿宋" w:eastAsia="仿宋"/>
                <w:bCs/>
                <w:color w:val="auto"/>
                <w:szCs w:val="21"/>
              </w:rPr>
              <w:t>业主名称/联系人/电话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1196" w:type="dxa"/>
            <w:vAlign w:val="center"/>
          </w:tcPr>
          <w:p>
            <w:pPr>
              <w:widowControl/>
              <w:spacing w:line="440" w:lineRule="exact"/>
              <w:jc w:val="left"/>
              <w:rPr>
                <w:rFonts w:ascii="仿宋" w:hAnsi="仿宋" w:eastAsia="仿宋"/>
                <w:color w:val="auto"/>
                <w:szCs w:val="21"/>
              </w:rPr>
            </w:pPr>
          </w:p>
        </w:tc>
        <w:tc>
          <w:tcPr>
            <w:tcW w:w="1550" w:type="dxa"/>
            <w:vAlign w:val="center"/>
          </w:tcPr>
          <w:p>
            <w:pPr>
              <w:widowControl/>
              <w:spacing w:line="440" w:lineRule="exact"/>
              <w:jc w:val="left"/>
              <w:rPr>
                <w:rFonts w:ascii="仿宋" w:hAnsi="仿宋" w:eastAsia="仿宋"/>
                <w:color w:val="auto"/>
                <w:szCs w:val="21"/>
              </w:rPr>
            </w:pPr>
          </w:p>
        </w:tc>
        <w:tc>
          <w:tcPr>
            <w:tcW w:w="1282"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1196" w:type="dxa"/>
            <w:vAlign w:val="center"/>
          </w:tcPr>
          <w:p>
            <w:pPr>
              <w:widowControl/>
              <w:spacing w:line="440" w:lineRule="exact"/>
              <w:jc w:val="left"/>
              <w:rPr>
                <w:rFonts w:ascii="仿宋" w:hAnsi="仿宋" w:eastAsia="仿宋"/>
                <w:color w:val="auto"/>
                <w:szCs w:val="21"/>
              </w:rPr>
            </w:pPr>
          </w:p>
        </w:tc>
        <w:tc>
          <w:tcPr>
            <w:tcW w:w="1550" w:type="dxa"/>
            <w:vAlign w:val="center"/>
          </w:tcPr>
          <w:p>
            <w:pPr>
              <w:widowControl/>
              <w:spacing w:line="440" w:lineRule="exact"/>
              <w:jc w:val="left"/>
              <w:rPr>
                <w:rFonts w:ascii="仿宋" w:hAnsi="仿宋" w:eastAsia="仿宋"/>
                <w:color w:val="auto"/>
                <w:szCs w:val="21"/>
              </w:rPr>
            </w:pPr>
          </w:p>
        </w:tc>
        <w:tc>
          <w:tcPr>
            <w:tcW w:w="1282"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1196" w:type="dxa"/>
            <w:vAlign w:val="center"/>
          </w:tcPr>
          <w:p>
            <w:pPr>
              <w:widowControl/>
              <w:spacing w:line="440" w:lineRule="exact"/>
              <w:jc w:val="left"/>
              <w:rPr>
                <w:rFonts w:ascii="仿宋" w:hAnsi="仿宋" w:eastAsia="仿宋"/>
                <w:color w:val="auto"/>
                <w:szCs w:val="21"/>
              </w:rPr>
            </w:pPr>
          </w:p>
        </w:tc>
        <w:tc>
          <w:tcPr>
            <w:tcW w:w="1550" w:type="dxa"/>
            <w:vAlign w:val="center"/>
          </w:tcPr>
          <w:p>
            <w:pPr>
              <w:widowControl/>
              <w:spacing w:line="440" w:lineRule="exact"/>
              <w:jc w:val="left"/>
              <w:rPr>
                <w:rFonts w:ascii="仿宋" w:hAnsi="仿宋" w:eastAsia="仿宋"/>
                <w:color w:val="auto"/>
                <w:szCs w:val="21"/>
              </w:rPr>
            </w:pPr>
          </w:p>
        </w:tc>
        <w:tc>
          <w:tcPr>
            <w:tcW w:w="1282"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1196" w:type="dxa"/>
            <w:vAlign w:val="center"/>
          </w:tcPr>
          <w:p>
            <w:pPr>
              <w:widowControl/>
              <w:spacing w:line="440" w:lineRule="exact"/>
              <w:jc w:val="left"/>
              <w:rPr>
                <w:rFonts w:ascii="仿宋" w:hAnsi="仿宋" w:eastAsia="仿宋"/>
                <w:color w:val="auto"/>
                <w:szCs w:val="21"/>
              </w:rPr>
            </w:pPr>
          </w:p>
        </w:tc>
        <w:tc>
          <w:tcPr>
            <w:tcW w:w="1550" w:type="dxa"/>
            <w:vAlign w:val="center"/>
          </w:tcPr>
          <w:p>
            <w:pPr>
              <w:widowControl/>
              <w:spacing w:line="440" w:lineRule="exact"/>
              <w:jc w:val="left"/>
              <w:rPr>
                <w:rFonts w:ascii="仿宋" w:hAnsi="仿宋" w:eastAsia="仿宋"/>
                <w:color w:val="auto"/>
                <w:szCs w:val="21"/>
              </w:rPr>
            </w:pPr>
          </w:p>
        </w:tc>
        <w:tc>
          <w:tcPr>
            <w:tcW w:w="1282"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1196" w:type="dxa"/>
            <w:vAlign w:val="center"/>
          </w:tcPr>
          <w:p>
            <w:pPr>
              <w:widowControl/>
              <w:spacing w:line="440" w:lineRule="exact"/>
              <w:jc w:val="left"/>
              <w:rPr>
                <w:rFonts w:ascii="仿宋" w:hAnsi="仿宋" w:eastAsia="仿宋"/>
                <w:color w:val="auto"/>
                <w:szCs w:val="21"/>
              </w:rPr>
            </w:pPr>
          </w:p>
        </w:tc>
        <w:tc>
          <w:tcPr>
            <w:tcW w:w="1550" w:type="dxa"/>
            <w:vAlign w:val="center"/>
          </w:tcPr>
          <w:p>
            <w:pPr>
              <w:widowControl/>
              <w:spacing w:line="440" w:lineRule="exact"/>
              <w:jc w:val="left"/>
              <w:rPr>
                <w:rFonts w:ascii="仿宋" w:hAnsi="仿宋" w:eastAsia="仿宋"/>
                <w:color w:val="auto"/>
                <w:szCs w:val="21"/>
              </w:rPr>
            </w:pPr>
          </w:p>
        </w:tc>
        <w:tc>
          <w:tcPr>
            <w:tcW w:w="1282"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1196" w:type="dxa"/>
            <w:vAlign w:val="center"/>
          </w:tcPr>
          <w:p>
            <w:pPr>
              <w:widowControl/>
              <w:spacing w:line="440" w:lineRule="exact"/>
              <w:jc w:val="left"/>
              <w:rPr>
                <w:rFonts w:ascii="仿宋" w:hAnsi="仿宋" w:eastAsia="仿宋"/>
                <w:color w:val="auto"/>
                <w:szCs w:val="21"/>
              </w:rPr>
            </w:pPr>
          </w:p>
        </w:tc>
        <w:tc>
          <w:tcPr>
            <w:tcW w:w="1550" w:type="dxa"/>
            <w:vAlign w:val="center"/>
          </w:tcPr>
          <w:p>
            <w:pPr>
              <w:widowControl/>
              <w:spacing w:line="440" w:lineRule="exact"/>
              <w:jc w:val="left"/>
              <w:rPr>
                <w:rFonts w:ascii="仿宋" w:hAnsi="仿宋" w:eastAsia="仿宋"/>
                <w:color w:val="auto"/>
                <w:szCs w:val="21"/>
              </w:rPr>
            </w:pPr>
          </w:p>
        </w:tc>
        <w:tc>
          <w:tcPr>
            <w:tcW w:w="1282"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r>
              <w:rPr>
                <w:rFonts w:hint="eastAsia" w:ascii="仿宋" w:hAnsi="仿宋" w:eastAsia="仿宋"/>
                <w:color w:val="auto"/>
                <w:szCs w:val="21"/>
              </w:rPr>
              <w:t>…</w:t>
            </w:r>
          </w:p>
        </w:tc>
        <w:tc>
          <w:tcPr>
            <w:tcW w:w="1196" w:type="dxa"/>
            <w:vAlign w:val="center"/>
          </w:tcPr>
          <w:p>
            <w:pPr>
              <w:widowControl/>
              <w:spacing w:line="440" w:lineRule="exact"/>
              <w:jc w:val="left"/>
              <w:rPr>
                <w:rFonts w:ascii="仿宋" w:hAnsi="仿宋" w:eastAsia="仿宋"/>
                <w:color w:val="auto"/>
                <w:szCs w:val="21"/>
              </w:rPr>
            </w:pPr>
            <w:r>
              <w:rPr>
                <w:rFonts w:hint="eastAsia" w:ascii="仿宋" w:hAnsi="仿宋" w:eastAsia="仿宋"/>
                <w:color w:val="auto"/>
                <w:szCs w:val="21"/>
              </w:rPr>
              <w:t>……</w:t>
            </w:r>
          </w:p>
        </w:tc>
        <w:tc>
          <w:tcPr>
            <w:tcW w:w="1550" w:type="dxa"/>
            <w:vAlign w:val="center"/>
          </w:tcPr>
          <w:p>
            <w:pPr>
              <w:widowControl/>
              <w:spacing w:line="440" w:lineRule="exact"/>
              <w:jc w:val="left"/>
              <w:rPr>
                <w:rFonts w:ascii="仿宋" w:hAnsi="仿宋" w:eastAsia="仿宋"/>
                <w:color w:val="auto"/>
                <w:szCs w:val="21"/>
              </w:rPr>
            </w:pPr>
          </w:p>
        </w:tc>
        <w:tc>
          <w:tcPr>
            <w:tcW w:w="1282"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1196" w:type="dxa"/>
            <w:vAlign w:val="center"/>
          </w:tcPr>
          <w:p>
            <w:pPr>
              <w:widowControl/>
              <w:spacing w:line="440" w:lineRule="exact"/>
              <w:jc w:val="left"/>
              <w:rPr>
                <w:rFonts w:ascii="仿宋" w:hAnsi="仿宋" w:eastAsia="仿宋"/>
                <w:color w:val="auto"/>
                <w:szCs w:val="21"/>
              </w:rPr>
            </w:pPr>
          </w:p>
        </w:tc>
        <w:tc>
          <w:tcPr>
            <w:tcW w:w="1550" w:type="dxa"/>
            <w:vAlign w:val="center"/>
          </w:tcPr>
          <w:p>
            <w:pPr>
              <w:widowControl/>
              <w:spacing w:line="440" w:lineRule="exact"/>
              <w:jc w:val="left"/>
              <w:rPr>
                <w:rFonts w:ascii="仿宋" w:hAnsi="仿宋" w:eastAsia="仿宋"/>
                <w:color w:val="auto"/>
                <w:szCs w:val="21"/>
              </w:rPr>
            </w:pPr>
          </w:p>
        </w:tc>
        <w:tc>
          <w:tcPr>
            <w:tcW w:w="1282"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1196" w:type="dxa"/>
            <w:vAlign w:val="center"/>
          </w:tcPr>
          <w:p>
            <w:pPr>
              <w:widowControl/>
              <w:spacing w:line="440" w:lineRule="exact"/>
              <w:jc w:val="left"/>
              <w:rPr>
                <w:rFonts w:ascii="仿宋" w:hAnsi="仿宋" w:eastAsia="仿宋"/>
                <w:color w:val="auto"/>
                <w:szCs w:val="21"/>
              </w:rPr>
            </w:pPr>
          </w:p>
        </w:tc>
        <w:tc>
          <w:tcPr>
            <w:tcW w:w="1550" w:type="dxa"/>
            <w:vAlign w:val="center"/>
          </w:tcPr>
          <w:p>
            <w:pPr>
              <w:widowControl/>
              <w:spacing w:line="440" w:lineRule="exact"/>
              <w:jc w:val="left"/>
              <w:rPr>
                <w:rFonts w:ascii="仿宋" w:hAnsi="仿宋" w:eastAsia="仿宋"/>
                <w:color w:val="auto"/>
                <w:szCs w:val="21"/>
              </w:rPr>
            </w:pPr>
          </w:p>
        </w:tc>
        <w:tc>
          <w:tcPr>
            <w:tcW w:w="1282"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b/>
                <w:color w:val="auto"/>
                <w:szCs w:val="21"/>
              </w:rPr>
            </w:pPr>
          </w:p>
        </w:tc>
        <w:tc>
          <w:tcPr>
            <w:tcW w:w="1196" w:type="dxa"/>
            <w:vAlign w:val="center"/>
          </w:tcPr>
          <w:p>
            <w:pPr>
              <w:widowControl/>
              <w:spacing w:line="440" w:lineRule="exact"/>
              <w:jc w:val="left"/>
              <w:rPr>
                <w:rFonts w:ascii="仿宋" w:hAnsi="仿宋" w:eastAsia="仿宋"/>
                <w:b/>
                <w:color w:val="auto"/>
                <w:szCs w:val="21"/>
              </w:rPr>
            </w:pPr>
          </w:p>
        </w:tc>
        <w:tc>
          <w:tcPr>
            <w:tcW w:w="1550" w:type="dxa"/>
            <w:vAlign w:val="center"/>
          </w:tcPr>
          <w:p>
            <w:pPr>
              <w:widowControl/>
              <w:spacing w:line="440" w:lineRule="exact"/>
              <w:jc w:val="left"/>
              <w:rPr>
                <w:rFonts w:ascii="仿宋" w:hAnsi="仿宋" w:eastAsia="仿宋"/>
                <w:b/>
                <w:color w:val="auto"/>
                <w:szCs w:val="21"/>
              </w:rPr>
            </w:pPr>
          </w:p>
        </w:tc>
        <w:tc>
          <w:tcPr>
            <w:tcW w:w="1282" w:type="dxa"/>
          </w:tcPr>
          <w:p>
            <w:pPr>
              <w:widowControl/>
              <w:spacing w:line="440" w:lineRule="exact"/>
              <w:jc w:val="left"/>
              <w:rPr>
                <w:rFonts w:ascii="仿宋" w:hAnsi="仿宋" w:eastAsia="仿宋"/>
                <w:b/>
                <w:color w:val="auto"/>
                <w:szCs w:val="21"/>
              </w:rPr>
            </w:pPr>
          </w:p>
        </w:tc>
        <w:tc>
          <w:tcPr>
            <w:tcW w:w="1393" w:type="dxa"/>
            <w:vAlign w:val="center"/>
          </w:tcPr>
          <w:p>
            <w:pPr>
              <w:widowControl/>
              <w:spacing w:line="440" w:lineRule="exact"/>
              <w:jc w:val="left"/>
              <w:rPr>
                <w:rFonts w:ascii="仿宋" w:hAnsi="仿宋" w:eastAsia="仿宋"/>
                <w:b/>
                <w:color w:val="auto"/>
                <w:szCs w:val="21"/>
              </w:rPr>
            </w:pPr>
          </w:p>
        </w:tc>
        <w:tc>
          <w:tcPr>
            <w:tcW w:w="3120" w:type="dxa"/>
            <w:vAlign w:val="center"/>
          </w:tcPr>
          <w:p>
            <w:pPr>
              <w:widowControl/>
              <w:spacing w:line="440" w:lineRule="exact"/>
              <w:jc w:val="left"/>
              <w:rPr>
                <w:rFonts w:ascii="仿宋" w:hAnsi="仿宋" w:eastAsia="仿宋"/>
                <w:b/>
                <w:color w:val="auto"/>
                <w:szCs w:val="21"/>
              </w:rPr>
            </w:pPr>
          </w:p>
        </w:tc>
      </w:tr>
    </w:tbl>
    <w:p>
      <w:pPr>
        <w:shd w:val="clear" w:color="auto" w:fill="FFFFFF"/>
        <w:spacing w:line="420" w:lineRule="exact"/>
        <w:ind w:firstLine="482" w:firstLineChars="200"/>
        <w:rPr>
          <w:rFonts w:ascii="仿宋" w:hAnsi="仿宋" w:eastAsia="仿宋"/>
          <w:color w:val="auto"/>
          <w:kern w:val="0"/>
          <w:sz w:val="24"/>
        </w:rPr>
      </w:pPr>
      <w:r>
        <w:rPr>
          <w:rFonts w:hint="eastAsia" w:ascii="仿宋" w:hAnsi="仿宋" w:eastAsia="仿宋"/>
          <w:b/>
          <w:color w:val="auto"/>
          <w:sz w:val="24"/>
        </w:rPr>
        <w:t>注：提供业绩证明资料</w:t>
      </w:r>
      <w:r>
        <w:rPr>
          <w:rFonts w:hint="eastAsia" w:ascii="仿宋" w:hAnsi="仿宋" w:eastAsia="仿宋"/>
          <w:color w:val="auto"/>
          <w:kern w:val="0"/>
          <w:sz w:val="24"/>
        </w:rPr>
        <w:t>。</w:t>
      </w:r>
    </w:p>
    <w:p>
      <w:pPr>
        <w:shd w:val="clear" w:color="auto" w:fill="FFFFFF"/>
        <w:spacing w:line="440" w:lineRule="exact"/>
        <w:rPr>
          <w:rFonts w:ascii="仿宋" w:hAnsi="仿宋" w:eastAsia="仿宋"/>
          <w:b/>
          <w:color w:val="auto"/>
          <w:szCs w:val="21"/>
        </w:rPr>
      </w:pPr>
    </w:p>
    <w:p>
      <w:pPr>
        <w:pStyle w:val="304"/>
        <w:shd w:val="clear" w:color="auto" w:fill="FFFFFF"/>
        <w:snapToGrid w:val="0"/>
        <w:spacing w:line="44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法定代表人（或负责人）（签字或签章）：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授权代理人（签字或签章）：</w:t>
      </w:r>
    </w:p>
    <w:p>
      <w:pPr>
        <w:shd w:val="clear" w:color="auto" w:fill="FFFFFF"/>
        <w:spacing w:line="440" w:lineRule="exact"/>
        <w:rPr>
          <w:rFonts w:ascii="仿宋" w:hAnsi="仿宋" w:eastAsia="仿宋"/>
          <w:bCs/>
          <w:color w:val="auto"/>
          <w:kern w:val="0"/>
          <w:sz w:val="24"/>
        </w:rPr>
      </w:pPr>
      <w:r>
        <w:rPr>
          <w:rFonts w:hint="eastAsia" w:ascii="仿宋" w:hAnsi="仿宋" w:eastAsia="仿宋"/>
          <w:color w:val="auto"/>
          <w:sz w:val="24"/>
        </w:rPr>
        <w:t>日期：  年  月  日</w:t>
      </w:r>
    </w:p>
    <w:p>
      <w:pPr>
        <w:widowControl/>
        <w:jc w:val="left"/>
        <w:rPr>
          <w:rFonts w:ascii="仿宋" w:hAnsi="仿宋" w:eastAsia="仿宋"/>
          <w:color w:val="auto"/>
          <w:szCs w:val="21"/>
        </w:rPr>
      </w:pPr>
    </w:p>
    <w:p>
      <w:pPr>
        <w:widowControl/>
        <w:jc w:val="left"/>
        <w:rPr>
          <w:rFonts w:ascii="仿宋" w:hAnsi="仿宋" w:eastAsia="仿宋"/>
          <w:color w:val="auto"/>
          <w:szCs w:val="21"/>
        </w:rPr>
      </w:pPr>
    </w:p>
    <w:p>
      <w:pPr>
        <w:widowControl/>
        <w:jc w:val="left"/>
        <w:rPr>
          <w:rFonts w:ascii="仿宋" w:hAnsi="仿宋" w:eastAsia="仿宋"/>
          <w:b/>
          <w:bCs/>
          <w:color w:val="auto"/>
          <w:kern w:val="0"/>
          <w:sz w:val="24"/>
        </w:rPr>
      </w:pPr>
    </w:p>
    <w:p>
      <w:pPr>
        <w:widowControl/>
        <w:jc w:val="left"/>
        <w:rPr>
          <w:rFonts w:ascii="仿宋" w:hAnsi="仿宋" w:eastAsia="仿宋"/>
          <w:b/>
          <w:bCs/>
          <w:color w:val="auto"/>
          <w:kern w:val="0"/>
          <w:sz w:val="24"/>
        </w:rPr>
      </w:pPr>
    </w:p>
    <w:p>
      <w:pPr>
        <w:widowControl/>
        <w:jc w:val="left"/>
        <w:rPr>
          <w:rFonts w:ascii="仿宋" w:hAnsi="仿宋" w:eastAsia="仿宋"/>
          <w:b/>
          <w:bCs/>
          <w:color w:val="auto"/>
          <w:kern w:val="0"/>
          <w:sz w:val="24"/>
        </w:rPr>
      </w:pPr>
    </w:p>
    <w:p>
      <w:pPr>
        <w:widowControl/>
        <w:jc w:val="left"/>
        <w:rPr>
          <w:rFonts w:ascii="仿宋" w:hAnsi="仿宋" w:eastAsia="仿宋"/>
          <w:b/>
          <w:bCs/>
          <w:color w:val="auto"/>
          <w:kern w:val="0"/>
          <w:sz w:val="24"/>
        </w:rPr>
      </w:pPr>
    </w:p>
    <w:p>
      <w:pPr>
        <w:widowControl/>
        <w:jc w:val="left"/>
        <w:rPr>
          <w:rFonts w:ascii="仿宋" w:hAnsi="仿宋" w:eastAsia="仿宋"/>
          <w:b/>
          <w:bCs/>
          <w:color w:val="auto"/>
          <w:kern w:val="0"/>
          <w:sz w:val="24"/>
        </w:rPr>
      </w:pPr>
    </w:p>
    <w:p>
      <w:pPr>
        <w:widowControl/>
        <w:jc w:val="left"/>
        <w:rPr>
          <w:rFonts w:ascii="仿宋" w:hAnsi="仿宋" w:eastAsia="仿宋"/>
          <w:b/>
          <w:bCs/>
          <w:color w:val="auto"/>
          <w:kern w:val="0"/>
          <w:sz w:val="24"/>
        </w:rPr>
      </w:pPr>
    </w:p>
    <w:p>
      <w:pPr>
        <w:widowControl/>
        <w:jc w:val="left"/>
        <w:rPr>
          <w:rFonts w:ascii="仿宋" w:hAnsi="仿宋" w:eastAsia="仿宋"/>
          <w:b/>
          <w:bCs/>
          <w:color w:val="auto"/>
          <w:kern w:val="0"/>
          <w:sz w:val="24"/>
        </w:rPr>
      </w:pPr>
    </w:p>
    <w:p>
      <w:pPr>
        <w:widowControl/>
        <w:jc w:val="left"/>
        <w:rPr>
          <w:rFonts w:ascii="仿宋" w:hAnsi="仿宋" w:eastAsia="仿宋"/>
          <w:b/>
          <w:bCs/>
          <w:color w:val="auto"/>
          <w:kern w:val="0"/>
          <w:sz w:val="24"/>
        </w:rPr>
      </w:pPr>
    </w:p>
    <w:p>
      <w:pPr>
        <w:widowControl/>
        <w:jc w:val="left"/>
        <w:rPr>
          <w:rFonts w:ascii="仿宋" w:hAnsi="仿宋" w:eastAsia="仿宋"/>
          <w:b/>
          <w:bCs/>
          <w:color w:val="auto"/>
          <w:kern w:val="0"/>
          <w:sz w:val="24"/>
        </w:rPr>
      </w:pPr>
      <w:r>
        <w:rPr>
          <w:rFonts w:hint="eastAsia" w:ascii="仿宋" w:hAnsi="仿宋" w:eastAsia="仿宋"/>
          <w:b/>
          <w:bCs/>
          <w:color w:val="auto"/>
          <w:kern w:val="0"/>
          <w:sz w:val="24"/>
        </w:rPr>
        <w:t>附件十一  供应商认为有必要提供的其他资料</w:t>
      </w:r>
    </w:p>
    <w:p>
      <w:pPr>
        <w:widowControl/>
        <w:rPr>
          <w:rFonts w:ascii="仿宋" w:hAnsi="仿宋" w:eastAsia="仿宋"/>
          <w:color w:val="auto"/>
          <w:sz w:val="24"/>
        </w:rPr>
      </w:pPr>
    </w:p>
    <w:p>
      <w:pPr>
        <w:shd w:val="clear" w:color="auto" w:fill="FFFFFF"/>
        <w:spacing w:line="440" w:lineRule="exact"/>
        <w:jc w:val="center"/>
        <w:rPr>
          <w:rFonts w:ascii="仿宋" w:hAnsi="仿宋" w:eastAsia="仿宋"/>
          <w:color w:val="auto"/>
          <w:sz w:val="28"/>
          <w:szCs w:val="28"/>
        </w:rPr>
      </w:pPr>
      <w:r>
        <w:rPr>
          <w:rFonts w:hint="eastAsia" w:ascii="仿宋" w:hAnsi="仿宋" w:eastAsia="仿宋"/>
          <w:b/>
          <w:bCs/>
          <w:color w:val="auto"/>
          <w:sz w:val="28"/>
          <w:szCs w:val="28"/>
        </w:rPr>
        <w:t>中小企业声明函</w:t>
      </w:r>
    </w:p>
    <w:p>
      <w:pPr>
        <w:widowControl/>
        <w:jc w:val="left"/>
        <w:rPr>
          <w:rFonts w:ascii="仿宋" w:hAnsi="仿宋" w:eastAsia="仿宋"/>
          <w:color w:val="auto"/>
          <w:sz w:val="24"/>
        </w:rPr>
      </w:pPr>
    </w:p>
    <w:p>
      <w:pPr>
        <w:widowControl/>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本公司（联合体）郑重声明，根据《政府采购促进中小企业发展管理办法》（财库﹝2020﹞46 号）的规定，本公司（联合体）参加</w:t>
      </w:r>
      <w:r>
        <w:rPr>
          <w:rFonts w:hint="eastAsia" w:ascii="仿宋" w:hAnsi="仿宋" w:eastAsia="仿宋"/>
          <w:color w:val="auto"/>
          <w:sz w:val="24"/>
          <w:u w:val="single"/>
        </w:rPr>
        <w:t>（单位名称）</w:t>
      </w:r>
      <w:r>
        <w:rPr>
          <w:rFonts w:hint="eastAsia" w:ascii="仿宋" w:hAnsi="仿宋" w:eastAsia="仿宋"/>
          <w:color w:val="auto"/>
          <w:sz w:val="24"/>
        </w:rPr>
        <w:t>的</w:t>
      </w:r>
      <w:r>
        <w:rPr>
          <w:rFonts w:hint="eastAsia" w:ascii="仿宋" w:hAnsi="仿宋" w:eastAsia="仿宋"/>
          <w:color w:val="auto"/>
          <w:sz w:val="24"/>
          <w:u w:val="single"/>
        </w:rPr>
        <w:t>（项目名称）</w:t>
      </w:r>
      <w:r>
        <w:rPr>
          <w:rFonts w:hint="eastAsia" w:ascii="仿宋" w:hAnsi="仿宋" w:eastAsia="仿宋"/>
          <w:color w:val="auto"/>
          <w:sz w:val="24"/>
        </w:rPr>
        <w:t>采购活动，提供的货物全部由符合政策要求的中小企业制造。相关企业（含联合体中的中小企业、签订分包意向协议的中小企业） 的具体情况如下：</w:t>
      </w:r>
    </w:p>
    <w:p>
      <w:pPr>
        <w:widowControl/>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 xml:space="preserve">1. </w:t>
      </w:r>
      <w:r>
        <w:rPr>
          <w:rFonts w:hint="eastAsia" w:ascii="仿宋" w:hAnsi="仿宋" w:eastAsia="仿宋"/>
          <w:color w:val="auto"/>
          <w:sz w:val="24"/>
          <w:u w:val="single"/>
        </w:rPr>
        <w:t xml:space="preserve">（ 标 的 名 称 ） </w:t>
      </w:r>
      <w:r>
        <w:rPr>
          <w:rFonts w:hint="eastAsia" w:ascii="仿宋" w:hAnsi="仿宋" w:eastAsia="仿宋"/>
          <w:color w:val="auto"/>
          <w:sz w:val="24"/>
        </w:rPr>
        <w:t xml:space="preserve">， 属 于 </w:t>
      </w:r>
      <w:r>
        <w:rPr>
          <w:rFonts w:hint="eastAsia" w:ascii="仿宋" w:hAnsi="仿宋" w:eastAsia="仿宋"/>
          <w:color w:val="auto"/>
          <w:sz w:val="24"/>
          <w:u w:val="single"/>
        </w:rPr>
        <w:t>（ 采 购 文 件 中 明 确 的 所 属 行 业 ）</w:t>
      </w:r>
      <w:r>
        <w:rPr>
          <w:rFonts w:hint="eastAsia" w:ascii="仿宋" w:hAnsi="仿宋" w:eastAsia="仿宋"/>
          <w:color w:val="auto"/>
          <w:sz w:val="24"/>
        </w:rPr>
        <w:t xml:space="preserve"> 行业；制造商为</w:t>
      </w:r>
      <w:r>
        <w:rPr>
          <w:rFonts w:hint="eastAsia" w:ascii="仿宋" w:hAnsi="仿宋" w:eastAsia="仿宋"/>
          <w:color w:val="auto"/>
          <w:sz w:val="24"/>
          <w:u w:val="single"/>
        </w:rPr>
        <w:t xml:space="preserve">（企业名称）   </w:t>
      </w:r>
      <w:r>
        <w:rPr>
          <w:rFonts w:hint="eastAsia" w:ascii="仿宋" w:hAnsi="仿宋" w:eastAsia="仿宋"/>
          <w:color w:val="auto"/>
          <w:sz w:val="24"/>
        </w:rPr>
        <w:t>，从业人员</w:t>
      </w:r>
      <w:r>
        <w:rPr>
          <w:rFonts w:hint="eastAsia" w:ascii="仿宋" w:hAnsi="仿宋" w:eastAsia="仿宋"/>
          <w:color w:val="auto"/>
          <w:sz w:val="24"/>
          <w:u w:val="single"/>
        </w:rPr>
        <w:t xml:space="preserve">    </w:t>
      </w:r>
      <w:r>
        <w:rPr>
          <w:rFonts w:hint="eastAsia" w:ascii="仿宋" w:hAnsi="仿宋" w:eastAsia="仿宋"/>
          <w:color w:val="auto"/>
          <w:sz w:val="24"/>
        </w:rPr>
        <w:t>人，营业收入为</w:t>
      </w:r>
      <w:r>
        <w:rPr>
          <w:rFonts w:hint="eastAsia" w:ascii="仿宋" w:hAnsi="仿宋" w:eastAsia="仿宋"/>
          <w:color w:val="auto"/>
          <w:sz w:val="24"/>
          <w:u w:val="single"/>
        </w:rPr>
        <w:t xml:space="preserve">    </w:t>
      </w:r>
      <w:r>
        <w:rPr>
          <w:rFonts w:hint="eastAsia" w:ascii="仿宋" w:hAnsi="仿宋" w:eastAsia="仿宋"/>
          <w:color w:val="auto"/>
          <w:sz w:val="24"/>
        </w:rPr>
        <w:t>万元，资产总额为</w:t>
      </w:r>
      <w:r>
        <w:rPr>
          <w:rFonts w:hint="eastAsia" w:ascii="仿宋" w:hAnsi="仿宋" w:eastAsia="仿宋"/>
          <w:color w:val="auto"/>
          <w:sz w:val="24"/>
          <w:u w:val="single"/>
        </w:rPr>
        <w:t xml:space="preserve">    </w:t>
      </w:r>
      <w:r>
        <w:rPr>
          <w:rFonts w:hint="eastAsia" w:ascii="仿宋" w:hAnsi="仿宋" w:eastAsia="仿宋"/>
          <w:color w:val="auto"/>
          <w:sz w:val="24"/>
        </w:rPr>
        <w:t>万元，属于（中型企业、小型企业、微型企业）；</w:t>
      </w:r>
    </w:p>
    <w:p>
      <w:pPr>
        <w:widowControl/>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 xml:space="preserve">2. </w:t>
      </w:r>
      <w:r>
        <w:rPr>
          <w:rFonts w:hint="eastAsia" w:ascii="仿宋" w:hAnsi="仿宋" w:eastAsia="仿宋"/>
          <w:color w:val="auto"/>
          <w:sz w:val="24"/>
          <w:u w:val="single"/>
        </w:rPr>
        <w:t xml:space="preserve">（ 标 的 名 称 ） </w:t>
      </w:r>
      <w:r>
        <w:rPr>
          <w:rFonts w:hint="eastAsia" w:ascii="仿宋" w:hAnsi="仿宋" w:eastAsia="仿宋"/>
          <w:color w:val="auto"/>
          <w:sz w:val="24"/>
        </w:rPr>
        <w:t xml:space="preserve">， 属 于 </w:t>
      </w:r>
      <w:r>
        <w:rPr>
          <w:rFonts w:hint="eastAsia" w:ascii="仿宋" w:hAnsi="仿宋" w:eastAsia="仿宋"/>
          <w:color w:val="auto"/>
          <w:sz w:val="24"/>
          <w:u w:val="single"/>
        </w:rPr>
        <w:t>（ 采 购 文 件 中 明 确 的 所 属 行 业 ）</w:t>
      </w:r>
      <w:r>
        <w:rPr>
          <w:rFonts w:hint="eastAsia" w:ascii="仿宋" w:hAnsi="仿宋" w:eastAsia="仿宋"/>
          <w:color w:val="auto"/>
          <w:sz w:val="24"/>
        </w:rPr>
        <w:t xml:space="preserve"> 行业；制造商为</w:t>
      </w:r>
      <w:r>
        <w:rPr>
          <w:rFonts w:hint="eastAsia" w:ascii="仿宋" w:hAnsi="仿宋" w:eastAsia="仿宋"/>
          <w:color w:val="auto"/>
          <w:sz w:val="24"/>
          <w:u w:val="single"/>
        </w:rPr>
        <w:t xml:space="preserve">（企业名称）  </w:t>
      </w:r>
      <w:r>
        <w:rPr>
          <w:rFonts w:hint="eastAsia" w:ascii="仿宋" w:hAnsi="仿宋" w:eastAsia="仿宋"/>
          <w:color w:val="auto"/>
          <w:sz w:val="24"/>
        </w:rPr>
        <w:t>，从业人员</w:t>
      </w:r>
      <w:r>
        <w:rPr>
          <w:rFonts w:hint="eastAsia" w:ascii="仿宋" w:hAnsi="仿宋" w:eastAsia="仿宋"/>
          <w:color w:val="auto"/>
          <w:sz w:val="24"/>
          <w:u w:val="single"/>
        </w:rPr>
        <w:t xml:space="preserve">    </w:t>
      </w:r>
      <w:r>
        <w:rPr>
          <w:rFonts w:hint="eastAsia" w:ascii="仿宋" w:hAnsi="仿宋" w:eastAsia="仿宋"/>
          <w:color w:val="auto"/>
          <w:sz w:val="24"/>
        </w:rPr>
        <w:t>人，营业收入为</w:t>
      </w:r>
      <w:r>
        <w:rPr>
          <w:rFonts w:hint="eastAsia" w:ascii="仿宋" w:hAnsi="仿宋" w:eastAsia="仿宋"/>
          <w:color w:val="auto"/>
          <w:sz w:val="24"/>
          <w:u w:val="single"/>
        </w:rPr>
        <w:t xml:space="preserve">    </w:t>
      </w:r>
      <w:r>
        <w:rPr>
          <w:rFonts w:hint="eastAsia" w:ascii="仿宋" w:hAnsi="仿宋" w:eastAsia="仿宋"/>
          <w:color w:val="auto"/>
          <w:sz w:val="24"/>
        </w:rPr>
        <w:t>万元，资产总额为</w:t>
      </w:r>
      <w:r>
        <w:rPr>
          <w:rFonts w:hint="eastAsia" w:ascii="仿宋" w:hAnsi="仿宋" w:eastAsia="仿宋"/>
          <w:color w:val="auto"/>
          <w:sz w:val="24"/>
          <w:u w:val="single"/>
        </w:rPr>
        <w:t xml:space="preserve">    </w:t>
      </w:r>
      <w:r>
        <w:rPr>
          <w:rFonts w:hint="eastAsia" w:ascii="仿宋" w:hAnsi="仿宋" w:eastAsia="仿宋"/>
          <w:color w:val="auto"/>
          <w:sz w:val="24"/>
        </w:rPr>
        <w:t>万元，属于（中型企业、小型企业、微型企业）；</w:t>
      </w:r>
    </w:p>
    <w:p>
      <w:pPr>
        <w:widowControl/>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w:t>
      </w:r>
    </w:p>
    <w:p>
      <w:pPr>
        <w:widowControl/>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以上企业，不属于大企业的分支机构，不存在控股股东为大企业的情形，也不存在与大企业的负责人为同一人的情形。</w:t>
      </w:r>
    </w:p>
    <w:p>
      <w:pPr>
        <w:widowControl/>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本企业对上述声明内容的真实性负责。如有虚假，将依法承担相应责任。</w:t>
      </w:r>
    </w:p>
    <w:p>
      <w:pPr>
        <w:widowControl/>
        <w:spacing w:line="360" w:lineRule="exact"/>
        <w:jc w:val="left"/>
        <w:rPr>
          <w:rFonts w:ascii="仿宋" w:hAnsi="仿宋" w:eastAsia="仿宋"/>
          <w:color w:val="auto"/>
          <w:sz w:val="24"/>
        </w:rPr>
      </w:pPr>
      <w:r>
        <w:rPr>
          <w:rFonts w:hint="eastAsia" w:ascii="仿宋" w:hAnsi="仿宋" w:eastAsia="仿宋"/>
          <w:color w:val="auto"/>
          <w:sz w:val="24"/>
        </w:rPr>
        <w:t xml:space="preserve"> </w:t>
      </w:r>
    </w:p>
    <w:p>
      <w:pPr>
        <w:widowControl/>
        <w:spacing w:line="360" w:lineRule="exact"/>
        <w:jc w:val="left"/>
        <w:rPr>
          <w:rFonts w:ascii="仿宋" w:hAnsi="仿宋" w:eastAsia="仿宋"/>
          <w:color w:val="auto"/>
          <w:sz w:val="24"/>
        </w:rPr>
      </w:pPr>
    </w:p>
    <w:p>
      <w:pPr>
        <w:widowControl/>
        <w:spacing w:line="360" w:lineRule="exact"/>
        <w:jc w:val="left"/>
        <w:rPr>
          <w:rFonts w:ascii="仿宋" w:hAnsi="仿宋" w:eastAsia="仿宋"/>
          <w:color w:val="auto"/>
          <w:sz w:val="24"/>
        </w:rPr>
      </w:pPr>
    </w:p>
    <w:p>
      <w:pPr>
        <w:widowControl/>
        <w:spacing w:line="360" w:lineRule="exact"/>
        <w:jc w:val="left"/>
        <w:rPr>
          <w:rFonts w:ascii="仿宋" w:hAnsi="仿宋" w:eastAsia="仿宋"/>
          <w:color w:val="auto"/>
          <w:sz w:val="24"/>
        </w:rPr>
      </w:pPr>
    </w:p>
    <w:p>
      <w:pPr>
        <w:widowControl/>
        <w:spacing w:line="440" w:lineRule="exact"/>
        <w:ind w:right="480"/>
        <w:jc w:val="center"/>
        <w:rPr>
          <w:rFonts w:ascii="仿宋" w:hAnsi="仿宋" w:eastAsia="仿宋"/>
          <w:color w:val="auto"/>
          <w:sz w:val="24"/>
        </w:rPr>
      </w:pPr>
      <w:r>
        <w:rPr>
          <w:rFonts w:hint="eastAsia" w:ascii="仿宋" w:hAnsi="仿宋" w:eastAsia="仿宋"/>
          <w:color w:val="auto"/>
          <w:sz w:val="24"/>
        </w:rPr>
        <w:t xml:space="preserve">                                                         </w:t>
      </w:r>
      <w:r>
        <w:rPr>
          <w:rFonts w:hint="eastAsia" w:ascii="仿宋" w:hAnsi="仿宋" w:eastAsia="仿宋"/>
          <w:color w:val="auto"/>
          <w:kern w:val="1"/>
          <w:sz w:val="24"/>
        </w:rPr>
        <w:t>投标供应商</w:t>
      </w:r>
      <w:r>
        <w:rPr>
          <w:rFonts w:hint="eastAsia" w:ascii="仿宋" w:hAnsi="仿宋" w:eastAsia="仿宋"/>
          <w:color w:val="auto"/>
          <w:sz w:val="24"/>
        </w:rPr>
        <w:t xml:space="preserve">（盖公章）：  </w:t>
      </w:r>
    </w:p>
    <w:p>
      <w:pPr>
        <w:widowControl/>
        <w:spacing w:line="440" w:lineRule="exact"/>
        <w:ind w:right="360"/>
        <w:jc w:val="center"/>
        <w:rPr>
          <w:rFonts w:ascii="仿宋" w:hAnsi="仿宋" w:eastAsia="仿宋"/>
          <w:color w:val="auto"/>
          <w:sz w:val="24"/>
        </w:rPr>
      </w:pPr>
      <w:r>
        <w:rPr>
          <w:rFonts w:hint="eastAsia" w:ascii="仿宋" w:hAnsi="仿宋" w:eastAsia="仿宋"/>
          <w:color w:val="auto"/>
          <w:sz w:val="24"/>
        </w:rPr>
        <w:t xml:space="preserve">                                                       日期：  年  月  日</w:t>
      </w:r>
    </w:p>
    <w:p>
      <w:pPr>
        <w:widowControl/>
        <w:spacing w:line="360" w:lineRule="exact"/>
        <w:jc w:val="left"/>
        <w:rPr>
          <w:rFonts w:ascii="仿宋" w:hAnsi="仿宋" w:eastAsia="仿宋"/>
          <w:color w:val="auto"/>
          <w:sz w:val="24"/>
        </w:rPr>
      </w:pPr>
      <w:r>
        <w:rPr>
          <w:rFonts w:hint="eastAsia" w:ascii="仿宋" w:hAnsi="仿宋" w:eastAsia="仿宋"/>
          <w:color w:val="auto"/>
          <w:sz w:val="24"/>
        </w:rPr>
        <w:t xml:space="preserve"> </w:t>
      </w:r>
    </w:p>
    <w:p>
      <w:pPr>
        <w:widowControl/>
        <w:spacing w:line="360" w:lineRule="exact"/>
        <w:jc w:val="left"/>
        <w:rPr>
          <w:rFonts w:ascii="仿宋" w:hAnsi="仿宋" w:eastAsia="仿宋"/>
          <w:color w:val="auto"/>
          <w:sz w:val="24"/>
        </w:rPr>
      </w:pPr>
    </w:p>
    <w:p>
      <w:pPr>
        <w:widowControl/>
        <w:spacing w:line="360" w:lineRule="exact"/>
        <w:jc w:val="left"/>
        <w:rPr>
          <w:rFonts w:ascii="仿宋" w:hAnsi="仿宋" w:eastAsia="仿宋"/>
          <w:b/>
          <w:color w:val="auto"/>
          <w:sz w:val="24"/>
        </w:rPr>
      </w:pPr>
      <w:r>
        <w:rPr>
          <w:rFonts w:hint="eastAsia" w:ascii="仿宋" w:hAnsi="仿宋" w:eastAsia="仿宋"/>
          <w:b/>
          <w:color w:val="auto"/>
          <w:sz w:val="24"/>
        </w:rPr>
        <w:t>注：1.从业人员、营业收入、资产总额填报上一年度数据，无上一年度数据的新成立企业可不填报。</w:t>
      </w:r>
    </w:p>
    <w:p>
      <w:pPr>
        <w:widowControl/>
        <w:spacing w:line="360" w:lineRule="exact"/>
        <w:ind w:firstLine="482" w:firstLineChars="200"/>
        <w:jc w:val="left"/>
        <w:rPr>
          <w:rFonts w:ascii="仿宋" w:hAnsi="仿宋" w:eastAsia="仿宋"/>
          <w:color w:val="auto"/>
          <w:sz w:val="24"/>
        </w:rPr>
      </w:pPr>
      <w:r>
        <w:rPr>
          <w:rFonts w:hint="eastAsia" w:ascii="仿宋" w:hAnsi="仿宋" w:eastAsia="仿宋"/>
          <w:b/>
          <w:color w:val="auto"/>
          <w:sz w:val="24"/>
        </w:rPr>
        <w:t>2.供应商提供由省级以上监狱管理局、戒毒管理局（含新疆生产建设兵团）出具的属于监狱企业证明文件的，视同为小型和微型企业。</w:t>
      </w:r>
    </w:p>
    <w:p>
      <w:pPr>
        <w:widowControl/>
        <w:spacing w:line="440" w:lineRule="exact"/>
        <w:jc w:val="left"/>
        <w:rPr>
          <w:rFonts w:ascii="仿宋" w:hAnsi="仿宋" w:eastAsia="仿宋"/>
          <w:color w:val="auto"/>
          <w:kern w:val="0"/>
          <w:sz w:val="24"/>
        </w:rPr>
      </w:pPr>
    </w:p>
    <w:p>
      <w:pPr>
        <w:widowControl/>
        <w:spacing w:line="440" w:lineRule="exact"/>
        <w:jc w:val="left"/>
        <w:rPr>
          <w:rFonts w:ascii="仿宋" w:hAnsi="仿宋" w:eastAsia="仿宋"/>
          <w:color w:val="auto"/>
          <w:kern w:val="0"/>
          <w:sz w:val="24"/>
        </w:rPr>
      </w:pPr>
    </w:p>
    <w:p>
      <w:pPr>
        <w:widowControl/>
        <w:jc w:val="left"/>
        <w:rPr>
          <w:rFonts w:ascii="仿宋" w:hAnsi="仿宋" w:eastAsia="仿宋"/>
          <w:b/>
          <w:bCs/>
          <w:color w:val="auto"/>
          <w:kern w:val="0"/>
          <w:sz w:val="24"/>
        </w:rPr>
      </w:pPr>
      <w:r>
        <w:rPr>
          <w:rFonts w:ascii="仿宋" w:hAnsi="仿宋" w:eastAsia="仿宋"/>
          <w:b/>
          <w:bCs/>
          <w:color w:val="auto"/>
          <w:kern w:val="0"/>
          <w:sz w:val="24"/>
        </w:rPr>
        <w:br w:type="page"/>
      </w:r>
    </w:p>
    <w:p>
      <w:pPr>
        <w:widowControl/>
        <w:jc w:val="left"/>
        <w:rPr>
          <w:rFonts w:ascii="仿宋" w:hAnsi="仿宋" w:eastAsia="仿宋"/>
          <w:b/>
          <w:bCs/>
          <w:color w:val="auto"/>
          <w:szCs w:val="21"/>
        </w:rPr>
      </w:pPr>
      <w:r>
        <w:rPr>
          <w:rFonts w:hint="eastAsia" w:ascii="仿宋" w:hAnsi="仿宋" w:eastAsia="仿宋"/>
          <w:b/>
          <w:bCs/>
          <w:color w:val="auto"/>
          <w:sz w:val="24"/>
        </w:rPr>
        <w:t xml:space="preserve">附件十二  技术服务条款偏离表 </w:t>
      </w:r>
    </w:p>
    <w:p>
      <w:pPr>
        <w:shd w:val="clear" w:color="auto" w:fill="FFFFFF"/>
        <w:spacing w:line="440" w:lineRule="exact"/>
        <w:jc w:val="center"/>
        <w:rPr>
          <w:rFonts w:ascii="仿宋" w:hAnsi="仿宋" w:eastAsia="仿宋"/>
          <w:b/>
          <w:bCs/>
          <w:color w:val="auto"/>
          <w:sz w:val="28"/>
          <w:szCs w:val="28"/>
        </w:rPr>
      </w:pPr>
    </w:p>
    <w:p>
      <w:pPr>
        <w:shd w:val="clear" w:color="auto" w:fill="FFFFFF"/>
        <w:spacing w:line="440" w:lineRule="exact"/>
        <w:jc w:val="center"/>
        <w:rPr>
          <w:rFonts w:ascii="仿宋" w:hAnsi="仿宋" w:eastAsia="仿宋"/>
          <w:color w:val="auto"/>
          <w:sz w:val="28"/>
          <w:szCs w:val="28"/>
        </w:rPr>
      </w:pPr>
      <w:r>
        <w:rPr>
          <w:rFonts w:hint="eastAsia" w:ascii="仿宋" w:hAnsi="仿宋" w:eastAsia="仿宋"/>
          <w:b/>
          <w:bCs/>
          <w:color w:val="auto"/>
          <w:sz w:val="28"/>
          <w:szCs w:val="28"/>
        </w:rPr>
        <w:t>技术服务条款偏离表</w:t>
      </w:r>
    </w:p>
    <w:p>
      <w:pPr>
        <w:shd w:val="clear" w:color="auto" w:fill="FFFFFF"/>
        <w:spacing w:line="500" w:lineRule="exact"/>
        <w:ind w:firstLine="120" w:firstLineChars="50"/>
        <w:rPr>
          <w:rFonts w:ascii="仿宋" w:hAnsi="仿宋" w:eastAsia="仿宋"/>
          <w:color w:val="auto"/>
          <w:sz w:val="24"/>
        </w:rPr>
      </w:pPr>
      <w:r>
        <w:rPr>
          <w:rFonts w:hint="eastAsia" w:ascii="仿宋" w:hAnsi="仿宋" w:eastAsia="仿宋"/>
          <w:color w:val="auto"/>
          <w:sz w:val="24"/>
        </w:rPr>
        <w:t>项目名称：                                 项目编号：</w:t>
      </w:r>
    </w:p>
    <w:p>
      <w:pPr>
        <w:shd w:val="clear" w:color="auto" w:fill="FFFFFF"/>
        <w:spacing w:line="500" w:lineRule="exact"/>
        <w:ind w:firstLine="105" w:firstLineChars="50"/>
        <w:rPr>
          <w:rFonts w:ascii="仿宋" w:hAnsi="仿宋" w:eastAsia="仿宋"/>
          <w:color w:val="auto"/>
          <w:szCs w:val="21"/>
        </w:rPr>
      </w:pPr>
    </w:p>
    <w:tbl>
      <w:tblPr>
        <w:tblStyle w:val="59"/>
        <w:tblW w:w="9711" w:type="dxa"/>
        <w:jc w:val="center"/>
        <w:tblLayout w:type="fixed"/>
        <w:tblCellMar>
          <w:top w:w="0" w:type="dxa"/>
          <w:left w:w="108" w:type="dxa"/>
          <w:bottom w:w="0" w:type="dxa"/>
          <w:right w:w="108" w:type="dxa"/>
        </w:tblCellMar>
      </w:tblPr>
      <w:tblGrid>
        <w:gridCol w:w="1180"/>
        <w:gridCol w:w="1655"/>
        <w:gridCol w:w="2127"/>
        <w:gridCol w:w="1914"/>
        <w:gridCol w:w="1808"/>
        <w:gridCol w:w="1027"/>
      </w:tblGrid>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r>
              <w:rPr>
                <w:rFonts w:hint="eastAsia" w:ascii="仿宋" w:hAnsi="仿宋" w:eastAsia="仿宋"/>
                <w:color w:val="auto"/>
                <w:szCs w:val="21"/>
              </w:rPr>
              <w:t>序 号</w:t>
            </w: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jc w:val="center"/>
              <w:rPr>
                <w:rFonts w:ascii="仿宋" w:hAnsi="仿宋" w:eastAsia="仿宋"/>
                <w:color w:val="auto"/>
                <w:szCs w:val="21"/>
              </w:rPr>
            </w:pPr>
            <w:r>
              <w:rPr>
                <w:rFonts w:hint="eastAsia" w:ascii="仿宋" w:hAnsi="仿宋" w:eastAsia="仿宋"/>
                <w:color w:val="auto"/>
                <w:szCs w:val="21"/>
              </w:rPr>
              <w:t>条款</w:t>
            </w: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jc w:val="center"/>
              <w:rPr>
                <w:rFonts w:ascii="仿宋" w:hAnsi="仿宋" w:eastAsia="仿宋"/>
                <w:color w:val="auto"/>
                <w:szCs w:val="21"/>
              </w:rPr>
            </w:pPr>
            <w:r>
              <w:rPr>
                <w:rFonts w:hint="eastAsia" w:ascii="仿宋" w:hAnsi="仿宋" w:eastAsia="仿宋"/>
                <w:color w:val="auto"/>
                <w:szCs w:val="21"/>
              </w:rPr>
              <w:t>招标规格</w:t>
            </w: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jc w:val="center"/>
              <w:rPr>
                <w:rFonts w:ascii="仿宋" w:hAnsi="仿宋" w:eastAsia="仿宋"/>
                <w:color w:val="auto"/>
                <w:szCs w:val="21"/>
              </w:rPr>
            </w:pPr>
            <w:r>
              <w:rPr>
                <w:rFonts w:hint="eastAsia" w:ascii="仿宋" w:hAnsi="仿宋" w:eastAsia="仿宋"/>
                <w:color w:val="auto"/>
                <w:szCs w:val="21"/>
              </w:rPr>
              <w:t>投标规格</w:t>
            </w: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jc w:val="center"/>
              <w:rPr>
                <w:rFonts w:ascii="仿宋" w:hAnsi="仿宋" w:eastAsia="仿宋"/>
                <w:color w:val="auto"/>
                <w:szCs w:val="21"/>
              </w:rPr>
            </w:pPr>
            <w:r>
              <w:rPr>
                <w:rFonts w:hint="eastAsia" w:ascii="仿宋" w:hAnsi="仿宋" w:eastAsia="仿宋"/>
                <w:color w:val="auto"/>
                <w:szCs w:val="21"/>
              </w:rPr>
              <w:t>是否偏离</w:t>
            </w: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jc w:val="center"/>
              <w:rPr>
                <w:rFonts w:ascii="仿宋" w:hAnsi="仿宋" w:eastAsia="仿宋"/>
                <w:color w:val="auto"/>
                <w:szCs w:val="21"/>
              </w:rPr>
            </w:pPr>
            <w:r>
              <w:rPr>
                <w:rFonts w:hint="eastAsia" w:ascii="仿宋" w:hAnsi="仿宋" w:eastAsia="仿宋"/>
                <w:color w:val="auto"/>
                <w:szCs w:val="21"/>
              </w:rPr>
              <w:t>备注</w:t>
            </w: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r>
              <w:rPr>
                <w:rFonts w:hint="eastAsia" w:ascii="仿宋" w:hAnsi="仿宋" w:eastAsia="仿宋"/>
                <w:color w:val="auto"/>
                <w:szCs w:val="21"/>
              </w:rPr>
              <w:t>1</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r>
              <w:rPr>
                <w:rFonts w:hint="eastAsia" w:ascii="仿宋" w:hAnsi="仿宋" w:eastAsia="仿宋"/>
                <w:color w:val="auto"/>
                <w:szCs w:val="21"/>
              </w:rPr>
              <w:t>2</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r>
              <w:rPr>
                <w:rFonts w:hint="eastAsia" w:ascii="仿宋" w:hAnsi="仿宋" w:eastAsia="仿宋"/>
                <w:color w:val="auto"/>
                <w:szCs w:val="21"/>
              </w:rPr>
              <w:t>3</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r>
              <w:rPr>
                <w:rFonts w:hint="eastAsia" w:ascii="仿宋" w:hAnsi="仿宋" w:eastAsia="仿宋"/>
                <w:color w:val="auto"/>
                <w:szCs w:val="21"/>
              </w:rPr>
              <w:t>4</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r>
              <w:rPr>
                <w:rFonts w:hint="eastAsia" w:ascii="仿宋" w:hAnsi="仿宋" w:eastAsia="仿宋"/>
                <w:color w:val="auto"/>
                <w:szCs w:val="21"/>
              </w:rPr>
              <w:t>5</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r>
              <w:rPr>
                <w:rFonts w:hint="eastAsia" w:ascii="仿宋" w:hAnsi="仿宋" w:eastAsia="仿宋"/>
                <w:color w:val="auto"/>
                <w:szCs w:val="21"/>
              </w:rPr>
              <w:t>…</w:t>
            </w:r>
          </w:p>
          <w:p>
            <w:pPr>
              <w:shd w:val="clear" w:color="auto" w:fill="FFFFFF"/>
              <w:spacing w:line="500" w:lineRule="exact"/>
              <w:ind w:firstLine="99"/>
              <w:rPr>
                <w:rFonts w:ascii="仿宋" w:hAnsi="仿宋" w:eastAsia="仿宋"/>
                <w:color w:val="auto"/>
                <w:szCs w:val="21"/>
              </w:rPr>
            </w:pPr>
            <w:r>
              <w:rPr>
                <w:rFonts w:hint="eastAsia" w:ascii="仿宋" w:hAnsi="仿宋" w:eastAsia="仿宋"/>
                <w:color w:val="auto"/>
                <w:szCs w:val="21"/>
              </w:rPr>
              <w:t>…..</w:t>
            </w: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bl>
    <w:p>
      <w:pPr>
        <w:shd w:val="clear" w:color="auto" w:fill="FFFFFF"/>
        <w:spacing w:line="44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注：供应商须对照第四章《采购需求》全部内容逐条列明响应内容及是否偏离等情况，对需求中标注★号的条款、要求提供截图、外观证明、证书、附图、证明（或相应证明）资料等各类证明资料的技术条款，应在“备注”栏说明证明资料在《投标文件》的具体页码，否则，视为负偏离。</w:t>
      </w:r>
    </w:p>
    <w:p>
      <w:pPr>
        <w:shd w:val="clear" w:color="auto" w:fill="FFFFFF"/>
        <w:spacing w:line="500" w:lineRule="exact"/>
        <w:rPr>
          <w:rFonts w:ascii="仿宋" w:hAnsi="仿宋" w:eastAsia="仿宋"/>
          <w:b/>
          <w:color w:val="auto"/>
          <w:szCs w:val="21"/>
        </w:rPr>
      </w:pPr>
    </w:p>
    <w:p>
      <w:pPr>
        <w:shd w:val="clear" w:color="auto" w:fill="FFFFFF"/>
        <w:spacing w:line="440" w:lineRule="exact"/>
        <w:rPr>
          <w:rFonts w:ascii="仿宋" w:hAnsi="仿宋" w:eastAsia="仿宋"/>
          <w:color w:val="auto"/>
          <w:szCs w:val="21"/>
        </w:rPr>
      </w:pPr>
    </w:p>
    <w:p>
      <w:pPr>
        <w:shd w:val="clear" w:color="auto" w:fill="FFFFFF"/>
        <w:spacing w:line="500" w:lineRule="exact"/>
        <w:rPr>
          <w:rFonts w:ascii="仿宋" w:hAnsi="仿宋" w:eastAsia="仿宋"/>
          <w:color w:val="auto"/>
          <w:sz w:val="24"/>
        </w:rPr>
      </w:pPr>
    </w:p>
    <w:p>
      <w:pPr>
        <w:shd w:val="clear" w:color="auto" w:fill="FFFFFF"/>
        <w:spacing w:line="500" w:lineRule="exact"/>
        <w:rPr>
          <w:rFonts w:ascii="仿宋" w:hAnsi="仿宋" w:eastAsia="仿宋"/>
          <w:color w:val="auto"/>
          <w:sz w:val="24"/>
        </w:rPr>
      </w:pPr>
    </w:p>
    <w:p>
      <w:pPr>
        <w:pStyle w:val="304"/>
        <w:shd w:val="clear" w:color="auto" w:fill="FFFFFF"/>
        <w:snapToGrid w:val="0"/>
        <w:spacing w:line="44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法定代表人（或负责人）（签字或签章）：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授权代理人（签字或签章）：</w:t>
      </w:r>
    </w:p>
    <w:p>
      <w:pPr>
        <w:shd w:val="clear" w:color="auto" w:fill="FFFFFF"/>
        <w:spacing w:line="440" w:lineRule="exact"/>
        <w:rPr>
          <w:rFonts w:ascii="仿宋" w:hAnsi="仿宋" w:eastAsia="仿宋"/>
          <w:bCs/>
          <w:color w:val="auto"/>
          <w:kern w:val="0"/>
          <w:sz w:val="24"/>
        </w:rPr>
      </w:pPr>
      <w:r>
        <w:rPr>
          <w:rFonts w:hint="eastAsia" w:ascii="仿宋" w:hAnsi="仿宋" w:eastAsia="仿宋"/>
          <w:color w:val="auto"/>
          <w:sz w:val="24"/>
        </w:rPr>
        <w:t>日期：  年  月  日</w:t>
      </w:r>
    </w:p>
    <w:p>
      <w:pPr>
        <w:shd w:val="clear" w:color="auto" w:fill="FFFFFF"/>
        <w:spacing w:line="500" w:lineRule="exact"/>
        <w:rPr>
          <w:rFonts w:ascii="仿宋" w:hAnsi="仿宋" w:eastAsia="仿宋"/>
          <w:color w:val="auto"/>
          <w:sz w:val="24"/>
        </w:rPr>
      </w:pPr>
    </w:p>
    <w:p>
      <w:pPr>
        <w:shd w:val="clear" w:color="auto" w:fill="FFFFFF"/>
        <w:spacing w:line="500" w:lineRule="exact"/>
        <w:rPr>
          <w:rFonts w:ascii="仿宋" w:hAnsi="仿宋" w:eastAsia="仿宋"/>
          <w:color w:val="auto"/>
          <w:sz w:val="24"/>
        </w:rPr>
      </w:pPr>
    </w:p>
    <w:p>
      <w:pPr>
        <w:widowControl/>
        <w:jc w:val="left"/>
        <w:rPr>
          <w:rFonts w:ascii="仿宋" w:hAnsi="仿宋" w:eastAsia="仿宋"/>
          <w:b/>
          <w:bCs/>
          <w:color w:val="auto"/>
          <w:kern w:val="0"/>
          <w:sz w:val="24"/>
        </w:rPr>
      </w:pPr>
      <w:r>
        <w:rPr>
          <w:rFonts w:ascii="仿宋" w:hAnsi="仿宋" w:eastAsia="仿宋"/>
          <w:b/>
          <w:bCs/>
          <w:color w:val="auto"/>
          <w:kern w:val="0"/>
          <w:sz w:val="24"/>
        </w:rPr>
        <w:br w:type="page"/>
      </w:r>
    </w:p>
    <w:p>
      <w:pPr>
        <w:shd w:val="clear" w:color="auto" w:fill="FFFFFF"/>
        <w:spacing w:line="440" w:lineRule="exact"/>
        <w:rPr>
          <w:rFonts w:ascii="仿宋" w:hAnsi="仿宋" w:eastAsia="仿宋"/>
          <w:b/>
          <w:bCs/>
          <w:color w:val="auto"/>
          <w:sz w:val="28"/>
          <w:szCs w:val="28"/>
        </w:rPr>
      </w:pPr>
      <w:r>
        <w:rPr>
          <w:rFonts w:hint="eastAsia" w:ascii="仿宋" w:hAnsi="仿宋" w:eastAsia="仿宋"/>
          <w:b/>
          <w:bCs/>
          <w:color w:val="auto"/>
          <w:sz w:val="24"/>
        </w:rPr>
        <w:t>附件十三  产品详细配置清单</w:t>
      </w:r>
    </w:p>
    <w:p>
      <w:pPr>
        <w:shd w:val="clear" w:color="auto" w:fill="FFFFFF"/>
        <w:spacing w:line="440" w:lineRule="exact"/>
        <w:jc w:val="center"/>
        <w:rPr>
          <w:rFonts w:ascii="仿宋" w:hAnsi="仿宋" w:eastAsia="仿宋"/>
          <w:b/>
          <w:bCs/>
          <w:color w:val="auto"/>
          <w:sz w:val="28"/>
          <w:szCs w:val="28"/>
        </w:rPr>
      </w:pPr>
    </w:p>
    <w:p>
      <w:pPr>
        <w:pStyle w:val="704"/>
        <w:rPr>
          <w:rFonts w:ascii="仿宋" w:hAnsi="仿宋" w:eastAsia="仿宋"/>
          <w:color w:val="auto"/>
          <w:sz w:val="24"/>
        </w:rPr>
      </w:pPr>
    </w:p>
    <w:p>
      <w:pPr>
        <w:shd w:val="clear" w:color="auto" w:fill="FFFFFF"/>
        <w:spacing w:line="500" w:lineRule="exact"/>
        <w:rPr>
          <w:rFonts w:ascii="仿宋" w:hAnsi="仿宋" w:eastAsia="仿宋"/>
          <w:b/>
          <w:bCs/>
          <w:color w:val="auto"/>
          <w:szCs w:val="21"/>
        </w:rPr>
      </w:pPr>
      <w:r>
        <w:rPr>
          <w:rFonts w:ascii="仿宋" w:hAnsi="仿宋" w:eastAsia="仿宋"/>
          <w:b/>
          <w:bCs/>
          <w:color w:val="auto"/>
          <w:szCs w:val="21"/>
        </w:rPr>
        <w:br w:type="page"/>
      </w:r>
    </w:p>
    <w:p>
      <w:pPr>
        <w:tabs>
          <w:tab w:val="center" w:pos="7115"/>
          <w:tab w:val="right" w:pos="14230"/>
        </w:tabs>
        <w:rPr>
          <w:rFonts w:ascii="仿宋" w:hAnsi="仿宋" w:eastAsia="仿宋"/>
          <w:b/>
          <w:bCs/>
          <w:color w:val="auto"/>
          <w:sz w:val="24"/>
        </w:rPr>
      </w:pPr>
    </w:p>
    <w:p>
      <w:pPr>
        <w:tabs>
          <w:tab w:val="center" w:pos="7115"/>
          <w:tab w:val="right" w:pos="14230"/>
        </w:tabs>
        <w:rPr>
          <w:rFonts w:ascii="仿宋" w:hAnsi="仿宋" w:eastAsia="仿宋"/>
          <w:b/>
          <w:bCs/>
          <w:color w:val="auto"/>
          <w:sz w:val="24"/>
        </w:rPr>
      </w:pPr>
      <w:r>
        <w:rPr>
          <w:rFonts w:hint="eastAsia" w:ascii="仿宋" w:hAnsi="仿宋" w:eastAsia="仿宋"/>
          <w:b/>
          <w:bCs/>
          <w:color w:val="auto"/>
          <w:sz w:val="24"/>
        </w:rPr>
        <w:t xml:space="preserve">附件十四 </w:t>
      </w:r>
    </w:p>
    <w:p>
      <w:pPr>
        <w:shd w:val="clear" w:color="auto" w:fill="FFFFFF"/>
        <w:spacing w:line="440" w:lineRule="exact"/>
        <w:jc w:val="center"/>
        <w:rPr>
          <w:rFonts w:ascii="仿宋" w:hAnsi="仿宋" w:eastAsia="仿宋"/>
          <w:color w:val="auto"/>
          <w:sz w:val="28"/>
          <w:szCs w:val="28"/>
        </w:rPr>
      </w:pPr>
      <w:r>
        <w:rPr>
          <w:rFonts w:hint="eastAsia" w:ascii="仿宋" w:hAnsi="仿宋" w:eastAsia="仿宋"/>
          <w:b/>
          <w:bCs/>
          <w:color w:val="auto"/>
          <w:sz w:val="28"/>
          <w:szCs w:val="28"/>
        </w:rPr>
        <w:t>开标一览表</w:t>
      </w:r>
    </w:p>
    <w:p>
      <w:pPr>
        <w:tabs>
          <w:tab w:val="center" w:pos="7115"/>
          <w:tab w:val="right" w:pos="14230"/>
        </w:tabs>
        <w:ind w:firstLine="723"/>
        <w:jc w:val="center"/>
        <w:rPr>
          <w:rFonts w:ascii="仿宋" w:hAnsi="仿宋" w:eastAsia="仿宋"/>
          <w:color w:val="auto"/>
          <w:sz w:val="24"/>
        </w:rPr>
      </w:pPr>
    </w:p>
    <w:p>
      <w:pPr>
        <w:tabs>
          <w:tab w:val="center" w:pos="7115"/>
          <w:tab w:val="right" w:pos="14230"/>
        </w:tabs>
        <w:ind w:firstLine="120" w:firstLineChars="50"/>
        <w:rPr>
          <w:rFonts w:ascii="仿宋" w:hAnsi="仿宋" w:eastAsia="仿宋"/>
          <w:color w:val="auto"/>
          <w:sz w:val="24"/>
        </w:rPr>
      </w:pPr>
      <w:r>
        <w:rPr>
          <w:rFonts w:hint="eastAsia" w:ascii="仿宋" w:hAnsi="仿宋" w:eastAsia="仿宋"/>
          <w:color w:val="auto"/>
          <w:sz w:val="24"/>
        </w:rPr>
        <w:t>供应商名称：                                                       单位：元</w:t>
      </w:r>
    </w:p>
    <w:p>
      <w:pPr>
        <w:spacing w:line="360" w:lineRule="exact"/>
        <w:ind w:firstLine="120" w:firstLineChars="50"/>
        <w:rPr>
          <w:rFonts w:ascii="仿宋" w:hAnsi="仿宋" w:eastAsia="仿宋" w:cs="宋体"/>
          <w:color w:val="auto"/>
          <w:spacing w:val="-10"/>
          <w:kern w:val="0"/>
          <w:sz w:val="24"/>
        </w:rPr>
      </w:pPr>
      <w:r>
        <w:rPr>
          <w:rFonts w:hint="eastAsia" w:ascii="仿宋" w:hAnsi="仿宋" w:eastAsia="仿宋"/>
          <w:color w:val="auto"/>
          <w:sz w:val="24"/>
        </w:rPr>
        <w:t>项目名称：</w:t>
      </w:r>
    </w:p>
    <w:p>
      <w:pPr>
        <w:spacing w:line="360" w:lineRule="exact"/>
        <w:ind w:firstLine="110" w:firstLineChars="50"/>
        <w:rPr>
          <w:rFonts w:ascii="仿宋" w:hAnsi="仿宋" w:eastAsia="仿宋" w:cs="宋体"/>
          <w:color w:val="auto"/>
          <w:spacing w:val="-10"/>
          <w:kern w:val="0"/>
          <w:sz w:val="24"/>
        </w:rPr>
      </w:pPr>
      <w:r>
        <w:rPr>
          <w:rFonts w:hint="eastAsia" w:ascii="仿宋" w:hAnsi="仿宋" w:eastAsia="仿宋" w:cs="宋体"/>
          <w:color w:val="auto"/>
          <w:spacing w:val="-10"/>
          <w:kern w:val="0"/>
          <w:sz w:val="24"/>
        </w:rPr>
        <w:t>项目</w:t>
      </w:r>
      <w:r>
        <w:rPr>
          <w:rFonts w:hint="eastAsia" w:ascii="仿宋" w:hAnsi="仿宋" w:eastAsia="仿宋"/>
          <w:color w:val="auto"/>
          <w:sz w:val="24"/>
        </w:rPr>
        <w:t>编号：</w:t>
      </w:r>
      <w:r>
        <w:rPr>
          <w:rFonts w:ascii="仿宋" w:hAnsi="仿宋" w:eastAsia="仿宋"/>
          <w:color w:val="auto"/>
          <w:sz w:val="24"/>
        </w:rPr>
        <w:t>20</w:t>
      </w:r>
      <w:r>
        <w:rPr>
          <w:rFonts w:hint="eastAsia" w:ascii="仿宋" w:hAnsi="仿宋" w:eastAsia="仿宋"/>
          <w:color w:val="auto"/>
          <w:sz w:val="24"/>
        </w:rPr>
        <w:t>22PCGK075</w:t>
      </w:r>
    </w:p>
    <w:tbl>
      <w:tblPr>
        <w:tblStyle w:val="59"/>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978"/>
        <w:gridCol w:w="991"/>
        <w:gridCol w:w="3715"/>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2" w:hRule="exact"/>
          <w:jc w:val="center"/>
        </w:trPr>
        <w:tc>
          <w:tcPr>
            <w:tcW w:w="2059" w:type="pct"/>
            <w:tcBorders>
              <w:bottom w:val="single" w:color="auto" w:sz="4" w:space="0"/>
            </w:tcBorders>
            <w:vAlign w:val="center"/>
          </w:tcPr>
          <w:p>
            <w:pPr>
              <w:jc w:val="center"/>
              <w:rPr>
                <w:rFonts w:ascii="仿宋" w:hAnsi="仿宋" w:eastAsia="仿宋"/>
                <w:color w:val="auto"/>
                <w:sz w:val="24"/>
              </w:rPr>
            </w:pPr>
            <w:r>
              <w:rPr>
                <w:rFonts w:hint="eastAsia" w:ascii="仿宋" w:hAnsi="仿宋" w:eastAsia="仿宋"/>
                <w:color w:val="auto"/>
                <w:sz w:val="24"/>
              </w:rPr>
              <w:t>标的名称</w:t>
            </w:r>
          </w:p>
        </w:tc>
        <w:tc>
          <w:tcPr>
            <w:tcW w:w="513" w:type="pct"/>
            <w:tcBorders>
              <w:bottom w:val="single" w:color="auto" w:sz="4" w:space="0"/>
            </w:tcBorders>
            <w:vAlign w:val="center"/>
          </w:tcPr>
          <w:p>
            <w:pPr>
              <w:jc w:val="center"/>
              <w:rPr>
                <w:rFonts w:ascii="仿宋" w:hAnsi="仿宋" w:eastAsia="仿宋"/>
                <w:color w:val="auto"/>
                <w:sz w:val="24"/>
              </w:rPr>
            </w:pPr>
            <w:r>
              <w:rPr>
                <w:rFonts w:hint="eastAsia" w:ascii="仿宋" w:hAnsi="仿宋" w:eastAsia="仿宋"/>
                <w:color w:val="auto"/>
                <w:sz w:val="24"/>
              </w:rPr>
              <w:t>数量</w:t>
            </w:r>
          </w:p>
        </w:tc>
        <w:tc>
          <w:tcPr>
            <w:tcW w:w="1923" w:type="pct"/>
            <w:tcBorders>
              <w:bottom w:val="single" w:color="auto" w:sz="4" w:space="0"/>
            </w:tcBorders>
            <w:vAlign w:val="center"/>
          </w:tcPr>
          <w:p>
            <w:pPr>
              <w:jc w:val="center"/>
              <w:rPr>
                <w:rFonts w:ascii="仿宋" w:hAnsi="仿宋" w:eastAsia="仿宋"/>
                <w:color w:val="auto"/>
                <w:sz w:val="24"/>
              </w:rPr>
            </w:pPr>
            <w:r>
              <w:rPr>
                <w:rFonts w:hint="eastAsia" w:ascii="仿宋" w:hAnsi="仿宋" w:eastAsia="仿宋"/>
                <w:color w:val="auto"/>
                <w:sz w:val="24"/>
              </w:rPr>
              <w:t>交货期及完工期</w:t>
            </w:r>
          </w:p>
        </w:tc>
        <w:tc>
          <w:tcPr>
            <w:tcW w:w="504" w:type="pct"/>
            <w:tcBorders>
              <w:bottom w:val="single" w:color="auto" w:sz="4" w:space="0"/>
            </w:tcBorders>
            <w:vAlign w:val="center"/>
          </w:tcPr>
          <w:p>
            <w:pPr>
              <w:jc w:val="center"/>
              <w:rPr>
                <w:rFonts w:ascii="仿宋" w:hAnsi="仿宋" w:eastAsia="仿宋"/>
                <w:color w:val="auto"/>
                <w:sz w:val="24"/>
              </w:rPr>
            </w:pPr>
            <w:r>
              <w:rPr>
                <w:rFonts w:hint="eastAsia" w:ascii="仿宋" w:hAnsi="仿宋" w:eastAsia="仿宋"/>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39" w:hRule="exact"/>
          <w:jc w:val="center"/>
        </w:trPr>
        <w:tc>
          <w:tcPr>
            <w:tcW w:w="2059" w:type="pct"/>
            <w:tcBorders>
              <w:bottom w:val="single" w:color="auto" w:sz="4" w:space="0"/>
            </w:tcBorders>
            <w:vAlign w:val="center"/>
          </w:tcPr>
          <w:p>
            <w:pPr>
              <w:pStyle w:val="702"/>
              <w:spacing w:line="420" w:lineRule="exact"/>
              <w:ind w:firstLine="0" w:firstLineChars="0"/>
              <w:jc w:val="center"/>
              <w:rPr>
                <w:rFonts w:ascii="仿宋" w:hAnsi="仿宋" w:eastAsia="仿宋"/>
                <w:color w:val="auto"/>
                <w:sz w:val="24"/>
                <w:szCs w:val="24"/>
              </w:rPr>
            </w:pPr>
          </w:p>
        </w:tc>
        <w:tc>
          <w:tcPr>
            <w:tcW w:w="513" w:type="pct"/>
            <w:tcBorders>
              <w:bottom w:val="single" w:color="auto" w:sz="4" w:space="0"/>
            </w:tcBorders>
            <w:vAlign w:val="center"/>
          </w:tcPr>
          <w:p>
            <w:pPr>
              <w:jc w:val="center"/>
              <w:rPr>
                <w:rFonts w:ascii="仿宋" w:hAnsi="仿宋" w:eastAsia="仿宋"/>
                <w:color w:val="auto"/>
                <w:sz w:val="24"/>
              </w:rPr>
            </w:pPr>
            <w:r>
              <w:rPr>
                <w:rFonts w:hint="eastAsia" w:ascii="仿宋" w:hAnsi="仿宋" w:eastAsia="仿宋"/>
                <w:color w:val="auto"/>
                <w:sz w:val="24"/>
              </w:rPr>
              <w:t>1批</w:t>
            </w:r>
          </w:p>
        </w:tc>
        <w:tc>
          <w:tcPr>
            <w:tcW w:w="1923" w:type="pct"/>
            <w:tcBorders>
              <w:bottom w:val="single" w:color="auto" w:sz="4" w:space="0"/>
            </w:tcBorders>
            <w:vAlign w:val="center"/>
          </w:tcPr>
          <w:p>
            <w:pPr>
              <w:jc w:val="center"/>
              <w:rPr>
                <w:rFonts w:ascii="仿宋" w:hAnsi="仿宋" w:eastAsia="仿宋"/>
                <w:color w:val="auto"/>
                <w:sz w:val="24"/>
              </w:rPr>
            </w:pPr>
          </w:p>
        </w:tc>
        <w:tc>
          <w:tcPr>
            <w:tcW w:w="504" w:type="pct"/>
            <w:tcBorders>
              <w:bottom w:val="single" w:color="auto" w:sz="4" w:space="0"/>
            </w:tcBorders>
            <w:vAlign w:val="center"/>
          </w:tcPr>
          <w:p>
            <w:pPr>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8" w:hRule="exact"/>
          <w:jc w:val="center"/>
        </w:trPr>
        <w:tc>
          <w:tcPr>
            <w:tcW w:w="2059" w:type="pct"/>
            <w:tcBorders>
              <w:bottom w:val="single" w:color="auto" w:sz="4" w:space="0"/>
            </w:tcBorders>
            <w:vAlign w:val="center"/>
          </w:tcPr>
          <w:p>
            <w:pPr>
              <w:jc w:val="center"/>
              <w:rPr>
                <w:rFonts w:ascii="仿宋" w:hAnsi="仿宋" w:eastAsia="仿宋"/>
                <w:color w:val="auto"/>
                <w:sz w:val="24"/>
              </w:rPr>
            </w:pPr>
            <w:r>
              <w:rPr>
                <w:rFonts w:hint="eastAsia" w:ascii="仿宋" w:hAnsi="仿宋" w:eastAsia="仿宋"/>
                <w:color w:val="auto"/>
                <w:sz w:val="24"/>
              </w:rPr>
              <w:t>投标总报价(元)：</w:t>
            </w:r>
          </w:p>
        </w:tc>
        <w:tc>
          <w:tcPr>
            <w:tcW w:w="2940" w:type="pct"/>
            <w:gridSpan w:val="3"/>
            <w:tcBorders>
              <w:bottom w:val="single" w:color="auto" w:sz="4" w:space="0"/>
            </w:tcBorders>
            <w:vAlign w:val="center"/>
          </w:tcPr>
          <w:p>
            <w:pPr>
              <w:jc w:val="center"/>
              <w:rPr>
                <w:rFonts w:ascii="仿宋" w:hAnsi="仿宋" w:eastAsia="仿宋"/>
                <w:color w:val="auto"/>
                <w:sz w:val="24"/>
              </w:rPr>
            </w:pPr>
          </w:p>
        </w:tc>
      </w:tr>
    </w:tbl>
    <w:p>
      <w:pPr>
        <w:rPr>
          <w:rFonts w:ascii="仿宋" w:hAnsi="仿宋" w:eastAsia="仿宋"/>
          <w:color w:val="auto"/>
          <w:sz w:val="24"/>
        </w:rPr>
      </w:pPr>
    </w:p>
    <w:p>
      <w:pPr>
        <w:pStyle w:val="304"/>
        <w:shd w:val="clear" w:color="auto" w:fill="FFFFFF"/>
        <w:snapToGrid w:val="0"/>
        <w:spacing w:line="44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法定代表人（或负责人）（签字或签章）：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授权代理人（签字或签章）：</w:t>
      </w:r>
    </w:p>
    <w:p>
      <w:pPr>
        <w:shd w:val="clear" w:color="auto" w:fill="FFFFFF"/>
        <w:spacing w:line="440" w:lineRule="exact"/>
        <w:rPr>
          <w:rFonts w:ascii="仿宋" w:hAnsi="仿宋" w:eastAsia="仿宋"/>
          <w:bCs/>
          <w:color w:val="auto"/>
          <w:kern w:val="0"/>
          <w:sz w:val="24"/>
        </w:rPr>
      </w:pPr>
      <w:r>
        <w:rPr>
          <w:rFonts w:hint="eastAsia" w:ascii="仿宋" w:hAnsi="仿宋" w:eastAsia="仿宋"/>
          <w:color w:val="auto"/>
          <w:sz w:val="24"/>
        </w:rPr>
        <w:t>日期：  年  月  日</w:t>
      </w:r>
    </w:p>
    <w:p>
      <w:pPr>
        <w:widowControl/>
        <w:jc w:val="left"/>
        <w:rPr>
          <w:rFonts w:ascii="仿宋" w:hAnsi="仿宋" w:eastAsia="仿宋"/>
          <w:b/>
          <w:bCs/>
          <w:color w:val="auto"/>
          <w:sz w:val="24"/>
        </w:rPr>
      </w:pPr>
    </w:p>
    <w:p>
      <w:pPr>
        <w:widowControl/>
        <w:ind w:firstLine="482" w:firstLineChars="200"/>
        <w:jc w:val="left"/>
        <w:rPr>
          <w:rFonts w:ascii="仿宋" w:hAnsi="仿宋" w:eastAsia="仿宋"/>
          <w:b/>
          <w:bCs/>
          <w:color w:val="auto"/>
          <w:sz w:val="18"/>
          <w:szCs w:val="18"/>
        </w:rPr>
      </w:pPr>
      <w:r>
        <w:rPr>
          <w:rFonts w:ascii="仿宋" w:hAnsi="仿宋" w:eastAsia="仿宋"/>
          <w:b/>
          <w:bCs/>
          <w:color w:val="auto"/>
          <w:sz w:val="24"/>
        </w:rPr>
        <w:br w:type="page"/>
      </w:r>
    </w:p>
    <w:p>
      <w:pPr>
        <w:widowControl/>
        <w:jc w:val="left"/>
        <w:rPr>
          <w:rFonts w:ascii="仿宋" w:hAnsi="仿宋" w:eastAsia="仿宋"/>
          <w:b/>
          <w:bCs/>
          <w:color w:val="auto"/>
          <w:kern w:val="0"/>
          <w:sz w:val="24"/>
        </w:rPr>
      </w:pPr>
      <w:r>
        <w:rPr>
          <w:rFonts w:hint="eastAsia" w:ascii="仿宋" w:hAnsi="仿宋" w:eastAsia="仿宋"/>
          <w:b/>
          <w:bCs/>
          <w:color w:val="auto"/>
          <w:sz w:val="24"/>
        </w:rPr>
        <w:t xml:space="preserve">附件十五  </w:t>
      </w:r>
      <w:r>
        <w:rPr>
          <w:rFonts w:hint="eastAsia" w:ascii="仿宋" w:hAnsi="仿宋" w:eastAsia="仿宋"/>
          <w:b/>
          <w:bCs/>
          <w:color w:val="auto"/>
          <w:kern w:val="0"/>
          <w:sz w:val="24"/>
        </w:rPr>
        <w:t xml:space="preserve">分项报价明细表 </w:t>
      </w:r>
    </w:p>
    <w:p>
      <w:pPr>
        <w:shd w:val="clear" w:color="auto" w:fill="FFFFFF"/>
        <w:spacing w:line="440" w:lineRule="exact"/>
        <w:rPr>
          <w:rFonts w:ascii="仿宋" w:hAnsi="仿宋" w:eastAsia="仿宋"/>
          <w:b/>
          <w:color w:val="auto"/>
          <w:sz w:val="24"/>
        </w:rPr>
      </w:pPr>
    </w:p>
    <w:tbl>
      <w:tblPr>
        <w:tblStyle w:val="5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441"/>
        <w:gridCol w:w="2010"/>
        <w:gridCol w:w="140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 w:type="dxa"/>
            <w:tcBorders>
              <w:top w:val="single" w:color="auto" w:sz="12" w:space="0"/>
              <w:left w:val="single" w:color="auto" w:sz="12" w:space="0"/>
              <w:bottom w:val="single" w:color="auto" w:sz="4" w:space="0"/>
              <w:right w:val="single" w:color="auto" w:sz="4" w:space="0"/>
            </w:tcBorders>
            <w:vAlign w:val="center"/>
          </w:tcPr>
          <w:p>
            <w:pPr>
              <w:pStyle w:val="730"/>
              <w:tabs>
                <w:tab w:val="left" w:pos="1337"/>
              </w:tabs>
              <w:spacing w:line="360" w:lineRule="auto"/>
              <w:ind w:left="-42" w:right="-42"/>
              <w:jc w:val="center"/>
              <w:rPr>
                <w:rFonts w:ascii="仿宋" w:hAnsi="仿宋" w:eastAsia="仿宋"/>
                <w:color w:val="auto"/>
                <w:sz w:val="24"/>
              </w:rPr>
            </w:pPr>
            <w:r>
              <w:rPr>
                <w:rFonts w:hint="eastAsia" w:ascii="仿宋" w:hAnsi="仿宋" w:eastAsia="仿宋"/>
                <w:color w:val="auto"/>
                <w:sz w:val="24"/>
              </w:rPr>
              <w:t>项</w:t>
            </w:r>
          </w:p>
        </w:tc>
        <w:tc>
          <w:tcPr>
            <w:tcW w:w="2441" w:type="dxa"/>
            <w:tcBorders>
              <w:top w:val="single" w:color="auto" w:sz="12" w:space="0"/>
              <w:left w:val="single" w:color="auto" w:sz="4" w:space="0"/>
              <w:bottom w:val="single" w:color="auto" w:sz="4" w:space="0"/>
              <w:right w:val="single" w:color="auto" w:sz="4" w:space="0"/>
            </w:tcBorders>
            <w:vAlign w:val="center"/>
          </w:tcPr>
          <w:p>
            <w:pPr>
              <w:pStyle w:val="730"/>
              <w:tabs>
                <w:tab w:val="left" w:pos="1337"/>
              </w:tabs>
              <w:spacing w:line="360" w:lineRule="auto"/>
              <w:ind w:left="-42" w:right="-42"/>
              <w:jc w:val="center"/>
              <w:rPr>
                <w:rFonts w:ascii="仿宋" w:hAnsi="仿宋" w:eastAsia="仿宋"/>
                <w:color w:val="auto"/>
                <w:sz w:val="24"/>
              </w:rPr>
            </w:pPr>
            <w:r>
              <w:rPr>
                <w:rFonts w:hint="eastAsia" w:ascii="仿宋" w:hAnsi="仿宋" w:eastAsia="仿宋"/>
                <w:color w:val="auto"/>
                <w:sz w:val="24"/>
              </w:rPr>
              <w:t>1</w:t>
            </w:r>
          </w:p>
        </w:tc>
        <w:tc>
          <w:tcPr>
            <w:tcW w:w="2010" w:type="dxa"/>
            <w:tcBorders>
              <w:top w:val="single" w:color="auto" w:sz="12" w:space="0"/>
              <w:left w:val="single" w:color="auto" w:sz="4" w:space="0"/>
              <w:bottom w:val="single" w:color="auto" w:sz="4" w:space="0"/>
              <w:right w:val="single" w:color="auto" w:sz="4" w:space="0"/>
            </w:tcBorders>
            <w:vAlign w:val="center"/>
          </w:tcPr>
          <w:p>
            <w:pPr>
              <w:pStyle w:val="730"/>
              <w:tabs>
                <w:tab w:val="left" w:pos="1337"/>
              </w:tabs>
              <w:spacing w:line="360" w:lineRule="auto"/>
              <w:ind w:right="-42"/>
              <w:jc w:val="center"/>
              <w:rPr>
                <w:rFonts w:ascii="仿宋" w:hAnsi="仿宋" w:eastAsia="仿宋"/>
                <w:color w:val="auto"/>
                <w:sz w:val="24"/>
              </w:rPr>
            </w:pPr>
            <w:r>
              <w:rPr>
                <w:rFonts w:hint="eastAsia" w:ascii="仿宋" w:hAnsi="仿宋" w:eastAsia="仿宋"/>
                <w:color w:val="auto"/>
                <w:sz w:val="24"/>
              </w:rPr>
              <w:t>2</w:t>
            </w:r>
          </w:p>
        </w:tc>
        <w:tc>
          <w:tcPr>
            <w:tcW w:w="1408" w:type="dxa"/>
            <w:tcBorders>
              <w:top w:val="single" w:color="auto" w:sz="12" w:space="0"/>
              <w:left w:val="single" w:color="auto" w:sz="4" w:space="0"/>
              <w:bottom w:val="single" w:color="auto" w:sz="4" w:space="0"/>
              <w:right w:val="single" w:color="auto" w:sz="4" w:space="0"/>
            </w:tcBorders>
            <w:vAlign w:val="center"/>
          </w:tcPr>
          <w:p>
            <w:pPr>
              <w:pStyle w:val="730"/>
              <w:tabs>
                <w:tab w:val="left" w:pos="1337"/>
              </w:tabs>
              <w:spacing w:line="360" w:lineRule="auto"/>
              <w:ind w:right="-42"/>
              <w:jc w:val="center"/>
              <w:rPr>
                <w:rFonts w:ascii="仿宋" w:hAnsi="仿宋" w:eastAsia="仿宋"/>
                <w:color w:val="auto"/>
                <w:sz w:val="24"/>
              </w:rPr>
            </w:pPr>
            <w:r>
              <w:rPr>
                <w:rFonts w:hint="eastAsia" w:ascii="仿宋" w:hAnsi="仿宋" w:eastAsia="仿宋"/>
                <w:color w:val="auto"/>
                <w:sz w:val="24"/>
              </w:rPr>
              <w:t>3</w:t>
            </w:r>
          </w:p>
        </w:tc>
        <w:tc>
          <w:tcPr>
            <w:tcW w:w="3056" w:type="dxa"/>
            <w:gridSpan w:val="3"/>
            <w:tcBorders>
              <w:top w:val="single" w:color="auto" w:sz="12" w:space="0"/>
              <w:left w:val="single" w:color="auto" w:sz="4" w:space="0"/>
              <w:bottom w:val="single" w:color="auto" w:sz="4" w:space="0"/>
              <w:right w:val="single" w:color="auto" w:sz="12" w:space="0"/>
            </w:tcBorders>
            <w:vAlign w:val="center"/>
          </w:tcPr>
          <w:p>
            <w:pPr>
              <w:pStyle w:val="730"/>
              <w:tabs>
                <w:tab w:val="left" w:pos="1337"/>
              </w:tabs>
              <w:spacing w:line="360" w:lineRule="auto"/>
              <w:ind w:left="-42" w:right="-42"/>
              <w:jc w:val="center"/>
              <w:rPr>
                <w:rFonts w:ascii="仿宋" w:hAnsi="仿宋" w:eastAsia="仿宋"/>
                <w:color w:val="auto"/>
                <w:sz w:val="24"/>
              </w:rPr>
            </w:pPr>
            <w:r>
              <w:rPr>
                <w:rFonts w:hint="eastAsia" w:ascii="仿宋" w:hAnsi="仿宋" w:eastAsia="仿宋"/>
                <w:color w:val="auto"/>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 w:type="dxa"/>
            <w:vMerge w:val="restart"/>
            <w:tcBorders>
              <w:top w:val="single" w:color="auto" w:sz="4" w:space="0"/>
              <w:left w:val="single" w:color="auto" w:sz="12" w:space="0"/>
              <w:bottom w:val="single" w:color="auto" w:sz="4" w:space="0"/>
              <w:right w:val="single" w:color="auto" w:sz="4" w:space="0"/>
            </w:tcBorders>
            <w:vAlign w:val="center"/>
          </w:tcPr>
          <w:p>
            <w:pPr>
              <w:pStyle w:val="730"/>
              <w:tabs>
                <w:tab w:val="left" w:pos="1337"/>
              </w:tabs>
              <w:spacing w:line="360" w:lineRule="auto"/>
              <w:ind w:left="-42" w:right="-42"/>
              <w:jc w:val="center"/>
              <w:rPr>
                <w:rFonts w:ascii="仿宋" w:hAnsi="仿宋" w:eastAsia="仿宋"/>
                <w:color w:val="auto"/>
                <w:sz w:val="24"/>
              </w:rPr>
            </w:pPr>
            <w:r>
              <w:rPr>
                <w:rFonts w:hint="eastAsia" w:ascii="仿宋" w:hAnsi="仿宋" w:eastAsia="仿宋"/>
                <w:color w:val="auto"/>
                <w:sz w:val="24"/>
              </w:rPr>
              <w:t>序</w:t>
            </w:r>
          </w:p>
          <w:p>
            <w:pPr>
              <w:pStyle w:val="730"/>
              <w:tabs>
                <w:tab w:val="left" w:pos="1337"/>
              </w:tabs>
              <w:spacing w:line="360" w:lineRule="auto"/>
              <w:ind w:left="-42" w:right="-42"/>
              <w:jc w:val="center"/>
              <w:rPr>
                <w:rFonts w:ascii="仿宋" w:hAnsi="仿宋" w:eastAsia="仿宋"/>
                <w:color w:val="auto"/>
                <w:sz w:val="24"/>
              </w:rPr>
            </w:pPr>
            <w:r>
              <w:rPr>
                <w:rFonts w:hint="eastAsia" w:ascii="仿宋" w:hAnsi="仿宋" w:eastAsia="仿宋"/>
                <w:color w:val="auto"/>
                <w:sz w:val="24"/>
              </w:rPr>
              <w:t>号</w:t>
            </w:r>
          </w:p>
        </w:tc>
        <w:tc>
          <w:tcPr>
            <w:tcW w:w="2441" w:type="dxa"/>
            <w:vMerge w:val="restart"/>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产品名称</w:t>
            </w:r>
          </w:p>
        </w:tc>
        <w:tc>
          <w:tcPr>
            <w:tcW w:w="2010" w:type="dxa"/>
            <w:vMerge w:val="restart"/>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ind w:left="-42" w:right="-42"/>
              <w:jc w:val="center"/>
              <w:rPr>
                <w:rFonts w:ascii="仿宋" w:hAnsi="仿宋" w:eastAsia="仿宋"/>
                <w:color w:val="auto"/>
                <w:sz w:val="24"/>
              </w:rPr>
            </w:pPr>
            <w:r>
              <w:rPr>
                <w:rFonts w:hint="eastAsia" w:ascii="仿宋" w:hAnsi="仿宋" w:eastAsia="仿宋"/>
                <w:color w:val="auto"/>
                <w:sz w:val="24"/>
              </w:rPr>
              <w:t>规格型号</w:t>
            </w:r>
          </w:p>
        </w:tc>
        <w:tc>
          <w:tcPr>
            <w:tcW w:w="1408" w:type="dxa"/>
            <w:vMerge w:val="restart"/>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ind w:left="-42" w:right="-42"/>
              <w:jc w:val="center"/>
              <w:rPr>
                <w:rFonts w:ascii="仿宋" w:hAnsi="仿宋" w:eastAsia="仿宋"/>
                <w:color w:val="auto"/>
                <w:sz w:val="24"/>
              </w:rPr>
            </w:pPr>
            <w:r>
              <w:rPr>
                <w:rFonts w:hint="eastAsia" w:ascii="仿宋" w:hAnsi="仿宋" w:eastAsia="仿宋"/>
                <w:color w:val="auto"/>
                <w:sz w:val="24"/>
              </w:rPr>
              <w:t>原产地和制造商名称</w:t>
            </w:r>
          </w:p>
        </w:tc>
        <w:tc>
          <w:tcPr>
            <w:tcW w:w="3056" w:type="dxa"/>
            <w:gridSpan w:val="3"/>
            <w:tcBorders>
              <w:top w:val="single" w:color="auto" w:sz="4" w:space="0"/>
              <w:left w:val="single" w:color="auto" w:sz="4" w:space="0"/>
              <w:bottom w:val="single" w:color="auto" w:sz="4" w:space="0"/>
              <w:right w:val="single" w:color="auto" w:sz="12" w:space="0"/>
            </w:tcBorders>
            <w:vAlign w:val="center"/>
          </w:tcPr>
          <w:p>
            <w:pPr>
              <w:pStyle w:val="730"/>
              <w:spacing w:line="360" w:lineRule="auto"/>
              <w:jc w:val="center"/>
              <w:rPr>
                <w:rFonts w:ascii="仿宋" w:hAnsi="仿宋" w:eastAsia="仿宋"/>
                <w:color w:val="auto"/>
                <w:sz w:val="24"/>
              </w:rPr>
            </w:pPr>
            <w:r>
              <w:rPr>
                <w:rFonts w:hint="eastAsia" w:ascii="仿宋" w:hAnsi="仿宋" w:eastAsia="仿宋"/>
                <w:color w:val="auto"/>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 w:type="dxa"/>
            <w:vMerge w:val="continue"/>
            <w:tcBorders>
              <w:top w:val="single" w:color="auto" w:sz="4" w:space="0"/>
              <w:left w:val="single" w:color="auto" w:sz="12" w:space="0"/>
              <w:bottom w:val="single" w:color="auto" w:sz="4" w:space="0"/>
              <w:right w:val="single" w:color="auto" w:sz="4" w:space="0"/>
            </w:tcBorders>
            <w:vAlign w:val="center"/>
          </w:tcPr>
          <w:p>
            <w:pPr>
              <w:pStyle w:val="731"/>
              <w:widowControl/>
              <w:jc w:val="left"/>
              <w:rPr>
                <w:rFonts w:ascii="仿宋" w:hAnsi="仿宋" w:eastAsia="仿宋"/>
                <w:color w:val="auto"/>
                <w:sz w:val="24"/>
              </w:rPr>
            </w:pPr>
          </w:p>
        </w:tc>
        <w:tc>
          <w:tcPr>
            <w:tcW w:w="2441" w:type="dxa"/>
            <w:vMerge w:val="continue"/>
            <w:tcBorders>
              <w:top w:val="single" w:color="auto" w:sz="4" w:space="0"/>
              <w:left w:val="single" w:color="auto" w:sz="4" w:space="0"/>
              <w:bottom w:val="single" w:color="auto" w:sz="4" w:space="0"/>
              <w:right w:val="single" w:color="auto" w:sz="4" w:space="0"/>
            </w:tcBorders>
            <w:vAlign w:val="center"/>
          </w:tcPr>
          <w:p>
            <w:pPr>
              <w:pStyle w:val="731"/>
              <w:widowControl/>
              <w:jc w:val="left"/>
              <w:rPr>
                <w:rFonts w:ascii="仿宋" w:hAnsi="仿宋" w:eastAsia="仿宋"/>
                <w:color w:val="auto"/>
                <w:sz w:val="24"/>
              </w:rPr>
            </w:pPr>
          </w:p>
        </w:tc>
        <w:tc>
          <w:tcPr>
            <w:tcW w:w="2010" w:type="dxa"/>
            <w:vMerge w:val="continue"/>
            <w:tcBorders>
              <w:top w:val="single" w:color="auto" w:sz="4" w:space="0"/>
              <w:left w:val="single" w:color="auto" w:sz="4" w:space="0"/>
              <w:bottom w:val="single" w:color="auto" w:sz="4" w:space="0"/>
              <w:right w:val="single" w:color="auto" w:sz="4" w:space="0"/>
            </w:tcBorders>
            <w:vAlign w:val="center"/>
          </w:tcPr>
          <w:p>
            <w:pPr>
              <w:pStyle w:val="731"/>
              <w:widowControl/>
              <w:jc w:val="left"/>
              <w:rPr>
                <w:rFonts w:ascii="仿宋" w:hAnsi="仿宋" w:eastAsia="仿宋"/>
                <w:color w:val="auto"/>
                <w:sz w:val="24"/>
              </w:rPr>
            </w:pPr>
          </w:p>
        </w:tc>
        <w:tc>
          <w:tcPr>
            <w:tcW w:w="1408" w:type="dxa"/>
            <w:vMerge w:val="continue"/>
            <w:tcBorders>
              <w:top w:val="single" w:color="auto" w:sz="4" w:space="0"/>
              <w:left w:val="single" w:color="auto" w:sz="4" w:space="0"/>
              <w:bottom w:val="single" w:color="auto" w:sz="4" w:space="0"/>
              <w:right w:val="single" w:color="auto" w:sz="4" w:space="0"/>
            </w:tcBorders>
            <w:vAlign w:val="center"/>
          </w:tcPr>
          <w:p>
            <w:pPr>
              <w:pStyle w:val="731"/>
              <w:widowControl/>
              <w:jc w:val="left"/>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单价</w:t>
            </w:r>
          </w:p>
        </w:tc>
        <w:tc>
          <w:tcPr>
            <w:tcW w:w="955" w:type="dxa"/>
            <w:tcBorders>
              <w:top w:val="single" w:color="auto" w:sz="4" w:space="0"/>
              <w:left w:val="single" w:color="auto" w:sz="4" w:space="0"/>
              <w:bottom w:val="single" w:color="auto" w:sz="4" w:space="0"/>
              <w:right w:val="single" w:color="auto" w:sz="4" w:space="0"/>
            </w:tcBorders>
            <w:vAlign w:val="center"/>
          </w:tcPr>
          <w:p>
            <w:pPr>
              <w:pStyle w:val="730"/>
              <w:widowControl/>
              <w:spacing w:line="360" w:lineRule="auto"/>
              <w:jc w:val="center"/>
              <w:rPr>
                <w:rFonts w:ascii="仿宋" w:hAnsi="仿宋" w:eastAsia="仿宋"/>
                <w:color w:val="auto"/>
                <w:sz w:val="24"/>
              </w:rPr>
            </w:pPr>
            <w:r>
              <w:rPr>
                <w:rFonts w:hint="eastAsia" w:ascii="仿宋" w:hAnsi="仿宋" w:eastAsia="仿宋"/>
                <w:color w:val="auto"/>
                <w:sz w:val="24"/>
              </w:rPr>
              <w:t>数量</w:t>
            </w:r>
          </w:p>
        </w:tc>
        <w:tc>
          <w:tcPr>
            <w:tcW w:w="1146" w:type="dxa"/>
            <w:tcBorders>
              <w:top w:val="single" w:color="auto" w:sz="4" w:space="0"/>
              <w:left w:val="single" w:color="auto" w:sz="4" w:space="0"/>
              <w:bottom w:val="single" w:color="auto" w:sz="4" w:space="0"/>
              <w:right w:val="single" w:color="auto" w:sz="12" w:space="0"/>
            </w:tcBorders>
            <w:vAlign w:val="center"/>
          </w:tcPr>
          <w:p>
            <w:pPr>
              <w:pStyle w:val="730"/>
              <w:widowControl/>
              <w:spacing w:line="360" w:lineRule="auto"/>
              <w:jc w:val="center"/>
              <w:rPr>
                <w:rFonts w:ascii="仿宋" w:hAnsi="仿宋" w:eastAsia="仿宋"/>
                <w:color w:val="auto"/>
                <w:sz w:val="24"/>
              </w:rPr>
            </w:pPr>
            <w:r>
              <w:rPr>
                <w:rFonts w:hint="eastAsia" w:ascii="仿宋" w:hAnsi="仿宋" w:eastAsia="仿宋"/>
                <w:color w:val="auto"/>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441"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010"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1408"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0"/>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441"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010"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1408"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0"/>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441"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010"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1408"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0"/>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441"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010"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1408"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0"/>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441"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010"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1408"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0"/>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441"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010"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1408"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0"/>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441"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w:t>
            </w:r>
          </w:p>
        </w:tc>
        <w:tc>
          <w:tcPr>
            <w:tcW w:w="2010"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1408"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0"/>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441"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货物费用小计</w:t>
            </w:r>
          </w:p>
        </w:tc>
        <w:tc>
          <w:tcPr>
            <w:tcW w:w="3418" w:type="dxa"/>
            <w:gridSpan w:val="2"/>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0"/>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441"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安装调试费</w:t>
            </w:r>
          </w:p>
        </w:tc>
        <w:tc>
          <w:tcPr>
            <w:tcW w:w="3418" w:type="dxa"/>
            <w:gridSpan w:val="2"/>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0"/>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441"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技术支持费</w:t>
            </w:r>
          </w:p>
        </w:tc>
        <w:tc>
          <w:tcPr>
            <w:tcW w:w="3418" w:type="dxa"/>
            <w:gridSpan w:val="2"/>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0"/>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441"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培训费</w:t>
            </w:r>
          </w:p>
        </w:tc>
        <w:tc>
          <w:tcPr>
            <w:tcW w:w="3418" w:type="dxa"/>
            <w:gridSpan w:val="2"/>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0"/>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441"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运输与保险费</w:t>
            </w:r>
          </w:p>
        </w:tc>
        <w:tc>
          <w:tcPr>
            <w:tcW w:w="3418" w:type="dxa"/>
            <w:gridSpan w:val="2"/>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0"/>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441"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ind w:firstLine="960" w:firstLineChars="400"/>
              <w:rPr>
                <w:rFonts w:ascii="仿宋" w:hAnsi="仿宋" w:eastAsia="仿宋"/>
                <w:color w:val="auto"/>
                <w:sz w:val="24"/>
              </w:rPr>
            </w:pPr>
            <w:r>
              <w:rPr>
                <w:rFonts w:hint="eastAsia" w:ascii="仿宋" w:hAnsi="仿宋" w:eastAsia="仿宋"/>
                <w:color w:val="auto"/>
                <w:sz w:val="24"/>
              </w:rPr>
              <w:t>其他</w:t>
            </w:r>
          </w:p>
        </w:tc>
        <w:tc>
          <w:tcPr>
            <w:tcW w:w="3418" w:type="dxa"/>
            <w:gridSpan w:val="2"/>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0"/>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2441"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合计</w:t>
            </w:r>
          </w:p>
        </w:tc>
        <w:tc>
          <w:tcPr>
            <w:tcW w:w="3418" w:type="dxa"/>
            <w:gridSpan w:val="2"/>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tcPr>
          <w:p>
            <w:pPr>
              <w:pStyle w:val="730"/>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0"/>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0"/>
              <w:tabs>
                <w:tab w:val="left" w:pos="1337"/>
              </w:tabs>
              <w:spacing w:line="360" w:lineRule="auto"/>
              <w:jc w:val="center"/>
              <w:rPr>
                <w:rFonts w:ascii="仿宋" w:hAnsi="仿宋" w:eastAsia="仿宋"/>
                <w:color w:val="auto"/>
                <w:sz w:val="24"/>
              </w:rPr>
            </w:pPr>
          </w:p>
        </w:tc>
      </w:tr>
    </w:tbl>
    <w:p>
      <w:pPr>
        <w:shd w:val="clear" w:color="auto" w:fill="FFFFFF"/>
        <w:spacing w:line="440" w:lineRule="exact"/>
        <w:rPr>
          <w:rFonts w:ascii="仿宋" w:hAnsi="仿宋" w:eastAsia="仿宋"/>
          <w:b/>
          <w:color w:val="auto"/>
          <w:sz w:val="24"/>
        </w:rPr>
      </w:pPr>
    </w:p>
    <w:p>
      <w:pPr>
        <w:pStyle w:val="732"/>
        <w:tabs>
          <w:tab w:val="left" w:pos="420"/>
          <w:tab w:val="clear" w:pos="360"/>
        </w:tabs>
        <w:spacing w:line="340" w:lineRule="exact"/>
        <w:ind w:left="566" w:hanging="566" w:hangingChars="235"/>
        <w:outlineLvl w:val="2"/>
        <w:rPr>
          <w:rFonts w:ascii="仿宋" w:hAnsi="仿宋" w:eastAsia="仿宋"/>
          <w:color w:val="auto"/>
        </w:rPr>
      </w:pPr>
    </w:p>
    <w:p>
      <w:pPr>
        <w:pStyle w:val="304"/>
        <w:shd w:val="clear" w:color="auto" w:fill="FFFFFF"/>
        <w:snapToGrid w:val="0"/>
        <w:spacing w:line="44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法定代表人（或负责人）（签字或签章）：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授权代理人（签字或签章）：</w:t>
      </w:r>
    </w:p>
    <w:p>
      <w:pPr>
        <w:shd w:val="clear" w:color="auto" w:fill="FFFFFF"/>
        <w:spacing w:line="440" w:lineRule="exact"/>
        <w:rPr>
          <w:rFonts w:ascii="仿宋" w:hAnsi="仿宋" w:eastAsia="仿宋"/>
          <w:bCs/>
          <w:color w:val="auto"/>
          <w:kern w:val="0"/>
          <w:sz w:val="24"/>
        </w:rPr>
      </w:pPr>
      <w:r>
        <w:rPr>
          <w:rFonts w:hint="eastAsia" w:ascii="仿宋" w:hAnsi="仿宋" w:eastAsia="仿宋"/>
          <w:color w:val="auto"/>
          <w:sz w:val="24"/>
        </w:rPr>
        <w:t>日期：  年  月  日</w:t>
      </w:r>
    </w:p>
    <w:p>
      <w:pPr>
        <w:widowControl/>
        <w:jc w:val="left"/>
        <w:rPr>
          <w:rFonts w:ascii="仿宋" w:hAnsi="仿宋" w:eastAsia="仿宋"/>
          <w:b/>
          <w:bCs/>
          <w:color w:val="auto"/>
          <w:sz w:val="24"/>
        </w:rPr>
      </w:pPr>
    </w:p>
    <w:p>
      <w:pPr>
        <w:widowControl/>
        <w:spacing w:line="360" w:lineRule="exact"/>
        <w:ind w:firstLine="482" w:firstLineChars="200"/>
        <w:rPr>
          <w:rFonts w:ascii="仿宋" w:hAnsi="仿宋" w:eastAsia="仿宋"/>
          <w:b/>
          <w:bCs/>
          <w:color w:val="auto"/>
          <w:sz w:val="24"/>
        </w:rPr>
      </w:pPr>
    </w:p>
    <w:sectPr>
      <w:footerReference r:id="rId5" w:type="first"/>
      <w:headerReference r:id="rId3" w:type="default"/>
      <w:footerReference r:id="rId4" w:type="default"/>
      <w:pgSz w:w="11906" w:h="16838"/>
      <w:pgMar w:top="1134" w:right="1134" w:bottom="1134" w:left="1134" w:header="703" w:footer="851" w:gutter="0"/>
      <w:pgNumType w:fmt="numberInDash"/>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魏碑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Book Antiqua">
    <w:panose1 w:val="02040602050305030304"/>
    <w:charset w:val="00"/>
    <w:family w:val="roman"/>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长城仿宋">
    <w:altName w:val="仿宋"/>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DD..">
    <w:altName w:val="宋体"/>
    <w:panose1 w:val="00000000000000000000"/>
    <w:charset w:val="86"/>
    <w:family w:val="auto"/>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文鼎粗黑">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Geneva">
    <w:altName w:val="Arial"/>
    <w:panose1 w:val="00000000000000000000"/>
    <w:charset w:val="00"/>
    <w:family w:val="auto"/>
    <w:pitch w:val="default"/>
    <w:sig w:usb0="00000000" w:usb1="00000000" w:usb2="00000000" w:usb3="00000000" w:csb0="00000001" w:csb1="00000000"/>
  </w:font>
  <w:font w:name="Angsana New">
    <w:panose1 w:val="02020603050405020304"/>
    <w:charset w:val="DE"/>
    <w:family w:val="roman"/>
    <w:pitch w:val="default"/>
    <w:sig w:usb0="81000003" w:usb1="00000000" w:usb2="00000000" w:usb3="00000000" w:csb0="00010001" w:csb1="00000000"/>
  </w:font>
  <w:font w:name="Arial Black">
    <w:panose1 w:val="020B0A04020102020204"/>
    <w:charset w:val="00"/>
    <w:family w:val="swiss"/>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42516"/>
    </w:sdtPr>
    <w:sdtContent>
      <w:p>
        <w:pPr>
          <w:pStyle w:val="39"/>
          <w:pBdr>
            <w:top w:val="dashDotStroked" w:color="auto" w:sz="24" w:space="1"/>
          </w:pBdr>
          <w:jc w:val="center"/>
          <w:rPr>
            <w:rFonts w:ascii="宋体"/>
            <w:kern w:val="0"/>
            <w:sz w:val="20"/>
          </w:rPr>
        </w:pPr>
        <w:r>
          <w:rPr>
            <w:lang w:val="zh-CN"/>
          </w:rPr>
          <w:fldChar w:fldCharType="begin"/>
        </w:r>
        <w:r>
          <w:rPr>
            <w:lang w:val="zh-CN"/>
          </w:rPr>
          <w:instrText xml:space="preserve">PAGE   \* MERGEFORMAT</w:instrText>
        </w:r>
        <w:r>
          <w:rPr>
            <w:lang w:val="zh-CN"/>
          </w:rPr>
          <w:fldChar w:fldCharType="separate"/>
        </w:r>
        <w:r>
          <w:rPr>
            <w:lang w:val="zh-CN"/>
          </w:rPr>
          <w:t>-</w:t>
        </w:r>
        <w:r>
          <w:t xml:space="preserve"> 19 -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42517"/>
    </w:sdtPr>
    <w:sdtContent>
      <w:p>
        <w:pPr>
          <w:pStyle w:val="39"/>
          <w:jc w:val="center"/>
        </w:pPr>
        <w:r>
          <w:fldChar w:fldCharType="begin"/>
        </w:r>
        <w:r>
          <w:instrText xml:space="preserve">PAGE   \* MERGEFORMAT</w:instrText>
        </w:r>
        <w:r>
          <w:fldChar w:fldCharType="separate"/>
        </w:r>
        <w:r>
          <w:rPr>
            <w:lang w:val="zh-CN"/>
          </w:rPr>
          <w:t>2</w:t>
        </w:r>
        <w:r>
          <w:rPr>
            <w:lang w:val="zh-CN"/>
          </w:rPr>
          <w:fldChar w:fldCharType="end"/>
        </w:r>
      </w:p>
    </w:sdtContent>
  </w:sdt>
  <w:p>
    <w:pPr>
      <w:ind w:right="359" w:rightChars="171" w:firstLine="525" w:firstLineChars="25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dashDotStroked" w:color="auto" w:sz="24" w:space="0"/>
      </w:pBdr>
      <w:jc w:val="left"/>
      <w:rPr>
        <w:rFonts w:ascii="仿宋" w:hAnsi="仿宋" w:eastAsia="仿宋"/>
        <w:b/>
        <w:i/>
        <w:spacing w:val="-10"/>
      </w:rPr>
    </w:pPr>
    <w:r>
      <w:rPr>
        <w:rFonts w:hint="eastAsia" w:ascii="仿宋" w:hAnsi="仿宋" w:eastAsia="仿宋"/>
        <w:b/>
        <w:i/>
        <w:spacing w:val="-10"/>
      </w:rPr>
      <w:t>库尔勒市妇幼保健计划生育服务中心（库尔勒市妇幼保健院）超融合系统采购招标文件                       项目编号：2022PCGK075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D86214"/>
    <w:multiLevelType w:val="singleLevel"/>
    <w:tmpl w:val="07D86214"/>
    <w:lvl w:ilvl="0" w:tentative="0">
      <w:start w:val="4"/>
      <w:numFmt w:val="chineseCounting"/>
      <w:suff w:val="space"/>
      <w:lvlText w:val="第%1章"/>
      <w:lvlJc w:val="left"/>
      <w:rPr>
        <w:rFonts w:hint="eastAsia"/>
      </w:rPr>
    </w:lvl>
  </w:abstractNum>
  <w:abstractNum w:abstractNumId="1">
    <w:nsid w:val="0EDB2900"/>
    <w:multiLevelType w:val="multilevel"/>
    <w:tmpl w:val="0EDB2900"/>
    <w:lvl w:ilvl="0" w:tentative="0">
      <w:start w:val="1"/>
      <w:numFmt w:val="bullet"/>
      <w:pStyle w:val="512"/>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2">
    <w:nsid w:val="11BF6E1B"/>
    <w:multiLevelType w:val="multilevel"/>
    <w:tmpl w:val="11BF6E1B"/>
    <w:lvl w:ilvl="0" w:tentative="0">
      <w:start w:val="1"/>
      <w:numFmt w:val="decimal"/>
      <w:pStyle w:val="151"/>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3">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488"/>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4">
    <w:nsid w:val="18232DD3"/>
    <w:multiLevelType w:val="singleLevel"/>
    <w:tmpl w:val="18232DD3"/>
    <w:lvl w:ilvl="0" w:tentative="0">
      <w:start w:val="1"/>
      <w:numFmt w:val="decimal"/>
      <w:pStyle w:val="509"/>
      <w:lvlText w:val="（%1）"/>
      <w:lvlJc w:val="left"/>
      <w:pPr>
        <w:tabs>
          <w:tab w:val="left" w:pos="1800"/>
        </w:tabs>
        <w:ind w:left="1800" w:hanging="900"/>
      </w:pPr>
      <w:rPr>
        <w:rFonts w:hint="eastAsia"/>
      </w:rPr>
    </w:lvl>
  </w:abstractNum>
  <w:abstractNum w:abstractNumId="5">
    <w:nsid w:val="20A10221"/>
    <w:multiLevelType w:val="multilevel"/>
    <w:tmpl w:val="20A10221"/>
    <w:lvl w:ilvl="0" w:tentative="0">
      <w:start w:val="1"/>
      <w:numFmt w:val="decimal"/>
      <w:pStyle w:val="216"/>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7727B63"/>
    <w:multiLevelType w:val="multilevel"/>
    <w:tmpl w:val="27727B63"/>
    <w:lvl w:ilvl="0" w:tentative="0">
      <w:start w:val="1"/>
      <w:numFmt w:val="bullet"/>
      <w:pStyle w:val="431"/>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62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4F430D32"/>
    <w:multiLevelType w:val="multilevel"/>
    <w:tmpl w:val="4F430D32"/>
    <w:lvl w:ilvl="0" w:tentative="0">
      <w:start w:val="1"/>
      <w:numFmt w:val="decimal"/>
      <w:pStyle w:val="17"/>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8">
    <w:nsid w:val="5B6D3AF1"/>
    <w:multiLevelType w:val="multilevel"/>
    <w:tmpl w:val="5B6D3AF1"/>
    <w:lvl w:ilvl="0" w:tentative="0">
      <w:start w:val="1"/>
      <w:numFmt w:val="decimal"/>
      <w:pStyle w:val="587"/>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9">
    <w:nsid w:val="6E230785"/>
    <w:multiLevelType w:val="multilevel"/>
    <w:tmpl w:val="6E230785"/>
    <w:lvl w:ilvl="0" w:tentative="0">
      <w:start w:val="1"/>
      <w:numFmt w:val="bullet"/>
      <w:pStyle w:val="614"/>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7E3B679F"/>
    <w:multiLevelType w:val="multilevel"/>
    <w:tmpl w:val="7E3B679F"/>
    <w:lvl w:ilvl="0" w:tentative="0">
      <w:start w:val="1"/>
      <w:numFmt w:val="chineseCountingThousand"/>
      <w:pStyle w:val="369"/>
      <w:lvlText w:val="%1."/>
      <w:lvlJc w:val="left"/>
      <w:pPr>
        <w:ind w:left="0" w:firstLine="0"/>
      </w:pPr>
      <w:rPr>
        <w:rFonts w:hint="default"/>
        <w:color w:val="auto"/>
        <w:sz w:val="44"/>
      </w:rPr>
    </w:lvl>
    <w:lvl w:ilvl="1" w:tentative="0">
      <w:start w:val="1"/>
      <w:numFmt w:val="decimal"/>
      <w:pStyle w:val="444"/>
      <w:lvlText w:val="%2"/>
      <w:lvlJc w:val="left"/>
      <w:pPr>
        <w:ind w:left="0" w:firstLine="0"/>
      </w:pPr>
      <w:rPr>
        <w:rFonts w:hint="eastAsia"/>
      </w:rPr>
    </w:lvl>
    <w:lvl w:ilvl="2" w:tentative="0">
      <w:start w:val="1"/>
      <w:numFmt w:val="decimal"/>
      <w:pStyle w:val="552"/>
      <w:lvlText w:val="%2.%3"/>
      <w:lvlJc w:val="left"/>
      <w:pPr>
        <w:ind w:left="0" w:firstLine="0"/>
      </w:pPr>
      <w:rPr>
        <w:rFonts w:hint="eastAsia"/>
      </w:rPr>
    </w:lvl>
    <w:lvl w:ilvl="3" w:tentative="0">
      <w:start w:val="1"/>
      <w:numFmt w:val="decimal"/>
      <w:pStyle w:val="181"/>
      <w:lvlText w:val="%2.%3.%4"/>
      <w:lvlJc w:val="left"/>
      <w:pPr>
        <w:ind w:left="0" w:firstLine="0"/>
      </w:pPr>
      <w:rPr>
        <w:rFonts w:hint="eastAsia"/>
      </w:rPr>
    </w:lvl>
    <w:lvl w:ilvl="4" w:tentative="0">
      <w:start w:val="1"/>
      <w:numFmt w:val="decimal"/>
      <w:pStyle w:val="619"/>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7"/>
  </w:num>
  <w:num w:numId="2">
    <w:abstractNumId w:val="2"/>
  </w:num>
  <w:num w:numId="3">
    <w:abstractNumId w:val="10"/>
  </w:num>
  <w:num w:numId="4">
    <w:abstractNumId w:val="5"/>
  </w:num>
  <w:num w:numId="5">
    <w:abstractNumId w:val="6"/>
  </w:num>
  <w:num w:numId="6">
    <w:abstractNumId w:val="3"/>
  </w:num>
  <w:num w:numId="7">
    <w:abstractNumId w:val="4"/>
  </w:num>
  <w:num w:numId="8">
    <w:abstractNumId w:val="1"/>
  </w:num>
  <w:num w:numId="9">
    <w:abstractNumId w:val="8"/>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7"/>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MzMDZjOTRlMTc5NmQzZWMzMjBlYmY4MjA3NzQ4Y2IifQ=="/>
  </w:docVars>
  <w:rsids>
    <w:rsidRoot w:val="00FD0709"/>
    <w:rsid w:val="00000648"/>
    <w:rsid w:val="0000080C"/>
    <w:rsid w:val="000009E4"/>
    <w:rsid w:val="0000164C"/>
    <w:rsid w:val="0000219E"/>
    <w:rsid w:val="000026E1"/>
    <w:rsid w:val="00002992"/>
    <w:rsid w:val="00002A72"/>
    <w:rsid w:val="00002D0A"/>
    <w:rsid w:val="00003069"/>
    <w:rsid w:val="0000431D"/>
    <w:rsid w:val="00004BCF"/>
    <w:rsid w:val="00005500"/>
    <w:rsid w:val="00005717"/>
    <w:rsid w:val="00006D5F"/>
    <w:rsid w:val="00006FF4"/>
    <w:rsid w:val="0000711B"/>
    <w:rsid w:val="0000744F"/>
    <w:rsid w:val="00007E6D"/>
    <w:rsid w:val="000100D7"/>
    <w:rsid w:val="00010470"/>
    <w:rsid w:val="00010830"/>
    <w:rsid w:val="00010A5F"/>
    <w:rsid w:val="00010BE4"/>
    <w:rsid w:val="00010CE3"/>
    <w:rsid w:val="00010DF2"/>
    <w:rsid w:val="0001156F"/>
    <w:rsid w:val="00011946"/>
    <w:rsid w:val="00012264"/>
    <w:rsid w:val="0001236A"/>
    <w:rsid w:val="00012804"/>
    <w:rsid w:val="00012EF1"/>
    <w:rsid w:val="00013694"/>
    <w:rsid w:val="00013833"/>
    <w:rsid w:val="000138DF"/>
    <w:rsid w:val="00013ECD"/>
    <w:rsid w:val="000140FD"/>
    <w:rsid w:val="0001535B"/>
    <w:rsid w:val="00015E47"/>
    <w:rsid w:val="0001650D"/>
    <w:rsid w:val="00016860"/>
    <w:rsid w:val="00016944"/>
    <w:rsid w:val="00016F70"/>
    <w:rsid w:val="0001711C"/>
    <w:rsid w:val="0001769A"/>
    <w:rsid w:val="00017BA7"/>
    <w:rsid w:val="00017D72"/>
    <w:rsid w:val="00020677"/>
    <w:rsid w:val="00020F51"/>
    <w:rsid w:val="00022976"/>
    <w:rsid w:val="000235A5"/>
    <w:rsid w:val="000235E9"/>
    <w:rsid w:val="000238B7"/>
    <w:rsid w:val="00023E07"/>
    <w:rsid w:val="00024242"/>
    <w:rsid w:val="0002451A"/>
    <w:rsid w:val="00024E5C"/>
    <w:rsid w:val="0002579A"/>
    <w:rsid w:val="00025802"/>
    <w:rsid w:val="00026643"/>
    <w:rsid w:val="00026B98"/>
    <w:rsid w:val="00026FFE"/>
    <w:rsid w:val="00027213"/>
    <w:rsid w:val="000275F5"/>
    <w:rsid w:val="0003038B"/>
    <w:rsid w:val="00030458"/>
    <w:rsid w:val="00030940"/>
    <w:rsid w:val="00030AD3"/>
    <w:rsid w:val="00032460"/>
    <w:rsid w:val="00032774"/>
    <w:rsid w:val="00032EF4"/>
    <w:rsid w:val="00033651"/>
    <w:rsid w:val="000338C2"/>
    <w:rsid w:val="00033A7C"/>
    <w:rsid w:val="0003443B"/>
    <w:rsid w:val="000344A4"/>
    <w:rsid w:val="00034C64"/>
    <w:rsid w:val="00034C80"/>
    <w:rsid w:val="00034DB4"/>
    <w:rsid w:val="00034EED"/>
    <w:rsid w:val="00034F95"/>
    <w:rsid w:val="00035989"/>
    <w:rsid w:val="000360D5"/>
    <w:rsid w:val="000361E1"/>
    <w:rsid w:val="0003684E"/>
    <w:rsid w:val="000368E0"/>
    <w:rsid w:val="00036F43"/>
    <w:rsid w:val="00037038"/>
    <w:rsid w:val="000375B1"/>
    <w:rsid w:val="000377AC"/>
    <w:rsid w:val="000379CC"/>
    <w:rsid w:val="00037CDB"/>
    <w:rsid w:val="000403B6"/>
    <w:rsid w:val="00040A62"/>
    <w:rsid w:val="000417C3"/>
    <w:rsid w:val="00043FB9"/>
    <w:rsid w:val="00044931"/>
    <w:rsid w:val="00044D3A"/>
    <w:rsid w:val="00047062"/>
    <w:rsid w:val="00047090"/>
    <w:rsid w:val="0005094C"/>
    <w:rsid w:val="00050D70"/>
    <w:rsid w:val="000514DA"/>
    <w:rsid w:val="00051540"/>
    <w:rsid w:val="000517A5"/>
    <w:rsid w:val="00051B60"/>
    <w:rsid w:val="0005275C"/>
    <w:rsid w:val="00052D90"/>
    <w:rsid w:val="000530F3"/>
    <w:rsid w:val="00053BB2"/>
    <w:rsid w:val="000541EF"/>
    <w:rsid w:val="00054260"/>
    <w:rsid w:val="00054B82"/>
    <w:rsid w:val="00054B97"/>
    <w:rsid w:val="000564DE"/>
    <w:rsid w:val="000575AD"/>
    <w:rsid w:val="000578E2"/>
    <w:rsid w:val="00057BEC"/>
    <w:rsid w:val="00057CEE"/>
    <w:rsid w:val="000601CC"/>
    <w:rsid w:val="00060599"/>
    <w:rsid w:val="000614E4"/>
    <w:rsid w:val="000615F7"/>
    <w:rsid w:val="00061754"/>
    <w:rsid w:val="00061E49"/>
    <w:rsid w:val="00063463"/>
    <w:rsid w:val="000636E6"/>
    <w:rsid w:val="00063BE0"/>
    <w:rsid w:val="00063EE6"/>
    <w:rsid w:val="00064A35"/>
    <w:rsid w:val="0006630D"/>
    <w:rsid w:val="000668C3"/>
    <w:rsid w:val="00066E3F"/>
    <w:rsid w:val="000676B4"/>
    <w:rsid w:val="00067A73"/>
    <w:rsid w:val="00067EDF"/>
    <w:rsid w:val="00070238"/>
    <w:rsid w:val="000706EA"/>
    <w:rsid w:val="00070945"/>
    <w:rsid w:val="0007120E"/>
    <w:rsid w:val="0007149E"/>
    <w:rsid w:val="00071AF4"/>
    <w:rsid w:val="00071CDF"/>
    <w:rsid w:val="000720DB"/>
    <w:rsid w:val="000725C8"/>
    <w:rsid w:val="00072985"/>
    <w:rsid w:val="00072BD7"/>
    <w:rsid w:val="00073D89"/>
    <w:rsid w:val="00073E8E"/>
    <w:rsid w:val="000749E7"/>
    <w:rsid w:val="00074E58"/>
    <w:rsid w:val="00075669"/>
    <w:rsid w:val="00076071"/>
    <w:rsid w:val="00080194"/>
    <w:rsid w:val="00080E6A"/>
    <w:rsid w:val="00082016"/>
    <w:rsid w:val="000827AD"/>
    <w:rsid w:val="00082E4F"/>
    <w:rsid w:val="000830A7"/>
    <w:rsid w:val="0008320D"/>
    <w:rsid w:val="000832A1"/>
    <w:rsid w:val="0008382F"/>
    <w:rsid w:val="00083B2D"/>
    <w:rsid w:val="00085DC8"/>
    <w:rsid w:val="00085E32"/>
    <w:rsid w:val="00085FAD"/>
    <w:rsid w:val="000864B0"/>
    <w:rsid w:val="000867C7"/>
    <w:rsid w:val="00086C8A"/>
    <w:rsid w:val="00087B69"/>
    <w:rsid w:val="00087F9F"/>
    <w:rsid w:val="00090C73"/>
    <w:rsid w:val="00091207"/>
    <w:rsid w:val="0009387E"/>
    <w:rsid w:val="00093C35"/>
    <w:rsid w:val="00093D4C"/>
    <w:rsid w:val="00094064"/>
    <w:rsid w:val="000947F1"/>
    <w:rsid w:val="000949E6"/>
    <w:rsid w:val="00094C95"/>
    <w:rsid w:val="000957C7"/>
    <w:rsid w:val="0009593D"/>
    <w:rsid w:val="00095994"/>
    <w:rsid w:val="00095EAE"/>
    <w:rsid w:val="000966DF"/>
    <w:rsid w:val="000973D4"/>
    <w:rsid w:val="000A08F8"/>
    <w:rsid w:val="000A09BA"/>
    <w:rsid w:val="000A11E5"/>
    <w:rsid w:val="000A1504"/>
    <w:rsid w:val="000A223C"/>
    <w:rsid w:val="000A24A2"/>
    <w:rsid w:val="000A2717"/>
    <w:rsid w:val="000A31AA"/>
    <w:rsid w:val="000A3D7A"/>
    <w:rsid w:val="000A4BCB"/>
    <w:rsid w:val="000A5816"/>
    <w:rsid w:val="000A5AE9"/>
    <w:rsid w:val="000A6391"/>
    <w:rsid w:val="000B0216"/>
    <w:rsid w:val="000B0279"/>
    <w:rsid w:val="000B02B9"/>
    <w:rsid w:val="000B0851"/>
    <w:rsid w:val="000B0960"/>
    <w:rsid w:val="000B0DAB"/>
    <w:rsid w:val="000B1963"/>
    <w:rsid w:val="000B1B5F"/>
    <w:rsid w:val="000B1BB8"/>
    <w:rsid w:val="000B1CC4"/>
    <w:rsid w:val="000B35E1"/>
    <w:rsid w:val="000B389A"/>
    <w:rsid w:val="000B3B40"/>
    <w:rsid w:val="000B4FE9"/>
    <w:rsid w:val="000B60AE"/>
    <w:rsid w:val="000B6137"/>
    <w:rsid w:val="000B65B8"/>
    <w:rsid w:val="000B6AF4"/>
    <w:rsid w:val="000C0AA0"/>
    <w:rsid w:val="000C0AB9"/>
    <w:rsid w:val="000C1377"/>
    <w:rsid w:val="000C17B0"/>
    <w:rsid w:val="000C1C4F"/>
    <w:rsid w:val="000C2CB4"/>
    <w:rsid w:val="000C4110"/>
    <w:rsid w:val="000C41EA"/>
    <w:rsid w:val="000C4B6C"/>
    <w:rsid w:val="000C4D44"/>
    <w:rsid w:val="000C4DD8"/>
    <w:rsid w:val="000C686C"/>
    <w:rsid w:val="000C69D4"/>
    <w:rsid w:val="000C7154"/>
    <w:rsid w:val="000C71F2"/>
    <w:rsid w:val="000C74F1"/>
    <w:rsid w:val="000C7574"/>
    <w:rsid w:val="000D00C8"/>
    <w:rsid w:val="000D0BBC"/>
    <w:rsid w:val="000D0F31"/>
    <w:rsid w:val="000D1353"/>
    <w:rsid w:val="000D153C"/>
    <w:rsid w:val="000D17BA"/>
    <w:rsid w:val="000D1DBA"/>
    <w:rsid w:val="000D1DDD"/>
    <w:rsid w:val="000D2A6D"/>
    <w:rsid w:val="000D2FEE"/>
    <w:rsid w:val="000D328F"/>
    <w:rsid w:val="000D33F8"/>
    <w:rsid w:val="000D5028"/>
    <w:rsid w:val="000D5FBA"/>
    <w:rsid w:val="000D62DA"/>
    <w:rsid w:val="000D6A10"/>
    <w:rsid w:val="000D7BA9"/>
    <w:rsid w:val="000D7D03"/>
    <w:rsid w:val="000E01A4"/>
    <w:rsid w:val="000E01BB"/>
    <w:rsid w:val="000E0C38"/>
    <w:rsid w:val="000E0FEE"/>
    <w:rsid w:val="000E17A6"/>
    <w:rsid w:val="000E1875"/>
    <w:rsid w:val="000E1A89"/>
    <w:rsid w:val="000E1E08"/>
    <w:rsid w:val="000E2A07"/>
    <w:rsid w:val="000E36DE"/>
    <w:rsid w:val="000E3F9C"/>
    <w:rsid w:val="000E5C89"/>
    <w:rsid w:val="000E6E62"/>
    <w:rsid w:val="000E7B08"/>
    <w:rsid w:val="000E7BEE"/>
    <w:rsid w:val="000E7DEA"/>
    <w:rsid w:val="000E7EAF"/>
    <w:rsid w:val="000E7F1E"/>
    <w:rsid w:val="000F0017"/>
    <w:rsid w:val="000F01D5"/>
    <w:rsid w:val="000F0549"/>
    <w:rsid w:val="000F1A8B"/>
    <w:rsid w:val="000F1ED1"/>
    <w:rsid w:val="000F2021"/>
    <w:rsid w:val="000F21E5"/>
    <w:rsid w:val="000F24BF"/>
    <w:rsid w:val="000F2A62"/>
    <w:rsid w:val="000F39A1"/>
    <w:rsid w:val="000F3F24"/>
    <w:rsid w:val="000F44AE"/>
    <w:rsid w:val="000F4811"/>
    <w:rsid w:val="000F4FDE"/>
    <w:rsid w:val="000F5230"/>
    <w:rsid w:val="000F55CE"/>
    <w:rsid w:val="000F5A98"/>
    <w:rsid w:val="000F5C69"/>
    <w:rsid w:val="000F6CC6"/>
    <w:rsid w:val="000F6D58"/>
    <w:rsid w:val="000F6F44"/>
    <w:rsid w:val="000F7A0A"/>
    <w:rsid w:val="00100340"/>
    <w:rsid w:val="00100DD0"/>
    <w:rsid w:val="00100EF6"/>
    <w:rsid w:val="00101022"/>
    <w:rsid w:val="00101550"/>
    <w:rsid w:val="00101A88"/>
    <w:rsid w:val="00102B00"/>
    <w:rsid w:val="00103C81"/>
    <w:rsid w:val="00103FBC"/>
    <w:rsid w:val="00104153"/>
    <w:rsid w:val="001041BA"/>
    <w:rsid w:val="0010489E"/>
    <w:rsid w:val="001048DC"/>
    <w:rsid w:val="00104B84"/>
    <w:rsid w:val="001052E7"/>
    <w:rsid w:val="001056FC"/>
    <w:rsid w:val="001069F0"/>
    <w:rsid w:val="00107541"/>
    <w:rsid w:val="0011054A"/>
    <w:rsid w:val="001113CC"/>
    <w:rsid w:val="001116A8"/>
    <w:rsid w:val="001118E4"/>
    <w:rsid w:val="00111DCF"/>
    <w:rsid w:val="00111ED7"/>
    <w:rsid w:val="00113994"/>
    <w:rsid w:val="00113D6F"/>
    <w:rsid w:val="00113FC6"/>
    <w:rsid w:val="00114276"/>
    <w:rsid w:val="00114616"/>
    <w:rsid w:val="00115496"/>
    <w:rsid w:val="00115817"/>
    <w:rsid w:val="00115CAE"/>
    <w:rsid w:val="00116620"/>
    <w:rsid w:val="0011671D"/>
    <w:rsid w:val="00117833"/>
    <w:rsid w:val="001203C4"/>
    <w:rsid w:val="001205DF"/>
    <w:rsid w:val="00120DC2"/>
    <w:rsid w:val="00120EB2"/>
    <w:rsid w:val="00121314"/>
    <w:rsid w:val="00122B8B"/>
    <w:rsid w:val="001236B1"/>
    <w:rsid w:val="0012439E"/>
    <w:rsid w:val="00124AC7"/>
    <w:rsid w:val="00124DF5"/>
    <w:rsid w:val="00125E8C"/>
    <w:rsid w:val="0012633F"/>
    <w:rsid w:val="00126796"/>
    <w:rsid w:val="00127283"/>
    <w:rsid w:val="00127394"/>
    <w:rsid w:val="00127E92"/>
    <w:rsid w:val="00130176"/>
    <w:rsid w:val="00130A54"/>
    <w:rsid w:val="00130C2C"/>
    <w:rsid w:val="00130D97"/>
    <w:rsid w:val="00130EE4"/>
    <w:rsid w:val="00130FD7"/>
    <w:rsid w:val="00131CC8"/>
    <w:rsid w:val="00131F71"/>
    <w:rsid w:val="00132E8E"/>
    <w:rsid w:val="00133161"/>
    <w:rsid w:val="001331DD"/>
    <w:rsid w:val="0013329C"/>
    <w:rsid w:val="001332D6"/>
    <w:rsid w:val="00133537"/>
    <w:rsid w:val="00133738"/>
    <w:rsid w:val="00133BBE"/>
    <w:rsid w:val="00133D43"/>
    <w:rsid w:val="001348A7"/>
    <w:rsid w:val="00135321"/>
    <w:rsid w:val="00137242"/>
    <w:rsid w:val="00141351"/>
    <w:rsid w:val="00141C8F"/>
    <w:rsid w:val="00141D40"/>
    <w:rsid w:val="001423F7"/>
    <w:rsid w:val="00142ED9"/>
    <w:rsid w:val="0014324D"/>
    <w:rsid w:val="001432C0"/>
    <w:rsid w:val="00143BE1"/>
    <w:rsid w:val="00144F52"/>
    <w:rsid w:val="0014543A"/>
    <w:rsid w:val="00145484"/>
    <w:rsid w:val="00145632"/>
    <w:rsid w:val="001456BD"/>
    <w:rsid w:val="00145D2A"/>
    <w:rsid w:val="001468EF"/>
    <w:rsid w:val="00147522"/>
    <w:rsid w:val="00147B3A"/>
    <w:rsid w:val="00150704"/>
    <w:rsid w:val="00150ECD"/>
    <w:rsid w:val="00151373"/>
    <w:rsid w:val="00152233"/>
    <w:rsid w:val="0015237C"/>
    <w:rsid w:val="00152745"/>
    <w:rsid w:val="00153ED1"/>
    <w:rsid w:val="00154367"/>
    <w:rsid w:val="00154416"/>
    <w:rsid w:val="001544B2"/>
    <w:rsid w:val="00154A90"/>
    <w:rsid w:val="001553B5"/>
    <w:rsid w:val="001556E9"/>
    <w:rsid w:val="00155A2F"/>
    <w:rsid w:val="0015642B"/>
    <w:rsid w:val="001568D4"/>
    <w:rsid w:val="00157E9E"/>
    <w:rsid w:val="00160BC8"/>
    <w:rsid w:val="00161870"/>
    <w:rsid w:val="0016302E"/>
    <w:rsid w:val="00163230"/>
    <w:rsid w:val="0016347D"/>
    <w:rsid w:val="00163499"/>
    <w:rsid w:val="00163CF4"/>
    <w:rsid w:val="001642B0"/>
    <w:rsid w:val="001642D0"/>
    <w:rsid w:val="001647B3"/>
    <w:rsid w:val="00164C20"/>
    <w:rsid w:val="00165A93"/>
    <w:rsid w:val="00165B6E"/>
    <w:rsid w:val="00166EAA"/>
    <w:rsid w:val="00166EDE"/>
    <w:rsid w:val="00167210"/>
    <w:rsid w:val="00167886"/>
    <w:rsid w:val="00167E2A"/>
    <w:rsid w:val="00170781"/>
    <w:rsid w:val="00171434"/>
    <w:rsid w:val="00171C3E"/>
    <w:rsid w:val="00172069"/>
    <w:rsid w:val="00173868"/>
    <w:rsid w:val="00173D3B"/>
    <w:rsid w:val="00175964"/>
    <w:rsid w:val="00175DA1"/>
    <w:rsid w:val="00175FB4"/>
    <w:rsid w:val="001762E9"/>
    <w:rsid w:val="00176468"/>
    <w:rsid w:val="00176877"/>
    <w:rsid w:val="00177106"/>
    <w:rsid w:val="00177D68"/>
    <w:rsid w:val="00180752"/>
    <w:rsid w:val="00180985"/>
    <w:rsid w:val="00180C8F"/>
    <w:rsid w:val="00181C16"/>
    <w:rsid w:val="00181DDC"/>
    <w:rsid w:val="00182166"/>
    <w:rsid w:val="00182460"/>
    <w:rsid w:val="001824E7"/>
    <w:rsid w:val="00182627"/>
    <w:rsid w:val="0018262A"/>
    <w:rsid w:val="001830FF"/>
    <w:rsid w:val="00183396"/>
    <w:rsid w:val="00183CD1"/>
    <w:rsid w:val="00183D54"/>
    <w:rsid w:val="00183FEA"/>
    <w:rsid w:val="00184397"/>
    <w:rsid w:val="00184512"/>
    <w:rsid w:val="001846AE"/>
    <w:rsid w:val="00185020"/>
    <w:rsid w:val="00185166"/>
    <w:rsid w:val="00185451"/>
    <w:rsid w:val="00185BA7"/>
    <w:rsid w:val="0018686D"/>
    <w:rsid w:val="00186876"/>
    <w:rsid w:val="0018784A"/>
    <w:rsid w:val="0019058B"/>
    <w:rsid w:val="00190DC4"/>
    <w:rsid w:val="00191383"/>
    <w:rsid w:val="0019173B"/>
    <w:rsid w:val="00191C0B"/>
    <w:rsid w:val="00192678"/>
    <w:rsid w:val="001928E7"/>
    <w:rsid w:val="001940A1"/>
    <w:rsid w:val="001951C1"/>
    <w:rsid w:val="00195330"/>
    <w:rsid w:val="00195408"/>
    <w:rsid w:val="001954B8"/>
    <w:rsid w:val="0019588D"/>
    <w:rsid w:val="00195BED"/>
    <w:rsid w:val="0019638F"/>
    <w:rsid w:val="00196965"/>
    <w:rsid w:val="00196CB7"/>
    <w:rsid w:val="00196F34"/>
    <w:rsid w:val="0019721D"/>
    <w:rsid w:val="001978EC"/>
    <w:rsid w:val="00197C2E"/>
    <w:rsid w:val="001A0370"/>
    <w:rsid w:val="001A0940"/>
    <w:rsid w:val="001A0C26"/>
    <w:rsid w:val="001A1572"/>
    <w:rsid w:val="001A1F77"/>
    <w:rsid w:val="001A2869"/>
    <w:rsid w:val="001A33ED"/>
    <w:rsid w:val="001A376D"/>
    <w:rsid w:val="001A3AFB"/>
    <w:rsid w:val="001A4876"/>
    <w:rsid w:val="001A4BED"/>
    <w:rsid w:val="001A4F84"/>
    <w:rsid w:val="001A5CF0"/>
    <w:rsid w:val="001A60A6"/>
    <w:rsid w:val="001A60D0"/>
    <w:rsid w:val="001A61D6"/>
    <w:rsid w:val="001A6DED"/>
    <w:rsid w:val="001A75F9"/>
    <w:rsid w:val="001B0101"/>
    <w:rsid w:val="001B0D17"/>
    <w:rsid w:val="001B0E63"/>
    <w:rsid w:val="001B0E64"/>
    <w:rsid w:val="001B1F23"/>
    <w:rsid w:val="001B3938"/>
    <w:rsid w:val="001B3C6F"/>
    <w:rsid w:val="001B426F"/>
    <w:rsid w:val="001B4527"/>
    <w:rsid w:val="001B5117"/>
    <w:rsid w:val="001B55D3"/>
    <w:rsid w:val="001B5DD9"/>
    <w:rsid w:val="001B60B0"/>
    <w:rsid w:val="001B6539"/>
    <w:rsid w:val="001B658F"/>
    <w:rsid w:val="001B6602"/>
    <w:rsid w:val="001B6CA7"/>
    <w:rsid w:val="001B712A"/>
    <w:rsid w:val="001B7360"/>
    <w:rsid w:val="001B7446"/>
    <w:rsid w:val="001B7540"/>
    <w:rsid w:val="001C01C7"/>
    <w:rsid w:val="001C0200"/>
    <w:rsid w:val="001C061F"/>
    <w:rsid w:val="001C0C8A"/>
    <w:rsid w:val="001C117B"/>
    <w:rsid w:val="001C18D9"/>
    <w:rsid w:val="001C19FA"/>
    <w:rsid w:val="001C2501"/>
    <w:rsid w:val="001C2767"/>
    <w:rsid w:val="001C2C9A"/>
    <w:rsid w:val="001C3010"/>
    <w:rsid w:val="001C314A"/>
    <w:rsid w:val="001C34CD"/>
    <w:rsid w:val="001C39B1"/>
    <w:rsid w:val="001C3E0F"/>
    <w:rsid w:val="001C409B"/>
    <w:rsid w:val="001C511F"/>
    <w:rsid w:val="001C56DD"/>
    <w:rsid w:val="001C5BFB"/>
    <w:rsid w:val="001C75A9"/>
    <w:rsid w:val="001C7D63"/>
    <w:rsid w:val="001D016E"/>
    <w:rsid w:val="001D0F23"/>
    <w:rsid w:val="001D1082"/>
    <w:rsid w:val="001D1A2A"/>
    <w:rsid w:val="001D21B6"/>
    <w:rsid w:val="001D350E"/>
    <w:rsid w:val="001D3C2F"/>
    <w:rsid w:val="001D3EB6"/>
    <w:rsid w:val="001D412F"/>
    <w:rsid w:val="001D4161"/>
    <w:rsid w:val="001D4490"/>
    <w:rsid w:val="001D4A4C"/>
    <w:rsid w:val="001D4FB2"/>
    <w:rsid w:val="001D5068"/>
    <w:rsid w:val="001D5360"/>
    <w:rsid w:val="001D62DB"/>
    <w:rsid w:val="001D63C8"/>
    <w:rsid w:val="001D726B"/>
    <w:rsid w:val="001D771F"/>
    <w:rsid w:val="001D7D3E"/>
    <w:rsid w:val="001E0506"/>
    <w:rsid w:val="001E0698"/>
    <w:rsid w:val="001E1789"/>
    <w:rsid w:val="001E2B77"/>
    <w:rsid w:val="001E30E6"/>
    <w:rsid w:val="001E31B9"/>
    <w:rsid w:val="001E3B18"/>
    <w:rsid w:val="001E3C81"/>
    <w:rsid w:val="001E4A13"/>
    <w:rsid w:val="001E528C"/>
    <w:rsid w:val="001E52A9"/>
    <w:rsid w:val="001E65BE"/>
    <w:rsid w:val="001E6CA5"/>
    <w:rsid w:val="001E6EED"/>
    <w:rsid w:val="001E6FAE"/>
    <w:rsid w:val="001E7078"/>
    <w:rsid w:val="001E75C1"/>
    <w:rsid w:val="001E7944"/>
    <w:rsid w:val="001E7D66"/>
    <w:rsid w:val="001F041F"/>
    <w:rsid w:val="001F14E0"/>
    <w:rsid w:val="001F14F5"/>
    <w:rsid w:val="001F1743"/>
    <w:rsid w:val="001F1CAC"/>
    <w:rsid w:val="001F1E17"/>
    <w:rsid w:val="001F1F1D"/>
    <w:rsid w:val="001F2419"/>
    <w:rsid w:val="001F4381"/>
    <w:rsid w:val="001F479E"/>
    <w:rsid w:val="001F480C"/>
    <w:rsid w:val="001F5134"/>
    <w:rsid w:val="001F5141"/>
    <w:rsid w:val="001F55A0"/>
    <w:rsid w:val="001F691A"/>
    <w:rsid w:val="001F697E"/>
    <w:rsid w:val="001F76F6"/>
    <w:rsid w:val="001F77AF"/>
    <w:rsid w:val="002002FE"/>
    <w:rsid w:val="00200DBA"/>
    <w:rsid w:val="00200E97"/>
    <w:rsid w:val="002018C8"/>
    <w:rsid w:val="00201D71"/>
    <w:rsid w:val="00201F6C"/>
    <w:rsid w:val="00202445"/>
    <w:rsid w:val="00202657"/>
    <w:rsid w:val="002033CE"/>
    <w:rsid w:val="002036BB"/>
    <w:rsid w:val="00203EA1"/>
    <w:rsid w:val="00203ECC"/>
    <w:rsid w:val="002044E0"/>
    <w:rsid w:val="0020489B"/>
    <w:rsid w:val="00204AE6"/>
    <w:rsid w:val="00204D42"/>
    <w:rsid w:val="002053A0"/>
    <w:rsid w:val="00206433"/>
    <w:rsid w:val="00206AD9"/>
    <w:rsid w:val="00206AE0"/>
    <w:rsid w:val="00206B08"/>
    <w:rsid w:val="0020701F"/>
    <w:rsid w:val="002073D9"/>
    <w:rsid w:val="002100AB"/>
    <w:rsid w:val="002101AD"/>
    <w:rsid w:val="00210BDB"/>
    <w:rsid w:val="00211D5D"/>
    <w:rsid w:val="00212407"/>
    <w:rsid w:val="00212A1D"/>
    <w:rsid w:val="002136E3"/>
    <w:rsid w:val="00213954"/>
    <w:rsid w:val="0021398C"/>
    <w:rsid w:val="00213A06"/>
    <w:rsid w:val="00213DFD"/>
    <w:rsid w:val="00214102"/>
    <w:rsid w:val="0021460B"/>
    <w:rsid w:val="002146A5"/>
    <w:rsid w:val="00214D02"/>
    <w:rsid w:val="00214D2C"/>
    <w:rsid w:val="00215669"/>
    <w:rsid w:val="00215A2E"/>
    <w:rsid w:val="00215B0C"/>
    <w:rsid w:val="00215CD4"/>
    <w:rsid w:val="00216E97"/>
    <w:rsid w:val="002170E1"/>
    <w:rsid w:val="002171B9"/>
    <w:rsid w:val="00217E4B"/>
    <w:rsid w:val="002200D7"/>
    <w:rsid w:val="00220596"/>
    <w:rsid w:val="002209E1"/>
    <w:rsid w:val="00220E2F"/>
    <w:rsid w:val="00221059"/>
    <w:rsid w:val="00221080"/>
    <w:rsid w:val="00222502"/>
    <w:rsid w:val="00222A25"/>
    <w:rsid w:val="00223158"/>
    <w:rsid w:val="002242AF"/>
    <w:rsid w:val="00224F57"/>
    <w:rsid w:val="00225746"/>
    <w:rsid w:val="00225955"/>
    <w:rsid w:val="002264D5"/>
    <w:rsid w:val="0022690C"/>
    <w:rsid w:val="00227189"/>
    <w:rsid w:val="0022730E"/>
    <w:rsid w:val="00227B79"/>
    <w:rsid w:val="002300C6"/>
    <w:rsid w:val="002300E1"/>
    <w:rsid w:val="002304B6"/>
    <w:rsid w:val="0023271B"/>
    <w:rsid w:val="0023299B"/>
    <w:rsid w:val="00233196"/>
    <w:rsid w:val="00234304"/>
    <w:rsid w:val="0023463B"/>
    <w:rsid w:val="002349FE"/>
    <w:rsid w:val="00234EF7"/>
    <w:rsid w:val="002355FD"/>
    <w:rsid w:val="00235A6F"/>
    <w:rsid w:val="00236104"/>
    <w:rsid w:val="00236D55"/>
    <w:rsid w:val="00237199"/>
    <w:rsid w:val="002372F4"/>
    <w:rsid w:val="00237A0B"/>
    <w:rsid w:val="00237D96"/>
    <w:rsid w:val="002400C1"/>
    <w:rsid w:val="00240846"/>
    <w:rsid w:val="002408A3"/>
    <w:rsid w:val="002409E6"/>
    <w:rsid w:val="00240AEE"/>
    <w:rsid w:val="00240E0B"/>
    <w:rsid w:val="00240E9B"/>
    <w:rsid w:val="00240F2E"/>
    <w:rsid w:val="0024226A"/>
    <w:rsid w:val="00243E03"/>
    <w:rsid w:val="00244022"/>
    <w:rsid w:val="00244EE6"/>
    <w:rsid w:val="00245A2D"/>
    <w:rsid w:val="002461BB"/>
    <w:rsid w:val="002462FB"/>
    <w:rsid w:val="002464DD"/>
    <w:rsid w:val="00247398"/>
    <w:rsid w:val="002502A5"/>
    <w:rsid w:val="00250C42"/>
    <w:rsid w:val="002518C1"/>
    <w:rsid w:val="0025226C"/>
    <w:rsid w:val="00252BF2"/>
    <w:rsid w:val="002534DA"/>
    <w:rsid w:val="002535F1"/>
    <w:rsid w:val="00253712"/>
    <w:rsid w:val="002538DB"/>
    <w:rsid w:val="0025393E"/>
    <w:rsid w:val="00253D4C"/>
    <w:rsid w:val="0025421B"/>
    <w:rsid w:val="0025488B"/>
    <w:rsid w:val="00255643"/>
    <w:rsid w:val="00255B81"/>
    <w:rsid w:val="00255F3F"/>
    <w:rsid w:val="00257B49"/>
    <w:rsid w:val="00260254"/>
    <w:rsid w:val="002602F3"/>
    <w:rsid w:val="0026031A"/>
    <w:rsid w:val="00262276"/>
    <w:rsid w:val="002625BB"/>
    <w:rsid w:val="00262BE9"/>
    <w:rsid w:val="00263B7D"/>
    <w:rsid w:val="0026479C"/>
    <w:rsid w:val="00264859"/>
    <w:rsid w:val="00264BB5"/>
    <w:rsid w:val="00264E05"/>
    <w:rsid w:val="00265D0B"/>
    <w:rsid w:val="002661E8"/>
    <w:rsid w:val="00266402"/>
    <w:rsid w:val="00266CCD"/>
    <w:rsid w:val="002679BD"/>
    <w:rsid w:val="00267D78"/>
    <w:rsid w:val="0027015E"/>
    <w:rsid w:val="002702FD"/>
    <w:rsid w:val="00270425"/>
    <w:rsid w:val="0027067A"/>
    <w:rsid w:val="00271231"/>
    <w:rsid w:val="002733E2"/>
    <w:rsid w:val="00273D1C"/>
    <w:rsid w:val="00273FC8"/>
    <w:rsid w:val="002740A1"/>
    <w:rsid w:val="00274244"/>
    <w:rsid w:val="00274336"/>
    <w:rsid w:val="00274451"/>
    <w:rsid w:val="00274541"/>
    <w:rsid w:val="002754D8"/>
    <w:rsid w:val="00275756"/>
    <w:rsid w:val="00275893"/>
    <w:rsid w:val="0027599C"/>
    <w:rsid w:val="002759A1"/>
    <w:rsid w:val="00275A59"/>
    <w:rsid w:val="0027776E"/>
    <w:rsid w:val="002808D0"/>
    <w:rsid w:val="00280A1F"/>
    <w:rsid w:val="00280A2D"/>
    <w:rsid w:val="00281080"/>
    <w:rsid w:val="00281642"/>
    <w:rsid w:val="002816F6"/>
    <w:rsid w:val="00282325"/>
    <w:rsid w:val="0028241A"/>
    <w:rsid w:val="00282DD6"/>
    <w:rsid w:val="00283395"/>
    <w:rsid w:val="002842CD"/>
    <w:rsid w:val="00284834"/>
    <w:rsid w:val="0028557C"/>
    <w:rsid w:val="002855C9"/>
    <w:rsid w:val="00285C1B"/>
    <w:rsid w:val="00285EC4"/>
    <w:rsid w:val="00286273"/>
    <w:rsid w:val="00286A37"/>
    <w:rsid w:val="00286B65"/>
    <w:rsid w:val="00287035"/>
    <w:rsid w:val="00287BB1"/>
    <w:rsid w:val="002904AC"/>
    <w:rsid w:val="002904CD"/>
    <w:rsid w:val="002905DB"/>
    <w:rsid w:val="002911C5"/>
    <w:rsid w:val="0029159D"/>
    <w:rsid w:val="002921F2"/>
    <w:rsid w:val="00292652"/>
    <w:rsid w:val="00292A77"/>
    <w:rsid w:val="00292D52"/>
    <w:rsid w:val="00293B6A"/>
    <w:rsid w:val="00293B80"/>
    <w:rsid w:val="002945FC"/>
    <w:rsid w:val="002947CC"/>
    <w:rsid w:val="00294893"/>
    <w:rsid w:val="00294E8F"/>
    <w:rsid w:val="00296D3E"/>
    <w:rsid w:val="00296E7A"/>
    <w:rsid w:val="00297364"/>
    <w:rsid w:val="002977FD"/>
    <w:rsid w:val="00297E80"/>
    <w:rsid w:val="00297F03"/>
    <w:rsid w:val="00297FE1"/>
    <w:rsid w:val="002A0012"/>
    <w:rsid w:val="002A00AA"/>
    <w:rsid w:val="002A0B22"/>
    <w:rsid w:val="002A25BE"/>
    <w:rsid w:val="002A2BAB"/>
    <w:rsid w:val="002A3040"/>
    <w:rsid w:val="002A3742"/>
    <w:rsid w:val="002A4BA2"/>
    <w:rsid w:val="002A4E2D"/>
    <w:rsid w:val="002A5B04"/>
    <w:rsid w:val="002A6138"/>
    <w:rsid w:val="002A6614"/>
    <w:rsid w:val="002A6CF9"/>
    <w:rsid w:val="002A71EF"/>
    <w:rsid w:val="002A77C3"/>
    <w:rsid w:val="002A7872"/>
    <w:rsid w:val="002B0DEE"/>
    <w:rsid w:val="002B1668"/>
    <w:rsid w:val="002B23DF"/>
    <w:rsid w:val="002B32EF"/>
    <w:rsid w:val="002B402A"/>
    <w:rsid w:val="002B48B5"/>
    <w:rsid w:val="002B599D"/>
    <w:rsid w:val="002B5A9F"/>
    <w:rsid w:val="002B5C5E"/>
    <w:rsid w:val="002B6892"/>
    <w:rsid w:val="002B6902"/>
    <w:rsid w:val="002B6E17"/>
    <w:rsid w:val="002C036A"/>
    <w:rsid w:val="002C0420"/>
    <w:rsid w:val="002C149B"/>
    <w:rsid w:val="002C1B5E"/>
    <w:rsid w:val="002C1FE3"/>
    <w:rsid w:val="002C2460"/>
    <w:rsid w:val="002C2D41"/>
    <w:rsid w:val="002C2E16"/>
    <w:rsid w:val="002C3CAC"/>
    <w:rsid w:val="002C40EE"/>
    <w:rsid w:val="002C4E05"/>
    <w:rsid w:val="002C5181"/>
    <w:rsid w:val="002C5358"/>
    <w:rsid w:val="002C55A1"/>
    <w:rsid w:val="002C57C0"/>
    <w:rsid w:val="002C6353"/>
    <w:rsid w:val="002C6C9C"/>
    <w:rsid w:val="002C6E0E"/>
    <w:rsid w:val="002C73F8"/>
    <w:rsid w:val="002C7882"/>
    <w:rsid w:val="002C7925"/>
    <w:rsid w:val="002C7BDD"/>
    <w:rsid w:val="002C7C8A"/>
    <w:rsid w:val="002D04A9"/>
    <w:rsid w:val="002D0838"/>
    <w:rsid w:val="002D10EF"/>
    <w:rsid w:val="002D1E9D"/>
    <w:rsid w:val="002D202F"/>
    <w:rsid w:val="002D2237"/>
    <w:rsid w:val="002D2E8E"/>
    <w:rsid w:val="002D3343"/>
    <w:rsid w:val="002D39DC"/>
    <w:rsid w:val="002D45BD"/>
    <w:rsid w:val="002D4962"/>
    <w:rsid w:val="002D497C"/>
    <w:rsid w:val="002D4DB5"/>
    <w:rsid w:val="002D5E3D"/>
    <w:rsid w:val="002D6698"/>
    <w:rsid w:val="002D677D"/>
    <w:rsid w:val="002D6B8E"/>
    <w:rsid w:val="002D6BAB"/>
    <w:rsid w:val="002D6F03"/>
    <w:rsid w:val="002D771E"/>
    <w:rsid w:val="002D7CD2"/>
    <w:rsid w:val="002D7F2F"/>
    <w:rsid w:val="002E0426"/>
    <w:rsid w:val="002E04EA"/>
    <w:rsid w:val="002E171C"/>
    <w:rsid w:val="002E193E"/>
    <w:rsid w:val="002E39AA"/>
    <w:rsid w:val="002E3AA7"/>
    <w:rsid w:val="002E3E4E"/>
    <w:rsid w:val="002E3F83"/>
    <w:rsid w:val="002E43D6"/>
    <w:rsid w:val="002E44F0"/>
    <w:rsid w:val="002E4561"/>
    <w:rsid w:val="002E4D99"/>
    <w:rsid w:val="002E59FB"/>
    <w:rsid w:val="002E5BD1"/>
    <w:rsid w:val="002E5E93"/>
    <w:rsid w:val="002E6613"/>
    <w:rsid w:val="002E67CA"/>
    <w:rsid w:val="002E6BE7"/>
    <w:rsid w:val="002E7903"/>
    <w:rsid w:val="002F01B3"/>
    <w:rsid w:val="002F12CB"/>
    <w:rsid w:val="002F14EF"/>
    <w:rsid w:val="002F1841"/>
    <w:rsid w:val="002F1ECD"/>
    <w:rsid w:val="002F1F29"/>
    <w:rsid w:val="002F33C5"/>
    <w:rsid w:val="002F3561"/>
    <w:rsid w:val="002F3591"/>
    <w:rsid w:val="002F4BB7"/>
    <w:rsid w:val="002F51E1"/>
    <w:rsid w:val="002F5998"/>
    <w:rsid w:val="002F5B1D"/>
    <w:rsid w:val="002F636D"/>
    <w:rsid w:val="002F7082"/>
    <w:rsid w:val="002F716B"/>
    <w:rsid w:val="002F7181"/>
    <w:rsid w:val="002F71DA"/>
    <w:rsid w:val="002F7AAB"/>
    <w:rsid w:val="003001D4"/>
    <w:rsid w:val="00300597"/>
    <w:rsid w:val="00300818"/>
    <w:rsid w:val="0030090B"/>
    <w:rsid w:val="00300CD2"/>
    <w:rsid w:val="00300D89"/>
    <w:rsid w:val="00300F32"/>
    <w:rsid w:val="0030104F"/>
    <w:rsid w:val="003018A4"/>
    <w:rsid w:val="00301AC9"/>
    <w:rsid w:val="00302A92"/>
    <w:rsid w:val="00302C46"/>
    <w:rsid w:val="00303DED"/>
    <w:rsid w:val="00304499"/>
    <w:rsid w:val="00304743"/>
    <w:rsid w:val="003052D7"/>
    <w:rsid w:val="00305902"/>
    <w:rsid w:val="00305D3D"/>
    <w:rsid w:val="00305F28"/>
    <w:rsid w:val="00305F43"/>
    <w:rsid w:val="00307F1D"/>
    <w:rsid w:val="00310468"/>
    <w:rsid w:val="00310747"/>
    <w:rsid w:val="00310943"/>
    <w:rsid w:val="00310AED"/>
    <w:rsid w:val="00312026"/>
    <w:rsid w:val="00313AC0"/>
    <w:rsid w:val="00313E14"/>
    <w:rsid w:val="00314B05"/>
    <w:rsid w:val="0031502D"/>
    <w:rsid w:val="003152BB"/>
    <w:rsid w:val="00316286"/>
    <w:rsid w:val="00316A7C"/>
    <w:rsid w:val="00316B20"/>
    <w:rsid w:val="00316F90"/>
    <w:rsid w:val="003177F5"/>
    <w:rsid w:val="00317B16"/>
    <w:rsid w:val="0032015D"/>
    <w:rsid w:val="003201F0"/>
    <w:rsid w:val="003202AC"/>
    <w:rsid w:val="00320A3A"/>
    <w:rsid w:val="00320BCD"/>
    <w:rsid w:val="00321082"/>
    <w:rsid w:val="003217E4"/>
    <w:rsid w:val="003219B3"/>
    <w:rsid w:val="003222CC"/>
    <w:rsid w:val="00322655"/>
    <w:rsid w:val="00322C19"/>
    <w:rsid w:val="003231C6"/>
    <w:rsid w:val="00323301"/>
    <w:rsid w:val="0032377B"/>
    <w:rsid w:val="00323AF7"/>
    <w:rsid w:val="00323E35"/>
    <w:rsid w:val="00325545"/>
    <w:rsid w:val="0032560B"/>
    <w:rsid w:val="003258EB"/>
    <w:rsid w:val="00325C94"/>
    <w:rsid w:val="00325F86"/>
    <w:rsid w:val="0032665D"/>
    <w:rsid w:val="003269E3"/>
    <w:rsid w:val="00326D99"/>
    <w:rsid w:val="00327A9E"/>
    <w:rsid w:val="003301D7"/>
    <w:rsid w:val="0033117D"/>
    <w:rsid w:val="0033185A"/>
    <w:rsid w:val="00331D65"/>
    <w:rsid w:val="0033224C"/>
    <w:rsid w:val="00332671"/>
    <w:rsid w:val="0033281A"/>
    <w:rsid w:val="00332B62"/>
    <w:rsid w:val="003330D8"/>
    <w:rsid w:val="003337E7"/>
    <w:rsid w:val="00333F73"/>
    <w:rsid w:val="00334020"/>
    <w:rsid w:val="00334415"/>
    <w:rsid w:val="0033443D"/>
    <w:rsid w:val="00334BDE"/>
    <w:rsid w:val="00335527"/>
    <w:rsid w:val="0033652A"/>
    <w:rsid w:val="0033684E"/>
    <w:rsid w:val="00337271"/>
    <w:rsid w:val="00337C72"/>
    <w:rsid w:val="00340540"/>
    <w:rsid w:val="0034083D"/>
    <w:rsid w:val="00340E71"/>
    <w:rsid w:val="003419F1"/>
    <w:rsid w:val="00343B84"/>
    <w:rsid w:val="00343C1B"/>
    <w:rsid w:val="00344709"/>
    <w:rsid w:val="0034515D"/>
    <w:rsid w:val="0034522F"/>
    <w:rsid w:val="00345C11"/>
    <w:rsid w:val="00345C36"/>
    <w:rsid w:val="0034640B"/>
    <w:rsid w:val="003466B1"/>
    <w:rsid w:val="00347271"/>
    <w:rsid w:val="00347532"/>
    <w:rsid w:val="0035020A"/>
    <w:rsid w:val="00350D46"/>
    <w:rsid w:val="0035106E"/>
    <w:rsid w:val="00351466"/>
    <w:rsid w:val="0035186B"/>
    <w:rsid w:val="003519D2"/>
    <w:rsid w:val="00352751"/>
    <w:rsid w:val="003529F1"/>
    <w:rsid w:val="00352CE4"/>
    <w:rsid w:val="00352E53"/>
    <w:rsid w:val="0035398F"/>
    <w:rsid w:val="00353BBA"/>
    <w:rsid w:val="00353E82"/>
    <w:rsid w:val="00354000"/>
    <w:rsid w:val="0035427B"/>
    <w:rsid w:val="003542A3"/>
    <w:rsid w:val="00354AE8"/>
    <w:rsid w:val="00354EB6"/>
    <w:rsid w:val="0035531D"/>
    <w:rsid w:val="003553C2"/>
    <w:rsid w:val="00355851"/>
    <w:rsid w:val="00355A6A"/>
    <w:rsid w:val="00355FB8"/>
    <w:rsid w:val="00356419"/>
    <w:rsid w:val="00356492"/>
    <w:rsid w:val="00356678"/>
    <w:rsid w:val="0035733A"/>
    <w:rsid w:val="003577E1"/>
    <w:rsid w:val="00360511"/>
    <w:rsid w:val="00360984"/>
    <w:rsid w:val="003611BD"/>
    <w:rsid w:val="0036184E"/>
    <w:rsid w:val="00361DD3"/>
    <w:rsid w:val="00361E00"/>
    <w:rsid w:val="0036228D"/>
    <w:rsid w:val="0036239E"/>
    <w:rsid w:val="003628D5"/>
    <w:rsid w:val="00362926"/>
    <w:rsid w:val="00362F11"/>
    <w:rsid w:val="00362F44"/>
    <w:rsid w:val="0036358E"/>
    <w:rsid w:val="00364587"/>
    <w:rsid w:val="00364897"/>
    <w:rsid w:val="003648F9"/>
    <w:rsid w:val="003649B6"/>
    <w:rsid w:val="00364B80"/>
    <w:rsid w:val="00364F1E"/>
    <w:rsid w:val="00364FD2"/>
    <w:rsid w:val="0036598D"/>
    <w:rsid w:val="00366369"/>
    <w:rsid w:val="00366C68"/>
    <w:rsid w:val="00370035"/>
    <w:rsid w:val="0037021C"/>
    <w:rsid w:val="003710E3"/>
    <w:rsid w:val="0037284E"/>
    <w:rsid w:val="003733E7"/>
    <w:rsid w:val="00373D60"/>
    <w:rsid w:val="003747F2"/>
    <w:rsid w:val="003749C0"/>
    <w:rsid w:val="00375220"/>
    <w:rsid w:val="00375641"/>
    <w:rsid w:val="003757F1"/>
    <w:rsid w:val="00376233"/>
    <w:rsid w:val="00377462"/>
    <w:rsid w:val="00377890"/>
    <w:rsid w:val="00377B7A"/>
    <w:rsid w:val="00377E03"/>
    <w:rsid w:val="00377EED"/>
    <w:rsid w:val="00380490"/>
    <w:rsid w:val="00381183"/>
    <w:rsid w:val="003814C9"/>
    <w:rsid w:val="003815EF"/>
    <w:rsid w:val="0038193F"/>
    <w:rsid w:val="00381EE6"/>
    <w:rsid w:val="00381F0E"/>
    <w:rsid w:val="0038237B"/>
    <w:rsid w:val="00382ACB"/>
    <w:rsid w:val="0038312F"/>
    <w:rsid w:val="0038351C"/>
    <w:rsid w:val="00383B15"/>
    <w:rsid w:val="00383C23"/>
    <w:rsid w:val="00383E41"/>
    <w:rsid w:val="00383FBB"/>
    <w:rsid w:val="0038413D"/>
    <w:rsid w:val="0038426A"/>
    <w:rsid w:val="00384BB0"/>
    <w:rsid w:val="0038643E"/>
    <w:rsid w:val="003865AB"/>
    <w:rsid w:val="00386ECF"/>
    <w:rsid w:val="003900A3"/>
    <w:rsid w:val="0039043D"/>
    <w:rsid w:val="00390808"/>
    <w:rsid w:val="00390C84"/>
    <w:rsid w:val="00391116"/>
    <w:rsid w:val="00391287"/>
    <w:rsid w:val="00391FE4"/>
    <w:rsid w:val="00392004"/>
    <w:rsid w:val="00393519"/>
    <w:rsid w:val="00393710"/>
    <w:rsid w:val="00394135"/>
    <w:rsid w:val="0039461B"/>
    <w:rsid w:val="00395268"/>
    <w:rsid w:val="00395B8D"/>
    <w:rsid w:val="003964B3"/>
    <w:rsid w:val="00396967"/>
    <w:rsid w:val="00396A15"/>
    <w:rsid w:val="003973FB"/>
    <w:rsid w:val="003A079F"/>
    <w:rsid w:val="003A0A12"/>
    <w:rsid w:val="003A12FD"/>
    <w:rsid w:val="003A1AFF"/>
    <w:rsid w:val="003A1D41"/>
    <w:rsid w:val="003A206B"/>
    <w:rsid w:val="003A23B0"/>
    <w:rsid w:val="003A438A"/>
    <w:rsid w:val="003A46F1"/>
    <w:rsid w:val="003A4DC5"/>
    <w:rsid w:val="003A5BF5"/>
    <w:rsid w:val="003A5CC6"/>
    <w:rsid w:val="003A6ABA"/>
    <w:rsid w:val="003A722C"/>
    <w:rsid w:val="003A7520"/>
    <w:rsid w:val="003A7A5A"/>
    <w:rsid w:val="003A7DF2"/>
    <w:rsid w:val="003A7E56"/>
    <w:rsid w:val="003B1798"/>
    <w:rsid w:val="003B1D85"/>
    <w:rsid w:val="003B23B7"/>
    <w:rsid w:val="003B2665"/>
    <w:rsid w:val="003B2FB3"/>
    <w:rsid w:val="003B2FC7"/>
    <w:rsid w:val="003B301A"/>
    <w:rsid w:val="003B331E"/>
    <w:rsid w:val="003B38B2"/>
    <w:rsid w:val="003B44C4"/>
    <w:rsid w:val="003B47E0"/>
    <w:rsid w:val="003B48EB"/>
    <w:rsid w:val="003B558C"/>
    <w:rsid w:val="003B577A"/>
    <w:rsid w:val="003B5D39"/>
    <w:rsid w:val="003B6B07"/>
    <w:rsid w:val="003B7829"/>
    <w:rsid w:val="003C00A6"/>
    <w:rsid w:val="003C099E"/>
    <w:rsid w:val="003C09E9"/>
    <w:rsid w:val="003C0B78"/>
    <w:rsid w:val="003C101A"/>
    <w:rsid w:val="003C1115"/>
    <w:rsid w:val="003C1EAE"/>
    <w:rsid w:val="003C1F92"/>
    <w:rsid w:val="003C2039"/>
    <w:rsid w:val="003C23EB"/>
    <w:rsid w:val="003C2522"/>
    <w:rsid w:val="003C2BA5"/>
    <w:rsid w:val="003C300B"/>
    <w:rsid w:val="003C3FE6"/>
    <w:rsid w:val="003C47D4"/>
    <w:rsid w:val="003C4C07"/>
    <w:rsid w:val="003C4E03"/>
    <w:rsid w:val="003C6A3C"/>
    <w:rsid w:val="003C6F0F"/>
    <w:rsid w:val="003C772D"/>
    <w:rsid w:val="003C7927"/>
    <w:rsid w:val="003D0AF8"/>
    <w:rsid w:val="003D0B9A"/>
    <w:rsid w:val="003D131B"/>
    <w:rsid w:val="003D168A"/>
    <w:rsid w:val="003D1B7B"/>
    <w:rsid w:val="003D2B14"/>
    <w:rsid w:val="003D2E55"/>
    <w:rsid w:val="003D2EDB"/>
    <w:rsid w:val="003D35DA"/>
    <w:rsid w:val="003D3DB0"/>
    <w:rsid w:val="003D4C38"/>
    <w:rsid w:val="003D51A3"/>
    <w:rsid w:val="003D542A"/>
    <w:rsid w:val="003D5C0A"/>
    <w:rsid w:val="003D6B87"/>
    <w:rsid w:val="003E01CA"/>
    <w:rsid w:val="003E0BF7"/>
    <w:rsid w:val="003E0C04"/>
    <w:rsid w:val="003E0F8F"/>
    <w:rsid w:val="003E1671"/>
    <w:rsid w:val="003E2A93"/>
    <w:rsid w:val="003E2D2D"/>
    <w:rsid w:val="003E2EC5"/>
    <w:rsid w:val="003E308B"/>
    <w:rsid w:val="003E38D1"/>
    <w:rsid w:val="003E3B70"/>
    <w:rsid w:val="003E49DE"/>
    <w:rsid w:val="003E4B39"/>
    <w:rsid w:val="003E4EE4"/>
    <w:rsid w:val="003E5283"/>
    <w:rsid w:val="003E63CA"/>
    <w:rsid w:val="003E6547"/>
    <w:rsid w:val="003E7C0D"/>
    <w:rsid w:val="003F0019"/>
    <w:rsid w:val="003F03A3"/>
    <w:rsid w:val="003F09F9"/>
    <w:rsid w:val="003F126A"/>
    <w:rsid w:val="003F22CE"/>
    <w:rsid w:val="003F23FE"/>
    <w:rsid w:val="003F27FB"/>
    <w:rsid w:val="003F2812"/>
    <w:rsid w:val="003F3BCE"/>
    <w:rsid w:val="003F44FB"/>
    <w:rsid w:val="003F4D9B"/>
    <w:rsid w:val="003F5F76"/>
    <w:rsid w:val="003F6B77"/>
    <w:rsid w:val="003F6F2C"/>
    <w:rsid w:val="0040081C"/>
    <w:rsid w:val="00400A47"/>
    <w:rsid w:val="00400AE5"/>
    <w:rsid w:val="00401DD7"/>
    <w:rsid w:val="00402950"/>
    <w:rsid w:val="00402B76"/>
    <w:rsid w:val="004036F7"/>
    <w:rsid w:val="00403FCE"/>
    <w:rsid w:val="004045E9"/>
    <w:rsid w:val="00404750"/>
    <w:rsid w:val="004051F2"/>
    <w:rsid w:val="0040629E"/>
    <w:rsid w:val="004065D0"/>
    <w:rsid w:val="00406E46"/>
    <w:rsid w:val="004078E9"/>
    <w:rsid w:val="0040797A"/>
    <w:rsid w:val="00410048"/>
    <w:rsid w:val="00410249"/>
    <w:rsid w:val="004103F1"/>
    <w:rsid w:val="00410E53"/>
    <w:rsid w:val="00411266"/>
    <w:rsid w:val="00411A15"/>
    <w:rsid w:val="00411B23"/>
    <w:rsid w:val="00411DDB"/>
    <w:rsid w:val="0041301B"/>
    <w:rsid w:val="00413318"/>
    <w:rsid w:val="004156A0"/>
    <w:rsid w:val="004157A2"/>
    <w:rsid w:val="00415951"/>
    <w:rsid w:val="00415D5A"/>
    <w:rsid w:val="004160C6"/>
    <w:rsid w:val="00416611"/>
    <w:rsid w:val="004166B0"/>
    <w:rsid w:val="00416C81"/>
    <w:rsid w:val="00417192"/>
    <w:rsid w:val="0041767E"/>
    <w:rsid w:val="004203CE"/>
    <w:rsid w:val="00420BC5"/>
    <w:rsid w:val="004219D0"/>
    <w:rsid w:val="00421A40"/>
    <w:rsid w:val="00422195"/>
    <w:rsid w:val="004222B8"/>
    <w:rsid w:val="004226D0"/>
    <w:rsid w:val="00422838"/>
    <w:rsid w:val="00422994"/>
    <w:rsid w:val="00422CCB"/>
    <w:rsid w:val="00423B7E"/>
    <w:rsid w:val="00423BDD"/>
    <w:rsid w:val="0042440E"/>
    <w:rsid w:val="00424792"/>
    <w:rsid w:val="004249EF"/>
    <w:rsid w:val="00424ED5"/>
    <w:rsid w:val="00425A04"/>
    <w:rsid w:val="00426118"/>
    <w:rsid w:val="004268E8"/>
    <w:rsid w:val="0042696B"/>
    <w:rsid w:val="00426DEC"/>
    <w:rsid w:val="0042731A"/>
    <w:rsid w:val="0042740F"/>
    <w:rsid w:val="004300CC"/>
    <w:rsid w:val="0043076C"/>
    <w:rsid w:val="00430F0A"/>
    <w:rsid w:val="00430F55"/>
    <w:rsid w:val="0043118F"/>
    <w:rsid w:val="00431C62"/>
    <w:rsid w:val="004320D0"/>
    <w:rsid w:val="00432277"/>
    <w:rsid w:val="004325EA"/>
    <w:rsid w:val="00432A96"/>
    <w:rsid w:val="00432EAC"/>
    <w:rsid w:val="00433182"/>
    <w:rsid w:val="00433517"/>
    <w:rsid w:val="00433CB1"/>
    <w:rsid w:val="00433FA9"/>
    <w:rsid w:val="0043401D"/>
    <w:rsid w:val="00434108"/>
    <w:rsid w:val="00434B2B"/>
    <w:rsid w:val="00434D2C"/>
    <w:rsid w:val="00435002"/>
    <w:rsid w:val="00435230"/>
    <w:rsid w:val="004374EC"/>
    <w:rsid w:val="004377CE"/>
    <w:rsid w:val="00437B62"/>
    <w:rsid w:val="00437BB3"/>
    <w:rsid w:val="0044034D"/>
    <w:rsid w:val="00441705"/>
    <w:rsid w:val="00441B92"/>
    <w:rsid w:val="0044204F"/>
    <w:rsid w:val="0044241A"/>
    <w:rsid w:val="00442A7C"/>
    <w:rsid w:val="00442C72"/>
    <w:rsid w:val="0044316A"/>
    <w:rsid w:val="0044337C"/>
    <w:rsid w:val="00444302"/>
    <w:rsid w:val="004445A1"/>
    <w:rsid w:val="00444883"/>
    <w:rsid w:val="00444F07"/>
    <w:rsid w:val="0044533E"/>
    <w:rsid w:val="004453F3"/>
    <w:rsid w:val="0044548E"/>
    <w:rsid w:val="004458A7"/>
    <w:rsid w:val="00446FA1"/>
    <w:rsid w:val="00447EF9"/>
    <w:rsid w:val="004500B3"/>
    <w:rsid w:val="0045092E"/>
    <w:rsid w:val="00450C2E"/>
    <w:rsid w:val="00451077"/>
    <w:rsid w:val="00451487"/>
    <w:rsid w:val="004516B0"/>
    <w:rsid w:val="004523B6"/>
    <w:rsid w:val="00452447"/>
    <w:rsid w:val="00452603"/>
    <w:rsid w:val="00453D86"/>
    <w:rsid w:val="00455075"/>
    <w:rsid w:val="0045580F"/>
    <w:rsid w:val="00456586"/>
    <w:rsid w:val="00456E66"/>
    <w:rsid w:val="00457053"/>
    <w:rsid w:val="00457BB1"/>
    <w:rsid w:val="004606DA"/>
    <w:rsid w:val="004607AA"/>
    <w:rsid w:val="00460D17"/>
    <w:rsid w:val="004612C3"/>
    <w:rsid w:val="004614C1"/>
    <w:rsid w:val="004614FF"/>
    <w:rsid w:val="004617AE"/>
    <w:rsid w:val="00462ADF"/>
    <w:rsid w:val="00463367"/>
    <w:rsid w:val="00463915"/>
    <w:rsid w:val="00463E99"/>
    <w:rsid w:val="00463F08"/>
    <w:rsid w:val="00464063"/>
    <w:rsid w:val="0046451E"/>
    <w:rsid w:val="00464AB6"/>
    <w:rsid w:val="0046590F"/>
    <w:rsid w:val="00465A3C"/>
    <w:rsid w:val="00465B24"/>
    <w:rsid w:val="00465CA8"/>
    <w:rsid w:val="0046679E"/>
    <w:rsid w:val="00466B93"/>
    <w:rsid w:val="004703C0"/>
    <w:rsid w:val="00470A1F"/>
    <w:rsid w:val="00470D8C"/>
    <w:rsid w:val="00470F8C"/>
    <w:rsid w:val="00471124"/>
    <w:rsid w:val="00471B14"/>
    <w:rsid w:val="0047245F"/>
    <w:rsid w:val="00472A6F"/>
    <w:rsid w:val="00472BB5"/>
    <w:rsid w:val="00472E09"/>
    <w:rsid w:val="00473AB2"/>
    <w:rsid w:val="00473C94"/>
    <w:rsid w:val="004740AE"/>
    <w:rsid w:val="004744DB"/>
    <w:rsid w:val="00474849"/>
    <w:rsid w:val="00474BB0"/>
    <w:rsid w:val="004753F9"/>
    <w:rsid w:val="004777C7"/>
    <w:rsid w:val="0047795F"/>
    <w:rsid w:val="00477B51"/>
    <w:rsid w:val="004800CD"/>
    <w:rsid w:val="00480923"/>
    <w:rsid w:val="00480C13"/>
    <w:rsid w:val="00481A03"/>
    <w:rsid w:val="00481E4C"/>
    <w:rsid w:val="00482160"/>
    <w:rsid w:val="00482A52"/>
    <w:rsid w:val="00482D5E"/>
    <w:rsid w:val="00482EA9"/>
    <w:rsid w:val="00483137"/>
    <w:rsid w:val="0048315F"/>
    <w:rsid w:val="00483FE0"/>
    <w:rsid w:val="004841E4"/>
    <w:rsid w:val="004851A7"/>
    <w:rsid w:val="00485D02"/>
    <w:rsid w:val="004867CB"/>
    <w:rsid w:val="00486A0D"/>
    <w:rsid w:val="00486B88"/>
    <w:rsid w:val="00486EB8"/>
    <w:rsid w:val="00487892"/>
    <w:rsid w:val="00487AE6"/>
    <w:rsid w:val="00487DBB"/>
    <w:rsid w:val="00490A17"/>
    <w:rsid w:val="0049127E"/>
    <w:rsid w:val="004914DE"/>
    <w:rsid w:val="00491EF6"/>
    <w:rsid w:val="00491F25"/>
    <w:rsid w:val="00492206"/>
    <w:rsid w:val="00492A0C"/>
    <w:rsid w:val="004933EE"/>
    <w:rsid w:val="004936EA"/>
    <w:rsid w:val="00495508"/>
    <w:rsid w:val="004959BA"/>
    <w:rsid w:val="00495B65"/>
    <w:rsid w:val="00495EFF"/>
    <w:rsid w:val="00495F27"/>
    <w:rsid w:val="004964B2"/>
    <w:rsid w:val="004966DC"/>
    <w:rsid w:val="004967A5"/>
    <w:rsid w:val="00496AD9"/>
    <w:rsid w:val="00496FCA"/>
    <w:rsid w:val="0049727B"/>
    <w:rsid w:val="00497415"/>
    <w:rsid w:val="004979BF"/>
    <w:rsid w:val="00497F58"/>
    <w:rsid w:val="004A052B"/>
    <w:rsid w:val="004A1AB6"/>
    <w:rsid w:val="004A20B5"/>
    <w:rsid w:val="004A2132"/>
    <w:rsid w:val="004A349B"/>
    <w:rsid w:val="004A4210"/>
    <w:rsid w:val="004A4536"/>
    <w:rsid w:val="004A523B"/>
    <w:rsid w:val="004A654A"/>
    <w:rsid w:val="004A671E"/>
    <w:rsid w:val="004A6877"/>
    <w:rsid w:val="004A7346"/>
    <w:rsid w:val="004B0470"/>
    <w:rsid w:val="004B07FB"/>
    <w:rsid w:val="004B091B"/>
    <w:rsid w:val="004B0B84"/>
    <w:rsid w:val="004B0ED2"/>
    <w:rsid w:val="004B0FAC"/>
    <w:rsid w:val="004B1157"/>
    <w:rsid w:val="004B119F"/>
    <w:rsid w:val="004B11AD"/>
    <w:rsid w:val="004B1308"/>
    <w:rsid w:val="004B21AB"/>
    <w:rsid w:val="004B24A8"/>
    <w:rsid w:val="004B29B6"/>
    <w:rsid w:val="004B3426"/>
    <w:rsid w:val="004B3B6C"/>
    <w:rsid w:val="004B4996"/>
    <w:rsid w:val="004B49D5"/>
    <w:rsid w:val="004B5490"/>
    <w:rsid w:val="004B5783"/>
    <w:rsid w:val="004B6B0C"/>
    <w:rsid w:val="004B6F9B"/>
    <w:rsid w:val="004B760A"/>
    <w:rsid w:val="004B7989"/>
    <w:rsid w:val="004C03D8"/>
    <w:rsid w:val="004C0BD6"/>
    <w:rsid w:val="004C0C50"/>
    <w:rsid w:val="004C138A"/>
    <w:rsid w:val="004C1C39"/>
    <w:rsid w:val="004C1E2F"/>
    <w:rsid w:val="004C2A5F"/>
    <w:rsid w:val="004C35C2"/>
    <w:rsid w:val="004C3625"/>
    <w:rsid w:val="004C3A6D"/>
    <w:rsid w:val="004C53E2"/>
    <w:rsid w:val="004C5482"/>
    <w:rsid w:val="004C557A"/>
    <w:rsid w:val="004C5DCA"/>
    <w:rsid w:val="004C6049"/>
    <w:rsid w:val="004C6413"/>
    <w:rsid w:val="004C6EFE"/>
    <w:rsid w:val="004C6FE5"/>
    <w:rsid w:val="004C7207"/>
    <w:rsid w:val="004C75F4"/>
    <w:rsid w:val="004C7B8F"/>
    <w:rsid w:val="004C7C0B"/>
    <w:rsid w:val="004D0CD6"/>
    <w:rsid w:val="004D1D07"/>
    <w:rsid w:val="004D1F65"/>
    <w:rsid w:val="004D21B5"/>
    <w:rsid w:val="004D21BE"/>
    <w:rsid w:val="004D2264"/>
    <w:rsid w:val="004D273B"/>
    <w:rsid w:val="004D2A5A"/>
    <w:rsid w:val="004D2B58"/>
    <w:rsid w:val="004D3418"/>
    <w:rsid w:val="004D3C14"/>
    <w:rsid w:val="004D3EA1"/>
    <w:rsid w:val="004D3EE4"/>
    <w:rsid w:val="004D4C57"/>
    <w:rsid w:val="004D5131"/>
    <w:rsid w:val="004D51C0"/>
    <w:rsid w:val="004D6237"/>
    <w:rsid w:val="004D68ED"/>
    <w:rsid w:val="004D6D4D"/>
    <w:rsid w:val="004D6E04"/>
    <w:rsid w:val="004D70E2"/>
    <w:rsid w:val="004E0585"/>
    <w:rsid w:val="004E075A"/>
    <w:rsid w:val="004E18B1"/>
    <w:rsid w:val="004E2018"/>
    <w:rsid w:val="004E210B"/>
    <w:rsid w:val="004E22C8"/>
    <w:rsid w:val="004E22EC"/>
    <w:rsid w:val="004E2505"/>
    <w:rsid w:val="004E259D"/>
    <w:rsid w:val="004E278C"/>
    <w:rsid w:val="004E2C24"/>
    <w:rsid w:val="004E2DA4"/>
    <w:rsid w:val="004E4061"/>
    <w:rsid w:val="004E5731"/>
    <w:rsid w:val="004E6128"/>
    <w:rsid w:val="004E7007"/>
    <w:rsid w:val="004E7B4F"/>
    <w:rsid w:val="004F0327"/>
    <w:rsid w:val="004F03A0"/>
    <w:rsid w:val="004F0439"/>
    <w:rsid w:val="004F0659"/>
    <w:rsid w:val="004F0C74"/>
    <w:rsid w:val="004F1317"/>
    <w:rsid w:val="004F221B"/>
    <w:rsid w:val="004F2725"/>
    <w:rsid w:val="004F2841"/>
    <w:rsid w:val="004F319E"/>
    <w:rsid w:val="004F3423"/>
    <w:rsid w:val="004F3553"/>
    <w:rsid w:val="004F36CA"/>
    <w:rsid w:val="004F4191"/>
    <w:rsid w:val="004F419E"/>
    <w:rsid w:val="004F457F"/>
    <w:rsid w:val="004F45E0"/>
    <w:rsid w:val="004F544A"/>
    <w:rsid w:val="004F55B9"/>
    <w:rsid w:val="004F5DB6"/>
    <w:rsid w:val="004F6899"/>
    <w:rsid w:val="004F6BF6"/>
    <w:rsid w:val="004F6E37"/>
    <w:rsid w:val="004F7254"/>
    <w:rsid w:val="004F7AFE"/>
    <w:rsid w:val="0050101E"/>
    <w:rsid w:val="0050115B"/>
    <w:rsid w:val="005011D7"/>
    <w:rsid w:val="00501DBA"/>
    <w:rsid w:val="005030C9"/>
    <w:rsid w:val="005039A5"/>
    <w:rsid w:val="00503D6C"/>
    <w:rsid w:val="00504573"/>
    <w:rsid w:val="00504740"/>
    <w:rsid w:val="00504D02"/>
    <w:rsid w:val="00504E35"/>
    <w:rsid w:val="005050D4"/>
    <w:rsid w:val="0050555E"/>
    <w:rsid w:val="005059A9"/>
    <w:rsid w:val="00505BB1"/>
    <w:rsid w:val="005062D6"/>
    <w:rsid w:val="005063A9"/>
    <w:rsid w:val="00506629"/>
    <w:rsid w:val="0050755D"/>
    <w:rsid w:val="0050760B"/>
    <w:rsid w:val="005078FD"/>
    <w:rsid w:val="00507A12"/>
    <w:rsid w:val="00507C25"/>
    <w:rsid w:val="00510977"/>
    <w:rsid w:val="005114E3"/>
    <w:rsid w:val="005116A5"/>
    <w:rsid w:val="00511FEB"/>
    <w:rsid w:val="00512800"/>
    <w:rsid w:val="00512962"/>
    <w:rsid w:val="005129EA"/>
    <w:rsid w:val="00512B83"/>
    <w:rsid w:val="00512F88"/>
    <w:rsid w:val="00513037"/>
    <w:rsid w:val="005134B4"/>
    <w:rsid w:val="005134C6"/>
    <w:rsid w:val="00513F0A"/>
    <w:rsid w:val="00513F8E"/>
    <w:rsid w:val="005142BD"/>
    <w:rsid w:val="005146BF"/>
    <w:rsid w:val="005158C2"/>
    <w:rsid w:val="00515EDE"/>
    <w:rsid w:val="00516197"/>
    <w:rsid w:val="00516DA3"/>
    <w:rsid w:val="00516E14"/>
    <w:rsid w:val="00517126"/>
    <w:rsid w:val="00517351"/>
    <w:rsid w:val="0051736E"/>
    <w:rsid w:val="0051792D"/>
    <w:rsid w:val="00517DE1"/>
    <w:rsid w:val="00520387"/>
    <w:rsid w:val="00521E28"/>
    <w:rsid w:val="00521EED"/>
    <w:rsid w:val="005220C5"/>
    <w:rsid w:val="00522334"/>
    <w:rsid w:val="00522848"/>
    <w:rsid w:val="00522995"/>
    <w:rsid w:val="00522A08"/>
    <w:rsid w:val="005235D6"/>
    <w:rsid w:val="00523825"/>
    <w:rsid w:val="00523840"/>
    <w:rsid w:val="00523B74"/>
    <w:rsid w:val="00523B97"/>
    <w:rsid w:val="005254F7"/>
    <w:rsid w:val="00525D08"/>
    <w:rsid w:val="00525F82"/>
    <w:rsid w:val="00526D07"/>
    <w:rsid w:val="0052722B"/>
    <w:rsid w:val="00527DED"/>
    <w:rsid w:val="00527DFD"/>
    <w:rsid w:val="00527FA1"/>
    <w:rsid w:val="0053018F"/>
    <w:rsid w:val="00530293"/>
    <w:rsid w:val="0053034E"/>
    <w:rsid w:val="00531370"/>
    <w:rsid w:val="00531443"/>
    <w:rsid w:val="00531986"/>
    <w:rsid w:val="00531B35"/>
    <w:rsid w:val="00531DC2"/>
    <w:rsid w:val="00532BD1"/>
    <w:rsid w:val="00533623"/>
    <w:rsid w:val="00533BCF"/>
    <w:rsid w:val="00533C82"/>
    <w:rsid w:val="005344FC"/>
    <w:rsid w:val="0053463D"/>
    <w:rsid w:val="00534F25"/>
    <w:rsid w:val="00535EFA"/>
    <w:rsid w:val="005362DD"/>
    <w:rsid w:val="005368DE"/>
    <w:rsid w:val="005400A2"/>
    <w:rsid w:val="00540A53"/>
    <w:rsid w:val="0054174A"/>
    <w:rsid w:val="00542C9C"/>
    <w:rsid w:val="0054374C"/>
    <w:rsid w:val="00543A81"/>
    <w:rsid w:val="00544CE1"/>
    <w:rsid w:val="005451A6"/>
    <w:rsid w:val="0054583B"/>
    <w:rsid w:val="00546C51"/>
    <w:rsid w:val="00547395"/>
    <w:rsid w:val="005476FC"/>
    <w:rsid w:val="005479EA"/>
    <w:rsid w:val="00547B2C"/>
    <w:rsid w:val="00550637"/>
    <w:rsid w:val="00550732"/>
    <w:rsid w:val="00551172"/>
    <w:rsid w:val="005515E6"/>
    <w:rsid w:val="00551A4D"/>
    <w:rsid w:val="00551DF1"/>
    <w:rsid w:val="0055290D"/>
    <w:rsid w:val="00552F63"/>
    <w:rsid w:val="005531A6"/>
    <w:rsid w:val="00553567"/>
    <w:rsid w:val="005543FF"/>
    <w:rsid w:val="005546DD"/>
    <w:rsid w:val="00554DE2"/>
    <w:rsid w:val="00555125"/>
    <w:rsid w:val="0055530F"/>
    <w:rsid w:val="00555376"/>
    <w:rsid w:val="0055548F"/>
    <w:rsid w:val="00555BEA"/>
    <w:rsid w:val="00556CE5"/>
    <w:rsid w:val="00557540"/>
    <w:rsid w:val="00560672"/>
    <w:rsid w:val="005613DD"/>
    <w:rsid w:val="00561932"/>
    <w:rsid w:val="00561CE4"/>
    <w:rsid w:val="00562BEB"/>
    <w:rsid w:val="00563091"/>
    <w:rsid w:val="00563935"/>
    <w:rsid w:val="00563A75"/>
    <w:rsid w:val="00563B54"/>
    <w:rsid w:val="00565D73"/>
    <w:rsid w:val="00565F64"/>
    <w:rsid w:val="00565F7C"/>
    <w:rsid w:val="0056669E"/>
    <w:rsid w:val="0056770B"/>
    <w:rsid w:val="005718F5"/>
    <w:rsid w:val="00572089"/>
    <w:rsid w:val="00574452"/>
    <w:rsid w:val="00574692"/>
    <w:rsid w:val="00574785"/>
    <w:rsid w:val="0057503C"/>
    <w:rsid w:val="005753D1"/>
    <w:rsid w:val="0057581C"/>
    <w:rsid w:val="005759F4"/>
    <w:rsid w:val="00576078"/>
    <w:rsid w:val="00576534"/>
    <w:rsid w:val="00576545"/>
    <w:rsid w:val="00576688"/>
    <w:rsid w:val="005768D1"/>
    <w:rsid w:val="00576910"/>
    <w:rsid w:val="00576CE9"/>
    <w:rsid w:val="0057704A"/>
    <w:rsid w:val="00577147"/>
    <w:rsid w:val="0057728A"/>
    <w:rsid w:val="00577491"/>
    <w:rsid w:val="0058125D"/>
    <w:rsid w:val="00581BC1"/>
    <w:rsid w:val="00582D5B"/>
    <w:rsid w:val="00583680"/>
    <w:rsid w:val="005837CE"/>
    <w:rsid w:val="00583B37"/>
    <w:rsid w:val="00583F15"/>
    <w:rsid w:val="005846DA"/>
    <w:rsid w:val="0058526D"/>
    <w:rsid w:val="005852A6"/>
    <w:rsid w:val="00585D7E"/>
    <w:rsid w:val="00586950"/>
    <w:rsid w:val="00586B29"/>
    <w:rsid w:val="00586CF2"/>
    <w:rsid w:val="00586D7A"/>
    <w:rsid w:val="0058717C"/>
    <w:rsid w:val="005875A5"/>
    <w:rsid w:val="0058798B"/>
    <w:rsid w:val="00587EF8"/>
    <w:rsid w:val="005900AF"/>
    <w:rsid w:val="0059055E"/>
    <w:rsid w:val="0059116B"/>
    <w:rsid w:val="00591A62"/>
    <w:rsid w:val="00591CA1"/>
    <w:rsid w:val="00591EB1"/>
    <w:rsid w:val="00591FE6"/>
    <w:rsid w:val="005925F4"/>
    <w:rsid w:val="005928D5"/>
    <w:rsid w:val="00593479"/>
    <w:rsid w:val="00593F20"/>
    <w:rsid w:val="00595D44"/>
    <w:rsid w:val="00596AA7"/>
    <w:rsid w:val="00596C4E"/>
    <w:rsid w:val="005973E2"/>
    <w:rsid w:val="00597D1C"/>
    <w:rsid w:val="00597D7D"/>
    <w:rsid w:val="00597E37"/>
    <w:rsid w:val="00597E85"/>
    <w:rsid w:val="00597EAC"/>
    <w:rsid w:val="005A017A"/>
    <w:rsid w:val="005A0808"/>
    <w:rsid w:val="005A136B"/>
    <w:rsid w:val="005A201D"/>
    <w:rsid w:val="005A2638"/>
    <w:rsid w:val="005A2C2A"/>
    <w:rsid w:val="005A3465"/>
    <w:rsid w:val="005A35E0"/>
    <w:rsid w:val="005A43F2"/>
    <w:rsid w:val="005A458D"/>
    <w:rsid w:val="005A47C2"/>
    <w:rsid w:val="005A4E06"/>
    <w:rsid w:val="005A509E"/>
    <w:rsid w:val="005A664A"/>
    <w:rsid w:val="005A66A1"/>
    <w:rsid w:val="005A7418"/>
    <w:rsid w:val="005A7745"/>
    <w:rsid w:val="005B1E07"/>
    <w:rsid w:val="005B1FA4"/>
    <w:rsid w:val="005B2ACB"/>
    <w:rsid w:val="005B3219"/>
    <w:rsid w:val="005B322F"/>
    <w:rsid w:val="005B34DA"/>
    <w:rsid w:val="005B3922"/>
    <w:rsid w:val="005B4361"/>
    <w:rsid w:val="005B447F"/>
    <w:rsid w:val="005B4CDB"/>
    <w:rsid w:val="005B4DAE"/>
    <w:rsid w:val="005B5332"/>
    <w:rsid w:val="005B5992"/>
    <w:rsid w:val="005B6340"/>
    <w:rsid w:val="005B67F2"/>
    <w:rsid w:val="005B6848"/>
    <w:rsid w:val="005B6EF9"/>
    <w:rsid w:val="005B70C4"/>
    <w:rsid w:val="005B7AB8"/>
    <w:rsid w:val="005C0393"/>
    <w:rsid w:val="005C08D3"/>
    <w:rsid w:val="005C0B62"/>
    <w:rsid w:val="005C0DE9"/>
    <w:rsid w:val="005C19D3"/>
    <w:rsid w:val="005C1DAD"/>
    <w:rsid w:val="005C23E5"/>
    <w:rsid w:val="005C2547"/>
    <w:rsid w:val="005C2DFB"/>
    <w:rsid w:val="005C3531"/>
    <w:rsid w:val="005C374F"/>
    <w:rsid w:val="005C478C"/>
    <w:rsid w:val="005C4C94"/>
    <w:rsid w:val="005C512D"/>
    <w:rsid w:val="005C52D2"/>
    <w:rsid w:val="005C53F4"/>
    <w:rsid w:val="005C5D45"/>
    <w:rsid w:val="005C6753"/>
    <w:rsid w:val="005C68B5"/>
    <w:rsid w:val="005C6A2A"/>
    <w:rsid w:val="005C6BF7"/>
    <w:rsid w:val="005C6F7A"/>
    <w:rsid w:val="005C7AA4"/>
    <w:rsid w:val="005C7BC6"/>
    <w:rsid w:val="005C7F8D"/>
    <w:rsid w:val="005D0689"/>
    <w:rsid w:val="005D11BA"/>
    <w:rsid w:val="005D121B"/>
    <w:rsid w:val="005D196E"/>
    <w:rsid w:val="005D1CE3"/>
    <w:rsid w:val="005D260C"/>
    <w:rsid w:val="005D3073"/>
    <w:rsid w:val="005D3598"/>
    <w:rsid w:val="005D4161"/>
    <w:rsid w:val="005D448D"/>
    <w:rsid w:val="005D47E1"/>
    <w:rsid w:val="005D52B9"/>
    <w:rsid w:val="005D55BC"/>
    <w:rsid w:val="005D5979"/>
    <w:rsid w:val="005D5D42"/>
    <w:rsid w:val="005D5DB7"/>
    <w:rsid w:val="005D668E"/>
    <w:rsid w:val="005D7136"/>
    <w:rsid w:val="005D71E4"/>
    <w:rsid w:val="005D7FEF"/>
    <w:rsid w:val="005E04BC"/>
    <w:rsid w:val="005E0D54"/>
    <w:rsid w:val="005E0F22"/>
    <w:rsid w:val="005E1CB0"/>
    <w:rsid w:val="005E2062"/>
    <w:rsid w:val="005E2B27"/>
    <w:rsid w:val="005E3478"/>
    <w:rsid w:val="005E3805"/>
    <w:rsid w:val="005E391F"/>
    <w:rsid w:val="005E39CD"/>
    <w:rsid w:val="005E3E2C"/>
    <w:rsid w:val="005E4B70"/>
    <w:rsid w:val="005E4B7C"/>
    <w:rsid w:val="005E528A"/>
    <w:rsid w:val="005E53A9"/>
    <w:rsid w:val="005E53DC"/>
    <w:rsid w:val="005E5FE8"/>
    <w:rsid w:val="005E67DB"/>
    <w:rsid w:val="005E6E41"/>
    <w:rsid w:val="005E796C"/>
    <w:rsid w:val="005F04F3"/>
    <w:rsid w:val="005F08D0"/>
    <w:rsid w:val="005F09E0"/>
    <w:rsid w:val="005F0FD5"/>
    <w:rsid w:val="005F10FE"/>
    <w:rsid w:val="005F1786"/>
    <w:rsid w:val="005F1B91"/>
    <w:rsid w:val="005F240F"/>
    <w:rsid w:val="005F2B79"/>
    <w:rsid w:val="005F3523"/>
    <w:rsid w:val="005F3FD8"/>
    <w:rsid w:val="005F4916"/>
    <w:rsid w:val="005F4926"/>
    <w:rsid w:val="005F4D20"/>
    <w:rsid w:val="005F514B"/>
    <w:rsid w:val="005F5535"/>
    <w:rsid w:val="005F5AF0"/>
    <w:rsid w:val="005F6203"/>
    <w:rsid w:val="005F6FC1"/>
    <w:rsid w:val="00600194"/>
    <w:rsid w:val="00600A30"/>
    <w:rsid w:val="00601B2E"/>
    <w:rsid w:val="00601B6C"/>
    <w:rsid w:val="00602004"/>
    <w:rsid w:val="0060207A"/>
    <w:rsid w:val="00602782"/>
    <w:rsid w:val="006027A4"/>
    <w:rsid w:val="00602CC3"/>
    <w:rsid w:val="00602F41"/>
    <w:rsid w:val="00603281"/>
    <w:rsid w:val="00603A7C"/>
    <w:rsid w:val="00603CBA"/>
    <w:rsid w:val="006040FD"/>
    <w:rsid w:val="0060419A"/>
    <w:rsid w:val="0060468A"/>
    <w:rsid w:val="00604DAB"/>
    <w:rsid w:val="006063D9"/>
    <w:rsid w:val="0060688E"/>
    <w:rsid w:val="00606BDD"/>
    <w:rsid w:val="00606D84"/>
    <w:rsid w:val="00606FF0"/>
    <w:rsid w:val="00607219"/>
    <w:rsid w:val="0061033D"/>
    <w:rsid w:val="00610671"/>
    <w:rsid w:val="006109ED"/>
    <w:rsid w:val="006110EC"/>
    <w:rsid w:val="006115A3"/>
    <w:rsid w:val="00611CB0"/>
    <w:rsid w:val="00611FD5"/>
    <w:rsid w:val="006120B9"/>
    <w:rsid w:val="006125F2"/>
    <w:rsid w:val="00612CB2"/>
    <w:rsid w:val="00613674"/>
    <w:rsid w:val="0061564A"/>
    <w:rsid w:val="006156B8"/>
    <w:rsid w:val="006158F4"/>
    <w:rsid w:val="00615D3F"/>
    <w:rsid w:val="00615D72"/>
    <w:rsid w:val="00616052"/>
    <w:rsid w:val="00617785"/>
    <w:rsid w:val="00617CC1"/>
    <w:rsid w:val="00620784"/>
    <w:rsid w:val="006208B6"/>
    <w:rsid w:val="00621254"/>
    <w:rsid w:val="00621379"/>
    <w:rsid w:val="00621532"/>
    <w:rsid w:val="00621679"/>
    <w:rsid w:val="0062390D"/>
    <w:rsid w:val="00623A18"/>
    <w:rsid w:val="006242FE"/>
    <w:rsid w:val="00624458"/>
    <w:rsid w:val="00624FA7"/>
    <w:rsid w:val="00625A4B"/>
    <w:rsid w:val="00626338"/>
    <w:rsid w:val="006263B2"/>
    <w:rsid w:val="006265F4"/>
    <w:rsid w:val="00626C50"/>
    <w:rsid w:val="00626D7E"/>
    <w:rsid w:val="00626E58"/>
    <w:rsid w:val="00627100"/>
    <w:rsid w:val="00627409"/>
    <w:rsid w:val="00627530"/>
    <w:rsid w:val="00627C51"/>
    <w:rsid w:val="006304CC"/>
    <w:rsid w:val="00630A18"/>
    <w:rsid w:val="00631612"/>
    <w:rsid w:val="006328B3"/>
    <w:rsid w:val="00632F53"/>
    <w:rsid w:val="006333FC"/>
    <w:rsid w:val="00634222"/>
    <w:rsid w:val="006348E9"/>
    <w:rsid w:val="0063492C"/>
    <w:rsid w:val="00634D8E"/>
    <w:rsid w:val="00634ED9"/>
    <w:rsid w:val="00636704"/>
    <w:rsid w:val="006403F1"/>
    <w:rsid w:val="006406D4"/>
    <w:rsid w:val="00640A34"/>
    <w:rsid w:val="00640BB7"/>
    <w:rsid w:val="00640DBF"/>
    <w:rsid w:val="00641250"/>
    <w:rsid w:val="006415D1"/>
    <w:rsid w:val="0064169C"/>
    <w:rsid w:val="006416DA"/>
    <w:rsid w:val="006418C3"/>
    <w:rsid w:val="006418D9"/>
    <w:rsid w:val="00642DDB"/>
    <w:rsid w:val="0064317F"/>
    <w:rsid w:val="006435E4"/>
    <w:rsid w:val="00643CA2"/>
    <w:rsid w:val="00645FE2"/>
    <w:rsid w:val="00646048"/>
    <w:rsid w:val="006469B9"/>
    <w:rsid w:val="00646AF2"/>
    <w:rsid w:val="006474AC"/>
    <w:rsid w:val="006474E3"/>
    <w:rsid w:val="0064770C"/>
    <w:rsid w:val="006504EC"/>
    <w:rsid w:val="00650E10"/>
    <w:rsid w:val="006515F1"/>
    <w:rsid w:val="00651B56"/>
    <w:rsid w:val="00651DBA"/>
    <w:rsid w:val="00652BEF"/>
    <w:rsid w:val="00653CE4"/>
    <w:rsid w:val="006544CF"/>
    <w:rsid w:val="00654A5D"/>
    <w:rsid w:val="00654C5E"/>
    <w:rsid w:val="006550B8"/>
    <w:rsid w:val="0065585F"/>
    <w:rsid w:val="006562D5"/>
    <w:rsid w:val="0065668E"/>
    <w:rsid w:val="006566E8"/>
    <w:rsid w:val="006567CA"/>
    <w:rsid w:val="006568C5"/>
    <w:rsid w:val="006570E3"/>
    <w:rsid w:val="006573AD"/>
    <w:rsid w:val="00657899"/>
    <w:rsid w:val="006602D4"/>
    <w:rsid w:val="0066031A"/>
    <w:rsid w:val="00660E34"/>
    <w:rsid w:val="00660ED4"/>
    <w:rsid w:val="00660F19"/>
    <w:rsid w:val="00662327"/>
    <w:rsid w:val="0066277A"/>
    <w:rsid w:val="00662B5C"/>
    <w:rsid w:val="00662E73"/>
    <w:rsid w:val="006639C7"/>
    <w:rsid w:val="00663CD4"/>
    <w:rsid w:val="00663FAA"/>
    <w:rsid w:val="00663FF5"/>
    <w:rsid w:val="00664324"/>
    <w:rsid w:val="0066443F"/>
    <w:rsid w:val="00664DFE"/>
    <w:rsid w:val="00664F1A"/>
    <w:rsid w:val="006650F8"/>
    <w:rsid w:val="0066563D"/>
    <w:rsid w:val="006659AB"/>
    <w:rsid w:val="00665D19"/>
    <w:rsid w:val="00666109"/>
    <w:rsid w:val="006662E9"/>
    <w:rsid w:val="00666912"/>
    <w:rsid w:val="00666B79"/>
    <w:rsid w:val="006673C4"/>
    <w:rsid w:val="00667671"/>
    <w:rsid w:val="00667A25"/>
    <w:rsid w:val="00670631"/>
    <w:rsid w:val="00670805"/>
    <w:rsid w:val="00670DD6"/>
    <w:rsid w:val="00672059"/>
    <w:rsid w:val="006720D3"/>
    <w:rsid w:val="00672BEB"/>
    <w:rsid w:val="00673A37"/>
    <w:rsid w:val="00673DE0"/>
    <w:rsid w:val="00674957"/>
    <w:rsid w:val="00675263"/>
    <w:rsid w:val="006752F0"/>
    <w:rsid w:val="00675542"/>
    <w:rsid w:val="00675717"/>
    <w:rsid w:val="0067598C"/>
    <w:rsid w:val="00675A96"/>
    <w:rsid w:val="00675C3A"/>
    <w:rsid w:val="00676091"/>
    <w:rsid w:val="00676C5B"/>
    <w:rsid w:val="006773E7"/>
    <w:rsid w:val="006778CB"/>
    <w:rsid w:val="006778F6"/>
    <w:rsid w:val="00677B47"/>
    <w:rsid w:val="00680396"/>
    <w:rsid w:val="00680621"/>
    <w:rsid w:val="006806D1"/>
    <w:rsid w:val="00680E87"/>
    <w:rsid w:val="00681351"/>
    <w:rsid w:val="0068149B"/>
    <w:rsid w:val="0068168E"/>
    <w:rsid w:val="00681842"/>
    <w:rsid w:val="006819AF"/>
    <w:rsid w:val="00682BCD"/>
    <w:rsid w:val="00682FA4"/>
    <w:rsid w:val="006834F6"/>
    <w:rsid w:val="00683CAF"/>
    <w:rsid w:val="00684591"/>
    <w:rsid w:val="0068498C"/>
    <w:rsid w:val="00684BFA"/>
    <w:rsid w:val="0068540A"/>
    <w:rsid w:val="00685579"/>
    <w:rsid w:val="006857CE"/>
    <w:rsid w:val="00686457"/>
    <w:rsid w:val="00686815"/>
    <w:rsid w:val="00686A37"/>
    <w:rsid w:val="00686E03"/>
    <w:rsid w:val="00687145"/>
    <w:rsid w:val="00687172"/>
    <w:rsid w:val="006875B3"/>
    <w:rsid w:val="00687BDB"/>
    <w:rsid w:val="00687E38"/>
    <w:rsid w:val="006902AE"/>
    <w:rsid w:val="00690CF0"/>
    <w:rsid w:val="00690EEC"/>
    <w:rsid w:val="00690F9D"/>
    <w:rsid w:val="006912B3"/>
    <w:rsid w:val="0069141B"/>
    <w:rsid w:val="006927CE"/>
    <w:rsid w:val="00692978"/>
    <w:rsid w:val="0069326F"/>
    <w:rsid w:val="0069446F"/>
    <w:rsid w:val="00694640"/>
    <w:rsid w:val="0069491F"/>
    <w:rsid w:val="00694D25"/>
    <w:rsid w:val="00694F80"/>
    <w:rsid w:val="006953ED"/>
    <w:rsid w:val="00695680"/>
    <w:rsid w:val="006965CE"/>
    <w:rsid w:val="00697714"/>
    <w:rsid w:val="006978CA"/>
    <w:rsid w:val="00697A2E"/>
    <w:rsid w:val="006A0C5D"/>
    <w:rsid w:val="006A0F08"/>
    <w:rsid w:val="006A0F7B"/>
    <w:rsid w:val="006A20A5"/>
    <w:rsid w:val="006A2AED"/>
    <w:rsid w:val="006A33E6"/>
    <w:rsid w:val="006A39BF"/>
    <w:rsid w:val="006A3C27"/>
    <w:rsid w:val="006A3E77"/>
    <w:rsid w:val="006A3EB9"/>
    <w:rsid w:val="006A3ECA"/>
    <w:rsid w:val="006A4328"/>
    <w:rsid w:val="006A4358"/>
    <w:rsid w:val="006A4605"/>
    <w:rsid w:val="006A52B8"/>
    <w:rsid w:val="006A55A9"/>
    <w:rsid w:val="006A6178"/>
    <w:rsid w:val="006A61F8"/>
    <w:rsid w:val="006A6C83"/>
    <w:rsid w:val="006A6CBA"/>
    <w:rsid w:val="006A6D8D"/>
    <w:rsid w:val="006A7504"/>
    <w:rsid w:val="006A7615"/>
    <w:rsid w:val="006A7A3D"/>
    <w:rsid w:val="006A7AF5"/>
    <w:rsid w:val="006B13AA"/>
    <w:rsid w:val="006B1E06"/>
    <w:rsid w:val="006B2F9D"/>
    <w:rsid w:val="006B47FC"/>
    <w:rsid w:val="006B5233"/>
    <w:rsid w:val="006B54FD"/>
    <w:rsid w:val="006B5582"/>
    <w:rsid w:val="006B5A93"/>
    <w:rsid w:val="006B5EED"/>
    <w:rsid w:val="006B6D3B"/>
    <w:rsid w:val="006B7449"/>
    <w:rsid w:val="006B786D"/>
    <w:rsid w:val="006B7CAC"/>
    <w:rsid w:val="006B7E1B"/>
    <w:rsid w:val="006B7EEE"/>
    <w:rsid w:val="006C0C66"/>
    <w:rsid w:val="006C0FD4"/>
    <w:rsid w:val="006C106A"/>
    <w:rsid w:val="006C1783"/>
    <w:rsid w:val="006C18BD"/>
    <w:rsid w:val="006C2496"/>
    <w:rsid w:val="006C270D"/>
    <w:rsid w:val="006C3439"/>
    <w:rsid w:val="006C3465"/>
    <w:rsid w:val="006C367B"/>
    <w:rsid w:val="006C38BA"/>
    <w:rsid w:val="006C4196"/>
    <w:rsid w:val="006C4492"/>
    <w:rsid w:val="006C4B9E"/>
    <w:rsid w:val="006C5491"/>
    <w:rsid w:val="006C606A"/>
    <w:rsid w:val="006C6387"/>
    <w:rsid w:val="006C6B28"/>
    <w:rsid w:val="006C71A6"/>
    <w:rsid w:val="006C73DA"/>
    <w:rsid w:val="006C784B"/>
    <w:rsid w:val="006C79E3"/>
    <w:rsid w:val="006C7D99"/>
    <w:rsid w:val="006D06F4"/>
    <w:rsid w:val="006D1171"/>
    <w:rsid w:val="006D1652"/>
    <w:rsid w:val="006D1F55"/>
    <w:rsid w:val="006D3810"/>
    <w:rsid w:val="006D39A7"/>
    <w:rsid w:val="006D4894"/>
    <w:rsid w:val="006D4EEB"/>
    <w:rsid w:val="006D54DE"/>
    <w:rsid w:val="006D55A4"/>
    <w:rsid w:val="006D5F7D"/>
    <w:rsid w:val="006D62D7"/>
    <w:rsid w:val="006D69D4"/>
    <w:rsid w:val="006D6C98"/>
    <w:rsid w:val="006D712B"/>
    <w:rsid w:val="006D7987"/>
    <w:rsid w:val="006E0896"/>
    <w:rsid w:val="006E0B7D"/>
    <w:rsid w:val="006E1624"/>
    <w:rsid w:val="006E1803"/>
    <w:rsid w:val="006E2136"/>
    <w:rsid w:val="006E268A"/>
    <w:rsid w:val="006E36BB"/>
    <w:rsid w:val="006E3F03"/>
    <w:rsid w:val="006E3FCA"/>
    <w:rsid w:val="006E422C"/>
    <w:rsid w:val="006E4F3D"/>
    <w:rsid w:val="006E565C"/>
    <w:rsid w:val="006E5881"/>
    <w:rsid w:val="006E6751"/>
    <w:rsid w:val="006E6ADE"/>
    <w:rsid w:val="006E6B4D"/>
    <w:rsid w:val="006E6DDE"/>
    <w:rsid w:val="006E70B3"/>
    <w:rsid w:val="006E737F"/>
    <w:rsid w:val="006E7A32"/>
    <w:rsid w:val="006E7A3C"/>
    <w:rsid w:val="006F0C17"/>
    <w:rsid w:val="006F0F5A"/>
    <w:rsid w:val="006F2691"/>
    <w:rsid w:val="006F31EC"/>
    <w:rsid w:val="006F36F7"/>
    <w:rsid w:val="006F3CCC"/>
    <w:rsid w:val="006F4221"/>
    <w:rsid w:val="006F42E0"/>
    <w:rsid w:val="006F5038"/>
    <w:rsid w:val="006F555F"/>
    <w:rsid w:val="006F748A"/>
    <w:rsid w:val="006F79A4"/>
    <w:rsid w:val="006F7CF0"/>
    <w:rsid w:val="00700A50"/>
    <w:rsid w:val="007014D9"/>
    <w:rsid w:val="00701B82"/>
    <w:rsid w:val="007021CF"/>
    <w:rsid w:val="00702A0C"/>
    <w:rsid w:val="00702DA2"/>
    <w:rsid w:val="007033F7"/>
    <w:rsid w:val="0070350D"/>
    <w:rsid w:val="00703952"/>
    <w:rsid w:val="00704A81"/>
    <w:rsid w:val="007054DA"/>
    <w:rsid w:val="00705774"/>
    <w:rsid w:val="00707318"/>
    <w:rsid w:val="0070798F"/>
    <w:rsid w:val="00707E86"/>
    <w:rsid w:val="00707EFE"/>
    <w:rsid w:val="00710352"/>
    <w:rsid w:val="007108DF"/>
    <w:rsid w:val="00710A1F"/>
    <w:rsid w:val="00711033"/>
    <w:rsid w:val="00711042"/>
    <w:rsid w:val="007116F1"/>
    <w:rsid w:val="00712055"/>
    <w:rsid w:val="00713004"/>
    <w:rsid w:val="00713CD4"/>
    <w:rsid w:val="00713ED6"/>
    <w:rsid w:val="00714206"/>
    <w:rsid w:val="00714507"/>
    <w:rsid w:val="00714B14"/>
    <w:rsid w:val="00714DA4"/>
    <w:rsid w:val="00715D6A"/>
    <w:rsid w:val="00715E5E"/>
    <w:rsid w:val="007162F1"/>
    <w:rsid w:val="00716680"/>
    <w:rsid w:val="00716877"/>
    <w:rsid w:val="00716D67"/>
    <w:rsid w:val="007170AE"/>
    <w:rsid w:val="00717AE8"/>
    <w:rsid w:val="00717C51"/>
    <w:rsid w:val="00717C59"/>
    <w:rsid w:val="00720055"/>
    <w:rsid w:val="0072023E"/>
    <w:rsid w:val="00720780"/>
    <w:rsid w:val="0072086B"/>
    <w:rsid w:val="00720FA5"/>
    <w:rsid w:val="0072171B"/>
    <w:rsid w:val="00721AAC"/>
    <w:rsid w:val="007221DA"/>
    <w:rsid w:val="00722E29"/>
    <w:rsid w:val="007236F8"/>
    <w:rsid w:val="00723994"/>
    <w:rsid w:val="007241A3"/>
    <w:rsid w:val="0072452D"/>
    <w:rsid w:val="007246BE"/>
    <w:rsid w:val="007261E0"/>
    <w:rsid w:val="007300AC"/>
    <w:rsid w:val="007301CA"/>
    <w:rsid w:val="00730485"/>
    <w:rsid w:val="0073099A"/>
    <w:rsid w:val="00731B29"/>
    <w:rsid w:val="0073283D"/>
    <w:rsid w:val="00733308"/>
    <w:rsid w:val="0073370F"/>
    <w:rsid w:val="0073390F"/>
    <w:rsid w:val="007356F7"/>
    <w:rsid w:val="00735D0C"/>
    <w:rsid w:val="00735EA8"/>
    <w:rsid w:val="00735FF9"/>
    <w:rsid w:val="007361A8"/>
    <w:rsid w:val="00736894"/>
    <w:rsid w:val="00736944"/>
    <w:rsid w:val="00736D31"/>
    <w:rsid w:val="00736F77"/>
    <w:rsid w:val="0073737F"/>
    <w:rsid w:val="007376B1"/>
    <w:rsid w:val="00740DC1"/>
    <w:rsid w:val="007410B6"/>
    <w:rsid w:val="00741995"/>
    <w:rsid w:val="00741B46"/>
    <w:rsid w:val="00741BD8"/>
    <w:rsid w:val="0074229B"/>
    <w:rsid w:val="00742CC6"/>
    <w:rsid w:val="007430AA"/>
    <w:rsid w:val="00743B24"/>
    <w:rsid w:val="007443B2"/>
    <w:rsid w:val="00744873"/>
    <w:rsid w:val="00744F4C"/>
    <w:rsid w:val="00744FFF"/>
    <w:rsid w:val="007452B4"/>
    <w:rsid w:val="0074594B"/>
    <w:rsid w:val="00745F66"/>
    <w:rsid w:val="0074602E"/>
    <w:rsid w:val="007462F6"/>
    <w:rsid w:val="007466B0"/>
    <w:rsid w:val="00747FB3"/>
    <w:rsid w:val="007510B0"/>
    <w:rsid w:val="007512BE"/>
    <w:rsid w:val="007521AE"/>
    <w:rsid w:val="00753165"/>
    <w:rsid w:val="00753334"/>
    <w:rsid w:val="00753CB7"/>
    <w:rsid w:val="00753D97"/>
    <w:rsid w:val="007542F6"/>
    <w:rsid w:val="007545FA"/>
    <w:rsid w:val="00755D2A"/>
    <w:rsid w:val="0075638D"/>
    <w:rsid w:val="00756E68"/>
    <w:rsid w:val="00757505"/>
    <w:rsid w:val="00757597"/>
    <w:rsid w:val="00760DAB"/>
    <w:rsid w:val="007621A6"/>
    <w:rsid w:val="00762772"/>
    <w:rsid w:val="007669AB"/>
    <w:rsid w:val="007670EA"/>
    <w:rsid w:val="00767BF8"/>
    <w:rsid w:val="007700F1"/>
    <w:rsid w:val="00770FFE"/>
    <w:rsid w:val="00771091"/>
    <w:rsid w:val="00771660"/>
    <w:rsid w:val="00771BF1"/>
    <w:rsid w:val="007722A6"/>
    <w:rsid w:val="00772666"/>
    <w:rsid w:val="00773F28"/>
    <w:rsid w:val="007743F6"/>
    <w:rsid w:val="00774631"/>
    <w:rsid w:val="00774CDC"/>
    <w:rsid w:val="00775EB6"/>
    <w:rsid w:val="00776DD8"/>
    <w:rsid w:val="0077719B"/>
    <w:rsid w:val="007777C9"/>
    <w:rsid w:val="00780032"/>
    <w:rsid w:val="007814B7"/>
    <w:rsid w:val="00782159"/>
    <w:rsid w:val="00782B96"/>
    <w:rsid w:val="0078381E"/>
    <w:rsid w:val="007839E8"/>
    <w:rsid w:val="007842CA"/>
    <w:rsid w:val="0078444D"/>
    <w:rsid w:val="00784738"/>
    <w:rsid w:val="00785955"/>
    <w:rsid w:val="007859CB"/>
    <w:rsid w:val="00785D89"/>
    <w:rsid w:val="00785F5F"/>
    <w:rsid w:val="00786134"/>
    <w:rsid w:val="00786B26"/>
    <w:rsid w:val="00786D1A"/>
    <w:rsid w:val="00786F6E"/>
    <w:rsid w:val="00786F9F"/>
    <w:rsid w:val="007901AD"/>
    <w:rsid w:val="007902A4"/>
    <w:rsid w:val="0079085C"/>
    <w:rsid w:val="00791ACD"/>
    <w:rsid w:val="00791EB0"/>
    <w:rsid w:val="00791F39"/>
    <w:rsid w:val="00792A6F"/>
    <w:rsid w:val="007930EE"/>
    <w:rsid w:val="007936F2"/>
    <w:rsid w:val="00793724"/>
    <w:rsid w:val="00793C8E"/>
    <w:rsid w:val="00793EE4"/>
    <w:rsid w:val="00794758"/>
    <w:rsid w:val="00794A7D"/>
    <w:rsid w:val="007955D0"/>
    <w:rsid w:val="007961AA"/>
    <w:rsid w:val="007977CA"/>
    <w:rsid w:val="00797880"/>
    <w:rsid w:val="00797F5A"/>
    <w:rsid w:val="007A0109"/>
    <w:rsid w:val="007A013F"/>
    <w:rsid w:val="007A146C"/>
    <w:rsid w:val="007A147B"/>
    <w:rsid w:val="007A18A8"/>
    <w:rsid w:val="007A1BC7"/>
    <w:rsid w:val="007A2106"/>
    <w:rsid w:val="007A247F"/>
    <w:rsid w:val="007A2D1B"/>
    <w:rsid w:val="007A2D64"/>
    <w:rsid w:val="007A3F6E"/>
    <w:rsid w:val="007A464E"/>
    <w:rsid w:val="007A4DA7"/>
    <w:rsid w:val="007A50D0"/>
    <w:rsid w:val="007A535E"/>
    <w:rsid w:val="007A599F"/>
    <w:rsid w:val="007A5F4C"/>
    <w:rsid w:val="007A6F32"/>
    <w:rsid w:val="007A75F5"/>
    <w:rsid w:val="007A79E0"/>
    <w:rsid w:val="007A7E92"/>
    <w:rsid w:val="007B019A"/>
    <w:rsid w:val="007B03F6"/>
    <w:rsid w:val="007B1052"/>
    <w:rsid w:val="007B1417"/>
    <w:rsid w:val="007B16F6"/>
    <w:rsid w:val="007B1955"/>
    <w:rsid w:val="007B1ABB"/>
    <w:rsid w:val="007B25CD"/>
    <w:rsid w:val="007B27FF"/>
    <w:rsid w:val="007B2CAB"/>
    <w:rsid w:val="007B3245"/>
    <w:rsid w:val="007B333A"/>
    <w:rsid w:val="007B3370"/>
    <w:rsid w:val="007B34FE"/>
    <w:rsid w:val="007B3501"/>
    <w:rsid w:val="007B433C"/>
    <w:rsid w:val="007B4670"/>
    <w:rsid w:val="007B7531"/>
    <w:rsid w:val="007B7ED8"/>
    <w:rsid w:val="007C086D"/>
    <w:rsid w:val="007C09A8"/>
    <w:rsid w:val="007C1647"/>
    <w:rsid w:val="007C1671"/>
    <w:rsid w:val="007C1E42"/>
    <w:rsid w:val="007C2385"/>
    <w:rsid w:val="007C23DE"/>
    <w:rsid w:val="007C3112"/>
    <w:rsid w:val="007C31B8"/>
    <w:rsid w:val="007C518E"/>
    <w:rsid w:val="007C61DF"/>
    <w:rsid w:val="007C6296"/>
    <w:rsid w:val="007C639A"/>
    <w:rsid w:val="007C66CE"/>
    <w:rsid w:val="007C7453"/>
    <w:rsid w:val="007C7548"/>
    <w:rsid w:val="007C7B84"/>
    <w:rsid w:val="007D034D"/>
    <w:rsid w:val="007D08AF"/>
    <w:rsid w:val="007D08C6"/>
    <w:rsid w:val="007D0B5D"/>
    <w:rsid w:val="007D0E28"/>
    <w:rsid w:val="007D17C5"/>
    <w:rsid w:val="007D1A26"/>
    <w:rsid w:val="007D21EE"/>
    <w:rsid w:val="007D22FE"/>
    <w:rsid w:val="007D321F"/>
    <w:rsid w:val="007D34BD"/>
    <w:rsid w:val="007D4559"/>
    <w:rsid w:val="007D4D5A"/>
    <w:rsid w:val="007D5845"/>
    <w:rsid w:val="007D5F2F"/>
    <w:rsid w:val="007D659D"/>
    <w:rsid w:val="007D6624"/>
    <w:rsid w:val="007D67ED"/>
    <w:rsid w:val="007D6863"/>
    <w:rsid w:val="007E0773"/>
    <w:rsid w:val="007E1324"/>
    <w:rsid w:val="007E26A8"/>
    <w:rsid w:val="007E2AF2"/>
    <w:rsid w:val="007E2B57"/>
    <w:rsid w:val="007E300A"/>
    <w:rsid w:val="007E4184"/>
    <w:rsid w:val="007E431E"/>
    <w:rsid w:val="007E46F2"/>
    <w:rsid w:val="007E55E3"/>
    <w:rsid w:val="007E6032"/>
    <w:rsid w:val="007E62A2"/>
    <w:rsid w:val="007E67D9"/>
    <w:rsid w:val="007E747B"/>
    <w:rsid w:val="007E7754"/>
    <w:rsid w:val="007E7D84"/>
    <w:rsid w:val="007F00AA"/>
    <w:rsid w:val="007F19EC"/>
    <w:rsid w:val="007F1EF2"/>
    <w:rsid w:val="007F23A4"/>
    <w:rsid w:val="007F256B"/>
    <w:rsid w:val="007F2D69"/>
    <w:rsid w:val="007F35DD"/>
    <w:rsid w:val="007F3A12"/>
    <w:rsid w:val="007F3E57"/>
    <w:rsid w:val="007F4895"/>
    <w:rsid w:val="007F4B12"/>
    <w:rsid w:val="007F5030"/>
    <w:rsid w:val="007F601D"/>
    <w:rsid w:val="007F677B"/>
    <w:rsid w:val="007F6B78"/>
    <w:rsid w:val="007F7157"/>
    <w:rsid w:val="007F755F"/>
    <w:rsid w:val="00800194"/>
    <w:rsid w:val="008007F3"/>
    <w:rsid w:val="00800804"/>
    <w:rsid w:val="00801057"/>
    <w:rsid w:val="00801B9B"/>
    <w:rsid w:val="00802C47"/>
    <w:rsid w:val="00802D52"/>
    <w:rsid w:val="00803609"/>
    <w:rsid w:val="0080374E"/>
    <w:rsid w:val="008037A6"/>
    <w:rsid w:val="00803EA8"/>
    <w:rsid w:val="00804836"/>
    <w:rsid w:val="00804986"/>
    <w:rsid w:val="00804BB8"/>
    <w:rsid w:val="00804D50"/>
    <w:rsid w:val="00805537"/>
    <w:rsid w:val="00805583"/>
    <w:rsid w:val="0080632A"/>
    <w:rsid w:val="00806502"/>
    <w:rsid w:val="00806B63"/>
    <w:rsid w:val="008071C3"/>
    <w:rsid w:val="00807C26"/>
    <w:rsid w:val="00811A67"/>
    <w:rsid w:val="00811F52"/>
    <w:rsid w:val="00812108"/>
    <w:rsid w:val="0081237D"/>
    <w:rsid w:val="008123DA"/>
    <w:rsid w:val="00812B15"/>
    <w:rsid w:val="00813376"/>
    <w:rsid w:val="008134D1"/>
    <w:rsid w:val="00813C68"/>
    <w:rsid w:val="00814DC4"/>
    <w:rsid w:val="0081509B"/>
    <w:rsid w:val="00815175"/>
    <w:rsid w:val="0081543A"/>
    <w:rsid w:val="00815D47"/>
    <w:rsid w:val="00816546"/>
    <w:rsid w:val="00817629"/>
    <w:rsid w:val="00820AD7"/>
    <w:rsid w:val="00820C08"/>
    <w:rsid w:val="008211D0"/>
    <w:rsid w:val="00822BD4"/>
    <w:rsid w:val="00823C9C"/>
    <w:rsid w:val="00824864"/>
    <w:rsid w:val="00824917"/>
    <w:rsid w:val="008250BD"/>
    <w:rsid w:val="008256E3"/>
    <w:rsid w:val="00827039"/>
    <w:rsid w:val="00827A93"/>
    <w:rsid w:val="00827DEA"/>
    <w:rsid w:val="00827F35"/>
    <w:rsid w:val="008303F9"/>
    <w:rsid w:val="008311C6"/>
    <w:rsid w:val="00831434"/>
    <w:rsid w:val="00831B47"/>
    <w:rsid w:val="0083239E"/>
    <w:rsid w:val="00832A58"/>
    <w:rsid w:val="008331AA"/>
    <w:rsid w:val="0083354A"/>
    <w:rsid w:val="00833BE5"/>
    <w:rsid w:val="00833E5B"/>
    <w:rsid w:val="008343D5"/>
    <w:rsid w:val="008347E2"/>
    <w:rsid w:val="00834A95"/>
    <w:rsid w:val="00834B47"/>
    <w:rsid w:val="0083690E"/>
    <w:rsid w:val="008375D7"/>
    <w:rsid w:val="008375E5"/>
    <w:rsid w:val="0084056F"/>
    <w:rsid w:val="0084059A"/>
    <w:rsid w:val="00841775"/>
    <w:rsid w:val="00841AEE"/>
    <w:rsid w:val="00841C59"/>
    <w:rsid w:val="00842222"/>
    <w:rsid w:val="00842AA6"/>
    <w:rsid w:val="00842C7C"/>
    <w:rsid w:val="00843447"/>
    <w:rsid w:val="00843702"/>
    <w:rsid w:val="008442D1"/>
    <w:rsid w:val="00844C47"/>
    <w:rsid w:val="00844C5E"/>
    <w:rsid w:val="008469CA"/>
    <w:rsid w:val="00846A56"/>
    <w:rsid w:val="00847454"/>
    <w:rsid w:val="00847741"/>
    <w:rsid w:val="00850937"/>
    <w:rsid w:val="00850B9A"/>
    <w:rsid w:val="00851116"/>
    <w:rsid w:val="008515E1"/>
    <w:rsid w:val="00851FB5"/>
    <w:rsid w:val="00852895"/>
    <w:rsid w:val="00852F94"/>
    <w:rsid w:val="00853820"/>
    <w:rsid w:val="00853B4C"/>
    <w:rsid w:val="0085458C"/>
    <w:rsid w:val="00854695"/>
    <w:rsid w:val="0085483F"/>
    <w:rsid w:val="00854DCB"/>
    <w:rsid w:val="008554D6"/>
    <w:rsid w:val="00855CE4"/>
    <w:rsid w:val="00855E13"/>
    <w:rsid w:val="008568C2"/>
    <w:rsid w:val="00856B32"/>
    <w:rsid w:val="00856C42"/>
    <w:rsid w:val="00856D29"/>
    <w:rsid w:val="008606CD"/>
    <w:rsid w:val="00861254"/>
    <w:rsid w:val="00862C5E"/>
    <w:rsid w:val="00862DDD"/>
    <w:rsid w:val="00862F9E"/>
    <w:rsid w:val="008634BF"/>
    <w:rsid w:val="008636FF"/>
    <w:rsid w:val="008638BA"/>
    <w:rsid w:val="0086433F"/>
    <w:rsid w:val="008657A7"/>
    <w:rsid w:val="00865CE4"/>
    <w:rsid w:val="0086657A"/>
    <w:rsid w:val="00866E7E"/>
    <w:rsid w:val="0087014B"/>
    <w:rsid w:val="008701C9"/>
    <w:rsid w:val="0087082C"/>
    <w:rsid w:val="00870C71"/>
    <w:rsid w:val="0087146C"/>
    <w:rsid w:val="00871656"/>
    <w:rsid w:val="00871B44"/>
    <w:rsid w:val="00872CCB"/>
    <w:rsid w:val="00872E71"/>
    <w:rsid w:val="00873CA0"/>
    <w:rsid w:val="00874AC5"/>
    <w:rsid w:val="00874B22"/>
    <w:rsid w:val="00875484"/>
    <w:rsid w:val="0087590F"/>
    <w:rsid w:val="00875B5B"/>
    <w:rsid w:val="00875E0F"/>
    <w:rsid w:val="00877522"/>
    <w:rsid w:val="008778AD"/>
    <w:rsid w:val="0087791C"/>
    <w:rsid w:val="00880ACF"/>
    <w:rsid w:val="00881285"/>
    <w:rsid w:val="00881CE4"/>
    <w:rsid w:val="00882042"/>
    <w:rsid w:val="00882534"/>
    <w:rsid w:val="00882862"/>
    <w:rsid w:val="00882C95"/>
    <w:rsid w:val="00883624"/>
    <w:rsid w:val="00883913"/>
    <w:rsid w:val="00883F59"/>
    <w:rsid w:val="00883FF6"/>
    <w:rsid w:val="008840DF"/>
    <w:rsid w:val="0088548C"/>
    <w:rsid w:val="008858BB"/>
    <w:rsid w:val="008874BF"/>
    <w:rsid w:val="00887DFC"/>
    <w:rsid w:val="0089165F"/>
    <w:rsid w:val="008917BE"/>
    <w:rsid w:val="0089208C"/>
    <w:rsid w:val="008921C3"/>
    <w:rsid w:val="0089292F"/>
    <w:rsid w:val="0089301E"/>
    <w:rsid w:val="008931AA"/>
    <w:rsid w:val="00893401"/>
    <w:rsid w:val="008943F3"/>
    <w:rsid w:val="00895E28"/>
    <w:rsid w:val="00896061"/>
    <w:rsid w:val="00896AAF"/>
    <w:rsid w:val="00897915"/>
    <w:rsid w:val="008A0212"/>
    <w:rsid w:val="008A0937"/>
    <w:rsid w:val="008A157D"/>
    <w:rsid w:val="008A2245"/>
    <w:rsid w:val="008A28E5"/>
    <w:rsid w:val="008A4214"/>
    <w:rsid w:val="008A4787"/>
    <w:rsid w:val="008A4932"/>
    <w:rsid w:val="008A50F7"/>
    <w:rsid w:val="008A5432"/>
    <w:rsid w:val="008A54D0"/>
    <w:rsid w:val="008A6584"/>
    <w:rsid w:val="008A6FD2"/>
    <w:rsid w:val="008A79D2"/>
    <w:rsid w:val="008B0567"/>
    <w:rsid w:val="008B0E4B"/>
    <w:rsid w:val="008B1C51"/>
    <w:rsid w:val="008B2BA2"/>
    <w:rsid w:val="008B488E"/>
    <w:rsid w:val="008B4F3E"/>
    <w:rsid w:val="008B4FDA"/>
    <w:rsid w:val="008B54D4"/>
    <w:rsid w:val="008B55E3"/>
    <w:rsid w:val="008B5DBB"/>
    <w:rsid w:val="008B627B"/>
    <w:rsid w:val="008B6916"/>
    <w:rsid w:val="008B699B"/>
    <w:rsid w:val="008B7119"/>
    <w:rsid w:val="008B7C5A"/>
    <w:rsid w:val="008B7EA7"/>
    <w:rsid w:val="008B7EC8"/>
    <w:rsid w:val="008C0258"/>
    <w:rsid w:val="008C0C7A"/>
    <w:rsid w:val="008C1695"/>
    <w:rsid w:val="008C1816"/>
    <w:rsid w:val="008C2FC1"/>
    <w:rsid w:val="008C3469"/>
    <w:rsid w:val="008C4003"/>
    <w:rsid w:val="008C4424"/>
    <w:rsid w:val="008C4DB4"/>
    <w:rsid w:val="008C558A"/>
    <w:rsid w:val="008C59C5"/>
    <w:rsid w:val="008C5AF2"/>
    <w:rsid w:val="008C5CE4"/>
    <w:rsid w:val="008C63F0"/>
    <w:rsid w:val="008C64F5"/>
    <w:rsid w:val="008C6543"/>
    <w:rsid w:val="008C6E55"/>
    <w:rsid w:val="008C6F63"/>
    <w:rsid w:val="008C7114"/>
    <w:rsid w:val="008C76D1"/>
    <w:rsid w:val="008C7BA9"/>
    <w:rsid w:val="008C7BF5"/>
    <w:rsid w:val="008D019A"/>
    <w:rsid w:val="008D02D1"/>
    <w:rsid w:val="008D1522"/>
    <w:rsid w:val="008D163D"/>
    <w:rsid w:val="008D1989"/>
    <w:rsid w:val="008D2270"/>
    <w:rsid w:val="008D269D"/>
    <w:rsid w:val="008D2A38"/>
    <w:rsid w:val="008D2D4A"/>
    <w:rsid w:val="008D2E4A"/>
    <w:rsid w:val="008D2F22"/>
    <w:rsid w:val="008D3214"/>
    <w:rsid w:val="008D4491"/>
    <w:rsid w:val="008D46A1"/>
    <w:rsid w:val="008D5522"/>
    <w:rsid w:val="008D669B"/>
    <w:rsid w:val="008D69F5"/>
    <w:rsid w:val="008D6CAE"/>
    <w:rsid w:val="008D6E8B"/>
    <w:rsid w:val="008D7113"/>
    <w:rsid w:val="008D7553"/>
    <w:rsid w:val="008D79FB"/>
    <w:rsid w:val="008D7DB6"/>
    <w:rsid w:val="008E08C2"/>
    <w:rsid w:val="008E1572"/>
    <w:rsid w:val="008E1813"/>
    <w:rsid w:val="008E2138"/>
    <w:rsid w:val="008E2218"/>
    <w:rsid w:val="008E2CFA"/>
    <w:rsid w:val="008E2DCF"/>
    <w:rsid w:val="008E33A1"/>
    <w:rsid w:val="008E4406"/>
    <w:rsid w:val="008E4445"/>
    <w:rsid w:val="008E4BDE"/>
    <w:rsid w:val="008E5931"/>
    <w:rsid w:val="008E5D47"/>
    <w:rsid w:val="008E637E"/>
    <w:rsid w:val="008E6388"/>
    <w:rsid w:val="008E69F7"/>
    <w:rsid w:val="008E6FFE"/>
    <w:rsid w:val="008E7208"/>
    <w:rsid w:val="008E740D"/>
    <w:rsid w:val="008E7C38"/>
    <w:rsid w:val="008F023E"/>
    <w:rsid w:val="008F10AA"/>
    <w:rsid w:val="008F10C2"/>
    <w:rsid w:val="008F12EA"/>
    <w:rsid w:val="008F143E"/>
    <w:rsid w:val="008F153D"/>
    <w:rsid w:val="008F1998"/>
    <w:rsid w:val="008F21DD"/>
    <w:rsid w:val="008F30A0"/>
    <w:rsid w:val="008F3FDE"/>
    <w:rsid w:val="008F41E6"/>
    <w:rsid w:val="008F4617"/>
    <w:rsid w:val="008F517E"/>
    <w:rsid w:val="008F5A40"/>
    <w:rsid w:val="008F60DA"/>
    <w:rsid w:val="008F6397"/>
    <w:rsid w:val="008F6FF1"/>
    <w:rsid w:val="008F75E6"/>
    <w:rsid w:val="0090055F"/>
    <w:rsid w:val="009007B6"/>
    <w:rsid w:val="009007F0"/>
    <w:rsid w:val="00901B4B"/>
    <w:rsid w:val="00901F8E"/>
    <w:rsid w:val="00902009"/>
    <w:rsid w:val="00902319"/>
    <w:rsid w:val="0090329A"/>
    <w:rsid w:val="00903F02"/>
    <w:rsid w:val="0090449A"/>
    <w:rsid w:val="009053B2"/>
    <w:rsid w:val="00905487"/>
    <w:rsid w:val="00905566"/>
    <w:rsid w:val="00905927"/>
    <w:rsid w:val="00905C6F"/>
    <w:rsid w:val="00905C7D"/>
    <w:rsid w:val="00905D88"/>
    <w:rsid w:val="009067FE"/>
    <w:rsid w:val="00906EAA"/>
    <w:rsid w:val="00906F98"/>
    <w:rsid w:val="009070B4"/>
    <w:rsid w:val="009071CB"/>
    <w:rsid w:val="0091125E"/>
    <w:rsid w:val="009115AF"/>
    <w:rsid w:val="00911E70"/>
    <w:rsid w:val="0091268E"/>
    <w:rsid w:val="00912C9F"/>
    <w:rsid w:val="00912DA2"/>
    <w:rsid w:val="00913A30"/>
    <w:rsid w:val="0091419F"/>
    <w:rsid w:val="009153F3"/>
    <w:rsid w:val="00915AA0"/>
    <w:rsid w:val="009161D0"/>
    <w:rsid w:val="0091684C"/>
    <w:rsid w:val="00916DF8"/>
    <w:rsid w:val="00917428"/>
    <w:rsid w:val="009176FB"/>
    <w:rsid w:val="009177AC"/>
    <w:rsid w:val="00917DC6"/>
    <w:rsid w:val="0092038A"/>
    <w:rsid w:val="009204FA"/>
    <w:rsid w:val="009206C2"/>
    <w:rsid w:val="00920B60"/>
    <w:rsid w:val="00921205"/>
    <w:rsid w:val="009212E8"/>
    <w:rsid w:val="009215E3"/>
    <w:rsid w:val="00921A27"/>
    <w:rsid w:val="00921ADB"/>
    <w:rsid w:val="00922958"/>
    <w:rsid w:val="00922DD1"/>
    <w:rsid w:val="0092301C"/>
    <w:rsid w:val="009230C9"/>
    <w:rsid w:val="009234BB"/>
    <w:rsid w:val="00923D4C"/>
    <w:rsid w:val="00924A51"/>
    <w:rsid w:val="00925B80"/>
    <w:rsid w:val="00925CAA"/>
    <w:rsid w:val="0092689C"/>
    <w:rsid w:val="0092726C"/>
    <w:rsid w:val="0092769A"/>
    <w:rsid w:val="00927A52"/>
    <w:rsid w:val="00927F5C"/>
    <w:rsid w:val="00931B3F"/>
    <w:rsid w:val="00933CB3"/>
    <w:rsid w:val="00934030"/>
    <w:rsid w:val="0093432D"/>
    <w:rsid w:val="009345AC"/>
    <w:rsid w:val="00935039"/>
    <w:rsid w:val="009353D9"/>
    <w:rsid w:val="00935E48"/>
    <w:rsid w:val="00936430"/>
    <w:rsid w:val="00936BC8"/>
    <w:rsid w:val="00937C45"/>
    <w:rsid w:val="009415E5"/>
    <w:rsid w:val="00941806"/>
    <w:rsid w:val="00941875"/>
    <w:rsid w:val="00942037"/>
    <w:rsid w:val="009420B9"/>
    <w:rsid w:val="00942174"/>
    <w:rsid w:val="009421B2"/>
    <w:rsid w:val="0094290F"/>
    <w:rsid w:val="009429F2"/>
    <w:rsid w:val="00942BF6"/>
    <w:rsid w:val="00942F59"/>
    <w:rsid w:val="00943436"/>
    <w:rsid w:val="00943BFA"/>
    <w:rsid w:val="00944A05"/>
    <w:rsid w:val="00945825"/>
    <w:rsid w:val="0094658E"/>
    <w:rsid w:val="0094671F"/>
    <w:rsid w:val="0094674F"/>
    <w:rsid w:val="00946818"/>
    <w:rsid w:val="00946B57"/>
    <w:rsid w:val="009472A3"/>
    <w:rsid w:val="009477B3"/>
    <w:rsid w:val="009513DA"/>
    <w:rsid w:val="00954626"/>
    <w:rsid w:val="0095487B"/>
    <w:rsid w:val="009548FB"/>
    <w:rsid w:val="00956646"/>
    <w:rsid w:val="009567E8"/>
    <w:rsid w:val="00956810"/>
    <w:rsid w:val="00956D18"/>
    <w:rsid w:val="00957B24"/>
    <w:rsid w:val="00960BF6"/>
    <w:rsid w:val="0096294B"/>
    <w:rsid w:val="0096326C"/>
    <w:rsid w:val="00963414"/>
    <w:rsid w:val="00963BF7"/>
    <w:rsid w:val="00964C97"/>
    <w:rsid w:val="00964E84"/>
    <w:rsid w:val="009657B6"/>
    <w:rsid w:val="00966266"/>
    <w:rsid w:val="00966793"/>
    <w:rsid w:val="00966877"/>
    <w:rsid w:val="00966F16"/>
    <w:rsid w:val="00967AFE"/>
    <w:rsid w:val="00967BF7"/>
    <w:rsid w:val="00970CAF"/>
    <w:rsid w:val="00970E80"/>
    <w:rsid w:val="009712FD"/>
    <w:rsid w:val="00971E2D"/>
    <w:rsid w:val="009729AC"/>
    <w:rsid w:val="00973497"/>
    <w:rsid w:val="00973879"/>
    <w:rsid w:val="00973968"/>
    <w:rsid w:val="009739D7"/>
    <w:rsid w:val="00973DE4"/>
    <w:rsid w:val="00973DF2"/>
    <w:rsid w:val="00974D45"/>
    <w:rsid w:val="00975714"/>
    <w:rsid w:val="0097574C"/>
    <w:rsid w:val="00975FED"/>
    <w:rsid w:val="00976770"/>
    <w:rsid w:val="00976ACA"/>
    <w:rsid w:val="00980155"/>
    <w:rsid w:val="0098103A"/>
    <w:rsid w:val="00982A05"/>
    <w:rsid w:val="00983522"/>
    <w:rsid w:val="009839CA"/>
    <w:rsid w:val="00983E38"/>
    <w:rsid w:val="009842DA"/>
    <w:rsid w:val="00985306"/>
    <w:rsid w:val="0098581C"/>
    <w:rsid w:val="00985B8B"/>
    <w:rsid w:val="00986895"/>
    <w:rsid w:val="009868A1"/>
    <w:rsid w:val="00986F86"/>
    <w:rsid w:val="00986F97"/>
    <w:rsid w:val="0098713C"/>
    <w:rsid w:val="009872BF"/>
    <w:rsid w:val="00987CD7"/>
    <w:rsid w:val="00987DDD"/>
    <w:rsid w:val="00987DE8"/>
    <w:rsid w:val="00987F30"/>
    <w:rsid w:val="009907B4"/>
    <w:rsid w:val="00991351"/>
    <w:rsid w:val="009913A5"/>
    <w:rsid w:val="009914DB"/>
    <w:rsid w:val="0099180A"/>
    <w:rsid w:val="00991D04"/>
    <w:rsid w:val="00992227"/>
    <w:rsid w:val="00993B98"/>
    <w:rsid w:val="00993CA0"/>
    <w:rsid w:val="00993DA3"/>
    <w:rsid w:val="00993F22"/>
    <w:rsid w:val="009946AE"/>
    <w:rsid w:val="00994A50"/>
    <w:rsid w:val="00994BAC"/>
    <w:rsid w:val="00995673"/>
    <w:rsid w:val="0099607C"/>
    <w:rsid w:val="00996684"/>
    <w:rsid w:val="00996D07"/>
    <w:rsid w:val="00996EE9"/>
    <w:rsid w:val="0099714E"/>
    <w:rsid w:val="00997C8E"/>
    <w:rsid w:val="00997F93"/>
    <w:rsid w:val="00997FE7"/>
    <w:rsid w:val="009A1351"/>
    <w:rsid w:val="009A2108"/>
    <w:rsid w:val="009A2FDF"/>
    <w:rsid w:val="009A347A"/>
    <w:rsid w:val="009A3C15"/>
    <w:rsid w:val="009A3D91"/>
    <w:rsid w:val="009A3F0D"/>
    <w:rsid w:val="009A4407"/>
    <w:rsid w:val="009A455C"/>
    <w:rsid w:val="009A457D"/>
    <w:rsid w:val="009A45BA"/>
    <w:rsid w:val="009A4A2F"/>
    <w:rsid w:val="009A541E"/>
    <w:rsid w:val="009A640B"/>
    <w:rsid w:val="009A6537"/>
    <w:rsid w:val="009A6999"/>
    <w:rsid w:val="009A752F"/>
    <w:rsid w:val="009B017C"/>
    <w:rsid w:val="009B1D4F"/>
    <w:rsid w:val="009B2265"/>
    <w:rsid w:val="009B26D0"/>
    <w:rsid w:val="009B286A"/>
    <w:rsid w:val="009B3015"/>
    <w:rsid w:val="009B3372"/>
    <w:rsid w:val="009B34F6"/>
    <w:rsid w:val="009B3AF7"/>
    <w:rsid w:val="009B4238"/>
    <w:rsid w:val="009B6A88"/>
    <w:rsid w:val="009B6D27"/>
    <w:rsid w:val="009B6ECC"/>
    <w:rsid w:val="009B6EE9"/>
    <w:rsid w:val="009B718B"/>
    <w:rsid w:val="009B727D"/>
    <w:rsid w:val="009B7CA7"/>
    <w:rsid w:val="009B7FA8"/>
    <w:rsid w:val="009C0898"/>
    <w:rsid w:val="009C0C2B"/>
    <w:rsid w:val="009C0F04"/>
    <w:rsid w:val="009C16FF"/>
    <w:rsid w:val="009C212D"/>
    <w:rsid w:val="009C2AD4"/>
    <w:rsid w:val="009C2E20"/>
    <w:rsid w:val="009C2F56"/>
    <w:rsid w:val="009C31B6"/>
    <w:rsid w:val="009C321F"/>
    <w:rsid w:val="009C32EB"/>
    <w:rsid w:val="009C46E5"/>
    <w:rsid w:val="009C4C3D"/>
    <w:rsid w:val="009C5CD0"/>
    <w:rsid w:val="009C6768"/>
    <w:rsid w:val="009C6D2C"/>
    <w:rsid w:val="009C6D88"/>
    <w:rsid w:val="009C7139"/>
    <w:rsid w:val="009C7357"/>
    <w:rsid w:val="009C78D7"/>
    <w:rsid w:val="009C7C60"/>
    <w:rsid w:val="009D0224"/>
    <w:rsid w:val="009D08FD"/>
    <w:rsid w:val="009D11B4"/>
    <w:rsid w:val="009D11DD"/>
    <w:rsid w:val="009D252F"/>
    <w:rsid w:val="009D256F"/>
    <w:rsid w:val="009D29F7"/>
    <w:rsid w:val="009D2A94"/>
    <w:rsid w:val="009D2BE3"/>
    <w:rsid w:val="009D2D76"/>
    <w:rsid w:val="009D5727"/>
    <w:rsid w:val="009D5973"/>
    <w:rsid w:val="009D7441"/>
    <w:rsid w:val="009D77DB"/>
    <w:rsid w:val="009D7C26"/>
    <w:rsid w:val="009E0371"/>
    <w:rsid w:val="009E0898"/>
    <w:rsid w:val="009E169C"/>
    <w:rsid w:val="009E177B"/>
    <w:rsid w:val="009E1916"/>
    <w:rsid w:val="009E2A08"/>
    <w:rsid w:val="009E35B3"/>
    <w:rsid w:val="009E4BCD"/>
    <w:rsid w:val="009E4D65"/>
    <w:rsid w:val="009E4ECB"/>
    <w:rsid w:val="009E4FFD"/>
    <w:rsid w:val="009E5657"/>
    <w:rsid w:val="009E5AFE"/>
    <w:rsid w:val="009E61A4"/>
    <w:rsid w:val="009E641E"/>
    <w:rsid w:val="009E6B0A"/>
    <w:rsid w:val="009E6E1B"/>
    <w:rsid w:val="009F0262"/>
    <w:rsid w:val="009F05F2"/>
    <w:rsid w:val="009F0BC9"/>
    <w:rsid w:val="009F10CE"/>
    <w:rsid w:val="009F1214"/>
    <w:rsid w:val="009F12C0"/>
    <w:rsid w:val="009F18B8"/>
    <w:rsid w:val="009F19AE"/>
    <w:rsid w:val="009F20D5"/>
    <w:rsid w:val="009F34AD"/>
    <w:rsid w:val="009F354F"/>
    <w:rsid w:val="009F5892"/>
    <w:rsid w:val="009F5ECF"/>
    <w:rsid w:val="009F6589"/>
    <w:rsid w:val="009F69FE"/>
    <w:rsid w:val="009F7503"/>
    <w:rsid w:val="009F7BE6"/>
    <w:rsid w:val="00A000F9"/>
    <w:rsid w:val="00A0050A"/>
    <w:rsid w:val="00A008B0"/>
    <w:rsid w:val="00A01070"/>
    <w:rsid w:val="00A0177C"/>
    <w:rsid w:val="00A02350"/>
    <w:rsid w:val="00A0308F"/>
    <w:rsid w:val="00A03CA2"/>
    <w:rsid w:val="00A0455B"/>
    <w:rsid w:val="00A049DC"/>
    <w:rsid w:val="00A04DC4"/>
    <w:rsid w:val="00A05253"/>
    <w:rsid w:val="00A064DD"/>
    <w:rsid w:val="00A0653F"/>
    <w:rsid w:val="00A065E4"/>
    <w:rsid w:val="00A066A2"/>
    <w:rsid w:val="00A066CC"/>
    <w:rsid w:val="00A0685D"/>
    <w:rsid w:val="00A068D9"/>
    <w:rsid w:val="00A101F3"/>
    <w:rsid w:val="00A11404"/>
    <w:rsid w:val="00A11AC8"/>
    <w:rsid w:val="00A121FA"/>
    <w:rsid w:val="00A12232"/>
    <w:rsid w:val="00A126AD"/>
    <w:rsid w:val="00A12717"/>
    <w:rsid w:val="00A12CC9"/>
    <w:rsid w:val="00A13037"/>
    <w:rsid w:val="00A1310F"/>
    <w:rsid w:val="00A1370E"/>
    <w:rsid w:val="00A145C9"/>
    <w:rsid w:val="00A15B2E"/>
    <w:rsid w:val="00A16461"/>
    <w:rsid w:val="00A16B95"/>
    <w:rsid w:val="00A17D4C"/>
    <w:rsid w:val="00A20871"/>
    <w:rsid w:val="00A20BDF"/>
    <w:rsid w:val="00A20F90"/>
    <w:rsid w:val="00A21513"/>
    <w:rsid w:val="00A22231"/>
    <w:rsid w:val="00A22426"/>
    <w:rsid w:val="00A23388"/>
    <w:rsid w:val="00A2368F"/>
    <w:rsid w:val="00A239D8"/>
    <w:rsid w:val="00A25490"/>
    <w:rsid w:val="00A25612"/>
    <w:rsid w:val="00A258FB"/>
    <w:rsid w:val="00A25A48"/>
    <w:rsid w:val="00A269D6"/>
    <w:rsid w:val="00A26DA7"/>
    <w:rsid w:val="00A27685"/>
    <w:rsid w:val="00A30BC0"/>
    <w:rsid w:val="00A30C24"/>
    <w:rsid w:val="00A31300"/>
    <w:rsid w:val="00A315E0"/>
    <w:rsid w:val="00A32FA4"/>
    <w:rsid w:val="00A33B3F"/>
    <w:rsid w:val="00A33F1F"/>
    <w:rsid w:val="00A33F76"/>
    <w:rsid w:val="00A3441E"/>
    <w:rsid w:val="00A3443D"/>
    <w:rsid w:val="00A34B55"/>
    <w:rsid w:val="00A34D78"/>
    <w:rsid w:val="00A351CC"/>
    <w:rsid w:val="00A3521B"/>
    <w:rsid w:val="00A35550"/>
    <w:rsid w:val="00A35D25"/>
    <w:rsid w:val="00A366EC"/>
    <w:rsid w:val="00A367D4"/>
    <w:rsid w:val="00A36828"/>
    <w:rsid w:val="00A375C3"/>
    <w:rsid w:val="00A379B1"/>
    <w:rsid w:val="00A37BDA"/>
    <w:rsid w:val="00A37E13"/>
    <w:rsid w:val="00A37E8C"/>
    <w:rsid w:val="00A4098A"/>
    <w:rsid w:val="00A414C6"/>
    <w:rsid w:val="00A41595"/>
    <w:rsid w:val="00A41AA1"/>
    <w:rsid w:val="00A41ABD"/>
    <w:rsid w:val="00A41B5F"/>
    <w:rsid w:val="00A42180"/>
    <w:rsid w:val="00A42195"/>
    <w:rsid w:val="00A43645"/>
    <w:rsid w:val="00A43869"/>
    <w:rsid w:val="00A43C6D"/>
    <w:rsid w:val="00A44187"/>
    <w:rsid w:val="00A45670"/>
    <w:rsid w:val="00A458EA"/>
    <w:rsid w:val="00A45F4F"/>
    <w:rsid w:val="00A463EF"/>
    <w:rsid w:val="00A50208"/>
    <w:rsid w:val="00A51416"/>
    <w:rsid w:val="00A5170E"/>
    <w:rsid w:val="00A51A21"/>
    <w:rsid w:val="00A51AC9"/>
    <w:rsid w:val="00A51DEE"/>
    <w:rsid w:val="00A52015"/>
    <w:rsid w:val="00A52939"/>
    <w:rsid w:val="00A53746"/>
    <w:rsid w:val="00A53963"/>
    <w:rsid w:val="00A53DD0"/>
    <w:rsid w:val="00A5508C"/>
    <w:rsid w:val="00A55578"/>
    <w:rsid w:val="00A565B1"/>
    <w:rsid w:val="00A5661C"/>
    <w:rsid w:val="00A60636"/>
    <w:rsid w:val="00A60999"/>
    <w:rsid w:val="00A60AB1"/>
    <w:rsid w:val="00A60FFF"/>
    <w:rsid w:val="00A613A9"/>
    <w:rsid w:val="00A61813"/>
    <w:rsid w:val="00A6186F"/>
    <w:rsid w:val="00A62582"/>
    <w:rsid w:val="00A62BAD"/>
    <w:rsid w:val="00A62E70"/>
    <w:rsid w:val="00A637E4"/>
    <w:rsid w:val="00A63922"/>
    <w:rsid w:val="00A6421D"/>
    <w:rsid w:val="00A642B4"/>
    <w:rsid w:val="00A65735"/>
    <w:rsid w:val="00A659D1"/>
    <w:rsid w:val="00A65A75"/>
    <w:rsid w:val="00A65F4B"/>
    <w:rsid w:val="00A67E11"/>
    <w:rsid w:val="00A67E39"/>
    <w:rsid w:val="00A70754"/>
    <w:rsid w:val="00A70D28"/>
    <w:rsid w:val="00A715B2"/>
    <w:rsid w:val="00A717A4"/>
    <w:rsid w:val="00A71836"/>
    <w:rsid w:val="00A71985"/>
    <w:rsid w:val="00A725E5"/>
    <w:rsid w:val="00A735C3"/>
    <w:rsid w:val="00A73A58"/>
    <w:rsid w:val="00A74846"/>
    <w:rsid w:val="00A74F83"/>
    <w:rsid w:val="00A75156"/>
    <w:rsid w:val="00A7583C"/>
    <w:rsid w:val="00A75E5F"/>
    <w:rsid w:val="00A76ABC"/>
    <w:rsid w:val="00A774E7"/>
    <w:rsid w:val="00A7753F"/>
    <w:rsid w:val="00A77EB5"/>
    <w:rsid w:val="00A801A2"/>
    <w:rsid w:val="00A80C19"/>
    <w:rsid w:val="00A818A6"/>
    <w:rsid w:val="00A820E1"/>
    <w:rsid w:val="00A82723"/>
    <w:rsid w:val="00A8275C"/>
    <w:rsid w:val="00A82E00"/>
    <w:rsid w:val="00A83951"/>
    <w:rsid w:val="00A83A00"/>
    <w:rsid w:val="00A844D0"/>
    <w:rsid w:val="00A845EB"/>
    <w:rsid w:val="00A84767"/>
    <w:rsid w:val="00A84E63"/>
    <w:rsid w:val="00A84E68"/>
    <w:rsid w:val="00A85329"/>
    <w:rsid w:val="00A858AF"/>
    <w:rsid w:val="00A861A8"/>
    <w:rsid w:val="00A8689A"/>
    <w:rsid w:val="00A86916"/>
    <w:rsid w:val="00A871AD"/>
    <w:rsid w:val="00A87873"/>
    <w:rsid w:val="00A87DE3"/>
    <w:rsid w:val="00A910F7"/>
    <w:rsid w:val="00A92501"/>
    <w:rsid w:val="00A94C76"/>
    <w:rsid w:val="00A94D43"/>
    <w:rsid w:val="00A94F78"/>
    <w:rsid w:val="00A965AE"/>
    <w:rsid w:val="00A966C3"/>
    <w:rsid w:val="00A96F26"/>
    <w:rsid w:val="00A97465"/>
    <w:rsid w:val="00A974DA"/>
    <w:rsid w:val="00A97D73"/>
    <w:rsid w:val="00AA0B81"/>
    <w:rsid w:val="00AA0D9B"/>
    <w:rsid w:val="00AA1C11"/>
    <w:rsid w:val="00AA3365"/>
    <w:rsid w:val="00AA43BB"/>
    <w:rsid w:val="00AA4931"/>
    <w:rsid w:val="00AA4BF2"/>
    <w:rsid w:val="00AA4DEC"/>
    <w:rsid w:val="00AA51C0"/>
    <w:rsid w:val="00AA5B98"/>
    <w:rsid w:val="00AA60CE"/>
    <w:rsid w:val="00AA6A8D"/>
    <w:rsid w:val="00AA6D60"/>
    <w:rsid w:val="00AA6F52"/>
    <w:rsid w:val="00AA7371"/>
    <w:rsid w:val="00AA7FB3"/>
    <w:rsid w:val="00AB0CB5"/>
    <w:rsid w:val="00AB10F0"/>
    <w:rsid w:val="00AB11F1"/>
    <w:rsid w:val="00AB1567"/>
    <w:rsid w:val="00AB1EE6"/>
    <w:rsid w:val="00AB277E"/>
    <w:rsid w:val="00AB2DFB"/>
    <w:rsid w:val="00AB36AF"/>
    <w:rsid w:val="00AB39F9"/>
    <w:rsid w:val="00AB3DF9"/>
    <w:rsid w:val="00AB4455"/>
    <w:rsid w:val="00AB4FA4"/>
    <w:rsid w:val="00AB589F"/>
    <w:rsid w:val="00AB5991"/>
    <w:rsid w:val="00AB5D60"/>
    <w:rsid w:val="00AB6024"/>
    <w:rsid w:val="00AB6A3F"/>
    <w:rsid w:val="00AB7056"/>
    <w:rsid w:val="00AB72B7"/>
    <w:rsid w:val="00AB7AD6"/>
    <w:rsid w:val="00AC062D"/>
    <w:rsid w:val="00AC0FEE"/>
    <w:rsid w:val="00AC18DD"/>
    <w:rsid w:val="00AC2090"/>
    <w:rsid w:val="00AC2D35"/>
    <w:rsid w:val="00AC3B9A"/>
    <w:rsid w:val="00AC3D3C"/>
    <w:rsid w:val="00AC53A8"/>
    <w:rsid w:val="00AC5511"/>
    <w:rsid w:val="00AC5678"/>
    <w:rsid w:val="00AC56EB"/>
    <w:rsid w:val="00AC5790"/>
    <w:rsid w:val="00AC61A3"/>
    <w:rsid w:val="00AC6371"/>
    <w:rsid w:val="00AC66C0"/>
    <w:rsid w:val="00AC6789"/>
    <w:rsid w:val="00AC69CC"/>
    <w:rsid w:val="00AC6C95"/>
    <w:rsid w:val="00AC7059"/>
    <w:rsid w:val="00AC768A"/>
    <w:rsid w:val="00AC7958"/>
    <w:rsid w:val="00AC79EC"/>
    <w:rsid w:val="00AD02AB"/>
    <w:rsid w:val="00AD0877"/>
    <w:rsid w:val="00AD0995"/>
    <w:rsid w:val="00AD0FFD"/>
    <w:rsid w:val="00AD1286"/>
    <w:rsid w:val="00AD13EF"/>
    <w:rsid w:val="00AD1B2C"/>
    <w:rsid w:val="00AD1F5D"/>
    <w:rsid w:val="00AD2302"/>
    <w:rsid w:val="00AD232B"/>
    <w:rsid w:val="00AD2860"/>
    <w:rsid w:val="00AD387A"/>
    <w:rsid w:val="00AD3885"/>
    <w:rsid w:val="00AD3B4B"/>
    <w:rsid w:val="00AD4843"/>
    <w:rsid w:val="00AD4B7D"/>
    <w:rsid w:val="00AD50F8"/>
    <w:rsid w:val="00AD5A38"/>
    <w:rsid w:val="00AD5E51"/>
    <w:rsid w:val="00AD62CB"/>
    <w:rsid w:val="00AD6CBE"/>
    <w:rsid w:val="00AD6ECE"/>
    <w:rsid w:val="00AD799E"/>
    <w:rsid w:val="00AD7E6D"/>
    <w:rsid w:val="00AE0397"/>
    <w:rsid w:val="00AE076A"/>
    <w:rsid w:val="00AE1573"/>
    <w:rsid w:val="00AE1B46"/>
    <w:rsid w:val="00AE1BDA"/>
    <w:rsid w:val="00AE1E4B"/>
    <w:rsid w:val="00AE2411"/>
    <w:rsid w:val="00AE24D7"/>
    <w:rsid w:val="00AE2C51"/>
    <w:rsid w:val="00AE2C75"/>
    <w:rsid w:val="00AE3473"/>
    <w:rsid w:val="00AE35BB"/>
    <w:rsid w:val="00AE3715"/>
    <w:rsid w:val="00AE3BE7"/>
    <w:rsid w:val="00AE3E31"/>
    <w:rsid w:val="00AE3E37"/>
    <w:rsid w:val="00AE4A82"/>
    <w:rsid w:val="00AE4EEC"/>
    <w:rsid w:val="00AE5956"/>
    <w:rsid w:val="00AE6255"/>
    <w:rsid w:val="00AE626A"/>
    <w:rsid w:val="00AE6C7F"/>
    <w:rsid w:val="00AE6F8E"/>
    <w:rsid w:val="00AE7281"/>
    <w:rsid w:val="00AF05B7"/>
    <w:rsid w:val="00AF0B45"/>
    <w:rsid w:val="00AF1805"/>
    <w:rsid w:val="00AF216D"/>
    <w:rsid w:val="00AF2570"/>
    <w:rsid w:val="00AF2883"/>
    <w:rsid w:val="00AF2B0F"/>
    <w:rsid w:val="00AF2E9C"/>
    <w:rsid w:val="00AF3696"/>
    <w:rsid w:val="00AF427D"/>
    <w:rsid w:val="00AF432B"/>
    <w:rsid w:val="00AF46FD"/>
    <w:rsid w:val="00AF5252"/>
    <w:rsid w:val="00AF5286"/>
    <w:rsid w:val="00AF547D"/>
    <w:rsid w:val="00AF5565"/>
    <w:rsid w:val="00AF5EB5"/>
    <w:rsid w:val="00AF6796"/>
    <w:rsid w:val="00AF6A15"/>
    <w:rsid w:val="00AF6D5F"/>
    <w:rsid w:val="00AF6EC7"/>
    <w:rsid w:val="00AF71E4"/>
    <w:rsid w:val="00AF7256"/>
    <w:rsid w:val="00B00F3C"/>
    <w:rsid w:val="00B00F61"/>
    <w:rsid w:val="00B013A1"/>
    <w:rsid w:val="00B01729"/>
    <w:rsid w:val="00B0267F"/>
    <w:rsid w:val="00B02A0A"/>
    <w:rsid w:val="00B0456E"/>
    <w:rsid w:val="00B04B31"/>
    <w:rsid w:val="00B05E2A"/>
    <w:rsid w:val="00B07987"/>
    <w:rsid w:val="00B1025C"/>
    <w:rsid w:val="00B104BD"/>
    <w:rsid w:val="00B104ED"/>
    <w:rsid w:val="00B1088B"/>
    <w:rsid w:val="00B10979"/>
    <w:rsid w:val="00B110FC"/>
    <w:rsid w:val="00B1140B"/>
    <w:rsid w:val="00B147F5"/>
    <w:rsid w:val="00B1493B"/>
    <w:rsid w:val="00B15079"/>
    <w:rsid w:val="00B154E6"/>
    <w:rsid w:val="00B155F2"/>
    <w:rsid w:val="00B16451"/>
    <w:rsid w:val="00B1732C"/>
    <w:rsid w:val="00B17C6E"/>
    <w:rsid w:val="00B17E53"/>
    <w:rsid w:val="00B20119"/>
    <w:rsid w:val="00B20717"/>
    <w:rsid w:val="00B20A03"/>
    <w:rsid w:val="00B20A18"/>
    <w:rsid w:val="00B20FB6"/>
    <w:rsid w:val="00B21591"/>
    <w:rsid w:val="00B21ABF"/>
    <w:rsid w:val="00B22116"/>
    <w:rsid w:val="00B221C3"/>
    <w:rsid w:val="00B224D7"/>
    <w:rsid w:val="00B22DC9"/>
    <w:rsid w:val="00B230F4"/>
    <w:rsid w:val="00B23A6D"/>
    <w:rsid w:val="00B2427B"/>
    <w:rsid w:val="00B24314"/>
    <w:rsid w:val="00B24B2B"/>
    <w:rsid w:val="00B24E1D"/>
    <w:rsid w:val="00B2680D"/>
    <w:rsid w:val="00B26C85"/>
    <w:rsid w:val="00B26F36"/>
    <w:rsid w:val="00B275A3"/>
    <w:rsid w:val="00B3045D"/>
    <w:rsid w:val="00B304E3"/>
    <w:rsid w:val="00B306BE"/>
    <w:rsid w:val="00B31604"/>
    <w:rsid w:val="00B3238B"/>
    <w:rsid w:val="00B323FB"/>
    <w:rsid w:val="00B32846"/>
    <w:rsid w:val="00B32F42"/>
    <w:rsid w:val="00B3419D"/>
    <w:rsid w:val="00B346ED"/>
    <w:rsid w:val="00B34B4B"/>
    <w:rsid w:val="00B34DED"/>
    <w:rsid w:val="00B3512B"/>
    <w:rsid w:val="00B358E6"/>
    <w:rsid w:val="00B35A1F"/>
    <w:rsid w:val="00B36F62"/>
    <w:rsid w:val="00B37721"/>
    <w:rsid w:val="00B37A3D"/>
    <w:rsid w:val="00B4045F"/>
    <w:rsid w:val="00B415DB"/>
    <w:rsid w:val="00B417A7"/>
    <w:rsid w:val="00B42493"/>
    <w:rsid w:val="00B42F7B"/>
    <w:rsid w:val="00B43394"/>
    <w:rsid w:val="00B433B3"/>
    <w:rsid w:val="00B435DC"/>
    <w:rsid w:val="00B43E24"/>
    <w:rsid w:val="00B449E1"/>
    <w:rsid w:val="00B44AFA"/>
    <w:rsid w:val="00B45090"/>
    <w:rsid w:val="00B455A9"/>
    <w:rsid w:val="00B459AE"/>
    <w:rsid w:val="00B45B2E"/>
    <w:rsid w:val="00B45E1F"/>
    <w:rsid w:val="00B47C9D"/>
    <w:rsid w:val="00B47DB8"/>
    <w:rsid w:val="00B47FE5"/>
    <w:rsid w:val="00B50F26"/>
    <w:rsid w:val="00B518B7"/>
    <w:rsid w:val="00B51B62"/>
    <w:rsid w:val="00B524FC"/>
    <w:rsid w:val="00B52F7C"/>
    <w:rsid w:val="00B54BBC"/>
    <w:rsid w:val="00B55616"/>
    <w:rsid w:val="00B556C4"/>
    <w:rsid w:val="00B56097"/>
    <w:rsid w:val="00B5612E"/>
    <w:rsid w:val="00B56DBD"/>
    <w:rsid w:val="00B56E8A"/>
    <w:rsid w:val="00B56F64"/>
    <w:rsid w:val="00B572F5"/>
    <w:rsid w:val="00B5738F"/>
    <w:rsid w:val="00B5753B"/>
    <w:rsid w:val="00B57818"/>
    <w:rsid w:val="00B60517"/>
    <w:rsid w:val="00B61524"/>
    <w:rsid w:val="00B61611"/>
    <w:rsid w:val="00B61931"/>
    <w:rsid w:val="00B61CA8"/>
    <w:rsid w:val="00B626E3"/>
    <w:rsid w:val="00B62740"/>
    <w:rsid w:val="00B631C8"/>
    <w:rsid w:val="00B636CA"/>
    <w:rsid w:val="00B64B15"/>
    <w:rsid w:val="00B65B14"/>
    <w:rsid w:val="00B65C88"/>
    <w:rsid w:val="00B66ED0"/>
    <w:rsid w:val="00B66FBA"/>
    <w:rsid w:val="00B6752C"/>
    <w:rsid w:val="00B675BA"/>
    <w:rsid w:val="00B67954"/>
    <w:rsid w:val="00B67A44"/>
    <w:rsid w:val="00B7111F"/>
    <w:rsid w:val="00B7115B"/>
    <w:rsid w:val="00B71F95"/>
    <w:rsid w:val="00B72033"/>
    <w:rsid w:val="00B72885"/>
    <w:rsid w:val="00B73036"/>
    <w:rsid w:val="00B7342E"/>
    <w:rsid w:val="00B7385F"/>
    <w:rsid w:val="00B73C57"/>
    <w:rsid w:val="00B75079"/>
    <w:rsid w:val="00B755B8"/>
    <w:rsid w:val="00B75A16"/>
    <w:rsid w:val="00B75BC0"/>
    <w:rsid w:val="00B7614F"/>
    <w:rsid w:val="00B76193"/>
    <w:rsid w:val="00B76297"/>
    <w:rsid w:val="00B77433"/>
    <w:rsid w:val="00B77708"/>
    <w:rsid w:val="00B77CE4"/>
    <w:rsid w:val="00B77FDF"/>
    <w:rsid w:val="00B8087D"/>
    <w:rsid w:val="00B80B37"/>
    <w:rsid w:val="00B810A5"/>
    <w:rsid w:val="00B81971"/>
    <w:rsid w:val="00B821DA"/>
    <w:rsid w:val="00B828C4"/>
    <w:rsid w:val="00B82D67"/>
    <w:rsid w:val="00B835AA"/>
    <w:rsid w:val="00B83639"/>
    <w:rsid w:val="00B8387F"/>
    <w:rsid w:val="00B83AFB"/>
    <w:rsid w:val="00B84450"/>
    <w:rsid w:val="00B84528"/>
    <w:rsid w:val="00B84E0E"/>
    <w:rsid w:val="00B863BD"/>
    <w:rsid w:val="00B86C59"/>
    <w:rsid w:val="00B87596"/>
    <w:rsid w:val="00B8771B"/>
    <w:rsid w:val="00B9082C"/>
    <w:rsid w:val="00B911FC"/>
    <w:rsid w:val="00B918CB"/>
    <w:rsid w:val="00B918FE"/>
    <w:rsid w:val="00B91940"/>
    <w:rsid w:val="00B92172"/>
    <w:rsid w:val="00B923AB"/>
    <w:rsid w:val="00B94CE5"/>
    <w:rsid w:val="00B95ACE"/>
    <w:rsid w:val="00B964AF"/>
    <w:rsid w:val="00B96733"/>
    <w:rsid w:val="00B96EF0"/>
    <w:rsid w:val="00B97257"/>
    <w:rsid w:val="00B97752"/>
    <w:rsid w:val="00B9778E"/>
    <w:rsid w:val="00BA096D"/>
    <w:rsid w:val="00BA0F40"/>
    <w:rsid w:val="00BA26B3"/>
    <w:rsid w:val="00BA2721"/>
    <w:rsid w:val="00BA2DD7"/>
    <w:rsid w:val="00BA2F85"/>
    <w:rsid w:val="00BA30B5"/>
    <w:rsid w:val="00BA3190"/>
    <w:rsid w:val="00BA3390"/>
    <w:rsid w:val="00BA38A7"/>
    <w:rsid w:val="00BA417D"/>
    <w:rsid w:val="00BA4CFE"/>
    <w:rsid w:val="00BA5425"/>
    <w:rsid w:val="00BA5426"/>
    <w:rsid w:val="00BA576F"/>
    <w:rsid w:val="00BA618C"/>
    <w:rsid w:val="00BA6326"/>
    <w:rsid w:val="00BA68E8"/>
    <w:rsid w:val="00BA6D75"/>
    <w:rsid w:val="00BA7F85"/>
    <w:rsid w:val="00BB0EB6"/>
    <w:rsid w:val="00BB1379"/>
    <w:rsid w:val="00BB16B0"/>
    <w:rsid w:val="00BB2919"/>
    <w:rsid w:val="00BB329A"/>
    <w:rsid w:val="00BB3576"/>
    <w:rsid w:val="00BB3B42"/>
    <w:rsid w:val="00BB3DE3"/>
    <w:rsid w:val="00BB4146"/>
    <w:rsid w:val="00BB428F"/>
    <w:rsid w:val="00BB4787"/>
    <w:rsid w:val="00BB4926"/>
    <w:rsid w:val="00BB499F"/>
    <w:rsid w:val="00BB53A2"/>
    <w:rsid w:val="00BB6AA1"/>
    <w:rsid w:val="00BB7D9B"/>
    <w:rsid w:val="00BB7DD9"/>
    <w:rsid w:val="00BC0CAC"/>
    <w:rsid w:val="00BC0F30"/>
    <w:rsid w:val="00BC1288"/>
    <w:rsid w:val="00BC20B4"/>
    <w:rsid w:val="00BC2170"/>
    <w:rsid w:val="00BC29C0"/>
    <w:rsid w:val="00BC2FEF"/>
    <w:rsid w:val="00BC3106"/>
    <w:rsid w:val="00BC34EB"/>
    <w:rsid w:val="00BC4020"/>
    <w:rsid w:val="00BC44BD"/>
    <w:rsid w:val="00BC5315"/>
    <w:rsid w:val="00BC56CF"/>
    <w:rsid w:val="00BC595B"/>
    <w:rsid w:val="00BC5A44"/>
    <w:rsid w:val="00BC5F0B"/>
    <w:rsid w:val="00BC7DAD"/>
    <w:rsid w:val="00BC7E68"/>
    <w:rsid w:val="00BD021D"/>
    <w:rsid w:val="00BD0553"/>
    <w:rsid w:val="00BD0888"/>
    <w:rsid w:val="00BD147C"/>
    <w:rsid w:val="00BD1946"/>
    <w:rsid w:val="00BD1CC5"/>
    <w:rsid w:val="00BD1DDF"/>
    <w:rsid w:val="00BD21A2"/>
    <w:rsid w:val="00BD263D"/>
    <w:rsid w:val="00BD3299"/>
    <w:rsid w:val="00BD32C6"/>
    <w:rsid w:val="00BD3373"/>
    <w:rsid w:val="00BD3704"/>
    <w:rsid w:val="00BD3AB5"/>
    <w:rsid w:val="00BD3DC3"/>
    <w:rsid w:val="00BD43CF"/>
    <w:rsid w:val="00BD4B50"/>
    <w:rsid w:val="00BD4B5C"/>
    <w:rsid w:val="00BD4E77"/>
    <w:rsid w:val="00BD5504"/>
    <w:rsid w:val="00BD5632"/>
    <w:rsid w:val="00BD5D92"/>
    <w:rsid w:val="00BD5EE2"/>
    <w:rsid w:val="00BD63EC"/>
    <w:rsid w:val="00BD6847"/>
    <w:rsid w:val="00BD6C87"/>
    <w:rsid w:val="00BD78AF"/>
    <w:rsid w:val="00BE055B"/>
    <w:rsid w:val="00BE06CF"/>
    <w:rsid w:val="00BE11E3"/>
    <w:rsid w:val="00BE18BD"/>
    <w:rsid w:val="00BE1ED3"/>
    <w:rsid w:val="00BE25E1"/>
    <w:rsid w:val="00BE3479"/>
    <w:rsid w:val="00BE3A5E"/>
    <w:rsid w:val="00BE3AD2"/>
    <w:rsid w:val="00BE446A"/>
    <w:rsid w:val="00BE492C"/>
    <w:rsid w:val="00BE5069"/>
    <w:rsid w:val="00BE5132"/>
    <w:rsid w:val="00BE52A5"/>
    <w:rsid w:val="00BE557A"/>
    <w:rsid w:val="00BE5B92"/>
    <w:rsid w:val="00BE5DC2"/>
    <w:rsid w:val="00BE6317"/>
    <w:rsid w:val="00BE68C1"/>
    <w:rsid w:val="00BE6C0D"/>
    <w:rsid w:val="00BE7361"/>
    <w:rsid w:val="00BE759B"/>
    <w:rsid w:val="00BE773F"/>
    <w:rsid w:val="00BF0830"/>
    <w:rsid w:val="00BF0CAD"/>
    <w:rsid w:val="00BF148C"/>
    <w:rsid w:val="00BF1818"/>
    <w:rsid w:val="00BF2787"/>
    <w:rsid w:val="00BF2FF9"/>
    <w:rsid w:val="00BF34E7"/>
    <w:rsid w:val="00BF4741"/>
    <w:rsid w:val="00BF48F9"/>
    <w:rsid w:val="00BF585E"/>
    <w:rsid w:val="00BF60A9"/>
    <w:rsid w:val="00BF60BA"/>
    <w:rsid w:val="00BF649B"/>
    <w:rsid w:val="00BF6E2F"/>
    <w:rsid w:val="00BF7575"/>
    <w:rsid w:val="00BF7ABF"/>
    <w:rsid w:val="00BF7ED2"/>
    <w:rsid w:val="00C009EF"/>
    <w:rsid w:val="00C01470"/>
    <w:rsid w:val="00C01B4E"/>
    <w:rsid w:val="00C01D59"/>
    <w:rsid w:val="00C02980"/>
    <w:rsid w:val="00C02E6F"/>
    <w:rsid w:val="00C0391B"/>
    <w:rsid w:val="00C03A32"/>
    <w:rsid w:val="00C041FF"/>
    <w:rsid w:val="00C04682"/>
    <w:rsid w:val="00C047E7"/>
    <w:rsid w:val="00C059B2"/>
    <w:rsid w:val="00C05F94"/>
    <w:rsid w:val="00C0609F"/>
    <w:rsid w:val="00C067AD"/>
    <w:rsid w:val="00C067F1"/>
    <w:rsid w:val="00C06EE0"/>
    <w:rsid w:val="00C0711C"/>
    <w:rsid w:val="00C07B25"/>
    <w:rsid w:val="00C07B81"/>
    <w:rsid w:val="00C07BB6"/>
    <w:rsid w:val="00C07E9D"/>
    <w:rsid w:val="00C1086D"/>
    <w:rsid w:val="00C1097D"/>
    <w:rsid w:val="00C10EB5"/>
    <w:rsid w:val="00C11107"/>
    <w:rsid w:val="00C113BF"/>
    <w:rsid w:val="00C114D9"/>
    <w:rsid w:val="00C11618"/>
    <w:rsid w:val="00C12253"/>
    <w:rsid w:val="00C12C84"/>
    <w:rsid w:val="00C12FF6"/>
    <w:rsid w:val="00C1456E"/>
    <w:rsid w:val="00C15356"/>
    <w:rsid w:val="00C1554C"/>
    <w:rsid w:val="00C15EDF"/>
    <w:rsid w:val="00C1609E"/>
    <w:rsid w:val="00C16566"/>
    <w:rsid w:val="00C1702B"/>
    <w:rsid w:val="00C178E8"/>
    <w:rsid w:val="00C17F4A"/>
    <w:rsid w:val="00C200B9"/>
    <w:rsid w:val="00C20101"/>
    <w:rsid w:val="00C20777"/>
    <w:rsid w:val="00C207C3"/>
    <w:rsid w:val="00C20A35"/>
    <w:rsid w:val="00C2179A"/>
    <w:rsid w:val="00C21DC7"/>
    <w:rsid w:val="00C23AFF"/>
    <w:rsid w:val="00C2468C"/>
    <w:rsid w:val="00C2498C"/>
    <w:rsid w:val="00C24F97"/>
    <w:rsid w:val="00C25269"/>
    <w:rsid w:val="00C25489"/>
    <w:rsid w:val="00C26044"/>
    <w:rsid w:val="00C276D7"/>
    <w:rsid w:val="00C302E7"/>
    <w:rsid w:val="00C30432"/>
    <w:rsid w:val="00C30F54"/>
    <w:rsid w:val="00C317D5"/>
    <w:rsid w:val="00C31A6F"/>
    <w:rsid w:val="00C31AC5"/>
    <w:rsid w:val="00C31B38"/>
    <w:rsid w:val="00C31D22"/>
    <w:rsid w:val="00C3294A"/>
    <w:rsid w:val="00C32E6F"/>
    <w:rsid w:val="00C336F2"/>
    <w:rsid w:val="00C35281"/>
    <w:rsid w:val="00C3535E"/>
    <w:rsid w:val="00C353FD"/>
    <w:rsid w:val="00C357B1"/>
    <w:rsid w:val="00C3585C"/>
    <w:rsid w:val="00C35D61"/>
    <w:rsid w:val="00C35E94"/>
    <w:rsid w:val="00C363B4"/>
    <w:rsid w:val="00C3677E"/>
    <w:rsid w:val="00C36823"/>
    <w:rsid w:val="00C36AAE"/>
    <w:rsid w:val="00C37801"/>
    <w:rsid w:val="00C400F3"/>
    <w:rsid w:val="00C401B6"/>
    <w:rsid w:val="00C406AC"/>
    <w:rsid w:val="00C41FBA"/>
    <w:rsid w:val="00C4220E"/>
    <w:rsid w:val="00C42310"/>
    <w:rsid w:val="00C4231C"/>
    <w:rsid w:val="00C428E0"/>
    <w:rsid w:val="00C4331E"/>
    <w:rsid w:val="00C43FF8"/>
    <w:rsid w:val="00C4413B"/>
    <w:rsid w:val="00C442AA"/>
    <w:rsid w:val="00C44407"/>
    <w:rsid w:val="00C446FE"/>
    <w:rsid w:val="00C451AB"/>
    <w:rsid w:val="00C453F8"/>
    <w:rsid w:val="00C45C4C"/>
    <w:rsid w:val="00C46202"/>
    <w:rsid w:val="00C462D8"/>
    <w:rsid w:val="00C46922"/>
    <w:rsid w:val="00C46E97"/>
    <w:rsid w:val="00C503BD"/>
    <w:rsid w:val="00C5048D"/>
    <w:rsid w:val="00C5173F"/>
    <w:rsid w:val="00C518ED"/>
    <w:rsid w:val="00C51A02"/>
    <w:rsid w:val="00C522DD"/>
    <w:rsid w:val="00C52AB8"/>
    <w:rsid w:val="00C554BA"/>
    <w:rsid w:val="00C55A11"/>
    <w:rsid w:val="00C55DB2"/>
    <w:rsid w:val="00C561B9"/>
    <w:rsid w:val="00C564D7"/>
    <w:rsid w:val="00C56A50"/>
    <w:rsid w:val="00C570C0"/>
    <w:rsid w:val="00C600BB"/>
    <w:rsid w:val="00C60810"/>
    <w:rsid w:val="00C60BB6"/>
    <w:rsid w:val="00C6108B"/>
    <w:rsid w:val="00C61317"/>
    <w:rsid w:val="00C61CCE"/>
    <w:rsid w:val="00C6258E"/>
    <w:rsid w:val="00C62676"/>
    <w:rsid w:val="00C63206"/>
    <w:rsid w:val="00C6338D"/>
    <w:rsid w:val="00C6389A"/>
    <w:rsid w:val="00C63E93"/>
    <w:rsid w:val="00C63F97"/>
    <w:rsid w:val="00C6449B"/>
    <w:rsid w:val="00C64982"/>
    <w:rsid w:val="00C64B7F"/>
    <w:rsid w:val="00C64F78"/>
    <w:rsid w:val="00C64FF6"/>
    <w:rsid w:val="00C6605A"/>
    <w:rsid w:val="00C6634F"/>
    <w:rsid w:val="00C66CA9"/>
    <w:rsid w:val="00C66F6A"/>
    <w:rsid w:val="00C67C75"/>
    <w:rsid w:val="00C7042E"/>
    <w:rsid w:val="00C70708"/>
    <w:rsid w:val="00C7071D"/>
    <w:rsid w:val="00C7106D"/>
    <w:rsid w:val="00C710CB"/>
    <w:rsid w:val="00C71416"/>
    <w:rsid w:val="00C7154D"/>
    <w:rsid w:val="00C719AA"/>
    <w:rsid w:val="00C71BF9"/>
    <w:rsid w:val="00C722DE"/>
    <w:rsid w:val="00C722FA"/>
    <w:rsid w:val="00C72CF3"/>
    <w:rsid w:val="00C73EC7"/>
    <w:rsid w:val="00C7402E"/>
    <w:rsid w:val="00C7441D"/>
    <w:rsid w:val="00C74507"/>
    <w:rsid w:val="00C74BB4"/>
    <w:rsid w:val="00C753FE"/>
    <w:rsid w:val="00C75566"/>
    <w:rsid w:val="00C759D5"/>
    <w:rsid w:val="00C762D1"/>
    <w:rsid w:val="00C76ACA"/>
    <w:rsid w:val="00C76B8D"/>
    <w:rsid w:val="00C772E3"/>
    <w:rsid w:val="00C7747E"/>
    <w:rsid w:val="00C774C6"/>
    <w:rsid w:val="00C77835"/>
    <w:rsid w:val="00C77ACA"/>
    <w:rsid w:val="00C77EA5"/>
    <w:rsid w:val="00C80DBF"/>
    <w:rsid w:val="00C8127A"/>
    <w:rsid w:val="00C82261"/>
    <w:rsid w:val="00C826D4"/>
    <w:rsid w:val="00C82ACD"/>
    <w:rsid w:val="00C83024"/>
    <w:rsid w:val="00C83DF7"/>
    <w:rsid w:val="00C84EDB"/>
    <w:rsid w:val="00C851BB"/>
    <w:rsid w:val="00C857F5"/>
    <w:rsid w:val="00C85D01"/>
    <w:rsid w:val="00C869FD"/>
    <w:rsid w:val="00C86CE3"/>
    <w:rsid w:val="00C86FCC"/>
    <w:rsid w:val="00C87264"/>
    <w:rsid w:val="00C905AA"/>
    <w:rsid w:val="00C90D48"/>
    <w:rsid w:val="00C9213F"/>
    <w:rsid w:val="00C92617"/>
    <w:rsid w:val="00C93003"/>
    <w:rsid w:val="00C9359C"/>
    <w:rsid w:val="00C936FD"/>
    <w:rsid w:val="00C94229"/>
    <w:rsid w:val="00C94419"/>
    <w:rsid w:val="00C95242"/>
    <w:rsid w:val="00C9578B"/>
    <w:rsid w:val="00C968EE"/>
    <w:rsid w:val="00C96B2C"/>
    <w:rsid w:val="00C9760D"/>
    <w:rsid w:val="00C97F06"/>
    <w:rsid w:val="00CA01AA"/>
    <w:rsid w:val="00CA06E3"/>
    <w:rsid w:val="00CA0C2A"/>
    <w:rsid w:val="00CA161C"/>
    <w:rsid w:val="00CA1A02"/>
    <w:rsid w:val="00CA1DB0"/>
    <w:rsid w:val="00CA27A3"/>
    <w:rsid w:val="00CA28B9"/>
    <w:rsid w:val="00CA2B2C"/>
    <w:rsid w:val="00CA342B"/>
    <w:rsid w:val="00CA353A"/>
    <w:rsid w:val="00CA4921"/>
    <w:rsid w:val="00CA493B"/>
    <w:rsid w:val="00CA63D4"/>
    <w:rsid w:val="00CA6E1A"/>
    <w:rsid w:val="00CA6E88"/>
    <w:rsid w:val="00CA7765"/>
    <w:rsid w:val="00CA77DA"/>
    <w:rsid w:val="00CB0B97"/>
    <w:rsid w:val="00CB12A4"/>
    <w:rsid w:val="00CB1335"/>
    <w:rsid w:val="00CB194D"/>
    <w:rsid w:val="00CB1B85"/>
    <w:rsid w:val="00CB1CCD"/>
    <w:rsid w:val="00CB206F"/>
    <w:rsid w:val="00CB2290"/>
    <w:rsid w:val="00CB2325"/>
    <w:rsid w:val="00CB240D"/>
    <w:rsid w:val="00CB27F5"/>
    <w:rsid w:val="00CB34DC"/>
    <w:rsid w:val="00CB4E6C"/>
    <w:rsid w:val="00CB50D2"/>
    <w:rsid w:val="00CB5246"/>
    <w:rsid w:val="00CB5993"/>
    <w:rsid w:val="00CB5B41"/>
    <w:rsid w:val="00CB5B8B"/>
    <w:rsid w:val="00CB623A"/>
    <w:rsid w:val="00CB6E93"/>
    <w:rsid w:val="00CB70D4"/>
    <w:rsid w:val="00CB7B29"/>
    <w:rsid w:val="00CC0118"/>
    <w:rsid w:val="00CC0B1A"/>
    <w:rsid w:val="00CC101C"/>
    <w:rsid w:val="00CC13DA"/>
    <w:rsid w:val="00CC14E8"/>
    <w:rsid w:val="00CC2234"/>
    <w:rsid w:val="00CC3391"/>
    <w:rsid w:val="00CC3AAA"/>
    <w:rsid w:val="00CC3D41"/>
    <w:rsid w:val="00CC544B"/>
    <w:rsid w:val="00CC5B1C"/>
    <w:rsid w:val="00CC5B81"/>
    <w:rsid w:val="00CC5D92"/>
    <w:rsid w:val="00CC60F8"/>
    <w:rsid w:val="00CC6111"/>
    <w:rsid w:val="00CC6855"/>
    <w:rsid w:val="00CC6A5A"/>
    <w:rsid w:val="00CC7D68"/>
    <w:rsid w:val="00CD06DD"/>
    <w:rsid w:val="00CD2716"/>
    <w:rsid w:val="00CD4E23"/>
    <w:rsid w:val="00CD5A38"/>
    <w:rsid w:val="00CD5DAF"/>
    <w:rsid w:val="00CD6276"/>
    <w:rsid w:val="00CD63EF"/>
    <w:rsid w:val="00CD650F"/>
    <w:rsid w:val="00CD6D60"/>
    <w:rsid w:val="00CD76CF"/>
    <w:rsid w:val="00CD7D8F"/>
    <w:rsid w:val="00CD7EED"/>
    <w:rsid w:val="00CE061B"/>
    <w:rsid w:val="00CE0C1B"/>
    <w:rsid w:val="00CE1470"/>
    <w:rsid w:val="00CE1B62"/>
    <w:rsid w:val="00CE1F8B"/>
    <w:rsid w:val="00CE28A6"/>
    <w:rsid w:val="00CE2B12"/>
    <w:rsid w:val="00CE3872"/>
    <w:rsid w:val="00CE3CCE"/>
    <w:rsid w:val="00CE3F79"/>
    <w:rsid w:val="00CE3FEC"/>
    <w:rsid w:val="00CE51AE"/>
    <w:rsid w:val="00CE51ED"/>
    <w:rsid w:val="00CE5827"/>
    <w:rsid w:val="00CE5DB9"/>
    <w:rsid w:val="00CE5EAA"/>
    <w:rsid w:val="00CE6191"/>
    <w:rsid w:val="00CE6966"/>
    <w:rsid w:val="00CE6CD0"/>
    <w:rsid w:val="00CE6E52"/>
    <w:rsid w:val="00CE70D9"/>
    <w:rsid w:val="00CE75E6"/>
    <w:rsid w:val="00CE7724"/>
    <w:rsid w:val="00CE7AFF"/>
    <w:rsid w:val="00CF0661"/>
    <w:rsid w:val="00CF171A"/>
    <w:rsid w:val="00CF17DF"/>
    <w:rsid w:val="00CF2311"/>
    <w:rsid w:val="00CF2F61"/>
    <w:rsid w:val="00CF320C"/>
    <w:rsid w:val="00CF3500"/>
    <w:rsid w:val="00CF39AC"/>
    <w:rsid w:val="00CF3E77"/>
    <w:rsid w:val="00CF4431"/>
    <w:rsid w:val="00CF6335"/>
    <w:rsid w:val="00CF6418"/>
    <w:rsid w:val="00CF6583"/>
    <w:rsid w:val="00CF72F8"/>
    <w:rsid w:val="00CF74F8"/>
    <w:rsid w:val="00CF7502"/>
    <w:rsid w:val="00CF7CEE"/>
    <w:rsid w:val="00CF7EEE"/>
    <w:rsid w:val="00D001F0"/>
    <w:rsid w:val="00D00738"/>
    <w:rsid w:val="00D0089B"/>
    <w:rsid w:val="00D009E7"/>
    <w:rsid w:val="00D00D1B"/>
    <w:rsid w:val="00D0144E"/>
    <w:rsid w:val="00D01975"/>
    <w:rsid w:val="00D02601"/>
    <w:rsid w:val="00D0386E"/>
    <w:rsid w:val="00D03AAE"/>
    <w:rsid w:val="00D03F07"/>
    <w:rsid w:val="00D04457"/>
    <w:rsid w:val="00D04C57"/>
    <w:rsid w:val="00D06276"/>
    <w:rsid w:val="00D06320"/>
    <w:rsid w:val="00D06966"/>
    <w:rsid w:val="00D072D3"/>
    <w:rsid w:val="00D07CCD"/>
    <w:rsid w:val="00D07FCC"/>
    <w:rsid w:val="00D10113"/>
    <w:rsid w:val="00D10B62"/>
    <w:rsid w:val="00D10D31"/>
    <w:rsid w:val="00D114FF"/>
    <w:rsid w:val="00D11BC2"/>
    <w:rsid w:val="00D11F86"/>
    <w:rsid w:val="00D12689"/>
    <w:rsid w:val="00D12DCA"/>
    <w:rsid w:val="00D12F31"/>
    <w:rsid w:val="00D13155"/>
    <w:rsid w:val="00D1417D"/>
    <w:rsid w:val="00D141E5"/>
    <w:rsid w:val="00D156CC"/>
    <w:rsid w:val="00D156E2"/>
    <w:rsid w:val="00D15942"/>
    <w:rsid w:val="00D1627E"/>
    <w:rsid w:val="00D16AA3"/>
    <w:rsid w:val="00D172EF"/>
    <w:rsid w:val="00D17DA1"/>
    <w:rsid w:val="00D20067"/>
    <w:rsid w:val="00D20533"/>
    <w:rsid w:val="00D20920"/>
    <w:rsid w:val="00D20EF6"/>
    <w:rsid w:val="00D21271"/>
    <w:rsid w:val="00D216DB"/>
    <w:rsid w:val="00D2193F"/>
    <w:rsid w:val="00D22700"/>
    <w:rsid w:val="00D22750"/>
    <w:rsid w:val="00D22AFC"/>
    <w:rsid w:val="00D23183"/>
    <w:rsid w:val="00D2364B"/>
    <w:rsid w:val="00D24C0A"/>
    <w:rsid w:val="00D24C1E"/>
    <w:rsid w:val="00D24E40"/>
    <w:rsid w:val="00D24F4D"/>
    <w:rsid w:val="00D25A40"/>
    <w:rsid w:val="00D265D0"/>
    <w:rsid w:val="00D2697A"/>
    <w:rsid w:val="00D26ADB"/>
    <w:rsid w:val="00D27421"/>
    <w:rsid w:val="00D27C1A"/>
    <w:rsid w:val="00D27FF1"/>
    <w:rsid w:val="00D30500"/>
    <w:rsid w:val="00D31827"/>
    <w:rsid w:val="00D31BB9"/>
    <w:rsid w:val="00D31C2B"/>
    <w:rsid w:val="00D3210D"/>
    <w:rsid w:val="00D32139"/>
    <w:rsid w:val="00D32759"/>
    <w:rsid w:val="00D32E9B"/>
    <w:rsid w:val="00D32F98"/>
    <w:rsid w:val="00D33176"/>
    <w:rsid w:val="00D3546F"/>
    <w:rsid w:val="00D354D6"/>
    <w:rsid w:val="00D358E5"/>
    <w:rsid w:val="00D37EB4"/>
    <w:rsid w:val="00D407E3"/>
    <w:rsid w:val="00D40B45"/>
    <w:rsid w:val="00D40D38"/>
    <w:rsid w:val="00D412BA"/>
    <w:rsid w:val="00D4159F"/>
    <w:rsid w:val="00D41CF5"/>
    <w:rsid w:val="00D42611"/>
    <w:rsid w:val="00D428B2"/>
    <w:rsid w:val="00D4295A"/>
    <w:rsid w:val="00D448FA"/>
    <w:rsid w:val="00D4573D"/>
    <w:rsid w:val="00D467CF"/>
    <w:rsid w:val="00D47688"/>
    <w:rsid w:val="00D478C0"/>
    <w:rsid w:val="00D50183"/>
    <w:rsid w:val="00D5023C"/>
    <w:rsid w:val="00D502EE"/>
    <w:rsid w:val="00D506CC"/>
    <w:rsid w:val="00D5076F"/>
    <w:rsid w:val="00D5079D"/>
    <w:rsid w:val="00D508D4"/>
    <w:rsid w:val="00D52812"/>
    <w:rsid w:val="00D537A0"/>
    <w:rsid w:val="00D53B50"/>
    <w:rsid w:val="00D54048"/>
    <w:rsid w:val="00D54249"/>
    <w:rsid w:val="00D54C4D"/>
    <w:rsid w:val="00D54D8B"/>
    <w:rsid w:val="00D5561A"/>
    <w:rsid w:val="00D5608D"/>
    <w:rsid w:val="00D56CD9"/>
    <w:rsid w:val="00D60676"/>
    <w:rsid w:val="00D61842"/>
    <w:rsid w:val="00D61C09"/>
    <w:rsid w:val="00D61E4D"/>
    <w:rsid w:val="00D628FB"/>
    <w:rsid w:val="00D62969"/>
    <w:rsid w:val="00D62DA9"/>
    <w:rsid w:val="00D63443"/>
    <w:rsid w:val="00D6428C"/>
    <w:rsid w:val="00D6442D"/>
    <w:rsid w:val="00D652CC"/>
    <w:rsid w:val="00D658AA"/>
    <w:rsid w:val="00D65A08"/>
    <w:rsid w:val="00D65A64"/>
    <w:rsid w:val="00D66448"/>
    <w:rsid w:val="00D6647F"/>
    <w:rsid w:val="00D669B4"/>
    <w:rsid w:val="00D671EA"/>
    <w:rsid w:val="00D67512"/>
    <w:rsid w:val="00D702B2"/>
    <w:rsid w:val="00D70452"/>
    <w:rsid w:val="00D706EA"/>
    <w:rsid w:val="00D707A7"/>
    <w:rsid w:val="00D70BA1"/>
    <w:rsid w:val="00D70F3D"/>
    <w:rsid w:val="00D71ADF"/>
    <w:rsid w:val="00D71E39"/>
    <w:rsid w:val="00D72239"/>
    <w:rsid w:val="00D73961"/>
    <w:rsid w:val="00D74680"/>
    <w:rsid w:val="00D74811"/>
    <w:rsid w:val="00D75A67"/>
    <w:rsid w:val="00D75A98"/>
    <w:rsid w:val="00D77001"/>
    <w:rsid w:val="00D772A0"/>
    <w:rsid w:val="00D7747B"/>
    <w:rsid w:val="00D803B8"/>
    <w:rsid w:val="00D8117A"/>
    <w:rsid w:val="00D814D0"/>
    <w:rsid w:val="00D824F6"/>
    <w:rsid w:val="00D826F0"/>
    <w:rsid w:val="00D82B57"/>
    <w:rsid w:val="00D8317A"/>
    <w:rsid w:val="00D83C41"/>
    <w:rsid w:val="00D83D9D"/>
    <w:rsid w:val="00D83FBB"/>
    <w:rsid w:val="00D846F6"/>
    <w:rsid w:val="00D84937"/>
    <w:rsid w:val="00D84FC1"/>
    <w:rsid w:val="00D85968"/>
    <w:rsid w:val="00D85D25"/>
    <w:rsid w:val="00D85E62"/>
    <w:rsid w:val="00D85F04"/>
    <w:rsid w:val="00D864A5"/>
    <w:rsid w:val="00D8670C"/>
    <w:rsid w:val="00D86A3F"/>
    <w:rsid w:val="00D86E17"/>
    <w:rsid w:val="00D87669"/>
    <w:rsid w:val="00D9025A"/>
    <w:rsid w:val="00D9275B"/>
    <w:rsid w:val="00D93656"/>
    <w:rsid w:val="00D93669"/>
    <w:rsid w:val="00D94A21"/>
    <w:rsid w:val="00D94D96"/>
    <w:rsid w:val="00D94FCE"/>
    <w:rsid w:val="00D95881"/>
    <w:rsid w:val="00D95C4A"/>
    <w:rsid w:val="00D95DB4"/>
    <w:rsid w:val="00D9632E"/>
    <w:rsid w:val="00D96B14"/>
    <w:rsid w:val="00D96F05"/>
    <w:rsid w:val="00D97A14"/>
    <w:rsid w:val="00D97AF3"/>
    <w:rsid w:val="00DA00D0"/>
    <w:rsid w:val="00DA0182"/>
    <w:rsid w:val="00DA0757"/>
    <w:rsid w:val="00DA08BF"/>
    <w:rsid w:val="00DA09DD"/>
    <w:rsid w:val="00DA1487"/>
    <w:rsid w:val="00DA15C9"/>
    <w:rsid w:val="00DA180E"/>
    <w:rsid w:val="00DA2139"/>
    <w:rsid w:val="00DA224E"/>
    <w:rsid w:val="00DA2BB7"/>
    <w:rsid w:val="00DA2E2B"/>
    <w:rsid w:val="00DA3391"/>
    <w:rsid w:val="00DA3D7E"/>
    <w:rsid w:val="00DA3E83"/>
    <w:rsid w:val="00DA4228"/>
    <w:rsid w:val="00DA4333"/>
    <w:rsid w:val="00DA4C9A"/>
    <w:rsid w:val="00DA4F36"/>
    <w:rsid w:val="00DA636F"/>
    <w:rsid w:val="00DA6385"/>
    <w:rsid w:val="00DA64D2"/>
    <w:rsid w:val="00DA66AA"/>
    <w:rsid w:val="00DA7136"/>
    <w:rsid w:val="00DA7618"/>
    <w:rsid w:val="00DA7DE7"/>
    <w:rsid w:val="00DB01A7"/>
    <w:rsid w:val="00DB09D2"/>
    <w:rsid w:val="00DB14F0"/>
    <w:rsid w:val="00DB1531"/>
    <w:rsid w:val="00DB19A3"/>
    <w:rsid w:val="00DB1A88"/>
    <w:rsid w:val="00DB1F58"/>
    <w:rsid w:val="00DB2282"/>
    <w:rsid w:val="00DB2965"/>
    <w:rsid w:val="00DB2A1D"/>
    <w:rsid w:val="00DB2B56"/>
    <w:rsid w:val="00DB3AB8"/>
    <w:rsid w:val="00DB3C6A"/>
    <w:rsid w:val="00DB3CD1"/>
    <w:rsid w:val="00DB4C5F"/>
    <w:rsid w:val="00DB51BC"/>
    <w:rsid w:val="00DB572C"/>
    <w:rsid w:val="00DB5735"/>
    <w:rsid w:val="00DB5BF3"/>
    <w:rsid w:val="00DB636B"/>
    <w:rsid w:val="00DB6696"/>
    <w:rsid w:val="00DB6833"/>
    <w:rsid w:val="00DB74AF"/>
    <w:rsid w:val="00DB7844"/>
    <w:rsid w:val="00DB7953"/>
    <w:rsid w:val="00DC000A"/>
    <w:rsid w:val="00DC00F8"/>
    <w:rsid w:val="00DC01B4"/>
    <w:rsid w:val="00DC0E65"/>
    <w:rsid w:val="00DC0EFD"/>
    <w:rsid w:val="00DC12DC"/>
    <w:rsid w:val="00DC1344"/>
    <w:rsid w:val="00DC181E"/>
    <w:rsid w:val="00DC2128"/>
    <w:rsid w:val="00DC22CB"/>
    <w:rsid w:val="00DC268C"/>
    <w:rsid w:val="00DC332D"/>
    <w:rsid w:val="00DC391F"/>
    <w:rsid w:val="00DC3A9B"/>
    <w:rsid w:val="00DC3F85"/>
    <w:rsid w:val="00DC40FD"/>
    <w:rsid w:val="00DC4403"/>
    <w:rsid w:val="00DC4920"/>
    <w:rsid w:val="00DC52A0"/>
    <w:rsid w:val="00DC5EC9"/>
    <w:rsid w:val="00DC5F9B"/>
    <w:rsid w:val="00DC5FC3"/>
    <w:rsid w:val="00DC60A1"/>
    <w:rsid w:val="00DC6637"/>
    <w:rsid w:val="00DC6923"/>
    <w:rsid w:val="00DC6DED"/>
    <w:rsid w:val="00DC71A5"/>
    <w:rsid w:val="00DC741C"/>
    <w:rsid w:val="00DC75BE"/>
    <w:rsid w:val="00DC7845"/>
    <w:rsid w:val="00DC78A3"/>
    <w:rsid w:val="00DC7AB6"/>
    <w:rsid w:val="00DC7F3E"/>
    <w:rsid w:val="00DC7F7F"/>
    <w:rsid w:val="00DD049A"/>
    <w:rsid w:val="00DD0B66"/>
    <w:rsid w:val="00DD1916"/>
    <w:rsid w:val="00DD1FF6"/>
    <w:rsid w:val="00DD25E4"/>
    <w:rsid w:val="00DD2E76"/>
    <w:rsid w:val="00DD57C3"/>
    <w:rsid w:val="00DD6983"/>
    <w:rsid w:val="00DD6BDB"/>
    <w:rsid w:val="00DD7200"/>
    <w:rsid w:val="00DD7321"/>
    <w:rsid w:val="00DD7704"/>
    <w:rsid w:val="00DD7727"/>
    <w:rsid w:val="00DD78E9"/>
    <w:rsid w:val="00DE035B"/>
    <w:rsid w:val="00DE03E5"/>
    <w:rsid w:val="00DE0432"/>
    <w:rsid w:val="00DE19F4"/>
    <w:rsid w:val="00DE1D25"/>
    <w:rsid w:val="00DE1F46"/>
    <w:rsid w:val="00DE36DB"/>
    <w:rsid w:val="00DE36E9"/>
    <w:rsid w:val="00DE39BD"/>
    <w:rsid w:val="00DE479F"/>
    <w:rsid w:val="00DE48C1"/>
    <w:rsid w:val="00DE5B0D"/>
    <w:rsid w:val="00DE609E"/>
    <w:rsid w:val="00DE6158"/>
    <w:rsid w:val="00DE64EB"/>
    <w:rsid w:val="00DE6D9C"/>
    <w:rsid w:val="00DF02BE"/>
    <w:rsid w:val="00DF0C97"/>
    <w:rsid w:val="00DF0DD0"/>
    <w:rsid w:val="00DF1606"/>
    <w:rsid w:val="00DF230C"/>
    <w:rsid w:val="00DF5951"/>
    <w:rsid w:val="00DF6540"/>
    <w:rsid w:val="00DF7147"/>
    <w:rsid w:val="00DF78B9"/>
    <w:rsid w:val="00DF7E0E"/>
    <w:rsid w:val="00E001A8"/>
    <w:rsid w:val="00E00261"/>
    <w:rsid w:val="00E00862"/>
    <w:rsid w:val="00E012B4"/>
    <w:rsid w:val="00E03EF6"/>
    <w:rsid w:val="00E040FA"/>
    <w:rsid w:val="00E042F4"/>
    <w:rsid w:val="00E0472F"/>
    <w:rsid w:val="00E04B01"/>
    <w:rsid w:val="00E04D88"/>
    <w:rsid w:val="00E04F2E"/>
    <w:rsid w:val="00E058C9"/>
    <w:rsid w:val="00E05FA4"/>
    <w:rsid w:val="00E06083"/>
    <w:rsid w:val="00E06485"/>
    <w:rsid w:val="00E06E5D"/>
    <w:rsid w:val="00E07783"/>
    <w:rsid w:val="00E07BDB"/>
    <w:rsid w:val="00E104E3"/>
    <w:rsid w:val="00E109F9"/>
    <w:rsid w:val="00E10BAA"/>
    <w:rsid w:val="00E10FDB"/>
    <w:rsid w:val="00E114E4"/>
    <w:rsid w:val="00E11C02"/>
    <w:rsid w:val="00E120FD"/>
    <w:rsid w:val="00E124AF"/>
    <w:rsid w:val="00E12586"/>
    <w:rsid w:val="00E12615"/>
    <w:rsid w:val="00E12EA2"/>
    <w:rsid w:val="00E13096"/>
    <w:rsid w:val="00E134EB"/>
    <w:rsid w:val="00E13F6C"/>
    <w:rsid w:val="00E13FBA"/>
    <w:rsid w:val="00E14346"/>
    <w:rsid w:val="00E1443B"/>
    <w:rsid w:val="00E14D78"/>
    <w:rsid w:val="00E14F48"/>
    <w:rsid w:val="00E1678B"/>
    <w:rsid w:val="00E16840"/>
    <w:rsid w:val="00E16B09"/>
    <w:rsid w:val="00E17577"/>
    <w:rsid w:val="00E21295"/>
    <w:rsid w:val="00E212D5"/>
    <w:rsid w:val="00E219FC"/>
    <w:rsid w:val="00E223F4"/>
    <w:rsid w:val="00E22AF7"/>
    <w:rsid w:val="00E22DCE"/>
    <w:rsid w:val="00E24265"/>
    <w:rsid w:val="00E245D2"/>
    <w:rsid w:val="00E24B93"/>
    <w:rsid w:val="00E257A9"/>
    <w:rsid w:val="00E25920"/>
    <w:rsid w:val="00E25A3A"/>
    <w:rsid w:val="00E25CFD"/>
    <w:rsid w:val="00E2609B"/>
    <w:rsid w:val="00E266AC"/>
    <w:rsid w:val="00E273D3"/>
    <w:rsid w:val="00E304C5"/>
    <w:rsid w:val="00E30B6B"/>
    <w:rsid w:val="00E312E4"/>
    <w:rsid w:val="00E31620"/>
    <w:rsid w:val="00E31632"/>
    <w:rsid w:val="00E3183D"/>
    <w:rsid w:val="00E31879"/>
    <w:rsid w:val="00E31EE6"/>
    <w:rsid w:val="00E325F4"/>
    <w:rsid w:val="00E327E5"/>
    <w:rsid w:val="00E3286E"/>
    <w:rsid w:val="00E32ED5"/>
    <w:rsid w:val="00E32FF3"/>
    <w:rsid w:val="00E3357B"/>
    <w:rsid w:val="00E34077"/>
    <w:rsid w:val="00E34F2A"/>
    <w:rsid w:val="00E35296"/>
    <w:rsid w:val="00E35C48"/>
    <w:rsid w:val="00E35D0B"/>
    <w:rsid w:val="00E35D34"/>
    <w:rsid w:val="00E35EA2"/>
    <w:rsid w:val="00E364F2"/>
    <w:rsid w:val="00E36B96"/>
    <w:rsid w:val="00E36F7D"/>
    <w:rsid w:val="00E37050"/>
    <w:rsid w:val="00E370AB"/>
    <w:rsid w:val="00E37373"/>
    <w:rsid w:val="00E3746D"/>
    <w:rsid w:val="00E40379"/>
    <w:rsid w:val="00E405F7"/>
    <w:rsid w:val="00E406CB"/>
    <w:rsid w:val="00E41712"/>
    <w:rsid w:val="00E420F8"/>
    <w:rsid w:val="00E42E12"/>
    <w:rsid w:val="00E4330A"/>
    <w:rsid w:val="00E44B09"/>
    <w:rsid w:val="00E44B74"/>
    <w:rsid w:val="00E45419"/>
    <w:rsid w:val="00E45B3E"/>
    <w:rsid w:val="00E45D3E"/>
    <w:rsid w:val="00E460A8"/>
    <w:rsid w:val="00E466D2"/>
    <w:rsid w:val="00E47535"/>
    <w:rsid w:val="00E4771C"/>
    <w:rsid w:val="00E50426"/>
    <w:rsid w:val="00E51155"/>
    <w:rsid w:val="00E512EF"/>
    <w:rsid w:val="00E51475"/>
    <w:rsid w:val="00E515F9"/>
    <w:rsid w:val="00E51A6D"/>
    <w:rsid w:val="00E51DD8"/>
    <w:rsid w:val="00E51FD1"/>
    <w:rsid w:val="00E52447"/>
    <w:rsid w:val="00E52902"/>
    <w:rsid w:val="00E5293D"/>
    <w:rsid w:val="00E52D82"/>
    <w:rsid w:val="00E530A3"/>
    <w:rsid w:val="00E53D6E"/>
    <w:rsid w:val="00E53F4A"/>
    <w:rsid w:val="00E5498D"/>
    <w:rsid w:val="00E54ACA"/>
    <w:rsid w:val="00E54DFE"/>
    <w:rsid w:val="00E55A31"/>
    <w:rsid w:val="00E5641D"/>
    <w:rsid w:val="00E56759"/>
    <w:rsid w:val="00E6003A"/>
    <w:rsid w:val="00E6013A"/>
    <w:rsid w:val="00E60A17"/>
    <w:rsid w:val="00E611E7"/>
    <w:rsid w:val="00E6159B"/>
    <w:rsid w:val="00E61E68"/>
    <w:rsid w:val="00E62552"/>
    <w:rsid w:val="00E62EDA"/>
    <w:rsid w:val="00E6310E"/>
    <w:rsid w:val="00E63FB5"/>
    <w:rsid w:val="00E64D85"/>
    <w:rsid w:val="00E64FC5"/>
    <w:rsid w:val="00E6526E"/>
    <w:rsid w:val="00E6550F"/>
    <w:rsid w:val="00E6676C"/>
    <w:rsid w:val="00E66E82"/>
    <w:rsid w:val="00E671F3"/>
    <w:rsid w:val="00E675C5"/>
    <w:rsid w:val="00E676BA"/>
    <w:rsid w:val="00E67C0E"/>
    <w:rsid w:val="00E67C2C"/>
    <w:rsid w:val="00E70709"/>
    <w:rsid w:val="00E71AC1"/>
    <w:rsid w:val="00E72D5E"/>
    <w:rsid w:val="00E73419"/>
    <w:rsid w:val="00E73E84"/>
    <w:rsid w:val="00E743C8"/>
    <w:rsid w:val="00E74543"/>
    <w:rsid w:val="00E757AF"/>
    <w:rsid w:val="00E75A38"/>
    <w:rsid w:val="00E75A5B"/>
    <w:rsid w:val="00E75AEB"/>
    <w:rsid w:val="00E75F91"/>
    <w:rsid w:val="00E7688C"/>
    <w:rsid w:val="00E76B71"/>
    <w:rsid w:val="00E76D5A"/>
    <w:rsid w:val="00E77083"/>
    <w:rsid w:val="00E774F0"/>
    <w:rsid w:val="00E80092"/>
    <w:rsid w:val="00E81A53"/>
    <w:rsid w:val="00E82139"/>
    <w:rsid w:val="00E821E7"/>
    <w:rsid w:val="00E827DF"/>
    <w:rsid w:val="00E8282E"/>
    <w:rsid w:val="00E82C0E"/>
    <w:rsid w:val="00E82CD0"/>
    <w:rsid w:val="00E83813"/>
    <w:rsid w:val="00E84D5F"/>
    <w:rsid w:val="00E85501"/>
    <w:rsid w:val="00E86278"/>
    <w:rsid w:val="00E86A81"/>
    <w:rsid w:val="00E87069"/>
    <w:rsid w:val="00E875A6"/>
    <w:rsid w:val="00E87BE5"/>
    <w:rsid w:val="00E90CBB"/>
    <w:rsid w:val="00E91734"/>
    <w:rsid w:val="00E91DFC"/>
    <w:rsid w:val="00E9215A"/>
    <w:rsid w:val="00E92D18"/>
    <w:rsid w:val="00E92D20"/>
    <w:rsid w:val="00E943BA"/>
    <w:rsid w:val="00E9455E"/>
    <w:rsid w:val="00E95523"/>
    <w:rsid w:val="00E95FF3"/>
    <w:rsid w:val="00E96669"/>
    <w:rsid w:val="00E96EA4"/>
    <w:rsid w:val="00E9753F"/>
    <w:rsid w:val="00EA1784"/>
    <w:rsid w:val="00EA19DF"/>
    <w:rsid w:val="00EA1A09"/>
    <w:rsid w:val="00EA1BD8"/>
    <w:rsid w:val="00EA1FC0"/>
    <w:rsid w:val="00EA293D"/>
    <w:rsid w:val="00EA2F33"/>
    <w:rsid w:val="00EA2F4F"/>
    <w:rsid w:val="00EA3045"/>
    <w:rsid w:val="00EA32F0"/>
    <w:rsid w:val="00EA3AA4"/>
    <w:rsid w:val="00EA4425"/>
    <w:rsid w:val="00EA4525"/>
    <w:rsid w:val="00EA463E"/>
    <w:rsid w:val="00EA5236"/>
    <w:rsid w:val="00EA5400"/>
    <w:rsid w:val="00EA5652"/>
    <w:rsid w:val="00EA583E"/>
    <w:rsid w:val="00EA5869"/>
    <w:rsid w:val="00EA6AF0"/>
    <w:rsid w:val="00EA6EDF"/>
    <w:rsid w:val="00EB050A"/>
    <w:rsid w:val="00EB063A"/>
    <w:rsid w:val="00EB07D3"/>
    <w:rsid w:val="00EB1619"/>
    <w:rsid w:val="00EB1E97"/>
    <w:rsid w:val="00EB221B"/>
    <w:rsid w:val="00EB227D"/>
    <w:rsid w:val="00EB2530"/>
    <w:rsid w:val="00EB2770"/>
    <w:rsid w:val="00EB2B28"/>
    <w:rsid w:val="00EB2EEB"/>
    <w:rsid w:val="00EB39C6"/>
    <w:rsid w:val="00EB4AE4"/>
    <w:rsid w:val="00EB5C63"/>
    <w:rsid w:val="00EB6FF1"/>
    <w:rsid w:val="00EB712C"/>
    <w:rsid w:val="00EB765A"/>
    <w:rsid w:val="00EC05C1"/>
    <w:rsid w:val="00EC0CCD"/>
    <w:rsid w:val="00EC0FCE"/>
    <w:rsid w:val="00EC1766"/>
    <w:rsid w:val="00EC1962"/>
    <w:rsid w:val="00EC1A36"/>
    <w:rsid w:val="00EC1D3E"/>
    <w:rsid w:val="00EC1E98"/>
    <w:rsid w:val="00EC2809"/>
    <w:rsid w:val="00EC3275"/>
    <w:rsid w:val="00EC427C"/>
    <w:rsid w:val="00EC46B2"/>
    <w:rsid w:val="00EC49F3"/>
    <w:rsid w:val="00EC4C59"/>
    <w:rsid w:val="00EC5069"/>
    <w:rsid w:val="00EC5093"/>
    <w:rsid w:val="00EC52E1"/>
    <w:rsid w:val="00EC5AD1"/>
    <w:rsid w:val="00EC6503"/>
    <w:rsid w:val="00EC652F"/>
    <w:rsid w:val="00EC6B7F"/>
    <w:rsid w:val="00EC6DA7"/>
    <w:rsid w:val="00EC6ECA"/>
    <w:rsid w:val="00EC784C"/>
    <w:rsid w:val="00EC7B88"/>
    <w:rsid w:val="00ED0184"/>
    <w:rsid w:val="00ED01F4"/>
    <w:rsid w:val="00ED2EC8"/>
    <w:rsid w:val="00ED30AA"/>
    <w:rsid w:val="00ED3E43"/>
    <w:rsid w:val="00ED4139"/>
    <w:rsid w:val="00ED4AA1"/>
    <w:rsid w:val="00ED4D29"/>
    <w:rsid w:val="00ED4D33"/>
    <w:rsid w:val="00ED562C"/>
    <w:rsid w:val="00ED680D"/>
    <w:rsid w:val="00ED7019"/>
    <w:rsid w:val="00ED7373"/>
    <w:rsid w:val="00ED7481"/>
    <w:rsid w:val="00ED782D"/>
    <w:rsid w:val="00ED7EC9"/>
    <w:rsid w:val="00EE022A"/>
    <w:rsid w:val="00EE04BE"/>
    <w:rsid w:val="00EE0D84"/>
    <w:rsid w:val="00EE15F1"/>
    <w:rsid w:val="00EE177D"/>
    <w:rsid w:val="00EE1AE2"/>
    <w:rsid w:val="00EE1C2E"/>
    <w:rsid w:val="00EE20B6"/>
    <w:rsid w:val="00EE21B6"/>
    <w:rsid w:val="00EE285E"/>
    <w:rsid w:val="00EE2AAB"/>
    <w:rsid w:val="00EE3141"/>
    <w:rsid w:val="00EE3247"/>
    <w:rsid w:val="00EE3F4C"/>
    <w:rsid w:val="00EE48F9"/>
    <w:rsid w:val="00EE4924"/>
    <w:rsid w:val="00EE4B95"/>
    <w:rsid w:val="00EE4D2A"/>
    <w:rsid w:val="00EE524C"/>
    <w:rsid w:val="00EE5BB2"/>
    <w:rsid w:val="00EE5C37"/>
    <w:rsid w:val="00EE5F9F"/>
    <w:rsid w:val="00EE6819"/>
    <w:rsid w:val="00EE6BAA"/>
    <w:rsid w:val="00EE6FE2"/>
    <w:rsid w:val="00EE7086"/>
    <w:rsid w:val="00EE7A24"/>
    <w:rsid w:val="00EF0988"/>
    <w:rsid w:val="00EF14D1"/>
    <w:rsid w:val="00EF1A83"/>
    <w:rsid w:val="00EF1E17"/>
    <w:rsid w:val="00EF2063"/>
    <w:rsid w:val="00EF287F"/>
    <w:rsid w:val="00EF2F22"/>
    <w:rsid w:val="00EF300D"/>
    <w:rsid w:val="00EF3FBD"/>
    <w:rsid w:val="00EF404E"/>
    <w:rsid w:val="00EF46B1"/>
    <w:rsid w:val="00EF4B0A"/>
    <w:rsid w:val="00EF4BB5"/>
    <w:rsid w:val="00EF4E6A"/>
    <w:rsid w:val="00EF52C3"/>
    <w:rsid w:val="00EF58CD"/>
    <w:rsid w:val="00EF652F"/>
    <w:rsid w:val="00EF65CC"/>
    <w:rsid w:val="00EF6D1C"/>
    <w:rsid w:val="00EF6DC3"/>
    <w:rsid w:val="00EF7B13"/>
    <w:rsid w:val="00EF7EAC"/>
    <w:rsid w:val="00F0059D"/>
    <w:rsid w:val="00F00678"/>
    <w:rsid w:val="00F00818"/>
    <w:rsid w:val="00F009F6"/>
    <w:rsid w:val="00F010F7"/>
    <w:rsid w:val="00F014F5"/>
    <w:rsid w:val="00F038AE"/>
    <w:rsid w:val="00F04A52"/>
    <w:rsid w:val="00F05453"/>
    <w:rsid w:val="00F05662"/>
    <w:rsid w:val="00F059B0"/>
    <w:rsid w:val="00F0740E"/>
    <w:rsid w:val="00F109B3"/>
    <w:rsid w:val="00F10C7D"/>
    <w:rsid w:val="00F1157C"/>
    <w:rsid w:val="00F124F2"/>
    <w:rsid w:val="00F125D7"/>
    <w:rsid w:val="00F12CA0"/>
    <w:rsid w:val="00F13052"/>
    <w:rsid w:val="00F139C4"/>
    <w:rsid w:val="00F1408D"/>
    <w:rsid w:val="00F14403"/>
    <w:rsid w:val="00F14B5A"/>
    <w:rsid w:val="00F1579D"/>
    <w:rsid w:val="00F15932"/>
    <w:rsid w:val="00F15BA0"/>
    <w:rsid w:val="00F15C32"/>
    <w:rsid w:val="00F16215"/>
    <w:rsid w:val="00F17636"/>
    <w:rsid w:val="00F17E54"/>
    <w:rsid w:val="00F203F9"/>
    <w:rsid w:val="00F20455"/>
    <w:rsid w:val="00F20836"/>
    <w:rsid w:val="00F21000"/>
    <w:rsid w:val="00F210F0"/>
    <w:rsid w:val="00F2119A"/>
    <w:rsid w:val="00F216DD"/>
    <w:rsid w:val="00F21B3C"/>
    <w:rsid w:val="00F22109"/>
    <w:rsid w:val="00F225BA"/>
    <w:rsid w:val="00F22985"/>
    <w:rsid w:val="00F236B1"/>
    <w:rsid w:val="00F23E7B"/>
    <w:rsid w:val="00F2527A"/>
    <w:rsid w:val="00F26AF0"/>
    <w:rsid w:val="00F26E31"/>
    <w:rsid w:val="00F306E4"/>
    <w:rsid w:val="00F30A61"/>
    <w:rsid w:val="00F30DC8"/>
    <w:rsid w:val="00F30E5E"/>
    <w:rsid w:val="00F314A3"/>
    <w:rsid w:val="00F31AB8"/>
    <w:rsid w:val="00F31D69"/>
    <w:rsid w:val="00F31EB1"/>
    <w:rsid w:val="00F32177"/>
    <w:rsid w:val="00F324A4"/>
    <w:rsid w:val="00F33304"/>
    <w:rsid w:val="00F33355"/>
    <w:rsid w:val="00F334C0"/>
    <w:rsid w:val="00F354FD"/>
    <w:rsid w:val="00F35508"/>
    <w:rsid w:val="00F355CC"/>
    <w:rsid w:val="00F356C8"/>
    <w:rsid w:val="00F35817"/>
    <w:rsid w:val="00F35A7C"/>
    <w:rsid w:val="00F35EFD"/>
    <w:rsid w:val="00F35F3A"/>
    <w:rsid w:val="00F36198"/>
    <w:rsid w:val="00F36C63"/>
    <w:rsid w:val="00F36CA8"/>
    <w:rsid w:val="00F37FDF"/>
    <w:rsid w:val="00F40016"/>
    <w:rsid w:val="00F408F5"/>
    <w:rsid w:val="00F419DD"/>
    <w:rsid w:val="00F4248F"/>
    <w:rsid w:val="00F430A4"/>
    <w:rsid w:val="00F43A67"/>
    <w:rsid w:val="00F44016"/>
    <w:rsid w:val="00F44333"/>
    <w:rsid w:val="00F44385"/>
    <w:rsid w:val="00F44991"/>
    <w:rsid w:val="00F44AA7"/>
    <w:rsid w:val="00F44CBF"/>
    <w:rsid w:val="00F4522A"/>
    <w:rsid w:val="00F453F9"/>
    <w:rsid w:val="00F457E9"/>
    <w:rsid w:val="00F45B6C"/>
    <w:rsid w:val="00F46125"/>
    <w:rsid w:val="00F46335"/>
    <w:rsid w:val="00F46850"/>
    <w:rsid w:val="00F47096"/>
    <w:rsid w:val="00F50675"/>
    <w:rsid w:val="00F516C5"/>
    <w:rsid w:val="00F51DCB"/>
    <w:rsid w:val="00F5249E"/>
    <w:rsid w:val="00F527DC"/>
    <w:rsid w:val="00F528D5"/>
    <w:rsid w:val="00F52EE0"/>
    <w:rsid w:val="00F5393F"/>
    <w:rsid w:val="00F54A51"/>
    <w:rsid w:val="00F55519"/>
    <w:rsid w:val="00F56845"/>
    <w:rsid w:val="00F56D35"/>
    <w:rsid w:val="00F56D44"/>
    <w:rsid w:val="00F5783A"/>
    <w:rsid w:val="00F607B3"/>
    <w:rsid w:val="00F61B23"/>
    <w:rsid w:val="00F62076"/>
    <w:rsid w:val="00F62199"/>
    <w:rsid w:val="00F62DEA"/>
    <w:rsid w:val="00F633CF"/>
    <w:rsid w:val="00F638C7"/>
    <w:rsid w:val="00F63A41"/>
    <w:rsid w:val="00F63CDA"/>
    <w:rsid w:val="00F641B2"/>
    <w:rsid w:val="00F643CE"/>
    <w:rsid w:val="00F65116"/>
    <w:rsid w:val="00F65505"/>
    <w:rsid w:val="00F6561E"/>
    <w:rsid w:val="00F664A3"/>
    <w:rsid w:val="00F67292"/>
    <w:rsid w:val="00F673E0"/>
    <w:rsid w:val="00F675E7"/>
    <w:rsid w:val="00F676D1"/>
    <w:rsid w:val="00F67740"/>
    <w:rsid w:val="00F6780C"/>
    <w:rsid w:val="00F678B7"/>
    <w:rsid w:val="00F67C9D"/>
    <w:rsid w:val="00F67CF8"/>
    <w:rsid w:val="00F70F94"/>
    <w:rsid w:val="00F7124F"/>
    <w:rsid w:val="00F7208E"/>
    <w:rsid w:val="00F72A1C"/>
    <w:rsid w:val="00F72D66"/>
    <w:rsid w:val="00F72DCC"/>
    <w:rsid w:val="00F73398"/>
    <w:rsid w:val="00F734C6"/>
    <w:rsid w:val="00F739B8"/>
    <w:rsid w:val="00F743C0"/>
    <w:rsid w:val="00F7484F"/>
    <w:rsid w:val="00F75746"/>
    <w:rsid w:val="00F757F1"/>
    <w:rsid w:val="00F7641C"/>
    <w:rsid w:val="00F76B03"/>
    <w:rsid w:val="00F76C03"/>
    <w:rsid w:val="00F76E73"/>
    <w:rsid w:val="00F77935"/>
    <w:rsid w:val="00F80057"/>
    <w:rsid w:val="00F803AC"/>
    <w:rsid w:val="00F80416"/>
    <w:rsid w:val="00F80A5D"/>
    <w:rsid w:val="00F81161"/>
    <w:rsid w:val="00F81329"/>
    <w:rsid w:val="00F81340"/>
    <w:rsid w:val="00F81626"/>
    <w:rsid w:val="00F81900"/>
    <w:rsid w:val="00F820F3"/>
    <w:rsid w:val="00F8211B"/>
    <w:rsid w:val="00F823E8"/>
    <w:rsid w:val="00F824B5"/>
    <w:rsid w:val="00F82E4E"/>
    <w:rsid w:val="00F832B1"/>
    <w:rsid w:val="00F83401"/>
    <w:rsid w:val="00F84488"/>
    <w:rsid w:val="00F8546B"/>
    <w:rsid w:val="00F85568"/>
    <w:rsid w:val="00F85CB6"/>
    <w:rsid w:val="00F86802"/>
    <w:rsid w:val="00F87214"/>
    <w:rsid w:val="00F87277"/>
    <w:rsid w:val="00F87412"/>
    <w:rsid w:val="00F9049C"/>
    <w:rsid w:val="00F90A99"/>
    <w:rsid w:val="00F9179F"/>
    <w:rsid w:val="00F91923"/>
    <w:rsid w:val="00F91998"/>
    <w:rsid w:val="00F923DA"/>
    <w:rsid w:val="00F93B9D"/>
    <w:rsid w:val="00F93C2A"/>
    <w:rsid w:val="00F9425A"/>
    <w:rsid w:val="00F957DB"/>
    <w:rsid w:val="00F96183"/>
    <w:rsid w:val="00F96203"/>
    <w:rsid w:val="00F96208"/>
    <w:rsid w:val="00F96246"/>
    <w:rsid w:val="00F96E73"/>
    <w:rsid w:val="00F972D3"/>
    <w:rsid w:val="00F976E6"/>
    <w:rsid w:val="00F97888"/>
    <w:rsid w:val="00F978B4"/>
    <w:rsid w:val="00F97EA4"/>
    <w:rsid w:val="00FA0E0D"/>
    <w:rsid w:val="00FA149E"/>
    <w:rsid w:val="00FA15A9"/>
    <w:rsid w:val="00FA1D8E"/>
    <w:rsid w:val="00FA2229"/>
    <w:rsid w:val="00FA26F6"/>
    <w:rsid w:val="00FA2E9C"/>
    <w:rsid w:val="00FA4190"/>
    <w:rsid w:val="00FA42FB"/>
    <w:rsid w:val="00FA4847"/>
    <w:rsid w:val="00FA501C"/>
    <w:rsid w:val="00FA50B6"/>
    <w:rsid w:val="00FA5779"/>
    <w:rsid w:val="00FA6509"/>
    <w:rsid w:val="00FA69A0"/>
    <w:rsid w:val="00FA6E3C"/>
    <w:rsid w:val="00FA7255"/>
    <w:rsid w:val="00FA7765"/>
    <w:rsid w:val="00FA779C"/>
    <w:rsid w:val="00FA791A"/>
    <w:rsid w:val="00FB05F4"/>
    <w:rsid w:val="00FB0879"/>
    <w:rsid w:val="00FB0F6F"/>
    <w:rsid w:val="00FB1497"/>
    <w:rsid w:val="00FB20E2"/>
    <w:rsid w:val="00FB2299"/>
    <w:rsid w:val="00FB4B92"/>
    <w:rsid w:val="00FB4C2C"/>
    <w:rsid w:val="00FB52DD"/>
    <w:rsid w:val="00FB54AA"/>
    <w:rsid w:val="00FB5640"/>
    <w:rsid w:val="00FB5A3E"/>
    <w:rsid w:val="00FB7A75"/>
    <w:rsid w:val="00FB7A92"/>
    <w:rsid w:val="00FB7B46"/>
    <w:rsid w:val="00FC0141"/>
    <w:rsid w:val="00FC0575"/>
    <w:rsid w:val="00FC08FB"/>
    <w:rsid w:val="00FC0A2F"/>
    <w:rsid w:val="00FC176A"/>
    <w:rsid w:val="00FC1B89"/>
    <w:rsid w:val="00FC20F4"/>
    <w:rsid w:val="00FC2486"/>
    <w:rsid w:val="00FC30BC"/>
    <w:rsid w:val="00FC3E25"/>
    <w:rsid w:val="00FC459C"/>
    <w:rsid w:val="00FC4715"/>
    <w:rsid w:val="00FC498C"/>
    <w:rsid w:val="00FC4BA3"/>
    <w:rsid w:val="00FC4E3E"/>
    <w:rsid w:val="00FC5894"/>
    <w:rsid w:val="00FC589C"/>
    <w:rsid w:val="00FC5ED9"/>
    <w:rsid w:val="00FC6E5E"/>
    <w:rsid w:val="00FC714E"/>
    <w:rsid w:val="00FC73BE"/>
    <w:rsid w:val="00FD0583"/>
    <w:rsid w:val="00FD06A2"/>
    <w:rsid w:val="00FD06ED"/>
    <w:rsid w:val="00FD0709"/>
    <w:rsid w:val="00FD070E"/>
    <w:rsid w:val="00FD0E54"/>
    <w:rsid w:val="00FD0EF0"/>
    <w:rsid w:val="00FD12A6"/>
    <w:rsid w:val="00FD1675"/>
    <w:rsid w:val="00FD185C"/>
    <w:rsid w:val="00FD18EB"/>
    <w:rsid w:val="00FD23F1"/>
    <w:rsid w:val="00FD33B7"/>
    <w:rsid w:val="00FD43C2"/>
    <w:rsid w:val="00FD51EB"/>
    <w:rsid w:val="00FD573A"/>
    <w:rsid w:val="00FD594D"/>
    <w:rsid w:val="00FD6042"/>
    <w:rsid w:val="00FD6197"/>
    <w:rsid w:val="00FD6BE2"/>
    <w:rsid w:val="00FD6FFF"/>
    <w:rsid w:val="00FD759A"/>
    <w:rsid w:val="00FD7FA4"/>
    <w:rsid w:val="00FE0BCB"/>
    <w:rsid w:val="00FE0DCD"/>
    <w:rsid w:val="00FE0EE8"/>
    <w:rsid w:val="00FE15C8"/>
    <w:rsid w:val="00FE2469"/>
    <w:rsid w:val="00FE2706"/>
    <w:rsid w:val="00FE2C7E"/>
    <w:rsid w:val="00FE30A4"/>
    <w:rsid w:val="00FE3CF4"/>
    <w:rsid w:val="00FE4068"/>
    <w:rsid w:val="00FE4C24"/>
    <w:rsid w:val="00FE4D15"/>
    <w:rsid w:val="00FE58AB"/>
    <w:rsid w:val="00FE5BAB"/>
    <w:rsid w:val="00FE5D08"/>
    <w:rsid w:val="00FE68D2"/>
    <w:rsid w:val="00FE6AEA"/>
    <w:rsid w:val="00FE6B34"/>
    <w:rsid w:val="00FE6F4E"/>
    <w:rsid w:val="00FF0235"/>
    <w:rsid w:val="00FF3403"/>
    <w:rsid w:val="00FF4014"/>
    <w:rsid w:val="00FF6CFA"/>
    <w:rsid w:val="00FF6EFD"/>
    <w:rsid w:val="00FF759E"/>
    <w:rsid w:val="00FF7952"/>
    <w:rsid w:val="01440DC2"/>
    <w:rsid w:val="0242549F"/>
    <w:rsid w:val="02433078"/>
    <w:rsid w:val="02CC180B"/>
    <w:rsid w:val="031E2AE0"/>
    <w:rsid w:val="034E3DBB"/>
    <w:rsid w:val="039840F6"/>
    <w:rsid w:val="057D77DA"/>
    <w:rsid w:val="05C2152E"/>
    <w:rsid w:val="06CA6F0E"/>
    <w:rsid w:val="07604E36"/>
    <w:rsid w:val="09C41003"/>
    <w:rsid w:val="09F5647E"/>
    <w:rsid w:val="0A335CE2"/>
    <w:rsid w:val="0B8956E5"/>
    <w:rsid w:val="0C243E2A"/>
    <w:rsid w:val="0C721FA2"/>
    <w:rsid w:val="0D197D5C"/>
    <w:rsid w:val="0D676618"/>
    <w:rsid w:val="0D787973"/>
    <w:rsid w:val="0D945C06"/>
    <w:rsid w:val="0DA759C3"/>
    <w:rsid w:val="0E8C396F"/>
    <w:rsid w:val="0EBE0829"/>
    <w:rsid w:val="0F9D05FF"/>
    <w:rsid w:val="10D10D1E"/>
    <w:rsid w:val="10D557B9"/>
    <w:rsid w:val="116A1732"/>
    <w:rsid w:val="12CB5EEF"/>
    <w:rsid w:val="131A5191"/>
    <w:rsid w:val="13CC3122"/>
    <w:rsid w:val="14262131"/>
    <w:rsid w:val="15EC5AE8"/>
    <w:rsid w:val="168A0F73"/>
    <w:rsid w:val="17AD76C8"/>
    <w:rsid w:val="1A2623A5"/>
    <w:rsid w:val="1A4A65D5"/>
    <w:rsid w:val="1BF0048C"/>
    <w:rsid w:val="1C204B72"/>
    <w:rsid w:val="1C396B9A"/>
    <w:rsid w:val="1CC225DD"/>
    <w:rsid w:val="1CC51F1F"/>
    <w:rsid w:val="1D551774"/>
    <w:rsid w:val="1DC11D9D"/>
    <w:rsid w:val="1E58446C"/>
    <w:rsid w:val="1E8B1540"/>
    <w:rsid w:val="1FE67A2A"/>
    <w:rsid w:val="205A36D2"/>
    <w:rsid w:val="22142A77"/>
    <w:rsid w:val="22175505"/>
    <w:rsid w:val="2232406D"/>
    <w:rsid w:val="230C79F5"/>
    <w:rsid w:val="23511A08"/>
    <w:rsid w:val="23C13FDD"/>
    <w:rsid w:val="249E4FC1"/>
    <w:rsid w:val="26417CD1"/>
    <w:rsid w:val="26853417"/>
    <w:rsid w:val="27BA0FBA"/>
    <w:rsid w:val="2820574C"/>
    <w:rsid w:val="286B09FD"/>
    <w:rsid w:val="294419BD"/>
    <w:rsid w:val="29F36FE0"/>
    <w:rsid w:val="2A1F09F7"/>
    <w:rsid w:val="2A6E48D8"/>
    <w:rsid w:val="2B36072A"/>
    <w:rsid w:val="2C6110AC"/>
    <w:rsid w:val="2CCA7B38"/>
    <w:rsid w:val="2DA97EE5"/>
    <w:rsid w:val="2FB90D0B"/>
    <w:rsid w:val="2FDB5CC5"/>
    <w:rsid w:val="301713F0"/>
    <w:rsid w:val="304512CE"/>
    <w:rsid w:val="307C273E"/>
    <w:rsid w:val="309B3C46"/>
    <w:rsid w:val="310966F9"/>
    <w:rsid w:val="316E04D9"/>
    <w:rsid w:val="32352D3F"/>
    <w:rsid w:val="32B8233D"/>
    <w:rsid w:val="33F27615"/>
    <w:rsid w:val="340A6313"/>
    <w:rsid w:val="34BD0A45"/>
    <w:rsid w:val="35230157"/>
    <w:rsid w:val="35840DD9"/>
    <w:rsid w:val="376506D1"/>
    <w:rsid w:val="37813D7F"/>
    <w:rsid w:val="378A27B4"/>
    <w:rsid w:val="3794270F"/>
    <w:rsid w:val="38700E11"/>
    <w:rsid w:val="389F3D5B"/>
    <w:rsid w:val="3A99316B"/>
    <w:rsid w:val="3AAD6706"/>
    <w:rsid w:val="3ADD4C50"/>
    <w:rsid w:val="3AE8398C"/>
    <w:rsid w:val="3B1A39B3"/>
    <w:rsid w:val="3B7E27DD"/>
    <w:rsid w:val="3C095919"/>
    <w:rsid w:val="3C6510EB"/>
    <w:rsid w:val="3D352B5F"/>
    <w:rsid w:val="3DB85315"/>
    <w:rsid w:val="3E0D1FF1"/>
    <w:rsid w:val="3F1461E4"/>
    <w:rsid w:val="3F922049"/>
    <w:rsid w:val="3FB14895"/>
    <w:rsid w:val="403A3D18"/>
    <w:rsid w:val="4089679F"/>
    <w:rsid w:val="40A1219A"/>
    <w:rsid w:val="40F1187B"/>
    <w:rsid w:val="41163263"/>
    <w:rsid w:val="428003B2"/>
    <w:rsid w:val="437835D9"/>
    <w:rsid w:val="437A14DC"/>
    <w:rsid w:val="441950C4"/>
    <w:rsid w:val="4447076B"/>
    <w:rsid w:val="450620ED"/>
    <w:rsid w:val="45DF59B1"/>
    <w:rsid w:val="46855A4B"/>
    <w:rsid w:val="46D44956"/>
    <w:rsid w:val="46EE1E8D"/>
    <w:rsid w:val="47DE6870"/>
    <w:rsid w:val="48362755"/>
    <w:rsid w:val="48E00140"/>
    <w:rsid w:val="490703E8"/>
    <w:rsid w:val="4AAD488C"/>
    <w:rsid w:val="4B122CFD"/>
    <w:rsid w:val="4B4E04B7"/>
    <w:rsid w:val="4BA71BED"/>
    <w:rsid w:val="4C354AC1"/>
    <w:rsid w:val="4C4D3849"/>
    <w:rsid w:val="4E6D044E"/>
    <w:rsid w:val="4E95578B"/>
    <w:rsid w:val="4F4B5A34"/>
    <w:rsid w:val="4FBC4948"/>
    <w:rsid w:val="504340CD"/>
    <w:rsid w:val="521A10C4"/>
    <w:rsid w:val="52DD009F"/>
    <w:rsid w:val="52DF7371"/>
    <w:rsid w:val="531050B2"/>
    <w:rsid w:val="53821D96"/>
    <w:rsid w:val="53D81C5E"/>
    <w:rsid w:val="543024D3"/>
    <w:rsid w:val="544751EF"/>
    <w:rsid w:val="548010BF"/>
    <w:rsid w:val="54BA63B6"/>
    <w:rsid w:val="56CD3563"/>
    <w:rsid w:val="56F47B7E"/>
    <w:rsid w:val="571A3CDF"/>
    <w:rsid w:val="5742438B"/>
    <w:rsid w:val="57446690"/>
    <w:rsid w:val="57CC4DAB"/>
    <w:rsid w:val="58242496"/>
    <w:rsid w:val="58335A19"/>
    <w:rsid w:val="59066A70"/>
    <w:rsid w:val="59077D7A"/>
    <w:rsid w:val="59444C1B"/>
    <w:rsid w:val="594D3595"/>
    <w:rsid w:val="594E4D66"/>
    <w:rsid w:val="5A165663"/>
    <w:rsid w:val="5A350DBE"/>
    <w:rsid w:val="5A9912BB"/>
    <w:rsid w:val="5AFA7264"/>
    <w:rsid w:val="5BBA5D28"/>
    <w:rsid w:val="5BED19F4"/>
    <w:rsid w:val="5CB179C5"/>
    <w:rsid w:val="5D28648B"/>
    <w:rsid w:val="5D717287"/>
    <w:rsid w:val="5E2A15EF"/>
    <w:rsid w:val="5EF4726A"/>
    <w:rsid w:val="60752B29"/>
    <w:rsid w:val="610B478D"/>
    <w:rsid w:val="622533DA"/>
    <w:rsid w:val="627C1875"/>
    <w:rsid w:val="62A040E8"/>
    <w:rsid w:val="62A15DA4"/>
    <w:rsid w:val="62D968EB"/>
    <w:rsid w:val="64C807A3"/>
    <w:rsid w:val="661063CD"/>
    <w:rsid w:val="66867E32"/>
    <w:rsid w:val="66CC797F"/>
    <w:rsid w:val="67224B97"/>
    <w:rsid w:val="6765645A"/>
    <w:rsid w:val="67887D22"/>
    <w:rsid w:val="6820381B"/>
    <w:rsid w:val="68DA7C00"/>
    <w:rsid w:val="6A2D65C8"/>
    <w:rsid w:val="6A3D3DFF"/>
    <w:rsid w:val="6A6C5263"/>
    <w:rsid w:val="6A8F5E03"/>
    <w:rsid w:val="6AB72926"/>
    <w:rsid w:val="6AE8665A"/>
    <w:rsid w:val="6B171960"/>
    <w:rsid w:val="6C960582"/>
    <w:rsid w:val="6DBB14D9"/>
    <w:rsid w:val="6DEC70F7"/>
    <w:rsid w:val="6DF71F59"/>
    <w:rsid w:val="6E3E1358"/>
    <w:rsid w:val="6E7E5383"/>
    <w:rsid w:val="6EEA5288"/>
    <w:rsid w:val="6F7706A2"/>
    <w:rsid w:val="70095C08"/>
    <w:rsid w:val="70FE47A5"/>
    <w:rsid w:val="71190330"/>
    <w:rsid w:val="71373115"/>
    <w:rsid w:val="71942299"/>
    <w:rsid w:val="71F91B12"/>
    <w:rsid w:val="72F1136F"/>
    <w:rsid w:val="73B03BB2"/>
    <w:rsid w:val="73BE6D5C"/>
    <w:rsid w:val="7403775D"/>
    <w:rsid w:val="74637265"/>
    <w:rsid w:val="74796486"/>
    <w:rsid w:val="74E86097"/>
    <w:rsid w:val="75431DF5"/>
    <w:rsid w:val="75EE0105"/>
    <w:rsid w:val="767D2E2C"/>
    <w:rsid w:val="76907AF5"/>
    <w:rsid w:val="77AE723C"/>
    <w:rsid w:val="782869F8"/>
    <w:rsid w:val="788D6B17"/>
    <w:rsid w:val="7A2D749C"/>
    <w:rsid w:val="7A366FBF"/>
    <w:rsid w:val="7B91726B"/>
    <w:rsid w:val="7BD40C4D"/>
    <w:rsid w:val="7C215D74"/>
    <w:rsid w:val="7D5170DA"/>
    <w:rsid w:val="7D7609EE"/>
    <w:rsid w:val="7E7A28A3"/>
    <w:rsid w:val="7EC2465E"/>
    <w:rsid w:val="7F5E6069"/>
    <w:rsid w:val="7F5F04E4"/>
    <w:rsid w:val="7FEE6A0D"/>
    <w:rsid w:val="7FF52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72"/>
    <w:qFormat/>
    <w:uiPriority w:val="0"/>
    <w:pPr>
      <w:keepNext/>
      <w:keepLines/>
      <w:adjustRightInd w:val="0"/>
      <w:spacing w:line="460" w:lineRule="exact"/>
      <w:jc w:val="left"/>
      <w:textAlignment w:val="baseline"/>
      <w:outlineLvl w:val="0"/>
    </w:pPr>
    <w:rPr>
      <w:b/>
      <w:kern w:val="44"/>
      <w:sz w:val="32"/>
      <w:szCs w:val="20"/>
    </w:rPr>
  </w:style>
  <w:style w:type="paragraph" w:styleId="6">
    <w:name w:val="heading 2"/>
    <w:basedOn w:val="1"/>
    <w:next w:val="1"/>
    <w:link w:val="73"/>
    <w:qFormat/>
    <w:uiPriority w:val="0"/>
    <w:pPr>
      <w:keepNext/>
      <w:keepLines/>
      <w:spacing w:before="260" w:after="260" w:line="413" w:lineRule="auto"/>
      <w:outlineLvl w:val="1"/>
    </w:pPr>
    <w:rPr>
      <w:rFonts w:ascii="Arial" w:hAnsi="Arial" w:eastAsia="黑体"/>
      <w:b/>
      <w:bCs/>
      <w:sz w:val="32"/>
      <w:szCs w:val="32"/>
    </w:rPr>
  </w:style>
  <w:style w:type="paragraph" w:styleId="2">
    <w:name w:val="heading 3"/>
    <w:basedOn w:val="1"/>
    <w:next w:val="3"/>
    <w:link w:val="74"/>
    <w:qFormat/>
    <w:uiPriority w:val="9"/>
    <w:pPr>
      <w:keepNext/>
      <w:keepLines/>
      <w:spacing w:before="260" w:after="260" w:line="360" w:lineRule="auto"/>
      <w:ind w:left="171" w:leftChars="171"/>
      <w:outlineLvl w:val="2"/>
    </w:pPr>
    <w:rPr>
      <w:rFonts w:eastAsia="Arial Unicode MS"/>
      <w:b/>
      <w:szCs w:val="20"/>
    </w:rPr>
  </w:style>
  <w:style w:type="paragraph" w:styleId="7">
    <w:name w:val="heading 4"/>
    <w:basedOn w:val="1"/>
    <w:next w:val="1"/>
    <w:link w:val="75"/>
    <w:qFormat/>
    <w:uiPriority w:val="0"/>
    <w:pPr>
      <w:keepNext/>
      <w:keepLines/>
      <w:spacing w:before="280" w:after="290" w:line="376" w:lineRule="auto"/>
      <w:outlineLvl w:val="3"/>
    </w:pPr>
    <w:rPr>
      <w:rFonts w:ascii="Cambria" w:hAnsi="Cambria"/>
      <w:b/>
      <w:bCs/>
      <w:sz w:val="28"/>
      <w:szCs w:val="28"/>
    </w:rPr>
  </w:style>
  <w:style w:type="paragraph" w:styleId="8">
    <w:name w:val="heading 5"/>
    <w:basedOn w:val="1"/>
    <w:next w:val="1"/>
    <w:link w:val="76"/>
    <w:qFormat/>
    <w:uiPriority w:val="9"/>
    <w:pPr>
      <w:keepNext/>
      <w:keepLines/>
      <w:spacing w:before="280" w:after="290" w:line="376" w:lineRule="auto"/>
      <w:outlineLvl w:val="4"/>
    </w:pPr>
    <w:rPr>
      <w:rFonts w:ascii="Calibri" w:hAnsi="Calibri"/>
      <w:b/>
      <w:bCs/>
      <w:sz w:val="28"/>
      <w:szCs w:val="28"/>
    </w:rPr>
  </w:style>
  <w:style w:type="paragraph" w:styleId="9">
    <w:name w:val="heading 6"/>
    <w:basedOn w:val="1"/>
    <w:next w:val="1"/>
    <w:link w:val="77"/>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10">
    <w:name w:val="heading 7"/>
    <w:basedOn w:val="1"/>
    <w:next w:val="1"/>
    <w:link w:val="78"/>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11">
    <w:name w:val="heading 8"/>
    <w:basedOn w:val="1"/>
    <w:next w:val="1"/>
    <w:link w:val="79"/>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2">
    <w:name w:val="heading 9"/>
    <w:basedOn w:val="1"/>
    <w:next w:val="1"/>
    <w:link w:val="80"/>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Cs w:val="21"/>
    </w:rPr>
  </w:style>
  <w:style w:type="character" w:default="1" w:styleId="62">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link w:val="120"/>
    <w:qFormat/>
    <w:uiPriority w:val="99"/>
    <w:pPr>
      <w:ind w:firstLine="420" w:firstLineChars="200"/>
    </w:pPr>
    <w:rPr>
      <w:rFonts w:asciiTheme="minorHAnsi" w:hAnsiTheme="minorHAnsi" w:eastAsiaTheme="minorEastAsia" w:cstheme="minorBidi"/>
    </w:rPr>
  </w:style>
  <w:style w:type="paragraph" w:styleId="4">
    <w:name w:val="toa heading"/>
    <w:basedOn w:val="1"/>
    <w:next w:val="1"/>
    <w:qFormat/>
    <w:uiPriority w:val="0"/>
    <w:pPr>
      <w:spacing w:before="120"/>
    </w:pPr>
    <w:rPr>
      <w:rFonts w:ascii="Arial" w:hAnsi="Arial" w:eastAsia="微软雅黑"/>
      <w:sz w:val="24"/>
      <w:szCs w:val="21"/>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39"/>
    <w:pPr>
      <w:ind w:left="1260"/>
      <w:jc w:val="left"/>
    </w:pPr>
    <w:rPr>
      <w:sz w:val="18"/>
      <w:szCs w:val="18"/>
    </w:rPr>
  </w:style>
  <w:style w:type="paragraph" w:styleId="15">
    <w:name w:val="table of authorities"/>
    <w:basedOn w:val="1"/>
    <w:next w:val="1"/>
    <w:qFormat/>
    <w:uiPriority w:val="0"/>
    <w:pPr>
      <w:ind w:left="420" w:leftChars="200"/>
    </w:pPr>
    <w:rPr>
      <w:szCs w:val="20"/>
    </w:rPr>
  </w:style>
  <w:style w:type="paragraph" w:styleId="16">
    <w:name w:val="List Bullet 4"/>
    <w:basedOn w:val="1"/>
    <w:qFormat/>
    <w:uiPriority w:val="0"/>
    <w:pPr>
      <w:tabs>
        <w:tab w:val="left" w:pos="980"/>
      </w:tabs>
      <w:spacing w:beforeLines="50" w:afterLines="50" w:line="360" w:lineRule="auto"/>
      <w:ind w:left="980" w:hanging="420"/>
    </w:pPr>
    <w:rPr>
      <w:sz w:val="24"/>
    </w:rPr>
  </w:style>
  <w:style w:type="paragraph" w:styleId="17">
    <w:name w:val="List Number"/>
    <w:basedOn w:val="1"/>
    <w:qFormat/>
    <w:uiPriority w:val="0"/>
    <w:pPr>
      <w:numPr>
        <w:ilvl w:val="0"/>
        <w:numId w:val="1"/>
      </w:numPr>
      <w:tabs>
        <w:tab w:val="left" w:pos="840"/>
      </w:tabs>
    </w:pPr>
    <w:rPr>
      <w:rFonts w:ascii="Calibri" w:hAnsi="Calibri"/>
      <w:sz w:val="28"/>
      <w:szCs w:val="22"/>
    </w:rPr>
  </w:style>
  <w:style w:type="paragraph" w:styleId="18">
    <w:name w:val="caption"/>
    <w:basedOn w:val="1"/>
    <w:next w:val="1"/>
    <w:link w:val="201"/>
    <w:qFormat/>
    <w:uiPriority w:val="0"/>
    <w:pPr>
      <w:widowControl/>
      <w:jc w:val="left"/>
    </w:pPr>
    <w:rPr>
      <w:rFonts w:ascii="Arial" w:hAnsi="Arial" w:eastAsia="黑体" w:cstheme="minorBidi"/>
      <w:szCs w:val="22"/>
    </w:rPr>
  </w:style>
  <w:style w:type="paragraph" w:styleId="19">
    <w:name w:val="List Bullet"/>
    <w:basedOn w:val="1"/>
    <w:qFormat/>
    <w:uiPriority w:val="0"/>
    <w:pPr>
      <w:spacing w:beforeLines="50" w:afterLines="50" w:line="360" w:lineRule="auto"/>
      <w:ind w:firstLine="482" w:firstLineChars="200"/>
    </w:pPr>
    <w:rPr>
      <w:rFonts w:ascii="宋体" w:hAnsi="宋体"/>
      <w:b/>
      <w:kern w:val="0"/>
      <w:sz w:val="24"/>
    </w:rPr>
  </w:style>
  <w:style w:type="paragraph" w:styleId="20">
    <w:name w:val="envelope address"/>
    <w:basedOn w:val="1"/>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1">
    <w:name w:val="Document Map"/>
    <w:basedOn w:val="1"/>
    <w:link w:val="258"/>
    <w:qFormat/>
    <w:uiPriority w:val="99"/>
    <w:pPr>
      <w:shd w:val="clear" w:color="auto" w:fill="000080"/>
    </w:pPr>
    <w:rPr>
      <w:rFonts w:asciiTheme="minorHAnsi" w:hAnsiTheme="minorHAnsi" w:eastAsiaTheme="minorEastAsia" w:cstheme="minorBidi"/>
    </w:rPr>
  </w:style>
  <w:style w:type="paragraph" w:styleId="22">
    <w:name w:val="annotation text"/>
    <w:basedOn w:val="1"/>
    <w:link w:val="245"/>
    <w:unhideWhenUsed/>
    <w:qFormat/>
    <w:uiPriority w:val="99"/>
    <w:pPr>
      <w:jc w:val="left"/>
    </w:pPr>
  </w:style>
  <w:style w:type="paragraph" w:styleId="23">
    <w:name w:val="Salutation"/>
    <w:basedOn w:val="1"/>
    <w:next w:val="1"/>
    <w:link w:val="255"/>
    <w:qFormat/>
    <w:uiPriority w:val="0"/>
    <w:rPr>
      <w:rFonts w:asciiTheme="minorHAnsi" w:hAnsiTheme="minorHAnsi" w:eastAsiaTheme="minorEastAsia" w:cstheme="minorBidi"/>
    </w:rPr>
  </w:style>
  <w:style w:type="paragraph" w:styleId="24">
    <w:name w:val="Body Text 3"/>
    <w:basedOn w:val="1"/>
    <w:link w:val="225"/>
    <w:unhideWhenUsed/>
    <w:qFormat/>
    <w:uiPriority w:val="0"/>
    <w:pPr>
      <w:spacing w:beforeLines="50" w:afterLines="50" w:line="360" w:lineRule="auto"/>
    </w:pPr>
    <w:rPr>
      <w:rFonts w:asciiTheme="minorHAnsi" w:hAnsiTheme="minorHAnsi" w:eastAsiaTheme="minorEastAsia" w:cstheme="minorBidi"/>
      <w:sz w:val="16"/>
      <w:szCs w:val="16"/>
    </w:rPr>
  </w:style>
  <w:style w:type="paragraph" w:styleId="25">
    <w:name w:val="Closing"/>
    <w:basedOn w:val="1"/>
    <w:link w:val="287"/>
    <w:qFormat/>
    <w:uiPriority w:val="0"/>
    <w:pPr>
      <w:ind w:left="100" w:leftChars="2100"/>
    </w:pPr>
    <w:rPr>
      <w:rFonts w:ascii="宋体" w:hAnsi="宋体" w:eastAsiaTheme="minorEastAsia" w:cstheme="minorBidi"/>
      <w:b/>
      <w:sz w:val="24"/>
    </w:rPr>
  </w:style>
  <w:style w:type="paragraph" w:styleId="26">
    <w:name w:val="List Bullet 3"/>
    <w:basedOn w:val="1"/>
    <w:unhideWhenUsed/>
    <w:qFormat/>
    <w:uiPriority w:val="0"/>
    <w:pPr>
      <w:tabs>
        <w:tab w:val="left" w:pos="1200"/>
      </w:tabs>
      <w:ind w:left="1200" w:leftChars="400" w:hanging="360" w:hangingChars="200"/>
      <w:contextualSpacing/>
    </w:pPr>
    <w:rPr>
      <w:szCs w:val="20"/>
    </w:rPr>
  </w:style>
  <w:style w:type="paragraph" w:styleId="27">
    <w:name w:val="Body Text"/>
    <w:basedOn w:val="1"/>
    <w:link w:val="252"/>
    <w:qFormat/>
    <w:uiPriority w:val="0"/>
    <w:pPr>
      <w:autoSpaceDE w:val="0"/>
      <w:autoSpaceDN w:val="0"/>
      <w:adjustRightInd w:val="0"/>
      <w:spacing w:line="360" w:lineRule="auto"/>
      <w:jc w:val="left"/>
    </w:pPr>
    <w:rPr>
      <w:rFonts w:ascii="宋体" w:hAnsiTheme="minorHAnsi" w:eastAsiaTheme="minorEastAsia" w:cstheme="minorBidi"/>
      <w:color w:val="000000"/>
      <w:sz w:val="28"/>
      <w:szCs w:val="32"/>
    </w:rPr>
  </w:style>
  <w:style w:type="paragraph" w:styleId="28">
    <w:name w:val="Body Text Indent"/>
    <w:basedOn w:val="1"/>
    <w:link w:val="222"/>
    <w:qFormat/>
    <w:uiPriority w:val="0"/>
    <w:pPr>
      <w:autoSpaceDE w:val="0"/>
      <w:autoSpaceDN w:val="0"/>
      <w:adjustRightInd w:val="0"/>
      <w:spacing w:line="360" w:lineRule="auto"/>
      <w:ind w:left="567" w:leftChars="270"/>
    </w:pPr>
    <w:rPr>
      <w:rFonts w:ascii="宋体" w:hAnsiTheme="minorHAnsi" w:eastAsiaTheme="minorEastAsia" w:cstheme="minorBidi"/>
      <w:color w:val="000000"/>
      <w:sz w:val="32"/>
      <w:szCs w:val="32"/>
    </w:rPr>
  </w:style>
  <w:style w:type="paragraph" w:styleId="29">
    <w:name w:val="List 2"/>
    <w:basedOn w:val="1"/>
    <w:qFormat/>
    <w:uiPriority w:val="0"/>
    <w:pPr>
      <w:spacing w:beforeLines="50" w:afterLines="50" w:line="360" w:lineRule="auto"/>
      <w:ind w:left="100" w:leftChars="200" w:hanging="200" w:hangingChars="200"/>
    </w:pPr>
    <w:rPr>
      <w:sz w:val="24"/>
    </w:rPr>
  </w:style>
  <w:style w:type="paragraph" w:styleId="30">
    <w:name w:val="Block Text"/>
    <w:basedOn w:val="1"/>
    <w:qFormat/>
    <w:uiPriority w:val="0"/>
    <w:pPr>
      <w:spacing w:beforeLines="50" w:afterLines="50" w:line="360" w:lineRule="auto"/>
      <w:ind w:left="1440" w:leftChars="700" w:right="1440" w:rightChars="700"/>
    </w:pPr>
    <w:rPr>
      <w:sz w:val="24"/>
    </w:rPr>
  </w:style>
  <w:style w:type="paragraph" w:styleId="31">
    <w:name w:val="toc 5"/>
    <w:basedOn w:val="1"/>
    <w:next w:val="1"/>
    <w:qFormat/>
    <w:uiPriority w:val="39"/>
    <w:pPr>
      <w:ind w:left="840"/>
      <w:jc w:val="left"/>
    </w:pPr>
    <w:rPr>
      <w:sz w:val="18"/>
      <w:szCs w:val="18"/>
    </w:rPr>
  </w:style>
  <w:style w:type="paragraph" w:styleId="32">
    <w:name w:val="toc 3"/>
    <w:basedOn w:val="1"/>
    <w:next w:val="1"/>
    <w:qFormat/>
    <w:uiPriority w:val="39"/>
    <w:pPr>
      <w:ind w:left="420"/>
      <w:jc w:val="left"/>
    </w:pPr>
    <w:rPr>
      <w:i/>
      <w:iCs/>
      <w:sz w:val="20"/>
      <w:szCs w:val="20"/>
    </w:rPr>
  </w:style>
  <w:style w:type="paragraph" w:styleId="33">
    <w:name w:val="Plain Text"/>
    <w:basedOn w:val="1"/>
    <w:link w:val="237"/>
    <w:qFormat/>
    <w:uiPriority w:val="0"/>
    <w:rPr>
      <w:rFonts w:ascii="宋体" w:hAnsi="Courier New" w:cs="Courier New" w:eastAsiaTheme="minorEastAsia"/>
      <w:szCs w:val="21"/>
    </w:rPr>
  </w:style>
  <w:style w:type="paragraph" w:styleId="34">
    <w:name w:val="toc 8"/>
    <w:basedOn w:val="1"/>
    <w:next w:val="1"/>
    <w:qFormat/>
    <w:uiPriority w:val="39"/>
    <w:pPr>
      <w:ind w:left="1470"/>
      <w:jc w:val="left"/>
    </w:pPr>
    <w:rPr>
      <w:sz w:val="18"/>
      <w:szCs w:val="18"/>
    </w:rPr>
  </w:style>
  <w:style w:type="paragraph" w:styleId="35">
    <w:name w:val="Date"/>
    <w:basedOn w:val="1"/>
    <w:next w:val="1"/>
    <w:link w:val="262"/>
    <w:qFormat/>
    <w:uiPriority w:val="0"/>
    <w:pPr>
      <w:ind w:left="100" w:leftChars="2500"/>
    </w:pPr>
    <w:rPr>
      <w:rFonts w:eastAsia="仿宋_GB2312" w:asciiTheme="minorHAnsi" w:hAnsiTheme="minorHAnsi" w:cstheme="minorBidi"/>
      <w:color w:val="000000"/>
      <w:sz w:val="28"/>
    </w:rPr>
  </w:style>
  <w:style w:type="paragraph" w:styleId="36">
    <w:name w:val="Body Text Indent 2"/>
    <w:basedOn w:val="1"/>
    <w:link w:val="215"/>
    <w:qFormat/>
    <w:uiPriority w:val="0"/>
    <w:pPr>
      <w:autoSpaceDE w:val="0"/>
      <w:autoSpaceDN w:val="0"/>
      <w:adjustRightInd w:val="0"/>
      <w:spacing w:line="360" w:lineRule="auto"/>
      <w:ind w:left="1415" w:leftChars="674" w:firstLine="1"/>
      <w:jc w:val="left"/>
    </w:pPr>
    <w:rPr>
      <w:rFonts w:ascii="幼圆" w:eastAsia="幼圆" w:hAnsiTheme="minorHAnsi" w:cstheme="minorBidi"/>
      <w:color w:val="000000"/>
      <w:sz w:val="30"/>
      <w:szCs w:val="32"/>
    </w:rPr>
  </w:style>
  <w:style w:type="paragraph" w:styleId="37">
    <w:name w:val="endnote text"/>
    <w:basedOn w:val="1"/>
    <w:link w:val="291"/>
    <w:qFormat/>
    <w:uiPriority w:val="0"/>
    <w:pPr>
      <w:snapToGrid w:val="0"/>
      <w:jc w:val="left"/>
    </w:pPr>
    <w:rPr>
      <w:rFonts w:asciiTheme="minorHAnsi" w:hAnsiTheme="minorHAnsi" w:eastAsiaTheme="minorEastAsia" w:cstheme="minorBidi"/>
      <w:szCs w:val="22"/>
    </w:rPr>
  </w:style>
  <w:style w:type="paragraph" w:styleId="38">
    <w:name w:val="Balloon Text"/>
    <w:basedOn w:val="1"/>
    <w:link w:val="243"/>
    <w:qFormat/>
    <w:uiPriority w:val="99"/>
    <w:rPr>
      <w:rFonts w:asciiTheme="minorHAnsi" w:hAnsiTheme="minorHAnsi" w:eastAsiaTheme="minorEastAsia" w:cstheme="minorBidi"/>
      <w:sz w:val="18"/>
      <w:szCs w:val="18"/>
    </w:rPr>
  </w:style>
  <w:style w:type="paragraph" w:styleId="39">
    <w:name w:val="footer"/>
    <w:basedOn w:val="1"/>
    <w:link w:val="71"/>
    <w:unhideWhenUsed/>
    <w:qFormat/>
    <w:uiPriority w:val="99"/>
    <w:pPr>
      <w:tabs>
        <w:tab w:val="center" w:pos="4153"/>
        <w:tab w:val="right" w:pos="8306"/>
      </w:tabs>
      <w:snapToGrid w:val="0"/>
      <w:jc w:val="left"/>
    </w:pPr>
    <w:rPr>
      <w:sz w:val="18"/>
      <w:szCs w:val="18"/>
    </w:rPr>
  </w:style>
  <w:style w:type="paragraph" w:styleId="40">
    <w:name w:val="header"/>
    <w:basedOn w:val="1"/>
    <w:link w:val="70"/>
    <w:unhideWhenUsed/>
    <w:qFormat/>
    <w:uiPriority w:val="99"/>
    <w:pPr>
      <w:pBdr>
        <w:bottom w:val="single" w:color="auto" w:sz="6" w:space="1"/>
      </w:pBdr>
      <w:tabs>
        <w:tab w:val="center" w:pos="4153"/>
        <w:tab w:val="right" w:pos="8306"/>
      </w:tabs>
      <w:snapToGrid w:val="0"/>
      <w:jc w:val="center"/>
    </w:pPr>
    <w:rPr>
      <w:sz w:val="18"/>
      <w:szCs w:val="18"/>
    </w:rPr>
  </w:style>
  <w:style w:type="paragraph" w:styleId="41">
    <w:name w:val="toc 1"/>
    <w:basedOn w:val="1"/>
    <w:next w:val="1"/>
    <w:qFormat/>
    <w:uiPriority w:val="39"/>
    <w:pPr>
      <w:tabs>
        <w:tab w:val="left" w:pos="420"/>
        <w:tab w:val="left" w:pos="1050"/>
        <w:tab w:val="right" w:leader="dot" w:pos="8302"/>
      </w:tabs>
      <w:spacing w:before="120" w:after="120" w:line="220" w:lineRule="exact"/>
      <w:ind w:firstLine="420"/>
      <w:jc w:val="center"/>
    </w:pPr>
    <w:rPr>
      <w:b/>
      <w:bCs/>
      <w:caps/>
      <w:sz w:val="20"/>
      <w:szCs w:val="20"/>
    </w:rPr>
  </w:style>
  <w:style w:type="paragraph" w:styleId="42">
    <w:name w:val="toc 4"/>
    <w:basedOn w:val="1"/>
    <w:next w:val="1"/>
    <w:qFormat/>
    <w:uiPriority w:val="39"/>
    <w:pPr>
      <w:ind w:left="630"/>
      <w:jc w:val="left"/>
    </w:pPr>
    <w:rPr>
      <w:sz w:val="18"/>
      <w:szCs w:val="18"/>
    </w:rPr>
  </w:style>
  <w:style w:type="paragraph" w:styleId="43">
    <w:name w:val="Subtitle"/>
    <w:basedOn w:val="1"/>
    <w:next w:val="1"/>
    <w:link w:val="288"/>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4">
    <w:name w:val="List"/>
    <w:basedOn w:val="1"/>
    <w:qFormat/>
    <w:uiPriority w:val="0"/>
    <w:pPr>
      <w:ind w:left="420" w:hanging="420"/>
    </w:pPr>
    <w:rPr>
      <w:sz w:val="24"/>
      <w:szCs w:val="20"/>
    </w:rPr>
  </w:style>
  <w:style w:type="paragraph" w:styleId="45">
    <w:name w:val="footnote text"/>
    <w:basedOn w:val="1"/>
    <w:link w:val="713"/>
    <w:qFormat/>
    <w:uiPriority w:val="0"/>
    <w:pPr>
      <w:widowControl/>
      <w:jc w:val="left"/>
    </w:pPr>
    <w:rPr>
      <w:kern w:val="0"/>
      <w:sz w:val="20"/>
      <w:szCs w:val="20"/>
      <w:lang w:val="de-DE"/>
    </w:rPr>
  </w:style>
  <w:style w:type="paragraph" w:styleId="46">
    <w:name w:val="toc 6"/>
    <w:basedOn w:val="1"/>
    <w:next w:val="1"/>
    <w:qFormat/>
    <w:uiPriority w:val="39"/>
    <w:pPr>
      <w:ind w:left="1050"/>
      <w:jc w:val="left"/>
    </w:pPr>
    <w:rPr>
      <w:sz w:val="18"/>
      <w:szCs w:val="18"/>
    </w:rPr>
  </w:style>
  <w:style w:type="paragraph" w:styleId="47">
    <w:name w:val="Body Text Indent 3"/>
    <w:basedOn w:val="1"/>
    <w:link w:val="247"/>
    <w:qFormat/>
    <w:uiPriority w:val="0"/>
    <w:pPr>
      <w:ind w:firstLine="480" w:firstLineChars="200"/>
    </w:pPr>
    <w:rPr>
      <w:rFonts w:ascii="幼圆" w:eastAsia="幼圆" w:hAnsiTheme="minorHAnsi" w:cstheme="minorBidi"/>
      <w:sz w:val="24"/>
      <w:szCs w:val="32"/>
    </w:rPr>
  </w:style>
  <w:style w:type="paragraph" w:styleId="48">
    <w:name w:val="table of figures"/>
    <w:basedOn w:val="1"/>
    <w:next w:val="1"/>
    <w:qFormat/>
    <w:uiPriority w:val="99"/>
    <w:pPr>
      <w:ind w:left="200" w:leftChars="200" w:hanging="200" w:hangingChars="200"/>
    </w:pPr>
  </w:style>
  <w:style w:type="paragraph" w:styleId="49">
    <w:name w:val="toc 2"/>
    <w:basedOn w:val="1"/>
    <w:next w:val="1"/>
    <w:qFormat/>
    <w:uiPriority w:val="39"/>
    <w:pPr>
      <w:ind w:left="210"/>
      <w:jc w:val="left"/>
    </w:pPr>
    <w:rPr>
      <w:smallCaps/>
      <w:sz w:val="20"/>
      <w:szCs w:val="20"/>
    </w:rPr>
  </w:style>
  <w:style w:type="paragraph" w:styleId="50">
    <w:name w:val="toc 9"/>
    <w:basedOn w:val="1"/>
    <w:next w:val="1"/>
    <w:qFormat/>
    <w:uiPriority w:val="39"/>
    <w:pPr>
      <w:ind w:left="1680"/>
      <w:jc w:val="left"/>
    </w:pPr>
    <w:rPr>
      <w:sz w:val="18"/>
      <w:szCs w:val="18"/>
    </w:rPr>
  </w:style>
  <w:style w:type="paragraph" w:styleId="51">
    <w:name w:val="Body Text 2"/>
    <w:basedOn w:val="1"/>
    <w:link w:val="282"/>
    <w:qFormat/>
    <w:uiPriority w:val="0"/>
    <w:pPr>
      <w:jc w:val="center"/>
    </w:pPr>
    <w:rPr>
      <w:rFonts w:ascii="宋体" w:hAnsi="宋体" w:eastAsiaTheme="minorEastAsia" w:cstheme="minorBidi"/>
      <w:sz w:val="24"/>
    </w:rPr>
  </w:style>
  <w:style w:type="paragraph" w:styleId="52">
    <w:name w:val="HTML Preformatted"/>
    <w:basedOn w:val="1"/>
    <w:link w:val="27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rPr>
  </w:style>
  <w:style w:type="paragraph" w:styleId="5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4">
    <w:name w:val="index 1"/>
    <w:basedOn w:val="1"/>
    <w:next w:val="1"/>
    <w:qFormat/>
    <w:uiPriority w:val="0"/>
    <w:rPr>
      <w:kern w:val="0"/>
      <w:sz w:val="24"/>
      <w:szCs w:val="21"/>
    </w:rPr>
  </w:style>
  <w:style w:type="paragraph" w:styleId="55">
    <w:name w:val="Title"/>
    <w:basedOn w:val="1"/>
    <w:next w:val="1"/>
    <w:link w:val="228"/>
    <w:qFormat/>
    <w:uiPriority w:val="0"/>
    <w:pPr>
      <w:spacing w:before="240" w:after="60"/>
      <w:jc w:val="center"/>
      <w:outlineLvl w:val="0"/>
    </w:pPr>
    <w:rPr>
      <w:rFonts w:ascii="Arial" w:hAnsi="Arial" w:eastAsiaTheme="minorEastAsia" w:cstheme="minorBidi"/>
      <w:b/>
      <w:bCs/>
      <w:sz w:val="32"/>
      <w:szCs w:val="32"/>
    </w:rPr>
  </w:style>
  <w:style w:type="paragraph" w:styleId="56">
    <w:name w:val="annotation subject"/>
    <w:basedOn w:val="22"/>
    <w:next w:val="22"/>
    <w:link w:val="246"/>
    <w:qFormat/>
    <w:uiPriority w:val="99"/>
    <w:rPr>
      <w:rFonts w:asciiTheme="minorHAnsi" w:hAnsiTheme="minorHAnsi" w:eastAsiaTheme="minorEastAsia" w:cstheme="minorBidi"/>
      <w:b/>
    </w:rPr>
  </w:style>
  <w:style w:type="paragraph" w:styleId="57">
    <w:name w:val="Body Text First Indent"/>
    <w:basedOn w:val="27"/>
    <w:link w:val="281"/>
    <w:qFormat/>
    <w:uiPriority w:val="0"/>
    <w:pPr>
      <w:autoSpaceDE/>
      <w:autoSpaceDN/>
      <w:adjustRightInd/>
      <w:spacing w:after="120" w:line="240" w:lineRule="auto"/>
      <w:ind w:firstLine="420" w:firstLineChars="100"/>
      <w:jc w:val="both"/>
    </w:pPr>
    <w:rPr>
      <w:sz w:val="21"/>
    </w:rPr>
  </w:style>
  <w:style w:type="paragraph" w:styleId="58">
    <w:name w:val="Body Text First Indent 2"/>
    <w:basedOn w:val="28"/>
    <w:link w:val="233"/>
    <w:unhideWhenUsed/>
    <w:qFormat/>
    <w:uiPriority w:val="0"/>
    <w:pPr>
      <w:autoSpaceDE/>
      <w:autoSpaceDN/>
      <w:adjustRightInd/>
      <w:spacing w:after="120" w:line="240" w:lineRule="auto"/>
      <w:ind w:left="420" w:leftChars="200" w:firstLine="420" w:firstLineChars="200"/>
    </w:pPr>
    <w:rPr>
      <w:rFonts w:ascii="仿宋_GB2312" w:eastAsia="仿宋_GB2312"/>
      <w:sz w:val="24"/>
      <w:szCs w:val="24"/>
    </w:rPr>
  </w:style>
  <w:style w:type="table" w:styleId="60">
    <w:name w:val="Table Grid"/>
    <w:basedOn w:val="5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61">
    <w:name w:val="Table Elegant"/>
    <w:basedOn w:val="5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63">
    <w:name w:val="Strong"/>
    <w:qFormat/>
    <w:uiPriority w:val="22"/>
    <w:rPr>
      <w:b/>
      <w:bCs/>
    </w:rPr>
  </w:style>
  <w:style w:type="character" w:styleId="64">
    <w:name w:val="endnote reference"/>
    <w:qFormat/>
    <w:uiPriority w:val="0"/>
    <w:rPr>
      <w:vertAlign w:val="superscript"/>
    </w:rPr>
  </w:style>
  <w:style w:type="character" w:styleId="65">
    <w:name w:val="page number"/>
    <w:basedOn w:val="62"/>
    <w:qFormat/>
    <w:uiPriority w:val="0"/>
  </w:style>
  <w:style w:type="character" w:styleId="66">
    <w:name w:val="FollowedHyperlink"/>
    <w:qFormat/>
    <w:uiPriority w:val="0"/>
    <w:rPr>
      <w:color w:val="800080"/>
      <w:u w:val="single"/>
    </w:rPr>
  </w:style>
  <w:style w:type="character" w:styleId="67">
    <w:name w:val="Emphasis"/>
    <w:qFormat/>
    <w:uiPriority w:val="0"/>
    <w:rPr>
      <w:i/>
      <w:iCs/>
    </w:rPr>
  </w:style>
  <w:style w:type="character" w:styleId="68">
    <w:name w:val="Hyperlink"/>
    <w:qFormat/>
    <w:uiPriority w:val="99"/>
    <w:rPr>
      <w:color w:val="0000FF"/>
      <w:u w:val="single"/>
    </w:rPr>
  </w:style>
  <w:style w:type="character" w:styleId="69">
    <w:name w:val="annotation reference"/>
    <w:qFormat/>
    <w:uiPriority w:val="99"/>
    <w:rPr>
      <w:sz w:val="21"/>
    </w:rPr>
  </w:style>
  <w:style w:type="character" w:customStyle="1" w:styleId="70">
    <w:name w:val="页眉 Char"/>
    <w:basedOn w:val="62"/>
    <w:link w:val="40"/>
    <w:qFormat/>
    <w:uiPriority w:val="99"/>
    <w:rPr>
      <w:sz w:val="18"/>
      <w:szCs w:val="18"/>
    </w:rPr>
  </w:style>
  <w:style w:type="character" w:customStyle="1" w:styleId="71">
    <w:name w:val="页脚 Char"/>
    <w:basedOn w:val="62"/>
    <w:link w:val="39"/>
    <w:qFormat/>
    <w:uiPriority w:val="99"/>
    <w:rPr>
      <w:sz w:val="18"/>
      <w:szCs w:val="18"/>
    </w:rPr>
  </w:style>
  <w:style w:type="character" w:customStyle="1" w:styleId="72">
    <w:name w:val="标题 1 Char"/>
    <w:basedOn w:val="62"/>
    <w:link w:val="5"/>
    <w:qFormat/>
    <w:uiPriority w:val="0"/>
    <w:rPr>
      <w:rFonts w:ascii="Times New Roman" w:hAnsi="Times New Roman" w:eastAsia="宋体" w:cs="Times New Roman"/>
      <w:b/>
      <w:kern w:val="44"/>
      <w:sz w:val="32"/>
      <w:szCs w:val="20"/>
    </w:rPr>
  </w:style>
  <w:style w:type="character" w:customStyle="1" w:styleId="73">
    <w:name w:val="标题 2 Char"/>
    <w:basedOn w:val="62"/>
    <w:link w:val="6"/>
    <w:qFormat/>
    <w:uiPriority w:val="0"/>
    <w:rPr>
      <w:rFonts w:ascii="Arial" w:hAnsi="Arial" w:eastAsia="黑体" w:cs="Times New Roman"/>
      <w:b/>
      <w:bCs/>
      <w:sz w:val="32"/>
      <w:szCs w:val="32"/>
    </w:rPr>
  </w:style>
  <w:style w:type="character" w:customStyle="1" w:styleId="74">
    <w:name w:val="标题 3 Char"/>
    <w:basedOn w:val="62"/>
    <w:link w:val="2"/>
    <w:qFormat/>
    <w:uiPriority w:val="9"/>
    <w:rPr>
      <w:rFonts w:ascii="Times New Roman" w:hAnsi="Times New Roman" w:eastAsia="Arial Unicode MS" w:cs="Times New Roman"/>
      <w:b/>
      <w:szCs w:val="20"/>
    </w:rPr>
  </w:style>
  <w:style w:type="character" w:customStyle="1" w:styleId="75">
    <w:name w:val="标题 4 Char"/>
    <w:basedOn w:val="62"/>
    <w:link w:val="7"/>
    <w:qFormat/>
    <w:uiPriority w:val="0"/>
    <w:rPr>
      <w:rFonts w:ascii="Cambria" w:hAnsi="Cambria" w:eastAsia="宋体" w:cs="Times New Roman"/>
      <w:b/>
      <w:bCs/>
      <w:sz w:val="28"/>
      <w:szCs w:val="28"/>
    </w:rPr>
  </w:style>
  <w:style w:type="character" w:customStyle="1" w:styleId="76">
    <w:name w:val="标题 5 Char"/>
    <w:basedOn w:val="62"/>
    <w:link w:val="8"/>
    <w:qFormat/>
    <w:uiPriority w:val="9"/>
    <w:rPr>
      <w:rFonts w:ascii="Calibri" w:hAnsi="Calibri" w:eastAsia="宋体" w:cs="Times New Roman"/>
      <w:b/>
      <w:bCs/>
      <w:sz w:val="28"/>
      <w:szCs w:val="28"/>
    </w:rPr>
  </w:style>
  <w:style w:type="character" w:customStyle="1" w:styleId="77">
    <w:name w:val="标题 6 Char"/>
    <w:basedOn w:val="62"/>
    <w:link w:val="9"/>
    <w:qFormat/>
    <w:uiPriority w:val="0"/>
    <w:rPr>
      <w:rFonts w:ascii="Arial" w:hAnsi="Arial" w:eastAsia="黑体" w:cs="Times New Roman"/>
      <w:b/>
      <w:bCs/>
      <w:kern w:val="0"/>
      <w:sz w:val="24"/>
      <w:szCs w:val="24"/>
    </w:rPr>
  </w:style>
  <w:style w:type="character" w:customStyle="1" w:styleId="78">
    <w:name w:val="标题 7 Char"/>
    <w:basedOn w:val="62"/>
    <w:link w:val="10"/>
    <w:qFormat/>
    <w:uiPriority w:val="0"/>
    <w:rPr>
      <w:rFonts w:ascii="Times New Roman" w:hAnsi="Times New Roman" w:eastAsia="宋体" w:cs="Times New Roman"/>
      <w:b/>
      <w:bCs/>
      <w:kern w:val="0"/>
      <w:sz w:val="24"/>
      <w:szCs w:val="24"/>
    </w:rPr>
  </w:style>
  <w:style w:type="character" w:customStyle="1" w:styleId="79">
    <w:name w:val="标题 8 Char"/>
    <w:basedOn w:val="62"/>
    <w:link w:val="11"/>
    <w:qFormat/>
    <w:uiPriority w:val="0"/>
    <w:rPr>
      <w:rFonts w:ascii="Arial" w:hAnsi="Arial" w:eastAsia="黑体" w:cs="Times New Roman"/>
      <w:kern w:val="0"/>
      <w:sz w:val="24"/>
      <w:szCs w:val="24"/>
    </w:rPr>
  </w:style>
  <w:style w:type="character" w:customStyle="1" w:styleId="80">
    <w:name w:val="标题 9 Char"/>
    <w:basedOn w:val="62"/>
    <w:link w:val="12"/>
    <w:qFormat/>
    <w:uiPriority w:val="0"/>
    <w:rPr>
      <w:rFonts w:ascii="Arial" w:hAnsi="Arial" w:eastAsia="黑体" w:cs="Times New Roman"/>
      <w:kern w:val="0"/>
      <w:szCs w:val="21"/>
    </w:rPr>
  </w:style>
  <w:style w:type="character" w:customStyle="1" w:styleId="81">
    <w:name w:val="hei12"/>
    <w:basedOn w:val="62"/>
    <w:qFormat/>
    <w:uiPriority w:val="0"/>
  </w:style>
  <w:style w:type="character" w:customStyle="1" w:styleId="82">
    <w:name w:val="正文缩进2格 Char"/>
    <w:link w:val="83"/>
    <w:qFormat/>
    <w:uiPriority w:val="0"/>
    <w:rPr>
      <w:rFonts w:ascii="仿宋_GB2312" w:hAnsi="宋体" w:eastAsia="仿宋_GB2312"/>
      <w:sz w:val="31"/>
    </w:rPr>
  </w:style>
  <w:style w:type="paragraph" w:customStyle="1" w:styleId="83">
    <w:name w:val="正文缩进2格"/>
    <w:basedOn w:val="1"/>
    <w:link w:val="82"/>
    <w:qFormat/>
    <w:uiPriority w:val="0"/>
    <w:pPr>
      <w:spacing w:line="600" w:lineRule="exact"/>
      <w:ind w:firstLine="639" w:firstLineChars="206"/>
    </w:pPr>
    <w:rPr>
      <w:rFonts w:ascii="仿宋_GB2312" w:hAnsi="宋体" w:eastAsia="仿宋_GB2312" w:cstheme="minorBidi"/>
      <w:sz w:val="31"/>
      <w:szCs w:val="22"/>
    </w:rPr>
  </w:style>
  <w:style w:type="character" w:customStyle="1" w:styleId="84">
    <w:name w:val="font51"/>
    <w:qFormat/>
    <w:uiPriority w:val="0"/>
    <w:rPr>
      <w:rFonts w:hint="eastAsia" w:ascii="宋体" w:hAnsi="宋体" w:eastAsia="宋体" w:cs="宋体"/>
      <w:color w:val="000000"/>
      <w:sz w:val="20"/>
      <w:szCs w:val="20"/>
      <w:u w:val="none"/>
    </w:rPr>
  </w:style>
  <w:style w:type="character" w:customStyle="1" w:styleId="85">
    <w:name w:val="font61"/>
    <w:qFormat/>
    <w:uiPriority w:val="0"/>
    <w:rPr>
      <w:rFonts w:hint="default" w:ascii="Times New Roman" w:hAnsi="Times New Roman" w:cs="Times New Roman"/>
      <w:color w:val="000000"/>
      <w:sz w:val="20"/>
      <w:szCs w:val="20"/>
      <w:u w:val="none"/>
    </w:rPr>
  </w:style>
  <w:style w:type="character" w:customStyle="1" w:styleId="86">
    <w:name w:val="表中左小5 Char"/>
    <w:link w:val="87"/>
    <w:qFormat/>
    <w:uiPriority w:val="0"/>
    <w:rPr>
      <w:color w:val="0000FF"/>
      <w:sz w:val="18"/>
      <w:szCs w:val="18"/>
    </w:rPr>
  </w:style>
  <w:style w:type="paragraph" w:customStyle="1" w:styleId="87">
    <w:name w:val="表中左小5"/>
    <w:link w:val="86"/>
    <w:qFormat/>
    <w:uiPriority w:val="0"/>
    <w:pPr>
      <w:adjustRightInd w:val="0"/>
      <w:snapToGrid w:val="0"/>
      <w:spacing w:line="320" w:lineRule="exact"/>
    </w:pPr>
    <w:rPr>
      <w:rFonts w:asciiTheme="minorHAnsi" w:hAnsiTheme="minorHAnsi" w:eastAsiaTheme="minorEastAsia" w:cstheme="minorBidi"/>
      <w:color w:val="0000FF"/>
      <w:kern w:val="2"/>
      <w:sz w:val="18"/>
      <w:szCs w:val="18"/>
      <w:lang w:val="en-US" w:eastAsia="zh-CN" w:bidi="ar-SA"/>
    </w:rPr>
  </w:style>
  <w:style w:type="character" w:customStyle="1" w:styleId="88">
    <w:name w:val="font71"/>
    <w:qFormat/>
    <w:uiPriority w:val="0"/>
    <w:rPr>
      <w:rFonts w:hint="eastAsia" w:ascii="宋体" w:hAnsi="宋体" w:eastAsia="宋体" w:cs="宋体"/>
      <w:color w:val="000000"/>
      <w:sz w:val="20"/>
      <w:szCs w:val="20"/>
      <w:u w:val="none"/>
    </w:rPr>
  </w:style>
  <w:style w:type="character" w:customStyle="1" w:styleId="89">
    <w:name w:val="z-窗体底端 Char"/>
    <w:qFormat/>
    <w:uiPriority w:val="99"/>
    <w:rPr>
      <w:rFonts w:ascii="Arial" w:hAnsi="Arial" w:cs="Arial"/>
      <w:vanish/>
      <w:sz w:val="16"/>
      <w:szCs w:val="16"/>
    </w:rPr>
  </w:style>
  <w:style w:type="paragraph" w:customStyle="1" w:styleId="90">
    <w:name w:val="z-窗体底端1"/>
    <w:basedOn w:val="1"/>
    <w:next w:val="1"/>
    <w:link w:val="277"/>
    <w:unhideWhenUsed/>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91">
    <w:name w:val="ca-251"/>
    <w:qFormat/>
    <w:uiPriority w:val="0"/>
    <w:rPr>
      <w:rFonts w:hint="default" w:ascii="Times New Roman" w:hAnsi="Times New Roman" w:cs="Times New Roman"/>
      <w:sz w:val="24"/>
      <w:szCs w:val="24"/>
    </w:rPr>
  </w:style>
  <w:style w:type="character" w:customStyle="1" w:styleId="92">
    <w:name w:val="Char Char3"/>
    <w:semiHidden/>
    <w:qFormat/>
    <w:uiPriority w:val="0"/>
    <w:rPr>
      <w:sz w:val="18"/>
      <w:szCs w:val="18"/>
    </w:rPr>
  </w:style>
  <w:style w:type="character" w:customStyle="1" w:styleId="93">
    <w:name w:val="批注文字 Char"/>
    <w:qFormat/>
    <w:uiPriority w:val="99"/>
    <w:rPr>
      <w:kern w:val="2"/>
      <w:sz w:val="21"/>
      <w:szCs w:val="24"/>
    </w:rPr>
  </w:style>
  <w:style w:type="character" w:customStyle="1" w:styleId="94">
    <w:name w:val="apple-converted-space"/>
    <w:basedOn w:val="62"/>
    <w:qFormat/>
    <w:uiPriority w:val="0"/>
  </w:style>
  <w:style w:type="character" w:customStyle="1" w:styleId="95">
    <w:name w:val="chanpinname"/>
    <w:basedOn w:val="62"/>
    <w:qFormat/>
    <w:uiPriority w:val="0"/>
  </w:style>
  <w:style w:type="character" w:customStyle="1" w:styleId="96">
    <w:name w:val="副标题 Char"/>
    <w:qFormat/>
    <w:uiPriority w:val="0"/>
    <w:rPr>
      <w:rFonts w:ascii="Cambria" w:hAnsi="Cambria"/>
      <w:b/>
      <w:bCs/>
      <w:kern w:val="28"/>
      <w:sz w:val="32"/>
      <w:szCs w:val="32"/>
    </w:rPr>
  </w:style>
  <w:style w:type="character" w:customStyle="1" w:styleId="97">
    <w:name w:val="ca-231"/>
    <w:qFormat/>
    <w:uiPriority w:val="0"/>
    <w:rPr>
      <w:rFonts w:hint="eastAsia" w:ascii="宋体" w:hAnsi="宋体" w:eastAsia="宋体"/>
      <w:sz w:val="24"/>
      <w:szCs w:val="24"/>
    </w:rPr>
  </w:style>
  <w:style w:type="character" w:customStyle="1" w:styleId="98">
    <w:name w:val="Figure Text Char"/>
    <w:link w:val="99"/>
    <w:qFormat/>
    <w:uiPriority w:val="0"/>
    <w:rPr>
      <w:rFonts w:ascii="Arial" w:hAnsi="Arial" w:cs="Arial"/>
      <w:sz w:val="18"/>
      <w:szCs w:val="18"/>
      <w:lang w:eastAsia="en-US"/>
    </w:rPr>
  </w:style>
  <w:style w:type="paragraph" w:customStyle="1" w:styleId="99">
    <w:name w:val="Figure Text"/>
    <w:link w:val="98"/>
    <w:qFormat/>
    <w:uiPriority w:val="0"/>
    <w:pPr>
      <w:widowControl w:val="0"/>
      <w:adjustRightInd w:val="0"/>
      <w:snapToGrid w:val="0"/>
      <w:spacing w:line="240" w:lineRule="atLeast"/>
    </w:pPr>
    <w:rPr>
      <w:rFonts w:ascii="Arial" w:hAnsi="Arial" w:cs="Arial" w:eastAsiaTheme="minorEastAsia"/>
      <w:kern w:val="2"/>
      <w:sz w:val="18"/>
      <w:szCs w:val="18"/>
      <w:lang w:val="en-US" w:eastAsia="en-US" w:bidi="ar-SA"/>
    </w:rPr>
  </w:style>
  <w:style w:type="character" w:customStyle="1" w:styleId="100">
    <w:name w:val="font91"/>
    <w:qFormat/>
    <w:uiPriority w:val="0"/>
    <w:rPr>
      <w:rFonts w:hint="eastAsia" w:ascii="宋体" w:hAnsi="宋体" w:eastAsia="宋体" w:cs="宋体"/>
      <w:color w:val="000000"/>
      <w:sz w:val="20"/>
      <w:szCs w:val="20"/>
      <w:u w:val="none"/>
    </w:rPr>
  </w:style>
  <w:style w:type="character" w:customStyle="1" w:styleId="101">
    <w:name w:val="正文小四 Char"/>
    <w:link w:val="102"/>
    <w:qFormat/>
    <w:uiPriority w:val="0"/>
    <w:rPr>
      <w:rFonts w:ascii="宋体" w:hAnsi="宋体"/>
      <w:sz w:val="24"/>
    </w:rPr>
  </w:style>
  <w:style w:type="paragraph" w:customStyle="1" w:styleId="102">
    <w:name w:val="正文小四"/>
    <w:link w:val="101"/>
    <w:qFormat/>
    <w:uiPriority w:val="0"/>
    <w:pPr>
      <w:spacing w:line="360" w:lineRule="auto"/>
      <w:ind w:firstLine="480" w:firstLineChars="200"/>
      <w:jc w:val="both"/>
    </w:pPr>
    <w:rPr>
      <w:rFonts w:ascii="宋体" w:hAnsi="宋体" w:eastAsiaTheme="minorEastAsia" w:cstheme="minorBidi"/>
      <w:kern w:val="2"/>
      <w:sz w:val="24"/>
      <w:szCs w:val="22"/>
      <w:lang w:val="en-US" w:eastAsia="zh-CN" w:bidi="ar-SA"/>
    </w:rPr>
  </w:style>
  <w:style w:type="character" w:customStyle="1" w:styleId="103">
    <w:name w:val="正文文本 3 Char"/>
    <w:qFormat/>
    <w:uiPriority w:val="0"/>
    <w:rPr>
      <w:sz w:val="16"/>
      <w:szCs w:val="16"/>
    </w:rPr>
  </w:style>
  <w:style w:type="character" w:customStyle="1" w:styleId="104">
    <w:name w:val="font01"/>
    <w:basedOn w:val="62"/>
    <w:qFormat/>
    <w:uiPriority w:val="0"/>
    <w:rPr>
      <w:rFonts w:hint="eastAsia" w:ascii="宋体" w:hAnsi="宋体" w:eastAsia="宋体" w:cs="宋体"/>
      <w:color w:val="000000"/>
      <w:sz w:val="24"/>
      <w:szCs w:val="24"/>
      <w:u w:val="none"/>
      <w:vertAlign w:val="superscript"/>
    </w:rPr>
  </w:style>
  <w:style w:type="character" w:customStyle="1" w:styleId="105">
    <w:name w:val="Table Description Char Char"/>
    <w:link w:val="106"/>
    <w:qFormat/>
    <w:uiPriority w:val="0"/>
    <w:rPr>
      <w:rFonts w:ascii="Arial" w:hAnsi="Arial" w:eastAsia="黑体"/>
      <w:sz w:val="18"/>
    </w:rPr>
  </w:style>
  <w:style w:type="paragraph" w:customStyle="1" w:styleId="106">
    <w:name w:val="Table Description"/>
    <w:next w:val="1"/>
    <w:link w:val="105"/>
    <w:qFormat/>
    <w:uiPriority w:val="0"/>
    <w:pPr>
      <w:keepNext/>
      <w:snapToGrid w:val="0"/>
      <w:spacing w:before="160" w:after="80"/>
      <w:ind w:left="1038"/>
      <w:jc w:val="center"/>
    </w:pPr>
    <w:rPr>
      <w:rFonts w:ascii="Arial" w:hAnsi="Arial" w:eastAsia="黑体" w:cstheme="minorBidi"/>
      <w:kern w:val="2"/>
      <w:sz w:val="18"/>
      <w:szCs w:val="22"/>
      <w:lang w:val="en-US" w:eastAsia="zh-CN" w:bidi="ar-SA"/>
    </w:rPr>
  </w:style>
  <w:style w:type="character" w:customStyle="1" w:styleId="107">
    <w:name w:val="表格标题(居中) Char"/>
    <w:link w:val="108"/>
    <w:qFormat/>
    <w:uiPriority w:val="0"/>
    <w:rPr>
      <w:rFonts w:eastAsia="黑体"/>
      <w:sz w:val="24"/>
    </w:rPr>
  </w:style>
  <w:style w:type="paragraph" w:customStyle="1" w:styleId="108">
    <w:name w:val="表格标题(居中)"/>
    <w:basedOn w:val="1"/>
    <w:link w:val="107"/>
    <w:qFormat/>
    <w:uiPriority w:val="0"/>
    <w:pPr>
      <w:snapToGrid w:val="0"/>
      <w:spacing w:line="300" w:lineRule="auto"/>
      <w:jc w:val="center"/>
    </w:pPr>
    <w:rPr>
      <w:rFonts w:eastAsia="黑体" w:asciiTheme="minorHAnsi" w:hAnsiTheme="minorHAnsi" w:cstheme="minorBidi"/>
      <w:sz w:val="24"/>
      <w:szCs w:val="22"/>
    </w:rPr>
  </w:style>
  <w:style w:type="character" w:customStyle="1" w:styleId="109">
    <w:name w:val="称呼 Char"/>
    <w:qFormat/>
    <w:uiPriority w:val="0"/>
    <w:rPr>
      <w:szCs w:val="24"/>
    </w:rPr>
  </w:style>
  <w:style w:type="character" w:customStyle="1" w:styleId="110">
    <w:name w:val="样式 目录 2 + 宋体 Char"/>
    <w:link w:val="111"/>
    <w:qFormat/>
    <w:uiPriority w:val="0"/>
    <w:rPr>
      <w:rFonts w:ascii="宋体" w:hAnsi="宋体"/>
      <w:sz w:val="28"/>
    </w:rPr>
  </w:style>
  <w:style w:type="paragraph" w:customStyle="1" w:styleId="111">
    <w:name w:val="样式 目录 2 + 宋体"/>
    <w:basedOn w:val="27"/>
    <w:next w:val="27"/>
    <w:link w:val="110"/>
    <w:qFormat/>
    <w:uiPriority w:val="0"/>
    <w:pPr>
      <w:autoSpaceDE/>
      <w:autoSpaceDN/>
      <w:adjustRightInd/>
      <w:spacing w:after="120" w:line="240" w:lineRule="auto"/>
      <w:jc w:val="both"/>
    </w:pPr>
    <w:rPr>
      <w:rFonts w:hAnsi="宋体"/>
      <w:color w:val="auto"/>
      <w:szCs w:val="22"/>
    </w:rPr>
  </w:style>
  <w:style w:type="character" w:customStyle="1" w:styleId="112">
    <w:name w:val="副标题 Char1"/>
    <w:qFormat/>
    <w:uiPriority w:val="0"/>
    <w:rPr>
      <w:rFonts w:ascii="Cambria" w:hAnsi="Cambria" w:cs="Times New Roman"/>
      <w:b/>
      <w:bCs/>
      <w:kern w:val="28"/>
      <w:sz w:val="32"/>
      <w:szCs w:val="32"/>
    </w:rPr>
  </w:style>
  <w:style w:type="character" w:customStyle="1" w:styleId="113">
    <w:name w:val="正文首行缩进 Char"/>
    <w:qFormat/>
    <w:uiPriority w:val="0"/>
    <w:rPr>
      <w:rFonts w:ascii="宋体"/>
      <w:color w:val="000000"/>
      <w:szCs w:val="32"/>
    </w:rPr>
  </w:style>
  <w:style w:type="character" w:customStyle="1" w:styleId="114">
    <w:name w:val="正文文本缩进 2 Char"/>
    <w:qFormat/>
    <w:locked/>
    <w:uiPriority w:val="0"/>
    <w:rPr>
      <w:rFonts w:ascii="幼圆" w:eastAsia="幼圆"/>
      <w:color w:val="000000"/>
      <w:sz w:val="30"/>
      <w:szCs w:val="32"/>
    </w:rPr>
  </w:style>
  <w:style w:type="character" w:customStyle="1" w:styleId="115">
    <w:name w:val="font81"/>
    <w:qFormat/>
    <w:uiPriority w:val="0"/>
    <w:rPr>
      <w:rFonts w:hint="eastAsia" w:ascii="宋体" w:hAnsi="宋体" w:eastAsia="宋体" w:cs="宋体"/>
      <w:color w:val="000000"/>
      <w:sz w:val="20"/>
      <w:szCs w:val="20"/>
      <w:u w:val="none"/>
    </w:rPr>
  </w:style>
  <w:style w:type="character" w:customStyle="1" w:styleId="116">
    <w:name w:val="正文文本 Char"/>
    <w:qFormat/>
    <w:uiPriority w:val="0"/>
    <w:rPr>
      <w:rFonts w:ascii="宋体"/>
      <w:color w:val="000000"/>
      <w:sz w:val="28"/>
      <w:szCs w:val="32"/>
    </w:rPr>
  </w:style>
  <w:style w:type="character" w:customStyle="1" w:styleId="117">
    <w:name w:val="尾注文本 Char"/>
    <w:basedOn w:val="62"/>
    <w:qFormat/>
    <w:uiPriority w:val="0"/>
  </w:style>
  <w:style w:type="character" w:customStyle="1" w:styleId="118">
    <w:name w:val="HTML 预设格式 Char1"/>
    <w:semiHidden/>
    <w:qFormat/>
    <w:uiPriority w:val="0"/>
    <w:rPr>
      <w:rFonts w:ascii="Courier New" w:hAnsi="Courier New" w:eastAsia="宋体" w:cs="Courier New"/>
      <w:sz w:val="20"/>
      <w:szCs w:val="20"/>
    </w:rPr>
  </w:style>
  <w:style w:type="character" w:customStyle="1" w:styleId="119">
    <w:name w:val="3zw1"/>
    <w:qFormat/>
    <w:uiPriority w:val="0"/>
    <w:rPr>
      <w:color w:val="000000"/>
      <w:sz w:val="21"/>
      <w:szCs w:val="21"/>
    </w:rPr>
  </w:style>
  <w:style w:type="character" w:customStyle="1" w:styleId="120">
    <w:name w:val="正文缩进 Char"/>
    <w:link w:val="3"/>
    <w:qFormat/>
    <w:uiPriority w:val="0"/>
    <w:rPr>
      <w:szCs w:val="24"/>
    </w:rPr>
  </w:style>
  <w:style w:type="character" w:customStyle="1" w:styleId="121">
    <w:name w:val="正文2级 Char"/>
    <w:link w:val="122"/>
    <w:qFormat/>
    <w:uiPriority w:val="0"/>
    <w:rPr>
      <w:bCs/>
      <w:kern w:val="44"/>
      <w:sz w:val="24"/>
      <w:szCs w:val="44"/>
    </w:rPr>
  </w:style>
  <w:style w:type="paragraph" w:customStyle="1" w:styleId="122">
    <w:name w:val="正文2级"/>
    <w:link w:val="121"/>
    <w:qFormat/>
    <w:uiPriority w:val="0"/>
    <w:pPr>
      <w:widowControl w:val="0"/>
      <w:spacing w:after="60" w:line="400" w:lineRule="exact"/>
      <w:jc w:val="both"/>
    </w:pPr>
    <w:rPr>
      <w:rFonts w:asciiTheme="minorHAnsi" w:hAnsiTheme="minorHAnsi" w:eastAsiaTheme="minorEastAsia" w:cstheme="minorBidi"/>
      <w:bCs/>
      <w:kern w:val="44"/>
      <w:sz w:val="24"/>
      <w:szCs w:val="44"/>
      <w:lang w:val="en-US" w:eastAsia="zh-CN" w:bidi="ar-SA"/>
    </w:rPr>
  </w:style>
  <w:style w:type="character" w:customStyle="1" w:styleId="123">
    <w:name w:val="param-name"/>
    <w:qFormat/>
    <w:uiPriority w:val="0"/>
  </w:style>
  <w:style w:type="character" w:customStyle="1" w:styleId="124">
    <w:name w:val="Table Text Char1"/>
    <w:qFormat/>
    <w:uiPriority w:val="0"/>
    <w:rPr>
      <w:rFonts w:ascii="Arial" w:hAnsi="Arial" w:eastAsia="宋体" w:cs="Arial"/>
      <w:snapToGrid w:val="0"/>
      <w:sz w:val="21"/>
      <w:szCs w:val="21"/>
      <w:lang w:val="en-US" w:eastAsia="zh-CN" w:bidi="ar-SA"/>
    </w:rPr>
  </w:style>
  <w:style w:type="character" w:customStyle="1" w:styleId="125">
    <w:name w:val="word21"/>
    <w:qFormat/>
    <w:uiPriority w:val="0"/>
    <w:rPr>
      <w:b/>
      <w:bCs/>
      <w:color w:val="194D7C"/>
      <w:spacing w:val="400"/>
      <w:sz w:val="24"/>
      <w:szCs w:val="24"/>
    </w:rPr>
  </w:style>
  <w:style w:type="character" w:customStyle="1" w:styleId="126">
    <w:name w:val="页眉 Char1"/>
    <w:semiHidden/>
    <w:qFormat/>
    <w:uiPriority w:val="99"/>
    <w:rPr>
      <w:rFonts w:ascii="Times New Roman" w:hAnsi="Times New Roman" w:eastAsia="宋体" w:cs="Times New Roman"/>
      <w:sz w:val="18"/>
      <w:szCs w:val="18"/>
    </w:rPr>
  </w:style>
  <w:style w:type="character" w:customStyle="1" w:styleId="127">
    <w:name w:val="表格非标题文字 Char"/>
    <w:link w:val="128"/>
    <w:qFormat/>
    <w:uiPriority w:val="0"/>
    <w:rPr>
      <w:rFonts w:ascii="Arial" w:hAnsi="Arial"/>
      <w:sz w:val="18"/>
      <w:szCs w:val="21"/>
    </w:rPr>
  </w:style>
  <w:style w:type="paragraph" w:customStyle="1" w:styleId="128">
    <w:name w:val="表格非标题文字"/>
    <w:link w:val="127"/>
    <w:qFormat/>
    <w:uiPriority w:val="0"/>
    <w:pPr>
      <w:snapToGrid w:val="0"/>
      <w:spacing w:before="80" w:after="40"/>
    </w:pPr>
    <w:rPr>
      <w:rFonts w:ascii="Arial" w:hAnsi="Arial" w:eastAsiaTheme="minorEastAsia" w:cstheme="minorBidi"/>
      <w:kern w:val="2"/>
      <w:sz w:val="18"/>
      <w:szCs w:val="21"/>
      <w:lang w:val="en-US" w:eastAsia="zh-CN" w:bidi="ar-SA"/>
    </w:rPr>
  </w:style>
  <w:style w:type="character" w:customStyle="1" w:styleId="129">
    <w:name w:val="正文首行缩进 2 Char1"/>
    <w:basedOn w:val="130"/>
    <w:qFormat/>
    <w:uiPriority w:val="0"/>
    <w:rPr>
      <w:rFonts w:ascii="楷体_GB2312" w:eastAsia="楷体_GB2312"/>
      <w:kern w:val="2"/>
      <w:sz w:val="28"/>
      <w:szCs w:val="31"/>
    </w:rPr>
  </w:style>
  <w:style w:type="character" w:customStyle="1" w:styleId="130">
    <w:name w:val="正文文本缩进 Char1"/>
    <w:qFormat/>
    <w:uiPriority w:val="0"/>
    <w:rPr>
      <w:rFonts w:ascii="楷体_GB2312" w:eastAsia="楷体_GB2312"/>
      <w:kern w:val="2"/>
      <w:sz w:val="28"/>
      <w:szCs w:val="31"/>
    </w:rPr>
  </w:style>
  <w:style w:type="character" w:customStyle="1" w:styleId="131">
    <w:name w:val="正文新 Char"/>
    <w:link w:val="132"/>
    <w:qFormat/>
    <w:uiPriority w:val="0"/>
    <w:rPr>
      <w:rFonts w:ascii="宋体" w:hAnsi="宋体"/>
      <w:sz w:val="28"/>
    </w:rPr>
  </w:style>
  <w:style w:type="paragraph" w:customStyle="1" w:styleId="132">
    <w:name w:val="正文新"/>
    <w:basedOn w:val="1"/>
    <w:link w:val="131"/>
    <w:qFormat/>
    <w:uiPriority w:val="0"/>
    <w:pPr>
      <w:spacing w:line="360" w:lineRule="auto"/>
      <w:ind w:firstLine="200" w:firstLineChars="200"/>
      <w:jc w:val="left"/>
    </w:pPr>
    <w:rPr>
      <w:rFonts w:ascii="宋体" w:hAnsi="宋体" w:eastAsiaTheme="minorEastAsia" w:cstheme="minorBidi"/>
      <w:sz w:val="28"/>
      <w:szCs w:val="22"/>
    </w:rPr>
  </w:style>
  <w:style w:type="character" w:customStyle="1" w:styleId="133">
    <w:name w:val="font31"/>
    <w:basedOn w:val="62"/>
    <w:qFormat/>
    <w:uiPriority w:val="0"/>
    <w:rPr>
      <w:rFonts w:hint="default" w:ascii="Times New Roman" w:hAnsi="Times New Roman" w:cs="Times New Roman"/>
      <w:color w:val="000000"/>
      <w:sz w:val="20"/>
      <w:szCs w:val="20"/>
      <w:u w:val="none"/>
    </w:rPr>
  </w:style>
  <w:style w:type="character" w:customStyle="1" w:styleId="134">
    <w:name w:val="B正文 Char"/>
    <w:link w:val="135"/>
    <w:qFormat/>
    <w:locked/>
    <w:uiPriority w:val="0"/>
    <w:rPr>
      <w:rFonts w:ascii="宋体" w:hAnsi="宋体"/>
      <w:sz w:val="24"/>
    </w:rPr>
  </w:style>
  <w:style w:type="paragraph" w:customStyle="1" w:styleId="135">
    <w:name w:val="B正文"/>
    <w:basedOn w:val="1"/>
    <w:link w:val="134"/>
    <w:qFormat/>
    <w:uiPriority w:val="0"/>
    <w:pPr>
      <w:widowControl/>
      <w:spacing w:line="360" w:lineRule="auto"/>
      <w:ind w:firstLine="200" w:firstLineChars="200"/>
    </w:pPr>
    <w:rPr>
      <w:rFonts w:ascii="宋体" w:hAnsi="宋体" w:eastAsiaTheme="minorEastAsia" w:cstheme="minorBidi"/>
      <w:sz w:val="24"/>
      <w:szCs w:val="22"/>
    </w:rPr>
  </w:style>
  <w:style w:type="character" w:customStyle="1" w:styleId="136">
    <w:name w:val="日期 Char"/>
    <w:qFormat/>
    <w:locked/>
    <w:uiPriority w:val="0"/>
    <w:rPr>
      <w:rFonts w:eastAsia="仿宋_GB2312"/>
      <w:color w:val="000000"/>
      <w:sz w:val="28"/>
      <w:szCs w:val="24"/>
    </w:rPr>
  </w:style>
  <w:style w:type="character" w:customStyle="1" w:styleId="137">
    <w:name w:val="缩进 Char"/>
    <w:link w:val="138"/>
    <w:qFormat/>
    <w:uiPriority w:val="0"/>
    <w:rPr>
      <w:color w:val="0000FF"/>
      <w:szCs w:val="18"/>
    </w:rPr>
  </w:style>
  <w:style w:type="paragraph" w:customStyle="1" w:styleId="138">
    <w:name w:val="缩进"/>
    <w:link w:val="137"/>
    <w:qFormat/>
    <w:uiPriority w:val="0"/>
    <w:pPr>
      <w:spacing w:beforeLines="50" w:afterLines="50" w:line="320" w:lineRule="exact"/>
      <w:ind w:left="630" w:leftChars="300" w:firstLine="420" w:firstLineChars="200"/>
      <w:jc w:val="both"/>
    </w:pPr>
    <w:rPr>
      <w:rFonts w:asciiTheme="minorHAnsi" w:hAnsiTheme="minorHAnsi" w:eastAsiaTheme="minorEastAsia" w:cstheme="minorBidi"/>
      <w:color w:val="0000FF"/>
      <w:kern w:val="2"/>
      <w:sz w:val="21"/>
      <w:szCs w:val="18"/>
      <w:lang w:val="en-US" w:eastAsia="zh-CN" w:bidi="ar-SA"/>
    </w:rPr>
  </w:style>
  <w:style w:type="character" w:customStyle="1" w:styleId="139">
    <w:name w:val="font41"/>
    <w:qFormat/>
    <w:uiPriority w:val="0"/>
    <w:rPr>
      <w:rFonts w:hint="eastAsia" w:ascii="宋体" w:hAnsi="宋体" w:eastAsia="宋体" w:cs="宋体"/>
      <w:color w:val="000000"/>
      <w:sz w:val="20"/>
      <w:szCs w:val="20"/>
      <w:u w:val="none"/>
    </w:rPr>
  </w:style>
  <w:style w:type="character" w:customStyle="1" w:styleId="140">
    <w:name w:val="txt"/>
    <w:basedOn w:val="62"/>
    <w:qFormat/>
    <w:uiPriority w:val="0"/>
  </w:style>
  <w:style w:type="character" w:customStyle="1" w:styleId="141">
    <w:name w:val="首行缩进 Char Char1"/>
    <w:link w:val="142"/>
    <w:qFormat/>
    <w:locked/>
    <w:uiPriority w:val="0"/>
    <w:rPr>
      <w:sz w:val="24"/>
      <w:szCs w:val="24"/>
    </w:rPr>
  </w:style>
  <w:style w:type="paragraph" w:customStyle="1" w:styleId="142">
    <w:name w:val="首行缩进 Char"/>
    <w:basedOn w:val="1"/>
    <w:next w:val="3"/>
    <w:link w:val="141"/>
    <w:qFormat/>
    <w:uiPriority w:val="0"/>
    <w:pPr>
      <w:spacing w:line="300" w:lineRule="auto"/>
      <w:ind w:firstLine="420"/>
    </w:pPr>
    <w:rPr>
      <w:rFonts w:asciiTheme="minorHAnsi" w:hAnsiTheme="minorHAnsi" w:eastAsiaTheme="minorEastAsia" w:cstheme="minorBidi"/>
      <w:sz w:val="24"/>
    </w:rPr>
  </w:style>
  <w:style w:type="character" w:customStyle="1" w:styleId="143">
    <w:name w:val="ca-131"/>
    <w:qFormat/>
    <w:uiPriority w:val="0"/>
    <w:rPr>
      <w:rFonts w:hint="default" w:ascii="Times New Roman" w:hAnsi="Times New Roman" w:cs="Times New Roman"/>
      <w:sz w:val="21"/>
      <w:szCs w:val="21"/>
    </w:rPr>
  </w:style>
  <w:style w:type="character" w:customStyle="1" w:styleId="144">
    <w:name w:val="标题 Char"/>
    <w:qFormat/>
    <w:uiPriority w:val="0"/>
    <w:rPr>
      <w:rFonts w:ascii="Arial" w:hAnsi="Arial"/>
      <w:b/>
      <w:bCs/>
      <w:sz w:val="32"/>
      <w:szCs w:val="32"/>
    </w:rPr>
  </w:style>
  <w:style w:type="character" w:customStyle="1" w:styleId="145">
    <w:name w:val="悬挂22 Char"/>
    <w:link w:val="146"/>
    <w:qFormat/>
    <w:uiPriority w:val="0"/>
    <w:rPr>
      <w:color w:val="FF0000"/>
      <w:szCs w:val="28"/>
    </w:rPr>
  </w:style>
  <w:style w:type="paragraph" w:customStyle="1" w:styleId="146">
    <w:name w:val="悬挂22"/>
    <w:link w:val="145"/>
    <w:qFormat/>
    <w:uiPriority w:val="0"/>
    <w:pPr>
      <w:spacing w:beforeLines="50" w:afterLines="50" w:line="320" w:lineRule="exact"/>
      <w:ind w:left="988" w:hanging="420"/>
      <w:jc w:val="both"/>
    </w:pPr>
    <w:rPr>
      <w:rFonts w:asciiTheme="minorHAnsi" w:hAnsiTheme="minorHAnsi" w:eastAsiaTheme="minorEastAsia" w:cstheme="minorBidi"/>
      <w:color w:val="FF0000"/>
      <w:kern w:val="2"/>
      <w:sz w:val="21"/>
      <w:szCs w:val="28"/>
      <w:lang w:val="en-US" w:eastAsia="zh-CN" w:bidi="ar-SA"/>
    </w:rPr>
  </w:style>
  <w:style w:type="character" w:customStyle="1" w:styleId="147">
    <w:name w:val="正文文本 Char1"/>
    <w:qFormat/>
    <w:uiPriority w:val="0"/>
    <w:rPr>
      <w:rFonts w:ascii="楷体_GB2312" w:eastAsia="楷体_GB2312"/>
      <w:kern w:val="2"/>
      <w:sz w:val="28"/>
    </w:rPr>
  </w:style>
  <w:style w:type="character" w:customStyle="1" w:styleId="148">
    <w:name w:val="纯文本 Char"/>
    <w:qFormat/>
    <w:uiPriority w:val="0"/>
    <w:rPr>
      <w:rFonts w:ascii="宋体" w:hAnsi="Courier New" w:cs="Courier New"/>
      <w:szCs w:val="21"/>
    </w:rPr>
  </w:style>
  <w:style w:type="character" w:customStyle="1" w:styleId="149">
    <w:name w:val="正文文本缩进 3 Char"/>
    <w:qFormat/>
    <w:locked/>
    <w:uiPriority w:val="0"/>
    <w:rPr>
      <w:rFonts w:ascii="幼圆" w:eastAsia="幼圆"/>
      <w:sz w:val="24"/>
      <w:szCs w:val="32"/>
    </w:rPr>
  </w:style>
  <w:style w:type="character" w:customStyle="1" w:styleId="150">
    <w:name w:val="悬挂2 Char"/>
    <w:link w:val="151"/>
    <w:qFormat/>
    <w:uiPriority w:val="0"/>
    <w:rPr>
      <w:rFonts w:asciiTheme="minorHAnsi" w:hAnsiTheme="minorHAnsi" w:eastAsiaTheme="minorEastAsia" w:cstheme="minorBidi"/>
      <w:kern w:val="2"/>
      <w:sz w:val="21"/>
      <w:szCs w:val="21"/>
    </w:rPr>
  </w:style>
  <w:style w:type="paragraph" w:customStyle="1" w:styleId="151">
    <w:name w:val="悬挂2"/>
    <w:link w:val="150"/>
    <w:qFormat/>
    <w:uiPriority w:val="0"/>
    <w:pPr>
      <w:numPr>
        <w:ilvl w:val="0"/>
        <w:numId w:val="2"/>
      </w:numPr>
      <w:spacing w:beforeLines="50" w:afterLines="50" w:line="320" w:lineRule="exact"/>
      <w:jc w:val="both"/>
    </w:pPr>
    <w:rPr>
      <w:rFonts w:asciiTheme="minorHAnsi" w:hAnsiTheme="minorHAnsi" w:eastAsiaTheme="minorEastAsia" w:cstheme="minorBidi"/>
      <w:kern w:val="2"/>
      <w:sz w:val="21"/>
      <w:szCs w:val="21"/>
      <w:lang w:val="en-US" w:eastAsia="zh-CN" w:bidi="ar-SA"/>
    </w:rPr>
  </w:style>
  <w:style w:type="character" w:customStyle="1" w:styleId="152">
    <w:name w:val="Char Char5"/>
    <w:qFormat/>
    <w:uiPriority w:val="0"/>
    <w:rPr>
      <w:rFonts w:ascii="Times New Roman" w:hAnsi="Times New Roman" w:eastAsia="宋体"/>
      <w:sz w:val="18"/>
    </w:rPr>
  </w:style>
  <w:style w:type="character" w:customStyle="1" w:styleId="153">
    <w:name w:val="prod_content_font_011"/>
    <w:qFormat/>
    <w:uiPriority w:val="0"/>
    <w:rPr>
      <w:rFonts w:hint="default" w:ascii="Verdana" w:hAnsi="Verdana"/>
      <w:color w:val="5E5E5E"/>
      <w:sz w:val="17"/>
      <w:szCs w:val="17"/>
    </w:rPr>
  </w:style>
  <w:style w:type="character" w:customStyle="1" w:styleId="154">
    <w:name w:val="尾注文本 Char1"/>
    <w:qFormat/>
    <w:uiPriority w:val="99"/>
    <w:rPr>
      <w:kern w:val="2"/>
      <w:sz w:val="21"/>
      <w:szCs w:val="24"/>
    </w:rPr>
  </w:style>
  <w:style w:type="character" w:customStyle="1" w:styleId="155">
    <w:name w:val="普通 (Web) Char"/>
    <w:link w:val="156"/>
    <w:qFormat/>
    <w:uiPriority w:val="99"/>
    <w:rPr>
      <w:rFonts w:ascii="宋体" w:hAnsi="宋体"/>
      <w:sz w:val="24"/>
      <w:szCs w:val="24"/>
    </w:rPr>
  </w:style>
  <w:style w:type="paragraph" w:customStyle="1" w:styleId="156">
    <w:name w:val="普通 (Web)"/>
    <w:basedOn w:val="1"/>
    <w:link w:val="155"/>
    <w:qFormat/>
    <w:uiPriority w:val="99"/>
    <w:pPr>
      <w:widowControl/>
      <w:spacing w:before="100" w:beforeAutospacing="1" w:after="100" w:afterAutospacing="1"/>
      <w:jc w:val="left"/>
    </w:pPr>
    <w:rPr>
      <w:rFonts w:ascii="宋体" w:hAnsi="宋体" w:eastAsiaTheme="minorEastAsia" w:cstheme="minorBidi"/>
      <w:sz w:val="24"/>
    </w:rPr>
  </w:style>
  <w:style w:type="character" w:customStyle="1" w:styleId="157">
    <w:name w:val="标题 Char1"/>
    <w:qFormat/>
    <w:uiPriority w:val="0"/>
    <w:rPr>
      <w:rFonts w:ascii="Cambria" w:hAnsi="Cambria" w:cs="Times New Roman"/>
      <w:b/>
      <w:bCs/>
      <w:kern w:val="2"/>
      <w:sz w:val="32"/>
      <w:szCs w:val="32"/>
    </w:rPr>
  </w:style>
  <w:style w:type="character" w:customStyle="1" w:styleId="158">
    <w:name w:val="正文缩进 Char1"/>
    <w:qFormat/>
    <w:uiPriority w:val="0"/>
    <w:rPr>
      <w:rFonts w:eastAsia="宋体"/>
      <w:kern w:val="2"/>
      <w:sz w:val="21"/>
      <w:szCs w:val="24"/>
      <w:lang w:val="en-US" w:eastAsia="zh-CN" w:bidi="ar-SA"/>
    </w:rPr>
  </w:style>
  <w:style w:type="character" w:customStyle="1" w:styleId="159">
    <w:name w:val="正文文本缩进 Char"/>
    <w:qFormat/>
    <w:uiPriority w:val="0"/>
    <w:rPr>
      <w:rFonts w:ascii="宋体"/>
      <w:color w:val="000000"/>
      <w:sz w:val="32"/>
      <w:szCs w:val="32"/>
    </w:rPr>
  </w:style>
  <w:style w:type="character" w:customStyle="1" w:styleId="160">
    <w:name w:val="Table Text Char"/>
    <w:link w:val="161"/>
    <w:qFormat/>
    <w:uiPriority w:val="0"/>
    <w:rPr>
      <w:rFonts w:ascii="Arial" w:hAnsi="Arial"/>
      <w:sz w:val="18"/>
    </w:rPr>
  </w:style>
  <w:style w:type="paragraph" w:customStyle="1" w:styleId="161">
    <w:name w:val="Table Text"/>
    <w:link w:val="160"/>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62">
    <w:name w:val="批注框文本 Char"/>
    <w:qFormat/>
    <w:uiPriority w:val="99"/>
    <w:rPr>
      <w:rFonts w:ascii="Times New Roman" w:hAnsi="Times New Roman"/>
      <w:kern w:val="2"/>
      <w:sz w:val="18"/>
      <w:szCs w:val="18"/>
    </w:rPr>
  </w:style>
  <w:style w:type="character" w:customStyle="1" w:styleId="163">
    <w:name w:val="Table Heading Char"/>
    <w:link w:val="164"/>
    <w:qFormat/>
    <w:uiPriority w:val="0"/>
    <w:rPr>
      <w:rFonts w:ascii="Arial" w:hAnsi="Arial" w:eastAsia="黑体" w:cs="Book Antiqua"/>
      <w:bCs/>
      <w:snapToGrid w:val="0"/>
      <w:szCs w:val="21"/>
    </w:rPr>
  </w:style>
  <w:style w:type="paragraph" w:customStyle="1" w:styleId="164">
    <w:name w:val="Table Heading"/>
    <w:basedOn w:val="1"/>
    <w:link w:val="163"/>
    <w:qFormat/>
    <w:uiPriority w:val="0"/>
    <w:pPr>
      <w:keepNext/>
      <w:topLinePunct/>
      <w:adjustRightInd w:val="0"/>
      <w:snapToGrid w:val="0"/>
      <w:spacing w:before="80" w:after="80" w:line="240" w:lineRule="atLeast"/>
      <w:jc w:val="left"/>
    </w:pPr>
    <w:rPr>
      <w:rFonts w:ascii="Arial" w:hAnsi="Arial" w:eastAsia="黑体" w:cs="Book Antiqua"/>
      <w:bCs/>
      <w:snapToGrid w:val="0"/>
      <w:szCs w:val="21"/>
    </w:rPr>
  </w:style>
  <w:style w:type="character" w:customStyle="1" w:styleId="165">
    <w:name w:val="样式 宋体"/>
    <w:qFormat/>
    <w:uiPriority w:val="0"/>
    <w:rPr>
      <w:rFonts w:ascii="宋体" w:hAnsi="宋体" w:eastAsia="宋体"/>
      <w:sz w:val="24"/>
      <w:szCs w:val="24"/>
    </w:rPr>
  </w:style>
  <w:style w:type="character" w:customStyle="1" w:styleId="166">
    <w:name w:val="正文文本 2 Char"/>
    <w:qFormat/>
    <w:uiPriority w:val="0"/>
    <w:rPr>
      <w:rFonts w:ascii="宋体" w:hAnsi="宋体"/>
      <w:sz w:val="24"/>
      <w:szCs w:val="24"/>
    </w:rPr>
  </w:style>
  <w:style w:type="character" w:customStyle="1" w:styleId="167">
    <w:name w:val="myp1111"/>
    <w:qFormat/>
    <w:uiPriority w:val="0"/>
    <w:rPr>
      <w:rFonts w:hint="default" w:ascii="ˎ̥" w:hAnsi="ˎ̥"/>
      <w:color w:val="000000"/>
      <w:sz w:val="15"/>
      <w:szCs w:val="15"/>
      <w:u w:val="none"/>
    </w:rPr>
  </w:style>
  <w:style w:type="character" w:customStyle="1" w:styleId="168">
    <w:name w:val="hang1"/>
    <w:basedOn w:val="62"/>
    <w:qFormat/>
    <w:uiPriority w:val="0"/>
  </w:style>
  <w:style w:type="character" w:customStyle="1" w:styleId="169">
    <w:name w:val="段 Char Char"/>
    <w:qFormat/>
    <w:uiPriority w:val="0"/>
    <w:rPr>
      <w:rFonts w:ascii="宋体"/>
      <w:sz w:val="21"/>
      <w:lang w:val="en-US" w:eastAsia="zh-CN" w:bidi="ar-SA"/>
    </w:rPr>
  </w:style>
  <w:style w:type="character" w:customStyle="1" w:styleId="170">
    <w:name w:val="悬挂1 Char"/>
    <w:link w:val="171"/>
    <w:qFormat/>
    <w:uiPriority w:val="0"/>
    <w:rPr>
      <w:szCs w:val="21"/>
    </w:rPr>
  </w:style>
  <w:style w:type="paragraph" w:customStyle="1" w:styleId="171">
    <w:name w:val="悬挂1"/>
    <w:link w:val="170"/>
    <w:qFormat/>
    <w:uiPriority w:val="0"/>
    <w:pPr>
      <w:spacing w:beforeLines="50" w:afterLines="50" w:line="360" w:lineRule="auto"/>
      <w:ind w:left="420" w:hanging="420"/>
      <w:jc w:val="both"/>
    </w:pPr>
    <w:rPr>
      <w:rFonts w:asciiTheme="minorHAnsi" w:hAnsiTheme="minorHAnsi" w:eastAsiaTheme="minorEastAsia" w:cstheme="minorBidi"/>
      <w:kern w:val="2"/>
      <w:sz w:val="21"/>
      <w:szCs w:val="21"/>
      <w:lang w:val="en-US" w:eastAsia="zh-CN" w:bidi="ar-SA"/>
    </w:rPr>
  </w:style>
  <w:style w:type="character" w:customStyle="1" w:styleId="172">
    <w:name w:val="text_12_black1"/>
    <w:qFormat/>
    <w:uiPriority w:val="0"/>
    <w:rPr>
      <w:rFonts w:hint="default" w:ascii="ˎ̥" w:hAnsi="ˎ̥"/>
      <w:color w:val="333333"/>
      <w:sz w:val="18"/>
      <w:szCs w:val="18"/>
      <w:u w:val="none"/>
    </w:rPr>
  </w:style>
  <w:style w:type="character" w:customStyle="1" w:styleId="173">
    <w:name w:val="font11"/>
    <w:qFormat/>
    <w:uiPriority w:val="0"/>
    <w:rPr>
      <w:rFonts w:hint="eastAsia" w:ascii="宋体" w:hAnsi="宋体" w:eastAsia="宋体" w:cs="宋体"/>
      <w:color w:val="000000"/>
      <w:sz w:val="20"/>
      <w:szCs w:val="20"/>
      <w:u w:val="none"/>
    </w:rPr>
  </w:style>
  <w:style w:type="character" w:customStyle="1" w:styleId="174">
    <w:name w:val="正文缩进(ALT+Z) Char"/>
    <w:link w:val="175"/>
    <w:qFormat/>
    <w:uiPriority w:val="0"/>
    <w:rPr>
      <w:sz w:val="24"/>
      <w:szCs w:val="24"/>
    </w:rPr>
  </w:style>
  <w:style w:type="paragraph" w:customStyle="1" w:styleId="175">
    <w:name w:val="正文缩进(ALT+Z)"/>
    <w:basedOn w:val="1"/>
    <w:link w:val="174"/>
    <w:qFormat/>
    <w:uiPriority w:val="0"/>
    <w:pPr>
      <w:spacing w:line="360" w:lineRule="auto"/>
      <w:ind w:firstLine="200" w:firstLineChars="200"/>
    </w:pPr>
    <w:rPr>
      <w:rFonts w:asciiTheme="minorHAnsi" w:hAnsiTheme="minorHAnsi" w:eastAsiaTheme="minorEastAsia" w:cstheme="minorBidi"/>
      <w:sz w:val="24"/>
    </w:rPr>
  </w:style>
  <w:style w:type="character" w:customStyle="1" w:styleId="176">
    <w:name w:val="font21"/>
    <w:qFormat/>
    <w:uiPriority w:val="0"/>
    <w:rPr>
      <w:rFonts w:hint="eastAsia" w:ascii="宋体" w:hAnsi="宋体" w:eastAsia="宋体" w:cs="宋体"/>
      <w:color w:val="000000"/>
      <w:sz w:val="24"/>
      <w:szCs w:val="24"/>
      <w:u w:val="none"/>
    </w:rPr>
  </w:style>
  <w:style w:type="character" w:customStyle="1" w:styleId="177">
    <w:name w:val="标题 3 Char1"/>
    <w:qFormat/>
    <w:uiPriority w:val="0"/>
    <w:rPr>
      <w:b/>
      <w:bCs/>
      <w:kern w:val="2"/>
      <w:sz w:val="32"/>
      <w:szCs w:val="32"/>
    </w:rPr>
  </w:style>
  <w:style w:type="character" w:customStyle="1" w:styleId="178">
    <w:name w:val="页脚 Char1"/>
    <w:semiHidden/>
    <w:qFormat/>
    <w:uiPriority w:val="0"/>
    <w:rPr>
      <w:rFonts w:ascii="Times New Roman" w:hAnsi="Times New Roman" w:eastAsia="宋体" w:cs="Times New Roman"/>
      <w:sz w:val="18"/>
      <w:szCs w:val="18"/>
    </w:rPr>
  </w:style>
  <w:style w:type="character" w:customStyle="1" w:styleId="179">
    <w:name w:val="z71"/>
    <w:qFormat/>
    <w:uiPriority w:val="0"/>
    <w:rPr>
      <w:spacing w:val="300"/>
      <w:sz w:val="18"/>
      <w:szCs w:val="18"/>
    </w:rPr>
  </w:style>
  <w:style w:type="character" w:customStyle="1" w:styleId="180">
    <w:name w:val="四级大纲 Char"/>
    <w:link w:val="181"/>
    <w:qFormat/>
    <w:uiPriority w:val="0"/>
    <w:rPr>
      <w:rFonts w:ascii="Calibri" w:hAnsi="Calibri" w:eastAsiaTheme="minorEastAsia" w:cstheme="minorBidi"/>
      <w:b/>
      <w:kern w:val="2"/>
      <w:sz w:val="30"/>
      <w:szCs w:val="22"/>
    </w:rPr>
  </w:style>
  <w:style w:type="paragraph" w:customStyle="1" w:styleId="181">
    <w:name w:val="四级大纲"/>
    <w:next w:val="102"/>
    <w:link w:val="180"/>
    <w:qFormat/>
    <w:uiPriority w:val="0"/>
    <w:pPr>
      <w:numPr>
        <w:ilvl w:val="3"/>
        <w:numId w:val="3"/>
      </w:numPr>
      <w:outlineLvl w:val="3"/>
    </w:pPr>
    <w:rPr>
      <w:rFonts w:ascii="Calibri" w:hAnsi="Calibri" w:eastAsiaTheme="minorEastAsia" w:cstheme="minorBidi"/>
      <w:b/>
      <w:kern w:val="2"/>
      <w:sz w:val="30"/>
      <w:szCs w:val="22"/>
      <w:lang w:val="en-US" w:eastAsia="zh-CN" w:bidi="ar-SA"/>
    </w:rPr>
  </w:style>
  <w:style w:type="character" w:customStyle="1" w:styleId="182">
    <w:name w:val="文档正文 Char"/>
    <w:link w:val="183"/>
    <w:qFormat/>
    <w:uiPriority w:val="0"/>
    <w:rPr>
      <w:rFonts w:ascii="Arial" w:eastAsia="长城仿宋"/>
      <w:sz w:val="28"/>
    </w:rPr>
  </w:style>
  <w:style w:type="paragraph" w:customStyle="1" w:styleId="183">
    <w:name w:val="文档正文"/>
    <w:basedOn w:val="1"/>
    <w:link w:val="182"/>
    <w:qFormat/>
    <w:uiPriority w:val="0"/>
    <w:pPr>
      <w:adjustRightInd w:val="0"/>
      <w:spacing w:line="312" w:lineRule="atLeast"/>
      <w:ind w:firstLine="567"/>
      <w:textAlignment w:val="baseline"/>
    </w:pPr>
    <w:rPr>
      <w:rFonts w:ascii="Arial" w:eastAsia="长城仿宋" w:hAnsiTheme="minorHAnsi" w:cstheme="minorBidi"/>
      <w:sz w:val="28"/>
      <w:szCs w:val="22"/>
    </w:rPr>
  </w:style>
  <w:style w:type="character" w:customStyle="1" w:styleId="184">
    <w:name w:val="15"/>
    <w:qFormat/>
    <w:uiPriority w:val="0"/>
    <w:rPr>
      <w:rFonts w:hint="default" w:ascii="Times New Roman" w:hAnsi="Times New Roman" w:cs="Times New Roman"/>
      <w:color w:val="0000FF"/>
      <w:u w:val="single"/>
    </w:rPr>
  </w:style>
  <w:style w:type="character" w:customStyle="1" w:styleId="185">
    <w:name w:val="批注主题 Char"/>
    <w:qFormat/>
    <w:uiPriority w:val="99"/>
    <w:rPr>
      <w:b/>
      <w:szCs w:val="24"/>
    </w:rPr>
  </w:style>
  <w:style w:type="character" w:customStyle="1" w:styleId="186">
    <w:name w:val="纯文本 Char1"/>
    <w:qFormat/>
    <w:uiPriority w:val="0"/>
    <w:rPr>
      <w:rFonts w:ascii="宋体" w:hAnsi="Courier New" w:cs="Courier New"/>
      <w:kern w:val="2"/>
      <w:sz w:val="21"/>
      <w:szCs w:val="21"/>
    </w:rPr>
  </w:style>
  <w:style w:type="character" w:customStyle="1" w:styleId="187">
    <w:name w:val="批注框文本 Char1"/>
    <w:qFormat/>
    <w:locked/>
    <w:uiPriority w:val="0"/>
    <w:rPr>
      <w:sz w:val="18"/>
      <w:szCs w:val="18"/>
    </w:rPr>
  </w:style>
  <w:style w:type="character" w:customStyle="1" w:styleId="188">
    <w:name w:val="结束语 Char"/>
    <w:qFormat/>
    <w:uiPriority w:val="0"/>
    <w:rPr>
      <w:rFonts w:ascii="宋体" w:hAnsi="宋体"/>
      <w:b/>
      <w:sz w:val="24"/>
      <w:szCs w:val="24"/>
    </w:rPr>
  </w:style>
  <w:style w:type="character" w:customStyle="1" w:styleId="189">
    <w:name w:val="正文文本 Char2"/>
    <w:qFormat/>
    <w:uiPriority w:val="0"/>
    <w:rPr>
      <w:rFonts w:ascii="宋体"/>
      <w:color w:val="000000"/>
      <w:sz w:val="28"/>
      <w:szCs w:val="32"/>
    </w:rPr>
  </w:style>
  <w:style w:type="character" w:customStyle="1" w:styleId="190">
    <w:name w:val="文档结构图 Char"/>
    <w:qFormat/>
    <w:uiPriority w:val="99"/>
    <w:rPr>
      <w:szCs w:val="24"/>
      <w:shd w:val="clear" w:color="auto" w:fill="000080"/>
    </w:rPr>
  </w:style>
  <w:style w:type="character" w:customStyle="1" w:styleId="191">
    <w:name w:val="contentheaderrev1"/>
    <w:qFormat/>
    <w:uiPriority w:val="0"/>
    <w:rPr>
      <w:rFonts w:hint="default" w:ascii="Arial" w:hAnsi="Arial" w:cs="Arial"/>
      <w:b/>
      <w:bCs/>
      <w:color w:val="FFFFFF"/>
      <w:sz w:val="18"/>
      <w:szCs w:val="18"/>
      <w:u w:val="none"/>
    </w:rPr>
  </w:style>
  <w:style w:type="character" w:customStyle="1" w:styleId="192">
    <w:name w:val="z-窗体底端 Char1"/>
    <w:qFormat/>
    <w:uiPriority w:val="0"/>
    <w:rPr>
      <w:rFonts w:ascii="Arial" w:hAnsi="Arial" w:cs="Arial"/>
      <w:vanish/>
      <w:kern w:val="2"/>
      <w:sz w:val="16"/>
      <w:szCs w:val="16"/>
    </w:rPr>
  </w:style>
  <w:style w:type="character" w:customStyle="1" w:styleId="193">
    <w:name w:val="content021"/>
    <w:qFormat/>
    <w:uiPriority w:val="0"/>
    <w:rPr>
      <w:color w:val="444444"/>
      <w:spacing w:val="330"/>
      <w:sz w:val="21"/>
      <w:szCs w:val="21"/>
      <w:u w:val="none"/>
    </w:rPr>
  </w:style>
  <w:style w:type="character" w:customStyle="1" w:styleId="194">
    <w:name w:val="abcde1"/>
    <w:qFormat/>
    <w:uiPriority w:val="0"/>
    <w:rPr>
      <w:spacing w:val="400"/>
      <w:sz w:val="26"/>
      <w:szCs w:val="26"/>
    </w:rPr>
  </w:style>
  <w:style w:type="character" w:customStyle="1" w:styleId="195">
    <w:name w:val="HTML 预设格式 Char"/>
    <w:qFormat/>
    <w:uiPriority w:val="99"/>
    <w:rPr>
      <w:rFonts w:ascii="宋体" w:hAnsi="宋体" w:cs="宋体"/>
      <w:sz w:val="24"/>
      <w:szCs w:val="24"/>
    </w:rPr>
  </w:style>
  <w:style w:type="character" w:customStyle="1" w:styleId="196">
    <w:name w:val="结束语 Char1"/>
    <w:qFormat/>
    <w:uiPriority w:val="0"/>
    <w:rPr>
      <w:kern w:val="2"/>
      <w:sz w:val="21"/>
      <w:szCs w:val="24"/>
    </w:rPr>
  </w:style>
  <w:style w:type="character" w:customStyle="1" w:styleId="197">
    <w:name w:val="常规 Char"/>
    <w:link w:val="198"/>
    <w:qFormat/>
    <w:uiPriority w:val="0"/>
    <w:rPr>
      <w:rFonts w:ascii="Tahoma" w:hAnsi="Tahoma"/>
      <w:color w:val="000000"/>
      <w:sz w:val="28"/>
      <w:szCs w:val="21"/>
    </w:rPr>
  </w:style>
  <w:style w:type="paragraph" w:customStyle="1" w:styleId="198">
    <w:name w:val="常规"/>
    <w:basedOn w:val="1"/>
    <w:link w:val="197"/>
    <w:qFormat/>
    <w:uiPriority w:val="0"/>
    <w:pPr>
      <w:spacing w:beforeLines="100" w:afterLines="100" w:line="360" w:lineRule="auto"/>
      <w:ind w:firstLine="560" w:firstLineChars="200"/>
      <w:jc w:val="center"/>
    </w:pPr>
    <w:rPr>
      <w:rFonts w:ascii="Tahoma" w:hAnsi="Tahoma" w:eastAsiaTheme="minorEastAsia" w:cstheme="minorBidi"/>
      <w:color w:val="000000"/>
      <w:sz w:val="28"/>
      <w:szCs w:val="21"/>
    </w:rPr>
  </w:style>
  <w:style w:type="character" w:customStyle="1" w:styleId="199">
    <w:name w:val="正文首行缩进 2 Char"/>
    <w:qFormat/>
    <w:uiPriority w:val="0"/>
    <w:rPr>
      <w:rFonts w:ascii="仿宋_GB2312" w:eastAsia="仿宋_GB2312"/>
      <w:color w:val="000000"/>
      <w:sz w:val="24"/>
      <w:szCs w:val="24"/>
    </w:rPr>
  </w:style>
  <w:style w:type="character" w:customStyle="1" w:styleId="200">
    <w:name w:val="unnamed11"/>
    <w:qFormat/>
    <w:uiPriority w:val="0"/>
    <w:rPr>
      <w:sz w:val="20"/>
      <w:szCs w:val="20"/>
    </w:rPr>
  </w:style>
  <w:style w:type="character" w:customStyle="1" w:styleId="201">
    <w:name w:val="题注 Char"/>
    <w:link w:val="18"/>
    <w:qFormat/>
    <w:locked/>
    <w:uiPriority w:val="0"/>
    <w:rPr>
      <w:rFonts w:ascii="Arial" w:hAnsi="Arial" w:eastAsia="黑体"/>
    </w:rPr>
  </w:style>
  <w:style w:type="character" w:customStyle="1" w:styleId="202">
    <w:name w:val="text_12_subject1"/>
    <w:qFormat/>
    <w:uiPriority w:val="0"/>
    <w:rPr>
      <w:rFonts w:hint="default" w:ascii="ˎ̥" w:hAnsi="ˎ̥"/>
      <w:b/>
      <w:bCs/>
      <w:color w:val="006699"/>
      <w:sz w:val="18"/>
      <w:szCs w:val="18"/>
      <w:u w:val="none"/>
    </w:rPr>
  </w:style>
  <w:style w:type="character" w:customStyle="1" w:styleId="203">
    <w:name w:val="正文文本 3 Char1"/>
    <w:qFormat/>
    <w:uiPriority w:val="0"/>
    <w:rPr>
      <w:kern w:val="2"/>
      <w:sz w:val="16"/>
      <w:szCs w:val="16"/>
    </w:rPr>
  </w:style>
  <w:style w:type="character" w:customStyle="1" w:styleId="204">
    <w:name w:val="正文文本缩进 Char2"/>
    <w:qFormat/>
    <w:uiPriority w:val="0"/>
    <w:rPr>
      <w:rFonts w:ascii="宋体"/>
      <w:color w:val="000000"/>
      <w:sz w:val="32"/>
      <w:szCs w:val="32"/>
    </w:rPr>
  </w:style>
  <w:style w:type="character" w:customStyle="1" w:styleId="205">
    <w:name w:val="z21"/>
    <w:qFormat/>
    <w:uiPriority w:val="0"/>
    <w:rPr>
      <w:color w:val="000000"/>
      <w:spacing w:val="255"/>
      <w:sz w:val="18"/>
      <w:szCs w:val="18"/>
    </w:rPr>
  </w:style>
  <w:style w:type="character" w:customStyle="1" w:styleId="206">
    <w:name w:val="段 Char"/>
    <w:link w:val="207"/>
    <w:qFormat/>
    <w:locked/>
    <w:uiPriority w:val="0"/>
    <w:rPr>
      <w:rFonts w:ascii="宋体" w:hAnsi="宋体"/>
    </w:rPr>
  </w:style>
  <w:style w:type="paragraph" w:customStyle="1" w:styleId="207">
    <w:name w:val="段"/>
    <w:link w:val="206"/>
    <w:qFormat/>
    <w:uiPriority w:val="0"/>
    <w:pPr>
      <w:tabs>
        <w:tab w:val="center" w:pos="4201"/>
        <w:tab w:val="right" w:leader="dot" w:pos="9298"/>
      </w:tabs>
      <w:autoSpaceDE w:val="0"/>
      <w:autoSpaceDN w:val="0"/>
      <w:ind w:firstLine="420" w:firstLineChars="200"/>
      <w:jc w:val="both"/>
    </w:pPr>
    <w:rPr>
      <w:rFonts w:ascii="宋体" w:hAnsi="宋体" w:eastAsiaTheme="minorEastAsia" w:cstheme="minorBidi"/>
      <w:kern w:val="2"/>
      <w:sz w:val="21"/>
      <w:szCs w:val="22"/>
      <w:lang w:val="en-US" w:eastAsia="zh-CN" w:bidi="ar-SA"/>
    </w:rPr>
  </w:style>
  <w:style w:type="character" w:customStyle="1" w:styleId="208">
    <w:name w:val="line14pj"/>
    <w:basedOn w:val="62"/>
    <w:qFormat/>
    <w:uiPriority w:val="0"/>
  </w:style>
  <w:style w:type="character" w:customStyle="1" w:styleId="209">
    <w:name w:val="ca-121"/>
    <w:qFormat/>
    <w:uiPriority w:val="0"/>
    <w:rPr>
      <w:rFonts w:hint="eastAsia" w:ascii="宋体" w:hAnsi="宋体" w:eastAsia="宋体"/>
      <w:sz w:val="21"/>
      <w:szCs w:val="21"/>
    </w:rPr>
  </w:style>
  <w:style w:type="character" w:customStyle="1" w:styleId="210">
    <w:name w:val="页脚 Char2"/>
    <w:basedOn w:val="62"/>
    <w:semiHidden/>
    <w:qFormat/>
    <w:uiPriority w:val="99"/>
    <w:rPr>
      <w:rFonts w:ascii="Times New Roman" w:hAnsi="Times New Roman" w:eastAsia="宋体" w:cs="Times New Roman"/>
      <w:sz w:val="18"/>
      <w:szCs w:val="18"/>
    </w:rPr>
  </w:style>
  <w:style w:type="paragraph" w:customStyle="1" w:styleId="211">
    <w:name w:val="样式 标题 + 段前: 0.5 行 段后: 0.5 行"/>
    <w:basedOn w:val="55"/>
    <w:qFormat/>
    <w:uiPriority w:val="0"/>
  </w:style>
  <w:style w:type="paragraph" w:customStyle="1" w:styleId="212">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13">
    <w:name w:val="编号1级"/>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214">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215">
    <w:name w:val="正文文本缩进 2 Char1"/>
    <w:basedOn w:val="62"/>
    <w:link w:val="36"/>
    <w:qFormat/>
    <w:uiPriority w:val="0"/>
    <w:rPr>
      <w:rFonts w:ascii="Times New Roman" w:hAnsi="Times New Roman" w:eastAsia="宋体" w:cs="Times New Roman"/>
      <w:szCs w:val="24"/>
    </w:rPr>
  </w:style>
  <w:style w:type="paragraph" w:customStyle="1" w:styleId="216">
    <w:name w:val="表2"/>
    <w:basedOn w:val="217"/>
    <w:qFormat/>
    <w:uiPriority w:val="0"/>
    <w:pPr>
      <w:numPr>
        <w:ilvl w:val="0"/>
        <w:numId w:val="4"/>
      </w:numPr>
    </w:pPr>
  </w:style>
  <w:style w:type="paragraph" w:customStyle="1" w:styleId="217">
    <w:name w:val="表1"/>
    <w:basedOn w:val="218"/>
    <w:qFormat/>
    <w:uiPriority w:val="0"/>
  </w:style>
  <w:style w:type="paragraph" w:customStyle="1" w:styleId="218">
    <w:name w:val="表格样式"/>
    <w:basedOn w:val="1"/>
    <w:qFormat/>
    <w:uiPriority w:val="0"/>
    <w:pPr>
      <w:spacing w:before="156" w:after="156"/>
      <w:jc w:val="center"/>
    </w:pPr>
    <w:rPr>
      <w:rFonts w:ascii="宋体" w:hAnsi="宋体" w:cs="宋体"/>
      <w:b/>
      <w:bCs/>
      <w:kern w:val="0"/>
      <w:szCs w:val="20"/>
    </w:rPr>
  </w:style>
  <w:style w:type="paragraph" w:customStyle="1" w:styleId="219">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20">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21">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character" w:customStyle="1" w:styleId="222">
    <w:name w:val="正文文本缩进 Char3"/>
    <w:basedOn w:val="62"/>
    <w:link w:val="28"/>
    <w:qFormat/>
    <w:uiPriority w:val="0"/>
    <w:rPr>
      <w:rFonts w:ascii="Times New Roman" w:hAnsi="Times New Roman" w:eastAsia="宋体" w:cs="Times New Roman"/>
      <w:szCs w:val="24"/>
    </w:rPr>
  </w:style>
  <w:style w:type="paragraph" w:customStyle="1" w:styleId="223">
    <w:name w:val="表格正文（5号）"/>
    <w:basedOn w:val="1"/>
    <w:qFormat/>
    <w:uiPriority w:val="0"/>
    <w:pPr>
      <w:adjustRightInd w:val="0"/>
      <w:snapToGrid w:val="0"/>
      <w:spacing w:line="264" w:lineRule="auto"/>
      <w:jc w:val="center"/>
      <w:textAlignment w:val="baseline"/>
    </w:pPr>
    <w:rPr>
      <w:snapToGrid w:val="0"/>
      <w:kern w:val="0"/>
      <w:sz w:val="24"/>
      <w:szCs w:val="20"/>
    </w:rPr>
  </w:style>
  <w:style w:type="paragraph" w:customStyle="1" w:styleId="224">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character" w:customStyle="1" w:styleId="225">
    <w:name w:val="正文文本 3 Char2"/>
    <w:basedOn w:val="62"/>
    <w:link w:val="24"/>
    <w:qFormat/>
    <w:uiPriority w:val="0"/>
    <w:rPr>
      <w:rFonts w:ascii="Times New Roman" w:hAnsi="Times New Roman" w:eastAsia="宋体" w:cs="Times New Roman"/>
      <w:sz w:val="16"/>
      <w:szCs w:val="16"/>
    </w:rPr>
  </w:style>
  <w:style w:type="paragraph" w:customStyle="1" w:styleId="226">
    <w:name w:val="样式 标题 4 + 段前: 0.5 行 段后: 0.5 行"/>
    <w:basedOn w:val="7"/>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227">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character" w:customStyle="1" w:styleId="228">
    <w:name w:val="标题 Char2"/>
    <w:basedOn w:val="62"/>
    <w:link w:val="55"/>
    <w:qFormat/>
    <w:uiPriority w:val="0"/>
    <w:rPr>
      <w:rFonts w:eastAsia="宋体" w:asciiTheme="majorHAnsi" w:hAnsiTheme="majorHAnsi" w:cstheme="majorBidi"/>
      <w:b/>
      <w:bCs/>
      <w:sz w:val="32"/>
      <w:szCs w:val="32"/>
    </w:rPr>
  </w:style>
  <w:style w:type="paragraph" w:customStyle="1" w:styleId="229">
    <w:name w:val="正文1级"/>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230">
    <w:name w:val="表格2"/>
    <w:basedOn w:val="1"/>
    <w:qFormat/>
    <w:uiPriority w:val="0"/>
    <w:pPr>
      <w:snapToGrid w:val="0"/>
      <w:jc w:val="center"/>
    </w:pPr>
    <w:rPr>
      <w:rFonts w:ascii="Arial" w:hAnsi="Arial" w:cs="Arial"/>
      <w:snapToGrid w:val="0"/>
      <w:kern w:val="0"/>
      <w:sz w:val="24"/>
    </w:rPr>
  </w:style>
  <w:style w:type="paragraph" w:customStyle="1" w:styleId="231">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2">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33">
    <w:name w:val="正文首行缩进 2 Char2"/>
    <w:basedOn w:val="222"/>
    <w:link w:val="58"/>
    <w:qFormat/>
    <w:uiPriority w:val="0"/>
    <w:rPr>
      <w:rFonts w:ascii="Times New Roman" w:hAnsi="Times New Roman" w:eastAsia="宋体" w:cs="Times New Roman"/>
      <w:szCs w:val="24"/>
    </w:rPr>
  </w:style>
  <w:style w:type="paragraph" w:customStyle="1" w:styleId="234">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235">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236">
    <w:name w:val="说明正文"/>
    <w:basedOn w:val="1"/>
    <w:qFormat/>
    <w:uiPriority w:val="0"/>
    <w:pPr>
      <w:spacing w:line="360" w:lineRule="auto"/>
      <w:ind w:firstLine="480" w:firstLineChars="200"/>
    </w:pPr>
    <w:rPr>
      <w:rFonts w:ascii="宋体" w:hAnsi="宋体"/>
      <w:sz w:val="24"/>
    </w:rPr>
  </w:style>
  <w:style w:type="character" w:customStyle="1" w:styleId="237">
    <w:name w:val="纯文本 Char2"/>
    <w:basedOn w:val="62"/>
    <w:link w:val="33"/>
    <w:qFormat/>
    <w:uiPriority w:val="0"/>
    <w:rPr>
      <w:rFonts w:ascii="宋体" w:hAnsi="Courier New" w:eastAsia="宋体" w:cs="Courier New"/>
      <w:szCs w:val="21"/>
    </w:rPr>
  </w:style>
  <w:style w:type="paragraph" w:customStyle="1" w:styleId="238">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39">
    <w:name w:val="font1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40">
    <w:name w:val="lgh排序1"/>
    <w:basedOn w:val="33"/>
    <w:qFormat/>
    <w:uiPriority w:val="0"/>
    <w:pPr>
      <w:tabs>
        <w:tab w:val="left" w:pos="360"/>
      </w:tabs>
      <w:spacing w:line="360" w:lineRule="auto"/>
      <w:ind w:firstLine="480" w:firstLineChars="200"/>
    </w:pPr>
    <w:rPr>
      <w:rFonts w:hAnsi="宋体" w:cs="Times New Roman"/>
      <w:kern w:val="0"/>
      <w:sz w:val="24"/>
      <w:szCs w:val="20"/>
    </w:rPr>
  </w:style>
  <w:style w:type="paragraph" w:customStyle="1" w:styleId="241">
    <w:name w:val="_Style 255"/>
    <w:semiHidden/>
    <w:qFormat/>
    <w:uiPriority w:val="99"/>
    <w:rPr>
      <w:rFonts w:ascii="Times New Roman" w:hAnsi="Times New Roman" w:eastAsia="宋体" w:cs="Times New Roman"/>
      <w:kern w:val="2"/>
      <w:sz w:val="21"/>
      <w:szCs w:val="24"/>
      <w:lang w:val="en-US" w:eastAsia="zh-CN" w:bidi="ar-SA"/>
    </w:rPr>
  </w:style>
  <w:style w:type="paragraph" w:customStyle="1" w:styleId="242">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character" w:customStyle="1" w:styleId="243">
    <w:name w:val="批注框文本 Char2"/>
    <w:basedOn w:val="62"/>
    <w:link w:val="38"/>
    <w:qFormat/>
    <w:uiPriority w:val="99"/>
    <w:rPr>
      <w:rFonts w:ascii="Times New Roman" w:hAnsi="Times New Roman" w:eastAsia="宋体" w:cs="Times New Roman"/>
      <w:sz w:val="18"/>
      <w:szCs w:val="18"/>
    </w:rPr>
  </w:style>
  <w:style w:type="paragraph" w:customStyle="1" w:styleId="244">
    <w:name w:val="xl162"/>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245">
    <w:name w:val="批注文字 Char1"/>
    <w:basedOn w:val="62"/>
    <w:link w:val="22"/>
    <w:qFormat/>
    <w:uiPriority w:val="99"/>
    <w:rPr>
      <w:rFonts w:ascii="Times New Roman" w:hAnsi="Times New Roman" w:eastAsia="宋体" w:cs="Times New Roman"/>
      <w:szCs w:val="24"/>
    </w:rPr>
  </w:style>
  <w:style w:type="character" w:customStyle="1" w:styleId="246">
    <w:name w:val="批注主题 Char1"/>
    <w:basedOn w:val="245"/>
    <w:link w:val="56"/>
    <w:qFormat/>
    <w:uiPriority w:val="99"/>
    <w:rPr>
      <w:rFonts w:ascii="Times New Roman" w:hAnsi="Times New Roman" w:eastAsia="宋体" w:cs="Times New Roman"/>
      <w:b/>
      <w:bCs/>
      <w:szCs w:val="24"/>
    </w:rPr>
  </w:style>
  <w:style w:type="character" w:customStyle="1" w:styleId="247">
    <w:name w:val="正文文本缩进 3 Char1"/>
    <w:basedOn w:val="62"/>
    <w:link w:val="47"/>
    <w:qFormat/>
    <w:uiPriority w:val="0"/>
    <w:rPr>
      <w:rFonts w:ascii="Times New Roman" w:hAnsi="Times New Roman" w:eastAsia="宋体" w:cs="Times New Roman"/>
      <w:sz w:val="16"/>
      <w:szCs w:val="16"/>
    </w:rPr>
  </w:style>
  <w:style w:type="paragraph" w:customStyle="1" w:styleId="248">
    <w:name w:val="CM2"/>
    <w:basedOn w:val="249"/>
    <w:next w:val="249"/>
    <w:qFormat/>
    <w:uiPriority w:val="0"/>
    <w:pPr>
      <w:spacing w:line="623" w:lineRule="atLeast"/>
    </w:pPr>
    <w:rPr>
      <w:rFonts w:ascii=".a..DD.." w:eastAsia=".a..DD.."/>
      <w:color w:val="auto"/>
      <w:szCs w:val="24"/>
    </w:rPr>
  </w:style>
  <w:style w:type="paragraph" w:customStyle="1" w:styleId="2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0">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251">
    <w:name w:val="复选框1"/>
    <w:basedOn w:val="1"/>
    <w:qFormat/>
    <w:uiPriority w:val="0"/>
    <w:pPr>
      <w:widowControl/>
      <w:spacing w:before="360" w:after="360"/>
      <w:jc w:val="left"/>
    </w:pPr>
    <w:rPr>
      <w:kern w:val="0"/>
      <w:sz w:val="20"/>
      <w:szCs w:val="20"/>
    </w:rPr>
  </w:style>
  <w:style w:type="character" w:customStyle="1" w:styleId="252">
    <w:name w:val="正文文本 Char3"/>
    <w:basedOn w:val="62"/>
    <w:link w:val="27"/>
    <w:qFormat/>
    <w:uiPriority w:val="0"/>
    <w:rPr>
      <w:rFonts w:ascii="Times New Roman" w:hAnsi="Times New Roman" w:eastAsia="宋体" w:cs="Times New Roman"/>
      <w:szCs w:val="24"/>
    </w:rPr>
  </w:style>
  <w:style w:type="paragraph" w:customStyle="1" w:styleId="253">
    <w:name w:val="yd正文"/>
    <w:basedOn w:val="1"/>
    <w:qFormat/>
    <w:uiPriority w:val="0"/>
    <w:pPr>
      <w:widowControl/>
      <w:spacing w:line="360" w:lineRule="auto"/>
      <w:ind w:firstLine="482"/>
    </w:pPr>
    <w:rPr>
      <w:rFonts w:ascii="宋体" w:hAnsi="Arial Unicode MS"/>
      <w:bCs/>
      <w:kern w:val="0"/>
      <w:sz w:val="24"/>
    </w:rPr>
  </w:style>
  <w:style w:type="paragraph" w:customStyle="1" w:styleId="254">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character" w:customStyle="1" w:styleId="255">
    <w:name w:val="称呼 Char1"/>
    <w:basedOn w:val="62"/>
    <w:link w:val="23"/>
    <w:qFormat/>
    <w:uiPriority w:val="0"/>
    <w:rPr>
      <w:rFonts w:ascii="Times New Roman" w:hAnsi="Times New Roman" w:eastAsia="宋体" w:cs="Times New Roman"/>
      <w:szCs w:val="24"/>
    </w:rPr>
  </w:style>
  <w:style w:type="paragraph" w:customStyle="1" w:styleId="256">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7">
    <w:name w:val="xl1063"/>
    <w:basedOn w:val="1"/>
    <w:qFormat/>
    <w:uiPriority w:val="0"/>
    <w:pPr>
      <w:widowControl/>
      <w:spacing w:before="100" w:beforeAutospacing="1" w:after="100" w:afterAutospacing="1"/>
      <w:jc w:val="center"/>
    </w:pPr>
    <w:rPr>
      <w:rFonts w:ascii="宋体" w:hAnsi="宋体" w:cs="宋体"/>
      <w:b/>
      <w:bCs/>
      <w:kern w:val="0"/>
      <w:sz w:val="24"/>
    </w:rPr>
  </w:style>
  <w:style w:type="character" w:customStyle="1" w:styleId="258">
    <w:name w:val="文档结构图 Char1"/>
    <w:basedOn w:val="62"/>
    <w:link w:val="21"/>
    <w:qFormat/>
    <w:uiPriority w:val="99"/>
    <w:rPr>
      <w:rFonts w:ascii="宋体" w:hAnsi="Times New Roman" w:eastAsia="宋体" w:cs="Times New Roman"/>
      <w:sz w:val="18"/>
      <w:szCs w:val="18"/>
    </w:rPr>
  </w:style>
  <w:style w:type="paragraph" w:customStyle="1" w:styleId="259">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0">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character" w:customStyle="1" w:styleId="261">
    <w:name w:val="页眉 Char2"/>
    <w:basedOn w:val="62"/>
    <w:semiHidden/>
    <w:qFormat/>
    <w:uiPriority w:val="99"/>
    <w:rPr>
      <w:rFonts w:ascii="Times New Roman" w:hAnsi="Times New Roman" w:eastAsia="宋体" w:cs="Times New Roman"/>
      <w:sz w:val="18"/>
      <w:szCs w:val="18"/>
    </w:rPr>
  </w:style>
  <w:style w:type="character" w:customStyle="1" w:styleId="262">
    <w:name w:val="日期 Char1"/>
    <w:basedOn w:val="62"/>
    <w:link w:val="35"/>
    <w:qFormat/>
    <w:uiPriority w:val="0"/>
    <w:rPr>
      <w:rFonts w:ascii="Times New Roman" w:hAnsi="Times New Roman" w:eastAsia="宋体" w:cs="Times New Roman"/>
      <w:szCs w:val="24"/>
    </w:rPr>
  </w:style>
  <w:style w:type="paragraph" w:customStyle="1" w:styleId="263">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64">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65">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6">
    <w:name w:val="样式5"/>
    <w:basedOn w:val="142"/>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267">
    <w:name w:val="五级条标题"/>
    <w:basedOn w:val="268"/>
    <w:next w:val="1"/>
    <w:qFormat/>
    <w:uiPriority w:val="0"/>
    <w:pPr>
      <w:outlineLvl w:val="6"/>
    </w:pPr>
  </w:style>
  <w:style w:type="paragraph" w:customStyle="1" w:styleId="268">
    <w:name w:val="四级条标题"/>
    <w:basedOn w:val="269"/>
    <w:next w:val="1"/>
    <w:qFormat/>
    <w:uiPriority w:val="0"/>
    <w:pPr>
      <w:outlineLvl w:val="5"/>
    </w:pPr>
  </w:style>
  <w:style w:type="paragraph" w:customStyle="1" w:styleId="269">
    <w:name w:val="三级条标题"/>
    <w:basedOn w:val="270"/>
    <w:next w:val="1"/>
    <w:qFormat/>
    <w:uiPriority w:val="0"/>
    <w:pPr>
      <w:outlineLvl w:val="4"/>
    </w:pPr>
  </w:style>
  <w:style w:type="paragraph" w:customStyle="1" w:styleId="270">
    <w:name w:val="二级条标题"/>
    <w:basedOn w:val="224"/>
    <w:next w:val="1"/>
    <w:qFormat/>
    <w:uiPriority w:val="0"/>
    <w:pPr>
      <w:outlineLvl w:val="3"/>
    </w:pPr>
  </w:style>
  <w:style w:type="paragraph" w:customStyle="1" w:styleId="271">
    <w:name w:val="xl7864"/>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272">
    <w:name w:val="CM3"/>
    <w:basedOn w:val="249"/>
    <w:next w:val="249"/>
    <w:qFormat/>
    <w:uiPriority w:val="0"/>
    <w:pPr>
      <w:spacing w:line="626" w:lineRule="atLeast"/>
    </w:pPr>
    <w:rPr>
      <w:rFonts w:ascii=".a..DD.." w:eastAsia=".a..DD.."/>
      <w:color w:val="auto"/>
      <w:szCs w:val="24"/>
    </w:rPr>
  </w:style>
  <w:style w:type="paragraph" w:customStyle="1" w:styleId="273">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74">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5">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样式 标题 3标题 3 Char Char Char Char(A-3)sect1.2.3h3H3 + 加粗 段前:..."/>
    <w:basedOn w:val="2"/>
    <w:qFormat/>
    <w:uiPriority w:val="0"/>
    <w:pPr>
      <w:keepNext w:val="0"/>
      <w:tabs>
        <w:tab w:val="left" w:pos="1080"/>
      </w:tabs>
      <w:spacing w:before="120" w:after="0" w:line="415" w:lineRule="auto"/>
    </w:pPr>
    <w:rPr>
      <w:rFonts w:eastAsia="黑体" w:cs="宋体"/>
      <w:b w:val="0"/>
      <w:bCs/>
      <w:sz w:val="24"/>
    </w:rPr>
  </w:style>
  <w:style w:type="character" w:customStyle="1" w:styleId="277">
    <w:name w:val="z-窗体底端 Char2"/>
    <w:basedOn w:val="62"/>
    <w:link w:val="90"/>
    <w:qFormat/>
    <w:uiPriority w:val="99"/>
    <w:rPr>
      <w:rFonts w:ascii="Arial" w:hAnsi="Arial" w:eastAsia="宋体" w:cs="Arial"/>
      <w:vanish/>
      <w:sz w:val="16"/>
      <w:szCs w:val="16"/>
    </w:rPr>
  </w:style>
  <w:style w:type="character" w:customStyle="1" w:styleId="278">
    <w:name w:val="HTML 预设格式 Char2"/>
    <w:basedOn w:val="62"/>
    <w:link w:val="52"/>
    <w:qFormat/>
    <w:uiPriority w:val="99"/>
    <w:rPr>
      <w:rFonts w:ascii="Courier New" w:hAnsi="Courier New" w:eastAsia="宋体" w:cs="Courier New"/>
      <w:sz w:val="20"/>
      <w:szCs w:val="20"/>
    </w:rPr>
  </w:style>
  <w:style w:type="paragraph" w:customStyle="1" w:styleId="279">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0">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281">
    <w:name w:val="正文首行缩进 Char1"/>
    <w:basedOn w:val="252"/>
    <w:link w:val="57"/>
    <w:qFormat/>
    <w:uiPriority w:val="0"/>
    <w:rPr>
      <w:rFonts w:ascii="Times New Roman" w:hAnsi="Times New Roman" w:eastAsia="宋体" w:cs="Times New Roman"/>
      <w:szCs w:val="24"/>
    </w:rPr>
  </w:style>
  <w:style w:type="character" w:customStyle="1" w:styleId="282">
    <w:name w:val="正文文本 2 Char1"/>
    <w:basedOn w:val="62"/>
    <w:link w:val="51"/>
    <w:qFormat/>
    <w:uiPriority w:val="0"/>
    <w:rPr>
      <w:rFonts w:ascii="Times New Roman" w:hAnsi="Times New Roman" w:eastAsia="宋体" w:cs="Times New Roman"/>
      <w:szCs w:val="24"/>
    </w:rPr>
  </w:style>
  <w:style w:type="paragraph" w:customStyle="1" w:styleId="283">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84">
    <w:name w:val="正文缩进1"/>
    <w:basedOn w:val="1"/>
    <w:qFormat/>
    <w:uiPriority w:val="0"/>
    <w:pPr>
      <w:spacing w:line="360" w:lineRule="auto"/>
      <w:ind w:firstLine="200" w:firstLineChars="200"/>
      <w:jc w:val="left"/>
    </w:pPr>
    <w:rPr>
      <w:rFonts w:ascii="宋体" w:hAnsi="宋体"/>
      <w:sz w:val="24"/>
      <w:szCs w:val="22"/>
    </w:rPr>
  </w:style>
  <w:style w:type="paragraph" w:customStyle="1" w:styleId="285">
    <w:name w:val="font12"/>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86">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87">
    <w:name w:val="结束语 Char2"/>
    <w:basedOn w:val="62"/>
    <w:link w:val="25"/>
    <w:qFormat/>
    <w:uiPriority w:val="0"/>
    <w:rPr>
      <w:rFonts w:ascii="Times New Roman" w:hAnsi="Times New Roman" w:eastAsia="宋体" w:cs="Times New Roman"/>
      <w:szCs w:val="24"/>
    </w:rPr>
  </w:style>
  <w:style w:type="character" w:customStyle="1" w:styleId="288">
    <w:name w:val="副标题 Char2"/>
    <w:basedOn w:val="62"/>
    <w:link w:val="43"/>
    <w:qFormat/>
    <w:uiPriority w:val="0"/>
    <w:rPr>
      <w:rFonts w:eastAsia="宋体" w:asciiTheme="majorHAnsi" w:hAnsiTheme="majorHAnsi" w:cstheme="majorBidi"/>
      <w:b/>
      <w:bCs/>
      <w:kern w:val="28"/>
      <w:sz w:val="32"/>
      <w:szCs w:val="32"/>
    </w:rPr>
  </w:style>
  <w:style w:type="paragraph" w:customStyle="1" w:styleId="289">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29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character" w:customStyle="1" w:styleId="291">
    <w:name w:val="尾注文本 Char2"/>
    <w:basedOn w:val="62"/>
    <w:link w:val="37"/>
    <w:qFormat/>
    <w:uiPriority w:val="0"/>
    <w:rPr>
      <w:rFonts w:ascii="Times New Roman" w:hAnsi="Times New Roman" w:eastAsia="宋体" w:cs="Times New Roman"/>
      <w:szCs w:val="24"/>
    </w:rPr>
  </w:style>
  <w:style w:type="paragraph" w:customStyle="1" w:styleId="292">
    <w:name w:val="正文(首行缩进）"/>
    <w:basedOn w:val="1"/>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293">
    <w:name w:val="样式3"/>
    <w:qFormat/>
    <w:uiPriority w:val="0"/>
    <w:pPr>
      <w:spacing w:line="300" w:lineRule="auto"/>
    </w:pPr>
    <w:rPr>
      <w:rFonts w:ascii="Times New Roman" w:hAnsi="Times New Roman" w:eastAsia="宋体" w:cs="Times New Roman"/>
      <w:lang w:val="en-US" w:eastAsia="zh-CN" w:bidi="ar-SA"/>
    </w:rPr>
  </w:style>
  <w:style w:type="paragraph" w:customStyle="1" w:styleId="294">
    <w:name w:val="Char11"/>
    <w:basedOn w:val="1"/>
    <w:qFormat/>
    <w:uiPriority w:val="0"/>
  </w:style>
  <w:style w:type="paragraph" w:customStyle="1" w:styleId="295">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96">
    <w:name w:val="不缩进"/>
    <w:basedOn w:val="1"/>
    <w:qFormat/>
    <w:uiPriority w:val="0"/>
    <w:pPr>
      <w:spacing w:line="360" w:lineRule="auto"/>
      <w:jc w:val="center"/>
    </w:pPr>
    <w:rPr>
      <w:b/>
      <w:bCs/>
      <w:sz w:val="28"/>
      <w:szCs w:val="21"/>
    </w:rPr>
  </w:style>
  <w:style w:type="paragraph" w:customStyle="1" w:styleId="297">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98">
    <w:name w:val="标题2"/>
    <w:basedOn w:val="1"/>
    <w:qFormat/>
    <w:uiPriority w:val="0"/>
    <w:pPr>
      <w:spacing w:beforeLines="50" w:afterLines="50" w:line="300" w:lineRule="exact"/>
    </w:pPr>
    <w:rPr>
      <w:b/>
      <w:bCs/>
    </w:rPr>
  </w:style>
  <w:style w:type="paragraph" w:customStyle="1" w:styleId="299">
    <w:name w:val="表格1"/>
    <w:basedOn w:val="1"/>
    <w:qFormat/>
    <w:uiPriority w:val="0"/>
    <w:pPr>
      <w:tabs>
        <w:tab w:val="left" w:pos="203"/>
      </w:tabs>
      <w:spacing w:before="40" w:after="40"/>
      <w:jc w:val="center"/>
    </w:pPr>
    <w:rPr>
      <w:b/>
      <w:sz w:val="28"/>
      <w:szCs w:val="20"/>
    </w:rPr>
  </w:style>
  <w:style w:type="paragraph" w:customStyle="1" w:styleId="300">
    <w:name w:val="xl156"/>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1">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2">
    <w:name w:val="xl149"/>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3">
    <w:name w:val="样式 标题 1 + 段前: 0.5 行 段后: 0.5 行"/>
    <w:basedOn w:val="5"/>
    <w:qFormat/>
    <w:uiPriority w:val="0"/>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30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05">
    <w:name w:val="项目编号一级"/>
    <w:basedOn w:val="1"/>
    <w:qFormat/>
    <w:uiPriority w:val="0"/>
    <w:pPr>
      <w:tabs>
        <w:tab w:val="left" w:pos="900"/>
      </w:tabs>
      <w:spacing w:line="360" w:lineRule="auto"/>
      <w:ind w:left="900" w:hanging="420"/>
    </w:pPr>
  </w:style>
  <w:style w:type="paragraph" w:customStyle="1" w:styleId="306">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07">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样式 标题 1l1I1heading 1h11st levell1+toc 1Chapter title1He..."/>
    <w:basedOn w:val="5"/>
    <w:qFormat/>
    <w:uiPriority w:val="0"/>
    <w:pPr>
      <w:tabs>
        <w:tab w:val="left" w:pos="525"/>
      </w:tabs>
      <w:adjustRightInd/>
      <w:spacing w:before="340" w:after="330" w:line="360" w:lineRule="auto"/>
      <w:jc w:val="both"/>
      <w:textAlignment w:val="auto"/>
    </w:pPr>
    <w:rPr>
      <w:rFonts w:eastAsia="黑体"/>
      <w:bCs/>
      <w:sz w:val="28"/>
      <w:szCs w:val="32"/>
    </w:rPr>
  </w:style>
  <w:style w:type="paragraph" w:customStyle="1" w:styleId="309">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0">
    <w:name w:val="Paragraphe 3"/>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311">
    <w:name w:val="图"/>
    <w:basedOn w:val="1"/>
    <w:next w:val="1"/>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312">
    <w:name w:val="xl7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13">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4">
    <w:name w:val="DLP正文"/>
    <w:basedOn w:val="1"/>
    <w:qFormat/>
    <w:uiPriority w:val="0"/>
    <w:pPr>
      <w:snapToGrid w:val="0"/>
      <w:spacing w:line="360" w:lineRule="auto"/>
      <w:ind w:firstLine="473"/>
    </w:pPr>
    <w:rPr>
      <w:rFonts w:hAnsi="宋体"/>
      <w:sz w:val="24"/>
      <w:szCs w:val="22"/>
    </w:rPr>
  </w:style>
  <w:style w:type="paragraph" w:customStyle="1" w:styleId="315">
    <w:name w:val="CM19"/>
    <w:basedOn w:val="249"/>
    <w:next w:val="249"/>
    <w:qFormat/>
    <w:uiPriority w:val="0"/>
    <w:pPr>
      <w:spacing w:line="440" w:lineRule="atLeast"/>
    </w:pPr>
    <w:rPr>
      <w:rFonts w:ascii="方正小标宋简体" w:eastAsia="方正小标宋简体"/>
      <w:color w:val="auto"/>
      <w:szCs w:val="24"/>
    </w:rPr>
  </w:style>
  <w:style w:type="paragraph" w:customStyle="1" w:styleId="316">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17">
    <w:name w:val="Block Label"/>
    <w:basedOn w:val="1"/>
    <w:next w:val="1"/>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318">
    <w:name w:val="Bullet 1"/>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319">
    <w:name w:val="默认段落字体 Para Char Char Char Char Char Char Char Char Char Char Char Char Char"/>
    <w:basedOn w:val="21"/>
    <w:qFormat/>
    <w:uiPriority w:val="0"/>
    <w:pPr>
      <w:adjustRightInd w:val="0"/>
      <w:spacing w:line="436" w:lineRule="exact"/>
      <w:ind w:left="357"/>
      <w:jc w:val="left"/>
      <w:outlineLvl w:val="3"/>
    </w:pPr>
    <w:rPr>
      <w:rFonts w:ascii="宋体" w:hAnsi="宋体"/>
      <w:kern w:val="0"/>
      <w:szCs w:val="21"/>
    </w:rPr>
  </w:style>
  <w:style w:type="paragraph" w:customStyle="1" w:styleId="320">
    <w:name w:val="±í¸ñÎÄ±¾"/>
    <w:basedOn w:val="1"/>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321">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322">
    <w:name w:val="样式 标题 2 + 段前: 0.5 行 段后: 0.5 行2"/>
    <w:basedOn w:val="6"/>
    <w:qFormat/>
    <w:uiPriority w:val="0"/>
    <w:pPr>
      <w:tabs>
        <w:tab w:val="left" w:pos="1320"/>
      </w:tabs>
      <w:spacing w:beforeLines="50" w:afterLines="50" w:line="360" w:lineRule="auto"/>
      <w:jc w:val="left"/>
    </w:pPr>
    <w:rPr>
      <w:rFonts w:cs="宋体"/>
      <w:kern w:val="0"/>
      <w:sz w:val="36"/>
      <w:szCs w:val="20"/>
    </w:rPr>
  </w:style>
  <w:style w:type="paragraph" w:customStyle="1" w:styleId="323">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24">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25">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326">
    <w:name w:val="Block"/>
    <w:basedOn w:val="1"/>
    <w:next w:val="198"/>
    <w:qFormat/>
    <w:uiPriority w:val="0"/>
    <w:pPr>
      <w:tabs>
        <w:tab w:val="left" w:pos="0"/>
      </w:tabs>
    </w:pPr>
    <w:rPr>
      <w:rFonts w:ascii="Arial" w:hAnsi="Arial" w:eastAsia="楷体_GB2312"/>
      <w:color w:val="000080"/>
      <w:sz w:val="28"/>
      <w:szCs w:val="28"/>
    </w:rPr>
  </w:style>
  <w:style w:type="paragraph" w:customStyle="1" w:styleId="327">
    <w:name w:val="_Style 20"/>
    <w:basedOn w:val="1"/>
    <w:qFormat/>
    <w:uiPriority w:val="0"/>
    <w:rPr>
      <w:rFonts w:ascii="Tahoma" w:hAnsi="Tahoma"/>
      <w:sz w:val="24"/>
      <w:szCs w:val="20"/>
    </w:rPr>
  </w:style>
  <w:style w:type="paragraph" w:customStyle="1" w:styleId="328">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29">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330">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31">
    <w:name w:val="xl15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32">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33">
    <w:name w:val="Notes Heading in Table"/>
    <w:next w:val="1"/>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334">
    <w:name w:val="样式 首行缩进: 0.85 厘米 段前: 2.5 磅 段后: 6 磅 行距: 1.5 倍行距"/>
    <w:basedOn w:val="1"/>
    <w:qFormat/>
    <w:uiPriority w:val="0"/>
    <w:pPr>
      <w:spacing w:before="50" w:after="120" w:line="360" w:lineRule="auto"/>
      <w:ind w:firstLine="480"/>
    </w:pPr>
    <w:rPr>
      <w:sz w:val="24"/>
    </w:rPr>
  </w:style>
  <w:style w:type="paragraph" w:customStyle="1" w:styleId="335">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36">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37">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38">
    <w:name w:val="GP正文(首行缩进)"/>
    <w:basedOn w:val="1"/>
    <w:qFormat/>
    <w:uiPriority w:val="0"/>
    <w:pPr>
      <w:spacing w:line="360" w:lineRule="auto"/>
      <w:ind w:firstLine="200" w:firstLineChars="200"/>
      <w:jc w:val="left"/>
    </w:pPr>
    <w:rPr>
      <w:sz w:val="24"/>
      <w:szCs w:val="21"/>
    </w:rPr>
  </w:style>
  <w:style w:type="paragraph" w:customStyle="1" w:styleId="339">
    <w:name w:val="目录"/>
    <w:basedOn w:val="1"/>
    <w:qFormat/>
    <w:uiPriority w:val="0"/>
    <w:pPr>
      <w:widowControl/>
      <w:jc w:val="center"/>
    </w:pPr>
    <w:rPr>
      <w:rFonts w:ascii="宋体"/>
      <w:b/>
      <w:kern w:val="0"/>
      <w:sz w:val="36"/>
      <w:szCs w:val="20"/>
    </w:rPr>
  </w:style>
  <w:style w:type="paragraph" w:customStyle="1" w:styleId="34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1">
    <w:name w:val="样式 小四 行距: 1.5 倍行距"/>
    <w:basedOn w:val="1"/>
    <w:qFormat/>
    <w:uiPriority w:val="0"/>
    <w:pPr>
      <w:tabs>
        <w:tab w:val="left" w:pos="740"/>
      </w:tabs>
      <w:ind w:left="1081" w:hanging="1081"/>
    </w:pPr>
  </w:style>
  <w:style w:type="paragraph" w:customStyle="1" w:styleId="342">
    <w:name w:val="xl787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3">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344">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5">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346">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347">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348">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349">
    <w:name w:val="样式 标题 3h:33H3Kop 3Vl3Level 3 Headh3sect1.2.3Alt+31.1.1..."/>
    <w:basedOn w:val="2"/>
    <w:qFormat/>
    <w:uiPriority w:val="0"/>
    <w:pPr>
      <w:tabs>
        <w:tab w:val="left" w:pos="1800"/>
      </w:tabs>
      <w:spacing w:before="312" w:after="312" w:line="415" w:lineRule="auto"/>
      <w:ind w:left="1800" w:leftChars="0" w:hanging="720"/>
    </w:pPr>
    <w:rPr>
      <w:rFonts w:eastAsia="宋体" w:cs="宋体"/>
      <w:bCs/>
      <w:sz w:val="30"/>
    </w:rPr>
  </w:style>
  <w:style w:type="paragraph" w:customStyle="1" w:styleId="350">
    <w:name w:val="Char Char Char Char Char Char Char1"/>
    <w:basedOn w:val="1"/>
    <w:qFormat/>
    <w:uiPriority w:val="0"/>
  </w:style>
  <w:style w:type="paragraph" w:customStyle="1" w:styleId="351">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2">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353">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54">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5">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6">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7">
    <w:name w:val="样式 标题 4 + 段前: 0.5 行 段后: 0.5 行1"/>
    <w:basedOn w:val="7"/>
    <w:qFormat/>
    <w:uiPriority w:val="0"/>
    <w:pPr>
      <w:tabs>
        <w:tab w:val="left" w:pos="864"/>
      </w:tabs>
      <w:autoSpaceDE w:val="0"/>
      <w:spacing w:beforeLines="50" w:afterLines="50" w:line="360" w:lineRule="auto"/>
      <w:ind w:left="864" w:hanging="864"/>
    </w:pPr>
    <w:rPr>
      <w:rFonts w:ascii="仿宋_GB2312" w:hAnsi="Arial" w:eastAsia="仿宋_GB2312" w:cs="宋体"/>
      <w:kern w:val="0"/>
      <w:sz w:val="30"/>
      <w:szCs w:val="20"/>
    </w:rPr>
  </w:style>
  <w:style w:type="paragraph" w:customStyle="1" w:styleId="358">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59">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60">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1">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362">
    <w:name w:val="节标题"/>
    <w:basedOn w:val="1"/>
    <w:qFormat/>
    <w:uiPriority w:val="0"/>
    <w:pPr>
      <w:widowControl/>
      <w:spacing w:line="289" w:lineRule="atLeast"/>
      <w:jc w:val="center"/>
      <w:textAlignment w:val="baseline"/>
    </w:pPr>
    <w:rPr>
      <w:color w:val="000000"/>
      <w:kern w:val="0"/>
      <w:sz w:val="28"/>
      <w:szCs w:val="20"/>
      <w:u w:color="000000"/>
    </w:rPr>
  </w:style>
  <w:style w:type="paragraph" w:customStyle="1" w:styleId="363">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4">
    <w:name w:val="列表 21"/>
    <w:basedOn w:val="1"/>
    <w:qFormat/>
    <w:uiPriority w:val="0"/>
    <w:pPr>
      <w:ind w:left="100" w:leftChars="200" w:hanging="200" w:hangingChars="200"/>
    </w:pPr>
  </w:style>
  <w:style w:type="paragraph" w:customStyle="1" w:styleId="365">
    <w:name w:val="Char Char Char Char Char Char Char"/>
    <w:basedOn w:val="1"/>
    <w:qFormat/>
    <w:uiPriority w:val="0"/>
  </w:style>
  <w:style w:type="paragraph" w:customStyle="1" w:styleId="366">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367">
    <w:name w:val="一级无"/>
    <w:basedOn w:val="224"/>
    <w:qFormat/>
    <w:uiPriority w:val="0"/>
    <w:pPr>
      <w:spacing w:beforeLines="0" w:afterLines="0"/>
    </w:pPr>
    <w:rPr>
      <w:rFonts w:ascii="宋体" w:eastAsia="宋体"/>
    </w:rPr>
  </w:style>
  <w:style w:type="paragraph" w:customStyle="1" w:styleId="368">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69">
    <w:name w:val="手动目录"/>
    <w:basedOn w:val="1"/>
    <w:qFormat/>
    <w:uiPriority w:val="0"/>
    <w:pPr>
      <w:numPr>
        <w:ilvl w:val="0"/>
        <w:numId w:val="3"/>
      </w:numPr>
      <w:spacing w:line="360" w:lineRule="auto"/>
    </w:pPr>
    <w:rPr>
      <w:sz w:val="24"/>
    </w:rPr>
  </w:style>
  <w:style w:type="paragraph" w:customStyle="1" w:styleId="370">
    <w:name w:val="xl83"/>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71">
    <w:name w:val="默认段落字体 Para Char Char Char Char"/>
    <w:basedOn w:val="1"/>
    <w:qFormat/>
    <w:uiPriority w:val="0"/>
    <w:rPr>
      <w:szCs w:val="20"/>
    </w:rPr>
  </w:style>
  <w:style w:type="paragraph" w:customStyle="1" w:styleId="372">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3">
    <w:name w:val="表样式"/>
    <w:basedOn w:val="1"/>
    <w:qFormat/>
    <w:uiPriority w:val="0"/>
    <w:pPr>
      <w:autoSpaceDE w:val="0"/>
      <w:autoSpaceDN w:val="0"/>
      <w:adjustRightInd w:val="0"/>
      <w:spacing w:before="90" w:after="90"/>
      <w:jc w:val="center"/>
    </w:pPr>
    <w:rPr>
      <w:rFonts w:ascii="Arial" w:hAnsi="Arial"/>
      <w:kern w:val="0"/>
      <w:sz w:val="18"/>
    </w:rPr>
  </w:style>
  <w:style w:type="paragraph" w:customStyle="1" w:styleId="374">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75">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76">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77">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78">
    <w:name w:val="xl78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79">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380">
    <w:name w:val="CM20"/>
    <w:basedOn w:val="249"/>
    <w:next w:val="249"/>
    <w:qFormat/>
    <w:uiPriority w:val="0"/>
    <w:pPr>
      <w:spacing w:after="115"/>
    </w:pPr>
    <w:rPr>
      <w:rFonts w:ascii=".a..DD.." w:eastAsia=".a..DD.."/>
      <w:color w:val="auto"/>
      <w:szCs w:val="24"/>
    </w:rPr>
  </w:style>
  <w:style w:type="paragraph" w:customStyle="1" w:styleId="381">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382">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3">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84">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85">
    <w:name w:val="书目1"/>
    <w:basedOn w:val="1"/>
    <w:next w:val="1"/>
    <w:unhideWhenUsed/>
    <w:qFormat/>
    <w:uiPriority w:val="37"/>
    <w:pPr>
      <w:spacing w:line="360" w:lineRule="auto"/>
      <w:ind w:firstLine="200" w:firstLineChars="200"/>
      <w:jc w:val="left"/>
    </w:pPr>
    <w:rPr>
      <w:sz w:val="24"/>
    </w:rPr>
  </w:style>
  <w:style w:type="paragraph" w:customStyle="1" w:styleId="386">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87">
    <w:name w:val="表文"/>
    <w:basedOn w:val="1"/>
    <w:qFormat/>
    <w:uiPriority w:val="0"/>
    <w:pPr>
      <w:spacing w:line="300" w:lineRule="auto"/>
      <w:jc w:val="center"/>
      <w:textAlignment w:val="baseline"/>
    </w:pPr>
    <w:rPr>
      <w:kern w:val="0"/>
      <w:szCs w:val="20"/>
    </w:rPr>
  </w:style>
  <w:style w:type="paragraph" w:customStyle="1" w:styleId="388">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89">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90">
    <w:name w:val="样式 标题 1章节标题b1 + 段前: 6 磅"/>
    <w:basedOn w:val="5"/>
    <w:qFormat/>
    <w:uiPriority w:val="0"/>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391">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2">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9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395">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6">
    <w:name w:val="样式 样式 标题 2 + 段前: 0.5 行 段后: 0.5 行 + 段前: 0.5 行 段后: 0.5 行"/>
    <w:basedOn w:val="397"/>
    <w:qFormat/>
    <w:uiPriority w:val="0"/>
    <w:pPr>
      <w:tabs>
        <w:tab w:val="left" w:pos="1320"/>
      </w:tabs>
      <w:spacing w:beforeLines="0" w:beforeAutospacing="1" w:afterLines="0" w:afterAutospacing="1"/>
      <w:ind w:left="576" w:hanging="576"/>
    </w:pPr>
    <w:rPr>
      <w:bCs w:val="0"/>
    </w:rPr>
  </w:style>
  <w:style w:type="paragraph" w:customStyle="1" w:styleId="397">
    <w:name w:val="样式 标题 2 + 段前: 0.5 行 段后: 0.5 行"/>
    <w:basedOn w:val="6"/>
    <w:qFormat/>
    <w:uiPriority w:val="0"/>
    <w:pPr>
      <w:tabs>
        <w:tab w:val="left" w:pos="1320"/>
      </w:tabs>
      <w:spacing w:beforeLines="50" w:afterLines="50" w:line="360" w:lineRule="auto"/>
      <w:jc w:val="left"/>
    </w:pPr>
    <w:rPr>
      <w:rFonts w:cs="宋体"/>
      <w:b w:val="0"/>
      <w:kern w:val="0"/>
      <w:szCs w:val="20"/>
    </w:rPr>
  </w:style>
  <w:style w:type="paragraph" w:customStyle="1" w:styleId="398">
    <w:name w:val="编号3级"/>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399">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00">
    <w:name w:val="标准"/>
    <w:basedOn w:val="1"/>
    <w:qFormat/>
    <w:uiPriority w:val="0"/>
    <w:pPr>
      <w:autoSpaceDE w:val="0"/>
      <w:autoSpaceDN w:val="0"/>
      <w:adjustRightInd w:val="0"/>
      <w:ind w:firstLine="600"/>
      <w:textAlignment w:val="baseline"/>
    </w:pPr>
    <w:rPr>
      <w:kern w:val="0"/>
      <w:sz w:val="28"/>
      <w:szCs w:val="20"/>
    </w:rPr>
  </w:style>
  <w:style w:type="paragraph" w:customStyle="1" w:styleId="401">
    <w:name w:val="xl11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02">
    <w:name w:val="样式 标题 3 + 四号 段前: 7.8 磅 段后: 0 磅 行距: 单倍行距"/>
    <w:basedOn w:val="2"/>
    <w:qFormat/>
    <w:uiPriority w:val="0"/>
    <w:pPr>
      <w:tabs>
        <w:tab w:val="left" w:pos="673"/>
      </w:tabs>
      <w:spacing w:before="156" w:after="0"/>
      <w:ind w:left="720" w:hanging="720"/>
    </w:pPr>
    <w:rPr>
      <w:rFonts w:ascii="宋体" w:hAnsi="宋体" w:eastAsia="宋体"/>
      <w:b w:val="0"/>
      <w:sz w:val="28"/>
    </w:rPr>
  </w:style>
  <w:style w:type="paragraph" w:customStyle="1" w:styleId="403">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4">
    <w:name w:val="表项"/>
    <w:next w:val="405"/>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40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406">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07">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8">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09">
    <w:name w:val="Char2"/>
    <w:basedOn w:val="1"/>
    <w:qFormat/>
    <w:uiPriority w:val="0"/>
    <w:pPr>
      <w:jc w:val="center"/>
    </w:pPr>
    <w:rPr>
      <w:rFonts w:ascii="宋体" w:hAnsi="宋体"/>
      <w:b/>
      <w:szCs w:val="21"/>
    </w:rPr>
  </w:style>
  <w:style w:type="paragraph" w:customStyle="1" w:styleId="410">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1">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12">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3">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14">
    <w:name w:val="样式 样式 标题 2 + 段前: 0.5 行 段后: 0.5 行2 + 段前: 0.5 行 段后: 0.5 行"/>
    <w:basedOn w:val="322"/>
    <w:qFormat/>
    <w:uiPriority w:val="0"/>
    <w:rPr>
      <w:b w:val="0"/>
    </w:rPr>
  </w:style>
  <w:style w:type="paragraph" w:customStyle="1" w:styleId="415">
    <w:name w:val="表格标题2"/>
    <w:basedOn w:val="1"/>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16">
    <w:name w:val="Figure Description"/>
    <w:basedOn w:val="1"/>
    <w:next w:val="198"/>
    <w:qFormat/>
    <w:uiPriority w:val="0"/>
    <w:pPr>
      <w:keepNext/>
      <w:keepLines/>
      <w:spacing w:afterLines="100" w:line="360" w:lineRule="auto"/>
      <w:jc w:val="center"/>
    </w:pPr>
    <w:rPr>
      <w:rFonts w:ascii="Tahoma" w:hAnsi="Tahoma"/>
      <w:sz w:val="24"/>
    </w:rPr>
  </w:style>
  <w:style w:type="paragraph" w:customStyle="1" w:styleId="417">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18">
    <w:name w:val="pa-13"/>
    <w:basedOn w:val="1"/>
    <w:qFormat/>
    <w:uiPriority w:val="0"/>
    <w:pPr>
      <w:widowControl/>
      <w:spacing w:line="240" w:lineRule="atLeast"/>
    </w:pPr>
    <w:rPr>
      <w:rFonts w:ascii="宋体" w:hAnsi="宋体" w:cs="宋体"/>
      <w:kern w:val="0"/>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20">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421">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2">
    <w:name w:val="样式 小四 首行缩进:  2 字符"/>
    <w:basedOn w:val="1"/>
    <w:qFormat/>
    <w:uiPriority w:val="0"/>
    <w:pPr>
      <w:spacing w:line="300" w:lineRule="auto"/>
      <w:ind w:firstLine="480" w:firstLineChars="200"/>
    </w:pPr>
    <w:rPr>
      <w:sz w:val="24"/>
      <w:szCs w:val="20"/>
    </w:rPr>
  </w:style>
  <w:style w:type="paragraph" w:customStyle="1" w:styleId="423">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424">
    <w:name w:val="just"/>
    <w:basedOn w:val="1"/>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425">
    <w:name w:val="列出段落2"/>
    <w:basedOn w:val="1"/>
    <w:qFormat/>
    <w:uiPriority w:val="0"/>
    <w:pPr>
      <w:ind w:firstLine="420" w:firstLineChars="200"/>
    </w:pPr>
  </w:style>
  <w:style w:type="paragraph" w:customStyle="1" w:styleId="426">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427">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8">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9">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30">
    <w:name w:val="样式 样式 标题 3H3h3h31Heading 3 - old3Heading 3 hidden2hh32Sect... + ..."/>
    <w:basedOn w:val="1"/>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431">
    <w:name w:val="Notes Text List in Table"/>
    <w:qFormat/>
    <w:uiPriority w:val="0"/>
    <w:pPr>
      <w:numPr>
        <w:ilvl w:val="0"/>
        <w:numId w:val="5"/>
      </w:numPr>
      <w:spacing w:before="40" w:after="80" w:line="200" w:lineRule="atLeast"/>
      <w:jc w:val="both"/>
    </w:pPr>
    <w:rPr>
      <w:rFonts w:ascii="Arial" w:hAnsi="Arial" w:eastAsia="楷体_GB2312" w:cs="楷体_GB2312"/>
      <w:sz w:val="18"/>
      <w:szCs w:val="18"/>
      <w:lang w:val="en-US" w:eastAsia="zh-CN" w:bidi="ar-SA"/>
    </w:rPr>
  </w:style>
  <w:style w:type="paragraph" w:customStyle="1" w:styleId="432">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33">
    <w:name w:val="Char Char Char"/>
    <w:basedOn w:val="1"/>
    <w:qFormat/>
    <w:uiPriority w:val="0"/>
    <w:rPr>
      <w:rFonts w:ascii="Tahoma" w:hAnsi="Tahoma" w:cs="Angsana New"/>
      <w:sz w:val="24"/>
      <w:szCs w:val="20"/>
    </w:rPr>
  </w:style>
  <w:style w:type="paragraph" w:customStyle="1" w:styleId="434">
    <w:name w:val="xl78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435">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36">
    <w:name w:val="样式 标题 1章H11. heading 1标准章Alt+1h1Huvudrubrikh11h12h13h..."/>
    <w:basedOn w:val="1"/>
    <w:qFormat/>
    <w:uiPriority w:val="0"/>
  </w:style>
  <w:style w:type="paragraph" w:customStyle="1" w:styleId="437">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438">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439">
    <w:name w:val="xl78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40">
    <w:name w:val="正文居中小5"/>
    <w:basedOn w:val="1"/>
    <w:qFormat/>
    <w:uiPriority w:val="0"/>
    <w:pPr>
      <w:spacing w:line="360" w:lineRule="auto"/>
      <w:jc w:val="center"/>
    </w:pPr>
    <w:rPr>
      <w:rFonts w:ascii="Arial" w:hAnsi="Arial"/>
      <w:sz w:val="18"/>
    </w:rPr>
  </w:style>
  <w:style w:type="paragraph" w:customStyle="1" w:styleId="441">
    <w:name w:val="xl148"/>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42">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43">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444">
    <w:name w:val="二级大纲"/>
    <w:next w:val="102"/>
    <w:qFormat/>
    <w:uiPriority w:val="0"/>
    <w:pPr>
      <w:numPr>
        <w:ilvl w:val="1"/>
        <w:numId w:val="3"/>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445">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446">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447">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48">
    <w:name w:val="纯文本1"/>
    <w:basedOn w:val="1"/>
    <w:qFormat/>
    <w:uiPriority w:val="0"/>
    <w:pPr>
      <w:autoSpaceDE w:val="0"/>
      <w:autoSpaceDN w:val="0"/>
      <w:adjustRightInd w:val="0"/>
    </w:pPr>
    <w:rPr>
      <w:rFonts w:hint="eastAsia" w:ascii="宋体" w:hAnsi="宋体" w:cs="宋体"/>
      <w:kern w:val="0"/>
      <w:szCs w:val="20"/>
    </w:rPr>
  </w:style>
  <w:style w:type="paragraph" w:customStyle="1" w:styleId="449">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0">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451">
    <w:name w:val="编号2级"/>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45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3">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4">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5">
    <w:name w:val="样式 样式 标题 + 段前: 0.5 行 段后: 0.5 行 + 段前: 0.5 行 段后: 0.5 行"/>
    <w:basedOn w:val="211"/>
    <w:qFormat/>
    <w:uiPriority w:val="0"/>
    <w:pPr>
      <w:spacing w:beforeLines="50" w:afterLines="50" w:line="360" w:lineRule="auto"/>
    </w:pPr>
    <w:rPr>
      <w:rFonts w:eastAsia="黑体" w:cs="宋体"/>
      <w:sz w:val="72"/>
      <w:szCs w:val="20"/>
      <w:u w:val="double"/>
    </w:rPr>
  </w:style>
  <w:style w:type="paragraph" w:customStyle="1" w:styleId="456">
    <w:name w:val="正文居中"/>
    <w:basedOn w:val="1"/>
    <w:next w:val="36"/>
    <w:qFormat/>
    <w:uiPriority w:val="0"/>
    <w:pPr>
      <w:adjustRightInd w:val="0"/>
      <w:snapToGrid w:val="0"/>
      <w:ind w:firstLine="480" w:firstLineChars="200"/>
    </w:pPr>
    <w:rPr>
      <w:rFonts w:ascii="宋体" w:hAnsi="宋体"/>
      <w:sz w:val="24"/>
    </w:rPr>
  </w:style>
  <w:style w:type="paragraph" w:customStyle="1" w:styleId="457">
    <w:name w:val="文档控制号等"/>
    <w:basedOn w:val="1"/>
    <w:qFormat/>
    <w:uiPriority w:val="0"/>
    <w:pPr>
      <w:spacing w:line="360" w:lineRule="auto"/>
      <w:jc w:val="left"/>
    </w:pPr>
  </w:style>
  <w:style w:type="paragraph" w:customStyle="1" w:styleId="458">
    <w:name w:val="小四 段落 宋体 Char Char"/>
    <w:basedOn w:val="459"/>
    <w:qFormat/>
    <w:uiPriority w:val="0"/>
    <w:pPr>
      <w:tabs>
        <w:tab w:val="left" w:pos="360"/>
        <w:tab w:val="left" w:pos="840"/>
      </w:tabs>
    </w:pPr>
  </w:style>
  <w:style w:type="paragraph" w:customStyle="1" w:styleId="459">
    <w:name w:val="小四 段落 宋体 Char Char Char"/>
    <w:basedOn w:val="17"/>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460">
    <w:name w:val="font1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61">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62">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3">
    <w:name w:val="表格内容五号(V1)"/>
    <w:basedOn w:val="1"/>
    <w:qFormat/>
    <w:uiPriority w:val="0"/>
    <w:pPr>
      <w:jc w:val="center"/>
    </w:pPr>
    <w:rPr>
      <w:rFonts w:cs="Arial Unicode MS"/>
      <w:kern w:val="0"/>
      <w:szCs w:val="21"/>
    </w:rPr>
  </w:style>
  <w:style w:type="paragraph" w:customStyle="1" w:styleId="464">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65">
    <w:name w:val="10"/>
    <w:basedOn w:val="1"/>
    <w:qFormat/>
    <w:uiPriority w:val="0"/>
    <w:pPr>
      <w:spacing w:line="360" w:lineRule="auto"/>
      <w:ind w:firstLine="454"/>
    </w:pPr>
    <w:rPr>
      <w:rFonts w:ascii="Tahoma" w:hAnsi="Tahoma"/>
      <w:sz w:val="24"/>
      <w:szCs w:val="20"/>
    </w:rPr>
  </w:style>
  <w:style w:type="paragraph" w:customStyle="1" w:styleId="466">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67">
    <w:name w:val="Char Char2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468">
    <w:name w:val="xl78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9">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70">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71">
    <w:name w:val="样式 日期 + 行距: 1.5 倍行距"/>
    <w:basedOn w:val="35"/>
    <w:qFormat/>
    <w:uiPriority w:val="0"/>
    <w:pPr>
      <w:widowControl/>
      <w:spacing w:line="360" w:lineRule="auto"/>
      <w:ind w:left="0" w:leftChars="0" w:firstLine="540"/>
    </w:pPr>
    <w:rPr>
      <w:rFonts w:ascii="宋体" w:eastAsia="宋体" w:cs="宋体"/>
      <w:color w:val="auto"/>
      <w:sz w:val="24"/>
      <w:szCs w:val="20"/>
    </w:rPr>
  </w:style>
  <w:style w:type="paragraph" w:customStyle="1" w:styleId="472">
    <w:name w:val="模版正文"/>
    <w:basedOn w:val="1"/>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473">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474">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5">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476">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477">
    <w:name w:val="三级无"/>
    <w:basedOn w:val="269"/>
    <w:qFormat/>
    <w:uiPriority w:val="0"/>
    <w:pPr>
      <w:spacing w:beforeLines="0" w:afterLines="0"/>
    </w:pPr>
    <w:rPr>
      <w:rFonts w:ascii="宋体" w:eastAsia="宋体"/>
    </w:rPr>
  </w:style>
  <w:style w:type="paragraph" w:customStyle="1" w:styleId="478">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79">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0">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481">
    <w:name w:val="Figure"/>
    <w:basedOn w:val="1"/>
    <w:next w:val="416"/>
    <w:qFormat/>
    <w:uiPriority w:val="0"/>
    <w:pPr>
      <w:keepNext/>
      <w:ind w:left="1701"/>
    </w:pPr>
  </w:style>
  <w:style w:type="paragraph" w:customStyle="1" w:styleId="482">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4">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5">
    <w:name w:val="正文悬挂缩进4"/>
    <w:basedOn w:val="1"/>
    <w:qFormat/>
    <w:uiPriority w:val="0"/>
    <w:pPr>
      <w:spacing w:line="360" w:lineRule="auto"/>
      <w:ind w:left="839"/>
    </w:pPr>
  </w:style>
  <w:style w:type="paragraph" w:customStyle="1" w:styleId="486">
    <w:name w:val="表格标题小四"/>
    <w:basedOn w:val="1"/>
    <w:next w:val="1"/>
    <w:qFormat/>
    <w:uiPriority w:val="0"/>
    <w:pPr>
      <w:adjustRightInd w:val="0"/>
      <w:snapToGrid w:val="0"/>
      <w:spacing w:line="288" w:lineRule="auto"/>
      <w:jc w:val="center"/>
    </w:pPr>
    <w:rPr>
      <w:rFonts w:eastAsia="黑体"/>
      <w:bCs/>
      <w:snapToGrid w:val="0"/>
      <w:sz w:val="24"/>
    </w:rPr>
  </w:style>
  <w:style w:type="paragraph" w:customStyle="1" w:styleId="487">
    <w:name w:val="报告正文"/>
    <w:basedOn w:val="1"/>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488">
    <w:name w:val="样式 标题 4Alt+4项h4H41.1.1.1 Heading 4Heading FourHead44bul...1"/>
    <w:basedOn w:val="7"/>
    <w:qFormat/>
    <w:uiPriority w:val="0"/>
    <w:pPr>
      <w:numPr>
        <w:ilvl w:val="3"/>
        <w:numId w:val="6"/>
      </w:numPr>
      <w:tabs>
        <w:tab w:val="left" w:pos="1931"/>
        <w:tab w:val="clear" w:pos="851"/>
      </w:tabs>
      <w:spacing w:before="120" w:after="0" w:line="360" w:lineRule="auto"/>
      <w:ind w:left="1931"/>
      <w:jc w:val="left"/>
    </w:pPr>
    <w:rPr>
      <w:rFonts w:ascii="Times New Roman" w:hAnsi="Times New Roman" w:eastAsia="黑体" w:cs="宋体"/>
      <w:b w:val="0"/>
      <w:bCs w:val="0"/>
      <w:sz w:val="24"/>
      <w:szCs w:val="20"/>
    </w:rPr>
  </w:style>
  <w:style w:type="paragraph" w:customStyle="1" w:styleId="489">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0">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491">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492">
    <w:name w:val="TOC 标题1"/>
    <w:basedOn w:val="5"/>
    <w:next w:val="1"/>
    <w:unhideWhenUsed/>
    <w:qFormat/>
    <w:uiPriority w:val="39"/>
    <w:pPr>
      <w:widowControl/>
      <w:spacing w:before="240" w:line="259" w:lineRule="auto"/>
      <w:outlineLvl w:val="9"/>
    </w:pPr>
    <w:rPr>
      <w:rFonts w:ascii="Cambria" w:hAnsi="Cambria"/>
      <w:b w:val="0"/>
      <w:color w:val="366091"/>
      <w:kern w:val="0"/>
      <w:szCs w:val="32"/>
    </w:rPr>
  </w:style>
  <w:style w:type="paragraph" w:customStyle="1" w:styleId="493">
    <w:name w:val="项目编号1级"/>
    <w:basedOn w:val="494"/>
    <w:qFormat/>
    <w:uiPriority w:val="0"/>
    <w:pPr>
      <w:tabs>
        <w:tab w:val="left" w:pos="840"/>
      </w:tabs>
      <w:ind w:left="840" w:hanging="420" w:firstLineChars="0"/>
    </w:pPr>
  </w:style>
  <w:style w:type="paragraph" w:customStyle="1" w:styleId="494">
    <w:name w:val="正文缩进2"/>
    <w:basedOn w:val="1"/>
    <w:qFormat/>
    <w:uiPriority w:val="0"/>
    <w:pPr>
      <w:spacing w:line="360" w:lineRule="auto"/>
      <w:ind w:firstLine="200" w:firstLineChars="200"/>
    </w:pPr>
  </w:style>
  <w:style w:type="paragraph" w:customStyle="1" w:styleId="495">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9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49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98">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499">
    <w:name w:val="样式 标题 3 + 段前: 0.5 行 段后: 0.5 行"/>
    <w:basedOn w:val="2"/>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500">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01">
    <w:name w:val="样式6"/>
    <w:basedOn w:val="1"/>
    <w:qFormat/>
    <w:uiPriority w:val="0"/>
    <w:pPr>
      <w:widowControl/>
      <w:tabs>
        <w:tab w:val="left" w:pos="1800"/>
      </w:tabs>
      <w:spacing w:beforeLines="50" w:afterLines="50"/>
      <w:ind w:left="1800" w:firstLine="899" w:firstLineChars="428"/>
    </w:pPr>
    <w:rPr>
      <w:kern w:val="0"/>
    </w:rPr>
  </w:style>
  <w:style w:type="paragraph" w:customStyle="1" w:styleId="502">
    <w:name w:val="样式 标题 6 + 段前: 0.5 行 段后: 0.5 行"/>
    <w:basedOn w:val="9"/>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503">
    <w:name w:val="列出段落1"/>
    <w:basedOn w:val="1"/>
    <w:qFormat/>
    <w:uiPriority w:val="34"/>
    <w:pPr>
      <w:ind w:firstLine="420" w:firstLineChars="200"/>
    </w:pPr>
    <w:rPr>
      <w:szCs w:val="20"/>
    </w:rPr>
  </w:style>
  <w:style w:type="paragraph" w:customStyle="1" w:styleId="504">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05">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06">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507">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508">
    <w:name w:val="一级"/>
    <w:basedOn w:val="102"/>
    <w:next w:val="102"/>
    <w:qFormat/>
    <w:uiPriority w:val="0"/>
    <w:pPr>
      <w:tabs>
        <w:tab w:val="left" w:pos="360"/>
        <w:tab w:val="left" w:pos="780"/>
      </w:tabs>
      <w:ind w:left="780" w:hanging="360" w:firstLineChars="0"/>
      <w:jc w:val="center"/>
      <w:outlineLvl w:val="0"/>
    </w:pPr>
    <w:rPr>
      <w:b/>
      <w:sz w:val="44"/>
    </w:rPr>
  </w:style>
  <w:style w:type="paragraph" w:customStyle="1" w:styleId="509">
    <w:name w:val="警告"/>
    <w:basedOn w:val="1"/>
    <w:next w:val="198"/>
    <w:qFormat/>
    <w:uiPriority w:val="0"/>
    <w:pPr>
      <w:numPr>
        <w:ilvl w:val="0"/>
        <w:numId w:val="7"/>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510">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11">
    <w:name w:val="样式 标题 3H3h3h31第二层条3Bold Headbh章标题1小标题level_3PIM 3Lev..."/>
    <w:basedOn w:val="2"/>
    <w:qFormat/>
    <w:uiPriority w:val="0"/>
    <w:pPr>
      <w:tabs>
        <w:tab w:val="left" w:pos="1931"/>
      </w:tabs>
      <w:spacing w:before="156" w:after="156"/>
      <w:ind w:left="1418" w:leftChars="0" w:hanging="567"/>
    </w:pPr>
    <w:rPr>
      <w:rFonts w:eastAsia="楷体_GB2312" w:cs="宋体"/>
      <w:bCs/>
      <w:kern w:val="0"/>
      <w:sz w:val="44"/>
    </w:rPr>
  </w:style>
  <w:style w:type="paragraph" w:customStyle="1" w:styleId="512">
    <w:name w:val="Sub Item List"/>
    <w:basedOn w:val="1"/>
    <w:qFormat/>
    <w:uiPriority w:val="0"/>
    <w:pPr>
      <w:widowControl/>
      <w:numPr>
        <w:ilvl w:val="0"/>
        <w:numId w:val="8"/>
      </w:numPr>
      <w:topLinePunct/>
      <w:adjustRightInd w:val="0"/>
      <w:snapToGrid w:val="0"/>
      <w:spacing w:before="80" w:after="80" w:line="240" w:lineRule="atLeast"/>
      <w:jc w:val="left"/>
    </w:pPr>
    <w:rPr>
      <w:rFonts w:ascii="Arial" w:hAnsi="Arial" w:cs="Arial"/>
      <w:szCs w:val="21"/>
    </w:rPr>
  </w:style>
  <w:style w:type="paragraph" w:customStyle="1" w:styleId="513">
    <w:name w:val="样式 标题 4 + 段前: 0.5 行 段后: 0.5 行 行距: 多倍行距 1.57 字行"/>
    <w:basedOn w:val="7"/>
    <w:qFormat/>
    <w:uiPriority w:val="0"/>
    <w:pPr>
      <w:tabs>
        <w:tab w:val="left" w:pos="2160"/>
      </w:tabs>
      <w:spacing w:beforeLines="50" w:afterLines="50" w:line="374" w:lineRule="auto"/>
      <w:ind w:left="2160" w:hanging="420"/>
    </w:pPr>
    <w:rPr>
      <w:rFonts w:ascii="Arial" w:hAnsi="Arial" w:eastAsia="黑体" w:cs="宋体"/>
      <w:b w:val="0"/>
      <w:kern w:val="0"/>
      <w:sz w:val="30"/>
      <w:szCs w:val="30"/>
    </w:rPr>
  </w:style>
  <w:style w:type="paragraph" w:customStyle="1" w:styleId="514">
    <w:name w:val="日期1"/>
    <w:basedOn w:val="1"/>
    <w:next w:val="1"/>
    <w:qFormat/>
    <w:uiPriority w:val="0"/>
    <w:pPr>
      <w:adjustRightInd w:val="0"/>
      <w:spacing w:line="360" w:lineRule="atLeast"/>
      <w:textAlignment w:val="baseline"/>
    </w:pPr>
    <w:rPr>
      <w:rFonts w:ascii="宋体"/>
      <w:kern w:val="0"/>
      <w:sz w:val="28"/>
      <w:szCs w:val="20"/>
    </w:rPr>
  </w:style>
  <w:style w:type="paragraph" w:customStyle="1" w:styleId="515">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6">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17">
    <w:name w:val="正文(单倍行距)"/>
    <w:basedOn w:val="1"/>
    <w:qFormat/>
    <w:uiPriority w:val="0"/>
    <w:pPr>
      <w:adjustRightInd w:val="0"/>
      <w:snapToGrid w:val="0"/>
      <w:jc w:val="center"/>
    </w:pPr>
  </w:style>
  <w:style w:type="paragraph" w:customStyle="1" w:styleId="518">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19">
    <w:name w:val="二级无"/>
    <w:basedOn w:val="270"/>
    <w:qFormat/>
    <w:uiPriority w:val="0"/>
    <w:pPr>
      <w:spacing w:beforeLines="0" w:afterLines="0"/>
    </w:pPr>
    <w:rPr>
      <w:rFonts w:ascii="宋体" w:eastAsia="宋体"/>
    </w:rPr>
  </w:style>
  <w:style w:type="paragraph" w:customStyle="1" w:styleId="520">
    <w:name w:val="表中5"/>
    <w:qFormat/>
    <w:uiPriority w:val="0"/>
    <w:pPr>
      <w:jc w:val="center"/>
    </w:pPr>
    <w:rPr>
      <w:rFonts w:ascii="Times New Roman" w:hAnsi="Times New Roman" w:eastAsia="宋体" w:cs="Times New Roman"/>
      <w:kern w:val="2"/>
      <w:sz w:val="21"/>
      <w:szCs w:val="28"/>
      <w:lang w:val="en-US" w:eastAsia="zh-CN" w:bidi="ar-SA"/>
    </w:rPr>
  </w:style>
  <w:style w:type="paragraph" w:customStyle="1" w:styleId="521">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2">
    <w:name w:val="pa-10"/>
    <w:basedOn w:val="1"/>
    <w:qFormat/>
    <w:uiPriority w:val="0"/>
    <w:pPr>
      <w:widowControl/>
      <w:spacing w:line="280" w:lineRule="atLeast"/>
    </w:pPr>
    <w:rPr>
      <w:rFonts w:ascii="宋体" w:hAnsi="宋体" w:cs="宋体"/>
      <w:kern w:val="0"/>
      <w:sz w:val="24"/>
    </w:rPr>
  </w:style>
  <w:style w:type="paragraph" w:customStyle="1" w:styleId="523">
    <w:name w:val="WPS Plain"/>
    <w:qFormat/>
    <w:uiPriority w:val="0"/>
    <w:rPr>
      <w:rFonts w:ascii="Times New Roman" w:hAnsi="Times New Roman" w:eastAsia="宋体" w:cs="Times New Roman"/>
      <w:lang w:val="en-US" w:eastAsia="zh-CN" w:bidi="ar-SA"/>
    </w:rPr>
  </w:style>
  <w:style w:type="paragraph" w:customStyle="1" w:styleId="524">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25">
    <w:name w:val="样式2"/>
    <w:basedOn w:val="1"/>
    <w:qFormat/>
    <w:uiPriority w:val="0"/>
    <w:pPr>
      <w:tabs>
        <w:tab w:val="left" w:pos="360"/>
      </w:tabs>
      <w:spacing w:line="360" w:lineRule="auto"/>
      <w:ind w:firstLine="174" w:firstLineChars="174"/>
      <w:jc w:val="left"/>
    </w:pPr>
    <w:rPr>
      <w:rFonts w:eastAsia="楷体_GB2312"/>
      <w:sz w:val="24"/>
      <w:szCs w:val="28"/>
    </w:rPr>
  </w:style>
  <w:style w:type="paragraph" w:customStyle="1" w:styleId="526">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27">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28">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9">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30">
    <w:name w:val="表身（中）"/>
    <w:basedOn w:val="405"/>
    <w:qFormat/>
    <w:uiPriority w:val="0"/>
    <w:pPr>
      <w:jc w:val="center"/>
    </w:pPr>
  </w:style>
  <w:style w:type="paragraph" w:customStyle="1" w:styleId="531">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32">
    <w:name w:val="表格文字"/>
    <w:basedOn w:val="1"/>
    <w:qFormat/>
    <w:uiPriority w:val="0"/>
    <w:pPr>
      <w:adjustRightInd w:val="0"/>
      <w:spacing w:line="240" w:lineRule="atLeast"/>
      <w:jc w:val="center"/>
      <w:textAlignment w:val="baseline"/>
    </w:pPr>
    <w:rPr>
      <w:rFonts w:ascii="宋体"/>
      <w:kern w:val="0"/>
      <w:szCs w:val="20"/>
    </w:rPr>
  </w:style>
  <w:style w:type="paragraph" w:customStyle="1" w:styleId="533">
    <w:name w:val="标题1"/>
    <w:basedOn w:val="5"/>
    <w:qFormat/>
    <w:uiPriority w:val="0"/>
    <w:pPr>
      <w:tabs>
        <w:tab w:val="left" w:pos="839"/>
      </w:tabs>
      <w:spacing w:line="360" w:lineRule="auto"/>
      <w:ind w:left="1276" w:hanging="425"/>
    </w:pPr>
    <w:rPr>
      <w:rFonts w:ascii="黑体" w:hAnsi="宋体" w:eastAsia="黑体"/>
      <w:kern w:val="11"/>
      <w:sz w:val="28"/>
    </w:rPr>
  </w:style>
  <w:style w:type="paragraph" w:customStyle="1" w:styleId="534">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5">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537">
    <w:name w:val="表格正文2"/>
    <w:basedOn w:val="1"/>
    <w:qFormat/>
    <w:uiPriority w:val="0"/>
    <w:pPr>
      <w:adjustRightInd w:val="0"/>
      <w:snapToGrid w:val="0"/>
      <w:spacing w:line="400" w:lineRule="atLeast"/>
      <w:jc w:val="left"/>
    </w:pPr>
    <w:rPr>
      <w:sz w:val="24"/>
      <w:szCs w:val="20"/>
    </w:rPr>
  </w:style>
  <w:style w:type="paragraph" w:customStyle="1" w:styleId="538">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39">
    <w:name w:val="样式 首行缩进:  2 字符2 + 居中"/>
    <w:basedOn w:val="220"/>
    <w:qFormat/>
    <w:uiPriority w:val="0"/>
    <w:pPr>
      <w:adjustRightInd/>
      <w:snapToGrid/>
      <w:ind w:firstLine="0" w:firstLineChars="0"/>
      <w:jc w:val="center"/>
    </w:pPr>
    <w:rPr>
      <w:sz w:val="28"/>
      <w:szCs w:val="20"/>
    </w:rPr>
  </w:style>
  <w:style w:type="paragraph" w:customStyle="1" w:styleId="540">
    <w:name w:val="Absatz2AL"/>
    <w:basedOn w:val="27"/>
    <w:next w:val="1"/>
    <w:qFormat/>
    <w:uiPriority w:val="0"/>
    <w:pPr>
      <w:widowControl/>
      <w:overflowPunct w:val="0"/>
      <w:spacing w:line="240" w:lineRule="auto"/>
      <w:jc w:val="both"/>
      <w:textAlignment w:val="baseline"/>
    </w:pPr>
    <w:rPr>
      <w:rFonts w:ascii="Times New Roman" w:eastAsia="楷体_GB2312"/>
      <w:color w:val="auto"/>
      <w:sz w:val="24"/>
      <w:szCs w:val="20"/>
    </w:rPr>
  </w:style>
  <w:style w:type="paragraph" w:customStyle="1" w:styleId="541">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43">
    <w:name w:val="xl78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44">
    <w:name w:val="封面中部"/>
    <w:basedOn w:val="1"/>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545">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6">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47">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548">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49">
    <w:name w:val="def正文"/>
    <w:basedOn w:val="27"/>
    <w:qFormat/>
    <w:uiPriority w:val="0"/>
    <w:pPr>
      <w:widowControl/>
      <w:autoSpaceDE/>
      <w:autoSpaceDN/>
      <w:adjustRightInd/>
      <w:ind w:firstLine="482"/>
      <w:jc w:val="both"/>
    </w:pPr>
    <w:rPr>
      <w:rFonts w:ascii="Times New Roman"/>
      <w:b/>
      <w:sz w:val="24"/>
      <w:szCs w:val="24"/>
    </w:rPr>
  </w:style>
  <w:style w:type="paragraph" w:customStyle="1" w:styleId="550">
    <w:name w:val="xl36"/>
    <w:basedOn w:val="1"/>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51">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2">
    <w:name w:val="三级大纲"/>
    <w:next w:val="102"/>
    <w:qFormat/>
    <w:uiPriority w:val="0"/>
    <w:pPr>
      <w:numPr>
        <w:ilvl w:val="2"/>
        <w:numId w:val="3"/>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553">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54">
    <w:name w:val="1"/>
    <w:basedOn w:val="40"/>
    <w:qFormat/>
    <w:uiPriority w:val="0"/>
    <w:pPr>
      <w:pBdr>
        <w:bottom w:val="none" w:color="auto" w:sz="0" w:space="0"/>
      </w:pBdr>
    </w:pPr>
    <w:rPr>
      <w:rFonts w:ascii="Calibri" w:hAnsi="Calibri" w:eastAsia="华文新魏"/>
      <w:kern w:val="0"/>
      <w:sz w:val="21"/>
      <w:szCs w:val="20"/>
    </w:rPr>
  </w:style>
  <w:style w:type="paragraph" w:customStyle="1" w:styleId="555">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56">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57">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558">
    <w:name w:val="Item Step in Table"/>
    <w:basedOn w:val="1"/>
    <w:qFormat/>
    <w:uiPriority w:val="0"/>
    <w:pPr>
      <w:tabs>
        <w:tab w:val="left" w:pos="420"/>
      </w:tabs>
      <w:ind w:left="420" w:hanging="420"/>
      <w:jc w:val="left"/>
    </w:pPr>
    <w:rPr>
      <w:rFonts w:ascii="Tahoma" w:hAnsi="Tahoma"/>
      <w:sz w:val="28"/>
      <w:szCs w:val="21"/>
    </w:rPr>
  </w:style>
  <w:style w:type="paragraph" w:customStyle="1" w:styleId="559">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60">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6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62">
    <w:name w:val="正文悬挂缩进6"/>
    <w:basedOn w:val="485"/>
    <w:qFormat/>
    <w:uiPriority w:val="0"/>
    <w:pPr>
      <w:tabs>
        <w:tab w:val="left" w:pos="1259"/>
      </w:tabs>
      <w:ind w:left="600" w:leftChars="600"/>
    </w:pPr>
  </w:style>
  <w:style w:type="paragraph" w:customStyle="1" w:styleId="563">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565">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566">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567">
    <w:name w:val="xl155"/>
    <w:basedOn w:val="1"/>
    <w:qFormat/>
    <w:uiPriority w:val="0"/>
    <w:pPr>
      <w:widowControl/>
      <w:spacing w:before="100" w:beforeAutospacing="1" w:after="100" w:afterAutospacing="1"/>
      <w:jc w:val="left"/>
    </w:pPr>
    <w:rPr>
      <w:rFonts w:ascii="宋体" w:hAnsi="宋体" w:cs="宋体"/>
      <w:kern w:val="0"/>
      <w:sz w:val="24"/>
    </w:rPr>
  </w:style>
  <w:style w:type="paragraph" w:customStyle="1" w:styleId="568">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569">
    <w:name w:val="xl7865"/>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570">
    <w:name w:val="表3"/>
    <w:basedOn w:val="216"/>
    <w:qFormat/>
    <w:uiPriority w:val="0"/>
    <w:pPr>
      <w:numPr>
        <w:numId w:val="0"/>
      </w:numPr>
      <w:ind w:left="902" w:hanging="420"/>
    </w:pPr>
  </w:style>
  <w:style w:type="paragraph" w:customStyle="1" w:styleId="571">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72">
    <w:name w:val="样式 左  4 字符 首行缩进:  2 字符"/>
    <w:basedOn w:val="1"/>
    <w:qFormat/>
    <w:uiPriority w:val="0"/>
    <w:pPr>
      <w:spacing w:beforeLines="50" w:afterLines="50"/>
      <w:ind w:left="400" w:leftChars="400" w:firstLine="200" w:firstLineChars="200"/>
    </w:pPr>
    <w:rPr>
      <w:rFonts w:cs="宋体"/>
      <w:szCs w:val="20"/>
    </w:rPr>
  </w:style>
  <w:style w:type="paragraph" w:customStyle="1" w:styleId="573">
    <w:name w:val="Char21"/>
    <w:basedOn w:val="1"/>
    <w:qFormat/>
    <w:uiPriority w:val="0"/>
  </w:style>
  <w:style w:type="paragraph" w:customStyle="1" w:styleId="574">
    <w:name w:val="正文1"/>
    <w:basedOn w:val="1"/>
    <w:qFormat/>
    <w:uiPriority w:val="0"/>
    <w:pPr>
      <w:spacing w:line="360" w:lineRule="auto"/>
      <w:ind w:firstLine="200" w:firstLineChars="200"/>
    </w:pPr>
  </w:style>
  <w:style w:type="paragraph" w:customStyle="1" w:styleId="575">
    <w:name w:val="Char1"/>
    <w:basedOn w:val="1"/>
    <w:qFormat/>
    <w:uiPriority w:val="0"/>
  </w:style>
  <w:style w:type="paragraph" w:customStyle="1" w:styleId="576">
    <w:name w:val="样式 标题 2 + 段前: 0.5 行 段后: 0.5 行1"/>
    <w:basedOn w:val="6"/>
    <w:qFormat/>
    <w:uiPriority w:val="0"/>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577">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78">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79">
    <w:name w:val="xl15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80">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1">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82">
    <w:name w:val="Char Char Char Char Char Char"/>
    <w:basedOn w:val="21"/>
    <w:semiHidden/>
    <w:qFormat/>
    <w:uiPriority w:val="0"/>
    <w:pPr>
      <w:spacing w:line="360" w:lineRule="auto"/>
      <w:ind w:firstLine="200" w:firstLineChars="200"/>
      <w:jc w:val="left"/>
    </w:pPr>
    <w:rPr>
      <w:rFonts w:ascii="Tahoma" w:hAnsi="Tahoma" w:cs="Tahoma"/>
      <w:kern w:val="0"/>
      <w:sz w:val="18"/>
    </w:rPr>
  </w:style>
  <w:style w:type="paragraph" w:customStyle="1" w:styleId="583">
    <w:name w:val="xl7876"/>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584">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5">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86">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87">
    <w:name w:val="样式 标题 1 + 段前: 1 行 段后: 1 行1"/>
    <w:basedOn w:val="5"/>
    <w:qFormat/>
    <w:uiPriority w:val="0"/>
    <w:pPr>
      <w:numPr>
        <w:ilvl w:val="0"/>
        <w:numId w:val="9"/>
      </w:numPr>
      <w:adjustRightInd/>
      <w:snapToGrid w:val="0"/>
      <w:spacing w:beforeLines="100" w:afterLines="100" w:line="360" w:lineRule="auto"/>
      <w:ind w:hanging="432"/>
      <w:jc w:val="both"/>
      <w:textAlignment w:val="auto"/>
    </w:pPr>
    <w:rPr>
      <w:rFonts w:cs="宋体"/>
      <w:bCs/>
    </w:rPr>
  </w:style>
  <w:style w:type="paragraph" w:customStyle="1" w:styleId="588">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589">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590">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1">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592">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4">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595">
    <w:name w:val="样式 标题 5 + 段前: 0.5 行 段后: 0.5 行"/>
    <w:basedOn w:val="8"/>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596">
    <w:name w:val="Item List Char"/>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597">
    <w:name w:val="xl15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98">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599">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600">
    <w:name w:val="Char"/>
    <w:basedOn w:val="1"/>
    <w:qFormat/>
    <w:uiPriority w:val="0"/>
    <w:rPr>
      <w:rFonts w:ascii="Tahoma" w:hAnsi="Tahoma" w:cs="仿宋_GB2312"/>
      <w:sz w:val="24"/>
      <w:szCs w:val="28"/>
    </w:rPr>
  </w:style>
  <w:style w:type="paragraph" w:customStyle="1" w:styleId="601">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2">
    <w:name w:val="xl78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03">
    <w:name w:val="我的正文格式"/>
    <w:basedOn w:val="1"/>
    <w:next w:val="1"/>
    <w:qFormat/>
    <w:uiPriority w:val="0"/>
    <w:pPr>
      <w:snapToGrid w:val="0"/>
      <w:spacing w:line="288" w:lineRule="auto"/>
      <w:ind w:left="540" w:hanging="540" w:hangingChars="225"/>
    </w:pPr>
    <w:rPr>
      <w:sz w:val="24"/>
    </w:rPr>
  </w:style>
  <w:style w:type="paragraph" w:customStyle="1" w:styleId="604">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05">
    <w:name w:val="_Style 56"/>
    <w:basedOn w:val="1"/>
    <w:qFormat/>
    <w:uiPriority w:val="0"/>
    <w:pPr>
      <w:ind w:firstLine="420" w:firstLineChars="200"/>
    </w:pPr>
    <w:rPr>
      <w:rFonts w:ascii="Calibri" w:hAnsi="Calibri"/>
      <w:szCs w:val="22"/>
    </w:rPr>
  </w:style>
  <w:style w:type="paragraph" w:styleId="606">
    <w:name w:val="List Paragraph"/>
    <w:basedOn w:val="1"/>
    <w:link w:val="716"/>
    <w:qFormat/>
    <w:uiPriority w:val="99"/>
    <w:pPr>
      <w:ind w:firstLine="420" w:firstLineChars="200"/>
    </w:pPr>
    <w:rPr>
      <w:rFonts w:ascii="宋体" w:hAnsi="宋体" w:cs="宋体"/>
      <w:bCs/>
      <w:color w:val="000000"/>
      <w:kern w:val="0"/>
      <w:sz w:val="24"/>
      <w:u w:val="single"/>
    </w:rPr>
  </w:style>
  <w:style w:type="paragraph" w:customStyle="1" w:styleId="607">
    <w:name w:val="Char1 Char Char Char"/>
    <w:basedOn w:val="1"/>
    <w:qFormat/>
    <w:uiPriority w:val="0"/>
    <w:rPr>
      <w:rFonts w:ascii="Tahoma" w:hAnsi="Tahoma"/>
      <w:sz w:val="24"/>
      <w:szCs w:val="20"/>
    </w:rPr>
  </w:style>
  <w:style w:type="paragraph" w:customStyle="1" w:styleId="608">
    <w:name w:val="Char Char Char Char1"/>
    <w:basedOn w:val="1"/>
    <w:qFormat/>
    <w:uiPriority w:val="0"/>
    <w:rPr>
      <w:rFonts w:ascii="仿宋_GB2312" w:eastAsia="仿宋_GB2312"/>
      <w:b/>
      <w:sz w:val="32"/>
      <w:szCs w:val="32"/>
    </w:rPr>
  </w:style>
  <w:style w:type="paragraph" w:customStyle="1" w:styleId="609">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10">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11">
    <w:name w:val="标准小四"/>
    <w:basedOn w:val="1"/>
    <w:qFormat/>
    <w:uiPriority w:val="0"/>
    <w:pPr>
      <w:spacing w:line="360" w:lineRule="auto"/>
      <w:ind w:firstLine="480" w:firstLineChars="200"/>
    </w:pPr>
    <w:rPr>
      <w:rFonts w:ascii="Arial" w:hAnsi="Arial"/>
      <w:sz w:val="24"/>
      <w:szCs w:val="21"/>
    </w:rPr>
  </w:style>
  <w:style w:type="paragraph" w:customStyle="1" w:styleId="612">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3">
    <w:name w:val="无间隔1"/>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614">
    <w:name w:val="Item List in Table"/>
    <w:basedOn w:val="1"/>
    <w:qFormat/>
    <w:uiPriority w:val="0"/>
    <w:pPr>
      <w:numPr>
        <w:ilvl w:val="0"/>
        <w:numId w:val="10"/>
      </w:numPr>
      <w:topLinePunct/>
      <w:adjustRightInd w:val="0"/>
      <w:snapToGrid w:val="0"/>
      <w:spacing w:before="80" w:after="80" w:line="240" w:lineRule="atLeast"/>
      <w:jc w:val="left"/>
    </w:pPr>
    <w:rPr>
      <w:rFonts w:ascii="Arial" w:hAnsi="Arial" w:cs="Arial"/>
      <w:kern w:val="0"/>
      <w:szCs w:val="21"/>
    </w:rPr>
  </w:style>
  <w:style w:type="paragraph" w:customStyle="1" w:styleId="615">
    <w:name w:val="书目11"/>
    <w:basedOn w:val="1"/>
    <w:next w:val="1"/>
    <w:unhideWhenUsed/>
    <w:qFormat/>
    <w:uiPriority w:val="37"/>
    <w:pPr>
      <w:spacing w:line="360" w:lineRule="auto"/>
      <w:ind w:firstLine="200" w:firstLineChars="200"/>
      <w:jc w:val="left"/>
    </w:pPr>
    <w:rPr>
      <w:sz w:val="24"/>
    </w:rPr>
  </w:style>
  <w:style w:type="paragraph" w:customStyle="1" w:styleId="616">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17">
    <w:name w:val="小标"/>
    <w:basedOn w:val="1"/>
    <w:qFormat/>
    <w:uiPriority w:val="0"/>
    <w:rPr>
      <w:rFonts w:hint="eastAsia" w:ascii="黑体" w:eastAsia="黑体"/>
      <w:spacing w:val="20"/>
      <w:szCs w:val="20"/>
    </w:rPr>
  </w:style>
  <w:style w:type="paragraph" w:customStyle="1" w:styleId="618">
    <w:name w:val="表格标题3"/>
    <w:basedOn w:val="415"/>
    <w:qFormat/>
    <w:uiPriority w:val="0"/>
    <w:pPr>
      <w:tabs>
        <w:tab w:val="left" w:pos="570"/>
        <w:tab w:val="left" w:pos="720"/>
        <w:tab w:val="clear" w:pos="1620"/>
      </w:tabs>
      <w:ind w:left="570" w:hanging="570"/>
    </w:pPr>
  </w:style>
  <w:style w:type="paragraph" w:customStyle="1" w:styleId="619">
    <w:name w:val="五级大纲"/>
    <w:next w:val="102"/>
    <w:qFormat/>
    <w:uiPriority w:val="0"/>
    <w:pPr>
      <w:numPr>
        <w:ilvl w:val="4"/>
        <w:numId w:val="3"/>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620">
    <w:name w:val="默认段落字体 Para Char Char Char Char Char Char Char"/>
    <w:basedOn w:val="1"/>
    <w:qFormat/>
    <w:uiPriority w:val="0"/>
    <w:pPr>
      <w:jc w:val="left"/>
    </w:pPr>
    <w:rPr>
      <w:rFonts w:ascii="Tahoma" w:hAnsi="Tahoma"/>
      <w:sz w:val="24"/>
      <w:szCs w:val="20"/>
    </w:rPr>
  </w:style>
  <w:style w:type="paragraph" w:customStyle="1" w:styleId="621">
    <w:name w:val="默认段落字体 Para Char Char Char Char Char Char Char Char Char Char Char Char Char Char"/>
    <w:basedOn w:val="21"/>
    <w:qFormat/>
    <w:uiPriority w:val="0"/>
    <w:rPr>
      <w:rFonts w:ascii="Tahoma" w:hAnsi="Tahoma"/>
      <w:sz w:val="24"/>
    </w:rPr>
  </w:style>
  <w:style w:type="paragraph" w:customStyle="1" w:styleId="62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23">
    <w:name w:val="样式 标题 2（x.x）节二级标题H2h2h212Header 2l2Level 2 HeadH2norm..."/>
    <w:basedOn w:val="6"/>
    <w:qFormat/>
    <w:uiPriority w:val="0"/>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624">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25">
    <w:name w:val="样式 标题 2 + 宋体 小三 段前: 0 磅 段后: 12 磅 行距: 1.5 倍行距"/>
    <w:basedOn w:val="6"/>
    <w:qFormat/>
    <w:uiPriority w:val="0"/>
    <w:pPr>
      <w:numPr>
        <w:ilvl w:val="1"/>
        <w:numId w:val="5"/>
      </w:numPr>
      <w:spacing w:before="0" w:afterLines="100" w:line="360" w:lineRule="auto"/>
    </w:pPr>
    <w:rPr>
      <w:rFonts w:ascii="宋体" w:hAnsi="宋体" w:eastAsia="宋体" w:cs="宋体"/>
      <w:sz w:val="30"/>
      <w:szCs w:val="20"/>
    </w:rPr>
  </w:style>
  <w:style w:type="paragraph" w:customStyle="1" w:styleId="626">
    <w:name w:val="正文文本 21"/>
    <w:basedOn w:val="1"/>
    <w:qFormat/>
    <w:uiPriority w:val="0"/>
    <w:pPr>
      <w:adjustRightInd w:val="0"/>
      <w:spacing w:line="312" w:lineRule="atLeast"/>
      <w:ind w:firstLine="600"/>
      <w:textAlignment w:val="baseline"/>
    </w:pPr>
    <w:rPr>
      <w:rFonts w:ascii="宋体"/>
      <w:kern w:val="0"/>
      <w:sz w:val="28"/>
      <w:szCs w:val="20"/>
    </w:rPr>
  </w:style>
  <w:style w:type="paragraph" w:customStyle="1" w:styleId="627">
    <w:name w:val="样式 样式 正文首行缩进 + 首行缩进:  2 字符 + 首行缩进:  2 字符"/>
    <w:basedOn w:val="1"/>
    <w:qFormat/>
    <w:uiPriority w:val="0"/>
    <w:pPr>
      <w:adjustRightInd w:val="0"/>
      <w:snapToGrid w:val="0"/>
      <w:spacing w:line="440" w:lineRule="exact"/>
      <w:ind w:firstLine="200" w:firstLineChars="200"/>
    </w:pPr>
    <w:rPr>
      <w:szCs w:val="20"/>
    </w:rPr>
  </w:style>
  <w:style w:type="paragraph" w:customStyle="1" w:styleId="62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9">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630">
    <w:name w:val="xl131"/>
    <w:basedOn w:val="1"/>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31">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32">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33">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4">
    <w:name w:val="样式 标题 1H1Header1h1标题4L1bocLevel 1 Topic Heading标书1Secti..."/>
    <w:basedOn w:val="5"/>
    <w:qFormat/>
    <w:uiPriority w:val="0"/>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635">
    <w:name w:val="Item Step"/>
    <w:basedOn w:val="1"/>
    <w:qFormat/>
    <w:uiPriority w:val="0"/>
    <w:pPr>
      <w:widowControl/>
      <w:tabs>
        <w:tab w:val="left" w:pos="567"/>
      </w:tabs>
      <w:spacing w:afterLines="50"/>
      <w:ind w:left="987" w:hanging="420"/>
      <w:jc w:val="left"/>
    </w:pPr>
    <w:rPr>
      <w:rFonts w:ascii="Tahoma" w:hAnsi="Tahoma"/>
      <w:sz w:val="28"/>
      <w:szCs w:val="21"/>
    </w:rPr>
  </w:style>
  <w:style w:type="paragraph" w:customStyle="1" w:styleId="636">
    <w:name w:val="Char Char Char1 Char"/>
    <w:basedOn w:val="21"/>
    <w:qFormat/>
    <w:uiPriority w:val="0"/>
    <w:pPr>
      <w:adjustRightInd w:val="0"/>
      <w:spacing w:line="436" w:lineRule="exact"/>
      <w:ind w:left="357"/>
      <w:jc w:val="left"/>
      <w:outlineLvl w:val="3"/>
    </w:pPr>
    <w:rPr>
      <w:kern w:val="0"/>
      <w:sz w:val="20"/>
      <w:szCs w:val="20"/>
    </w:rPr>
  </w:style>
  <w:style w:type="paragraph" w:customStyle="1" w:styleId="637">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38">
    <w:name w:val="版权所有"/>
    <w:basedOn w:val="1"/>
    <w:qFormat/>
    <w:uiPriority w:val="0"/>
    <w:pPr>
      <w:spacing w:beforeLines="100" w:afterLines="100" w:line="360" w:lineRule="auto"/>
    </w:pPr>
    <w:rPr>
      <w:rFonts w:ascii="Arial" w:hAnsi="Arial" w:eastAsia="黑体"/>
      <w:b/>
      <w:sz w:val="30"/>
      <w:u w:val="single"/>
    </w:rPr>
  </w:style>
  <w:style w:type="paragraph" w:customStyle="1" w:styleId="639">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40">
    <w:name w:val="项目编号2级"/>
    <w:basedOn w:val="493"/>
    <w:qFormat/>
    <w:uiPriority w:val="0"/>
  </w:style>
  <w:style w:type="paragraph" w:customStyle="1" w:styleId="641">
    <w:name w:val="四级无"/>
    <w:basedOn w:val="268"/>
    <w:qFormat/>
    <w:uiPriority w:val="0"/>
    <w:pPr>
      <w:tabs>
        <w:tab w:val="left" w:pos="360"/>
      </w:tabs>
      <w:spacing w:beforeLines="0" w:afterLines="0"/>
    </w:pPr>
    <w:rPr>
      <w:rFonts w:ascii="宋体" w:eastAsia="宋体"/>
    </w:rPr>
  </w:style>
  <w:style w:type="paragraph" w:customStyle="1" w:styleId="642">
    <w:name w:val="样式 标题 1 + 非加粗 段前: 0.5 行 段后: 0.5 行"/>
    <w:basedOn w:val="5"/>
    <w:qFormat/>
    <w:uiPriority w:val="0"/>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643">
    <w:name w:val="题头内容"/>
    <w:basedOn w:val="1"/>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644">
    <w:name w:val="正文3级"/>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45">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46">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47">
    <w:name w:val="样式 标题 3H3h3h31第二层条3Bold Headbh章标题1小标题level_3PIM 3Lev...2"/>
    <w:basedOn w:val="2"/>
    <w:qFormat/>
    <w:uiPriority w:val="0"/>
    <w:pPr>
      <w:tabs>
        <w:tab w:val="left" w:pos="1740"/>
      </w:tabs>
      <w:spacing w:beforeLines="50" w:afterLines="50" w:line="540" w:lineRule="auto"/>
      <w:ind w:left="1740" w:leftChars="0" w:hanging="420"/>
    </w:pPr>
    <w:rPr>
      <w:rFonts w:ascii="宋体" w:hAnsi="宋体" w:eastAsia="黑体" w:cs="宋体"/>
      <w:b w:val="0"/>
      <w:bCs/>
      <w:kern w:val="0"/>
      <w:sz w:val="32"/>
    </w:rPr>
  </w:style>
  <w:style w:type="paragraph" w:customStyle="1" w:styleId="648">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649">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650">
    <w:name w:val="Default Text"/>
    <w:link w:val="70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1">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52">
    <w:name w:val="样式 标题 3H3h3h31第二层条3Bold Headbh章标题1小标题level_3PIM 3Lev...1"/>
    <w:basedOn w:val="2"/>
    <w:qFormat/>
    <w:uiPriority w:val="0"/>
    <w:pPr>
      <w:tabs>
        <w:tab w:val="left" w:pos="1740"/>
      </w:tabs>
      <w:spacing w:beforeLines="50" w:afterLines="50"/>
      <w:ind w:left="1740" w:leftChars="0" w:hanging="420"/>
    </w:pPr>
    <w:rPr>
      <w:rFonts w:ascii="Arial" w:hAnsi="Arial" w:eastAsia="黑体" w:cs="宋体"/>
      <w:b w:val="0"/>
      <w:bCs/>
      <w:kern w:val="0"/>
      <w:sz w:val="32"/>
    </w:rPr>
  </w:style>
  <w:style w:type="paragraph" w:customStyle="1" w:styleId="653">
    <w:name w:val="xl786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54">
    <w:name w:val="xl7869"/>
    <w:basedOn w:val="1"/>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655">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56">
    <w:name w:val="TOC 标题2"/>
    <w:basedOn w:val="5"/>
    <w:next w:val="1"/>
    <w:qFormat/>
    <w:uiPriority w:val="39"/>
    <w:pPr>
      <w:adjustRightInd/>
      <w:spacing w:before="340" w:after="330" w:line="578" w:lineRule="auto"/>
      <w:jc w:val="both"/>
      <w:textAlignment w:val="auto"/>
      <w:outlineLvl w:val="9"/>
    </w:pPr>
    <w:rPr>
      <w:bCs/>
      <w:sz w:val="44"/>
      <w:szCs w:val="44"/>
    </w:rPr>
  </w:style>
  <w:style w:type="paragraph" w:customStyle="1" w:styleId="657">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658">
    <w:name w:val="xl7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59">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60">
    <w:name w:val="表头"/>
    <w:basedOn w:val="1"/>
    <w:qFormat/>
    <w:uiPriority w:val="0"/>
    <w:pPr>
      <w:autoSpaceDE w:val="0"/>
      <w:autoSpaceDN w:val="0"/>
      <w:adjustRightInd w:val="0"/>
      <w:jc w:val="center"/>
    </w:pPr>
    <w:rPr>
      <w:rFonts w:ascii="Arial" w:hAnsi="Arial"/>
      <w:kern w:val="0"/>
      <w:sz w:val="18"/>
    </w:rPr>
  </w:style>
  <w:style w:type="paragraph" w:customStyle="1" w:styleId="661">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662">
    <w:name w:val="表中小5"/>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663">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64">
    <w:name w:val="Body Text 21"/>
    <w:basedOn w:val="1"/>
    <w:qFormat/>
    <w:uiPriority w:val="0"/>
    <w:pPr>
      <w:adjustRightInd w:val="0"/>
      <w:spacing w:line="240" w:lineRule="exact"/>
      <w:textAlignment w:val="baseline"/>
    </w:pPr>
    <w:rPr>
      <w:rFonts w:ascii="宋体"/>
      <w:kern w:val="0"/>
      <w:sz w:val="18"/>
      <w:szCs w:val="20"/>
    </w:rPr>
  </w:style>
  <w:style w:type="paragraph" w:customStyle="1" w:styleId="665">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66">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7">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68">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669">
    <w:name w:val="样式 样式 标题 5 + 段前: 0.5 行 段后: 0.5 行 + 段前: 0.5 行 段后: 0.5 行"/>
    <w:basedOn w:val="595"/>
    <w:qFormat/>
    <w:uiPriority w:val="0"/>
    <w:rPr>
      <w:bCs w:val="0"/>
    </w:rPr>
  </w:style>
  <w:style w:type="paragraph" w:customStyle="1" w:styleId="67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71">
    <w:name w:val="_Style 38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3">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74">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75">
    <w:name w:val="打印正文1"/>
    <w:basedOn w:val="1"/>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676">
    <w:name w:val="标书正文"/>
    <w:basedOn w:val="1"/>
    <w:qFormat/>
    <w:uiPriority w:val="0"/>
    <w:pPr>
      <w:spacing w:line="360" w:lineRule="auto"/>
      <w:ind w:firstLine="497" w:firstLineChars="207"/>
    </w:pPr>
    <w:rPr>
      <w:sz w:val="24"/>
      <w:szCs w:val="20"/>
    </w:rPr>
  </w:style>
  <w:style w:type="paragraph" w:customStyle="1" w:styleId="677">
    <w:name w:val="标题3"/>
    <w:basedOn w:val="1"/>
    <w:qFormat/>
    <w:uiPriority w:val="0"/>
    <w:pPr>
      <w:spacing w:beforeLines="50" w:afterLines="50" w:line="300" w:lineRule="exact"/>
    </w:pPr>
    <w:rPr>
      <w:b/>
      <w:bCs/>
    </w:rPr>
  </w:style>
  <w:style w:type="paragraph" w:customStyle="1" w:styleId="678">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7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8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81">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682">
    <w:name w:val="表格(五号)"/>
    <w:basedOn w:val="1"/>
    <w:qFormat/>
    <w:uiPriority w:val="0"/>
    <w:pPr>
      <w:adjustRightInd w:val="0"/>
      <w:snapToGrid w:val="0"/>
      <w:spacing w:before="60" w:after="60"/>
      <w:ind w:left="11"/>
      <w:jc w:val="center"/>
    </w:pPr>
    <w:rPr>
      <w:kern w:val="0"/>
      <w:szCs w:val="20"/>
    </w:rPr>
  </w:style>
  <w:style w:type="paragraph" w:customStyle="1" w:styleId="683">
    <w:name w:val="表格标题1"/>
    <w:basedOn w:val="594"/>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684">
    <w:name w:val="默认段落字体 Para Char"/>
    <w:basedOn w:val="1"/>
    <w:qFormat/>
    <w:uiPriority w:val="0"/>
  </w:style>
  <w:style w:type="paragraph" w:customStyle="1" w:styleId="685">
    <w:name w:val="正"/>
    <w:basedOn w:val="1"/>
    <w:qFormat/>
    <w:uiPriority w:val="0"/>
    <w:pPr>
      <w:ind w:firstLine="525"/>
    </w:pPr>
    <w:rPr>
      <w:spacing w:val="20"/>
      <w:szCs w:val="20"/>
    </w:rPr>
  </w:style>
  <w:style w:type="paragraph" w:customStyle="1" w:styleId="6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87">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8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689">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90">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91">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92">
    <w:name w:val="无间隔 Char"/>
    <w:basedOn w:val="62"/>
    <w:link w:val="693"/>
    <w:qFormat/>
    <w:locked/>
    <w:uiPriority w:val="0"/>
    <w:rPr>
      <w:rFonts w:ascii="Calibri" w:hAnsi="Calibri" w:eastAsia="宋体" w:cs="Times New Roman"/>
    </w:rPr>
  </w:style>
  <w:style w:type="paragraph" w:styleId="693">
    <w:name w:val="No Spacing"/>
    <w:basedOn w:val="1"/>
    <w:link w:val="692"/>
    <w:qFormat/>
    <w:uiPriority w:val="0"/>
    <w:rPr>
      <w:rFonts w:ascii="Calibri" w:hAnsi="Calibri"/>
      <w:szCs w:val="22"/>
    </w:rPr>
  </w:style>
  <w:style w:type="character" w:customStyle="1" w:styleId="694">
    <w:name w:val="short_text"/>
    <w:basedOn w:val="62"/>
    <w:qFormat/>
    <w:uiPriority w:val="0"/>
  </w:style>
  <w:style w:type="character" w:customStyle="1" w:styleId="695">
    <w:name w:val="未处理的提及1"/>
    <w:basedOn w:val="62"/>
    <w:semiHidden/>
    <w:unhideWhenUsed/>
    <w:qFormat/>
    <w:uiPriority w:val="99"/>
    <w:rPr>
      <w:color w:val="605E5C"/>
      <w:shd w:val="clear" w:color="auto" w:fill="E1DFDD"/>
    </w:rPr>
  </w:style>
  <w:style w:type="paragraph" w:customStyle="1" w:styleId="696">
    <w:name w:val="T文本"/>
    <w:basedOn w:val="1"/>
    <w:qFormat/>
    <w:uiPriority w:val="0"/>
    <w:pPr>
      <w:widowControl/>
      <w:snapToGrid w:val="0"/>
      <w:spacing w:beforeLines="50" w:afterLines="50" w:line="360" w:lineRule="auto"/>
      <w:ind w:firstLine="200" w:firstLineChars="200"/>
    </w:pPr>
    <w:rPr>
      <w:rFonts w:eastAsia="Times New Roman"/>
      <w:kern w:val="0"/>
      <w:sz w:val="24"/>
    </w:rPr>
  </w:style>
  <w:style w:type="character" w:customStyle="1" w:styleId="697">
    <w:name w:val="未处理的提及2"/>
    <w:basedOn w:val="62"/>
    <w:semiHidden/>
    <w:unhideWhenUsed/>
    <w:qFormat/>
    <w:uiPriority w:val="99"/>
    <w:rPr>
      <w:color w:val="605E5C"/>
      <w:shd w:val="clear" w:color="auto" w:fill="E1DFDD"/>
    </w:rPr>
  </w:style>
  <w:style w:type="paragraph" w:customStyle="1" w:styleId="698">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699">
    <w:name w:val="Normal_2"/>
    <w:qFormat/>
    <w:uiPriority w:val="0"/>
    <w:rPr>
      <w:rFonts w:ascii="Calibri" w:hAnsi="Calibri" w:eastAsia="宋体" w:cs="Times New Roman"/>
      <w:sz w:val="24"/>
      <w:szCs w:val="24"/>
      <w:lang w:val="en-US" w:eastAsia="zh-CN" w:bidi="ar-SA"/>
    </w:rPr>
  </w:style>
  <w:style w:type="character" w:customStyle="1" w:styleId="700">
    <w:name w:val="7）页眉页脚"/>
    <w:qFormat/>
    <w:uiPriority w:val="0"/>
    <w:rPr>
      <w:rFonts w:ascii="仿宋_GB2312" w:eastAsia="仿宋_GB2312"/>
      <w:b/>
      <w:i/>
      <w:sz w:val="18"/>
      <w:vertAlign w:val="baseline"/>
    </w:rPr>
  </w:style>
  <w:style w:type="character" w:customStyle="1" w:styleId="701">
    <w:name w:val="Default Text Char"/>
    <w:link w:val="650"/>
    <w:qFormat/>
    <w:uiPriority w:val="0"/>
    <w:rPr>
      <w:rFonts w:ascii="Times New Roman" w:hAnsi="Times New Roman"/>
      <w:color w:val="000000"/>
      <w:sz w:val="24"/>
      <w:szCs w:val="24"/>
    </w:rPr>
  </w:style>
  <w:style w:type="paragraph" w:customStyle="1" w:styleId="702">
    <w:name w:val="5）标书正文 首行缩进2字符"/>
    <w:basedOn w:val="1"/>
    <w:qFormat/>
    <w:uiPriority w:val="0"/>
    <w:pPr>
      <w:spacing w:line="480" w:lineRule="exact"/>
      <w:ind w:firstLine="200" w:firstLineChars="200"/>
    </w:pPr>
    <w:rPr>
      <w:rFonts w:ascii="仿宋_GB2312" w:eastAsia="仿宋_GB2312"/>
      <w:sz w:val="28"/>
      <w:szCs w:val="20"/>
    </w:rPr>
  </w:style>
  <w:style w:type="paragraph" w:customStyle="1" w:styleId="703">
    <w:name w:val="Normal_5"/>
    <w:qFormat/>
    <w:uiPriority w:val="0"/>
    <w:rPr>
      <w:rFonts w:ascii="黑体" w:hAnsi="黑体" w:eastAsia="黑体" w:cs="Times New Roman"/>
      <w:b/>
      <w:sz w:val="32"/>
      <w:szCs w:val="24"/>
      <w:lang w:val="en-US" w:eastAsia="zh-CN" w:bidi="ar-SA"/>
    </w:rPr>
  </w:style>
  <w:style w:type="paragraph" w:customStyle="1" w:styleId="704">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5">
    <w:name w:val="正文文本缩进_3"/>
    <w:basedOn w:val="704"/>
    <w:link w:val="706"/>
    <w:qFormat/>
    <w:uiPriority w:val="0"/>
    <w:pPr>
      <w:spacing w:line="500" w:lineRule="exact"/>
      <w:ind w:left="1588" w:leftChars="832" w:firstLine="433" w:firstLineChars="196"/>
    </w:pPr>
    <w:rPr>
      <w:rFonts w:ascii="Calibri" w:hAnsi="Calibri"/>
      <w:sz w:val="24"/>
    </w:rPr>
  </w:style>
  <w:style w:type="character" w:customStyle="1" w:styleId="706">
    <w:name w:val="正文文本缩进 Char_3"/>
    <w:link w:val="705"/>
    <w:qFormat/>
    <w:uiPriority w:val="0"/>
    <w:rPr>
      <w:kern w:val="2"/>
      <w:sz w:val="24"/>
      <w:szCs w:val="24"/>
      <w:lang w:val="en-US" w:eastAsia="zh-CN"/>
    </w:rPr>
  </w:style>
  <w:style w:type="character" w:customStyle="1" w:styleId="707">
    <w:name w:val="12_hui11"/>
    <w:qFormat/>
    <w:uiPriority w:val="0"/>
    <w:rPr>
      <w:color w:val="666666"/>
      <w:sz w:val="18"/>
      <w:szCs w:val="18"/>
    </w:rPr>
  </w:style>
  <w:style w:type="character" w:customStyle="1" w:styleId="708">
    <w:name w:val="dy_biao_content1"/>
    <w:qFormat/>
    <w:uiPriority w:val="0"/>
    <w:rPr>
      <w:rFonts w:hint="eastAsia" w:ascii="宋体" w:hAnsi="宋体" w:eastAsia="宋体"/>
      <w:sz w:val="24"/>
      <w:szCs w:val="24"/>
    </w:rPr>
  </w:style>
  <w:style w:type="paragraph" w:customStyle="1" w:styleId="709">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1">
    <w:name w:val="Char3"/>
    <w:basedOn w:val="1"/>
    <w:qFormat/>
    <w:uiPriority w:val="0"/>
    <w:rPr>
      <w:rFonts w:ascii="Tahoma" w:hAnsi="Tahoma"/>
      <w:sz w:val="24"/>
      <w:szCs w:val="20"/>
    </w:rPr>
  </w:style>
  <w:style w:type="character" w:customStyle="1" w:styleId="712">
    <w:name w:val="脚注文本 Char"/>
    <w:basedOn w:val="62"/>
    <w:qFormat/>
    <w:uiPriority w:val="0"/>
    <w:rPr>
      <w:lang w:val="de-DE"/>
    </w:rPr>
  </w:style>
  <w:style w:type="character" w:customStyle="1" w:styleId="713">
    <w:name w:val="脚注文本 Char1"/>
    <w:basedOn w:val="62"/>
    <w:link w:val="45"/>
    <w:qFormat/>
    <w:uiPriority w:val="0"/>
    <w:rPr>
      <w:kern w:val="2"/>
      <w:sz w:val="18"/>
      <w:szCs w:val="18"/>
    </w:rPr>
  </w:style>
  <w:style w:type="paragraph" w:customStyle="1" w:styleId="714">
    <w:name w:val="Char4"/>
    <w:basedOn w:val="1"/>
    <w:qFormat/>
    <w:uiPriority w:val="0"/>
    <w:rPr>
      <w:rFonts w:ascii="Tahoma" w:hAnsi="Tahoma"/>
      <w:sz w:val="24"/>
      <w:szCs w:val="20"/>
    </w:rPr>
  </w:style>
  <w:style w:type="paragraph" w:customStyle="1" w:styleId="715">
    <w:name w:val="Char1 Char"/>
    <w:basedOn w:val="1"/>
    <w:qFormat/>
    <w:uiPriority w:val="0"/>
    <w:pPr>
      <w:tabs>
        <w:tab w:val="left" w:pos="360"/>
      </w:tabs>
    </w:pPr>
    <w:rPr>
      <w:kern w:val="0"/>
      <w:sz w:val="20"/>
      <w:szCs w:val="20"/>
    </w:rPr>
  </w:style>
  <w:style w:type="character" w:customStyle="1" w:styleId="716">
    <w:name w:val="列出段落 Char"/>
    <w:link w:val="606"/>
    <w:qFormat/>
    <w:uiPriority w:val="34"/>
    <w:rPr>
      <w:rFonts w:ascii="宋体" w:hAnsi="宋体" w:cs="宋体"/>
      <w:bCs/>
      <w:color w:val="000000"/>
      <w:sz w:val="24"/>
      <w:szCs w:val="24"/>
      <w:u w:val="single"/>
    </w:rPr>
  </w:style>
  <w:style w:type="paragraph" w:customStyle="1" w:styleId="717">
    <w:name w:val="段落正文"/>
    <w:basedOn w:val="1"/>
    <w:link w:val="718"/>
    <w:qFormat/>
    <w:uiPriority w:val="0"/>
    <w:pPr>
      <w:spacing w:before="140" w:after="140" w:line="401" w:lineRule="auto"/>
      <w:ind w:firstLine="200" w:firstLineChars="200"/>
    </w:pPr>
    <w:rPr>
      <w:rFonts w:ascii="宋体" w:hAnsi="宋体"/>
    </w:rPr>
  </w:style>
  <w:style w:type="character" w:customStyle="1" w:styleId="718">
    <w:name w:val="段落正文 Char"/>
    <w:link w:val="717"/>
    <w:qFormat/>
    <w:uiPriority w:val="0"/>
    <w:rPr>
      <w:rFonts w:ascii="宋体" w:hAnsi="宋体"/>
      <w:kern w:val="2"/>
      <w:sz w:val="21"/>
      <w:szCs w:val="24"/>
    </w:rPr>
  </w:style>
  <w:style w:type="paragraph" w:customStyle="1" w:styleId="719">
    <w:name w:val="TOC 标题3"/>
    <w:basedOn w:val="5"/>
    <w:next w:val="1"/>
    <w:unhideWhenUsed/>
    <w:qFormat/>
    <w:uiPriority w:val="39"/>
    <w:pPr>
      <w:widowControl/>
      <w:adjustRightInd/>
      <w:spacing w:before="240" w:line="259" w:lineRule="auto"/>
      <w:textAlignment w:val="auto"/>
      <w:outlineLvl w:val="9"/>
    </w:pPr>
    <w:rPr>
      <w:rFonts w:asciiTheme="majorHAnsi" w:hAnsiTheme="majorHAnsi" w:eastAsiaTheme="majorEastAsia" w:cstheme="majorBidi"/>
      <w:b w:val="0"/>
      <w:color w:val="366091" w:themeColor="accent1" w:themeShade="BF"/>
      <w:kern w:val="0"/>
      <w:szCs w:val="32"/>
    </w:rPr>
  </w:style>
  <w:style w:type="character" w:customStyle="1" w:styleId="720">
    <w:name w:val="本级2 Char"/>
    <w:link w:val="721"/>
    <w:qFormat/>
    <w:uiPriority w:val="0"/>
    <w:rPr>
      <w:rFonts w:ascii="仿宋_GB2312" w:hAnsi="仿宋" w:eastAsia="仿宋_GB2312"/>
      <w:b/>
      <w:bCs/>
      <w:sz w:val="32"/>
      <w:szCs w:val="24"/>
    </w:rPr>
  </w:style>
  <w:style w:type="paragraph" w:customStyle="1" w:styleId="721">
    <w:name w:val="本级2"/>
    <w:basedOn w:val="6"/>
    <w:link w:val="720"/>
    <w:qFormat/>
    <w:uiPriority w:val="0"/>
    <w:pPr>
      <w:tabs>
        <w:tab w:val="left" w:pos="567"/>
      </w:tabs>
      <w:spacing w:before="0" w:after="0" w:line="360" w:lineRule="auto"/>
      <w:ind w:left="567" w:hanging="567"/>
    </w:pPr>
    <w:rPr>
      <w:rFonts w:ascii="仿宋_GB2312" w:hAnsi="仿宋" w:eastAsia="仿宋_GB2312"/>
      <w:kern w:val="0"/>
      <w:szCs w:val="24"/>
    </w:rPr>
  </w:style>
  <w:style w:type="character" w:customStyle="1" w:styleId="722">
    <w:name w:val="标题 3 Char Char"/>
    <w:qFormat/>
    <w:uiPriority w:val="0"/>
    <w:rPr>
      <w:rFonts w:eastAsia="宋体"/>
      <w:b/>
      <w:bCs/>
      <w:kern w:val="2"/>
      <w:sz w:val="32"/>
      <w:szCs w:val="32"/>
      <w:lang w:val="en-US" w:eastAsia="zh-CN" w:bidi="ar-SA"/>
    </w:rPr>
  </w:style>
  <w:style w:type="paragraph" w:customStyle="1" w:styleId="723">
    <w:name w:val="正文文本缩进2"/>
    <w:basedOn w:val="1"/>
    <w:qFormat/>
    <w:uiPriority w:val="0"/>
    <w:pPr>
      <w:spacing w:after="120" w:line="480" w:lineRule="exact"/>
      <w:ind w:left="420" w:leftChars="200" w:firstLine="480" w:firstLineChars="200"/>
    </w:pPr>
    <w:rPr>
      <w:rFonts w:ascii="宋体" w:hAnsi="宋体"/>
    </w:rPr>
  </w:style>
  <w:style w:type="paragraph" w:customStyle="1" w:styleId="724">
    <w:name w:val="正文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725">
    <w:name w:val="Table Paragraph"/>
    <w:basedOn w:val="1"/>
    <w:qFormat/>
    <w:uiPriority w:val="1"/>
    <w:rPr>
      <w:rFonts w:ascii="宋体" w:hAnsi="宋体" w:cs="宋体"/>
      <w:szCs w:val="22"/>
      <w:lang w:val="zh-CN" w:bidi="zh-CN"/>
    </w:rPr>
  </w:style>
  <w:style w:type="paragraph" w:customStyle="1" w:styleId="726">
    <w:name w:val="列表段落1"/>
    <w:basedOn w:val="1"/>
    <w:qFormat/>
    <w:uiPriority w:val="99"/>
    <w:pPr>
      <w:ind w:firstLine="420" w:firstLineChars="200"/>
    </w:pPr>
    <w:rPr>
      <w:rFonts w:ascii="Calibri" w:hAnsi="Calibri"/>
    </w:rPr>
  </w:style>
  <w:style w:type="paragraph" w:customStyle="1" w:styleId="727">
    <w:name w:val="宋小四正文"/>
    <w:basedOn w:val="1"/>
    <w:qFormat/>
    <w:uiPriority w:val="0"/>
    <w:pPr>
      <w:spacing w:line="360" w:lineRule="auto"/>
      <w:ind w:firstLine="1446" w:firstLineChars="200"/>
    </w:pPr>
    <w:rPr>
      <w:rFonts w:ascii="Calibri" w:hAnsi="Calibri"/>
      <w:snapToGrid w:val="0"/>
      <w:szCs w:val="22"/>
      <w:lang w:eastAsia="en-US"/>
    </w:rPr>
  </w:style>
  <w:style w:type="paragraph" w:customStyle="1" w:styleId="728">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9">
    <w:name w:val="正文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0">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1">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2">
    <w:name w:val="二级标题_0"/>
    <w:basedOn w:val="1"/>
    <w:next w:val="1"/>
    <w:qFormat/>
    <w:uiPriority w:val="0"/>
    <w:pPr>
      <w:tabs>
        <w:tab w:val="left" w:pos="360"/>
      </w:tabs>
      <w:spacing w:line="360" w:lineRule="auto"/>
      <w:outlineLvl w:val="1"/>
    </w:pPr>
    <w:rPr>
      <w:rFonts w:ascii="宋体" w:hAnsi="宋体"/>
      <w:b/>
      <w:sz w:val="24"/>
    </w:rPr>
  </w:style>
  <w:style w:type="paragraph" w:customStyle="1" w:styleId="733">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5">
    <w:name w:val="Normal_30"/>
    <w:qFormat/>
    <w:uiPriority w:val="0"/>
    <w:pPr>
      <w:widowControl w:val="0"/>
      <w:jc w:val="both"/>
    </w:pPr>
    <w:rPr>
      <w:rFonts w:ascii="Times New Roman" w:hAnsi="Times New Roman" w:eastAsia="宋体" w:cs="Times New Roman"/>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31"/>
    <customShpInfo spid="_x0000_s1032"/>
    <customShpInfo spid="_x0000_s103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7E30DF-91F6-40A9-AD5C-902EB4D8FBE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65</Pages>
  <Words>42903</Words>
  <Characters>45329</Characters>
  <Lines>349</Lines>
  <Paragraphs>98</Paragraphs>
  <TotalTime>29</TotalTime>
  <ScaleCrop>false</ScaleCrop>
  <LinksUpToDate>false</LinksUpToDate>
  <CharactersWithSpaces>47048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2018-09-26T02:09:00Z</dcterms:created>
  <dc:creator>China</dc:creator>
  <cp:lastModifiedBy>难</cp:lastModifiedBy>
  <cp:lastPrinted>2019-12-20T05:23:00Z</cp:lastPrinted>
  <dcterms:modified xsi:type="dcterms:W3CDTF">2022-07-14T10:47:07Z</dcterms:modified>
  <cp:revision>1154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C989E37BD65D41EBB7C2351DEB287E5C</vt:lpwstr>
  </property>
</Properties>
</file>