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360" w:lineRule="exact"/>
        <w:jc w:val="right"/>
        <w:rPr>
          <w:rFonts w:ascii="仿宋" w:hAnsi="仿宋" w:eastAsia="仿宋"/>
          <w:color w:val="auto"/>
          <w:sz w:val="18"/>
          <w:szCs w:val="18"/>
          <w:lang w:val="zh-CN"/>
        </w:rPr>
      </w:pPr>
    </w:p>
    <w:p>
      <w:pPr>
        <w:shd w:val="clear" w:color="auto" w:fill="FFFFFF"/>
        <w:autoSpaceDE w:val="0"/>
        <w:autoSpaceDN w:val="0"/>
        <w:adjustRightInd w:val="0"/>
        <w:spacing w:line="360" w:lineRule="exact"/>
        <w:rPr>
          <w:rFonts w:ascii="仿宋" w:hAnsi="仿宋" w:eastAsia="仿宋"/>
          <w:b/>
          <w:bCs/>
          <w:color w:val="auto"/>
          <w:kern w:val="0"/>
          <w:sz w:val="28"/>
          <w:szCs w:val="28"/>
        </w:rPr>
      </w:pPr>
    </w:p>
    <w:p>
      <w:pPr>
        <w:shd w:val="clear" w:color="auto" w:fill="FFFFFF"/>
        <w:autoSpaceDE w:val="0"/>
        <w:autoSpaceDN w:val="0"/>
        <w:adjustRightInd w:val="0"/>
        <w:spacing w:line="360" w:lineRule="exact"/>
        <w:jc w:val="center"/>
        <w:rPr>
          <w:rFonts w:ascii="仿宋" w:hAnsi="仿宋" w:eastAsia="仿宋"/>
          <w:b/>
          <w:bCs/>
          <w:color w:val="auto"/>
          <w:kern w:val="0"/>
          <w:sz w:val="32"/>
          <w:szCs w:val="32"/>
        </w:rPr>
      </w:pPr>
      <w:r>
        <w:rPr>
          <w:rFonts w:hint="eastAsia" w:ascii="仿宋" w:hAnsi="仿宋" w:eastAsia="仿宋"/>
          <w:b/>
          <w:bCs/>
          <w:color w:val="auto"/>
          <w:kern w:val="0"/>
          <w:sz w:val="32"/>
          <w:szCs w:val="32"/>
        </w:rPr>
        <w:t>目    录</w:t>
      </w:r>
    </w:p>
    <w:p>
      <w:pPr>
        <w:shd w:val="clear" w:color="auto" w:fill="FFFFFF"/>
        <w:autoSpaceDE w:val="0"/>
        <w:autoSpaceDN w:val="0"/>
        <w:adjustRightInd w:val="0"/>
        <w:spacing w:line="360" w:lineRule="exact"/>
        <w:rPr>
          <w:rFonts w:ascii="仿宋" w:hAnsi="仿宋" w:eastAsia="仿宋"/>
          <w:color w:val="auto"/>
          <w:kern w:val="0"/>
          <w:sz w:val="28"/>
          <w:szCs w:val="28"/>
        </w:rPr>
      </w:pPr>
    </w:p>
    <w:p>
      <w:pPr>
        <w:tabs>
          <w:tab w:val="right" w:leader="dot" w:pos="9628"/>
        </w:tabs>
        <w:spacing w:before="120" w:after="120"/>
        <w:jc w:val="left"/>
        <w:rPr>
          <w:rFonts w:ascii="仿宋" w:hAnsi="仿宋" w:eastAsia="仿宋"/>
          <w:color w:val="auto"/>
          <w:sz w:val="28"/>
          <w:szCs w:val="28"/>
        </w:rPr>
      </w:pPr>
      <w:r>
        <w:rPr>
          <w:rFonts w:ascii="仿宋" w:hAnsi="仿宋" w:eastAsia="仿宋"/>
          <w:caps/>
          <w:color w:val="auto"/>
          <w:kern w:val="0"/>
          <w:sz w:val="28"/>
          <w:szCs w:val="28"/>
        </w:rPr>
        <w:fldChar w:fldCharType="begin"/>
      </w:r>
      <w:r>
        <w:rPr>
          <w:rFonts w:ascii="仿宋" w:hAnsi="仿宋" w:eastAsia="仿宋"/>
          <w:caps/>
          <w:color w:val="auto"/>
          <w:kern w:val="0"/>
          <w:sz w:val="28"/>
          <w:szCs w:val="28"/>
        </w:rPr>
        <w:instrText xml:space="preserve"> TOC \o "1-1" \h \z \u </w:instrText>
      </w:r>
      <w:r>
        <w:rPr>
          <w:rFonts w:ascii="仿宋" w:hAnsi="仿宋" w:eastAsia="仿宋"/>
          <w:caps/>
          <w:color w:val="auto"/>
          <w:kern w:val="0"/>
          <w:sz w:val="28"/>
          <w:szCs w:val="28"/>
        </w:rPr>
        <w:fldChar w:fldCharType="separate"/>
      </w:r>
      <w:r>
        <w:rPr>
          <w:color w:val="auto"/>
        </w:rPr>
        <w:fldChar w:fldCharType="begin"/>
      </w:r>
      <w:r>
        <w:rPr>
          <w:color w:val="auto"/>
        </w:rPr>
        <w:instrText xml:space="preserve"> HYPERLINK \l "_Toc76141883" </w:instrText>
      </w:r>
      <w:r>
        <w:rPr>
          <w:color w:val="auto"/>
        </w:rPr>
        <w:fldChar w:fldCharType="separate"/>
      </w:r>
      <w:r>
        <w:rPr>
          <w:rFonts w:hint="eastAsia" w:ascii="仿宋" w:hAnsi="仿宋" w:eastAsia="仿宋"/>
          <w:bCs/>
          <w:caps/>
          <w:color w:val="auto"/>
          <w:sz w:val="28"/>
        </w:rPr>
        <w:t>第一章</w:t>
      </w:r>
      <w:r>
        <w:rPr>
          <w:rFonts w:ascii="仿宋" w:hAnsi="仿宋" w:eastAsia="仿宋"/>
          <w:bCs/>
          <w:caps/>
          <w:color w:val="auto"/>
          <w:sz w:val="28"/>
        </w:rPr>
        <w:t xml:space="preserve">  </w:t>
      </w:r>
      <w:r>
        <w:rPr>
          <w:rFonts w:hint="eastAsia" w:ascii="仿宋" w:hAnsi="仿宋" w:eastAsia="仿宋"/>
          <w:bCs/>
          <w:caps/>
          <w:color w:val="auto"/>
          <w:sz w:val="28"/>
        </w:rPr>
        <w:t>招标公告</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_Toc76141883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- 2 -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"_Toc76141884" </w:instrText>
      </w:r>
      <w:r>
        <w:rPr>
          <w:color w:val="auto"/>
        </w:rPr>
        <w:fldChar w:fldCharType="separate"/>
      </w:r>
      <w:r>
        <w:rPr>
          <w:rFonts w:hint="eastAsia" w:ascii="仿宋" w:hAnsi="仿宋" w:eastAsia="仿宋"/>
          <w:bCs/>
          <w:caps/>
          <w:color w:val="auto"/>
          <w:sz w:val="28"/>
        </w:rPr>
        <w:t>第二章</w:t>
      </w:r>
      <w:r>
        <w:rPr>
          <w:rFonts w:ascii="仿宋" w:hAnsi="仿宋" w:eastAsia="仿宋"/>
          <w:bCs/>
          <w:caps/>
          <w:color w:val="auto"/>
          <w:sz w:val="28"/>
        </w:rPr>
        <w:t xml:space="preserve">  </w:t>
      </w:r>
      <w:r>
        <w:rPr>
          <w:rFonts w:hint="eastAsia" w:ascii="仿宋" w:hAnsi="仿宋" w:eastAsia="仿宋"/>
          <w:bCs/>
          <w:caps/>
          <w:color w:val="auto"/>
          <w:sz w:val="28"/>
        </w:rPr>
        <w:t>投标须知前附表及投标须知</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_Toc76141884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5</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"_Toc76141885" </w:instrText>
      </w:r>
      <w:r>
        <w:rPr>
          <w:color w:val="auto"/>
        </w:rPr>
        <w:fldChar w:fldCharType="separate"/>
      </w:r>
      <w:r>
        <w:rPr>
          <w:rFonts w:hint="eastAsia" w:ascii="仿宋" w:hAnsi="仿宋" w:eastAsia="仿宋"/>
          <w:bCs/>
          <w:caps/>
          <w:color w:val="auto"/>
          <w:sz w:val="28"/>
        </w:rPr>
        <w:t>第三章</w:t>
      </w:r>
      <w:r>
        <w:rPr>
          <w:rFonts w:ascii="仿宋" w:hAnsi="仿宋" w:eastAsia="仿宋"/>
          <w:bCs/>
          <w:caps/>
          <w:color w:val="auto"/>
          <w:sz w:val="28"/>
        </w:rPr>
        <w:t xml:space="preserve">  </w:t>
      </w:r>
      <w:r>
        <w:rPr>
          <w:rFonts w:hint="eastAsia" w:ascii="仿宋" w:hAnsi="仿宋" w:eastAsia="仿宋"/>
          <w:bCs/>
          <w:caps/>
          <w:color w:val="auto"/>
          <w:sz w:val="28"/>
        </w:rPr>
        <w:t>合同条款</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_Toc76141885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- 2</w:t>
      </w:r>
      <w:r>
        <w:rPr>
          <w:rFonts w:hint="eastAsia" w:ascii="仿宋" w:hAnsi="仿宋" w:eastAsia="仿宋"/>
          <w:bCs/>
          <w:caps/>
          <w:color w:val="auto"/>
          <w:sz w:val="28"/>
          <w:szCs w:val="28"/>
        </w:rPr>
        <w:t>8</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"_Toc76141886" </w:instrText>
      </w:r>
      <w:r>
        <w:rPr>
          <w:color w:val="auto"/>
        </w:rPr>
        <w:fldChar w:fldCharType="separate"/>
      </w:r>
      <w:r>
        <w:rPr>
          <w:rFonts w:hint="eastAsia" w:ascii="仿宋" w:hAnsi="仿宋" w:eastAsia="仿宋"/>
          <w:bCs/>
          <w:caps/>
          <w:color w:val="auto"/>
          <w:sz w:val="28"/>
        </w:rPr>
        <w:t>第四章</w:t>
      </w:r>
      <w:r>
        <w:rPr>
          <w:rFonts w:ascii="仿宋" w:hAnsi="仿宋" w:eastAsia="仿宋"/>
          <w:bCs/>
          <w:caps/>
          <w:color w:val="auto"/>
          <w:sz w:val="28"/>
        </w:rPr>
        <w:t xml:space="preserve">  </w:t>
      </w:r>
      <w:r>
        <w:rPr>
          <w:rFonts w:hint="eastAsia" w:ascii="仿宋" w:hAnsi="仿宋" w:eastAsia="仿宋"/>
          <w:bCs/>
          <w:caps/>
          <w:color w:val="auto"/>
          <w:sz w:val="28"/>
        </w:rPr>
        <w:t>采购需求</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_Toc76141886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45</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"_Toc76141887" </w:instrText>
      </w:r>
      <w:r>
        <w:rPr>
          <w:color w:val="auto"/>
        </w:rPr>
        <w:fldChar w:fldCharType="separate"/>
      </w:r>
      <w:r>
        <w:rPr>
          <w:rFonts w:hint="eastAsia" w:ascii="仿宋" w:hAnsi="仿宋" w:eastAsia="仿宋"/>
          <w:bCs/>
          <w:caps/>
          <w:color w:val="auto"/>
          <w:sz w:val="28"/>
        </w:rPr>
        <w:t>第五章</w:t>
      </w:r>
      <w:r>
        <w:rPr>
          <w:rFonts w:ascii="仿宋" w:hAnsi="仿宋" w:eastAsia="仿宋"/>
          <w:bCs/>
          <w:caps/>
          <w:color w:val="auto"/>
          <w:sz w:val="28"/>
        </w:rPr>
        <w:t xml:space="preserve">  </w:t>
      </w:r>
      <w:r>
        <w:rPr>
          <w:rFonts w:hint="eastAsia" w:ascii="仿宋" w:hAnsi="仿宋" w:eastAsia="仿宋"/>
          <w:bCs/>
          <w:caps/>
          <w:color w:val="auto"/>
          <w:sz w:val="28"/>
        </w:rPr>
        <w:t>投标文件格式</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_Toc76141887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51</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widowControl/>
        <w:shd w:val="clear" w:color="auto" w:fill="FFFFFF"/>
        <w:spacing w:line="360" w:lineRule="exact"/>
        <w:rPr>
          <w:rFonts w:ascii="仿宋" w:hAnsi="仿宋" w:eastAsia="仿宋"/>
          <w:b/>
          <w:bCs/>
          <w:color w:val="auto"/>
          <w:kern w:val="0"/>
          <w:sz w:val="28"/>
          <w:szCs w:val="28"/>
        </w:rPr>
      </w:pPr>
      <w:r>
        <w:rPr>
          <w:rFonts w:ascii="仿宋" w:hAnsi="仿宋" w:eastAsia="仿宋"/>
          <w:b/>
          <w:bCs/>
          <w:color w:val="auto"/>
          <w:kern w:val="0"/>
          <w:sz w:val="28"/>
          <w:szCs w:val="28"/>
        </w:rPr>
        <w:fldChar w:fldCharType="end"/>
      </w:r>
    </w:p>
    <w:p>
      <w:pPr>
        <w:pStyle w:val="2"/>
        <w:ind w:firstLine="210"/>
        <w:rPr>
          <w:color w:val="auto"/>
          <w:kern w:val="0"/>
        </w:rPr>
      </w:pPr>
      <w:r>
        <w:rPr>
          <w:color w:val="auto"/>
          <w:kern w:val="0"/>
        </w:rPr>
        <w:br w:type="page"/>
      </w:r>
    </w:p>
    <w:p>
      <w:pPr>
        <w:jc w:val="left"/>
        <w:rPr>
          <w:color w:val="auto"/>
        </w:rPr>
      </w:pPr>
    </w:p>
    <w:p>
      <w:pPr>
        <w:widowControl/>
        <w:shd w:val="clear" w:color="auto" w:fill="FFFFFF"/>
        <w:spacing w:line="360" w:lineRule="exact"/>
        <w:rPr>
          <w:rFonts w:ascii="仿宋" w:hAnsi="仿宋" w:eastAsia="仿宋" w:cs="宋体"/>
          <w:color w:val="auto"/>
          <w:kern w:val="0"/>
          <w:sz w:val="18"/>
          <w:szCs w:val="18"/>
        </w:rPr>
      </w:pPr>
    </w:p>
    <w:p>
      <w:pPr>
        <w:pStyle w:val="327"/>
        <w:spacing w:beforeLines="5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第一章  招标公告</w:t>
      </w:r>
    </w:p>
    <w:p>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一、项目基本情况</w:t>
      </w:r>
    </w:p>
    <w:p>
      <w:pPr>
        <w:spacing w:line="400" w:lineRule="exact"/>
        <w:ind w:firstLine="480" w:firstLineChars="200"/>
        <w:rPr>
          <w:rFonts w:ascii="仿宋" w:hAnsi="仿宋"/>
          <w:color w:val="auto"/>
          <w:sz w:val="24"/>
        </w:rPr>
      </w:pPr>
      <w:r>
        <w:rPr>
          <w:rFonts w:hint="eastAsia" w:ascii="仿宋" w:hAnsi="仿宋" w:eastAsia="仿宋"/>
          <w:color w:val="auto"/>
          <w:sz w:val="24"/>
        </w:rPr>
        <w:t>项目编号：</w:t>
      </w:r>
      <w:r>
        <w:rPr>
          <w:rFonts w:ascii="宋体" w:hAnsi="宋体" w:cs="宋体"/>
          <w:color w:val="auto"/>
          <w:sz w:val="24"/>
          <w:shd w:val="clear" w:color="auto" w:fill="FFFFFF"/>
        </w:rPr>
        <w:t>202</w:t>
      </w:r>
      <w:r>
        <w:rPr>
          <w:rFonts w:hint="eastAsia" w:ascii="宋体" w:hAnsi="宋体" w:cs="宋体"/>
          <w:color w:val="auto"/>
          <w:sz w:val="24"/>
          <w:shd w:val="clear" w:color="auto" w:fill="FFFFFF"/>
        </w:rPr>
        <w:t>2PCGK074</w:t>
      </w:r>
    </w:p>
    <w:p>
      <w:pPr>
        <w:spacing w:line="400" w:lineRule="exact"/>
        <w:ind w:firstLine="480" w:firstLineChars="200"/>
        <w:rPr>
          <w:rFonts w:ascii="仿宋" w:hAnsi="仿宋" w:eastAsia="仿宋" w:cs="Arial"/>
          <w:color w:val="auto"/>
          <w:spacing w:val="-11"/>
          <w:sz w:val="24"/>
        </w:rPr>
      </w:pPr>
      <w:r>
        <w:rPr>
          <w:rFonts w:hint="eastAsia" w:ascii="仿宋" w:hAnsi="仿宋" w:eastAsia="仿宋"/>
          <w:color w:val="auto"/>
          <w:sz w:val="24"/>
        </w:rPr>
        <w:t>项目名称：</w:t>
      </w:r>
      <w:r>
        <w:rPr>
          <w:rFonts w:hint="eastAsia" w:ascii="仿宋" w:hAnsi="仿宋" w:eastAsia="仿宋"/>
          <w:color w:val="auto"/>
          <w:spacing w:val="-11"/>
          <w:sz w:val="24"/>
        </w:rPr>
        <w:t>库尔勒市妇幼保健计划生育服务中心（库尔勒市妇幼保健院）网络安全系统采购</w:t>
      </w:r>
    </w:p>
    <w:p>
      <w:pPr>
        <w:spacing w:line="400" w:lineRule="exact"/>
        <w:ind w:firstLine="480" w:firstLineChars="200"/>
        <w:rPr>
          <w:rFonts w:ascii="仿宋" w:hAnsi="仿宋" w:eastAsia="仿宋" w:cs="Arial"/>
          <w:color w:val="auto"/>
          <w:sz w:val="24"/>
        </w:rPr>
      </w:pPr>
      <w:r>
        <w:rPr>
          <w:rFonts w:hint="eastAsia" w:ascii="仿宋" w:hAnsi="仿宋" w:eastAsia="仿宋" w:cs="Arial"/>
          <w:color w:val="auto"/>
          <w:sz w:val="24"/>
        </w:rPr>
        <w:t>采购方式：公开招标</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 xml:space="preserve">预算金额（元）：1684000.00 </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最高限价（元）：1684000.00</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标项一</w:t>
      </w:r>
    </w:p>
    <w:p>
      <w:pPr>
        <w:spacing w:line="400" w:lineRule="exact"/>
        <w:ind w:left="479" w:leftChars="228"/>
        <w:rPr>
          <w:rFonts w:ascii="仿宋" w:hAnsi="仿宋" w:eastAsia="仿宋"/>
          <w:color w:val="auto"/>
          <w:sz w:val="24"/>
        </w:rPr>
      </w:pPr>
      <w:r>
        <w:rPr>
          <w:rFonts w:hint="eastAsia" w:ascii="仿宋" w:hAnsi="仿宋" w:eastAsia="仿宋"/>
          <w:color w:val="auto"/>
          <w:sz w:val="24"/>
        </w:rPr>
        <w:t>标项名称：</w:t>
      </w:r>
      <w:r>
        <w:rPr>
          <w:rFonts w:hint="eastAsia" w:ascii="仿宋" w:hAnsi="仿宋" w:eastAsia="仿宋"/>
          <w:color w:val="auto"/>
          <w:spacing w:val="-11"/>
          <w:sz w:val="24"/>
        </w:rPr>
        <w:t>库尔勒市妇幼保健计划生育服务中心（库尔勒市妇幼保健院）网络安全系统采购</w:t>
      </w:r>
      <w:r>
        <w:rPr>
          <w:rFonts w:hint="eastAsia" w:ascii="仿宋" w:hAnsi="仿宋" w:eastAsia="仿宋"/>
          <w:color w:val="auto"/>
          <w:sz w:val="24"/>
        </w:rPr>
        <w:t xml:space="preserve">      项目编号：2022PCGK074</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数量：1批</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预算金额（元）：1684000.00</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简要规格描述或项目基本概况介绍、用途：核心交换机2台、48口接入交换机13台、防火墙1&amp;2、系统集成服务等，详见招标文件《采购需求》。</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备注：无</w:t>
      </w:r>
    </w:p>
    <w:p>
      <w:pPr>
        <w:widowControl/>
        <w:shd w:val="clear" w:color="auto" w:fill="FFFFFF"/>
        <w:spacing w:line="400" w:lineRule="exact"/>
        <w:ind w:firstLine="480" w:firstLineChars="200"/>
        <w:rPr>
          <w:rFonts w:ascii="仿宋" w:hAnsi="仿宋" w:eastAsia="仿宋"/>
          <w:color w:val="auto"/>
          <w:sz w:val="24"/>
        </w:rPr>
      </w:pPr>
      <w:r>
        <w:rPr>
          <w:rFonts w:hint="eastAsia" w:ascii="仿宋" w:hAnsi="仿宋" w:eastAsia="仿宋"/>
          <w:color w:val="auto"/>
          <w:sz w:val="24"/>
        </w:rPr>
        <w:t>合同履行期限：从合同签订之日起至保修期结束。</w:t>
      </w:r>
    </w:p>
    <w:p>
      <w:pPr>
        <w:widowControl/>
        <w:shd w:val="clear" w:color="auto" w:fill="FFFFFF"/>
        <w:spacing w:line="400" w:lineRule="exact"/>
        <w:ind w:firstLine="480" w:firstLineChars="200"/>
        <w:rPr>
          <w:rFonts w:ascii="仿宋" w:hAnsi="仿宋" w:eastAsia="仿宋"/>
          <w:color w:val="auto"/>
          <w:sz w:val="24"/>
        </w:rPr>
      </w:pPr>
      <w:r>
        <w:rPr>
          <w:rFonts w:hint="eastAsia" w:ascii="仿宋" w:hAnsi="仿宋" w:eastAsia="仿宋"/>
          <w:color w:val="auto"/>
          <w:sz w:val="24"/>
        </w:rPr>
        <w:t xml:space="preserve">本项目（ </w:t>
      </w:r>
      <w:r>
        <w:rPr>
          <w:rFonts w:hint="eastAsia" w:ascii="仿宋" w:hAnsi="仿宋" w:eastAsia="仿宋"/>
          <w:color w:val="auto"/>
          <w:sz w:val="24"/>
          <w:lang w:eastAsia="zh-CN"/>
        </w:rPr>
        <w:t>否</w:t>
      </w:r>
      <w:bookmarkStart w:id="12" w:name="_GoBack"/>
      <w:bookmarkEnd w:id="12"/>
      <w:r>
        <w:rPr>
          <w:rFonts w:hint="eastAsia" w:ascii="仿宋" w:hAnsi="仿宋" w:eastAsia="仿宋"/>
          <w:color w:val="auto"/>
          <w:sz w:val="24"/>
        </w:rPr>
        <w:t xml:space="preserve"> ）接受联合体投标。</w:t>
      </w:r>
    </w:p>
    <w:p>
      <w:pPr>
        <w:widowControl/>
        <w:shd w:val="clear" w:color="auto" w:fill="FFFFFF"/>
        <w:spacing w:line="40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二</w:t>
      </w:r>
      <w:r>
        <w:rPr>
          <w:rFonts w:ascii="仿宋" w:hAnsi="仿宋" w:eastAsia="仿宋" w:cs="宋体"/>
          <w:b/>
          <w:color w:val="auto"/>
          <w:sz w:val="24"/>
        </w:rPr>
        <w:t>、</w:t>
      </w:r>
      <w:r>
        <w:rPr>
          <w:rFonts w:hint="eastAsia" w:ascii="仿宋" w:hAnsi="仿宋" w:eastAsia="仿宋" w:cs="宋体"/>
          <w:b/>
          <w:color w:val="auto"/>
          <w:sz w:val="24"/>
        </w:rPr>
        <w:t>申请人的</w:t>
      </w:r>
      <w:r>
        <w:rPr>
          <w:rFonts w:ascii="仿宋" w:hAnsi="仿宋" w:eastAsia="仿宋" w:cs="宋体"/>
          <w:b/>
          <w:color w:val="auto"/>
          <w:sz w:val="24"/>
        </w:rPr>
        <w:t>资格要求:</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1.满足《中华人民共和国政府采购法》第二十二条规定；</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2.落实政府采购政策需满足的资格要求：无</w:t>
      </w:r>
    </w:p>
    <w:p>
      <w:pPr>
        <w:widowControl/>
        <w:shd w:val="clear" w:color="auto" w:fill="FFFFFF"/>
        <w:spacing w:line="440" w:lineRule="exact"/>
        <w:ind w:firstLine="480" w:firstLineChars="200"/>
        <w:rPr>
          <w:rFonts w:ascii="仿宋" w:hAnsi="仿宋" w:eastAsia="仿宋"/>
          <w:color w:val="auto"/>
          <w:sz w:val="24"/>
        </w:rPr>
      </w:pPr>
      <w:r>
        <w:rPr>
          <w:rFonts w:hint="eastAsia" w:ascii="仿宋" w:hAnsi="仿宋" w:eastAsia="仿宋" w:cs="宋体"/>
          <w:color w:val="auto"/>
          <w:sz w:val="24"/>
        </w:rPr>
        <w:t>3.本项目的特定资格要求：无</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三、获取招标文件</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时间： 2022年07月15日 至 2022年07月22日，每天上午 10:00至12:00 ，下午 12:00至19:00 （北京时间，法定节假日除外）</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地点：政采云平台（https://www.zcygov.cn/）</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方式：供应商登陆政采云平台https://www.zcygov.cn/进入“项目采购”栏目，在获取招标文件菜单中选择所要投标的项目，申请获取招标文件。线下获取无效。</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获取招标文件应上传：</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 xml:space="preserve">（1）供应商营业执照或其他组织资格证书（扫描件）； </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（2）法定代表人（或负责人）授权委托书及被授权人身份证（扫描件）；法定代表人（或负责人）不授权投标代表的，提供法定代表人（或负责人）资格证明书及本人身份证（扫描件）。</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售价（元）：0</w:t>
      </w:r>
    </w:p>
    <w:p>
      <w:pPr>
        <w:widowControl/>
        <w:shd w:val="clear" w:color="auto" w:fill="FFFFFF"/>
        <w:spacing w:line="440" w:lineRule="exact"/>
        <w:ind w:firstLine="482" w:firstLineChars="200"/>
        <w:rPr>
          <w:rFonts w:ascii="仿宋" w:hAnsi="仿宋" w:eastAsia="仿宋" w:cs="宋体"/>
          <w:b/>
          <w:bCs/>
          <w:color w:val="auto"/>
          <w:sz w:val="24"/>
        </w:rPr>
      </w:pPr>
      <w:r>
        <w:rPr>
          <w:rFonts w:hint="eastAsia" w:ascii="仿宋" w:hAnsi="仿宋" w:eastAsia="仿宋" w:cs="宋体"/>
          <w:b/>
          <w:bCs/>
          <w:color w:val="auto"/>
          <w:sz w:val="24"/>
        </w:rPr>
        <w:t>四、提交投标文件截止时间、开标时间和地点</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提交投标文件截止时间：2022年8月4日 11:00（北京时间）</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投标地点：政采云平台（https://www.zcygov.cn/），本项目采用不见面开标，加密的电子投标文件在投标截止时间前通过CA在政采云平台上传。</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开标时间：2022年8月4日 11:00（北京时间）</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开标地点：政采云平台（https://www.zcygov.cn/）</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五、公告期限</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自本公告发布之日起5个工作日。</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六、其他补充事宜</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w:t>
      </w:r>
      <w:r>
        <w:rPr>
          <w:rFonts w:hint="eastAsia"/>
          <w:color w:val="auto"/>
        </w:rPr>
        <w:t xml:space="preserve"> </w:t>
      </w:r>
      <w:r>
        <w:rPr>
          <w:rFonts w:hint="eastAsia" w:ascii="仿宋" w:hAnsi="仿宋" w:eastAsia="仿宋" w:cs="宋体"/>
          <w:color w:val="auto"/>
          <w:sz w:val="24"/>
        </w:rPr>
        <w:t>本项目公告期限为5个工作日，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2.本项目实行电子招投标，供应商须登录政采云平台申请获取招标文件，并通过政采云电子投标客户端制作投标文件，同时自行承担与投标有关的一切费用。</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4.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5.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6. 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后果由供应商自行承担。</w:t>
      </w:r>
    </w:p>
    <w:p>
      <w:pPr>
        <w:widowControl/>
        <w:shd w:val="clear" w:color="auto" w:fill="FFFFFF"/>
        <w:spacing w:line="440" w:lineRule="exact"/>
        <w:ind w:firstLine="482" w:firstLineChars="200"/>
        <w:rPr>
          <w:rFonts w:ascii="仿宋" w:hAnsi="仿宋" w:eastAsia="仿宋" w:cs="Arial"/>
          <w:color w:val="auto"/>
          <w:sz w:val="24"/>
        </w:rPr>
      </w:pPr>
      <w:r>
        <w:rPr>
          <w:rFonts w:hint="eastAsia" w:ascii="仿宋" w:hAnsi="仿宋" w:eastAsia="仿宋" w:cs="宋体"/>
          <w:b/>
          <w:color w:val="auto"/>
          <w:sz w:val="24"/>
        </w:rPr>
        <w:t>七、对本次采购提出询问，请按以下方式联系</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1.采购人信息</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名 称：</w:t>
      </w:r>
      <w:r>
        <w:rPr>
          <w:rFonts w:hint="eastAsia" w:ascii="仿宋" w:hAnsi="仿宋" w:eastAsia="仿宋"/>
          <w:color w:val="auto"/>
          <w:sz w:val="24"/>
        </w:rPr>
        <w:t>库尔勒市妇幼保健计划生育服务中心（库尔勒市妇幼保健院）</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 址：巴音郭楞蒙古自治州库尔勒市梨乡路6号</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联系方式：</w:t>
      </w:r>
      <w:r>
        <w:rPr>
          <w:rFonts w:ascii="仿宋" w:hAnsi="仿宋" w:eastAsia="仿宋" w:cs="宋体"/>
          <w:color w:val="auto"/>
          <w:sz w:val="24"/>
        </w:rPr>
        <w:t>0996-</w:t>
      </w:r>
      <w:r>
        <w:rPr>
          <w:rFonts w:hint="eastAsia" w:ascii="仿宋" w:hAnsi="仿宋" w:eastAsia="仿宋" w:cs="宋体"/>
          <w:color w:val="auto"/>
          <w:sz w:val="24"/>
        </w:rPr>
        <w:t>2260503</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2.采购代理机构信息</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名 称：新疆品创项目管理咨询有限公司</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 址：新疆乌鲁木齐市沙依巴克区长江路76号兴乐世贸广场29楼 业务二部</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项目联系人：</w:t>
      </w:r>
      <w:r>
        <w:rPr>
          <w:rFonts w:hint="eastAsia" w:ascii="仿宋" w:hAnsi="仿宋" w:eastAsia="仿宋" w:cs="Arial"/>
          <w:color w:val="auto"/>
          <w:sz w:val="24"/>
        </w:rPr>
        <w:t>向磊、齐娟、周娟、郭克栋、张轩、甘甜</w:t>
      </w:r>
    </w:p>
    <w:p>
      <w:pPr>
        <w:widowControl/>
        <w:shd w:val="clear" w:color="auto" w:fill="FFFFFF"/>
        <w:spacing w:line="440" w:lineRule="exact"/>
        <w:ind w:firstLine="480" w:firstLineChars="200"/>
        <w:rPr>
          <w:rFonts w:ascii="仿宋" w:hAnsi="仿宋" w:eastAsia="仿宋" w:cs="宋体"/>
          <w:color w:val="auto"/>
          <w:sz w:val="28"/>
        </w:rPr>
      </w:pPr>
      <w:r>
        <w:rPr>
          <w:rFonts w:hint="eastAsia" w:ascii="仿宋" w:hAnsi="仿宋" w:eastAsia="仿宋" w:cs="宋体"/>
          <w:color w:val="auto"/>
          <w:sz w:val="24"/>
        </w:rPr>
        <w:t>电话：0991-5221699、15352628861</w:t>
      </w:r>
    </w:p>
    <w:p>
      <w:pPr>
        <w:widowControl/>
        <w:shd w:val="clear" w:color="auto" w:fill="FFFFFF"/>
        <w:spacing w:line="440" w:lineRule="exact"/>
        <w:ind w:firstLine="480" w:firstLineChars="200"/>
        <w:rPr>
          <w:rFonts w:ascii="仿宋" w:hAnsi="仿宋" w:eastAsia="仿宋" w:cs="Arial"/>
          <w:color w:val="auto"/>
          <w:sz w:val="24"/>
        </w:rPr>
      </w:pPr>
      <w:r>
        <w:rPr>
          <w:rFonts w:hint="eastAsia" w:ascii="仿宋" w:hAnsi="仿宋" w:eastAsia="仿宋" w:cs="宋体"/>
          <w:color w:val="auto"/>
          <w:sz w:val="24"/>
        </w:rPr>
        <w:t>邮箱：599251130@qq.com</w:t>
      </w:r>
    </w:p>
    <w:p>
      <w:pPr>
        <w:widowControl/>
        <w:jc w:val="center"/>
        <w:rPr>
          <w:rFonts w:ascii="仿宋" w:hAnsi="仿宋" w:eastAsia="仿宋"/>
          <w:b/>
          <w:color w:val="auto"/>
          <w:sz w:val="32"/>
          <w:szCs w:val="32"/>
        </w:rPr>
      </w:pPr>
      <w:r>
        <w:rPr>
          <w:rFonts w:ascii="仿宋" w:hAnsi="仿宋" w:eastAsia="仿宋"/>
          <w:b/>
          <w:color w:val="auto"/>
          <w:sz w:val="32"/>
          <w:szCs w:val="32"/>
        </w:rPr>
        <w:br w:type="page"/>
      </w:r>
      <w:r>
        <w:rPr>
          <w:rFonts w:hint="eastAsia" w:ascii="仿宋" w:hAnsi="仿宋" w:eastAsia="仿宋"/>
          <w:b/>
          <w:color w:val="auto"/>
          <w:sz w:val="32"/>
          <w:szCs w:val="32"/>
        </w:rPr>
        <w:t>第二章  投标须知前附表及投标须知</w:t>
      </w:r>
    </w:p>
    <w:p>
      <w:pPr>
        <w:shd w:val="clear" w:color="auto" w:fill="FFFFFF"/>
        <w:autoSpaceDE w:val="0"/>
        <w:autoSpaceDN w:val="0"/>
        <w:adjustRightInd w:val="0"/>
        <w:spacing w:line="360" w:lineRule="exact"/>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一、投标须知前附表</w:t>
      </w:r>
    </w:p>
    <w:p>
      <w:pPr>
        <w:shd w:val="clear" w:color="auto" w:fill="FFFFFF"/>
        <w:autoSpaceDE w:val="0"/>
        <w:autoSpaceDN w:val="0"/>
        <w:adjustRightInd w:val="0"/>
        <w:spacing w:line="360" w:lineRule="exact"/>
        <w:jc w:val="center"/>
        <w:rPr>
          <w:rFonts w:ascii="仿宋" w:hAnsi="仿宋" w:eastAsia="仿宋"/>
          <w:b/>
          <w:bCs/>
          <w:color w:val="auto"/>
          <w:kern w:val="0"/>
          <w:sz w:val="28"/>
          <w:szCs w:val="28"/>
        </w:rPr>
      </w:pPr>
    </w:p>
    <w:tbl>
      <w:tblPr>
        <w:tblStyle w:val="59"/>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项号</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内  容</w:t>
            </w:r>
          </w:p>
        </w:tc>
        <w:tc>
          <w:tcPr>
            <w:tcW w:w="7218"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１</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项目名称</w:t>
            </w:r>
          </w:p>
        </w:tc>
        <w:tc>
          <w:tcPr>
            <w:tcW w:w="7218" w:type="dxa"/>
            <w:vAlign w:val="center"/>
          </w:tcPr>
          <w:p>
            <w:pPr>
              <w:shd w:val="clear" w:color="auto" w:fill="FFFFFF"/>
              <w:autoSpaceDE w:val="0"/>
              <w:autoSpaceDN w:val="0"/>
              <w:spacing w:line="360" w:lineRule="exact"/>
              <w:rPr>
                <w:rFonts w:ascii="仿宋" w:hAnsi="仿宋" w:eastAsia="仿宋"/>
                <w:bCs/>
                <w:color w:val="auto"/>
                <w:spacing w:val="-4"/>
                <w:kern w:val="0"/>
                <w:sz w:val="24"/>
              </w:rPr>
            </w:pPr>
            <w:r>
              <w:rPr>
                <w:rFonts w:hint="eastAsia" w:ascii="仿宋" w:hAnsi="仿宋" w:eastAsia="仿宋"/>
                <w:color w:val="auto"/>
                <w:sz w:val="24"/>
              </w:rPr>
              <w:t>库尔勒市妇幼保健计划生育服务中心（库尔勒市妇幼保健院）网络安全系统采购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cs="Arial"/>
                <w:color w:val="auto"/>
                <w:sz w:val="24"/>
              </w:rPr>
              <w:t>项目编号</w:t>
            </w:r>
          </w:p>
        </w:tc>
        <w:tc>
          <w:tcPr>
            <w:tcW w:w="7218" w:type="dxa"/>
            <w:vAlign w:val="center"/>
          </w:tcPr>
          <w:p>
            <w:pPr>
              <w:shd w:val="clear" w:color="auto" w:fill="FFFFFF"/>
              <w:autoSpaceDE w:val="0"/>
              <w:autoSpaceDN w:val="0"/>
              <w:spacing w:line="360" w:lineRule="exact"/>
              <w:rPr>
                <w:rFonts w:ascii="仿宋" w:hAnsi="仿宋" w:eastAsia="仿宋" w:cs="Arial"/>
                <w:color w:val="auto"/>
                <w:sz w:val="24"/>
              </w:rPr>
            </w:pPr>
            <w:r>
              <w:rPr>
                <w:rFonts w:hint="eastAsia" w:ascii="仿宋" w:hAnsi="仿宋" w:eastAsia="仿宋" w:cs="Arial"/>
                <w:color w:val="auto"/>
                <w:sz w:val="24"/>
              </w:rPr>
              <w:t>2022PCGK074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cs="Arial"/>
                <w:color w:val="auto"/>
                <w:sz w:val="24"/>
              </w:rPr>
            </w:pPr>
            <w:r>
              <w:rPr>
                <w:rFonts w:hint="eastAsia" w:ascii="仿宋" w:hAnsi="仿宋" w:eastAsia="仿宋" w:cs="Arial"/>
                <w:color w:val="auto"/>
                <w:sz w:val="24"/>
              </w:rPr>
              <w:t>采购人</w:t>
            </w:r>
          </w:p>
        </w:tc>
        <w:tc>
          <w:tcPr>
            <w:tcW w:w="7218" w:type="dxa"/>
            <w:vAlign w:val="center"/>
          </w:tcPr>
          <w:p>
            <w:pPr>
              <w:shd w:val="clear" w:color="auto" w:fill="FFFFFF"/>
              <w:autoSpaceDE w:val="0"/>
              <w:autoSpaceDN w:val="0"/>
              <w:spacing w:line="360" w:lineRule="exact"/>
              <w:rPr>
                <w:rFonts w:ascii="仿宋" w:hAnsi="仿宋" w:eastAsia="仿宋" w:cs="Arial"/>
                <w:color w:val="auto"/>
                <w:sz w:val="24"/>
              </w:rPr>
            </w:pPr>
            <w:r>
              <w:rPr>
                <w:rFonts w:hint="eastAsia" w:ascii="仿宋" w:hAnsi="仿宋" w:eastAsia="仿宋"/>
                <w:color w:val="auto"/>
                <w:sz w:val="24"/>
              </w:rPr>
              <w:t>库尔勒市妇幼保健计划生育服务中心（库尔勒市妇幼保健院）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采购方式</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资金来源</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Arial"/>
                <w:color w:val="auto"/>
                <w:sz w:val="24"/>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资格审查方式</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采购内容</w:t>
            </w:r>
          </w:p>
        </w:tc>
        <w:tc>
          <w:tcPr>
            <w:tcW w:w="7218" w:type="dxa"/>
            <w:vAlign w:val="center"/>
          </w:tcPr>
          <w:p>
            <w:pPr>
              <w:shd w:val="clear" w:color="auto" w:fill="FFFFFF"/>
              <w:autoSpaceDE w:val="0"/>
              <w:autoSpaceDN w:val="0"/>
              <w:spacing w:line="360" w:lineRule="exact"/>
              <w:rPr>
                <w:rFonts w:ascii="仿宋" w:hAnsi="仿宋" w:eastAsia="仿宋"/>
                <w:color w:val="auto"/>
                <w:sz w:val="24"/>
              </w:rPr>
            </w:pPr>
            <w:r>
              <w:rPr>
                <w:rFonts w:hint="eastAsia" w:ascii="仿宋" w:hAnsi="仿宋" w:eastAsia="仿宋"/>
                <w:color w:val="auto"/>
                <w:sz w:val="24"/>
              </w:rPr>
              <w:t>1.入侵防御3台；2.防火墙1</w:t>
            </w:r>
            <w:r>
              <w:rPr>
                <w:rFonts w:hint="eastAsia" w:ascii="仿宋" w:hAnsi="仿宋" w:eastAsia="仿宋"/>
                <w:b/>
                <w:bCs/>
                <w:color w:val="auto"/>
                <w:sz w:val="24"/>
              </w:rPr>
              <w:t>（核心产品）</w:t>
            </w:r>
            <w:r>
              <w:rPr>
                <w:rFonts w:hint="eastAsia" w:ascii="仿宋" w:hAnsi="仿宋" w:eastAsia="仿宋"/>
                <w:color w:val="auto"/>
                <w:sz w:val="24"/>
              </w:rPr>
              <w:t>1台；3.防火墙2</w:t>
            </w:r>
            <w:r>
              <w:rPr>
                <w:rFonts w:hint="eastAsia" w:ascii="仿宋" w:hAnsi="仿宋" w:eastAsia="仿宋"/>
                <w:b/>
                <w:bCs/>
                <w:color w:val="auto"/>
                <w:sz w:val="24"/>
              </w:rPr>
              <w:t>（核心产品）</w:t>
            </w:r>
            <w:r>
              <w:rPr>
                <w:rFonts w:hint="eastAsia" w:ascii="仿宋" w:hAnsi="仿宋" w:eastAsia="仿宋"/>
                <w:color w:val="auto"/>
                <w:sz w:val="24"/>
              </w:rPr>
              <w:t>1台；4.隔离网闸1台；5.日志审计1台；6.漏洞扫描1台；7.堡垒机1台；8.数据库审计1台；9.核心交换机2台；10.48口接入交换机13台；11.网管软件1套；12.集成服务（含软件升级、系统设计运维等）。</w:t>
            </w:r>
          </w:p>
          <w:p>
            <w:pPr>
              <w:shd w:val="clear" w:color="auto" w:fill="FFFFFF"/>
              <w:autoSpaceDE w:val="0"/>
              <w:autoSpaceDN w:val="0"/>
              <w:spacing w:line="360" w:lineRule="exact"/>
              <w:rPr>
                <w:color w:val="auto"/>
              </w:rPr>
            </w:pPr>
            <w:r>
              <w:rPr>
                <w:rFonts w:hint="eastAsia" w:ascii="仿宋" w:hAnsi="仿宋" w:eastAsia="仿宋"/>
                <w:color w:val="auto"/>
                <w:sz w:val="24"/>
              </w:rPr>
              <w:t>具体技术要求详见本文件《采购需求》。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预算</w:t>
            </w:r>
            <w:r>
              <w:rPr>
                <w:rFonts w:hint="eastAsia" w:ascii="仿宋" w:hAnsi="仿宋" w:eastAsia="仿宋" w:cs="Arial"/>
                <w:color w:val="auto"/>
                <w:sz w:val="24"/>
              </w:rPr>
              <w:t>及最高限价</w:t>
            </w:r>
          </w:p>
        </w:tc>
        <w:tc>
          <w:tcPr>
            <w:tcW w:w="7218" w:type="dxa"/>
            <w:vAlign w:val="center"/>
          </w:tcPr>
          <w:p>
            <w:pPr>
              <w:shd w:val="clear" w:color="auto" w:fill="FFFFFF"/>
              <w:autoSpaceDE w:val="0"/>
              <w:autoSpaceDN w:val="0"/>
              <w:spacing w:line="360" w:lineRule="exact"/>
              <w:rPr>
                <w:rFonts w:ascii="仿宋" w:hAnsi="仿宋" w:eastAsia="仿宋"/>
                <w:b/>
                <w:color w:val="auto"/>
                <w:sz w:val="24"/>
              </w:rPr>
            </w:pPr>
            <w:r>
              <w:rPr>
                <w:rFonts w:hint="eastAsia" w:ascii="仿宋" w:hAnsi="仿宋" w:eastAsia="仿宋" w:cs="Arial"/>
                <w:color w:val="auto"/>
                <w:sz w:val="24"/>
              </w:rPr>
              <w:t>预算（同最高限价）为</w:t>
            </w:r>
            <w:r>
              <w:rPr>
                <w:rFonts w:hint="eastAsia" w:ascii="仿宋" w:hAnsi="仿宋" w:eastAsia="仿宋"/>
                <w:color w:val="auto"/>
                <w:sz w:val="24"/>
              </w:rPr>
              <w:t>1684000.00</w:t>
            </w:r>
            <w:r>
              <w:rPr>
                <w:rFonts w:hint="eastAsia" w:ascii="仿宋" w:hAnsi="仿宋" w:eastAsia="仿宋" w:cs="Arial"/>
                <w:color w:val="auto"/>
                <w:sz w:val="24"/>
              </w:rPr>
              <w:t>元。包括全套设备系统的供应、运输、保险、安装调试、验收、税金、培训及售后服务等全部费用。</w:t>
            </w:r>
          </w:p>
          <w:p>
            <w:pPr>
              <w:widowControl/>
              <w:shd w:val="clear" w:color="auto" w:fill="FFFFFF"/>
              <w:spacing w:line="360" w:lineRule="exact"/>
              <w:rPr>
                <w:rFonts w:ascii="仿宋" w:hAnsi="仿宋" w:eastAsia="仿宋"/>
                <w:b/>
                <w:color w:val="auto"/>
                <w:sz w:val="24"/>
              </w:rPr>
            </w:pPr>
            <w:r>
              <w:rPr>
                <w:rFonts w:hint="eastAsia" w:ascii="仿宋" w:hAnsi="仿宋" w:eastAsia="仿宋"/>
                <w:b/>
                <w:color w:val="auto"/>
                <w:sz w:val="24"/>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3</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质量标准</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4</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供应商资格</w:t>
            </w:r>
          </w:p>
        </w:tc>
        <w:tc>
          <w:tcPr>
            <w:tcW w:w="7218" w:type="dxa"/>
            <w:vAlign w:val="center"/>
          </w:tcPr>
          <w:p>
            <w:pPr>
              <w:widowControl/>
              <w:shd w:val="clear" w:color="auto" w:fill="FFFFFF"/>
              <w:spacing w:line="400" w:lineRule="exact"/>
              <w:rPr>
                <w:rFonts w:ascii="仿宋" w:hAnsi="仿宋" w:eastAsia="仿宋" w:cs="Arial"/>
                <w:color w:val="auto"/>
                <w:sz w:val="24"/>
              </w:rPr>
            </w:pPr>
            <w:r>
              <w:rPr>
                <w:rFonts w:hint="eastAsia" w:ascii="仿宋" w:hAnsi="仿宋" w:eastAsia="仿宋" w:cs="Arial"/>
                <w:color w:val="auto"/>
                <w:sz w:val="24"/>
              </w:rPr>
              <w:t>4.1.供应商须满足《中华人民共和国政府采购法》第二十二条款规定。</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宋体"/>
                <w:b/>
                <w:color w:val="auto"/>
                <w:sz w:val="24"/>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4.3供应商不得存在下列情形之一：</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（l）与采购人、采购代理机构存在隶属关系或者其他利害关系。</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（2）与其他供应商的法定代表人（或负责人）为同一人；或者与其他供应商存在直接控股、管理关系的；</w:t>
            </w:r>
          </w:p>
          <w:p>
            <w:pPr>
              <w:widowControl/>
              <w:shd w:val="clear" w:color="auto" w:fill="FFFFFF"/>
              <w:spacing w:line="360" w:lineRule="exact"/>
              <w:rPr>
                <w:rFonts w:ascii="仿宋" w:hAnsi="仿宋" w:eastAsia="仿宋" w:cs="宋体"/>
                <w:color w:val="auto"/>
                <w:kern w:val="0"/>
                <w:sz w:val="24"/>
              </w:rPr>
            </w:pPr>
            <w:r>
              <w:rPr>
                <w:rFonts w:hint="eastAsia" w:ascii="仿宋" w:hAnsi="仿宋" w:eastAsia="仿宋" w:cs="宋体"/>
                <w:color w:val="auto"/>
                <w:kern w:val="0"/>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color w:val="auto"/>
                <w:sz w:val="24"/>
              </w:rPr>
            </w:pPr>
            <w:r>
              <w:rPr>
                <w:rFonts w:hint="eastAsia" w:ascii="仿宋" w:hAnsi="仿宋" w:eastAsia="仿宋" w:cs="宋体"/>
                <w:color w:val="auto"/>
                <w:kern w:val="0"/>
                <w:sz w:val="24"/>
              </w:rPr>
              <w:t>4.4</w:t>
            </w:r>
            <w:r>
              <w:rPr>
                <w:rFonts w:hint="eastAsia" w:ascii="仿宋" w:hAnsi="仿宋" w:eastAsia="仿宋"/>
                <w:color w:val="auto"/>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5</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投标文件份数</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5.1</w:t>
            </w:r>
            <w:r>
              <w:rPr>
                <w:rFonts w:hint="eastAsia" w:ascii="仿宋" w:hAnsi="仿宋" w:eastAsia="仿宋"/>
                <w:b/>
                <w:bCs/>
                <w:color w:val="auto"/>
                <w:kern w:val="0"/>
                <w:sz w:val="24"/>
              </w:rPr>
              <w:t>投标文件组成：详见本文件“二、投标须知”第21项要求。</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w:t>
            </w:r>
            <w:r>
              <w:rPr>
                <w:rFonts w:hint="eastAsia" w:ascii="仿宋" w:hAnsi="仿宋" w:eastAsia="仿宋"/>
                <w:b/>
                <w:bCs/>
                <w:color w:val="auto"/>
                <w:kern w:val="0"/>
                <w:sz w:val="24"/>
              </w:rPr>
              <w:t>投标文件份数</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5.2.1</w:t>
            </w:r>
            <w:r>
              <w:rPr>
                <w:rFonts w:hint="eastAsia" w:ascii="仿宋" w:hAnsi="仿宋" w:eastAsia="仿宋"/>
                <w:b/>
                <w:bCs/>
                <w:color w:val="auto"/>
                <w:spacing w:val="-10"/>
                <w:kern w:val="0"/>
                <w:sz w:val="24"/>
              </w:rPr>
              <w:t>加密的电子投标文件</w:t>
            </w:r>
            <w:r>
              <w:rPr>
                <w:rFonts w:hint="eastAsia" w:ascii="仿宋" w:hAnsi="仿宋" w:eastAsia="仿宋"/>
                <w:bCs/>
                <w:color w:val="auto"/>
                <w:spacing w:val="-10"/>
                <w:kern w:val="0"/>
                <w:sz w:val="24"/>
              </w:rPr>
              <w:t>在投标截止时间前通过CA在政采云平台上传，</w:t>
            </w:r>
            <w:r>
              <w:rPr>
                <w:rFonts w:hint="eastAsia" w:ascii="仿宋" w:hAnsi="仿宋" w:eastAsia="仿宋"/>
                <w:bCs/>
                <w:color w:val="auto"/>
                <w:kern w:val="0"/>
                <w:sz w:val="24"/>
              </w:rPr>
              <w:t>加密的电子投标文件为使用</w:t>
            </w:r>
            <w:r>
              <w:rPr>
                <w:rFonts w:hint="eastAsia" w:ascii="仿宋" w:hAnsi="仿宋" w:eastAsia="仿宋" w:cs="宋体"/>
                <w:color w:val="auto"/>
                <w:sz w:val="24"/>
              </w:rPr>
              <w:t>政采云电子投标客户端制</w:t>
            </w:r>
            <w:r>
              <w:rPr>
                <w:rFonts w:hint="eastAsia" w:ascii="仿宋" w:hAnsi="仿宋" w:eastAsia="仿宋"/>
                <w:bCs/>
                <w:color w:val="auto"/>
                <w:kern w:val="0"/>
                <w:sz w:val="24"/>
              </w:rPr>
              <w:t>作生成的加密版投标文件。</w:t>
            </w:r>
            <w:r>
              <w:rPr>
                <w:rFonts w:hint="eastAsia" w:ascii="仿宋" w:hAnsi="仿宋" w:eastAsia="仿宋"/>
                <w:b/>
                <w:bCs/>
                <w:color w:val="auto"/>
                <w:kern w:val="0"/>
                <w:sz w:val="24"/>
              </w:rPr>
              <w:t>供应商未按上述要求提供加密的电子投标文件的，将导致投标无效。</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5.2.2</w:t>
            </w:r>
            <w:r>
              <w:rPr>
                <w:rFonts w:hint="eastAsia" w:ascii="仿宋" w:hAnsi="仿宋" w:eastAsia="仿宋"/>
                <w:b/>
                <w:bCs/>
                <w:color w:val="auto"/>
                <w:kern w:val="0"/>
                <w:sz w:val="24"/>
              </w:rPr>
              <w:t>未加密的纸质版投标文件</w:t>
            </w:r>
            <w:r>
              <w:rPr>
                <w:rFonts w:hint="eastAsia" w:ascii="仿宋" w:hAnsi="仿宋" w:eastAsia="仿宋" w:cs="宋体"/>
                <w:b/>
                <w:color w:val="auto"/>
                <w:sz w:val="24"/>
              </w:rPr>
              <w:t>须在本项目中标通知书发出后3个工作日内提供</w:t>
            </w:r>
            <w:r>
              <w:rPr>
                <w:rFonts w:hint="eastAsia" w:ascii="仿宋" w:hAnsi="仿宋" w:eastAsia="仿宋"/>
                <w:b/>
                <w:bCs/>
                <w:color w:val="auto"/>
                <w:kern w:val="0"/>
                <w:sz w:val="24"/>
              </w:rPr>
              <w:t>。</w:t>
            </w:r>
            <w:r>
              <w:rPr>
                <w:rFonts w:hint="eastAsia" w:ascii="仿宋" w:hAnsi="仿宋" w:eastAsia="仿宋" w:cs="宋体"/>
                <w:b/>
                <w:color w:val="auto"/>
                <w:sz w:val="24"/>
              </w:rPr>
              <w:t>中标单位须提供</w:t>
            </w:r>
            <w:r>
              <w:rPr>
                <w:rFonts w:hint="eastAsia" w:ascii="仿宋" w:hAnsi="仿宋" w:eastAsia="仿宋"/>
                <w:b/>
                <w:bCs/>
                <w:color w:val="auto"/>
                <w:kern w:val="0"/>
                <w:sz w:val="24"/>
              </w:rPr>
              <w:t>纸质版投标文件正本</w:t>
            </w:r>
            <w:r>
              <w:rPr>
                <w:rFonts w:hint="eastAsia" w:ascii="仿宋" w:hAnsi="仿宋" w:eastAsia="仿宋"/>
                <w:b/>
                <w:bCs/>
                <w:color w:val="auto"/>
                <w:kern w:val="0"/>
                <w:sz w:val="24"/>
                <w:u w:val="single"/>
              </w:rPr>
              <w:t xml:space="preserve"> 1 </w:t>
            </w:r>
            <w:r>
              <w:rPr>
                <w:rFonts w:hint="eastAsia" w:ascii="仿宋" w:hAnsi="仿宋" w:eastAsia="仿宋"/>
                <w:b/>
                <w:bCs/>
                <w:color w:val="auto"/>
                <w:kern w:val="0"/>
                <w:sz w:val="24"/>
              </w:rPr>
              <w:t>份，副本</w:t>
            </w:r>
            <w:r>
              <w:rPr>
                <w:rFonts w:hint="eastAsia" w:ascii="仿宋" w:hAnsi="仿宋" w:eastAsia="仿宋"/>
                <w:b/>
                <w:bCs/>
                <w:color w:val="auto"/>
                <w:kern w:val="0"/>
                <w:sz w:val="24"/>
                <w:u w:val="single"/>
              </w:rPr>
              <w:t xml:space="preserve"> 3 </w:t>
            </w:r>
            <w:r>
              <w:rPr>
                <w:rFonts w:hint="eastAsia" w:ascii="仿宋" w:hAnsi="仿宋" w:eastAsia="仿宋"/>
                <w:b/>
                <w:bCs/>
                <w:color w:val="auto"/>
                <w:kern w:val="0"/>
                <w:sz w:val="24"/>
              </w:rPr>
              <w:t>份。</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cs="宋体"/>
                <w:color w:val="auto"/>
                <w:sz w:val="24"/>
              </w:rPr>
              <w:t>说明：</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宋体"/>
                <w:color w:val="auto"/>
                <w:sz w:val="24"/>
              </w:rPr>
              <w:t>（1）</w:t>
            </w:r>
            <w:r>
              <w:rPr>
                <w:rFonts w:hint="eastAsia" w:ascii="仿宋" w:hAnsi="仿宋" w:eastAsia="仿宋"/>
                <w:bCs/>
                <w:color w:val="auto"/>
                <w:kern w:val="0"/>
                <w:sz w:val="24"/>
              </w:rPr>
              <w:t>未加密的纸质版投标文件应与加密的电子投标文件内容一致。</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bCs/>
                <w:color w:val="auto"/>
                <w:kern w:val="0"/>
                <w:sz w:val="24"/>
              </w:rPr>
              <w:t>（2）</w:t>
            </w:r>
            <w:r>
              <w:rPr>
                <w:rFonts w:hint="eastAsia" w:ascii="仿宋" w:hAnsi="仿宋" w:eastAsia="仿宋" w:cs="宋体"/>
                <w:color w:val="auto"/>
                <w:sz w:val="24"/>
              </w:rPr>
              <w:t>纸质版投标文件递交或邮寄至：</w:t>
            </w:r>
            <w:r>
              <w:rPr>
                <w:rFonts w:hint="eastAsia" w:ascii="仿宋" w:hAnsi="仿宋" w:eastAsia="仿宋"/>
                <w:bCs/>
                <w:color w:val="auto"/>
                <w:kern w:val="0"/>
                <w:sz w:val="24"/>
              </w:rPr>
              <w:t>库尔勒市梨乡路豪景大厦1102室，邢安泽19999172826。</w:t>
            </w:r>
          </w:p>
          <w:p>
            <w:pPr>
              <w:shd w:val="clear" w:color="auto" w:fill="FFFFFF"/>
              <w:autoSpaceDE w:val="0"/>
              <w:autoSpaceDN w:val="0"/>
              <w:spacing w:line="360" w:lineRule="exact"/>
              <w:rPr>
                <w:rFonts w:ascii="仿宋" w:hAnsi="仿宋" w:eastAsia="仿宋"/>
                <w:b/>
                <w:bCs/>
                <w:color w:val="auto"/>
                <w:kern w:val="0"/>
                <w:sz w:val="24"/>
              </w:rPr>
            </w:pPr>
            <w:r>
              <w:rPr>
                <w:rFonts w:hint="eastAsia" w:ascii="仿宋" w:hAnsi="仿宋" w:eastAsia="仿宋" w:cs="宋体"/>
                <w:color w:val="auto"/>
                <w:sz w:val="24"/>
              </w:rPr>
              <w:t>（3）</w:t>
            </w:r>
            <w:r>
              <w:rPr>
                <w:rFonts w:hint="eastAsia" w:ascii="仿宋" w:hAnsi="仿宋" w:eastAsia="仿宋"/>
                <w:b/>
                <w:bCs/>
                <w:color w:val="auto"/>
                <w:kern w:val="0"/>
                <w:sz w:val="24"/>
              </w:rPr>
              <w:t>供应商应按上述要求提供未加密的纸质版投标文件，以便投标保证金及时退还。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6</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投标文件递交截止时间</w:t>
            </w:r>
          </w:p>
        </w:tc>
        <w:tc>
          <w:tcPr>
            <w:tcW w:w="7218" w:type="dxa"/>
            <w:vAlign w:val="center"/>
          </w:tcPr>
          <w:p>
            <w:pPr>
              <w:shd w:val="clear" w:color="auto" w:fill="FFFFFF"/>
              <w:autoSpaceDE w:val="0"/>
              <w:autoSpaceDN w:val="0"/>
              <w:spacing w:line="360" w:lineRule="exact"/>
              <w:rPr>
                <w:rFonts w:ascii="仿宋" w:hAnsi="仿宋" w:eastAsia="仿宋"/>
                <w:color w:val="auto"/>
                <w:sz w:val="24"/>
              </w:rPr>
            </w:pPr>
            <w:r>
              <w:rPr>
                <w:rFonts w:hint="eastAsia" w:ascii="仿宋" w:hAnsi="仿宋" w:eastAsia="仿宋" w:cs="宋体"/>
                <w:color w:val="auto"/>
                <w:sz w:val="24"/>
              </w:rPr>
              <w:t>2022年8月4日11：00时（北京时间）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7</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投标有效期限</w:t>
            </w:r>
            <w:r>
              <w:rPr>
                <w:rFonts w:hint="eastAsia" w:ascii="仿宋" w:hAnsi="仿宋" w:eastAsia="仿宋"/>
                <w:b/>
                <w:bCs/>
                <w:color w:val="auto"/>
                <w:sz w:val="24"/>
              </w:rPr>
              <w:t>（实质性条款）</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投标截止后</w:t>
            </w:r>
            <w:r>
              <w:rPr>
                <w:rFonts w:hint="eastAsia" w:ascii="仿宋" w:hAnsi="仿宋" w:eastAsia="仿宋"/>
                <w:bCs/>
                <w:color w:val="auto"/>
                <w:kern w:val="0"/>
                <w:sz w:val="24"/>
                <w:u w:val="single"/>
              </w:rPr>
              <w:t>90</w:t>
            </w:r>
            <w:r>
              <w:rPr>
                <w:rFonts w:hint="eastAsia" w:ascii="仿宋" w:hAnsi="仿宋" w:eastAsia="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8</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投标文件递交地点</w:t>
            </w:r>
          </w:p>
        </w:tc>
        <w:tc>
          <w:tcPr>
            <w:tcW w:w="7218" w:type="dxa"/>
            <w:vAlign w:val="center"/>
          </w:tcPr>
          <w:p>
            <w:pPr>
              <w:widowControl/>
              <w:shd w:val="clear" w:color="auto" w:fill="FFFFFF"/>
              <w:spacing w:line="360" w:lineRule="exact"/>
              <w:jc w:val="left"/>
              <w:rPr>
                <w:rFonts w:ascii="仿宋" w:hAnsi="仿宋" w:eastAsia="仿宋" w:cs="宋体"/>
                <w:color w:val="auto"/>
                <w:spacing w:val="-10"/>
                <w:kern w:val="0"/>
                <w:sz w:val="24"/>
              </w:rPr>
            </w:pPr>
            <w:r>
              <w:rPr>
                <w:rFonts w:hint="eastAsia" w:ascii="仿宋" w:hAnsi="仿宋" w:eastAsia="仿宋" w:cs="宋体"/>
                <w:color w:val="auto"/>
                <w:spacing w:val="-10"/>
                <w:kern w:val="0"/>
                <w:sz w:val="24"/>
              </w:rPr>
              <w:t>本项目采用不见面开标，加密的电子投标文件须在投标截止时间前通过CA在政采云平台上传。</w:t>
            </w:r>
          </w:p>
          <w:p>
            <w:pPr>
              <w:widowControl/>
              <w:shd w:val="clear" w:color="auto" w:fill="FFFFFF"/>
              <w:spacing w:line="360" w:lineRule="exact"/>
              <w:jc w:val="left"/>
              <w:rPr>
                <w:rFonts w:ascii="仿宋" w:hAnsi="仿宋" w:eastAsia="仿宋"/>
                <w:bCs/>
                <w:color w:val="auto"/>
                <w:spacing w:val="-10"/>
                <w:kern w:val="0"/>
                <w:sz w:val="24"/>
              </w:rPr>
            </w:pPr>
            <w:r>
              <w:rPr>
                <w:rFonts w:hint="eastAsia" w:ascii="仿宋" w:hAnsi="仿宋" w:eastAsia="仿宋" w:cs="宋体"/>
                <w:color w:val="auto"/>
                <w:spacing w:val="-10"/>
                <w:kern w:val="0"/>
                <w:sz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9</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开标时间、开标地点</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宋体"/>
                <w:color w:val="auto"/>
                <w:sz w:val="24"/>
              </w:rPr>
              <w:t>开标时间：2022年8月4日 11:00时（北京时间）</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bCs/>
                <w:color w:val="auto"/>
                <w:kern w:val="0"/>
                <w:sz w:val="24"/>
              </w:rPr>
              <w:t>开标地点：</w:t>
            </w:r>
            <w:r>
              <w:rPr>
                <w:rFonts w:hint="eastAsia" w:ascii="仿宋" w:hAnsi="仿宋" w:eastAsia="仿宋" w:cs="宋体"/>
                <w:color w:val="auto"/>
                <w:sz w:val="24"/>
              </w:rPr>
              <w:t>政采云开标大厅（</w:t>
            </w:r>
            <w:r>
              <w:rPr>
                <w:color w:val="auto"/>
              </w:rPr>
              <w:fldChar w:fldCharType="begin"/>
            </w:r>
            <w:r>
              <w:rPr>
                <w:color w:val="auto"/>
              </w:rPr>
              <w:instrText xml:space="preserve"> HYPERLINK "https://www.zcygov.cn" </w:instrText>
            </w:r>
            <w:r>
              <w:rPr>
                <w:color w:val="auto"/>
              </w:rPr>
              <w:fldChar w:fldCharType="separate"/>
            </w:r>
            <w:r>
              <w:rPr>
                <w:rStyle w:val="68"/>
                <w:rFonts w:ascii="仿宋" w:hAnsi="仿宋" w:eastAsia="仿宋" w:cs="宋体"/>
                <w:color w:val="auto"/>
                <w:sz w:val="24"/>
              </w:rPr>
              <w:t>https://www.zcygov.cn</w:t>
            </w:r>
            <w:r>
              <w:rPr>
                <w:rStyle w:val="68"/>
                <w:rFonts w:ascii="仿宋" w:hAnsi="仿宋" w:eastAsia="仿宋" w:cs="宋体"/>
                <w:color w:val="auto"/>
                <w:sz w:val="24"/>
              </w:rPr>
              <w:fldChar w:fldCharType="end"/>
            </w:r>
            <w:r>
              <w:rPr>
                <w:rFonts w:hint="eastAsia" w:ascii="仿宋" w:hAnsi="仿宋" w:eastAsia="仿宋" w:cs="宋体"/>
                <w:color w:val="auto"/>
                <w:sz w:val="24"/>
              </w:rPr>
              <w:t>）</w:t>
            </w:r>
          </w:p>
          <w:p>
            <w:pPr>
              <w:shd w:val="clear" w:color="auto" w:fill="FFFFFF"/>
              <w:autoSpaceDE w:val="0"/>
              <w:autoSpaceDN w:val="0"/>
              <w:spacing w:line="360" w:lineRule="exact"/>
              <w:rPr>
                <w:rFonts w:ascii="仿宋" w:hAnsi="仿宋" w:eastAsia="仿宋"/>
                <w:b/>
                <w:bCs/>
                <w:color w:val="auto"/>
                <w:kern w:val="0"/>
                <w:sz w:val="24"/>
                <w:u w:val="single"/>
              </w:rPr>
            </w:pPr>
            <w:r>
              <w:rPr>
                <w:rFonts w:hint="eastAsia" w:ascii="仿宋" w:hAnsi="仿宋" w:eastAsia="仿宋"/>
                <w:b/>
                <w:bCs/>
                <w:color w:val="auto"/>
                <w:kern w:val="0"/>
                <w:sz w:val="24"/>
              </w:rPr>
              <w:t>本项目采用</w:t>
            </w:r>
            <w:r>
              <w:rPr>
                <w:rFonts w:hint="eastAsia" w:ascii="仿宋" w:hAnsi="仿宋" w:eastAsia="仿宋"/>
                <w:b/>
                <w:bCs/>
                <w:color w:val="auto"/>
                <w:kern w:val="0"/>
                <w:sz w:val="24"/>
                <w:u w:val="single"/>
              </w:rPr>
              <w:t xml:space="preserve">  不见面开标  </w:t>
            </w:r>
          </w:p>
          <w:p>
            <w:pPr>
              <w:widowControl/>
              <w:shd w:val="clear" w:color="auto" w:fill="FFFFFF"/>
              <w:spacing w:line="360" w:lineRule="exact"/>
              <w:jc w:val="left"/>
              <w:rPr>
                <w:rFonts w:ascii="仿宋" w:hAnsi="仿宋" w:eastAsia="仿宋"/>
                <w:bCs/>
                <w:color w:val="auto"/>
                <w:kern w:val="0"/>
                <w:sz w:val="24"/>
              </w:rPr>
            </w:pPr>
            <w:r>
              <w:rPr>
                <w:rFonts w:hint="eastAsia" w:ascii="仿宋" w:hAnsi="仿宋" w:eastAsia="仿宋"/>
                <w:bCs/>
                <w:color w:val="auto"/>
                <w:kern w:val="0"/>
                <w:sz w:val="24"/>
              </w:rPr>
              <w:t>注：（1）供应商远程参与开标，并在规定的时间内完成对投标文件远程解密及报价确认，本项目供应商解密时长：30分钟，因供应商自身原因导致解密或报价确认失败，投标无效。</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（2）因网上招标系统故障导致所有供应商均解密失败时，由采购人或采购代理机构现场请示项目主管部门处理。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10</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评标办法</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11</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投标保证金</w:t>
            </w:r>
          </w:p>
        </w:tc>
        <w:tc>
          <w:tcPr>
            <w:tcW w:w="7218" w:type="dxa"/>
            <w:vAlign w:val="center"/>
          </w:tcPr>
          <w:p>
            <w:pPr>
              <w:pStyle w:val="83"/>
              <w:shd w:val="clear" w:color="auto" w:fill="FFFFFF"/>
              <w:spacing w:line="360" w:lineRule="exact"/>
              <w:ind w:firstLine="0" w:firstLineChars="0"/>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金额：</w:t>
            </w:r>
            <w:r>
              <w:rPr>
                <w:rFonts w:hint="eastAsia" w:ascii="仿宋" w:hAnsi="仿宋" w:eastAsia="仿宋"/>
                <w:bCs/>
                <w:color w:val="auto"/>
                <w:sz w:val="24"/>
                <w:szCs w:val="24"/>
              </w:rPr>
              <w:t>22000.00元（贰万贰仟元）</w:t>
            </w:r>
          </w:p>
          <w:p>
            <w:pPr>
              <w:shd w:val="clear" w:color="auto" w:fill="FFFFFF"/>
              <w:spacing w:line="360" w:lineRule="exact"/>
              <w:rPr>
                <w:rFonts w:ascii="仿宋" w:hAnsi="仿宋" w:eastAsia="仿宋"/>
                <w:bCs/>
                <w:color w:val="auto"/>
                <w:kern w:val="0"/>
                <w:sz w:val="24"/>
              </w:rPr>
            </w:pPr>
            <w:r>
              <w:rPr>
                <w:rFonts w:hint="eastAsia" w:ascii="仿宋" w:hAnsi="仿宋" w:eastAsia="仿宋" w:cs="Arial"/>
                <w:bCs/>
                <w:color w:val="auto"/>
                <w:sz w:val="24"/>
              </w:rPr>
              <w:t>供应商应于</w:t>
            </w:r>
            <w:r>
              <w:rPr>
                <w:rFonts w:hint="eastAsia" w:ascii="仿宋" w:hAnsi="仿宋" w:eastAsia="仿宋" w:cs="宋体"/>
                <w:color w:val="auto"/>
                <w:sz w:val="24"/>
              </w:rPr>
              <w:t>2022年8月4日 11:00时（北京时间）</w:t>
            </w:r>
            <w:r>
              <w:rPr>
                <w:rFonts w:hint="eastAsia" w:ascii="仿宋" w:hAnsi="仿宋" w:eastAsia="仿宋" w:cs="Arial"/>
                <w:bCs/>
                <w:color w:val="auto"/>
                <w:sz w:val="24"/>
              </w:rPr>
              <w:t>前</w:t>
            </w:r>
            <w:r>
              <w:rPr>
                <w:rFonts w:hint="eastAsia" w:ascii="仿宋" w:hAnsi="仿宋" w:eastAsia="仿宋"/>
                <w:bCs/>
                <w:color w:val="auto"/>
                <w:kern w:val="0"/>
                <w:sz w:val="24"/>
              </w:rPr>
              <w:t>，将投标保证金由供应商账户缴纳至采购代理机构指定账户。</w:t>
            </w:r>
            <w:r>
              <w:rPr>
                <w:rFonts w:hint="eastAsia" w:ascii="仿宋" w:hAnsi="仿宋" w:eastAsia="仿宋"/>
                <w:bCs/>
                <w:color w:val="auto"/>
                <w:kern w:val="0"/>
                <w:sz w:val="24"/>
                <w:szCs w:val="20"/>
              </w:rPr>
              <w:t>投标保证金</w:t>
            </w:r>
            <w:r>
              <w:rPr>
                <w:rFonts w:hint="eastAsia" w:ascii="仿宋" w:hAnsi="仿宋" w:eastAsia="仿宋"/>
                <w:bCs/>
                <w:color w:val="auto"/>
                <w:kern w:val="0"/>
                <w:sz w:val="24"/>
              </w:rPr>
              <w:t>应采用人民币，以非现金形式的电汇、网银支付等方式提交。</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账户名称：新疆品创项目管理咨询有限公司</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开户银行：中国银行股份有限公司乌鲁木齐市安居南路支行</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账号：</w:t>
            </w:r>
            <w:r>
              <w:rPr>
                <w:rFonts w:ascii="仿宋" w:hAnsi="仿宋" w:eastAsia="仿宋"/>
                <w:bCs/>
                <w:color w:val="auto"/>
                <w:kern w:val="0"/>
                <w:sz w:val="24"/>
              </w:rPr>
              <w:t>107685372797</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行号：</w:t>
            </w:r>
            <w:r>
              <w:rPr>
                <w:rFonts w:ascii="仿宋" w:hAnsi="仿宋" w:eastAsia="仿宋"/>
                <w:bCs/>
                <w:color w:val="auto"/>
                <w:kern w:val="0"/>
                <w:sz w:val="24"/>
              </w:rPr>
              <w:t>104881005046</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rPr>
              <w:t>注：</w:t>
            </w:r>
            <w:r>
              <w:rPr>
                <w:rFonts w:hint="eastAsia" w:ascii="仿宋" w:hAnsi="仿宋" w:eastAsia="仿宋"/>
                <w:bCs/>
                <w:color w:val="auto"/>
                <w:sz w:val="24"/>
                <w:szCs w:val="24"/>
              </w:rPr>
              <w:t>1、如果发现供应商有围标、串标行为，其投标无效，且投标保证金将被没收，不予退还；</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2、投标保证金未按规定时间缴纳或提交金额不足的，其投标将被否决，供应商应充分考虑资金在途时间；</w:t>
            </w:r>
          </w:p>
          <w:p>
            <w:pPr>
              <w:pStyle w:val="83"/>
              <w:shd w:val="clear" w:color="auto" w:fill="FFFFFF"/>
              <w:spacing w:line="360" w:lineRule="exact"/>
              <w:ind w:firstLine="0" w:firstLineChars="0"/>
              <w:rPr>
                <w:rFonts w:ascii="仿宋" w:hAnsi="仿宋" w:eastAsia="仿宋" w:cs="Times New Roman"/>
                <w:b/>
                <w:bCs/>
                <w:color w:val="auto"/>
                <w:kern w:val="0"/>
                <w:sz w:val="24"/>
                <w:szCs w:val="24"/>
              </w:rPr>
            </w:pPr>
            <w:r>
              <w:rPr>
                <w:rFonts w:ascii="仿宋" w:hAnsi="仿宋" w:eastAsia="仿宋"/>
                <w:b/>
                <w:bCs/>
                <w:color w:val="auto"/>
                <w:sz w:val="24"/>
                <w:szCs w:val="24"/>
              </w:rPr>
              <w:t>3</w:t>
            </w:r>
            <w:r>
              <w:rPr>
                <w:rFonts w:hint="eastAsia" w:ascii="仿宋" w:hAnsi="仿宋" w:eastAsia="仿宋"/>
                <w:b/>
                <w:bCs/>
                <w:color w:val="auto"/>
                <w:sz w:val="24"/>
                <w:szCs w:val="24"/>
              </w:rPr>
              <w:t>、供应商缴纳投标保证金时，须备注“</w:t>
            </w:r>
            <w:r>
              <w:rPr>
                <w:rFonts w:hint="eastAsia" w:ascii="仿宋" w:hAnsi="仿宋" w:eastAsia="仿宋" w:cs="仿宋"/>
                <w:b/>
                <w:bCs/>
                <w:color w:val="auto"/>
                <w:sz w:val="24"/>
                <w:szCs w:val="24"/>
              </w:rPr>
              <w:t>二部</w:t>
            </w:r>
            <w:r>
              <w:rPr>
                <w:rFonts w:ascii="仿宋" w:hAnsi="仿宋" w:eastAsia="仿宋" w:cs="仿宋"/>
                <w:b/>
                <w:color w:val="auto"/>
                <w:sz w:val="24"/>
                <w:szCs w:val="24"/>
              </w:rPr>
              <w:t>PCGK0</w:t>
            </w:r>
            <w:r>
              <w:rPr>
                <w:rFonts w:hint="eastAsia" w:ascii="仿宋" w:hAnsi="仿宋" w:eastAsia="仿宋" w:cs="仿宋"/>
                <w:b/>
                <w:color w:val="auto"/>
                <w:sz w:val="24"/>
                <w:szCs w:val="24"/>
              </w:rPr>
              <w:t>74</w:t>
            </w:r>
            <w:r>
              <w:rPr>
                <w:rFonts w:hint="eastAsia" w:ascii="仿宋" w:hAnsi="仿宋" w:eastAsia="仿宋"/>
                <w:b/>
                <w:bCs/>
                <w:color w:val="auto"/>
                <w:sz w:val="24"/>
                <w:szCs w:val="24"/>
              </w:rPr>
              <w:t>”</w:t>
            </w:r>
            <w:r>
              <w:rPr>
                <w:rFonts w:hint="eastAsia" w:ascii="仿宋" w:hAnsi="仿宋" w:eastAsia="仿宋"/>
                <w:bCs/>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12</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采购文件售价</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olor w:val="auto"/>
                <w:sz w:val="24"/>
              </w:rPr>
              <w:t>政采云平台免费下载。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13</w:t>
            </w:r>
          </w:p>
        </w:tc>
        <w:tc>
          <w:tcPr>
            <w:tcW w:w="1993" w:type="dxa"/>
            <w:vAlign w:val="center"/>
          </w:tcPr>
          <w:p>
            <w:pPr>
              <w:pStyle w:val="83"/>
              <w:shd w:val="clear" w:color="auto" w:fill="FFFFFF"/>
              <w:spacing w:line="360" w:lineRule="exact"/>
              <w:ind w:firstLine="0" w:firstLineChars="0"/>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对采购文件的质疑</w:t>
            </w:r>
          </w:p>
        </w:tc>
        <w:tc>
          <w:tcPr>
            <w:tcW w:w="7218" w:type="dxa"/>
            <w:vAlign w:val="center"/>
          </w:tcPr>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供应商如需对招标文件内容质疑，须按以下要求提出：</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①接受对招标文件提出质疑的截止时间：</w:t>
            </w:r>
            <w:r>
              <w:rPr>
                <w:rFonts w:hint="eastAsia" w:ascii="仿宋" w:hAnsi="仿宋" w:eastAsia="仿宋" w:cs="宋体"/>
                <w:color w:val="auto"/>
                <w:sz w:val="24"/>
                <w:szCs w:val="24"/>
              </w:rPr>
              <w:t>2022年8月2日12:00时</w:t>
            </w:r>
            <w:r>
              <w:rPr>
                <w:rFonts w:hint="eastAsia" w:ascii="仿宋" w:hAnsi="仿宋" w:eastAsia="仿宋" w:cs="仿宋"/>
                <w:bCs/>
                <w:color w:val="auto"/>
                <w:sz w:val="24"/>
                <w:szCs w:val="24"/>
              </w:rPr>
              <w:t>，供应商应在法定质疑期内一次性提出所有质疑内容</w:t>
            </w:r>
            <w:r>
              <w:rPr>
                <w:rFonts w:hint="eastAsia" w:ascii="仿宋" w:hAnsi="仿宋" w:eastAsia="仿宋"/>
                <w:bCs/>
                <w:color w:val="auto"/>
                <w:sz w:val="24"/>
                <w:szCs w:val="24"/>
              </w:rPr>
              <w:t>。</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②质疑函应以书面形式（按照财政部94号令要求）通知采购代理机构。采购代理机构将在收到质疑函后7个工作日内作出答复，并以书面形式通知质疑供应商和其他有关供应商。</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③联系部门：新疆品创项目管理咨询有限公司 业务二部</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④联系电话：</w:t>
            </w:r>
            <w:r>
              <w:rPr>
                <w:rFonts w:hint="eastAsia" w:ascii="仿宋" w:hAnsi="仿宋" w:eastAsia="仿宋" w:cs="宋体"/>
                <w:color w:val="auto"/>
                <w:sz w:val="24"/>
              </w:rPr>
              <w:t>0991-5221699</w:t>
            </w:r>
          </w:p>
          <w:p>
            <w:pPr>
              <w:pStyle w:val="83"/>
              <w:shd w:val="clear" w:color="auto" w:fill="FFFFFF"/>
              <w:spacing w:line="360" w:lineRule="exact"/>
              <w:ind w:firstLine="0" w:firstLineChars="0"/>
              <w:rPr>
                <w:rFonts w:ascii="仿宋" w:hAnsi="仿宋" w:eastAsia="仿宋" w:cs="Times New Roman"/>
                <w:bCs/>
                <w:color w:val="auto"/>
                <w:kern w:val="0"/>
                <w:sz w:val="24"/>
                <w:szCs w:val="24"/>
              </w:rPr>
            </w:pPr>
            <w:r>
              <w:rPr>
                <w:rFonts w:hint="eastAsia" w:ascii="仿宋" w:hAnsi="仿宋" w:eastAsia="仿宋"/>
                <w:bCs/>
                <w:color w:val="auto"/>
                <w:sz w:val="24"/>
                <w:szCs w:val="24"/>
              </w:rPr>
              <w:t xml:space="preserve">⑤通讯地址：新疆乌鲁木齐市沙依巴克区长江路76号兴乐世贸广场29楼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14</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履约保证金</w:t>
            </w:r>
          </w:p>
        </w:tc>
        <w:tc>
          <w:tcPr>
            <w:tcW w:w="7218" w:type="dxa"/>
            <w:vAlign w:val="center"/>
          </w:tcPr>
          <w:p>
            <w:pPr>
              <w:spacing w:line="360" w:lineRule="exact"/>
              <w:rPr>
                <w:rFonts w:ascii="仿宋" w:hAnsi="仿宋" w:eastAsia="仿宋"/>
                <w:color w:val="auto"/>
                <w:sz w:val="24"/>
              </w:rPr>
            </w:pPr>
            <w:r>
              <w:rPr>
                <w:rFonts w:hint="eastAsia" w:ascii="仿宋" w:hAnsi="仿宋" w:eastAsia="仿宋"/>
                <w:color w:val="auto"/>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15</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交货期及完工期</w:t>
            </w:r>
          </w:p>
        </w:tc>
        <w:tc>
          <w:tcPr>
            <w:tcW w:w="7218" w:type="dxa"/>
            <w:vAlign w:val="center"/>
          </w:tcPr>
          <w:p>
            <w:pPr>
              <w:spacing w:line="360" w:lineRule="exact"/>
              <w:rPr>
                <w:rFonts w:ascii="仿宋" w:hAnsi="仿宋" w:eastAsia="仿宋" w:cs="Calibri"/>
                <w:b/>
                <w:bCs/>
                <w:color w:val="auto"/>
                <w:sz w:val="24"/>
              </w:rPr>
            </w:pPr>
            <w:r>
              <w:rPr>
                <w:rFonts w:hint="eastAsia" w:ascii="仿宋" w:hAnsi="仿宋" w:eastAsia="仿宋" w:cs="Calibri"/>
                <w:color w:val="auto"/>
                <w:sz w:val="24"/>
              </w:rPr>
              <w:t>合同签订生效后30个日历日内全部货到买方指定地点，10日内完成全部实施工作。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交货地点</w:t>
            </w:r>
          </w:p>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pStyle w:val="83"/>
              <w:shd w:val="clear" w:color="auto" w:fill="FFFFFF"/>
              <w:spacing w:line="360" w:lineRule="exact"/>
              <w:ind w:firstLine="0" w:firstLineChars="0"/>
              <w:rPr>
                <w:rFonts w:ascii="仿宋" w:hAnsi="仿宋" w:eastAsia="仿宋" w:cs="Calibri"/>
                <w:bCs/>
                <w:color w:val="auto"/>
                <w:kern w:val="0"/>
                <w:sz w:val="24"/>
                <w:szCs w:val="24"/>
              </w:rPr>
            </w:pPr>
            <w:r>
              <w:rPr>
                <w:rFonts w:hint="eastAsia" w:ascii="仿宋" w:hAnsi="仿宋" w:eastAsia="仿宋" w:cs="Arial"/>
                <w:color w:val="auto"/>
                <w:sz w:val="24"/>
              </w:rPr>
              <w:t>库尔勒市妇幼保健计划生育服务中心（库尔勒市妇幼保健院）（具体为买方指定院内地点）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16</w:t>
            </w: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付款方式</w:t>
            </w:r>
          </w:p>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pStyle w:val="304"/>
              <w:snapToGrid w:val="0"/>
              <w:spacing w:line="400" w:lineRule="exact"/>
              <w:rPr>
                <w:rFonts w:ascii="仿宋" w:hAnsi="仿宋" w:eastAsia="仿宋"/>
                <w:color w:val="auto"/>
                <w:sz w:val="24"/>
              </w:rPr>
            </w:pPr>
            <w:r>
              <w:rPr>
                <w:rFonts w:hint="eastAsia" w:ascii="仿宋" w:hAnsi="仿宋" w:eastAsia="仿宋"/>
                <w:color w:val="auto"/>
                <w:sz w:val="24"/>
              </w:rPr>
              <w:t>1、合同签订全部货到甲方指定地点，乙方向甲方提供真实合法有效的全额发票，甲方收到发票后支付合同总价的30%；</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2、项目完工并最终验收合格交付使用正常运行满5日，支付合同总价的55%；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3、项目验收满1年，支付合同总价的5%；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4、项目验收满2年，支付合同总价的5%；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5、项目验收满3年，支付合同总价的5%。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17</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保修期</w:t>
            </w:r>
          </w:p>
        </w:tc>
        <w:tc>
          <w:tcPr>
            <w:tcW w:w="7218" w:type="dxa"/>
            <w:vAlign w:val="center"/>
          </w:tcPr>
          <w:p>
            <w:pPr>
              <w:pStyle w:val="83"/>
              <w:shd w:val="clear" w:color="auto" w:fill="FFFFFF"/>
              <w:spacing w:line="360" w:lineRule="exact"/>
              <w:ind w:firstLine="0" w:firstLineChars="0"/>
              <w:rPr>
                <w:rFonts w:ascii="仿宋" w:hAnsi="仿宋" w:eastAsia="仿宋"/>
                <w:color w:val="auto"/>
                <w:sz w:val="24"/>
              </w:rPr>
            </w:pPr>
            <w:r>
              <w:rPr>
                <w:rFonts w:hint="eastAsia" w:ascii="仿宋" w:hAnsi="仿宋" w:eastAsia="仿宋"/>
                <w:color w:val="auto"/>
                <w:sz w:val="24"/>
              </w:rPr>
              <w:t>提供</w:t>
            </w:r>
            <w:r>
              <w:rPr>
                <w:rFonts w:ascii="Arial" w:hAnsi="Arial" w:eastAsia="仿宋" w:cs="Arial"/>
                <w:color w:val="auto"/>
                <w:sz w:val="24"/>
              </w:rPr>
              <w:t>≥</w:t>
            </w:r>
            <w:r>
              <w:rPr>
                <w:rFonts w:hint="eastAsia" w:ascii="仿宋" w:hAnsi="仿宋" w:eastAsia="仿宋"/>
                <w:color w:val="auto"/>
                <w:sz w:val="24"/>
              </w:rPr>
              <w:t>3年原厂保修服务，保修期自全部产品到货且系统最终验收合格之日起计算。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18</w:t>
            </w:r>
          </w:p>
        </w:tc>
        <w:tc>
          <w:tcPr>
            <w:tcW w:w="1993" w:type="dxa"/>
            <w:vAlign w:val="center"/>
          </w:tcPr>
          <w:p>
            <w:pPr>
              <w:shd w:val="clear" w:color="auto" w:fill="FFFFFF"/>
              <w:autoSpaceDE w:val="0"/>
              <w:autoSpaceDN w:val="0"/>
              <w:spacing w:line="360" w:lineRule="exact"/>
              <w:ind w:firstLine="240" w:firstLineChars="100"/>
              <w:rPr>
                <w:rFonts w:ascii="仿宋" w:hAnsi="仿宋" w:eastAsia="仿宋"/>
                <w:bCs/>
                <w:color w:val="auto"/>
                <w:kern w:val="0"/>
                <w:sz w:val="24"/>
              </w:rPr>
            </w:pPr>
            <w:r>
              <w:rPr>
                <w:rFonts w:hint="eastAsia" w:ascii="仿宋" w:hAnsi="仿宋" w:eastAsia="仿宋" w:cs="宋体"/>
                <w:color w:val="auto"/>
                <w:kern w:val="1"/>
                <w:sz w:val="24"/>
              </w:rPr>
              <w:t>政府采购政策</w:t>
            </w:r>
          </w:p>
        </w:tc>
        <w:tc>
          <w:tcPr>
            <w:tcW w:w="7218" w:type="dxa"/>
            <w:vAlign w:val="center"/>
          </w:tcPr>
          <w:p>
            <w:pPr>
              <w:shd w:val="clear" w:color="auto" w:fill="FFFFFF"/>
              <w:spacing w:line="360" w:lineRule="exact"/>
              <w:rPr>
                <w:rFonts w:ascii="仿宋" w:hAnsi="仿宋" w:eastAsia="仿宋"/>
                <w:b/>
                <w:color w:val="auto"/>
                <w:kern w:val="0"/>
                <w:sz w:val="24"/>
                <w:szCs w:val="20"/>
              </w:rPr>
            </w:pPr>
            <w:r>
              <w:rPr>
                <w:rFonts w:hint="eastAsia" w:ascii="仿宋" w:hAnsi="仿宋" w:eastAsia="仿宋"/>
                <w:b/>
                <w:color w:val="auto"/>
                <w:kern w:val="0"/>
                <w:sz w:val="24"/>
                <w:szCs w:val="20"/>
              </w:rPr>
              <w:t>18.1本项目不专门面向中小企业采购。</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18.2根据工信部等部委发布的《关于印发中小企业划型标准规定的通知》（工信部联企业〔2011〕300号）、财政部、工业和信息化部《政府采购促进中小企业发展管理办法 》（财库[2020]46号文）规定，</w:t>
            </w:r>
            <w:r>
              <w:rPr>
                <w:rFonts w:hint="eastAsia" w:ascii="仿宋" w:hAnsi="仿宋" w:eastAsia="仿宋"/>
                <w:b/>
                <w:color w:val="auto"/>
                <w:kern w:val="0"/>
                <w:sz w:val="24"/>
                <w:szCs w:val="20"/>
              </w:rPr>
              <w:t>本次采购标的所属行业为</w:t>
            </w:r>
            <w:r>
              <w:rPr>
                <w:rFonts w:hint="eastAsia" w:ascii="仿宋" w:hAnsi="仿宋" w:eastAsia="仿宋"/>
                <w:b/>
                <w:color w:val="auto"/>
                <w:kern w:val="0"/>
                <w:sz w:val="24"/>
                <w:szCs w:val="20"/>
                <w:u w:val="single"/>
              </w:rPr>
              <w:t>工业制造业</w:t>
            </w:r>
            <w:r>
              <w:rPr>
                <w:rFonts w:hint="eastAsia" w:ascii="仿宋" w:hAnsi="仿宋" w:eastAsia="仿宋"/>
                <w:b/>
                <w:color w:val="auto"/>
                <w:kern w:val="0"/>
                <w:sz w:val="24"/>
                <w:szCs w:val="20"/>
              </w:rPr>
              <w:t>。</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（3）对满足以上（1）（2）两项条件并按照本文件第五章规定格式提供《中小企业声明函》（须内容填写完整）的小微企业的投标总报价给予</w:t>
            </w:r>
            <w:r>
              <w:rPr>
                <w:rFonts w:hint="eastAsia" w:ascii="仿宋" w:hAnsi="仿宋" w:eastAsia="仿宋"/>
                <w:b/>
                <w:color w:val="auto"/>
                <w:kern w:val="0"/>
                <w:sz w:val="24"/>
                <w:szCs w:val="20"/>
              </w:rPr>
              <w:t xml:space="preserve"> 10 %</w:t>
            </w:r>
            <w:r>
              <w:rPr>
                <w:rFonts w:hint="eastAsia" w:ascii="仿宋" w:hAnsi="仿宋" w:eastAsia="仿宋"/>
                <w:color w:val="auto"/>
                <w:kern w:val="0"/>
                <w:sz w:val="24"/>
                <w:szCs w:val="20"/>
              </w:rPr>
              <w:t>的扣除，用扣除后的价格参与评审。</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（4）依据本办法规定享受扶持政策获得政府采购合同的，小微企业不得将合同分包给大中型企业，中型企业不得将合同分包给大型企业。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（5）提供由省级以上监狱管理局、戒毒管理局（含新疆生产建设兵团）出具的属于监狱企业证明文件（扫描件）的，视同为小型和微型企业。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（6）符合享受政府采购支持政策的残疾人福利性单位条件且提供《残疾人福利性单位声明函》的，视同为小型和微型企业。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18.3节能、环境标志产品评审优惠内容及加分幅度：</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严格执行《财政部 发展改革委 生态环境部 市场监管总局关于调整优化节能产品、环境标志产品政府采购执行机制的通知》（财库〔2019〕9 号）。</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（1）本次采购产品属于政府强制采购产品类别的，须按照要求提供依据国家确定的认证机构出具的、处于有效期之内的节能产品认证证书，</w:t>
            </w:r>
            <w:r>
              <w:rPr>
                <w:rFonts w:hint="eastAsia" w:ascii="仿宋" w:hAnsi="仿宋" w:eastAsia="仿宋"/>
                <w:b/>
                <w:color w:val="auto"/>
                <w:kern w:val="0"/>
                <w:sz w:val="24"/>
                <w:szCs w:val="20"/>
              </w:rPr>
              <w:t>否则投标无效</w:t>
            </w:r>
            <w:r>
              <w:rPr>
                <w:rFonts w:hint="eastAsia" w:ascii="仿宋" w:hAnsi="仿宋" w:eastAsia="仿宋"/>
                <w:color w:val="auto"/>
                <w:kern w:val="0"/>
                <w:sz w:val="24"/>
                <w:szCs w:val="20"/>
              </w:rPr>
              <w:t>。</w:t>
            </w:r>
          </w:p>
          <w:p>
            <w:pPr>
              <w:pStyle w:val="83"/>
              <w:shd w:val="clear" w:color="auto" w:fill="FFFFFF"/>
              <w:spacing w:line="360" w:lineRule="exact"/>
              <w:ind w:firstLine="0" w:firstLineChars="0"/>
              <w:rPr>
                <w:rFonts w:ascii="仿宋" w:hAnsi="仿宋" w:eastAsia="仿宋" w:cs="宋体"/>
                <w:color w:val="auto"/>
                <w:kern w:val="1"/>
                <w:sz w:val="24"/>
              </w:rPr>
            </w:pPr>
            <w:r>
              <w:rPr>
                <w:rFonts w:hint="eastAsia" w:ascii="仿宋" w:hAnsi="仿宋" w:eastAsia="仿宋"/>
                <w:color w:val="auto"/>
                <w:kern w:val="0"/>
                <w:sz w:val="24"/>
                <w:szCs w:val="20"/>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19</w:t>
            </w:r>
          </w:p>
        </w:tc>
        <w:tc>
          <w:tcPr>
            <w:tcW w:w="1993" w:type="dxa"/>
            <w:vAlign w:val="center"/>
          </w:tcPr>
          <w:p>
            <w:pPr>
              <w:spacing w:line="360" w:lineRule="exact"/>
              <w:rPr>
                <w:rFonts w:ascii="仿宋" w:hAnsi="仿宋" w:eastAsia="仿宋" w:cs="宋体"/>
                <w:color w:val="auto"/>
                <w:kern w:val="1"/>
                <w:sz w:val="24"/>
              </w:rPr>
            </w:pPr>
            <w:r>
              <w:rPr>
                <w:rFonts w:hint="eastAsia" w:ascii="仿宋" w:hAnsi="仿宋" w:eastAsia="仿宋" w:cs="宋体"/>
                <w:color w:val="auto"/>
                <w:kern w:val="1"/>
                <w:sz w:val="24"/>
              </w:rPr>
              <w:t>其他说明</w:t>
            </w:r>
          </w:p>
        </w:tc>
        <w:tc>
          <w:tcPr>
            <w:tcW w:w="7218" w:type="dxa"/>
            <w:vAlign w:val="center"/>
          </w:tcPr>
          <w:p>
            <w:pPr>
              <w:spacing w:line="360" w:lineRule="exact"/>
              <w:rPr>
                <w:rFonts w:ascii="仿宋" w:hAnsi="仿宋" w:eastAsia="仿宋" w:cs="宋体"/>
                <w:color w:val="auto"/>
                <w:kern w:val="1"/>
                <w:sz w:val="24"/>
              </w:rPr>
            </w:pPr>
            <w:r>
              <w:rPr>
                <w:rFonts w:hint="eastAsia" w:ascii="仿宋" w:hAnsi="仿宋" w:eastAsia="仿宋" w:cs="宋体"/>
                <w:color w:val="auto"/>
                <w:kern w:val="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360" w:lineRule="exact"/>
              <w:rPr>
                <w:rFonts w:ascii="仿宋" w:hAnsi="仿宋" w:eastAsia="仿宋" w:cs="宋体"/>
                <w:b/>
                <w:color w:val="auto"/>
                <w:kern w:val="1"/>
                <w:sz w:val="24"/>
              </w:rPr>
            </w:pPr>
            <w:r>
              <w:rPr>
                <w:rFonts w:hint="eastAsia" w:ascii="仿宋" w:hAnsi="仿宋" w:eastAsia="仿宋" w:cs="宋体"/>
                <w:color w:val="auto"/>
                <w:kern w:val="1"/>
                <w:sz w:val="24"/>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20</w:t>
            </w:r>
          </w:p>
        </w:tc>
        <w:tc>
          <w:tcPr>
            <w:tcW w:w="1993" w:type="dxa"/>
            <w:vAlign w:val="center"/>
          </w:tcPr>
          <w:p>
            <w:pPr>
              <w:pStyle w:val="650"/>
              <w:spacing w:line="420" w:lineRule="exact"/>
              <w:jc w:val="both"/>
              <w:rPr>
                <w:rFonts w:ascii="仿宋" w:hAnsi="仿宋" w:eastAsia="仿宋"/>
                <w:color w:val="auto"/>
                <w:kern w:val="2"/>
              </w:rPr>
            </w:pPr>
            <w:r>
              <w:rPr>
                <w:rFonts w:hint="eastAsia" w:ascii="仿宋" w:hAnsi="仿宋" w:eastAsia="仿宋" w:cs="宋体"/>
                <w:color w:val="auto"/>
                <w:spacing w:val="-16"/>
                <w:kern w:val="24"/>
              </w:rPr>
              <w:t>招标代理服务费</w:t>
            </w:r>
          </w:p>
        </w:tc>
        <w:tc>
          <w:tcPr>
            <w:tcW w:w="7218" w:type="dxa"/>
            <w:vAlign w:val="center"/>
          </w:tcPr>
          <w:p>
            <w:pPr>
              <w:pStyle w:val="728"/>
              <w:spacing w:line="340" w:lineRule="exact"/>
              <w:rPr>
                <w:rFonts w:ascii="仿宋" w:hAnsi="仿宋" w:eastAsia="仿宋"/>
                <w:color w:val="auto"/>
                <w:kern w:val="0"/>
                <w:sz w:val="24"/>
                <w:szCs w:val="24"/>
              </w:rPr>
            </w:pPr>
            <w:r>
              <w:rPr>
                <w:rFonts w:hint="eastAsia" w:ascii="仿宋" w:hAnsi="仿宋" w:eastAsia="仿宋"/>
                <w:color w:val="auto"/>
                <w:sz w:val="24"/>
                <w:szCs w:val="24"/>
              </w:rPr>
              <w:t>交纳时间：</w:t>
            </w:r>
            <w:bookmarkStart w:id="0" w:name="EB38aee35c8bb7443381a66f9cccb3a2a3"/>
            <w:bookmarkEnd w:id="0"/>
            <w:r>
              <w:rPr>
                <w:rFonts w:hint="eastAsia" w:ascii="仿宋" w:hAnsi="仿宋" w:eastAsia="仿宋" w:cs="宋体"/>
                <w:color w:val="auto"/>
                <w:kern w:val="0"/>
                <w:sz w:val="24"/>
                <w:szCs w:val="24"/>
              </w:rPr>
              <w:t>中标单位在《中标通知书》核发前一次性交纳。</w:t>
            </w:r>
          </w:p>
          <w:p>
            <w:pPr>
              <w:pStyle w:val="728"/>
              <w:spacing w:line="340" w:lineRule="exact"/>
              <w:rPr>
                <w:rFonts w:ascii="仿宋" w:hAnsi="仿宋" w:eastAsia="仿宋" w:cs="宋体"/>
                <w:color w:val="auto"/>
                <w:kern w:val="0"/>
                <w:sz w:val="24"/>
                <w:szCs w:val="24"/>
              </w:rPr>
            </w:pPr>
            <w:r>
              <w:rPr>
                <w:rFonts w:hint="eastAsia" w:ascii="仿宋" w:hAnsi="仿宋" w:eastAsia="仿宋"/>
                <w:color w:val="auto"/>
                <w:kern w:val="0"/>
                <w:sz w:val="24"/>
                <w:szCs w:val="24"/>
              </w:rPr>
              <w:t>交纳金额：</w:t>
            </w:r>
            <w:bookmarkStart w:id="1" w:name="EB2141701fe45e43ecb43361d4713eb39b"/>
            <w:bookmarkEnd w:id="1"/>
            <w:r>
              <w:rPr>
                <w:rFonts w:hint="eastAsia" w:ascii="仿宋" w:hAnsi="仿宋" w:eastAsia="仿宋" w:cs="宋体"/>
                <w:color w:val="auto"/>
                <w:kern w:val="0"/>
                <w:sz w:val="24"/>
                <w:szCs w:val="24"/>
              </w:rPr>
              <w:t>参照【2022】1980号文件执行。</w:t>
            </w:r>
          </w:p>
          <w:p>
            <w:pPr>
              <w:pStyle w:val="728"/>
              <w:spacing w:line="340" w:lineRule="exact"/>
              <w:rPr>
                <w:rFonts w:ascii="仿宋" w:hAnsi="仿宋" w:eastAsia="仿宋"/>
                <w:color w:val="auto"/>
                <w:kern w:val="0"/>
                <w:sz w:val="24"/>
                <w:szCs w:val="24"/>
              </w:rPr>
            </w:pPr>
            <w:r>
              <w:rPr>
                <w:rFonts w:hint="eastAsia" w:ascii="仿宋" w:hAnsi="仿宋" w:eastAsia="仿宋"/>
                <w:bCs/>
                <w:color w:val="auto"/>
                <w:sz w:val="24"/>
                <w:szCs w:val="24"/>
              </w:rPr>
              <w:t>账户名称：新疆品创项目管理咨询有限公司</w:t>
            </w:r>
          </w:p>
          <w:p>
            <w:pPr>
              <w:pStyle w:val="83"/>
              <w:shd w:val="clear" w:color="auto" w:fill="FFFFFF"/>
              <w:spacing w:line="34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开户银行：中国银行股份有限公司乌鲁木齐市安居南路支行</w:t>
            </w:r>
          </w:p>
          <w:p>
            <w:pPr>
              <w:pStyle w:val="83"/>
              <w:shd w:val="clear" w:color="auto" w:fill="FFFFFF"/>
              <w:spacing w:line="34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账号：107685372797</w:t>
            </w:r>
          </w:p>
          <w:p>
            <w:pPr>
              <w:pStyle w:val="650"/>
              <w:spacing w:line="420" w:lineRule="exact"/>
              <w:jc w:val="both"/>
              <w:rPr>
                <w:rFonts w:ascii="仿宋" w:hAnsi="仿宋" w:eastAsia="仿宋"/>
                <w:color w:val="auto"/>
                <w:kern w:val="2"/>
              </w:rPr>
            </w:pPr>
            <w:r>
              <w:rPr>
                <w:rFonts w:hint="eastAsia" w:ascii="仿宋" w:hAnsi="仿宋" w:eastAsia="仿宋"/>
                <w:bCs/>
                <w:color w:val="auto"/>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21</w:t>
            </w:r>
          </w:p>
        </w:tc>
        <w:tc>
          <w:tcPr>
            <w:tcW w:w="9211" w:type="dxa"/>
            <w:gridSpan w:val="2"/>
            <w:vAlign w:val="center"/>
          </w:tcPr>
          <w:p>
            <w:pPr>
              <w:pStyle w:val="650"/>
              <w:spacing w:line="420" w:lineRule="exact"/>
              <w:jc w:val="both"/>
              <w:rPr>
                <w:rFonts w:ascii="仿宋" w:hAnsi="仿宋" w:eastAsia="仿宋" w:cs="宋体"/>
                <w:b/>
                <w:color w:val="auto"/>
                <w:kern w:val="1"/>
              </w:rPr>
            </w:pPr>
            <w:r>
              <w:rPr>
                <w:rFonts w:hint="eastAsia" w:ascii="仿宋" w:hAnsi="仿宋" w:eastAsia="仿宋" w:cs="宋体"/>
                <w:color w:val="auto"/>
                <w:kern w:val="1"/>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bl>
    <w:p>
      <w:pPr>
        <w:widowControl/>
        <w:jc w:val="left"/>
        <w:rPr>
          <w:rFonts w:ascii="仿宋" w:hAnsi="仿宋" w:eastAsia="仿宋"/>
          <w:b/>
          <w:bCs/>
          <w:color w:val="auto"/>
          <w:kern w:val="0"/>
          <w:sz w:val="28"/>
          <w:szCs w:val="28"/>
        </w:rPr>
      </w:pPr>
      <w:r>
        <w:rPr>
          <w:rFonts w:ascii="仿宋" w:hAnsi="仿宋" w:eastAsia="仿宋"/>
          <w:b/>
          <w:bCs/>
          <w:color w:val="auto"/>
          <w:kern w:val="0"/>
          <w:sz w:val="28"/>
          <w:szCs w:val="28"/>
        </w:rPr>
        <w:br w:type="page"/>
      </w:r>
    </w:p>
    <w:p>
      <w:pPr>
        <w:shd w:val="clear" w:color="auto" w:fill="FFFFFF"/>
        <w:autoSpaceDE w:val="0"/>
        <w:autoSpaceDN w:val="0"/>
        <w:adjustRightInd w:val="0"/>
        <w:spacing w:line="440" w:lineRule="exact"/>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二、投标须知</w:t>
      </w:r>
    </w:p>
    <w:p>
      <w:pPr>
        <w:shd w:val="clear" w:color="auto" w:fill="FFFFFF"/>
        <w:spacing w:line="420" w:lineRule="exact"/>
        <w:ind w:firstLine="480" w:firstLineChars="200"/>
        <w:rPr>
          <w:rFonts w:ascii="仿宋" w:hAnsi="仿宋" w:eastAsia="仿宋"/>
          <w:color w:val="auto"/>
          <w:sz w:val="24"/>
        </w:rPr>
      </w:pPr>
      <w:bookmarkStart w:id="2" w:name="_Hlk519799218"/>
      <w:bookmarkStart w:id="3" w:name="_Hlk519798821"/>
      <w:r>
        <w:rPr>
          <w:rFonts w:hint="eastAsia" w:ascii="仿宋" w:hAnsi="仿宋" w:eastAsia="仿宋"/>
          <w:color w:val="auto"/>
          <w:sz w:val="24"/>
        </w:rPr>
        <w:t>（一）总则</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1. 项目说明</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1.1 本项目概况详见投标须知前附表（以下简称“前附表”）第1项所述。</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1.2本招标项目已经批准，已具备招标条件，现对该项目组织进行公开招标。</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1.3</w:t>
      </w:r>
      <w:r>
        <w:rPr>
          <w:rFonts w:hint="eastAsia" w:ascii="仿宋" w:hAnsi="仿宋" w:eastAsia="仿宋"/>
          <w:color w:val="auto"/>
          <w:sz w:val="24"/>
        </w:rPr>
        <w:t>本招标项目供应商的资格审查采取资格后审方式。本次招标不接受联合体投标、不接受备选方案。</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1.4 资格后审包括下列的内容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1.4.1 供应商应满足“前附表”第4项规定的资格要求 ；</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1.4.2招标文件有要求供应商法定代表人（或负责人）或其授权代表签字或盖章和加盖供应商公章要求的，供应商须按招标文件要求签署；</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1.4.3交货期符合招标文件要求；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1.4.4交货地点符合招标文件规定；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1.4.5投标内容、数量、质量、服务等满足招标文件要求；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1.4.6符合招标文件中规定的其他实质性要求；</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1.4.7无法律、法规和规章禁止的其他情况。</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2. 招标范围</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2.1本招标项目招标范围</w:t>
      </w:r>
      <w:r>
        <w:rPr>
          <w:rFonts w:hint="eastAsia" w:ascii="仿宋" w:hAnsi="仿宋" w:eastAsia="仿宋"/>
          <w:color w:val="auto"/>
          <w:kern w:val="0"/>
          <w:sz w:val="24"/>
        </w:rPr>
        <w:t>已通过“前附表”第1项</w:t>
      </w:r>
      <w:r>
        <w:rPr>
          <w:rFonts w:hint="eastAsia" w:ascii="仿宋" w:hAnsi="仿宋" w:eastAsia="仿宋"/>
          <w:color w:val="auto"/>
          <w:sz w:val="24"/>
        </w:rPr>
        <w:t>采购内容</w:t>
      </w:r>
      <w:r>
        <w:rPr>
          <w:rFonts w:hint="eastAsia" w:ascii="仿宋" w:hAnsi="仿宋" w:eastAsia="仿宋"/>
          <w:color w:val="auto"/>
          <w:kern w:val="0"/>
          <w:sz w:val="24"/>
        </w:rPr>
        <w:t>所述，</w:t>
      </w:r>
      <w:r>
        <w:rPr>
          <w:rFonts w:hint="eastAsia" w:ascii="仿宋" w:hAnsi="仿宋" w:eastAsia="仿宋"/>
          <w:color w:val="auto"/>
          <w:sz w:val="24"/>
        </w:rPr>
        <w:t>指本项目招标文件中范围内所要求的所有工作内容。</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3. 适用法律及约束力</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3.1 本次招标及由本次招标产生的合同受中华人民共和国的相关法律、法规制约和保护。供应商一旦购买了招标文件并参加本项目，即被认为接受了招标文件中的所有条件和规定。</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4. 招标项目实施要求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4.1质量标准已通过“前附表”第3项所述。</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rPr>
        <w:t>4.2 供应商与采购人签订合同后，按照招标文件及合同相关的要求编制现场服务计划。</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5. 交货期及交货地点</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5.1 交货期已</w:t>
      </w:r>
      <w:r>
        <w:rPr>
          <w:rFonts w:hint="eastAsia" w:ascii="仿宋" w:hAnsi="仿宋" w:eastAsia="仿宋"/>
          <w:color w:val="auto"/>
          <w:kern w:val="0"/>
          <w:sz w:val="24"/>
        </w:rPr>
        <w:t>通过“前附表”第15项所述，</w:t>
      </w:r>
      <w:r>
        <w:rPr>
          <w:rFonts w:hint="eastAsia" w:ascii="仿宋" w:hAnsi="仿宋" w:eastAsia="仿宋"/>
          <w:color w:val="auto"/>
          <w:sz w:val="24"/>
        </w:rPr>
        <w:t>是指完成本项目采购内容及配套服务工作、验收合格并移交采购人的时间；交货地点已</w:t>
      </w:r>
      <w:r>
        <w:rPr>
          <w:rFonts w:hint="eastAsia" w:ascii="仿宋" w:hAnsi="仿宋" w:eastAsia="仿宋"/>
          <w:color w:val="auto"/>
          <w:kern w:val="0"/>
          <w:sz w:val="24"/>
        </w:rPr>
        <w:t>通过“前附表”第15项所述</w:t>
      </w:r>
      <w:r>
        <w:rPr>
          <w:rFonts w:hint="eastAsia" w:ascii="仿宋" w:hAnsi="仿宋" w:eastAsia="仿宋"/>
          <w:color w:val="auto"/>
          <w:sz w:val="24"/>
        </w:rPr>
        <w:t>。</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6. 资金来源</w:t>
      </w:r>
    </w:p>
    <w:p>
      <w:pPr>
        <w:shd w:val="clear" w:color="auto" w:fill="FFFFFF"/>
        <w:spacing w:line="420" w:lineRule="exact"/>
        <w:ind w:firstLine="480" w:firstLineChars="200"/>
        <w:rPr>
          <w:rFonts w:ascii="仿宋" w:hAnsi="仿宋" w:eastAsia="仿宋"/>
          <w:b/>
          <w:bCs/>
          <w:color w:val="auto"/>
          <w:kern w:val="0"/>
          <w:sz w:val="24"/>
        </w:rPr>
      </w:pPr>
      <w:r>
        <w:rPr>
          <w:rFonts w:hint="eastAsia" w:ascii="仿宋" w:hAnsi="仿宋" w:eastAsia="仿宋"/>
          <w:bCs/>
          <w:color w:val="auto"/>
          <w:kern w:val="0"/>
          <w:sz w:val="24"/>
        </w:rPr>
        <w:t>6.1</w:t>
      </w:r>
      <w:r>
        <w:rPr>
          <w:rFonts w:hint="eastAsia" w:ascii="仿宋" w:hAnsi="仿宋" w:eastAsia="仿宋"/>
          <w:color w:val="auto"/>
          <w:kern w:val="0"/>
          <w:sz w:val="24"/>
        </w:rPr>
        <w:t>采购单位的资金通过“前附表”第 1 项所述的方式获得，并将部分资金用于本项目合同下的合格支付。</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7. 供应商资格要求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供应商资格要求须满足“前附表”第4项要求。</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 xml:space="preserve">8. </w:t>
      </w:r>
      <w:r>
        <w:rPr>
          <w:rFonts w:hint="eastAsia" w:ascii="仿宋" w:hAnsi="仿宋" w:eastAsia="仿宋"/>
          <w:b/>
          <w:bCs/>
          <w:color w:val="auto"/>
          <w:kern w:val="0"/>
          <w:sz w:val="24"/>
        </w:rPr>
        <w:t>投标费用</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供应商应承担其编制投标文件与递交投标文件所涉及的一切费用，不论投标结果如何，采购人或采购代理机构均无义务和责任承担这些费用。</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9. 授权委托</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9.1 供应商代表为法定代表人（或负责人）的，须持有法定代表人（或负责人）资格证明书和法定代表人（或负责人）身份证；供应商代表不是供应商的法定代表人（或负责人）的，须持有法定代表人（或负责人）授权委托书和授权代表人的本人身份证。</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10. 联合体投标</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bCs/>
          <w:color w:val="auto"/>
          <w:kern w:val="0"/>
          <w:sz w:val="24"/>
          <w:lang w:val="zh-CN"/>
        </w:rPr>
        <w:t>款</w:t>
      </w:r>
      <w:r>
        <w:rPr>
          <w:rFonts w:hint="eastAsia" w:ascii="仿宋" w:hAnsi="仿宋" w:eastAsia="仿宋"/>
          <w:bCs/>
          <w:color w:val="auto"/>
          <w:kern w:val="0"/>
          <w:sz w:val="24"/>
        </w:rPr>
        <w:t xml:space="preserve">规定外，还应遵守以下规定： </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（l）联合体各方应按招标文件提供的格式签订</w:t>
      </w:r>
      <w:r>
        <w:rPr>
          <w:rFonts w:hint="eastAsia" w:ascii="仿宋" w:hAnsi="仿宋" w:eastAsia="仿宋"/>
          <w:bCs/>
          <w:color w:val="auto"/>
          <w:kern w:val="0"/>
          <w:sz w:val="24"/>
          <w:u w:val="single"/>
        </w:rPr>
        <w:t>联合体协议</w:t>
      </w:r>
      <w:r>
        <w:rPr>
          <w:rFonts w:hint="eastAsia" w:ascii="仿宋" w:hAnsi="仿宋" w:eastAsia="仿宋"/>
          <w:bCs/>
          <w:color w:val="auto"/>
          <w:kern w:val="0"/>
          <w:sz w:val="24"/>
        </w:rPr>
        <w:t>，明确联合体牵头人和各方的权利义务、合同工作量比例；</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（2）联合体各方签订联合体协议书后，不得再单独参加或者与其他供应商组成新的联合体参加同一项目的采购活动。</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11.信用信息查询</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11.1查询渠道：“信用中国”网站（www.creditchina.gov.cn）、中国政府采购网（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68"/>
          <w:rFonts w:hint="eastAsia" w:ascii="仿宋" w:hAnsi="仿宋" w:eastAsia="仿宋"/>
          <w:bCs/>
          <w:color w:val="auto"/>
          <w:kern w:val="0"/>
          <w:sz w:val="24"/>
        </w:rPr>
        <w:t>www.ccgp.gov.cn</w:t>
      </w:r>
      <w:r>
        <w:rPr>
          <w:rStyle w:val="68"/>
          <w:rFonts w:hint="eastAsia" w:ascii="仿宋" w:hAnsi="仿宋" w:eastAsia="仿宋"/>
          <w:bCs/>
          <w:color w:val="auto"/>
          <w:kern w:val="0"/>
          <w:sz w:val="24"/>
        </w:rPr>
        <w:fldChar w:fldCharType="end"/>
      </w:r>
      <w:r>
        <w:rPr>
          <w:rFonts w:hint="eastAsia" w:ascii="仿宋" w:hAnsi="仿宋" w:eastAsia="仿宋"/>
          <w:bCs/>
          <w:color w:val="auto"/>
          <w:kern w:val="0"/>
          <w:sz w:val="24"/>
        </w:rPr>
        <w:t>）。</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bCs/>
          <w:color w:val="auto"/>
          <w:kern w:val="0"/>
          <w:sz w:val="24"/>
        </w:rPr>
        <w:t>11.3</w:t>
      </w:r>
      <w:r>
        <w:rPr>
          <w:rFonts w:hint="eastAsia" w:ascii="仿宋" w:hAnsi="仿宋" w:eastAsia="仿宋" w:cs="宋体"/>
          <w:color w:val="auto"/>
          <w:sz w:val="24"/>
        </w:rPr>
        <w:t>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（二）招标文件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12. 招标文件的组成</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12.1 招标文件包括下列内容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第一章 招标公告</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第二章 投标须知前附表及投标须知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第三章 合同条款</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第四章 采购需求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第五章 投标文件格式</w:t>
      </w:r>
    </w:p>
    <w:p>
      <w:pPr>
        <w:shd w:val="clear" w:color="auto" w:fill="FFFFFF"/>
        <w:autoSpaceDE w:val="0"/>
        <w:autoSpaceDN w:val="0"/>
        <w:adjustRightInd w:val="0"/>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12.2</w:t>
      </w:r>
      <w:r>
        <w:rPr>
          <w:rFonts w:hint="eastAsia" w:ascii="仿宋" w:hAnsi="仿宋" w:eastAsia="仿宋"/>
          <w:b/>
          <w:bCs/>
          <w:color w:val="auto"/>
          <w:sz w:val="24"/>
          <w:lang w:val="zh-CN"/>
        </w:rPr>
        <w:t>招标的最小单位是标项。招标文件未分标项的，供应商须对全部招标内容投标，不得部分投标；招标文件分标项的，供应商应当以标项为单位编制并提交投标文件。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lang w:val="zh-CN"/>
        </w:rPr>
        <w:t>12.3 招标文件如果要求供应商提交备选投标方案的，供应商可以提交备选方案；否则，备选方案将被拒绝。</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12.4 招标文件由本文件及由采购人按招标文件有关规定发出的招标文件补充构成。</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12.5 招标文件的澄清、修改、招标答疑会纪要等书面材料在本招标项目中均称招标文件补充。</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pPr>
        <w:shd w:val="clear" w:color="auto" w:fill="FFFFFF"/>
        <w:spacing w:line="420" w:lineRule="exact"/>
        <w:ind w:firstLine="482" w:firstLineChars="200"/>
        <w:rPr>
          <w:rFonts w:ascii="仿宋" w:hAnsi="仿宋" w:eastAsia="仿宋"/>
          <w:b/>
          <w:color w:val="auto"/>
          <w:sz w:val="24"/>
          <w:lang w:val="zh-CN"/>
        </w:rPr>
      </w:pPr>
      <w:r>
        <w:rPr>
          <w:rFonts w:hint="eastAsia" w:ascii="仿宋" w:hAnsi="仿宋" w:eastAsia="仿宋"/>
          <w:b/>
          <w:color w:val="auto"/>
          <w:sz w:val="24"/>
          <w:lang w:val="zh-CN"/>
        </w:rPr>
        <w:t>13. 招标文件的获取</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13.1招标文件的提供期限自开始发出之日起不得少于五个工作日，具体期限见招标公告。</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13.2凡符合资格要求并有意参加投标的供应商,均可在</w:t>
      </w:r>
      <w:r>
        <w:rPr>
          <w:rFonts w:hint="eastAsia" w:ascii="仿宋" w:hAnsi="仿宋" w:eastAsia="仿宋"/>
          <w:color w:val="auto"/>
          <w:kern w:val="0"/>
          <w:sz w:val="24"/>
        </w:rPr>
        <w:t>本项目公告发布平台免费获取招标文件。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14. 招标文件的澄清或修改</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14.1.1供应商的姓名或者名称、地址、邮编、联系人及联系电话；</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14.1.2质疑项目的名称、编号；</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14.1.3具体、明确的质疑事项和与质疑事项相关的请求；</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14.1.4事实依据；</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14.1.5必要的法律依据；</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14.1.6提出质疑的日期。</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15. 投标报价</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15.1 本招标项目使用的货币为</w:t>
      </w:r>
      <w:r>
        <w:rPr>
          <w:rFonts w:hint="eastAsia" w:ascii="仿宋" w:hAnsi="仿宋" w:eastAsia="仿宋"/>
          <w:color w:val="auto"/>
          <w:kern w:val="0"/>
          <w:sz w:val="24"/>
          <w:u w:val="single"/>
        </w:rPr>
        <w:t xml:space="preserve"> 人民币 </w:t>
      </w:r>
      <w:r>
        <w:rPr>
          <w:rFonts w:hint="eastAsia" w:ascii="仿宋" w:hAnsi="仿宋" w:eastAsia="仿宋"/>
          <w:color w:val="auto"/>
          <w:kern w:val="0"/>
          <w:sz w:val="24"/>
        </w:rPr>
        <w:t>，实施时亦以</w:t>
      </w:r>
      <w:r>
        <w:rPr>
          <w:rFonts w:hint="eastAsia" w:ascii="仿宋" w:hAnsi="仿宋" w:eastAsia="仿宋"/>
          <w:color w:val="auto"/>
          <w:kern w:val="0"/>
          <w:sz w:val="24"/>
          <w:u w:val="single"/>
        </w:rPr>
        <w:t xml:space="preserve"> 人民币 </w:t>
      </w:r>
      <w:r>
        <w:rPr>
          <w:rFonts w:hint="eastAsia" w:ascii="仿宋" w:hAnsi="仿宋" w:eastAsia="仿宋"/>
          <w:color w:val="auto"/>
          <w:kern w:val="0"/>
          <w:sz w:val="24"/>
        </w:rPr>
        <w:t>支付。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15.2 投标报价为本招标文件所确定的招标范围内的全部工作内容的价格体现。任何有选择的报价将不予接受（除非采购人另有约定），否则，在评标时将视为投标无效。</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15.3</w:t>
      </w:r>
      <w:r>
        <w:rPr>
          <w:rFonts w:ascii="仿宋" w:hAnsi="仿宋" w:eastAsia="仿宋"/>
          <w:color w:val="auto"/>
          <w:kern w:val="0"/>
          <w:sz w:val="24"/>
        </w:rPr>
        <w:t>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15.4供应商应按本文件给定的格式填报《开标一览表》及《分项报价明细表》，《开标一览表》</w:t>
      </w:r>
      <w:r>
        <w:rPr>
          <w:rFonts w:ascii="仿宋" w:hAnsi="仿宋" w:eastAsia="仿宋"/>
          <w:color w:val="auto"/>
          <w:kern w:val="0"/>
          <w:sz w:val="24"/>
        </w:rPr>
        <w:t>中价格填报处不应有空白，如无费用可填报“/”</w:t>
      </w:r>
      <w:r>
        <w:rPr>
          <w:rFonts w:hint="eastAsia"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15.5供应商</w:t>
      </w:r>
      <w:r>
        <w:rPr>
          <w:rFonts w:ascii="仿宋" w:hAnsi="仿宋" w:eastAsia="仿宋"/>
          <w:color w:val="auto"/>
          <w:kern w:val="0"/>
          <w:sz w:val="24"/>
        </w:rPr>
        <w:t>对投标报价若有说明应在</w:t>
      </w:r>
      <w:r>
        <w:rPr>
          <w:rFonts w:hint="eastAsia" w:ascii="仿宋" w:hAnsi="仿宋" w:eastAsia="仿宋"/>
          <w:color w:val="auto"/>
          <w:kern w:val="0"/>
          <w:sz w:val="24"/>
        </w:rPr>
        <w:t>《开标一览表》</w:t>
      </w:r>
      <w:r>
        <w:rPr>
          <w:rFonts w:ascii="仿宋" w:hAnsi="仿宋" w:eastAsia="仿宋"/>
          <w:color w:val="auto"/>
          <w:kern w:val="0"/>
          <w:sz w:val="24"/>
        </w:rPr>
        <w:t>显著处注明，只有开标时唱出的报价和优惠才会在评标时予以考虑。报价优惠应对应</w:t>
      </w:r>
      <w:r>
        <w:rPr>
          <w:rFonts w:hint="eastAsia" w:ascii="仿宋" w:hAnsi="仿宋" w:eastAsia="仿宋"/>
          <w:color w:val="auto"/>
          <w:kern w:val="0"/>
          <w:sz w:val="24"/>
        </w:rPr>
        <w:t>《开标一览表》及《分项报价明细表》</w:t>
      </w:r>
      <w:r>
        <w:rPr>
          <w:rFonts w:ascii="仿宋" w:hAnsi="仿宋" w:eastAsia="仿宋"/>
          <w:color w:val="auto"/>
          <w:kern w:val="0"/>
          <w:sz w:val="24"/>
        </w:rPr>
        <w:t>提供相应的明细清单。除报价优惠外，任何超出招标文件要求而额外赠送的货物、免费培训等其他形式的优惠，</w:t>
      </w:r>
      <w:r>
        <w:rPr>
          <w:rFonts w:hint="eastAsia" w:ascii="仿宋" w:hAnsi="仿宋" w:eastAsia="仿宋"/>
          <w:color w:val="auto"/>
          <w:kern w:val="0"/>
          <w:sz w:val="24"/>
        </w:rPr>
        <w:t>将不被允许并不予接受</w:t>
      </w:r>
      <w:r>
        <w:rPr>
          <w:rFonts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15.6</w:t>
      </w:r>
      <w:r>
        <w:rPr>
          <w:rFonts w:ascii="仿宋" w:hAnsi="仿宋" w:eastAsia="仿宋"/>
          <w:color w:val="auto"/>
          <w:kern w:val="0"/>
          <w:sz w:val="24"/>
        </w:rPr>
        <w:t>对于有配件、耗材、选件和特殊工具的货物，还应填报投标货物配件、耗材、选件表和备件及特殊工具清单，注明品牌、型号、产地、功能、单价等内容，如招标文件未提供相关格式的，应由投标人自行</w:t>
      </w:r>
      <w:r>
        <w:rPr>
          <w:rFonts w:hint="eastAsia" w:ascii="仿宋" w:hAnsi="仿宋" w:eastAsia="仿宋"/>
          <w:color w:val="auto"/>
          <w:kern w:val="0"/>
          <w:sz w:val="24"/>
        </w:rPr>
        <w:t>设计编写</w:t>
      </w:r>
      <w:r>
        <w:rPr>
          <w:rFonts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15.8投标文件报价出现前后不一致的，除招标文件另有规定外，按照下列规定修正：</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（一）投标文件中《开标一览表》内容与投标文件中相应内容不一致的，以《开标一览表》为准；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（二）大写金额和小写金额不一致的，以大写金额为准；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（三）单价金额小数点或者百分比有明显错位的，以《开标一览表》的总价为准，并修改单价；</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（四）总价金额与按单价汇总金额不一致的，以单价金额计算结果为准。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同时出现两种以上不一致的，按照前款规定的顺序修正。</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修正后的报价遵照如下规定处理：供应商的澄清、说明或者补正应当采用书面形式，并加盖公章，或者由法定代表人（或负责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16.投标保证金</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16.2 供应商应提交投标保证金，并作为其投标的一部分。招标文件《前附表》规定交纳</w:t>
      </w:r>
      <w:r>
        <w:rPr>
          <w:rFonts w:hint="eastAsia" w:ascii="仿宋" w:hAnsi="仿宋" w:eastAsia="仿宋"/>
          <w:bCs/>
          <w:color w:val="auto"/>
          <w:kern w:val="0"/>
          <w:sz w:val="24"/>
        </w:rPr>
        <w:t>投标保证金的</w:t>
      </w:r>
      <w:r>
        <w:rPr>
          <w:rFonts w:hint="eastAsia" w:ascii="仿宋" w:hAnsi="仿宋" w:eastAsia="仿宋"/>
          <w:color w:val="auto"/>
          <w:kern w:val="0"/>
          <w:sz w:val="24"/>
        </w:rPr>
        <w:t>，</w:t>
      </w:r>
      <w:r>
        <w:rPr>
          <w:rFonts w:hint="eastAsia" w:ascii="仿宋" w:hAnsi="仿宋" w:eastAsia="仿宋"/>
          <w:bCs/>
          <w:color w:val="auto"/>
          <w:kern w:val="0"/>
          <w:sz w:val="24"/>
        </w:rPr>
        <w:t>供应商应按招标文件</w:t>
      </w:r>
      <w:r>
        <w:rPr>
          <w:rFonts w:hint="eastAsia" w:ascii="仿宋" w:hAnsi="仿宋" w:eastAsia="仿宋"/>
          <w:color w:val="auto"/>
          <w:kern w:val="0"/>
          <w:sz w:val="24"/>
        </w:rPr>
        <w:t>《前附表》规定的要求</w:t>
      </w:r>
      <w:r>
        <w:rPr>
          <w:rFonts w:hint="eastAsia" w:ascii="仿宋" w:hAnsi="仿宋" w:eastAsia="仿宋"/>
          <w:bCs/>
          <w:color w:val="auto"/>
          <w:kern w:val="0"/>
          <w:sz w:val="24"/>
        </w:rPr>
        <w:t>提交保证金</w:t>
      </w:r>
      <w:r>
        <w:rPr>
          <w:rFonts w:hint="eastAsia" w:ascii="仿宋" w:hAnsi="仿宋" w:eastAsia="仿宋"/>
          <w:color w:val="auto"/>
          <w:kern w:val="0"/>
          <w:sz w:val="24"/>
        </w:rPr>
        <w:t>，</w:t>
      </w:r>
      <w:r>
        <w:rPr>
          <w:rFonts w:hint="eastAsia" w:ascii="仿宋" w:hAnsi="仿宋" w:eastAsia="仿宋"/>
          <w:bCs/>
          <w:color w:val="auto"/>
          <w:kern w:val="0"/>
          <w:sz w:val="24"/>
        </w:rPr>
        <w:t>投标保证金有效期应与</w:t>
      </w:r>
      <w:r>
        <w:rPr>
          <w:rFonts w:hint="eastAsia" w:ascii="仿宋" w:hAnsi="仿宋" w:eastAsia="仿宋"/>
          <w:color w:val="auto"/>
          <w:kern w:val="0"/>
          <w:sz w:val="24"/>
        </w:rPr>
        <w:t>招标文件规定</w:t>
      </w:r>
      <w:r>
        <w:rPr>
          <w:rFonts w:hint="eastAsia" w:ascii="仿宋" w:hAnsi="仿宋" w:eastAsia="仿宋"/>
          <w:bCs/>
          <w:color w:val="auto"/>
          <w:kern w:val="0"/>
          <w:sz w:val="24"/>
        </w:rPr>
        <w:t>的投标有效期一致。</w:t>
      </w:r>
      <w:r>
        <w:rPr>
          <w:rFonts w:hint="eastAsia" w:ascii="仿宋" w:hAnsi="仿宋" w:eastAsia="仿宋"/>
          <w:b/>
          <w:bCs/>
          <w:color w:val="auto"/>
          <w:kern w:val="0"/>
          <w:sz w:val="24"/>
        </w:rPr>
        <w:t>供应商</w:t>
      </w:r>
      <w:r>
        <w:rPr>
          <w:rFonts w:hint="eastAsia" w:ascii="仿宋" w:hAnsi="仿宋" w:eastAsia="仿宋"/>
          <w:b/>
          <w:color w:val="auto"/>
          <w:kern w:val="0"/>
          <w:sz w:val="24"/>
        </w:rPr>
        <w:t>未按照招标文件《前附表》要求提交投标保证金的，投标无效。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16.3招标文件接受联合体投标的，可以由联合体中的一方或者共同提交投标保证金。以一方名义提交投标保证金的，对联合体各方均具有约束力。</w:t>
      </w:r>
    </w:p>
    <w:p>
      <w:pPr>
        <w:shd w:val="clear" w:color="auto" w:fill="FFFFFF"/>
        <w:spacing w:line="420" w:lineRule="exact"/>
        <w:ind w:firstLine="480" w:firstLineChars="200"/>
        <w:rPr>
          <w:rFonts w:ascii="仿宋" w:hAnsi="仿宋" w:eastAsia="仿宋"/>
          <w:b/>
          <w:color w:val="auto"/>
          <w:kern w:val="0"/>
          <w:sz w:val="24"/>
        </w:rPr>
      </w:pPr>
      <w:r>
        <w:rPr>
          <w:rFonts w:hint="eastAsia" w:ascii="仿宋" w:hAnsi="仿宋" w:eastAsia="仿宋"/>
          <w:color w:val="auto"/>
          <w:kern w:val="0"/>
          <w:sz w:val="24"/>
        </w:rPr>
        <w:t>16.4 未中标人的投标保证金，将在中标通知书发出5个工作日内退还。因违反规定被没收的投标保证金不予退回。</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16.5 中标人的投标保证金自采购合同签订之日起5个工作日内退还。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 xml:space="preserve">16.6 </w:t>
      </w:r>
      <w:r>
        <w:rPr>
          <w:rFonts w:hint="eastAsia" w:ascii="仿宋" w:hAnsi="仿宋" w:eastAsia="仿宋"/>
          <w:b/>
          <w:color w:val="auto"/>
          <w:kern w:val="0"/>
          <w:sz w:val="24"/>
        </w:rPr>
        <w:t>下列任何情况发生时，投标保证金将被没收：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16.6.1 供应商在规定的投标有效期内撤回其投标；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16.6.2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 xml:space="preserve">16.7 </w:t>
      </w:r>
      <w:r>
        <w:rPr>
          <w:rFonts w:hint="eastAsia" w:ascii="仿宋" w:hAnsi="仿宋" w:eastAsia="仿宋"/>
          <w:b/>
          <w:color w:val="auto"/>
          <w:kern w:val="0"/>
          <w:sz w:val="24"/>
        </w:rPr>
        <w:t>供应商办理投标保证金退款申请手续须提供以下资料：</w:t>
      </w:r>
    </w:p>
    <w:p>
      <w:pPr>
        <w:shd w:val="clear" w:color="auto" w:fill="FFFFFF"/>
        <w:autoSpaceDE w:val="0"/>
        <w:autoSpaceDN w:val="0"/>
        <w:adjustRightInd w:val="0"/>
        <w:spacing w:line="420" w:lineRule="exact"/>
        <w:ind w:firstLine="482" w:firstLineChars="200"/>
        <w:jc w:val="left"/>
        <w:rPr>
          <w:rFonts w:ascii="仿宋" w:hAnsi="仿宋" w:eastAsia="仿宋"/>
          <w:b/>
          <w:color w:val="auto"/>
          <w:kern w:val="0"/>
          <w:sz w:val="24"/>
          <w:u w:val="single"/>
        </w:rPr>
      </w:pPr>
      <w:r>
        <w:rPr>
          <w:rFonts w:ascii="仿宋" w:hAnsi="仿宋" w:eastAsia="仿宋"/>
          <w:b/>
          <w:color w:val="auto"/>
          <w:kern w:val="0"/>
          <w:sz w:val="24"/>
          <w:u w:val="single"/>
        </w:rPr>
        <w:t>1</w:t>
      </w:r>
      <w:r>
        <w:rPr>
          <w:rFonts w:hint="eastAsia" w:ascii="仿宋" w:hAnsi="仿宋" w:eastAsia="仿宋"/>
          <w:b/>
          <w:color w:val="auto"/>
          <w:kern w:val="0"/>
          <w:sz w:val="24"/>
          <w:u w:val="single"/>
        </w:rPr>
        <w:t>6</w:t>
      </w:r>
      <w:r>
        <w:rPr>
          <w:rFonts w:ascii="仿宋" w:hAnsi="仿宋" w:eastAsia="仿宋"/>
          <w:b/>
          <w:color w:val="auto"/>
          <w:kern w:val="0"/>
          <w:sz w:val="24"/>
          <w:u w:val="single"/>
        </w:rPr>
        <w:t>.</w:t>
      </w:r>
      <w:r>
        <w:rPr>
          <w:rFonts w:hint="eastAsia" w:ascii="仿宋" w:hAnsi="仿宋" w:eastAsia="仿宋"/>
          <w:b/>
          <w:color w:val="auto"/>
          <w:kern w:val="0"/>
          <w:sz w:val="24"/>
          <w:u w:val="single"/>
        </w:rPr>
        <w:t>7</w:t>
      </w:r>
      <w:r>
        <w:rPr>
          <w:rFonts w:ascii="仿宋" w:hAnsi="仿宋" w:eastAsia="仿宋"/>
          <w:b/>
          <w:color w:val="auto"/>
          <w:kern w:val="0"/>
          <w:sz w:val="24"/>
          <w:u w:val="single"/>
        </w:rPr>
        <w:t xml:space="preserve">.1 </w:t>
      </w:r>
      <w:r>
        <w:rPr>
          <w:rFonts w:hint="eastAsia" w:ascii="仿宋" w:hAnsi="仿宋" w:eastAsia="仿宋"/>
          <w:b/>
          <w:color w:val="auto"/>
          <w:kern w:val="0"/>
          <w:sz w:val="24"/>
          <w:u w:val="single"/>
        </w:rPr>
        <w:t>供应商清晰的单位名称、开户银行名称、银行账号、银行行号。</w:t>
      </w:r>
    </w:p>
    <w:p>
      <w:pPr>
        <w:shd w:val="clear" w:color="auto" w:fill="FFFFFF"/>
        <w:spacing w:line="420" w:lineRule="exact"/>
        <w:ind w:firstLine="482" w:firstLineChars="200"/>
        <w:rPr>
          <w:rFonts w:ascii="仿宋" w:hAnsi="仿宋" w:eastAsia="仿宋"/>
          <w:color w:val="auto"/>
          <w:kern w:val="0"/>
          <w:sz w:val="24"/>
        </w:rPr>
      </w:pPr>
      <w:r>
        <w:rPr>
          <w:rFonts w:ascii="仿宋" w:hAnsi="仿宋" w:eastAsia="仿宋"/>
          <w:b/>
          <w:color w:val="auto"/>
          <w:kern w:val="0"/>
          <w:sz w:val="24"/>
          <w:u w:val="single"/>
        </w:rPr>
        <w:t>1</w:t>
      </w:r>
      <w:r>
        <w:rPr>
          <w:rFonts w:hint="eastAsia" w:ascii="仿宋" w:hAnsi="仿宋" w:eastAsia="仿宋"/>
          <w:b/>
          <w:color w:val="auto"/>
          <w:kern w:val="0"/>
          <w:sz w:val="24"/>
          <w:u w:val="single"/>
        </w:rPr>
        <w:t>6</w:t>
      </w:r>
      <w:r>
        <w:rPr>
          <w:rFonts w:ascii="仿宋" w:hAnsi="仿宋" w:eastAsia="仿宋"/>
          <w:b/>
          <w:color w:val="auto"/>
          <w:kern w:val="0"/>
          <w:sz w:val="24"/>
          <w:u w:val="single"/>
        </w:rPr>
        <w:t>.</w:t>
      </w:r>
      <w:r>
        <w:rPr>
          <w:rFonts w:hint="eastAsia" w:ascii="仿宋" w:hAnsi="仿宋" w:eastAsia="仿宋"/>
          <w:b/>
          <w:color w:val="auto"/>
          <w:kern w:val="0"/>
          <w:sz w:val="24"/>
          <w:u w:val="single"/>
        </w:rPr>
        <w:t>7</w:t>
      </w:r>
      <w:r>
        <w:rPr>
          <w:rFonts w:ascii="仿宋" w:hAnsi="仿宋" w:eastAsia="仿宋"/>
          <w:b/>
          <w:color w:val="auto"/>
          <w:kern w:val="0"/>
          <w:sz w:val="24"/>
          <w:u w:val="single"/>
        </w:rPr>
        <w:t xml:space="preserve">.2 </w:t>
      </w:r>
      <w:r>
        <w:rPr>
          <w:rFonts w:hint="eastAsia" w:ascii="仿宋" w:hAnsi="仿宋" w:eastAsia="仿宋"/>
          <w:b/>
          <w:snapToGrid w:val="0"/>
          <w:color w:val="auto"/>
          <w:kern w:val="0"/>
          <w:sz w:val="24"/>
          <w:u w:val="single"/>
        </w:rPr>
        <w:t>中标方办理投标保证金退款申请时，中标方还须提供与采购人签订的已加盖中标方公章的合同全本复印件或扫描件一份（代理机构存档备查）。</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特殊说明：中标人须自项目验收合格后5个工作日内，将经采购人签章确认的《验收书》复印件1份加盖中标人公章提交至采购代理机构。</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17. 招标答疑会和现场踏勘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17.1本项目不组织招标答疑会。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18. 投标有效期</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18.1 投标有效期见本须知前附表所规定的期限，在此期限内，凡符合本招标文件要求的投标文件均保持有效。</w:t>
      </w:r>
      <w:r>
        <w:rPr>
          <w:rFonts w:hint="eastAsia" w:ascii="仿宋" w:hAnsi="仿宋" w:eastAsia="仿宋"/>
          <w:b/>
          <w:color w:val="auto"/>
          <w:kern w:val="0"/>
          <w:sz w:val="24"/>
        </w:rPr>
        <w:t>投标有效期不足的，投标无效。</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kern w:val="0"/>
          <w:sz w:val="24"/>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（三） 投标文件的编制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19. 投标文件编制要求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19.1供应商提交的投标文件及供应商与采购代理机构就有关投标的所有来往函电均使用中文。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20. 投标文件编制的依据</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20.1 采购人提供的采购需求及有关资料；</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20.2 本招标文件及招标文件的修改或者澄清；</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20.3 相关的法律、法规和规定。</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color w:val="auto"/>
          <w:kern w:val="0"/>
          <w:sz w:val="24"/>
        </w:rPr>
        <w:t>21. 投标文件的组成：</w:t>
      </w:r>
      <w:r>
        <w:rPr>
          <w:rFonts w:hint="eastAsia" w:ascii="仿宋" w:hAnsi="仿宋" w:eastAsia="仿宋"/>
          <w:color w:val="auto"/>
          <w:kern w:val="0"/>
          <w:sz w:val="24"/>
        </w:rPr>
        <w:t>资格响应文件、商务响应文件、技术响应文件、报价响应文件</w:t>
      </w:r>
      <w:r>
        <w:rPr>
          <w:rFonts w:hint="eastAsia" w:ascii="仿宋" w:hAnsi="仿宋" w:eastAsia="仿宋"/>
          <w:bCs/>
          <w:color w:val="auto"/>
          <w:kern w:val="0"/>
          <w:sz w:val="24"/>
        </w:rPr>
        <w:t>。</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21.1资格响应文件组成</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（1）供应商营业执照或其他组织资格证书，扫描件；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（2）法定代表人（或负责人）资格证明书和法定代表人（或负责人）身份证或者法定代表人（或负责人）授权委托书及被授权人身份证明，均为扫描件；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（3）供应商2022年任意连续三个月依法纳税及缴纳社会保险相关证明资料；</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（4）供应商</w:t>
      </w:r>
      <w:r>
        <w:rPr>
          <w:rFonts w:hint="eastAsia" w:ascii="仿宋" w:hAnsi="仿宋" w:eastAsia="仿宋"/>
          <w:b/>
          <w:color w:val="auto"/>
          <w:kern w:val="0"/>
          <w:sz w:val="24"/>
          <w:szCs w:val="22"/>
        </w:rPr>
        <w:t>经审计的2021年度的财务报告复印件（投标单位成立不满一年的不需提供）；</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w:t>
      </w:r>
      <w:r>
        <w:rPr>
          <w:rFonts w:ascii="仿宋" w:hAnsi="仿宋" w:eastAsia="仿宋"/>
          <w:b/>
          <w:color w:val="auto"/>
          <w:kern w:val="0"/>
          <w:sz w:val="24"/>
        </w:rPr>
        <w:t>5</w:t>
      </w:r>
      <w:r>
        <w:rPr>
          <w:rFonts w:hint="eastAsia" w:ascii="仿宋" w:hAnsi="仿宋" w:eastAsia="仿宋"/>
          <w:b/>
          <w:color w:val="auto"/>
          <w:kern w:val="0"/>
          <w:sz w:val="24"/>
        </w:rPr>
        <w:t>）供应商参加本次政府采购活动前3年内在经营活动中没有重大违法记录的书面声明（原件的扫描件）；</w:t>
      </w:r>
    </w:p>
    <w:p>
      <w:pPr>
        <w:shd w:val="clear" w:color="auto" w:fill="FFFFFF"/>
        <w:spacing w:line="440" w:lineRule="exact"/>
        <w:ind w:firstLine="482" w:firstLineChars="200"/>
        <w:rPr>
          <w:rFonts w:ascii="仿宋" w:hAnsi="仿宋" w:eastAsia="仿宋"/>
          <w:bCs/>
          <w:color w:val="auto"/>
          <w:kern w:val="0"/>
          <w:sz w:val="24"/>
        </w:rPr>
      </w:pPr>
      <w:r>
        <w:rPr>
          <w:rFonts w:hint="eastAsia" w:ascii="仿宋" w:hAnsi="仿宋" w:eastAsia="仿宋"/>
          <w:b/>
          <w:color w:val="auto"/>
          <w:kern w:val="0"/>
          <w:sz w:val="24"/>
        </w:rPr>
        <w:t>（6）投标保证金缴纳凭证（网上支付凭证打印件）</w:t>
      </w:r>
      <w:r>
        <w:rPr>
          <w:rFonts w:hint="eastAsia" w:ascii="仿宋" w:hAnsi="仿宋" w:eastAsia="仿宋"/>
          <w:bCs/>
          <w:color w:val="auto"/>
          <w:kern w:val="0"/>
          <w:sz w:val="24"/>
        </w:rPr>
        <w:t>。</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21.2商务部分主要包括但不限于以下内容：</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（1）投标承诺书；</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（2）售后服务承诺书；</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（3）商务及合同条款偏离表（须包括对本文件《投标须知前附表》提出的“投标有效期”、“交货期及完工期”、“交货地点”、“保修期”、“付款方式”五项内容逐条响应，不接受负偏离）；</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bCs/>
          <w:color w:val="auto"/>
          <w:kern w:val="0"/>
          <w:sz w:val="24"/>
        </w:rPr>
        <w:t>（4）提供投标人近3年内（自2019年6月1日至2022年6月1日）网络安全项目（含防火墙核心产品）业绩。（须提供业绩证明资料：中标通知书及合同（均为原件扫描件），证明材料应清晰反映项目名称、产品名称、型号、日期、盖章信息等。）</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（5）供应商认为有必要提供的其他资料。</w:t>
      </w:r>
    </w:p>
    <w:bookmarkEnd w:id="2"/>
    <w:bookmarkEnd w:id="3"/>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21.3技术部分主要包括但不限于以下内容：</w:t>
      </w:r>
    </w:p>
    <w:p>
      <w:pPr>
        <w:shd w:val="clear" w:color="auto" w:fill="FFFFFF"/>
        <w:spacing w:line="440" w:lineRule="exact"/>
        <w:ind w:firstLine="482" w:firstLineChars="200"/>
        <w:rPr>
          <w:rFonts w:ascii="仿宋" w:hAnsi="仿宋" w:eastAsia="仿宋"/>
          <w:b/>
          <w:bCs/>
          <w:color w:val="auto"/>
          <w:kern w:val="0"/>
          <w:sz w:val="24"/>
        </w:rPr>
      </w:pPr>
      <w:bookmarkStart w:id="4" w:name="_Hlk519798213"/>
      <w:r>
        <w:rPr>
          <w:rFonts w:hint="eastAsia" w:ascii="仿宋" w:hAnsi="仿宋" w:eastAsia="仿宋"/>
          <w:b/>
          <w:bCs/>
          <w:color w:val="auto"/>
          <w:kern w:val="0"/>
          <w:sz w:val="24"/>
        </w:rPr>
        <w:t>（1）技术服务条款偏离表（供应商须对照第四章《采购需求》全部内容逐条列明响应内容及是否偏离等情况；</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（2）产品详细配置清单；</w:t>
      </w:r>
    </w:p>
    <w:bookmarkEnd w:id="4"/>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（3）供应商认为有必要提供的其他技术资料。</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21.4报价部分主要包括但不限于以下内容：</w:t>
      </w:r>
      <w:r>
        <w:rPr>
          <w:rFonts w:hint="eastAsia" w:ascii="仿宋" w:hAnsi="仿宋" w:eastAsia="仿宋"/>
          <w:b/>
          <w:bCs/>
          <w:color w:val="auto"/>
          <w:kern w:val="0"/>
          <w:sz w:val="24"/>
        </w:rPr>
        <w:tab/>
      </w:r>
    </w:p>
    <w:p>
      <w:pPr>
        <w:shd w:val="clear" w:color="auto" w:fill="FFFFFF"/>
        <w:spacing w:line="440" w:lineRule="exact"/>
        <w:ind w:firstLine="482" w:firstLineChars="200"/>
        <w:rPr>
          <w:rFonts w:ascii="仿宋" w:hAnsi="仿宋" w:eastAsia="仿宋"/>
          <w:b/>
          <w:color w:val="auto"/>
          <w:kern w:val="0"/>
          <w:sz w:val="24"/>
        </w:rPr>
      </w:pPr>
      <w:bookmarkStart w:id="5" w:name="_Hlk519798401"/>
      <w:r>
        <w:rPr>
          <w:rFonts w:hint="eastAsia" w:ascii="仿宋" w:hAnsi="仿宋" w:eastAsia="仿宋"/>
          <w:b/>
          <w:color w:val="auto"/>
          <w:kern w:val="0"/>
          <w:sz w:val="24"/>
        </w:rPr>
        <w:t>（1）开标一览表；</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（2）分项报价明细表（须按本次采购内容列明细设备材料清单及集成费用）；</w:t>
      </w:r>
    </w:p>
    <w:p>
      <w:pPr>
        <w:shd w:val="clear" w:color="auto" w:fill="FFFFFF"/>
        <w:spacing w:line="440" w:lineRule="exact"/>
        <w:ind w:firstLine="480" w:firstLineChars="200"/>
        <w:rPr>
          <w:color w:val="auto"/>
        </w:rPr>
      </w:pPr>
      <w:r>
        <w:rPr>
          <w:rFonts w:hint="eastAsia" w:ascii="仿宋" w:hAnsi="仿宋" w:eastAsia="仿宋"/>
          <w:bCs/>
          <w:color w:val="auto"/>
          <w:kern w:val="0"/>
          <w:sz w:val="24"/>
        </w:rPr>
        <w:t>（3）报价需要的其他资料。</w:t>
      </w:r>
    </w:p>
    <w:bookmarkEnd w:id="5"/>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22. 投标文件的编制及格式</w:t>
      </w:r>
    </w:p>
    <w:p>
      <w:pPr>
        <w:shd w:val="clear" w:color="auto" w:fill="FFFFFF"/>
        <w:spacing w:line="420" w:lineRule="exact"/>
        <w:ind w:firstLine="482" w:firstLineChars="200"/>
        <w:rPr>
          <w:rFonts w:ascii="仿宋" w:hAnsi="仿宋" w:eastAsia="仿宋"/>
          <w:color w:val="auto"/>
          <w:sz w:val="24"/>
        </w:rPr>
      </w:pPr>
      <w:r>
        <w:rPr>
          <w:rFonts w:hint="eastAsia" w:ascii="仿宋" w:hAnsi="仿宋" w:eastAsia="仿宋"/>
          <w:b/>
          <w:color w:val="auto"/>
          <w:sz w:val="24"/>
        </w:rPr>
        <w:t>22.1 供应商提供的投标文件应按照本须知第20条规定的内容编制，其中，第21.1（1）—（6）、第21.2（1）—（3）、第21.3（1）—（2）、第21.4（1）—（2）为必备项，供应商在投标文件中必须提供有关材料，如果缺项或不符合要求，将导致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rPr>
        <w:t>22.2供应商提供的投标文件应当使用招标文件所提供投标文件格式（表格可按照同样格式扩展），并保证所提供的资料的真实性。未提供格式的，供应商可自行编制。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22.3投标文件严禁涂改或行间插字和增删，除非这些修改是根据采购人的指示进行的，或者是供应商造成的必须修改的错误，</w:t>
      </w:r>
      <w:r>
        <w:rPr>
          <w:rFonts w:hint="eastAsia" w:ascii="仿宋" w:hAnsi="仿宋" w:eastAsia="仿宋"/>
          <w:color w:val="auto"/>
          <w:sz w:val="24"/>
        </w:rPr>
        <w:t>必要的修改处必须有供应商法人代表或其授权代表人签字并加盖供应商公章，</w:t>
      </w:r>
      <w:r>
        <w:rPr>
          <w:rFonts w:hint="eastAsia" w:ascii="仿宋" w:hAnsi="仿宋" w:eastAsia="仿宋"/>
          <w:b/>
          <w:color w:val="auto"/>
          <w:sz w:val="24"/>
        </w:rPr>
        <w:t>否则，投标无效。</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22.4</w:t>
      </w:r>
      <w:r>
        <w:rPr>
          <w:rFonts w:hint="eastAsia" w:ascii="仿宋" w:hAnsi="仿宋" w:eastAsia="仿宋"/>
          <w:bCs/>
          <w:color w:val="auto"/>
          <w:sz w:val="24"/>
        </w:rPr>
        <w:t>供应商应当按照招标文件的要求编制投标文件。投标文件应当对招标文件提出的要求和条件作出明确响应。</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23. 投标文件的份数和签署</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23.1 供应商应当按照本须知前附表第5项规定的份数提交投标文件。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23.2 投标文件签署要求均应符合招标文件相关规定。</w:t>
      </w:r>
    </w:p>
    <w:p>
      <w:pPr>
        <w:shd w:val="clear" w:color="auto" w:fill="FFFFFF"/>
        <w:spacing w:line="42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23.3投标文件未按照上述规定编制，</w:t>
      </w:r>
      <w:r>
        <w:rPr>
          <w:rFonts w:hint="eastAsia" w:ascii="仿宋" w:hAnsi="仿宋" w:eastAsia="仿宋"/>
          <w:color w:val="auto"/>
          <w:sz w:val="24"/>
        </w:rPr>
        <w:t>符合性审查</w:t>
      </w:r>
      <w:r>
        <w:rPr>
          <w:rFonts w:hint="eastAsia" w:ascii="仿宋" w:hAnsi="仿宋" w:eastAsia="仿宋"/>
          <w:color w:val="auto"/>
          <w:kern w:val="0"/>
          <w:sz w:val="24"/>
        </w:rPr>
        <w:t>将不予以通过。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（四） 投标文件的递交</w:t>
      </w:r>
    </w:p>
    <w:p>
      <w:pPr>
        <w:shd w:val="clear" w:color="auto" w:fill="FFFFFF"/>
        <w:spacing w:line="420" w:lineRule="exact"/>
        <w:ind w:firstLine="482" w:firstLineChars="200"/>
        <w:rPr>
          <w:rFonts w:ascii="仿宋" w:hAnsi="仿宋" w:eastAsia="仿宋" w:cs="Arial"/>
          <w:b/>
          <w:color w:val="auto"/>
          <w:sz w:val="24"/>
        </w:rPr>
      </w:pPr>
      <w:r>
        <w:rPr>
          <w:rFonts w:hint="eastAsia" w:ascii="仿宋" w:hAnsi="仿宋" w:eastAsia="仿宋" w:cs="Arial"/>
          <w:b/>
          <w:color w:val="auto"/>
          <w:sz w:val="24"/>
        </w:rPr>
        <w:t>24.电子版投标文件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cs="Arial"/>
          <w:b/>
          <w:color w:val="auto"/>
          <w:sz w:val="24"/>
        </w:rPr>
        <w:t>24.1供应商</w:t>
      </w:r>
      <w:r>
        <w:rPr>
          <w:rFonts w:hint="eastAsia" w:ascii="仿宋" w:hAnsi="仿宋" w:eastAsia="仿宋"/>
          <w:b/>
          <w:bCs/>
          <w:color w:val="auto"/>
          <w:kern w:val="0"/>
          <w:sz w:val="24"/>
        </w:rPr>
        <w:t>须在投标截止时间前通过CA在政采云平台上传加密的电子投标文件；</w:t>
      </w:r>
      <w:r>
        <w:rPr>
          <w:rFonts w:hint="eastAsia" w:ascii="仿宋" w:hAnsi="仿宋" w:eastAsia="仿宋"/>
          <w:b/>
          <w:color w:val="auto"/>
          <w:kern w:val="0"/>
          <w:sz w:val="24"/>
        </w:rPr>
        <w:t>投标截止时间以政采云平台显示的时间为准，逾期系统将自动关闭，</w:t>
      </w:r>
      <w:r>
        <w:rPr>
          <w:rFonts w:hint="eastAsia" w:ascii="仿宋" w:hAnsi="仿宋" w:eastAsia="仿宋"/>
          <w:b/>
          <w:bCs/>
          <w:color w:val="auto"/>
          <w:kern w:val="0"/>
          <w:sz w:val="24"/>
        </w:rPr>
        <w:t>逾期上传的或者未成功上传到平台的投标文件，投标无效。</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25. 投标文件的提交</w:t>
      </w:r>
    </w:p>
    <w:p>
      <w:pPr>
        <w:shd w:val="clear" w:color="auto" w:fill="FFFFFF"/>
        <w:spacing w:line="420" w:lineRule="exact"/>
        <w:ind w:firstLine="480" w:firstLineChars="200"/>
        <w:rPr>
          <w:rFonts w:ascii="仿宋" w:hAnsi="仿宋" w:eastAsia="仿宋"/>
          <w:b/>
          <w:color w:val="auto"/>
          <w:kern w:val="0"/>
          <w:sz w:val="24"/>
        </w:rPr>
      </w:pPr>
      <w:r>
        <w:rPr>
          <w:rFonts w:hint="eastAsia" w:ascii="仿宋" w:hAnsi="仿宋" w:eastAsia="仿宋"/>
          <w:color w:val="auto"/>
          <w:kern w:val="0"/>
          <w:sz w:val="24"/>
        </w:rPr>
        <w:t>供应商应当按照本投标须知前附表所规定的地点，于投标截止时间前上传加密的电子投标文件。纸质版投标文件按照本投标须知前附表相关规定提交。</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26.</w:t>
      </w:r>
      <w:r>
        <w:rPr>
          <w:rFonts w:hint="eastAsia" w:ascii="仿宋" w:hAnsi="仿宋" w:eastAsia="仿宋"/>
          <w:b/>
          <w:bCs/>
          <w:color w:val="auto"/>
          <w:kern w:val="0"/>
          <w:sz w:val="24"/>
        </w:rPr>
        <w:t>加密的电子投标文件</w:t>
      </w:r>
      <w:r>
        <w:rPr>
          <w:rFonts w:hint="eastAsia" w:ascii="仿宋" w:hAnsi="仿宋" w:eastAsia="仿宋"/>
          <w:b/>
          <w:color w:val="auto"/>
          <w:kern w:val="0"/>
          <w:sz w:val="24"/>
        </w:rPr>
        <w:t>提交的截止时间</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26.1 投标文件提交的截止时间详见本投标须知前附表规定。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26.2 采购人可按本招标文件第14条规定以修改补充通知的方式，酌情延长提交投标书的截止时间。在上述情况下，采购人与供应商在原投标截止时间前的全部权力和义务，将适用于延长后新的投标截止时间。</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26.3 至投标文件递交截止时间，采购人收到的投标文件少于3个的，不得开标。评标过程中有效供应商少于3个的，应终止评标，由采购人依法重新组织招标。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27. 迟交的</w:t>
      </w:r>
      <w:r>
        <w:rPr>
          <w:rFonts w:hint="eastAsia" w:ascii="仿宋" w:hAnsi="仿宋" w:eastAsia="仿宋"/>
          <w:b/>
          <w:bCs/>
          <w:color w:val="auto"/>
          <w:kern w:val="0"/>
          <w:sz w:val="24"/>
        </w:rPr>
        <w:t>加密的电子投标文件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供应商在本投标须知前附表规定的投标截止时间以后提交的投标文件将被拒绝并退回。</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 xml:space="preserve">28. </w:t>
      </w:r>
      <w:r>
        <w:rPr>
          <w:rFonts w:hint="eastAsia" w:ascii="仿宋" w:hAnsi="仿宋" w:eastAsia="仿宋"/>
          <w:b/>
          <w:bCs/>
          <w:color w:val="auto"/>
          <w:kern w:val="0"/>
          <w:sz w:val="24"/>
        </w:rPr>
        <w:t>加密的电子投标文件</w:t>
      </w:r>
      <w:r>
        <w:rPr>
          <w:rFonts w:hint="eastAsia" w:ascii="仿宋" w:hAnsi="仿宋" w:eastAsia="仿宋"/>
          <w:b/>
          <w:color w:val="auto"/>
          <w:kern w:val="0"/>
          <w:sz w:val="24"/>
        </w:rPr>
        <w:t>的补充、修改与撤回</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28.1 供应商在投标须知前附表规定的投标截止时间之前，可以补充、修改或撤回已提交的投标文件。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28.2 在投标截止时间之后，供应商不得补充、修改投标文件。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（五） 开标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29. 开标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29.1本项目采用不见面开标方式，招标会将于投标须知前附表规定的时间和地点召开，</w:t>
      </w:r>
      <w:r>
        <w:rPr>
          <w:rFonts w:hint="eastAsia" w:ascii="仿宋" w:hAnsi="仿宋" w:eastAsia="仿宋"/>
          <w:bCs/>
          <w:color w:val="auto"/>
          <w:kern w:val="0"/>
          <w:sz w:val="24"/>
        </w:rPr>
        <w:t>供应商无需到达开标现场，仅需在任意地点通过政采云平台完成开标签到、远程解密、报价确认等交互环节。</w:t>
      </w:r>
      <w:r>
        <w:rPr>
          <w:rFonts w:hint="eastAsia" w:ascii="仿宋" w:hAnsi="仿宋" w:eastAsia="仿宋"/>
          <w:color w:val="auto"/>
          <w:kern w:val="0"/>
          <w:sz w:val="24"/>
        </w:rPr>
        <w:t>供应商应在投标截止时间前登录政采云平台签到，同时确保开标期间电脑网络环境畅通，浏览器配置无误，可完成正常的解密和操作。评标委员会成员到场集中评标，但不得参加开标活动。</w:t>
      </w:r>
      <w:r>
        <w:rPr>
          <w:rFonts w:hint="eastAsia" w:ascii="仿宋" w:hAnsi="仿宋" w:eastAsia="仿宋"/>
          <w:b/>
          <w:color w:val="auto"/>
          <w:kern w:val="0"/>
          <w:sz w:val="24"/>
        </w:rPr>
        <w:t>投标截止时间前不得开启投标文件。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 开标程序</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29.2.1供应商不足3个的，不得开标。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29.2.2 开标由采购人或采购代理机构主持；</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29.2.3 宣读开标纪律，介绍采购人代表、监督人员；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29.2.4 供应商解密，解密时长30分钟；</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29.2.5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29.2.6唱标结束后由采购人代表对供应商进行资格审查；资格审查不合格的，投标无效；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29.2.7 按本文件第 28 条已提交了可接受的撤回通知的投标文件及无效投标文件将不予开启。</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（一）招标文件存在不合理条款或者招标程序不符合规定的，采购人、采购代理机构改正后依法重新招标；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（二）招标文件没有不合理条款、招标程序符合规定，需要采用其他采购方式采购的，采购人应当依法报财政部门批准。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29.4供应商法定代表人（或负责人）或法定代表人（或负责人）授权委托人参与开标远程交互时，中途不得更换，在解密、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29.5采购人或采购代理机构应对开标过程进行记录，由相关工作人员签字确认后随招标文件一并存档。</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30. 资格审查</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30.1开标结束后，采购人按照本须知21.1条资格响应文件要求的（1）-（6）项内容对各供应商进行资格审查，同时由招标代理机构按照《投标须知前附表》第4.2项要求对所有供应商进行信用记录查询，并将查询结果书面记录资料提交采购人。供应商资格审查不合格的，其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30.2合格供应商不足三家的，不进行评标。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（六） 评标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31. 评标委员会与评标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31.1 评标工作由采购人依法组建的评标委员会负责。评标委员会的名单在评标结果公告前应当保密。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31.2 本项目评标委员会由</w:t>
      </w:r>
      <w:r>
        <w:rPr>
          <w:rFonts w:hint="eastAsia" w:ascii="仿宋" w:hAnsi="仿宋" w:eastAsia="仿宋"/>
          <w:color w:val="auto"/>
          <w:kern w:val="0"/>
          <w:sz w:val="24"/>
          <w:u w:val="single"/>
        </w:rPr>
        <w:t xml:space="preserve"> 5</w:t>
      </w:r>
      <w:r>
        <w:rPr>
          <w:rFonts w:hint="eastAsia" w:ascii="仿宋" w:hAnsi="仿宋" w:eastAsia="仿宋"/>
          <w:color w:val="auto"/>
          <w:kern w:val="0"/>
          <w:sz w:val="24"/>
        </w:rPr>
        <w:t>人组成，其中：新疆政府采购网政采云平台专家库中随机抽取相关专业专家</w:t>
      </w:r>
      <w:r>
        <w:rPr>
          <w:rFonts w:hint="eastAsia" w:ascii="仿宋" w:hAnsi="仿宋" w:eastAsia="仿宋"/>
          <w:color w:val="auto"/>
          <w:kern w:val="0"/>
          <w:sz w:val="24"/>
          <w:u w:val="single"/>
        </w:rPr>
        <w:t xml:space="preserve">  4  </w:t>
      </w:r>
      <w:r>
        <w:rPr>
          <w:rFonts w:hint="eastAsia" w:ascii="仿宋" w:hAnsi="仿宋" w:eastAsia="仿宋"/>
          <w:color w:val="auto"/>
          <w:kern w:val="0"/>
          <w:sz w:val="24"/>
        </w:rPr>
        <w:t>人,采购人代表</w:t>
      </w:r>
      <w:r>
        <w:rPr>
          <w:rFonts w:hint="eastAsia" w:ascii="仿宋" w:hAnsi="仿宋" w:eastAsia="仿宋"/>
          <w:color w:val="auto"/>
          <w:kern w:val="0"/>
          <w:sz w:val="24"/>
          <w:u w:val="single"/>
        </w:rPr>
        <w:t xml:space="preserve">  1  </w:t>
      </w:r>
      <w:r>
        <w:rPr>
          <w:rFonts w:hint="eastAsia" w:ascii="仿宋" w:hAnsi="仿宋" w:eastAsia="仿宋"/>
          <w:color w:val="auto"/>
          <w:kern w:val="0"/>
          <w:sz w:val="24"/>
        </w:rPr>
        <w:t>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31.3 开标结束后，开始评标，评标采用保密方式进行。</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31.4 评标委员会组长由评标委员会成员推举产生，并与评标委员会其他成员有同等的权利和义务。采购人代表不得担任评标委员会组长。</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31.5 评标委员会成员应当客观、公正地履行职责，遵守职业道德，对所提出的评审意见承担个人责任。</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31.6 评标委员会根据招标文件确定的评比标准和方法，对投标文件进行系统地评审和比较。招标文件中没有规定的标准和方法不得作为评标的依据。</w:t>
      </w:r>
    </w:p>
    <w:p>
      <w:pPr>
        <w:shd w:val="clear" w:color="auto" w:fill="FFFFFF"/>
        <w:spacing w:line="42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32. 投标文件的澄清</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32.1 为有助于对投标文件进行审查、评估和比较，供应商对评审中评标委员会提出的投标文件中含义不明确、同类问题表述不一致或者有明显文字和计算错误的内容，应通过政采云平台进行澄清、说明或者补正。供应商的澄清、说明或者补正不得超出投标文件的范围或者改变投标文件的实质性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32.2 供应商未按照要求对投标文件进行澄清、说明或者补正的，评标委员会可以否决其投标。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33. 投标文件的评审、比较</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33.1 投标文件符合性审查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33.1.1评标委员会应当对通过资格审查的供应商的投标文件进行符合性审查，以确定其是否满足招标文件的实质性要求。通过符合性审查的供应商的投标文件进入详细评审。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 投标文件的详细评审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33.2.1</w:t>
      </w:r>
      <w:r>
        <w:rPr>
          <w:rFonts w:hint="eastAsia" w:ascii="仿宋" w:hAnsi="仿宋" w:eastAsia="仿宋"/>
          <w:bCs/>
          <w:color w:val="auto"/>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33.2.2 评审中，评标委员会可以对投标文件中含义不明确、同类问题表述不一致或者有明显文字和计算错误的内容，在规定的时限内要求供应商作出必要的澄清、说明或者补正。</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s="宋体"/>
          <w:color w:val="auto"/>
          <w:kern w:val="1"/>
          <w:sz w:val="24"/>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33.2.7评标结果汇总完成后，除下列情形外，任何人不得修改评标结果：</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（一）分值汇总计算错误的；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（二）分项评分超出评分标准范围的；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（三）评标委员会成员对客观评审因素评分不一致的；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（四）经评标委员会认定评分畸高、畸低的。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kern w:val="0"/>
          <w:sz w:val="24"/>
        </w:rPr>
        <w:t>33.2.8 评标委员会依据投标须知前附表规定的评标方法，对供应商的投标文件进行评审和比较，</w:t>
      </w:r>
      <w:r>
        <w:rPr>
          <w:rFonts w:hint="eastAsia" w:ascii="仿宋" w:hAnsi="仿宋" w:eastAsia="仿宋"/>
          <w:bCs/>
          <w:color w:val="auto"/>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34. 评标的办法和标准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34.1 本招标项目评标办法为：</w:t>
      </w:r>
      <w:r>
        <w:rPr>
          <w:rFonts w:hint="eastAsia" w:ascii="仿宋" w:hAnsi="仿宋" w:eastAsia="仿宋"/>
          <w:b/>
          <w:color w:val="auto"/>
          <w:kern w:val="0"/>
          <w:sz w:val="24"/>
        </w:rPr>
        <w:t>综合评分法</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 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34.2.1 资格审查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34.2.2 投标文件符合性审查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34.2.3 投标文件详细评审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（1）投标报价评审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（2）投标文件商务部分、技术部分评审</w:t>
      </w:r>
    </w:p>
    <w:p>
      <w:pPr>
        <w:shd w:val="clear" w:color="auto" w:fill="FFFFFF"/>
        <w:spacing w:line="420" w:lineRule="exact"/>
        <w:ind w:firstLine="480" w:firstLineChars="200"/>
        <w:rPr>
          <w:rFonts w:ascii="仿宋" w:hAnsi="仿宋" w:eastAsia="仿宋"/>
          <w:color w:val="auto"/>
          <w:kern w:val="0"/>
          <w:szCs w:val="21"/>
        </w:rPr>
      </w:pPr>
      <w:r>
        <w:rPr>
          <w:rFonts w:hint="eastAsia" w:ascii="仿宋" w:hAnsi="仿宋" w:eastAsia="仿宋"/>
          <w:color w:val="auto"/>
          <w:kern w:val="0"/>
          <w:sz w:val="24"/>
        </w:rPr>
        <w:t>34.3 评标的具体评审办法和标准</w:t>
      </w: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pStyle w:val="2"/>
        <w:ind w:firstLine="210"/>
        <w:rPr>
          <w:color w:val="auto"/>
        </w:rPr>
      </w:pPr>
    </w:p>
    <w:p>
      <w:pPr>
        <w:pStyle w:val="2"/>
        <w:ind w:firstLine="210"/>
        <w:rPr>
          <w:color w:val="auto"/>
        </w:rPr>
      </w:pPr>
    </w:p>
    <w:p>
      <w:pPr>
        <w:pStyle w:val="2"/>
        <w:ind w:firstLine="210"/>
        <w:rPr>
          <w:color w:val="auto"/>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r>
        <w:rPr>
          <w:rFonts w:hint="eastAsia" w:ascii="仿宋" w:hAnsi="仿宋" w:eastAsia="仿宋"/>
          <w:b/>
          <w:color w:val="auto"/>
          <w:sz w:val="24"/>
        </w:rPr>
        <w:t>34.3.1资格审查</w:t>
      </w: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格</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cs="宋体"/>
                <w:color w:val="auto"/>
                <w:sz w:val="24"/>
              </w:rPr>
              <w:t>供应商营业执照或其他组织资格证书</w:t>
            </w:r>
            <w:r>
              <w:rPr>
                <w:rFonts w:hint="eastAsia" w:ascii="仿宋" w:hAnsi="仿宋" w:eastAsia="仿宋"/>
                <w:bCs/>
                <w:color w:val="auto"/>
                <w:kern w:val="0"/>
                <w:sz w:val="24"/>
              </w:rPr>
              <w:t>，均为证件的扫描件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法定代表人（或负责人）资格证明书和法定代表人（或负责人）身份证或者法定代表人（或负责人）授权委托书及被授权人身份证明，均为扫描件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4"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供应商2022年任意连续三个月依法纳税及缴纳社会保险相关证明资料</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w:t>
            </w:r>
            <w:r>
              <w:rPr>
                <w:rFonts w:hint="eastAsia" w:ascii="仿宋" w:hAnsi="仿宋" w:eastAsia="仿宋"/>
                <w:color w:val="auto"/>
                <w:kern w:val="0"/>
                <w:sz w:val="24"/>
                <w:szCs w:val="22"/>
              </w:rPr>
              <w:t>经审计的</w:t>
            </w:r>
            <w:r>
              <w:rPr>
                <w:rFonts w:ascii="仿宋" w:hAnsi="仿宋" w:eastAsia="仿宋"/>
                <w:color w:val="auto"/>
                <w:kern w:val="0"/>
                <w:sz w:val="24"/>
                <w:szCs w:val="22"/>
              </w:rPr>
              <w:t>202</w:t>
            </w:r>
            <w:r>
              <w:rPr>
                <w:rFonts w:hint="eastAsia" w:ascii="仿宋" w:hAnsi="仿宋" w:eastAsia="仿宋"/>
                <w:color w:val="auto"/>
                <w:kern w:val="0"/>
                <w:sz w:val="24"/>
                <w:szCs w:val="22"/>
              </w:rPr>
              <w:t>1年度的财务报告复印件（投标单位成立不满一年的不需提供）</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供应商参加本次政府采购活动前3年内在经营活动中没有重大违法记录的书面声明（原件的扫描件）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7"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投标保证金缴纳凭证（网上支付凭证打印件）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3" w:hRule="atLeast"/>
        </w:trPr>
        <w:tc>
          <w:tcPr>
            <w:tcW w:w="851" w:type="dxa"/>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7</w:t>
            </w:r>
          </w:p>
        </w:tc>
        <w:tc>
          <w:tcPr>
            <w:tcW w:w="4252" w:type="dxa"/>
            <w:vAlign w:val="center"/>
          </w:tcPr>
          <w:p>
            <w:pPr>
              <w:shd w:val="clear" w:color="auto" w:fill="FFFFFF"/>
              <w:spacing w:line="340" w:lineRule="exact"/>
              <w:rPr>
                <w:rFonts w:ascii="仿宋" w:hAnsi="仿宋" w:eastAsia="仿宋"/>
                <w:bCs/>
                <w:color w:val="auto"/>
                <w:kern w:val="0"/>
                <w:sz w:val="24"/>
              </w:rPr>
            </w:pPr>
            <w:r>
              <w:rPr>
                <w:rFonts w:hint="eastAsia" w:ascii="仿宋" w:hAnsi="仿宋" w:eastAsia="仿宋"/>
                <w:color w:val="auto"/>
                <w:sz w:val="24"/>
              </w:rPr>
              <w:t>信用查询记录未出现《投标须知前附表》第4.2项所述违法或失信情形。</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trPr>
        <w:tc>
          <w:tcPr>
            <w:tcW w:w="5670" w:type="dxa"/>
            <w:gridSpan w:val="3"/>
            <w:vAlign w:val="center"/>
          </w:tcPr>
          <w:p>
            <w:pPr>
              <w:shd w:val="clear" w:color="auto" w:fill="FFFFFF"/>
              <w:spacing w:line="360" w:lineRule="exact"/>
              <w:jc w:val="right"/>
              <w:rPr>
                <w:rFonts w:ascii="仿宋" w:hAnsi="仿宋" w:eastAsia="仿宋"/>
                <w:color w:val="auto"/>
                <w:sz w:val="24"/>
              </w:rPr>
            </w:pPr>
            <w:r>
              <w:rPr>
                <w:rFonts w:hint="eastAsia" w:ascii="仿宋" w:hAnsi="仿宋" w:eastAsia="仿宋"/>
                <w:color w:val="auto"/>
                <w:sz w:val="24"/>
              </w:rPr>
              <w:t>结论</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8" w:hRule="atLeast"/>
        </w:trPr>
        <w:tc>
          <w:tcPr>
            <w:tcW w:w="9781" w:type="dxa"/>
            <w:gridSpan w:val="7"/>
            <w:vAlign w:val="center"/>
          </w:tcPr>
          <w:p>
            <w:pPr>
              <w:shd w:val="clear" w:color="auto" w:fill="FFFFFF"/>
              <w:spacing w:line="440" w:lineRule="exact"/>
              <w:rPr>
                <w:rFonts w:ascii="仿宋" w:hAnsi="仿宋" w:eastAsia="仿宋"/>
                <w:bCs/>
                <w:color w:val="auto"/>
                <w:kern w:val="0"/>
                <w:sz w:val="24"/>
              </w:rPr>
            </w:pPr>
            <w:r>
              <w:rPr>
                <w:rFonts w:hint="eastAsia" w:ascii="仿宋" w:hAnsi="仿宋" w:eastAsia="仿宋"/>
                <w:b/>
                <w:color w:val="auto"/>
                <w:sz w:val="24"/>
              </w:rPr>
              <w:t>采购人代表签名：</w:t>
            </w:r>
            <w:r>
              <w:rPr>
                <w:rFonts w:ascii="仿宋" w:hAnsi="仿宋" w:eastAsia="仿宋"/>
                <w:bCs/>
                <w:color w:val="auto"/>
                <w:kern w:val="0"/>
                <w:sz w:val="24"/>
              </w:rPr>
              <w:t xml:space="preserve"> </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3"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kern w:val="0"/>
          <w:sz w:val="24"/>
        </w:rPr>
      </w:pPr>
      <w:r>
        <w:rPr>
          <w:rFonts w:hint="eastAsia" w:ascii="仿宋" w:hAnsi="仿宋" w:eastAsia="仿宋"/>
          <w:b/>
          <w:color w:val="auto"/>
          <w:sz w:val="24"/>
        </w:rPr>
        <w:t>34.3.2符合性审查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37"/>
        <w:gridCol w:w="988"/>
        <w:gridCol w:w="977"/>
        <w:gridCol w:w="1047"/>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5104"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988"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977"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047"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81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初</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符</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合</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性</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FFFFFF"/>
              <w:spacing w:line="360" w:lineRule="exact"/>
              <w:jc w:val="center"/>
              <w:rPr>
                <w:rFonts w:ascii="仿宋" w:hAnsi="仿宋" w:eastAsia="仿宋"/>
                <w:color w:val="auto"/>
                <w:sz w:val="24"/>
              </w:rPr>
            </w:pPr>
            <w:r>
              <w:rPr>
                <w:rFonts w:hint="eastAsia" w:ascii="仿宋" w:hAnsi="仿宋" w:eastAsia="仿宋"/>
                <w:b/>
                <w:color w:val="auto"/>
                <w:sz w:val="24"/>
              </w:rPr>
              <w:t>︺</w:t>
            </w: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投标文件组成完整，主要内容按招标文件规定的内容、格式填写装订</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投标总报价未超过本项目的最高限价</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供应商未出现对同一货物做出两个以上报价且未明确效力的</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2"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投标文件载明的</w:t>
            </w:r>
            <w:r>
              <w:rPr>
                <w:rFonts w:hint="eastAsia" w:ascii="仿宋" w:hAnsi="仿宋" w:eastAsia="仿宋"/>
                <w:bCs/>
                <w:color w:val="auto"/>
                <w:kern w:val="0"/>
                <w:sz w:val="24"/>
              </w:rPr>
              <w:t>“投标有效期”、“交货期及完工期”、“交货地点”、“保修期”、“付款方式”</w:t>
            </w:r>
            <w:r>
              <w:rPr>
                <w:rFonts w:hint="eastAsia" w:ascii="仿宋" w:hAnsi="仿宋" w:eastAsia="仿宋"/>
                <w:color w:val="auto"/>
                <w:sz w:val="24"/>
              </w:rPr>
              <w:t>符合招标文件要求，未出现负偏离</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bCs/>
                <w:color w:val="auto"/>
                <w:kern w:val="0"/>
                <w:sz w:val="24"/>
              </w:rPr>
              <w:t>投标保证金的缴纳主体与供应商一致；且按照招标文件要求的金额、方式提供</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投标文件按照招标文件第二章第21项要求的资格、商务、技术、报价部分提供必备项内容</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7</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投标承诺书按招标文件规定格式、内容完整提供，且按招标文件要求签字、盖章</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8</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法定代表人（或负责人）资格证明书、法定代表人（或负责人）授权委托书按招标文件规定格式完整提供，并按招标文件要求签字、盖章</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9</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投标文件未附有采购人不能接受的条件</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0</w:t>
            </w:r>
          </w:p>
        </w:tc>
        <w:tc>
          <w:tcPr>
            <w:tcW w:w="4537"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kern w:val="0"/>
                <w:sz w:val="24"/>
              </w:rPr>
              <w:t>符合法律、法规和招标文件中规定的实质性要求</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5955" w:type="dxa"/>
            <w:gridSpan w:val="3"/>
            <w:vAlign w:val="center"/>
          </w:tcPr>
          <w:p>
            <w:pPr>
              <w:shd w:val="clear" w:color="auto" w:fill="FFFFFF"/>
              <w:spacing w:line="360" w:lineRule="exact"/>
              <w:jc w:val="right"/>
              <w:rPr>
                <w:rFonts w:ascii="仿宋" w:hAnsi="仿宋" w:eastAsia="仿宋"/>
                <w:color w:val="auto"/>
                <w:sz w:val="24"/>
              </w:rPr>
            </w:pPr>
            <w:r>
              <w:rPr>
                <w:rFonts w:hint="eastAsia" w:ascii="仿宋" w:hAnsi="仿宋" w:eastAsia="仿宋"/>
                <w:color w:val="auto"/>
                <w:sz w:val="24"/>
              </w:rPr>
              <w:t>结论</w:t>
            </w:r>
          </w:p>
        </w:tc>
        <w:tc>
          <w:tcPr>
            <w:tcW w:w="988" w:type="dxa"/>
            <w:vAlign w:val="center"/>
          </w:tcPr>
          <w:p>
            <w:pPr>
              <w:shd w:val="clear" w:color="auto" w:fill="FFFFFF"/>
              <w:spacing w:line="360" w:lineRule="exact"/>
              <w:rPr>
                <w:rFonts w:ascii="仿宋" w:hAnsi="仿宋" w:eastAsia="仿宋"/>
                <w:color w:val="auto"/>
                <w:sz w:val="24"/>
              </w:rPr>
            </w:pPr>
          </w:p>
        </w:tc>
        <w:tc>
          <w:tcPr>
            <w:tcW w:w="977" w:type="dxa"/>
            <w:vAlign w:val="center"/>
          </w:tcPr>
          <w:p>
            <w:pPr>
              <w:shd w:val="clear" w:color="auto" w:fill="FFFFFF"/>
              <w:spacing w:line="360" w:lineRule="exact"/>
              <w:rPr>
                <w:rFonts w:ascii="仿宋" w:hAnsi="仿宋" w:eastAsia="仿宋"/>
                <w:color w:val="auto"/>
                <w:sz w:val="24"/>
              </w:rPr>
            </w:pPr>
          </w:p>
        </w:tc>
        <w:tc>
          <w:tcPr>
            <w:tcW w:w="1047" w:type="dxa"/>
            <w:vAlign w:val="center"/>
          </w:tcPr>
          <w:p>
            <w:pPr>
              <w:shd w:val="clear" w:color="auto" w:fill="FFFFFF"/>
              <w:spacing w:line="360" w:lineRule="exact"/>
              <w:rPr>
                <w:rFonts w:ascii="仿宋" w:hAnsi="仿宋" w:eastAsia="仿宋"/>
                <w:color w:val="auto"/>
                <w:sz w:val="24"/>
              </w:rPr>
            </w:pPr>
          </w:p>
        </w:tc>
        <w:tc>
          <w:tcPr>
            <w:tcW w:w="814"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b/>
                <w:color w:val="auto"/>
                <w:sz w:val="24"/>
              </w:rPr>
              <w:t>评标委员会成员签名：</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rPr>
          <w:rFonts w:ascii="仿宋" w:hAnsi="仿宋" w:eastAsia="仿宋"/>
          <w:b/>
          <w:color w:val="auto"/>
          <w:sz w:val="24"/>
        </w:rPr>
      </w:pPr>
      <w:r>
        <w:rPr>
          <w:rFonts w:hint="eastAsia" w:ascii="仿宋" w:hAnsi="仿宋" w:eastAsia="仿宋"/>
          <w:b/>
          <w:color w:val="auto"/>
          <w:sz w:val="18"/>
          <w:szCs w:val="18"/>
        </w:rPr>
        <w:br w:type="page"/>
      </w:r>
      <w:r>
        <w:rPr>
          <w:rFonts w:hint="eastAsia" w:ascii="仿宋" w:hAnsi="仿宋" w:eastAsia="仿宋"/>
          <w:b/>
          <w:color w:val="auto"/>
          <w:sz w:val="24"/>
        </w:rPr>
        <w:t>34.3.2详细评审</w:t>
      </w:r>
    </w:p>
    <w:p>
      <w:pPr>
        <w:pStyle w:val="523"/>
        <w:shd w:val="clear" w:color="auto" w:fill="FFFFFF"/>
        <w:spacing w:line="440" w:lineRule="exact"/>
        <w:ind w:firstLine="480" w:firstLineChars="200"/>
        <w:jc w:val="both"/>
        <w:rPr>
          <w:rFonts w:ascii="仿宋" w:hAnsi="仿宋" w:eastAsia="仿宋"/>
          <w:color w:val="auto"/>
          <w:sz w:val="24"/>
          <w:szCs w:val="24"/>
        </w:rPr>
      </w:pPr>
      <w:r>
        <w:rPr>
          <w:rFonts w:hint="eastAsia" w:ascii="仿宋" w:hAnsi="仿宋" w:eastAsia="仿宋"/>
          <w:color w:val="auto"/>
          <w:sz w:val="24"/>
          <w:szCs w:val="24"/>
        </w:rPr>
        <w:t>符合性评审合格的供应商方可进入详细评审阶段。详细评审分为投标文件商务、技术部分评审和投标报价评审。其中，报价部分30分，商务部分25分，技术部分45分，合计满分100分。</w:t>
      </w:r>
    </w:p>
    <w:p>
      <w:pPr>
        <w:shd w:val="clear" w:color="auto" w:fill="FFFFFF"/>
        <w:spacing w:line="440" w:lineRule="exact"/>
        <w:rPr>
          <w:rFonts w:ascii="仿宋" w:hAnsi="仿宋" w:eastAsia="仿宋"/>
          <w:b/>
          <w:color w:val="auto"/>
          <w:sz w:val="24"/>
        </w:rPr>
      </w:pPr>
      <w:r>
        <w:rPr>
          <w:rFonts w:hint="eastAsia" w:ascii="仿宋" w:hAnsi="仿宋" w:eastAsia="仿宋"/>
          <w:b/>
          <w:color w:val="auto"/>
          <w:sz w:val="24"/>
        </w:rPr>
        <w:t xml:space="preserve">34.3.3具体评审内容及标准 </w:t>
      </w:r>
    </w:p>
    <w:p>
      <w:pPr>
        <w:pStyle w:val="523"/>
        <w:shd w:val="clear" w:color="auto" w:fill="FFFFFF"/>
        <w:spacing w:line="440" w:lineRule="exact"/>
        <w:jc w:val="center"/>
        <w:rPr>
          <w:rFonts w:ascii="仿宋" w:hAnsi="仿宋" w:eastAsia="仿宋"/>
          <w:b/>
          <w:color w:val="auto"/>
          <w:sz w:val="24"/>
          <w:szCs w:val="24"/>
        </w:rPr>
      </w:pPr>
      <w:r>
        <w:rPr>
          <w:rFonts w:hint="eastAsia" w:ascii="仿宋" w:hAnsi="仿宋" w:eastAsia="仿宋"/>
          <w:b/>
          <w:color w:val="auto"/>
          <w:sz w:val="24"/>
          <w:szCs w:val="24"/>
        </w:rPr>
        <w:t>报价评审</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974"/>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评审因素</w:t>
            </w:r>
          </w:p>
        </w:tc>
        <w:tc>
          <w:tcPr>
            <w:tcW w:w="974"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分值</w:t>
            </w:r>
          </w:p>
        </w:tc>
        <w:tc>
          <w:tcPr>
            <w:tcW w:w="6548"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175"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价格部分（30分）</w:t>
            </w:r>
          </w:p>
        </w:tc>
        <w:tc>
          <w:tcPr>
            <w:tcW w:w="974"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30分</w:t>
            </w:r>
          </w:p>
        </w:tc>
        <w:tc>
          <w:tcPr>
            <w:tcW w:w="6548" w:type="dxa"/>
            <w:vAlign w:val="center"/>
          </w:tcPr>
          <w:p>
            <w:pPr>
              <w:shd w:val="clear" w:color="auto" w:fill="FFFFFF"/>
              <w:spacing w:line="400" w:lineRule="exact"/>
              <w:rPr>
                <w:rFonts w:ascii="仿宋" w:hAnsi="仿宋" w:eastAsia="仿宋"/>
                <w:color w:val="auto"/>
                <w:sz w:val="24"/>
              </w:rPr>
            </w:pPr>
            <w:r>
              <w:rPr>
                <w:rFonts w:hint="eastAsia" w:ascii="仿宋" w:hAnsi="仿宋" w:eastAsia="仿宋"/>
                <w:color w:val="auto"/>
                <w:sz w:val="24"/>
              </w:rPr>
              <w:t>采用低价优先法计算，即满足招标文件要求且投标价格最低的投标报价为评标基准价，其价格分为满分。</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其他供应商的价格分统一按照下列公式计算:</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投标报价得分=(评标基准价/投标报价)×30%×100（小数点保留两位）</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注：对小微企业价格优惠计算方法按本须知“前附表”18.2项执行.</w:t>
            </w:r>
          </w:p>
        </w:tc>
      </w:tr>
    </w:tbl>
    <w:p>
      <w:pPr>
        <w:pStyle w:val="523"/>
        <w:shd w:val="clear" w:color="auto" w:fill="FFFFFF"/>
        <w:spacing w:line="440" w:lineRule="exact"/>
        <w:jc w:val="center"/>
        <w:rPr>
          <w:rFonts w:ascii="仿宋" w:hAnsi="仿宋" w:eastAsia="仿宋"/>
          <w:b/>
          <w:color w:val="auto"/>
          <w:sz w:val="24"/>
          <w:szCs w:val="24"/>
        </w:rPr>
      </w:pPr>
    </w:p>
    <w:p>
      <w:pPr>
        <w:shd w:val="clear" w:color="auto" w:fill="FFFFFF"/>
        <w:spacing w:line="440" w:lineRule="exact"/>
        <w:jc w:val="center"/>
        <w:rPr>
          <w:rFonts w:ascii="仿宋" w:hAnsi="仿宋" w:eastAsia="仿宋"/>
          <w:b/>
          <w:color w:val="auto"/>
          <w:sz w:val="24"/>
        </w:rPr>
      </w:pPr>
      <w:r>
        <w:rPr>
          <w:rFonts w:hint="eastAsia" w:ascii="仿宋" w:hAnsi="仿宋" w:eastAsia="仿宋"/>
          <w:b/>
          <w:color w:val="auto"/>
          <w:sz w:val="24"/>
        </w:rPr>
        <w:t>商务技术评审</w:t>
      </w:r>
    </w:p>
    <w:tbl>
      <w:tblPr>
        <w:tblStyle w:val="59"/>
        <w:tblpPr w:leftFromText="180" w:rightFromText="180" w:vertAnchor="text" w:horzAnchor="page" w:tblpX="987" w:tblpY="463"/>
        <w:tblOverlap w:val="never"/>
        <w:tblW w:w="10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321"/>
        <w:gridCol w:w="754"/>
        <w:gridCol w:w="6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27"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auto"/>
                <w:sz w:val="24"/>
              </w:rPr>
            </w:pPr>
            <w:r>
              <w:rPr>
                <w:rFonts w:hint="eastAsia" w:ascii="仿宋" w:hAnsi="仿宋" w:eastAsia="仿宋" w:cs="仿宋"/>
                <w:b/>
                <w:color w:val="auto"/>
                <w:kern w:val="0"/>
                <w:sz w:val="24"/>
              </w:rPr>
              <w:t>评审因素</w:t>
            </w:r>
          </w:p>
        </w:tc>
        <w:tc>
          <w:tcPr>
            <w:tcW w:w="1321"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auto"/>
                <w:sz w:val="24"/>
              </w:rPr>
            </w:pPr>
            <w:r>
              <w:rPr>
                <w:rFonts w:hint="eastAsia" w:ascii="仿宋" w:hAnsi="仿宋" w:eastAsia="仿宋" w:cs="仿宋"/>
                <w:b/>
                <w:color w:val="auto"/>
                <w:kern w:val="0"/>
                <w:sz w:val="24"/>
              </w:rPr>
              <w:t>评审内容</w:t>
            </w:r>
          </w:p>
        </w:tc>
        <w:tc>
          <w:tcPr>
            <w:tcW w:w="754"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auto"/>
                <w:sz w:val="24"/>
              </w:rPr>
            </w:pPr>
            <w:r>
              <w:rPr>
                <w:rFonts w:hint="eastAsia" w:ascii="仿宋" w:hAnsi="仿宋" w:eastAsia="仿宋" w:cs="仿宋"/>
                <w:b/>
                <w:color w:val="auto"/>
                <w:kern w:val="0"/>
                <w:sz w:val="24"/>
              </w:rPr>
              <w:t>分值</w:t>
            </w:r>
          </w:p>
        </w:tc>
        <w:tc>
          <w:tcPr>
            <w:tcW w:w="6963"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auto"/>
                <w:sz w:val="24"/>
              </w:rPr>
            </w:pPr>
            <w:r>
              <w:rPr>
                <w:rFonts w:hint="eastAsia" w:ascii="仿宋" w:hAnsi="仿宋" w:eastAsia="仿宋" w:cs="仿宋"/>
                <w:b/>
                <w:color w:val="auto"/>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7" w:type="dxa"/>
            <w:vMerge w:val="restart"/>
            <w:shd w:val="clear" w:color="auto" w:fill="auto"/>
            <w:tcMar>
              <w:top w:w="15" w:type="dxa"/>
              <w:left w:w="15" w:type="dxa"/>
              <w:right w:w="15" w:type="dxa"/>
            </w:tcMar>
            <w:vAlign w:val="center"/>
          </w:tcPr>
          <w:p>
            <w:pPr>
              <w:widowControl/>
              <w:spacing w:line="360" w:lineRule="exact"/>
              <w:textAlignment w:val="center"/>
              <w:rPr>
                <w:rFonts w:ascii="仿宋" w:hAnsi="仿宋" w:eastAsia="仿宋" w:cs="仿宋"/>
                <w:color w:val="auto"/>
                <w:sz w:val="24"/>
              </w:rPr>
            </w:pPr>
            <w:r>
              <w:rPr>
                <w:rFonts w:hint="eastAsia" w:ascii="仿宋" w:hAnsi="仿宋" w:eastAsia="仿宋" w:cs="仿宋"/>
                <w:color w:val="auto"/>
                <w:kern w:val="0"/>
                <w:sz w:val="24"/>
              </w:rPr>
              <w:t>商务部分（25分）</w:t>
            </w:r>
          </w:p>
        </w:tc>
        <w:tc>
          <w:tcPr>
            <w:tcW w:w="1321" w:type="dxa"/>
            <w:shd w:val="clear" w:color="auto" w:fill="auto"/>
            <w:noWrap/>
            <w:tcMar>
              <w:top w:w="15" w:type="dxa"/>
              <w:left w:w="15" w:type="dxa"/>
              <w:right w:w="15" w:type="dxa"/>
            </w:tcMar>
            <w:vAlign w:val="center"/>
          </w:tcPr>
          <w:p>
            <w:pPr>
              <w:shd w:val="clear" w:color="auto" w:fill="FFFFFF"/>
              <w:spacing w:line="360" w:lineRule="exact"/>
              <w:jc w:val="center"/>
              <w:rPr>
                <w:rFonts w:ascii="仿宋" w:hAnsi="仿宋" w:eastAsia="仿宋" w:cs="宋体"/>
                <w:color w:val="auto"/>
                <w:sz w:val="24"/>
              </w:rPr>
            </w:pPr>
            <w:r>
              <w:rPr>
                <w:rFonts w:hint="eastAsia" w:ascii="仿宋" w:hAnsi="仿宋" w:eastAsia="仿宋" w:cs="宋体"/>
                <w:color w:val="auto"/>
                <w:kern w:val="0"/>
                <w:sz w:val="24"/>
              </w:rPr>
              <w:t>资质状况</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kern w:val="0"/>
              </w:rPr>
            </w:pPr>
            <w:r>
              <w:rPr>
                <w:rFonts w:hint="eastAsia" w:ascii="仿宋" w:hAnsi="仿宋" w:eastAsia="仿宋"/>
                <w:color w:val="auto"/>
                <w:kern w:val="0"/>
                <w:szCs w:val="24"/>
              </w:rPr>
              <w:t>4</w:t>
            </w:r>
          </w:p>
        </w:tc>
        <w:tc>
          <w:tcPr>
            <w:tcW w:w="6963" w:type="dxa"/>
            <w:shd w:val="clear" w:color="auto" w:fill="auto"/>
            <w:tcMar>
              <w:top w:w="15" w:type="dxa"/>
              <w:left w:w="15" w:type="dxa"/>
              <w:right w:w="15" w:type="dxa"/>
            </w:tcMar>
            <w:vAlign w:val="center"/>
          </w:tcPr>
          <w:p>
            <w:pPr>
              <w:pStyle w:val="676"/>
              <w:spacing w:line="360" w:lineRule="exact"/>
              <w:ind w:firstLine="0" w:firstLineChars="0"/>
              <w:rPr>
                <w:color w:val="auto"/>
              </w:rPr>
            </w:pPr>
            <w:r>
              <w:rPr>
                <w:rFonts w:hint="eastAsia" w:ascii="仿宋" w:hAnsi="仿宋" w:eastAsia="仿宋" w:cstheme="minorBidi"/>
                <w:color w:val="auto"/>
                <w:szCs w:val="22"/>
                <w:lang w:val="zh-CN"/>
              </w:rPr>
              <w:t>所投产品制造商具有ISO9001质量管理体系认证证书、ISO/IEC 20000 信息技术服务管理体系认证证书、ISO/IEC 27001 信息安全管理体系认证证书、ISO14001环境管理体系认证证书。每提供一项得</w:t>
            </w:r>
            <w:r>
              <w:rPr>
                <w:rFonts w:hint="eastAsia" w:ascii="仿宋" w:hAnsi="仿宋" w:eastAsia="仿宋" w:cstheme="minorBidi"/>
                <w:color w:val="auto"/>
                <w:szCs w:val="22"/>
              </w:rPr>
              <w:t>1</w:t>
            </w:r>
            <w:r>
              <w:rPr>
                <w:rFonts w:hint="eastAsia" w:ascii="仿宋" w:hAnsi="仿宋" w:eastAsia="仿宋" w:cstheme="minorBidi"/>
                <w:color w:val="auto"/>
                <w:szCs w:val="22"/>
                <w:lang w:val="zh-CN"/>
              </w:rPr>
              <w:t>分，满分</w:t>
            </w:r>
            <w:r>
              <w:rPr>
                <w:rFonts w:hint="eastAsia" w:ascii="仿宋" w:hAnsi="仿宋" w:eastAsia="仿宋" w:cstheme="minorBidi"/>
                <w:color w:val="auto"/>
                <w:szCs w:val="22"/>
              </w:rPr>
              <w:t>4</w:t>
            </w:r>
            <w:r>
              <w:rPr>
                <w:rFonts w:hint="eastAsia" w:ascii="仿宋" w:hAnsi="仿宋" w:eastAsia="仿宋" w:cstheme="minorBidi"/>
                <w:color w:val="auto"/>
                <w:szCs w:val="22"/>
                <w:lang w:val="zh-CN"/>
              </w:rPr>
              <w:t>分。（提供有效期内的上述证书原件清晰版扫描件方可计分）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027" w:type="dxa"/>
            <w:vMerge w:val="continue"/>
            <w:shd w:val="clear" w:color="auto" w:fill="auto"/>
            <w:tcMar>
              <w:top w:w="15" w:type="dxa"/>
              <w:left w:w="15" w:type="dxa"/>
              <w:right w:w="15" w:type="dxa"/>
            </w:tcMar>
            <w:vAlign w:val="center"/>
          </w:tcPr>
          <w:p>
            <w:pPr>
              <w:spacing w:line="360" w:lineRule="exact"/>
              <w:rPr>
                <w:rFonts w:ascii="仿宋" w:hAnsi="仿宋" w:eastAsia="仿宋" w:cs="仿宋"/>
                <w:color w:val="auto"/>
                <w:sz w:val="24"/>
              </w:rPr>
            </w:pPr>
          </w:p>
        </w:tc>
        <w:tc>
          <w:tcPr>
            <w:tcW w:w="1321" w:type="dxa"/>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olor w:val="auto"/>
                <w:sz w:val="24"/>
              </w:rPr>
              <w:t>交货期</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rPr>
            </w:pPr>
            <w:r>
              <w:rPr>
                <w:rFonts w:hint="eastAsia" w:ascii="仿宋" w:hAnsi="仿宋" w:eastAsia="仿宋"/>
                <w:color w:val="auto"/>
                <w:kern w:val="0"/>
                <w:szCs w:val="24"/>
              </w:rPr>
              <w:t>3</w:t>
            </w:r>
          </w:p>
        </w:tc>
        <w:tc>
          <w:tcPr>
            <w:tcW w:w="6963" w:type="dxa"/>
            <w:shd w:val="clear" w:color="auto" w:fill="auto"/>
            <w:tcMar>
              <w:top w:w="15" w:type="dxa"/>
              <w:left w:w="15" w:type="dxa"/>
              <w:right w:w="15" w:type="dxa"/>
            </w:tcMar>
            <w:vAlign w:val="center"/>
          </w:tcPr>
          <w:p>
            <w:pPr>
              <w:pStyle w:val="676"/>
              <w:spacing w:line="360" w:lineRule="exact"/>
              <w:ind w:firstLine="0" w:firstLineChars="0"/>
              <w:rPr>
                <w:rFonts w:ascii="仿宋" w:hAnsi="仿宋" w:eastAsia="仿宋"/>
                <w:color w:val="auto"/>
                <w:kern w:val="0"/>
                <w:szCs w:val="24"/>
              </w:rPr>
            </w:pPr>
            <w:r>
              <w:rPr>
                <w:rFonts w:hint="eastAsia" w:ascii="仿宋" w:hAnsi="仿宋" w:eastAsia="仿宋" w:cstheme="minorBidi"/>
                <w:color w:val="auto"/>
                <w:szCs w:val="22"/>
              </w:rPr>
              <w:t>满足采购文件交货期要求得1分，提前7天交货加1分、提前15天交货加2分，最高得3分。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027" w:type="dxa"/>
            <w:vMerge w:val="continue"/>
            <w:shd w:val="clear" w:color="auto" w:fill="auto"/>
            <w:tcMar>
              <w:top w:w="15" w:type="dxa"/>
              <w:left w:w="15" w:type="dxa"/>
              <w:right w:w="15" w:type="dxa"/>
            </w:tcMar>
            <w:vAlign w:val="center"/>
          </w:tcPr>
          <w:p>
            <w:pPr>
              <w:spacing w:line="360" w:lineRule="exact"/>
              <w:rPr>
                <w:rFonts w:ascii="仿宋" w:hAnsi="仿宋" w:eastAsia="仿宋" w:cs="仿宋"/>
                <w:color w:val="auto"/>
                <w:sz w:val="24"/>
              </w:rPr>
            </w:pPr>
          </w:p>
        </w:tc>
        <w:tc>
          <w:tcPr>
            <w:tcW w:w="1321" w:type="dxa"/>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auto"/>
                <w:kern w:val="0"/>
                <w:sz w:val="24"/>
              </w:rPr>
            </w:pPr>
            <w:r>
              <w:rPr>
                <w:rFonts w:hint="eastAsia" w:ascii="仿宋" w:hAnsi="仿宋" w:eastAsia="仿宋"/>
                <w:color w:val="auto"/>
                <w:sz w:val="24"/>
              </w:rPr>
              <w:t>售后服务</w:t>
            </w:r>
          </w:p>
        </w:tc>
        <w:tc>
          <w:tcPr>
            <w:tcW w:w="754" w:type="dxa"/>
            <w:shd w:val="clear" w:color="auto" w:fill="auto"/>
            <w:tcMar>
              <w:top w:w="15" w:type="dxa"/>
              <w:left w:w="15" w:type="dxa"/>
              <w:right w:w="15" w:type="dxa"/>
            </w:tcMar>
            <w:vAlign w:val="center"/>
          </w:tcPr>
          <w:p>
            <w:pPr>
              <w:pStyle w:val="523"/>
              <w:widowControl w:val="0"/>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stheme="minorBidi"/>
                <w:color w:val="auto"/>
                <w:sz w:val="24"/>
                <w:szCs w:val="22"/>
                <w:lang w:val="zh-CN"/>
              </w:rPr>
            </w:pPr>
            <w:r>
              <w:rPr>
                <w:rFonts w:hint="eastAsia" w:ascii="仿宋" w:hAnsi="仿宋" w:eastAsia="仿宋" w:cstheme="minorBidi"/>
                <w:color w:val="auto"/>
                <w:sz w:val="24"/>
                <w:szCs w:val="22"/>
                <w:lang w:val="zh-CN"/>
              </w:rPr>
              <w:t>1、培训计划详尽且措施合理可行，得</w:t>
            </w:r>
            <w:r>
              <w:rPr>
                <w:rFonts w:hint="eastAsia" w:ascii="仿宋" w:hAnsi="仿宋" w:eastAsia="仿宋" w:cstheme="minorBidi"/>
                <w:color w:val="auto"/>
                <w:sz w:val="24"/>
                <w:szCs w:val="22"/>
              </w:rPr>
              <w:t>4</w:t>
            </w:r>
            <w:r>
              <w:rPr>
                <w:rFonts w:hint="eastAsia" w:ascii="仿宋" w:hAnsi="仿宋" w:eastAsia="仿宋" w:cstheme="minorBidi"/>
                <w:color w:val="auto"/>
                <w:sz w:val="24"/>
                <w:szCs w:val="22"/>
                <w:lang w:val="zh-CN"/>
              </w:rPr>
              <w:t>分，</w:t>
            </w:r>
            <w:r>
              <w:rPr>
                <w:rFonts w:hint="eastAsia" w:ascii="仿宋" w:hAnsi="仿宋" w:eastAsia="仿宋" w:cstheme="minorBidi"/>
                <w:color w:val="auto"/>
                <w:sz w:val="24"/>
                <w:szCs w:val="22"/>
              </w:rPr>
              <w:t>计划不完善或部分措施缺乏可行性，</w:t>
            </w:r>
            <w:r>
              <w:rPr>
                <w:rFonts w:hint="eastAsia" w:ascii="仿宋" w:hAnsi="仿宋" w:eastAsia="仿宋" w:cstheme="minorBidi"/>
                <w:color w:val="auto"/>
                <w:sz w:val="24"/>
                <w:szCs w:val="22"/>
                <w:lang w:val="zh-CN"/>
              </w:rPr>
              <w:t>得</w:t>
            </w:r>
            <w:r>
              <w:rPr>
                <w:rFonts w:hint="eastAsia" w:ascii="仿宋" w:hAnsi="仿宋" w:eastAsia="仿宋" w:cstheme="minorBidi"/>
                <w:color w:val="auto"/>
                <w:sz w:val="24"/>
                <w:szCs w:val="22"/>
              </w:rPr>
              <w:t>2</w:t>
            </w:r>
            <w:r>
              <w:rPr>
                <w:rFonts w:hint="eastAsia" w:ascii="仿宋" w:hAnsi="仿宋" w:eastAsia="仿宋" w:cstheme="minorBidi"/>
                <w:color w:val="auto"/>
                <w:sz w:val="24"/>
                <w:szCs w:val="22"/>
                <w:lang w:val="zh-CN"/>
              </w:rPr>
              <w:t>分，未提供</w:t>
            </w:r>
            <w:r>
              <w:rPr>
                <w:rFonts w:hint="eastAsia" w:ascii="仿宋" w:hAnsi="仿宋" w:eastAsia="仿宋" w:cstheme="minorBidi"/>
                <w:color w:val="auto"/>
                <w:sz w:val="24"/>
                <w:szCs w:val="22"/>
              </w:rPr>
              <w:t>计划</w:t>
            </w:r>
            <w:r>
              <w:rPr>
                <w:rFonts w:hint="eastAsia" w:ascii="仿宋" w:hAnsi="仿宋" w:eastAsia="仿宋" w:cstheme="minorBidi"/>
                <w:color w:val="auto"/>
                <w:sz w:val="24"/>
                <w:szCs w:val="22"/>
                <w:lang w:val="zh-CN"/>
              </w:rPr>
              <w:t>不得分；</w:t>
            </w:r>
          </w:p>
          <w:p>
            <w:pPr>
              <w:widowControl/>
              <w:spacing w:line="360" w:lineRule="exact"/>
              <w:textAlignment w:val="center"/>
              <w:rPr>
                <w:rFonts w:ascii="仿宋" w:hAnsi="仿宋" w:eastAsia="仿宋" w:cstheme="minorBidi"/>
                <w:color w:val="auto"/>
                <w:sz w:val="24"/>
                <w:szCs w:val="22"/>
                <w:lang w:val="zh-CN"/>
              </w:rPr>
            </w:pPr>
            <w:r>
              <w:rPr>
                <w:rFonts w:hint="eastAsia" w:ascii="仿宋" w:hAnsi="仿宋" w:eastAsia="仿宋" w:cstheme="minorBidi"/>
                <w:color w:val="auto"/>
                <w:sz w:val="24"/>
                <w:szCs w:val="22"/>
                <w:lang w:val="zh-CN"/>
              </w:rPr>
              <w:t>2、供应商须具有售后服务保障能力，在疆内设有售后服务机构，</w:t>
            </w:r>
            <w:r>
              <w:rPr>
                <w:rFonts w:hint="eastAsia" w:ascii="仿宋" w:hAnsi="仿宋" w:eastAsia="仿宋" w:cstheme="minorBidi"/>
                <w:color w:val="auto"/>
                <w:sz w:val="24"/>
                <w:szCs w:val="22"/>
              </w:rPr>
              <w:t>提供详细证明资料的，</w:t>
            </w:r>
            <w:r>
              <w:rPr>
                <w:rFonts w:hint="eastAsia" w:ascii="仿宋" w:hAnsi="仿宋" w:eastAsia="仿宋" w:cstheme="minorBidi"/>
                <w:color w:val="auto"/>
                <w:sz w:val="24"/>
                <w:szCs w:val="22"/>
                <w:lang w:val="zh-CN"/>
              </w:rPr>
              <w:t>得2分，否则不得分；</w:t>
            </w:r>
          </w:p>
          <w:p>
            <w:pPr>
              <w:widowControl/>
              <w:spacing w:line="360" w:lineRule="exact"/>
              <w:textAlignment w:val="center"/>
              <w:rPr>
                <w:rFonts w:ascii="仿宋" w:hAnsi="仿宋" w:eastAsia="仿宋" w:cstheme="minorBidi"/>
                <w:color w:val="auto"/>
                <w:sz w:val="24"/>
                <w:szCs w:val="22"/>
                <w:lang w:val="zh-CN"/>
              </w:rPr>
            </w:pPr>
            <w:r>
              <w:rPr>
                <w:rFonts w:hint="eastAsia" w:ascii="仿宋" w:hAnsi="仿宋" w:eastAsia="仿宋" w:cstheme="minorBidi"/>
                <w:color w:val="auto"/>
                <w:sz w:val="24"/>
                <w:szCs w:val="22"/>
                <w:lang w:val="zh-CN"/>
              </w:rPr>
              <w:t>3、</w:t>
            </w:r>
            <w:r>
              <w:rPr>
                <w:rFonts w:hint="eastAsia" w:ascii="仿宋" w:hAnsi="仿宋" w:eastAsia="仿宋" w:cstheme="minorBidi"/>
                <w:color w:val="auto"/>
                <w:sz w:val="24"/>
                <w:szCs w:val="22"/>
              </w:rPr>
              <w:t>保修</w:t>
            </w:r>
            <w:r>
              <w:rPr>
                <w:rFonts w:hint="eastAsia" w:ascii="仿宋" w:hAnsi="仿宋" w:eastAsia="仿宋" w:cstheme="minorBidi"/>
                <w:color w:val="auto"/>
                <w:sz w:val="24"/>
                <w:szCs w:val="22"/>
                <w:lang w:val="zh-CN"/>
              </w:rPr>
              <w:t>期（包内所有设备）符合采购文件要求得2分；在采购文件要求基础上（包内所有设备）延长1年加0.5分；最多得3分。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027" w:type="dxa"/>
            <w:vMerge w:val="continue"/>
            <w:shd w:val="clear" w:color="auto" w:fill="auto"/>
            <w:tcMar>
              <w:top w:w="15" w:type="dxa"/>
              <w:left w:w="15" w:type="dxa"/>
              <w:right w:w="15" w:type="dxa"/>
            </w:tcMar>
            <w:vAlign w:val="center"/>
          </w:tcPr>
          <w:p>
            <w:pPr>
              <w:spacing w:line="360" w:lineRule="exact"/>
              <w:rPr>
                <w:rFonts w:ascii="仿宋" w:hAnsi="仿宋" w:eastAsia="仿宋" w:cs="仿宋"/>
                <w:color w:val="auto"/>
                <w:sz w:val="24"/>
              </w:rPr>
            </w:pPr>
          </w:p>
        </w:tc>
        <w:tc>
          <w:tcPr>
            <w:tcW w:w="1321"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olor w:val="auto"/>
              </w:rPr>
            </w:pPr>
            <w:r>
              <w:rPr>
                <w:rFonts w:hint="eastAsia" w:ascii="仿宋" w:hAnsi="仿宋" w:eastAsia="仿宋" w:cs="仿宋"/>
                <w:color w:val="auto"/>
                <w:kern w:val="0"/>
              </w:rPr>
              <w:t>标书</w:t>
            </w:r>
            <w:r>
              <w:rPr>
                <w:rFonts w:hint="eastAsia" w:ascii="仿宋" w:hAnsi="仿宋" w:eastAsia="仿宋" w:cs="仿宋"/>
                <w:color w:val="auto"/>
                <w:kern w:val="0"/>
                <w:lang w:val="zh-CN"/>
              </w:rPr>
              <w:t>编制</w:t>
            </w:r>
            <w:r>
              <w:rPr>
                <w:rFonts w:hint="eastAsia" w:ascii="仿宋" w:hAnsi="仿宋" w:eastAsia="仿宋" w:cs="仿宋"/>
                <w:color w:val="auto"/>
                <w:kern w:val="0"/>
              </w:rPr>
              <w:t>质量</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olor w:val="auto"/>
                <w:szCs w:val="24"/>
              </w:rPr>
            </w:pPr>
            <w:r>
              <w:rPr>
                <w:rFonts w:hint="eastAsia" w:ascii="仿宋" w:hAnsi="仿宋" w:eastAsia="仿宋" w:cstheme="minorBidi"/>
                <w:color w:val="auto"/>
                <w:szCs w:val="22"/>
                <w:lang w:val="zh-CN"/>
              </w:rPr>
              <w:t>2</w:t>
            </w:r>
          </w:p>
        </w:tc>
        <w:tc>
          <w:tcPr>
            <w:tcW w:w="6963" w:type="dxa"/>
            <w:shd w:val="clear" w:color="auto" w:fill="auto"/>
            <w:tcMar>
              <w:top w:w="15" w:type="dxa"/>
              <w:left w:w="15" w:type="dxa"/>
              <w:right w:w="15" w:type="dxa"/>
            </w:tcMar>
            <w:vAlign w:val="center"/>
          </w:tcPr>
          <w:p>
            <w:pPr>
              <w:pStyle w:val="676"/>
              <w:spacing w:line="360" w:lineRule="exact"/>
              <w:ind w:firstLine="0" w:firstLineChars="0"/>
              <w:rPr>
                <w:rFonts w:ascii="仿宋" w:hAnsi="仿宋" w:eastAsia="仿宋"/>
                <w:color w:val="auto"/>
              </w:rPr>
            </w:pPr>
            <w:r>
              <w:rPr>
                <w:rFonts w:hint="eastAsia" w:ascii="仿宋" w:hAnsi="仿宋" w:eastAsia="仿宋" w:cstheme="minorBidi"/>
                <w:color w:val="auto"/>
                <w:szCs w:val="22"/>
                <w:lang w:val="zh-CN"/>
              </w:rPr>
              <w:t>有目录索引、页码无错乱、标题、编号、正文、表格 等排版规范得 1分；电子投标文件的逐项响应清晰准确得 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027" w:type="dxa"/>
            <w:vMerge w:val="continue"/>
            <w:shd w:val="clear" w:color="auto" w:fill="auto"/>
            <w:tcMar>
              <w:top w:w="15" w:type="dxa"/>
              <w:left w:w="15" w:type="dxa"/>
              <w:right w:w="15" w:type="dxa"/>
            </w:tcMar>
            <w:vAlign w:val="center"/>
          </w:tcPr>
          <w:p>
            <w:pPr>
              <w:spacing w:line="360" w:lineRule="exact"/>
              <w:rPr>
                <w:rFonts w:ascii="仿宋" w:hAnsi="仿宋" w:eastAsia="仿宋" w:cs="仿宋"/>
                <w:color w:val="auto"/>
                <w:sz w:val="24"/>
              </w:rPr>
            </w:pPr>
          </w:p>
        </w:tc>
        <w:tc>
          <w:tcPr>
            <w:tcW w:w="1321" w:type="dxa"/>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olor w:val="auto"/>
                <w:sz w:val="24"/>
              </w:rPr>
              <w:t>业绩</w:t>
            </w:r>
          </w:p>
        </w:tc>
        <w:tc>
          <w:tcPr>
            <w:tcW w:w="754" w:type="dxa"/>
            <w:shd w:val="clear" w:color="auto" w:fill="auto"/>
            <w:tcMar>
              <w:top w:w="15" w:type="dxa"/>
              <w:left w:w="15" w:type="dxa"/>
              <w:right w:w="15" w:type="dxa"/>
            </w:tcMar>
            <w:vAlign w:val="center"/>
          </w:tcPr>
          <w:p>
            <w:pPr>
              <w:widowControl/>
              <w:spacing w:line="360" w:lineRule="exact"/>
              <w:jc w:val="center"/>
              <w:textAlignment w:val="center"/>
              <w:rPr>
                <w:rFonts w:ascii="仿宋" w:hAnsi="仿宋" w:eastAsia="仿宋"/>
                <w:color w:val="auto"/>
                <w:sz w:val="24"/>
                <w:lang w:val="zh-CN"/>
              </w:rPr>
            </w:pPr>
            <w:r>
              <w:rPr>
                <w:rFonts w:hint="eastAsia" w:ascii="仿宋" w:hAnsi="仿宋" w:eastAsia="仿宋"/>
                <w:color w:val="auto"/>
                <w:sz w:val="24"/>
                <w:lang w:val="zh-CN"/>
              </w:rPr>
              <w:t>6</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sz w:val="24"/>
              </w:rPr>
            </w:pPr>
            <w:r>
              <w:rPr>
                <w:rFonts w:hint="eastAsia" w:ascii="仿宋" w:hAnsi="仿宋" w:eastAsia="仿宋" w:cstheme="minorBidi"/>
                <w:color w:val="auto"/>
                <w:sz w:val="24"/>
                <w:szCs w:val="22"/>
                <w:lang w:val="zh-CN"/>
              </w:rPr>
              <w:t>提供投标人近3年内（自2019年6月1日至2022年6月1日）网络安全项目（含防火墙核心产品）业绩，</w:t>
            </w:r>
            <w:r>
              <w:rPr>
                <w:rFonts w:hint="eastAsia" w:ascii="仿宋" w:hAnsi="仿宋" w:eastAsia="仿宋" w:cstheme="minorBidi"/>
                <w:color w:val="auto"/>
                <w:sz w:val="24"/>
                <w:szCs w:val="22"/>
              </w:rPr>
              <w:t>至少</w:t>
            </w:r>
            <w:r>
              <w:rPr>
                <w:rFonts w:hint="eastAsia" w:ascii="仿宋" w:hAnsi="仿宋" w:eastAsia="仿宋" w:cstheme="minorBidi"/>
                <w:color w:val="auto"/>
                <w:sz w:val="24"/>
                <w:szCs w:val="22"/>
                <w:lang w:val="zh-CN"/>
              </w:rPr>
              <w:t>提供4个不同采购单位业绩，得基本分4分，每增加一项业绩加1分，最多得6分。提供业绩证明资料：中标通知书</w:t>
            </w:r>
            <w:r>
              <w:rPr>
                <w:rFonts w:hint="eastAsia" w:ascii="仿宋" w:hAnsi="仿宋" w:eastAsia="仿宋" w:cstheme="minorBidi"/>
                <w:color w:val="auto"/>
                <w:sz w:val="24"/>
                <w:szCs w:val="22"/>
              </w:rPr>
              <w:t>及</w:t>
            </w:r>
            <w:r>
              <w:rPr>
                <w:rFonts w:hint="eastAsia" w:ascii="仿宋" w:hAnsi="仿宋" w:eastAsia="仿宋" w:cstheme="minorBidi"/>
                <w:color w:val="auto"/>
                <w:sz w:val="24"/>
                <w:szCs w:val="22"/>
                <w:lang w:val="zh-CN"/>
              </w:rPr>
              <w:t>合同（均为</w:t>
            </w:r>
            <w:r>
              <w:rPr>
                <w:rFonts w:hint="eastAsia" w:ascii="仿宋" w:hAnsi="仿宋" w:eastAsia="仿宋" w:cstheme="minorBidi"/>
                <w:color w:val="auto"/>
                <w:sz w:val="24"/>
                <w:szCs w:val="22"/>
              </w:rPr>
              <w:t>原件</w:t>
            </w:r>
            <w:r>
              <w:rPr>
                <w:rFonts w:hint="eastAsia" w:ascii="仿宋" w:hAnsi="仿宋" w:eastAsia="仿宋" w:cstheme="minorBidi"/>
                <w:color w:val="auto"/>
                <w:sz w:val="24"/>
                <w:szCs w:val="22"/>
                <w:lang w:val="zh-CN"/>
              </w:rPr>
              <w:t>扫描件），证明材料应</w:t>
            </w:r>
            <w:r>
              <w:rPr>
                <w:rFonts w:hint="eastAsia" w:ascii="仿宋" w:hAnsi="仿宋" w:eastAsia="仿宋" w:cstheme="minorBidi"/>
                <w:color w:val="auto"/>
                <w:sz w:val="24"/>
                <w:szCs w:val="22"/>
              </w:rPr>
              <w:t>清晰反映项目名称、</w:t>
            </w:r>
            <w:r>
              <w:rPr>
                <w:rFonts w:hint="eastAsia" w:ascii="仿宋" w:hAnsi="仿宋" w:eastAsia="仿宋" w:cstheme="minorBidi"/>
                <w:color w:val="auto"/>
                <w:sz w:val="24"/>
                <w:szCs w:val="22"/>
                <w:lang w:val="zh-CN"/>
              </w:rPr>
              <w:t>产品名称、型号、日期、盖章信息等。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1027" w:type="dxa"/>
            <w:vMerge w:val="continue"/>
            <w:shd w:val="clear" w:color="auto" w:fill="auto"/>
            <w:tcMar>
              <w:top w:w="15" w:type="dxa"/>
              <w:left w:w="15" w:type="dxa"/>
              <w:right w:w="15" w:type="dxa"/>
            </w:tcMar>
            <w:vAlign w:val="center"/>
          </w:tcPr>
          <w:p>
            <w:pPr>
              <w:spacing w:line="360" w:lineRule="exact"/>
              <w:rPr>
                <w:rFonts w:ascii="仿宋" w:hAnsi="仿宋" w:eastAsia="仿宋" w:cs="仿宋"/>
                <w:color w:val="auto"/>
                <w:sz w:val="24"/>
              </w:rPr>
            </w:pPr>
          </w:p>
        </w:tc>
        <w:tc>
          <w:tcPr>
            <w:tcW w:w="1321" w:type="dxa"/>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bCs/>
                <w:color w:val="auto"/>
                <w:kern w:val="0"/>
                <w:sz w:val="24"/>
              </w:rPr>
              <w:t>非强制节能环保产品政策功能评分</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rPr>
            </w:pPr>
            <w:r>
              <w:rPr>
                <w:rFonts w:hint="eastAsia" w:ascii="仿宋" w:hAnsi="仿宋" w:eastAsia="仿宋"/>
                <w:bCs/>
                <w:color w:val="auto"/>
                <w:kern w:val="0"/>
                <w:szCs w:val="24"/>
              </w:rPr>
              <w:t>1</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kern w:val="0"/>
                <w:sz w:val="24"/>
              </w:rPr>
            </w:pPr>
            <w:r>
              <w:rPr>
                <w:rFonts w:hint="eastAsia" w:ascii="仿宋" w:hAnsi="仿宋" w:eastAsia="仿宋"/>
                <w:color w:val="auto"/>
                <w:sz w:val="24"/>
                <w:lang w:val="zh-CN"/>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w:t>
            </w:r>
            <w:r>
              <w:rPr>
                <w:rFonts w:hint="eastAsia" w:ascii="仿宋" w:hAnsi="仿宋" w:eastAsia="仿宋"/>
                <w:color w:val="auto"/>
                <w:sz w:val="24"/>
              </w:rPr>
              <w:t>提供证书原件清晰版扫描件，</w:t>
            </w:r>
            <w:r>
              <w:rPr>
                <w:rFonts w:hint="eastAsia" w:ascii="仿宋" w:hAnsi="仿宋" w:eastAsia="仿宋"/>
                <w:color w:val="auto"/>
                <w:sz w:val="24"/>
                <w:lang w:val="zh-CN"/>
              </w:rPr>
              <w:t>每项加0.5分，最高1分。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27" w:type="dxa"/>
            <w:vMerge w:val="restart"/>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auto"/>
                <w:sz w:val="24"/>
              </w:rPr>
            </w:pPr>
            <w:r>
              <w:rPr>
                <w:rFonts w:hint="eastAsia" w:ascii="仿宋" w:hAnsi="仿宋" w:eastAsia="仿宋" w:cs="仿宋"/>
                <w:color w:val="auto"/>
                <w:kern w:val="0"/>
                <w:sz w:val="24"/>
              </w:rPr>
              <w:t>技术部分（45分）</w:t>
            </w:r>
          </w:p>
        </w:tc>
        <w:tc>
          <w:tcPr>
            <w:tcW w:w="1321"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olor w:val="auto"/>
                <w:szCs w:val="24"/>
              </w:rPr>
            </w:pPr>
            <w:r>
              <w:rPr>
                <w:rFonts w:hint="eastAsia" w:ascii="仿宋" w:hAnsi="仿宋" w:eastAsia="仿宋"/>
                <w:color w:val="auto"/>
                <w:szCs w:val="24"/>
              </w:rPr>
              <w:t>技术参数</w:t>
            </w:r>
          </w:p>
          <w:p>
            <w:pPr>
              <w:pStyle w:val="676"/>
              <w:spacing w:line="360" w:lineRule="exact"/>
              <w:ind w:firstLine="0" w:firstLineChars="0"/>
              <w:jc w:val="center"/>
              <w:rPr>
                <w:rFonts w:ascii="仿宋" w:hAnsi="仿宋" w:eastAsia="仿宋" w:cs="仿宋"/>
                <w:color w:val="auto"/>
              </w:rPr>
            </w:pPr>
            <w:r>
              <w:rPr>
                <w:rFonts w:hint="eastAsia" w:ascii="仿宋" w:hAnsi="仿宋" w:eastAsia="仿宋"/>
                <w:color w:val="auto"/>
                <w:szCs w:val="24"/>
              </w:rPr>
              <w:t>响应</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rPr>
            </w:pPr>
            <w:r>
              <w:rPr>
                <w:rFonts w:hint="eastAsia" w:ascii="仿宋" w:hAnsi="仿宋" w:eastAsia="仿宋"/>
                <w:color w:val="auto"/>
                <w:szCs w:val="24"/>
              </w:rPr>
              <w:t>30</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供应商</w:t>
            </w:r>
            <w:r>
              <w:rPr>
                <w:rFonts w:hint="eastAsia" w:ascii="仿宋" w:hAnsi="仿宋" w:eastAsia="仿宋"/>
                <w:color w:val="auto"/>
                <w:sz w:val="24"/>
              </w:rPr>
              <w:t>提供的《技术服务条款偏离表》</w:t>
            </w:r>
            <w:r>
              <w:rPr>
                <w:rFonts w:hint="eastAsia" w:ascii="仿宋" w:hAnsi="仿宋" w:eastAsia="仿宋"/>
                <w:color w:val="auto"/>
                <w:sz w:val="24"/>
                <w:lang w:val="zh-CN"/>
              </w:rPr>
              <w:t>须对照第四章《采购需求》所有条款按照序号逐条列出是否响应及响应内容。第四章《采购需求》中标注★号的条款为重要技术参数条款，其他为一般技术参数条款：</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w:t>
            </w:r>
            <w:r>
              <w:rPr>
                <w:rFonts w:hint="eastAsia" w:ascii="仿宋" w:hAnsi="仿宋" w:eastAsia="仿宋"/>
                <w:color w:val="auto"/>
                <w:sz w:val="24"/>
              </w:rPr>
              <w:t>1</w:t>
            </w:r>
            <w:r>
              <w:rPr>
                <w:rFonts w:hint="eastAsia" w:ascii="仿宋" w:hAnsi="仿宋" w:eastAsia="仿宋"/>
                <w:color w:val="auto"/>
                <w:sz w:val="24"/>
                <w:lang w:val="zh-CN"/>
              </w:rPr>
              <w:t>）满足《采购需求》所有一般技术参数条款并按照要求提供相关证明材料的，得基本分20分；对一般技术参数条款每出现1条负偏离，扣1分，扣至0分为止。</w:t>
            </w:r>
          </w:p>
          <w:p>
            <w:pPr>
              <w:widowControl/>
              <w:spacing w:line="360" w:lineRule="exact"/>
              <w:textAlignment w:val="center"/>
              <w:rPr>
                <w:rFonts w:ascii="仿宋" w:hAnsi="仿宋" w:eastAsia="仿宋" w:cs="仿宋"/>
                <w:color w:val="auto"/>
                <w:kern w:val="0"/>
                <w:sz w:val="24"/>
              </w:rPr>
            </w:pPr>
            <w:r>
              <w:rPr>
                <w:rFonts w:hint="eastAsia" w:ascii="仿宋" w:hAnsi="仿宋" w:eastAsia="仿宋"/>
                <w:color w:val="auto"/>
                <w:sz w:val="24"/>
                <w:lang w:val="zh-CN"/>
              </w:rPr>
              <w:t>（</w:t>
            </w:r>
            <w:r>
              <w:rPr>
                <w:rFonts w:hint="eastAsia" w:ascii="仿宋" w:hAnsi="仿宋" w:eastAsia="仿宋"/>
                <w:color w:val="auto"/>
                <w:sz w:val="24"/>
              </w:rPr>
              <w:t>2</w:t>
            </w:r>
            <w:r>
              <w:rPr>
                <w:rFonts w:hint="eastAsia" w:ascii="仿宋" w:hAnsi="仿宋" w:eastAsia="仿宋"/>
                <w:color w:val="auto"/>
                <w:sz w:val="24"/>
                <w:lang w:val="zh-CN"/>
              </w:rPr>
              <w:t>）满足重要技术参数★号条款并按照要求提供相关证明材料的，每满足一条得2分，不满足不扣分，最多得10分。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auto"/>
                <w:kern w:val="0"/>
                <w:sz w:val="24"/>
              </w:rPr>
            </w:pPr>
          </w:p>
        </w:tc>
        <w:tc>
          <w:tcPr>
            <w:tcW w:w="1321"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olor w:val="auto"/>
                <w:szCs w:val="24"/>
              </w:rPr>
            </w:pPr>
            <w:r>
              <w:rPr>
                <w:rFonts w:hint="eastAsia" w:ascii="仿宋" w:hAnsi="仿宋" w:eastAsia="仿宋"/>
                <w:color w:val="auto"/>
                <w:szCs w:val="24"/>
              </w:rPr>
              <w:t>项目实施</w:t>
            </w:r>
          </w:p>
          <w:p>
            <w:pPr>
              <w:pStyle w:val="676"/>
              <w:spacing w:line="360" w:lineRule="exact"/>
              <w:ind w:firstLine="0" w:firstLineChars="0"/>
              <w:jc w:val="center"/>
              <w:rPr>
                <w:rFonts w:ascii="仿宋" w:hAnsi="仿宋" w:eastAsia="仿宋" w:cs="仿宋"/>
                <w:color w:val="auto"/>
                <w:kern w:val="0"/>
              </w:rPr>
            </w:pPr>
            <w:r>
              <w:rPr>
                <w:rFonts w:hint="eastAsia" w:ascii="仿宋" w:hAnsi="仿宋" w:eastAsia="仿宋"/>
                <w:color w:val="auto"/>
                <w:szCs w:val="24"/>
              </w:rPr>
              <w:t>方案</w:t>
            </w:r>
          </w:p>
        </w:tc>
        <w:tc>
          <w:tcPr>
            <w:tcW w:w="754"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kern w:val="0"/>
              </w:rPr>
            </w:pPr>
            <w:r>
              <w:rPr>
                <w:rFonts w:hint="eastAsia" w:ascii="仿宋" w:hAnsi="仿宋" w:eastAsia="仿宋"/>
                <w:color w:val="auto"/>
                <w:szCs w:val="24"/>
              </w:rPr>
              <w:t>5</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供应商提供的本项目实施方案，包含但不限于项目供货管理流程，人员配置、安排，时间响应措施，运输保障计划，供货、安装、调试、质量保证措施，验收计划和验收合格率控制措施，人员培训计划方案等进行综合评审：</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w:t>
            </w:r>
            <w:r>
              <w:rPr>
                <w:rFonts w:hint="eastAsia" w:ascii="仿宋" w:hAnsi="仿宋" w:eastAsia="仿宋"/>
                <w:color w:val="auto"/>
                <w:sz w:val="24"/>
              </w:rPr>
              <w:t>1</w:t>
            </w:r>
            <w:r>
              <w:rPr>
                <w:rFonts w:hint="eastAsia" w:ascii="仿宋" w:hAnsi="仿宋" w:eastAsia="仿宋"/>
                <w:color w:val="auto"/>
                <w:sz w:val="24"/>
                <w:lang w:val="zh-CN"/>
              </w:rPr>
              <w:t>）方案</w:t>
            </w:r>
            <w:r>
              <w:rPr>
                <w:rFonts w:hint="eastAsia" w:ascii="仿宋" w:hAnsi="仿宋" w:eastAsia="仿宋"/>
                <w:color w:val="auto"/>
                <w:sz w:val="24"/>
              </w:rPr>
              <w:t>全面</w:t>
            </w:r>
            <w:r>
              <w:rPr>
                <w:rFonts w:hint="eastAsia" w:ascii="仿宋" w:hAnsi="仿宋" w:eastAsia="仿宋"/>
                <w:color w:val="auto"/>
                <w:sz w:val="24"/>
                <w:lang w:val="zh-CN"/>
              </w:rPr>
              <w:t>完整、具体</w:t>
            </w:r>
            <w:r>
              <w:rPr>
                <w:rFonts w:hint="eastAsia" w:ascii="仿宋" w:hAnsi="仿宋" w:eastAsia="仿宋"/>
                <w:color w:val="auto"/>
                <w:sz w:val="24"/>
              </w:rPr>
              <w:t>详实</w:t>
            </w:r>
            <w:r>
              <w:rPr>
                <w:rFonts w:hint="eastAsia" w:ascii="仿宋" w:hAnsi="仿宋" w:eastAsia="仿宋"/>
                <w:color w:val="auto"/>
                <w:sz w:val="24"/>
                <w:lang w:val="zh-CN"/>
              </w:rPr>
              <w:t>，完全符合项目特点和要求的，得</w:t>
            </w:r>
            <w:r>
              <w:rPr>
                <w:rFonts w:hint="eastAsia" w:ascii="仿宋" w:hAnsi="仿宋" w:eastAsia="仿宋"/>
                <w:color w:val="auto"/>
                <w:sz w:val="24"/>
              </w:rPr>
              <w:t>5</w:t>
            </w:r>
            <w:r>
              <w:rPr>
                <w:rFonts w:hint="eastAsia" w:ascii="仿宋" w:hAnsi="仿宋" w:eastAsia="仿宋"/>
                <w:color w:val="auto"/>
                <w:sz w:val="24"/>
                <w:lang w:val="zh-CN"/>
              </w:rPr>
              <w:t>分；</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（2）方案可行，但有缺陷待完善或未完全针对本项目，得</w:t>
            </w:r>
            <w:r>
              <w:rPr>
                <w:rFonts w:hint="eastAsia" w:ascii="仿宋" w:hAnsi="仿宋" w:eastAsia="仿宋"/>
                <w:color w:val="auto"/>
                <w:sz w:val="24"/>
              </w:rPr>
              <w:t>3</w:t>
            </w:r>
            <w:r>
              <w:rPr>
                <w:rFonts w:hint="eastAsia" w:ascii="仿宋" w:hAnsi="仿宋" w:eastAsia="仿宋"/>
                <w:color w:val="auto"/>
                <w:sz w:val="24"/>
                <w:lang w:val="zh-CN"/>
              </w:rPr>
              <w:t>分；</w:t>
            </w:r>
          </w:p>
          <w:p>
            <w:pPr>
              <w:widowControl/>
              <w:spacing w:line="360" w:lineRule="exact"/>
              <w:textAlignment w:val="center"/>
              <w:rPr>
                <w:rFonts w:ascii="仿宋" w:hAnsi="仿宋" w:eastAsia="仿宋" w:cs="仿宋"/>
                <w:color w:val="auto"/>
                <w:kern w:val="0"/>
                <w:sz w:val="24"/>
              </w:rPr>
            </w:pPr>
            <w:r>
              <w:rPr>
                <w:rFonts w:hint="eastAsia" w:ascii="仿宋" w:hAnsi="仿宋" w:eastAsia="仿宋"/>
                <w:color w:val="auto"/>
                <w:sz w:val="24"/>
                <w:lang w:val="zh-CN"/>
              </w:rPr>
              <w:t>（3）方案不可行或未提供的，得0分。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auto"/>
                <w:kern w:val="0"/>
                <w:sz w:val="24"/>
              </w:rPr>
            </w:pPr>
          </w:p>
        </w:tc>
        <w:tc>
          <w:tcPr>
            <w:tcW w:w="1321" w:type="dxa"/>
            <w:shd w:val="clear" w:color="auto" w:fill="auto"/>
            <w:tcMar>
              <w:top w:w="15" w:type="dxa"/>
              <w:left w:w="15" w:type="dxa"/>
              <w:right w:w="15" w:type="dxa"/>
            </w:tcMar>
            <w:vAlign w:val="center"/>
          </w:tcPr>
          <w:p>
            <w:pPr>
              <w:pStyle w:val="676"/>
              <w:spacing w:line="360" w:lineRule="exact"/>
              <w:ind w:firstLine="0" w:firstLineChars="0"/>
              <w:jc w:val="center"/>
              <w:rPr>
                <w:rFonts w:ascii="仿宋" w:hAnsi="仿宋" w:eastAsia="仿宋" w:cs="仿宋"/>
                <w:color w:val="auto"/>
                <w:kern w:val="0"/>
              </w:rPr>
            </w:pPr>
            <w:r>
              <w:rPr>
                <w:rFonts w:hint="eastAsia" w:ascii="仿宋" w:hAnsi="仿宋" w:eastAsia="仿宋" w:cs="仿宋"/>
                <w:color w:val="auto"/>
                <w:kern w:val="0"/>
              </w:rPr>
              <w:t>技术支撑方案</w:t>
            </w:r>
          </w:p>
        </w:tc>
        <w:tc>
          <w:tcPr>
            <w:tcW w:w="754" w:type="dxa"/>
            <w:shd w:val="clear" w:color="auto" w:fill="auto"/>
            <w:tcMar>
              <w:top w:w="15" w:type="dxa"/>
              <w:left w:w="15" w:type="dxa"/>
              <w:right w:w="15" w:type="dxa"/>
            </w:tcMar>
            <w:vAlign w:val="center"/>
          </w:tcPr>
          <w:p>
            <w:pPr>
              <w:widowControl/>
              <w:spacing w:line="360" w:lineRule="exact"/>
              <w:jc w:val="center"/>
              <w:textAlignment w:val="center"/>
              <w:rPr>
                <w:rFonts w:ascii="仿宋" w:hAnsi="仿宋" w:eastAsia="仿宋"/>
                <w:color w:val="auto"/>
                <w:sz w:val="24"/>
                <w:lang w:val="zh-CN"/>
              </w:rPr>
            </w:pPr>
            <w:r>
              <w:rPr>
                <w:rFonts w:hint="eastAsia" w:ascii="仿宋" w:hAnsi="仿宋" w:eastAsia="仿宋"/>
                <w:color w:val="auto"/>
                <w:sz w:val="24"/>
              </w:rPr>
              <w:t>4</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sz w:val="24"/>
              </w:rPr>
            </w:pPr>
            <w:r>
              <w:rPr>
                <w:rFonts w:hint="eastAsia" w:ascii="仿宋" w:hAnsi="仿宋" w:eastAsia="仿宋"/>
                <w:color w:val="auto"/>
                <w:sz w:val="24"/>
                <w:lang w:val="zh-CN"/>
              </w:rPr>
              <w:t>供应商须提供技术</w:t>
            </w:r>
            <w:r>
              <w:rPr>
                <w:rFonts w:hint="eastAsia" w:ascii="仿宋" w:hAnsi="仿宋" w:eastAsia="仿宋"/>
                <w:color w:val="auto"/>
                <w:sz w:val="24"/>
              </w:rPr>
              <w:t>支撑</w:t>
            </w:r>
            <w:r>
              <w:rPr>
                <w:rFonts w:hint="eastAsia" w:ascii="仿宋" w:hAnsi="仿宋" w:eastAsia="仿宋"/>
                <w:color w:val="auto"/>
                <w:sz w:val="24"/>
                <w:lang w:val="zh-CN"/>
              </w:rPr>
              <w:t>方案，</w:t>
            </w:r>
            <w:r>
              <w:rPr>
                <w:rFonts w:hint="eastAsia" w:ascii="仿宋" w:hAnsi="仿宋" w:eastAsia="仿宋"/>
                <w:color w:val="auto"/>
                <w:sz w:val="24"/>
              </w:rPr>
              <w:t>承诺保修期后仍能确保满足采购方的技术服务呼叫需求，无偿或有偿提供技术咨询服务或人员到场服务：</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w:t>
            </w:r>
            <w:r>
              <w:rPr>
                <w:rFonts w:hint="eastAsia" w:ascii="仿宋" w:hAnsi="仿宋" w:eastAsia="仿宋"/>
                <w:color w:val="auto"/>
                <w:sz w:val="24"/>
              </w:rPr>
              <w:t>1</w:t>
            </w:r>
            <w:r>
              <w:rPr>
                <w:rFonts w:hint="eastAsia" w:ascii="仿宋" w:hAnsi="仿宋" w:eastAsia="仿宋"/>
                <w:color w:val="auto"/>
                <w:sz w:val="24"/>
                <w:lang w:val="zh-CN"/>
              </w:rPr>
              <w:t>）方案</w:t>
            </w:r>
            <w:r>
              <w:rPr>
                <w:rFonts w:hint="eastAsia" w:ascii="仿宋" w:hAnsi="仿宋" w:eastAsia="仿宋"/>
                <w:color w:val="auto"/>
                <w:sz w:val="24"/>
              </w:rPr>
              <w:t>全面</w:t>
            </w:r>
            <w:r>
              <w:rPr>
                <w:rFonts w:hint="eastAsia" w:ascii="仿宋" w:hAnsi="仿宋" w:eastAsia="仿宋"/>
                <w:color w:val="auto"/>
                <w:sz w:val="24"/>
                <w:lang w:val="zh-CN"/>
              </w:rPr>
              <w:t>完整、</w:t>
            </w:r>
            <w:r>
              <w:rPr>
                <w:rFonts w:hint="eastAsia" w:ascii="仿宋" w:hAnsi="仿宋" w:eastAsia="仿宋"/>
                <w:color w:val="auto"/>
                <w:sz w:val="24"/>
              </w:rPr>
              <w:t>科学合理且切实可行</w:t>
            </w:r>
            <w:r>
              <w:rPr>
                <w:rFonts w:hint="eastAsia" w:ascii="仿宋" w:hAnsi="仿宋" w:eastAsia="仿宋"/>
                <w:color w:val="auto"/>
                <w:sz w:val="24"/>
                <w:lang w:val="zh-CN"/>
              </w:rPr>
              <w:t>，得</w:t>
            </w:r>
            <w:r>
              <w:rPr>
                <w:rFonts w:hint="eastAsia" w:ascii="仿宋" w:hAnsi="仿宋" w:eastAsia="仿宋"/>
                <w:color w:val="auto"/>
                <w:sz w:val="24"/>
              </w:rPr>
              <w:t>4</w:t>
            </w:r>
            <w:r>
              <w:rPr>
                <w:rFonts w:hint="eastAsia" w:ascii="仿宋" w:hAnsi="仿宋" w:eastAsia="仿宋"/>
                <w:color w:val="auto"/>
                <w:sz w:val="24"/>
                <w:lang w:val="zh-CN"/>
              </w:rPr>
              <w:t>分；</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（2）方案可行，但有缺陷</w:t>
            </w:r>
            <w:r>
              <w:rPr>
                <w:rFonts w:hint="eastAsia" w:ascii="仿宋" w:hAnsi="仿宋" w:eastAsia="仿宋"/>
                <w:color w:val="auto"/>
                <w:sz w:val="24"/>
              </w:rPr>
              <w:t>或不足</w:t>
            </w:r>
            <w:r>
              <w:rPr>
                <w:rFonts w:hint="eastAsia" w:ascii="仿宋" w:hAnsi="仿宋" w:eastAsia="仿宋"/>
                <w:color w:val="auto"/>
                <w:sz w:val="24"/>
                <w:lang w:val="zh-CN"/>
              </w:rPr>
              <w:t>，得</w:t>
            </w:r>
            <w:r>
              <w:rPr>
                <w:rFonts w:hint="eastAsia" w:ascii="仿宋" w:hAnsi="仿宋" w:eastAsia="仿宋"/>
                <w:color w:val="auto"/>
                <w:sz w:val="24"/>
              </w:rPr>
              <w:t>2</w:t>
            </w:r>
            <w:r>
              <w:rPr>
                <w:rFonts w:hint="eastAsia" w:ascii="仿宋" w:hAnsi="仿宋" w:eastAsia="仿宋"/>
                <w:color w:val="auto"/>
                <w:sz w:val="24"/>
                <w:lang w:val="zh-CN"/>
              </w:rPr>
              <w:t>分；</w:t>
            </w:r>
          </w:p>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（3）方案不可行或未提供的，得0分。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auto"/>
                <w:kern w:val="0"/>
                <w:sz w:val="24"/>
              </w:rPr>
            </w:pPr>
          </w:p>
        </w:tc>
        <w:tc>
          <w:tcPr>
            <w:tcW w:w="1321" w:type="dxa"/>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auto"/>
                <w:kern w:val="0"/>
                <w:sz w:val="24"/>
              </w:rPr>
            </w:pPr>
            <w:r>
              <w:rPr>
                <w:rFonts w:hint="eastAsia" w:ascii="仿宋" w:hAnsi="仿宋" w:eastAsia="仿宋"/>
                <w:color w:val="auto"/>
                <w:sz w:val="24"/>
                <w:lang w:val="zh-CN"/>
              </w:rPr>
              <w:t>项目人员配置</w:t>
            </w:r>
          </w:p>
        </w:tc>
        <w:tc>
          <w:tcPr>
            <w:tcW w:w="754" w:type="dxa"/>
            <w:shd w:val="clear" w:color="auto" w:fill="auto"/>
            <w:tcMar>
              <w:top w:w="15" w:type="dxa"/>
              <w:left w:w="15" w:type="dxa"/>
              <w:right w:w="15" w:type="dxa"/>
            </w:tcMar>
            <w:vAlign w:val="center"/>
          </w:tcPr>
          <w:p>
            <w:pPr>
              <w:widowControl/>
              <w:spacing w:line="360" w:lineRule="exact"/>
              <w:jc w:val="center"/>
              <w:textAlignment w:val="center"/>
              <w:rPr>
                <w:rFonts w:ascii="仿宋" w:hAnsi="仿宋" w:eastAsia="仿宋"/>
                <w:color w:val="auto"/>
                <w:sz w:val="24"/>
                <w:lang w:val="zh-CN"/>
              </w:rPr>
            </w:pPr>
            <w:r>
              <w:rPr>
                <w:rFonts w:hint="eastAsia" w:ascii="仿宋" w:hAnsi="仿宋" w:eastAsia="仿宋"/>
                <w:color w:val="auto"/>
                <w:sz w:val="24"/>
              </w:rPr>
              <w:t>6</w:t>
            </w:r>
          </w:p>
        </w:tc>
        <w:tc>
          <w:tcPr>
            <w:tcW w:w="6963"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auto"/>
                <w:sz w:val="24"/>
                <w:lang w:val="zh-CN"/>
              </w:rPr>
            </w:pPr>
            <w:r>
              <w:rPr>
                <w:rFonts w:hint="eastAsia" w:ascii="仿宋" w:hAnsi="仿宋" w:eastAsia="仿宋"/>
                <w:color w:val="auto"/>
                <w:sz w:val="24"/>
                <w:lang w:val="zh-CN"/>
              </w:rPr>
              <w:t>根据项目需求，投标人应配备</w:t>
            </w:r>
            <w:r>
              <w:rPr>
                <w:rFonts w:hint="eastAsia" w:ascii="仿宋" w:hAnsi="仿宋" w:eastAsia="仿宋"/>
                <w:color w:val="auto"/>
                <w:sz w:val="24"/>
              </w:rPr>
              <w:t>具有</w:t>
            </w:r>
            <w:r>
              <w:rPr>
                <w:rFonts w:hint="eastAsia" w:ascii="仿宋" w:hAnsi="仿宋" w:eastAsia="仿宋"/>
                <w:color w:val="auto"/>
                <w:sz w:val="24"/>
                <w:lang w:val="zh-CN"/>
              </w:rPr>
              <w:t>运维经验的通信工程师或网络安全工程师至少2人；每提供1名初级工程师得</w:t>
            </w:r>
            <w:r>
              <w:rPr>
                <w:rFonts w:hint="eastAsia" w:ascii="仿宋" w:hAnsi="仿宋" w:eastAsia="仿宋"/>
                <w:color w:val="auto"/>
                <w:sz w:val="24"/>
              </w:rPr>
              <w:t>1</w:t>
            </w:r>
            <w:r>
              <w:rPr>
                <w:rFonts w:hint="eastAsia" w:ascii="仿宋" w:hAnsi="仿宋" w:eastAsia="仿宋"/>
                <w:color w:val="auto"/>
                <w:sz w:val="24"/>
                <w:lang w:val="zh-CN"/>
              </w:rPr>
              <w:t>分；每提供1名中级工程师得</w:t>
            </w:r>
            <w:r>
              <w:rPr>
                <w:rFonts w:hint="eastAsia" w:ascii="仿宋" w:hAnsi="仿宋" w:eastAsia="仿宋"/>
                <w:color w:val="auto"/>
                <w:sz w:val="24"/>
              </w:rPr>
              <w:t>2</w:t>
            </w:r>
            <w:r>
              <w:rPr>
                <w:rFonts w:hint="eastAsia" w:ascii="仿宋" w:hAnsi="仿宋" w:eastAsia="仿宋"/>
                <w:color w:val="auto"/>
                <w:sz w:val="24"/>
                <w:lang w:val="zh-CN"/>
              </w:rPr>
              <w:t>分；每提供1名高级工程师得</w:t>
            </w:r>
            <w:r>
              <w:rPr>
                <w:rFonts w:hint="eastAsia" w:ascii="仿宋" w:hAnsi="仿宋" w:eastAsia="仿宋"/>
                <w:color w:val="auto"/>
                <w:sz w:val="24"/>
              </w:rPr>
              <w:t>3</w:t>
            </w:r>
            <w:r>
              <w:rPr>
                <w:rFonts w:hint="eastAsia" w:ascii="仿宋" w:hAnsi="仿宋" w:eastAsia="仿宋"/>
                <w:color w:val="auto"/>
                <w:sz w:val="24"/>
                <w:lang w:val="zh-CN"/>
              </w:rPr>
              <w:t>分,最高得</w:t>
            </w:r>
            <w:r>
              <w:rPr>
                <w:rFonts w:hint="eastAsia" w:ascii="仿宋" w:hAnsi="仿宋" w:eastAsia="仿宋"/>
                <w:color w:val="auto"/>
                <w:sz w:val="24"/>
              </w:rPr>
              <w:t>6</w:t>
            </w:r>
            <w:r>
              <w:rPr>
                <w:rFonts w:hint="eastAsia" w:ascii="仿宋" w:hAnsi="仿宋" w:eastAsia="仿宋"/>
                <w:color w:val="auto"/>
                <w:sz w:val="24"/>
                <w:lang w:val="zh-CN"/>
              </w:rPr>
              <w:t>分；提供资质证书扫描件及</w:t>
            </w:r>
            <w:r>
              <w:rPr>
                <w:rFonts w:hint="eastAsia" w:ascii="仿宋" w:hAnsi="仿宋" w:eastAsia="仿宋"/>
                <w:color w:val="auto"/>
                <w:sz w:val="24"/>
              </w:rPr>
              <w:t>近一年内任意连续三个月</w:t>
            </w:r>
            <w:r>
              <w:rPr>
                <w:rFonts w:hint="eastAsia" w:ascii="仿宋" w:hAnsi="仿宋" w:eastAsia="仿宋"/>
                <w:color w:val="auto"/>
                <w:sz w:val="24"/>
                <w:lang w:val="zh-CN"/>
              </w:rPr>
              <w:t>社保缴费证明等证明材料，少于2人不得分。</w:t>
            </w:r>
          </w:p>
        </w:tc>
      </w:tr>
    </w:tbl>
    <w:p>
      <w:pPr>
        <w:pStyle w:val="3"/>
        <w:rPr>
          <w:rFonts w:ascii="仿宋" w:hAnsi="仿宋" w:eastAsia="仿宋"/>
          <w:b/>
          <w:color w:val="auto"/>
          <w:sz w:val="24"/>
        </w:rPr>
      </w:pPr>
    </w:p>
    <w:p>
      <w:pPr>
        <w:pStyle w:val="2"/>
        <w:ind w:firstLine="0" w:firstLineChars="0"/>
        <w:rPr>
          <w:color w:val="auto"/>
        </w:rPr>
      </w:pPr>
    </w:p>
    <w:p>
      <w:pPr>
        <w:shd w:val="clear" w:color="auto" w:fill="FFFFFF"/>
        <w:spacing w:line="440" w:lineRule="exact"/>
        <w:ind w:firstLine="482" w:firstLineChars="200"/>
        <w:rPr>
          <w:rFonts w:ascii="仿宋" w:hAnsi="仿宋" w:eastAsia="仿宋"/>
          <w:b/>
          <w:color w:val="auto"/>
          <w:kern w:val="0"/>
          <w:sz w:val="24"/>
        </w:rPr>
      </w:pP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35. 定标原则</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35.1 评标委员会依据投标须知前附表规定的评标方法和标准，按照供应商综合得分排序确定出前三名作为中标候选人推荐给采购人。</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35.2采购代理机构应当在评标结束后2个工作日内将评标报告送采购人。</w:t>
      </w:r>
      <w:r>
        <w:rPr>
          <w:rFonts w:hint="eastAsia" w:ascii="仿宋" w:hAnsi="仿宋" w:eastAsia="仿宋"/>
          <w:bCs/>
          <w:color w:val="auto"/>
          <w:kern w:val="0"/>
          <w:sz w:val="24"/>
        </w:rPr>
        <w:t>采购人应当自收到评标报告之日起５个工作日内，在评标报告确定的中标候选人名单中按顺序确定中标人。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36. 评标过程的保密</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（七） 授予合同</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37. 确定中标人</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 中标的标准</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37.1.1投标文件满足招标文件全部实质性要求；</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37.1.2 具有良好的履行合同的能力和条件；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37.1.3 能够最大限度满足招标文件的各项要求；</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37.2 采购人将确定资格合格的中标候选人为中标人。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38. 授予合同的准则</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38.1 采购人将把合同授予经确认的中标人。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39. 中标通知</w:t>
      </w:r>
    </w:p>
    <w:p>
      <w:pPr>
        <w:shd w:val="clear" w:color="auto" w:fill="FFFFFF"/>
        <w:spacing w:line="440" w:lineRule="exact"/>
        <w:ind w:firstLine="484" w:firstLineChars="202"/>
        <w:rPr>
          <w:rFonts w:ascii="仿宋" w:hAnsi="仿宋" w:eastAsia="仿宋"/>
          <w:color w:val="auto"/>
          <w:sz w:val="24"/>
        </w:rPr>
      </w:pPr>
      <w:r>
        <w:rPr>
          <w:rFonts w:hint="eastAsia" w:ascii="仿宋" w:hAnsi="仿宋" w:eastAsia="仿宋"/>
          <w:color w:val="auto"/>
          <w:kern w:val="0"/>
          <w:sz w:val="24"/>
        </w:rPr>
        <w:t>39.1采购人依据评标委员会推荐的中标候选人排序确定排名第一的中标候选人为中标人后，将</w:t>
      </w:r>
      <w:r>
        <w:rPr>
          <w:rFonts w:hint="eastAsia" w:ascii="仿宋" w:hAnsi="仿宋" w:eastAsia="仿宋"/>
          <w:color w:val="auto"/>
          <w:sz w:val="24"/>
        </w:rPr>
        <w:t>对中标结果公示1工作日，同时向中标人发出中标通知书。</w:t>
      </w:r>
    </w:p>
    <w:p>
      <w:pPr>
        <w:shd w:val="clear" w:color="auto" w:fill="FFFFFF"/>
        <w:spacing w:line="440" w:lineRule="exact"/>
        <w:ind w:firstLine="484" w:firstLineChars="202"/>
        <w:rPr>
          <w:rFonts w:ascii="仿宋" w:hAnsi="仿宋" w:eastAsia="仿宋"/>
          <w:color w:val="auto"/>
          <w:sz w:val="24"/>
        </w:rPr>
      </w:pPr>
      <w:r>
        <w:rPr>
          <w:rFonts w:hint="eastAsia" w:ascii="仿宋" w:hAnsi="仿宋" w:eastAsia="仿宋"/>
          <w:color w:val="auto"/>
          <w:sz w:val="24"/>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 xml:space="preserve">39.3 中标通知书对采购人和中标人具有法律约束力。中标通知书发出后，采购人不得违法改变中标结果，中标人无正当理由不得放弃中标。 </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40. 合同的签订</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40.1采购人应当自中标通知书发出之日起30日内，按照招标文件和中标人投标文件的规定，与中标人签订政府采购合同。所签订的合同不得对招标文件确定的事项和中标人投标文件作实质性修改。</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40.2 招标文件要求中标人提交履约保证金或者其他形式履约担保的，中标人应当提交；拒绝提交的，视为放弃中标项目，且投标保证金将被没收。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40.3 招标文件和中标人的投标文件均是该书面合同的附件。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40.5 政府采购合同自签订之日起2个工作日内，采购人应当在网上发布合同公告。</w:t>
      </w:r>
    </w:p>
    <w:p>
      <w:pPr>
        <w:shd w:val="clear" w:color="auto" w:fill="FFFFFF"/>
        <w:spacing w:line="440" w:lineRule="exact"/>
        <w:ind w:firstLine="472" w:firstLineChars="196"/>
        <w:rPr>
          <w:rFonts w:ascii="仿宋" w:hAnsi="仿宋" w:eastAsia="仿宋"/>
          <w:b/>
          <w:color w:val="auto"/>
          <w:sz w:val="24"/>
        </w:rPr>
      </w:pPr>
      <w:r>
        <w:rPr>
          <w:rFonts w:hint="eastAsia" w:ascii="仿宋" w:hAnsi="仿宋" w:eastAsia="仿宋"/>
          <w:b/>
          <w:color w:val="auto"/>
          <w:sz w:val="24"/>
        </w:rPr>
        <w:t>41.质疑与投诉</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w:t>
      </w:r>
      <w:r>
        <w:rPr>
          <w:rFonts w:ascii="仿宋" w:hAnsi="仿宋" w:eastAsia="仿宋"/>
          <w:color w:val="auto"/>
          <w:sz w:val="24"/>
        </w:rPr>
        <w:t>3</w:t>
      </w:r>
      <w:r>
        <w:rPr>
          <w:rFonts w:hint="eastAsia" w:ascii="仿宋" w:hAnsi="仿宋" w:eastAsia="仿宋"/>
          <w:color w:val="auto"/>
          <w:sz w:val="24"/>
        </w:rPr>
        <w:t>项规定。供应商须在法定质疑期内一次性提出针对同一采购程序环节的质疑。</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41.2、质疑函内容</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（1）供应商的姓名或者名称、地址、邮编、联系人及联系电话；</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（2）质疑项目的名称、编号；</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（3）具体、明确的质疑事项和与质疑事项相关的请求；</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（4）事实依据；</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（5）必要的法律依据；</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（6）提出质疑的日期。</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41.3、采购人在收到供应商的书面质疑函后七个工作日内作出答复，并以书面形式通知质疑供应商和其他有关供应商，但答复的内容不涉及商业秘密。</w:t>
      </w:r>
    </w:p>
    <w:p>
      <w:pPr>
        <w:shd w:val="clear" w:color="auto" w:fill="FFFFFF"/>
        <w:adjustRightInd w:val="0"/>
        <w:snapToGrid w:val="0"/>
        <w:spacing w:line="440" w:lineRule="exact"/>
        <w:ind w:firstLine="480" w:firstLineChars="200"/>
        <w:rPr>
          <w:rFonts w:ascii="仿宋" w:hAnsi="仿宋" w:eastAsia="仿宋"/>
          <w:color w:val="auto"/>
          <w:kern w:val="0"/>
          <w:sz w:val="24"/>
        </w:rPr>
      </w:pPr>
      <w:r>
        <w:rPr>
          <w:rFonts w:hint="eastAsia" w:ascii="仿宋" w:hAnsi="仿宋" w:eastAsia="仿宋"/>
          <w:color w:val="auto"/>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42. 履约担保（本项目不适用）</w:t>
      </w:r>
    </w:p>
    <w:p>
      <w:pPr>
        <w:shd w:val="clear" w:color="auto" w:fill="FFFFFF"/>
        <w:autoSpaceDE w:val="0"/>
        <w:autoSpaceDN w:val="0"/>
        <w:adjustRightInd w:val="0"/>
        <w:spacing w:line="440" w:lineRule="exact"/>
        <w:ind w:firstLine="438" w:firstLineChars="189"/>
        <w:rPr>
          <w:rFonts w:ascii="仿宋" w:hAnsi="仿宋" w:eastAsia="仿宋"/>
          <w:color w:val="auto"/>
          <w:spacing w:val="-4"/>
          <w:kern w:val="0"/>
          <w:sz w:val="24"/>
        </w:rPr>
      </w:pPr>
      <w:r>
        <w:rPr>
          <w:rFonts w:hint="eastAsia" w:ascii="仿宋" w:hAnsi="仿宋" w:eastAsia="仿宋"/>
          <w:color w:val="auto"/>
          <w:spacing w:val="-4"/>
          <w:kern w:val="0"/>
          <w:sz w:val="24"/>
        </w:rPr>
        <w:t>42.1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440" w:lineRule="exact"/>
        <w:ind w:firstLine="453" w:firstLineChars="189"/>
        <w:rPr>
          <w:rFonts w:ascii="仿宋" w:hAnsi="仿宋" w:eastAsia="仿宋"/>
          <w:color w:val="auto"/>
          <w:kern w:val="0"/>
          <w:sz w:val="24"/>
        </w:rPr>
      </w:pPr>
      <w:r>
        <w:rPr>
          <w:rFonts w:hint="eastAsia" w:ascii="仿宋" w:hAnsi="仿宋" w:eastAsia="仿宋"/>
          <w:color w:val="auto"/>
          <w:kern w:val="0"/>
          <w:sz w:val="24"/>
        </w:rPr>
        <w:t>42.1.1 履约担保采用下列</w:t>
      </w:r>
      <w:r>
        <w:rPr>
          <w:rFonts w:hint="eastAsia" w:ascii="仿宋" w:hAnsi="仿宋" w:eastAsia="仿宋"/>
          <w:color w:val="auto"/>
          <w:kern w:val="0"/>
          <w:sz w:val="24"/>
          <w:u w:val="single"/>
        </w:rPr>
        <w:t xml:space="preserve">  /  </w:t>
      </w:r>
      <w:r>
        <w:rPr>
          <w:rFonts w:hint="eastAsia" w:ascii="仿宋" w:hAnsi="仿宋" w:eastAsia="仿宋"/>
          <w:color w:val="auto"/>
          <w:kern w:val="0"/>
          <w:sz w:val="24"/>
        </w:rPr>
        <w:t>方式</w:t>
      </w:r>
    </w:p>
    <w:p>
      <w:pPr>
        <w:shd w:val="clear" w:color="auto" w:fill="FFFFFF"/>
        <w:autoSpaceDE w:val="0"/>
        <w:autoSpaceDN w:val="0"/>
        <w:adjustRightInd w:val="0"/>
        <w:spacing w:line="44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（1）、履约保证金担保方式：</w:t>
      </w:r>
      <w:r>
        <w:rPr>
          <w:rFonts w:hint="eastAsia" w:ascii="仿宋" w:hAnsi="仿宋" w:eastAsia="仿宋"/>
          <w:color w:val="auto"/>
          <w:kern w:val="0"/>
          <w:sz w:val="24"/>
          <w:u w:val="single"/>
        </w:rPr>
        <w:t xml:space="preserve"> / </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sz w:val="24"/>
        </w:rPr>
        <w:t>1） 银行汇票；2） 支票；</w:t>
      </w:r>
      <w:r>
        <w:rPr>
          <w:rFonts w:hint="eastAsia" w:ascii="仿宋" w:hAnsi="仿宋" w:eastAsia="仿宋"/>
          <w:color w:val="auto"/>
          <w:kern w:val="0"/>
          <w:sz w:val="24"/>
        </w:rPr>
        <w:t>3）银行转账；4）担保公司担保；</w:t>
      </w:r>
      <w:r>
        <w:rPr>
          <w:rFonts w:hint="eastAsia" w:ascii="仿宋" w:hAnsi="仿宋" w:eastAsia="仿宋"/>
          <w:color w:val="auto"/>
          <w:sz w:val="24"/>
        </w:rPr>
        <w:t>5）采购人与供应商协商确定的其他担保方式。</w:t>
      </w:r>
    </w:p>
    <w:p>
      <w:pPr>
        <w:shd w:val="clear" w:color="auto" w:fill="FFFFFF"/>
        <w:spacing w:line="440" w:lineRule="exact"/>
        <w:ind w:firstLine="484" w:firstLineChars="202"/>
        <w:rPr>
          <w:rFonts w:ascii="仿宋" w:hAnsi="仿宋" w:eastAsia="仿宋" w:cs="宋体"/>
          <w:b/>
          <w:color w:val="auto"/>
          <w:kern w:val="0"/>
          <w:sz w:val="24"/>
          <w:u w:val="single"/>
        </w:rPr>
      </w:pPr>
      <w:r>
        <w:rPr>
          <w:rFonts w:hint="eastAsia" w:ascii="仿宋" w:hAnsi="仿宋" w:eastAsia="仿宋"/>
          <w:color w:val="auto"/>
          <w:kern w:val="0"/>
          <w:sz w:val="24"/>
        </w:rPr>
        <w:t>42.1.2 履约保证金：见投标须知前附表第14条。</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40" w:lineRule="exact"/>
        <w:ind w:firstLine="487" w:firstLineChars="202"/>
        <w:rPr>
          <w:rFonts w:ascii="仿宋" w:hAnsi="仿宋" w:eastAsia="仿宋"/>
          <w:b/>
          <w:bCs/>
          <w:color w:val="auto"/>
          <w:kern w:val="0"/>
          <w:sz w:val="24"/>
        </w:rPr>
      </w:pPr>
      <w:bookmarkStart w:id="6" w:name="_Toc228180139"/>
      <w:r>
        <w:rPr>
          <w:rFonts w:hint="eastAsia" w:ascii="仿宋" w:hAnsi="仿宋" w:eastAsia="仿宋"/>
          <w:b/>
          <w:color w:val="auto"/>
          <w:kern w:val="0"/>
          <w:sz w:val="24"/>
        </w:rPr>
        <w:t>43.</w:t>
      </w:r>
      <w:bookmarkEnd w:id="6"/>
      <w:r>
        <w:rPr>
          <w:rFonts w:hint="eastAsia" w:ascii="仿宋" w:hAnsi="仿宋" w:eastAsia="仿宋"/>
          <w:b/>
          <w:bCs/>
          <w:color w:val="auto"/>
          <w:kern w:val="0"/>
          <w:sz w:val="24"/>
        </w:rPr>
        <w:t>招标代理服务费</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43.1 中标人应按本招标文件的规定，在领取中标通知书时向采购代理机构一次性支付中标服务费。采购代理机构也可直接从中标人的投标保证金内扣除。</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43.2 中标服务费的计算基数是中标人投标报价的总金额（即中标通知书中载明的中标金额）。</w:t>
      </w:r>
    </w:p>
    <w:p>
      <w:pPr>
        <w:shd w:val="clear" w:color="auto" w:fill="FFFFFF"/>
        <w:spacing w:line="440" w:lineRule="exact"/>
        <w:ind w:firstLine="484" w:firstLineChars="202"/>
        <w:rPr>
          <w:color w:val="auto"/>
        </w:rPr>
      </w:pPr>
      <w:r>
        <w:rPr>
          <w:rFonts w:hint="eastAsia" w:ascii="仿宋" w:hAnsi="仿宋" w:eastAsia="仿宋"/>
          <w:bCs/>
          <w:color w:val="auto"/>
          <w:kern w:val="0"/>
          <w:sz w:val="24"/>
        </w:rPr>
        <w:t>43.3具体收取比例详见《前附表》。</w:t>
      </w:r>
    </w:p>
    <w:p>
      <w:pPr>
        <w:shd w:val="clear" w:color="auto" w:fill="FFFFFF"/>
        <w:spacing w:line="440" w:lineRule="exact"/>
        <w:ind w:firstLine="487" w:firstLineChars="202"/>
        <w:rPr>
          <w:rFonts w:ascii="仿宋" w:hAnsi="仿宋" w:eastAsia="仿宋"/>
          <w:bCs/>
          <w:color w:val="auto"/>
          <w:kern w:val="0"/>
          <w:sz w:val="24"/>
        </w:rPr>
      </w:pPr>
      <w:r>
        <w:rPr>
          <w:rFonts w:hint="eastAsia" w:ascii="仿宋" w:hAnsi="仿宋" w:eastAsia="仿宋"/>
          <w:b/>
          <w:color w:val="auto"/>
          <w:kern w:val="0"/>
          <w:sz w:val="24"/>
        </w:rPr>
        <w:t>44. 其他</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本招标文件是根据《中华人民共和国政府采购法》及其实施条例（658号令）及《政府采购货物和服务招标投标管理办法》（87号令）规定编制的，解释权属新疆品创项目管理咨询有限公司。</w:t>
      </w:r>
    </w:p>
    <w:p>
      <w:pPr>
        <w:pStyle w:val="327"/>
        <w:spacing w:beforeLines="50" w:afterLines="50" w:line="360" w:lineRule="auto"/>
        <w:jc w:val="center"/>
        <w:rPr>
          <w:rFonts w:ascii="仿宋" w:hAnsi="仿宋" w:eastAsia="仿宋"/>
          <w:b/>
          <w:color w:val="auto"/>
          <w:sz w:val="32"/>
          <w:szCs w:val="32"/>
        </w:rPr>
      </w:pPr>
      <w:r>
        <w:rPr>
          <w:rFonts w:hint="eastAsia" w:ascii="仿宋" w:hAnsi="仿宋" w:eastAsia="仿宋"/>
          <w:color w:val="auto"/>
          <w:sz w:val="18"/>
          <w:szCs w:val="18"/>
        </w:rPr>
        <w:br w:type="page"/>
      </w:r>
      <w:bookmarkStart w:id="7" w:name="_Hlk519787567"/>
      <w:r>
        <w:rPr>
          <w:rFonts w:hint="eastAsia" w:ascii="仿宋" w:hAnsi="仿宋" w:eastAsia="仿宋"/>
          <w:b/>
          <w:color w:val="auto"/>
          <w:sz w:val="32"/>
          <w:szCs w:val="32"/>
        </w:rPr>
        <w:t>第三章  合同</w:t>
      </w:r>
      <w:bookmarkEnd w:id="7"/>
      <w:r>
        <w:rPr>
          <w:rFonts w:hint="eastAsia" w:ascii="仿宋" w:hAnsi="仿宋" w:eastAsia="仿宋"/>
          <w:b/>
          <w:color w:val="auto"/>
          <w:sz w:val="32"/>
          <w:szCs w:val="32"/>
        </w:rPr>
        <w:t>专用条款</w:t>
      </w:r>
      <w:bookmarkStart w:id="8" w:name="_Hlk519793124"/>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委托人</w:t>
      </w:r>
      <w:r>
        <w:rPr>
          <w:rFonts w:hint="eastAsia" w:ascii="仿宋" w:hAnsi="仿宋" w:eastAsia="仿宋"/>
          <w:color w:val="auto"/>
          <w:spacing w:val="-11"/>
          <w:sz w:val="24"/>
          <w:u w:val="single"/>
        </w:rPr>
        <w:t>库尔勒市妇幼保健计划生育服务中心（库尔勒市妇幼保健院）</w:t>
      </w:r>
      <w:r>
        <w:rPr>
          <w:rFonts w:hint="eastAsia" w:ascii="仿宋" w:hAnsi="仿宋" w:eastAsia="仿宋"/>
          <w:color w:val="auto"/>
          <w:sz w:val="24"/>
          <w:szCs w:val="24"/>
        </w:rPr>
        <w:t>（以下简称甲方）与受托人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（以下简称乙方），根据《中华人民共和国政府采购法》、《中华人民共和国民法典》等相关法律法规的规定，经平等、自愿协商，就乙方受托为甲方提供</w:t>
      </w:r>
      <w:r>
        <w:rPr>
          <w:rFonts w:hint="eastAsia" w:ascii="仿宋" w:hAnsi="仿宋" w:eastAsia="仿宋"/>
          <w:color w:val="auto"/>
          <w:sz w:val="24"/>
          <w:szCs w:val="24"/>
          <w:u w:val="single"/>
        </w:rPr>
        <w:t xml:space="preserve">  </w:t>
      </w:r>
      <w:r>
        <w:rPr>
          <w:rFonts w:hint="eastAsia" w:ascii="仿宋" w:hAnsi="仿宋" w:eastAsia="仿宋"/>
          <w:color w:val="auto"/>
          <w:spacing w:val="-11"/>
          <w:sz w:val="24"/>
          <w:u w:val="single"/>
        </w:rPr>
        <w:t>库尔勒市妇幼保健计划生育服务中心（库尔勒市妇幼保健院）网络安全系统采购</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（项目名称）货物及技术服务事宜达成一致，签订如下采购合同（以下简称本合同），以资共同信守。</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一、采购人名称：</w:t>
      </w:r>
      <w:r>
        <w:rPr>
          <w:rFonts w:hint="eastAsia" w:ascii="仿宋" w:hAnsi="仿宋" w:eastAsia="仿宋"/>
          <w:color w:val="auto"/>
          <w:spacing w:val="-11"/>
          <w:sz w:val="24"/>
          <w:u w:val="single"/>
        </w:rPr>
        <w:t>库尔勒市妇幼保健计划生育服务中心（库尔勒市妇幼保健院）</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二、项目编号：2022PCGK074</w:t>
      </w:r>
    </w:p>
    <w:p>
      <w:pPr>
        <w:pStyle w:val="735"/>
        <w:spacing w:line="400" w:lineRule="exact"/>
        <w:ind w:firstLine="480" w:firstLineChars="200"/>
        <w:rPr>
          <w:rFonts w:ascii="仿宋" w:hAnsi="仿宋" w:eastAsia="仿宋"/>
          <w:color w:val="auto"/>
          <w:spacing w:val="-17"/>
          <w:sz w:val="24"/>
          <w:szCs w:val="24"/>
        </w:rPr>
      </w:pPr>
      <w:r>
        <w:rPr>
          <w:rFonts w:hint="eastAsia" w:ascii="仿宋" w:hAnsi="仿宋" w:eastAsia="仿宋"/>
          <w:color w:val="auto"/>
          <w:sz w:val="24"/>
          <w:szCs w:val="24"/>
        </w:rPr>
        <w:t>三、项目名称：</w:t>
      </w:r>
      <w:r>
        <w:rPr>
          <w:rFonts w:hint="eastAsia" w:ascii="仿宋" w:hAnsi="仿宋" w:eastAsia="仿宋"/>
          <w:color w:val="auto"/>
          <w:spacing w:val="-17"/>
          <w:sz w:val="24"/>
          <w:u w:val="single"/>
        </w:rPr>
        <w:t>库尔勒市妇幼保健计划生育服务中心（库尔勒市妇幼保健院）网络安全系统采购</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四、合同标的</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甲方同意从乙方购买，乙方同意向甲方出售下列设备及服务：</w:t>
      </w:r>
    </w:p>
    <w:tbl>
      <w:tblPr>
        <w:tblStyle w:val="59"/>
        <w:tblW w:w="9962" w:type="dxa"/>
        <w:tblInd w:w="0" w:type="dxa"/>
        <w:tblLayout w:type="fixed"/>
        <w:tblCellMar>
          <w:top w:w="0" w:type="dxa"/>
          <w:left w:w="108" w:type="dxa"/>
          <w:bottom w:w="0" w:type="dxa"/>
          <w:right w:w="108" w:type="dxa"/>
        </w:tblCellMar>
      </w:tblPr>
      <w:tblGrid>
        <w:gridCol w:w="798"/>
        <w:gridCol w:w="1588"/>
        <w:gridCol w:w="1565"/>
        <w:gridCol w:w="746"/>
        <w:gridCol w:w="1065"/>
        <w:gridCol w:w="1271"/>
        <w:gridCol w:w="1153"/>
        <w:gridCol w:w="1117"/>
        <w:gridCol w:w="659"/>
      </w:tblGrid>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序号</w:t>
            </w:r>
          </w:p>
        </w:tc>
        <w:tc>
          <w:tcPr>
            <w:tcW w:w="1588" w:type="dxa"/>
            <w:tcBorders>
              <w:top w:val="single" w:color="000000" w:sz="4" w:space="0"/>
              <w:left w:val="nil"/>
              <w:bottom w:val="single" w:color="000000" w:sz="4" w:space="0"/>
              <w:right w:val="single" w:color="auto"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货物名称</w:t>
            </w:r>
          </w:p>
        </w:tc>
        <w:tc>
          <w:tcPr>
            <w:tcW w:w="1565" w:type="dxa"/>
            <w:tcBorders>
              <w:top w:val="single" w:color="000000" w:sz="4" w:space="0"/>
              <w:left w:val="single" w:color="auto" w:sz="4" w:space="0"/>
              <w:bottom w:val="single" w:color="000000" w:sz="4" w:space="0"/>
              <w:right w:val="single" w:color="000000" w:sz="4" w:space="0"/>
            </w:tcBorders>
            <w:vAlign w:val="center"/>
          </w:tcPr>
          <w:p>
            <w:pPr>
              <w:pStyle w:val="735"/>
              <w:spacing w:line="400" w:lineRule="exact"/>
              <w:ind w:firstLine="120" w:firstLineChars="50"/>
              <w:jc w:val="center"/>
              <w:rPr>
                <w:rFonts w:ascii="仿宋" w:hAnsi="仿宋" w:eastAsia="仿宋"/>
                <w:color w:val="auto"/>
                <w:sz w:val="24"/>
                <w:szCs w:val="24"/>
              </w:rPr>
            </w:pPr>
            <w:r>
              <w:rPr>
                <w:rFonts w:hint="eastAsia" w:ascii="仿宋" w:hAnsi="仿宋" w:eastAsia="仿宋"/>
                <w:color w:val="auto"/>
                <w:sz w:val="24"/>
                <w:szCs w:val="24"/>
              </w:rPr>
              <w:t>型号规格</w:t>
            </w:r>
          </w:p>
        </w:tc>
        <w:tc>
          <w:tcPr>
            <w:tcW w:w="746" w:type="dxa"/>
            <w:tcBorders>
              <w:top w:val="single" w:color="000000" w:sz="4" w:space="0"/>
              <w:left w:val="nil"/>
              <w:bottom w:val="single" w:color="000000" w:sz="4" w:space="0"/>
              <w:right w:val="single" w:color="auto"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数量</w:t>
            </w:r>
          </w:p>
        </w:tc>
        <w:tc>
          <w:tcPr>
            <w:tcW w:w="1065" w:type="dxa"/>
            <w:tcBorders>
              <w:top w:val="single" w:color="000000" w:sz="4" w:space="0"/>
              <w:left w:val="single" w:color="auto" w:sz="4" w:space="0"/>
              <w:bottom w:val="single" w:color="000000" w:sz="4" w:space="0"/>
              <w:right w:val="single" w:color="000000"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单位</w:t>
            </w:r>
          </w:p>
        </w:tc>
        <w:tc>
          <w:tcPr>
            <w:tcW w:w="1271" w:type="dxa"/>
            <w:tcBorders>
              <w:top w:val="single" w:color="000000" w:sz="4" w:space="0"/>
              <w:left w:val="nil"/>
              <w:bottom w:val="single" w:color="000000" w:sz="4" w:space="0"/>
              <w:right w:val="single" w:color="000000"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产地及品牌</w:t>
            </w:r>
          </w:p>
        </w:tc>
        <w:tc>
          <w:tcPr>
            <w:tcW w:w="1153" w:type="dxa"/>
            <w:tcBorders>
              <w:top w:val="single" w:color="000000" w:sz="4" w:space="0"/>
              <w:left w:val="nil"/>
              <w:bottom w:val="single" w:color="000000" w:sz="4" w:space="0"/>
              <w:right w:val="single" w:color="000000"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单价（元）</w:t>
            </w:r>
          </w:p>
        </w:tc>
        <w:tc>
          <w:tcPr>
            <w:tcW w:w="1117" w:type="dxa"/>
            <w:tcBorders>
              <w:top w:val="single" w:color="000000" w:sz="4" w:space="0"/>
              <w:left w:val="nil"/>
              <w:bottom w:val="single" w:color="000000" w:sz="4" w:space="0"/>
              <w:right w:val="single" w:color="auto" w:sz="4" w:space="0"/>
            </w:tcBorders>
            <w:vAlign w:val="center"/>
          </w:tcPr>
          <w:p>
            <w:pPr>
              <w:pStyle w:val="735"/>
              <w:spacing w:line="400" w:lineRule="exact"/>
              <w:jc w:val="center"/>
              <w:rPr>
                <w:rFonts w:ascii="仿宋" w:hAnsi="仿宋" w:eastAsia="仿宋"/>
                <w:color w:val="auto"/>
                <w:sz w:val="24"/>
                <w:szCs w:val="24"/>
              </w:rPr>
            </w:pPr>
            <w:r>
              <w:rPr>
                <w:rFonts w:hint="eastAsia" w:ascii="仿宋" w:hAnsi="仿宋" w:eastAsia="仿宋"/>
                <w:color w:val="auto"/>
                <w:sz w:val="24"/>
                <w:szCs w:val="24"/>
              </w:rPr>
              <w:t>总价（元）</w:t>
            </w:r>
          </w:p>
        </w:tc>
        <w:tc>
          <w:tcPr>
            <w:tcW w:w="659" w:type="dxa"/>
            <w:tcBorders>
              <w:top w:val="single" w:color="000000" w:sz="4" w:space="0"/>
              <w:left w:val="single" w:color="auto" w:sz="4" w:space="0"/>
              <w:bottom w:val="single" w:color="000000" w:sz="4" w:space="0"/>
              <w:right w:val="single" w:color="000000" w:sz="4" w:space="0"/>
            </w:tcBorders>
            <w:vAlign w:val="center"/>
          </w:tcPr>
          <w:p>
            <w:pPr>
              <w:pStyle w:val="735"/>
              <w:spacing w:line="400" w:lineRule="exact"/>
              <w:jc w:val="center"/>
              <w:rPr>
                <w:rFonts w:ascii="仿宋" w:hAnsi="仿宋" w:eastAsia="仿宋"/>
                <w:color w:val="auto"/>
                <w:sz w:val="24"/>
                <w:szCs w:val="24"/>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5"/>
              <w:spacing w:line="400" w:lineRule="exact"/>
              <w:ind w:firstLine="480" w:firstLineChars="200"/>
              <w:jc w:val="center"/>
              <w:rPr>
                <w:rFonts w:ascii="仿宋" w:hAnsi="仿宋" w:eastAsia="仿宋"/>
                <w:color w:val="auto"/>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5"/>
              <w:spacing w:line="400" w:lineRule="exact"/>
              <w:ind w:firstLine="480" w:firstLineChars="200"/>
              <w:jc w:val="center"/>
              <w:rPr>
                <w:rFonts w:ascii="仿宋" w:hAnsi="仿宋" w:eastAsia="仿宋"/>
                <w:color w:val="auto"/>
                <w:sz w:val="24"/>
                <w:szCs w:val="24"/>
              </w:rPr>
            </w:pPr>
          </w:p>
        </w:tc>
      </w:tr>
    </w:tbl>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五、交货地点：</w:t>
      </w:r>
      <w:r>
        <w:rPr>
          <w:rFonts w:hint="eastAsia" w:ascii="仿宋" w:hAnsi="仿宋" w:eastAsia="仿宋"/>
          <w:color w:val="auto"/>
          <w:spacing w:val="-11"/>
          <w:sz w:val="24"/>
          <w:u w:val="single"/>
        </w:rPr>
        <w:t>库尔勒市妇幼保健计划生育服务中心（库尔勒市妇幼保健院）</w:t>
      </w:r>
      <w:r>
        <w:rPr>
          <w:rFonts w:hint="eastAsia" w:ascii="仿宋" w:hAnsi="仿宋" w:eastAsia="仿宋"/>
          <w:color w:val="auto"/>
          <w:sz w:val="24"/>
          <w:szCs w:val="24"/>
        </w:rPr>
        <w:t xml:space="preserve">或委托方指定的地点。 </w:t>
      </w:r>
    </w:p>
    <w:p>
      <w:pPr>
        <w:pStyle w:val="735"/>
        <w:spacing w:line="4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六、交货期及完工期：</w:t>
      </w:r>
      <w:r>
        <w:rPr>
          <w:rFonts w:hint="eastAsia" w:ascii="仿宋" w:hAnsi="仿宋" w:eastAsia="仿宋"/>
          <w:color w:val="auto"/>
          <w:sz w:val="24"/>
          <w:szCs w:val="24"/>
          <w:u w:val="single"/>
        </w:rPr>
        <w:t xml:space="preserve">                                                  </w:t>
      </w:r>
    </w:p>
    <w:p>
      <w:pPr>
        <w:pStyle w:val="735"/>
        <w:spacing w:line="400" w:lineRule="exact"/>
        <w:ind w:firstLine="480" w:firstLineChars="200"/>
        <w:rPr>
          <w:rFonts w:ascii="仿宋" w:hAnsi="仿宋" w:eastAsia="仿宋" w:cs="仿宋"/>
          <w:color w:val="auto"/>
          <w:sz w:val="24"/>
          <w:lang w:val="zh-CN"/>
        </w:rPr>
      </w:pPr>
      <w:r>
        <w:rPr>
          <w:rFonts w:hint="eastAsia" w:ascii="仿宋" w:hAnsi="仿宋" w:eastAsia="仿宋"/>
          <w:color w:val="auto"/>
          <w:sz w:val="24"/>
          <w:szCs w:val="24"/>
        </w:rPr>
        <w:t>七、保修期：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s="仿宋"/>
          <w:color w:val="auto"/>
          <w:sz w:val="24"/>
          <w:lang w:val="zh-CN"/>
        </w:rPr>
        <w:t>的免费原厂维保服务，并在本项目存续期提供永久的技术支持</w:t>
      </w:r>
      <w:r>
        <w:rPr>
          <w:rFonts w:hint="eastAsia" w:ascii="仿宋" w:hAnsi="仿宋" w:eastAsia="仿宋" w:cs="仿宋"/>
          <w:color w:val="auto"/>
          <w:sz w:val="24"/>
        </w:rPr>
        <w:t>及软件系统的免费升级</w:t>
      </w:r>
      <w:r>
        <w:rPr>
          <w:rFonts w:hint="eastAsia" w:ascii="仿宋" w:hAnsi="仿宋" w:eastAsia="仿宋" w:cs="仿宋"/>
          <w:color w:val="auto"/>
          <w:sz w:val="24"/>
          <w:lang w:val="zh-CN"/>
        </w:rPr>
        <w:t>。</w:t>
      </w:r>
      <w:r>
        <w:rPr>
          <w:rFonts w:hint="eastAsia" w:ascii="仿宋" w:hAnsi="仿宋" w:eastAsia="仿宋" w:cs="仿宋"/>
          <w:color w:val="auto"/>
          <w:sz w:val="24"/>
        </w:rPr>
        <w:t>保修</w:t>
      </w:r>
      <w:r>
        <w:rPr>
          <w:rFonts w:hint="eastAsia" w:ascii="仿宋" w:hAnsi="仿宋" w:eastAsia="仿宋" w:cs="仿宋"/>
          <w:color w:val="auto"/>
          <w:sz w:val="24"/>
          <w:lang w:val="zh-CN"/>
        </w:rPr>
        <w:t>期从终验结束之日开始计算，</w:t>
      </w:r>
      <w:r>
        <w:rPr>
          <w:rFonts w:hint="eastAsia" w:ascii="仿宋" w:hAnsi="仿宋" w:eastAsia="仿宋" w:cs="仿宋"/>
          <w:color w:val="auto"/>
          <w:sz w:val="24"/>
        </w:rPr>
        <w:t>保修</w:t>
      </w:r>
      <w:r>
        <w:rPr>
          <w:rFonts w:hint="eastAsia" w:ascii="仿宋" w:hAnsi="仿宋" w:eastAsia="仿宋" w:cs="仿宋"/>
          <w:color w:val="auto"/>
          <w:sz w:val="24"/>
          <w:lang w:val="zh-CN"/>
        </w:rPr>
        <w:t>期内故障设备及配件更换（硬盘不返还）等产生相关费用</w:t>
      </w:r>
      <w:r>
        <w:rPr>
          <w:rFonts w:hint="eastAsia" w:ascii="仿宋" w:hAnsi="仿宋" w:eastAsia="仿宋" w:cs="仿宋"/>
          <w:color w:val="auto"/>
          <w:sz w:val="24"/>
        </w:rPr>
        <w:t>乙方</w:t>
      </w:r>
      <w:r>
        <w:rPr>
          <w:rFonts w:hint="eastAsia" w:ascii="仿宋" w:hAnsi="仿宋" w:eastAsia="仿宋" w:cs="仿宋"/>
          <w:color w:val="auto"/>
          <w:sz w:val="24"/>
          <w:lang w:val="zh-CN"/>
        </w:rPr>
        <w:t>自行承担，且更换设备性能不得低于原设备性能。</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八、合同价格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合同总金额为人民币元</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（大写）：</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元（小写）。</w:t>
      </w:r>
      <w:r>
        <w:rPr>
          <w:rFonts w:hint="eastAsia" w:ascii="仿宋" w:hAnsi="仿宋" w:eastAsia="仿宋" w:cs="仿宋"/>
          <w:color w:val="auto"/>
          <w:sz w:val="24"/>
        </w:rPr>
        <w:t>该合同总金额包括税费、运输费、交通费、安装费等一切费用。乙方为履行本合同而支出的费用由乙方自行承担。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九、付款方式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1、合同价格由甲方分期支付给乙方，具体的支付方式如下：</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rPr>
        <w:t>1</w:t>
      </w:r>
      <w:r>
        <w:rPr>
          <w:rFonts w:hint="eastAsia" w:ascii="仿宋" w:hAnsi="仿宋" w:eastAsia="仿宋"/>
          <w:color w:val="auto"/>
          <w:sz w:val="24"/>
          <w:szCs w:val="24"/>
        </w:rPr>
        <w:t>.1、合同签订全部货到甲方指定地点，乙方向甲方提供真实合法有效的全额发票，甲方收到发票后支付合同总价的30%；</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1.2、项目完工并最终验收合格交付使用正常运行满5日，支付合同总价的55%；</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1.3、项目验收满1年，支付合同总价的5%；</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1.4、项目验收满2年，支付合同总价的5%；</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1.5、项目验收满3年，支付合同总价的5%。</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1.6前述合同价格涵盖本合同及其附件所约定的乙方为甲方提供的所有供货及技术服务内容，金额包干。乙方不得以服务投入人员、投入时间或服务难度较大为由向甲方申请增加合同价格。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3、乙方的账户名称、开户银行及账号为：</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账 户 名：</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开户银行：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账    号：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乙方如变更账户信息，应在变更之日起三日内书面告知甲方，否则甲方不承担逾期付款的违约责任。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4、国家根据现行税法对乙方征收的与本合同有关的一切税费均由乙方自行负担。乙方为实施本合同技术服务所支出的人工、交通、物料等成本由乙方自行负担。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5、乙方未按照本条约定及时提供发票或有其他任何违约行为，甲方有权拒绝向乙方支付任一款项，且不因此承担任何违约责任。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十、履约保证金：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1、履约保证金的交纳必须以公对公账户进行电汇或转账，否则不予认可。</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2、交纳时间：/3、交纳金额：/4、为保证本合同的顺利履行，乙方应在本合同签订前向甲方交纳中标总金额的</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作为履约保证金。乙方在本合同中拒不履行相关义务、承担违约责任的，甲方有权从履约保证金中直接扣除。本合同标的系统经甲方终验合格、扣除应由乙方支付的各项费用后，履约保证金由甲方无息退还。</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十一、双方的责任与义务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1、甲方的责任与义务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1.1审核与确定乙方指派的技术服务人员。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1.2按本合同约定向乙方支付合同价格费用。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1.3审定乙方提交的工作方案、《技术服务报告》《技术服务中期报告》《技术服务总结报告》及合同约定需乙方提交的材料。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1.4对乙方的技术服务进行验收。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1.5对乙方技术服务进行监督检查，并提出意见，乙方应当按照甲方意见整改，乙方未整改或整改未达到甲方要求及合同约定标准，视为乙方违约，乙方应当承担违约责任。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 、乙方的责任与义务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按照本合同约定为甲方提供全部采购标的货物及技术服务。甲方可以就本项目所涉及的服务方式、质量保证、系统维护目标、信息管理手段等相关问题向乙方咨询或征求意见，乙方应当在2日内书面予以解释和答复。</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2.2按照招标文件要求及中标人投标文件要求组织人员提供技术服务，并保证人员的稳定性；如乙方根据具体情况需重新指定项目成员，应当以书面方式通知甲方，征得甲方的书面同意后才可以更换；如发生指定项目成员离职、长期休假、不符合甲方要求等情况时，乙方需保证有充足的符合甲方要求的乙方后备人员到岗提供服务。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2.3向甲方提供项目实施的工作方案和时间安排，按照工作方案开展技术服务工作，并于每月（季度）结束后【   】日内提供《技术服务报告》。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2.4乙方应将甲方支付的合同价格费用用于本项目的技术服务工作之中，不得擅自挪作他用，技术服务环境和所需工具由乙方自行提供和配备。</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2.5如出现属于软件或系统问题以及其他需技术支持的问题，乙方保证在接到甲方故障通知的【   】小时内解决问题；若甲方要求乙方增派人员到甲方现场解决问题，乙方保证派有关技术人员到甲方现场进行技术支持，所需的差旅费和人工成本费、维修费等一切费用均由乙方自行承担。保修电话：【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2.6乙方应于每【     】个月定期对开发的软件、系统进行升级更新及优化，以确保无故障和BUG，确保软件、系统各项功能正常、高效运行。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十二、验收标准和方式</w:t>
      </w:r>
    </w:p>
    <w:p>
      <w:pPr>
        <w:pStyle w:val="735"/>
        <w:spacing w:line="400" w:lineRule="exact"/>
        <w:ind w:firstLine="480" w:firstLineChars="200"/>
        <w:rPr>
          <w:rFonts w:ascii="仿宋" w:hAnsi="仿宋" w:eastAsia="仿宋"/>
          <w:bCs/>
          <w:color w:val="auto"/>
          <w:sz w:val="24"/>
          <w:szCs w:val="24"/>
        </w:rPr>
      </w:pPr>
      <w:r>
        <w:rPr>
          <w:rFonts w:hint="eastAsia" w:ascii="仿宋" w:hAnsi="仿宋" w:eastAsia="仿宋"/>
          <w:color w:val="auto"/>
          <w:sz w:val="24"/>
          <w:szCs w:val="24"/>
        </w:rPr>
        <w:t>1、全部货到甲方指定地点，由甲、乙双方指派代表进行验收，核对清单、凭证、随货技术资料、货物品种、规格、数量、外包装状况、外观，并按</w:t>
      </w:r>
      <w:r>
        <w:rPr>
          <w:rFonts w:hint="eastAsia" w:ascii="仿宋" w:hAnsi="仿宋" w:eastAsia="仿宋"/>
          <w:bCs/>
          <w:color w:val="auto"/>
          <w:sz w:val="24"/>
          <w:szCs w:val="24"/>
        </w:rPr>
        <w:t>投标文件《技术及服务条款偏离表》</w:t>
      </w:r>
      <w:r>
        <w:rPr>
          <w:rFonts w:hint="eastAsia" w:ascii="仿宋" w:hAnsi="仿宋" w:eastAsia="仿宋"/>
          <w:color w:val="auto"/>
          <w:sz w:val="24"/>
          <w:szCs w:val="24"/>
        </w:rPr>
        <w:t>逐项核验各指标。</w:t>
      </w:r>
      <w:r>
        <w:rPr>
          <w:rFonts w:hint="eastAsia" w:ascii="仿宋" w:hAnsi="仿宋" w:eastAsia="仿宋"/>
          <w:bCs/>
          <w:color w:val="auto"/>
          <w:sz w:val="24"/>
          <w:szCs w:val="24"/>
        </w:rPr>
        <w:t>乙方提供给甲方的合同货物及服务的技术规范应与其投标文件中《技术及服务条款偏离表》相一致，逐项验收时如出现</w:t>
      </w:r>
      <w:r>
        <w:rPr>
          <w:rFonts w:ascii="Arial" w:hAnsi="Arial" w:eastAsia="仿宋" w:cs="Arial"/>
          <w:bCs/>
          <w:color w:val="auto"/>
          <w:sz w:val="24"/>
          <w:szCs w:val="24"/>
        </w:rPr>
        <w:t>≥</w:t>
      </w:r>
      <w:r>
        <w:rPr>
          <w:rFonts w:hint="eastAsia" w:ascii="仿宋" w:hAnsi="仿宋" w:eastAsia="仿宋"/>
          <w:bCs/>
          <w:color w:val="auto"/>
          <w:sz w:val="24"/>
          <w:szCs w:val="24"/>
        </w:rPr>
        <w:t>2项条款不一致或不符，则验收不合格，并将根据本合同专用条款第十八项第1.1款，认定乙方根本违约而解除合同。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项目完工，乙方起草《技术服务总结报告》提交甲方。甲方收到《技术服务总结报告》后，根据本合同约定对乙方提供的技术服务内容及《技术服务总结报告》等，甲方按照项目验收管理办法要求进行项目终验。验收不合格，甲方有权拒绝支付该部分的合同价格费用，并要求乙方按照本合同约定承担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十三、保密事宜</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1、保密范围</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1.1未经甲方书面同意，乙方不得以任何形式公开本合同及其附件及本项目相关文件、资料的任何内容。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1.2乙方在未征得甲方书面同意的情况下，不得向第三方泄露在项目中接触到的情报、资料和数据。</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1.3乙方在未征得甲方书面同意的情况下，不得为任何其它目的而自行使用或允许他人使用从甲方获得的信息（包括但不限于所有的报告、摘录、纪要、文件、计划、报表、复印件和业务数据等）。</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如果乙方违反本条款的规定，甲方有权解除本合同并要求乙方赔偿甲方因此遭受的全部损失（包括但不限于维修费、交通费、装卸费、主张权利产生的诉讼费、鉴定费、律师费、公告费等费用），该赔偿的金额不低于合同价格总额的10%。触犯保密法律法规的情况由乙方独自承担相应法律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1.5乙方认为的乙方商业秘密需要乙方事先向甲方书面声明。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2、保密期限</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甲乙双方应对上述保密范围所约定的内容承担保密义务。保密期限自本合同生效之日始至本合同约定的信息全部成为公开信息止。本保密条款不因本合同的终止、解除等情形失效。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十四、知识产权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u w:val="single" w:color="000000"/>
        </w:rPr>
        <w:t xml:space="preserve">   </w:t>
      </w:r>
      <w:r>
        <w:rPr>
          <w:rFonts w:hint="eastAsia" w:ascii="仿宋" w:hAnsi="仿宋" w:eastAsia="仿宋"/>
          <w:color w:val="auto"/>
          <w:spacing w:val="-11"/>
          <w:sz w:val="24"/>
          <w:u w:val="single"/>
        </w:rPr>
        <w:t>库尔勒市妇幼保健计划生育服务中心（库尔勒市妇幼保健院）网络安全系统采购</w:t>
      </w:r>
      <w:r>
        <w:rPr>
          <w:rFonts w:hint="eastAsia" w:ascii="仿宋" w:hAnsi="仿宋" w:eastAsia="仿宋"/>
          <w:color w:val="auto"/>
          <w:sz w:val="24"/>
          <w:szCs w:val="24"/>
          <w:u w:val="single" w:color="000000"/>
        </w:rPr>
        <w:t xml:space="preserve"> </w:t>
      </w:r>
      <w:r>
        <w:rPr>
          <w:rFonts w:hint="eastAsia" w:ascii="仿宋" w:hAnsi="仿宋" w:eastAsia="仿宋"/>
          <w:color w:val="auto"/>
          <w:sz w:val="24"/>
          <w:szCs w:val="24"/>
        </w:rPr>
        <w:t>（项目名称）技术支持服务过程中所产生的所有文件、资料等的知识产权均归甲方所有。未经甲方书面许可，乙方不得用于本项目以外的其他用途。因乙方原因造成甲方知识产权遭受侵害的，由乙方负责赔偿。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乙方保证甲方在接受乙方提供的软件维护与技术支持服务过程中免受第三方提出侵犯其专利权、商标权或著作权或其他权利诉求。因乙方原因导致对其他任何权利的侵犯，应由乙方自行承担全部责任，甲方不承担任何责任。如因乙方原因导致甲方被追诉的，乙方应承担因此给甲方造成的一切损失包括但不限于甲方为此支付的律师费、案件受理费、仲裁费、保险费、执行费、鉴定费及公证费等。</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3、甲方利用乙方提交的技术服务工作成果所完成的新的技术成果，归甲方所有。</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4、乙方利用甲方所提供的技术资料和工作条件完成的新的技术成果，归甲方所有。</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5、乙方郑重承诺：在为本项目提供技术服务过程中，需使用任何第三方拥有所有权、专利权、著作权、商标权或商业秘密等权利的产品或者服务时，须书面告知甲方，在征得甲方的书面同意后，方可执行。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十五、项目联系人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甲、乙双方确定，在本合同有效期内，甲方指定</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为甲方项目联系人，乙方指定</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为乙方项目联系人。</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乙方保证前述提供的乙方联系人的联系方式真实有效，乙方更换项目联系人应当在决定变更联系人前三日内提前书面通知甲方，在征得甲方的书面同意后方可以更换；决定变更联系方式的，应在变更联系方式前三日内提前书面通知甲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十六、合同变更</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本合同签订后，甲方有权增加、减少或者变更约定的技术服务内容及要求。甲方要求增加、减少或者变更技术服务内容及要求应当通过书面形式通知乙方，乙方应当在收到甲方通知后立即按照新的内容及要求执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除本合同另有约定外，本合同一经签署，未经甲乙双方同意，任何一方不得随意更改本合同。本合同所列的附件，为本合同的组成部分。其它任何口头或未包含在本合同内的，或未依据本合同制定的书面文件，均不对双方具有约束力。</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3、如本合同在履行过程中有任何变更、补充或修改，都必须经甲乙双方协商同意，并由双方法定代表人（或负责人）或授权代表另行签订书面协议。</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十七、违约责任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1、因甲方原因造成乙方不能按照本合同的约定提供服务的，乙方无需向甲方承担违约责任。在甲方提前书面通知乙方后，乙方应根据实际情况服从和协助甲方制定出新的工作计划，并按新的工作计划开展工作。</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非因甲方原因，乙方如果不能按照本合同约定提供技术服务的，应提前十个工作日向甲方做出书面解释并提出拟采取的补救措施，在征得甲方的认可和同意后，执行补救措施但仍应按照本合同约定承担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乙方未按照本合同的约定及乙方的服务承诺履行义务的，每违反一次，应当按照合同总额的5%向甲方支付违约金，甲方有权在下一期合同价格费用中直接扣除违约金，但如乙方的违约行为发生在合同价格全部支付完毕之后，则由乙方直接向甲方支付违约金；甲方亦有权解除合同。因违约给甲方或任何第三方造成损失的，乙方还应当予以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4、乙方应当按照合同约定的时间完成项目并交付验收，乙方逾期的，每日向甲方支付合同总价款千分之二的违约金，逾期10日的，甲方有权解除合同，并要求乙方承担合同价款20%的违约金。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十八、合同解除</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1、在本合同履行过程中，如果发生以下情形之一，合同一方可以通知对方解除合同：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1.1因对方根本违约使合同无法继续履行或没有必要继续履行；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1.2在甲方对乙方违约后采取的补救措施不予接受的情况下，甲方有权解除合同；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1.2.1如果非因甲方原因，乙方未能在甲方同意延长的限期内按照本合同约定及服务承诺提供服务，甲方有权解除本合同；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1.2.2乙方在收到甲方的违约通知后五日内，未能纠正其违约行为，甲方有权解除本合同。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1.3如果乙方未能履行本合同约定的其它任何义务，甲方有权解除本合同。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1.5如果乙方无实际履行能力以及破产或无清偿能力时，甲方可在任何时候以书面形式通知乙方终止合同，终止该合同将不损害或影响甲方已经采取或将要采取的补救措施的权利。</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1.6由于不可抗力致使本合同不能履行的，甲方可以解除本合同。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2、双方协商一致可以解除合同。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3、双方可依据本合同约定的其他可以解除合同的法定情形解除合同。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4、因乙方的原因，在甲方根据以上条款解除合同后，甲方可以依其认为适当的条件和方法购买相同或者类似未提供的服务，乙方应负担甲方因另行购买相同或者类似服务而多支出的费用。</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十九、转委托</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未经甲方书面同意，乙方不得将本合同约定的供货、软件维护与技术支持服务全部或者部分工作委托给第三方，否则甲方有权要求乙方承担20%违约责任，并赔偿由此造成甲方的一切损失。</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二十、税费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1、本项目的报价应包含所有税费。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2、在中国境内外发生的与本合同执行有关的一切税费均应由乙方负担。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二十一、不可抗力</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1、甲乙双方因不可抗力不能履行合同义务的，根据不可抗力的影响，部分或者全部免除责任。当事人迟延履行后发生不可抗力的，不能免除责任。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2、本条所述的“不可抗力”系指不能预见、不能避免并不能克服的客观情况，包括战争、严重火灾、洪水、台风、地震、国家法律变化和政府行为等事件，但不包括乙方的违约和疏忽。</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3、在不可抗力事件发生后，受不可抗力影响的一方应在发生不可抗力事由之日起【    】日内以书面形式将不可抗力的情况和原因通知另一方,并在取得不可抗力发生地市级以上政府相关部门证明以后，允许延期履行、部分履行或者不履行合同，并根据情况可部分或全部免于承担违约责任。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除另一方明确要求外，受不可抗力影响的一方应尽可能继续履行合同义务，以及寻求采取合理的方案履行未受不可抗力影响的其他合同义务，并尽可能地及时采取合理的措施减轻不可抗力对本合同的履行所造成的影响。没有采取适当措施致使损失扩大的，该方不得就扩大损失的部分要求免责或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二十二、争议解决</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因本合同引起的或与本合同有关的任何争议，甲乙双方应通过友好协商方式的解决。不愿协商或者协商不成的，按照通用合同条款“争议解决”19.1.1项解决。</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二十三、通知</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甲乙双方确认，本合同约定的关于双方通讯地址、电话、传真均真实有效，如有变更，变更方应按照本合同约定提前书面通知对方。因一方变更前述通讯联系地址、电话、传真而未通知对方，造成对方无法通知的，由此造成的后果由变更而又未依约通知的一方负责。</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2、任何与本合同履行有关的通讯往来和通知均应以书面形式送达，该书面形式包括传真、挂号、特快专递等方式，如没有特别约定，电话和电子邮件的方式不是本合同所约定的送达方式。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3、以传真方式发出的通知，自传真进入系统视为送达。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4、如果要求被送达人履行相应的合同义务，通知应该为被通知人履行义务预留合理的时间。</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5、在执行本合同过程中，甲方应于收到乙方各种书面通知、函件后的【   】个工作日内做出响应；乙方应于收到甲方各种书面通知、函件后的【   】个工作日内做出响应。若在本合同其它条款中另有约定的，以约定时间为准。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二十四、合同生效及其他 </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本合同经甲、乙双方法定代表人（或负责人）签字并加盖公章后生效，一式【肆 】份，甲方执【叁 】份，乙方执【 壹】份，每份均具有同等的法律效力。  </w:t>
      </w:r>
    </w:p>
    <w:p>
      <w:pPr>
        <w:spacing w:line="420" w:lineRule="exact"/>
        <w:ind w:firstLine="480" w:firstLineChars="200"/>
        <w:rPr>
          <w:rFonts w:ascii="仿宋" w:hAnsi="仿宋" w:eastAsia="仿宋"/>
          <w:color w:val="auto"/>
          <w:sz w:val="24"/>
        </w:rPr>
      </w:pPr>
      <w:r>
        <w:rPr>
          <w:rFonts w:hint="eastAsia" w:ascii="仿宋" w:hAnsi="仿宋" w:eastAsia="仿宋"/>
          <w:color w:val="auto"/>
          <w:sz w:val="24"/>
        </w:rPr>
        <w:t xml:space="preserve">本合同附件是本合同不可分割部分，具有同等法律效力。 </w:t>
      </w:r>
    </w:p>
    <w:p>
      <w:pPr>
        <w:spacing w:line="420" w:lineRule="exact"/>
        <w:ind w:firstLine="480" w:firstLineChars="200"/>
        <w:rPr>
          <w:rFonts w:ascii="仿宋" w:hAnsi="仿宋" w:eastAsia="仿宋"/>
          <w:color w:val="auto"/>
          <w:sz w:val="24"/>
        </w:rPr>
      </w:pPr>
      <w:r>
        <w:rPr>
          <w:rFonts w:hint="eastAsia" w:ascii="仿宋" w:hAnsi="仿宋" w:eastAsia="仿宋"/>
          <w:color w:val="auto"/>
          <w:sz w:val="24"/>
        </w:rPr>
        <w:t>合同附件：1）设备的配置清单；</w:t>
      </w:r>
    </w:p>
    <w:p>
      <w:pPr>
        <w:spacing w:line="420" w:lineRule="exact"/>
        <w:ind w:firstLine="1680" w:firstLineChars="700"/>
        <w:rPr>
          <w:rFonts w:ascii="仿宋" w:hAnsi="仿宋" w:eastAsia="仿宋"/>
          <w:color w:val="auto"/>
          <w:sz w:val="24"/>
        </w:rPr>
      </w:pPr>
      <w:r>
        <w:rPr>
          <w:rFonts w:hint="eastAsia" w:ascii="仿宋" w:hAnsi="仿宋" w:eastAsia="仿宋"/>
          <w:color w:val="auto"/>
          <w:sz w:val="24"/>
        </w:rPr>
        <w:t>2）技术标准、投标文件的技术响应、设备技术说明；</w:t>
      </w:r>
    </w:p>
    <w:p>
      <w:pPr>
        <w:spacing w:line="420" w:lineRule="exact"/>
        <w:ind w:firstLine="1680" w:firstLineChars="700"/>
        <w:rPr>
          <w:rFonts w:ascii="仿宋" w:hAnsi="仿宋" w:eastAsia="仿宋"/>
          <w:color w:val="auto"/>
          <w:sz w:val="24"/>
        </w:rPr>
      </w:pPr>
      <w:r>
        <w:rPr>
          <w:rFonts w:hint="eastAsia" w:ascii="仿宋" w:hAnsi="仿宋" w:eastAsia="仿宋"/>
          <w:color w:val="auto"/>
          <w:sz w:val="24"/>
        </w:rPr>
        <w:t>3）投标文件、招标文件。</w:t>
      </w:r>
    </w:p>
    <w:p>
      <w:pPr>
        <w:spacing w:line="420" w:lineRule="exact"/>
        <w:rPr>
          <w:rFonts w:ascii="仿宋" w:hAnsi="仿宋" w:eastAsia="仿宋"/>
          <w:color w:val="auto"/>
          <w:sz w:val="24"/>
        </w:rPr>
      </w:pP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甲方名称（盖章）                          乙方名称（盖章）</w:t>
      </w:r>
    </w:p>
    <w:p>
      <w:pPr>
        <w:pStyle w:val="735"/>
        <w:spacing w:line="400" w:lineRule="exact"/>
        <w:ind w:firstLine="480" w:firstLineChars="200"/>
        <w:rPr>
          <w:rFonts w:ascii="仿宋" w:hAnsi="仿宋" w:eastAsia="仿宋"/>
          <w:color w:val="auto"/>
          <w:sz w:val="24"/>
          <w:szCs w:val="24"/>
        </w:rPr>
      </w:pP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法定代表人（或负责人）签字：               法定代表人（或负责人）签字：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地址：                                    地址：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电话：                                    电话：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传真：                                    传真：                    </w:t>
      </w:r>
    </w:p>
    <w:p>
      <w:pPr>
        <w:spacing w:line="400" w:lineRule="exact"/>
        <w:rPr>
          <w:rFonts w:ascii="仿宋" w:hAnsi="仿宋" w:eastAsia="仿宋" w:cs="仿宋"/>
          <w:color w:val="auto"/>
          <w:sz w:val="28"/>
          <w:szCs w:val="28"/>
        </w:rPr>
      </w:pPr>
      <w:r>
        <w:rPr>
          <w:rFonts w:hint="eastAsia" w:ascii="仿宋" w:hAnsi="仿宋" w:eastAsia="仿宋"/>
          <w:color w:val="auto"/>
          <w:sz w:val="24"/>
        </w:rPr>
        <w:t>合同签订日期：     年    月    日         合同签订日期：    年   月  日</w:t>
      </w:r>
    </w:p>
    <w:p>
      <w:pPr>
        <w:spacing w:line="440" w:lineRule="exact"/>
        <w:ind w:firstLine="420" w:firstLineChars="200"/>
        <w:rPr>
          <w:rFonts w:ascii="仿宋" w:hAnsi="仿宋" w:eastAsia="仿宋"/>
          <w:color w:val="auto"/>
        </w:rPr>
      </w:pPr>
    </w:p>
    <w:p>
      <w:pPr>
        <w:widowControl/>
        <w:spacing w:beforeLines="50" w:afterLines="50" w:line="560" w:lineRule="atLeast"/>
        <w:jc w:val="center"/>
        <w:rPr>
          <w:rFonts w:ascii="仿宋" w:hAnsi="仿宋" w:eastAsia="仿宋"/>
          <w:b/>
          <w:color w:val="auto"/>
          <w:sz w:val="32"/>
          <w:szCs w:val="32"/>
        </w:rPr>
      </w:pPr>
    </w:p>
    <w:p>
      <w:pPr>
        <w:pStyle w:val="735"/>
        <w:widowControl/>
        <w:jc w:val="left"/>
        <w:rPr>
          <w:rFonts w:ascii="仿宋" w:hAnsi="仿宋" w:eastAsia="仿宋"/>
          <w:color w:val="auto"/>
          <w:sz w:val="24"/>
          <w:szCs w:val="24"/>
        </w:rPr>
      </w:pPr>
      <w:r>
        <w:rPr>
          <w:rFonts w:hint="eastAsia" w:ascii="仿宋" w:hAnsi="仿宋" w:eastAsia="仿宋"/>
          <w:color w:val="auto"/>
          <w:sz w:val="24"/>
          <w:szCs w:val="24"/>
        </w:rPr>
        <w:br w:type="page"/>
      </w:r>
    </w:p>
    <w:p>
      <w:pPr>
        <w:pStyle w:val="735"/>
        <w:jc w:val="center"/>
        <w:rPr>
          <w:rFonts w:ascii="仿宋" w:hAnsi="仿宋" w:eastAsia="仿宋"/>
          <w:color w:val="auto"/>
          <w:sz w:val="32"/>
          <w:szCs w:val="32"/>
        </w:rPr>
      </w:pPr>
      <w:r>
        <w:rPr>
          <w:rFonts w:hint="eastAsia" w:ascii="仿宋" w:hAnsi="仿宋" w:eastAsia="仿宋"/>
          <w:color w:val="auto"/>
          <w:sz w:val="32"/>
          <w:szCs w:val="32"/>
        </w:rPr>
        <w:t>合同通用条款部分</w:t>
      </w:r>
    </w:p>
    <w:p>
      <w:pPr>
        <w:pStyle w:val="735"/>
        <w:rPr>
          <w:color w:val="auto"/>
        </w:rPr>
      </w:pP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1、定义</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除非另有特别解释或说明，在本合同及与本合同相关的，双方另行签署的其他文件（包括但不限于本合同的附件）中，下述词语均依如下定义进行解释：</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1.1“合同”指甲乙双方签署的，与本项目相关的协议、附件、附录和其他一切文件，还包括招标文件、投标文件中的相关内容及其有效补充文件。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1.2“附件”是指与本合同的订立、履行有关的，经甲乙双方认可的，对本合同约定的内容进行细化、补充、修改、变更的文件、图纸、音像制品等资料。</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1.3“合同货物”指合同货物清单（同投标文件中投标货物数量、价格表，下同）中所规定的硬件、软件、安装材料、备件及专用器具、文件资料等内容。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1.5“检验”指按照本合同约定的标准对合同货物进行的检测与查验。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1.6“验收证书”指检验完成后由合同双方签署的最终验收确认书。</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1.7“技术资料”指安装、调试、使用、维修合同货物所应具备的产品使用说明书和／或使用指南、操作手册、维修指南、服务手册、电路图、产品演示等文件。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1.8“保修期”指自验收证书甲方签署之日起，乙方免费对所卖给甲方货物更换整件或零部件，维修、保养，并以自担费用方式保证合同货物正常运行的时期。</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1.9“第三人”是指本合同双方以外的任何中国境内、外的自然人、法人或其他经济组织。</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1.10“法律、法规”是指由中国有关部门制定的法律、行政法规、地方性法规、规章及其他规范性文件以及经全国人民代表大会常务委员会批准的中国缔结、参加的国际条（公）约的有关规定。</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2、合同标的</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2.1、甲方同意从乙方购买，乙方同意向甲方出售下表所列设备及服务：（设备及服务列表见合同专用条款）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2.2、备件清单、专用工属具清单。</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3、合同价格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3.1合同总金额详见合同专用条款。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3.2本合同价格包括设备及技术服务费（包括硬件、软件等有形无形产品）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3.3合同货物详细目录及销售价格见合同货物清单（同投标文件中投标货物数量、价格表）。</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4、支付和结算方式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4.1双方因本合同发生的一切费用均以人民币结算及支付。</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4.2双方的账户名称、开户银行及账号以本合同提供的为准。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4.3付款方式：</w:t>
      </w:r>
      <w:r>
        <w:rPr>
          <w:rFonts w:hint="eastAsia" w:ascii="仿宋" w:hAnsi="仿宋" w:eastAsia="仿宋"/>
          <w:color w:val="auto"/>
          <w:sz w:val="24"/>
          <w:szCs w:val="24"/>
          <w:u w:val="single"/>
        </w:rPr>
        <w:t>执行合同专用条款</w:t>
      </w:r>
      <w:r>
        <w:rPr>
          <w:rFonts w:hint="eastAsia" w:ascii="仿宋" w:hAnsi="仿宋" w:eastAsia="仿宋"/>
          <w:color w:val="auto"/>
          <w:sz w:val="24"/>
          <w:szCs w:val="24"/>
        </w:rPr>
        <w:t>。</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4.3.1到货、检验后付款：合同货物全部运抵交货地点、安装到位、试运行完成，经甲方核对无误、检验合格，双方签署验收报告后</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个工作日内，甲方向乙方支付合同总金额的一定比例货款，支付比例、金额见合同条款专用部分；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4.3.2保修期满后付款：合同货物的保修期（合同货物的保修期自全部货物验收合格，双方签署验收证书之日起算）期满后</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个工作日内，甲方向乙方支付合同余款，支付比例、金额见合同条款专用部分，作为本合同最终结款。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5.交货</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5.1乙方负责办理运输和保险，将货物运抵交货地点。有关运输、保险和装卸等一切相关的费用由乙方承担。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5.2乙方应办理合同货物从出厂至交货竣工移交期间的保险，保险应按照发票金额的110％办理“一切险”。即便若实际办理的保险与该要求存在不一致的情形，相关的风险亦均应由乙方承担。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5.3货物应运至甲方指定地点，并卸至甲方指定位置，开箱清点及初步检验时双方应派人员参加，如甲方不到场检验，乙方需承担起检验及保管责任，其责任直至所有货物运抵现场并且安装完毕经检验竣工合格交付甲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5.4所有货物运抵现场并且安装完毕经检验竣工合格交付甲方，该日期为交货日期。双方签署竣工交付收货单后为交货完毕。该竣工交付收货单或其它名称的该等收货单一式两份，甲方和乙方各执一份。竣工交货完毕货物所有权发生转移，此前货物毁坏的风险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5.5乙方应在货物运到甲方指定地点七日前，向甲方提供货物卸车、清点计划（内容包括：合同号、设备名称、数量、价格、箱数、型号规格、重量和体积、拟发运的时间及其他必要的说明），并于发运的同时通知甲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5.6在现场交货方式下，乙方装运的货物不应超过合同规定的数量或重量。否则乙方应对超运部分的数量或重量而引起的一切后果负责。</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5.7交货日期详见合同条款专用部分。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5.8运输方式详见合同条款专用部分。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5.9交货（安装、调试、服务）地点详见合同条款专用部分。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6．包装和标记</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6.1乙方交付的所有合同货物应具有适于运输的坚固包装，并且乙方应根据合同货物的不同特性和要求采取防潮、防雨、防锈、防震、防腐等保护措施，以确保合同货物安全无损地送达交货地点。</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6.2若合同货物采用集装箱装运的，乙方应在每件包装箱相对的二个侧面上，用不褪色的油漆以醒目的中文做出以下标记：</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收货单位：</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货物名称：</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箱号/件号：</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毛重（千克）：</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尺寸（长×宽×高，以厘米计）：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发货单位：</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发货单位详细地址：</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6.3乙方应根据合同货物的不同特性和装卸运输上的不同要求，在包装箱相对的二个侧面上用中文标记“勿倒置”、“小心轻放”、“防潮”等标志和“重心”等装卸搬运时适用的通用图案，以利于装卸和搬运。</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6.4下列资料包装在合同货物的包装箱中：</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6.4.1装箱单</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6.4.2合同货物数量和质量合格证书、保修证书</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6.4.3产品使用说明书及其它必要的技术资料</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6.5凡由于乙方对合同货物包装不善、标记不明、防护措施不当或在合同货物装箱前保管不良，致使合同货物遭到损坏或丢失，乙方应负责免费更换，并承担由此给甲方造成的一切损失。</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7．质量标准和检验方式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7.1乙方应保证提供给甲方的合同货物是货物生产厂商原造的，全新、未使用过的，是用符合要求的工艺和材料制造而成的，并完全满足本项目招标文件规定的质量、性能和规格的要求。</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7.2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格偏离表(如果被采购人接受)相一致，同时，乙方提供的货物质量应符合中华人民共和国相关标准及相应的技术规范、本次采购相关文件中的全部相关要求及乙方工厂相关标准及相应的技术规范中之较高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7.3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7.4乙方应保证所提供的货物经正确安装、合理操作和维护保养在其使用寿命期内具有令甲方满意的性能，并对由于合同货物的设计、工艺或材料的缺陷而发生的任何故障负责。</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7.5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7.6甲方对合同货物的数量、规格和质量的检验，应依据本项目招标文件中的有关规定进行。采用现场交货方式的，检验在交货地点进行。开箱检验的时间不迟于交货日期后三十日。</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7.7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内（详见合同条款专用部分）运达甲方指定地点，相关费用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7.8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7.9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7.10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7.11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7.12甲方应将货物验收单同发票一起入账，作为甲方执行了政府采购的凭证。</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8.技术服务和保修责任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关于本条的特别说明：本条中的服务时间，即相关的服务到达现场或完成维修工作所需的时间：小时、天数等，招标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8.2乙方对合同货物的质量保修期见合同条款专用部分。若厂家规定的保修期或合同货物主要部件的保修期长于本合同保修期，应适用其保修期。(在本次招标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8.3乙方承诺在合同货物的质量保修期内免费为甲方提供合同货物的技术指导和维修服务，提供此项服务的时间见合同条款专用部分。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8.4乙方保证在合同货物出现故障和缺陷时，或接到甲方提出的技术服务要求后规定时间内（具体见合同条款专用部分）内予以答复，如甲方有要求或必要时，乙方应在接到甲方通知后规定时间内（具体见合同条款专用部分）内派员至甲方免费维修和提供现场指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8.5如乙方在接到甲方维修通知后的规定时间内（具体见合同条款专用部分）仍不能修复有关货物，乙方应提供与该货物同一型号的备用货物，如因此给甲方造成损失，乙方应负责赔偿。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8.6如乙方在接到甲方提出的技术服务要求或维修通知后的规定时间内（具体见合同条款专用部分）内没有响应、拒绝或没有派员到达甲方提供技术服务、修理或退换货物，甲方有权委托第三人对合同货物进行维修或提供技术服务，由此产生的一切费用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8.7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8.8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8.9在合同货物免费保修期内，如果由于乙方更换、修理和续补货物，而造成本合同货物不得不停止运行，货物保修期应依照停止运行的实际时间加以延长，如因此给甲方造成损失，乙方应负责赔偿。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8.10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8.11在合同货物保修期届满后，如果因合同货物硬件或软件的固有缺陷和瑕疵出现紧急故障和事故，乙方应在接到甲方通知后立即提供电话支持、远程支持并在规定时间内（具体时间见合同条款专用部分）内到达现场，迅速排除货物故障。</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8.12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8.13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9.履约保证金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9.1中标供应商应在收到中标通知书后规定时间内（具体时间见合同条款专用部分）内，以信汇、电汇或履约保函形式向甲方提供履约保证金，保证金金额：见合同条款专用部分。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9.2如果中标供应商没有按照上述规定执行，甲方将有充分理由取消该中标决定，并没收其投标保证金。在此情况下甲方可将合同授予排名第二的中标候选人，或重新招标。</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9.3若本项目不允许分包或转包的，如果中标供应商在与甲方签定合同以后，将中标项目分包或转包给第三方，甲方将有充分理由终止合同，并没收其履约保证金。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9.4如乙方未能完全履行合同规定的义务，甲方有权从履约保证金中得到补偿。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10.审计及检查</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如果采购人要求，中标供应商应允许采购人检查中标供应商与实施本合同有关的资金、帐户和记录，并由采购人指定的审计人员对其进行审计。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11.2.1在甲方同意延长的期限内交付全部货物、提供服务并承担由此给甲方造成的直接损失及甲方因此产生的对第三方的责任。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11.2.3根据货物低劣程度、损坏程度以及使甲方所遭受的损失及甲方因此产生的对第三方的责任，经双方商定降低货物的价格或赔偿甲方所遭受的损失及甲方因此产生的对第三方的责任。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11.2.4按合同规定的同种货币将甲方所退货物已支付的货款全部退还给甲方，并承担由此发生的直接损失和相关费用及甲方因此产生的对第三方的责任。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11.2.5甲方有权部分或全部解除合同并要求乙方赔偿由此造成的损失及甲方因此产生的对第三方的责任。此时甲方可采取必要的补救措施，相关费用由乙方承担。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11.2.6此外，上述情形下甲方为采取必要的补救措施或因防止损失扩大而支出的合理费用应由乙方承担。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11.3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11.4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90%的以及单套货物未能全部交足的，或非成套、非集成的货物已交货件数未达合同约定件数90%的，守约方有权解除合同，并要求违约方赔偿由此造成的损失。上述逾期超过20天但成套集成的货物已交货套数已达合同约定套数90%的，或非成套、非集成的货物已交货件数已达合同约定件数90%的，守约方不得要求解除合同已经履行的部分只有权决定解除尚未履行的部分，但违约方应当向对方支付相等于比照中国人民银行规定的同期借款利息最高限额的两倍按日计算的金额的违约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11.5其它违约责任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11.5.1如任何一方无故解除合同或有违反本合同规定的任何情形均属于违约行为，违约方应就每一单项违约向对方支付合同总金额一定比例的违约金，具体比例见合同条款专用部分。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11.5.2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11.5.3如乙方在合同规定的交货日期后10天内仍未能交货，则视为乙方不能交货，甲方有权解除合同，乙方若已经收取了甲方的定金则同时还应双倍返还已收取的定金。</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11.6若发生延期交货或延期付款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11.7以上各项交付的违约金并不影响违约方履行合同的各项义务。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11.8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均并不因此被减免。</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11.9本次采购的合同项下的任何合同、文件等均应当符合有关环保、知识产权及其他法律法规的规定，包括童工禁用、劳动保护待遇等法律规定。供应商或中标供应商或乙方或乙方代理商等均已清楚本次政府采购招标中的政府或其部门、采购代理机构、采购人或使用人等，均已尽声明、提示、审慎核查等注意义务及相关责任，若仍发生任何相关违反法律、法规之情形均属供应商或中标供应商或乙方或乙方代理商等单方面之因素、原因、责任。供应商或中标供应商或乙方或乙方代理商等在相关的投标活动中、合同的签订及履行过程中，其投标或签署、履行合同均意味着其已承诺，任何情况下，均将严格遵守法律、法规，并且应当独立承担全部及任何法律责任，包括对采购代理机构、采购人、甲方、最终用户或任何第三方的民事侵权赔偿责任。上述该等责任同时亦均属严重违约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12.不可抗力</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12.1不可抗力指下列事件：战争、动乱、瘟疫、严重火灾、洪水、地震、风暴或其他自然灾害，以及本合同各方不可预见、不可防止并不能避免或克服的一切其他因素及事件。</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12.4合同各方应根据不可抗力对本合同履行的影响程度，协商确定是否终止本合同，或是继续履行本合同。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13.联系方式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13.2合同双方发出的与本合同有关的通知或回复均应发至合同条款专用部分中的通讯地址，付款或收款应使用合同条款专用部分中的帐号，一方变更通讯地址或帐号，应自变更之日起三个工作日内，将变更后的地址通知对方。变更方不履行通知义务的，应对此造成的一切后果承担法律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13.3上述发出通知、回复的费用由发出一方承担。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14.保密条款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14.1任何一方对其获知的本合同及附件中其他各方的商业秘密和国家秘密负有保密义务。</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14.2在下列情形下：当发布中标公告和其它公告时，当国家机关调查、审查、审计时，以及其他符合法律规定的情形下，无须事先征求供应商/中标供应商同意而可以披露关于采购过程、合同文本、签署情况的资料、供应商/中标供应商的名称及地址、采购内容的有关信息以及补充条款等，但应当在合理的必要范围内。对任何已经公布过的内容或与之内容相同的资料，以及供应商/中标供应商已经泄露或公开的，无须再承担保密责任。</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15.合同的解释和法律适用</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15.1任何一方对本合同及其附件的解释均应遵循诚实信用原则,依照本合同签订时有效的中国法律、法规以及通常的理解进行。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15.2本合同标题仅供查阅方便，并非对本合同的诠释或解释；本合同中以日表述的时间期限均指自然日。</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15.3对本合同的任何解释均应以书面作出。</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15.4本合同及附件的订立、效力、解释、履行、争议的解决等适用本合同签订时有效的中华人民共和国法律、法规的有关规定。</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16.合同的终止</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16.1本合同因下列原因而终止：</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16.1.1本合同正常履行完毕；</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16.1.2合同双方协议终止本合同的履行；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16.1.3不可抗力事件导致本合同无法履行或履行不必要；</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16.1.4任何一方行使解除权，解除本合同。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16.2对本合同终止有过错的一方应赔偿另一方因合同终止而受到的损失。对合同终止双方均无过错的，则各自承担所受到的损失。</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17.法律适用</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17.1本合同及附件的订立、效力、解释、履行、争议的解决等适用本合同签订时有效的中华人民共和国法律、法规的有关规定。</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17.2在本合同履行期间，因中国法律、法规、政策的变化致使本合同的部分条款相冲突、无效或失去可强制执行效力时，双方同意将密切合作，尽快修改本合同中相冲突或无效或失去强制执行效力的有关条款。</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18.权利的保留</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19.争议的解决</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19.1合同双方应通过友好协商解决因解释、执行本合同所发生的和本合同有关的一切争议。如果经协商不能达成协议，则双方同意：</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19.1.1在甲方住所地有管辖权的人民法院提起诉讼；</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19.1.2由贸易仲裁委员会根据其现行有效的仲裁程序进行仲裁。仲裁裁决为最终裁决对双方均具有约束力。仲裁费除仲裁机关另有裁决外的应由败诉方承担。</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19.2本项目选择解决方式：见合同条款专用部分。</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19.3在争议解决期间，除了诉讼或仲裁进行过程中正在解决的那部分问题外，合同其余部分应继续履行。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20.合同的补充、修改和变更</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20.1双方协商一致，可以对本合同进行补充、修改或变更。</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20.2对本合同的补充、修改或变更必须以书面形式进行。补充、修改或变更的协议的签署及生效方式与本合同的签署及生效方式相同。</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20.3招标文件、投标文件及其全部条款、双方签订的补充协议以及修改或变更的条款与本合同具有同等法律效力。</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21.合同的生效</w:t>
      </w:r>
    </w:p>
    <w:p>
      <w:pPr>
        <w:pStyle w:val="735"/>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本合同经双方法定代表人（或负责人）签字并加盖单位公章后生效。</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甲方名称（盖章）                          乙方名称（盖章）</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法定代表人（或负责人）签字：              法定代表人（或负责人）签字：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地址：                                    地址：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电话：                                    电话：                   </w:t>
      </w:r>
    </w:p>
    <w:p>
      <w:pPr>
        <w:pStyle w:val="735"/>
        <w:spacing w:line="400" w:lineRule="exact"/>
        <w:rPr>
          <w:rFonts w:ascii="仿宋" w:hAnsi="仿宋" w:eastAsia="仿宋"/>
          <w:color w:val="auto"/>
          <w:sz w:val="24"/>
          <w:szCs w:val="24"/>
        </w:rPr>
      </w:pPr>
      <w:r>
        <w:rPr>
          <w:rFonts w:hint="eastAsia" w:ascii="仿宋" w:hAnsi="仿宋" w:eastAsia="仿宋"/>
          <w:color w:val="auto"/>
          <w:sz w:val="24"/>
          <w:szCs w:val="24"/>
        </w:rPr>
        <w:t xml:space="preserve">传真：                                    传真：                    </w:t>
      </w:r>
    </w:p>
    <w:p>
      <w:pPr>
        <w:spacing w:line="400" w:lineRule="exact"/>
        <w:rPr>
          <w:rFonts w:ascii="仿宋" w:hAnsi="仿宋" w:eastAsia="仿宋" w:cs="仿宋"/>
          <w:color w:val="auto"/>
          <w:sz w:val="28"/>
          <w:szCs w:val="28"/>
        </w:rPr>
      </w:pPr>
      <w:r>
        <w:rPr>
          <w:rFonts w:hint="eastAsia" w:ascii="仿宋" w:hAnsi="仿宋" w:eastAsia="仿宋"/>
          <w:color w:val="auto"/>
          <w:sz w:val="24"/>
        </w:rPr>
        <w:t>合同签订日期：     年    月    日         合同签订日期：    年   月  日</w:t>
      </w:r>
    </w:p>
    <w:p>
      <w:pPr>
        <w:widowControl/>
        <w:numPr>
          <w:ilvl w:val="0"/>
          <w:numId w:val="11"/>
        </w:numPr>
        <w:spacing w:beforeLines="50" w:afterLines="50" w:line="560" w:lineRule="atLeast"/>
        <w:jc w:val="center"/>
        <w:rPr>
          <w:rFonts w:ascii="仿宋" w:hAnsi="仿宋" w:eastAsia="仿宋"/>
          <w:b/>
          <w:color w:val="auto"/>
          <w:sz w:val="32"/>
          <w:szCs w:val="32"/>
        </w:rPr>
      </w:pPr>
      <w:r>
        <w:rPr>
          <w:rFonts w:ascii="仿宋" w:hAnsi="仿宋" w:eastAsia="仿宋"/>
          <w:b/>
          <w:color w:val="auto"/>
          <w:sz w:val="32"/>
          <w:szCs w:val="32"/>
        </w:rPr>
        <w:br w:type="page"/>
      </w:r>
      <w:r>
        <w:rPr>
          <w:rFonts w:hint="eastAsia" w:ascii="仿宋" w:hAnsi="仿宋" w:eastAsia="仿宋"/>
          <w:b/>
          <w:color w:val="auto"/>
          <w:sz w:val="32"/>
          <w:szCs w:val="32"/>
        </w:rPr>
        <w:t xml:space="preserve"> 采购需求</w:t>
      </w:r>
      <w:bookmarkStart w:id="9" w:name="_Toc446517749"/>
      <w:bookmarkStart w:id="10" w:name="_Toc413685804"/>
      <w:bookmarkStart w:id="11" w:name="_Toc431728628"/>
    </w:p>
    <w:tbl>
      <w:tblPr>
        <w:tblStyle w:val="60"/>
        <w:tblpPr w:leftFromText="180" w:rightFromText="180" w:vertAnchor="text" w:horzAnchor="page" w:tblpX="1479" w:tblpY="1064"/>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326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序号</w:t>
            </w:r>
          </w:p>
        </w:tc>
        <w:tc>
          <w:tcPr>
            <w:tcW w:w="3267" w:type="dxa"/>
          </w:tcPr>
          <w:p>
            <w:pPr>
              <w:rPr>
                <w:rFonts w:ascii="仿宋" w:hAnsi="仿宋" w:eastAsia="仿宋" w:cs="仿宋"/>
                <w:color w:val="auto"/>
                <w:sz w:val="24"/>
              </w:rPr>
            </w:pPr>
            <w:r>
              <w:rPr>
                <w:rFonts w:hint="eastAsia" w:ascii="仿宋" w:hAnsi="仿宋" w:eastAsia="仿宋" w:cs="仿宋"/>
                <w:color w:val="auto"/>
                <w:sz w:val="24"/>
              </w:rPr>
              <w:t>产品</w:t>
            </w:r>
          </w:p>
        </w:tc>
        <w:tc>
          <w:tcPr>
            <w:tcW w:w="4745" w:type="dxa"/>
          </w:tcPr>
          <w:p>
            <w:pPr>
              <w:rPr>
                <w:rFonts w:ascii="仿宋" w:hAnsi="仿宋" w:eastAsia="仿宋" w:cs="仿宋"/>
                <w:color w:val="auto"/>
                <w:sz w:val="24"/>
              </w:rPr>
            </w:pPr>
            <w:r>
              <w:rPr>
                <w:rFonts w:hint="eastAsia" w:ascii="仿宋" w:hAnsi="仿宋" w:eastAsia="仿宋" w:cs="仿宋"/>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1</w:t>
            </w:r>
          </w:p>
        </w:tc>
        <w:tc>
          <w:tcPr>
            <w:tcW w:w="3267" w:type="dxa"/>
          </w:tcPr>
          <w:p>
            <w:pPr>
              <w:rPr>
                <w:rFonts w:ascii="仿宋" w:hAnsi="仿宋" w:eastAsia="仿宋" w:cs="仿宋"/>
                <w:color w:val="auto"/>
                <w:sz w:val="24"/>
              </w:rPr>
            </w:pPr>
            <w:r>
              <w:rPr>
                <w:rFonts w:hint="eastAsia" w:ascii="仿宋" w:hAnsi="仿宋" w:eastAsia="仿宋" w:cs="仿宋"/>
                <w:color w:val="auto"/>
                <w:sz w:val="24"/>
              </w:rPr>
              <w:t>入侵防御</w:t>
            </w:r>
          </w:p>
        </w:tc>
        <w:tc>
          <w:tcPr>
            <w:tcW w:w="4745" w:type="dxa"/>
          </w:tcPr>
          <w:p>
            <w:pPr>
              <w:rPr>
                <w:rFonts w:ascii="仿宋" w:hAnsi="仿宋" w:eastAsia="仿宋" w:cs="仿宋"/>
                <w:color w:val="auto"/>
                <w:sz w:val="24"/>
              </w:rPr>
            </w:pPr>
            <w:r>
              <w:rPr>
                <w:rFonts w:hint="eastAsia" w:ascii="仿宋" w:hAnsi="仿宋" w:eastAsia="仿宋" w:cs="仿宋"/>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2</w:t>
            </w:r>
          </w:p>
        </w:tc>
        <w:tc>
          <w:tcPr>
            <w:tcW w:w="3267" w:type="dxa"/>
          </w:tcPr>
          <w:p>
            <w:pPr>
              <w:rPr>
                <w:rFonts w:ascii="仿宋" w:hAnsi="仿宋" w:eastAsia="仿宋" w:cs="仿宋"/>
                <w:color w:val="auto"/>
                <w:sz w:val="24"/>
              </w:rPr>
            </w:pPr>
            <w:r>
              <w:rPr>
                <w:rFonts w:hint="eastAsia" w:ascii="仿宋" w:hAnsi="仿宋" w:eastAsia="仿宋" w:cs="仿宋"/>
                <w:color w:val="auto"/>
                <w:sz w:val="24"/>
              </w:rPr>
              <w:t>防火墙1（核心产品）</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3</w:t>
            </w:r>
          </w:p>
        </w:tc>
        <w:tc>
          <w:tcPr>
            <w:tcW w:w="3267" w:type="dxa"/>
          </w:tcPr>
          <w:p>
            <w:pPr>
              <w:rPr>
                <w:rFonts w:ascii="仿宋" w:hAnsi="仿宋" w:eastAsia="仿宋" w:cs="仿宋"/>
                <w:color w:val="auto"/>
                <w:sz w:val="24"/>
              </w:rPr>
            </w:pPr>
            <w:r>
              <w:rPr>
                <w:rFonts w:hint="eastAsia" w:ascii="仿宋" w:hAnsi="仿宋" w:eastAsia="仿宋" w:cs="仿宋"/>
                <w:color w:val="auto"/>
                <w:sz w:val="24"/>
              </w:rPr>
              <w:t>防火墙2（核心产品）</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4</w:t>
            </w:r>
          </w:p>
        </w:tc>
        <w:tc>
          <w:tcPr>
            <w:tcW w:w="3267" w:type="dxa"/>
          </w:tcPr>
          <w:p>
            <w:pPr>
              <w:rPr>
                <w:rFonts w:ascii="仿宋" w:hAnsi="仿宋" w:eastAsia="仿宋" w:cs="仿宋"/>
                <w:color w:val="auto"/>
                <w:sz w:val="24"/>
              </w:rPr>
            </w:pPr>
            <w:r>
              <w:rPr>
                <w:rFonts w:hint="eastAsia" w:ascii="仿宋" w:hAnsi="仿宋" w:eastAsia="仿宋" w:cs="仿宋"/>
                <w:color w:val="auto"/>
                <w:sz w:val="24"/>
              </w:rPr>
              <w:t>隔离网闸</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5</w:t>
            </w:r>
          </w:p>
        </w:tc>
        <w:tc>
          <w:tcPr>
            <w:tcW w:w="3267" w:type="dxa"/>
          </w:tcPr>
          <w:p>
            <w:pPr>
              <w:rPr>
                <w:rFonts w:ascii="仿宋" w:hAnsi="仿宋" w:eastAsia="仿宋" w:cs="仿宋"/>
                <w:color w:val="auto"/>
                <w:sz w:val="24"/>
              </w:rPr>
            </w:pPr>
            <w:r>
              <w:rPr>
                <w:rFonts w:hint="eastAsia" w:ascii="仿宋" w:hAnsi="仿宋" w:eastAsia="仿宋" w:cs="仿宋"/>
                <w:color w:val="auto"/>
                <w:sz w:val="24"/>
              </w:rPr>
              <w:t>日志审计系统</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6</w:t>
            </w:r>
          </w:p>
        </w:tc>
        <w:tc>
          <w:tcPr>
            <w:tcW w:w="3267" w:type="dxa"/>
          </w:tcPr>
          <w:p>
            <w:pPr>
              <w:rPr>
                <w:rFonts w:ascii="仿宋" w:hAnsi="仿宋" w:eastAsia="仿宋" w:cs="仿宋"/>
                <w:color w:val="auto"/>
                <w:sz w:val="24"/>
              </w:rPr>
            </w:pPr>
            <w:r>
              <w:rPr>
                <w:rFonts w:hint="eastAsia" w:ascii="仿宋" w:hAnsi="仿宋" w:eastAsia="仿宋" w:cs="仿宋"/>
                <w:color w:val="auto"/>
                <w:sz w:val="24"/>
              </w:rPr>
              <w:t>漏洞扫描</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7</w:t>
            </w:r>
          </w:p>
        </w:tc>
        <w:tc>
          <w:tcPr>
            <w:tcW w:w="3267" w:type="dxa"/>
          </w:tcPr>
          <w:p>
            <w:pPr>
              <w:rPr>
                <w:rFonts w:ascii="仿宋" w:hAnsi="仿宋" w:eastAsia="仿宋" w:cs="仿宋"/>
                <w:color w:val="auto"/>
                <w:sz w:val="24"/>
              </w:rPr>
            </w:pPr>
            <w:r>
              <w:rPr>
                <w:rFonts w:hint="eastAsia" w:ascii="仿宋" w:hAnsi="仿宋" w:eastAsia="仿宋" w:cs="仿宋"/>
                <w:color w:val="auto"/>
                <w:sz w:val="24"/>
              </w:rPr>
              <w:t>堡垒机</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8</w:t>
            </w:r>
          </w:p>
        </w:tc>
        <w:tc>
          <w:tcPr>
            <w:tcW w:w="3267" w:type="dxa"/>
          </w:tcPr>
          <w:p>
            <w:pPr>
              <w:rPr>
                <w:rFonts w:ascii="仿宋" w:hAnsi="仿宋" w:eastAsia="仿宋" w:cs="仿宋"/>
                <w:color w:val="auto"/>
                <w:sz w:val="24"/>
              </w:rPr>
            </w:pPr>
            <w:r>
              <w:rPr>
                <w:rFonts w:hint="eastAsia" w:ascii="仿宋" w:hAnsi="仿宋" w:eastAsia="仿宋" w:cs="仿宋"/>
                <w:color w:val="auto"/>
                <w:sz w:val="24"/>
              </w:rPr>
              <w:t>数据库审计</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9</w:t>
            </w:r>
          </w:p>
        </w:tc>
        <w:tc>
          <w:tcPr>
            <w:tcW w:w="3267" w:type="dxa"/>
          </w:tcPr>
          <w:p>
            <w:pPr>
              <w:rPr>
                <w:rFonts w:ascii="仿宋" w:hAnsi="仿宋" w:eastAsia="仿宋" w:cs="仿宋"/>
                <w:color w:val="auto"/>
                <w:sz w:val="24"/>
              </w:rPr>
            </w:pPr>
            <w:r>
              <w:rPr>
                <w:rFonts w:hint="eastAsia" w:ascii="仿宋" w:hAnsi="仿宋" w:eastAsia="仿宋" w:cs="仿宋"/>
                <w:color w:val="auto"/>
                <w:sz w:val="24"/>
              </w:rPr>
              <w:t>核心交换机</w:t>
            </w:r>
          </w:p>
        </w:tc>
        <w:tc>
          <w:tcPr>
            <w:tcW w:w="4745" w:type="dxa"/>
          </w:tcPr>
          <w:p>
            <w:pPr>
              <w:rPr>
                <w:rFonts w:ascii="仿宋" w:hAnsi="仿宋" w:eastAsia="仿宋" w:cs="仿宋"/>
                <w:color w:val="auto"/>
                <w:sz w:val="24"/>
              </w:rPr>
            </w:pPr>
            <w:r>
              <w:rPr>
                <w:rFonts w:hint="eastAsia" w:ascii="仿宋" w:hAnsi="仿宋" w:eastAsia="仿宋" w:cs="仿宋"/>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10</w:t>
            </w:r>
          </w:p>
        </w:tc>
        <w:tc>
          <w:tcPr>
            <w:tcW w:w="3267" w:type="dxa"/>
          </w:tcPr>
          <w:p>
            <w:pPr>
              <w:rPr>
                <w:rFonts w:ascii="仿宋" w:hAnsi="仿宋" w:eastAsia="仿宋" w:cs="仿宋"/>
                <w:color w:val="auto"/>
                <w:sz w:val="24"/>
              </w:rPr>
            </w:pPr>
            <w:r>
              <w:rPr>
                <w:rFonts w:hint="eastAsia" w:ascii="仿宋" w:hAnsi="仿宋" w:eastAsia="仿宋" w:cs="仿宋"/>
                <w:color w:val="auto"/>
                <w:sz w:val="24"/>
              </w:rPr>
              <w:t>48口接入交换机</w:t>
            </w:r>
          </w:p>
        </w:tc>
        <w:tc>
          <w:tcPr>
            <w:tcW w:w="4745" w:type="dxa"/>
          </w:tcPr>
          <w:p>
            <w:pPr>
              <w:rPr>
                <w:rFonts w:ascii="仿宋" w:hAnsi="仿宋" w:eastAsia="仿宋" w:cs="仿宋"/>
                <w:color w:val="auto"/>
                <w:sz w:val="24"/>
              </w:rPr>
            </w:pPr>
            <w:r>
              <w:rPr>
                <w:rFonts w:hint="eastAsia" w:ascii="仿宋" w:hAnsi="仿宋" w:eastAsia="仿宋" w:cs="仿宋"/>
                <w:color w:val="auto"/>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6" w:type="dxa"/>
          </w:tcPr>
          <w:p>
            <w:pPr>
              <w:rPr>
                <w:rFonts w:ascii="仿宋" w:hAnsi="仿宋" w:eastAsia="仿宋" w:cs="仿宋"/>
                <w:color w:val="auto"/>
                <w:sz w:val="24"/>
              </w:rPr>
            </w:pPr>
            <w:r>
              <w:rPr>
                <w:rFonts w:hint="eastAsia" w:ascii="仿宋" w:hAnsi="仿宋" w:eastAsia="仿宋" w:cs="仿宋"/>
                <w:color w:val="auto"/>
                <w:sz w:val="24"/>
              </w:rPr>
              <w:t>11</w:t>
            </w:r>
          </w:p>
        </w:tc>
        <w:tc>
          <w:tcPr>
            <w:tcW w:w="3267" w:type="dxa"/>
          </w:tcPr>
          <w:p>
            <w:pPr>
              <w:rPr>
                <w:rFonts w:ascii="仿宋" w:hAnsi="仿宋" w:eastAsia="仿宋" w:cs="仿宋"/>
                <w:color w:val="auto"/>
                <w:sz w:val="24"/>
              </w:rPr>
            </w:pPr>
            <w:r>
              <w:rPr>
                <w:rFonts w:hint="eastAsia" w:ascii="仿宋" w:hAnsi="仿宋" w:eastAsia="仿宋" w:cs="仿宋"/>
                <w:color w:val="auto"/>
                <w:sz w:val="24"/>
              </w:rPr>
              <w:t>网管及准入控制软件及集成服务</w:t>
            </w:r>
          </w:p>
        </w:tc>
        <w:tc>
          <w:tcPr>
            <w:tcW w:w="4745" w:type="dxa"/>
          </w:tcPr>
          <w:p>
            <w:pPr>
              <w:rPr>
                <w:rFonts w:ascii="仿宋" w:hAnsi="仿宋" w:eastAsia="仿宋" w:cs="仿宋"/>
                <w:color w:val="auto"/>
                <w:sz w:val="24"/>
              </w:rPr>
            </w:pPr>
            <w:r>
              <w:rPr>
                <w:rFonts w:hint="eastAsia" w:ascii="仿宋" w:hAnsi="仿宋" w:eastAsia="仿宋" w:cs="仿宋"/>
                <w:color w:val="auto"/>
                <w:sz w:val="24"/>
              </w:rPr>
              <w:t>1</w:t>
            </w:r>
          </w:p>
        </w:tc>
      </w:tr>
      <w:bookmarkEnd w:id="8"/>
      <w:bookmarkEnd w:id="9"/>
      <w:bookmarkEnd w:id="10"/>
      <w:bookmarkEnd w:id="11"/>
    </w:tbl>
    <w:p>
      <w:pPr>
        <w:pStyle w:val="2"/>
        <w:ind w:firstLine="0" w:firstLineChars="0"/>
        <w:jc w:val="center"/>
        <w:rPr>
          <w:rFonts w:ascii="Times New Roman" w:hAnsi="Times New Roman" w:eastAsia="宋体" w:cs="Times New Roman"/>
          <w:color w:val="auto"/>
          <w:szCs w:val="24"/>
        </w:rPr>
      </w:pPr>
      <w:r>
        <w:rPr>
          <w:rFonts w:hint="eastAsia" w:ascii="仿宋" w:hAnsi="仿宋" w:eastAsia="仿宋" w:cs="仿宋"/>
          <w:b/>
          <w:bCs/>
          <w:color w:val="auto"/>
          <w:sz w:val="28"/>
          <w:szCs w:val="28"/>
        </w:rPr>
        <w:t>（一）货物需求一览表</w:t>
      </w:r>
    </w:p>
    <w:p>
      <w:pPr>
        <w:pStyle w:val="3"/>
        <w:rPr>
          <w:rFonts w:ascii="仿宋" w:hAnsi="仿宋" w:eastAsia="仿宋"/>
          <w:b/>
          <w:color w:val="auto"/>
          <w:sz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（二）</w:t>
      </w:r>
      <w:r>
        <w:rPr>
          <w:rFonts w:hint="eastAsia" w:ascii="仿宋" w:hAnsi="仿宋" w:eastAsia="仿宋" w:cs="仿宋"/>
          <w:b/>
          <w:bCs/>
          <w:color w:val="auto"/>
          <w:kern w:val="0"/>
          <w:sz w:val="28"/>
          <w:szCs w:val="28"/>
        </w:rPr>
        <w:t>网络、安全设备明细清单及要求</w:t>
      </w:r>
    </w:p>
    <w:p>
      <w:pPr>
        <w:pStyle w:val="327"/>
        <w:spacing w:line="360" w:lineRule="auto"/>
        <w:jc w:val="center"/>
        <w:rPr>
          <w:rFonts w:ascii="仿宋" w:hAnsi="仿宋" w:eastAsia="仿宋"/>
          <w:b/>
          <w:color w:val="auto"/>
          <w:sz w:val="32"/>
          <w:szCs w:val="32"/>
        </w:rPr>
      </w:pPr>
    </w:p>
    <w:tbl>
      <w:tblPr>
        <w:tblStyle w:val="59"/>
        <w:tblW w:w="10600" w:type="dxa"/>
        <w:tblInd w:w="-344" w:type="dxa"/>
        <w:tblLayout w:type="fixed"/>
        <w:tblCellMar>
          <w:top w:w="0" w:type="dxa"/>
          <w:left w:w="108" w:type="dxa"/>
          <w:bottom w:w="0" w:type="dxa"/>
          <w:right w:w="108" w:type="dxa"/>
        </w:tblCellMar>
      </w:tblPr>
      <w:tblGrid>
        <w:gridCol w:w="518"/>
        <w:gridCol w:w="824"/>
        <w:gridCol w:w="7632"/>
        <w:gridCol w:w="662"/>
        <w:gridCol w:w="459"/>
        <w:gridCol w:w="505"/>
      </w:tblGrid>
      <w:tr>
        <w:tblPrEx>
          <w:tblCellMar>
            <w:top w:w="0" w:type="dxa"/>
            <w:left w:w="108" w:type="dxa"/>
            <w:bottom w:w="0" w:type="dxa"/>
            <w:right w:w="108" w:type="dxa"/>
          </w:tblCellMar>
        </w:tblPrEx>
        <w:trPr>
          <w:trHeight w:val="288" w:hRule="atLeast"/>
        </w:trPr>
        <w:tc>
          <w:tcPr>
            <w:tcW w:w="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设备名称</w:t>
            </w:r>
          </w:p>
        </w:tc>
        <w:tc>
          <w:tcPr>
            <w:tcW w:w="7632"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规格</w:t>
            </w:r>
          </w:p>
        </w:tc>
        <w:tc>
          <w:tcPr>
            <w:tcW w:w="662" w:type="dxa"/>
            <w:tcBorders>
              <w:top w:val="single" w:color="auto" w:sz="4" w:space="0"/>
              <w:left w:val="nil"/>
              <w:bottom w:val="single" w:color="auto" w:sz="4" w:space="0"/>
              <w:right w:val="single" w:color="auto" w:sz="4" w:space="0"/>
            </w:tcBorders>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单位</w:t>
            </w:r>
          </w:p>
        </w:tc>
        <w:tc>
          <w:tcPr>
            <w:tcW w:w="459" w:type="dxa"/>
            <w:tcBorders>
              <w:top w:val="single" w:color="auto" w:sz="4" w:space="0"/>
              <w:left w:val="nil"/>
              <w:bottom w:val="single" w:color="auto" w:sz="4" w:space="0"/>
              <w:right w:val="single" w:color="auto" w:sz="4" w:space="0"/>
            </w:tcBorders>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数量</w:t>
            </w:r>
          </w:p>
        </w:tc>
        <w:tc>
          <w:tcPr>
            <w:tcW w:w="505" w:type="dxa"/>
            <w:tcBorders>
              <w:top w:val="single" w:color="auto" w:sz="4" w:space="0"/>
              <w:left w:val="nil"/>
              <w:bottom w:val="single" w:color="auto" w:sz="4" w:space="0"/>
              <w:right w:val="single" w:color="auto" w:sz="4" w:space="0"/>
            </w:tcBorders>
          </w:tcPr>
          <w:p>
            <w:pPr>
              <w:widowControl/>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备注</w:t>
            </w:r>
          </w:p>
        </w:tc>
      </w:tr>
      <w:tr>
        <w:tblPrEx>
          <w:tblCellMar>
            <w:top w:w="0" w:type="dxa"/>
            <w:left w:w="108" w:type="dxa"/>
            <w:bottom w:w="0" w:type="dxa"/>
            <w:right w:w="108" w:type="dxa"/>
          </w:tblCellMar>
        </w:tblPrEx>
        <w:trPr>
          <w:trHeight w:val="3456"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入侵防御</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1.1、采用非X86多核架构，冗余电源支持热插拔，2U的独立盒式设备，具备独立的攻击检测引擎与病毒检测引擎</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1.2、应用层吞吐量≥6G，并发连接数≥250万，新建连接数≥5万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★1.3、千兆电口≥10个，Combo口≥2个，千兆光口≥6个，万兆光口≥2个，接口扩展槽位≥2。（提供设备外观并加盖厂商项目章）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1.4、配置千兆单模光模块≥4个，≥1T SATA HDD硬盘，交流电源模块≥2个，IPS特性库升级授权≥3年；</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1.5、提供基于用户名（或用户IP地址）实现对用户行为统一分析界面，采用饼状图对访问应用流量、网站访问集中分析展示，包含基于时间轴的访问行为轨迹(应用账号、行为内容等)，关联账号（微信、QQ）等相关用户行为审计内容</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1.6、能够防范DOS/DDOS攻击： Land、Smurf、Fraggle、WinNuke、Ping of Death、Tear Drop、IP Spoofing、SYN Flood、ICMP Flood、UDP Flood、SIP Flood、DNS reply Flood、HTTP Flood（cc）攻击、HTTP慢速攻击检测、ARP欺骗、TCP报文标志位不合法、超大ICMP报文、地址扫描的防范、端口扫描的防范、DNS Flood、ACK Flood、FIN Flood、分片Flood、Tiny-Fragment</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1.7、提供原厂质保≥3年（提供原厂质保承诺书并加盖厂商项目章）；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1.8、为保证投标产品的厂商在安全漏洞方面整体研究水平及安全漏洞及时预防能力，产品生产厂商须进入国家信息安全漏洞共享平台（CNVD）技术组成员，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3</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983"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防火墙1（核心产品）</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2.1、采用非X86多核架构，应用层吞吐量≥3Gbps，网络层吞吐量≥8Gbps，最大并发连接数≥300万，每秒新建连接数≥6万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★2.2、千兆电口≥10个，Combo口≥2个，千兆光口≥6个，万兆光口≥2个，USB接口≥2个，接口扩展槽位≥2，交流电源模块≥2个（提供设备外观并加盖厂商项目章）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2.3、配置万兆多模模块≥12个，千兆单模光模块≥4个，≥1T SATA HDD硬盘，AV防病毒特性库升级授权≥3年</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2.4、支持路由模式、透明（网桥）模式、混合模式；支持静态路由、策略路由、RIP、OSPF、BGP等路由协议</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2.5、支持策略风险调优，支持安全策略优化分析，支持策略数冗余及命中分析，支持基于应用风险的策略调优，可根据流量、应用、风险类型等细粒度展示，并给出总体安全评分，便于用户更好的管理安全策略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2.6、提供原厂质保≥3年（提供原厂质保承诺书并加盖厂商项目章）；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2.7、所投产品具备公安部监制的计算机信息系统安全专用产品销售许可证，所投产品具备国家版权局颁发的《计算机软件著作权登记证书》（投标文件中须提供证书复印件并加盖厂商项目章）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1125"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防火墙2（核心产品）</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3.1、要求采用非X86多核架构，应用层吞吐量≥4Gbps，网络层吞吐量≥12Gbps，最大并发连接数≥300万，每秒新建连接数≥8万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★3.2、千兆电口≥10个，Combo口≥2个，千兆光口≥6个，万兆光口≥2个，USB接口≥2个，接口扩展槽位≥2，交流电源模块≥2个（提供设备外观并加盖厂商项目章）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3.3、配置：千兆单模光模块≥4个，AV防病毒特性库升级授权≥3年，URL、应用识别特征库升级≥3年，SSL VPN ≥15个并发（用户）；</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3.4、实现路由模式、透明（网桥）模式、混合模式；实现静态路由、策略路由、RIP、OSPF、BGP等路由协议</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3.5、支持策略风险调优，支持安全策略优化分析，支持策略数冗余及命中分析，支持基于应用风险的策略调优，可根据流量、应用、风险类型等细粒度展示，并给出总体安全评分，便于用户更好的管理安全策略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3.6、提供原厂质保≥3年（提供原厂质保承诺书并加盖厂商项目章）；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3.7、所投产品具备公安部监制的计算机信息系统安全专用产品销售许可证，所投产品具备国家版权局颁发的《计算机软件著作权登记证书》（投标文件中须提供证书复印件并加盖厂商项目章）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983"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隔离网闸</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4.1、要求采用专用传输隔离部件完全自主开发且外部无法编程控制，管理和审计采用B/S结构；</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4.2、网络吞吐量：≥690Mbps</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4.3、内网≥6个10/100/1000M RJ45接口，≥2个USB口，≥2个千兆光；外网≥6个10/100/1000M RJ45接口，≥2个USB口，≥2个千兆光；</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4.4、配置千兆单模光模块≥4个</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4.5、访问控制对象：源地址、目标地址、目的端目、域名、URL、访问方式等</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4.6、对FTP传输协议的指令进行过滤，对FTP传输文件的关键字进行过滤</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4.7、提供对多种主流数据库（SQL、ORACLE、DB2、SYBASE等）数据库系统的安全访问</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4.8、 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4.9、所投产品具备公安部监制的计算机信息系统安全专用产品销售许可证，所投产品具备国家版权局颁发的《计算机软件著作权登记证书》（投标文件中须提供证书复印件并加盖厂商项目章）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2304"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824"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日志审计系统</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5.1、1U标准机架设备，多核多线程CPU，内存≥8G，存储≥2T，千兆电口≥6个，扩展槽≥1个 </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5.2、日志处理速率≥2000EPS，日志容量≥6亿条</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5.3、配置审计设备授权≥60个</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5.4、采集内容支持日志监控、文件监控（文件监控无需开启ftp、sftp协议）、网络包监控</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5.5、支持市面主流安全设备、网络设备、中间件、服务器、数据库、操作系统等设备对象的日志数据采集；支持主动、被动相结合的数据采集方式；支持日志转发；支持Syslog、SNMP、JDBC、WMI、FTP、文件等进行数据采集；支持通过Agent采集日志数据</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5.6、提供原厂质保≥3年（提供原厂质保承诺书并加盖厂商项目章）；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5.7、所投产品具备公安部监制的计算机信息系统安全专用产品销售许可证，所投产品具备国家版权局颁发的《计算机软件著作权登记证书》（投标文件中须提供证书复印件并加盖厂商项目章）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841"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6</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漏洞扫描</w:t>
            </w:r>
            <w:r>
              <w:rPr>
                <w:rFonts w:hint="eastAsia" w:ascii="仿宋" w:hAnsi="仿宋" w:eastAsia="仿宋" w:cs="仿宋"/>
                <w:color w:val="auto"/>
                <w:kern w:val="0"/>
                <w:sz w:val="24"/>
              </w:rPr>
              <w:br w:type="textWrapping"/>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6.1、1U高机架式硬件架构，内存≥8G，以太网千兆电口≥6个，扩展槽位≥1个， </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6.2、配置IP地址授权≥512个，电源≥2个，≥1T硬盘；</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6.3、能够提供系统扫描、数据库扫描、基线配置核查、弱口令扫描三大功能模块，具备独立的任务界面；可扩展WEB扫描、基线配置核查功能</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6.4、支持主流数据库漏洞的检测，应包括但不限于：Oralce、Sybase、SQLServer、DB2、MySQL、Postgres、Informix、达梦、南大通用、人大金仓、神通等</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6.5、提供原厂质保≥3年（提供原厂质保承诺书并加盖厂商项目章）；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6.6、所投产品具备公安部监制的计算机信息系统安全专用产品销售许可证，所投产品具备国家版权局颁发的《计算机软件著作权登记证书》，所投产品具备《网络产品IPv6支持检测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1691"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7</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堡垒机</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7.1、1U高机架式硬件架构，内存≥8GB，以太网千兆电口≥6个，接口扩展槽位≥1个</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7.2、最大图形并发连接数≥50个，最大字符并发连接数≥200个，资产的管理能力≥100；</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7.3、配置电源≥2个，≥1T硬盘；</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7.4、支持Chrome、Firefox、IE、Safrai等主流浏览器，产品应用不依赖JAVA及Flash</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7.5、支持使用Windows Server 2008、2012、2016及2019操作系统作为应用发布服务器</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7.6、支持图形化操作智能审计，可在审计回放界面上，同步显示关键的键盘操作、标题栏操作、剪贴板操作等文字信息，并能在点击任意文字信息，可直接定位到相关画面</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7.7、提供原厂质保≥3年（提供原厂质保承诺书并加盖厂商项目章）；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★7.8、所投产品具备公安部监制的计算机信息系统安全专用产品销售许可证，所投产品具备国家版权局颁发的《计算机软件著作权登记证书》，所投产品具备全球IPv6测试中心颁发的《IPv6 Ready Core Protocols Logo（Phase-2）认证》，（投标文件中须提供证书复印件并加盖厂商项目章）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558"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8</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数据库审计</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8.1、1U高机架式硬件架构，内存≥4G，管理接口≥2个，以太网千兆电口≥4个，支持接口扩展槽位≥1个 </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8.2、审计数据库实例个数≥2，每业务挂载数据库数量不限</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8.3、配置电源≥2个，≥2T硬盘，交流电源模块≥2个；</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8.4、支持对以下内容实现完全审计，包括超长语句、注释内容、多嵌套语句、绑定变量、RPC等</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8.5、支持对医院的HIS、LIS、EMR、PACS等信息资产全方位监控，对患者就诊信息的篡改、敏感患者就诊信息非法调阅进行追踪告警</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8.6、支持医生处方查询分析，可依据时间、帐号、次数进行topN查询分析，结果以表格及分布趋势图展示，并支持三个月的统计对比分析</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8.7、提供原厂质保≥3年（提供原厂质保承诺书并加盖厂商项目章）；</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8.8、所投产品具备公安部监制的计算机信息系统安全专用产品销售许可证，所投产品具备国家版权局颁发的《计算机软件著作权登记证书》（投标文件中须提供证书复印件并加盖厂商项目章）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1728"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9</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核心交换机</w:t>
            </w:r>
          </w:p>
        </w:tc>
        <w:tc>
          <w:tcPr>
            <w:tcW w:w="7632" w:type="dxa"/>
            <w:tcBorders>
              <w:top w:val="nil"/>
              <w:left w:val="nil"/>
              <w:bottom w:val="single" w:color="auto" w:sz="4" w:space="0"/>
              <w:right w:val="single" w:color="auto" w:sz="4" w:space="0"/>
            </w:tcBorders>
            <w:shd w:val="clear" w:color="auto" w:fill="auto"/>
            <w:vAlign w:val="bottom"/>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9.1、交换容量≥75Tbps；包转发率≥8600Mpps；主控引擎模块≥2，满足1+1冗余，倒换时间为0ms。业务槽位数≥6；主控交换卡、电源、接口模块、风扇、业务板关键部件可热插拔；</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9.2、配置：双主控、双电源，千兆电口≥48个，千兆光口≥40个，万兆光口≥20个，万兆多模光模块≥16个，千兆单模光模块≥30个，5米万兆高速电缆≥1根；</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9.3、能够实现通过图形化界面设备配置及命令一键下发和版本智能升级；</w:t>
            </w:r>
          </w:p>
          <w:p>
            <w:pPr>
              <w:pStyle w:val="2"/>
              <w:spacing w:after="0" w:line="36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9.4、支持4K VLAN，支持1：1，N：1 VLAN mapping，支持端口VLAN，协议VLAN，IP子网VLAN</w:t>
            </w:r>
          </w:p>
          <w:p>
            <w:pPr>
              <w:pStyle w:val="2"/>
              <w:spacing w:after="0" w:line="36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9.5、支持静态路由、RIP、RIPng、OSPF、OSPFv3、BGP、BGP4+、ISIS、ISISv6</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9.6、支持链路聚合，聚合组数≥1023组，每组成员≥32个</w:t>
            </w:r>
          </w:p>
          <w:p>
            <w:pPr>
              <w:pStyle w:val="2"/>
              <w:spacing w:after="0" w:line="36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9.7、支持DHCP Server，DHCP Relay等功能</w:t>
            </w:r>
          </w:p>
          <w:p>
            <w:pPr>
              <w:pStyle w:val="2"/>
              <w:spacing w:after="0" w:line="36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9.8、多虚一技术(N:1)，支持4框虚拟化技术</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9.9、支持SNMP V1/V2/V3、Telnet、RMON、SSHV2</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9.10、要求提供原厂质保≥3年（提供原厂质保承诺书并加盖厂商项目章）；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2</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864" w:hRule="atLeast"/>
        </w:trPr>
        <w:tc>
          <w:tcPr>
            <w:tcW w:w="518"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10</w:t>
            </w:r>
          </w:p>
        </w:tc>
        <w:tc>
          <w:tcPr>
            <w:tcW w:w="824" w:type="dxa"/>
            <w:tcBorders>
              <w:top w:val="nil"/>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48口接入交换机</w:t>
            </w:r>
          </w:p>
        </w:tc>
        <w:tc>
          <w:tcPr>
            <w:tcW w:w="7632" w:type="dxa"/>
            <w:tcBorders>
              <w:top w:val="nil"/>
              <w:left w:val="nil"/>
              <w:bottom w:val="single" w:color="auto" w:sz="4" w:space="0"/>
              <w:right w:val="single" w:color="auto" w:sz="4" w:space="0"/>
            </w:tcBorders>
            <w:shd w:val="clear" w:color="auto" w:fill="auto"/>
            <w:vAlign w:val="bottom"/>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10.1、性能指标：交换容量：≥430Gbps，包转发率：≥85Mpps；</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xml:space="preserve">10.2、端口形态：千兆电口≥48个，千兆光口≥4个；配置千兆单模光模块≥2个； </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10.3、支持基于端口的VLAN，支持基于协议的VLAN；支持基于MAC的VLAN，支持IPv4静态路由、RIP、OSPF（提供官网截图并加盖厂商项目章）；</w:t>
            </w:r>
          </w:p>
          <w:p>
            <w:pPr>
              <w:pStyle w:val="2"/>
              <w:spacing w:after="0" w:line="36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10.4、要求所投产品与核心交换机为同一品牌，以确保更好的兼容性与运维简便性</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10.5、提供原厂质保≥3年（提供原厂质保承诺书并加盖厂商项目章）；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台</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13</w:t>
            </w:r>
          </w:p>
        </w:tc>
        <w:tc>
          <w:tcPr>
            <w:tcW w:w="505" w:type="dxa"/>
            <w:tcBorders>
              <w:top w:val="nil"/>
              <w:left w:val="nil"/>
              <w:bottom w:val="single" w:color="auto" w:sz="4" w:space="0"/>
              <w:right w:val="single" w:color="auto" w:sz="4" w:space="0"/>
            </w:tcBorders>
          </w:tcPr>
          <w:p>
            <w:pPr>
              <w:widowControl/>
              <w:spacing w:line="360" w:lineRule="exact"/>
              <w:jc w:val="left"/>
              <w:rPr>
                <w:rFonts w:ascii="仿宋" w:hAnsi="仿宋" w:eastAsia="仿宋" w:cs="仿宋"/>
                <w:color w:val="auto"/>
                <w:kern w:val="0"/>
                <w:sz w:val="24"/>
              </w:rPr>
            </w:pPr>
          </w:p>
        </w:tc>
      </w:tr>
      <w:tr>
        <w:tblPrEx>
          <w:tblCellMar>
            <w:top w:w="0" w:type="dxa"/>
            <w:left w:w="108" w:type="dxa"/>
            <w:bottom w:w="0" w:type="dxa"/>
            <w:right w:w="108" w:type="dxa"/>
          </w:tblCellMar>
        </w:tblPrEx>
        <w:trPr>
          <w:trHeight w:val="2592" w:hRule="atLeast"/>
        </w:trPr>
        <w:tc>
          <w:tcPr>
            <w:tcW w:w="51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8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网管及准入控制软件及集成服务</w:t>
            </w:r>
          </w:p>
        </w:tc>
        <w:tc>
          <w:tcPr>
            <w:tcW w:w="7632" w:type="dxa"/>
            <w:tcBorders>
              <w:top w:val="nil"/>
              <w:left w:val="nil"/>
              <w:bottom w:val="single" w:color="auto" w:sz="4" w:space="0"/>
              <w:right w:val="single" w:color="auto" w:sz="4" w:space="0"/>
            </w:tcBorders>
            <w:shd w:val="clear" w:color="auto" w:fill="auto"/>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11.1、要求资源拓扑、告警、性能等功能模块支持多服务器分布式虚拟化部署，可实现负载分担，满足大规模网络环境的统一管理。单套软件可管理的节点数可达15000个</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11.2、自动发现网络中的所有网络设备，并在拓扑中显示出来，支持拓扑图自定义修改，包括设备、链路等</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11.3、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11.4、支持基于不同的端口组、WLAN SSID、终端类型（PC、PAD、手机等）推出不同的认证页面；支持IPV6纯Portal认证以及NAT环境下的Portal认证</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11.5、配置：网络管理软件授权≥100点，终端准入控制软件授权≥500点；</w:t>
            </w:r>
          </w:p>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11.6、提供原厂软件支持服务≥3年（提供原厂质保承诺书并加盖厂商项目章）。</w:t>
            </w:r>
          </w:p>
        </w:tc>
        <w:tc>
          <w:tcPr>
            <w:tcW w:w="662"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套</w:t>
            </w:r>
          </w:p>
        </w:tc>
        <w:tc>
          <w:tcPr>
            <w:tcW w:w="459"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1</w:t>
            </w:r>
          </w:p>
        </w:tc>
        <w:tc>
          <w:tcPr>
            <w:tcW w:w="505" w:type="dxa"/>
            <w:tcBorders>
              <w:top w:val="nil"/>
              <w:left w:val="nil"/>
              <w:bottom w:val="single" w:color="auto" w:sz="4" w:space="0"/>
              <w:right w:val="single" w:color="auto" w:sz="4" w:space="0"/>
            </w:tcBorders>
            <w:vAlign w:val="center"/>
          </w:tcPr>
          <w:p>
            <w:pPr>
              <w:widowControl/>
              <w:spacing w:line="360" w:lineRule="exact"/>
              <w:jc w:val="left"/>
              <w:rPr>
                <w:rFonts w:ascii="仿宋" w:hAnsi="仿宋" w:eastAsia="仿宋" w:cs="仿宋"/>
                <w:color w:val="auto"/>
                <w:kern w:val="0"/>
                <w:sz w:val="24"/>
              </w:rPr>
            </w:pPr>
          </w:p>
        </w:tc>
      </w:tr>
    </w:tbl>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注：1、对上述采购需求中标注★号的条款、要求提供截图、外观证明、证书、附图、证明（或相应证明）资料等各类证明资料的技术条款，应在“备注”栏说明证明资料在《投标文件》的具体页码，否则，视为负偏离。</w:t>
      </w:r>
    </w:p>
    <w:p>
      <w:pPr>
        <w:pStyle w:val="735"/>
        <w:spacing w:line="400" w:lineRule="exact"/>
        <w:ind w:firstLine="482" w:firstLineChars="200"/>
        <w:rPr>
          <w:rFonts w:ascii="仿宋" w:hAnsi="仿宋" w:eastAsia="仿宋"/>
          <w:b/>
          <w:color w:val="auto"/>
          <w:sz w:val="24"/>
          <w:szCs w:val="24"/>
        </w:rPr>
      </w:pPr>
      <w:r>
        <w:rPr>
          <w:rFonts w:hint="eastAsia" w:ascii="仿宋" w:hAnsi="仿宋" w:eastAsia="仿宋"/>
          <w:b/>
          <w:color w:val="auto"/>
          <w:sz w:val="24"/>
          <w:szCs w:val="24"/>
        </w:rPr>
        <w:t>2、中标方提供给采购方的合同货物及服务的技术规范应与其投标文件中《技术及服务条款偏离表》相一致。全部货到甲方指定地点，逐项验收时如出现</w:t>
      </w:r>
      <w:r>
        <w:rPr>
          <w:rFonts w:ascii="仿宋" w:hAnsi="仿宋" w:eastAsia="仿宋"/>
          <w:b/>
          <w:color w:val="auto"/>
          <w:sz w:val="24"/>
          <w:szCs w:val="24"/>
        </w:rPr>
        <w:t>≥</w:t>
      </w:r>
      <w:r>
        <w:rPr>
          <w:rFonts w:hint="eastAsia" w:ascii="仿宋" w:hAnsi="仿宋" w:eastAsia="仿宋"/>
          <w:b/>
          <w:color w:val="auto"/>
          <w:sz w:val="24"/>
          <w:szCs w:val="24"/>
        </w:rPr>
        <w:t>2项条款不一致或不符，则验收不合格，并将依据合同专用条款第十八项第1.1款，认定乙方根本违约而解除合同。</w:t>
      </w:r>
    </w:p>
    <w:p>
      <w:pPr>
        <w:shd w:val="clear" w:color="auto" w:fill="FFFFFF"/>
        <w:spacing w:line="440" w:lineRule="exact"/>
        <w:ind w:firstLine="482" w:firstLineChars="200"/>
        <w:rPr>
          <w:rFonts w:ascii="仿宋" w:hAnsi="仿宋" w:eastAsia="仿宋"/>
          <w:b/>
          <w:color w:val="auto"/>
          <w:kern w:val="0"/>
          <w:sz w:val="24"/>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p>
    <w:p>
      <w:pPr>
        <w:pStyle w:val="327"/>
        <w:spacing w:line="360" w:lineRule="auto"/>
        <w:rPr>
          <w:rFonts w:ascii="仿宋" w:hAnsi="仿宋" w:eastAsia="仿宋"/>
          <w:b/>
          <w:color w:val="auto"/>
          <w:sz w:val="32"/>
          <w:szCs w:val="32"/>
        </w:rPr>
      </w:pPr>
    </w:p>
    <w:p>
      <w:pPr>
        <w:pStyle w:val="327"/>
        <w:spacing w:line="360" w:lineRule="auto"/>
        <w:rPr>
          <w:rFonts w:ascii="仿宋" w:hAnsi="仿宋" w:eastAsia="仿宋"/>
          <w:b/>
          <w:color w:val="auto"/>
          <w:sz w:val="32"/>
          <w:szCs w:val="32"/>
        </w:rPr>
      </w:pPr>
    </w:p>
    <w:p>
      <w:pPr>
        <w:pStyle w:val="327"/>
        <w:spacing w:line="360" w:lineRule="auto"/>
        <w:jc w:val="center"/>
        <w:rPr>
          <w:rFonts w:ascii="仿宋" w:hAnsi="仿宋" w:eastAsia="仿宋"/>
          <w:b/>
          <w:color w:val="auto"/>
          <w:sz w:val="32"/>
          <w:szCs w:val="32"/>
        </w:rPr>
      </w:pPr>
      <w:r>
        <w:rPr>
          <w:rFonts w:hint="eastAsia" w:ascii="仿宋" w:hAnsi="仿宋" w:eastAsia="仿宋"/>
          <w:b/>
          <w:color w:val="auto"/>
          <w:sz w:val="32"/>
          <w:szCs w:val="32"/>
        </w:rPr>
        <w:t>第五章  投标文件格式</w:t>
      </w:r>
    </w:p>
    <w:p>
      <w:pPr>
        <w:pStyle w:val="327"/>
        <w:spacing w:line="360" w:lineRule="auto"/>
        <w:jc w:val="center"/>
        <w:rPr>
          <w:rFonts w:ascii="仿宋" w:hAnsi="仿宋" w:eastAsia="仿宋"/>
          <w:b/>
          <w:color w:val="auto"/>
          <w:szCs w:val="24"/>
        </w:rPr>
      </w:pPr>
    </w:p>
    <w:p>
      <w:pPr>
        <w:pStyle w:val="327"/>
        <w:spacing w:line="360" w:lineRule="auto"/>
        <w:jc w:val="center"/>
        <w:rPr>
          <w:rFonts w:ascii="仿宋" w:hAnsi="仿宋" w:eastAsia="仿宋"/>
          <w:b/>
          <w:color w:val="auto"/>
          <w:sz w:val="72"/>
        </w:rPr>
      </w:pPr>
    </w:p>
    <w:p>
      <w:pPr>
        <w:pStyle w:val="327"/>
        <w:spacing w:line="360" w:lineRule="auto"/>
        <w:jc w:val="center"/>
        <w:rPr>
          <w:rFonts w:ascii="仿宋" w:hAnsi="仿宋" w:eastAsia="仿宋"/>
          <w:b/>
          <w:color w:val="auto"/>
          <w:sz w:val="72"/>
        </w:rPr>
      </w:pPr>
    </w:p>
    <w:p>
      <w:pPr>
        <w:ind w:firstLine="560"/>
        <w:rPr>
          <w:rFonts w:ascii="仿宋" w:hAnsi="仿宋" w:eastAsia="仿宋"/>
          <w:color w:val="auto"/>
          <w:sz w:val="28"/>
        </w:rPr>
      </w:pPr>
    </w:p>
    <w:p>
      <w:pPr>
        <w:widowControl/>
        <w:jc w:val="left"/>
        <w:rPr>
          <w:rFonts w:ascii="仿宋" w:hAnsi="仿宋" w:eastAsia="仿宋"/>
          <w:color w:val="auto"/>
          <w:sz w:val="24"/>
        </w:rPr>
      </w:pPr>
      <w:r>
        <w:rPr>
          <w:rFonts w:ascii="仿宋" w:hAnsi="仿宋" w:eastAsia="仿宋"/>
          <w:b/>
          <w:color w:val="auto"/>
          <w:sz w:val="28"/>
          <w:szCs w:val="28"/>
        </w:rPr>
        <w:br w:type="page"/>
      </w:r>
      <w:r>
        <w:rPr>
          <w:rFonts w:hint="eastAsia" w:ascii="仿宋" w:hAnsi="仿宋" w:eastAsia="仿宋"/>
          <w:b/>
          <w:bCs/>
          <w:color w:val="auto"/>
          <w:kern w:val="0"/>
          <w:sz w:val="24"/>
        </w:rPr>
        <w:t>附件一 供应商营业执照或其他组织资格证书（扫描件）</w:t>
      </w: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shd w:val="clear" w:color="auto" w:fill="FFFFFF"/>
        <w:spacing w:line="440" w:lineRule="exact"/>
        <w:rPr>
          <w:rFonts w:ascii="仿宋" w:hAnsi="仿宋" w:eastAsia="仿宋"/>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法定代表人（或负责人）资格证明书</w:t>
      </w:r>
    </w:p>
    <w:p>
      <w:pPr>
        <w:shd w:val="clear" w:color="auto" w:fill="FFFFFF"/>
        <w:spacing w:line="440" w:lineRule="exact"/>
        <w:rPr>
          <w:rFonts w:ascii="仿宋" w:hAnsi="仿宋" w:eastAsia="仿宋"/>
          <w:color w:val="auto"/>
          <w:sz w:val="24"/>
        </w:rPr>
      </w:pPr>
    </w:p>
    <w:p>
      <w:pPr>
        <w:pStyle w:val="729"/>
        <w:adjustRightInd w:val="0"/>
        <w:snapToGrid w:val="0"/>
        <w:spacing w:line="500" w:lineRule="exact"/>
        <w:rPr>
          <w:rFonts w:ascii="仿宋" w:hAnsi="仿宋" w:eastAsia="仿宋"/>
          <w:color w:val="auto"/>
          <w:sz w:val="24"/>
          <w:szCs w:val="24"/>
        </w:rPr>
      </w:pPr>
      <w:r>
        <w:rPr>
          <w:rFonts w:hint="eastAsia" w:ascii="仿宋" w:hAnsi="仿宋" w:eastAsia="仿宋"/>
          <w:color w:val="auto"/>
          <w:sz w:val="24"/>
          <w:szCs w:val="24"/>
          <w:u w:val="single"/>
        </w:rPr>
        <w:t>（代理机构名称）</w:t>
      </w:r>
      <w:r>
        <w:rPr>
          <w:rFonts w:hint="eastAsia" w:ascii="仿宋" w:hAnsi="仿宋" w:eastAsia="仿宋"/>
          <w:color w:val="auto"/>
          <w:sz w:val="24"/>
          <w:szCs w:val="24"/>
        </w:rPr>
        <w:t>：</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兹有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同志为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公司法定代表人（或负责人），代表我公司办理一切社会公务事宜，具有法律效力。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附法定代表人（或负责人）基本情况： </w:t>
      </w:r>
    </w:p>
    <w:p>
      <w:pPr>
        <w:pStyle w:val="729"/>
        <w:adjustRightInd w:val="0"/>
        <w:snapToGrid w:val="0"/>
        <w:spacing w:line="5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姓名：</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性别：</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年龄：</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职务：</w:t>
      </w:r>
      <w:r>
        <w:rPr>
          <w:rFonts w:hint="eastAsia" w:ascii="仿宋" w:hAnsi="仿宋" w:eastAsia="仿宋"/>
          <w:color w:val="auto"/>
          <w:sz w:val="24"/>
          <w:szCs w:val="24"/>
          <w:u w:val="single"/>
        </w:rPr>
        <w:t xml:space="preserve">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身份证号码：</w:t>
      </w:r>
      <w:r>
        <w:rPr>
          <w:rFonts w:hint="eastAsia" w:ascii="仿宋" w:hAnsi="仿宋" w:eastAsia="仿宋"/>
          <w:color w:val="auto"/>
          <w:sz w:val="24"/>
          <w:szCs w:val="24"/>
          <w:u w:val="single"/>
        </w:rPr>
        <w:t xml:space="preserve">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通讯地址：</w:t>
      </w:r>
      <w:r>
        <w:rPr>
          <w:rFonts w:hint="eastAsia" w:ascii="仿宋" w:hAnsi="仿宋" w:eastAsia="仿宋"/>
          <w:color w:val="auto"/>
          <w:sz w:val="24"/>
          <w:szCs w:val="24"/>
          <w:u w:val="single"/>
        </w:rPr>
        <w:t xml:space="preserve">                       </w:t>
      </w:r>
    </w:p>
    <w:p>
      <w:pPr>
        <w:shd w:val="clear" w:color="auto" w:fill="FFFFFF"/>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电话号码：</w:t>
      </w:r>
      <w:r>
        <w:rPr>
          <w:rFonts w:hint="eastAsia" w:ascii="仿宋" w:hAnsi="仿宋" w:eastAsia="仿宋"/>
          <w:color w:val="auto"/>
          <w:sz w:val="24"/>
          <w:u w:val="single"/>
        </w:rPr>
        <w:t xml:space="preserve">                   </w:t>
      </w:r>
    </w:p>
    <w:p>
      <w:pPr>
        <w:shd w:val="clear" w:color="auto" w:fill="FFFFFF"/>
        <w:spacing w:line="440" w:lineRule="exact"/>
        <w:rPr>
          <w:rFonts w:ascii="仿宋" w:hAnsi="仿宋" w:eastAsia="仿宋"/>
          <w:color w:val="auto"/>
          <w:szCs w:val="21"/>
        </w:rPr>
      </w:pPr>
      <w:r>
        <w:rPr>
          <w:rFonts w:ascii="仿宋" w:hAnsi="仿宋" w:eastAsia="仿宋"/>
          <w:color w:val="auto"/>
          <w:szCs w:val="21"/>
        </w:rPr>
        <w:pict>
          <v:shape id="文本框 4" o:spid="_x0000_s1030" o:spt="202" type="#_x0000_t202" style="position:absolute;left:0pt;margin-left:-19.6pt;margin-top:12.8pt;height:151.1pt;width:252.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olor w:val="auto"/>
          <w:szCs w:val="21"/>
        </w:rPr>
        <w:pict>
          <v:shape id="文本框 3" o:spid="_x0000_s1031" o:spt="202" type="#_x0000_t202" style="position:absolute;left:0pt;margin-left:249pt;margin-top:12.8pt;height:151.1pt;width:25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特此证明。</w:t>
      </w:r>
    </w:p>
    <w:p>
      <w:pPr>
        <w:shd w:val="clear" w:color="auto" w:fill="FFFFFF"/>
        <w:spacing w:line="440" w:lineRule="exact"/>
        <w:rPr>
          <w:rFonts w:ascii="仿宋" w:hAnsi="仿宋" w:eastAsia="仿宋"/>
          <w:color w:val="auto"/>
          <w:sz w:val="24"/>
        </w:rPr>
      </w:pPr>
    </w:p>
    <w:p>
      <w:pPr>
        <w:shd w:val="clear" w:color="auto" w:fill="FFFFFF"/>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b/>
          <w:bCs/>
          <w:color w:val="auto"/>
          <w:szCs w:val="21"/>
        </w:rPr>
      </w:pPr>
    </w:p>
    <w:p>
      <w:pPr>
        <w:shd w:val="clear" w:color="auto" w:fill="FFFFFF"/>
        <w:spacing w:line="440" w:lineRule="exact"/>
        <w:rPr>
          <w:rFonts w:ascii="仿宋" w:hAnsi="仿宋" w:eastAsia="仿宋"/>
          <w:bCs/>
          <w:color w:val="auto"/>
          <w:sz w:val="24"/>
        </w:rPr>
      </w:pPr>
      <w:r>
        <w:rPr>
          <w:rFonts w:hint="eastAsia" w:ascii="仿宋" w:hAnsi="仿宋" w:eastAsia="仿宋"/>
          <w:b/>
          <w:bCs/>
          <w:color w:val="auto"/>
          <w:sz w:val="18"/>
          <w:szCs w:val="18"/>
        </w:rPr>
        <w:br w:type="page"/>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法定代表人（或负责人）授权委托书</w:t>
      </w:r>
    </w:p>
    <w:p>
      <w:pPr>
        <w:shd w:val="clear" w:color="auto" w:fill="FFFFFF"/>
        <w:spacing w:line="440" w:lineRule="exact"/>
        <w:jc w:val="center"/>
        <w:rPr>
          <w:rFonts w:ascii="仿宋" w:hAnsi="仿宋" w:eastAsia="仿宋"/>
          <w:b/>
          <w:bCs/>
          <w:color w:val="auto"/>
          <w:sz w:val="24"/>
        </w:rPr>
      </w:pPr>
    </w:p>
    <w:p>
      <w:pPr>
        <w:shd w:val="clear" w:color="auto" w:fill="FFFFFF"/>
        <w:spacing w:line="440" w:lineRule="exact"/>
        <w:ind w:firstLine="453" w:firstLineChars="189"/>
        <w:rPr>
          <w:rFonts w:ascii="仿宋" w:hAnsi="仿宋" w:eastAsia="仿宋"/>
          <w:bCs/>
          <w:color w:val="auto"/>
          <w:sz w:val="24"/>
          <w:u w:val="single"/>
        </w:rPr>
      </w:pPr>
      <w:r>
        <w:rPr>
          <w:rFonts w:hint="eastAsia" w:ascii="仿宋" w:hAnsi="仿宋" w:eastAsia="仿宋"/>
          <w:bCs/>
          <w:color w:val="auto"/>
          <w:sz w:val="24"/>
        </w:rPr>
        <w:t>本授权委托书声明：我系</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的法定代表人（或负责人），现授权委托</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bCs/>
          <w:color w:val="auto"/>
          <w:sz w:val="24"/>
          <w:u w:val="single"/>
        </w:rPr>
        <w:t xml:space="preserve"> （授权代表姓名） </w:t>
      </w:r>
      <w:r>
        <w:rPr>
          <w:rFonts w:hint="eastAsia" w:ascii="仿宋" w:hAnsi="仿宋" w:eastAsia="仿宋"/>
          <w:bCs/>
          <w:color w:val="auto"/>
          <w:sz w:val="24"/>
        </w:rPr>
        <w:t xml:space="preserve"> 为我的代理人，以</w:t>
      </w:r>
      <w:r>
        <w:rPr>
          <w:rFonts w:hint="eastAsia" w:ascii="仿宋" w:hAnsi="仿宋" w:eastAsia="仿宋"/>
          <w:bCs/>
          <w:color w:val="auto"/>
          <w:sz w:val="24"/>
          <w:u w:val="single"/>
        </w:rPr>
        <w:t>（供应商名称）</w:t>
      </w:r>
      <w:r>
        <w:rPr>
          <w:rFonts w:hint="eastAsia" w:ascii="仿宋" w:hAnsi="仿宋" w:eastAsia="仿宋"/>
          <w:bCs/>
          <w:color w:val="auto"/>
          <w:sz w:val="24"/>
        </w:rPr>
        <w:t>的名义参加</w:t>
      </w:r>
      <w:r>
        <w:rPr>
          <w:rFonts w:hint="eastAsia" w:ascii="仿宋" w:hAnsi="仿宋" w:eastAsia="仿宋"/>
          <w:bCs/>
          <w:color w:val="auto"/>
          <w:sz w:val="24"/>
          <w:u w:val="single"/>
        </w:rPr>
        <w:t>（项目名称和项目编号）</w:t>
      </w:r>
      <w:r>
        <w:rPr>
          <w:rFonts w:hint="eastAsia" w:ascii="仿宋" w:hAnsi="仿宋" w:eastAsia="仿宋"/>
          <w:bCs/>
          <w:color w:val="auto"/>
          <w:sz w:val="24"/>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代理人：   性别：  年龄：</w:t>
      </w:r>
    </w:p>
    <w:p>
      <w:pPr>
        <w:shd w:val="clear" w:color="auto" w:fill="FFFFFF"/>
        <w:spacing w:line="440" w:lineRule="exact"/>
        <w:ind w:firstLine="480" w:firstLineChars="200"/>
        <w:rPr>
          <w:rFonts w:ascii="仿宋" w:hAnsi="仿宋" w:eastAsia="仿宋"/>
          <w:bCs/>
          <w:color w:val="auto"/>
          <w:sz w:val="24"/>
        </w:rPr>
      </w:pPr>
      <w:r>
        <w:rPr>
          <w:rFonts w:hint="eastAsia" w:ascii="仿宋" w:hAnsi="仿宋" w:eastAsia="仿宋"/>
          <w:bCs/>
          <w:color w:val="auto"/>
          <w:sz w:val="24"/>
        </w:rPr>
        <w:t xml:space="preserve">部  门：   职务：  </w:t>
      </w:r>
      <w:r>
        <w:rPr>
          <w:rFonts w:hint="eastAsia" w:ascii="仿宋" w:hAnsi="仿宋" w:eastAsia="仿宋"/>
          <w:color w:val="auto"/>
          <w:sz w:val="24"/>
        </w:rPr>
        <w:t>电话号码：</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代理期限：</w:t>
      </w:r>
    </w:p>
    <w:p>
      <w:pPr>
        <w:shd w:val="clear" w:color="auto" w:fill="FFFFFF"/>
        <w:spacing w:line="440" w:lineRule="exact"/>
        <w:rPr>
          <w:rFonts w:ascii="仿宋" w:hAnsi="仿宋" w:eastAsia="仿宋"/>
          <w:bCs/>
          <w:color w:val="auto"/>
          <w:szCs w:val="21"/>
        </w:rPr>
      </w:pPr>
      <w:r>
        <w:rPr>
          <w:rFonts w:ascii="仿宋" w:hAnsi="仿宋" w:eastAsia="仿宋"/>
          <w:bCs/>
          <w:color w:val="auto"/>
          <w:szCs w:val="21"/>
        </w:rPr>
        <w:pict>
          <v:shape id="文本框 2" o:spid="_x0000_s1032"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bCs/>
          <w:color w:val="auto"/>
          <w:szCs w:val="21"/>
        </w:rPr>
        <w:pict>
          <v:shape id="文本框 1" o:spid="_x0000_s1033"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sz w:val="24"/>
        </w:rPr>
      </w:pPr>
    </w:p>
    <w:p>
      <w:pPr>
        <w:widowControl/>
        <w:spacing w:line="440" w:lineRule="exact"/>
        <w:jc w:val="left"/>
        <w:rPr>
          <w:rFonts w:ascii="仿宋" w:hAnsi="仿宋" w:eastAsia="仿宋"/>
          <w:color w:val="auto"/>
          <w:sz w:val="24"/>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附件三  供应商2022年任意连续三个月依法纳税及缴纳社会保险相关证明资料</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 xml:space="preserve">此处请附： </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①供应商2022年任意连续三个月公司缴纳税收的凭据或证明材料复印件；</w:t>
      </w:r>
    </w:p>
    <w:p>
      <w:pPr>
        <w:widowControl/>
        <w:spacing w:line="440" w:lineRule="exact"/>
        <w:jc w:val="left"/>
        <w:rPr>
          <w:rFonts w:ascii="仿宋" w:hAnsi="仿宋" w:eastAsia="仿宋"/>
          <w:bCs/>
          <w:color w:val="auto"/>
          <w:sz w:val="24"/>
        </w:rPr>
      </w:pPr>
      <w:r>
        <w:rPr>
          <w:rFonts w:hint="eastAsia" w:ascii="仿宋" w:hAnsi="仿宋" w:eastAsia="仿宋"/>
          <w:bCs/>
          <w:color w:val="auto"/>
          <w:sz w:val="24"/>
        </w:rPr>
        <w:t>②供应商2022年任意连续三个月公司缴纳社会保险的凭据或证明材料复印件；</w:t>
      </w:r>
    </w:p>
    <w:p>
      <w:pPr>
        <w:widowControl/>
        <w:spacing w:line="440" w:lineRule="exact"/>
        <w:ind w:firstLine="1320" w:firstLineChars="550"/>
        <w:jc w:val="left"/>
        <w:rPr>
          <w:rFonts w:ascii="仿宋" w:hAnsi="仿宋" w:eastAsia="仿宋"/>
          <w:bCs/>
          <w:color w:val="auto"/>
          <w:sz w:val="24"/>
        </w:rPr>
      </w:pPr>
    </w:p>
    <w:p>
      <w:pPr>
        <w:widowControl/>
        <w:spacing w:line="440" w:lineRule="exact"/>
        <w:jc w:val="left"/>
        <w:rPr>
          <w:rFonts w:ascii="仿宋" w:hAnsi="仿宋" w:eastAsia="仿宋"/>
          <w:b/>
          <w:color w:val="auto"/>
          <w:kern w:val="0"/>
          <w:sz w:val="24"/>
          <w:szCs w:val="22"/>
        </w:rPr>
      </w:pPr>
      <w:r>
        <w:rPr>
          <w:rFonts w:ascii="仿宋" w:hAnsi="仿宋" w:eastAsia="仿宋"/>
          <w:b/>
          <w:bCs/>
          <w:color w:val="auto"/>
          <w:kern w:val="0"/>
          <w:sz w:val="24"/>
        </w:rPr>
        <w:br w:type="page"/>
      </w:r>
      <w:r>
        <w:rPr>
          <w:rFonts w:hint="eastAsia" w:ascii="仿宋" w:hAnsi="仿宋" w:eastAsia="仿宋"/>
          <w:b/>
          <w:bCs/>
          <w:color w:val="auto"/>
          <w:kern w:val="0"/>
          <w:sz w:val="24"/>
        </w:rPr>
        <w:t>附件四  供应商</w:t>
      </w:r>
      <w:r>
        <w:rPr>
          <w:rFonts w:hint="eastAsia" w:ascii="仿宋" w:hAnsi="仿宋" w:eastAsia="仿宋"/>
          <w:b/>
          <w:color w:val="auto"/>
          <w:kern w:val="0"/>
          <w:sz w:val="24"/>
          <w:szCs w:val="22"/>
        </w:rPr>
        <w:t>经审计的</w:t>
      </w:r>
      <w:r>
        <w:rPr>
          <w:rFonts w:ascii="仿宋" w:hAnsi="仿宋" w:eastAsia="仿宋"/>
          <w:b/>
          <w:color w:val="auto"/>
          <w:kern w:val="0"/>
          <w:sz w:val="24"/>
          <w:szCs w:val="22"/>
        </w:rPr>
        <w:t>202</w:t>
      </w:r>
      <w:r>
        <w:rPr>
          <w:rFonts w:hint="eastAsia" w:ascii="仿宋" w:hAnsi="仿宋" w:eastAsia="仿宋"/>
          <w:b/>
          <w:color w:val="auto"/>
          <w:kern w:val="0"/>
          <w:sz w:val="24"/>
          <w:szCs w:val="22"/>
        </w:rPr>
        <w:t>1年度的财务报告复印件（投标单位成立不满一年的不需提供）</w:t>
      </w:r>
    </w:p>
    <w:p>
      <w:pPr>
        <w:widowControl/>
        <w:spacing w:line="440" w:lineRule="exact"/>
        <w:jc w:val="left"/>
        <w:rPr>
          <w:rFonts w:ascii="仿宋" w:hAnsi="仿宋" w:eastAsia="仿宋"/>
          <w:b/>
          <w:color w:val="auto"/>
          <w:kern w:val="0"/>
          <w:sz w:val="24"/>
          <w:szCs w:val="22"/>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附件五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无重大违法记录声明书</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致：（采购人）</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ind w:firstLine="480" w:firstLineChars="200"/>
        <w:rPr>
          <w:rFonts w:ascii="仿宋" w:hAnsi="仿宋" w:eastAsia="仿宋"/>
          <w:color w:val="auto"/>
          <w:sz w:val="24"/>
        </w:rPr>
      </w:pPr>
      <w:r>
        <w:rPr>
          <w:rFonts w:hint="eastAsia" w:ascii="仿宋" w:hAnsi="仿宋" w:eastAsia="仿宋"/>
          <w:color w:val="auto"/>
          <w:sz w:val="24"/>
        </w:rPr>
        <w:t>我公司参与</w:t>
      </w:r>
      <w:r>
        <w:rPr>
          <w:rFonts w:hint="eastAsia" w:ascii="仿宋" w:hAnsi="仿宋" w:eastAsia="仿宋"/>
          <w:color w:val="auto"/>
          <w:sz w:val="24"/>
          <w:u w:val="single"/>
        </w:rPr>
        <w:t>（项目名称、项目编号）</w:t>
      </w:r>
      <w:r>
        <w:rPr>
          <w:rFonts w:hint="eastAsia" w:ascii="仿宋" w:hAnsi="仿宋" w:eastAsia="仿宋"/>
          <w:color w:val="auto"/>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 xml:space="preserve">特此声明  </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日期：年月日</w:t>
      </w:r>
    </w:p>
    <w:p>
      <w:pPr>
        <w:shd w:val="clear" w:color="auto" w:fill="FFFFFF"/>
        <w:tabs>
          <w:tab w:val="left" w:pos="996"/>
        </w:tabs>
        <w:spacing w:line="440" w:lineRule="exact"/>
        <w:rPr>
          <w:rFonts w:ascii="仿宋" w:hAnsi="仿宋" w:eastAsia="仿宋"/>
          <w:color w:val="auto"/>
          <w:sz w:val="24"/>
        </w:rPr>
      </w:pPr>
    </w:p>
    <w:p>
      <w:pPr>
        <w:widowControl/>
        <w:spacing w:line="440" w:lineRule="exact"/>
        <w:jc w:val="left"/>
        <w:rPr>
          <w:rFonts w:ascii="仿宋" w:hAnsi="仿宋" w:eastAsia="仿宋"/>
          <w:color w:val="auto"/>
          <w:sz w:val="24"/>
        </w:rPr>
      </w:pPr>
      <w:r>
        <w:rPr>
          <w:rFonts w:hint="eastAsia" w:ascii="仿宋" w:hAnsi="仿宋" w:eastAsia="仿宋"/>
          <w:color w:val="auto"/>
          <w:sz w:val="24"/>
        </w:rPr>
        <w:t>注：[近三年：指成立三年以上的，为提交首次投标文件截止时间前三年内；成立不足三年的，为实际时间。]</w:t>
      </w:r>
    </w:p>
    <w:p>
      <w:pPr>
        <w:widowControl/>
        <w:spacing w:line="440" w:lineRule="exact"/>
        <w:jc w:val="left"/>
        <w:rPr>
          <w:rFonts w:ascii="仿宋" w:hAnsi="仿宋" w:eastAsia="仿宋"/>
          <w:color w:val="auto"/>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rPr>
          <w:rFonts w:ascii="仿宋" w:hAnsi="仿宋" w:eastAsia="仿宋"/>
          <w:b/>
          <w:bCs/>
          <w:color w:val="auto"/>
          <w:kern w:val="0"/>
          <w:sz w:val="24"/>
        </w:rPr>
      </w:pPr>
      <w:r>
        <w:rPr>
          <w:rFonts w:hint="eastAsia" w:ascii="仿宋" w:hAnsi="仿宋" w:eastAsia="仿宋"/>
          <w:b/>
          <w:bCs/>
          <w:color w:val="auto"/>
          <w:kern w:val="0"/>
          <w:sz w:val="24"/>
        </w:rPr>
        <w:t>附件六  投标保证金缴纳凭证</w:t>
      </w:r>
    </w:p>
    <w:p>
      <w:pPr>
        <w:spacing w:line="460" w:lineRule="exact"/>
        <w:rPr>
          <w:rFonts w:ascii="仿宋" w:hAnsi="仿宋" w:eastAsia="仿宋"/>
          <w:color w:val="auto"/>
          <w:kern w:val="0"/>
          <w:sz w:val="24"/>
        </w:rPr>
      </w:pPr>
      <w:r>
        <w:rPr>
          <w:rFonts w:hint="eastAsia" w:ascii="仿宋" w:hAnsi="仿宋" w:eastAsia="仿宋"/>
          <w:color w:val="auto"/>
          <w:kern w:val="0"/>
          <w:sz w:val="24"/>
        </w:rPr>
        <w:t>此处请附： ①投标保证金打款凭证</w:t>
      </w: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pStyle w:val="2"/>
        <w:ind w:firstLine="210"/>
        <w:rPr>
          <w:color w:val="auto"/>
        </w:rPr>
      </w:pPr>
    </w:p>
    <w:p>
      <w:pPr>
        <w:pStyle w:val="2"/>
        <w:ind w:firstLine="0" w:firstLineChars="0"/>
        <w:rPr>
          <w:color w:val="auto"/>
        </w:rPr>
      </w:pP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②供应商缴纳保证金的账户信息（作退保证金使用）</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开户行名称：</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银行账号：</w:t>
      </w:r>
    </w:p>
    <w:p>
      <w:pPr>
        <w:widowControl/>
        <w:spacing w:line="440" w:lineRule="exact"/>
        <w:ind w:firstLine="1320" w:firstLineChars="550"/>
        <w:jc w:val="left"/>
        <w:rPr>
          <w:rFonts w:ascii="仿宋" w:hAnsi="仿宋" w:eastAsia="仿宋"/>
          <w:bCs/>
          <w:color w:val="auto"/>
          <w:sz w:val="24"/>
        </w:rPr>
      </w:pPr>
      <w:r>
        <w:rPr>
          <w:rFonts w:hint="eastAsia" w:ascii="仿宋" w:hAnsi="仿宋" w:eastAsia="仿宋"/>
          <w:color w:val="auto"/>
          <w:kern w:val="0"/>
          <w:sz w:val="24"/>
        </w:rPr>
        <w:t>银行行号：</w:t>
      </w:r>
    </w:p>
    <w:p>
      <w:pPr>
        <w:shd w:val="clear" w:color="auto" w:fill="FFFFFF"/>
        <w:spacing w:line="440" w:lineRule="exact"/>
        <w:jc w:val="left"/>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pStyle w:val="2"/>
        <w:ind w:firstLine="241"/>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sz w:val="28"/>
          <w:szCs w:val="28"/>
        </w:rPr>
      </w:pPr>
      <w:r>
        <w:rPr>
          <w:rFonts w:hint="eastAsia" w:ascii="仿宋" w:hAnsi="仿宋" w:eastAsia="仿宋"/>
          <w:b/>
          <w:bCs/>
          <w:color w:val="auto"/>
          <w:kern w:val="0"/>
          <w:sz w:val="24"/>
        </w:rPr>
        <w:t>附件七</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投标承诺书</w:t>
      </w:r>
    </w:p>
    <w:p>
      <w:pPr>
        <w:shd w:val="clear" w:color="auto" w:fill="FFFFFF"/>
        <w:spacing w:line="440" w:lineRule="exact"/>
        <w:jc w:val="left"/>
        <w:rPr>
          <w:rFonts w:ascii="仿宋" w:hAnsi="仿宋" w:eastAsia="仿宋"/>
          <w:color w:val="auto"/>
          <w:sz w:val="24"/>
          <w:u w:val="single"/>
        </w:rPr>
      </w:pPr>
      <w:r>
        <w:rPr>
          <w:rFonts w:hint="eastAsia" w:ascii="仿宋" w:hAnsi="仿宋" w:eastAsia="仿宋"/>
          <w:color w:val="auto"/>
          <w:sz w:val="24"/>
          <w:u w:val="single"/>
        </w:rPr>
        <w:t xml:space="preserve">（采购人名称） </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我方收到并研究了贵方</w:t>
      </w:r>
      <w:r>
        <w:rPr>
          <w:rFonts w:hint="eastAsia" w:ascii="仿宋" w:hAnsi="仿宋" w:eastAsia="仿宋"/>
          <w:color w:val="auto"/>
          <w:sz w:val="24"/>
          <w:u w:val="single"/>
        </w:rPr>
        <w:t xml:space="preserve">              </w:t>
      </w:r>
      <w:r>
        <w:rPr>
          <w:rFonts w:hint="eastAsia" w:ascii="仿宋" w:hAnsi="仿宋" w:eastAsia="仿宋"/>
          <w:color w:val="auto"/>
          <w:sz w:val="24"/>
        </w:rPr>
        <w:t>（项目名称、项目编号）项目的招标文件，愿意按照招标文件规定的内容承担该项目的投标任务，严格执行我方所承诺的责任和义务。为此，我方郑重声明以下诸点，并承担法律责任。</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1、我方提交投标文件：加密的电子投标文件1份，并在投标截止时间前上传至招标文件规定的指定地点。如我方中标，在领取中标通知书时向招标代理机构提供纸质版投标文件正本1份、副本2份；我方愿按《中华人民共和国政府采购法》及其他有关法律、法规的规定及招标文件的规定，自觉履行自己的全部责。</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2、我方同意在投标有效期内遵守本投标文件，在此期限期满前的任何时间，本投标文件一直对我方具有约束力。</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3、如果我方投标文件被接受，我方将按照招标文件的规定，保证按招标要求和投标文件中的承诺按期、按质、按量交付使用方。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6、一旦我方中标，我方愿意按招标要求承担招标代理服务费。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7、贵方的中标通知书和本投标文件将成为构成约束双方合同的组成部分。</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8、如果我方未中标，贵方没有义务对我方做出任何解释和说明，我方将充分尊重和理解贵方的选择。</w:t>
      </w:r>
    </w:p>
    <w:p>
      <w:pPr>
        <w:shd w:val="clear" w:color="auto" w:fill="FFFFFF"/>
        <w:spacing w:line="440" w:lineRule="exact"/>
        <w:jc w:val="left"/>
        <w:rPr>
          <w:rFonts w:ascii="仿宋" w:hAnsi="仿宋" w:eastAsia="仿宋"/>
          <w:color w:val="auto"/>
          <w:sz w:val="24"/>
        </w:rPr>
      </w:pPr>
      <w:r>
        <w:rPr>
          <w:rFonts w:hint="eastAsia" w:ascii="仿宋" w:hAnsi="仿宋" w:eastAsia="仿宋"/>
          <w:color w:val="auto"/>
          <w:sz w:val="24"/>
        </w:rPr>
        <w:t xml:space="preserve">    9、我方的投标文件自提交投标文件截止之日起有效期为</w:t>
      </w:r>
      <w:r>
        <w:rPr>
          <w:rFonts w:hint="eastAsia" w:ascii="仿宋" w:hAnsi="仿宋" w:eastAsia="仿宋"/>
          <w:color w:val="auto"/>
          <w:sz w:val="24"/>
          <w:u w:val="single"/>
        </w:rPr>
        <w:t xml:space="preserve">        </w:t>
      </w:r>
      <w:r>
        <w:rPr>
          <w:rFonts w:hint="eastAsia" w:ascii="仿宋" w:hAnsi="仿宋" w:eastAsia="仿宋"/>
          <w:color w:val="auto"/>
          <w:sz w:val="24"/>
        </w:rPr>
        <w:t>天。</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00" w:lineRule="exact"/>
        <w:jc w:val="left"/>
        <w:rPr>
          <w:rFonts w:ascii="仿宋" w:hAnsi="仿宋" w:eastAsia="仿宋"/>
          <w:b/>
          <w:bCs/>
          <w:color w:val="auto"/>
          <w:kern w:val="0"/>
          <w:sz w:val="24"/>
        </w:rPr>
      </w:pPr>
      <w:r>
        <w:rPr>
          <w:rFonts w:hint="eastAsia" w:ascii="仿宋" w:hAnsi="仿宋" w:eastAsia="仿宋"/>
          <w:color w:val="auto"/>
          <w:sz w:val="24"/>
        </w:rPr>
        <w:t>日期：  年  月  日</w:t>
      </w:r>
      <w:r>
        <w:rPr>
          <w:rFonts w:hint="eastAsia" w:ascii="仿宋" w:hAnsi="仿宋" w:eastAsia="仿宋"/>
          <w:color w:val="auto"/>
          <w:sz w:val="18"/>
          <w:szCs w:val="18"/>
        </w:rPr>
        <w:br w:type="page"/>
      </w:r>
    </w:p>
    <w:p>
      <w:pPr>
        <w:shd w:val="clear" w:color="auto" w:fill="FFFFFF"/>
        <w:spacing w:line="440" w:lineRule="exact"/>
        <w:rPr>
          <w:rFonts w:ascii="仿宋" w:hAnsi="仿宋" w:eastAsia="仿宋"/>
          <w:b/>
          <w:color w:val="auto"/>
          <w:kern w:val="0"/>
          <w:sz w:val="24"/>
        </w:rPr>
      </w:pPr>
      <w:r>
        <w:rPr>
          <w:rFonts w:hint="eastAsia" w:ascii="仿宋" w:hAnsi="仿宋" w:eastAsia="仿宋"/>
          <w:b/>
          <w:color w:val="auto"/>
          <w:kern w:val="0"/>
          <w:sz w:val="24"/>
        </w:rPr>
        <w:t>附件八 售后服务方案</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（投标商自行拟定内容，但应按照以下要求签字盖章）</w:t>
      </w: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shd w:val="clear" w:color="auto" w:fill="FFFFFF"/>
        <w:spacing w:line="440" w:lineRule="exact"/>
        <w:rPr>
          <w:rFonts w:ascii="仿宋" w:hAnsi="仿宋" w:eastAsia="仿宋"/>
          <w:bCs/>
          <w:color w:val="auto"/>
          <w:kern w:val="0"/>
          <w:sz w:val="24"/>
        </w:rPr>
      </w:pPr>
    </w:p>
    <w:p>
      <w:pPr>
        <w:widowControl/>
        <w:jc w:val="left"/>
        <w:rPr>
          <w:rFonts w:ascii="仿宋" w:hAnsi="仿宋" w:eastAsia="仿宋"/>
          <w:color w:val="auto"/>
          <w:szCs w:val="21"/>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color w:val="auto"/>
          <w:kern w:val="0"/>
          <w:sz w:val="24"/>
        </w:rPr>
      </w:pPr>
      <w:r>
        <w:rPr>
          <w:rFonts w:hint="eastAsia" w:ascii="仿宋" w:hAnsi="仿宋" w:eastAsia="仿宋"/>
          <w:b/>
          <w:bCs/>
          <w:color w:val="auto"/>
          <w:kern w:val="0"/>
          <w:sz w:val="24"/>
        </w:rPr>
        <w:t>附件九</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商务及合同条款偏离表</w:t>
      </w:r>
    </w:p>
    <w:p>
      <w:pPr>
        <w:shd w:val="clear" w:color="auto" w:fill="FFFFFF"/>
        <w:spacing w:beforeLines="50" w:line="440" w:lineRule="exact"/>
        <w:ind w:firstLine="480" w:firstLineChars="200"/>
        <w:rPr>
          <w:rFonts w:ascii="仿宋" w:hAnsi="仿宋" w:eastAsia="仿宋"/>
          <w:color w:val="auto"/>
          <w:sz w:val="24"/>
        </w:rPr>
      </w:pPr>
      <w:r>
        <w:rPr>
          <w:rFonts w:hint="eastAsia" w:ascii="仿宋" w:hAnsi="仿宋" w:eastAsia="仿宋"/>
          <w:color w:val="auto"/>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auto"/>
                <w:szCs w:val="21"/>
              </w:rPr>
            </w:pPr>
            <w:r>
              <w:rPr>
                <w:rFonts w:hint="eastAsia" w:ascii="仿宋" w:hAnsi="仿宋" w:eastAsia="仿宋"/>
                <w:color w:val="auto"/>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r>
              <w:rPr>
                <w:rFonts w:hint="eastAsia" w:ascii="仿宋" w:hAnsi="仿宋" w:eastAsia="仿宋"/>
                <w:color w:val="auto"/>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bl>
    <w:p>
      <w:pPr>
        <w:shd w:val="clear" w:color="auto" w:fill="FFFFFF"/>
        <w:spacing w:line="440" w:lineRule="exact"/>
        <w:ind w:firstLine="99"/>
        <w:rPr>
          <w:rFonts w:ascii="仿宋" w:hAnsi="仿宋" w:eastAsia="仿宋"/>
          <w:color w:val="auto"/>
          <w:szCs w:val="21"/>
        </w:rPr>
      </w:pPr>
    </w:p>
    <w:p>
      <w:pPr>
        <w:pStyle w:val="304"/>
        <w:shd w:val="clear" w:color="auto" w:fill="FFFFFF"/>
        <w:snapToGrid w:val="0"/>
        <w:spacing w:line="400" w:lineRule="exact"/>
        <w:rPr>
          <w:rFonts w:ascii="仿宋" w:hAnsi="仿宋" w:eastAsia="仿宋"/>
          <w:color w:val="auto"/>
          <w:sz w:val="24"/>
        </w:rPr>
      </w:pPr>
    </w:p>
    <w:p>
      <w:pPr>
        <w:shd w:val="clear" w:color="auto" w:fill="FFFFFF"/>
        <w:spacing w:line="420" w:lineRule="exact"/>
        <w:ind w:firstLine="482" w:firstLineChars="200"/>
        <w:rPr>
          <w:rFonts w:ascii="仿宋" w:hAnsi="仿宋" w:eastAsia="仿宋"/>
          <w:b/>
          <w:bCs/>
          <w:color w:val="auto"/>
          <w:sz w:val="24"/>
        </w:rPr>
      </w:pPr>
      <w:r>
        <w:rPr>
          <w:rFonts w:hint="eastAsia" w:ascii="仿宋" w:hAnsi="仿宋" w:eastAsia="仿宋"/>
          <w:b/>
          <w:bCs/>
          <w:color w:val="auto"/>
          <w:sz w:val="24"/>
        </w:rPr>
        <w:t>重要说明：供应商在上表中说明的内容，至少须包括对本文件《投标须知前附表》提出的“投标有效期”、“交货期及完工期”、“交货地点”、“保修期”、“付款方式”五项内容逐条响应，不接受负偏离。</w:t>
      </w:r>
    </w:p>
    <w:p>
      <w:pPr>
        <w:pStyle w:val="304"/>
        <w:shd w:val="clear" w:color="auto" w:fill="FFFFFF"/>
        <w:snapToGrid w:val="0"/>
        <w:spacing w:line="4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kern w:val="0"/>
          <w:sz w:val="24"/>
        </w:rPr>
      </w:pPr>
      <w:r>
        <w:rPr>
          <w:rFonts w:hint="eastAsia" w:ascii="仿宋" w:hAnsi="仿宋" w:eastAsia="仿宋"/>
          <w:color w:val="auto"/>
          <w:sz w:val="24"/>
        </w:rPr>
        <w:t>日期：  年  月  日</w:t>
      </w:r>
    </w:p>
    <w:p>
      <w:pPr>
        <w:shd w:val="clear" w:color="auto" w:fill="FFFFFF"/>
        <w:spacing w:line="440" w:lineRule="exact"/>
        <w:jc w:val="left"/>
        <w:rPr>
          <w:rFonts w:ascii="仿宋" w:hAnsi="仿宋" w:eastAsia="仿宋"/>
          <w:b/>
          <w:bCs/>
          <w:color w:val="auto"/>
          <w:sz w:val="24"/>
        </w:rPr>
      </w:pPr>
    </w:p>
    <w:p>
      <w:pPr>
        <w:shd w:val="clear" w:color="auto" w:fill="FFFFFF"/>
        <w:spacing w:line="440" w:lineRule="exact"/>
        <w:jc w:val="left"/>
        <w:rPr>
          <w:rFonts w:ascii="仿宋" w:hAnsi="仿宋" w:eastAsia="仿宋"/>
          <w:bCs/>
          <w:color w:val="auto"/>
          <w:sz w:val="24"/>
        </w:rPr>
      </w:pPr>
    </w:p>
    <w:p>
      <w:pPr>
        <w:shd w:val="clear" w:color="auto" w:fill="FFFFFF"/>
        <w:spacing w:line="440" w:lineRule="exact"/>
        <w:jc w:val="center"/>
        <w:rPr>
          <w:rFonts w:ascii="仿宋" w:hAnsi="仿宋" w:eastAsia="仿宋"/>
          <w:b/>
          <w:bCs/>
          <w:color w:val="auto"/>
          <w:sz w:val="28"/>
          <w:szCs w:val="28"/>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附件十</w:t>
      </w:r>
    </w:p>
    <w:p>
      <w:pPr>
        <w:shd w:val="clear" w:color="auto" w:fill="FFFFFF"/>
        <w:spacing w:line="440" w:lineRule="exact"/>
        <w:jc w:val="center"/>
        <w:rPr>
          <w:rFonts w:ascii="仿宋" w:hAnsi="仿宋" w:eastAsia="仿宋"/>
          <w:b/>
          <w:bCs/>
          <w:color w:val="auto"/>
          <w:sz w:val="28"/>
          <w:szCs w:val="28"/>
        </w:rPr>
      </w:pPr>
    </w:p>
    <w:p>
      <w:pPr>
        <w:widowControl/>
        <w:spacing w:beforeLines="50" w:afterLines="50" w:line="440" w:lineRule="exact"/>
        <w:jc w:val="center"/>
        <w:rPr>
          <w:rFonts w:ascii="仿宋" w:hAnsi="仿宋" w:eastAsia="仿宋"/>
          <w:b/>
          <w:color w:val="auto"/>
          <w:sz w:val="28"/>
          <w:szCs w:val="28"/>
        </w:rPr>
      </w:pPr>
      <w:r>
        <w:rPr>
          <w:rFonts w:hint="eastAsia" w:ascii="仿宋" w:hAnsi="仿宋" w:eastAsia="仿宋"/>
          <w:b/>
          <w:color w:val="auto"/>
          <w:kern w:val="0"/>
          <w:sz w:val="28"/>
          <w:szCs w:val="28"/>
        </w:rPr>
        <w:t>同类项目业绩表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序号</w:t>
            </w:r>
          </w:p>
        </w:tc>
        <w:tc>
          <w:tcPr>
            <w:tcW w:w="2268"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产品名称及规格型号</w:t>
            </w:r>
          </w:p>
        </w:tc>
        <w:tc>
          <w:tcPr>
            <w:tcW w:w="176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数量规模</w:t>
            </w:r>
          </w:p>
        </w:tc>
        <w:tc>
          <w:tcPr>
            <w:tcW w:w="1393"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合同价格</w:t>
            </w:r>
          </w:p>
        </w:tc>
        <w:tc>
          <w:tcPr>
            <w:tcW w:w="312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2268"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auto"/>
                <w:szCs w:val="21"/>
              </w:rPr>
            </w:pPr>
          </w:p>
        </w:tc>
        <w:tc>
          <w:tcPr>
            <w:tcW w:w="2268" w:type="dxa"/>
            <w:vAlign w:val="center"/>
          </w:tcPr>
          <w:p>
            <w:pPr>
              <w:widowControl/>
              <w:spacing w:line="440" w:lineRule="exact"/>
              <w:jc w:val="left"/>
              <w:rPr>
                <w:rFonts w:ascii="仿宋" w:hAnsi="仿宋" w:eastAsia="仿宋"/>
                <w:b/>
                <w:color w:val="auto"/>
                <w:szCs w:val="21"/>
              </w:rPr>
            </w:pPr>
          </w:p>
        </w:tc>
        <w:tc>
          <w:tcPr>
            <w:tcW w:w="1760" w:type="dxa"/>
          </w:tcPr>
          <w:p>
            <w:pPr>
              <w:widowControl/>
              <w:spacing w:line="440" w:lineRule="exact"/>
              <w:jc w:val="left"/>
              <w:rPr>
                <w:rFonts w:ascii="仿宋" w:hAnsi="仿宋" w:eastAsia="仿宋"/>
                <w:b/>
                <w:color w:val="auto"/>
                <w:szCs w:val="21"/>
              </w:rPr>
            </w:pPr>
          </w:p>
        </w:tc>
        <w:tc>
          <w:tcPr>
            <w:tcW w:w="1393" w:type="dxa"/>
            <w:vAlign w:val="center"/>
          </w:tcPr>
          <w:p>
            <w:pPr>
              <w:widowControl/>
              <w:spacing w:line="440" w:lineRule="exact"/>
              <w:jc w:val="left"/>
              <w:rPr>
                <w:rFonts w:ascii="仿宋" w:hAnsi="仿宋" w:eastAsia="仿宋"/>
                <w:b/>
                <w:color w:val="auto"/>
                <w:szCs w:val="21"/>
              </w:rPr>
            </w:pPr>
          </w:p>
        </w:tc>
        <w:tc>
          <w:tcPr>
            <w:tcW w:w="3120" w:type="dxa"/>
            <w:vAlign w:val="center"/>
          </w:tcPr>
          <w:p>
            <w:pPr>
              <w:widowControl/>
              <w:spacing w:line="440" w:lineRule="exact"/>
              <w:jc w:val="left"/>
              <w:rPr>
                <w:rFonts w:ascii="仿宋" w:hAnsi="仿宋" w:eastAsia="仿宋"/>
                <w:b/>
                <w:color w:val="auto"/>
                <w:szCs w:val="21"/>
              </w:rPr>
            </w:pPr>
          </w:p>
        </w:tc>
      </w:tr>
    </w:tbl>
    <w:p>
      <w:pPr>
        <w:shd w:val="clear" w:color="auto" w:fill="FFFFFF"/>
        <w:spacing w:line="420" w:lineRule="exact"/>
        <w:ind w:firstLine="482" w:firstLineChars="200"/>
        <w:rPr>
          <w:rFonts w:ascii="仿宋" w:hAnsi="仿宋" w:eastAsia="仿宋"/>
          <w:color w:val="auto"/>
          <w:kern w:val="0"/>
          <w:sz w:val="24"/>
        </w:rPr>
      </w:pPr>
      <w:r>
        <w:rPr>
          <w:rFonts w:hint="eastAsia" w:ascii="仿宋" w:hAnsi="仿宋" w:eastAsia="仿宋"/>
          <w:b/>
          <w:color w:val="auto"/>
          <w:sz w:val="24"/>
        </w:rPr>
        <w:t>注：提供业绩证明资料</w:t>
      </w:r>
      <w:r>
        <w:rPr>
          <w:rFonts w:hint="eastAsia" w:ascii="仿宋" w:hAnsi="仿宋" w:eastAsia="仿宋"/>
          <w:color w:val="auto"/>
          <w:kern w:val="0"/>
          <w:sz w:val="24"/>
        </w:rPr>
        <w:t>。</w:t>
      </w:r>
    </w:p>
    <w:p>
      <w:pPr>
        <w:shd w:val="clear" w:color="auto" w:fill="FFFFFF"/>
        <w:spacing w:line="440" w:lineRule="exact"/>
        <w:rPr>
          <w:rFonts w:ascii="仿宋" w:hAnsi="仿宋" w:eastAsia="仿宋"/>
          <w:b/>
          <w:color w:val="auto"/>
          <w:szCs w:val="21"/>
        </w:rPr>
      </w:pPr>
    </w:p>
    <w:p>
      <w:pPr>
        <w:pStyle w:val="304"/>
        <w:shd w:val="clear" w:color="auto" w:fill="FFFFFF"/>
        <w:snapToGrid w:val="0"/>
        <w:spacing w:line="4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widowControl/>
        <w:jc w:val="left"/>
        <w:rPr>
          <w:rFonts w:ascii="仿宋" w:hAnsi="仿宋" w:eastAsia="仿宋"/>
          <w:color w:val="auto"/>
          <w:szCs w:val="21"/>
        </w:rPr>
      </w:pPr>
      <w:r>
        <w:rPr>
          <w:rFonts w:hint="eastAsia" w:ascii="仿宋" w:hAnsi="仿宋" w:eastAsia="仿宋"/>
          <w:color w:val="auto"/>
          <w:sz w:val="24"/>
        </w:rPr>
        <w:t>日期：  年  月  日</w:t>
      </w: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附件十一  供应商认为有必要提供的其他资料</w:t>
      </w:r>
    </w:p>
    <w:p>
      <w:pPr>
        <w:widowControl/>
        <w:rPr>
          <w:rFonts w:ascii="仿宋" w:hAnsi="仿宋" w:eastAsia="仿宋"/>
          <w:color w:val="auto"/>
          <w:sz w:val="24"/>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中小企业声明函</w:t>
      </w:r>
    </w:p>
    <w:p>
      <w:pPr>
        <w:widowControl/>
        <w:jc w:val="left"/>
        <w:rPr>
          <w:rFonts w:ascii="仿宋" w:hAnsi="仿宋" w:eastAsia="仿宋"/>
          <w:color w:val="auto"/>
          <w:sz w:val="24"/>
        </w:rPr>
      </w:pP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本公司（联合体）郑重声明，根据《政府采购促进中小企业发展管理办法》（财库﹝2020﹞46 号）的规定，本公司（联合体）参加</w:t>
      </w:r>
      <w:r>
        <w:rPr>
          <w:rFonts w:hint="eastAsia" w:ascii="仿宋" w:hAnsi="仿宋" w:eastAsia="仿宋"/>
          <w:color w:val="auto"/>
          <w:sz w:val="24"/>
          <w:u w:val="single"/>
        </w:rPr>
        <w:t>（单位名称）</w:t>
      </w:r>
      <w:r>
        <w:rPr>
          <w:rFonts w:hint="eastAsia" w:ascii="仿宋" w:hAnsi="仿宋" w:eastAsia="仿宋"/>
          <w:color w:val="auto"/>
          <w:sz w:val="24"/>
        </w:rPr>
        <w:t>的</w:t>
      </w:r>
      <w:r>
        <w:rPr>
          <w:rFonts w:hint="eastAsia" w:ascii="仿宋" w:hAnsi="仿宋" w:eastAsia="仿宋"/>
          <w:color w:val="auto"/>
          <w:sz w:val="24"/>
          <w:u w:val="single"/>
        </w:rPr>
        <w:t>（项目名称）</w:t>
      </w:r>
      <w:r>
        <w:rPr>
          <w:rFonts w:hint="eastAsia" w:ascii="仿宋" w:hAnsi="仿宋" w:eastAsia="仿宋"/>
          <w:color w:val="auto"/>
          <w:sz w:val="24"/>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1.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w:t>
      </w:r>
      <w:r>
        <w:rPr>
          <w:rFonts w:hint="eastAsia" w:ascii="仿宋" w:hAnsi="仿宋" w:eastAsia="仿宋"/>
          <w:color w:val="auto"/>
          <w:sz w:val="24"/>
          <w:u w:val="single"/>
        </w:rPr>
        <w:t xml:space="preserve">    </w:t>
      </w:r>
      <w:r>
        <w:rPr>
          <w:rFonts w:hint="eastAsia" w:ascii="仿宋" w:hAnsi="仿宋" w:eastAsia="仿宋"/>
          <w:color w:val="auto"/>
          <w:sz w:val="24"/>
        </w:rPr>
        <w:t>人，营业收入为</w:t>
      </w:r>
      <w:r>
        <w:rPr>
          <w:rFonts w:hint="eastAsia" w:ascii="仿宋" w:hAnsi="仿宋" w:eastAsia="仿宋"/>
          <w:color w:val="auto"/>
          <w:sz w:val="24"/>
          <w:u w:val="single"/>
        </w:rPr>
        <w:t xml:space="preserve">    </w:t>
      </w:r>
      <w:r>
        <w:rPr>
          <w:rFonts w:hint="eastAsia" w:ascii="仿宋" w:hAnsi="仿宋" w:eastAsia="仿宋"/>
          <w:color w:val="auto"/>
          <w:sz w:val="24"/>
        </w:rPr>
        <w:t>万元，资产总额为</w:t>
      </w:r>
      <w:r>
        <w:rPr>
          <w:rFonts w:hint="eastAsia" w:ascii="仿宋" w:hAnsi="仿宋" w:eastAsia="仿宋"/>
          <w:color w:val="auto"/>
          <w:sz w:val="24"/>
          <w:u w:val="single"/>
        </w:rPr>
        <w:t xml:space="preserve">    </w:t>
      </w:r>
      <w:r>
        <w:rPr>
          <w:rFonts w:hint="eastAsia" w:ascii="仿宋" w:hAnsi="仿宋" w:eastAsia="仿宋"/>
          <w:color w:val="auto"/>
          <w:sz w:val="24"/>
        </w:rPr>
        <w:t>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w:t>
      </w:r>
      <w:r>
        <w:rPr>
          <w:rFonts w:hint="eastAsia" w:ascii="仿宋" w:hAnsi="仿宋" w:eastAsia="仿宋"/>
          <w:color w:val="auto"/>
          <w:sz w:val="24"/>
          <w:u w:val="single"/>
        </w:rPr>
        <w:t xml:space="preserve">    </w:t>
      </w:r>
      <w:r>
        <w:rPr>
          <w:rFonts w:hint="eastAsia" w:ascii="仿宋" w:hAnsi="仿宋" w:eastAsia="仿宋"/>
          <w:color w:val="auto"/>
          <w:sz w:val="24"/>
        </w:rPr>
        <w:t>人，营业收入为</w:t>
      </w:r>
      <w:r>
        <w:rPr>
          <w:rFonts w:hint="eastAsia" w:ascii="仿宋" w:hAnsi="仿宋" w:eastAsia="仿宋"/>
          <w:color w:val="auto"/>
          <w:sz w:val="24"/>
          <w:u w:val="single"/>
        </w:rPr>
        <w:t xml:space="preserve">    </w:t>
      </w:r>
      <w:r>
        <w:rPr>
          <w:rFonts w:hint="eastAsia" w:ascii="仿宋" w:hAnsi="仿宋" w:eastAsia="仿宋"/>
          <w:color w:val="auto"/>
          <w:sz w:val="24"/>
        </w:rPr>
        <w:t>万元，资产总额为</w:t>
      </w:r>
      <w:r>
        <w:rPr>
          <w:rFonts w:hint="eastAsia" w:ascii="仿宋" w:hAnsi="仿宋" w:eastAsia="仿宋"/>
          <w:color w:val="auto"/>
          <w:sz w:val="24"/>
          <w:u w:val="single"/>
        </w:rPr>
        <w:t xml:space="preserve">    </w:t>
      </w:r>
      <w:r>
        <w:rPr>
          <w:rFonts w:hint="eastAsia" w:ascii="仿宋" w:hAnsi="仿宋" w:eastAsia="仿宋"/>
          <w:color w:val="auto"/>
          <w:sz w:val="24"/>
        </w:rPr>
        <w:t>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本企业对上述声明内容的真实性负责。如有虚假，将依法承担相应责任。</w:t>
      </w:r>
    </w:p>
    <w:p>
      <w:pPr>
        <w:widowControl/>
        <w:spacing w:line="360" w:lineRule="exact"/>
        <w:jc w:val="left"/>
        <w:rPr>
          <w:rFonts w:ascii="仿宋" w:hAnsi="仿宋" w:eastAsia="仿宋"/>
          <w:color w:val="auto"/>
          <w:sz w:val="24"/>
        </w:rPr>
      </w:pPr>
      <w:r>
        <w:rPr>
          <w:rFonts w:hint="eastAsia" w:ascii="仿宋" w:hAnsi="仿宋" w:eastAsia="仿宋"/>
          <w:color w:val="auto"/>
          <w:sz w:val="24"/>
        </w:rPr>
        <w:t xml:space="preserve"> </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440" w:lineRule="exact"/>
        <w:ind w:right="480"/>
        <w:jc w:val="center"/>
        <w:rPr>
          <w:rFonts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olor w:val="auto"/>
          <w:kern w:val="1"/>
          <w:sz w:val="24"/>
        </w:rPr>
        <w:t>投标供应商</w:t>
      </w:r>
      <w:r>
        <w:rPr>
          <w:rFonts w:hint="eastAsia" w:ascii="仿宋" w:hAnsi="仿宋" w:eastAsia="仿宋"/>
          <w:color w:val="auto"/>
          <w:sz w:val="24"/>
        </w:rPr>
        <w:t xml:space="preserve">（盖公章）：  </w:t>
      </w:r>
    </w:p>
    <w:p>
      <w:pPr>
        <w:widowControl/>
        <w:spacing w:line="440" w:lineRule="exact"/>
        <w:ind w:right="360"/>
        <w:jc w:val="center"/>
        <w:rPr>
          <w:rFonts w:ascii="仿宋" w:hAnsi="仿宋" w:eastAsia="仿宋"/>
          <w:color w:val="auto"/>
          <w:sz w:val="24"/>
        </w:rPr>
      </w:pPr>
      <w:r>
        <w:rPr>
          <w:rFonts w:hint="eastAsia" w:ascii="仿宋" w:hAnsi="仿宋" w:eastAsia="仿宋"/>
          <w:color w:val="auto"/>
          <w:sz w:val="24"/>
        </w:rPr>
        <w:t xml:space="preserve">                                                       日期：  年  月  日</w:t>
      </w:r>
    </w:p>
    <w:p>
      <w:pPr>
        <w:widowControl/>
        <w:spacing w:line="360" w:lineRule="exact"/>
        <w:jc w:val="left"/>
        <w:rPr>
          <w:rFonts w:ascii="仿宋" w:hAnsi="仿宋" w:eastAsia="仿宋"/>
          <w:color w:val="auto"/>
          <w:sz w:val="24"/>
        </w:rPr>
      </w:pPr>
      <w:r>
        <w:rPr>
          <w:rFonts w:hint="eastAsia" w:ascii="仿宋" w:hAnsi="仿宋" w:eastAsia="仿宋"/>
          <w:color w:val="auto"/>
          <w:sz w:val="24"/>
        </w:rPr>
        <w:t xml:space="preserve"> </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b/>
          <w:color w:val="auto"/>
          <w:sz w:val="24"/>
        </w:rPr>
      </w:pPr>
      <w:r>
        <w:rPr>
          <w:rFonts w:hint="eastAsia" w:ascii="仿宋" w:hAnsi="仿宋" w:eastAsia="仿宋"/>
          <w:b/>
          <w:color w:val="auto"/>
          <w:sz w:val="24"/>
        </w:rPr>
        <w:t>注：1.从业人员、营业收入、资产总额填报上一年度数据，无上一年度数据的新成立企业可不填报。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color w:val="auto"/>
          <w:sz w:val="24"/>
        </w:rPr>
      </w:pPr>
      <w:r>
        <w:rPr>
          <w:rFonts w:hint="eastAsia" w:ascii="仿宋" w:hAnsi="仿宋" w:eastAsia="仿宋"/>
          <w:b/>
          <w:color w:val="auto"/>
          <w:sz w:val="24"/>
        </w:rPr>
        <w:t>2.供应商提供由省级以上监狱管理局、戒毒管理局（含新疆生产建设兵团）出具的属于监狱企业证明文件的，视同为小型和微型企业。</w:t>
      </w:r>
    </w:p>
    <w:p>
      <w:pPr>
        <w:widowControl/>
        <w:spacing w:line="440" w:lineRule="exact"/>
        <w:jc w:val="left"/>
        <w:rPr>
          <w:rFonts w:ascii="仿宋" w:hAnsi="仿宋" w:eastAsia="仿宋"/>
          <w:color w:val="auto"/>
          <w:kern w:val="0"/>
          <w:sz w:val="24"/>
        </w:rPr>
      </w:pPr>
    </w:p>
    <w:p>
      <w:pPr>
        <w:widowControl/>
        <w:spacing w:line="440" w:lineRule="exact"/>
        <w:jc w:val="left"/>
        <w:rPr>
          <w:rFonts w:ascii="仿宋" w:hAnsi="仿宋" w:eastAsia="仿宋"/>
          <w:color w:val="auto"/>
          <w:kern w:val="0"/>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b/>
          <w:bCs/>
          <w:color w:val="auto"/>
          <w:szCs w:val="21"/>
        </w:rPr>
      </w:pPr>
      <w:r>
        <w:rPr>
          <w:rFonts w:hint="eastAsia" w:ascii="仿宋" w:hAnsi="仿宋" w:eastAsia="仿宋"/>
          <w:b/>
          <w:bCs/>
          <w:color w:val="auto"/>
          <w:sz w:val="24"/>
        </w:rPr>
        <w:t xml:space="preserve">附件十二  技术服务条款偏离表 </w:t>
      </w:r>
    </w:p>
    <w:p>
      <w:pPr>
        <w:shd w:val="clear" w:color="auto" w:fill="FFFFFF"/>
        <w:spacing w:line="440" w:lineRule="exact"/>
        <w:jc w:val="center"/>
        <w:rPr>
          <w:rFonts w:ascii="仿宋" w:hAnsi="仿宋" w:eastAsia="仿宋"/>
          <w:b/>
          <w:bCs/>
          <w:color w:val="auto"/>
          <w:sz w:val="28"/>
          <w:szCs w:val="28"/>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技术服务条款偏离表</w:t>
      </w:r>
    </w:p>
    <w:p>
      <w:pPr>
        <w:shd w:val="clear" w:color="auto" w:fill="FFFFFF"/>
        <w:spacing w:line="500" w:lineRule="exact"/>
        <w:ind w:firstLine="120" w:firstLineChars="50"/>
        <w:rPr>
          <w:rFonts w:ascii="仿宋" w:hAnsi="仿宋" w:eastAsia="仿宋"/>
          <w:color w:val="auto"/>
          <w:sz w:val="24"/>
        </w:rPr>
      </w:pPr>
      <w:r>
        <w:rPr>
          <w:rFonts w:hint="eastAsia" w:ascii="仿宋" w:hAnsi="仿宋" w:eastAsia="仿宋"/>
          <w:color w:val="auto"/>
          <w:sz w:val="24"/>
        </w:rPr>
        <w:t>项目名称：                                 项目编号：</w:t>
      </w:r>
    </w:p>
    <w:p>
      <w:pPr>
        <w:shd w:val="clear" w:color="auto" w:fill="FFFFFF"/>
        <w:spacing w:line="500" w:lineRule="exact"/>
        <w:ind w:firstLine="105" w:firstLineChars="50"/>
        <w:rPr>
          <w:rFonts w:ascii="仿宋" w:hAnsi="仿宋" w:eastAsia="仿宋"/>
          <w:color w:val="auto"/>
          <w:szCs w:val="21"/>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招标规格</w:t>
            </w: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投标规格</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bl>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注：供应商须对照第四章《采购需求》全部内容逐条列明响应内容及是否偏离等情况，对需求中标注★号的条款、要求提供截图、外观证明、证书、附图、证明（或相应证明）资料等各类证明资料的技术条款，应在“备注”栏说明证明资料在《投标文件》的具体页码，否则，视为负偏离。</w:t>
      </w: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50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color w:val="auto"/>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440" w:lineRule="exact"/>
        <w:rPr>
          <w:rFonts w:ascii="仿宋" w:hAnsi="仿宋" w:eastAsia="仿宋"/>
          <w:b/>
          <w:bCs/>
          <w:color w:val="auto"/>
          <w:sz w:val="28"/>
          <w:szCs w:val="28"/>
        </w:rPr>
      </w:pPr>
      <w:r>
        <w:rPr>
          <w:rFonts w:hint="eastAsia" w:ascii="仿宋" w:hAnsi="仿宋" w:eastAsia="仿宋"/>
          <w:b/>
          <w:bCs/>
          <w:color w:val="auto"/>
          <w:sz w:val="24"/>
        </w:rPr>
        <w:t>附件十三  产品详细配置清单</w:t>
      </w:r>
    </w:p>
    <w:p>
      <w:pPr>
        <w:shd w:val="clear" w:color="auto" w:fill="FFFFFF"/>
        <w:spacing w:line="440" w:lineRule="exact"/>
        <w:jc w:val="center"/>
        <w:rPr>
          <w:rFonts w:ascii="仿宋" w:hAnsi="仿宋" w:eastAsia="仿宋"/>
          <w:b/>
          <w:bCs/>
          <w:color w:val="auto"/>
          <w:sz w:val="28"/>
          <w:szCs w:val="28"/>
        </w:rPr>
      </w:pPr>
    </w:p>
    <w:p>
      <w:pPr>
        <w:pStyle w:val="704"/>
        <w:rPr>
          <w:rFonts w:ascii="仿宋" w:hAnsi="仿宋" w:eastAsia="仿宋"/>
          <w:color w:val="auto"/>
          <w:sz w:val="24"/>
        </w:rPr>
      </w:pPr>
    </w:p>
    <w:p>
      <w:pPr>
        <w:shd w:val="clear" w:color="auto" w:fill="FFFFFF"/>
        <w:spacing w:line="500" w:lineRule="exact"/>
        <w:rPr>
          <w:rFonts w:ascii="仿宋" w:hAnsi="仿宋" w:eastAsia="仿宋"/>
          <w:b/>
          <w:bCs/>
          <w:color w:val="auto"/>
          <w:szCs w:val="21"/>
        </w:rPr>
      </w:pPr>
      <w:r>
        <w:rPr>
          <w:rFonts w:ascii="仿宋" w:hAnsi="仿宋" w:eastAsia="仿宋"/>
          <w:b/>
          <w:bCs/>
          <w:color w:val="auto"/>
          <w:szCs w:val="21"/>
        </w:rPr>
        <w:br w:type="page"/>
      </w:r>
    </w:p>
    <w:p>
      <w:pPr>
        <w:tabs>
          <w:tab w:val="center" w:pos="7115"/>
          <w:tab w:val="right" w:pos="14230"/>
        </w:tabs>
        <w:rPr>
          <w:rFonts w:ascii="仿宋" w:hAnsi="仿宋" w:eastAsia="仿宋"/>
          <w:b/>
          <w:bCs/>
          <w:color w:val="auto"/>
          <w:sz w:val="24"/>
        </w:rPr>
      </w:pPr>
    </w:p>
    <w:p>
      <w:pPr>
        <w:tabs>
          <w:tab w:val="center" w:pos="7115"/>
          <w:tab w:val="right" w:pos="14230"/>
        </w:tabs>
        <w:rPr>
          <w:rFonts w:ascii="仿宋" w:hAnsi="仿宋" w:eastAsia="仿宋"/>
          <w:b/>
          <w:bCs/>
          <w:color w:val="auto"/>
          <w:sz w:val="24"/>
        </w:rPr>
      </w:pPr>
      <w:r>
        <w:rPr>
          <w:rFonts w:hint="eastAsia" w:ascii="仿宋" w:hAnsi="仿宋" w:eastAsia="仿宋"/>
          <w:b/>
          <w:bCs/>
          <w:color w:val="auto"/>
          <w:sz w:val="24"/>
        </w:rPr>
        <w:t xml:space="preserve">附件十四 </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开标一览表</w:t>
      </w:r>
    </w:p>
    <w:p>
      <w:pPr>
        <w:tabs>
          <w:tab w:val="center" w:pos="7115"/>
          <w:tab w:val="right" w:pos="14230"/>
        </w:tabs>
        <w:ind w:firstLine="723"/>
        <w:jc w:val="center"/>
        <w:rPr>
          <w:rFonts w:ascii="仿宋" w:hAnsi="仿宋" w:eastAsia="仿宋"/>
          <w:color w:val="auto"/>
          <w:sz w:val="24"/>
        </w:rPr>
      </w:pPr>
    </w:p>
    <w:p>
      <w:pPr>
        <w:tabs>
          <w:tab w:val="center" w:pos="7115"/>
          <w:tab w:val="right" w:pos="14230"/>
        </w:tabs>
        <w:ind w:firstLine="120" w:firstLineChars="50"/>
        <w:rPr>
          <w:rFonts w:ascii="仿宋" w:hAnsi="仿宋" w:eastAsia="仿宋"/>
          <w:color w:val="auto"/>
          <w:sz w:val="24"/>
        </w:rPr>
      </w:pPr>
      <w:r>
        <w:rPr>
          <w:rFonts w:hint="eastAsia" w:ascii="仿宋" w:hAnsi="仿宋" w:eastAsia="仿宋"/>
          <w:color w:val="auto"/>
          <w:sz w:val="24"/>
        </w:rPr>
        <w:t>供应商名称：                                                       单位：元</w:t>
      </w:r>
    </w:p>
    <w:p>
      <w:pPr>
        <w:spacing w:line="360" w:lineRule="exact"/>
        <w:ind w:firstLine="120" w:firstLineChars="50"/>
        <w:rPr>
          <w:rFonts w:ascii="仿宋" w:hAnsi="仿宋" w:eastAsia="仿宋" w:cs="宋体"/>
          <w:color w:val="auto"/>
          <w:spacing w:val="-10"/>
          <w:kern w:val="0"/>
          <w:sz w:val="24"/>
        </w:rPr>
      </w:pPr>
      <w:r>
        <w:rPr>
          <w:rFonts w:hint="eastAsia" w:ascii="仿宋" w:hAnsi="仿宋" w:eastAsia="仿宋"/>
          <w:color w:val="auto"/>
          <w:sz w:val="24"/>
        </w:rPr>
        <w:t>项目名称：</w:t>
      </w:r>
    </w:p>
    <w:p>
      <w:pPr>
        <w:spacing w:line="360" w:lineRule="exact"/>
        <w:ind w:firstLine="110" w:firstLineChars="50"/>
        <w:rPr>
          <w:rFonts w:ascii="仿宋" w:hAnsi="仿宋" w:eastAsia="仿宋" w:cs="宋体"/>
          <w:color w:val="auto"/>
          <w:spacing w:val="-10"/>
          <w:kern w:val="0"/>
          <w:sz w:val="24"/>
        </w:rPr>
      </w:pPr>
      <w:r>
        <w:rPr>
          <w:rFonts w:hint="eastAsia" w:ascii="仿宋" w:hAnsi="仿宋" w:eastAsia="仿宋" w:cs="宋体"/>
          <w:color w:val="auto"/>
          <w:spacing w:val="-10"/>
          <w:kern w:val="0"/>
          <w:sz w:val="24"/>
        </w:rPr>
        <w:t>项目</w:t>
      </w:r>
      <w:r>
        <w:rPr>
          <w:rFonts w:hint="eastAsia" w:ascii="仿宋" w:hAnsi="仿宋" w:eastAsia="仿宋"/>
          <w:color w:val="auto"/>
          <w:sz w:val="24"/>
        </w:rPr>
        <w:t>编号：</w:t>
      </w:r>
      <w:r>
        <w:rPr>
          <w:rFonts w:ascii="仿宋" w:hAnsi="仿宋" w:eastAsia="仿宋"/>
          <w:color w:val="auto"/>
          <w:sz w:val="24"/>
        </w:rPr>
        <w:t>20</w:t>
      </w:r>
      <w:r>
        <w:rPr>
          <w:rFonts w:hint="eastAsia" w:ascii="仿宋" w:hAnsi="仿宋" w:eastAsia="仿宋"/>
          <w:color w:val="auto"/>
          <w:sz w:val="24"/>
        </w:rPr>
        <w:t>22PCGK074</w:t>
      </w:r>
    </w:p>
    <w:tbl>
      <w:tblPr>
        <w:tblStyle w:val="59"/>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8"/>
        <w:gridCol w:w="991"/>
        <w:gridCol w:w="371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2059"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标的名称</w:t>
            </w:r>
          </w:p>
        </w:tc>
        <w:tc>
          <w:tcPr>
            <w:tcW w:w="51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数量</w:t>
            </w:r>
          </w:p>
        </w:tc>
        <w:tc>
          <w:tcPr>
            <w:tcW w:w="192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交货期及完工期</w:t>
            </w:r>
          </w:p>
        </w:tc>
        <w:tc>
          <w:tcPr>
            <w:tcW w:w="504"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2059" w:type="pct"/>
            <w:tcBorders>
              <w:bottom w:val="single" w:color="auto" w:sz="4" w:space="0"/>
            </w:tcBorders>
            <w:vAlign w:val="center"/>
          </w:tcPr>
          <w:p>
            <w:pPr>
              <w:pStyle w:val="702"/>
              <w:spacing w:line="420" w:lineRule="exact"/>
              <w:ind w:firstLine="0" w:firstLineChars="0"/>
              <w:jc w:val="center"/>
              <w:rPr>
                <w:rFonts w:ascii="仿宋" w:hAnsi="仿宋" w:eastAsia="仿宋"/>
                <w:color w:val="auto"/>
                <w:sz w:val="24"/>
                <w:szCs w:val="24"/>
              </w:rPr>
            </w:pPr>
          </w:p>
        </w:tc>
        <w:tc>
          <w:tcPr>
            <w:tcW w:w="51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1批</w:t>
            </w:r>
          </w:p>
        </w:tc>
        <w:tc>
          <w:tcPr>
            <w:tcW w:w="1923" w:type="pct"/>
            <w:tcBorders>
              <w:bottom w:val="single" w:color="auto" w:sz="4" w:space="0"/>
            </w:tcBorders>
            <w:vAlign w:val="center"/>
          </w:tcPr>
          <w:p>
            <w:pPr>
              <w:jc w:val="center"/>
              <w:rPr>
                <w:rFonts w:ascii="仿宋" w:hAnsi="仿宋" w:eastAsia="仿宋"/>
                <w:color w:val="auto"/>
                <w:sz w:val="24"/>
              </w:rPr>
            </w:pPr>
          </w:p>
        </w:tc>
        <w:tc>
          <w:tcPr>
            <w:tcW w:w="504" w:type="pct"/>
            <w:tcBorders>
              <w:bottom w:val="single" w:color="auto" w:sz="4" w:space="0"/>
            </w:tcBorders>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jc w:val="center"/>
        </w:trPr>
        <w:tc>
          <w:tcPr>
            <w:tcW w:w="2059"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投标总报价(元)：</w:t>
            </w:r>
          </w:p>
        </w:tc>
        <w:tc>
          <w:tcPr>
            <w:tcW w:w="2940" w:type="pct"/>
            <w:gridSpan w:val="3"/>
            <w:tcBorders>
              <w:bottom w:val="single" w:color="auto" w:sz="4" w:space="0"/>
            </w:tcBorders>
            <w:vAlign w:val="center"/>
          </w:tcPr>
          <w:p>
            <w:pPr>
              <w:jc w:val="center"/>
              <w:rPr>
                <w:rFonts w:ascii="仿宋" w:hAnsi="仿宋" w:eastAsia="仿宋"/>
                <w:color w:val="auto"/>
                <w:sz w:val="24"/>
              </w:rPr>
            </w:pPr>
          </w:p>
        </w:tc>
      </w:tr>
    </w:tbl>
    <w:p>
      <w:pPr>
        <w:rPr>
          <w:rFonts w:ascii="仿宋" w:hAnsi="仿宋" w:eastAsia="仿宋"/>
          <w:color w:val="auto"/>
          <w:sz w:val="24"/>
        </w:rPr>
      </w:pPr>
    </w:p>
    <w:p>
      <w:pPr>
        <w:widowControl/>
        <w:spacing w:line="400" w:lineRule="exact"/>
        <w:jc w:val="left"/>
        <w:rPr>
          <w:rFonts w:ascii="仿宋" w:hAnsi="仿宋" w:eastAsia="仿宋"/>
          <w:color w:val="auto"/>
          <w:sz w:val="24"/>
        </w:rPr>
      </w:pPr>
      <w:r>
        <w:rPr>
          <w:rFonts w:hint="eastAsia" w:ascii="仿宋" w:hAnsi="仿宋" w:eastAsia="仿宋"/>
          <w:color w:val="auto"/>
          <w:sz w:val="24"/>
        </w:rPr>
        <w:t>供应商（公章）：</w:t>
      </w:r>
    </w:p>
    <w:p>
      <w:pPr>
        <w:shd w:val="clear" w:color="auto" w:fill="FFFFFF"/>
        <w:tabs>
          <w:tab w:val="left" w:pos="3780"/>
        </w:tabs>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tabs>
          <w:tab w:val="left" w:pos="3780"/>
        </w:tabs>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00" w:lineRule="exact"/>
        <w:jc w:val="left"/>
        <w:rPr>
          <w:rFonts w:ascii="仿宋" w:hAnsi="仿宋" w:eastAsia="仿宋"/>
          <w:b/>
          <w:bCs/>
          <w:color w:val="auto"/>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p>
    <w:p>
      <w:pPr>
        <w:widowControl/>
        <w:ind w:firstLine="482" w:firstLineChars="200"/>
        <w:jc w:val="left"/>
        <w:rPr>
          <w:rFonts w:ascii="仿宋" w:hAnsi="仿宋" w:eastAsia="仿宋"/>
          <w:b/>
          <w:bCs/>
          <w:color w:val="auto"/>
          <w:sz w:val="18"/>
          <w:szCs w:val="18"/>
        </w:rPr>
      </w:pPr>
      <w:r>
        <w:rPr>
          <w:rFonts w:ascii="仿宋" w:hAnsi="仿宋" w:eastAsia="仿宋"/>
          <w:b/>
          <w:bCs/>
          <w:color w:val="auto"/>
          <w:sz w:val="24"/>
        </w:rPr>
        <w:br w:type="page"/>
      </w:r>
    </w:p>
    <w:p>
      <w:pPr>
        <w:widowControl/>
        <w:jc w:val="left"/>
        <w:rPr>
          <w:rFonts w:ascii="仿宋" w:hAnsi="仿宋" w:eastAsia="仿宋"/>
          <w:b/>
          <w:bCs/>
          <w:color w:val="auto"/>
          <w:kern w:val="0"/>
          <w:sz w:val="24"/>
        </w:rPr>
      </w:pPr>
      <w:r>
        <w:rPr>
          <w:rFonts w:hint="eastAsia" w:ascii="仿宋" w:hAnsi="仿宋" w:eastAsia="仿宋"/>
          <w:b/>
          <w:bCs/>
          <w:color w:val="auto"/>
          <w:sz w:val="24"/>
        </w:rPr>
        <w:t xml:space="preserve">附件十五  </w:t>
      </w:r>
      <w:r>
        <w:rPr>
          <w:rFonts w:hint="eastAsia" w:ascii="仿宋" w:hAnsi="仿宋" w:eastAsia="仿宋"/>
          <w:b/>
          <w:bCs/>
          <w:color w:val="auto"/>
          <w:kern w:val="0"/>
          <w:sz w:val="24"/>
        </w:rPr>
        <w:t xml:space="preserve">分项报价明细表 </w:t>
      </w:r>
    </w:p>
    <w:p>
      <w:pPr>
        <w:shd w:val="clear" w:color="auto" w:fill="FFFFFF"/>
        <w:spacing w:line="440" w:lineRule="exact"/>
        <w:rPr>
          <w:rFonts w:ascii="仿宋" w:hAnsi="仿宋" w:eastAsia="仿宋"/>
          <w:b/>
          <w:color w:val="auto"/>
          <w:sz w:val="24"/>
        </w:rPr>
      </w:pP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41"/>
        <w:gridCol w:w="201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项</w:t>
            </w:r>
          </w:p>
        </w:tc>
        <w:tc>
          <w:tcPr>
            <w:tcW w:w="2441"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1</w:t>
            </w:r>
          </w:p>
        </w:tc>
        <w:tc>
          <w:tcPr>
            <w:tcW w:w="2010"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序</w:t>
            </w:r>
          </w:p>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号</w:t>
            </w:r>
          </w:p>
        </w:tc>
        <w:tc>
          <w:tcPr>
            <w:tcW w:w="2441"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产品名称</w:t>
            </w:r>
          </w:p>
        </w:tc>
        <w:tc>
          <w:tcPr>
            <w:tcW w:w="2010"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30"/>
              <w:spacing w:line="360" w:lineRule="auto"/>
              <w:jc w:val="center"/>
              <w:rPr>
                <w:rFonts w:ascii="仿宋" w:hAnsi="仿宋" w:eastAsia="仿宋"/>
                <w:color w:val="auto"/>
                <w:sz w:val="24"/>
              </w:rPr>
            </w:pPr>
            <w:r>
              <w:rPr>
                <w:rFonts w:hint="eastAsia" w:ascii="仿宋" w:hAnsi="仿宋" w:eastAsia="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30"/>
              <w:widowControl/>
              <w:spacing w:line="360" w:lineRule="auto"/>
              <w:jc w:val="center"/>
              <w:rPr>
                <w:rFonts w:ascii="仿宋" w:hAnsi="仿宋" w:eastAsia="仿宋"/>
                <w:color w:val="auto"/>
                <w:sz w:val="24"/>
              </w:rPr>
            </w:pPr>
            <w:r>
              <w:rPr>
                <w:rFonts w:hint="eastAsia" w:ascii="仿宋" w:hAnsi="仿宋" w:eastAsia="仿宋"/>
                <w:color w:val="auto"/>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30"/>
              <w:widowControl/>
              <w:spacing w:line="360" w:lineRule="auto"/>
              <w:jc w:val="center"/>
              <w:rPr>
                <w:rFonts w:ascii="仿宋" w:hAnsi="仿宋" w:eastAsia="仿宋"/>
                <w:color w:val="auto"/>
                <w:sz w:val="24"/>
              </w:rPr>
            </w:pPr>
            <w:r>
              <w:rPr>
                <w:rFonts w:hint="eastAsia" w:ascii="仿宋" w:hAnsi="仿宋" w:eastAsia="仿宋"/>
                <w:color w:val="auto"/>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w:t>
            </w: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货物费用小计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安装调试费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技术支持费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培训费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运输与保险费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ind w:firstLine="960" w:firstLineChars="400"/>
              <w:rPr>
                <w:rFonts w:ascii="仿宋" w:hAnsi="仿宋" w:eastAsia="仿宋"/>
                <w:color w:val="auto"/>
                <w:sz w:val="24"/>
              </w:rPr>
            </w:pPr>
            <w:r>
              <w:rPr>
                <w:rFonts w:hint="eastAsia" w:ascii="仿宋" w:hAnsi="仿宋" w:eastAsia="仿宋"/>
                <w:color w:val="auto"/>
                <w:sz w:val="24"/>
              </w:rPr>
              <w:t>其他</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合计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bl>
    <w:p>
      <w:pPr>
        <w:shd w:val="clear" w:color="auto" w:fill="FFFFFF"/>
        <w:spacing w:line="440" w:lineRule="exact"/>
        <w:rPr>
          <w:rFonts w:ascii="仿宋" w:hAnsi="仿宋" w:eastAsia="仿宋"/>
          <w:b/>
          <w:color w:val="auto"/>
          <w:sz w:val="24"/>
        </w:rPr>
      </w:pPr>
    </w:p>
    <w:p>
      <w:pPr>
        <w:pStyle w:val="732"/>
        <w:tabs>
          <w:tab w:val="left" w:pos="420"/>
          <w:tab w:val="clear" w:pos="360"/>
        </w:tabs>
        <w:spacing w:line="340" w:lineRule="exact"/>
        <w:ind w:left="566" w:hanging="566" w:hangingChars="235"/>
        <w:outlineLvl w:val="2"/>
        <w:rPr>
          <w:rFonts w:ascii="仿宋" w:hAnsi="仿宋" w:eastAsia="仿宋"/>
          <w:color w:val="auto"/>
        </w:rPr>
      </w:pPr>
    </w:p>
    <w:p>
      <w:pPr>
        <w:widowControl/>
        <w:spacing w:line="440" w:lineRule="exact"/>
        <w:ind w:firstLine="5400" w:firstLineChars="2250"/>
        <w:jc w:val="left"/>
        <w:rPr>
          <w:rFonts w:ascii="仿宋" w:hAnsi="仿宋" w:eastAsia="仿宋"/>
          <w:color w:val="auto"/>
          <w:sz w:val="24"/>
        </w:rPr>
      </w:pPr>
      <w:r>
        <w:rPr>
          <w:rFonts w:hint="eastAsia" w:ascii="仿宋" w:hAnsi="仿宋" w:eastAsia="仿宋"/>
          <w:color w:val="auto"/>
          <w:sz w:val="24"/>
        </w:rPr>
        <w:t>供应商（公章）：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 xml:space="preserve">                                             法定代表人（或负责人）（签字或签章）：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 xml:space="preserve">                                             授权代理人（签字或签章）：</w:t>
      </w:r>
    </w:p>
    <w:p>
      <w:pPr>
        <w:pStyle w:val="733"/>
        <w:spacing w:line="440" w:lineRule="exact"/>
        <w:rPr>
          <w:rFonts w:ascii="仿宋" w:hAnsi="仿宋" w:eastAsia="仿宋"/>
          <w:color w:val="auto"/>
          <w:sz w:val="24"/>
        </w:rPr>
      </w:pPr>
      <w:r>
        <w:rPr>
          <w:rFonts w:hint="eastAsia" w:ascii="仿宋" w:hAnsi="仿宋" w:eastAsia="仿宋"/>
          <w:color w:val="auto"/>
          <w:sz w:val="24"/>
        </w:rPr>
        <w:t xml:space="preserve">                                             日期： 年  月  日</w:t>
      </w:r>
    </w:p>
    <w:p>
      <w:pPr>
        <w:widowControl/>
        <w:jc w:val="left"/>
        <w:rPr>
          <w:rFonts w:ascii="仿宋" w:hAnsi="仿宋" w:eastAsia="仿宋"/>
          <w:b/>
          <w:bCs/>
          <w:color w:val="auto"/>
          <w:sz w:val="24"/>
        </w:rPr>
      </w:pPr>
    </w:p>
    <w:p>
      <w:pPr>
        <w:widowControl/>
        <w:spacing w:line="360" w:lineRule="exact"/>
        <w:ind w:firstLine="482" w:firstLineChars="200"/>
        <w:rPr>
          <w:rFonts w:ascii="仿宋" w:hAnsi="仿宋" w:eastAsia="仿宋"/>
          <w:b/>
          <w:bCs/>
          <w:color w:val="auto"/>
          <w:sz w:val="24"/>
        </w:rPr>
      </w:pPr>
    </w:p>
    <w:sectPr>
      <w:footerReference r:id="rId5" w:type="first"/>
      <w:headerReference r:id="rId3" w:type="default"/>
      <w:footerReference r:id="rId4" w:type="default"/>
      <w:pgSz w:w="11906" w:h="16838"/>
      <w:pgMar w:top="1134" w:right="1134" w:bottom="1134" w:left="1134" w:header="703" w:footer="851"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Geneva">
    <w:altName w:val="Arial"/>
    <w:panose1 w:val="00000000000000000000"/>
    <w:charset w:val="00"/>
    <w:family w:val="auto"/>
    <w:pitch w:val="default"/>
    <w:sig w:usb0="00000000" w:usb1="00000000" w:usb2="00000000" w:usb3="00000000" w:csb0="00000001" w:csb1="00000000"/>
  </w:font>
  <w:font w:name="Angsana New">
    <w:panose1 w:val="02020603050405020304"/>
    <w:charset w:val="DE"/>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6"/>
    </w:sdtPr>
    <w:sdtContent>
      <w:p>
        <w:pPr>
          <w:pStyle w:val="40"/>
          <w:pBdr>
            <w:top w:val="dashDotStroked" w:color="auto" w:sz="24" w:space="1"/>
          </w:pBdr>
          <w:jc w:val="center"/>
          <w:rPr>
            <w:rFonts w:ascii="宋体"/>
            <w:kern w:val="0"/>
            <w:sz w:val="20"/>
          </w:rPr>
        </w:pPr>
        <w:r>
          <w:rPr>
            <w:lang w:val="zh-CN"/>
          </w:rPr>
          <w:fldChar w:fldCharType="begin"/>
        </w:r>
        <w:r>
          <w:rPr>
            <w:lang w:val="zh-CN"/>
          </w:rPr>
          <w:instrText xml:space="preserve">PAGE   \* MERGEFORMAT</w:instrText>
        </w:r>
        <w:r>
          <w:rPr>
            <w:lang w:val="zh-CN"/>
          </w:rPr>
          <w:fldChar w:fldCharType="separate"/>
        </w:r>
        <w:r>
          <w:rPr>
            <w:lang w:val="zh-CN"/>
          </w:rPr>
          <w:t>-</w:t>
        </w:r>
        <w:r>
          <w:t xml:space="preserve"> 26 -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40"/>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dashDotStroked" w:color="auto" w:sz="24" w:space="0"/>
      </w:pBdr>
      <w:jc w:val="left"/>
      <w:rPr>
        <w:rFonts w:ascii="仿宋" w:hAnsi="仿宋" w:eastAsia="仿宋"/>
        <w:b/>
        <w:i/>
        <w:spacing w:val="-10"/>
      </w:rPr>
    </w:pPr>
    <w:r>
      <w:rPr>
        <w:rFonts w:hint="eastAsia" w:ascii="仿宋" w:hAnsi="仿宋" w:eastAsia="仿宋"/>
        <w:b/>
        <w:i/>
        <w:spacing w:val="-10"/>
      </w:rPr>
      <w:t>库尔勒市妇幼保健计划生育服务中心（库尔勒市妇幼保健院）网络安全系统采购招标文件                      项目编号：2022PCGK074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51"/>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41D4E7B"/>
    <w:multiLevelType w:val="singleLevel"/>
    <w:tmpl w:val="141D4E7B"/>
    <w:lvl w:ilvl="0" w:tentative="0">
      <w:start w:val="4"/>
      <w:numFmt w:val="chineseCounting"/>
      <w:suff w:val="space"/>
      <w:lvlText w:val="第%1章"/>
      <w:lvlJc w:val="left"/>
      <w:rPr>
        <w:rFonts w:hint="eastAsia"/>
      </w:rPr>
    </w:lvl>
  </w:abstractNum>
  <w:abstractNum w:abstractNumId="4">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9"/>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1"/>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1"/>
  </w:num>
  <w:num w:numId="3">
    <w:abstractNumId w:val="10"/>
  </w:num>
  <w:num w:numId="4">
    <w:abstractNumId w:val="5"/>
  </w:num>
  <w:num w:numId="5">
    <w:abstractNumId w:val="6"/>
  </w:num>
  <w:num w:numId="6">
    <w:abstractNumId w:val="2"/>
  </w:num>
  <w:num w:numId="7">
    <w:abstractNumId w:val="4"/>
  </w:num>
  <w:num w:numId="8">
    <w:abstractNumId w:val="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MzMDZjOTRlMTc5NmQzZWMzMjBlYmY4MjA3NzQ4Y2I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ECD"/>
    <w:rsid w:val="000140FD"/>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7C3"/>
    <w:rsid w:val="00043FB9"/>
    <w:rsid w:val="00044931"/>
    <w:rsid w:val="00044D3A"/>
    <w:rsid w:val="00047062"/>
    <w:rsid w:val="00047090"/>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630D"/>
    <w:rsid w:val="000668C3"/>
    <w:rsid w:val="00066E3F"/>
    <w:rsid w:val="000676B4"/>
    <w:rsid w:val="00067A73"/>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6071"/>
    <w:rsid w:val="00080194"/>
    <w:rsid w:val="00080E6A"/>
    <w:rsid w:val="00082016"/>
    <w:rsid w:val="000827AD"/>
    <w:rsid w:val="00082E4F"/>
    <w:rsid w:val="000830A7"/>
    <w:rsid w:val="0008320D"/>
    <w:rsid w:val="000832A1"/>
    <w:rsid w:val="0008382F"/>
    <w:rsid w:val="00083B2D"/>
    <w:rsid w:val="00085DC8"/>
    <w:rsid w:val="00085E32"/>
    <w:rsid w:val="00085FAD"/>
    <w:rsid w:val="000864B0"/>
    <w:rsid w:val="000867C7"/>
    <w:rsid w:val="00086C8A"/>
    <w:rsid w:val="00087B69"/>
    <w:rsid w:val="00087F9F"/>
    <w:rsid w:val="00090C73"/>
    <w:rsid w:val="00091207"/>
    <w:rsid w:val="0009387E"/>
    <w:rsid w:val="00093C35"/>
    <w:rsid w:val="00093D4C"/>
    <w:rsid w:val="00094064"/>
    <w:rsid w:val="000947F1"/>
    <w:rsid w:val="000949E6"/>
    <w:rsid w:val="00094C95"/>
    <w:rsid w:val="000957C7"/>
    <w:rsid w:val="0009593D"/>
    <w:rsid w:val="00095994"/>
    <w:rsid w:val="00095EAE"/>
    <w:rsid w:val="000966DF"/>
    <w:rsid w:val="000973D4"/>
    <w:rsid w:val="000A08F8"/>
    <w:rsid w:val="000A09BA"/>
    <w:rsid w:val="000A11E5"/>
    <w:rsid w:val="000A1504"/>
    <w:rsid w:val="000A223C"/>
    <w:rsid w:val="000A24A2"/>
    <w:rsid w:val="000A2717"/>
    <w:rsid w:val="000A31AA"/>
    <w:rsid w:val="000A3D7A"/>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3C4"/>
    <w:rsid w:val="001205DF"/>
    <w:rsid w:val="00120DC2"/>
    <w:rsid w:val="00120EB2"/>
    <w:rsid w:val="00121314"/>
    <w:rsid w:val="00122B8B"/>
    <w:rsid w:val="001236B1"/>
    <w:rsid w:val="0012439E"/>
    <w:rsid w:val="00124AC7"/>
    <w:rsid w:val="00124DF5"/>
    <w:rsid w:val="00125E8C"/>
    <w:rsid w:val="0012633F"/>
    <w:rsid w:val="00126796"/>
    <w:rsid w:val="00127283"/>
    <w:rsid w:val="00127394"/>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738"/>
    <w:rsid w:val="00133BBE"/>
    <w:rsid w:val="00133D43"/>
    <w:rsid w:val="001348A7"/>
    <w:rsid w:val="00135321"/>
    <w:rsid w:val="00137242"/>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7522"/>
    <w:rsid w:val="00147B3A"/>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3868"/>
    <w:rsid w:val="00173D3B"/>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784A"/>
    <w:rsid w:val="0019058B"/>
    <w:rsid w:val="00190DC4"/>
    <w:rsid w:val="00191383"/>
    <w:rsid w:val="0019173B"/>
    <w:rsid w:val="00191C0B"/>
    <w:rsid w:val="00192678"/>
    <w:rsid w:val="001928E7"/>
    <w:rsid w:val="001940A1"/>
    <w:rsid w:val="001951C1"/>
    <w:rsid w:val="00195330"/>
    <w:rsid w:val="00195408"/>
    <w:rsid w:val="001954B8"/>
    <w:rsid w:val="0019588D"/>
    <w:rsid w:val="00195BED"/>
    <w:rsid w:val="0019638F"/>
    <w:rsid w:val="00196965"/>
    <w:rsid w:val="00196CB7"/>
    <w:rsid w:val="00196F34"/>
    <w:rsid w:val="0019721D"/>
    <w:rsid w:val="001978EC"/>
    <w:rsid w:val="00197C2E"/>
    <w:rsid w:val="001A0370"/>
    <w:rsid w:val="001A0940"/>
    <w:rsid w:val="001A0C26"/>
    <w:rsid w:val="001A1572"/>
    <w:rsid w:val="001A1F77"/>
    <w:rsid w:val="001A2869"/>
    <w:rsid w:val="001A33ED"/>
    <w:rsid w:val="001A376D"/>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3938"/>
    <w:rsid w:val="001B3C6F"/>
    <w:rsid w:val="001B426F"/>
    <w:rsid w:val="001B4527"/>
    <w:rsid w:val="001B5117"/>
    <w:rsid w:val="001B55D3"/>
    <w:rsid w:val="001B5DD9"/>
    <w:rsid w:val="001B60B0"/>
    <w:rsid w:val="001B6539"/>
    <w:rsid w:val="001B658F"/>
    <w:rsid w:val="001B6602"/>
    <w:rsid w:val="001B6CA7"/>
    <w:rsid w:val="001B712A"/>
    <w:rsid w:val="001B7360"/>
    <w:rsid w:val="001B7446"/>
    <w:rsid w:val="001B7540"/>
    <w:rsid w:val="001C01C7"/>
    <w:rsid w:val="001C0200"/>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A4C"/>
    <w:rsid w:val="001D4FB2"/>
    <w:rsid w:val="001D5068"/>
    <w:rsid w:val="001D5360"/>
    <w:rsid w:val="001D62DB"/>
    <w:rsid w:val="001D63C8"/>
    <w:rsid w:val="001D726B"/>
    <w:rsid w:val="001D771F"/>
    <w:rsid w:val="001D7D3E"/>
    <w:rsid w:val="001E0506"/>
    <w:rsid w:val="001E0698"/>
    <w:rsid w:val="001E1789"/>
    <w:rsid w:val="001E2B77"/>
    <w:rsid w:val="001E30E6"/>
    <w:rsid w:val="001E31B9"/>
    <w:rsid w:val="001E3B18"/>
    <w:rsid w:val="001E3C81"/>
    <w:rsid w:val="001E4A13"/>
    <w:rsid w:val="001E528C"/>
    <w:rsid w:val="001E52A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3158"/>
    <w:rsid w:val="002242AF"/>
    <w:rsid w:val="00224F57"/>
    <w:rsid w:val="00225746"/>
    <w:rsid w:val="00225955"/>
    <w:rsid w:val="002264D5"/>
    <w:rsid w:val="0022690C"/>
    <w:rsid w:val="00227189"/>
    <w:rsid w:val="0022730E"/>
    <w:rsid w:val="00227B79"/>
    <w:rsid w:val="002300C6"/>
    <w:rsid w:val="002300E1"/>
    <w:rsid w:val="002304B6"/>
    <w:rsid w:val="0023271B"/>
    <w:rsid w:val="0023299B"/>
    <w:rsid w:val="00233196"/>
    <w:rsid w:val="00234304"/>
    <w:rsid w:val="0023463B"/>
    <w:rsid w:val="002349FE"/>
    <w:rsid w:val="00234EF7"/>
    <w:rsid w:val="002355FD"/>
    <w:rsid w:val="00235A6F"/>
    <w:rsid w:val="00236104"/>
    <w:rsid w:val="00236D55"/>
    <w:rsid w:val="00237199"/>
    <w:rsid w:val="002372F4"/>
    <w:rsid w:val="00237A0B"/>
    <w:rsid w:val="00237D96"/>
    <w:rsid w:val="002400C1"/>
    <w:rsid w:val="00240846"/>
    <w:rsid w:val="002408A3"/>
    <w:rsid w:val="002409E6"/>
    <w:rsid w:val="00240AEE"/>
    <w:rsid w:val="00240E0B"/>
    <w:rsid w:val="00240E9B"/>
    <w:rsid w:val="00240F2E"/>
    <w:rsid w:val="0024226A"/>
    <w:rsid w:val="00243E03"/>
    <w:rsid w:val="00244022"/>
    <w:rsid w:val="00244EE6"/>
    <w:rsid w:val="00245A2D"/>
    <w:rsid w:val="002461BB"/>
    <w:rsid w:val="002462FB"/>
    <w:rsid w:val="002464DD"/>
    <w:rsid w:val="00247398"/>
    <w:rsid w:val="002502A5"/>
    <w:rsid w:val="00250C42"/>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79BD"/>
    <w:rsid w:val="00267D78"/>
    <w:rsid w:val="0027015E"/>
    <w:rsid w:val="002702FD"/>
    <w:rsid w:val="00270425"/>
    <w:rsid w:val="0027067A"/>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776E"/>
    <w:rsid w:val="002808D0"/>
    <w:rsid w:val="00280A1F"/>
    <w:rsid w:val="00280A2D"/>
    <w:rsid w:val="00281080"/>
    <w:rsid w:val="00281642"/>
    <w:rsid w:val="002816F6"/>
    <w:rsid w:val="00282325"/>
    <w:rsid w:val="0028241A"/>
    <w:rsid w:val="00282DD6"/>
    <w:rsid w:val="00283395"/>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B04"/>
    <w:rsid w:val="002A6138"/>
    <w:rsid w:val="002A6614"/>
    <w:rsid w:val="002A6CF9"/>
    <w:rsid w:val="002A71EF"/>
    <w:rsid w:val="002A77C3"/>
    <w:rsid w:val="002A7872"/>
    <w:rsid w:val="002B0DEE"/>
    <w:rsid w:val="002B1668"/>
    <w:rsid w:val="002B23DF"/>
    <w:rsid w:val="002B32EF"/>
    <w:rsid w:val="002B402A"/>
    <w:rsid w:val="002B48B5"/>
    <w:rsid w:val="002B599D"/>
    <w:rsid w:val="002B5A9F"/>
    <w:rsid w:val="002B5C5E"/>
    <w:rsid w:val="002B6892"/>
    <w:rsid w:val="002B6902"/>
    <w:rsid w:val="002B6E17"/>
    <w:rsid w:val="002C036A"/>
    <w:rsid w:val="002C0420"/>
    <w:rsid w:val="002C149B"/>
    <w:rsid w:val="002C1B5E"/>
    <w:rsid w:val="002C1FE3"/>
    <w:rsid w:val="002C2460"/>
    <w:rsid w:val="002C2D41"/>
    <w:rsid w:val="002C2E16"/>
    <w:rsid w:val="002C3CAC"/>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9FB"/>
    <w:rsid w:val="002E5BD1"/>
    <w:rsid w:val="002E5E93"/>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3AC0"/>
    <w:rsid w:val="00313E14"/>
    <w:rsid w:val="00314B05"/>
    <w:rsid w:val="0031502D"/>
    <w:rsid w:val="003152BB"/>
    <w:rsid w:val="00316286"/>
    <w:rsid w:val="00316A7C"/>
    <w:rsid w:val="00316B20"/>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7271"/>
    <w:rsid w:val="00337C72"/>
    <w:rsid w:val="00340540"/>
    <w:rsid w:val="0034083D"/>
    <w:rsid w:val="00340E71"/>
    <w:rsid w:val="003419F1"/>
    <w:rsid w:val="00343B84"/>
    <w:rsid w:val="00343C1B"/>
    <w:rsid w:val="00344709"/>
    <w:rsid w:val="0034515D"/>
    <w:rsid w:val="0034522F"/>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60511"/>
    <w:rsid w:val="00360984"/>
    <w:rsid w:val="003611BD"/>
    <w:rsid w:val="0036184E"/>
    <w:rsid w:val="00361DD3"/>
    <w:rsid w:val="00361E00"/>
    <w:rsid w:val="0036228D"/>
    <w:rsid w:val="0036239E"/>
    <w:rsid w:val="003628D5"/>
    <w:rsid w:val="00362926"/>
    <w:rsid w:val="00362F11"/>
    <w:rsid w:val="00362F44"/>
    <w:rsid w:val="0036358E"/>
    <w:rsid w:val="00364587"/>
    <w:rsid w:val="00364897"/>
    <w:rsid w:val="003648F9"/>
    <w:rsid w:val="003649B6"/>
    <w:rsid w:val="00364B80"/>
    <w:rsid w:val="00364F1E"/>
    <w:rsid w:val="00364FD2"/>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1116"/>
    <w:rsid w:val="00391287"/>
    <w:rsid w:val="00391FE4"/>
    <w:rsid w:val="00392004"/>
    <w:rsid w:val="00393519"/>
    <w:rsid w:val="00393710"/>
    <w:rsid w:val="00394135"/>
    <w:rsid w:val="0039461B"/>
    <w:rsid w:val="00395268"/>
    <w:rsid w:val="00395B8D"/>
    <w:rsid w:val="003964B3"/>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520"/>
    <w:rsid w:val="003A7A5A"/>
    <w:rsid w:val="003A7DF2"/>
    <w:rsid w:val="003A7E56"/>
    <w:rsid w:val="003B1798"/>
    <w:rsid w:val="003B1D85"/>
    <w:rsid w:val="003B23B7"/>
    <w:rsid w:val="003B2665"/>
    <w:rsid w:val="003B2FB3"/>
    <w:rsid w:val="003B2FC7"/>
    <w:rsid w:val="003B301A"/>
    <w:rsid w:val="003B331E"/>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FE6"/>
    <w:rsid w:val="003C47D4"/>
    <w:rsid w:val="003C4C07"/>
    <w:rsid w:val="003C4E03"/>
    <w:rsid w:val="003C6A3C"/>
    <w:rsid w:val="003C6F0F"/>
    <w:rsid w:val="003C772D"/>
    <w:rsid w:val="003C7927"/>
    <w:rsid w:val="003D0AF8"/>
    <w:rsid w:val="003D0B9A"/>
    <w:rsid w:val="003D131B"/>
    <w:rsid w:val="003D168A"/>
    <w:rsid w:val="003D1B7B"/>
    <w:rsid w:val="003D2B14"/>
    <w:rsid w:val="003D2E55"/>
    <w:rsid w:val="003D2EDB"/>
    <w:rsid w:val="003D35DA"/>
    <w:rsid w:val="003D3DB0"/>
    <w:rsid w:val="003D4C38"/>
    <w:rsid w:val="003D51A3"/>
    <w:rsid w:val="003D542A"/>
    <w:rsid w:val="003D5C0A"/>
    <w:rsid w:val="003D6B8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126A"/>
    <w:rsid w:val="003F22CE"/>
    <w:rsid w:val="003F23FE"/>
    <w:rsid w:val="003F27FB"/>
    <w:rsid w:val="003F2812"/>
    <w:rsid w:val="003F3BCE"/>
    <w:rsid w:val="003F44FB"/>
    <w:rsid w:val="003F4D9B"/>
    <w:rsid w:val="003F5F76"/>
    <w:rsid w:val="003F6B77"/>
    <w:rsid w:val="003F6F2C"/>
    <w:rsid w:val="0040081C"/>
    <w:rsid w:val="00400A47"/>
    <w:rsid w:val="00400AE5"/>
    <w:rsid w:val="00401DD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5951"/>
    <w:rsid w:val="00415D5A"/>
    <w:rsid w:val="004160C6"/>
    <w:rsid w:val="00416611"/>
    <w:rsid w:val="004166B0"/>
    <w:rsid w:val="00416C81"/>
    <w:rsid w:val="00417192"/>
    <w:rsid w:val="0041767E"/>
    <w:rsid w:val="004203CE"/>
    <w:rsid w:val="00420BC5"/>
    <w:rsid w:val="004219D0"/>
    <w:rsid w:val="00421A40"/>
    <w:rsid w:val="00422195"/>
    <w:rsid w:val="004222B8"/>
    <w:rsid w:val="004226D0"/>
    <w:rsid w:val="00422838"/>
    <w:rsid w:val="00422994"/>
    <w:rsid w:val="00422CCB"/>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74EC"/>
    <w:rsid w:val="004377CE"/>
    <w:rsid w:val="00437B62"/>
    <w:rsid w:val="00437BB3"/>
    <w:rsid w:val="0044034D"/>
    <w:rsid w:val="00441705"/>
    <w:rsid w:val="00441B92"/>
    <w:rsid w:val="0044204F"/>
    <w:rsid w:val="0044241A"/>
    <w:rsid w:val="00442A7C"/>
    <w:rsid w:val="00442C72"/>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D86"/>
    <w:rsid w:val="00455075"/>
    <w:rsid w:val="0045580F"/>
    <w:rsid w:val="00456586"/>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79E"/>
    <w:rsid w:val="00466B93"/>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849"/>
    <w:rsid w:val="00474BB0"/>
    <w:rsid w:val="004753F9"/>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B8F"/>
    <w:rsid w:val="004C7C0B"/>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62D6"/>
    <w:rsid w:val="005063A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EFA"/>
    <w:rsid w:val="005362DD"/>
    <w:rsid w:val="005368DE"/>
    <w:rsid w:val="005400A2"/>
    <w:rsid w:val="00540A53"/>
    <w:rsid w:val="0054174A"/>
    <w:rsid w:val="00542C9C"/>
    <w:rsid w:val="0054374C"/>
    <w:rsid w:val="00543A81"/>
    <w:rsid w:val="00544CE1"/>
    <w:rsid w:val="005451A6"/>
    <w:rsid w:val="0054583B"/>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43FF"/>
    <w:rsid w:val="005546DD"/>
    <w:rsid w:val="00554DE2"/>
    <w:rsid w:val="00555125"/>
    <w:rsid w:val="0055530F"/>
    <w:rsid w:val="00555376"/>
    <w:rsid w:val="0055548F"/>
    <w:rsid w:val="00555BEA"/>
    <w:rsid w:val="00556CE5"/>
    <w:rsid w:val="00557540"/>
    <w:rsid w:val="00560672"/>
    <w:rsid w:val="005613DD"/>
    <w:rsid w:val="00561932"/>
    <w:rsid w:val="00561CE4"/>
    <w:rsid w:val="00562BEB"/>
    <w:rsid w:val="00563091"/>
    <w:rsid w:val="00563935"/>
    <w:rsid w:val="00563A75"/>
    <w:rsid w:val="00563B54"/>
    <w:rsid w:val="00565D73"/>
    <w:rsid w:val="00565F64"/>
    <w:rsid w:val="00565F7C"/>
    <w:rsid w:val="0056669E"/>
    <w:rsid w:val="0056770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704A"/>
    <w:rsid w:val="00577147"/>
    <w:rsid w:val="0057728A"/>
    <w:rsid w:val="00577491"/>
    <w:rsid w:val="0058125D"/>
    <w:rsid w:val="00581BC1"/>
    <w:rsid w:val="00582D5B"/>
    <w:rsid w:val="00583680"/>
    <w:rsid w:val="005837CE"/>
    <w:rsid w:val="00583B37"/>
    <w:rsid w:val="00583F15"/>
    <w:rsid w:val="005846DA"/>
    <w:rsid w:val="0058526D"/>
    <w:rsid w:val="005852A6"/>
    <w:rsid w:val="00585D7E"/>
    <w:rsid w:val="00586950"/>
    <w:rsid w:val="00586B29"/>
    <w:rsid w:val="00586CF2"/>
    <w:rsid w:val="00586D7A"/>
    <w:rsid w:val="0058717C"/>
    <w:rsid w:val="005875A5"/>
    <w:rsid w:val="0058798B"/>
    <w:rsid w:val="00587EF8"/>
    <w:rsid w:val="005900AF"/>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808"/>
    <w:rsid w:val="005A136B"/>
    <w:rsid w:val="005A201D"/>
    <w:rsid w:val="005A2638"/>
    <w:rsid w:val="005A2C2A"/>
    <w:rsid w:val="005A3465"/>
    <w:rsid w:val="005A35E0"/>
    <w:rsid w:val="005A43F2"/>
    <w:rsid w:val="005A458D"/>
    <w:rsid w:val="005A47C2"/>
    <w:rsid w:val="005A4E06"/>
    <w:rsid w:val="005A509E"/>
    <w:rsid w:val="005A664A"/>
    <w:rsid w:val="005A66A1"/>
    <w:rsid w:val="005A7418"/>
    <w:rsid w:val="005A7745"/>
    <w:rsid w:val="005B1E07"/>
    <w:rsid w:val="005B1FA4"/>
    <w:rsid w:val="005B2ACB"/>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B27"/>
    <w:rsid w:val="005E3478"/>
    <w:rsid w:val="005E3805"/>
    <w:rsid w:val="005E391F"/>
    <w:rsid w:val="005E39CD"/>
    <w:rsid w:val="005E3E2C"/>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916"/>
    <w:rsid w:val="005F4926"/>
    <w:rsid w:val="005F4D20"/>
    <w:rsid w:val="005F514B"/>
    <w:rsid w:val="005F5535"/>
    <w:rsid w:val="005F5AF0"/>
    <w:rsid w:val="005F6203"/>
    <w:rsid w:val="005F6FC1"/>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68A"/>
    <w:rsid w:val="00604DAB"/>
    <w:rsid w:val="006063D9"/>
    <w:rsid w:val="0060688E"/>
    <w:rsid w:val="00606BDD"/>
    <w:rsid w:val="00606D84"/>
    <w:rsid w:val="00606FF0"/>
    <w:rsid w:val="00607219"/>
    <w:rsid w:val="0061033D"/>
    <w:rsid w:val="00610671"/>
    <w:rsid w:val="006109ED"/>
    <w:rsid w:val="006110EC"/>
    <w:rsid w:val="006115A3"/>
    <w:rsid w:val="00611CB0"/>
    <w:rsid w:val="00611FD5"/>
    <w:rsid w:val="006120B9"/>
    <w:rsid w:val="006125F2"/>
    <w:rsid w:val="00612CB2"/>
    <w:rsid w:val="00613674"/>
    <w:rsid w:val="0061564A"/>
    <w:rsid w:val="006156B8"/>
    <w:rsid w:val="006158F4"/>
    <w:rsid w:val="00615D3F"/>
    <w:rsid w:val="00615D72"/>
    <w:rsid w:val="00616052"/>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3FC"/>
    <w:rsid w:val="00634222"/>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2"/>
    <w:rsid w:val="00645FE2"/>
    <w:rsid w:val="00646048"/>
    <w:rsid w:val="006469B9"/>
    <w:rsid w:val="00646AF2"/>
    <w:rsid w:val="006474AC"/>
    <w:rsid w:val="006474E3"/>
    <w:rsid w:val="0064770C"/>
    <w:rsid w:val="006504EC"/>
    <w:rsid w:val="00650E10"/>
    <w:rsid w:val="006515F1"/>
    <w:rsid w:val="00651B56"/>
    <w:rsid w:val="00651DBA"/>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8CB"/>
    <w:rsid w:val="006778F6"/>
    <w:rsid w:val="00677B47"/>
    <w:rsid w:val="00680396"/>
    <w:rsid w:val="00680621"/>
    <w:rsid w:val="006806D1"/>
    <w:rsid w:val="00680E87"/>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167B"/>
    <w:rsid w:val="006927CE"/>
    <w:rsid w:val="00692978"/>
    <w:rsid w:val="0069326F"/>
    <w:rsid w:val="0069446F"/>
    <w:rsid w:val="00694640"/>
    <w:rsid w:val="0069491F"/>
    <w:rsid w:val="00694D25"/>
    <w:rsid w:val="00694F80"/>
    <w:rsid w:val="006953ED"/>
    <w:rsid w:val="00695680"/>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F8"/>
    <w:rsid w:val="006A6C83"/>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22C"/>
    <w:rsid w:val="006E4F3D"/>
    <w:rsid w:val="006E565C"/>
    <w:rsid w:val="006E5881"/>
    <w:rsid w:val="006E6751"/>
    <w:rsid w:val="006E6ADE"/>
    <w:rsid w:val="006E6B4D"/>
    <w:rsid w:val="006E6DDE"/>
    <w:rsid w:val="006E70B3"/>
    <w:rsid w:val="006E737F"/>
    <w:rsid w:val="006E7A32"/>
    <w:rsid w:val="006E7A3C"/>
    <w:rsid w:val="006F0C17"/>
    <w:rsid w:val="006F0F5A"/>
    <w:rsid w:val="006F2691"/>
    <w:rsid w:val="006F31EC"/>
    <w:rsid w:val="006F36F7"/>
    <w:rsid w:val="006F3CCC"/>
    <w:rsid w:val="006F4221"/>
    <w:rsid w:val="006F42E0"/>
    <w:rsid w:val="006F5038"/>
    <w:rsid w:val="006F555F"/>
    <w:rsid w:val="006F748A"/>
    <w:rsid w:val="006F79A4"/>
    <w:rsid w:val="006F7CF0"/>
    <w:rsid w:val="00700A50"/>
    <w:rsid w:val="007014D9"/>
    <w:rsid w:val="00701B82"/>
    <w:rsid w:val="007021CF"/>
    <w:rsid w:val="00702A0C"/>
    <w:rsid w:val="00702DA2"/>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61E0"/>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21AE"/>
    <w:rsid w:val="00753165"/>
    <w:rsid w:val="00753334"/>
    <w:rsid w:val="00753CB7"/>
    <w:rsid w:val="00753D97"/>
    <w:rsid w:val="007542F6"/>
    <w:rsid w:val="007545FA"/>
    <w:rsid w:val="00755D2A"/>
    <w:rsid w:val="0075638D"/>
    <w:rsid w:val="00756E68"/>
    <w:rsid w:val="00757505"/>
    <w:rsid w:val="00757597"/>
    <w:rsid w:val="00760DAB"/>
    <w:rsid w:val="007621A6"/>
    <w:rsid w:val="00762772"/>
    <w:rsid w:val="007669AB"/>
    <w:rsid w:val="007670EA"/>
    <w:rsid w:val="00767BF8"/>
    <w:rsid w:val="007700F1"/>
    <w:rsid w:val="00770FFE"/>
    <w:rsid w:val="00771091"/>
    <w:rsid w:val="00771660"/>
    <w:rsid w:val="00771BF1"/>
    <w:rsid w:val="007722A6"/>
    <w:rsid w:val="00772666"/>
    <w:rsid w:val="00773F28"/>
    <w:rsid w:val="007743F6"/>
    <w:rsid w:val="00774631"/>
    <w:rsid w:val="00774CDC"/>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901AD"/>
    <w:rsid w:val="007902A4"/>
    <w:rsid w:val="0079085C"/>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146C"/>
    <w:rsid w:val="007A147B"/>
    <w:rsid w:val="007A18A8"/>
    <w:rsid w:val="007A1BC7"/>
    <w:rsid w:val="007A2106"/>
    <w:rsid w:val="007A247F"/>
    <w:rsid w:val="007A2D1B"/>
    <w:rsid w:val="007A2D64"/>
    <w:rsid w:val="007A3F6E"/>
    <w:rsid w:val="007A464E"/>
    <w:rsid w:val="007A4DA7"/>
    <w:rsid w:val="007A50D0"/>
    <w:rsid w:val="007A535E"/>
    <w:rsid w:val="007A599F"/>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7531"/>
    <w:rsid w:val="007B7ED8"/>
    <w:rsid w:val="007C086D"/>
    <w:rsid w:val="007C09A8"/>
    <w:rsid w:val="007C1647"/>
    <w:rsid w:val="007C1671"/>
    <w:rsid w:val="007C1E42"/>
    <w:rsid w:val="007C2385"/>
    <w:rsid w:val="007C23DE"/>
    <w:rsid w:val="007C3112"/>
    <w:rsid w:val="007C31B8"/>
    <w:rsid w:val="007C518E"/>
    <w:rsid w:val="007C61DF"/>
    <w:rsid w:val="007C6296"/>
    <w:rsid w:val="007C639A"/>
    <w:rsid w:val="007C66CE"/>
    <w:rsid w:val="007C7453"/>
    <w:rsid w:val="007C7548"/>
    <w:rsid w:val="007C7B84"/>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26A8"/>
    <w:rsid w:val="007E2AF2"/>
    <w:rsid w:val="007E2B57"/>
    <w:rsid w:val="007E300A"/>
    <w:rsid w:val="007E4184"/>
    <w:rsid w:val="007E431E"/>
    <w:rsid w:val="007E46F2"/>
    <w:rsid w:val="007E55E3"/>
    <w:rsid w:val="007E6032"/>
    <w:rsid w:val="007E62A2"/>
    <w:rsid w:val="007E67D9"/>
    <w:rsid w:val="007E747B"/>
    <w:rsid w:val="007E7754"/>
    <w:rsid w:val="007E7D84"/>
    <w:rsid w:val="007F00AA"/>
    <w:rsid w:val="007F19EC"/>
    <w:rsid w:val="007F1EF2"/>
    <w:rsid w:val="007F23A4"/>
    <w:rsid w:val="007F256B"/>
    <w:rsid w:val="007F2D69"/>
    <w:rsid w:val="007F35DD"/>
    <w:rsid w:val="007F3A12"/>
    <w:rsid w:val="007F3E57"/>
    <w:rsid w:val="007F4895"/>
    <w:rsid w:val="007F4B12"/>
    <w:rsid w:val="007F5030"/>
    <w:rsid w:val="007F601D"/>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EA8"/>
    <w:rsid w:val="00804836"/>
    <w:rsid w:val="00804986"/>
    <w:rsid w:val="00804BB8"/>
    <w:rsid w:val="00804D50"/>
    <w:rsid w:val="00805537"/>
    <w:rsid w:val="00805583"/>
    <w:rsid w:val="0080632A"/>
    <w:rsid w:val="00806502"/>
    <w:rsid w:val="00806B63"/>
    <w:rsid w:val="008071C3"/>
    <w:rsid w:val="00807C26"/>
    <w:rsid w:val="00811A67"/>
    <w:rsid w:val="00811F52"/>
    <w:rsid w:val="00812108"/>
    <w:rsid w:val="0081237D"/>
    <w:rsid w:val="008123DA"/>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2BD4"/>
    <w:rsid w:val="00823C9C"/>
    <w:rsid w:val="00824864"/>
    <w:rsid w:val="00824917"/>
    <w:rsid w:val="008250BD"/>
    <w:rsid w:val="008256E3"/>
    <w:rsid w:val="00827039"/>
    <w:rsid w:val="00827A93"/>
    <w:rsid w:val="00827DEA"/>
    <w:rsid w:val="00827F35"/>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433F"/>
    <w:rsid w:val="008657A7"/>
    <w:rsid w:val="00865CE4"/>
    <w:rsid w:val="0086657A"/>
    <w:rsid w:val="00866E7E"/>
    <w:rsid w:val="0087014B"/>
    <w:rsid w:val="008701C9"/>
    <w:rsid w:val="0087082C"/>
    <w:rsid w:val="00870C71"/>
    <w:rsid w:val="0087146C"/>
    <w:rsid w:val="00871656"/>
    <w:rsid w:val="00871B44"/>
    <w:rsid w:val="00872CCB"/>
    <w:rsid w:val="00872E71"/>
    <w:rsid w:val="00873CA0"/>
    <w:rsid w:val="00874AC5"/>
    <w:rsid w:val="00874B22"/>
    <w:rsid w:val="00875484"/>
    <w:rsid w:val="0087590F"/>
    <w:rsid w:val="00875B5B"/>
    <w:rsid w:val="00875E0F"/>
    <w:rsid w:val="00877522"/>
    <w:rsid w:val="008778AD"/>
    <w:rsid w:val="0087791C"/>
    <w:rsid w:val="00880ACF"/>
    <w:rsid w:val="00881285"/>
    <w:rsid w:val="00881CE4"/>
    <w:rsid w:val="00882042"/>
    <w:rsid w:val="00882534"/>
    <w:rsid w:val="00882862"/>
    <w:rsid w:val="00882C95"/>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2245"/>
    <w:rsid w:val="008A28E5"/>
    <w:rsid w:val="008A4214"/>
    <w:rsid w:val="008A4787"/>
    <w:rsid w:val="008A4932"/>
    <w:rsid w:val="008A50F7"/>
    <w:rsid w:val="008A5432"/>
    <w:rsid w:val="008A54D0"/>
    <w:rsid w:val="008A6584"/>
    <w:rsid w:val="008A6FD2"/>
    <w:rsid w:val="008A79D2"/>
    <w:rsid w:val="008B0567"/>
    <w:rsid w:val="008B0E4B"/>
    <w:rsid w:val="008B1C51"/>
    <w:rsid w:val="008B2BA2"/>
    <w:rsid w:val="008B488E"/>
    <w:rsid w:val="008B4F3E"/>
    <w:rsid w:val="008B4FDA"/>
    <w:rsid w:val="008B54D4"/>
    <w:rsid w:val="008B55E3"/>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1DD"/>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29A"/>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58E"/>
    <w:rsid w:val="0094671F"/>
    <w:rsid w:val="0094674F"/>
    <w:rsid w:val="00946818"/>
    <w:rsid w:val="00946B57"/>
    <w:rsid w:val="009472A3"/>
    <w:rsid w:val="009477B3"/>
    <w:rsid w:val="009513DA"/>
    <w:rsid w:val="00954626"/>
    <w:rsid w:val="0095487B"/>
    <w:rsid w:val="009548FB"/>
    <w:rsid w:val="00956646"/>
    <w:rsid w:val="009567E8"/>
    <w:rsid w:val="00956810"/>
    <w:rsid w:val="00956D18"/>
    <w:rsid w:val="00957B24"/>
    <w:rsid w:val="00960BF6"/>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E2D"/>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13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871"/>
    <w:rsid w:val="00A20BDF"/>
    <w:rsid w:val="00A20F90"/>
    <w:rsid w:val="00A21513"/>
    <w:rsid w:val="00A22231"/>
    <w:rsid w:val="00A22426"/>
    <w:rsid w:val="00A23388"/>
    <w:rsid w:val="00A2368F"/>
    <w:rsid w:val="00A239D8"/>
    <w:rsid w:val="00A25490"/>
    <w:rsid w:val="00A25612"/>
    <w:rsid w:val="00A258FB"/>
    <w:rsid w:val="00A25A48"/>
    <w:rsid w:val="00A269D6"/>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F26"/>
    <w:rsid w:val="00A97465"/>
    <w:rsid w:val="00A974DA"/>
    <w:rsid w:val="00A97D73"/>
    <w:rsid w:val="00AA0B81"/>
    <w:rsid w:val="00AA0D9B"/>
    <w:rsid w:val="00AA1C11"/>
    <w:rsid w:val="00AA3365"/>
    <w:rsid w:val="00AA43BB"/>
    <w:rsid w:val="00AA4931"/>
    <w:rsid w:val="00AA4BF2"/>
    <w:rsid w:val="00AA4DEC"/>
    <w:rsid w:val="00AA51C0"/>
    <w:rsid w:val="00AA5B98"/>
    <w:rsid w:val="00AA60CE"/>
    <w:rsid w:val="00AA6A8D"/>
    <w:rsid w:val="00AA6D60"/>
    <w:rsid w:val="00AA6F52"/>
    <w:rsid w:val="00AA7371"/>
    <w:rsid w:val="00AA7FB3"/>
    <w:rsid w:val="00AB0CB5"/>
    <w:rsid w:val="00AB10F0"/>
    <w:rsid w:val="00AB11F1"/>
    <w:rsid w:val="00AB1567"/>
    <w:rsid w:val="00AB1EE6"/>
    <w:rsid w:val="00AB277E"/>
    <w:rsid w:val="00AB2DFB"/>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79"/>
    <w:rsid w:val="00B154E6"/>
    <w:rsid w:val="00B155F2"/>
    <w:rsid w:val="00B16451"/>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8E6"/>
    <w:rsid w:val="00B35A1F"/>
    <w:rsid w:val="00B36F62"/>
    <w:rsid w:val="00B37721"/>
    <w:rsid w:val="00B37A3D"/>
    <w:rsid w:val="00B4045F"/>
    <w:rsid w:val="00B415DB"/>
    <w:rsid w:val="00B417A7"/>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971"/>
    <w:rsid w:val="00B821DA"/>
    <w:rsid w:val="00B828C4"/>
    <w:rsid w:val="00B82D67"/>
    <w:rsid w:val="00B835AA"/>
    <w:rsid w:val="00B83639"/>
    <w:rsid w:val="00B8387F"/>
    <w:rsid w:val="00B83AFB"/>
    <w:rsid w:val="00B84450"/>
    <w:rsid w:val="00B84528"/>
    <w:rsid w:val="00B84E0E"/>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20B4"/>
    <w:rsid w:val="00BC2170"/>
    <w:rsid w:val="00BC29C0"/>
    <w:rsid w:val="00BC2FEF"/>
    <w:rsid w:val="00BC3106"/>
    <w:rsid w:val="00BC34EB"/>
    <w:rsid w:val="00BC4020"/>
    <w:rsid w:val="00BC44BD"/>
    <w:rsid w:val="00BC5315"/>
    <w:rsid w:val="00BC56CF"/>
    <w:rsid w:val="00BC595B"/>
    <w:rsid w:val="00BC5A44"/>
    <w:rsid w:val="00BC5F0B"/>
    <w:rsid w:val="00BC7DAD"/>
    <w:rsid w:val="00BC7E68"/>
    <w:rsid w:val="00BD021D"/>
    <w:rsid w:val="00BD0553"/>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FF9"/>
    <w:rsid w:val="00BF34E7"/>
    <w:rsid w:val="00BF4741"/>
    <w:rsid w:val="00BF48F9"/>
    <w:rsid w:val="00BF585E"/>
    <w:rsid w:val="00BF60A9"/>
    <w:rsid w:val="00BF60BA"/>
    <w:rsid w:val="00BF649B"/>
    <w:rsid w:val="00BF6E2F"/>
    <w:rsid w:val="00BF7575"/>
    <w:rsid w:val="00BF7ABF"/>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68C"/>
    <w:rsid w:val="00C2498C"/>
    <w:rsid w:val="00C24F97"/>
    <w:rsid w:val="00C25269"/>
    <w:rsid w:val="00C25489"/>
    <w:rsid w:val="00C26044"/>
    <w:rsid w:val="00C276D7"/>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7801"/>
    <w:rsid w:val="00C400F3"/>
    <w:rsid w:val="00C401B6"/>
    <w:rsid w:val="00C406AC"/>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503BD"/>
    <w:rsid w:val="00C5048D"/>
    <w:rsid w:val="00C5173F"/>
    <w:rsid w:val="00C518ED"/>
    <w:rsid w:val="00C51A02"/>
    <w:rsid w:val="00C522DD"/>
    <w:rsid w:val="00C52AB8"/>
    <w:rsid w:val="00C554BA"/>
    <w:rsid w:val="00C55A11"/>
    <w:rsid w:val="00C55DB2"/>
    <w:rsid w:val="00C561B9"/>
    <w:rsid w:val="00C564D7"/>
    <w:rsid w:val="00C56A50"/>
    <w:rsid w:val="00C570C0"/>
    <w:rsid w:val="00C600BB"/>
    <w:rsid w:val="00C60810"/>
    <w:rsid w:val="00C60BB6"/>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22DE"/>
    <w:rsid w:val="00C722FA"/>
    <w:rsid w:val="00C72CF3"/>
    <w:rsid w:val="00C73EC7"/>
    <w:rsid w:val="00C7402E"/>
    <w:rsid w:val="00C7441D"/>
    <w:rsid w:val="00C74507"/>
    <w:rsid w:val="00C74BB4"/>
    <w:rsid w:val="00C753FE"/>
    <w:rsid w:val="00C75566"/>
    <w:rsid w:val="00C759D5"/>
    <w:rsid w:val="00C762D1"/>
    <w:rsid w:val="00C76ACA"/>
    <w:rsid w:val="00C76B8D"/>
    <w:rsid w:val="00C772E3"/>
    <w:rsid w:val="00C7747E"/>
    <w:rsid w:val="00C774C6"/>
    <w:rsid w:val="00C77835"/>
    <w:rsid w:val="00C77ACA"/>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7264"/>
    <w:rsid w:val="00C905AA"/>
    <w:rsid w:val="00C90D48"/>
    <w:rsid w:val="00C9213F"/>
    <w:rsid w:val="00C92617"/>
    <w:rsid w:val="00C93003"/>
    <w:rsid w:val="00C9359C"/>
    <w:rsid w:val="00C936FD"/>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4E6C"/>
    <w:rsid w:val="00CB50D2"/>
    <w:rsid w:val="00CB5246"/>
    <w:rsid w:val="00CB5993"/>
    <w:rsid w:val="00CB5B41"/>
    <w:rsid w:val="00CB5B8B"/>
    <w:rsid w:val="00CB623A"/>
    <w:rsid w:val="00CB6E93"/>
    <w:rsid w:val="00CB70D4"/>
    <w:rsid w:val="00CB7B29"/>
    <w:rsid w:val="00CC0118"/>
    <w:rsid w:val="00CC0B1A"/>
    <w:rsid w:val="00CC101C"/>
    <w:rsid w:val="00CC13DA"/>
    <w:rsid w:val="00CC14E8"/>
    <w:rsid w:val="00CC2234"/>
    <w:rsid w:val="00CC3391"/>
    <w:rsid w:val="00CC3AAA"/>
    <w:rsid w:val="00CC3D41"/>
    <w:rsid w:val="00CC544B"/>
    <w:rsid w:val="00CC5B1C"/>
    <w:rsid w:val="00CC5B81"/>
    <w:rsid w:val="00CC5D92"/>
    <w:rsid w:val="00CC60F8"/>
    <w:rsid w:val="00CC6111"/>
    <w:rsid w:val="00CC6855"/>
    <w:rsid w:val="00CC6A5A"/>
    <w:rsid w:val="00CC7D68"/>
    <w:rsid w:val="00CD06DD"/>
    <w:rsid w:val="00CD2716"/>
    <w:rsid w:val="00CD4E23"/>
    <w:rsid w:val="00CD5A38"/>
    <w:rsid w:val="00CD5DAF"/>
    <w:rsid w:val="00CD6276"/>
    <w:rsid w:val="00CD63EF"/>
    <w:rsid w:val="00CD650F"/>
    <w:rsid w:val="00CD6D60"/>
    <w:rsid w:val="00CD76CF"/>
    <w:rsid w:val="00CD7D8F"/>
    <w:rsid w:val="00CD7EED"/>
    <w:rsid w:val="00CE061B"/>
    <w:rsid w:val="00CE0C1B"/>
    <w:rsid w:val="00CE1470"/>
    <w:rsid w:val="00CE1B62"/>
    <w:rsid w:val="00CE1F8B"/>
    <w:rsid w:val="00CE28A6"/>
    <w:rsid w:val="00CE2B12"/>
    <w:rsid w:val="00CE3872"/>
    <w:rsid w:val="00CE3CCE"/>
    <w:rsid w:val="00CE3F79"/>
    <w:rsid w:val="00CE3FEC"/>
    <w:rsid w:val="00CE51AE"/>
    <w:rsid w:val="00CE51ED"/>
    <w:rsid w:val="00CE5827"/>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3F"/>
    <w:rsid w:val="00D22700"/>
    <w:rsid w:val="00D22750"/>
    <w:rsid w:val="00D22AFC"/>
    <w:rsid w:val="00D23183"/>
    <w:rsid w:val="00D2364B"/>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058"/>
    <w:rsid w:val="00D448FA"/>
    <w:rsid w:val="00D4573D"/>
    <w:rsid w:val="00D467CF"/>
    <w:rsid w:val="00D47688"/>
    <w:rsid w:val="00D478C0"/>
    <w:rsid w:val="00D50183"/>
    <w:rsid w:val="00D5023C"/>
    <w:rsid w:val="00D502EE"/>
    <w:rsid w:val="00D506CC"/>
    <w:rsid w:val="00D5076F"/>
    <w:rsid w:val="00D5079D"/>
    <w:rsid w:val="00D508D4"/>
    <w:rsid w:val="00D52812"/>
    <w:rsid w:val="00D537A0"/>
    <w:rsid w:val="00D53B50"/>
    <w:rsid w:val="00D54048"/>
    <w:rsid w:val="00D54249"/>
    <w:rsid w:val="00D54C4D"/>
    <w:rsid w:val="00D54D8B"/>
    <w:rsid w:val="00D5561A"/>
    <w:rsid w:val="00D5608D"/>
    <w:rsid w:val="00D56CD9"/>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3961"/>
    <w:rsid w:val="00D74680"/>
    <w:rsid w:val="00D74811"/>
    <w:rsid w:val="00D75A67"/>
    <w:rsid w:val="00D75A98"/>
    <w:rsid w:val="00D77001"/>
    <w:rsid w:val="00D772A0"/>
    <w:rsid w:val="00D7747B"/>
    <w:rsid w:val="00D803B8"/>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522"/>
    <w:rsid w:val="00DD0B66"/>
    <w:rsid w:val="00DD1916"/>
    <w:rsid w:val="00DD1FF6"/>
    <w:rsid w:val="00DD25E4"/>
    <w:rsid w:val="00DD2E76"/>
    <w:rsid w:val="00DD57C3"/>
    <w:rsid w:val="00DD6983"/>
    <w:rsid w:val="00DD6BDB"/>
    <w:rsid w:val="00DD7200"/>
    <w:rsid w:val="00DD7321"/>
    <w:rsid w:val="00DD7704"/>
    <w:rsid w:val="00DD7727"/>
    <w:rsid w:val="00DD78E9"/>
    <w:rsid w:val="00DE035B"/>
    <w:rsid w:val="00DE03E5"/>
    <w:rsid w:val="00DE0432"/>
    <w:rsid w:val="00DE19F4"/>
    <w:rsid w:val="00DE1D25"/>
    <w:rsid w:val="00DE1F46"/>
    <w:rsid w:val="00DE36DB"/>
    <w:rsid w:val="00DE36E9"/>
    <w:rsid w:val="00DE39BD"/>
    <w:rsid w:val="00DE479F"/>
    <w:rsid w:val="00DE48C1"/>
    <w:rsid w:val="00DE5B0D"/>
    <w:rsid w:val="00DE609E"/>
    <w:rsid w:val="00DE6158"/>
    <w:rsid w:val="00DE64EB"/>
    <w:rsid w:val="00DE6D9C"/>
    <w:rsid w:val="00DF02BE"/>
    <w:rsid w:val="00DF0C97"/>
    <w:rsid w:val="00DF0DD0"/>
    <w:rsid w:val="00DF1606"/>
    <w:rsid w:val="00DF230C"/>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C02"/>
    <w:rsid w:val="00E120FD"/>
    <w:rsid w:val="00E124AF"/>
    <w:rsid w:val="00E12586"/>
    <w:rsid w:val="00E12615"/>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E68"/>
    <w:rsid w:val="00E62552"/>
    <w:rsid w:val="00E62EDA"/>
    <w:rsid w:val="00E6310E"/>
    <w:rsid w:val="00E63FB5"/>
    <w:rsid w:val="00E64D85"/>
    <w:rsid w:val="00E64FC5"/>
    <w:rsid w:val="00E6526E"/>
    <w:rsid w:val="00E6550F"/>
    <w:rsid w:val="00E6676C"/>
    <w:rsid w:val="00E66E82"/>
    <w:rsid w:val="00E671F3"/>
    <w:rsid w:val="00E675C5"/>
    <w:rsid w:val="00E676BA"/>
    <w:rsid w:val="00E67C0E"/>
    <w:rsid w:val="00E67C2C"/>
    <w:rsid w:val="00E70709"/>
    <w:rsid w:val="00E71AC1"/>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5523"/>
    <w:rsid w:val="00E95FF3"/>
    <w:rsid w:val="00E96669"/>
    <w:rsid w:val="00E96EA4"/>
    <w:rsid w:val="00E9753F"/>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A24"/>
    <w:rsid w:val="00EF0988"/>
    <w:rsid w:val="00EF14D1"/>
    <w:rsid w:val="00EF1A83"/>
    <w:rsid w:val="00EF1E17"/>
    <w:rsid w:val="00EF2063"/>
    <w:rsid w:val="00EF287F"/>
    <w:rsid w:val="00EF2F22"/>
    <w:rsid w:val="00EF300D"/>
    <w:rsid w:val="00EF3FBD"/>
    <w:rsid w:val="00EF404E"/>
    <w:rsid w:val="00EF46B1"/>
    <w:rsid w:val="00EF4B0A"/>
    <w:rsid w:val="00EF4BB5"/>
    <w:rsid w:val="00EF4E6A"/>
    <w:rsid w:val="00EF52C3"/>
    <w:rsid w:val="00EF58CD"/>
    <w:rsid w:val="00EF652F"/>
    <w:rsid w:val="00EF65CC"/>
    <w:rsid w:val="00EF6D1C"/>
    <w:rsid w:val="00EF6DC3"/>
    <w:rsid w:val="00EF7B13"/>
    <w:rsid w:val="00EF7EAC"/>
    <w:rsid w:val="00F0059D"/>
    <w:rsid w:val="00F00678"/>
    <w:rsid w:val="00F00818"/>
    <w:rsid w:val="00F009F6"/>
    <w:rsid w:val="00F010F7"/>
    <w:rsid w:val="00F014F5"/>
    <w:rsid w:val="00F038AE"/>
    <w:rsid w:val="00F04A52"/>
    <w:rsid w:val="00F05453"/>
    <w:rsid w:val="00F05662"/>
    <w:rsid w:val="00F059B0"/>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6215"/>
    <w:rsid w:val="00F17636"/>
    <w:rsid w:val="00F17E54"/>
    <w:rsid w:val="00F203F9"/>
    <w:rsid w:val="00F20455"/>
    <w:rsid w:val="00F20836"/>
    <w:rsid w:val="00F21000"/>
    <w:rsid w:val="00F210F0"/>
    <w:rsid w:val="00F2119A"/>
    <w:rsid w:val="00F216DD"/>
    <w:rsid w:val="00F21B3C"/>
    <w:rsid w:val="00F22109"/>
    <w:rsid w:val="00F225BA"/>
    <w:rsid w:val="00F22985"/>
    <w:rsid w:val="00F236B1"/>
    <w:rsid w:val="00F23E7B"/>
    <w:rsid w:val="00F2527A"/>
    <w:rsid w:val="00F26AF0"/>
    <w:rsid w:val="00F26E31"/>
    <w:rsid w:val="00F306E4"/>
    <w:rsid w:val="00F30A61"/>
    <w:rsid w:val="00F30DC8"/>
    <w:rsid w:val="00F30E5E"/>
    <w:rsid w:val="00F314A3"/>
    <w:rsid w:val="00F31AB8"/>
    <w:rsid w:val="00F31D69"/>
    <w:rsid w:val="00F31EB1"/>
    <w:rsid w:val="00F32177"/>
    <w:rsid w:val="00F324A4"/>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888"/>
    <w:rsid w:val="00F978B4"/>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33B7"/>
    <w:rsid w:val="00FD43C2"/>
    <w:rsid w:val="00FD51EB"/>
    <w:rsid w:val="00FD573A"/>
    <w:rsid w:val="00FD594D"/>
    <w:rsid w:val="00FD6042"/>
    <w:rsid w:val="00FD6197"/>
    <w:rsid w:val="00FD6BE2"/>
    <w:rsid w:val="00FD6FFF"/>
    <w:rsid w:val="00FD759A"/>
    <w:rsid w:val="00FD7FA4"/>
    <w:rsid w:val="00FE0BCB"/>
    <w:rsid w:val="00FE0DCD"/>
    <w:rsid w:val="00FE0EE8"/>
    <w:rsid w:val="00FE15C8"/>
    <w:rsid w:val="00FE2469"/>
    <w:rsid w:val="00FE2706"/>
    <w:rsid w:val="00FE2C7E"/>
    <w:rsid w:val="00FE30A4"/>
    <w:rsid w:val="00FE3CF4"/>
    <w:rsid w:val="00FE4068"/>
    <w:rsid w:val="00FE4C24"/>
    <w:rsid w:val="00FE4D15"/>
    <w:rsid w:val="00FE58AB"/>
    <w:rsid w:val="00FE5BAB"/>
    <w:rsid w:val="00FE5D08"/>
    <w:rsid w:val="00FE68D2"/>
    <w:rsid w:val="00FE6AEA"/>
    <w:rsid w:val="00FE6B34"/>
    <w:rsid w:val="00FE6F4E"/>
    <w:rsid w:val="00FF0235"/>
    <w:rsid w:val="00FF3403"/>
    <w:rsid w:val="00FF4014"/>
    <w:rsid w:val="00FF6CFA"/>
    <w:rsid w:val="00FF6EFD"/>
    <w:rsid w:val="00FF759E"/>
    <w:rsid w:val="00FF7952"/>
    <w:rsid w:val="0242549F"/>
    <w:rsid w:val="02433078"/>
    <w:rsid w:val="02CC180B"/>
    <w:rsid w:val="031E2AE0"/>
    <w:rsid w:val="034E3DBB"/>
    <w:rsid w:val="039840F6"/>
    <w:rsid w:val="057D77DA"/>
    <w:rsid w:val="05C2152E"/>
    <w:rsid w:val="06CA6F0E"/>
    <w:rsid w:val="07604E36"/>
    <w:rsid w:val="09C41003"/>
    <w:rsid w:val="09F5647E"/>
    <w:rsid w:val="0A335CE2"/>
    <w:rsid w:val="0B8956E5"/>
    <w:rsid w:val="0C243E2A"/>
    <w:rsid w:val="0CED5478"/>
    <w:rsid w:val="0D197D5C"/>
    <w:rsid w:val="0D787973"/>
    <w:rsid w:val="0D7E3B5D"/>
    <w:rsid w:val="0D945C06"/>
    <w:rsid w:val="0DA759C3"/>
    <w:rsid w:val="0DAD317B"/>
    <w:rsid w:val="0E8C396F"/>
    <w:rsid w:val="0EBE0829"/>
    <w:rsid w:val="0F9D05FF"/>
    <w:rsid w:val="10D10D1E"/>
    <w:rsid w:val="10D557B9"/>
    <w:rsid w:val="116A1732"/>
    <w:rsid w:val="12583A6A"/>
    <w:rsid w:val="12A11256"/>
    <w:rsid w:val="12CB5EEF"/>
    <w:rsid w:val="131A5191"/>
    <w:rsid w:val="13CC3122"/>
    <w:rsid w:val="14CC5B35"/>
    <w:rsid w:val="15EC5AE8"/>
    <w:rsid w:val="17AD76C8"/>
    <w:rsid w:val="1A2623A5"/>
    <w:rsid w:val="1A4A65D5"/>
    <w:rsid w:val="1BF0048C"/>
    <w:rsid w:val="1C204B72"/>
    <w:rsid w:val="1CC225DD"/>
    <w:rsid w:val="1CC51F1F"/>
    <w:rsid w:val="1D551774"/>
    <w:rsid w:val="1DC11D9D"/>
    <w:rsid w:val="1E58446C"/>
    <w:rsid w:val="1E8B1540"/>
    <w:rsid w:val="1FE67A2A"/>
    <w:rsid w:val="205A36D2"/>
    <w:rsid w:val="22142A77"/>
    <w:rsid w:val="22175505"/>
    <w:rsid w:val="2232406D"/>
    <w:rsid w:val="230C79F5"/>
    <w:rsid w:val="230E22BE"/>
    <w:rsid w:val="23511A08"/>
    <w:rsid w:val="23C13FDD"/>
    <w:rsid w:val="249E4FC1"/>
    <w:rsid w:val="26417CD1"/>
    <w:rsid w:val="26853417"/>
    <w:rsid w:val="27BA0FBA"/>
    <w:rsid w:val="2820574C"/>
    <w:rsid w:val="286B09FD"/>
    <w:rsid w:val="294419BD"/>
    <w:rsid w:val="294450F7"/>
    <w:rsid w:val="29F36FE0"/>
    <w:rsid w:val="2A6E48D8"/>
    <w:rsid w:val="2AC06A54"/>
    <w:rsid w:val="2B36072A"/>
    <w:rsid w:val="2C6110AC"/>
    <w:rsid w:val="2CCA7B38"/>
    <w:rsid w:val="2CDF3F22"/>
    <w:rsid w:val="2DA97EE5"/>
    <w:rsid w:val="2FB90D0B"/>
    <w:rsid w:val="2FDB5CC5"/>
    <w:rsid w:val="304512CE"/>
    <w:rsid w:val="309B3C46"/>
    <w:rsid w:val="310966F9"/>
    <w:rsid w:val="316E04D9"/>
    <w:rsid w:val="32352D3F"/>
    <w:rsid w:val="33F27615"/>
    <w:rsid w:val="34FC0751"/>
    <w:rsid w:val="35230157"/>
    <w:rsid w:val="35840DD9"/>
    <w:rsid w:val="37813D7F"/>
    <w:rsid w:val="378A27B4"/>
    <w:rsid w:val="3794270F"/>
    <w:rsid w:val="38700E11"/>
    <w:rsid w:val="389F3D5B"/>
    <w:rsid w:val="398179BD"/>
    <w:rsid w:val="3A99316B"/>
    <w:rsid w:val="3AAD6706"/>
    <w:rsid w:val="3ADD4C50"/>
    <w:rsid w:val="3AE8398C"/>
    <w:rsid w:val="3B1A39B3"/>
    <w:rsid w:val="3C095919"/>
    <w:rsid w:val="3C6510EB"/>
    <w:rsid w:val="3D352B5F"/>
    <w:rsid w:val="3DB85315"/>
    <w:rsid w:val="3E0D1FF1"/>
    <w:rsid w:val="3F1461E4"/>
    <w:rsid w:val="3F922049"/>
    <w:rsid w:val="3FB14895"/>
    <w:rsid w:val="403A3D18"/>
    <w:rsid w:val="4089679F"/>
    <w:rsid w:val="40A1219A"/>
    <w:rsid w:val="40F1187B"/>
    <w:rsid w:val="41163263"/>
    <w:rsid w:val="428003B2"/>
    <w:rsid w:val="43716019"/>
    <w:rsid w:val="437835D9"/>
    <w:rsid w:val="437A14DC"/>
    <w:rsid w:val="441950C4"/>
    <w:rsid w:val="450620ED"/>
    <w:rsid w:val="45833D51"/>
    <w:rsid w:val="46855A4B"/>
    <w:rsid w:val="46D44956"/>
    <w:rsid w:val="46EE1E8D"/>
    <w:rsid w:val="47DE6870"/>
    <w:rsid w:val="48362755"/>
    <w:rsid w:val="48E00140"/>
    <w:rsid w:val="490703E8"/>
    <w:rsid w:val="4AAD488C"/>
    <w:rsid w:val="4B122CFD"/>
    <w:rsid w:val="4B4E04B7"/>
    <w:rsid w:val="4BA71BED"/>
    <w:rsid w:val="4C354AC1"/>
    <w:rsid w:val="4C4D3849"/>
    <w:rsid w:val="4E6D044E"/>
    <w:rsid w:val="4E95578B"/>
    <w:rsid w:val="4F4B5A34"/>
    <w:rsid w:val="4FBC4948"/>
    <w:rsid w:val="504340CD"/>
    <w:rsid w:val="521A10C4"/>
    <w:rsid w:val="52DD009F"/>
    <w:rsid w:val="52DF7371"/>
    <w:rsid w:val="531050B2"/>
    <w:rsid w:val="53821D96"/>
    <w:rsid w:val="53D81C5E"/>
    <w:rsid w:val="543024D3"/>
    <w:rsid w:val="548010BF"/>
    <w:rsid w:val="54BA63B6"/>
    <w:rsid w:val="56994859"/>
    <w:rsid w:val="56CD3563"/>
    <w:rsid w:val="56F47B7E"/>
    <w:rsid w:val="571A3CDF"/>
    <w:rsid w:val="5742438B"/>
    <w:rsid w:val="57446690"/>
    <w:rsid w:val="57CC4DAB"/>
    <w:rsid w:val="58242496"/>
    <w:rsid w:val="58335A19"/>
    <w:rsid w:val="59066A70"/>
    <w:rsid w:val="59077D7A"/>
    <w:rsid w:val="59444C1B"/>
    <w:rsid w:val="594D3595"/>
    <w:rsid w:val="5A165663"/>
    <w:rsid w:val="5A350DBE"/>
    <w:rsid w:val="5BBA5D28"/>
    <w:rsid w:val="5BED19F4"/>
    <w:rsid w:val="5CB179C5"/>
    <w:rsid w:val="5D28648B"/>
    <w:rsid w:val="5EF4726A"/>
    <w:rsid w:val="60752B29"/>
    <w:rsid w:val="610B478D"/>
    <w:rsid w:val="627C1875"/>
    <w:rsid w:val="62A040E8"/>
    <w:rsid w:val="62A15DA4"/>
    <w:rsid w:val="62D968EB"/>
    <w:rsid w:val="64C807A3"/>
    <w:rsid w:val="65747F07"/>
    <w:rsid w:val="661063CD"/>
    <w:rsid w:val="66867E32"/>
    <w:rsid w:val="669D4101"/>
    <w:rsid w:val="66CC797F"/>
    <w:rsid w:val="67224B97"/>
    <w:rsid w:val="6765645A"/>
    <w:rsid w:val="67887D22"/>
    <w:rsid w:val="6820381B"/>
    <w:rsid w:val="68DA7C00"/>
    <w:rsid w:val="6A2D65C8"/>
    <w:rsid w:val="6A3D3DFF"/>
    <w:rsid w:val="6A6C5263"/>
    <w:rsid w:val="6A8F5E03"/>
    <w:rsid w:val="6AB72926"/>
    <w:rsid w:val="6AD9323E"/>
    <w:rsid w:val="6AE8665A"/>
    <w:rsid w:val="6AEF7190"/>
    <w:rsid w:val="6B171960"/>
    <w:rsid w:val="6C960582"/>
    <w:rsid w:val="6DBB14D9"/>
    <w:rsid w:val="6DF71F59"/>
    <w:rsid w:val="6E3E1358"/>
    <w:rsid w:val="6E7E5383"/>
    <w:rsid w:val="6EEA5288"/>
    <w:rsid w:val="6F7706A2"/>
    <w:rsid w:val="70095C08"/>
    <w:rsid w:val="70FE47A5"/>
    <w:rsid w:val="71190330"/>
    <w:rsid w:val="71373115"/>
    <w:rsid w:val="71942299"/>
    <w:rsid w:val="71F91B12"/>
    <w:rsid w:val="72F1136F"/>
    <w:rsid w:val="73BE6D5C"/>
    <w:rsid w:val="7403775D"/>
    <w:rsid w:val="74637265"/>
    <w:rsid w:val="74796486"/>
    <w:rsid w:val="74E86097"/>
    <w:rsid w:val="75431DF5"/>
    <w:rsid w:val="75EE0105"/>
    <w:rsid w:val="767D2E2C"/>
    <w:rsid w:val="76907AF5"/>
    <w:rsid w:val="77AE723C"/>
    <w:rsid w:val="782869F8"/>
    <w:rsid w:val="788D6B17"/>
    <w:rsid w:val="7A2D749C"/>
    <w:rsid w:val="7A366FBF"/>
    <w:rsid w:val="7B91726B"/>
    <w:rsid w:val="7BD40C4D"/>
    <w:rsid w:val="7C215D74"/>
    <w:rsid w:val="7C2921EF"/>
    <w:rsid w:val="7D5170DA"/>
    <w:rsid w:val="7D7609EE"/>
    <w:rsid w:val="7D9509DB"/>
    <w:rsid w:val="7E7A28A3"/>
    <w:rsid w:val="7EC2465E"/>
    <w:rsid w:val="7F5E6069"/>
    <w:rsid w:val="7F5F04E4"/>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0"/>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73"/>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7"/>
    <w:link w:val="74"/>
    <w:qFormat/>
    <w:uiPriority w:val="9"/>
    <w:pPr>
      <w:keepNext/>
      <w:keepLines/>
      <w:spacing w:before="260" w:after="260" w:line="360" w:lineRule="auto"/>
      <w:ind w:left="171" w:leftChars="171"/>
      <w:outlineLvl w:val="2"/>
    </w:pPr>
    <w:rPr>
      <w:rFonts w:eastAsia="Arial Unicode MS"/>
      <w:b/>
      <w:szCs w:val="20"/>
    </w:rPr>
  </w:style>
  <w:style w:type="paragraph" w:styleId="9">
    <w:name w:val="heading 4"/>
    <w:basedOn w:val="1"/>
    <w:next w:val="1"/>
    <w:link w:val="75"/>
    <w:qFormat/>
    <w:uiPriority w:val="0"/>
    <w:pPr>
      <w:keepNext/>
      <w:keepLines/>
      <w:spacing w:before="280" w:after="290" w:line="376" w:lineRule="auto"/>
      <w:outlineLvl w:val="3"/>
    </w:pPr>
    <w:rPr>
      <w:rFonts w:ascii="Cambria" w:hAnsi="Cambria"/>
      <w:b/>
      <w:bCs/>
      <w:sz w:val="28"/>
      <w:szCs w:val="28"/>
    </w:rPr>
  </w:style>
  <w:style w:type="paragraph" w:styleId="10">
    <w:name w:val="heading 5"/>
    <w:basedOn w:val="1"/>
    <w:next w:val="1"/>
    <w:link w:val="76"/>
    <w:qFormat/>
    <w:uiPriority w:val="9"/>
    <w:pPr>
      <w:keepNext/>
      <w:keepLines/>
      <w:spacing w:before="280" w:after="290" w:line="376" w:lineRule="auto"/>
      <w:outlineLvl w:val="4"/>
    </w:pPr>
    <w:rPr>
      <w:rFonts w:ascii="Calibri" w:hAnsi="Calibri"/>
      <w:b/>
      <w:bCs/>
      <w:sz w:val="28"/>
      <w:szCs w:val="28"/>
    </w:rPr>
  </w:style>
  <w:style w:type="paragraph" w:styleId="11">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2">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3">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4">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81"/>
    <w:qFormat/>
    <w:uiPriority w:val="0"/>
    <w:pPr>
      <w:autoSpaceDE/>
      <w:autoSpaceDN/>
      <w:adjustRightInd/>
      <w:spacing w:after="120" w:line="240" w:lineRule="auto"/>
      <w:ind w:firstLine="420" w:firstLineChars="100"/>
      <w:jc w:val="both"/>
    </w:pPr>
    <w:rPr>
      <w:sz w:val="21"/>
    </w:rPr>
  </w:style>
  <w:style w:type="paragraph" w:styleId="3">
    <w:name w:val="Body Text"/>
    <w:basedOn w:val="1"/>
    <w:next w:val="2"/>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7">
    <w:name w:val="Normal Indent"/>
    <w:basedOn w:val="1"/>
    <w:next w:val="8"/>
    <w:link w:val="120"/>
    <w:qFormat/>
    <w:uiPriority w:val="99"/>
    <w:pPr>
      <w:ind w:firstLine="420" w:firstLineChars="200"/>
    </w:pPr>
    <w:rPr>
      <w:rFonts w:asciiTheme="minorHAnsi" w:hAnsiTheme="minorHAnsi" w:eastAsiaTheme="minorEastAsia" w:cstheme="minorBidi"/>
    </w:rPr>
  </w:style>
  <w:style w:type="paragraph" w:styleId="8">
    <w:name w:val="toa heading"/>
    <w:basedOn w:val="1"/>
    <w:next w:val="1"/>
    <w:qFormat/>
    <w:uiPriority w:val="0"/>
    <w:pPr>
      <w:spacing w:before="120"/>
    </w:pPr>
    <w:rPr>
      <w:rFonts w:ascii="Arial" w:hAnsi="Arial" w:eastAsia="微软雅黑"/>
      <w:sz w:val="24"/>
      <w:szCs w:val="21"/>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39"/>
    <w:pPr>
      <w:ind w:left="1260"/>
      <w:jc w:val="left"/>
    </w:pPr>
    <w:rPr>
      <w:sz w:val="18"/>
      <w:szCs w:val="18"/>
    </w:rPr>
  </w:style>
  <w:style w:type="paragraph" w:styleId="17">
    <w:name w:val="table of authorities"/>
    <w:basedOn w:val="1"/>
    <w:next w:val="1"/>
    <w:qFormat/>
    <w:uiPriority w:val="0"/>
    <w:pPr>
      <w:ind w:left="420" w:leftChars="200"/>
    </w:pPr>
    <w:rPr>
      <w:szCs w:val="20"/>
    </w:rPr>
  </w:style>
  <w:style w:type="paragraph" w:styleId="18">
    <w:name w:val="List Bullet 4"/>
    <w:basedOn w:val="1"/>
    <w:qFormat/>
    <w:uiPriority w:val="0"/>
    <w:pPr>
      <w:tabs>
        <w:tab w:val="left" w:pos="980"/>
      </w:tabs>
      <w:spacing w:beforeLines="50" w:afterLines="50" w:line="360" w:lineRule="auto"/>
      <w:ind w:left="980" w:hanging="420"/>
    </w:pPr>
    <w:rPr>
      <w:sz w:val="24"/>
    </w:rPr>
  </w:style>
  <w:style w:type="paragraph" w:styleId="19">
    <w:name w:val="List Number"/>
    <w:basedOn w:val="1"/>
    <w:qFormat/>
    <w:uiPriority w:val="0"/>
    <w:pPr>
      <w:numPr>
        <w:ilvl w:val="0"/>
        <w:numId w:val="1"/>
      </w:numPr>
      <w:tabs>
        <w:tab w:val="left" w:pos="840"/>
      </w:tabs>
    </w:pPr>
    <w:rPr>
      <w:rFonts w:ascii="Calibri" w:hAnsi="Calibri"/>
      <w:sz w:val="28"/>
      <w:szCs w:val="22"/>
    </w:rPr>
  </w:style>
  <w:style w:type="paragraph" w:styleId="20">
    <w:name w:val="caption"/>
    <w:basedOn w:val="1"/>
    <w:next w:val="1"/>
    <w:link w:val="201"/>
    <w:qFormat/>
    <w:uiPriority w:val="0"/>
    <w:pPr>
      <w:widowControl/>
      <w:jc w:val="left"/>
    </w:pPr>
    <w:rPr>
      <w:rFonts w:ascii="Arial" w:hAnsi="Arial" w:eastAsia="黑体" w:cstheme="minorBidi"/>
      <w:szCs w:val="22"/>
    </w:rPr>
  </w:style>
  <w:style w:type="paragraph" w:styleId="21">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2">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3">
    <w:name w:val="Document Map"/>
    <w:basedOn w:val="1"/>
    <w:link w:val="258"/>
    <w:qFormat/>
    <w:uiPriority w:val="99"/>
    <w:pPr>
      <w:shd w:val="clear" w:color="auto" w:fill="000080"/>
    </w:pPr>
    <w:rPr>
      <w:rFonts w:asciiTheme="minorHAnsi" w:hAnsiTheme="minorHAnsi" w:eastAsiaTheme="minorEastAsia" w:cstheme="minorBidi"/>
    </w:rPr>
  </w:style>
  <w:style w:type="paragraph" w:styleId="24">
    <w:name w:val="annotation text"/>
    <w:basedOn w:val="1"/>
    <w:link w:val="245"/>
    <w:unhideWhenUsed/>
    <w:qFormat/>
    <w:uiPriority w:val="99"/>
    <w:pPr>
      <w:jc w:val="left"/>
    </w:pPr>
  </w:style>
  <w:style w:type="paragraph" w:styleId="25">
    <w:name w:val="Salutation"/>
    <w:basedOn w:val="1"/>
    <w:next w:val="1"/>
    <w:link w:val="255"/>
    <w:qFormat/>
    <w:uiPriority w:val="0"/>
    <w:rPr>
      <w:rFonts w:asciiTheme="minorHAnsi" w:hAnsiTheme="minorHAnsi" w:eastAsiaTheme="minorEastAsia" w:cstheme="minorBidi"/>
    </w:rPr>
  </w:style>
  <w:style w:type="paragraph" w:styleId="26">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7">
    <w:name w:val="Closing"/>
    <w:basedOn w:val="1"/>
    <w:link w:val="287"/>
    <w:qFormat/>
    <w:uiPriority w:val="0"/>
    <w:pPr>
      <w:ind w:left="100" w:leftChars="2100"/>
    </w:pPr>
    <w:rPr>
      <w:rFonts w:ascii="宋体" w:hAnsi="宋体" w:eastAsiaTheme="minorEastAsia" w:cstheme="minorBidi"/>
      <w:b/>
      <w:sz w:val="24"/>
    </w:rPr>
  </w:style>
  <w:style w:type="paragraph" w:styleId="28">
    <w:name w:val="List Bullet 3"/>
    <w:basedOn w:val="1"/>
    <w:unhideWhenUsed/>
    <w:qFormat/>
    <w:uiPriority w:val="0"/>
    <w:pPr>
      <w:tabs>
        <w:tab w:val="left" w:pos="1200"/>
      </w:tabs>
      <w:ind w:left="1200" w:leftChars="400" w:hanging="360" w:hangingChars="200"/>
      <w:contextualSpacing/>
    </w:pPr>
    <w:rPr>
      <w:szCs w:val="20"/>
    </w:rPr>
  </w:style>
  <w:style w:type="paragraph" w:styleId="29">
    <w:name w:val="Body Text Indent"/>
    <w:basedOn w:val="1"/>
    <w:link w:val="222"/>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toc 5"/>
    <w:basedOn w:val="1"/>
    <w:next w:val="1"/>
    <w:qFormat/>
    <w:uiPriority w:val="39"/>
    <w:pPr>
      <w:ind w:left="840"/>
      <w:jc w:val="left"/>
    </w:pPr>
    <w:rPr>
      <w:sz w:val="18"/>
      <w:szCs w:val="18"/>
    </w:rPr>
  </w:style>
  <w:style w:type="paragraph" w:styleId="33">
    <w:name w:val="toc 3"/>
    <w:basedOn w:val="1"/>
    <w:next w:val="1"/>
    <w:qFormat/>
    <w:uiPriority w:val="39"/>
    <w:pPr>
      <w:ind w:left="420"/>
      <w:jc w:val="left"/>
    </w:pPr>
    <w:rPr>
      <w:i/>
      <w:iCs/>
      <w:sz w:val="20"/>
      <w:szCs w:val="20"/>
    </w:rPr>
  </w:style>
  <w:style w:type="paragraph" w:styleId="34">
    <w:name w:val="Plain Text"/>
    <w:basedOn w:val="1"/>
    <w:link w:val="237"/>
    <w:qFormat/>
    <w:uiPriority w:val="0"/>
    <w:rPr>
      <w:rFonts w:ascii="宋体" w:hAnsi="Courier New" w:cs="Courier New" w:eastAsiaTheme="minorEastAsia"/>
      <w:szCs w:val="21"/>
    </w:rPr>
  </w:style>
  <w:style w:type="paragraph" w:styleId="35">
    <w:name w:val="toc 8"/>
    <w:basedOn w:val="1"/>
    <w:next w:val="1"/>
    <w:qFormat/>
    <w:uiPriority w:val="39"/>
    <w:pPr>
      <w:ind w:left="1470"/>
      <w:jc w:val="left"/>
    </w:pPr>
    <w:rPr>
      <w:sz w:val="18"/>
      <w:szCs w:val="18"/>
    </w:rPr>
  </w:style>
  <w:style w:type="paragraph" w:styleId="36">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7">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3"/>
    <w:qFormat/>
    <w:uiPriority w:val="99"/>
    <w:rPr>
      <w:rFonts w:asciiTheme="minorHAnsi" w:hAnsiTheme="minorHAnsi" w:eastAsiaTheme="minorEastAsia" w:cstheme="minorBidi"/>
      <w:sz w:val="18"/>
      <w:szCs w:val="18"/>
    </w:rPr>
  </w:style>
  <w:style w:type="paragraph" w:styleId="40">
    <w:name w:val="footer"/>
    <w:basedOn w:val="1"/>
    <w:link w:val="71"/>
    <w:unhideWhenUsed/>
    <w:qFormat/>
    <w:uiPriority w:val="99"/>
    <w:pPr>
      <w:tabs>
        <w:tab w:val="center" w:pos="4153"/>
        <w:tab w:val="right" w:pos="8306"/>
      </w:tabs>
      <w:snapToGrid w:val="0"/>
      <w:jc w:val="left"/>
    </w:pPr>
    <w:rPr>
      <w:sz w:val="18"/>
      <w:szCs w:val="18"/>
    </w:rPr>
  </w:style>
  <w:style w:type="paragraph" w:styleId="41">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3">
    <w:name w:val="toc 4"/>
    <w:basedOn w:val="1"/>
    <w:next w:val="1"/>
    <w:qFormat/>
    <w:uiPriority w:val="39"/>
    <w:pPr>
      <w:ind w:left="630"/>
      <w:jc w:val="left"/>
    </w:pPr>
    <w:rPr>
      <w:sz w:val="18"/>
      <w:szCs w:val="18"/>
    </w:rPr>
  </w:style>
  <w:style w:type="paragraph" w:styleId="44">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5">
    <w:name w:val="List"/>
    <w:basedOn w:val="1"/>
    <w:qFormat/>
    <w:uiPriority w:val="0"/>
    <w:pPr>
      <w:ind w:left="420" w:hanging="420"/>
    </w:pPr>
    <w:rPr>
      <w:sz w:val="24"/>
      <w:szCs w:val="20"/>
    </w:rPr>
  </w:style>
  <w:style w:type="paragraph" w:styleId="46">
    <w:name w:val="footnote text"/>
    <w:basedOn w:val="1"/>
    <w:link w:val="713"/>
    <w:qFormat/>
    <w:uiPriority w:val="0"/>
    <w:pPr>
      <w:widowControl/>
      <w:jc w:val="left"/>
    </w:pPr>
    <w:rPr>
      <w:kern w:val="0"/>
      <w:sz w:val="20"/>
      <w:szCs w:val="20"/>
      <w:lang w:val="de-DE"/>
    </w:rPr>
  </w:style>
  <w:style w:type="paragraph" w:styleId="47">
    <w:name w:val="toc 6"/>
    <w:basedOn w:val="1"/>
    <w:next w:val="1"/>
    <w:qFormat/>
    <w:uiPriority w:val="39"/>
    <w:pPr>
      <w:ind w:left="1050"/>
      <w:jc w:val="left"/>
    </w:pPr>
    <w:rPr>
      <w:sz w:val="18"/>
      <w:szCs w:val="18"/>
    </w:rPr>
  </w:style>
  <w:style w:type="paragraph" w:styleId="48">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smallCaps/>
      <w:sz w:val="20"/>
      <w:szCs w:val="20"/>
    </w:rPr>
  </w:style>
  <w:style w:type="paragraph" w:styleId="51">
    <w:name w:val="toc 9"/>
    <w:basedOn w:val="1"/>
    <w:next w:val="1"/>
    <w:qFormat/>
    <w:uiPriority w:val="39"/>
    <w:pPr>
      <w:ind w:left="1680"/>
      <w:jc w:val="left"/>
    </w:pPr>
    <w:rPr>
      <w:sz w:val="18"/>
      <w:szCs w:val="18"/>
    </w:rPr>
  </w:style>
  <w:style w:type="paragraph" w:styleId="52">
    <w:name w:val="Body Text 2"/>
    <w:basedOn w:val="1"/>
    <w:link w:val="282"/>
    <w:qFormat/>
    <w:uiPriority w:val="0"/>
    <w:pPr>
      <w:jc w:val="center"/>
    </w:pPr>
    <w:rPr>
      <w:rFonts w:ascii="宋体" w:hAnsi="宋体" w:eastAsiaTheme="minorEastAsia" w:cstheme="minorBidi"/>
      <w:sz w:val="24"/>
    </w:rPr>
  </w:style>
  <w:style w:type="paragraph" w:styleId="53">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7">
    <w:name w:val="annotation subject"/>
    <w:basedOn w:val="24"/>
    <w:next w:val="24"/>
    <w:link w:val="246"/>
    <w:qFormat/>
    <w:uiPriority w:val="99"/>
    <w:rPr>
      <w:rFonts w:asciiTheme="minorHAnsi" w:hAnsiTheme="minorHAnsi" w:eastAsiaTheme="minorEastAsia" w:cstheme="minorBidi"/>
      <w:b/>
    </w:rPr>
  </w:style>
  <w:style w:type="paragraph" w:styleId="58">
    <w:name w:val="Body Text First Indent 2"/>
    <w:basedOn w:val="29"/>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1">
    <w:name w:val="Table Elegant"/>
    <w:basedOn w:val="5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99"/>
    <w:rPr>
      <w:sz w:val="21"/>
    </w:rPr>
  </w:style>
  <w:style w:type="character" w:customStyle="1" w:styleId="70">
    <w:name w:val="页眉 Char"/>
    <w:basedOn w:val="62"/>
    <w:link w:val="41"/>
    <w:qFormat/>
    <w:uiPriority w:val="99"/>
    <w:rPr>
      <w:sz w:val="18"/>
      <w:szCs w:val="18"/>
    </w:rPr>
  </w:style>
  <w:style w:type="character" w:customStyle="1" w:styleId="71">
    <w:name w:val="页脚 Char"/>
    <w:basedOn w:val="62"/>
    <w:link w:val="40"/>
    <w:qFormat/>
    <w:uiPriority w:val="99"/>
    <w:rPr>
      <w:sz w:val="18"/>
      <w:szCs w:val="18"/>
    </w:rPr>
  </w:style>
  <w:style w:type="character" w:customStyle="1" w:styleId="72">
    <w:name w:val="标题 1 Char"/>
    <w:basedOn w:val="62"/>
    <w:link w:val="4"/>
    <w:qFormat/>
    <w:uiPriority w:val="0"/>
    <w:rPr>
      <w:rFonts w:ascii="Times New Roman" w:hAnsi="Times New Roman" w:eastAsia="宋体" w:cs="Times New Roman"/>
      <w:b/>
      <w:kern w:val="44"/>
      <w:sz w:val="32"/>
      <w:szCs w:val="20"/>
    </w:rPr>
  </w:style>
  <w:style w:type="character" w:customStyle="1" w:styleId="73">
    <w:name w:val="标题 2 Char"/>
    <w:basedOn w:val="62"/>
    <w:link w:val="5"/>
    <w:qFormat/>
    <w:uiPriority w:val="0"/>
    <w:rPr>
      <w:rFonts w:ascii="Arial" w:hAnsi="Arial" w:eastAsia="黑体" w:cs="Times New Roman"/>
      <w:b/>
      <w:bCs/>
      <w:sz w:val="32"/>
      <w:szCs w:val="32"/>
    </w:rPr>
  </w:style>
  <w:style w:type="character" w:customStyle="1" w:styleId="74">
    <w:name w:val="标题 3 Char"/>
    <w:basedOn w:val="62"/>
    <w:link w:val="6"/>
    <w:qFormat/>
    <w:uiPriority w:val="9"/>
    <w:rPr>
      <w:rFonts w:ascii="Times New Roman" w:hAnsi="Times New Roman" w:eastAsia="Arial Unicode MS" w:cs="Times New Roman"/>
      <w:b/>
      <w:szCs w:val="20"/>
    </w:rPr>
  </w:style>
  <w:style w:type="character" w:customStyle="1" w:styleId="75">
    <w:name w:val="标题 4 Char"/>
    <w:basedOn w:val="62"/>
    <w:link w:val="9"/>
    <w:qFormat/>
    <w:uiPriority w:val="0"/>
    <w:rPr>
      <w:rFonts w:ascii="Cambria" w:hAnsi="Cambria" w:eastAsia="宋体" w:cs="Times New Roman"/>
      <w:b/>
      <w:bCs/>
      <w:sz w:val="28"/>
      <w:szCs w:val="28"/>
    </w:rPr>
  </w:style>
  <w:style w:type="character" w:customStyle="1" w:styleId="76">
    <w:name w:val="标题 5 Char"/>
    <w:basedOn w:val="62"/>
    <w:link w:val="10"/>
    <w:qFormat/>
    <w:uiPriority w:val="9"/>
    <w:rPr>
      <w:rFonts w:ascii="Calibri" w:hAnsi="Calibri" w:eastAsia="宋体" w:cs="Times New Roman"/>
      <w:b/>
      <w:bCs/>
      <w:sz w:val="28"/>
      <w:szCs w:val="28"/>
    </w:rPr>
  </w:style>
  <w:style w:type="character" w:customStyle="1" w:styleId="77">
    <w:name w:val="标题 6 Char"/>
    <w:basedOn w:val="62"/>
    <w:link w:val="11"/>
    <w:qFormat/>
    <w:uiPriority w:val="0"/>
    <w:rPr>
      <w:rFonts w:ascii="Arial" w:hAnsi="Arial" w:eastAsia="黑体" w:cs="Times New Roman"/>
      <w:b/>
      <w:bCs/>
      <w:kern w:val="0"/>
      <w:sz w:val="24"/>
      <w:szCs w:val="24"/>
    </w:rPr>
  </w:style>
  <w:style w:type="character" w:customStyle="1" w:styleId="78">
    <w:name w:val="标题 7 Char"/>
    <w:basedOn w:val="62"/>
    <w:link w:val="12"/>
    <w:qFormat/>
    <w:uiPriority w:val="0"/>
    <w:rPr>
      <w:rFonts w:ascii="Times New Roman" w:hAnsi="Times New Roman" w:eastAsia="宋体" w:cs="Times New Roman"/>
      <w:b/>
      <w:bCs/>
      <w:kern w:val="0"/>
      <w:sz w:val="24"/>
      <w:szCs w:val="24"/>
    </w:rPr>
  </w:style>
  <w:style w:type="character" w:customStyle="1" w:styleId="79">
    <w:name w:val="标题 8 Char"/>
    <w:basedOn w:val="62"/>
    <w:link w:val="13"/>
    <w:qFormat/>
    <w:uiPriority w:val="0"/>
    <w:rPr>
      <w:rFonts w:ascii="Arial" w:hAnsi="Arial" w:eastAsia="黑体" w:cs="Times New Roman"/>
      <w:kern w:val="0"/>
      <w:sz w:val="24"/>
      <w:szCs w:val="24"/>
    </w:rPr>
  </w:style>
  <w:style w:type="character" w:customStyle="1" w:styleId="80">
    <w:name w:val="标题 9 Char"/>
    <w:basedOn w:val="62"/>
    <w:link w:val="14"/>
    <w:qFormat/>
    <w:uiPriority w:val="0"/>
    <w:rPr>
      <w:rFonts w:ascii="Arial" w:hAnsi="Arial" w:eastAsia="黑体" w:cs="Times New Roman"/>
      <w:kern w:val="0"/>
      <w:szCs w:val="21"/>
    </w:rPr>
  </w:style>
  <w:style w:type="character" w:customStyle="1" w:styleId="81">
    <w:name w:val="hei12"/>
    <w:basedOn w:val="62"/>
    <w:qFormat/>
    <w:uiPriority w:val="0"/>
  </w:style>
  <w:style w:type="character" w:customStyle="1" w:styleId="82">
    <w:name w:val="正文缩进2格 Char"/>
    <w:link w:val="83"/>
    <w:qFormat/>
    <w:uiPriority w:val="0"/>
    <w:rPr>
      <w:rFonts w:ascii="仿宋_GB2312" w:hAnsi="宋体" w:eastAsia="仿宋_GB2312"/>
      <w:sz w:val="31"/>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cstheme="minorBidi"/>
      <w:sz w:val="31"/>
      <w:szCs w:val="22"/>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61"/>
    <w:qFormat/>
    <w:uiPriority w:val="0"/>
    <w:rPr>
      <w:rFonts w:hint="default" w:ascii="Times New Roman" w:hAnsi="Times New Roman" w:cs="Times New Roman"/>
      <w:color w:val="000000"/>
      <w:sz w:val="20"/>
      <w:szCs w:val="20"/>
      <w:u w:val="none"/>
    </w:rPr>
  </w:style>
  <w:style w:type="character" w:customStyle="1" w:styleId="86">
    <w:name w:val="表中左小5 Char"/>
    <w:link w:val="87"/>
    <w:qFormat/>
    <w:uiPriority w:val="0"/>
    <w:rPr>
      <w:color w:val="0000FF"/>
      <w:sz w:val="18"/>
      <w:szCs w:val="18"/>
    </w:rPr>
  </w:style>
  <w:style w:type="paragraph" w:customStyle="1" w:styleId="87">
    <w:name w:val="表中左小5"/>
    <w:link w:val="86"/>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8">
    <w:name w:val="font71"/>
    <w:qFormat/>
    <w:uiPriority w:val="0"/>
    <w:rPr>
      <w:rFonts w:hint="eastAsia" w:ascii="宋体" w:hAnsi="宋体" w:eastAsia="宋体" w:cs="宋体"/>
      <w:color w:val="000000"/>
      <w:sz w:val="20"/>
      <w:szCs w:val="20"/>
      <w:u w:val="none"/>
    </w:rPr>
  </w:style>
  <w:style w:type="character" w:customStyle="1" w:styleId="89">
    <w:name w:val="z-窗体底端 Char"/>
    <w:qFormat/>
    <w:uiPriority w:val="99"/>
    <w:rPr>
      <w:rFonts w:ascii="Arial" w:hAnsi="Arial" w:cs="Arial"/>
      <w:vanish/>
      <w:sz w:val="16"/>
      <w:szCs w:val="16"/>
    </w:rPr>
  </w:style>
  <w:style w:type="paragraph" w:customStyle="1" w:styleId="90">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1">
    <w:name w:val="ca-251"/>
    <w:qFormat/>
    <w:uiPriority w:val="0"/>
    <w:rPr>
      <w:rFonts w:hint="default" w:ascii="Times New Roman" w:hAnsi="Times New Roman" w:cs="Times New Roman"/>
      <w:sz w:val="24"/>
      <w:szCs w:val="24"/>
    </w:rPr>
  </w:style>
  <w:style w:type="character" w:customStyle="1" w:styleId="92">
    <w:name w:val="Char Char3"/>
    <w:semiHidden/>
    <w:qFormat/>
    <w:uiPriority w:val="0"/>
    <w:rPr>
      <w:sz w:val="18"/>
      <w:szCs w:val="18"/>
    </w:rPr>
  </w:style>
  <w:style w:type="character" w:customStyle="1" w:styleId="93">
    <w:name w:val="批注文字 Char"/>
    <w:qFormat/>
    <w:uiPriority w:val="99"/>
    <w:rPr>
      <w:kern w:val="2"/>
      <w:sz w:val="21"/>
      <w:szCs w:val="24"/>
    </w:rPr>
  </w:style>
  <w:style w:type="character" w:customStyle="1" w:styleId="94">
    <w:name w:val="apple-converted-space"/>
    <w:basedOn w:val="62"/>
    <w:qFormat/>
    <w:uiPriority w:val="0"/>
  </w:style>
  <w:style w:type="character" w:customStyle="1" w:styleId="95">
    <w:name w:val="chanpinname"/>
    <w:basedOn w:val="62"/>
    <w:qFormat/>
    <w:uiPriority w:val="0"/>
  </w:style>
  <w:style w:type="character" w:customStyle="1" w:styleId="96">
    <w:name w:val="副标题 Char"/>
    <w:qFormat/>
    <w:uiPriority w:val="0"/>
    <w:rPr>
      <w:rFonts w:ascii="Cambria" w:hAnsi="Cambria"/>
      <w:b/>
      <w:bCs/>
      <w:kern w:val="28"/>
      <w:sz w:val="32"/>
      <w:szCs w:val="32"/>
    </w:rPr>
  </w:style>
  <w:style w:type="character" w:customStyle="1" w:styleId="97">
    <w:name w:val="ca-231"/>
    <w:qFormat/>
    <w:uiPriority w:val="0"/>
    <w:rPr>
      <w:rFonts w:hint="eastAsia" w:ascii="宋体" w:hAnsi="宋体" w:eastAsia="宋体"/>
      <w:sz w:val="24"/>
      <w:szCs w:val="24"/>
    </w:rPr>
  </w:style>
  <w:style w:type="character" w:customStyle="1" w:styleId="98">
    <w:name w:val="Figure Text Char"/>
    <w:link w:val="99"/>
    <w:qFormat/>
    <w:uiPriority w:val="0"/>
    <w:rPr>
      <w:rFonts w:ascii="Arial" w:hAnsi="Arial" w:cs="Arial"/>
      <w:sz w:val="18"/>
      <w:szCs w:val="18"/>
      <w:lang w:eastAsia="en-US"/>
    </w:rPr>
  </w:style>
  <w:style w:type="paragraph" w:customStyle="1" w:styleId="99">
    <w:name w:val="Figure Text"/>
    <w:link w:val="98"/>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0">
    <w:name w:val="font91"/>
    <w:qFormat/>
    <w:uiPriority w:val="0"/>
    <w:rPr>
      <w:rFonts w:hint="eastAsia" w:ascii="宋体" w:hAnsi="宋体" w:eastAsia="宋体" w:cs="宋体"/>
      <w:color w:val="000000"/>
      <w:sz w:val="20"/>
      <w:szCs w:val="20"/>
      <w:u w:val="none"/>
    </w:rPr>
  </w:style>
  <w:style w:type="character" w:customStyle="1" w:styleId="101">
    <w:name w:val="正文小四 Char"/>
    <w:link w:val="102"/>
    <w:qFormat/>
    <w:uiPriority w:val="0"/>
    <w:rPr>
      <w:rFonts w:ascii="宋体" w:hAnsi="宋体"/>
      <w:sz w:val="24"/>
    </w:rPr>
  </w:style>
  <w:style w:type="paragraph" w:customStyle="1" w:styleId="102">
    <w:name w:val="正文小四"/>
    <w:link w:val="101"/>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3">
    <w:name w:val="正文文本 3 Char"/>
    <w:qFormat/>
    <w:uiPriority w:val="0"/>
    <w:rPr>
      <w:sz w:val="16"/>
      <w:szCs w:val="16"/>
    </w:rPr>
  </w:style>
  <w:style w:type="character" w:customStyle="1" w:styleId="104">
    <w:name w:val="font01"/>
    <w:basedOn w:val="62"/>
    <w:qFormat/>
    <w:uiPriority w:val="0"/>
    <w:rPr>
      <w:rFonts w:hint="eastAsia" w:ascii="宋体" w:hAnsi="宋体" w:eastAsia="宋体" w:cs="宋体"/>
      <w:color w:val="000000"/>
      <w:sz w:val="24"/>
      <w:szCs w:val="24"/>
      <w:u w:val="none"/>
      <w:vertAlign w:val="superscript"/>
    </w:rPr>
  </w:style>
  <w:style w:type="character" w:customStyle="1" w:styleId="105">
    <w:name w:val="Table Description Char Char"/>
    <w:link w:val="106"/>
    <w:qFormat/>
    <w:uiPriority w:val="0"/>
    <w:rPr>
      <w:rFonts w:ascii="Arial" w:hAnsi="Arial" w:eastAsia="黑体"/>
      <w:sz w:val="18"/>
    </w:rPr>
  </w:style>
  <w:style w:type="paragraph" w:customStyle="1" w:styleId="106">
    <w:name w:val="Table Description"/>
    <w:next w:val="1"/>
    <w:link w:val="105"/>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7">
    <w:name w:val="表格标题(居中) Char"/>
    <w:link w:val="108"/>
    <w:qFormat/>
    <w:uiPriority w:val="0"/>
    <w:rPr>
      <w:rFonts w:eastAsia="黑体"/>
      <w:sz w:val="24"/>
    </w:rPr>
  </w:style>
  <w:style w:type="paragraph" w:customStyle="1" w:styleId="108">
    <w:name w:val="表格标题(居中)"/>
    <w:basedOn w:val="1"/>
    <w:link w:val="107"/>
    <w:qFormat/>
    <w:uiPriority w:val="0"/>
    <w:pPr>
      <w:snapToGrid w:val="0"/>
      <w:spacing w:line="300" w:lineRule="auto"/>
      <w:jc w:val="center"/>
    </w:pPr>
    <w:rPr>
      <w:rFonts w:eastAsia="黑体" w:asciiTheme="minorHAnsi" w:hAnsiTheme="minorHAnsi" w:cstheme="minorBidi"/>
      <w:sz w:val="24"/>
      <w:szCs w:val="22"/>
    </w:rPr>
  </w:style>
  <w:style w:type="character" w:customStyle="1" w:styleId="109">
    <w:name w:val="称呼 Char"/>
    <w:qFormat/>
    <w:uiPriority w:val="0"/>
    <w:rPr>
      <w:szCs w:val="24"/>
    </w:rPr>
  </w:style>
  <w:style w:type="character" w:customStyle="1" w:styleId="110">
    <w:name w:val="样式 目录 2 + 宋体 Char"/>
    <w:link w:val="111"/>
    <w:qFormat/>
    <w:uiPriority w:val="0"/>
    <w:rPr>
      <w:rFonts w:ascii="宋体" w:hAnsi="宋体"/>
      <w:sz w:val="28"/>
    </w:rPr>
  </w:style>
  <w:style w:type="paragraph" w:customStyle="1" w:styleId="111">
    <w:name w:val="样式 目录 2 + 宋体"/>
    <w:basedOn w:val="3"/>
    <w:next w:val="3"/>
    <w:link w:val="110"/>
    <w:qFormat/>
    <w:uiPriority w:val="0"/>
    <w:pPr>
      <w:autoSpaceDE/>
      <w:autoSpaceDN/>
      <w:adjustRightInd/>
      <w:spacing w:after="120" w:line="240" w:lineRule="auto"/>
      <w:jc w:val="both"/>
    </w:pPr>
    <w:rPr>
      <w:rFonts w:hAnsi="宋体"/>
      <w:color w:val="auto"/>
      <w:szCs w:val="22"/>
    </w:rPr>
  </w:style>
  <w:style w:type="character" w:customStyle="1" w:styleId="112">
    <w:name w:val="副标题 Char1"/>
    <w:qFormat/>
    <w:uiPriority w:val="0"/>
    <w:rPr>
      <w:rFonts w:ascii="Cambria" w:hAnsi="Cambria" w:cs="Times New Roman"/>
      <w:b/>
      <w:bCs/>
      <w:kern w:val="28"/>
      <w:sz w:val="32"/>
      <w:szCs w:val="32"/>
    </w:rPr>
  </w:style>
  <w:style w:type="character" w:customStyle="1" w:styleId="113">
    <w:name w:val="正文首行缩进 Char"/>
    <w:qFormat/>
    <w:uiPriority w:val="0"/>
    <w:rPr>
      <w:rFonts w:ascii="宋体"/>
      <w:color w:val="000000"/>
      <w:szCs w:val="32"/>
    </w:rPr>
  </w:style>
  <w:style w:type="character" w:customStyle="1" w:styleId="114">
    <w:name w:val="正文文本缩进 2 Char"/>
    <w:qFormat/>
    <w:locked/>
    <w:uiPriority w:val="0"/>
    <w:rPr>
      <w:rFonts w:ascii="幼圆" w:eastAsia="幼圆"/>
      <w:color w:val="000000"/>
      <w:sz w:val="30"/>
      <w:szCs w:val="32"/>
    </w:rPr>
  </w:style>
  <w:style w:type="character" w:customStyle="1" w:styleId="115">
    <w:name w:val="font81"/>
    <w:qFormat/>
    <w:uiPriority w:val="0"/>
    <w:rPr>
      <w:rFonts w:hint="eastAsia" w:ascii="宋体" w:hAnsi="宋体" w:eastAsia="宋体" w:cs="宋体"/>
      <w:color w:val="000000"/>
      <w:sz w:val="20"/>
      <w:szCs w:val="20"/>
      <w:u w:val="none"/>
    </w:rPr>
  </w:style>
  <w:style w:type="character" w:customStyle="1" w:styleId="116">
    <w:name w:val="正文文本 Char"/>
    <w:qFormat/>
    <w:uiPriority w:val="0"/>
    <w:rPr>
      <w:rFonts w:ascii="宋体"/>
      <w:color w:val="000000"/>
      <w:sz w:val="28"/>
      <w:szCs w:val="32"/>
    </w:rPr>
  </w:style>
  <w:style w:type="character" w:customStyle="1" w:styleId="117">
    <w:name w:val="尾注文本 Char"/>
    <w:basedOn w:val="62"/>
    <w:qFormat/>
    <w:uiPriority w:val="0"/>
  </w:style>
  <w:style w:type="character" w:customStyle="1" w:styleId="118">
    <w:name w:val="HTML 预设格式 Char1"/>
    <w:semiHidden/>
    <w:qFormat/>
    <w:uiPriority w:val="0"/>
    <w:rPr>
      <w:rFonts w:ascii="Courier New" w:hAnsi="Courier New" w:eastAsia="宋体" w:cs="Courier New"/>
      <w:sz w:val="20"/>
      <w:szCs w:val="20"/>
    </w:rPr>
  </w:style>
  <w:style w:type="character" w:customStyle="1" w:styleId="119">
    <w:name w:val="3zw1"/>
    <w:qFormat/>
    <w:uiPriority w:val="0"/>
    <w:rPr>
      <w:color w:val="000000"/>
      <w:sz w:val="21"/>
      <w:szCs w:val="21"/>
    </w:rPr>
  </w:style>
  <w:style w:type="character" w:customStyle="1" w:styleId="120">
    <w:name w:val="正文缩进 Char"/>
    <w:link w:val="7"/>
    <w:qFormat/>
    <w:uiPriority w:val="0"/>
    <w:rPr>
      <w:szCs w:val="24"/>
    </w:rPr>
  </w:style>
  <w:style w:type="character" w:customStyle="1" w:styleId="121">
    <w:name w:val="正文2级 Char"/>
    <w:link w:val="122"/>
    <w:qFormat/>
    <w:uiPriority w:val="0"/>
    <w:rPr>
      <w:bCs/>
      <w:kern w:val="44"/>
      <w:sz w:val="24"/>
      <w:szCs w:val="44"/>
    </w:rPr>
  </w:style>
  <w:style w:type="paragraph" w:customStyle="1" w:styleId="122">
    <w:name w:val="正文2级"/>
    <w:link w:val="121"/>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3">
    <w:name w:val="param-name"/>
    <w:qFormat/>
    <w:uiPriority w:val="0"/>
  </w:style>
  <w:style w:type="character" w:customStyle="1" w:styleId="124">
    <w:name w:val="Table Text Char1"/>
    <w:qFormat/>
    <w:uiPriority w:val="0"/>
    <w:rPr>
      <w:rFonts w:ascii="Arial" w:hAnsi="Arial" w:eastAsia="宋体" w:cs="Arial"/>
      <w:snapToGrid w:val="0"/>
      <w:sz w:val="21"/>
      <w:szCs w:val="21"/>
      <w:lang w:val="en-US" w:eastAsia="zh-CN" w:bidi="ar-SA"/>
    </w:rPr>
  </w:style>
  <w:style w:type="character" w:customStyle="1" w:styleId="125">
    <w:name w:val="word21"/>
    <w:qFormat/>
    <w:uiPriority w:val="0"/>
    <w:rPr>
      <w:b/>
      <w:bCs/>
      <w:color w:val="194D7C"/>
      <w:spacing w:val="400"/>
      <w:sz w:val="24"/>
      <w:szCs w:val="24"/>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表格非标题文字 Char"/>
    <w:link w:val="128"/>
    <w:qFormat/>
    <w:uiPriority w:val="0"/>
    <w:rPr>
      <w:rFonts w:ascii="Arial" w:hAnsi="Arial"/>
      <w:sz w:val="18"/>
      <w:szCs w:val="21"/>
    </w:rPr>
  </w:style>
  <w:style w:type="paragraph" w:customStyle="1" w:styleId="128">
    <w:name w:val="表格非标题文字"/>
    <w:link w:val="127"/>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9">
    <w:name w:val="正文首行缩进 2 Char1"/>
    <w:basedOn w:val="130"/>
    <w:qFormat/>
    <w:uiPriority w:val="0"/>
    <w:rPr>
      <w:rFonts w:ascii="楷体_GB2312" w:eastAsia="楷体_GB2312"/>
      <w:kern w:val="2"/>
      <w:sz w:val="28"/>
      <w:szCs w:val="31"/>
    </w:rPr>
  </w:style>
  <w:style w:type="character" w:customStyle="1" w:styleId="130">
    <w:name w:val="正文文本缩进 Char1"/>
    <w:qFormat/>
    <w:uiPriority w:val="0"/>
    <w:rPr>
      <w:rFonts w:ascii="楷体_GB2312" w:eastAsia="楷体_GB2312"/>
      <w:kern w:val="2"/>
      <w:sz w:val="28"/>
      <w:szCs w:val="31"/>
    </w:rPr>
  </w:style>
  <w:style w:type="character" w:customStyle="1" w:styleId="131">
    <w:name w:val="正文新 Char"/>
    <w:link w:val="132"/>
    <w:qFormat/>
    <w:uiPriority w:val="0"/>
    <w:rPr>
      <w:rFonts w:ascii="宋体" w:hAnsi="宋体"/>
      <w:sz w:val="28"/>
    </w:rPr>
  </w:style>
  <w:style w:type="paragraph" w:customStyle="1" w:styleId="132">
    <w:name w:val="正文新"/>
    <w:basedOn w:val="1"/>
    <w:link w:val="131"/>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3">
    <w:name w:val="font31"/>
    <w:basedOn w:val="62"/>
    <w:qFormat/>
    <w:uiPriority w:val="0"/>
    <w:rPr>
      <w:rFonts w:hint="default" w:ascii="Times New Roman" w:hAnsi="Times New Roman" w:cs="Times New Roman"/>
      <w:color w:val="000000"/>
      <w:sz w:val="20"/>
      <w:szCs w:val="20"/>
      <w:u w:val="none"/>
    </w:rPr>
  </w:style>
  <w:style w:type="character" w:customStyle="1" w:styleId="134">
    <w:name w:val="B正文 Char"/>
    <w:link w:val="135"/>
    <w:qFormat/>
    <w:locked/>
    <w:uiPriority w:val="0"/>
    <w:rPr>
      <w:rFonts w:ascii="宋体" w:hAnsi="宋体"/>
      <w:sz w:val="24"/>
    </w:rPr>
  </w:style>
  <w:style w:type="paragraph" w:customStyle="1" w:styleId="135">
    <w:name w:val="B正文"/>
    <w:basedOn w:val="1"/>
    <w:link w:val="134"/>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6">
    <w:name w:val="日期 Char"/>
    <w:qFormat/>
    <w:locked/>
    <w:uiPriority w:val="0"/>
    <w:rPr>
      <w:rFonts w:eastAsia="仿宋_GB2312"/>
      <w:color w:val="000000"/>
      <w:sz w:val="28"/>
      <w:szCs w:val="24"/>
    </w:rPr>
  </w:style>
  <w:style w:type="character" w:customStyle="1" w:styleId="137">
    <w:name w:val="缩进 Char"/>
    <w:link w:val="138"/>
    <w:qFormat/>
    <w:uiPriority w:val="0"/>
    <w:rPr>
      <w:color w:val="0000FF"/>
      <w:szCs w:val="18"/>
    </w:rPr>
  </w:style>
  <w:style w:type="paragraph" w:customStyle="1" w:styleId="138">
    <w:name w:val="缩进"/>
    <w:link w:val="137"/>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txt"/>
    <w:basedOn w:val="62"/>
    <w:qFormat/>
    <w:uiPriority w:val="0"/>
  </w:style>
  <w:style w:type="character" w:customStyle="1" w:styleId="141">
    <w:name w:val="首行缩进 Char Char1"/>
    <w:link w:val="142"/>
    <w:qFormat/>
    <w:locked/>
    <w:uiPriority w:val="0"/>
    <w:rPr>
      <w:sz w:val="24"/>
      <w:szCs w:val="24"/>
    </w:rPr>
  </w:style>
  <w:style w:type="paragraph" w:customStyle="1" w:styleId="142">
    <w:name w:val="首行缩进 Char"/>
    <w:basedOn w:val="1"/>
    <w:next w:val="7"/>
    <w:link w:val="141"/>
    <w:qFormat/>
    <w:uiPriority w:val="0"/>
    <w:pPr>
      <w:spacing w:line="300" w:lineRule="auto"/>
      <w:ind w:firstLine="420"/>
    </w:pPr>
    <w:rPr>
      <w:rFonts w:asciiTheme="minorHAnsi" w:hAnsiTheme="minorHAnsi" w:eastAsiaTheme="minorEastAsia" w:cstheme="minorBidi"/>
      <w:sz w:val="24"/>
    </w:rPr>
  </w:style>
  <w:style w:type="character" w:customStyle="1" w:styleId="143">
    <w:name w:val="ca-131"/>
    <w:qFormat/>
    <w:uiPriority w:val="0"/>
    <w:rPr>
      <w:rFonts w:hint="default" w:ascii="Times New Roman" w:hAnsi="Times New Roman" w:cs="Times New Roman"/>
      <w:sz w:val="21"/>
      <w:szCs w:val="21"/>
    </w:rPr>
  </w:style>
  <w:style w:type="character" w:customStyle="1" w:styleId="144">
    <w:name w:val="标题 Char"/>
    <w:qFormat/>
    <w:uiPriority w:val="0"/>
    <w:rPr>
      <w:rFonts w:ascii="Arial" w:hAnsi="Arial"/>
      <w:b/>
      <w:bCs/>
      <w:sz w:val="32"/>
      <w:szCs w:val="32"/>
    </w:rPr>
  </w:style>
  <w:style w:type="character" w:customStyle="1" w:styleId="145">
    <w:name w:val="悬挂22 Char"/>
    <w:link w:val="146"/>
    <w:qFormat/>
    <w:uiPriority w:val="0"/>
    <w:rPr>
      <w:color w:val="FF0000"/>
      <w:szCs w:val="28"/>
    </w:rPr>
  </w:style>
  <w:style w:type="paragraph" w:customStyle="1" w:styleId="146">
    <w:name w:val="悬挂22"/>
    <w:link w:val="145"/>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7">
    <w:name w:val="正文文本 Char1"/>
    <w:qFormat/>
    <w:uiPriority w:val="0"/>
    <w:rPr>
      <w:rFonts w:ascii="楷体_GB2312" w:eastAsia="楷体_GB2312"/>
      <w:kern w:val="2"/>
      <w:sz w:val="28"/>
    </w:rPr>
  </w:style>
  <w:style w:type="character" w:customStyle="1" w:styleId="148">
    <w:name w:val="纯文本 Char"/>
    <w:qFormat/>
    <w:uiPriority w:val="0"/>
    <w:rPr>
      <w:rFonts w:ascii="宋体" w:hAnsi="Courier New" w:cs="Courier New"/>
      <w:szCs w:val="21"/>
    </w:rPr>
  </w:style>
  <w:style w:type="character" w:customStyle="1" w:styleId="149">
    <w:name w:val="正文文本缩进 3 Char"/>
    <w:qFormat/>
    <w:locked/>
    <w:uiPriority w:val="0"/>
    <w:rPr>
      <w:rFonts w:ascii="幼圆" w:eastAsia="幼圆"/>
      <w:sz w:val="24"/>
      <w:szCs w:val="32"/>
    </w:rPr>
  </w:style>
  <w:style w:type="character" w:customStyle="1" w:styleId="150">
    <w:name w:val="悬挂2 Char"/>
    <w:link w:val="151"/>
    <w:qFormat/>
    <w:uiPriority w:val="0"/>
    <w:rPr>
      <w:rFonts w:asciiTheme="minorHAnsi" w:hAnsiTheme="minorHAnsi" w:eastAsiaTheme="minorEastAsia" w:cstheme="minorBidi"/>
      <w:kern w:val="2"/>
      <w:sz w:val="21"/>
      <w:szCs w:val="21"/>
    </w:rPr>
  </w:style>
  <w:style w:type="paragraph" w:customStyle="1" w:styleId="151">
    <w:name w:val="悬挂2"/>
    <w:link w:val="150"/>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2">
    <w:name w:val="Char Char5"/>
    <w:qFormat/>
    <w:uiPriority w:val="0"/>
    <w:rPr>
      <w:rFonts w:ascii="Times New Roman" w:hAnsi="Times New Roman" w:eastAsia="宋体"/>
      <w:sz w:val="18"/>
    </w:rPr>
  </w:style>
  <w:style w:type="character" w:customStyle="1" w:styleId="153">
    <w:name w:val="prod_content_font_011"/>
    <w:qFormat/>
    <w:uiPriority w:val="0"/>
    <w:rPr>
      <w:rFonts w:hint="default" w:ascii="Verdana" w:hAnsi="Verdana"/>
      <w:color w:val="5E5E5E"/>
      <w:sz w:val="17"/>
      <w:szCs w:val="17"/>
    </w:rPr>
  </w:style>
  <w:style w:type="character" w:customStyle="1" w:styleId="154">
    <w:name w:val="尾注文本 Char1"/>
    <w:qFormat/>
    <w:uiPriority w:val="99"/>
    <w:rPr>
      <w:kern w:val="2"/>
      <w:sz w:val="21"/>
      <w:szCs w:val="24"/>
    </w:rPr>
  </w:style>
  <w:style w:type="character" w:customStyle="1" w:styleId="155">
    <w:name w:val="普通 (Web) Char"/>
    <w:link w:val="156"/>
    <w:qFormat/>
    <w:uiPriority w:val="99"/>
    <w:rPr>
      <w:rFonts w:ascii="宋体" w:hAnsi="宋体"/>
      <w:sz w:val="24"/>
      <w:szCs w:val="24"/>
    </w:rPr>
  </w:style>
  <w:style w:type="paragraph" w:customStyle="1" w:styleId="156">
    <w:name w:val="普通 (Web)"/>
    <w:basedOn w:val="1"/>
    <w:link w:val="155"/>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7">
    <w:name w:val="标题 Char1"/>
    <w:qFormat/>
    <w:uiPriority w:val="0"/>
    <w:rPr>
      <w:rFonts w:ascii="Cambria" w:hAnsi="Cambria" w:cs="Times New Roman"/>
      <w:b/>
      <w:bCs/>
      <w:kern w:val="2"/>
      <w:sz w:val="32"/>
      <w:szCs w:val="32"/>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正文文本缩进 Char"/>
    <w:qFormat/>
    <w:uiPriority w:val="0"/>
    <w:rPr>
      <w:rFonts w:ascii="宋体"/>
      <w:color w:val="000000"/>
      <w:sz w:val="32"/>
      <w:szCs w:val="32"/>
    </w:rPr>
  </w:style>
  <w:style w:type="character" w:customStyle="1" w:styleId="160">
    <w:name w:val="Table Text Char"/>
    <w:link w:val="161"/>
    <w:qFormat/>
    <w:uiPriority w:val="0"/>
    <w:rPr>
      <w:rFonts w:ascii="Arial" w:hAnsi="Arial"/>
      <w:sz w:val="18"/>
    </w:rPr>
  </w:style>
  <w:style w:type="paragraph" w:customStyle="1" w:styleId="161">
    <w:name w:val="Table Text"/>
    <w:link w:val="16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2">
    <w:name w:val="批注框文本 Char"/>
    <w:qFormat/>
    <w:uiPriority w:val="99"/>
    <w:rPr>
      <w:rFonts w:ascii="Times New Roman" w:hAnsi="Times New Roman"/>
      <w:kern w:val="2"/>
      <w:sz w:val="18"/>
      <w:szCs w:val="18"/>
    </w:rPr>
  </w:style>
  <w:style w:type="character" w:customStyle="1" w:styleId="163">
    <w:name w:val="Table Heading Char"/>
    <w:link w:val="164"/>
    <w:qFormat/>
    <w:uiPriority w:val="0"/>
    <w:rPr>
      <w:rFonts w:ascii="Arial" w:hAnsi="Arial" w:eastAsia="黑体" w:cs="Book Antiqua"/>
      <w:bCs/>
      <w:snapToGrid w:val="0"/>
      <w:szCs w:val="21"/>
    </w:rPr>
  </w:style>
  <w:style w:type="paragraph" w:customStyle="1" w:styleId="164">
    <w:name w:val="Table Heading"/>
    <w:basedOn w:val="1"/>
    <w:link w:val="163"/>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5">
    <w:name w:val="样式 宋体"/>
    <w:qFormat/>
    <w:uiPriority w:val="0"/>
    <w:rPr>
      <w:rFonts w:ascii="宋体" w:hAnsi="宋体" w:eastAsia="宋体"/>
      <w:sz w:val="24"/>
      <w:szCs w:val="24"/>
    </w:rPr>
  </w:style>
  <w:style w:type="character" w:customStyle="1" w:styleId="166">
    <w:name w:val="正文文本 2 Char"/>
    <w:qFormat/>
    <w:uiPriority w:val="0"/>
    <w:rPr>
      <w:rFonts w:ascii="宋体" w:hAnsi="宋体"/>
      <w:sz w:val="24"/>
      <w:szCs w:val="24"/>
    </w:rPr>
  </w:style>
  <w:style w:type="character" w:customStyle="1" w:styleId="167">
    <w:name w:val="myp1111"/>
    <w:qFormat/>
    <w:uiPriority w:val="0"/>
    <w:rPr>
      <w:rFonts w:hint="default" w:ascii="ˎ̥" w:hAnsi="ˎ̥"/>
      <w:color w:val="000000"/>
      <w:sz w:val="15"/>
      <w:szCs w:val="15"/>
      <w:u w:val="none"/>
    </w:rPr>
  </w:style>
  <w:style w:type="character" w:customStyle="1" w:styleId="168">
    <w:name w:val="hang1"/>
    <w:basedOn w:val="62"/>
    <w:qFormat/>
    <w:uiPriority w:val="0"/>
  </w:style>
  <w:style w:type="character" w:customStyle="1" w:styleId="169">
    <w:name w:val="段 Char Char"/>
    <w:qFormat/>
    <w:uiPriority w:val="0"/>
    <w:rPr>
      <w:rFonts w:ascii="宋体"/>
      <w:sz w:val="21"/>
      <w:lang w:val="en-US" w:eastAsia="zh-CN" w:bidi="ar-SA"/>
    </w:rPr>
  </w:style>
  <w:style w:type="character" w:customStyle="1" w:styleId="170">
    <w:name w:val="悬挂1 Char"/>
    <w:link w:val="171"/>
    <w:qFormat/>
    <w:uiPriority w:val="0"/>
    <w:rPr>
      <w:szCs w:val="21"/>
    </w:rPr>
  </w:style>
  <w:style w:type="paragraph" w:customStyle="1" w:styleId="171">
    <w:name w:val="悬挂1"/>
    <w:link w:val="170"/>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2">
    <w:name w:val="text_12_black1"/>
    <w:qFormat/>
    <w:uiPriority w:val="0"/>
    <w:rPr>
      <w:rFonts w:hint="default" w:ascii="ˎ̥" w:hAnsi="ˎ̥"/>
      <w:color w:val="333333"/>
      <w:sz w:val="18"/>
      <w:szCs w:val="18"/>
      <w:u w:val="none"/>
    </w:rPr>
  </w:style>
  <w:style w:type="character" w:customStyle="1" w:styleId="173">
    <w:name w:val="font11"/>
    <w:qFormat/>
    <w:uiPriority w:val="0"/>
    <w:rPr>
      <w:rFonts w:hint="eastAsia" w:ascii="宋体" w:hAnsi="宋体" w:eastAsia="宋体" w:cs="宋体"/>
      <w:color w:val="000000"/>
      <w:sz w:val="20"/>
      <w:szCs w:val="20"/>
      <w:u w:val="none"/>
    </w:rPr>
  </w:style>
  <w:style w:type="character" w:customStyle="1" w:styleId="174">
    <w:name w:val="正文缩进(ALT+Z) Char"/>
    <w:link w:val="175"/>
    <w:qFormat/>
    <w:uiPriority w:val="0"/>
    <w:rPr>
      <w:sz w:val="24"/>
      <w:szCs w:val="24"/>
    </w:rPr>
  </w:style>
  <w:style w:type="paragraph" w:customStyle="1" w:styleId="175">
    <w:name w:val="正文缩进(ALT+Z)"/>
    <w:basedOn w:val="1"/>
    <w:link w:val="174"/>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6">
    <w:name w:val="font21"/>
    <w:qFormat/>
    <w:uiPriority w:val="0"/>
    <w:rPr>
      <w:rFonts w:hint="eastAsia" w:ascii="宋体" w:hAnsi="宋体" w:eastAsia="宋体" w:cs="宋体"/>
      <w:color w:val="000000"/>
      <w:sz w:val="24"/>
      <w:szCs w:val="24"/>
      <w:u w:val="none"/>
    </w:rPr>
  </w:style>
  <w:style w:type="character" w:customStyle="1" w:styleId="177">
    <w:name w:val="标题 3 Char1"/>
    <w:qFormat/>
    <w:uiPriority w:val="0"/>
    <w:rPr>
      <w:b/>
      <w:bCs/>
      <w:kern w:val="2"/>
      <w:sz w:val="32"/>
      <w:szCs w:val="32"/>
    </w:rPr>
  </w:style>
  <w:style w:type="character" w:customStyle="1" w:styleId="178">
    <w:name w:val="页脚 Char1"/>
    <w:semiHidden/>
    <w:qFormat/>
    <w:uiPriority w:val="0"/>
    <w:rPr>
      <w:rFonts w:ascii="Times New Roman" w:hAnsi="Times New Roman" w:eastAsia="宋体" w:cs="Times New Roman"/>
      <w:sz w:val="18"/>
      <w:szCs w:val="18"/>
    </w:rPr>
  </w:style>
  <w:style w:type="character" w:customStyle="1" w:styleId="179">
    <w:name w:val="z71"/>
    <w:qFormat/>
    <w:uiPriority w:val="0"/>
    <w:rPr>
      <w:spacing w:val="300"/>
      <w:sz w:val="18"/>
      <w:szCs w:val="18"/>
    </w:rPr>
  </w:style>
  <w:style w:type="character" w:customStyle="1" w:styleId="180">
    <w:name w:val="四级大纲 Char"/>
    <w:link w:val="181"/>
    <w:qFormat/>
    <w:uiPriority w:val="0"/>
    <w:rPr>
      <w:rFonts w:ascii="Calibri" w:hAnsi="Calibri" w:eastAsiaTheme="minorEastAsia" w:cstheme="minorBidi"/>
      <w:b/>
      <w:kern w:val="2"/>
      <w:sz w:val="30"/>
      <w:szCs w:val="22"/>
    </w:rPr>
  </w:style>
  <w:style w:type="paragraph" w:customStyle="1" w:styleId="181">
    <w:name w:val="四级大纲"/>
    <w:next w:val="102"/>
    <w:link w:val="180"/>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2">
    <w:name w:val="文档正文 Char"/>
    <w:link w:val="183"/>
    <w:qFormat/>
    <w:uiPriority w:val="0"/>
    <w:rPr>
      <w:rFonts w:ascii="Arial" w:eastAsia="长城仿宋"/>
      <w:sz w:val="28"/>
    </w:rPr>
  </w:style>
  <w:style w:type="paragraph" w:customStyle="1" w:styleId="183">
    <w:name w:val="文档正文"/>
    <w:basedOn w:val="1"/>
    <w:link w:val="182"/>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4">
    <w:name w:val="15"/>
    <w:qFormat/>
    <w:uiPriority w:val="0"/>
    <w:rPr>
      <w:rFonts w:hint="default" w:ascii="Times New Roman" w:hAnsi="Times New Roman" w:cs="Times New Roman"/>
      <w:color w:val="0000FF"/>
      <w:u w:val="single"/>
    </w:rPr>
  </w:style>
  <w:style w:type="character" w:customStyle="1" w:styleId="185">
    <w:name w:val="批注主题 Char"/>
    <w:qFormat/>
    <w:uiPriority w:val="99"/>
    <w:rPr>
      <w:b/>
      <w:szCs w:val="24"/>
    </w:rPr>
  </w:style>
  <w:style w:type="character" w:customStyle="1" w:styleId="186">
    <w:name w:val="纯文本 Char1"/>
    <w:qFormat/>
    <w:uiPriority w:val="0"/>
    <w:rPr>
      <w:rFonts w:ascii="宋体" w:hAnsi="Courier New" w:cs="Courier New"/>
      <w:kern w:val="2"/>
      <w:sz w:val="21"/>
      <w:szCs w:val="21"/>
    </w:rPr>
  </w:style>
  <w:style w:type="character" w:customStyle="1" w:styleId="187">
    <w:name w:val="批注框文本 Char1"/>
    <w:qFormat/>
    <w:locked/>
    <w:uiPriority w:val="0"/>
    <w:rPr>
      <w:sz w:val="18"/>
      <w:szCs w:val="18"/>
    </w:rPr>
  </w:style>
  <w:style w:type="character" w:customStyle="1" w:styleId="188">
    <w:name w:val="结束语 Char"/>
    <w:qFormat/>
    <w:uiPriority w:val="0"/>
    <w:rPr>
      <w:rFonts w:ascii="宋体" w:hAnsi="宋体"/>
      <w:b/>
      <w:sz w:val="24"/>
      <w:szCs w:val="24"/>
    </w:rPr>
  </w:style>
  <w:style w:type="character" w:customStyle="1" w:styleId="189">
    <w:name w:val="正文文本 Char2"/>
    <w:qFormat/>
    <w:uiPriority w:val="0"/>
    <w:rPr>
      <w:rFonts w:ascii="宋体"/>
      <w:color w:val="000000"/>
      <w:sz w:val="28"/>
      <w:szCs w:val="32"/>
    </w:rPr>
  </w:style>
  <w:style w:type="character" w:customStyle="1" w:styleId="190">
    <w:name w:val="文档结构图 Char"/>
    <w:qFormat/>
    <w:uiPriority w:val="99"/>
    <w:rPr>
      <w:szCs w:val="24"/>
      <w:shd w:val="clear" w:color="auto" w:fill="000080"/>
    </w:rPr>
  </w:style>
  <w:style w:type="character" w:customStyle="1" w:styleId="191">
    <w:name w:val="contentheaderrev1"/>
    <w:qFormat/>
    <w:uiPriority w:val="0"/>
    <w:rPr>
      <w:rFonts w:hint="default" w:ascii="Arial" w:hAnsi="Arial" w:cs="Arial"/>
      <w:b/>
      <w:bCs/>
      <w:color w:val="FFFFFF"/>
      <w:sz w:val="18"/>
      <w:szCs w:val="18"/>
      <w:u w:val="none"/>
    </w:rPr>
  </w:style>
  <w:style w:type="character" w:customStyle="1" w:styleId="192">
    <w:name w:val="z-窗体底端 Char1"/>
    <w:qFormat/>
    <w:uiPriority w:val="0"/>
    <w:rPr>
      <w:rFonts w:ascii="Arial" w:hAnsi="Arial" w:cs="Arial"/>
      <w:vanish/>
      <w:kern w:val="2"/>
      <w:sz w:val="16"/>
      <w:szCs w:val="16"/>
    </w:rPr>
  </w:style>
  <w:style w:type="character" w:customStyle="1" w:styleId="193">
    <w:name w:val="content021"/>
    <w:qFormat/>
    <w:uiPriority w:val="0"/>
    <w:rPr>
      <w:color w:val="444444"/>
      <w:spacing w:val="330"/>
      <w:sz w:val="21"/>
      <w:szCs w:val="21"/>
      <w:u w:val="none"/>
    </w:rPr>
  </w:style>
  <w:style w:type="character" w:customStyle="1" w:styleId="194">
    <w:name w:val="abcde1"/>
    <w:qFormat/>
    <w:uiPriority w:val="0"/>
    <w:rPr>
      <w:spacing w:val="400"/>
      <w:sz w:val="26"/>
      <w:szCs w:val="26"/>
    </w:rPr>
  </w:style>
  <w:style w:type="character" w:customStyle="1" w:styleId="195">
    <w:name w:val="HTML 预设格式 Char"/>
    <w:qFormat/>
    <w:uiPriority w:val="99"/>
    <w:rPr>
      <w:rFonts w:ascii="宋体" w:hAnsi="宋体" w:cs="宋体"/>
      <w:sz w:val="24"/>
      <w:szCs w:val="24"/>
    </w:rPr>
  </w:style>
  <w:style w:type="character" w:customStyle="1" w:styleId="196">
    <w:name w:val="结束语 Char1"/>
    <w:qFormat/>
    <w:uiPriority w:val="0"/>
    <w:rPr>
      <w:kern w:val="2"/>
      <w:sz w:val="21"/>
      <w:szCs w:val="24"/>
    </w:rPr>
  </w:style>
  <w:style w:type="character" w:customStyle="1" w:styleId="197">
    <w:name w:val="常规 Char"/>
    <w:link w:val="198"/>
    <w:qFormat/>
    <w:uiPriority w:val="0"/>
    <w:rPr>
      <w:rFonts w:ascii="Tahoma" w:hAnsi="Tahoma"/>
      <w:color w:val="000000"/>
      <w:sz w:val="28"/>
      <w:szCs w:val="21"/>
    </w:rPr>
  </w:style>
  <w:style w:type="paragraph" w:customStyle="1" w:styleId="198">
    <w:name w:val="常规"/>
    <w:basedOn w:val="1"/>
    <w:link w:val="197"/>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9">
    <w:name w:val="正文首行缩进 2 Char"/>
    <w:qFormat/>
    <w:uiPriority w:val="0"/>
    <w:rPr>
      <w:rFonts w:ascii="仿宋_GB2312" w:eastAsia="仿宋_GB2312"/>
      <w:color w:val="000000"/>
      <w:sz w:val="24"/>
      <w:szCs w:val="24"/>
    </w:rPr>
  </w:style>
  <w:style w:type="character" w:customStyle="1" w:styleId="200">
    <w:name w:val="unnamed11"/>
    <w:qFormat/>
    <w:uiPriority w:val="0"/>
    <w:rPr>
      <w:sz w:val="20"/>
      <w:szCs w:val="20"/>
    </w:rPr>
  </w:style>
  <w:style w:type="character" w:customStyle="1" w:styleId="201">
    <w:name w:val="题注 Char"/>
    <w:link w:val="20"/>
    <w:qFormat/>
    <w:locked/>
    <w:uiPriority w:val="0"/>
    <w:rPr>
      <w:rFonts w:ascii="Arial" w:hAnsi="Arial" w:eastAsia="黑体"/>
    </w:rPr>
  </w:style>
  <w:style w:type="character" w:customStyle="1" w:styleId="202">
    <w:name w:val="text_12_subject1"/>
    <w:qFormat/>
    <w:uiPriority w:val="0"/>
    <w:rPr>
      <w:rFonts w:hint="default" w:ascii="ˎ̥" w:hAnsi="ˎ̥"/>
      <w:b/>
      <w:bCs/>
      <w:color w:val="006699"/>
      <w:sz w:val="18"/>
      <w:szCs w:val="18"/>
      <w:u w:val="none"/>
    </w:rPr>
  </w:style>
  <w:style w:type="character" w:customStyle="1" w:styleId="203">
    <w:name w:val="正文文本 3 Char1"/>
    <w:qFormat/>
    <w:uiPriority w:val="0"/>
    <w:rPr>
      <w:kern w:val="2"/>
      <w:sz w:val="16"/>
      <w:szCs w:val="16"/>
    </w:rPr>
  </w:style>
  <w:style w:type="character" w:customStyle="1" w:styleId="204">
    <w:name w:val="正文文本缩进 Char2"/>
    <w:qFormat/>
    <w:uiPriority w:val="0"/>
    <w:rPr>
      <w:rFonts w:ascii="宋体"/>
      <w:color w:val="000000"/>
      <w:sz w:val="32"/>
      <w:szCs w:val="32"/>
    </w:rPr>
  </w:style>
  <w:style w:type="character" w:customStyle="1" w:styleId="205">
    <w:name w:val="z21"/>
    <w:qFormat/>
    <w:uiPriority w:val="0"/>
    <w:rPr>
      <w:color w:val="000000"/>
      <w:spacing w:val="255"/>
      <w:sz w:val="18"/>
      <w:szCs w:val="18"/>
    </w:rPr>
  </w:style>
  <w:style w:type="character" w:customStyle="1" w:styleId="206">
    <w:name w:val="段 Char"/>
    <w:link w:val="207"/>
    <w:qFormat/>
    <w:locked/>
    <w:uiPriority w:val="0"/>
    <w:rPr>
      <w:rFonts w:ascii="宋体" w:hAnsi="宋体"/>
    </w:rPr>
  </w:style>
  <w:style w:type="paragraph" w:customStyle="1" w:styleId="207">
    <w:name w:val="段"/>
    <w:link w:val="206"/>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2"/>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2"/>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6"/>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2"/>
    <w:link w:val="37"/>
    <w:qFormat/>
    <w:uiPriority w:val="0"/>
    <w:rPr>
      <w:rFonts w:ascii="Times New Roman" w:hAnsi="Times New Roman" w:eastAsia="宋体" w:cs="Times New Roman"/>
      <w:szCs w:val="24"/>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2"/>
    <w:link w:val="29"/>
    <w:qFormat/>
    <w:uiPriority w:val="0"/>
    <w:rPr>
      <w:rFonts w:ascii="Times New Roman" w:hAnsi="Times New Roman" w:eastAsia="宋体" w:cs="Times New Roman"/>
      <w:szCs w:val="24"/>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2"/>
    <w:link w:val="26"/>
    <w:qFormat/>
    <w:uiPriority w:val="0"/>
    <w:rPr>
      <w:rFonts w:ascii="Times New Roman" w:hAnsi="Times New Roman" w:eastAsia="宋体" w:cs="Times New Roman"/>
      <w:sz w:val="16"/>
      <w:szCs w:val="16"/>
    </w:rPr>
  </w:style>
  <w:style w:type="paragraph" w:customStyle="1" w:styleId="226">
    <w:name w:val="样式 标题 4 + 段前: 0.5 行 段后: 0.5 行"/>
    <w:basedOn w:val="9"/>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2"/>
    <w:link w:val="56"/>
    <w:qFormat/>
    <w:uiPriority w:val="0"/>
    <w:rPr>
      <w:rFonts w:eastAsia="宋体" w:asciiTheme="majorHAnsi" w:hAnsiTheme="majorHAnsi" w:cstheme="majorBidi"/>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58"/>
    <w:qFormat/>
    <w:uiPriority w:val="0"/>
    <w:rPr>
      <w:rFonts w:ascii="Times New Roman" w:hAnsi="Times New Roman" w:eastAsia="宋体" w:cs="Times New Roman"/>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2"/>
    <w:link w:val="34"/>
    <w:qFormat/>
    <w:uiPriority w:val="0"/>
    <w:rPr>
      <w:rFonts w:ascii="宋体" w:hAnsi="Courier New" w:eastAsia="宋体"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4"/>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2"/>
    <w:link w:val="39"/>
    <w:qFormat/>
    <w:uiPriority w:val="99"/>
    <w:rPr>
      <w:rFonts w:ascii="Times New Roman" w:hAnsi="Times New Roman" w:eastAsia="宋体" w:cs="Times New Roman"/>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2"/>
    <w:link w:val="24"/>
    <w:qFormat/>
    <w:uiPriority w:val="99"/>
    <w:rPr>
      <w:rFonts w:ascii="Times New Roman" w:hAnsi="Times New Roman" w:eastAsia="宋体" w:cs="Times New Roman"/>
      <w:szCs w:val="24"/>
    </w:rPr>
  </w:style>
  <w:style w:type="character" w:customStyle="1" w:styleId="246">
    <w:name w:val="批注主题 Char1"/>
    <w:basedOn w:val="245"/>
    <w:link w:val="57"/>
    <w:qFormat/>
    <w:uiPriority w:val="99"/>
    <w:rPr>
      <w:rFonts w:ascii="Times New Roman" w:hAnsi="Times New Roman" w:eastAsia="宋体" w:cs="Times New Roman"/>
      <w:b/>
      <w:bCs/>
      <w:szCs w:val="24"/>
    </w:rPr>
  </w:style>
  <w:style w:type="character" w:customStyle="1" w:styleId="247">
    <w:name w:val="正文文本缩进 3 Char1"/>
    <w:basedOn w:val="62"/>
    <w:link w:val="48"/>
    <w:qFormat/>
    <w:uiPriority w:val="0"/>
    <w:rPr>
      <w:rFonts w:ascii="Times New Roman" w:hAnsi="Times New Roman" w:eastAsia="宋体" w:cs="Times New Roman"/>
      <w:sz w:val="16"/>
      <w:szCs w:val="16"/>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2"/>
    <w:link w:val="3"/>
    <w:qFormat/>
    <w:uiPriority w:val="0"/>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2"/>
    <w:link w:val="25"/>
    <w:qFormat/>
    <w:uiPriority w:val="0"/>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2"/>
    <w:link w:val="23"/>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2"/>
    <w:semiHidden/>
    <w:qFormat/>
    <w:uiPriority w:val="99"/>
    <w:rPr>
      <w:rFonts w:ascii="Times New Roman" w:hAnsi="Times New Roman" w:eastAsia="宋体" w:cs="Times New Roman"/>
      <w:sz w:val="18"/>
      <w:szCs w:val="18"/>
    </w:rPr>
  </w:style>
  <w:style w:type="character" w:customStyle="1" w:styleId="262">
    <w:name w:val="日期 Char1"/>
    <w:basedOn w:val="62"/>
    <w:link w:val="36"/>
    <w:qFormat/>
    <w:uiPriority w:val="0"/>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6"/>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2"/>
    <w:link w:val="90"/>
    <w:qFormat/>
    <w:uiPriority w:val="99"/>
    <w:rPr>
      <w:rFonts w:ascii="Arial" w:hAnsi="Arial" w:eastAsia="宋体" w:cs="Arial"/>
      <w:vanish/>
      <w:sz w:val="16"/>
      <w:szCs w:val="16"/>
    </w:rPr>
  </w:style>
  <w:style w:type="character" w:customStyle="1" w:styleId="278">
    <w:name w:val="HTML 预设格式 Char2"/>
    <w:basedOn w:val="62"/>
    <w:link w:val="53"/>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2"/>
    <w:qFormat/>
    <w:uiPriority w:val="0"/>
    <w:rPr>
      <w:rFonts w:ascii="Times New Roman" w:hAnsi="Times New Roman" w:eastAsia="宋体" w:cs="Times New Roman"/>
      <w:szCs w:val="24"/>
    </w:rPr>
  </w:style>
  <w:style w:type="character" w:customStyle="1" w:styleId="282">
    <w:name w:val="正文文本 2 Char1"/>
    <w:basedOn w:val="62"/>
    <w:link w:val="52"/>
    <w:qFormat/>
    <w:uiPriority w:val="0"/>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2"/>
    <w:link w:val="27"/>
    <w:qFormat/>
    <w:uiPriority w:val="0"/>
    <w:rPr>
      <w:rFonts w:ascii="Times New Roman" w:hAnsi="Times New Roman" w:eastAsia="宋体" w:cs="Times New Roman"/>
      <w:szCs w:val="24"/>
    </w:rPr>
  </w:style>
  <w:style w:type="character" w:customStyle="1" w:styleId="288">
    <w:name w:val="副标题 Char2"/>
    <w:basedOn w:val="62"/>
    <w:link w:val="44"/>
    <w:qFormat/>
    <w:uiPriority w:val="0"/>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2"/>
    <w:link w:val="38"/>
    <w:qFormat/>
    <w:uiPriority w:val="0"/>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4"/>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3"/>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5"/>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8"/>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6"/>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9"/>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4"/>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5"/>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6"/>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8"/>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2"/>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7"/>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9"/>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9"/>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4"/>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6"/>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11"/>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2"/>
    <w:next w:val="102"/>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8"/>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6"/>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9"/>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4"/>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qFormat/>
    <w:uiPriority w:val="0"/>
    <w:pPr>
      <w:adjustRightInd/>
      <w:snapToGrid/>
      <w:ind w:firstLine="0" w:firstLineChars="0"/>
      <w:jc w:val="center"/>
    </w:pPr>
    <w:rPr>
      <w:sz w:val="28"/>
      <w:szCs w:val="20"/>
    </w:rPr>
  </w:style>
  <w:style w:type="paragraph" w:customStyle="1" w:styleId="540">
    <w:name w:val="Absatz2AL"/>
    <w:basedOn w:val="3"/>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3"/>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2"/>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1"/>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5"/>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3"/>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4"/>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10"/>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link w:val="716"/>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2"/>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3"/>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5"/>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5"/>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4"/>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3"/>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6"/>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6"/>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4"/>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2"/>
    <w:link w:val="693"/>
    <w:qFormat/>
    <w:locked/>
    <w:uiPriority w:val="0"/>
    <w:rPr>
      <w:rFonts w:ascii="Calibri" w:hAnsi="Calibri" w:eastAsia="宋体" w:cs="Times New Roman"/>
    </w:rPr>
  </w:style>
  <w:style w:type="paragraph" w:styleId="693">
    <w:name w:val="No Spacing"/>
    <w:basedOn w:val="1"/>
    <w:link w:val="692"/>
    <w:qFormat/>
    <w:uiPriority w:val="0"/>
    <w:rPr>
      <w:rFonts w:ascii="Calibri" w:hAnsi="Calibri"/>
      <w:szCs w:val="22"/>
    </w:rPr>
  </w:style>
  <w:style w:type="character" w:customStyle="1" w:styleId="694">
    <w:name w:val="short_text"/>
    <w:basedOn w:val="62"/>
    <w:qFormat/>
    <w:uiPriority w:val="0"/>
  </w:style>
  <w:style w:type="character" w:customStyle="1" w:styleId="695">
    <w:name w:val="未处理的提及1"/>
    <w:basedOn w:val="62"/>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2"/>
    <w:semiHidden/>
    <w:unhideWhenUsed/>
    <w:qFormat/>
    <w:uiPriority w:val="99"/>
    <w:rPr>
      <w:color w:val="605E5C"/>
      <w:shd w:val="clear" w:color="auto" w:fill="E1DFDD"/>
    </w:rPr>
  </w:style>
  <w:style w:type="paragraph" w:customStyle="1" w:styleId="6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qFormat/>
    <w:uiPriority w:val="0"/>
    <w:rPr>
      <w:rFonts w:ascii="Calibri" w:hAnsi="Calibri" w:eastAsia="宋体" w:cs="Times New Roman"/>
      <w:sz w:val="24"/>
      <w:szCs w:val="24"/>
      <w:lang w:val="en-US" w:eastAsia="zh-CN" w:bidi="ar-SA"/>
    </w:rPr>
  </w:style>
  <w:style w:type="character" w:customStyle="1" w:styleId="700">
    <w:name w:val="7）页眉页脚"/>
    <w:qFormat/>
    <w:uiPriority w:val="0"/>
    <w:rPr>
      <w:rFonts w:ascii="仿宋_GB2312" w:eastAsia="仿宋_GB2312"/>
      <w:b/>
      <w:i/>
      <w:sz w:val="18"/>
      <w:vertAlign w:val="baseline"/>
    </w:rPr>
  </w:style>
  <w:style w:type="character" w:customStyle="1" w:styleId="701">
    <w:name w:val="Default Text Char"/>
    <w:link w:val="650"/>
    <w:qFormat/>
    <w:uiPriority w:val="0"/>
    <w:rPr>
      <w:rFonts w:ascii="Times New Roman" w:hAnsi="Times New Roman"/>
      <w:color w:val="000000"/>
      <w:sz w:val="24"/>
      <w:szCs w:val="24"/>
    </w:rPr>
  </w:style>
  <w:style w:type="paragraph" w:customStyle="1" w:styleId="702">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3">
    <w:name w:val="Normal_5"/>
    <w:qFormat/>
    <w:uiPriority w:val="0"/>
    <w:rPr>
      <w:rFonts w:ascii="黑体" w:hAnsi="黑体" w:eastAsia="黑体" w:cs="Times New Roman"/>
      <w:b/>
      <w:sz w:val="32"/>
      <w:szCs w:val="24"/>
      <w:lang w:val="en-US" w:eastAsia="zh-CN" w:bidi="ar-SA"/>
    </w:rPr>
  </w:style>
  <w:style w:type="paragraph" w:customStyle="1" w:styleId="70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qFormat/>
    <w:uiPriority w:val="0"/>
    <w:rPr>
      <w:kern w:val="2"/>
      <w:sz w:val="24"/>
      <w:szCs w:val="24"/>
      <w:lang w:val="en-US" w:eastAsia="zh-CN"/>
    </w:rPr>
  </w:style>
  <w:style w:type="character" w:customStyle="1" w:styleId="707">
    <w:name w:val="12_hui11"/>
    <w:qFormat/>
    <w:uiPriority w:val="0"/>
    <w:rPr>
      <w:color w:val="666666"/>
      <w:sz w:val="18"/>
      <w:szCs w:val="18"/>
    </w:rPr>
  </w:style>
  <w:style w:type="character" w:customStyle="1" w:styleId="708">
    <w:name w:val="dy_biao_content1"/>
    <w:qFormat/>
    <w:uiPriority w:val="0"/>
    <w:rPr>
      <w:rFonts w:hint="eastAsia" w:ascii="宋体" w:hAnsi="宋体" w:eastAsia="宋体"/>
      <w:sz w:val="24"/>
      <w:szCs w:val="24"/>
    </w:rPr>
  </w:style>
  <w:style w:type="paragraph" w:customStyle="1" w:styleId="70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3"/>
    <w:basedOn w:val="1"/>
    <w:qFormat/>
    <w:uiPriority w:val="0"/>
    <w:rPr>
      <w:rFonts w:ascii="Tahoma" w:hAnsi="Tahoma"/>
      <w:sz w:val="24"/>
      <w:szCs w:val="20"/>
    </w:rPr>
  </w:style>
  <w:style w:type="character" w:customStyle="1" w:styleId="712">
    <w:name w:val="脚注文本 Char"/>
    <w:basedOn w:val="62"/>
    <w:qFormat/>
    <w:uiPriority w:val="0"/>
    <w:rPr>
      <w:lang w:val="de-DE"/>
    </w:rPr>
  </w:style>
  <w:style w:type="character" w:customStyle="1" w:styleId="713">
    <w:name w:val="脚注文本 Char1"/>
    <w:basedOn w:val="62"/>
    <w:link w:val="46"/>
    <w:qFormat/>
    <w:uiPriority w:val="0"/>
    <w:rPr>
      <w:kern w:val="2"/>
      <w:sz w:val="18"/>
      <w:szCs w:val="18"/>
    </w:rPr>
  </w:style>
  <w:style w:type="paragraph" w:customStyle="1" w:styleId="714">
    <w:name w:val="Char4"/>
    <w:basedOn w:val="1"/>
    <w:qFormat/>
    <w:uiPriority w:val="0"/>
    <w:rPr>
      <w:rFonts w:ascii="Tahoma" w:hAnsi="Tahoma"/>
      <w:sz w:val="24"/>
      <w:szCs w:val="20"/>
    </w:rPr>
  </w:style>
  <w:style w:type="paragraph" w:customStyle="1" w:styleId="715">
    <w:name w:val="Char1 Char"/>
    <w:basedOn w:val="1"/>
    <w:qFormat/>
    <w:uiPriority w:val="0"/>
    <w:pPr>
      <w:tabs>
        <w:tab w:val="left" w:pos="360"/>
      </w:tabs>
    </w:pPr>
    <w:rPr>
      <w:kern w:val="0"/>
      <w:sz w:val="20"/>
      <w:szCs w:val="20"/>
    </w:rPr>
  </w:style>
  <w:style w:type="character" w:customStyle="1" w:styleId="716">
    <w:name w:val="列出段落 Char"/>
    <w:link w:val="606"/>
    <w:qFormat/>
    <w:uiPriority w:val="34"/>
    <w:rPr>
      <w:rFonts w:ascii="宋体" w:hAnsi="宋体" w:cs="宋体"/>
      <w:bCs/>
      <w:color w:val="000000"/>
      <w:sz w:val="24"/>
      <w:szCs w:val="24"/>
      <w:u w:val="single"/>
    </w:rPr>
  </w:style>
  <w:style w:type="paragraph" w:customStyle="1" w:styleId="717">
    <w:name w:val="段落正文"/>
    <w:basedOn w:val="1"/>
    <w:link w:val="718"/>
    <w:qFormat/>
    <w:uiPriority w:val="0"/>
    <w:pPr>
      <w:spacing w:before="140" w:after="140" w:line="401" w:lineRule="auto"/>
      <w:ind w:firstLine="200" w:firstLineChars="200"/>
    </w:pPr>
    <w:rPr>
      <w:rFonts w:ascii="宋体" w:hAnsi="宋体"/>
    </w:rPr>
  </w:style>
  <w:style w:type="character" w:customStyle="1" w:styleId="718">
    <w:name w:val="段落正文 Char"/>
    <w:link w:val="717"/>
    <w:qFormat/>
    <w:uiPriority w:val="0"/>
    <w:rPr>
      <w:rFonts w:ascii="宋体" w:hAnsi="宋体"/>
      <w:kern w:val="2"/>
      <w:sz w:val="21"/>
      <w:szCs w:val="24"/>
    </w:rPr>
  </w:style>
  <w:style w:type="paragraph" w:customStyle="1" w:styleId="719">
    <w:name w:val="TOC 标题3"/>
    <w:basedOn w:val="4"/>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0">
    <w:name w:val="本级2 Char"/>
    <w:link w:val="721"/>
    <w:qFormat/>
    <w:uiPriority w:val="0"/>
    <w:rPr>
      <w:rFonts w:ascii="仿宋_GB2312" w:hAnsi="仿宋" w:eastAsia="仿宋_GB2312"/>
      <w:b/>
      <w:bCs/>
      <w:sz w:val="32"/>
      <w:szCs w:val="24"/>
    </w:rPr>
  </w:style>
  <w:style w:type="paragraph" w:customStyle="1" w:styleId="721">
    <w:name w:val="本级2"/>
    <w:basedOn w:val="5"/>
    <w:link w:val="720"/>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2">
    <w:name w:val="标题 3 Char Char"/>
    <w:qFormat/>
    <w:uiPriority w:val="0"/>
    <w:rPr>
      <w:rFonts w:eastAsia="宋体"/>
      <w:b/>
      <w:bCs/>
      <w:kern w:val="2"/>
      <w:sz w:val="32"/>
      <w:szCs w:val="32"/>
      <w:lang w:val="en-US" w:eastAsia="zh-CN" w:bidi="ar-SA"/>
    </w:rPr>
  </w:style>
  <w:style w:type="paragraph" w:customStyle="1" w:styleId="723">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4">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5">
    <w:name w:val="Table Paragraph"/>
    <w:basedOn w:val="1"/>
    <w:qFormat/>
    <w:uiPriority w:val="1"/>
    <w:rPr>
      <w:rFonts w:ascii="宋体" w:hAnsi="宋体" w:cs="宋体"/>
      <w:szCs w:val="22"/>
      <w:lang w:val="zh-CN" w:bidi="zh-CN"/>
    </w:rPr>
  </w:style>
  <w:style w:type="paragraph" w:customStyle="1" w:styleId="726">
    <w:name w:val="列表段落1"/>
    <w:basedOn w:val="1"/>
    <w:qFormat/>
    <w:uiPriority w:val="99"/>
    <w:pPr>
      <w:ind w:firstLine="420" w:firstLineChars="200"/>
    </w:pPr>
    <w:rPr>
      <w:rFonts w:ascii="Calibri" w:hAnsi="Calibri"/>
    </w:rPr>
  </w:style>
  <w:style w:type="paragraph" w:customStyle="1" w:styleId="727">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28">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3">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35">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CD63E-74AF-4624-9F18-E5AEF3599B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43896</Words>
  <Characters>46842</Characters>
  <Lines>362</Lines>
  <Paragraphs>101</Paragraphs>
  <TotalTime>27</TotalTime>
  <ScaleCrop>false</ScaleCrop>
  <LinksUpToDate>false</LinksUpToDate>
  <CharactersWithSpaces>48719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2018-09-26T02:09:00Z</dcterms:created>
  <dc:creator>China</dc:creator>
  <cp:lastModifiedBy>难</cp:lastModifiedBy>
  <cp:lastPrinted>2019-12-20T05:23:00Z</cp:lastPrinted>
  <dcterms:modified xsi:type="dcterms:W3CDTF">2022-07-14T10:47:35Z</dcterms:modified>
  <cp:revision>1154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C989E37BD65D41EBB7C2351DEB287E5C</vt:lpwstr>
  </property>
</Properties>
</file>