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eastAsia="zh-CN"/>
        </w:rPr>
        <w:t>昌吉市2022年国土变更和卫片执法工作项目</w:t>
      </w:r>
    </w:p>
    <w:p>
      <w:pPr>
        <w:spacing w:line="440" w:lineRule="exact"/>
        <w:jc w:val="center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公开招标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eastAsia="zh-CN"/>
        </w:rPr>
        <w:t>公告</w:t>
      </w:r>
    </w:p>
    <w:p>
      <w:pPr>
        <w:pStyle w:val="2"/>
        <w:rPr>
          <w:rFonts w:hint="eastAsia"/>
          <w:color w:val="auto"/>
          <w:lang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项目概况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昌吉市2022年国土变更和卫片执法工作项目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的潜在投标人应在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新疆宇迈工程咨询有限公司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（新疆昌吉回族自治州昌吉市屯河路时代广场A座1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306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室）获取招标文件，并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日 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1：0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北京时间）前递交投标文件。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 xml:space="preserve">一、项目基本情况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项目编号：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YMZB-2022-22-CG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昌吉市2022年国土变更和卫片执法工作项目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采购方式：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公开招标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预算金额（元）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2290000.00，全部为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昌吉市财政资金。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最高限价（元）：2290000.00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-SA"/>
        </w:rPr>
        <w:t>采购需求：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-SA"/>
        </w:rPr>
        <w:t>标项一: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-SA"/>
        </w:rPr>
        <w:t>标项名称:昌吉市2022年国土变更和卫片执法工作项目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-SA"/>
        </w:rPr>
        <w:t>预算金额（元）:2290000.00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-SA"/>
        </w:rPr>
        <w:t>简要规格描述或项目基本概况介绍、用途：完成昌吉市2022年国土变更和卫片执法“两项工作”项目，全面掌握土地地类、面积权属及利用变化情况；满足当前自然资源管理工作（含集体土地所有权确权登记成果更新工作）需要，为当地经济发展提供详实可靠的基础数据，保障国土调查成果的现势性和准确性。（具体内容详见招标文件）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-SA"/>
        </w:rPr>
        <w:t>合同履约期限：自合同签订之日起至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-SA"/>
        </w:rPr>
        <w:t>2022年12月31日完成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-SA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-SA"/>
        </w:rPr>
        <w:t>本项目（否）接受联合体投标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申请人的资格要求：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0"/>
        <w:jc w:val="both"/>
        <w:textAlignment w:val="baseline"/>
        <w:rPr>
          <w:rFonts w:hint="default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1.满足《中华人民共和国政府采购法》第二十二条规定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1.1</w:t>
      </w:r>
      <w:r>
        <w:rPr>
          <w:rFonts w:hint="default" w:ascii="仿宋" w:hAnsi="仿宋" w:eastAsia="仿宋" w:cs="仿宋"/>
          <w:color w:val="auto"/>
          <w:sz w:val="24"/>
          <w:szCs w:val="24"/>
        </w:rPr>
        <w:t>具有独立承担民事责任的能力;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1.2</w:t>
      </w:r>
      <w:r>
        <w:rPr>
          <w:rFonts w:hint="default" w:ascii="仿宋" w:hAnsi="仿宋" w:eastAsia="仿宋" w:cs="仿宋"/>
          <w:color w:val="auto"/>
          <w:sz w:val="24"/>
          <w:szCs w:val="24"/>
        </w:rPr>
        <w:t>具有良好的商业信誉和健全的财务会计制度;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1.3</w:t>
      </w:r>
      <w:r>
        <w:rPr>
          <w:rFonts w:hint="default" w:ascii="仿宋" w:hAnsi="仿宋" w:eastAsia="仿宋" w:cs="仿宋"/>
          <w:color w:val="auto"/>
          <w:sz w:val="24"/>
          <w:szCs w:val="24"/>
        </w:rPr>
        <w:t>具有履行合同所必需的设备和专业技术能力;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1.4</w:t>
      </w:r>
      <w:r>
        <w:rPr>
          <w:rFonts w:hint="default" w:ascii="仿宋" w:hAnsi="仿宋" w:eastAsia="仿宋" w:cs="仿宋"/>
          <w:color w:val="auto"/>
          <w:sz w:val="24"/>
          <w:szCs w:val="24"/>
        </w:rPr>
        <w:t>有依法缴纳税收和社会保障资金的良好记录;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1.5</w:t>
      </w:r>
      <w:r>
        <w:rPr>
          <w:rFonts w:hint="default" w:ascii="仿宋" w:hAnsi="仿宋" w:eastAsia="仿宋" w:cs="仿宋"/>
          <w:color w:val="auto"/>
          <w:sz w:val="24"/>
          <w:szCs w:val="24"/>
        </w:rPr>
        <w:t>参加政府采购活动前三年内，在经营活动中没有重大违法记录;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1.6</w:t>
      </w:r>
      <w:r>
        <w:rPr>
          <w:rFonts w:hint="default" w:ascii="仿宋" w:hAnsi="仿宋" w:eastAsia="仿宋" w:cs="仿宋"/>
          <w:color w:val="auto"/>
          <w:sz w:val="24"/>
          <w:szCs w:val="24"/>
        </w:rPr>
        <w:t>法律、行政法规规定的其他条件。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落实政府采购政策需满足的资格要求：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无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3.本项目的特定资格要求：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(1)符合《中华人民共和国政府采购法》第二十二条规定条件。 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(2)供应商需在中华人民共和国境内注册，具有信誉良好的独立法人资格，事业单位法人证书或工商营业执照通过年检合格有效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且营业执照经营范围符合本次招标相关要求。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(3)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具有有效的测绘主管部门颁发的乙级及以上测绘资质（专业范围包含工程测量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界线与不动产测绘）。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(4)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派遣1名项目负责人，具有测绘或土地规划相关专业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中级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职称及以上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(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)供应商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近三年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应在“信用中国”网站（www.creditchina.gov.cn）未被列入失信被执行人记录、重大税收违法案件当事人名单且在中国政府采购网（www.ccgp.gov.cn）没有相关主体政府采购严重违法失信行为记录（被禁止在一定期限内参加政府采购活动但期限届满的除外），以网页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打印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（需显示查询时间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及网址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）加盖供应商公章为准。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(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)单位负责人为同一人或者存在直接控股、管理关系的不同供应商，不得参加同一合同项下的政府采购活动。 除单一来源采购项目外，为采购项目提供整体设计、规范编制或者项目管理、监理、检测等服务的供应商，不得再参加该采购项目的其他采购活动。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三、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获取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文件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时间：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日至202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27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日，每天上午10:00至1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: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0，下午1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: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0至19:30（北京时间，法定节假日除外）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地点：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新疆宇迈工程咨询有限公司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（新疆昌吉回族自治州昌吉市屯河路时代广场A座1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306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室）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方式：现场获取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售价（元）：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00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四、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响应文件提交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截止时间：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 1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: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（北京时间）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地点：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新疆昌吉回族自治州昌吉市屯河路时代广场A座1788室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五、响应文件开启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开启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时间：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 1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: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（北京时间）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地点：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新疆昌吉回族自治州昌吉市屯河路时代广场A座1788室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、公告期限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自本公告发布之日起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个工作日。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、其他补充事宜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.1、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报名时需携带：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法人授权委托书、被委托人身份证、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被委托人须为在职人员，且提供近三个月被委托人及项目负责人社保缴费明细（若单位法人报名，需携带法人身份证明、身份证原件及复印件、企业近三个月社保缴费明细），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营业执照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资质证书、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项目负责人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职称证书。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“信用中国”网站及“中国政府采购网”查询结果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到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新疆宇迈工程咨询有限公司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（新疆昌吉回族自治州昌吉市屯河路时代广场A座1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306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室）报名。以上资料请提供复印件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套加盖公章，并携带原件确认。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.2、需缴纳投标保证金：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贰万贰仟元整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000元）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投标保证金的缴纳时间为（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日10:00时－202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日1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0分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），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投标人应充分考虑资金到账时间，在规定的时限前自行办妥投标保证金缴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纳手续，投标保证金的缴付时间以电汇凭证和网银对账单上的时间为准，超过缴纳的时限缴纳投标保证金视为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投标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无效。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.3、投标保证金必须由投标单位基本帐户汇至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新疆宇迈工程咨询有限公司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（账户单位：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新疆宇迈工程咨询有限公司，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开户行：新疆昌吉农村商业银行股份有限公司农业园区支行，账号：806260012010102096085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行号：402885000602）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，不得以现金和其他形式缴纳，不得以分公司、办事处或其他机构名义缴纳，投标人在缴纳投标保证金时，需在进帐凭证上明确资金用途和项目名称，并注明联系人及电话，以便查对核实。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.4、发布公告的媒介：本次招标公告在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新疆政府采购网、昌吉州公共资源交易网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上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发布。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、对本次采购提出询问，请按以下方式联系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1.采购人信息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名 称：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昌吉市自然资源局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地 址：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昌吉市自然资源局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联系方式：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0994-2345441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2.采购代理机构信息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名 称：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新疆宇迈工程咨询有限公司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地 址：新疆昌吉回族自治州昌吉市屯河路时代广场A座1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306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室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联系方式：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18083955173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3项目联系方式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项目联系人：龚玉  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电 话：18083955173</w:t>
      </w:r>
    </w:p>
    <w:bookmarkEnd w:id="0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CB69BB"/>
    <w:multiLevelType w:val="singleLevel"/>
    <w:tmpl w:val="EFCB69B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pStyle w:val="9"/>
      <w:lvlText w:val="表%1："/>
      <w:lvlJc w:val="left"/>
      <w:pPr>
        <w:ind w:left="480" w:firstLine="0"/>
      </w:pPr>
    </w:lvl>
    <w:lvl w:ilvl="1" w:tentative="0">
      <w:start w:val="1"/>
      <w:numFmt w:val="lowerLetter"/>
      <w:lvlText w:val="%2)"/>
      <w:lvlJc w:val="left"/>
      <w:pPr>
        <w:ind w:left="900" w:firstLine="0"/>
      </w:pPr>
    </w:lvl>
    <w:lvl w:ilvl="2" w:tentative="0">
      <w:start w:val="1"/>
      <w:numFmt w:val="lowerRoman"/>
      <w:lvlText w:val="%3."/>
      <w:lvlJc w:val="left"/>
      <w:pPr>
        <w:ind w:left="1320" w:firstLine="0"/>
      </w:pPr>
    </w:lvl>
    <w:lvl w:ilvl="3" w:tentative="0">
      <w:start w:val="1"/>
      <w:numFmt w:val="decimal"/>
      <w:lvlText w:val="%4."/>
      <w:lvlJc w:val="left"/>
      <w:pPr>
        <w:ind w:left="1740" w:firstLine="0"/>
      </w:pPr>
    </w:lvl>
    <w:lvl w:ilvl="4" w:tentative="0">
      <w:start w:val="1"/>
      <w:numFmt w:val="lowerLetter"/>
      <w:lvlText w:val="%5)"/>
      <w:lvlJc w:val="left"/>
      <w:pPr>
        <w:ind w:left="2160" w:firstLine="0"/>
      </w:pPr>
    </w:lvl>
    <w:lvl w:ilvl="5" w:tentative="0">
      <w:start w:val="1"/>
      <w:numFmt w:val="lowerRoman"/>
      <w:lvlText w:val="%6."/>
      <w:lvlJc w:val="left"/>
      <w:pPr>
        <w:ind w:left="2580" w:firstLine="0"/>
      </w:pPr>
    </w:lvl>
    <w:lvl w:ilvl="6" w:tentative="0">
      <w:start w:val="1"/>
      <w:numFmt w:val="decimal"/>
      <w:lvlText w:val="%7."/>
      <w:lvlJc w:val="left"/>
      <w:pPr>
        <w:ind w:left="3000" w:firstLine="0"/>
      </w:pPr>
    </w:lvl>
    <w:lvl w:ilvl="7" w:tentative="0">
      <w:start w:val="1"/>
      <w:numFmt w:val="lowerLetter"/>
      <w:lvlText w:val="%8)"/>
      <w:lvlJc w:val="left"/>
      <w:pPr>
        <w:ind w:left="3420" w:firstLine="0"/>
      </w:pPr>
    </w:lvl>
    <w:lvl w:ilvl="8" w:tentative="0">
      <w:start w:val="1"/>
      <w:numFmt w:val="lowerRoman"/>
      <w:lvlText w:val="%9."/>
      <w:lvlJc w:val="left"/>
      <w:pPr>
        <w:ind w:left="38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5YTZlNjE1NzMyN2Q5ZWFkZTU0NWFjMGRjZDlmYjMifQ=="/>
  </w:docVars>
  <w:rsids>
    <w:rsidRoot w:val="00000000"/>
    <w:rsid w:val="00ED73B7"/>
    <w:rsid w:val="010B5E78"/>
    <w:rsid w:val="016C0996"/>
    <w:rsid w:val="01862150"/>
    <w:rsid w:val="01A32CFE"/>
    <w:rsid w:val="01D200FE"/>
    <w:rsid w:val="031F61B6"/>
    <w:rsid w:val="04F01D49"/>
    <w:rsid w:val="05393FE0"/>
    <w:rsid w:val="05B2319E"/>
    <w:rsid w:val="05B355F5"/>
    <w:rsid w:val="066E1D4E"/>
    <w:rsid w:val="076A1C04"/>
    <w:rsid w:val="0AD56E64"/>
    <w:rsid w:val="0B2F5550"/>
    <w:rsid w:val="0E0B1055"/>
    <w:rsid w:val="0E8974C8"/>
    <w:rsid w:val="0F9B5687"/>
    <w:rsid w:val="12D13E0C"/>
    <w:rsid w:val="13410935"/>
    <w:rsid w:val="14945223"/>
    <w:rsid w:val="16B61ADA"/>
    <w:rsid w:val="18E61471"/>
    <w:rsid w:val="18E64B75"/>
    <w:rsid w:val="19201EF1"/>
    <w:rsid w:val="1A453E83"/>
    <w:rsid w:val="1B171674"/>
    <w:rsid w:val="1BDC4A81"/>
    <w:rsid w:val="1C0F4462"/>
    <w:rsid w:val="1E430C6C"/>
    <w:rsid w:val="1F4E3926"/>
    <w:rsid w:val="1FC0626B"/>
    <w:rsid w:val="20255909"/>
    <w:rsid w:val="206D16B3"/>
    <w:rsid w:val="207D58AE"/>
    <w:rsid w:val="22721B56"/>
    <w:rsid w:val="23F11572"/>
    <w:rsid w:val="24854734"/>
    <w:rsid w:val="257C4143"/>
    <w:rsid w:val="26A7746C"/>
    <w:rsid w:val="27AF4085"/>
    <w:rsid w:val="2CE303FE"/>
    <w:rsid w:val="2E4C24CF"/>
    <w:rsid w:val="304F5D89"/>
    <w:rsid w:val="30E65CF2"/>
    <w:rsid w:val="31CC51F9"/>
    <w:rsid w:val="33464690"/>
    <w:rsid w:val="338C72AB"/>
    <w:rsid w:val="3392320C"/>
    <w:rsid w:val="34C11176"/>
    <w:rsid w:val="35102324"/>
    <w:rsid w:val="36C223F4"/>
    <w:rsid w:val="387B0C4A"/>
    <w:rsid w:val="39656350"/>
    <w:rsid w:val="39EA6B5A"/>
    <w:rsid w:val="3A501258"/>
    <w:rsid w:val="3C9349F9"/>
    <w:rsid w:val="3DE968FE"/>
    <w:rsid w:val="40702BE4"/>
    <w:rsid w:val="41D966D7"/>
    <w:rsid w:val="41F0511F"/>
    <w:rsid w:val="432B7142"/>
    <w:rsid w:val="434500E5"/>
    <w:rsid w:val="43651F08"/>
    <w:rsid w:val="45F5731C"/>
    <w:rsid w:val="46E659AA"/>
    <w:rsid w:val="48743B9F"/>
    <w:rsid w:val="4A1F48AB"/>
    <w:rsid w:val="4B4C42B5"/>
    <w:rsid w:val="4BE05DBE"/>
    <w:rsid w:val="4BE90005"/>
    <w:rsid w:val="4E61105F"/>
    <w:rsid w:val="4F1D4E69"/>
    <w:rsid w:val="4F4061A4"/>
    <w:rsid w:val="504E49C1"/>
    <w:rsid w:val="522F2CCB"/>
    <w:rsid w:val="532D2022"/>
    <w:rsid w:val="542B5896"/>
    <w:rsid w:val="55230D77"/>
    <w:rsid w:val="556510A5"/>
    <w:rsid w:val="5719719C"/>
    <w:rsid w:val="57520F1B"/>
    <w:rsid w:val="57C74024"/>
    <w:rsid w:val="59377020"/>
    <w:rsid w:val="59B8500D"/>
    <w:rsid w:val="5A3038D5"/>
    <w:rsid w:val="5A3D418D"/>
    <w:rsid w:val="5B443572"/>
    <w:rsid w:val="5C1C0C58"/>
    <w:rsid w:val="5C867FA0"/>
    <w:rsid w:val="5D347949"/>
    <w:rsid w:val="5E56402E"/>
    <w:rsid w:val="5F2D4DC7"/>
    <w:rsid w:val="60C3099E"/>
    <w:rsid w:val="658F7C11"/>
    <w:rsid w:val="6BAC21D9"/>
    <w:rsid w:val="6C3313C8"/>
    <w:rsid w:val="6DCC7D8E"/>
    <w:rsid w:val="6E082286"/>
    <w:rsid w:val="6F706B43"/>
    <w:rsid w:val="71D57EA9"/>
    <w:rsid w:val="75FD3214"/>
    <w:rsid w:val="7768099B"/>
    <w:rsid w:val="77EF3834"/>
    <w:rsid w:val="7803780A"/>
    <w:rsid w:val="79440575"/>
    <w:rsid w:val="7CC56051"/>
    <w:rsid w:val="7CF22A40"/>
    <w:rsid w:val="7D004A19"/>
    <w:rsid w:val="7F3E68F6"/>
    <w:rsid w:val="7FD1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tabs>
        <w:tab w:val="right" w:leader="dot" w:pos="8834"/>
      </w:tabs>
      <w:spacing w:line="440" w:lineRule="exact"/>
      <w:jc w:val="left"/>
    </w:pPr>
    <w:rPr>
      <w:rFonts w:eastAsia="新宋体"/>
      <w:sz w:val="28"/>
    </w:rPr>
  </w:style>
  <w:style w:type="paragraph" w:styleId="4">
    <w:name w:val="Normal Indent"/>
    <w:basedOn w:val="1"/>
    <w:qFormat/>
    <w:uiPriority w:val="0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hd w:val="solid" w:color="auto" w:fill="auto"/>
      <w:spacing w:line="360" w:lineRule="auto"/>
      <w:ind w:firstLine="480"/>
    </w:pPr>
    <w:rPr>
      <w:rFonts w:ascii="微软雅黑" w:hAnsi="微软雅黑" w:eastAsia="微软雅黑"/>
      <w:kern w:val="1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表名称"/>
    <w:basedOn w:val="4"/>
    <w:qFormat/>
    <w:uiPriority w:val="0"/>
    <w:pPr>
      <w:numPr>
        <w:ilvl w:val="0"/>
        <w:numId w:val="1"/>
      </w:numPr>
      <w:ind w:left="900"/>
      <w:jc w:val="center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1946</Words>
  <Characters>2227</Characters>
  <Lines>0</Lines>
  <Paragraphs>0</Paragraphs>
  <TotalTime>0</TotalTime>
  <ScaleCrop>false</ScaleCrop>
  <LinksUpToDate>false</LinksUpToDate>
  <CharactersWithSpaces>2249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2021-05-17T04:10:00Z</dcterms:created>
  <dc:creator>Administrator</dc:creator>
  <cp:lastModifiedBy>龚玉</cp:lastModifiedBy>
  <dcterms:modified xsi:type="dcterms:W3CDTF">2022-07-19T05:19:44Z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2D45D61DF1AB4673AAF91C0B66DACAA6</vt:lpwstr>
  </property>
</Properties>
</file>