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160"/>
        </w:tabs>
        <w:spacing w:line="360" w:lineRule="auto"/>
        <w:jc w:val="center"/>
        <w:rPr>
          <w:rFonts w:hint="eastAsia" w:asciiTheme="minorEastAsia" w:hAnsiTheme="minorEastAsia" w:eastAsiaTheme="minorEastAsia" w:cstheme="minorEastAsia"/>
          <w:sz w:val="40"/>
          <w:szCs w:val="40"/>
        </w:rPr>
      </w:pPr>
    </w:p>
    <w:p>
      <w:pPr>
        <w:jc w:val="center"/>
        <w:rPr>
          <w:rFonts w:hint="eastAsia" w:asciiTheme="minorEastAsia" w:hAnsiTheme="minorEastAsia" w:eastAsiaTheme="minorEastAsia" w:cstheme="minorEastAsia"/>
          <w:b/>
          <w:bCs/>
          <w:kern w:val="0"/>
          <w:sz w:val="72"/>
          <w:szCs w:val="72"/>
          <w:highlight w:val="none"/>
          <w:lang w:val="en-US" w:eastAsia="zh-CN"/>
        </w:rPr>
      </w:pPr>
      <w:r>
        <w:rPr>
          <w:rFonts w:hint="eastAsia" w:asciiTheme="minorEastAsia" w:hAnsiTheme="minorEastAsia" w:eastAsiaTheme="minorEastAsia" w:cstheme="minorEastAsia"/>
          <w:b/>
          <w:bCs/>
          <w:kern w:val="0"/>
          <w:sz w:val="48"/>
          <w:szCs w:val="48"/>
          <w:highlight w:val="none"/>
          <w:lang w:val="en-US" w:eastAsia="zh-CN"/>
        </w:rPr>
        <w:t>博州林业和草原局无人机航空巡护项目</w:t>
      </w:r>
      <w:r>
        <w:rPr>
          <w:rFonts w:hint="eastAsia" w:asciiTheme="minorEastAsia" w:hAnsiTheme="minorEastAsia" w:eastAsiaTheme="minorEastAsia" w:cstheme="minorEastAsia"/>
          <w:b/>
          <w:bCs/>
          <w:kern w:val="0"/>
          <w:sz w:val="56"/>
          <w:szCs w:val="56"/>
          <w:highlight w:val="none"/>
          <w:lang w:val="en-US" w:eastAsia="zh-CN"/>
        </w:rPr>
        <w:t>竞争性磋商文件</w:t>
      </w:r>
    </w:p>
    <w:p>
      <w:pPr>
        <w:jc w:val="both"/>
        <w:rPr>
          <w:rFonts w:hint="eastAsia" w:asciiTheme="minorEastAsia" w:hAnsiTheme="minorEastAsia" w:eastAsiaTheme="minorEastAsia" w:cstheme="minorEastAsia"/>
          <w:sz w:val="48"/>
          <w:szCs w:val="22"/>
        </w:rPr>
      </w:pPr>
    </w:p>
    <w:p>
      <w:pPr>
        <w:pStyle w:val="24"/>
        <w:rPr>
          <w:rFonts w:hint="eastAsia" w:asciiTheme="minorEastAsia" w:hAnsiTheme="minorEastAsia" w:eastAsiaTheme="minorEastAsia" w:cstheme="minorEastAsia"/>
          <w:sz w:val="21"/>
          <w:szCs w:val="21"/>
        </w:rPr>
      </w:pPr>
    </w:p>
    <w:p>
      <w:pPr>
        <w:pStyle w:val="24"/>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700" w:lineRule="exact"/>
        <w:ind w:right="0" w:rightChars="0"/>
        <w:jc w:val="left"/>
        <w:textAlignment w:val="auto"/>
        <w:outlineLvl w:val="9"/>
        <w:rPr>
          <w:rFonts w:hint="eastAsia" w:asciiTheme="minorEastAsia" w:hAnsiTheme="minorEastAsia" w:eastAsiaTheme="minorEastAsia" w:cstheme="minorEastAsia"/>
          <w:b/>
          <w:bCs/>
          <w:color w:val="000000"/>
          <w:sz w:val="40"/>
          <w:szCs w:val="40"/>
          <w:lang w:eastAsia="zh-CN"/>
        </w:rPr>
      </w:pPr>
      <w:r>
        <w:rPr>
          <w:rFonts w:hint="eastAsia" w:asciiTheme="minorEastAsia" w:hAnsiTheme="minorEastAsia" w:eastAsiaTheme="minorEastAsia" w:cstheme="minorEastAsia"/>
          <w:b/>
          <w:bCs/>
          <w:color w:val="000000"/>
          <w:sz w:val="40"/>
          <w:szCs w:val="40"/>
          <w:lang w:eastAsia="zh-CN"/>
        </w:rPr>
        <w:t>项目编号</w:t>
      </w:r>
      <w:r>
        <w:rPr>
          <w:rFonts w:hint="eastAsia" w:asciiTheme="minorEastAsia" w:hAnsiTheme="minorEastAsia" w:eastAsiaTheme="minorEastAsia" w:cstheme="minorEastAsia"/>
          <w:b/>
          <w:bCs/>
          <w:color w:val="000000"/>
          <w:sz w:val="40"/>
          <w:szCs w:val="40"/>
        </w:rPr>
        <w:t>：</w:t>
      </w:r>
      <w:r>
        <w:rPr>
          <w:rFonts w:hint="eastAsia" w:asciiTheme="minorEastAsia" w:hAnsiTheme="minorEastAsia" w:eastAsiaTheme="minorEastAsia" w:cstheme="minorEastAsia"/>
          <w:b/>
          <w:bCs/>
          <w:color w:val="000000"/>
          <w:sz w:val="40"/>
          <w:szCs w:val="40"/>
          <w:lang w:eastAsia="zh-CN"/>
        </w:rPr>
        <w:t>HCRHCS2022-011</w:t>
      </w:r>
    </w:p>
    <w:p>
      <w:pPr>
        <w:pStyle w:val="24"/>
        <w:jc w:val="left"/>
        <w:rPr>
          <w:rFonts w:hint="eastAsia" w:asciiTheme="minorEastAsia" w:hAnsiTheme="minorEastAsia" w:eastAsiaTheme="minorEastAsia" w:cstheme="minorEastAsia"/>
          <w:b/>
          <w:bCs/>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right="0" w:rightChars="0"/>
        <w:jc w:val="left"/>
        <w:textAlignment w:val="auto"/>
        <w:outlineLvl w:val="9"/>
        <w:rPr>
          <w:rFonts w:hint="eastAsia" w:asciiTheme="minorEastAsia" w:hAnsiTheme="minorEastAsia" w:eastAsiaTheme="minorEastAsia" w:cstheme="minorEastAsia"/>
          <w:b/>
          <w:bCs/>
          <w:color w:val="000000"/>
          <w:sz w:val="40"/>
          <w:szCs w:val="40"/>
          <w:lang w:val="en-US" w:eastAsia="zh-CN"/>
        </w:rPr>
      </w:pPr>
      <w:r>
        <w:rPr>
          <w:rFonts w:hint="eastAsia" w:asciiTheme="minorEastAsia" w:hAnsiTheme="minorEastAsia" w:eastAsiaTheme="minorEastAsia" w:cstheme="minorEastAsia"/>
          <w:b/>
          <w:bCs/>
          <w:color w:val="000000"/>
          <w:sz w:val="40"/>
          <w:szCs w:val="40"/>
        </w:rPr>
        <w:t>项目名称：</w:t>
      </w:r>
      <w:r>
        <w:rPr>
          <w:rFonts w:hint="eastAsia" w:asciiTheme="minorEastAsia" w:hAnsiTheme="minorEastAsia" w:eastAsiaTheme="minorEastAsia" w:cstheme="minorEastAsia"/>
          <w:b/>
          <w:bCs/>
          <w:color w:val="000000"/>
          <w:sz w:val="40"/>
          <w:szCs w:val="40"/>
          <w:lang w:val="zh-CN" w:eastAsia="zh-CN"/>
        </w:rPr>
        <w:t>博州林业和草原局无人机航空巡护项目</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1205" w:firstLineChars="300"/>
        <w:jc w:val="left"/>
        <w:textAlignment w:val="auto"/>
        <w:outlineLvl w:val="9"/>
        <w:rPr>
          <w:rFonts w:hint="eastAsia" w:asciiTheme="minorEastAsia" w:hAnsiTheme="minorEastAsia" w:eastAsiaTheme="minorEastAsia" w:cstheme="minorEastAsia"/>
          <w:b/>
          <w:bCs/>
          <w:color w:val="000000"/>
          <w:sz w:val="40"/>
          <w:szCs w:val="40"/>
        </w:rPr>
      </w:pPr>
    </w:p>
    <w:p>
      <w:pPr>
        <w:pStyle w:val="24"/>
        <w:jc w:val="left"/>
        <w:rPr>
          <w:rFonts w:hint="eastAsia" w:asciiTheme="minorEastAsia" w:hAnsiTheme="minorEastAsia" w:eastAsiaTheme="minorEastAsia" w:cstheme="minorEastAsia"/>
          <w:b/>
          <w:bCs/>
          <w:sz w:val="22"/>
          <w:szCs w:val="22"/>
        </w:rPr>
      </w:pPr>
    </w:p>
    <w:p>
      <w:pPr>
        <w:keepNext w:val="0"/>
        <w:keepLines w:val="0"/>
        <w:pageBreakBefore w:val="0"/>
        <w:widowControl w:val="0"/>
        <w:kinsoku/>
        <w:wordWrap/>
        <w:overflowPunct/>
        <w:topLinePunct w:val="0"/>
        <w:autoSpaceDE/>
        <w:autoSpaceDN/>
        <w:bidi w:val="0"/>
        <w:adjustRightInd/>
        <w:snapToGrid/>
        <w:spacing w:line="700" w:lineRule="exact"/>
        <w:ind w:right="0" w:rightChars="0"/>
        <w:jc w:val="left"/>
        <w:textAlignment w:val="auto"/>
        <w:outlineLvl w:val="9"/>
        <w:rPr>
          <w:rFonts w:hint="eastAsia" w:asciiTheme="minorEastAsia" w:hAnsiTheme="minorEastAsia" w:eastAsiaTheme="minorEastAsia" w:cstheme="minorEastAsia"/>
          <w:b/>
          <w:bCs/>
          <w:color w:val="000000"/>
          <w:sz w:val="36"/>
          <w:szCs w:val="36"/>
          <w:lang w:val="en-US" w:eastAsia="zh-CN"/>
        </w:rPr>
      </w:pPr>
      <w:r>
        <w:rPr>
          <w:rFonts w:hint="eastAsia" w:asciiTheme="minorEastAsia" w:hAnsiTheme="minorEastAsia" w:eastAsiaTheme="minorEastAsia" w:cstheme="minorEastAsia"/>
          <w:b/>
          <w:bCs/>
          <w:color w:val="000000"/>
          <w:sz w:val="40"/>
          <w:szCs w:val="40"/>
        </w:rPr>
        <w:t>采购单位：</w:t>
      </w:r>
      <w:r>
        <w:rPr>
          <w:rFonts w:hint="eastAsia" w:asciiTheme="minorEastAsia" w:hAnsiTheme="minorEastAsia" w:eastAsiaTheme="minorEastAsia" w:cstheme="minorEastAsia"/>
          <w:b/>
          <w:bCs/>
          <w:color w:val="000000"/>
          <w:sz w:val="40"/>
          <w:szCs w:val="40"/>
          <w:lang w:val="zh-CN" w:eastAsia="zh-CN"/>
        </w:rPr>
        <w:t>博尔塔拉蒙古自治州林业和草原局</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left"/>
        <w:textAlignment w:val="auto"/>
        <w:outlineLvl w:val="9"/>
        <w:rPr>
          <w:rFonts w:hint="eastAsia" w:asciiTheme="minorEastAsia" w:hAnsiTheme="minorEastAsia" w:eastAsiaTheme="minorEastAsia" w:cstheme="minorEastAsia"/>
          <w:b/>
          <w:bCs/>
          <w:color w:val="000000"/>
          <w:sz w:val="40"/>
          <w:szCs w:val="40"/>
        </w:rPr>
      </w:pPr>
    </w:p>
    <w:p>
      <w:pPr>
        <w:pStyle w:val="24"/>
        <w:jc w:val="left"/>
        <w:rPr>
          <w:rFonts w:hint="eastAsia" w:asciiTheme="minorEastAsia" w:hAnsiTheme="minorEastAsia" w:eastAsiaTheme="minorEastAsia" w:cstheme="minorEastAsia"/>
          <w:b/>
          <w:bCs/>
          <w:sz w:val="22"/>
          <w:szCs w:val="22"/>
        </w:rPr>
      </w:pPr>
    </w:p>
    <w:p>
      <w:pPr>
        <w:keepNext w:val="0"/>
        <w:keepLines w:val="0"/>
        <w:pageBreakBefore w:val="0"/>
        <w:widowControl w:val="0"/>
        <w:kinsoku/>
        <w:wordWrap/>
        <w:overflowPunct/>
        <w:topLinePunct w:val="0"/>
        <w:autoSpaceDE/>
        <w:autoSpaceDN/>
        <w:bidi w:val="0"/>
        <w:adjustRightInd/>
        <w:snapToGrid/>
        <w:spacing w:line="700" w:lineRule="exact"/>
        <w:ind w:right="0" w:rightChars="0"/>
        <w:jc w:val="left"/>
        <w:textAlignment w:val="auto"/>
        <w:outlineLvl w:val="9"/>
        <w:rPr>
          <w:rFonts w:hint="eastAsia" w:asciiTheme="minorEastAsia" w:hAnsiTheme="minorEastAsia" w:eastAsiaTheme="minorEastAsia" w:cstheme="minorEastAsia"/>
          <w:b/>
          <w:bCs/>
          <w:color w:val="000000"/>
          <w:sz w:val="36"/>
          <w:szCs w:val="36"/>
          <w:lang w:val="zh-CN"/>
        </w:rPr>
      </w:pPr>
      <w:r>
        <w:rPr>
          <w:rFonts w:hint="eastAsia" w:asciiTheme="minorEastAsia" w:hAnsiTheme="minorEastAsia" w:eastAsiaTheme="minorEastAsia" w:cstheme="minorEastAsia"/>
          <w:b/>
          <w:bCs/>
          <w:color w:val="000000"/>
          <w:sz w:val="40"/>
          <w:szCs w:val="40"/>
        </w:rPr>
        <w:t>招标代理机构：</w:t>
      </w:r>
      <w:r>
        <w:rPr>
          <w:rFonts w:hint="eastAsia" w:asciiTheme="minorEastAsia" w:hAnsiTheme="minorEastAsia" w:eastAsiaTheme="minorEastAsia" w:cstheme="minorEastAsia"/>
          <w:b/>
          <w:bCs/>
          <w:color w:val="000000"/>
          <w:sz w:val="40"/>
          <w:szCs w:val="40"/>
          <w:lang w:val="zh-CN" w:eastAsia="zh-CN"/>
        </w:rPr>
        <w:t xml:space="preserve">新疆宏成润和工程管理有限公司 </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left"/>
        <w:textAlignment w:val="auto"/>
        <w:outlineLvl w:val="9"/>
        <w:rPr>
          <w:rFonts w:hint="eastAsia" w:asciiTheme="minorEastAsia" w:hAnsiTheme="minorEastAsia" w:eastAsiaTheme="minorEastAsia" w:cstheme="minorEastAsia"/>
          <w:color w:val="000000"/>
          <w:sz w:val="40"/>
          <w:szCs w:val="40"/>
        </w:rPr>
      </w:pPr>
    </w:p>
    <w:p>
      <w:pPr>
        <w:jc w:val="both"/>
        <w:rPr>
          <w:rFonts w:hint="eastAsia" w:asciiTheme="minorEastAsia" w:hAnsiTheme="minorEastAsia" w:eastAsiaTheme="minorEastAsia" w:cstheme="minorEastAsia"/>
          <w:color w:val="000000"/>
          <w:sz w:val="72"/>
          <w:szCs w:val="21"/>
        </w:rPr>
      </w:pPr>
    </w:p>
    <w:p>
      <w:pPr>
        <w:jc w:val="center"/>
        <w:rPr>
          <w:rFonts w:hint="eastAsia" w:asciiTheme="minorEastAsia" w:hAnsiTheme="minorEastAsia" w:eastAsiaTheme="minorEastAsia" w:cstheme="minorEastAsia"/>
          <w:b/>
          <w:bCs/>
          <w:color w:val="000000"/>
          <w:sz w:val="40"/>
          <w:szCs w:val="24"/>
          <w:lang w:val="en-US" w:eastAsia="zh-CN"/>
        </w:rPr>
      </w:pPr>
    </w:p>
    <w:p>
      <w:pPr>
        <w:jc w:val="center"/>
        <w:rPr>
          <w:rFonts w:hint="eastAsia" w:asciiTheme="minorEastAsia" w:hAnsiTheme="minorEastAsia" w:eastAsiaTheme="minorEastAsia" w:cstheme="minorEastAsia"/>
          <w:b/>
          <w:bCs/>
          <w:color w:val="000000"/>
          <w:sz w:val="40"/>
          <w:szCs w:val="24"/>
        </w:rPr>
      </w:pPr>
      <w:r>
        <w:rPr>
          <w:rFonts w:hint="eastAsia" w:asciiTheme="minorEastAsia" w:hAnsiTheme="minorEastAsia" w:eastAsiaTheme="minorEastAsia" w:cstheme="minorEastAsia"/>
          <w:b/>
          <w:bCs/>
          <w:color w:val="000000"/>
          <w:sz w:val="40"/>
          <w:szCs w:val="24"/>
          <w:lang w:val="en-US" w:eastAsia="zh-CN"/>
        </w:rPr>
        <w:t xml:space="preserve">新疆宏成润和工程管理有限公司 </w:t>
      </w:r>
    </w:p>
    <w:p>
      <w:pPr>
        <w:spacing w:line="520" w:lineRule="exact"/>
        <w:jc w:val="center"/>
        <w:rPr>
          <w:rFonts w:hint="eastAsia" w:asciiTheme="minorEastAsia" w:hAnsiTheme="minorEastAsia" w:eastAsiaTheme="minorEastAsia" w:cstheme="minorEastAsia"/>
          <w:b/>
          <w:bCs/>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r>
        <w:rPr>
          <w:rFonts w:hint="eastAsia" w:asciiTheme="minorEastAsia" w:hAnsiTheme="minorEastAsia" w:eastAsiaTheme="minorEastAsia" w:cstheme="minorEastAsia"/>
          <w:b/>
          <w:bCs/>
          <w:color w:val="000000"/>
          <w:sz w:val="40"/>
          <w:szCs w:val="21"/>
        </w:rPr>
        <w:t>20</w:t>
      </w:r>
      <w:r>
        <w:rPr>
          <w:rFonts w:hint="eastAsia" w:asciiTheme="minorEastAsia" w:hAnsiTheme="minorEastAsia" w:eastAsiaTheme="minorEastAsia" w:cstheme="minorEastAsia"/>
          <w:b/>
          <w:bCs/>
          <w:color w:val="000000"/>
          <w:sz w:val="40"/>
          <w:szCs w:val="21"/>
          <w:lang w:val="en-US" w:eastAsia="zh-CN"/>
        </w:rPr>
        <w:t>22</w:t>
      </w:r>
      <w:r>
        <w:rPr>
          <w:rFonts w:hint="eastAsia" w:asciiTheme="minorEastAsia" w:hAnsiTheme="minorEastAsia" w:eastAsiaTheme="minorEastAsia" w:cstheme="minorEastAsia"/>
          <w:b/>
          <w:bCs/>
          <w:color w:val="000000"/>
          <w:sz w:val="40"/>
          <w:szCs w:val="21"/>
        </w:rPr>
        <w:t>年</w:t>
      </w:r>
      <w:r>
        <w:rPr>
          <w:rFonts w:hint="eastAsia" w:asciiTheme="minorEastAsia" w:hAnsiTheme="minorEastAsia" w:eastAsiaTheme="minorEastAsia" w:cstheme="minorEastAsia"/>
          <w:b/>
          <w:bCs/>
          <w:color w:val="000000"/>
          <w:sz w:val="40"/>
          <w:szCs w:val="21"/>
          <w:lang w:val="en-US" w:eastAsia="zh-CN"/>
        </w:rPr>
        <w:t>8</w:t>
      </w:r>
      <w:r>
        <w:rPr>
          <w:rFonts w:hint="eastAsia" w:asciiTheme="minorEastAsia" w:hAnsiTheme="minorEastAsia" w:eastAsiaTheme="minorEastAsia" w:cstheme="minorEastAsia"/>
          <w:b/>
          <w:bCs/>
          <w:color w:val="000000"/>
          <w:sz w:val="40"/>
          <w:szCs w:val="21"/>
        </w:rPr>
        <w:t>月</w:t>
      </w:r>
    </w:p>
    <w:p>
      <w:pPr>
        <w:pStyle w:val="16"/>
        <w:tabs>
          <w:tab w:val="right" w:leader="dot" w:pos="8541"/>
        </w:tabs>
        <w:spacing w:line="480" w:lineRule="auto"/>
        <w:jc w:val="both"/>
        <w:rPr>
          <w:rFonts w:hint="eastAsia" w:asciiTheme="minorEastAsia" w:hAnsiTheme="minorEastAsia" w:eastAsiaTheme="minorEastAsia" w:cstheme="minorEastAsia"/>
          <w:sz w:val="22"/>
          <w:szCs w:val="28"/>
        </w:rPr>
      </w:pPr>
    </w:p>
    <w:sdt>
      <w:sdtPr>
        <w:rPr>
          <w:rFonts w:hint="eastAsia" w:asciiTheme="minorEastAsia" w:hAnsiTheme="minorEastAsia" w:eastAsiaTheme="minorEastAsia" w:cstheme="minorEastAsia"/>
          <w:kern w:val="0"/>
          <w:sz w:val="24"/>
          <w:szCs w:val="24"/>
        </w:rPr>
        <w:id w:val="147478570"/>
        <w:docPartObj>
          <w:docPartGallery w:val="Table of Contents"/>
          <w:docPartUnique/>
        </w:docPartObj>
      </w:sdtPr>
      <w:sdtEndPr>
        <w:rPr>
          <w:rFonts w:hint="eastAsia" w:asciiTheme="minorEastAsia" w:hAnsiTheme="minorEastAsia" w:eastAsiaTheme="minorEastAsia" w:cstheme="minorEastAsia"/>
          <w:kern w:val="0"/>
          <w:sz w:val="21"/>
          <w:szCs w:val="24"/>
        </w:rPr>
      </w:sdtEndPr>
      <w:sdtContent>
        <w:p>
          <w:pPr>
            <w:jc w:val="cente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t>目录</w:t>
          </w:r>
        </w:p>
        <w:p>
          <w:pPr>
            <w:pStyle w:val="25"/>
            <w:tabs>
              <w:tab w:val="right" w:leader="dot" w:pos="8312"/>
            </w:tabs>
            <w:spacing w:line="8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"_Toc22794_WPSOffice_Level1"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第一部分 竞争性磋商公告</w:t>
          </w:r>
          <w:r>
            <w:rPr>
              <w:rFonts w:hint="eastAsia" w:asciiTheme="minorEastAsia" w:hAnsiTheme="minorEastAsia" w:eastAsiaTheme="minorEastAsia" w:cstheme="minorEastAsia"/>
              <w:sz w:val="21"/>
              <w:szCs w:val="21"/>
            </w:rPr>
            <w:tab/>
          </w:r>
          <w:bookmarkStart w:id="0" w:name="_Toc22794_WPSOffice_Level1Page"/>
          <w:r>
            <w:rPr>
              <w:rFonts w:hint="eastAsia" w:asciiTheme="minorEastAsia" w:hAnsiTheme="minorEastAsia" w:eastAsiaTheme="minorEastAsia" w:cstheme="minorEastAsia"/>
              <w:sz w:val="21"/>
              <w:szCs w:val="21"/>
            </w:rPr>
            <w:t>3</w:t>
          </w:r>
          <w:bookmarkEnd w:id="0"/>
          <w:r>
            <w:rPr>
              <w:rFonts w:hint="eastAsia" w:asciiTheme="minorEastAsia" w:hAnsiTheme="minorEastAsia" w:eastAsiaTheme="minorEastAsia" w:cstheme="minorEastAsia"/>
              <w:sz w:val="21"/>
              <w:szCs w:val="21"/>
            </w:rPr>
            <w:fldChar w:fldCharType="end"/>
          </w:r>
        </w:p>
        <w:p>
          <w:pPr>
            <w:pStyle w:val="25"/>
            <w:tabs>
              <w:tab w:val="right" w:leader="dot" w:pos="8312"/>
            </w:tabs>
            <w:spacing w:line="8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"_Toc9092_WPSOffice_Level1"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第二部分供应商须知</w:t>
          </w:r>
          <w:r>
            <w:rPr>
              <w:rFonts w:hint="eastAsia" w:asciiTheme="minorEastAsia" w:hAnsiTheme="minorEastAsia" w:eastAsiaTheme="minorEastAsia" w:cstheme="minorEastAsia"/>
              <w:sz w:val="21"/>
              <w:szCs w:val="21"/>
            </w:rPr>
            <w:tab/>
          </w:r>
          <w:bookmarkStart w:id="1" w:name="_Toc9092_WPSOffice_Level1Page"/>
          <w:r>
            <w:rPr>
              <w:rFonts w:hint="eastAsia" w:asciiTheme="minorEastAsia" w:hAnsiTheme="minorEastAsia" w:eastAsiaTheme="minorEastAsia" w:cstheme="minorEastAsia"/>
              <w:sz w:val="21"/>
              <w:szCs w:val="21"/>
            </w:rPr>
            <w:t>5</w:t>
          </w:r>
          <w:bookmarkEnd w:id="1"/>
          <w:r>
            <w:rPr>
              <w:rFonts w:hint="eastAsia" w:asciiTheme="minorEastAsia" w:hAnsiTheme="minorEastAsia" w:eastAsiaTheme="minorEastAsia" w:cstheme="minorEastAsia"/>
              <w:sz w:val="21"/>
              <w:szCs w:val="21"/>
            </w:rPr>
            <w:fldChar w:fldCharType="end"/>
          </w:r>
        </w:p>
        <w:p>
          <w:pPr>
            <w:pStyle w:val="25"/>
            <w:tabs>
              <w:tab w:val="right" w:leader="dot" w:pos="8312"/>
            </w:tabs>
            <w:spacing w:line="8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"_Toc3943_WPSOffice_Level1"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第三部分  技术要求</w:t>
          </w:r>
          <w:r>
            <w:rPr>
              <w:rFonts w:hint="eastAsia" w:asciiTheme="minorEastAsia" w:hAnsiTheme="minorEastAsia" w:eastAsiaTheme="minorEastAsia" w:cstheme="minorEastAsia"/>
              <w:sz w:val="21"/>
              <w:szCs w:val="21"/>
            </w:rPr>
            <w:tab/>
          </w:r>
          <w:bookmarkStart w:id="2" w:name="_Toc3943_WPSOffice_Level1Page"/>
          <w:r>
            <w:rPr>
              <w:rFonts w:hint="eastAsia" w:asciiTheme="minorEastAsia" w:hAnsiTheme="minorEastAsia" w:eastAsiaTheme="minorEastAsia" w:cstheme="minorEastAsia"/>
              <w:sz w:val="21"/>
              <w:szCs w:val="21"/>
            </w:rPr>
            <w:t>1</w:t>
          </w:r>
          <w:bookmarkEnd w:id="2"/>
          <w:r>
            <w:rPr>
              <w:rFonts w:hint="eastAsia" w:asciiTheme="minorEastAsia" w:hAnsiTheme="minorEastAsia" w:eastAsiaTheme="minorEastAsia" w:cstheme="minorEastAsia"/>
              <w:sz w:val="21"/>
              <w:szCs w:val="21"/>
            </w:rPr>
            <w:fldChar w:fldCharType="end"/>
          </w:r>
        </w:p>
        <w:p>
          <w:pPr>
            <w:pStyle w:val="25"/>
            <w:tabs>
              <w:tab w:val="right" w:leader="dot" w:pos="8312"/>
            </w:tabs>
            <w:spacing w:line="8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"_Toc17758_WPSOffice_Level1"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第四部分通用合同条款</w:t>
          </w:r>
          <w:r>
            <w:rPr>
              <w:rFonts w:hint="eastAsia" w:asciiTheme="minorEastAsia" w:hAnsiTheme="minorEastAsia" w:eastAsiaTheme="minorEastAsia" w:cstheme="minorEastAsia"/>
              <w:sz w:val="21"/>
              <w:szCs w:val="21"/>
            </w:rPr>
            <w:tab/>
          </w:r>
          <w:bookmarkStart w:id="3" w:name="_Toc17758_WPSOffice_Level1Page"/>
          <w:r>
            <w:rPr>
              <w:rFonts w:hint="eastAsia" w:asciiTheme="minorEastAsia" w:hAnsiTheme="minorEastAsia" w:eastAsiaTheme="minorEastAsia" w:cstheme="minorEastAsia"/>
              <w:sz w:val="21"/>
              <w:szCs w:val="21"/>
            </w:rPr>
            <w:t>2</w:t>
          </w:r>
          <w:bookmarkEnd w:id="3"/>
          <w:r>
            <w:rPr>
              <w:rFonts w:hint="eastAsia" w:asciiTheme="minorEastAsia" w:hAnsiTheme="minorEastAsia" w:eastAsiaTheme="minorEastAsia" w:cstheme="minorEastAsia"/>
              <w:sz w:val="21"/>
              <w:szCs w:val="21"/>
            </w:rPr>
            <w:fldChar w:fldCharType="end"/>
          </w:r>
        </w:p>
        <w:p>
          <w:pPr>
            <w:pStyle w:val="25"/>
            <w:tabs>
              <w:tab w:val="right" w:leader="dot" w:pos="8312"/>
            </w:tabs>
            <w:spacing w:line="8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"_Toc5960_WPSOffice_Level1"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第五部分　范本格式</w:t>
          </w:r>
          <w:r>
            <w:rPr>
              <w:rFonts w:hint="eastAsia" w:asciiTheme="minorEastAsia" w:hAnsiTheme="minorEastAsia" w:eastAsiaTheme="minorEastAsia" w:cstheme="minorEastAsia"/>
              <w:sz w:val="21"/>
              <w:szCs w:val="21"/>
            </w:rPr>
            <w:tab/>
          </w:r>
          <w:bookmarkStart w:id="4" w:name="_Toc5960_WPSOffice_Level1Page"/>
          <w:r>
            <w:rPr>
              <w:rFonts w:hint="eastAsia" w:asciiTheme="minorEastAsia" w:hAnsiTheme="minorEastAsia" w:eastAsiaTheme="minorEastAsia" w:cstheme="minorEastAsia"/>
              <w:sz w:val="21"/>
              <w:szCs w:val="21"/>
            </w:rPr>
            <w:t>10</w:t>
          </w:r>
          <w:bookmarkEnd w:id="4"/>
          <w:r>
            <w:rPr>
              <w:rFonts w:hint="eastAsia" w:asciiTheme="minorEastAsia" w:hAnsiTheme="minorEastAsia" w:eastAsiaTheme="minorEastAsia" w:cstheme="minorEastAsia"/>
              <w:sz w:val="21"/>
              <w:szCs w:val="21"/>
            </w:rPr>
            <w:fldChar w:fldCharType="end"/>
          </w:r>
        </w:p>
        <w:p>
          <w:pPr>
            <w:pStyle w:val="25"/>
            <w:tabs>
              <w:tab w:val="right" w:leader="dot" w:pos="8312"/>
            </w:tabs>
            <w:rPr>
              <w:rFonts w:hint="eastAsia" w:asciiTheme="minorEastAsia" w:hAnsiTheme="minorEastAsia" w:eastAsiaTheme="minorEastAsia" w:cstheme="minorEastAsia"/>
              <w:sz w:val="21"/>
              <w:szCs w:val="21"/>
            </w:rPr>
          </w:pPr>
        </w:p>
      </w:sdtContent>
    </w:sdt>
    <w:p>
      <w:pPr>
        <w:pStyle w:val="3"/>
        <w:spacing w:line="400" w:lineRule="atLeast"/>
        <w:ind w:left="0" w:firstLine="0"/>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br w:type="page"/>
      </w:r>
    </w:p>
    <w:p>
      <w:pPr>
        <w:pStyle w:val="3"/>
        <w:spacing w:line="400" w:lineRule="atLeast"/>
        <w:ind w:left="0" w:firstLine="0"/>
        <w:jc w:val="center"/>
        <w:rPr>
          <w:rFonts w:hint="eastAsia" w:asciiTheme="minorEastAsia" w:hAnsiTheme="minorEastAsia" w:eastAsiaTheme="minorEastAsia" w:cstheme="minorEastAsia"/>
          <w:sz w:val="36"/>
          <w:szCs w:val="36"/>
        </w:rPr>
      </w:pPr>
      <w:bookmarkStart w:id="5" w:name="_Toc22794_WPSOffice_Level1"/>
      <w:r>
        <w:rPr>
          <w:rFonts w:hint="eastAsia" w:asciiTheme="minorEastAsia" w:hAnsiTheme="minorEastAsia" w:eastAsiaTheme="minorEastAsia" w:cstheme="minorEastAsia"/>
          <w:sz w:val="36"/>
          <w:szCs w:val="36"/>
        </w:rPr>
        <w:t>第一部分竞争性磋商公告</w:t>
      </w:r>
      <w:bookmarkEnd w:id="5"/>
    </w:p>
    <w:p>
      <w:pPr>
        <w:pStyle w:val="18"/>
        <w:keepNext w:val="0"/>
        <w:keepLines w:val="0"/>
        <w:widowControl/>
        <w:suppressLineNumbers w:val="0"/>
        <w:spacing w:before="255" w:beforeAutospacing="0" w:after="255" w:afterAutospacing="0" w:line="450" w:lineRule="atLeast"/>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kern w:val="2"/>
          <w:sz w:val="28"/>
          <w:szCs w:val="28"/>
          <w:lang w:val="en-US" w:eastAsia="zh-CN" w:bidi="ar-SA"/>
        </w:rPr>
        <w:t> 博州林业和草原局无人机航空巡护项目采购项目的潜在供应商应在“博州公共资源交易网”（http://xzfw.xjboz.gov.cn/）获取采购文件，并于2022年8月29日11：00（北京时间）前提交响应文件。</w:t>
      </w:r>
    </w:p>
    <w:p>
      <w:pPr>
        <w:pStyle w:val="18"/>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项目编号：HCRHCS2022-011 </w:t>
      </w:r>
    </w:p>
    <w:p>
      <w:pPr>
        <w:pStyle w:val="18"/>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项目名称：博州林业和草原局无人机航空巡护项目 </w:t>
      </w:r>
    </w:p>
    <w:p>
      <w:pPr>
        <w:pStyle w:val="18"/>
        <w:keepNext w:val="0"/>
        <w:keepLines w:val="0"/>
        <w:widowControl/>
        <w:suppressLineNumbers w:val="0"/>
        <w:spacing w:before="75" w:beforeAutospacing="0" w:after="75" w:afterAutospacing="0" w:line="300" w:lineRule="atLeast"/>
        <w:ind w:left="0" w:right="0" w:firstLine="373"/>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采购方式：竞争性磋商 </w:t>
      </w:r>
    </w:p>
    <w:p>
      <w:pPr>
        <w:pStyle w:val="18"/>
        <w:keepNext w:val="0"/>
        <w:keepLines w:val="0"/>
        <w:widowControl/>
        <w:suppressLineNumbers w:val="0"/>
        <w:spacing w:before="75" w:beforeAutospacing="0" w:after="75" w:afterAutospacing="0" w:line="300" w:lineRule="atLeast"/>
        <w:ind w:left="0" w:right="0" w:firstLine="373"/>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预算金额（元）：1875000元</w:t>
      </w:r>
    </w:p>
    <w:p>
      <w:pPr>
        <w:pStyle w:val="18"/>
        <w:keepNext w:val="0"/>
        <w:keepLines w:val="0"/>
        <w:widowControl/>
        <w:suppressLineNumbers w:val="0"/>
        <w:spacing w:before="75" w:beforeAutospacing="0" w:after="75" w:afterAutospacing="0" w:line="300" w:lineRule="atLeast"/>
        <w:ind w:left="0" w:right="0" w:firstLine="373"/>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最高限价（元）：1875000元 </w:t>
      </w:r>
    </w:p>
    <w:p>
      <w:pPr>
        <w:pStyle w:val="18"/>
        <w:keepNext w:val="0"/>
        <w:keepLines w:val="0"/>
        <w:widowControl/>
        <w:suppressLineNumbers w:val="0"/>
        <w:spacing w:before="75" w:beforeAutospacing="0" w:after="75" w:afterAutospacing="0" w:line="300" w:lineRule="atLeast"/>
        <w:ind w:left="0" w:right="0" w:firstLine="373"/>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采购需求：</w:t>
      </w:r>
      <w:r>
        <w:rPr>
          <w:rFonts w:hint="eastAsia" w:asciiTheme="minorEastAsia" w:hAnsiTheme="minorEastAsia" w:eastAsiaTheme="minorEastAsia" w:cstheme="minorEastAsia"/>
          <w:color w:val="auto"/>
          <w:kern w:val="2"/>
          <w:sz w:val="28"/>
          <w:szCs w:val="28"/>
          <w:lang w:val="en-US" w:eastAsia="zh-CN" w:bidi="ar-SA"/>
        </w:rPr>
        <w:t>需租赁取得民用无人驾驶航空器经营许可证的无人机公司垂直起降固定翼无人 机、多旋翼无人机各1架，飞行小时575小时以上，巡护面积500万 亩，巡护区域：甘家湖、艾比湖、精河、三台、哈夏、哈日图热格、博尔塔拉河谷林 区等重点林区。</w:t>
      </w:r>
    </w:p>
    <w:p>
      <w:pPr>
        <w:pStyle w:val="18"/>
        <w:keepNext w:val="0"/>
        <w:keepLines w:val="0"/>
        <w:widowControl/>
        <w:suppressLineNumbers w:val="0"/>
        <w:spacing w:before="75" w:beforeAutospacing="0" w:after="75" w:afterAutospacing="0" w:line="300" w:lineRule="atLeast"/>
        <w:ind w:left="0" w:right="0" w:firstLine="373"/>
        <w:rPr>
          <w:rFonts w:hint="eastAsia" w:asciiTheme="minorEastAsia" w:hAnsiTheme="minorEastAsia" w:eastAsiaTheme="minorEastAsia" w:cstheme="minorEastAsia"/>
          <w:color w:val="0000FF"/>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合同履约期限:</w:t>
      </w:r>
      <w:r>
        <w:rPr>
          <w:rFonts w:hint="eastAsia" w:asciiTheme="minorEastAsia" w:hAnsiTheme="minorEastAsia" w:eastAsiaTheme="minorEastAsia" w:cstheme="minorEastAsia"/>
          <w:color w:val="0000FF"/>
          <w:kern w:val="2"/>
          <w:sz w:val="28"/>
          <w:szCs w:val="28"/>
          <w:lang w:val="en-US" w:eastAsia="zh-CN" w:bidi="ar-SA"/>
        </w:rPr>
        <w:t>签订合同后100天内提供完成服务 </w:t>
      </w:r>
    </w:p>
    <w:p>
      <w:pPr>
        <w:pStyle w:val="18"/>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本项目（否）接受联合体投标。  </w:t>
      </w:r>
    </w:p>
    <w:p>
      <w:pPr>
        <w:pStyle w:val="18"/>
        <w:keepNext w:val="0"/>
        <w:keepLines w:val="0"/>
        <w:widowControl/>
        <w:suppressLineNumbers w:val="0"/>
        <w:spacing w:before="255" w:beforeAutospacing="0" w:after="255" w:afterAutospacing="0" w:line="450" w:lineRule="atLeast"/>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二、申请人的资格要求：</w:t>
      </w:r>
    </w:p>
    <w:p>
      <w:pPr>
        <w:pStyle w:val="18"/>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1.满足《中华人民共和国政府采购法》第二十二条规定；</w:t>
      </w:r>
    </w:p>
    <w:p>
      <w:pPr>
        <w:pStyle w:val="18"/>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2.落实政府采购政策需满足的资格要求：1、《财政部 国家发展改革委关于印发〈节能产品政府采购实施意见〉的通知》（财库〔2004〕185号）；2、《财政部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 6、 财政部办公厅关于疫情防控期间开展政府采购活动有关事项的通知 中华人民共和国财政部办公厅（财办库（【2020】29号）; 7、印发《关于应对新冠肺炎疫情支持中小微企业复工复产健康发展的十六条措施》的通知（新政办发[2020]7号） </w:t>
      </w:r>
    </w:p>
    <w:p>
      <w:pPr>
        <w:pStyle w:val="18"/>
        <w:keepNext w:val="0"/>
        <w:keepLines w:val="0"/>
        <w:widowControl/>
        <w:suppressLineNumbers w:val="0"/>
        <w:spacing w:before="75" w:beforeAutospacing="0" w:after="75" w:afterAutospacing="0" w:line="300" w:lineRule="atLeast"/>
        <w:ind w:left="0" w:right="0" w:firstLine="72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3.本项目的特定资格要求：投标人须具备</w:t>
      </w:r>
      <w:r>
        <w:rPr>
          <w:rFonts w:hint="eastAsia" w:asciiTheme="minorEastAsia" w:hAnsiTheme="minorEastAsia" w:eastAsiaTheme="minorEastAsia" w:cstheme="minorEastAsia"/>
          <w:color w:val="auto"/>
          <w:kern w:val="2"/>
          <w:sz w:val="28"/>
          <w:szCs w:val="28"/>
          <w:lang w:val="en-US" w:eastAsia="zh-CN" w:bidi="ar-SA"/>
        </w:rPr>
        <w:t>房具备《通用航空企业经营许可证》并在人员、设备、资金等方面具有相应的能力。未被“信用中国”（ www.creditchina.gov.cn）及中国政府采购网</w:t>
      </w:r>
      <w:r>
        <w:rPr>
          <w:rFonts w:hint="eastAsia" w:asciiTheme="minorEastAsia" w:hAnsiTheme="minorEastAsia" w:eastAsiaTheme="minorEastAsia" w:cstheme="minorEastAsia"/>
          <w:kern w:val="2"/>
          <w:sz w:val="28"/>
          <w:szCs w:val="28"/>
          <w:lang w:val="en-US" w:eastAsia="zh-CN" w:bidi="ar-SA"/>
        </w:rPr>
        <w:t>（www.ccgp.gov.cn）列入失信被执行人、重大税收违法案件当事人名单、政府采购严重违法失信行为记录名单的投标人。</w:t>
      </w:r>
    </w:p>
    <w:p>
      <w:pPr>
        <w:spacing w:line="400" w:lineRule="exact"/>
        <w:rPr>
          <w:rFonts w:hint="eastAsia" w:asciiTheme="minorEastAsia" w:hAnsiTheme="minorEastAsia" w:eastAsiaTheme="minorEastAsia" w:cstheme="minorEastAsia"/>
          <w:kern w:val="2"/>
          <w:sz w:val="28"/>
          <w:szCs w:val="28"/>
          <w:lang w:val="en-US" w:eastAsia="zh-CN" w:bidi="ar-SA"/>
        </w:rPr>
      </w:pPr>
      <w:bookmarkStart w:id="6" w:name="_Toc35393631"/>
      <w:bookmarkStart w:id="7" w:name="_Toc35393800"/>
      <w:r>
        <w:rPr>
          <w:rFonts w:hint="eastAsia" w:asciiTheme="minorEastAsia" w:hAnsiTheme="minorEastAsia" w:eastAsiaTheme="minorEastAsia" w:cstheme="minorEastAsia"/>
          <w:kern w:val="2"/>
          <w:sz w:val="28"/>
          <w:szCs w:val="28"/>
          <w:lang w:val="en-US" w:eastAsia="zh-CN" w:bidi="ar-SA"/>
        </w:rPr>
        <w:t>三、获取采购文件</w:t>
      </w:r>
      <w:bookmarkEnd w:id="6"/>
      <w:bookmarkEnd w:id="7"/>
    </w:p>
    <w:p>
      <w:pPr>
        <w:spacing w:line="400" w:lineRule="exact"/>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时 间：2022年8月18日至2022年8月26日，每天上午10:00至14:00，下午16:00至20:00（北京时间，法定节假日除外 ）</w:t>
      </w:r>
    </w:p>
    <w:p>
      <w:pPr>
        <w:spacing w:line="400" w:lineRule="exact"/>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zh-CN" w:eastAsia="zh-CN" w:bidi="ar-SA"/>
        </w:rPr>
        <w:t>地点</w:t>
      </w:r>
      <w:r>
        <w:rPr>
          <w:rFonts w:hint="eastAsia" w:asciiTheme="minorEastAsia" w:hAnsiTheme="minorEastAsia" w:eastAsiaTheme="minorEastAsia" w:cstheme="minorEastAsia"/>
          <w:kern w:val="2"/>
          <w:sz w:val="28"/>
          <w:szCs w:val="28"/>
          <w:lang w:val="en-US" w:eastAsia="zh-CN" w:bidi="ar-SA"/>
        </w:rPr>
        <w:t>：博州公共资源交易网（http://xzfw.xjboz.gov.cn/）</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方式：请使用移动CA数字证书登录博州公共资源交易平台</w:t>
      </w:r>
      <w:r>
        <w:rPr>
          <w:rFonts w:hint="eastAsia" w:asciiTheme="minorEastAsia" w:hAnsiTheme="minorEastAsia" w:eastAsiaTheme="minorEastAsia" w:cstheme="minorEastAsia"/>
          <w:sz w:val="28"/>
          <w:szCs w:val="28"/>
        </w:rPr>
        <w:t>http://xzfw.xjboz.gov.cn/TPBidder领取招标文件，移动CA数字证书“标证通”办理方式见博州公共资源交易网办事指南</w:t>
      </w:r>
    </w:p>
    <w:p>
      <w:p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售价（元）：/</w:t>
      </w:r>
      <w:bookmarkStart w:id="8" w:name="_Toc28359015"/>
      <w:bookmarkStart w:id="9" w:name="_Toc35393632"/>
      <w:bookmarkStart w:id="10" w:name="_Toc35393801"/>
      <w:bookmarkStart w:id="11" w:name="_Toc28359092"/>
    </w:p>
    <w:p>
      <w:pPr>
        <w:numPr>
          <w:ilvl w:val="0"/>
          <w:numId w:val="0"/>
        </w:num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响应文件提交</w:t>
      </w:r>
      <w:bookmarkEnd w:id="8"/>
      <w:bookmarkEnd w:id="9"/>
      <w:bookmarkEnd w:id="10"/>
      <w:bookmarkEnd w:id="11"/>
    </w:p>
    <w:p>
      <w:pPr>
        <w:numPr>
          <w:ilvl w:val="0"/>
          <w:numId w:val="0"/>
        </w:num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截止时间：2022年8月</w:t>
      </w:r>
      <w:r>
        <w:rPr>
          <w:rFonts w:hint="eastAsia" w:asciiTheme="minorEastAsia" w:hAnsiTheme="minorEastAsia" w:eastAsiaTheme="minorEastAsia" w:cstheme="minorEastAsia"/>
          <w:sz w:val="28"/>
          <w:szCs w:val="28"/>
          <w:lang w:val="en-US" w:eastAsia="zh-CN"/>
        </w:rPr>
        <w:t>29</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点00分（北京时间）</w:t>
      </w:r>
    </w:p>
    <w:p>
      <w:pPr>
        <w:numPr>
          <w:ilvl w:val="0"/>
          <w:numId w:val="0"/>
        </w:num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地点：请使用移动CA数字证书或CA数字证书登录博州公共资源交易平台http://xzfw.xjboz.gov.cn/网上递交加密文件</w:t>
      </w:r>
      <w:bookmarkStart w:id="12" w:name="_Toc28359093"/>
      <w:bookmarkStart w:id="13" w:name="_Toc28359016"/>
      <w:bookmarkStart w:id="14" w:name="_Toc35393802"/>
      <w:bookmarkStart w:id="15" w:name="_Toc35393633"/>
    </w:p>
    <w:p>
      <w:pPr>
        <w:numPr>
          <w:ilvl w:val="0"/>
          <w:numId w:val="0"/>
        </w:num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响应开启</w:t>
      </w:r>
      <w:bookmarkEnd w:id="12"/>
      <w:bookmarkEnd w:id="13"/>
      <w:bookmarkEnd w:id="14"/>
      <w:bookmarkEnd w:id="15"/>
      <w:r>
        <w:rPr>
          <w:rFonts w:hint="eastAsia" w:asciiTheme="minorEastAsia" w:hAnsiTheme="minorEastAsia" w:eastAsiaTheme="minorEastAsia" w:cstheme="minorEastAsia"/>
          <w:sz w:val="28"/>
          <w:szCs w:val="28"/>
          <w:lang w:val="en-US" w:eastAsia="zh-CN"/>
        </w:rPr>
        <w:t xml:space="preserve"> </w:t>
      </w:r>
    </w:p>
    <w:p>
      <w:pPr>
        <w:numPr>
          <w:ilvl w:val="0"/>
          <w:numId w:val="0"/>
        </w:numPr>
        <w:spacing w:line="4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时间：2022年8月</w:t>
      </w:r>
      <w:r>
        <w:rPr>
          <w:rFonts w:hint="eastAsia" w:asciiTheme="minorEastAsia" w:hAnsiTheme="minorEastAsia" w:eastAsiaTheme="minorEastAsia" w:cstheme="minorEastAsia"/>
          <w:sz w:val="28"/>
          <w:szCs w:val="28"/>
          <w:lang w:val="en-US" w:eastAsia="zh-CN"/>
        </w:rPr>
        <w:t>29</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点00分（北京时间）</w:t>
      </w:r>
    </w:p>
    <w:p>
      <w:pPr>
        <w:spacing w:line="400" w:lineRule="exact"/>
        <w:ind w:left="559" w:leftChars="266" w:firstLine="0" w:firstLineChars="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地点：</w:t>
      </w:r>
      <w:r>
        <w:rPr>
          <w:rFonts w:hint="eastAsia" w:asciiTheme="minorEastAsia" w:hAnsiTheme="minorEastAsia" w:eastAsiaTheme="minorEastAsia" w:cstheme="minorEastAsia"/>
          <w:sz w:val="28"/>
          <w:szCs w:val="28"/>
          <w:lang w:val="zh-CN"/>
        </w:rPr>
        <w:t>博州公共资源交易中心（锦绣路6号行政服务中心三楼</w:t>
      </w:r>
      <w:bookmarkStart w:id="16" w:name="_Toc35393634"/>
      <w:bookmarkStart w:id="17" w:name="_Toc28359094"/>
      <w:bookmarkStart w:id="18" w:name="_Toc35393803"/>
      <w:bookmarkStart w:id="19" w:name="_Toc28359017"/>
      <w:r>
        <w:rPr>
          <w:rFonts w:hint="eastAsia" w:asciiTheme="minorEastAsia" w:hAnsiTheme="minorEastAsia" w:eastAsiaTheme="minorEastAsia" w:cstheme="minorEastAsia"/>
          <w:sz w:val="28"/>
          <w:szCs w:val="28"/>
          <w:lang w:val="zh-CN"/>
        </w:rPr>
        <w:t>）</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六、公告期限</w:t>
      </w:r>
      <w:bookmarkEnd w:id="16"/>
      <w:bookmarkEnd w:id="17"/>
      <w:bookmarkEnd w:id="18"/>
      <w:bookmarkEnd w:id="19"/>
    </w:p>
    <w:p>
      <w:pPr>
        <w:spacing w:line="400" w:lineRule="exact"/>
        <w:ind w:left="559" w:leftChars="266"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自本公告发布之日起5个工作日。</w:t>
      </w:r>
      <w:bookmarkStart w:id="20" w:name="_Toc35393635"/>
      <w:bookmarkStart w:id="21" w:name="_Toc35393804"/>
    </w:p>
    <w:p>
      <w:pPr>
        <w:numPr>
          <w:ilvl w:val="0"/>
          <w:numId w:val="0"/>
        </w:num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七、</w:t>
      </w:r>
      <w:r>
        <w:rPr>
          <w:rFonts w:hint="eastAsia" w:asciiTheme="minorEastAsia" w:hAnsiTheme="minorEastAsia" w:eastAsiaTheme="minorEastAsia" w:cstheme="minorEastAsia"/>
          <w:sz w:val="28"/>
          <w:szCs w:val="28"/>
        </w:rPr>
        <w:t>其他补充事宜</w:t>
      </w:r>
      <w:bookmarkEnd w:id="20"/>
      <w:bookmarkEnd w:id="21"/>
      <w:bookmarkStart w:id="22" w:name="_Toc28359018"/>
      <w:bookmarkStart w:id="23" w:name="_Toc35393805"/>
      <w:bookmarkStart w:id="24" w:name="_Toc28359095"/>
      <w:bookmarkStart w:id="25" w:name="_Toc35393636"/>
    </w:p>
    <w:p>
      <w:pPr>
        <w:numPr>
          <w:ilvl w:val="0"/>
          <w:numId w:val="0"/>
        </w:numPr>
        <w:spacing w:line="400" w:lineRule="exact"/>
        <w:ind w:firstLine="560" w:firstLineChars="20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zh-CN"/>
        </w:rPr>
        <w:t>投标单位到博州公共资源交易网站登陆查看公告，实行网上报名（登陆“博州公共资源交易网”（http://xzfw.xjboz.gov.cn/），选择 “交易主体登录”，进行“供应商”会员注册, 会员注册后即可在网上报名、下载采购文件。）操作手册见公共资源网服务指南，软件咨询联系方式：400-</w:t>
      </w:r>
      <w:r>
        <w:rPr>
          <w:rFonts w:hint="eastAsia" w:asciiTheme="minorEastAsia" w:hAnsiTheme="minorEastAsia" w:eastAsiaTheme="minorEastAsia" w:cstheme="minorEastAsia"/>
          <w:sz w:val="28"/>
          <w:szCs w:val="28"/>
        </w:rPr>
        <w:t>99</w:t>
      </w:r>
      <w:r>
        <w:rPr>
          <w:rFonts w:hint="eastAsia" w:asciiTheme="minorEastAsia" w:hAnsiTheme="minorEastAsia" w:eastAsiaTheme="minorEastAsia" w:cstheme="minorEastAsia"/>
          <w:sz w:val="28"/>
          <w:szCs w:val="28"/>
          <w:lang w:val="zh-CN"/>
        </w:rPr>
        <w:t>8-00</w:t>
      </w:r>
      <w:r>
        <w:rPr>
          <w:rFonts w:hint="eastAsia" w:asciiTheme="minorEastAsia" w:hAnsiTheme="minorEastAsia" w:eastAsiaTheme="minorEastAsia" w:cstheme="minorEastAsia"/>
          <w:sz w:val="28"/>
          <w:szCs w:val="28"/>
        </w:rPr>
        <w:t>00</w:t>
      </w:r>
      <w:r>
        <w:rPr>
          <w:rFonts w:hint="eastAsia" w:asciiTheme="minorEastAsia" w:hAnsiTheme="minorEastAsia" w:eastAsiaTheme="minorEastAsia" w:cstheme="minorEastAsia"/>
          <w:sz w:val="28"/>
          <w:szCs w:val="28"/>
          <w:lang w:val="zh-CN"/>
        </w:rPr>
        <w:t>。</w:t>
      </w:r>
    </w:p>
    <w:p>
      <w:pPr>
        <w:spacing w:line="400" w:lineRule="exact"/>
        <w:ind w:firstLine="560" w:firstLineChars="20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2、特别提示：1.超过200万元的货物和服务采购项目、超过400万元的工程采购项目中适宜由中小企业提供的，预留该部分采购项目预算总额的40%以上专门面向中小企业采购，其中预留给小微企业的比例不低于60%。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4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八</w:t>
      </w:r>
      <w:r>
        <w:rPr>
          <w:rFonts w:hint="eastAsia" w:asciiTheme="minorEastAsia" w:hAnsiTheme="minorEastAsia" w:eastAsiaTheme="minorEastAsia" w:cstheme="minorEastAsia"/>
          <w:sz w:val="28"/>
          <w:szCs w:val="28"/>
        </w:rPr>
        <w:t>、凡对本次采购提出询问，请按以下方式联系。</w:t>
      </w:r>
      <w:bookmarkEnd w:id="22"/>
      <w:bookmarkEnd w:id="23"/>
      <w:bookmarkEnd w:id="24"/>
      <w:bookmarkEnd w:id="25"/>
    </w:p>
    <w:p>
      <w:pPr>
        <w:spacing w:line="400" w:lineRule="exact"/>
        <w:ind w:firstLine="840" w:firstLineChars="300"/>
        <w:rPr>
          <w:rFonts w:hint="eastAsia" w:asciiTheme="minorEastAsia" w:hAnsiTheme="minorEastAsia" w:eastAsiaTheme="minorEastAsia" w:cstheme="minorEastAsia"/>
          <w:sz w:val="28"/>
          <w:szCs w:val="28"/>
        </w:rPr>
      </w:pPr>
      <w:bookmarkStart w:id="26" w:name="_Toc28359019"/>
      <w:bookmarkStart w:id="27" w:name="_Toc28359096"/>
      <w:bookmarkStart w:id="28" w:name="_Toc35393806"/>
      <w:bookmarkStart w:id="29" w:name="_Toc35393637"/>
      <w:r>
        <w:rPr>
          <w:rFonts w:hint="eastAsia" w:asciiTheme="minorEastAsia" w:hAnsiTheme="minorEastAsia" w:eastAsiaTheme="minorEastAsia" w:cstheme="minorEastAsia"/>
          <w:sz w:val="28"/>
          <w:szCs w:val="28"/>
        </w:rPr>
        <w:t>1.采购人信息</w:t>
      </w:r>
      <w:bookmarkEnd w:id="26"/>
      <w:bookmarkEnd w:id="27"/>
      <w:bookmarkEnd w:id="28"/>
      <w:bookmarkEnd w:id="29"/>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称：博尔塔拉蒙古自治州林业和草原局</w:t>
      </w:r>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color w:val="auto"/>
          <w:sz w:val="28"/>
          <w:szCs w:val="28"/>
          <w:u w:val="none"/>
          <w:lang w:eastAsia="zh-CN"/>
        </w:rPr>
        <w:t>博州博乐市北京南路4号</w:t>
      </w:r>
      <w:r>
        <w:rPr>
          <w:rFonts w:hint="eastAsia" w:asciiTheme="minorEastAsia" w:hAnsiTheme="minorEastAsia" w:eastAsiaTheme="minorEastAsia" w:cstheme="minorEastAsia"/>
          <w:sz w:val="28"/>
          <w:szCs w:val="28"/>
        </w:rPr>
        <w:t>　　　　  　</w:t>
      </w:r>
    </w:p>
    <w:p>
      <w:pPr>
        <w:spacing w:line="400" w:lineRule="exact"/>
        <w:ind w:firstLine="840" w:firstLineChars="3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联</w:t>
      </w:r>
      <w:r>
        <w:rPr>
          <w:rFonts w:hint="eastAsia" w:asciiTheme="minorEastAsia" w:hAnsiTheme="minorEastAsia" w:eastAsiaTheme="minorEastAsia" w:cstheme="minorEastAsia"/>
          <w:color w:val="auto"/>
          <w:sz w:val="28"/>
          <w:szCs w:val="28"/>
        </w:rPr>
        <w:t>系人：</w:t>
      </w:r>
      <w:r>
        <w:rPr>
          <w:rFonts w:hint="eastAsia" w:asciiTheme="minorEastAsia" w:hAnsiTheme="minorEastAsia" w:eastAsiaTheme="minorEastAsia" w:cstheme="minorEastAsia"/>
          <w:sz w:val="28"/>
          <w:szCs w:val="28"/>
        </w:rPr>
        <w:t>袁剑锋</w:t>
      </w:r>
      <w:r>
        <w:rPr>
          <w:rFonts w:hint="eastAsia" w:asciiTheme="minorEastAsia" w:hAnsiTheme="minorEastAsia" w:eastAsiaTheme="minorEastAsia" w:cstheme="minorEastAsia"/>
          <w:color w:val="auto"/>
          <w:sz w:val="28"/>
          <w:szCs w:val="28"/>
        </w:rPr>
        <w:t xml:space="preserve">            </w:t>
      </w:r>
    </w:p>
    <w:p>
      <w:pPr>
        <w:spacing w:line="400" w:lineRule="exact"/>
        <w:ind w:firstLine="840" w:firstLineChars="3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联系方式：</w:t>
      </w:r>
      <w:r>
        <w:rPr>
          <w:rFonts w:hint="eastAsia" w:asciiTheme="minorEastAsia" w:hAnsiTheme="minorEastAsia" w:eastAsiaTheme="minorEastAsia" w:cstheme="minorEastAsia"/>
          <w:sz w:val="28"/>
          <w:szCs w:val="28"/>
        </w:rPr>
        <w:t>1377902821</w:t>
      </w:r>
      <w:r>
        <w:rPr>
          <w:rFonts w:hint="eastAsia" w:asciiTheme="minorEastAsia" w:hAnsiTheme="minorEastAsia" w:eastAsiaTheme="minorEastAsia" w:cstheme="minorEastAsia"/>
          <w:sz w:val="28"/>
          <w:szCs w:val="28"/>
          <w:lang w:val="en-US" w:eastAsia="zh-CN"/>
        </w:rPr>
        <w:t>8</w:t>
      </w:r>
    </w:p>
    <w:p>
      <w:pPr>
        <w:spacing w:line="400" w:lineRule="exact"/>
        <w:ind w:firstLine="840" w:firstLineChars="300"/>
        <w:rPr>
          <w:rFonts w:hint="eastAsia" w:asciiTheme="minorEastAsia" w:hAnsiTheme="minorEastAsia" w:eastAsiaTheme="minorEastAsia" w:cstheme="minorEastAsia"/>
          <w:color w:val="auto"/>
          <w:sz w:val="28"/>
          <w:szCs w:val="28"/>
        </w:rPr>
      </w:pPr>
      <w:bookmarkStart w:id="30" w:name="_Toc35393638"/>
      <w:bookmarkStart w:id="31" w:name="_Toc28359097"/>
      <w:bookmarkStart w:id="32" w:name="_Toc35393807"/>
      <w:bookmarkStart w:id="33" w:name="_Toc28359020"/>
      <w:r>
        <w:rPr>
          <w:rFonts w:hint="eastAsia" w:asciiTheme="minorEastAsia" w:hAnsiTheme="minorEastAsia" w:eastAsiaTheme="minorEastAsia" w:cstheme="minorEastAsia"/>
          <w:color w:val="auto"/>
          <w:sz w:val="28"/>
          <w:szCs w:val="28"/>
        </w:rPr>
        <w:t>2.采购代理机构信息</w:t>
      </w:r>
      <w:bookmarkEnd w:id="30"/>
      <w:bookmarkEnd w:id="31"/>
      <w:bookmarkEnd w:id="32"/>
      <w:bookmarkEnd w:id="33"/>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称：新疆宏成润和工程管理有限公司　　</w:t>
      </w:r>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址：新疆博州博乐市南城区街道五台路龙文水岸花苑小区2号楼2层02号门面房　　</w:t>
      </w:r>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联系人：刘蕾             </w:t>
      </w:r>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  话：18742681321　　　                       　</w:t>
      </w:r>
    </w:p>
    <w:p>
      <w:pPr>
        <w:spacing w:line="4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spacing w:line="400" w:lineRule="exact"/>
        <w:ind w:firstLine="840" w:firstLineChars="300"/>
        <w:rPr>
          <w:rFonts w:hint="eastAsia" w:asciiTheme="minorEastAsia" w:hAnsiTheme="minorEastAsia" w:eastAsiaTheme="minorEastAsia" w:cstheme="minorEastAsia"/>
          <w:sz w:val="22"/>
          <w:szCs w:val="28"/>
        </w:rPr>
      </w:pPr>
      <w:r>
        <w:rPr>
          <w:rFonts w:hint="eastAsia" w:asciiTheme="minorEastAsia" w:hAnsiTheme="minorEastAsia" w:eastAsiaTheme="minorEastAsia" w:cstheme="minorEastAsia"/>
          <w:sz w:val="28"/>
          <w:szCs w:val="28"/>
          <w:lang w:val="zh-CN"/>
        </w:rPr>
        <w:t>　　</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2"/>
          <w:szCs w:val="21"/>
        </w:rPr>
      </w:pPr>
    </w:p>
    <w:p>
      <w:pPr>
        <w:ind w:firstLine="594" w:firstLineChars="270"/>
        <w:rPr>
          <w:rFonts w:hint="eastAsia" w:asciiTheme="minorEastAsia" w:hAnsiTheme="minorEastAsia" w:eastAsiaTheme="minorEastAsia" w:cstheme="minorEastAsia"/>
          <w:sz w:val="22"/>
          <w:szCs w:val="22"/>
        </w:rPr>
      </w:pPr>
    </w:p>
    <w:p>
      <w:pPr>
        <w:rPr>
          <w:rFonts w:hint="eastAsia" w:asciiTheme="minorEastAsia" w:hAnsiTheme="minorEastAsia" w:eastAsiaTheme="minorEastAsia" w:cstheme="minorEastAsia"/>
          <w:sz w:val="36"/>
          <w:szCs w:val="36"/>
        </w:rPr>
      </w:pPr>
      <w:bookmarkStart w:id="34" w:name="_Toc25003"/>
      <w:bookmarkStart w:id="35" w:name="_Toc12532071"/>
      <w:bookmarkStart w:id="36" w:name="_Toc9092_WPSOffice_Level1"/>
      <w:r>
        <w:rPr>
          <w:rFonts w:hint="eastAsia" w:asciiTheme="minorEastAsia" w:hAnsiTheme="minorEastAsia" w:eastAsiaTheme="minorEastAsia" w:cstheme="minorEastAsia"/>
          <w:sz w:val="36"/>
          <w:szCs w:val="36"/>
        </w:rPr>
        <w:br w:type="page"/>
      </w:r>
    </w:p>
    <w:p>
      <w:pPr>
        <w:pStyle w:val="3"/>
        <w:spacing w:line="400" w:lineRule="atLeast"/>
        <w:ind w:left="0" w:firstLine="0"/>
        <w:jc w:val="center"/>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36"/>
          <w:szCs w:val="36"/>
        </w:rPr>
        <w:t>第二部分供应商须知</w:t>
      </w:r>
      <w:bookmarkEnd w:id="34"/>
      <w:bookmarkEnd w:id="35"/>
      <w:bookmarkEnd w:id="36"/>
    </w:p>
    <w:p>
      <w:pPr>
        <w:pStyle w:val="4"/>
        <w:spacing w:before="0" w:after="100" w:afterAutospacing="1" w:line="400" w:lineRule="atLeast"/>
        <w:jc w:val="center"/>
        <w:rPr>
          <w:rFonts w:hint="eastAsia" w:asciiTheme="minorEastAsia" w:hAnsiTheme="minorEastAsia" w:eastAsiaTheme="minorEastAsia" w:cstheme="minorEastAsia"/>
          <w:sz w:val="32"/>
          <w:szCs w:val="32"/>
        </w:rPr>
      </w:pPr>
      <w:bookmarkStart w:id="37" w:name="_Toc12532072"/>
      <w:bookmarkStart w:id="38" w:name="_Toc267301281"/>
      <w:bookmarkStart w:id="39" w:name="_Toc349637919"/>
      <w:bookmarkStart w:id="40" w:name="_Toc9171"/>
      <w:bookmarkStart w:id="41" w:name="_Toc298240404"/>
      <w:bookmarkStart w:id="42" w:name="_Toc349573120"/>
      <w:bookmarkStart w:id="43" w:name="_Toc10287"/>
      <w:r>
        <w:rPr>
          <w:rFonts w:hint="eastAsia" w:asciiTheme="minorEastAsia" w:hAnsiTheme="minorEastAsia" w:eastAsiaTheme="minorEastAsia" w:cstheme="minorEastAsia"/>
          <w:sz w:val="32"/>
          <w:szCs w:val="32"/>
        </w:rPr>
        <w:t>供应商须知附表</w:t>
      </w:r>
      <w:bookmarkEnd w:id="37"/>
      <w:bookmarkEnd w:id="38"/>
      <w:bookmarkEnd w:id="39"/>
      <w:bookmarkEnd w:id="40"/>
      <w:bookmarkEnd w:id="41"/>
      <w:bookmarkEnd w:id="42"/>
      <w:bookmarkEnd w:id="43"/>
    </w:p>
    <w:tbl>
      <w:tblPr>
        <w:tblStyle w:val="19"/>
        <w:tblW w:w="99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6"/>
        <w:gridCol w:w="1526"/>
        <w:gridCol w:w="76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6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博州林业和草原局无人机航空巡护项目</w:t>
            </w:r>
          </w:p>
          <w:p>
            <w:pPr>
              <w:spacing w:line="42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lang w:eastAsia="zh-CN"/>
              </w:rPr>
              <w:t>HCRHCS2022-011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招标人名称：</w:t>
            </w:r>
            <w:r>
              <w:rPr>
                <w:rFonts w:hint="eastAsia" w:asciiTheme="minorEastAsia" w:hAnsiTheme="minorEastAsia" w:eastAsiaTheme="minorEastAsia" w:cstheme="minorEastAsia"/>
                <w:sz w:val="28"/>
                <w:szCs w:val="28"/>
                <w:lang w:eastAsia="zh-CN"/>
              </w:rPr>
              <w:t>博尔塔拉蒙古自治州林业和草原局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招标代理机构名称：</w:t>
            </w:r>
            <w:r>
              <w:rPr>
                <w:rFonts w:hint="eastAsia" w:asciiTheme="minorEastAsia" w:hAnsiTheme="minorEastAsia" w:eastAsiaTheme="minorEastAsia" w:cstheme="minorEastAsia"/>
                <w:sz w:val="28"/>
                <w:szCs w:val="28"/>
                <w:lang w:eastAsia="zh-CN"/>
              </w:rPr>
              <w:t xml:space="preserve">新疆宏成润和工程管理有限公司 </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单位地址：新疆博州博乐市南城区街道五台路龙文水岸花苑小区2号楼2层02号门面房　　</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电话</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18742681321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磋商响应有效期：</w:t>
            </w:r>
            <w:r>
              <w:rPr>
                <w:rFonts w:hint="eastAsia" w:asciiTheme="minorEastAsia" w:hAnsiTheme="minorEastAsia" w:eastAsiaTheme="minorEastAsia" w:cstheme="minorEastAsia"/>
                <w:sz w:val="28"/>
                <w:szCs w:val="28"/>
                <w:lang w:val="en-US" w:eastAsia="zh-CN"/>
              </w:rPr>
              <w:t>45</w:t>
            </w:r>
            <w:r>
              <w:rPr>
                <w:rFonts w:hint="eastAsia" w:asciiTheme="minorEastAsia" w:hAnsiTheme="minorEastAsia" w:eastAsiaTheme="minorEastAsia" w:cstheme="minorEastAsia"/>
                <w:sz w:val="28"/>
                <w:szCs w:val="28"/>
              </w:rPr>
              <w:t>天（如不满足将导致废标）</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磋商保证金有效期应当与磋商响应有效期一致。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磋商内容：</w:t>
            </w:r>
            <w:r>
              <w:rPr>
                <w:rFonts w:hint="eastAsia" w:asciiTheme="minorEastAsia" w:hAnsiTheme="minorEastAsia" w:eastAsiaTheme="minorEastAsia" w:cstheme="minorEastAsia"/>
                <w:color w:val="auto"/>
                <w:sz w:val="28"/>
                <w:szCs w:val="28"/>
                <w:lang w:eastAsia="zh-CN"/>
              </w:rPr>
              <w:t>需租赁取得民用无人驾驶航空器经营许可证的无人机公司垂直起降固定翼无人 机、多旋翼无人机各1架，飞行小时575小时以上，巡护面积500万 亩，巡护区域：甘家湖、艾比湖、精河、三台、哈夏、哈日图热格、博尔塔拉河谷林 区等重点林区。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项目控制价：</w:t>
            </w:r>
            <w:r>
              <w:rPr>
                <w:rFonts w:hint="eastAsia" w:asciiTheme="minorEastAsia" w:hAnsiTheme="minorEastAsia" w:eastAsiaTheme="minorEastAsia" w:cstheme="minorEastAsia"/>
                <w:kern w:val="2"/>
                <w:sz w:val="28"/>
                <w:szCs w:val="28"/>
                <w:lang w:val="en-US" w:eastAsia="zh-CN" w:bidi="ar-SA"/>
              </w:rPr>
              <w:t>1875000</w:t>
            </w:r>
            <w:bookmarkStart w:id="244" w:name="_GoBack"/>
            <w:bookmarkEnd w:id="244"/>
            <w:r>
              <w:rPr>
                <w:rFonts w:hint="eastAsia" w:asciiTheme="minorEastAsia" w:hAnsiTheme="minorEastAsia" w:eastAsiaTheme="minorEastAsia" w:cstheme="minorEastAsia"/>
                <w:sz w:val="28"/>
                <w:szCs w:val="28"/>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96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磋商响应文件的编制和递交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hint="eastAsia" w:asciiTheme="minorEastAsia" w:hAnsiTheme="minorEastAsia" w:eastAsiaTheme="minorEastAsia" w:cstheme="minorEastAsia"/>
                <w:spacing w:val="8"/>
                <w:sz w:val="28"/>
                <w:szCs w:val="28"/>
              </w:rPr>
            </w:pPr>
            <w:r>
              <w:rPr>
                <w:rFonts w:hint="eastAsia" w:asciiTheme="minorEastAsia" w:hAnsiTheme="minorEastAsia" w:eastAsiaTheme="minorEastAsia" w:cstheme="minorEastAsia"/>
                <w:spacing w:val="8"/>
                <w:sz w:val="28"/>
                <w:szCs w:val="28"/>
              </w:rPr>
              <w:t>9</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供</w:t>
            </w:r>
            <w:r>
              <w:rPr>
                <w:rFonts w:hint="eastAsia" w:asciiTheme="minorEastAsia" w:hAnsiTheme="minorEastAsia" w:eastAsiaTheme="minorEastAsia" w:cstheme="minorEastAsia"/>
                <w:sz w:val="28"/>
                <w:szCs w:val="28"/>
              </w:rPr>
              <w:t>应商资格标准：</w:t>
            </w:r>
          </w:p>
          <w:p>
            <w:pPr>
              <w:pStyle w:val="18"/>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1.投标人须符合《政府采购法》第二十二条规定条件；</w:t>
            </w:r>
          </w:p>
          <w:p>
            <w:pPr>
              <w:pStyle w:val="18"/>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2.提供具有企业法人营业执照（副本原件或复印机加盖公章）；</w:t>
            </w:r>
          </w:p>
          <w:p>
            <w:pPr>
              <w:pStyle w:val="18"/>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3.法人授权委托书（原件），被授权人身份证或法人身份证（投标代表为法人时）（原件）；</w:t>
            </w:r>
          </w:p>
          <w:p>
            <w:pPr>
              <w:pStyle w:val="18"/>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color w:val="auto"/>
                <w:sz w:val="28"/>
                <w:szCs w:val="28"/>
                <w:lang w:val="zh-CN" w:eastAsia="zh-CN"/>
              </w:rPr>
            </w:pPr>
            <w:r>
              <w:rPr>
                <w:rFonts w:hint="eastAsia" w:asciiTheme="minorEastAsia" w:hAnsiTheme="minorEastAsia" w:eastAsiaTheme="minorEastAsia" w:cstheme="minorEastAsia"/>
                <w:sz w:val="28"/>
                <w:szCs w:val="28"/>
                <w:lang w:val="zh-CN" w:eastAsia="zh-CN"/>
              </w:rPr>
              <w:t>4</w:t>
            </w:r>
            <w:r>
              <w:rPr>
                <w:rFonts w:hint="eastAsia" w:asciiTheme="minorEastAsia" w:hAnsiTheme="minorEastAsia" w:eastAsiaTheme="minorEastAsia" w:cstheme="minorEastAsia"/>
                <w:color w:val="0000FF"/>
                <w:sz w:val="28"/>
                <w:szCs w:val="28"/>
                <w:lang w:val="zh-CN" w:eastAsia="zh-CN"/>
              </w:rPr>
              <w:t>.</w:t>
            </w:r>
            <w:r>
              <w:rPr>
                <w:rFonts w:hint="eastAsia" w:asciiTheme="minorEastAsia" w:hAnsiTheme="minorEastAsia" w:eastAsiaTheme="minorEastAsia" w:cstheme="minorEastAsia"/>
                <w:color w:val="auto"/>
                <w:sz w:val="28"/>
                <w:szCs w:val="28"/>
                <w:lang w:val="zh-CN" w:eastAsia="zh-CN"/>
              </w:rPr>
              <w:t>有效期内的《通用航空企业经营许可证》（副本原件或复印机加盖公章）；</w:t>
            </w:r>
          </w:p>
          <w:p>
            <w:pPr>
              <w:pStyle w:val="18"/>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lang w:val="zh-CN" w:eastAsia="zh-CN"/>
              </w:rPr>
              <w:t>.上年度财务审计报告或具有良好财务状况的承诺(</w:t>
            </w:r>
            <w:r>
              <w:rPr>
                <w:rFonts w:hint="eastAsia" w:asciiTheme="minorEastAsia" w:hAnsiTheme="minorEastAsia" w:eastAsiaTheme="minorEastAsia" w:cstheme="minorEastAsia"/>
                <w:sz w:val="28"/>
                <w:szCs w:val="28"/>
                <w:lang w:val="zh-CN" w:eastAsia="zh-CN"/>
              </w:rPr>
              <w:t>新成立的公司需提供银行资信证明）；</w:t>
            </w:r>
          </w:p>
          <w:p>
            <w:pPr>
              <w:pStyle w:val="18"/>
              <w:keepNext w:val="0"/>
              <w:keepLines w:val="0"/>
              <w:widowControl/>
              <w:suppressLineNumbers w:val="0"/>
              <w:spacing w:before="75" w:beforeAutospacing="0" w:after="75" w:afterAutospacing="0" w:line="300" w:lineRule="atLeast"/>
              <w:ind w:right="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val="zh-CN" w:eastAsia="zh-CN"/>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spacing w:line="420" w:lineRule="exact"/>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sz w:val="28"/>
                <w:szCs w:val="28"/>
              </w:rPr>
              <w:t>*注：以上资格条</w:t>
            </w:r>
            <w:r>
              <w:rPr>
                <w:rFonts w:hint="eastAsia" w:asciiTheme="minorEastAsia" w:hAnsiTheme="minorEastAsia" w:eastAsiaTheme="minorEastAsia" w:cstheme="minorEastAsia"/>
                <w:bCs/>
                <w:sz w:val="28"/>
                <w:szCs w:val="28"/>
              </w:rPr>
              <w:t>件供应商必须满足，否则将取消其投标资格。</w:t>
            </w:r>
          </w:p>
          <w:p>
            <w:pPr>
              <w:tabs>
                <w:tab w:val="left" w:pos="252"/>
                <w:tab w:val="left" w:pos="671"/>
              </w:tabs>
              <w:spacing w:line="420" w:lineRule="exact"/>
              <w:rPr>
                <w:rFonts w:hint="eastAsia" w:asciiTheme="minorEastAsia" w:hAnsiTheme="minorEastAsia" w:eastAsiaTheme="minorEastAsia" w:cstheme="minorEastAsia"/>
                <w:b/>
                <w:spacing w:val="8"/>
                <w:sz w:val="28"/>
                <w:szCs w:val="28"/>
              </w:rPr>
            </w:pPr>
            <w:r>
              <w:rPr>
                <w:rFonts w:hint="eastAsia" w:asciiTheme="minorEastAsia" w:hAnsiTheme="minorEastAsia" w:eastAsiaTheme="minorEastAsia" w:cstheme="minorEastAsia"/>
                <w:bCs/>
                <w:sz w:val="28"/>
                <w:szCs w:val="21"/>
              </w:rPr>
              <w:t>业主方保留对报名供应商实际情况考察的权利。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磋商响应文件：一套正本，</w:t>
            </w: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套副本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磋商响应文件以密封形式递交至：请使用移动CA数字证书或CA数字证书登录博州公共资源交易平台http://xzfw.xjboz.gov.cn/网上递交加密文件</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磋商响应文件递交截止时间：</w:t>
            </w: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8</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29</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u w:val="single"/>
              </w:rPr>
              <w:t xml:space="preserve"> 1</w:t>
            </w:r>
            <w:r>
              <w:rPr>
                <w:rFonts w:hint="eastAsia" w:asciiTheme="minorEastAsia" w:hAnsiTheme="minorEastAsia" w:eastAsiaTheme="minorEastAsia" w:cstheme="minorEastAsia"/>
                <w:color w:val="auto"/>
                <w:sz w:val="28"/>
                <w:szCs w:val="28"/>
                <w:u w:val="single"/>
                <w:lang w:val="en-US" w:eastAsia="zh-CN"/>
              </w:rPr>
              <w:t>1</w:t>
            </w:r>
            <w:r>
              <w:rPr>
                <w:rFonts w:hint="eastAsia" w:asciiTheme="minorEastAsia" w:hAnsiTheme="minorEastAsia" w:eastAsiaTheme="minorEastAsia" w:cstheme="minorEastAsia"/>
                <w:color w:val="auto"/>
                <w:sz w:val="28"/>
                <w:szCs w:val="28"/>
                <w:u w:val="single"/>
              </w:rPr>
              <w:t>：</w:t>
            </w:r>
            <w:r>
              <w:rPr>
                <w:rFonts w:hint="eastAsia" w:asciiTheme="minorEastAsia" w:hAnsiTheme="minorEastAsia" w:eastAsiaTheme="minorEastAsia" w:cstheme="minorEastAsia"/>
                <w:color w:val="auto"/>
                <w:sz w:val="28"/>
                <w:szCs w:val="28"/>
                <w:u w:val="single"/>
                <w:lang w:val="en-US" w:eastAsia="zh-CN"/>
              </w:rPr>
              <w:t>0</w:t>
            </w:r>
            <w:r>
              <w:rPr>
                <w:rFonts w:hint="eastAsia" w:asciiTheme="minorEastAsia" w:hAnsiTheme="minorEastAsia" w:eastAsiaTheme="minorEastAsia" w:cstheme="minorEastAsia"/>
                <w:color w:val="auto"/>
                <w:sz w:val="28"/>
                <w:szCs w:val="28"/>
                <w:u w:val="single"/>
              </w:rPr>
              <w:t xml:space="preserve">0 </w:t>
            </w:r>
            <w:r>
              <w:rPr>
                <w:rFonts w:hint="eastAsia" w:asciiTheme="minorEastAsia" w:hAnsiTheme="minorEastAsia" w:eastAsiaTheme="minorEastAsia" w:cstheme="minorEastAsia"/>
                <w:color w:val="auto"/>
                <w:sz w:val="28"/>
                <w:szCs w:val="28"/>
              </w:rPr>
              <w:t>时（</w:t>
            </w:r>
            <w:r>
              <w:rPr>
                <w:rFonts w:hint="eastAsia" w:asciiTheme="minorEastAsia" w:hAnsiTheme="minorEastAsia" w:eastAsiaTheme="minorEastAsia" w:cstheme="minorEastAsia"/>
                <w:sz w:val="28"/>
                <w:szCs w:val="28"/>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磋商日期：</w:t>
            </w: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8</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29</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u w:val="single"/>
              </w:rPr>
              <w:t>1</w:t>
            </w:r>
            <w:r>
              <w:rPr>
                <w:rFonts w:hint="eastAsia" w:asciiTheme="minorEastAsia" w:hAnsiTheme="minorEastAsia" w:eastAsiaTheme="minorEastAsia" w:cstheme="minorEastAsia"/>
                <w:color w:val="auto"/>
                <w:sz w:val="28"/>
                <w:szCs w:val="28"/>
                <w:u w:val="single"/>
                <w:lang w:val="en-US" w:eastAsia="zh-CN"/>
              </w:rPr>
              <w:t>1</w:t>
            </w:r>
            <w:r>
              <w:rPr>
                <w:rFonts w:hint="eastAsia" w:asciiTheme="minorEastAsia" w:hAnsiTheme="minorEastAsia" w:eastAsiaTheme="minorEastAsia" w:cstheme="minorEastAsia"/>
                <w:color w:val="auto"/>
                <w:sz w:val="28"/>
                <w:szCs w:val="28"/>
                <w:u w:val="single"/>
              </w:rPr>
              <w:t>：</w:t>
            </w:r>
            <w:r>
              <w:rPr>
                <w:rFonts w:hint="eastAsia" w:asciiTheme="minorEastAsia" w:hAnsiTheme="minorEastAsia" w:eastAsiaTheme="minorEastAsia" w:cstheme="minorEastAsia"/>
                <w:color w:val="auto"/>
                <w:sz w:val="28"/>
                <w:szCs w:val="28"/>
                <w:u w:val="single"/>
                <w:lang w:val="en-US" w:eastAsia="zh-CN"/>
              </w:rPr>
              <w:t>0</w:t>
            </w:r>
            <w:r>
              <w:rPr>
                <w:rFonts w:hint="eastAsia" w:asciiTheme="minorEastAsia" w:hAnsiTheme="minorEastAsia" w:eastAsiaTheme="minorEastAsia" w:cstheme="minorEastAsia"/>
                <w:color w:val="auto"/>
                <w:sz w:val="28"/>
                <w:szCs w:val="28"/>
                <w:u w:val="single"/>
              </w:rPr>
              <w:t>0</w:t>
            </w:r>
            <w:r>
              <w:rPr>
                <w:rFonts w:hint="eastAsia" w:asciiTheme="minorEastAsia" w:hAnsiTheme="minorEastAsia" w:eastAsiaTheme="minorEastAsia" w:cstheme="minorEastAsia"/>
                <w:color w:val="auto"/>
                <w:sz w:val="28"/>
                <w:szCs w:val="28"/>
              </w:rPr>
              <w:t>时</w:t>
            </w:r>
            <w:r>
              <w:rPr>
                <w:rFonts w:hint="eastAsia" w:asciiTheme="minorEastAsia" w:hAnsiTheme="minorEastAsia" w:eastAsiaTheme="minorEastAsia" w:cstheme="minorEastAsia"/>
                <w:color w:val="FF0000"/>
                <w:sz w:val="28"/>
                <w:szCs w:val="28"/>
              </w:rPr>
              <w:t>（</w:t>
            </w:r>
            <w:r>
              <w:rPr>
                <w:rFonts w:hint="eastAsia" w:asciiTheme="minorEastAsia" w:hAnsiTheme="minorEastAsia" w:eastAsiaTheme="minorEastAsia" w:cstheme="minorEastAsia"/>
                <w:sz w:val="28"/>
                <w:szCs w:val="28"/>
              </w:rPr>
              <w:t>北京时间）</w:t>
            </w:r>
          </w:p>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磋商地点：博州公共资源交易中心三楼（新疆博乐市锦绣路6号）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p>
        </w:tc>
        <w:tc>
          <w:tcPr>
            <w:tcW w:w="9137"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公示期1个工作日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w:t>
            </w:r>
          </w:p>
        </w:tc>
        <w:tc>
          <w:tcPr>
            <w:tcW w:w="152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开标查验</w:t>
            </w:r>
          </w:p>
        </w:tc>
        <w:tc>
          <w:tcPr>
            <w:tcW w:w="761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供应商代表随身携带一份法人代表授权委托书及有效身份证明；营业执照</w:t>
            </w:r>
            <w:r>
              <w:rPr>
                <w:rFonts w:hint="eastAsia" w:asciiTheme="minorEastAsia" w:hAnsiTheme="minorEastAsia" w:eastAsiaTheme="minorEastAsia" w:cstheme="minorEastAsia"/>
                <w:sz w:val="28"/>
                <w:szCs w:val="28"/>
                <w:lang w:eastAsia="zh-CN"/>
              </w:rPr>
              <w:t>（原件或复印件加盖公章）</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1"/>
              </w:rPr>
              <w:t>《通用航空企业经营许可证》</w:t>
            </w:r>
            <w:r>
              <w:rPr>
                <w:rFonts w:hint="eastAsia" w:asciiTheme="minorEastAsia" w:hAnsiTheme="minorEastAsia" w:eastAsiaTheme="minorEastAsia" w:cstheme="minorEastAsia"/>
                <w:sz w:val="28"/>
                <w:szCs w:val="28"/>
                <w:lang w:eastAsia="zh-CN"/>
              </w:rPr>
              <w:t>（原件或复印件加盖公章）</w:t>
            </w:r>
            <w:r>
              <w:rPr>
                <w:rFonts w:hint="eastAsia" w:asciiTheme="minorEastAsia" w:hAnsiTheme="minorEastAsia" w:eastAsiaTheme="minorEastAsia" w:cstheme="minorEastAsia"/>
                <w:sz w:val="28"/>
                <w:szCs w:val="28"/>
                <w:lang w:val="zh-CN" w:eastAsia="zh-CN"/>
              </w:rPr>
              <w:t>、上年度财务审计报告或具有良好财务状况的承诺(新成立的公司需提供银行资信证明）、</w:t>
            </w:r>
            <w:r>
              <w:rPr>
                <w:rFonts w:hint="eastAsia" w:asciiTheme="minorEastAsia" w:hAnsiTheme="minorEastAsia" w:eastAsiaTheme="minorEastAsia" w:cstheme="minorEastAsia"/>
                <w:sz w:val="28"/>
                <w:szCs w:val="28"/>
              </w:rPr>
              <w:t>信用中国和中国政府采购网网页打印件，于磋商响应文件递交截止时间前到达开标现场以备查验。否则整个磋商响应文件将被视为不响应磋商文件，而予以拒绝评审。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w:t>
            </w:r>
          </w:p>
        </w:tc>
        <w:tc>
          <w:tcPr>
            <w:tcW w:w="152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w:t>
            </w:r>
          </w:p>
        </w:tc>
        <w:tc>
          <w:tcPr>
            <w:tcW w:w="761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以跟甲方签订的合同为准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w:t>
            </w: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磋商轮数和最后报价的其他要求</w:t>
            </w:r>
          </w:p>
        </w:tc>
        <w:tc>
          <w:tcPr>
            <w:tcW w:w="7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rPr>
                <w:rFonts w:hint="eastAsia" w:asciiTheme="minorEastAsia" w:hAnsiTheme="minorEastAsia" w:eastAsiaTheme="minorEastAsia" w:cstheme="minorEastAsia"/>
                <w:bCs/>
                <w:kern w:val="0"/>
                <w:sz w:val="28"/>
                <w:szCs w:val="28"/>
                <w:lang w:val="zh-CN"/>
              </w:rPr>
            </w:pPr>
            <w:r>
              <w:rPr>
                <w:rFonts w:hint="eastAsia" w:asciiTheme="minorEastAsia" w:hAnsiTheme="minorEastAsia" w:eastAsiaTheme="minorEastAsia" w:cstheme="minorEastAsia"/>
                <w:bCs/>
                <w:kern w:val="0"/>
                <w:sz w:val="28"/>
                <w:szCs w:val="28"/>
                <w:lang w:val="zh-CN"/>
              </w:rPr>
              <w:t>1、磋商轮数:二次或二次以上；</w:t>
            </w:r>
          </w:p>
          <w:p>
            <w:pPr>
              <w:autoSpaceDE w:val="0"/>
              <w:autoSpaceDN w:val="0"/>
              <w:adjustRightInd w:val="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kern w:val="0"/>
                <w:sz w:val="28"/>
                <w:szCs w:val="28"/>
                <w:lang w:val="zh-CN"/>
              </w:rPr>
              <w:t>2、最后一轮磋商结束后，所有仍在参加磋商的供应商按照磋商小组的要求做最后报价（含修正的响应文件，如有），最后报价由其</w:t>
            </w:r>
            <w:r>
              <w:rPr>
                <w:rFonts w:hint="eastAsia" w:asciiTheme="minorEastAsia" w:hAnsiTheme="minorEastAsia" w:eastAsiaTheme="minorEastAsia" w:cstheme="minorEastAsia"/>
                <w:bCs/>
                <w:sz w:val="28"/>
                <w:szCs w:val="28"/>
              </w:rPr>
              <w:t>法定代表人或其授权代表签字后密封递交给采购代理机构。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kern w:val="0"/>
                <w:sz w:val="28"/>
                <w:szCs w:val="28"/>
                <w:lang w:val="zh-CN"/>
              </w:rPr>
              <w:t>3、最后报价的递交地点、公布地点同开标地点，并在所有参加磋商的供应商见证下统一集中收缴，逐一展示、公布和登记报价，</w:t>
            </w:r>
            <w:r>
              <w:rPr>
                <w:rFonts w:hint="eastAsia" w:asciiTheme="minorEastAsia" w:hAnsiTheme="minorEastAsia" w:eastAsiaTheme="minorEastAsia" w:cstheme="minorEastAsia"/>
                <w:bCs/>
                <w:sz w:val="28"/>
                <w:szCs w:val="28"/>
              </w:rPr>
              <w:t>并由供应商代表签字确认以示公开。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w:t>
            </w:r>
          </w:p>
        </w:tc>
        <w:tc>
          <w:tcPr>
            <w:tcW w:w="152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质保金</w:t>
            </w:r>
          </w:p>
        </w:tc>
        <w:tc>
          <w:tcPr>
            <w:tcW w:w="76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0000FF"/>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w:t>
            </w:r>
          </w:p>
        </w:tc>
        <w:tc>
          <w:tcPr>
            <w:tcW w:w="152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落实政策</w:t>
            </w:r>
          </w:p>
        </w:tc>
        <w:tc>
          <w:tcPr>
            <w:tcW w:w="76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政府采购政策功能落实：（1）本项目对小型和微型企业产品给予6%的扣除价格，用扣除后的价格参与评审。</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（2）供应商需按照采购文件的要求提供相应的《企业声明函》。</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（3）企业标准请参照《关于印发中小企业划型标准规定的通知》（工信部联企业[2011]300号）文件规定自行填写。</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2、残疾人福利单位价格扣除</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（1）本项目对残疾人福利性单位视同小型、微型企业，给予6%的价格扣除，用扣除后的价格参与评审。</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（2）残疾人福利单位需按照采购文件的要求提供《残疾人福利性单位声明函》。</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（3）残疾人福利单位标准请参照《关于促进残疾人就业政府采购政策的通知》（财库〔2017〕141号）。</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3、监狱和戒毒企业价格扣除</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（1）本项目对监狱和戒毒企业（简称监狱企业）视同小型、微型企业，给予6%的价格扣除，用扣除后的价格参与评审。</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（2）监狱企业参加政府采购活动时，需提供由省级以上监狱管理局、戒毒管理局(含新疆生产建设兵团)出具的属于监狱企业的证明文件。供应商如不提供上述证明文件，价格将不做相应扣除。</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（3）监狱企业标准请参照《关于政府采购支持监狱企业发展有关问题的通知》（财库[2014]68号）。</w:t>
            </w:r>
          </w:p>
          <w:p>
            <w:pPr>
              <w:spacing w:line="4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4、残疾人福利单位、监狱企业属于小型、微型企业的，不重复享受政策。</w:t>
            </w:r>
          </w:p>
          <w:p>
            <w:pPr>
              <w:spacing w:line="420" w:lineRule="exact"/>
              <w:jc w:val="left"/>
              <w:rPr>
                <w:rFonts w:hint="eastAsia" w:asciiTheme="minorEastAsia" w:hAnsiTheme="minorEastAsia" w:eastAsiaTheme="minorEastAsia" w:cstheme="minorEastAsia"/>
                <w:sz w:val="22"/>
                <w:szCs w:val="22"/>
                <w:highlight w:val="yellow"/>
              </w:rPr>
            </w:pPr>
            <w:r>
              <w:rPr>
                <w:rFonts w:hint="eastAsia" w:asciiTheme="minorEastAsia" w:hAnsiTheme="minorEastAsia" w:eastAsiaTheme="minorEastAsia" w:cstheme="minorEastAsia"/>
                <w:sz w:val="28"/>
                <w:szCs w:val="28"/>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tc>
      </w:tr>
    </w:tbl>
    <w:p>
      <w:pPr>
        <w:pStyle w:val="4"/>
        <w:spacing w:before="100" w:beforeAutospacing="1" w:after="100" w:afterAutospacing="1" w:line="48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bookmarkStart w:id="44" w:name="_Toc298240405"/>
      <w:bookmarkStart w:id="45" w:name="_Toc9288"/>
      <w:bookmarkStart w:id="46" w:name="_Toc349637920"/>
      <w:bookmarkStart w:id="47" w:name="_Toc349573121"/>
      <w:bookmarkStart w:id="48" w:name="_Toc12532073"/>
      <w:bookmarkStart w:id="49" w:name="_Toc6313"/>
      <w:bookmarkStart w:id="50" w:name="_Toc267301282"/>
      <w:r>
        <w:rPr>
          <w:rFonts w:hint="eastAsia" w:asciiTheme="minorEastAsia" w:hAnsiTheme="minorEastAsia" w:eastAsiaTheme="minorEastAsia" w:cstheme="minorEastAsia"/>
          <w:sz w:val="32"/>
          <w:szCs w:val="32"/>
        </w:rPr>
        <w:t>A  说明</w:t>
      </w:r>
      <w:bookmarkEnd w:id="44"/>
      <w:bookmarkEnd w:id="45"/>
      <w:bookmarkEnd w:id="46"/>
      <w:bookmarkEnd w:id="47"/>
      <w:bookmarkEnd w:id="48"/>
      <w:bookmarkEnd w:id="49"/>
      <w:bookmarkEnd w:id="50"/>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 适用范围</w:t>
      </w:r>
    </w:p>
    <w:p>
      <w:pPr>
        <w:numPr>
          <w:ilvl w:val="1"/>
          <w:numId w:val="1"/>
        </w:num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本磋商文件仅适用于本次投标邀请中所叙述项目的货物及服务采购。</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2．定义</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2.1 “招标代理机构”系指</w:t>
      </w:r>
      <w:r>
        <w:rPr>
          <w:rFonts w:hint="eastAsia" w:asciiTheme="minorEastAsia" w:hAnsiTheme="minorEastAsia" w:eastAsiaTheme="minorEastAsia" w:cstheme="minorEastAsia"/>
          <w:sz w:val="28"/>
          <w:szCs w:val="28"/>
          <w:lang w:eastAsia="zh-CN"/>
        </w:rPr>
        <w:t xml:space="preserve">新疆宏成润和工程管理有限公司 </w:t>
      </w:r>
      <w:r>
        <w:rPr>
          <w:rFonts w:hint="eastAsia" w:asciiTheme="minorEastAsia" w:hAnsiTheme="minorEastAsia" w:eastAsiaTheme="minorEastAsia" w:cstheme="minorEastAsia"/>
          <w:sz w:val="28"/>
          <w:szCs w:val="21"/>
        </w:rPr>
        <w:t>；</w:t>
      </w:r>
    </w:p>
    <w:p>
      <w:pPr>
        <w:spacing w:line="420" w:lineRule="exact"/>
        <w:ind w:left="480" w:hanging="560" w:hangingChars="20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2.2 “买方”系指</w:t>
      </w:r>
      <w:r>
        <w:rPr>
          <w:rFonts w:hint="eastAsia" w:asciiTheme="minorEastAsia" w:hAnsiTheme="minorEastAsia" w:eastAsiaTheme="minorEastAsia" w:cstheme="minorEastAsia"/>
          <w:sz w:val="28"/>
          <w:szCs w:val="28"/>
          <w:lang w:eastAsia="zh-CN"/>
        </w:rPr>
        <w:t>博尔塔拉蒙古自治州林业和草原局</w:t>
      </w:r>
      <w:r>
        <w:rPr>
          <w:rFonts w:hint="eastAsia" w:asciiTheme="minorEastAsia" w:hAnsiTheme="minorEastAsia" w:eastAsiaTheme="minorEastAsia" w:cstheme="minorEastAsia"/>
          <w:sz w:val="28"/>
          <w:szCs w:val="21"/>
        </w:rPr>
        <w:t>；</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2.3 “</w:t>
      </w:r>
      <w:r>
        <w:rPr>
          <w:rFonts w:hint="eastAsia" w:asciiTheme="minorEastAsia" w:hAnsiTheme="minorEastAsia" w:eastAsiaTheme="minorEastAsia" w:cstheme="minorEastAsia"/>
          <w:sz w:val="28"/>
          <w:szCs w:val="28"/>
        </w:rPr>
        <w:t>磋商供应</w:t>
      </w:r>
      <w:r>
        <w:rPr>
          <w:rFonts w:hint="eastAsia" w:asciiTheme="minorEastAsia" w:hAnsiTheme="minorEastAsia" w:eastAsiaTheme="minorEastAsia" w:cstheme="minorEastAsia"/>
          <w:sz w:val="28"/>
          <w:szCs w:val="21"/>
        </w:rPr>
        <w:t>商”系指向招标代理机构提交</w:t>
      </w:r>
      <w:r>
        <w:rPr>
          <w:rFonts w:hint="eastAsia" w:asciiTheme="minorEastAsia" w:hAnsiTheme="minorEastAsia" w:eastAsiaTheme="minorEastAsia" w:cstheme="minorEastAsia"/>
          <w:sz w:val="28"/>
          <w:szCs w:val="28"/>
        </w:rPr>
        <w:t>磋商响应</w:t>
      </w:r>
      <w:r>
        <w:rPr>
          <w:rFonts w:hint="eastAsia" w:asciiTheme="minorEastAsia" w:hAnsiTheme="minorEastAsia" w:eastAsiaTheme="minorEastAsia" w:cstheme="minorEastAsia"/>
          <w:sz w:val="28"/>
          <w:szCs w:val="21"/>
        </w:rPr>
        <w:t>文件的制造商或代理商；</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2.4 “成交方”系指在本次项目中将被授予合同的供应商。</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3．合格的供应商：详见供应商须知前附表第9条。</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4．磋商费用</w:t>
      </w:r>
    </w:p>
    <w:p>
      <w:pPr>
        <w:spacing w:line="420" w:lineRule="exact"/>
        <w:ind w:left="480" w:hanging="48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4.1无论磋商过程中的作法和结果如何，供应商将自行承担所有与参加磋商有关的全部费用。</w:t>
      </w:r>
    </w:p>
    <w:p>
      <w:pPr>
        <w:spacing w:line="420" w:lineRule="exact"/>
        <w:ind w:left="480" w:hanging="480"/>
        <w:rPr>
          <w:rFonts w:hint="eastAsia" w:asciiTheme="minorEastAsia" w:hAnsiTheme="minorEastAsia" w:eastAsiaTheme="minorEastAsia" w:cstheme="minorEastAsia"/>
          <w:sz w:val="28"/>
          <w:szCs w:val="21"/>
        </w:rPr>
      </w:pPr>
    </w:p>
    <w:p>
      <w:pPr>
        <w:pStyle w:val="4"/>
        <w:spacing w:before="100" w:beforeAutospacing="1" w:after="100" w:afterAutospacing="1" w:line="420" w:lineRule="exact"/>
        <w:jc w:val="center"/>
        <w:rPr>
          <w:rFonts w:hint="eastAsia" w:asciiTheme="minorEastAsia" w:hAnsiTheme="minorEastAsia" w:eastAsiaTheme="minorEastAsia" w:cstheme="minorEastAsia"/>
          <w:sz w:val="32"/>
          <w:szCs w:val="32"/>
        </w:rPr>
      </w:pPr>
      <w:bookmarkStart w:id="51" w:name="_Toc349573122"/>
      <w:bookmarkStart w:id="52" w:name="_Toc12532074"/>
      <w:bookmarkStart w:id="53" w:name="_Toc298240406"/>
      <w:bookmarkStart w:id="54" w:name="_Toc267301283"/>
      <w:bookmarkStart w:id="55" w:name="_Toc10687"/>
      <w:bookmarkStart w:id="56" w:name="_Toc349637921"/>
      <w:bookmarkStart w:id="57" w:name="_Toc32342"/>
      <w:r>
        <w:rPr>
          <w:rFonts w:hint="eastAsia" w:asciiTheme="minorEastAsia" w:hAnsiTheme="minorEastAsia" w:eastAsiaTheme="minorEastAsia" w:cstheme="minorEastAsia"/>
          <w:sz w:val="32"/>
          <w:szCs w:val="32"/>
        </w:rPr>
        <w:t>B  磋商文件</w:t>
      </w:r>
      <w:bookmarkEnd w:id="51"/>
      <w:bookmarkEnd w:id="52"/>
      <w:bookmarkEnd w:id="53"/>
      <w:bookmarkEnd w:id="54"/>
      <w:bookmarkEnd w:id="55"/>
      <w:bookmarkEnd w:id="56"/>
      <w:bookmarkEnd w:id="57"/>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5．磋商文件构成</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5.1磋商文件包括：</w:t>
      </w:r>
    </w:p>
    <w:p>
      <w:pPr>
        <w:spacing w:line="420" w:lineRule="exact"/>
        <w:ind w:firstLine="24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⑴磋商</w:t>
      </w:r>
      <w:r>
        <w:rPr>
          <w:rFonts w:hint="eastAsia" w:asciiTheme="minorEastAsia" w:hAnsiTheme="minorEastAsia" w:eastAsiaTheme="minorEastAsia" w:cstheme="minorEastAsia"/>
          <w:sz w:val="28"/>
          <w:szCs w:val="21"/>
          <w:lang w:eastAsia="zh-CN"/>
        </w:rPr>
        <w:t>公告</w:t>
      </w:r>
      <w:r>
        <w:rPr>
          <w:rFonts w:hint="eastAsia" w:asciiTheme="minorEastAsia" w:hAnsiTheme="minorEastAsia" w:eastAsiaTheme="minorEastAsia" w:cstheme="minorEastAsia"/>
          <w:sz w:val="28"/>
          <w:szCs w:val="21"/>
        </w:rPr>
        <w:t>；</w:t>
      </w:r>
    </w:p>
    <w:p>
      <w:pPr>
        <w:spacing w:line="420" w:lineRule="exact"/>
        <w:ind w:firstLine="24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⑵供应商须知；</w:t>
      </w:r>
    </w:p>
    <w:p>
      <w:pPr>
        <w:spacing w:line="420" w:lineRule="exact"/>
        <w:ind w:firstLine="24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⑶技术要求；</w:t>
      </w:r>
    </w:p>
    <w:p>
      <w:pPr>
        <w:spacing w:line="420" w:lineRule="exact"/>
        <w:ind w:firstLine="24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⑷通用合同条款；</w:t>
      </w:r>
    </w:p>
    <w:p>
      <w:pPr>
        <w:spacing w:line="420" w:lineRule="exact"/>
        <w:ind w:firstLine="24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⑸范本格式；</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6.2 磋商文件以中文编写。</w:t>
      </w:r>
    </w:p>
    <w:p>
      <w:pPr>
        <w:spacing w:line="420" w:lineRule="exact"/>
        <w:ind w:left="360" w:hanging="420" w:hangingChars="15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7．磋商文件澄清</w:t>
      </w:r>
    </w:p>
    <w:p>
      <w:pPr>
        <w:spacing w:line="420" w:lineRule="exact"/>
        <w:ind w:left="480" w:hanging="48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7.1 供应商对磋商文件有疑问的，可以向招标代理机构提出询问，招标代理机构将及时做出答复；</w:t>
      </w:r>
    </w:p>
    <w:p>
      <w:pPr>
        <w:spacing w:line="420" w:lineRule="exact"/>
        <w:ind w:left="480" w:hanging="48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7.2 供应商对磋商文件有质疑，须在磋商响应文件</w:t>
      </w:r>
      <w:r>
        <w:rPr>
          <w:rFonts w:hint="eastAsia" w:asciiTheme="minorEastAsia" w:hAnsiTheme="minorEastAsia" w:eastAsiaTheme="minorEastAsia" w:cstheme="minorEastAsia"/>
          <w:sz w:val="28"/>
          <w:szCs w:val="28"/>
        </w:rPr>
        <w:t>递交截止时间5日以前，以书面形式向招标机构提出质疑；招标机构在收到书面质疑后尽快做</w:t>
      </w:r>
      <w:r>
        <w:rPr>
          <w:rFonts w:hint="eastAsia" w:asciiTheme="minorEastAsia" w:hAnsiTheme="minorEastAsia" w:eastAsiaTheme="minorEastAsia" w:cstheme="minorEastAsia"/>
          <w:sz w:val="28"/>
          <w:szCs w:val="21"/>
        </w:rPr>
        <w:t>出答复，并以书面形式通知质疑供应商。</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8.  磋商文件的修改</w:t>
      </w:r>
    </w:p>
    <w:p>
      <w:pPr>
        <w:spacing w:line="420" w:lineRule="exact"/>
        <w:ind w:left="480" w:hanging="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1"/>
        </w:rPr>
        <w:t>8.1 对磋商文件进行必要的修改，招标代理机</w:t>
      </w:r>
      <w:r>
        <w:rPr>
          <w:rFonts w:hint="eastAsia" w:asciiTheme="minorEastAsia" w:hAnsiTheme="minorEastAsia" w:eastAsiaTheme="minorEastAsia" w:cstheme="minorEastAsia"/>
          <w:sz w:val="28"/>
          <w:szCs w:val="28"/>
        </w:rPr>
        <w:t>构将在投标截止时间2日前以书面形式通知所有购买磋商文件的供应商。该修改的内容为磋商文件的组成部分；</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8.2 供应商在规定的时间内未对磋商文件提出澄清要求的，招标代理机构将视其为同意。</w:t>
      </w:r>
    </w:p>
    <w:p>
      <w:pPr>
        <w:spacing w:line="420" w:lineRule="exact"/>
        <w:ind w:left="480" w:hanging="48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8.3在投标截止时间前，招标机构可视具体情况延长磋商截止时间，并将变更时间书面通知所有购买磋商文件的供应商。</w:t>
      </w:r>
    </w:p>
    <w:p>
      <w:pPr>
        <w:pStyle w:val="4"/>
        <w:spacing w:before="100" w:beforeAutospacing="1" w:after="100" w:afterAutospacing="1" w:line="420" w:lineRule="exact"/>
        <w:jc w:val="center"/>
        <w:rPr>
          <w:rFonts w:hint="eastAsia" w:asciiTheme="minorEastAsia" w:hAnsiTheme="minorEastAsia" w:eastAsiaTheme="minorEastAsia" w:cstheme="minorEastAsia"/>
          <w:sz w:val="32"/>
          <w:szCs w:val="32"/>
        </w:rPr>
      </w:pPr>
      <w:bookmarkStart w:id="58" w:name="_Toc24175"/>
      <w:bookmarkStart w:id="59" w:name="_Toc298240407"/>
      <w:bookmarkStart w:id="60" w:name="_Toc349573123"/>
      <w:bookmarkStart w:id="61" w:name="_Toc267301284"/>
      <w:bookmarkStart w:id="62" w:name="_Toc5062"/>
      <w:bookmarkStart w:id="63" w:name="_Toc349637922"/>
      <w:bookmarkStart w:id="64" w:name="_Toc12532075"/>
      <w:r>
        <w:rPr>
          <w:rFonts w:hint="eastAsia" w:asciiTheme="minorEastAsia" w:hAnsiTheme="minorEastAsia" w:eastAsiaTheme="minorEastAsia" w:cstheme="minorEastAsia"/>
          <w:sz w:val="32"/>
          <w:szCs w:val="32"/>
        </w:rPr>
        <w:t>C  磋商响应文件的编写</w:t>
      </w:r>
      <w:bookmarkEnd w:id="58"/>
      <w:bookmarkEnd w:id="59"/>
      <w:bookmarkEnd w:id="60"/>
      <w:bookmarkEnd w:id="61"/>
      <w:bookmarkEnd w:id="62"/>
      <w:bookmarkEnd w:id="63"/>
      <w:bookmarkEnd w:id="64"/>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9．要求</w:t>
      </w:r>
    </w:p>
    <w:p>
      <w:pPr>
        <w:spacing w:line="420" w:lineRule="exact"/>
        <w:ind w:left="360" w:hanging="420" w:hangingChars="15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9.1 供应商应仔细阅读磋商文件的所有内容，按磋商文件的要求提供磋商响应文件，并保证所提供的全部资料的真实性，以使其磋商响应对磋商文件作出实质性响应，否则，其磋商可能被拒绝。</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10．磋商语言</w:t>
      </w:r>
    </w:p>
    <w:p>
      <w:pPr>
        <w:spacing w:line="420" w:lineRule="exact"/>
        <w:ind w:left="600" w:hanging="700" w:hangingChars="25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10.1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11．磋商响应文件的构成</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11.1 供应商编写的磋商响应文件应包括下列内容：</w:t>
      </w:r>
    </w:p>
    <w:p>
      <w:pPr>
        <w:spacing w:line="420" w:lineRule="exact"/>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t>11.1.1、磋商响应文件内容：</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rPr>
        <w:t>投标人企业简介[包括营业执照副本复印件、组织机构代码证副本复印件、税务登记证副本复印件（三证合一仅需提供三证合一的营业执照副本复印件）；</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rPr>
        <w:t>法定代表人授权委托书</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rPr>
        <w:t>开标一览表</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rPr>
        <w:t>分项报价表</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rPr>
        <w:t>承诺</w:t>
      </w:r>
      <w:r>
        <w:rPr>
          <w:rFonts w:hint="eastAsia" w:asciiTheme="minorEastAsia" w:hAnsiTheme="minorEastAsia" w:eastAsiaTheme="minorEastAsia" w:cstheme="minorEastAsia"/>
          <w:bCs/>
          <w:sz w:val="28"/>
          <w:szCs w:val="21"/>
          <w:lang w:eastAsia="zh-CN"/>
        </w:rPr>
        <w:t>书</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rPr>
        <w:t>企业实力（包括规模、综合实力、业绩等）；</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rPr>
        <w:t>类似业绩；</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4"/>
        </w:rPr>
      </w:pPr>
      <w:r>
        <w:rPr>
          <w:rFonts w:hint="eastAsia" w:asciiTheme="minorEastAsia" w:hAnsiTheme="minorEastAsia" w:eastAsiaTheme="minorEastAsia" w:cstheme="minorEastAsia"/>
          <w:bCs/>
          <w:sz w:val="28"/>
          <w:szCs w:val="24"/>
        </w:rPr>
        <w:t>所投货物的相关技术/证明资料；</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4"/>
        </w:rPr>
      </w:pPr>
      <w:r>
        <w:rPr>
          <w:rFonts w:hint="eastAsia" w:asciiTheme="minorEastAsia" w:hAnsiTheme="minorEastAsia" w:eastAsiaTheme="minorEastAsia" w:cstheme="minorEastAsia"/>
          <w:bCs/>
          <w:sz w:val="28"/>
          <w:szCs w:val="24"/>
        </w:rPr>
        <w:t>投标人工期承诺、售后服务承诺</w:t>
      </w:r>
      <w:r>
        <w:rPr>
          <w:rFonts w:hint="eastAsia" w:asciiTheme="minorEastAsia" w:hAnsiTheme="minorEastAsia" w:eastAsiaTheme="minorEastAsia" w:cstheme="minorEastAsia"/>
          <w:bCs/>
          <w:sz w:val="28"/>
          <w:szCs w:val="24"/>
          <w:lang w:eastAsia="zh-CN"/>
        </w:rPr>
        <w:t>、供货方案、培训方案</w:t>
      </w:r>
      <w:r>
        <w:rPr>
          <w:rFonts w:hint="eastAsia" w:asciiTheme="minorEastAsia" w:hAnsiTheme="minorEastAsia" w:eastAsiaTheme="minorEastAsia" w:cstheme="minorEastAsia"/>
          <w:bCs/>
          <w:sz w:val="28"/>
          <w:szCs w:val="24"/>
        </w:rPr>
        <w:t>等；</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4"/>
        </w:rPr>
      </w:pPr>
      <w:r>
        <w:rPr>
          <w:rFonts w:hint="eastAsia" w:asciiTheme="minorEastAsia" w:hAnsiTheme="minorEastAsia" w:eastAsiaTheme="minorEastAsia" w:cstheme="minorEastAsia"/>
          <w:bCs/>
          <w:sz w:val="28"/>
          <w:szCs w:val="24"/>
          <w:lang w:eastAsia="zh-CN"/>
        </w:rPr>
        <w:t>售后服务人员</w:t>
      </w:r>
      <w:r>
        <w:rPr>
          <w:rFonts w:hint="eastAsia" w:asciiTheme="minorEastAsia" w:hAnsiTheme="minorEastAsia" w:eastAsiaTheme="minorEastAsia" w:cstheme="minorEastAsia"/>
          <w:bCs/>
          <w:sz w:val="28"/>
          <w:szCs w:val="24"/>
        </w:rPr>
        <w:t>表</w:t>
      </w:r>
      <w:r>
        <w:rPr>
          <w:rFonts w:hint="eastAsia" w:asciiTheme="minorEastAsia" w:hAnsiTheme="minorEastAsia" w:eastAsiaTheme="minorEastAsia" w:cstheme="minorEastAsia"/>
          <w:bCs/>
          <w:sz w:val="28"/>
          <w:szCs w:val="24"/>
          <w:lang w:eastAsia="zh-CN"/>
        </w:rPr>
        <w:t>、培训人员</w:t>
      </w:r>
      <w:r>
        <w:rPr>
          <w:rFonts w:hint="eastAsia" w:asciiTheme="minorEastAsia" w:hAnsiTheme="minorEastAsia" w:eastAsiaTheme="minorEastAsia" w:cstheme="minorEastAsia"/>
          <w:bCs/>
          <w:sz w:val="28"/>
          <w:szCs w:val="24"/>
        </w:rPr>
        <w:t>一览表</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4"/>
        </w:rPr>
      </w:pPr>
      <w:r>
        <w:rPr>
          <w:rFonts w:hint="eastAsia" w:asciiTheme="minorEastAsia" w:hAnsiTheme="minorEastAsia" w:eastAsiaTheme="minorEastAsia" w:cstheme="minorEastAsia"/>
          <w:bCs/>
          <w:sz w:val="28"/>
          <w:szCs w:val="24"/>
          <w:lang w:eastAsia="zh-CN"/>
        </w:rPr>
        <w:t>技术偏离表、商务偏离表</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4"/>
        </w:rPr>
      </w:pPr>
      <w:r>
        <w:rPr>
          <w:rFonts w:hint="eastAsia" w:asciiTheme="minorEastAsia" w:hAnsiTheme="minorEastAsia" w:eastAsiaTheme="minorEastAsia" w:cstheme="minorEastAsia"/>
          <w:bCs/>
          <w:sz w:val="28"/>
          <w:szCs w:val="24"/>
        </w:rPr>
        <w:t>代理商提供投标产品生产厂商针对本项目的特许授权书；（复印件）</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4"/>
        </w:rPr>
      </w:pPr>
      <w:r>
        <w:rPr>
          <w:rFonts w:hint="eastAsia" w:asciiTheme="minorEastAsia" w:hAnsiTheme="minorEastAsia" w:eastAsiaTheme="minorEastAsia" w:cstheme="minorEastAsia"/>
          <w:sz w:val="28"/>
          <w:szCs w:val="21"/>
        </w:rPr>
        <w:t>招标文件货物需求及技术规格、合同特殊条款中要求提交的文件资料。</w:t>
      </w:r>
    </w:p>
    <w:p>
      <w:pPr>
        <w:numPr>
          <w:ilvl w:val="0"/>
          <w:numId w:val="2"/>
        </w:numPr>
        <w:spacing w:line="420" w:lineRule="exact"/>
        <w:ind w:left="-480" w:leftChars="0" w:firstLine="480" w:firstLineChars="0"/>
        <w:rPr>
          <w:rFonts w:hint="eastAsia" w:asciiTheme="minorEastAsia" w:hAnsiTheme="minorEastAsia" w:eastAsiaTheme="minorEastAsia" w:cstheme="minorEastAsia"/>
          <w:bCs/>
          <w:sz w:val="28"/>
          <w:szCs w:val="24"/>
        </w:rPr>
      </w:pPr>
      <w:r>
        <w:rPr>
          <w:rFonts w:hint="eastAsia" w:asciiTheme="minorEastAsia" w:hAnsiTheme="minorEastAsia" w:eastAsiaTheme="minorEastAsia" w:cstheme="minorEastAsia"/>
          <w:bCs/>
          <w:sz w:val="28"/>
          <w:szCs w:val="24"/>
        </w:rPr>
        <w:t>磋商文件规定及供应商认为需要提供的其他资料。</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11.2 供应商应将磋商响应文件装订成册，并填写文件资料清单。</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12．磋商响应文件格式</w:t>
      </w:r>
    </w:p>
    <w:p>
      <w:pPr>
        <w:spacing w:line="420" w:lineRule="exact"/>
        <w:ind w:left="600" w:hanging="700" w:hangingChars="25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12.1 供应商应按磋商文件的范本格式中提供的文件格式编制磋商响应文件。</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13．磋商报价</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13.1供应商应按附表格式提供分项报价表，如果供应商不提供分项报价，招标人将视为没有实质性响应磋商文件。</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13.2供应商应在磋商报价表上标明单价和总价。单价和总价要相符。小写和大写要相符。供应商应在磋商报价表中标明其提供的所有货物及其相关工作范围内所有费用的总价，不接受有任何选择性磋商报价。</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13.3算术性修正。算术性修正是指对磋商响应文件的报价明细进行校核，并对其算术上和运算上的差错给予修正。修正的原则如下：</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13.3.1 当以数字表示的金额与文字表示的金额有差异时，以文字表示的金额为准；</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13.3.2 当单价与数量相乘不等于合价时，以单价计算为准。如果单价有明显的小数点位置差错，应以标出的合价为准，同时对单价予以修正；</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13.3.3 当各明细部分的价格累计不等于合价时，应以各明细的累计计数为准，修正合价。</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13.3.4 按以上原则对算术性差错修正，应取得供应商的同意，并确认修正后最终磋商报价。如果供应商拒绝确认，则其磋商响应文件将不予以评审并按废标处理，没收其投标担保。</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14．磋商货币</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14.1人民币报价。</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15．供应商的证明文件：</w:t>
      </w:r>
    </w:p>
    <w:p>
      <w:pPr>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供应商必须提交证明其有资格进行磋商和有能力履行合同的文件（范本格式），作为磋商响应文件的一部分。</w:t>
      </w:r>
    </w:p>
    <w:p>
      <w:pPr>
        <w:spacing w:line="420" w:lineRule="exact"/>
        <w:ind w:firstLine="498" w:firstLineChars="177"/>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b/>
          <w:bCs/>
          <w:sz w:val="28"/>
          <w:szCs w:val="21"/>
        </w:rPr>
        <w:t>注：（</w:t>
      </w:r>
      <w:r>
        <w:rPr>
          <w:rFonts w:hint="eastAsia" w:asciiTheme="minorEastAsia" w:hAnsiTheme="minorEastAsia" w:eastAsiaTheme="minorEastAsia" w:cstheme="minorEastAsia"/>
          <w:b/>
          <w:sz w:val="28"/>
          <w:szCs w:val="21"/>
        </w:rPr>
        <w:t>1）磋商响应文件中，所有供应商签字、法人代表签字、法人代表授权人签字和其它签字处须同时加盖有关有法律效力的印章方为有效；</w:t>
      </w:r>
    </w:p>
    <w:p>
      <w:pPr>
        <w:numPr>
          <w:ilvl w:val="0"/>
          <w:numId w:val="3"/>
        </w:numPr>
        <w:spacing w:line="420" w:lineRule="exact"/>
        <w:ind w:firstLine="422" w:firstLineChars="150"/>
        <w:rPr>
          <w:rFonts w:hint="eastAsia" w:asciiTheme="minorEastAsia" w:hAnsiTheme="minorEastAsia" w:eastAsiaTheme="minorEastAsia" w:cstheme="minorEastAsia"/>
          <w:b/>
          <w:sz w:val="28"/>
          <w:szCs w:val="21"/>
        </w:rPr>
      </w:pPr>
      <w:r>
        <w:rPr>
          <w:rFonts w:hint="eastAsia" w:asciiTheme="minorEastAsia" w:hAnsiTheme="minorEastAsia" w:eastAsiaTheme="minorEastAsia" w:cstheme="minorEastAsia"/>
          <w:b/>
          <w:sz w:val="28"/>
          <w:szCs w:val="21"/>
        </w:rPr>
        <w:t>所有资格证明文件必须满足磋商文件要求，否则将导致废标。</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16符合磋商文件规定的技术响应文件</w:t>
      </w:r>
    </w:p>
    <w:p>
      <w:pPr>
        <w:adjustRightInd w:val="0"/>
        <w:spacing w:line="420" w:lineRule="exact"/>
        <w:ind w:left="540" w:hanging="630" w:hangingChars="225"/>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rPr>
        <w:t>16.1 供应商须提交证明拟供货物和服务符合磋商文件规定的技术磋商响应文件，作为磋商响应文件的一部分。</w:t>
      </w:r>
    </w:p>
    <w:p>
      <w:pPr>
        <w:adjustRightInd w:val="0"/>
        <w:spacing w:line="420" w:lineRule="exact"/>
        <w:ind w:left="540" w:hanging="630" w:hangingChars="225"/>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rPr>
        <w:t>16.2上述文件可以是文字资料、图纸和数据，并提供：</w:t>
      </w:r>
    </w:p>
    <w:p>
      <w:pPr>
        <w:adjustRightInd w:val="0"/>
        <w:spacing w:line="420" w:lineRule="exact"/>
        <w:ind w:firstLine="48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rPr>
        <w:t>（1）主要技术及性能特点的详细描述；</w:t>
      </w:r>
    </w:p>
    <w:p>
      <w:pPr>
        <w:adjustRightInd w:val="0"/>
        <w:spacing w:line="420" w:lineRule="exact"/>
        <w:ind w:left="1319" w:leftChars="228" w:hanging="840" w:hangingChars="30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rPr>
        <w:t>（2） 一份在技术规格中规定的保证货物正常和连续运转期间所需要的维护清单包括价格及供货来源信息；</w:t>
      </w:r>
    </w:p>
    <w:p>
      <w:pPr>
        <w:adjustRightInd w:val="0"/>
        <w:spacing w:line="420" w:lineRule="exact"/>
        <w:ind w:firstLine="48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rPr>
        <w:t>没有按要求提供资料或提供资料不完全，将是对本次评标采购未作出实质性响应，其风险由供应商自行承担。</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17．磋商的有效期</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17.1</w:t>
      </w:r>
      <w:r>
        <w:rPr>
          <w:rFonts w:hint="eastAsia" w:asciiTheme="minorEastAsia" w:hAnsiTheme="minorEastAsia" w:eastAsiaTheme="minorEastAsia" w:cstheme="minorEastAsia"/>
          <w:b/>
          <w:sz w:val="28"/>
          <w:szCs w:val="21"/>
        </w:rPr>
        <w:t>磋商响应文件从磋商之日起，投标有效期为</w:t>
      </w:r>
      <w:r>
        <w:rPr>
          <w:rFonts w:hint="eastAsia" w:asciiTheme="minorEastAsia" w:hAnsiTheme="minorEastAsia" w:eastAsiaTheme="minorEastAsia" w:cstheme="minorEastAsia"/>
          <w:b/>
          <w:sz w:val="28"/>
          <w:szCs w:val="21"/>
          <w:lang w:val="en-US" w:eastAsia="zh-CN"/>
        </w:rPr>
        <w:t>45</w:t>
      </w:r>
      <w:r>
        <w:rPr>
          <w:rFonts w:hint="eastAsia" w:asciiTheme="minorEastAsia" w:hAnsiTheme="minorEastAsia" w:eastAsiaTheme="minorEastAsia" w:cstheme="minorEastAsia"/>
          <w:b/>
          <w:sz w:val="28"/>
          <w:szCs w:val="21"/>
        </w:rPr>
        <w:t>天。（如不满足将导致废标）</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17.2 在特殊情况下，招标代理机构可与供应商商量延长磋商响应文件的有效期。</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18．磋商响应文件的书写要求。</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18.1 磋商响应文件须打印。</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18.2 磋商响应文件应清楚工整，修改处应由磋商供应商全权代表签章。</w:t>
      </w:r>
    </w:p>
    <w:p>
      <w:pPr>
        <w:spacing w:line="420" w:lineRule="exact"/>
        <w:ind w:left="600" w:hanging="700" w:hangingChars="25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18.3磋商响应文件应由法人代表或法人授权代表在凡规定签章处逐一签署及加盖单位的公章。</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18.4电报、电话、传真形式的投标概不接受。</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18.5磋商响应文件的份数：正本1份，副本3份。</w:t>
      </w:r>
    </w:p>
    <w:p>
      <w:pPr>
        <w:pStyle w:val="11"/>
        <w:spacing w:line="420" w:lineRule="exact"/>
        <w:rPr>
          <w:rFonts w:hint="eastAsia" w:asciiTheme="minorEastAsia" w:hAnsiTheme="minorEastAsia" w:eastAsiaTheme="minorEastAsia" w:cstheme="minorEastAsia"/>
          <w:sz w:val="28"/>
          <w:szCs w:val="21"/>
        </w:rPr>
      </w:pPr>
    </w:p>
    <w:p>
      <w:pPr>
        <w:pStyle w:val="4"/>
        <w:spacing w:before="100" w:beforeAutospacing="1" w:after="100" w:afterAutospacing="1" w:line="420" w:lineRule="exact"/>
        <w:jc w:val="center"/>
        <w:rPr>
          <w:rFonts w:hint="eastAsia" w:asciiTheme="minorEastAsia" w:hAnsiTheme="minorEastAsia" w:eastAsiaTheme="minorEastAsia" w:cstheme="minorEastAsia"/>
          <w:sz w:val="32"/>
          <w:szCs w:val="32"/>
        </w:rPr>
      </w:pPr>
      <w:bookmarkStart w:id="65" w:name="_Toc349637923"/>
      <w:bookmarkStart w:id="66" w:name="_Toc12532076"/>
      <w:bookmarkStart w:id="67" w:name="_Toc267301285"/>
      <w:bookmarkStart w:id="68" w:name="_Toc298240408"/>
      <w:bookmarkStart w:id="69" w:name="_Toc31135"/>
      <w:bookmarkStart w:id="70" w:name="_Toc349573124"/>
      <w:bookmarkStart w:id="71" w:name="_Toc10103"/>
      <w:r>
        <w:rPr>
          <w:rFonts w:hint="eastAsia" w:asciiTheme="minorEastAsia" w:hAnsiTheme="minorEastAsia" w:eastAsiaTheme="minorEastAsia" w:cstheme="minorEastAsia"/>
          <w:sz w:val="32"/>
          <w:szCs w:val="32"/>
        </w:rPr>
        <w:t>D  磋商响应文件的递交</w:t>
      </w:r>
      <w:bookmarkEnd w:id="65"/>
      <w:bookmarkEnd w:id="66"/>
      <w:bookmarkEnd w:id="67"/>
      <w:bookmarkEnd w:id="68"/>
      <w:bookmarkEnd w:id="69"/>
      <w:bookmarkEnd w:id="70"/>
      <w:bookmarkEnd w:id="71"/>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20. 磋商响应文件的密封与标记</w:t>
      </w:r>
    </w:p>
    <w:p>
      <w:pPr>
        <w:spacing w:line="420" w:lineRule="exact"/>
        <w:ind w:left="600" w:hanging="700" w:hangingChars="25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20.1 供应商应将磋商响应文件正、副本分别密封，在每个密封件的封面上标明供应商名称、法定代表人、单位公章、正本或副本。</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20.2 磋商响应文件袋上应写明：</w:t>
      </w:r>
    </w:p>
    <w:p>
      <w:pPr>
        <w:numPr>
          <w:ilvl w:val="0"/>
          <w:numId w:val="4"/>
        </w:numPr>
        <w:tabs>
          <w:tab w:val="left" w:pos="1080"/>
        </w:tabs>
        <w:spacing w:line="420" w:lineRule="exact"/>
        <w:ind w:left="108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招标机构：</w:t>
      </w:r>
      <w:r>
        <w:rPr>
          <w:rFonts w:hint="eastAsia" w:asciiTheme="minorEastAsia" w:hAnsiTheme="minorEastAsia" w:eastAsiaTheme="minorEastAsia" w:cstheme="minorEastAsia"/>
          <w:sz w:val="28"/>
          <w:szCs w:val="28"/>
          <w:lang w:eastAsia="zh-CN"/>
        </w:rPr>
        <w:t xml:space="preserve">新疆宏成润和工程管理有限公司 </w:t>
      </w:r>
    </w:p>
    <w:p>
      <w:pPr>
        <w:numPr>
          <w:ilvl w:val="0"/>
          <w:numId w:val="4"/>
        </w:numPr>
        <w:tabs>
          <w:tab w:val="left" w:pos="1080"/>
        </w:tabs>
        <w:spacing w:line="420" w:lineRule="exact"/>
        <w:ind w:left="108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项目名称：</w:t>
      </w:r>
    </w:p>
    <w:p>
      <w:pPr>
        <w:numPr>
          <w:ilvl w:val="0"/>
          <w:numId w:val="4"/>
        </w:numPr>
        <w:tabs>
          <w:tab w:val="left" w:pos="1080"/>
        </w:tabs>
        <w:spacing w:line="420" w:lineRule="exact"/>
        <w:ind w:left="108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项目编号：</w:t>
      </w:r>
    </w:p>
    <w:p>
      <w:pPr>
        <w:numPr>
          <w:ilvl w:val="0"/>
          <w:numId w:val="4"/>
        </w:numPr>
        <w:tabs>
          <w:tab w:val="left" w:pos="1080"/>
        </w:tabs>
        <w:spacing w:line="420" w:lineRule="exact"/>
        <w:ind w:left="108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注明“开标时才能启封”</w:t>
      </w:r>
    </w:p>
    <w:p>
      <w:pPr>
        <w:numPr>
          <w:ilvl w:val="0"/>
          <w:numId w:val="4"/>
        </w:numPr>
        <w:tabs>
          <w:tab w:val="left" w:pos="1080"/>
        </w:tabs>
        <w:spacing w:line="420" w:lineRule="exact"/>
        <w:ind w:left="108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磋商单位名称：</w:t>
      </w:r>
    </w:p>
    <w:p>
      <w:pPr>
        <w:spacing w:line="420" w:lineRule="exact"/>
        <w:ind w:left="600" w:hanging="700" w:hangingChars="25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20.3为方便磋商，供应商须将正本的磋商书、磋商报价表和磋商保证金另单独密封一份，并在信封上标明“磋商报价表”字样，然后再装入正本磋商响应文件密封袋中。</w:t>
      </w:r>
    </w:p>
    <w:p>
      <w:pPr>
        <w:spacing w:line="420" w:lineRule="exact"/>
        <w:ind w:left="600" w:hanging="700" w:hangingChars="25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20.4磋商响应文件装订要求：磋商响应文件要求不得活页装订</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21. 磋商响应文件递交截止时间</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21.1 磋商响应文件的递交不得迟于前附表规定时间。</w:t>
      </w:r>
    </w:p>
    <w:p>
      <w:pPr>
        <w:spacing w:line="420" w:lineRule="exact"/>
        <w:ind w:left="540" w:leftChars="257"/>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磋商响应文件以密封形式递交至：磋商现场</w:t>
      </w:r>
    </w:p>
    <w:p>
      <w:pPr>
        <w:spacing w:line="420" w:lineRule="exact"/>
        <w:ind w:left="600" w:hanging="700" w:hangingChars="25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21.2 所有磋商响应文件不论派人送交还是通过邮寄递交，都必须按招标代理机构在磋商邀请中规定的投标截止时间之前送到磋商文件规定的地点。</w:t>
      </w:r>
    </w:p>
    <w:p>
      <w:pPr>
        <w:spacing w:line="420" w:lineRule="exact"/>
        <w:ind w:left="600" w:hanging="700" w:hangingChars="25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21.3 出现第8.2款因磋商文件的修改推迟投标截止时间时，则按招标代理机构修改通知规定的时间递交。</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22．磋商响应文件的修改和撤销</w:t>
      </w:r>
    </w:p>
    <w:p>
      <w:pPr>
        <w:spacing w:line="420" w:lineRule="exact"/>
        <w:ind w:left="600" w:hanging="700" w:hangingChars="25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22.1 供应商在提交磋商响应文件后可对其磋商响应文件进行修改或撤销，但招标代理机构须在投标截止时间之前收到该修改或撤销的书面通知，该通知须有经正式授权的供应商代表签字。</w:t>
      </w:r>
    </w:p>
    <w:p>
      <w:pPr>
        <w:spacing w:line="420" w:lineRule="exact"/>
        <w:ind w:left="600" w:hanging="700" w:hangingChars="25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22.2供应商不得在磋商时间起至磋商有效期期满前撤销磋商响应文件。否则招标代理机构将没收其磋商保证金。</w:t>
      </w:r>
    </w:p>
    <w:p>
      <w:pPr>
        <w:pStyle w:val="4"/>
        <w:spacing w:before="100" w:beforeAutospacing="1" w:after="100" w:afterAutospacing="1" w:line="420" w:lineRule="exact"/>
        <w:jc w:val="center"/>
        <w:rPr>
          <w:rFonts w:hint="eastAsia" w:asciiTheme="minorEastAsia" w:hAnsiTheme="minorEastAsia" w:eastAsiaTheme="minorEastAsia" w:cstheme="minorEastAsia"/>
          <w:sz w:val="32"/>
          <w:szCs w:val="32"/>
        </w:rPr>
      </w:pPr>
      <w:bookmarkStart w:id="72" w:name="_Toc349637924"/>
      <w:bookmarkStart w:id="73" w:name="_Toc349573125"/>
      <w:bookmarkStart w:id="74" w:name="_Toc12532077"/>
      <w:bookmarkStart w:id="75" w:name="_Toc298240409"/>
      <w:bookmarkStart w:id="76" w:name="_Toc267301286"/>
      <w:bookmarkStart w:id="77" w:name="_Toc31320"/>
      <w:bookmarkStart w:id="78" w:name="_Toc25270"/>
      <w:r>
        <w:rPr>
          <w:rFonts w:hint="eastAsia" w:asciiTheme="minorEastAsia" w:hAnsiTheme="minorEastAsia" w:eastAsiaTheme="minorEastAsia" w:cstheme="minorEastAsia"/>
          <w:sz w:val="32"/>
          <w:szCs w:val="32"/>
        </w:rPr>
        <w:t xml:space="preserve">E  </w:t>
      </w:r>
      <w:bookmarkEnd w:id="72"/>
      <w:bookmarkEnd w:id="73"/>
      <w:bookmarkEnd w:id="74"/>
      <w:bookmarkEnd w:id="75"/>
      <w:bookmarkEnd w:id="76"/>
      <w:r>
        <w:rPr>
          <w:rFonts w:hint="eastAsia" w:asciiTheme="minorEastAsia" w:hAnsiTheme="minorEastAsia" w:eastAsiaTheme="minorEastAsia" w:cstheme="minorEastAsia"/>
          <w:sz w:val="32"/>
          <w:szCs w:val="32"/>
        </w:rPr>
        <w:t>竞争性磋商程序</w:t>
      </w:r>
      <w:bookmarkEnd w:id="77"/>
      <w:bookmarkEnd w:id="78"/>
    </w:p>
    <w:p>
      <w:pPr>
        <w:widowControl/>
        <w:spacing w:line="360" w:lineRule="auto"/>
        <w:ind w:firstLine="560" w:firstLineChars="200"/>
        <w:textAlignment w:val="baseline"/>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4"/>
        </w:rPr>
        <w:t xml:space="preserve">23 </w:t>
      </w:r>
      <w:r>
        <w:rPr>
          <w:rFonts w:hint="eastAsia" w:asciiTheme="minorEastAsia" w:hAnsiTheme="minorEastAsia" w:eastAsiaTheme="minorEastAsia" w:cstheme="minorEastAsia"/>
          <w:bCs/>
          <w:sz w:val="28"/>
          <w:szCs w:val="28"/>
        </w:rPr>
        <w:t>磋商小组的组成</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23.1.1磋商小组由采购人代表和有关技术、经济等方面的专家组成。全面负责对响应文件的审查、评审、磋商、打分等全部评审工作。磋商小组人数以及技术、经济方面的专家组成见</w:t>
      </w:r>
      <w:r>
        <w:rPr>
          <w:rFonts w:hint="eastAsia" w:asciiTheme="minorEastAsia" w:hAnsiTheme="minorEastAsia" w:eastAsiaTheme="minorEastAsia" w:cstheme="minorEastAsia"/>
          <w:sz w:val="22"/>
          <w:szCs w:val="28"/>
        </w:rPr>
        <w:fldChar w:fldCharType="begin"/>
      </w:r>
      <w:r>
        <w:rPr>
          <w:rFonts w:hint="eastAsia" w:asciiTheme="minorEastAsia" w:hAnsiTheme="minorEastAsia" w:eastAsiaTheme="minorEastAsia" w:cstheme="minorEastAsia"/>
          <w:sz w:val="22"/>
          <w:szCs w:val="28"/>
        </w:rPr>
        <w:instrText xml:space="preserve"> HYPERLINK "file:///C:\\WordForm\\e944b4b1-01b6-4e42-b170-f783fcf7903a.doc" \l "_评标委员会" </w:instrText>
      </w:r>
      <w:r>
        <w:rPr>
          <w:rFonts w:hint="eastAsia" w:asciiTheme="minorEastAsia" w:hAnsiTheme="minorEastAsia" w:eastAsiaTheme="minorEastAsia" w:cstheme="minorEastAsia"/>
          <w:sz w:val="22"/>
          <w:szCs w:val="28"/>
        </w:rPr>
        <w:fldChar w:fldCharType="separate"/>
      </w:r>
      <w:r>
        <w:rPr>
          <w:rFonts w:hint="eastAsia" w:asciiTheme="minorEastAsia" w:hAnsiTheme="minorEastAsia" w:eastAsiaTheme="minorEastAsia" w:cstheme="minorEastAsia"/>
          <w:bCs/>
          <w:kern w:val="0"/>
          <w:sz w:val="28"/>
          <w:szCs w:val="28"/>
        </w:rPr>
        <w:t>供应商须知前附表</w:t>
      </w:r>
      <w:r>
        <w:rPr>
          <w:rFonts w:hint="eastAsia" w:asciiTheme="minorEastAsia" w:hAnsiTheme="minorEastAsia" w:eastAsiaTheme="minorEastAsia" w:cstheme="minorEastAsia"/>
          <w:bCs/>
          <w:kern w:val="0"/>
          <w:sz w:val="28"/>
          <w:szCs w:val="28"/>
        </w:rPr>
        <w:fldChar w:fldCharType="end"/>
      </w:r>
      <w:r>
        <w:rPr>
          <w:rFonts w:hint="eastAsia" w:asciiTheme="minorEastAsia" w:hAnsiTheme="minorEastAsia" w:eastAsiaTheme="minorEastAsia" w:cstheme="minorEastAsia"/>
          <w:bCs/>
          <w:kern w:val="0"/>
          <w:sz w:val="28"/>
          <w:szCs w:val="28"/>
        </w:rPr>
        <w:t>。</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23.2磋商方法</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23.2.1磋商小组将按照磋商文件确定的评审方法进行评审。磋商小组对响应文件的评审分为响应文件初审、澄清有关问题、比较与评价响应文件、推荐中标候选人名单。</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23.2.1项目评审方法详见磋商文件“第四章 评审方法、步骤及标准”。</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23.3响应文件的初审</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初审分为资格性检查和符合性检查。</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23.3.1资格性检查</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（1）磋商小组根据评审办法前附表规定的评审因素和评审标准，对供应商的响应文件进行资格评审。资格性检查不合格的供应商的响应文件作无效文件处理。</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（2）磋商小组在进行资格检查时，不得改变磋商文件中已载明的资格条件、标准和办法。资格性检查不合格的供应商的响应文件作无效文件处理。</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（3）供应商在递交响应文件的同时，应逐项对照上述资格性检查要求提交相应的原件和资格证明文件供磋商小组核查，否则评委将不予采信。</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（4）磋商小组在评审中必要时可按供应商提供的联系方式就有关问题进行查询核实，或要求供应商做出书面澄清，查询及澄清结果将作为审查的依据。</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（5）通过全部资格性检查条件合格的供应商才能通过资格检查，其响应文件方可进入下一个检查阶段。</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23.3.2符合性检查</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磋商小组根据评审办法前附表规定的评审因素和评审标准，对供应商的响应文件进行符合性检查。符合性检查不合格的供应商的响应文件作无效文件处理。</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 xml:space="preserve">23.4违法违规行为 </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23.4.1在评审过程中，磋商小组发现供应商有下列情形之一的，作无效文件处理：</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（1）属于同一集团、协会、商会等组织成员的供应商按照该组织要求协同投标；</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（2）不同供应商的响应文件由同一单位或者个人编制；</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（3）不同供应商委托同一单位或者个人办理投标事宜；</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（4）不同供应商的响应文件载明的项目管理成员为同一人；</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（5）不同供应商的响应文件异常一致或者投标报价呈规律性差异；</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（6）不同供应商的响应文件相互混装；</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（7）不同供应商的投标保证金从同一单位或者个人的账户转出；</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（8）使用伪造、变造的行政许可证件；</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（9）提供虚假的财务状况或者业绩；</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（10）提供虚假的项目负责人或者主要技术人员简历、劳动关系证明；</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（11）提供虚假的信用状况；</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（12）其他弄虚作假的行为。</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23.5 磋商小组审查响应文件是否完整、有无计算上的错误等。</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23.5.1 响应文件的修正及澄清</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（1）磋商小组对确定为实质上响应磋商文件要求的响应文件进行校核，看其是否有计算或表达上的错误，算术错误将按以下方法更正：</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8"/>
        <w:spacing w:line="360" w:lineRule="auto"/>
        <w:ind w:firstLine="48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23.5.3实质上没有响应磋商文件要求的响应文件将被视为无效文件。供应商不得通过修正或撤销不合要求的偏离从而使其成为实质上响应的文件。</w:t>
      </w:r>
    </w:p>
    <w:p>
      <w:pPr>
        <w:pStyle w:val="11"/>
        <w:spacing w:line="360" w:lineRule="auto"/>
        <w:ind w:firstLine="560" w:firstLineChars="200"/>
        <w:contextualSpacing/>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23.5.4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8"/>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kern w:val="0"/>
          <w:sz w:val="28"/>
          <w:szCs w:val="28"/>
        </w:rPr>
        <w:t>23.5.5供应商的澄清文件是其响应文件</w:t>
      </w:r>
      <w:r>
        <w:rPr>
          <w:rFonts w:hint="eastAsia" w:asciiTheme="minorEastAsia" w:hAnsiTheme="minorEastAsia" w:eastAsiaTheme="minorEastAsia" w:cstheme="minorEastAsia"/>
          <w:bCs/>
          <w:sz w:val="28"/>
          <w:szCs w:val="28"/>
        </w:rPr>
        <w:t>的组成部分。</w:t>
      </w:r>
    </w:p>
    <w:p>
      <w:pPr>
        <w:pStyle w:val="8"/>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23.6磋商</w:t>
      </w:r>
    </w:p>
    <w:p>
      <w:pPr>
        <w:pStyle w:val="8"/>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23.6.1磋商小组所有成员应当集中与单一供应商分别进行磋商，并给予所有参加磋商的供应商平等的磋商机会。</w:t>
      </w:r>
    </w:p>
    <w:p>
      <w:pPr>
        <w:pStyle w:val="8"/>
        <w:spacing w:line="360" w:lineRule="auto"/>
        <w:ind w:firstLine="48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rPr>
        <w:t>23.6.2在磋商过程中，磋商小组可以根据磋商文件和磋商情况实质性变动采购需求中的技术、服务要求以及合同草案条款，但不得变动磋商文件中的其他内容。实质性变动的内容，须经采购人代表确认。</w:t>
      </w:r>
    </w:p>
    <w:p>
      <w:pPr>
        <w:pStyle w:val="8"/>
        <w:spacing w:line="360" w:lineRule="auto"/>
        <w:ind w:firstLine="48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rPr>
        <w:t>　　23.6.3对磋商文件作出的实质性变动是磋商文件的有效组成部分，磋商小组应当及时以书面形式同时通知所有参加磋商的供应商。</w:t>
      </w:r>
    </w:p>
    <w:p>
      <w:pPr>
        <w:pStyle w:val="8"/>
        <w:spacing w:line="360" w:lineRule="auto"/>
        <w:ind w:firstLine="48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rPr>
        <w:t>　　23.6.4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8"/>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23.6.5磋商文件能够详细列明采购标的的技术、服务要求的，磋商结束后，磋商小组应当要求所有实质性响应的供应商在规定时间内提交最后报价，提交最后报价的供应商不得少于2家。</w:t>
      </w:r>
    </w:p>
    <w:p>
      <w:pPr>
        <w:pStyle w:val="8"/>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8"/>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23.6.7已提交响应文件的供应商，在提交最后报价之前，可以根据磋商情况退出磋商。其磋商保证金将予以退还。</w:t>
      </w:r>
    </w:p>
    <w:p>
      <w:pPr>
        <w:widowControl/>
        <w:spacing w:line="360" w:lineRule="auto"/>
        <w:ind w:firstLine="560" w:firstLineChars="200"/>
        <w:textAlignment w:val="baseline"/>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23.6.8最后报价是供应商响应文件的有效组成部分。符合本办法第三条第四项情形的，提交最后报价的供应商可以为2家。</w:t>
      </w:r>
    </w:p>
    <w:p>
      <w:pPr>
        <w:pStyle w:val="8"/>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23.6.9经磋商确定最终采购需求和提交最后报价的供应商后，由磋商小组采用综合评分法对提交最后报价的供应商的响应文件和最后报价进行综合评分。</w:t>
      </w:r>
    </w:p>
    <w:p>
      <w:pPr>
        <w:pStyle w:val="8"/>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23.6.10采购结果确认</w:t>
      </w:r>
    </w:p>
    <w:p>
      <w:pPr>
        <w:pStyle w:val="8"/>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1"/>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23.7.公示或公告</w:t>
      </w:r>
    </w:p>
    <w:p>
      <w:pPr>
        <w:tabs>
          <w:tab w:val="left" w:pos="1875"/>
        </w:tabs>
        <w:adjustRightInd w:val="0"/>
        <w:snapToGrid w:val="0"/>
        <w:spacing w:line="360" w:lineRule="auto"/>
        <w:ind w:firstLine="560" w:firstLineChars="20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sz w:val="28"/>
          <w:szCs w:val="28"/>
        </w:rPr>
        <w:t>23.7.1成交供应商确定后，采购代理机构将在政府采购监管部门指定的媒体上发布成交公告，同时向成交供应商发出《成交通知书》。《成交通知书》是合同的组成部分,对成交供应商和采购人具有同等法律效力。</w:t>
      </w:r>
    </w:p>
    <w:p>
      <w:pPr>
        <w:spacing w:line="420" w:lineRule="exact"/>
        <w:ind w:firstLine="560" w:firstLineChars="20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rPr>
        <w:t>对磋商响应文件的评估和比较分为两步进行，磋商小组按照磋商文件要求对磋商响应文件中的供应商资格、供应商资格证明文件、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价格因素占</w:t>
      </w:r>
      <w:r>
        <w:rPr>
          <w:rFonts w:hint="eastAsia" w:asciiTheme="minorEastAsia" w:hAnsiTheme="minorEastAsia" w:eastAsiaTheme="minorEastAsia" w:cstheme="minorEastAsia"/>
          <w:bCs/>
          <w:sz w:val="28"/>
          <w:szCs w:val="21"/>
          <w:lang w:val="en-US" w:eastAsia="zh-CN"/>
        </w:rPr>
        <w:t>30</w:t>
      </w:r>
      <w:r>
        <w:rPr>
          <w:rFonts w:hint="eastAsia" w:asciiTheme="minorEastAsia" w:hAnsiTheme="minorEastAsia" w:eastAsiaTheme="minorEastAsia" w:cstheme="minorEastAsia"/>
          <w:bCs/>
          <w:sz w:val="28"/>
          <w:szCs w:val="21"/>
        </w:rPr>
        <w:t>分，商务因素占</w:t>
      </w:r>
      <w:r>
        <w:rPr>
          <w:rFonts w:hint="eastAsia" w:asciiTheme="minorEastAsia" w:hAnsiTheme="minorEastAsia" w:eastAsiaTheme="minorEastAsia" w:cstheme="minorEastAsia"/>
          <w:bCs/>
          <w:sz w:val="28"/>
          <w:szCs w:val="21"/>
          <w:lang w:val="en-US" w:eastAsia="zh-CN"/>
        </w:rPr>
        <w:t>5</w:t>
      </w:r>
      <w:r>
        <w:rPr>
          <w:rFonts w:hint="eastAsia" w:asciiTheme="minorEastAsia" w:hAnsiTheme="minorEastAsia" w:eastAsiaTheme="minorEastAsia" w:cstheme="minorEastAsia"/>
          <w:bCs/>
          <w:sz w:val="28"/>
          <w:szCs w:val="21"/>
        </w:rPr>
        <w:t>分，技术因素占</w:t>
      </w:r>
      <w:r>
        <w:rPr>
          <w:rFonts w:hint="eastAsia" w:asciiTheme="minorEastAsia" w:hAnsiTheme="minorEastAsia" w:eastAsiaTheme="minorEastAsia" w:cstheme="minorEastAsia"/>
          <w:bCs/>
          <w:sz w:val="28"/>
          <w:szCs w:val="21"/>
          <w:lang w:val="en-US" w:eastAsia="zh-CN"/>
        </w:rPr>
        <w:t>65</w:t>
      </w:r>
      <w:r>
        <w:rPr>
          <w:rFonts w:hint="eastAsia" w:asciiTheme="minorEastAsia" w:hAnsiTheme="minorEastAsia" w:eastAsiaTheme="minorEastAsia" w:cstheme="minorEastAsia"/>
          <w:bCs/>
          <w:sz w:val="28"/>
          <w:szCs w:val="21"/>
        </w:rPr>
        <w:t>分。将每位供应商的价格得分、技术得分相加即为该供应商的总得分。</w:t>
      </w:r>
    </w:p>
    <w:p>
      <w:pPr>
        <w:pStyle w:val="7"/>
        <w:rPr>
          <w:rFonts w:hint="eastAsia" w:asciiTheme="minorEastAsia" w:hAnsiTheme="minorEastAsia" w:eastAsiaTheme="minorEastAsia" w:cstheme="minorEastAsia"/>
          <w:bCs/>
          <w:sz w:val="28"/>
          <w:szCs w:val="21"/>
        </w:rPr>
      </w:pPr>
    </w:p>
    <w:p>
      <w:pPr>
        <w:rPr>
          <w:rFonts w:hint="eastAsia" w:asciiTheme="minorEastAsia" w:hAnsiTheme="minorEastAsia" w:eastAsiaTheme="minorEastAsia" w:cstheme="minorEastAsia"/>
          <w:bCs/>
          <w:sz w:val="28"/>
          <w:szCs w:val="21"/>
        </w:rPr>
      </w:pPr>
    </w:p>
    <w:p>
      <w:pPr>
        <w:spacing w:line="360" w:lineRule="exact"/>
        <w:jc w:val="center"/>
        <w:rPr>
          <w:rFonts w:hint="eastAsia" w:asciiTheme="minorEastAsia" w:hAnsiTheme="minorEastAsia" w:eastAsiaTheme="minorEastAsia" w:cstheme="minorEastAsia"/>
          <w:sz w:val="28"/>
          <w:szCs w:val="28"/>
        </w:rPr>
      </w:pPr>
    </w:p>
    <w:p>
      <w:pPr>
        <w:spacing w:line="360" w:lineRule="exact"/>
        <w:jc w:val="center"/>
        <w:rPr>
          <w:rFonts w:hint="eastAsia" w:asciiTheme="minorEastAsia" w:hAnsiTheme="minorEastAsia" w:eastAsiaTheme="minorEastAsia" w:cstheme="minorEastAsia"/>
          <w:sz w:val="28"/>
          <w:szCs w:val="28"/>
        </w:rPr>
      </w:pPr>
    </w:p>
    <w:p>
      <w:pPr>
        <w:spacing w:line="360" w:lineRule="exact"/>
        <w:jc w:val="center"/>
        <w:rPr>
          <w:rFonts w:hint="eastAsia" w:asciiTheme="minorEastAsia" w:hAnsiTheme="minorEastAsia" w:eastAsiaTheme="minorEastAsia" w:cstheme="minorEastAsia"/>
          <w:sz w:val="28"/>
          <w:szCs w:val="28"/>
        </w:rPr>
      </w:pPr>
    </w:p>
    <w:p>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《资格审查标准》</w:t>
      </w:r>
    </w:p>
    <w:tbl>
      <w:tblPr>
        <w:tblStyle w:val="19"/>
        <w:tblW w:w="10280" w:type="dxa"/>
        <w:tblInd w:w="93" w:type="dxa"/>
        <w:tblLayout w:type="fixed"/>
        <w:tblCellMar>
          <w:top w:w="0" w:type="dxa"/>
          <w:left w:w="108" w:type="dxa"/>
          <w:bottom w:w="0" w:type="dxa"/>
          <w:right w:w="108" w:type="dxa"/>
        </w:tblCellMar>
      </w:tblPr>
      <w:tblGrid>
        <w:gridCol w:w="724"/>
        <w:gridCol w:w="4536"/>
        <w:gridCol w:w="1418"/>
        <w:gridCol w:w="1275"/>
        <w:gridCol w:w="1276"/>
        <w:gridCol w:w="1051"/>
      </w:tblGrid>
      <w:tr>
        <w:tblPrEx>
          <w:tblCellMar>
            <w:top w:w="0" w:type="dxa"/>
            <w:left w:w="108" w:type="dxa"/>
            <w:bottom w:w="0" w:type="dxa"/>
            <w:right w:w="108" w:type="dxa"/>
          </w:tblCellMar>
        </w:tblPrEx>
        <w:trPr>
          <w:gridAfter w:val="1"/>
          <w:wAfter w:w="1051" w:type="dxa"/>
          <w:trHeight w:val="57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序号</w:t>
            </w:r>
          </w:p>
        </w:tc>
        <w:tc>
          <w:tcPr>
            <w:tcW w:w="45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资格审查标准</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投标人A　</w:t>
            </w:r>
          </w:p>
        </w:tc>
        <w:tc>
          <w:tcPr>
            <w:tcW w:w="12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投标人B　</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投标人C</w:t>
            </w:r>
          </w:p>
        </w:tc>
      </w:tr>
      <w:tr>
        <w:tblPrEx>
          <w:tblCellMar>
            <w:top w:w="0" w:type="dxa"/>
            <w:left w:w="108" w:type="dxa"/>
            <w:bottom w:w="0" w:type="dxa"/>
            <w:right w:w="108" w:type="dxa"/>
          </w:tblCellMar>
        </w:tblPrEx>
        <w:trPr>
          <w:gridAfter w:val="1"/>
          <w:wAfter w:w="1051" w:type="dxa"/>
          <w:trHeight w:val="570" w:hRule="atLeast"/>
        </w:trPr>
        <w:tc>
          <w:tcPr>
            <w:tcW w:w="72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w:t>
            </w:r>
          </w:p>
        </w:tc>
        <w:tc>
          <w:tcPr>
            <w:tcW w:w="4536"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符合《中华人民共和国政府采购法》第二十二条：投标人参加政府采购活动应当具备的条件；投标人必须是在中华人民共和国境内，且具有独立法人资格的企业；</w:t>
            </w:r>
          </w:p>
        </w:tc>
        <w:tc>
          <w:tcPr>
            <w:tcW w:w="141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c>
          <w:tcPr>
            <w:tcW w:w="1275"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r>
      <w:tr>
        <w:tblPrEx>
          <w:tblCellMar>
            <w:top w:w="0" w:type="dxa"/>
            <w:left w:w="108" w:type="dxa"/>
            <w:bottom w:w="0" w:type="dxa"/>
            <w:right w:w="108" w:type="dxa"/>
          </w:tblCellMar>
        </w:tblPrEx>
        <w:trPr>
          <w:gridAfter w:val="1"/>
          <w:wAfter w:w="1051" w:type="dxa"/>
          <w:trHeight w:val="55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投标人必须具备有效的</w:t>
            </w:r>
            <w:r>
              <w:rPr>
                <w:rFonts w:hint="eastAsia" w:asciiTheme="minorEastAsia" w:hAnsiTheme="minorEastAsia" w:eastAsiaTheme="minorEastAsia" w:cstheme="minorEastAsia"/>
                <w:kern w:val="0"/>
                <w:sz w:val="28"/>
                <w:szCs w:val="28"/>
                <w:lang w:val="en-US" w:eastAsia="zh-CN"/>
              </w:rPr>
              <w:t>《通用航空企业经营许可证》（原件或复印件加盖公章）</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c>
          <w:tcPr>
            <w:tcW w:w="12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r>
      <w:tr>
        <w:tblPrEx>
          <w:tblCellMar>
            <w:top w:w="0" w:type="dxa"/>
            <w:left w:w="108" w:type="dxa"/>
            <w:bottom w:w="0" w:type="dxa"/>
            <w:right w:w="108" w:type="dxa"/>
          </w:tblCellMar>
        </w:tblPrEx>
        <w:trPr>
          <w:gridAfter w:val="1"/>
          <w:wAfter w:w="1051" w:type="dxa"/>
          <w:trHeight w:val="686" w:hRule="atLeast"/>
        </w:trPr>
        <w:tc>
          <w:tcPr>
            <w:tcW w:w="72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val="en-US" w:eastAsia="zh-CN"/>
              </w:rPr>
              <w:t>3</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法人代表或其委托代理人应携带本人身份证原件及复印件，委托代理人还应携带法人代表授权委托书；</w:t>
            </w:r>
          </w:p>
        </w:tc>
        <w:tc>
          <w:tcPr>
            <w:tcW w:w="1418"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c>
          <w:tcPr>
            <w:tcW w:w="1275"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8"/>
                <w:szCs w:val="28"/>
              </w:rPr>
            </w:pPr>
          </w:p>
        </w:tc>
      </w:tr>
      <w:tr>
        <w:tblPrEx>
          <w:tblCellMar>
            <w:top w:w="0" w:type="dxa"/>
            <w:left w:w="108" w:type="dxa"/>
            <w:bottom w:w="0" w:type="dxa"/>
            <w:right w:w="108" w:type="dxa"/>
          </w:tblCellMar>
        </w:tblPrEx>
        <w:trPr>
          <w:trHeight w:val="1185" w:hRule="atLeast"/>
        </w:trPr>
        <w:tc>
          <w:tcPr>
            <w:tcW w:w="10280" w:type="dxa"/>
            <w:gridSpan w:val="6"/>
            <w:tcBorders>
              <w:top w:val="nil"/>
              <w:left w:val="nil"/>
              <w:bottom w:val="nil"/>
              <w:right w:val="nil"/>
            </w:tcBorders>
            <w:noWrap w:val="0"/>
            <w:vAlign w:val="top"/>
          </w:tcPr>
          <w:p>
            <w:pPr>
              <w:widowControl/>
              <w:ind w:right="376" w:rightChars="179"/>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注：如果资格评审中有一项不满足审查标准的，评标委员会将认定该投标人不通过资格审查，不得进入下一阶段评审。并且不允许投标人通过修改或撤销其不符合要求的差异或保留，使之成为具有响应性的投标。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pPr>
        <w:pStyle w:val="43"/>
        <w:spacing w:line="440" w:lineRule="exact"/>
        <w:ind w:firstLine="0"/>
        <w:jc w:val="center"/>
        <w:outlineLvl w:val="1"/>
        <w:rPr>
          <w:rFonts w:hint="eastAsia" w:asciiTheme="minorEastAsia" w:hAnsiTheme="minorEastAsia" w:eastAsiaTheme="minorEastAsia" w:cstheme="minorEastAsia"/>
          <w:b/>
          <w:color w:val="0C0C0C"/>
          <w:sz w:val="28"/>
          <w:szCs w:val="28"/>
        </w:rPr>
      </w:pPr>
      <w:r>
        <w:rPr>
          <w:rFonts w:hint="eastAsia" w:asciiTheme="minorEastAsia" w:hAnsiTheme="minorEastAsia" w:eastAsiaTheme="minorEastAsia" w:cstheme="minorEastAsia"/>
          <w:b/>
          <w:color w:val="0C0C0C"/>
          <w:sz w:val="28"/>
          <w:szCs w:val="28"/>
        </w:rPr>
        <w:t>《符合性审查标准》</w:t>
      </w:r>
    </w:p>
    <w:tbl>
      <w:tblPr>
        <w:tblStyle w:val="19"/>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360" w:lineRule="auto"/>
              <w:jc w:val="center"/>
              <w:rPr>
                <w:rFonts w:hint="eastAsia" w:asciiTheme="minorEastAsia" w:hAnsiTheme="minorEastAsia" w:eastAsiaTheme="minorEastAsia" w:cstheme="minorEastAsia"/>
                <w:bCs/>
                <w:color w:val="0C0C0C"/>
                <w:sz w:val="28"/>
                <w:szCs w:val="28"/>
                <w:lang w:eastAsia="zh-CN"/>
              </w:rPr>
            </w:pPr>
            <w:r>
              <w:rPr>
                <w:rFonts w:hint="eastAsia" w:asciiTheme="minorEastAsia" w:hAnsiTheme="minorEastAsia" w:eastAsiaTheme="minorEastAsia" w:cstheme="minorEastAsia"/>
                <w:bCs/>
                <w:color w:val="0C0C0C"/>
                <w:sz w:val="28"/>
                <w:szCs w:val="28"/>
                <w:lang w:eastAsia="zh-CN"/>
              </w:rPr>
              <w:t>序号</w:t>
            </w:r>
          </w:p>
        </w:tc>
        <w:tc>
          <w:tcPr>
            <w:tcW w:w="7619" w:type="dxa"/>
            <w:noWrap w:val="0"/>
            <w:vAlign w:val="center"/>
          </w:tcPr>
          <w:p>
            <w:pPr>
              <w:spacing w:line="360" w:lineRule="auto"/>
              <w:jc w:val="center"/>
              <w:rPr>
                <w:rFonts w:hint="eastAsia" w:asciiTheme="minorEastAsia" w:hAnsiTheme="minorEastAsia" w:eastAsiaTheme="minorEastAsia" w:cstheme="minorEastAsia"/>
                <w:bCs/>
                <w:color w:val="0C0C0C"/>
                <w:sz w:val="28"/>
                <w:szCs w:val="28"/>
              </w:rPr>
            </w:pPr>
            <w:r>
              <w:rPr>
                <w:rFonts w:hint="eastAsia" w:asciiTheme="minorEastAsia" w:hAnsiTheme="minorEastAsia" w:eastAsiaTheme="minorEastAsia" w:cstheme="minorEastAsia"/>
                <w:bCs/>
                <w:color w:val="0C0C0C"/>
                <w:sz w:val="28"/>
                <w:szCs w:val="28"/>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360" w:lineRule="auto"/>
              <w:jc w:val="center"/>
              <w:rPr>
                <w:rFonts w:hint="eastAsia" w:asciiTheme="minorEastAsia" w:hAnsiTheme="minorEastAsia" w:eastAsiaTheme="minorEastAsia" w:cstheme="minorEastAsia"/>
                <w:bCs/>
                <w:color w:val="0C0C0C"/>
                <w:sz w:val="28"/>
                <w:szCs w:val="28"/>
                <w:u w:val="none"/>
                <w:lang w:eastAsia="zh-CN"/>
              </w:rPr>
            </w:pPr>
            <w:r>
              <w:rPr>
                <w:rFonts w:hint="eastAsia" w:asciiTheme="minorEastAsia" w:hAnsiTheme="minorEastAsia" w:eastAsiaTheme="minorEastAsia" w:cstheme="minorEastAsia"/>
                <w:color w:val="0C0C0C"/>
                <w:sz w:val="28"/>
                <w:szCs w:val="28"/>
                <w:u w:val="none"/>
                <w:lang w:val="en-US" w:eastAsia="zh-CN"/>
              </w:rPr>
              <w:t>1</w:t>
            </w:r>
          </w:p>
        </w:tc>
        <w:tc>
          <w:tcPr>
            <w:tcW w:w="7619" w:type="dxa"/>
            <w:noWrap w:val="0"/>
            <w:vAlign w:val="center"/>
          </w:tcPr>
          <w:p>
            <w:pPr>
              <w:spacing w:line="360" w:lineRule="auto"/>
              <w:jc w:val="left"/>
              <w:rPr>
                <w:rFonts w:hint="eastAsia" w:asciiTheme="minorEastAsia" w:hAnsiTheme="minorEastAsia" w:eastAsiaTheme="minorEastAsia" w:cstheme="minorEastAsia"/>
                <w:bCs/>
                <w:color w:val="0C0C0C"/>
                <w:sz w:val="28"/>
                <w:szCs w:val="28"/>
              </w:rPr>
            </w:pPr>
            <w:r>
              <w:rPr>
                <w:rFonts w:hint="eastAsia" w:asciiTheme="minorEastAsia" w:hAnsiTheme="minorEastAsia" w:eastAsiaTheme="minorEastAsia" w:cstheme="minorEastAsia"/>
                <w:bCs/>
                <w:color w:val="0C0C0C"/>
                <w:sz w:val="28"/>
                <w:szCs w:val="28"/>
              </w:rPr>
              <w:t>必须按磋商文件规定格式完整提供，并要盖投标人章、法定代表人章或</w:t>
            </w:r>
            <w:r>
              <w:rPr>
                <w:rFonts w:hint="eastAsia" w:asciiTheme="minorEastAsia" w:hAnsiTheme="minorEastAsia" w:eastAsiaTheme="minorEastAsia" w:cstheme="minorEastAsia"/>
                <w:color w:val="0C0C0C"/>
                <w:sz w:val="28"/>
                <w:szCs w:val="28"/>
              </w:rPr>
              <w:t>授权代理人</w:t>
            </w:r>
            <w:r>
              <w:rPr>
                <w:rFonts w:hint="eastAsia" w:asciiTheme="minorEastAsia" w:hAnsiTheme="minorEastAsia" w:eastAsiaTheme="minorEastAsia" w:cstheme="minorEastAsia"/>
                <w:bCs/>
                <w:color w:val="0C0C0C"/>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360" w:lineRule="auto"/>
              <w:jc w:val="center"/>
              <w:rPr>
                <w:rFonts w:hint="eastAsia" w:asciiTheme="minorEastAsia" w:hAnsiTheme="minorEastAsia" w:eastAsiaTheme="minorEastAsia" w:cstheme="minorEastAsia"/>
                <w:bCs/>
                <w:color w:val="0C0C0C"/>
                <w:sz w:val="28"/>
                <w:szCs w:val="28"/>
                <w:u w:val="none"/>
                <w:lang w:eastAsia="zh-CN"/>
              </w:rPr>
            </w:pPr>
            <w:r>
              <w:rPr>
                <w:rFonts w:hint="eastAsia" w:asciiTheme="minorEastAsia" w:hAnsiTheme="minorEastAsia" w:eastAsiaTheme="minorEastAsia" w:cstheme="minorEastAsia"/>
                <w:color w:val="0C0C0C"/>
                <w:sz w:val="28"/>
                <w:szCs w:val="28"/>
                <w:u w:val="none"/>
                <w:lang w:val="en-US" w:eastAsia="zh-CN"/>
              </w:rPr>
              <w:t>2</w:t>
            </w:r>
          </w:p>
        </w:tc>
        <w:tc>
          <w:tcPr>
            <w:tcW w:w="7619" w:type="dxa"/>
            <w:noWrap w:val="0"/>
            <w:vAlign w:val="center"/>
          </w:tcPr>
          <w:p>
            <w:pPr>
              <w:spacing w:line="360" w:lineRule="auto"/>
              <w:jc w:val="left"/>
              <w:rPr>
                <w:rFonts w:hint="eastAsia" w:asciiTheme="minorEastAsia" w:hAnsiTheme="minorEastAsia" w:eastAsiaTheme="minorEastAsia" w:cstheme="minorEastAsia"/>
                <w:bCs/>
                <w:color w:val="0C0C0C"/>
                <w:sz w:val="28"/>
                <w:szCs w:val="28"/>
              </w:rPr>
            </w:pPr>
            <w:r>
              <w:rPr>
                <w:rFonts w:hint="eastAsia" w:asciiTheme="minorEastAsia" w:hAnsiTheme="minorEastAsia" w:eastAsiaTheme="minorEastAsia" w:cstheme="minorEastAsia"/>
                <w:bCs/>
                <w:color w:val="0C0C0C"/>
                <w:sz w:val="28"/>
                <w:szCs w:val="28"/>
              </w:rPr>
              <w:t>法定代表人身份证明书必须按磋商文件规定格式完整提供，并要盖投标人章；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67" w:type="dxa"/>
            <w:noWrap w:val="0"/>
            <w:vAlign w:val="center"/>
          </w:tcPr>
          <w:p>
            <w:pPr>
              <w:spacing w:line="360" w:lineRule="auto"/>
              <w:jc w:val="center"/>
              <w:rPr>
                <w:rFonts w:hint="eastAsia" w:asciiTheme="minorEastAsia" w:hAnsiTheme="minorEastAsia" w:eastAsiaTheme="minorEastAsia" w:cstheme="minorEastAsia"/>
                <w:bCs/>
                <w:color w:val="0C0C0C"/>
                <w:sz w:val="28"/>
                <w:szCs w:val="28"/>
                <w:u w:val="none"/>
                <w:lang w:eastAsia="zh-CN"/>
              </w:rPr>
            </w:pPr>
            <w:r>
              <w:rPr>
                <w:rFonts w:hint="eastAsia" w:asciiTheme="minorEastAsia" w:hAnsiTheme="minorEastAsia" w:eastAsiaTheme="minorEastAsia" w:cstheme="minorEastAsia"/>
                <w:color w:val="0C0C0C"/>
                <w:sz w:val="28"/>
                <w:szCs w:val="28"/>
                <w:u w:val="none"/>
                <w:lang w:val="en-US" w:eastAsia="zh-CN"/>
              </w:rPr>
              <w:t>3</w:t>
            </w:r>
          </w:p>
        </w:tc>
        <w:tc>
          <w:tcPr>
            <w:tcW w:w="7619" w:type="dxa"/>
            <w:noWrap w:val="0"/>
            <w:vAlign w:val="center"/>
          </w:tcPr>
          <w:p>
            <w:pPr>
              <w:spacing w:line="360" w:lineRule="auto"/>
              <w:jc w:val="left"/>
              <w:rPr>
                <w:rFonts w:hint="eastAsia" w:asciiTheme="minorEastAsia" w:hAnsiTheme="minorEastAsia" w:eastAsiaTheme="minorEastAsia" w:cstheme="minorEastAsia"/>
                <w:bCs/>
                <w:color w:val="0C0C0C"/>
                <w:sz w:val="28"/>
                <w:szCs w:val="28"/>
              </w:rPr>
            </w:pPr>
            <w:r>
              <w:rPr>
                <w:rFonts w:hint="eastAsia" w:asciiTheme="minorEastAsia" w:hAnsiTheme="minorEastAsia" w:eastAsiaTheme="minorEastAsia" w:cstheme="minorEastAsia"/>
                <w:bCs/>
                <w:color w:val="0C0C0C"/>
                <w:sz w:val="28"/>
                <w:szCs w:val="28"/>
              </w:rPr>
              <w:t>法定代表人授权委托书必须按磋商文件规定格式完整提供，并要盖投标人章、法定代表人章；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360" w:lineRule="auto"/>
              <w:jc w:val="center"/>
              <w:rPr>
                <w:rFonts w:hint="eastAsia" w:asciiTheme="minorEastAsia" w:hAnsiTheme="minorEastAsia" w:eastAsiaTheme="minorEastAsia" w:cstheme="minorEastAsia"/>
                <w:bCs/>
                <w:color w:val="0C0C0C"/>
                <w:sz w:val="28"/>
                <w:szCs w:val="28"/>
                <w:u w:val="none"/>
                <w:lang w:eastAsia="zh-CN"/>
              </w:rPr>
            </w:pPr>
            <w:r>
              <w:rPr>
                <w:rFonts w:hint="eastAsia" w:asciiTheme="minorEastAsia" w:hAnsiTheme="minorEastAsia" w:eastAsiaTheme="minorEastAsia" w:cstheme="minorEastAsia"/>
                <w:color w:val="0C0C0C"/>
                <w:sz w:val="28"/>
                <w:szCs w:val="28"/>
                <w:u w:val="none"/>
                <w:lang w:val="en-US" w:eastAsia="zh-CN"/>
              </w:rPr>
              <w:t>4</w:t>
            </w:r>
          </w:p>
        </w:tc>
        <w:tc>
          <w:tcPr>
            <w:tcW w:w="7619" w:type="dxa"/>
            <w:noWrap w:val="0"/>
            <w:vAlign w:val="center"/>
          </w:tcPr>
          <w:p>
            <w:pPr>
              <w:spacing w:line="360" w:lineRule="auto"/>
              <w:jc w:val="left"/>
              <w:rPr>
                <w:rFonts w:hint="eastAsia" w:asciiTheme="minorEastAsia" w:hAnsiTheme="minorEastAsia" w:eastAsiaTheme="minorEastAsia" w:cstheme="minorEastAsia"/>
                <w:bCs/>
                <w:color w:val="0C0C0C"/>
                <w:sz w:val="28"/>
                <w:szCs w:val="28"/>
              </w:rPr>
            </w:pPr>
            <w:r>
              <w:rPr>
                <w:rFonts w:hint="eastAsia" w:asciiTheme="minorEastAsia" w:hAnsiTheme="minorEastAsia" w:eastAsiaTheme="minorEastAsia" w:cstheme="minorEastAsia"/>
                <w:color w:val="0C0C0C"/>
                <w:sz w:val="28"/>
                <w:szCs w:val="28"/>
              </w:rPr>
              <w:t>响应文件封面右上角必须注明“正本”或“副本”字样；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360" w:lineRule="auto"/>
              <w:jc w:val="center"/>
              <w:rPr>
                <w:rFonts w:hint="eastAsia" w:asciiTheme="minorEastAsia" w:hAnsiTheme="minorEastAsia" w:eastAsiaTheme="minorEastAsia" w:cstheme="minorEastAsia"/>
                <w:color w:val="0C0C0C"/>
                <w:sz w:val="28"/>
                <w:szCs w:val="28"/>
                <w:u w:val="none"/>
                <w:lang w:val="en-US" w:eastAsia="zh-CN"/>
              </w:rPr>
            </w:pPr>
            <w:r>
              <w:rPr>
                <w:rFonts w:hint="eastAsia" w:asciiTheme="minorEastAsia" w:hAnsiTheme="minorEastAsia" w:eastAsiaTheme="minorEastAsia" w:cstheme="minorEastAsia"/>
                <w:color w:val="0C0C0C"/>
                <w:sz w:val="28"/>
                <w:szCs w:val="28"/>
                <w:u w:val="none"/>
                <w:lang w:val="en-US" w:eastAsia="zh-CN"/>
              </w:rPr>
              <w:t>5</w:t>
            </w:r>
          </w:p>
        </w:tc>
        <w:tc>
          <w:tcPr>
            <w:tcW w:w="7619" w:type="dxa"/>
            <w:noWrap w:val="0"/>
            <w:vAlign w:val="center"/>
          </w:tcPr>
          <w:p>
            <w:pPr>
              <w:spacing w:line="360" w:lineRule="auto"/>
              <w:jc w:val="left"/>
              <w:rPr>
                <w:rFonts w:hint="eastAsia" w:asciiTheme="minorEastAsia" w:hAnsiTheme="minorEastAsia" w:eastAsiaTheme="minorEastAsia" w:cstheme="minorEastAsia"/>
                <w:color w:val="0C0C0C"/>
                <w:sz w:val="28"/>
                <w:szCs w:val="28"/>
              </w:rPr>
            </w:pPr>
            <w:r>
              <w:rPr>
                <w:rFonts w:hint="eastAsia" w:asciiTheme="minorEastAsia" w:hAnsiTheme="minorEastAsia" w:eastAsiaTheme="minorEastAsia" w:cstheme="minorEastAsia"/>
                <w:color w:val="0C0C0C"/>
                <w:sz w:val="28"/>
                <w:szCs w:val="28"/>
              </w:rPr>
              <w:t>投标人的投标报价不得超过最高限价，且任何有选择的报价将被拒绝。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360" w:lineRule="auto"/>
              <w:jc w:val="left"/>
              <w:rPr>
                <w:rFonts w:hint="eastAsia" w:asciiTheme="minorEastAsia" w:hAnsiTheme="minorEastAsia" w:eastAsiaTheme="minorEastAsia" w:cstheme="minorEastAsia"/>
                <w:color w:val="0C0C0C"/>
                <w:sz w:val="28"/>
                <w:szCs w:val="28"/>
                <w:lang w:eastAsia="zh-CN"/>
              </w:rPr>
            </w:pPr>
            <w:r>
              <w:rPr>
                <w:rFonts w:hint="eastAsia" w:asciiTheme="minorEastAsia" w:hAnsiTheme="minorEastAsia" w:eastAsiaTheme="minorEastAsia" w:cstheme="minorEastAsia"/>
                <w:color w:val="0C0C0C"/>
                <w:sz w:val="28"/>
                <w:szCs w:val="28"/>
                <w:lang w:eastAsia="zh-CN"/>
              </w:rPr>
              <w:t>备注</w:t>
            </w:r>
          </w:p>
        </w:tc>
        <w:tc>
          <w:tcPr>
            <w:tcW w:w="7619" w:type="dxa"/>
            <w:noWrap w:val="0"/>
            <w:vAlign w:val="center"/>
          </w:tcPr>
          <w:p>
            <w:pPr>
              <w:spacing w:line="360" w:lineRule="auto"/>
              <w:jc w:val="left"/>
              <w:rPr>
                <w:rFonts w:hint="eastAsia" w:asciiTheme="minorEastAsia" w:hAnsiTheme="minorEastAsia" w:eastAsiaTheme="minorEastAsia" w:cstheme="minorEastAsia"/>
                <w:bCs/>
                <w:color w:val="0C0C0C"/>
                <w:sz w:val="28"/>
                <w:szCs w:val="28"/>
              </w:rPr>
            </w:pPr>
            <w:r>
              <w:rPr>
                <w:rFonts w:hint="eastAsia" w:asciiTheme="minorEastAsia" w:hAnsiTheme="minorEastAsia" w:eastAsiaTheme="minorEastAsia" w:cstheme="minorEastAsia"/>
                <w:bCs/>
                <w:color w:val="0C0C0C"/>
                <w:sz w:val="28"/>
                <w:szCs w:val="28"/>
              </w:rPr>
              <w:t>再次重申：投标人请认真阅读和理解上述内容，避免响应文件中有违背上述审查标准之一的情况发生而造成废标。</w:t>
            </w:r>
          </w:p>
        </w:tc>
      </w:tr>
    </w:tbl>
    <w:p>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Cs/>
          <w:sz w:val="28"/>
          <w:szCs w:val="28"/>
        </w:rPr>
        <w:t>评标委员会将对投标人递交的磋商文件按《</w:t>
      </w:r>
      <w:r>
        <w:rPr>
          <w:rFonts w:hint="eastAsia" w:asciiTheme="minorEastAsia" w:hAnsiTheme="minorEastAsia" w:eastAsiaTheme="minorEastAsia" w:cstheme="minorEastAsia"/>
          <w:sz w:val="28"/>
          <w:szCs w:val="28"/>
        </w:rPr>
        <w:t>响应文件完备性及符合性审查标准》</w:t>
      </w:r>
      <w:r>
        <w:rPr>
          <w:rFonts w:hint="eastAsia" w:asciiTheme="minorEastAsia" w:hAnsiTheme="minorEastAsia" w:eastAsiaTheme="minorEastAsia" w:cstheme="minorEastAsia"/>
          <w:bCs/>
          <w:sz w:val="28"/>
          <w:szCs w:val="28"/>
        </w:rPr>
        <w:t>进行审查。如果响应文件中有一项未通过审查标准，评标委员会将认定该响应文件不响应磋商文件而予以废标，并且不允许投标人通过修改或撤销其不符合要求的差异或保留，使之成为具有响应性的投标。</w:t>
      </w:r>
    </w:p>
    <w:p>
      <w:pPr>
        <w:rPr>
          <w:rFonts w:hint="eastAsia"/>
        </w:rPr>
      </w:pPr>
    </w:p>
    <w:p>
      <w:pPr>
        <w:pStyle w:val="7"/>
        <w:rPr>
          <w:rFonts w:hint="eastAsia"/>
        </w:rPr>
      </w:pP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21"/>
        <w:gridCol w:w="701"/>
        <w:gridCol w:w="435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237"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评审内容</w:t>
            </w:r>
          </w:p>
        </w:tc>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分值</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评审标准</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价格</w:t>
            </w:r>
          </w:p>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分</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投标报价</w:t>
            </w:r>
          </w:p>
        </w:tc>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价格分统一采用低价优先法计算，即满足招标文件要求且评标价格最低的报价为评标基准价，其价格分为满分。其他供应商的价格分统一按照下列公式计算：</w:t>
            </w:r>
          </w:p>
          <w:p>
            <w:pPr>
              <w:spacing w:line="276"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报价得分=(评标基准价／评标价格)×</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%×100</w:t>
            </w:r>
          </w:p>
          <w:p>
            <w:pPr>
              <w:spacing w:line="276"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价格评审中，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116" w:type="dxa"/>
            <w:vMerge w:val="restart"/>
            <w:tcBorders>
              <w:top w:val="single" w:color="auto" w:sz="4" w:space="0"/>
              <w:left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技术部分</w:t>
            </w:r>
          </w:p>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w:t>
            </w:r>
            <w:r>
              <w:rPr>
                <w:rFonts w:hint="eastAsia" w:asciiTheme="minorEastAsia" w:hAnsiTheme="minorEastAsia" w:eastAsiaTheme="minorEastAsia" w:cstheme="minorEastAsia"/>
                <w:sz w:val="28"/>
                <w:szCs w:val="28"/>
              </w:rPr>
              <w:t>分</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技术响应情况</w:t>
            </w:r>
          </w:p>
        </w:tc>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30</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rPr>
              <w:t>完全满足招标文件-采购需求中的技术参数与功能要求的得</w:t>
            </w:r>
            <w:r>
              <w:rPr>
                <w:rFonts w:hint="eastAsia" w:asciiTheme="minorEastAsia" w:hAnsiTheme="minorEastAsia" w:eastAsiaTheme="minorEastAsia" w:cstheme="minorEastAsia"/>
                <w:color w:val="auto"/>
                <w:kern w:val="0"/>
                <w:sz w:val="28"/>
                <w:szCs w:val="28"/>
                <w:highlight w:val="none"/>
                <w:lang w:val="en-US" w:eastAsia="zh-CN"/>
              </w:rPr>
              <w:t>30</w:t>
            </w:r>
            <w:r>
              <w:rPr>
                <w:rFonts w:hint="eastAsia" w:asciiTheme="minorEastAsia" w:hAnsiTheme="minorEastAsia" w:eastAsiaTheme="minorEastAsia" w:cstheme="minorEastAsia"/>
                <w:color w:val="auto"/>
                <w:kern w:val="0"/>
                <w:sz w:val="28"/>
                <w:szCs w:val="28"/>
                <w:highlight w:val="none"/>
              </w:rPr>
              <w:t>分，在此基础上，有一项不满足，扣</w:t>
            </w:r>
            <w:r>
              <w:rPr>
                <w:rFonts w:hint="eastAsia" w:asciiTheme="minorEastAsia" w:hAnsiTheme="minorEastAsia" w:eastAsiaTheme="minorEastAsia" w:cstheme="minorEastAsia"/>
                <w:color w:val="auto"/>
                <w:kern w:val="0"/>
                <w:sz w:val="28"/>
                <w:szCs w:val="28"/>
                <w:highlight w:val="none"/>
                <w:lang w:val="en-US" w:eastAsia="zh-CN"/>
              </w:rPr>
              <w:t>1</w:t>
            </w:r>
            <w:r>
              <w:rPr>
                <w:rFonts w:hint="eastAsia" w:asciiTheme="minorEastAsia" w:hAnsiTheme="minorEastAsia" w:eastAsiaTheme="minorEastAsia" w:cstheme="minorEastAsia"/>
                <w:color w:val="auto"/>
                <w:kern w:val="0"/>
                <w:sz w:val="28"/>
                <w:szCs w:val="28"/>
                <w:highlight w:val="none"/>
              </w:rPr>
              <w:t>分</w:t>
            </w:r>
            <w:r>
              <w:rPr>
                <w:rFonts w:hint="eastAsia" w:asciiTheme="minorEastAsia" w:hAnsiTheme="minorEastAsia" w:eastAsiaTheme="minorEastAsia" w:cstheme="minorEastAsia"/>
                <w:color w:val="auto"/>
                <w:kern w:val="0"/>
                <w:sz w:val="28"/>
                <w:szCs w:val="28"/>
                <w:highlight w:val="none"/>
                <w:lang w:val="en-US" w:eastAsia="zh-CN"/>
              </w:rPr>
              <w:t>扣完为止</w:t>
            </w:r>
            <w:r>
              <w:rPr>
                <w:rFonts w:hint="eastAsia" w:asciiTheme="minorEastAsia" w:hAnsiTheme="minorEastAsia" w:eastAsiaTheme="minorEastAsia" w:cstheme="minorEastAsia"/>
                <w:color w:val="auto"/>
                <w:kern w:val="0"/>
                <w:sz w:val="28"/>
                <w:szCs w:val="28"/>
                <w:highlight w:val="none"/>
              </w:rPr>
              <w:t>。</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vMerge w:val="continue"/>
            <w:tcBorders>
              <w:left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项目实施</w:t>
            </w:r>
            <w:r>
              <w:rPr>
                <w:rFonts w:hint="eastAsia" w:asciiTheme="minorEastAsia" w:hAnsiTheme="minorEastAsia" w:eastAsiaTheme="minorEastAsia" w:cstheme="minorEastAsia"/>
                <w:sz w:val="28"/>
                <w:szCs w:val="28"/>
                <w:lang w:val="en-US" w:eastAsia="zh-CN"/>
              </w:rPr>
              <w:t>方案</w:t>
            </w:r>
          </w:p>
        </w:tc>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5</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rPr>
              <w:t>根据投标人服务方案中：a.服务方案完整性；b.服务人员组成合理分工明确；c.服务措施完善可行</w:t>
            </w:r>
            <w:r>
              <w:rPr>
                <w:rFonts w:hint="eastAsia" w:asciiTheme="minorEastAsia" w:hAnsiTheme="minorEastAsia" w:eastAsiaTheme="minorEastAsia" w:cstheme="minorEastAsia"/>
                <w:color w:val="auto"/>
                <w:kern w:val="0"/>
                <w:sz w:val="28"/>
                <w:szCs w:val="28"/>
                <w:highlight w:val="none"/>
                <w:lang w:val="en-US" w:eastAsia="zh-CN"/>
              </w:rPr>
              <w:t>得25</w:t>
            </w:r>
            <w:r>
              <w:rPr>
                <w:rFonts w:hint="eastAsia" w:asciiTheme="minorEastAsia" w:hAnsiTheme="minorEastAsia" w:eastAsiaTheme="minorEastAsia" w:cstheme="minorEastAsia"/>
                <w:color w:val="auto"/>
                <w:kern w:val="0"/>
                <w:sz w:val="28"/>
                <w:szCs w:val="28"/>
                <w:highlight w:val="none"/>
              </w:rPr>
              <w:t>；方案较完整、分工较明确、措施较完善可行、较合理可行的计得</w:t>
            </w:r>
            <w:r>
              <w:rPr>
                <w:rFonts w:hint="eastAsia" w:asciiTheme="minorEastAsia" w:hAnsiTheme="minorEastAsia" w:eastAsiaTheme="minorEastAsia" w:cstheme="minorEastAsia"/>
                <w:color w:val="auto"/>
                <w:kern w:val="0"/>
                <w:sz w:val="28"/>
                <w:szCs w:val="28"/>
                <w:highlight w:val="none"/>
                <w:lang w:val="en-US" w:eastAsia="zh-CN"/>
              </w:rPr>
              <w:t>20</w:t>
            </w:r>
            <w:r>
              <w:rPr>
                <w:rFonts w:hint="eastAsia" w:asciiTheme="minorEastAsia" w:hAnsiTheme="minorEastAsia" w:eastAsiaTheme="minorEastAsia" w:cstheme="minorEastAsia"/>
                <w:color w:val="auto"/>
                <w:kern w:val="0"/>
                <w:sz w:val="28"/>
                <w:szCs w:val="28"/>
                <w:highlight w:val="none"/>
              </w:rPr>
              <w:t>分</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 xml:space="preserve">方案基本完整、分工基本明确、措施基本完善可行的得 </w:t>
            </w:r>
            <w:r>
              <w:rPr>
                <w:rFonts w:hint="eastAsia" w:asciiTheme="minorEastAsia" w:hAnsiTheme="minorEastAsia" w:eastAsiaTheme="minorEastAsia" w:cstheme="minorEastAsia"/>
                <w:color w:val="auto"/>
                <w:kern w:val="0"/>
                <w:sz w:val="28"/>
                <w:szCs w:val="28"/>
                <w:highlight w:val="none"/>
                <w:lang w:val="en-US" w:eastAsia="zh-CN"/>
              </w:rPr>
              <w:t>15</w:t>
            </w:r>
            <w:r>
              <w:rPr>
                <w:rFonts w:hint="eastAsia" w:asciiTheme="minorEastAsia" w:hAnsiTheme="minorEastAsia" w:eastAsiaTheme="minorEastAsia" w:cstheme="minorEastAsia"/>
                <w:color w:val="auto"/>
                <w:kern w:val="0"/>
                <w:sz w:val="28"/>
                <w:szCs w:val="28"/>
                <w:highlight w:val="none"/>
              </w:rPr>
              <w:t xml:space="preserve"> 分，差的或没有提供的计 0 分；</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116" w:type="dxa"/>
            <w:vMerge w:val="continue"/>
            <w:tcBorders>
              <w:left w:val="single" w:color="auto" w:sz="4" w:space="0"/>
              <w:right w:val="single" w:color="auto" w:sz="4" w:space="0"/>
            </w:tcBorders>
            <w:noWrap w:val="0"/>
            <w:vAlign w:val="center"/>
          </w:tcPr>
          <w:p>
            <w:pPr>
              <w:spacing w:line="276" w:lineRule="auto"/>
              <w:ind w:firstLine="480"/>
              <w:jc w:val="center"/>
              <w:rPr>
                <w:rFonts w:hint="eastAsia" w:asciiTheme="minorEastAsia" w:hAnsiTheme="minorEastAsia" w:eastAsiaTheme="minorEastAsia" w:cstheme="minorEastAsia"/>
                <w:sz w:val="28"/>
                <w:szCs w:val="28"/>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项目实施进度计划</w:t>
            </w:r>
          </w:p>
        </w:tc>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项目实施进度计划、实施阶段和工作分解结构划分、进度计划制定情况：科学合理得5分；一般得3分；较差</w:t>
            </w:r>
            <w:r>
              <w:rPr>
                <w:rFonts w:hint="eastAsia" w:asciiTheme="minorEastAsia" w:hAnsiTheme="minorEastAsia" w:eastAsiaTheme="minorEastAsia" w:cstheme="minorEastAsia"/>
                <w:sz w:val="28"/>
                <w:szCs w:val="28"/>
                <w:lang w:val="en-US" w:eastAsia="zh-CN"/>
              </w:rPr>
              <w:t>、不提供</w:t>
            </w:r>
            <w:r>
              <w:rPr>
                <w:rFonts w:hint="eastAsia" w:asciiTheme="minorEastAsia" w:hAnsiTheme="minorEastAsia" w:eastAsiaTheme="minorEastAsia" w:cstheme="minorEastAsia"/>
                <w:sz w:val="28"/>
                <w:szCs w:val="28"/>
              </w:rPr>
              <w:t>得0分。</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116" w:type="dxa"/>
            <w:vMerge w:val="continue"/>
            <w:tcBorders>
              <w:left w:val="single" w:color="auto" w:sz="4" w:space="0"/>
              <w:right w:val="single" w:color="auto" w:sz="4" w:space="0"/>
            </w:tcBorders>
            <w:noWrap w:val="0"/>
            <w:vAlign w:val="center"/>
          </w:tcPr>
          <w:p>
            <w:pPr>
              <w:spacing w:line="276" w:lineRule="auto"/>
              <w:ind w:firstLine="480"/>
              <w:jc w:val="center"/>
              <w:rPr>
                <w:rFonts w:hint="eastAsia" w:asciiTheme="minorEastAsia" w:hAnsiTheme="minorEastAsia" w:eastAsiaTheme="minorEastAsia" w:cstheme="minorEastAsia"/>
                <w:sz w:val="28"/>
                <w:szCs w:val="28"/>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应急响应</w:t>
            </w:r>
          </w:p>
        </w:tc>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contextualSpacing/>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应急方案全面、能满足项目要求的，确保在出现事故时处理问题的响应时间小于12小时得5分；能基本满足项目要求的，在8小时内解决问题得3分；不能满足项目要求的得0分。 </w:t>
            </w:r>
          </w:p>
          <w:p>
            <w:pPr>
              <w:widowControl/>
              <w:spacing w:line="340" w:lineRule="exact"/>
              <w:contextualSpacing/>
              <w:rPr>
                <w:rFonts w:hint="eastAsia" w:asciiTheme="minorEastAsia" w:hAnsiTheme="minorEastAsia" w:eastAsiaTheme="minorEastAsia" w:cstheme="minorEastAsia"/>
                <w:sz w:val="28"/>
                <w:szCs w:val="28"/>
                <w:lang w:val="en-US" w:eastAsia="zh-CN"/>
              </w:rPr>
            </w:pPr>
          </w:p>
          <w:p>
            <w:pPr>
              <w:spacing w:line="276" w:lineRule="auto"/>
              <w:rPr>
                <w:rFonts w:hint="eastAsia" w:asciiTheme="minorEastAsia" w:hAnsiTheme="minorEastAsia" w:eastAsiaTheme="minorEastAsia" w:cstheme="minorEastAsia"/>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111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商务部分</w:t>
            </w:r>
          </w:p>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分</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企业实力、商业信誉及履约能力</w:t>
            </w:r>
          </w:p>
        </w:tc>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1、投标人具有AAA级资信等级证书，得</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分；</w:t>
            </w:r>
          </w:p>
          <w:p>
            <w:pPr>
              <w:pStyle w:val="2"/>
              <w:ind w:left="0" w:leftChars="0" w:firstLine="0" w:firstLineChars="0"/>
              <w:rPr>
                <w:rFonts w:hint="eastAsia" w:asciiTheme="minorEastAsia" w:hAnsiTheme="minorEastAsia" w:eastAsiaTheme="minorEastAsia" w:cstheme="minorEastAsia"/>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80"/>
              <w:jc w:val="left"/>
              <w:rPr>
                <w:rFonts w:hint="eastAsia" w:asciiTheme="minorEastAsia" w:hAnsiTheme="minorEastAsia" w:eastAsiaTheme="minorEastAsia" w:cstheme="minorEastAsia"/>
                <w:sz w:val="28"/>
                <w:szCs w:val="28"/>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同类项目业绩</w:t>
            </w:r>
          </w:p>
        </w:tc>
        <w:tc>
          <w:tcPr>
            <w:tcW w:w="70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p>
        </w:tc>
        <w:tc>
          <w:tcPr>
            <w:tcW w:w="435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自2019年1月1日起，具有</w:t>
            </w:r>
            <w:r>
              <w:rPr>
                <w:rFonts w:hint="eastAsia" w:asciiTheme="minorEastAsia" w:hAnsiTheme="minorEastAsia" w:eastAsiaTheme="minorEastAsia" w:cstheme="minorEastAsia"/>
                <w:sz w:val="28"/>
                <w:szCs w:val="28"/>
                <w:lang w:val="en-US" w:eastAsia="zh-CN"/>
              </w:rPr>
              <w:t>无人机相关</w:t>
            </w:r>
            <w:r>
              <w:rPr>
                <w:rFonts w:hint="eastAsia" w:asciiTheme="minorEastAsia" w:hAnsiTheme="minorEastAsia" w:eastAsiaTheme="minorEastAsia" w:cstheme="minorEastAsia"/>
                <w:sz w:val="28"/>
                <w:szCs w:val="28"/>
              </w:rPr>
              <w:t>业绩，每一份得1分，满分</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分。提供以下证明材料：合同扫描件</w:t>
            </w:r>
            <w:r>
              <w:rPr>
                <w:rFonts w:hint="eastAsia" w:asciiTheme="minorEastAsia" w:hAnsiTheme="minorEastAsia" w:eastAsiaTheme="minorEastAsia" w:cstheme="minorEastAsia"/>
                <w:sz w:val="28"/>
                <w:szCs w:val="28"/>
                <w:lang w:eastAsia="zh-CN"/>
              </w:rPr>
              <w:t>。</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8"/>
                <w:szCs w:val="28"/>
              </w:rPr>
            </w:pPr>
          </w:p>
        </w:tc>
      </w:tr>
    </w:tbl>
    <w:p>
      <w:pPr>
        <w:rPr>
          <w:rFonts w:hint="eastAsia" w:asciiTheme="minorEastAsia" w:hAnsiTheme="minorEastAsia" w:eastAsiaTheme="minorEastAsia" w:cstheme="minorEastAsia"/>
          <w:sz w:val="22"/>
          <w:szCs w:val="21"/>
        </w:rPr>
      </w:pPr>
    </w:p>
    <w:p>
      <w:pPr>
        <w:pStyle w:val="10"/>
        <w:spacing w:before="3"/>
        <w:ind w:left="0"/>
        <w:rPr>
          <w:rFonts w:hint="eastAsia" w:asciiTheme="minorEastAsia" w:hAnsiTheme="minorEastAsia" w:eastAsiaTheme="minorEastAsia" w:cstheme="minorEastAsia"/>
          <w:b/>
          <w:sz w:val="32"/>
          <w:szCs w:val="21"/>
        </w:rPr>
      </w:pPr>
    </w:p>
    <w:p>
      <w:pPr>
        <w:pStyle w:val="8"/>
        <w:numPr>
          <w:ilvl w:val="0"/>
          <w:numId w:val="0"/>
        </w:numPr>
        <w:rPr>
          <w:rFonts w:hint="eastAsia" w:asciiTheme="minorEastAsia" w:hAnsiTheme="minorEastAsia" w:eastAsiaTheme="minorEastAsia" w:cstheme="minorEastAsia"/>
          <w:sz w:val="22"/>
          <w:szCs w:val="28"/>
        </w:rPr>
      </w:pP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w:t>
      </w:r>
      <w:r>
        <w:rPr>
          <w:rFonts w:hint="eastAsia" w:asciiTheme="minorEastAsia" w:hAnsiTheme="minorEastAsia" w:eastAsiaTheme="minorEastAsia" w:cstheme="minorEastAsia"/>
          <w:color w:val="auto"/>
          <w:sz w:val="28"/>
          <w:szCs w:val="28"/>
        </w:rPr>
        <w:t xml:space="preserve">（1）如供应商为小微企业，需提供《小微企业声明函》及相关证明文件，对小型和微型企业产品的价格给予6%的扣除，用扣除后的价格参与评审。  </w:t>
      </w:r>
      <w:r>
        <w:rPr>
          <w:rFonts w:hint="eastAsia" w:asciiTheme="minorEastAsia" w:hAnsiTheme="minorEastAsia" w:eastAsiaTheme="minorEastAsia" w:cstheme="minorEastAsia"/>
          <w:color w:val="0000FF"/>
          <w:sz w:val="28"/>
          <w:szCs w:val="28"/>
        </w:rPr>
        <w:t xml:space="preserve"> </w:t>
      </w:r>
      <w:r>
        <w:rPr>
          <w:rFonts w:hint="eastAsia" w:asciiTheme="minorEastAsia" w:hAnsiTheme="minorEastAsia" w:eastAsiaTheme="minorEastAsia" w:cstheme="minorEastAsia"/>
          <w:sz w:val="28"/>
          <w:szCs w:val="28"/>
        </w:rPr>
        <w:t xml:space="preserve">                              </w:t>
      </w:r>
    </w:p>
    <w:p>
      <w:pPr>
        <w:spacing w:line="460" w:lineRule="exact"/>
        <w:jc w:val="left"/>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bCs/>
          <w:sz w:val="28"/>
          <w:szCs w:val="21"/>
        </w:rPr>
        <w:t>26.4</w:t>
      </w:r>
      <w:r>
        <w:rPr>
          <w:rFonts w:hint="eastAsia" w:asciiTheme="minorEastAsia" w:hAnsiTheme="minorEastAsia" w:eastAsiaTheme="minorEastAsia" w:cstheme="minorEastAsia"/>
          <w:sz w:val="28"/>
          <w:szCs w:val="28"/>
          <w:shd w:val="clear" w:color="auto" w:fill="FFFFFF"/>
        </w:rPr>
        <w:t>磋商小组应当根据综合评分情况，按照评审得分由高到低顺序推荐3名成交候选供应商。评审得分相同的，按照最后报价由低到高的顺序推荐。评审得分且最后报价相同的，按照技术指标优劣顺序推荐。</w:t>
      </w:r>
    </w:p>
    <w:p>
      <w:pPr>
        <w:spacing w:line="420" w:lineRule="exact"/>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420" w:lineRule="exact"/>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27．磋商过程的保密性</w:t>
      </w:r>
    </w:p>
    <w:p>
      <w:pPr>
        <w:spacing w:line="420" w:lineRule="exact"/>
        <w:ind w:left="552" w:hanging="644" w:hangingChars="23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spacing w:line="420" w:lineRule="exact"/>
        <w:ind w:left="552" w:hanging="644" w:hangingChars="230"/>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27.2 供应商在磋商过程中，所进行的力图影响磋商结果的，不符合《政府采购法》及本次磋商中有关规定的活动，将被取消其磋商资格。</w:t>
      </w:r>
    </w:p>
    <w:p>
      <w:pPr>
        <w:spacing w:line="420" w:lineRule="exact"/>
        <w:ind w:left="552" w:hanging="644" w:hangingChars="230"/>
        <w:rPr>
          <w:rFonts w:hint="eastAsia" w:asciiTheme="minorEastAsia" w:hAnsiTheme="minorEastAsia" w:eastAsiaTheme="minorEastAsia" w:cstheme="minorEastAsia"/>
          <w:sz w:val="28"/>
          <w:szCs w:val="21"/>
        </w:rPr>
      </w:pPr>
    </w:p>
    <w:p>
      <w:pPr>
        <w:pStyle w:val="4"/>
        <w:spacing w:before="100" w:beforeAutospacing="1" w:after="100" w:afterAutospacing="1" w:line="420" w:lineRule="exact"/>
        <w:jc w:val="center"/>
        <w:rPr>
          <w:rFonts w:hint="eastAsia" w:asciiTheme="minorEastAsia" w:hAnsiTheme="minorEastAsia" w:eastAsiaTheme="minorEastAsia" w:cstheme="minorEastAsia"/>
          <w:sz w:val="32"/>
          <w:szCs w:val="32"/>
        </w:rPr>
      </w:pPr>
      <w:bookmarkStart w:id="79" w:name="_Toc267301287"/>
      <w:bookmarkStart w:id="80" w:name="_Toc1080"/>
      <w:bookmarkStart w:id="81" w:name="_Toc349637925"/>
      <w:bookmarkStart w:id="82" w:name="_Toc298240410"/>
      <w:bookmarkStart w:id="83" w:name="_Toc12532078"/>
      <w:bookmarkStart w:id="84" w:name="_Toc349573126"/>
      <w:bookmarkStart w:id="85" w:name="_Toc31222"/>
      <w:r>
        <w:rPr>
          <w:rFonts w:hint="eastAsia" w:asciiTheme="minorEastAsia" w:hAnsiTheme="minorEastAsia" w:eastAsiaTheme="minorEastAsia" w:cstheme="minorEastAsia"/>
          <w:sz w:val="32"/>
          <w:szCs w:val="32"/>
        </w:rPr>
        <w:t>F  授予合同</w:t>
      </w:r>
      <w:bookmarkEnd w:id="79"/>
      <w:bookmarkEnd w:id="80"/>
      <w:bookmarkEnd w:id="81"/>
      <w:bookmarkEnd w:id="82"/>
      <w:bookmarkEnd w:id="83"/>
      <w:bookmarkEnd w:id="84"/>
      <w:bookmarkEnd w:id="85"/>
    </w:p>
    <w:p>
      <w:pPr>
        <w:pStyle w:val="11"/>
        <w:adjustRightInd w:val="0"/>
        <w:snapToGrid w:val="0"/>
        <w:spacing w:line="360" w:lineRule="auto"/>
        <w:ind w:firstLine="562" w:firstLineChars="200"/>
        <w:rPr>
          <w:rFonts w:hint="eastAsia" w:asciiTheme="minorEastAsia" w:hAnsiTheme="minorEastAsia" w:eastAsiaTheme="minorEastAsia" w:cstheme="minorEastAsia"/>
          <w:bCs/>
          <w:sz w:val="28"/>
          <w:szCs w:val="28"/>
        </w:rPr>
      </w:pPr>
      <w:bookmarkStart w:id="86" w:name="_Toc12532079"/>
      <w:bookmarkStart w:id="87" w:name="_Toc267301288"/>
      <w:r>
        <w:rPr>
          <w:rFonts w:hint="eastAsia" w:asciiTheme="minorEastAsia" w:hAnsiTheme="minorEastAsia" w:eastAsiaTheme="minorEastAsia" w:cstheme="minorEastAsia"/>
          <w:b/>
          <w:sz w:val="28"/>
          <w:szCs w:val="28"/>
        </w:rPr>
        <w:t xml:space="preserve">28.1 </w:t>
      </w:r>
      <w:r>
        <w:rPr>
          <w:rFonts w:hint="eastAsia" w:asciiTheme="minorEastAsia" w:hAnsiTheme="minorEastAsia" w:eastAsiaTheme="minorEastAsia" w:cstheme="minorEastAsia"/>
          <w:bCs/>
          <w:sz w:val="28"/>
          <w:szCs w:val="28"/>
        </w:rPr>
        <w:t>签订合同</w:t>
      </w:r>
    </w:p>
    <w:p>
      <w:pPr>
        <w:tabs>
          <w:tab w:val="left" w:pos="1875"/>
        </w:tabs>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28.1.1采购人应在成交通知书发出后30日内，根据成交结果和磋商文件、响应文件及有关补遗文件签订合同。</w:t>
      </w:r>
    </w:p>
    <w:p>
      <w:pPr>
        <w:tabs>
          <w:tab w:val="left" w:pos="1875"/>
        </w:tabs>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28.1.2采购人应按磋商文件要求和中标人的响应文件承诺订立书面合同，不得超出磋商文件和中标人响应文件的范围，也不得再另行订立背离合同实质性内容的其他协议。</w:t>
      </w:r>
    </w:p>
    <w:p>
      <w:pPr>
        <w:tabs>
          <w:tab w:val="left" w:pos="1875"/>
        </w:tabs>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28.1.3采购人应在《中标通知书》发出之日起30天内与中标人签订合同。签订政府采购合同后7个工作日内，采购人应将报相关部门和政府采购代理机构备案。</w:t>
      </w:r>
    </w:p>
    <w:bookmarkEnd w:id="86"/>
    <w:p>
      <w:pPr>
        <w:pStyle w:val="4"/>
        <w:jc w:val="center"/>
        <w:rPr>
          <w:rFonts w:hint="eastAsia" w:asciiTheme="minorEastAsia" w:hAnsiTheme="minorEastAsia" w:eastAsiaTheme="minorEastAsia" w:cstheme="minorEastAsia"/>
          <w:sz w:val="32"/>
          <w:szCs w:val="32"/>
        </w:rPr>
      </w:pPr>
      <w:bookmarkStart w:id="88" w:name="_Toc293738997"/>
      <w:bookmarkStart w:id="89" w:name="_Toc293736059"/>
      <w:bookmarkStart w:id="90" w:name="_Toc293736016"/>
      <w:bookmarkStart w:id="91" w:name="_Toc446599316"/>
      <w:bookmarkStart w:id="92" w:name="_Toc1819"/>
      <w:bookmarkStart w:id="93" w:name="_Toc30278"/>
      <w:bookmarkStart w:id="94" w:name="_Toc19404"/>
      <w:bookmarkStart w:id="95" w:name="_Toc17233"/>
      <w:r>
        <w:rPr>
          <w:rFonts w:hint="eastAsia" w:asciiTheme="minorEastAsia" w:hAnsiTheme="minorEastAsia" w:eastAsiaTheme="minorEastAsia" w:cstheme="minorEastAsia"/>
          <w:sz w:val="32"/>
          <w:szCs w:val="32"/>
        </w:rPr>
        <w:t>G、质疑</w:t>
      </w:r>
      <w:bookmarkEnd w:id="88"/>
      <w:bookmarkEnd w:id="89"/>
      <w:bookmarkEnd w:id="90"/>
      <w:bookmarkEnd w:id="91"/>
      <w:r>
        <w:rPr>
          <w:rFonts w:hint="eastAsia" w:asciiTheme="minorEastAsia" w:hAnsiTheme="minorEastAsia" w:eastAsiaTheme="minorEastAsia" w:cstheme="minorEastAsia"/>
          <w:sz w:val="32"/>
          <w:szCs w:val="32"/>
        </w:rPr>
        <w:t>和投诉</w:t>
      </w:r>
      <w:bookmarkEnd w:id="92"/>
      <w:bookmarkEnd w:id="93"/>
      <w:bookmarkEnd w:id="94"/>
      <w:bookmarkEnd w:id="95"/>
    </w:p>
    <w:p>
      <w:pPr>
        <w:wordWrap w:val="0"/>
        <w:spacing w:line="360" w:lineRule="auto"/>
        <w:ind w:firstLine="560" w:firstLineChars="200"/>
        <w:rPr>
          <w:rFonts w:hint="eastAsia" w:asciiTheme="minorEastAsia" w:hAnsiTheme="minorEastAsia" w:eastAsiaTheme="minorEastAsia" w:cstheme="minorEastAsia"/>
          <w:bCs/>
          <w:sz w:val="28"/>
          <w:szCs w:val="28"/>
        </w:rPr>
      </w:pPr>
      <w:bookmarkStart w:id="96" w:name="_Toc293736017"/>
      <w:bookmarkStart w:id="97" w:name="_Toc293736060"/>
      <w:bookmarkStart w:id="98" w:name="_Toc446599317"/>
      <w:bookmarkStart w:id="99" w:name="_Toc293738998"/>
      <w:bookmarkStart w:id="100" w:name="_Toc294515577"/>
      <w:r>
        <w:rPr>
          <w:rFonts w:hint="eastAsia" w:asciiTheme="minorEastAsia" w:hAnsiTheme="minorEastAsia" w:eastAsiaTheme="minorEastAsia" w:cstheme="minorEastAsia"/>
          <w:bCs/>
          <w:sz w:val="28"/>
          <w:szCs w:val="28"/>
        </w:rPr>
        <w:t>29.1质疑</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29.1.1供应商提出质疑应当符合以下条件：</w:t>
      </w:r>
    </w:p>
    <w:p>
      <w:pPr>
        <w:pStyle w:val="8"/>
        <w:wordWrap w:val="0"/>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如果供应商对此次采购活动有疑问，可依据《政府采购法》等相关规定，在规定的时间内以书面形式向采购人或代理机构提出质疑。质疑书应当包括下列主要内容：</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（1）质疑人的名称、地址、电话等；</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（2）质疑人法人签章和单位公章；</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（3）具体的质疑事项及事实依据；</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（4）明确的请求和必要（合法来源）的证明材料；</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（5）以联合体形式参与资格预审的，则必须联合体各方共同签署、盖章；</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（6）提起质疑的日期。</w:t>
      </w:r>
    </w:p>
    <w:p>
      <w:pPr>
        <w:pStyle w:val="8"/>
        <w:wordWrap w:val="0"/>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特注：未按上述程序规定的必备内容进行质疑的，采购人或代理机构将不予以受理。</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29.1.4被质疑人应当在受理质疑后7个工作日内作出答复，并以书面形式通知质疑人和其他有关供应商，答复内容仅限于供应商所质疑的内容，不得涉及国家秘密和商业秘密。</w:t>
      </w:r>
    </w:p>
    <w:p>
      <w:pPr>
        <w:spacing w:line="360" w:lineRule="auto"/>
        <w:ind w:firstLine="560" w:firstLineChars="200"/>
        <w:rPr>
          <w:rFonts w:hint="eastAsia" w:asciiTheme="minorEastAsia" w:hAnsiTheme="minorEastAsia" w:eastAsiaTheme="minorEastAsia" w:cstheme="minorEastAsia"/>
          <w:bCs/>
          <w:sz w:val="28"/>
          <w:szCs w:val="28"/>
        </w:rPr>
      </w:pPr>
      <w:bookmarkStart w:id="101" w:name="_Toc456336161"/>
      <w:bookmarkStart w:id="102" w:name="_Toc9365"/>
      <w:bookmarkStart w:id="103" w:name="_Toc450546725"/>
      <w:bookmarkStart w:id="104" w:name="_Toc483174929"/>
      <w:r>
        <w:rPr>
          <w:rFonts w:hint="eastAsia" w:asciiTheme="minorEastAsia" w:hAnsiTheme="minorEastAsia" w:eastAsiaTheme="minorEastAsia" w:cstheme="minorEastAsia"/>
          <w:bCs/>
          <w:sz w:val="28"/>
          <w:szCs w:val="28"/>
        </w:rPr>
        <w:t>29.2投诉</w:t>
      </w:r>
      <w:bookmarkEnd w:id="101"/>
      <w:bookmarkEnd w:id="102"/>
      <w:bookmarkEnd w:id="103"/>
      <w:bookmarkEnd w:id="104"/>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29.2.1质疑人如对被质疑人的质疑回复不满意或在规定时间内未做出回复的，可在答复期满后15个工作日内向本项目管辖内的政府采购监督部门提起投诉。供应商投诉应当有明确的请求和必要的证明材料。</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29.2.2投诉人提起投诉应符合以下条件：</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(1)投诉人应是参与项目的供应商；</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(2)投诉前已依法进行质疑；</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(3)投诉书内容符合中华人民共和国财政部20号令《政府采购供应商投诉处理办法》的规定；</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(4)在投诉有效期内；</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(5)同一投诉事项未经处理的；</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GB"/>
        </w:rPr>
        <w:t>(6)</w:t>
      </w:r>
      <w:r>
        <w:rPr>
          <w:rFonts w:hint="eastAsia" w:asciiTheme="minorEastAsia" w:hAnsiTheme="minorEastAsia" w:eastAsiaTheme="minorEastAsia" w:cstheme="minorEastAsia"/>
          <w:bCs/>
          <w:sz w:val="28"/>
          <w:szCs w:val="28"/>
        </w:rPr>
        <w:t>相关法律、法规和省级以上人民政府财政部门规定的其他条件。</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29.2.3供应商投诉时，应当当面提交投诉书，投诉书应当包括下列主要内容：</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(1)投诉人的姓名或者名称、住所、联系方式及相关证明；</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(2)被投诉人的名称、住所、联系方式；</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(3)具体的投诉事项、事实根据和法律依据；</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(4)质疑和质疑答复情况及相关证明材料；</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(5)提起投诉的日期。</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投诉人为自然人的，应当由本人签字。投诉人为法人的，应当由其法定代表人签字并加盖单位公章。投诉人为其他组织的，应当由其主要负责人签字盖章并加盖单位公章。</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29.2.5投诉人不符合上述规定提起的投诉，政府采购监督部门不予受理。</w:t>
      </w:r>
    </w:p>
    <w:p>
      <w:pPr>
        <w:pStyle w:val="4"/>
        <w:jc w:val="center"/>
        <w:rPr>
          <w:rFonts w:hint="eastAsia" w:asciiTheme="minorEastAsia" w:hAnsiTheme="minorEastAsia" w:eastAsiaTheme="minorEastAsia" w:cstheme="minorEastAsia"/>
          <w:b w:val="0"/>
          <w:bCs/>
          <w:kern w:val="0"/>
          <w:sz w:val="32"/>
          <w:szCs w:val="32"/>
        </w:rPr>
      </w:pPr>
      <w:bookmarkStart w:id="105" w:name="_Toc30694"/>
      <w:bookmarkStart w:id="106" w:name="_Toc18608"/>
      <w:bookmarkStart w:id="107" w:name="_Toc21328"/>
      <w:bookmarkStart w:id="108" w:name="_Toc11609"/>
      <w:r>
        <w:rPr>
          <w:rFonts w:hint="eastAsia" w:asciiTheme="minorEastAsia" w:hAnsiTheme="minorEastAsia" w:eastAsiaTheme="minorEastAsia" w:cstheme="minorEastAsia"/>
          <w:sz w:val="32"/>
          <w:szCs w:val="32"/>
        </w:rPr>
        <w:t>H、项目验收</w:t>
      </w:r>
      <w:bookmarkEnd w:id="96"/>
      <w:bookmarkEnd w:id="97"/>
      <w:bookmarkEnd w:id="98"/>
      <w:bookmarkEnd w:id="99"/>
      <w:bookmarkEnd w:id="100"/>
      <w:bookmarkEnd w:id="105"/>
      <w:bookmarkEnd w:id="106"/>
      <w:bookmarkEnd w:id="107"/>
      <w:bookmarkEnd w:id="108"/>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30.1采购单位按照政府采购合同规定的技术、服务、安全标准对供应商履约情况进行验收，并出具验收书。验收书包括每一项技术、服务、安全标准的履约情况。</w:t>
      </w:r>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30.2验收标准:磋商文件、响应文件、政府采购合同规定的标准。</w:t>
      </w:r>
    </w:p>
    <w:p>
      <w:pPr>
        <w:pStyle w:val="4"/>
        <w:jc w:val="center"/>
        <w:rPr>
          <w:rFonts w:hint="eastAsia" w:asciiTheme="minorEastAsia" w:hAnsiTheme="minorEastAsia" w:eastAsiaTheme="minorEastAsia" w:cstheme="minorEastAsia"/>
          <w:sz w:val="32"/>
          <w:szCs w:val="32"/>
        </w:rPr>
      </w:pPr>
      <w:bookmarkStart w:id="109" w:name="_Toc293736018"/>
      <w:bookmarkStart w:id="110" w:name="_Toc16262"/>
      <w:bookmarkStart w:id="111" w:name="_Toc293736061"/>
      <w:bookmarkStart w:id="112" w:name="_Toc29378"/>
      <w:bookmarkStart w:id="113" w:name="_Toc446599318"/>
      <w:bookmarkStart w:id="114" w:name="_Toc694"/>
      <w:bookmarkStart w:id="115" w:name="_Toc293738999"/>
      <w:bookmarkStart w:id="116" w:name="_Toc5044"/>
      <w:r>
        <w:rPr>
          <w:rFonts w:hint="eastAsia" w:asciiTheme="minorEastAsia" w:hAnsiTheme="minorEastAsia" w:eastAsiaTheme="minorEastAsia" w:cstheme="minorEastAsia"/>
          <w:sz w:val="32"/>
          <w:szCs w:val="32"/>
        </w:rPr>
        <w:t>I、适用法律</w:t>
      </w:r>
      <w:bookmarkEnd w:id="109"/>
      <w:bookmarkEnd w:id="110"/>
      <w:bookmarkEnd w:id="111"/>
      <w:bookmarkEnd w:id="112"/>
      <w:bookmarkEnd w:id="113"/>
      <w:bookmarkEnd w:id="114"/>
      <w:bookmarkEnd w:id="115"/>
      <w:bookmarkEnd w:id="116"/>
    </w:p>
    <w:p>
      <w:pPr>
        <w:wordWrap w:val="0"/>
        <w:topLinePunct/>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31.1招标采购单位和供应商的一切招标投标活动均适用于《政府采购法》、《政府采购实施条例》、《政府采购竞争性磋商采购方式管理办法》等相关规定。</w:t>
      </w:r>
    </w:p>
    <w:p>
      <w:pPr>
        <w:autoSpaceDE w:val="0"/>
        <w:autoSpaceDN w:val="0"/>
        <w:spacing w:line="360" w:lineRule="auto"/>
        <w:ind w:firstLine="560" w:firstLineChars="200"/>
        <w:contextualSpacing/>
        <w:rPr>
          <w:rFonts w:hint="eastAsia" w:asciiTheme="minorEastAsia" w:hAnsiTheme="minorEastAsia" w:eastAsiaTheme="minorEastAsia" w:cstheme="minorEastAsia"/>
          <w:bCs/>
          <w:sz w:val="28"/>
          <w:szCs w:val="28"/>
        </w:rPr>
      </w:pPr>
    </w:p>
    <w:p>
      <w:pPr>
        <w:pStyle w:val="4"/>
        <w:numPr>
          <w:ilvl w:val="0"/>
          <w:numId w:val="5"/>
        </w:numPr>
        <w:jc w:val="center"/>
        <w:rPr>
          <w:rFonts w:hint="eastAsia" w:asciiTheme="minorEastAsia" w:hAnsiTheme="minorEastAsia" w:eastAsiaTheme="minorEastAsia" w:cstheme="minorEastAsia"/>
          <w:sz w:val="32"/>
          <w:szCs w:val="32"/>
        </w:rPr>
      </w:pPr>
      <w:bookmarkStart w:id="117" w:name="_Toc27632"/>
      <w:bookmarkStart w:id="118" w:name="_Toc23207"/>
      <w:bookmarkStart w:id="119" w:name="_Toc4393"/>
      <w:bookmarkStart w:id="120" w:name="_Toc437611460"/>
      <w:bookmarkStart w:id="121" w:name="_Toc272247702"/>
      <w:bookmarkStart w:id="122" w:name="_Toc278891599"/>
      <w:bookmarkStart w:id="123" w:name="_Toc446599319"/>
      <w:bookmarkStart w:id="124" w:name="_Toc52"/>
      <w:r>
        <w:rPr>
          <w:rFonts w:hint="eastAsia" w:asciiTheme="minorEastAsia" w:hAnsiTheme="minorEastAsia" w:eastAsiaTheme="minorEastAsia" w:cstheme="minorEastAsia"/>
          <w:sz w:val="32"/>
          <w:szCs w:val="32"/>
        </w:rPr>
        <w:t>磋商文件的解释权</w:t>
      </w:r>
      <w:bookmarkEnd w:id="117"/>
      <w:bookmarkEnd w:id="118"/>
      <w:bookmarkEnd w:id="119"/>
      <w:bookmarkEnd w:id="120"/>
      <w:bookmarkEnd w:id="121"/>
      <w:bookmarkEnd w:id="122"/>
      <w:bookmarkEnd w:id="123"/>
      <w:bookmarkEnd w:id="124"/>
    </w:p>
    <w:p>
      <w:pPr>
        <w:pStyle w:val="4"/>
        <w:rPr>
          <w:rFonts w:hint="eastAsia" w:asciiTheme="minorEastAsia" w:hAnsiTheme="minorEastAsia" w:eastAsiaTheme="minorEastAsia" w:cstheme="minorEastAsia"/>
          <w:b w:val="0"/>
          <w:bCs/>
          <w:sz w:val="28"/>
          <w:szCs w:val="28"/>
        </w:rPr>
      </w:pPr>
      <w:bookmarkStart w:id="125" w:name="_Toc21146"/>
      <w:bookmarkStart w:id="126" w:name="_Toc18752"/>
      <w:r>
        <w:rPr>
          <w:rFonts w:hint="eastAsia" w:asciiTheme="minorEastAsia" w:hAnsiTheme="minorEastAsia" w:eastAsiaTheme="minorEastAsia" w:cstheme="minorEastAsia"/>
          <w:b w:val="0"/>
          <w:bCs/>
          <w:sz w:val="28"/>
          <w:szCs w:val="28"/>
        </w:rPr>
        <w:t>32.1本项目磋商文件的最终解释权为采购单位所有。</w:t>
      </w:r>
      <w:bookmarkEnd w:id="125"/>
      <w:bookmarkEnd w:id="126"/>
    </w:p>
    <w:p>
      <w:pPr>
        <w:pStyle w:val="4"/>
        <w:jc w:val="center"/>
        <w:rPr>
          <w:rFonts w:hint="eastAsia" w:asciiTheme="minorEastAsia" w:hAnsiTheme="minorEastAsia" w:eastAsiaTheme="minorEastAsia" w:cstheme="minorEastAsia"/>
          <w:sz w:val="32"/>
          <w:szCs w:val="32"/>
        </w:rPr>
      </w:pPr>
      <w:bookmarkStart w:id="127" w:name="_Toc10117"/>
      <w:bookmarkStart w:id="128" w:name="_Toc437611461"/>
      <w:bookmarkStart w:id="129" w:name="_Toc1737"/>
      <w:bookmarkStart w:id="130" w:name="_Toc446599320"/>
      <w:bookmarkStart w:id="131" w:name="_Toc7049"/>
      <w:bookmarkStart w:id="132" w:name="_Toc21111"/>
      <w:r>
        <w:rPr>
          <w:rFonts w:hint="eastAsia" w:asciiTheme="minorEastAsia" w:hAnsiTheme="minorEastAsia" w:eastAsiaTheme="minorEastAsia" w:cstheme="minorEastAsia"/>
          <w:sz w:val="32"/>
          <w:szCs w:val="32"/>
        </w:rPr>
        <w:t>K、其他注意事项</w:t>
      </w:r>
      <w:bookmarkEnd w:id="127"/>
      <w:bookmarkEnd w:id="128"/>
      <w:bookmarkEnd w:id="129"/>
      <w:bookmarkEnd w:id="130"/>
      <w:bookmarkEnd w:id="131"/>
      <w:bookmarkEnd w:id="132"/>
    </w:p>
    <w:p>
      <w:pPr>
        <w:pStyle w:val="8"/>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33.1单位负责人为同一人或者存在直接控股、管理关系的不同供应商，不得参加同一合同项下的政府采购活动。</w:t>
      </w:r>
    </w:p>
    <w:p>
      <w:pPr>
        <w:pStyle w:val="8"/>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33.2供应商为采购项目提供整体设计、规范编制或者项目管理、监理、检测等服务的供应商，不得再参加该采购项目的其他采购活动。</w:t>
      </w:r>
    </w:p>
    <w:p>
      <w:pPr>
        <w:pStyle w:val="8"/>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33.3政府采购法第二十二条第一款第五项所称重大违法记录，是指供应商因违法经营受到刑事处罚或者责令停产停业、吊销许可证或者执照、较大数额罚款等行政处罚。</w:t>
      </w:r>
    </w:p>
    <w:p>
      <w:pPr>
        <w:pStyle w:val="8"/>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33.4按照财政部《关于规范政府采购行政处罚有关问题的通知》的规定，各级人民政府财政部门依法对参加政府采购活动的供应商作出的禁止参加政府采购活动等行政处罚决定在全国范围内生效。</w:t>
      </w:r>
    </w:p>
    <w:p>
      <w:pPr>
        <w:pStyle w:val="8"/>
        <w:spacing w:line="360" w:lineRule="auto"/>
        <w:ind w:firstLine="48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33.5供应商在参加政府采购活动前3年内因违法经营被禁止在一定期限内参加政府采购活动，期限届满的，可以参加政府采购活动。</w:t>
      </w:r>
    </w:p>
    <w:p>
      <w:pPr>
        <w:pStyle w:val="11"/>
        <w:adjustRightInd w:val="0"/>
        <w:snapToGrid w:val="0"/>
        <w:spacing w:line="500" w:lineRule="exact"/>
        <w:rPr>
          <w:rFonts w:hint="eastAsia" w:asciiTheme="minorEastAsia" w:hAnsiTheme="minorEastAsia" w:eastAsiaTheme="minorEastAsia" w:cstheme="minorEastAsia"/>
          <w:sz w:val="28"/>
          <w:szCs w:val="28"/>
        </w:rPr>
        <w:sectPr>
          <w:headerReference r:id="rId11" w:type="first"/>
          <w:headerReference r:id="rId9" w:type="default"/>
          <w:footerReference r:id="rId12" w:type="default"/>
          <w:headerReference r:id="rId10" w:type="even"/>
          <w:pgSz w:w="11906" w:h="16838"/>
          <w:pgMar w:top="1440" w:right="1797" w:bottom="1440" w:left="1797" w:header="851" w:footer="992" w:gutter="0"/>
          <w:cols w:space="720" w:num="1"/>
          <w:docGrid w:linePitch="312" w:charSpace="0"/>
        </w:sectPr>
      </w:pPr>
    </w:p>
    <w:p>
      <w:pPr>
        <w:pStyle w:val="11"/>
        <w:tabs>
          <w:tab w:val="left" w:pos="720"/>
          <w:tab w:val="left" w:pos="900"/>
          <w:tab w:val="left" w:pos="1260"/>
        </w:tabs>
        <w:adjustRightInd w:val="0"/>
        <w:spacing w:line="400" w:lineRule="atLeast"/>
        <w:ind w:left="964" w:hanging="1084" w:hangingChars="300"/>
        <w:jc w:val="center"/>
        <w:rPr>
          <w:rFonts w:hint="eastAsia" w:asciiTheme="minorEastAsia" w:hAnsiTheme="minorEastAsia" w:eastAsiaTheme="minorEastAsia" w:cstheme="minorEastAsia"/>
          <w:b/>
          <w:sz w:val="36"/>
          <w:szCs w:val="36"/>
        </w:rPr>
      </w:pPr>
      <w:bookmarkStart w:id="133" w:name="_Toc349573127"/>
      <w:bookmarkStart w:id="134" w:name="_Toc349637926"/>
      <w:bookmarkStart w:id="135" w:name="_Toc298240411"/>
      <w:bookmarkStart w:id="136" w:name="_Toc3943_WPSOffice_Level1"/>
      <w:bookmarkStart w:id="137" w:name="_Toc12532080"/>
      <w:r>
        <w:rPr>
          <w:rFonts w:hint="eastAsia" w:asciiTheme="minorEastAsia" w:hAnsiTheme="minorEastAsia" w:eastAsiaTheme="minorEastAsia" w:cstheme="minorEastAsia"/>
          <w:b/>
          <w:sz w:val="36"/>
          <w:szCs w:val="36"/>
        </w:rPr>
        <w:t>第三部分</w:t>
      </w:r>
      <w:bookmarkEnd w:id="87"/>
      <w:bookmarkEnd w:id="133"/>
      <w:bookmarkEnd w:id="134"/>
      <w:bookmarkEnd w:id="135"/>
      <w:bookmarkStart w:id="138" w:name="_Toc267301295"/>
      <w:r>
        <w:rPr>
          <w:rFonts w:hint="eastAsia" w:asciiTheme="minorEastAsia" w:hAnsiTheme="minorEastAsia" w:eastAsiaTheme="minorEastAsia" w:cstheme="minorEastAsia"/>
          <w:b/>
          <w:sz w:val="36"/>
          <w:szCs w:val="36"/>
        </w:rPr>
        <w:t xml:space="preserve">  技术要求</w:t>
      </w:r>
      <w:bookmarkEnd w:id="136"/>
      <w:bookmarkEnd w:id="137"/>
    </w:p>
    <w:bookmarkEnd w:id="138"/>
    <w:p>
      <w:pPr>
        <w:tabs>
          <w:tab w:val="left" w:pos="2101"/>
          <w:tab w:val="center" w:pos="5785"/>
        </w:tabs>
        <w:jc w:val="center"/>
        <w:rPr>
          <w:rStyle w:val="41"/>
          <w:rFonts w:hint="eastAsia" w:asciiTheme="minorEastAsia" w:hAnsiTheme="minorEastAsia" w:eastAsiaTheme="minorEastAsia" w:cstheme="minorEastAsia"/>
          <w:b w:val="0"/>
          <w:bCs/>
          <w:color w:val="auto"/>
          <w:sz w:val="36"/>
          <w:szCs w:val="36"/>
          <w:lang w:eastAsia="zh-CN"/>
        </w:rPr>
      </w:pPr>
      <w:bookmarkStart w:id="139" w:name="_Toc510113191"/>
      <w:bookmarkStart w:id="140" w:name="_Toc298240429"/>
      <w:bookmarkStart w:id="141" w:name="_Toc349637943"/>
      <w:bookmarkStart w:id="142" w:name="_Toc349573144"/>
      <w:r>
        <w:rPr>
          <w:rFonts w:hint="eastAsia" w:asciiTheme="minorEastAsia" w:hAnsiTheme="minorEastAsia" w:eastAsiaTheme="minorEastAsia" w:cstheme="minorEastAsia"/>
          <w:b/>
          <w:sz w:val="36"/>
          <w:szCs w:val="36"/>
        </w:rPr>
        <w:t>服务需求及总体要求</w:t>
      </w:r>
    </w:p>
    <w:p>
      <w:pPr>
        <w:pStyle w:val="2"/>
        <w:ind w:left="0" w:leftChars="0" w:firstLine="0" w:firstLineChars="0"/>
        <w:rPr>
          <w:rFonts w:hint="eastAsia" w:asciiTheme="minorEastAsia" w:hAnsiTheme="minorEastAsia" w:eastAsiaTheme="minorEastAsia" w:cstheme="minorEastAsia"/>
          <w:sz w:val="22"/>
          <w:szCs w:val="21"/>
          <w:lang w:val="en-US" w:eastAsia="zh-CN"/>
        </w:rPr>
      </w:pPr>
      <w:r>
        <w:rPr>
          <w:rFonts w:hint="eastAsia" w:asciiTheme="minorEastAsia" w:hAnsiTheme="minorEastAsia" w:eastAsiaTheme="minorEastAsia" w:cstheme="minorEastAsia"/>
          <w:b/>
          <w:bCs/>
          <w:sz w:val="32"/>
          <w:szCs w:val="32"/>
        </w:rPr>
        <w:t>一、项目需求</w:t>
      </w:r>
    </w:p>
    <w:p>
      <w:pPr>
        <w:pStyle w:val="42"/>
        <w:tabs>
          <w:tab w:val="left" w:pos="0"/>
        </w:tabs>
        <w:spacing w:line="360" w:lineRule="auto"/>
        <w:ind w:firstLine="840" w:firstLineChars="300"/>
        <w:outlineLvl w:val="1"/>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需租赁取得民用无人驾驶航空器经营许可证的无人机公司垂直起降固定翼无人 机、多旋翼无人机各1架，飞行小时575小时以上，巡护面积500万 亩，巡护区域：甘家湖、艾比湖、精河、三台、哈夏、哈日图热格、博尔塔拉河谷林 区等重点林区。</w:t>
      </w:r>
    </w:p>
    <w:p>
      <w:pPr>
        <w:pStyle w:val="42"/>
        <w:tabs>
          <w:tab w:val="left" w:pos="0"/>
        </w:tabs>
        <w:spacing w:line="360" w:lineRule="auto"/>
        <w:outlineLvl w:val="1"/>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32"/>
          <w:szCs w:val="32"/>
        </w:rPr>
        <w:t>二、服务要求</w:t>
      </w:r>
    </w:p>
    <w:p>
      <w:pPr>
        <w:pStyle w:val="42"/>
        <w:tabs>
          <w:tab w:val="left" w:pos="0"/>
        </w:tabs>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1、技术人员服务：具有丰富的无人机巡查作业经验，在作业现场具有丰富的排查目标等专业处理能力。</w:t>
      </w:r>
    </w:p>
    <w:p>
      <w:pPr>
        <w:pStyle w:val="42"/>
        <w:tabs>
          <w:tab w:val="left" w:pos="0"/>
        </w:tabs>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2、投标人具有空域申请的经验，拥有成功完成空域申请的案例；</w:t>
      </w:r>
    </w:p>
    <w:p>
      <w:pPr>
        <w:pStyle w:val="42"/>
        <w:tabs>
          <w:tab w:val="left" w:pos="0"/>
        </w:tabs>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3、投标人须具有服务项目的执行能力，并提供2019年10月31日至2022年06月31日已完成的无人机航飞服务类项目业绩；</w:t>
      </w:r>
    </w:p>
    <w:p>
      <w:pPr>
        <w:pStyle w:val="42"/>
        <w:tabs>
          <w:tab w:val="left" w:pos="0"/>
        </w:tabs>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4、投标人须具有防火巡查项目的服务经验，并提供相关服务证明材料；</w:t>
      </w:r>
    </w:p>
    <w:p>
      <w:pPr>
        <w:pStyle w:val="42"/>
        <w:tabs>
          <w:tab w:val="left" w:pos="0"/>
        </w:tabs>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5、投标人在全国有多个服务网点或分公司，具备统筹调度和协调支援能力；</w:t>
      </w:r>
    </w:p>
    <w:p>
      <w:pPr>
        <w:pStyle w:val="42"/>
        <w:tabs>
          <w:tab w:val="left" w:pos="0"/>
        </w:tabs>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6、投标人在新疆自治区有常驻办公地点和服务人员，具备本地化服务能力；</w:t>
      </w:r>
    </w:p>
    <w:p>
      <w:pPr>
        <w:pStyle w:val="42"/>
        <w:tabs>
          <w:tab w:val="left" w:pos="0"/>
        </w:tabs>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7、投标人具有无人机发动机、机载设备、结构系统研发能力，具备强大的技术支撑保障能力；</w:t>
      </w:r>
    </w:p>
    <w:p>
      <w:pPr>
        <w:pStyle w:val="42"/>
        <w:tabs>
          <w:tab w:val="left" w:pos="0"/>
        </w:tabs>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8、投标人或母公司或同属同一母公司的其它子公司具有垂直起降固定翼无人机驾驶员培训能力，能够提供优质的人员培训和服务支持；</w:t>
      </w:r>
    </w:p>
    <w:p>
      <w:pPr>
        <w:pStyle w:val="42"/>
        <w:tabs>
          <w:tab w:val="left" w:pos="0"/>
        </w:tabs>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9、投标人应对本项目提供备用设备和人员，以保障项目的正常推进；</w:t>
      </w:r>
    </w:p>
    <w:p>
      <w:pPr>
        <w:widowControl/>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10、供应商配备的无人机应不低于以下技术要求：</w:t>
      </w:r>
    </w:p>
    <w:p>
      <w:pPr>
        <w:pStyle w:val="2"/>
        <w:rPr>
          <w:rFonts w:hint="eastAsia" w:asciiTheme="minorEastAsia" w:hAnsiTheme="minorEastAsia" w:eastAsiaTheme="minorEastAsia" w:cstheme="minorEastAsia"/>
          <w:sz w:val="22"/>
          <w:szCs w:val="21"/>
        </w:rPr>
      </w:pPr>
    </w:p>
    <w:p>
      <w:pPr>
        <w:adjustRightInd w:val="0"/>
        <w:spacing w:before="120" w:after="120" w:line="180" w:lineRule="auto"/>
        <w:ind w:firstLine="560" w:firstLineChars="200"/>
        <w:contextualSpacing/>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8"/>
          <w:szCs w:val="28"/>
          <w:lang w:val="en-US" w:eastAsia="zh-CN" w:bidi="ar-SA"/>
        </w:rPr>
        <w:t>固定翼无人机技术要求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11"/>
        <w:gridCol w:w="531"/>
        <w:gridCol w:w="5424"/>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0" w:type="dxa"/>
            <w:vMerge w:val="restart"/>
            <w:noWrap w:val="0"/>
            <w:vAlign w:val="top"/>
          </w:tcPr>
          <w:p>
            <w:pPr>
              <w:widowControl/>
              <w:jc w:val="center"/>
              <w:rPr>
                <w:rFonts w:hint="eastAsia" w:asciiTheme="minorEastAsia" w:hAnsiTheme="minorEastAsia" w:eastAsiaTheme="minorEastAsia" w:cstheme="minorEastAsia"/>
                <w:bCs/>
                <w:sz w:val="28"/>
                <w:szCs w:val="28"/>
              </w:rPr>
            </w:pPr>
          </w:p>
          <w:p>
            <w:pPr>
              <w:widowControl/>
              <w:jc w:val="center"/>
              <w:rPr>
                <w:rFonts w:hint="eastAsia" w:asciiTheme="minorEastAsia" w:hAnsiTheme="minorEastAsia" w:eastAsiaTheme="minorEastAsia" w:cstheme="minorEastAsia"/>
                <w:bCs/>
                <w:sz w:val="28"/>
                <w:szCs w:val="28"/>
              </w:rPr>
            </w:pPr>
          </w:p>
          <w:p>
            <w:pPr>
              <w:widowControl/>
              <w:jc w:val="center"/>
              <w:rPr>
                <w:rFonts w:hint="eastAsia" w:asciiTheme="minorEastAsia" w:hAnsiTheme="minorEastAsia" w:eastAsiaTheme="minorEastAsia" w:cstheme="minorEastAsia"/>
                <w:bCs/>
                <w:sz w:val="28"/>
                <w:szCs w:val="28"/>
              </w:rPr>
            </w:pPr>
          </w:p>
          <w:p>
            <w:pPr>
              <w:widowControl/>
              <w:jc w:val="center"/>
              <w:rPr>
                <w:rFonts w:hint="eastAsia" w:asciiTheme="minorEastAsia" w:hAnsiTheme="minorEastAsia" w:eastAsiaTheme="minorEastAsia" w:cstheme="minorEastAsia"/>
                <w:bCs/>
                <w:sz w:val="28"/>
                <w:szCs w:val="28"/>
              </w:rPr>
            </w:pPr>
          </w:p>
          <w:p>
            <w:pPr>
              <w:widowControl/>
              <w:jc w:val="center"/>
              <w:rPr>
                <w:rFonts w:hint="eastAsia" w:asciiTheme="minorEastAsia" w:hAnsiTheme="minorEastAsia" w:eastAsiaTheme="minorEastAsia" w:cstheme="minorEastAsia"/>
                <w:bCs/>
                <w:sz w:val="28"/>
                <w:szCs w:val="28"/>
              </w:rPr>
            </w:pPr>
          </w:p>
          <w:p>
            <w:pPr>
              <w:widowControl/>
              <w:jc w:val="center"/>
              <w:rPr>
                <w:rFonts w:hint="eastAsia" w:asciiTheme="minorEastAsia" w:hAnsiTheme="minorEastAsia" w:eastAsiaTheme="minorEastAsia" w:cstheme="minorEastAsia"/>
                <w:bCs/>
                <w:sz w:val="28"/>
                <w:szCs w:val="28"/>
              </w:rPr>
            </w:pPr>
          </w:p>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垂直起降固定翼</w:t>
            </w:r>
          </w:p>
        </w:tc>
        <w:tc>
          <w:tcPr>
            <w:tcW w:w="611" w:type="dxa"/>
            <w:vMerge w:val="restart"/>
            <w:noWrap w:val="0"/>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飞行平台</w:t>
            </w:r>
          </w:p>
        </w:tc>
        <w:tc>
          <w:tcPr>
            <w:tcW w:w="531"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序号</w:t>
            </w:r>
          </w:p>
        </w:tc>
        <w:tc>
          <w:tcPr>
            <w:tcW w:w="5424" w:type="dxa"/>
            <w:noWrap w:val="0"/>
            <w:vAlign w:val="center"/>
          </w:tcPr>
          <w:p>
            <w:pPr>
              <w:widowControl/>
              <w:ind w:firstLine="2800" w:firstLineChars="10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规格要求</w:t>
            </w:r>
          </w:p>
        </w:tc>
        <w:tc>
          <w:tcPr>
            <w:tcW w:w="1126"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需求类别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飞行小时费：0.375万元/小时</w:t>
            </w:r>
          </w:p>
        </w:tc>
        <w:tc>
          <w:tcPr>
            <w:tcW w:w="1126" w:type="dxa"/>
            <w:vMerge w:val="restart"/>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飞行平台</w:t>
            </w:r>
          </w:p>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性能指标需求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续航时间：≥8小时</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最远测控距离：≥50公里</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最大挂载：≥25公斤</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起降最大抗风：≥5级</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实用升限：≥5000米</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7</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最大飞行速度：≥150公里/小时</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8</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防护等级：IP54以上，具备无中心自组网功能</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center"/>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9</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无人机厂商需提供符合CNAS认证的鉴定机构对无人机性能参数出具的检测鉴定报告</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center"/>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10</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双光30倍变焦三轴自稳，垂直起降固定翼无人机地面站：实时数据回传、实时图像回传、一键起飞、航线规划、任务规划、远程任务指令、自动返航、失控保护、摇杆干预等功能；有突发情况应有自主原路返航、自主直线返航和原地迫降三种安全策略，并可设置策略优先权</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bl>
    <w:p>
      <w:pPr>
        <w:pStyle w:val="2"/>
        <w:ind w:left="0" w:leftChars="0" w:firstLine="0" w:firstLineChars="0"/>
        <w:rPr>
          <w:rFonts w:hint="eastAsia" w:asciiTheme="minorEastAsia" w:hAnsiTheme="minorEastAsia" w:eastAsiaTheme="minorEastAsia" w:cstheme="minorEastAsia"/>
          <w:sz w:val="22"/>
          <w:szCs w:val="21"/>
        </w:rPr>
      </w:pPr>
    </w:p>
    <w:p>
      <w:pPr>
        <w:adjustRightInd w:val="0"/>
        <w:spacing w:before="120" w:after="120" w:line="180" w:lineRule="auto"/>
        <w:ind w:firstLine="720" w:firstLineChars="200"/>
        <w:contextualSpacing/>
        <w:jc w:val="center"/>
        <w:rPr>
          <w:rFonts w:hint="eastAsia" w:asciiTheme="minorEastAsia" w:hAnsiTheme="minorEastAsia" w:eastAsiaTheme="minorEastAsia" w:cstheme="minorEastAsia"/>
          <w:kern w:val="2"/>
          <w:sz w:val="36"/>
          <w:szCs w:val="36"/>
          <w:lang w:val="en-US" w:eastAsia="zh-CN" w:bidi="ar-SA"/>
        </w:rPr>
      </w:pPr>
      <w:r>
        <w:rPr>
          <w:rFonts w:hint="eastAsia" w:asciiTheme="minorEastAsia" w:hAnsiTheme="minorEastAsia" w:eastAsiaTheme="minorEastAsia" w:cstheme="minorEastAsia"/>
          <w:kern w:val="2"/>
          <w:sz w:val="36"/>
          <w:szCs w:val="36"/>
          <w:lang w:val="en-US" w:eastAsia="zh-CN" w:bidi="ar-SA"/>
        </w:rPr>
        <w:t>多旋翼无人机技术要求</w:t>
      </w:r>
    </w:p>
    <w:p>
      <w:pPr>
        <w:adjustRightInd w:val="0"/>
        <w:spacing w:before="120" w:after="120" w:line="180" w:lineRule="auto"/>
        <w:ind w:firstLine="440" w:firstLineChars="200"/>
        <w:contextualSpacing/>
        <w:rPr>
          <w:rFonts w:hint="eastAsia" w:asciiTheme="minorEastAsia" w:hAnsiTheme="minorEastAsia" w:eastAsiaTheme="minorEastAsia" w:cstheme="minorEastAsia"/>
          <w:kern w:val="2"/>
          <w:sz w:val="22"/>
          <w:szCs w:val="22"/>
          <w:lang w:val="en-US" w:eastAsia="zh-CN" w:bidi="ar-SA"/>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11"/>
        <w:gridCol w:w="531"/>
        <w:gridCol w:w="5424"/>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0" w:type="dxa"/>
            <w:vMerge w:val="restart"/>
            <w:noWrap w:val="0"/>
            <w:vAlign w:val="top"/>
          </w:tcPr>
          <w:p>
            <w:pPr>
              <w:widowControl/>
              <w:jc w:val="left"/>
              <w:rPr>
                <w:rFonts w:hint="eastAsia" w:asciiTheme="minorEastAsia" w:hAnsiTheme="minorEastAsia" w:eastAsiaTheme="minorEastAsia" w:cstheme="minorEastAsia"/>
                <w:bCs/>
                <w:sz w:val="28"/>
                <w:szCs w:val="28"/>
              </w:rPr>
            </w:pPr>
          </w:p>
          <w:p>
            <w:pPr>
              <w:widowControl/>
              <w:jc w:val="left"/>
              <w:rPr>
                <w:rFonts w:hint="eastAsia" w:asciiTheme="minorEastAsia" w:hAnsiTheme="minorEastAsia" w:eastAsiaTheme="minorEastAsia" w:cstheme="minorEastAsia"/>
                <w:bCs/>
                <w:sz w:val="28"/>
                <w:szCs w:val="28"/>
              </w:rPr>
            </w:pPr>
          </w:p>
          <w:p>
            <w:pPr>
              <w:widowControl/>
              <w:jc w:val="left"/>
              <w:rPr>
                <w:rFonts w:hint="eastAsia" w:asciiTheme="minorEastAsia" w:hAnsiTheme="minorEastAsia" w:eastAsiaTheme="minorEastAsia" w:cstheme="minorEastAsia"/>
                <w:bCs/>
                <w:sz w:val="28"/>
                <w:szCs w:val="28"/>
              </w:rPr>
            </w:pPr>
          </w:p>
          <w:p>
            <w:pPr>
              <w:widowControl/>
              <w:jc w:val="left"/>
              <w:rPr>
                <w:rFonts w:hint="eastAsia" w:asciiTheme="minorEastAsia" w:hAnsiTheme="minorEastAsia" w:eastAsiaTheme="minorEastAsia" w:cstheme="minorEastAsia"/>
                <w:bCs/>
                <w:sz w:val="28"/>
                <w:szCs w:val="28"/>
              </w:rPr>
            </w:pPr>
          </w:p>
          <w:p>
            <w:pPr>
              <w:widowControl/>
              <w:jc w:val="left"/>
              <w:rPr>
                <w:rFonts w:hint="eastAsia" w:asciiTheme="minorEastAsia" w:hAnsiTheme="minorEastAsia" w:eastAsiaTheme="minorEastAsia" w:cstheme="minorEastAsia"/>
                <w:bCs/>
                <w:sz w:val="28"/>
                <w:szCs w:val="28"/>
              </w:rPr>
            </w:pPr>
          </w:p>
          <w:p>
            <w:pPr>
              <w:widowControl/>
              <w:jc w:val="left"/>
              <w:rPr>
                <w:rFonts w:hint="eastAsia" w:asciiTheme="minorEastAsia" w:hAnsiTheme="minorEastAsia" w:eastAsiaTheme="minorEastAsia" w:cstheme="minorEastAsia"/>
                <w:bCs/>
                <w:sz w:val="28"/>
                <w:szCs w:val="28"/>
              </w:rPr>
            </w:pPr>
          </w:p>
          <w:p>
            <w:pPr>
              <w:widowControl/>
              <w:jc w:val="left"/>
              <w:rPr>
                <w:rFonts w:hint="eastAsia" w:asciiTheme="minorEastAsia" w:hAnsiTheme="minorEastAsia" w:eastAsiaTheme="minorEastAsia" w:cstheme="minorEastAsia"/>
                <w:bCs/>
                <w:sz w:val="28"/>
                <w:szCs w:val="28"/>
              </w:rPr>
            </w:pPr>
          </w:p>
          <w:p>
            <w:pPr>
              <w:widowControl/>
              <w:jc w:val="left"/>
              <w:rPr>
                <w:rFonts w:hint="eastAsia" w:asciiTheme="minorEastAsia" w:hAnsiTheme="minorEastAsia" w:eastAsiaTheme="minorEastAsia" w:cstheme="minorEastAsia"/>
                <w:bCs/>
                <w:sz w:val="28"/>
                <w:szCs w:val="28"/>
              </w:rPr>
            </w:pPr>
          </w:p>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垂直起降固定翼</w:t>
            </w:r>
          </w:p>
        </w:tc>
        <w:tc>
          <w:tcPr>
            <w:tcW w:w="611" w:type="dxa"/>
            <w:vMerge w:val="restart"/>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飞行平台</w:t>
            </w:r>
          </w:p>
        </w:tc>
        <w:tc>
          <w:tcPr>
            <w:tcW w:w="531"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序号</w:t>
            </w:r>
          </w:p>
        </w:tc>
        <w:tc>
          <w:tcPr>
            <w:tcW w:w="5424" w:type="dxa"/>
            <w:noWrap w:val="0"/>
            <w:vAlign w:val="center"/>
          </w:tcPr>
          <w:p>
            <w:pPr>
              <w:widowControl/>
              <w:ind w:firstLine="2800" w:firstLineChars="10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规格要求</w:t>
            </w:r>
          </w:p>
        </w:tc>
        <w:tc>
          <w:tcPr>
            <w:tcW w:w="1126"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需求类别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飞行小时费：0.25万元/小时</w:t>
            </w:r>
          </w:p>
        </w:tc>
        <w:tc>
          <w:tcPr>
            <w:tcW w:w="1126" w:type="dxa"/>
            <w:vMerge w:val="restart"/>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飞行平台</w:t>
            </w:r>
          </w:p>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性能指标需求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最大续航时间：≥120分钟</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最远测控距离：≥30公里</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最大挂载：≥15公斤，最大抗风：≥7级</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防雨：中雨以上，实用升限 ：≥2000米</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最快展开时间：≤1min，具备无中心自组网功能，具备按照设定航线飞行、自主起飞、降落、自主返航等功能</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7</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无人机厂商需提供符合CNAS认证的鉴定机构对无人机性能参数出具的检测鉴定报告</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8</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双光30倍变焦三轴自稳，多旋翼无人机地面站：实时数据回传、实时图像回传、指点飞行、一键起飞、航线规划、任务规划、远程任务指令、自动返航、失控保护、摇杆干预等功能</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9</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突发情况应有自主原路返航、自主直线返航和原地迫降三种安全策略，并可设置策略优先权</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10" w:type="dxa"/>
            <w:vMerge w:val="continue"/>
            <w:noWrap w:val="0"/>
            <w:vAlign w:val="top"/>
          </w:tcPr>
          <w:p>
            <w:pPr>
              <w:widowControl/>
              <w:jc w:val="left"/>
              <w:rPr>
                <w:rFonts w:hint="eastAsia" w:asciiTheme="minorEastAsia" w:hAnsiTheme="minorEastAsia" w:eastAsiaTheme="minorEastAsia" w:cstheme="minorEastAsia"/>
                <w:bCs/>
                <w:sz w:val="28"/>
                <w:szCs w:val="28"/>
              </w:rPr>
            </w:pPr>
          </w:p>
        </w:tc>
        <w:tc>
          <w:tcPr>
            <w:tcW w:w="611"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c>
          <w:tcPr>
            <w:tcW w:w="531" w:type="dxa"/>
            <w:noWrap w:val="0"/>
            <w:vAlign w:val="center"/>
          </w:tcPr>
          <w:p>
            <w:pPr>
              <w:widowControl/>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10</w:t>
            </w:r>
          </w:p>
        </w:tc>
        <w:tc>
          <w:tcPr>
            <w:tcW w:w="5424" w:type="dxa"/>
            <w:noWrap w:val="0"/>
            <w:vAlign w:val="center"/>
          </w:tcPr>
          <w:p>
            <w:pPr>
              <w:widowControl/>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无人机须具备冗余设计、链路丢失自动返航等安全防护措施</w:t>
            </w:r>
          </w:p>
        </w:tc>
        <w:tc>
          <w:tcPr>
            <w:tcW w:w="1126" w:type="dxa"/>
            <w:vMerge w:val="continue"/>
            <w:noWrap w:val="0"/>
            <w:vAlign w:val="center"/>
          </w:tcPr>
          <w:p>
            <w:pPr>
              <w:widowControl/>
              <w:jc w:val="left"/>
              <w:rPr>
                <w:rFonts w:hint="eastAsia" w:asciiTheme="minorEastAsia" w:hAnsiTheme="minorEastAsia" w:eastAsiaTheme="minorEastAsia" w:cstheme="minorEastAsia"/>
                <w:bCs/>
                <w:sz w:val="28"/>
                <w:szCs w:val="28"/>
              </w:rPr>
            </w:pPr>
          </w:p>
        </w:tc>
      </w:tr>
    </w:tbl>
    <w:p>
      <w:pPr>
        <w:adjustRightInd w:val="0"/>
        <w:spacing w:before="120" w:after="120" w:line="180" w:lineRule="auto"/>
        <w:ind w:firstLine="440" w:firstLineChars="200"/>
        <w:contextualSpacing/>
        <w:rPr>
          <w:rFonts w:hint="eastAsia" w:asciiTheme="minorEastAsia" w:hAnsiTheme="minorEastAsia" w:eastAsiaTheme="minorEastAsia" w:cstheme="minorEastAsia"/>
          <w:kern w:val="2"/>
          <w:sz w:val="22"/>
          <w:szCs w:val="22"/>
          <w:lang w:val="en-US" w:eastAsia="zh-CN" w:bidi="ar-SA"/>
        </w:rPr>
      </w:pPr>
    </w:p>
    <w:p>
      <w:pPr>
        <w:pStyle w:val="42"/>
        <w:tabs>
          <w:tab w:val="left" w:pos="0"/>
        </w:tabs>
        <w:spacing w:line="360" w:lineRule="auto"/>
        <w:ind w:firstLine="560" w:firstLineChars="200"/>
        <w:rPr>
          <w:rFonts w:hint="eastAsia" w:asciiTheme="minorEastAsia" w:hAnsiTheme="minorEastAsia" w:eastAsiaTheme="minorEastAsia" w:cstheme="minorEastAsia"/>
          <w:bCs/>
          <w:sz w:val="28"/>
          <w:szCs w:val="21"/>
          <w:lang w:eastAsia="zh-CN"/>
        </w:rPr>
        <w:sectPr>
          <w:headerReference r:id="rId14" w:type="first"/>
          <w:footerReference r:id="rId16" w:type="first"/>
          <w:headerReference r:id="rId13" w:type="default"/>
          <w:footerReference r:id="rId15" w:type="default"/>
          <w:pgSz w:w="11906" w:h="16838"/>
          <w:pgMar w:top="1247" w:right="1247" w:bottom="1247" w:left="1247" w:header="851" w:footer="992" w:gutter="0"/>
          <w:pgNumType w:start="1"/>
          <w:cols w:space="720" w:num="1"/>
          <w:titlePg/>
          <w:docGrid w:linePitch="312" w:charSpace="0"/>
        </w:sectPr>
      </w:pPr>
    </w:p>
    <w:p>
      <w:pPr>
        <w:pStyle w:val="42"/>
        <w:tabs>
          <w:tab w:val="left" w:pos="0"/>
        </w:tabs>
        <w:spacing w:line="360" w:lineRule="auto"/>
        <w:outlineLvl w:val="1"/>
        <w:rPr>
          <w:rFonts w:hint="eastAsia" w:asciiTheme="minorEastAsia" w:hAnsiTheme="minorEastAsia" w:eastAsiaTheme="minorEastAsia" w:cstheme="minorEastAsia"/>
          <w:b/>
          <w:sz w:val="36"/>
          <w:szCs w:val="36"/>
        </w:rPr>
      </w:pPr>
    </w:p>
    <w:p>
      <w:pPr>
        <w:pStyle w:val="3"/>
        <w:jc w:val="center"/>
        <w:rPr>
          <w:rFonts w:hint="eastAsia" w:asciiTheme="minorEastAsia" w:hAnsiTheme="minorEastAsia" w:eastAsiaTheme="minorEastAsia" w:cstheme="minorEastAsia"/>
          <w:sz w:val="36"/>
          <w:szCs w:val="36"/>
        </w:rPr>
      </w:pPr>
      <w:bookmarkStart w:id="143" w:name="_Toc17758_WPSOffice_Level1"/>
      <w:bookmarkStart w:id="144" w:name="_Toc10468"/>
      <w:bookmarkStart w:id="145" w:name="_Toc12532081"/>
      <w:r>
        <w:rPr>
          <w:rFonts w:hint="eastAsia" w:asciiTheme="minorEastAsia" w:hAnsiTheme="minorEastAsia" w:eastAsiaTheme="minorEastAsia" w:cstheme="minorEastAsia"/>
          <w:sz w:val="36"/>
          <w:szCs w:val="36"/>
        </w:rPr>
        <w:t>第四部分通用合同条款</w:t>
      </w:r>
      <w:bookmarkEnd w:id="139"/>
      <w:bookmarkEnd w:id="143"/>
      <w:bookmarkEnd w:id="144"/>
      <w:bookmarkEnd w:id="145"/>
    </w:p>
    <w:p>
      <w:pPr>
        <w:pStyle w:val="27"/>
        <w:jc w:val="center"/>
        <w:rPr>
          <w:rFonts w:hint="eastAsia" w:asciiTheme="minorEastAsia" w:hAnsiTheme="minorEastAsia" w:eastAsiaTheme="minorEastAsia" w:cstheme="minorEastAsia"/>
          <w:b/>
          <w:bCs/>
          <w:sz w:val="28"/>
          <w:szCs w:val="28"/>
        </w:rPr>
      </w:pPr>
      <w:bookmarkStart w:id="146" w:name="50"/>
      <w:bookmarkEnd w:id="146"/>
      <w:r>
        <w:rPr>
          <w:rFonts w:hint="eastAsia" w:asciiTheme="minorEastAsia" w:hAnsiTheme="minorEastAsia" w:eastAsiaTheme="minorEastAsia" w:cstheme="minorEastAsia"/>
          <w:b/>
          <w:bCs/>
          <w:sz w:val="28"/>
          <w:szCs w:val="28"/>
        </w:rPr>
        <w:t>（本合同仅供参考，具体以实际签订的为准）</w:t>
      </w:r>
    </w:p>
    <w:p>
      <w:pPr>
        <w:widowControl/>
        <w:jc w:val="left"/>
        <w:rPr>
          <w:rFonts w:hint="eastAsia" w:asciiTheme="minorEastAsia" w:hAnsiTheme="minorEastAsia" w:eastAsiaTheme="minorEastAsia" w:cstheme="minorEastAsia"/>
          <w:bCs/>
          <w:kern w:val="0"/>
          <w:sz w:val="22"/>
          <w:szCs w:val="22"/>
        </w:rPr>
      </w:pP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（下称买方）和                 （下称卖方）就            </w:t>
      </w: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所需的货物采购、安装及配套服务等事宜，经双方友好协商，一致同意依照中华人民共和国《合同法》签订本合同。</w:t>
      </w: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bookmarkStart w:id="147" w:name="_Toc228180145"/>
      <w:r>
        <w:rPr>
          <w:rFonts w:hint="eastAsia" w:asciiTheme="minorEastAsia" w:hAnsiTheme="minorEastAsia" w:eastAsiaTheme="minorEastAsia" w:cstheme="minorEastAsia"/>
          <w:kern w:val="0"/>
          <w:sz w:val="28"/>
          <w:szCs w:val="28"/>
        </w:rPr>
        <w:t>1. 定义</w:t>
      </w:r>
      <w:bookmarkEnd w:id="147"/>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1.1 在此合同中按照说明解释下列术语：</w:t>
      </w: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(a)“合同”指的是买方和卖方之间的协议，它被记录在双方签订的合同里，包括所有的附件和由证明体现的所有文件，包括其投标期间的所有文件及承诺。</w:t>
      </w: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(b)“合同价格”是指在合同下可付给卖方的全部正确履行合同义务的价格。</w:t>
      </w: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(c)“合同产品”是指卖方根据合同向买方提供的货物。</w:t>
      </w: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(d)“技术文件”是指合同产品及与其相关的设计、制造、检验、施工、调试、性能验收试验、验收和技术指导等文件（包括图纸和各种文字说明、标准），用于买方对合同产品进行正确运行和维护的文件。</w:t>
      </w: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(e)“服务”是指由卖方提供的与设计、制造、检验、调试、性能验收试验、验收直至最终验收证书签发相关的技术指导、技术配合等（包括人员培训）全过程的服务。</w:t>
      </w:r>
    </w:p>
    <w:p>
      <w:pPr>
        <w:shd w:val="clear" w:color="auto" w:fill="FFFFFF"/>
        <w:autoSpaceDE w:val="0"/>
        <w:autoSpaceDN w:val="0"/>
        <w:adjustRightInd w:val="0"/>
        <w:spacing w:line="360" w:lineRule="auto"/>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(f)“质保期”是指本项目有关货物采购、安装及配套服务完成，并整体验收之日起</w:t>
      </w:r>
      <w:r>
        <w:rPr>
          <w:rFonts w:hint="eastAsia" w:asciiTheme="minorEastAsia" w:hAnsiTheme="minorEastAsia" w:eastAsiaTheme="minorEastAsia" w:cstheme="minorEastAsia"/>
          <w:kern w:val="0"/>
          <w:sz w:val="28"/>
          <w:szCs w:val="28"/>
          <w:u w:val="single"/>
        </w:rPr>
        <w:t xml:space="preserve"> 1 </w:t>
      </w:r>
      <w:r>
        <w:rPr>
          <w:rFonts w:hint="eastAsia" w:asciiTheme="minorEastAsia" w:hAnsiTheme="minorEastAsia" w:eastAsiaTheme="minorEastAsia" w:cstheme="minorEastAsia"/>
          <w:kern w:val="0"/>
          <w:sz w:val="28"/>
          <w:szCs w:val="28"/>
        </w:rPr>
        <w:t>年。（注：须不低于国家相关标准）。</w:t>
      </w:r>
    </w:p>
    <w:p>
      <w:pPr>
        <w:pStyle w:val="11"/>
        <w:shd w:val="clear" w:color="auto" w:fill="FFFFFF"/>
        <w:adjustRightInd w:val="0"/>
        <w:snapToGrid w:val="0"/>
        <w:spacing w:line="360" w:lineRule="auto"/>
        <w:ind w:firstLine="700" w:firstLineChars="25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(g)“买方”</w:t>
      </w:r>
      <w:r>
        <w:rPr>
          <w:rFonts w:hint="eastAsia" w:asciiTheme="minorEastAsia" w:hAnsiTheme="minorEastAsia" w:eastAsiaTheme="minorEastAsia" w:cstheme="minorEastAsia"/>
          <w:kern w:val="0"/>
          <w:sz w:val="28"/>
          <w:szCs w:val="28"/>
        </w:rPr>
        <w:t>指的是指本合同项下所有货物及服务的招标人。</w:t>
      </w:r>
    </w:p>
    <w:p>
      <w:pPr>
        <w:pStyle w:val="11"/>
        <w:shd w:val="clear" w:color="auto" w:fill="FFFFFF"/>
        <w:adjustRightInd w:val="0"/>
        <w:snapToGrid w:val="0"/>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(h)“卖方”指的是提供本合同项下所有货物及服务的制造厂商或经销商。</w:t>
      </w:r>
    </w:p>
    <w:p>
      <w:pPr>
        <w:pStyle w:val="11"/>
        <w:shd w:val="clear" w:color="auto" w:fill="FFFFFF"/>
        <w:adjustRightInd w:val="0"/>
        <w:snapToGrid w:val="0"/>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(i)“寿命”指自合同产品投入使用之日起计算使用时间。</w:t>
      </w:r>
    </w:p>
    <w:p>
      <w:pPr>
        <w:pStyle w:val="11"/>
        <w:shd w:val="clear" w:color="auto" w:fill="FFFFFF"/>
        <w:adjustRightInd w:val="0"/>
        <w:snapToGrid w:val="0"/>
        <w:spacing w:line="360" w:lineRule="auto"/>
        <w:ind w:firstLine="700" w:firstLineChars="250"/>
        <w:outlineLvl w:val="0"/>
        <w:rPr>
          <w:rFonts w:hint="eastAsia" w:asciiTheme="minorEastAsia" w:hAnsiTheme="minorEastAsia" w:eastAsiaTheme="minorEastAsia" w:cstheme="minorEastAsia"/>
          <w:sz w:val="28"/>
          <w:szCs w:val="28"/>
        </w:rPr>
      </w:pPr>
      <w:bookmarkStart w:id="148" w:name="_Toc228180146"/>
      <w:bookmarkStart w:id="149" w:name="_Toc22672"/>
      <w:r>
        <w:rPr>
          <w:rFonts w:hint="eastAsia" w:asciiTheme="minorEastAsia" w:hAnsiTheme="minorEastAsia" w:eastAsiaTheme="minorEastAsia" w:cstheme="minorEastAsia"/>
          <w:sz w:val="28"/>
          <w:szCs w:val="28"/>
        </w:rPr>
        <w:t>2. 合同标的</w:t>
      </w:r>
      <w:bookmarkEnd w:id="148"/>
      <w:bookmarkEnd w:id="149"/>
    </w:p>
    <w:p>
      <w:pPr>
        <w:shd w:val="clear" w:color="auto" w:fill="FFFFFF"/>
        <w:adjustRightInd w:val="0"/>
        <w:snapToGrid w:val="0"/>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卖方同意向买方出售合同产品（含货物供应、安装及配套服务等），买方同意从卖方购买合同产品（含货物供应、安装及配套服务等）。</w:t>
      </w:r>
    </w:p>
    <w:p>
      <w:pPr>
        <w:shd w:val="clear" w:color="auto" w:fill="FFFFFF"/>
        <w:adjustRightInd w:val="0"/>
        <w:snapToGrid w:val="0"/>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2.1产品名称、规格(型号)、数量、设备名称、规格(型号)、数量及技术要求等详见招标文件。</w:t>
      </w:r>
    </w:p>
    <w:p>
      <w:pPr>
        <w:shd w:val="clear" w:color="auto" w:fill="FFFFFF"/>
        <w:adjustRightInd w:val="0"/>
        <w:snapToGrid w:val="0"/>
        <w:spacing w:line="360" w:lineRule="auto"/>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 凡卖方供应的产品均应是全新、安全、经济、技术先进并且是成熟可靠的。</w:t>
      </w:r>
    </w:p>
    <w:p>
      <w:pPr>
        <w:shd w:val="clear" w:color="auto" w:fill="FFFFFF"/>
        <w:adjustRightInd w:val="0"/>
        <w:snapToGrid w:val="0"/>
        <w:spacing w:line="360" w:lineRule="auto"/>
        <w:ind w:firstLine="747" w:firstLineChars="26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 合同产品的技术规范、技术经济指标和性能按双方签订的《技术协议》（如果有的话）、卖方的《投标文件》及《招标文件》有关要求执行。</w:t>
      </w:r>
    </w:p>
    <w:p>
      <w:pPr>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 卖方提供合同产品的供货范围按卖方在投标文件报出的并经买方同意认可的供货及招标项目范围清单执行。</w:t>
      </w:r>
    </w:p>
    <w:p>
      <w:pPr>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shd w:val="pct10" w:color="auto" w:fill="FFFFFF"/>
        </w:rPr>
      </w:pPr>
      <w:r>
        <w:rPr>
          <w:rFonts w:hint="eastAsia" w:asciiTheme="minorEastAsia" w:hAnsiTheme="minorEastAsia" w:eastAsiaTheme="minorEastAsia" w:cstheme="minorEastAsia"/>
          <w:sz w:val="28"/>
          <w:szCs w:val="28"/>
        </w:rPr>
        <w:t>2.5 卖方负责合同产品的运输及保险。</w:t>
      </w:r>
    </w:p>
    <w:p>
      <w:pPr>
        <w:pStyle w:val="11"/>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50" w:name="_Toc228180147"/>
      <w:bookmarkStart w:id="151" w:name="_Toc20934"/>
      <w:r>
        <w:rPr>
          <w:rFonts w:hint="eastAsia" w:asciiTheme="minorEastAsia" w:hAnsiTheme="minorEastAsia" w:eastAsiaTheme="minorEastAsia" w:cstheme="minorEastAsia"/>
          <w:sz w:val="28"/>
          <w:szCs w:val="28"/>
        </w:rPr>
        <w:t>3. 供货范围</w:t>
      </w:r>
      <w:bookmarkEnd w:id="150"/>
      <w:bookmarkEnd w:id="151"/>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 合同供货范围包括了所有产品、原材料、技术资料、专用工具、备品备件、人员培训及技术协调、技术服务及技术指导,但在执行合同过程中如发现有任何漏项和短缺，在发货清单中并未列入而且确实是卖方供货范围中应该有的,并且是满足《招标文件》对合同设备的性能保证值要求所必须的,均应由卖方负责将所缺的设备、技术资料、专用工具、备品备件、人员培训及技术协调、技术服务及技术指导等补上，且无费用补偿问题。</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 货物供应清单</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合同的</w:t>
      </w:r>
      <w:r>
        <w:rPr>
          <w:rFonts w:hint="eastAsia" w:asciiTheme="minorEastAsia" w:hAnsiTheme="minorEastAsia" w:eastAsiaTheme="minorEastAsia" w:cstheme="minorEastAsia"/>
          <w:kern w:val="0"/>
          <w:sz w:val="28"/>
          <w:szCs w:val="28"/>
        </w:rPr>
        <w:t>产品实际采购、配套加工和服务</w:t>
      </w:r>
      <w:r>
        <w:rPr>
          <w:rFonts w:hint="eastAsia" w:asciiTheme="minorEastAsia" w:hAnsiTheme="minorEastAsia" w:eastAsiaTheme="minorEastAsia" w:cstheme="minorEastAsia"/>
          <w:sz w:val="28"/>
          <w:szCs w:val="28"/>
        </w:rPr>
        <w:t>按双方签订的《技术协议》（如果有的话）、卖方的《投标文件》、《招标文件》及答疑记录有关要求执行。</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3.3 验收：</w:t>
      </w:r>
      <w:r>
        <w:rPr>
          <w:rFonts w:hint="eastAsia" w:asciiTheme="minorEastAsia" w:hAnsiTheme="minorEastAsia" w:eastAsiaTheme="minorEastAsia" w:cstheme="minorEastAsia"/>
          <w:kern w:val="0"/>
          <w:sz w:val="28"/>
          <w:szCs w:val="28"/>
        </w:rPr>
        <w:t>实际供货完成并交付采购人指定地点且验收合格后方可交付买方。</w:t>
      </w:r>
    </w:p>
    <w:p>
      <w:pPr>
        <w:pStyle w:val="11"/>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52" w:name="_Toc228180148"/>
      <w:bookmarkStart w:id="153" w:name="_Toc24361"/>
      <w:r>
        <w:rPr>
          <w:rFonts w:hint="eastAsia" w:asciiTheme="minorEastAsia" w:hAnsiTheme="minorEastAsia" w:eastAsiaTheme="minorEastAsia" w:cstheme="minorEastAsia"/>
          <w:sz w:val="28"/>
          <w:szCs w:val="28"/>
        </w:rPr>
        <w:t>4. 合同价格</w:t>
      </w:r>
      <w:bookmarkEnd w:id="152"/>
      <w:bookmarkEnd w:id="153"/>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 以本合同条款第2条规定的合同标的和合同规定及卖方完成对合同应承担的义务为基础，卖方供应的合同总价为元（大写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sz w:val="28"/>
          <w:szCs w:val="28"/>
        </w:rPr>
        <w:t>该价格包括本项目招标文件中及清单范围内所要求的本项目招标设备及材料采购、配套安装调试，含以下内容：1）本次项目采购所有设备均以到达现场经安装调试并验收合格后的全部费用（招标文件规定的地点），包括招标书中对项目要求的</w:t>
      </w:r>
      <w:r>
        <w:rPr>
          <w:rFonts w:hint="eastAsia" w:asciiTheme="minorEastAsia" w:hAnsiTheme="minorEastAsia" w:eastAsiaTheme="minorEastAsia" w:cstheme="minorEastAsia"/>
          <w:kern w:val="0"/>
          <w:sz w:val="28"/>
          <w:szCs w:val="28"/>
        </w:rPr>
        <w:t>投标产品、各种税费、运费、装卸费、进场协调费、仓储费、保险费、送货到招标人指定地点运输费、检验检测费、资料、技术服务、配套费、人员培训费、管理费、利润等全部费用。</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 合同分项价格</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见卖方的《投标文件》。</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4.3 质保期后三年内的设备备品备件及专用工具价格表,买方如需在此时间内向卖方采购,卖方需按此价格表中的单价供货。见卖方的《投标文件》。</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4.4 上述合同价格是本项目交付时的固定不变价格，借任何理由调价都是不允许的。</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4.5 招标范围外合同付款的调整：</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4.5.1 调整因素：设计变更，经济签证。</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4.5.2 调整方法：执行投标书中最终优惠后的报价单价和取费费率调整合同付款。</w:t>
      </w:r>
    </w:p>
    <w:p>
      <w:pPr>
        <w:pStyle w:val="11"/>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54" w:name="_Toc22237"/>
      <w:bookmarkStart w:id="155" w:name="_Toc228180149"/>
      <w:r>
        <w:rPr>
          <w:rFonts w:hint="eastAsia" w:asciiTheme="minorEastAsia" w:hAnsiTheme="minorEastAsia" w:eastAsiaTheme="minorEastAsia" w:cstheme="minorEastAsia"/>
          <w:sz w:val="28"/>
          <w:szCs w:val="28"/>
        </w:rPr>
        <w:t>5. 付款方式和付款比例</w:t>
      </w:r>
      <w:bookmarkEnd w:id="154"/>
      <w:bookmarkEnd w:id="155"/>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 本合同计价货币为人民币。</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 付款方式：支票、银行汇票和电汇。</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 合同款的支付【含</w:t>
      </w:r>
      <w:r>
        <w:rPr>
          <w:rFonts w:hint="eastAsia" w:asciiTheme="minorEastAsia" w:hAnsiTheme="minorEastAsia" w:eastAsiaTheme="minorEastAsia" w:cstheme="minorEastAsia"/>
          <w:kern w:val="0"/>
          <w:sz w:val="28"/>
          <w:szCs w:val="28"/>
        </w:rPr>
        <w:t>投标产品、各种税费、运费、装卸费、进场协调费、仓储费、保险费、送货到招标人指定地点运输费、检验检测费、资料、技术服务、配套费、人员培训费、管理费、利润等全部费用</w:t>
      </w:r>
      <w:r>
        <w:rPr>
          <w:rFonts w:hint="eastAsia" w:asciiTheme="minorEastAsia" w:hAnsiTheme="minorEastAsia" w:eastAsiaTheme="minorEastAsia" w:cstheme="minorEastAsia"/>
          <w:sz w:val="28"/>
          <w:szCs w:val="28"/>
        </w:rPr>
        <w:t>】。</w:t>
      </w:r>
    </w:p>
    <w:p>
      <w:pPr>
        <w:pStyle w:val="28"/>
        <w:shd w:val="clear" w:color="auto" w:fill="FFFFFF"/>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5.3.1 付款方式：以跟甲方签订的合同为准。</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5.3.5 合同的付款日期以买方签发支票或在银行办理电汇的日期为准。</w:t>
      </w:r>
    </w:p>
    <w:p>
      <w:pPr>
        <w:pStyle w:val="11"/>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56" w:name="_Toc12119"/>
      <w:bookmarkStart w:id="157" w:name="_Toc228180150"/>
      <w:r>
        <w:rPr>
          <w:rFonts w:hint="eastAsia" w:asciiTheme="minorEastAsia" w:hAnsiTheme="minorEastAsia" w:eastAsiaTheme="minorEastAsia" w:cstheme="minorEastAsia"/>
          <w:sz w:val="28"/>
          <w:szCs w:val="28"/>
        </w:rPr>
        <w:t>6. 交货及完工、运输和保险</w:t>
      </w:r>
      <w:bookmarkEnd w:id="156"/>
      <w:bookmarkEnd w:id="157"/>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 本合同设备的交货进度见卖方的《投标文件》。</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6.1.1 交货期及完工期:是指最后一件货物运抵交货地点调试安装完毕合格并移交买方的时间。</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6.1.2 设备交货期如改变,以买方书面通知为准。买方应在设备到货期前10日内通知卖方。</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 合同设备交货日期以货物到买方指定的交货地点日期为准。此日期即本合同计算迟交货物违约金时间的根据。</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 对于重量超过20T、尺寸超过9m长、3m宽和3m高的大型包装物和对于特殊形状的包装物，卖方应注明重心和起重吊点等。</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6.4 如果合同设备是易燃和危险的，那么卖方应在发运前10天向买方提交3份说明合同设备名称、性能、保护措施和处理事故的方法的报告。</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6.5 如果对合同设备在保管存放、运输方面有特殊的要求（如温度等方面），那么卖方在发运前10天内应给买方寄送3份注意事项的报告，买方将把这一报告</w:t>
      </w:r>
      <w:r>
        <w:rPr>
          <w:rFonts w:hint="eastAsia" w:asciiTheme="minorEastAsia" w:hAnsiTheme="minorEastAsia" w:eastAsiaTheme="minorEastAsia" w:cstheme="minorEastAsia"/>
          <w:bCs/>
          <w:sz w:val="28"/>
          <w:szCs w:val="28"/>
          <w:u w:val="single"/>
        </w:rPr>
        <w:t>作为货到验收合格后在保管、存放、运输</w:t>
      </w:r>
      <w:r>
        <w:rPr>
          <w:rFonts w:hint="eastAsia" w:asciiTheme="minorEastAsia" w:hAnsiTheme="minorEastAsia" w:eastAsiaTheme="minorEastAsia" w:cstheme="minorEastAsia"/>
          <w:sz w:val="28"/>
          <w:szCs w:val="28"/>
        </w:rPr>
        <w:t>方面的依据，否则货到验收合格后在保管、存放、运输过程中造成的问题和损失由卖方负责。</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6.6 项目实施地点：</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6.7 设备在到达本合同指定的交货地点验收前发生任何问题以及因发生问题而发生的费用均由卖方负责和承担，对此买方不承担任何责任和义务。货到现场和在调试直至项目整体验收合格前卖方都负有完全的责任。</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6.8 买方有派遣代表到卖方工厂及装货车站检查包装质量和监督装车情况的权力。卖方提前5天通知买方发运日期。如果买方代表不参加或不能及时参加检验时，卖方有权按原定时间发货。（上述买方代表的检查与监督不能免除卖方应负的责任）。</w:t>
      </w:r>
    </w:p>
    <w:p>
      <w:pPr>
        <w:pStyle w:val="11"/>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58" w:name="_Toc18839"/>
      <w:bookmarkStart w:id="159" w:name="_Toc228180151"/>
      <w:r>
        <w:rPr>
          <w:rFonts w:hint="eastAsia" w:asciiTheme="minorEastAsia" w:hAnsiTheme="minorEastAsia" w:eastAsiaTheme="minorEastAsia" w:cstheme="minorEastAsia"/>
          <w:sz w:val="28"/>
          <w:szCs w:val="28"/>
        </w:rPr>
        <w:t>7. 技术服务及联络</w:t>
      </w:r>
      <w:bookmarkEnd w:id="158"/>
      <w:bookmarkEnd w:id="159"/>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 卖方须派有丰富经验的技术人员到现场进行技术服务，指按技术文件和图纸进行分部调试、启动调试和试运行，并负责解决合同设备在调试、试运行中发现的制造质量及性能等有关问题。同时，对买方技术人员提供全面培训。</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当买方要求卖方进行现场服务时，卖方应在接到买方通知的24小时内给予答复，并在48小时内到达现场。买方有权提出更换不能胜任工作的卖方现场服务人员，卖方在不影响工程进度的条件下，应重新选派买方认可的服务人员。如果买方在书面提出该项要求10天内卖方没有答复，将视为延误工期等同处理。</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7.2 卖方在合同生效后7日内以邮寄方式向买方提交执行8.1项中规定的服务工作的组织计划一式两份。</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7.3 在合同生效后7日内，双方确定技术联络会的次数、时间和地点。</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7.4 卖方必须将本合同供货范围中需要向外分包的主要供货商的名单提交买方予以确认，卖方应将从该确认名单中选定的最后供货商通知买方。卖方对其分包商的一切有关供货范围，设备及技术接口等问题负责。</w:t>
      </w:r>
    </w:p>
    <w:p>
      <w:pPr>
        <w:shd w:val="clear" w:color="auto" w:fill="FFFFFF"/>
        <w:tabs>
          <w:tab w:val="left" w:pos="1560"/>
          <w:tab w:val="left" w:pos="1920"/>
        </w:tabs>
        <w:adjustRightInd w:val="0"/>
        <w:snapToGrid w:val="0"/>
        <w:spacing w:line="360" w:lineRule="auto"/>
        <w:ind w:firstLine="548" w:firstLineChars="196"/>
        <w:outlineLvl w:val="0"/>
        <w:rPr>
          <w:rFonts w:hint="eastAsia" w:asciiTheme="minorEastAsia" w:hAnsiTheme="minorEastAsia" w:eastAsiaTheme="minorEastAsia" w:cstheme="minorEastAsia"/>
          <w:sz w:val="28"/>
          <w:szCs w:val="28"/>
        </w:rPr>
      </w:pPr>
      <w:bookmarkStart w:id="160" w:name="_Toc10365"/>
      <w:bookmarkStart w:id="161" w:name="_Toc228180152"/>
      <w:r>
        <w:rPr>
          <w:rFonts w:hint="eastAsia" w:asciiTheme="minorEastAsia" w:hAnsiTheme="minorEastAsia" w:eastAsiaTheme="minorEastAsia" w:cstheme="minorEastAsia"/>
          <w:sz w:val="28"/>
          <w:szCs w:val="28"/>
        </w:rPr>
        <w:t>8. 图纸和技术资料的交付</w:t>
      </w:r>
      <w:bookmarkEnd w:id="160"/>
      <w:bookmarkEnd w:id="161"/>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8.1 卖方应按投标文件中填报的《技术资料付计划表》向买方交付全套技术资料。</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8.2 每批技术文件交邮后，卖方在24小时内将技术文件的交邮日期、邮单号、技术文件的详细清单件数及重量、合同号等以传真或电报通知买方。</w:t>
      </w:r>
    </w:p>
    <w:p>
      <w:pPr>
        <w:pStyle w:val="11"/>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62" w:name="_Toc228180153"/>
      <w:bookmarkStart w:id="163" w:name="_Toc30923"/>
      <w:r>
        <w:rPr>
          <w:rFonts w:hint="eastAsia" w:asciiTheme="minorEastAsia" w:hAnsiTheme="minorEastAsia" w:eastAsiaTheme="minorEastAsia" w:cstheme="minorEastAsia"/>
          <w:sz w:val="28"/>
          <w:szCs w:val="28"/>
        </w:rPr>
        <w:t>9. 监督与检验</w:t>
      </w:r>
      <w:bookmarkEnd w:id="162"/>
      <w:bookmarkEnd w:id="163"/>
    </w:p>
    <w:p>
      <w:pPr>
        <w:pStyle w:val="29"/>
        <w:shd w:val="clear" w:color="auto" w:fill="FFFFFF"/>
        <w:snapToGrid w:val="0"/>
        <w:spacing w:line="360" w:lineRule="auto"/>
        <w:ind w:firstLine="560" w:firstLineChars="2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9.1 出厂检验</w:t>
      </w:r>
    </w:p>
    <w:p>
      <w:pPr>
        <w:pStyle w:val="29"/>
        <w:shd w:val="clear" w:color="auto" w:fill="FFFFFF"/>
        <w:snapToGrid w:val="0"/>
        <w:spacing w:line="360" w:lineRule="auto"/>
        <w:ind w:firstLine="560" w:firstLineChars="2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9.1.1 在发货前，卖方应对货物的质量、规格、性能、数量等进行全面的检验，并出具一份证明货物符合合同规定的证书。卖方检验的结果应在质量证书中加以说明，并提供规定检验的证书。在检验过程中应严格按有关国家或行业标准进行。属进口产品的，提供制造商的出厂检验记录及商检证明。</w:t>
      </w:r>
    </w:p>
    <w:p>
      <w:pPr>
        <w:pStyle w:val="29"/>
        <w:shd w:val="clear" w:color="auto" w:fill="FFFFFF"/>
        <w:snapToGrid w:val="0"/>
        <w:spacing w:line="360" w:lineRule="auto"/>
        <w:ind w:firstLine="560" w:firstLineChars="20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9.1.2 在生产制造过程中，买方有权派员进行监造，但不论买方人员是否参与监造与出厂检验或者买方代表参加了监造与检验，并且签署了监造检验报告，均不能免除卖方对设备质量应负的责任。</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9.2 货物到达目的地后，卖方在接到买方通知后应及时到现场与买方一起根据运单和装箱单、合同组织对货物的包装、外观及件数进行检验。如发现有任何不符合之处并由双方代表确认属卖方责任后，由卖方处理解决。如检验时，卖方人员未按时赶赴现场，买方有权自行开箱检验,检验结果和记录对双方同样有效，并作为买方向卖方提出索赔的有效证据。</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9.3 现场检验时，如发现设备由于卖方原因有任何损坏、缺陷、短少或不符合合同中规定的质量标准和规范时，应做好记录，并由双方代表签字，各执一份，作为买方向卖方提出修理或更换或索赔的依据。</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果非卖方原因或由于买方原因，在开箱检验时，发现损坏或短缺，卖方在接到买方通知后，应尽快提供修理或更换相应的部件，但费用由买方自负。如果由于卖方运输原因造成损坏或短缺，卖方在接到买方通知后，应尽快提供或替换相应的部件，但费用由卖方自负。</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9.4 如双方代表在会同检验中对检验记录不能取得一致意见时，任何一方均可提请商检部门或技术监督部门进行检验，检验后出具的检验证书是具有法律效力的最终检验结果，对双方都有约束力，检验费用由责任方负责。</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9.5 由于卖方原因修理或换货的时间或现场修理完工期，即为该设备的实际交货期，作为计算迟交违约金的依据。</w:t>
      </w:r>
    </w:p>
    <w:p>
      <w:pPr>
        <w:pStyle w:val="11"/>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64" w:name="_Toc7950"/>
      <w:bookmarkStart w:id="165" w:name="_Toc228180154"/>
      <w:r>
        <w:rPr>
          <w:rFonts w:hint="eastAsia" w:asciiTheme="minorEastAsia" w:hAnsiTheme="minorEastAsia" w:eastAsiaTheme="minorEastAsia" w:cstheme="minorEastAsia"/>
          <w:sz w:val="28"/>
          <w:szCs w:val="28"/>
        </w:rPr>
        <w:t>10.调试和验收</w:t>
      </w:r>
      <w:bookmarkEnd w:id="164"/>
      <w:bookmarkEnd w:id="165"/>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 本合同产品由买方根据卖方提供的技术文件、检验标准、图纸及说明书进行调试。卖方应充分合作，采取一切必要措施，使合同产品尽快投入使用。</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10.2 合同产品的调试完毕后，卖方派人负责检验。</w:t>
      </w:r>
    </w:p>
    <w:p>
      <w:pPr>
        <w:pStyle w:val="11"/>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66" w:name="_Toc228180155"/>
      <w:bookmarkStart w:id="167" w:name="_Toc3125"/>
      <w:r>
        <w:rPr>
          <w:rFonts w:hint="eastAsia" w:asciiTheme="minorEastAsia" w:hAnsiTheme="minorEastAsia" w:eastAsiaTheme="minorEastAsia" w:cstheme="minorEastAsia"/>
          <w:sz w:val="28"/>
          <w:szCs w:val="28"/>
        </w:rPr>
        <w:t>11. 保证与索赔</w:t>
      </w:r>
      <w:bookmarkEnd w:id="166"/>
      <w:bookmarkEnd w:id="167"/>
    </w:p>
    <w:p>
      <w:pPr>
        <w:pStyle w:val="11"/>
        <w:shd w:val="clear" w:color="auto" w:fill="FFFFFF"/>
        <w:adjustRightInd w:val="0"/>
        <w:snapToGrid w:val="0"/>
        <w:spacing w:line="360" w:lineRule="auto"/>
        <w:ind w:left="420" w:left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11.1 质量保证期是</w:t>
      </w:r>
      <w:r>
        <w:rPr>
          <w:rFonts w:hint="eastAsia" w:asciiTheme="minorEastAsia" w:hAnsiTheme="minorEastAsia" w:eastAsiaTheme="minorEastAsia" w:cstheme="minorEastAsia"/>
          <w:kern w:val="0"/>
          <w:sz w:val="28"/>
          <w:szCs w:val="28"/>
        </w:rPr>
        <w:t>指本项目产品、材料采购、配套服务等完成，并自项目整体验收之日起</w:t>
      </w:r>
      <w:r>
        <w:rPr>
          <w:rFonts w:hint="eastAsia" w:asciiTheme="minorEastAsia" w:hAnsiTheme="minorEastAsia" w:eastAsiaTheme="minorEastAsia" w:cstheme="minorEastAsia"/>
          <w:kern w:val="0"/>
          <w:sz w:val="28"/>
          <w:szCs w:val="28"/>
          <w:u w:val="single"/>
        </w:rPr>
        <w:t xml:space="preserve"> 1</w:t>
      </w:r>
      <w:r>
        <w:rPr>
          <w:rFonts w:hint="eastAsia" w:asciiTheme="minorEastAsia" w:hAnsiTheme="minorEastAsia" w:eastAsiaTheme="minorEastAsia" w:cstheme="minorEastAsia"/>
          <w:kern w:val="0"/>
          <w:sz w:val="28"/>
          <w:szCs w:val="28"/>
        </w:rPr>
        <w:t>年</w:t>
      </w:r>
      <w:r>
        <w:rPr>
          <w:rFonts w:hint="eastAsia" w:asciiTheme="minorEastAsia" w:hAnsiTheme="minorEastAsia" w:eastAsiaTheme="minorEastAsia" w:cstheme="minorEastAsia"/>
          <w:sz w:val="28"/>
          <w:szCs w:val="28"/>
        </w:rPr>
        <w:t>。</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在此质保期内，供方应对由于设计、工艺或材料的缺陷而发生的任何不足或故障负责，费用由供方负担。</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11.2 卖方保证其供应的本合同设备是全新的，技术水平是先进的、成熟的、质量优良的、设备的选型均符合安全可靠、经济运行和易于维护的要求。</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 在质保期内，如发现卖方提供的设备有缺陷，不符合本合同规定时，买方认为如属卖方责任，则买方有权向卖方提出索赔。卖方在接到买方索赔文件后，应立即无偿修理、换货、赔款或委托买方安排大型修理。由此产生的到安装现场的换货费用、运费及保险费由卖方负担。</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11.4 如由于卖方责任需要更换。修理有缺陷的设备，而使合同设备停运或推迟安装时，则质保期按实际修理或换货所延误的时间做相应的延长，且新更换或修理的设备，其质保期应重新计算。</w:t>
      </w:r>
    </w:p>
    <w:p>
      <w:pPr>
        <w:pStyle w:val="11"/>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68" w:name="_Toc228180156"/>
      <w:bookmarkStart w:id="169" w:name="_Toc29855"/>
      <w:r>
        <w:rPr>
          <w:rFonts w:hint="eastAsia" w:asciiTheme="minorEastAsia" w:hAnsiTheme="minorEastAsia" w:eastAsiaTheme="minorEastAsia" w:cstheme="minorEastAsia"/>
          <w:sz w:val="28"/>
          <w:szCs w:val="28"/>
        </w:rPr>
        <w:t>12. 合同的变更、修改、中止和终止</w:t>
      </w:r>
      <w:bookmarkEnd w:id="168"/>
      <w:bookmarkEnd w:id="169"/>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12.1 本合同一经生效，合同双方均不得擅自对本合同的内容（包括附件）作任何单方修改。但任何一方均可以对合同内容以书面形式提出变更、修改、取消或补充的建议。该项建议由一方按顺序编号的修改通知书向对方签发，修改通知书副本经对方签署人会签后返还给修改通知书一方。如果双方共同认为该项修改会对合同价格和交货进度有重大影响时，卖方应在收到上述修改通知书后的14个工作日内，提出影响合同价格或交货期的详细说明。双方同意后经双方法人代表或授权代表签字并经主管部门审核盖章后生效。将修改后的有关部分抄送原合同有关单位。</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12.2 如果卖方有违反或拒绝执行本合同规定的行为时，买方将用书面通知卖方，卖方在接到通知书后5个工作日内确认无误后应对违反或拒绝作出修正，如果认为在5个工作日内来不及纠正时，应提出修正计划。如果得不到纠正或提不出修正计划，买方将保留暂停履行本合同的一部份或全部的权利。对于这种暂停，买方将不出具变更通知书，由此而发生的一切费用、损失和索赔将由卖方负担。</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12.3 根据13条款规定，如果买方行使暂停权利后，买方有权停付到期应向卖方支付暂停部分的款项，并有权将在执行合同中，预付给卖方的暂停部分款项索回。</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12.4 在合同执行过程中，若因国家计划调整而引起本合同无法正常执行时，卖方或买方可以向对方提出暂停执行合同或修改合同有关条款的建议，与之有关的事宜双方协商办理。</w:t>
      </w:r>
    </w:p>
    <w:p>
      <w:pPr>
        <w:pStyle w:val="11"/>
        <w:shd w:val="clear" w:color="auto" w:fill="FFFFFF"/>
        <w:adjustRightInd w:val="0"/>
        <w:snapToGrid w:val="0"/>
        <w:spacing w:line="360" w:lineRule="auto"/>
        <w:ind w:firstLine="544" w:firstLineChars="200"/>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12.5 在合同执行过程中，若因卖方产品质量低劣或合同履行困难，买方有权利终止合同并另择供货人。</w:t>
      </w:r>
    </w:p>
    <w:p>
      <w:pPr>
        <w:pStyle w:val="28"/>
        <w:shd w:val="clear" w:color="auto" w:fill="FFFFFF"/>
        <w:spacing w:line="360" w:lineRule="auto"/>
        <w:ind w:firstLine="490" w:firstLineChars="175"/>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13．延期交货与核定损失额</w:t>
      </w:r>
    </w:p>
    <w:p>
      <w:pPr>
        <w:pStyle w:val="28"/>
        <w:shd w:val="clear" w:color="auto" w:fill="FFFFFF"/>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如果卖方未能按合同规定的时间按期交货（本合同14条款规定的不可抗力因素除外）在卖方同意支付核定损失额的条件下，买方将同意延长交货期。核定损失额的支付将从质量保证金中扣除。但是核定损失额不得超过迟交货物部分合同金额的5%。核定损失额比率为每迟交7天，按迟交货物金额的0.5%计，不满7天按7天计。如果卖方在买方同意延长的时间内仍不能交货,买方有权因卖方违约撤销合同，而卖方仍有义务支付上述迟交核定损失额。</w:t>
      </w:r>
    </w:p>
    <w:p>
      <w:pPr>
        <w:pStyle w:val="11"/>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70" w:name="_Toc228180157"/>
      <w:bookmarkStart w:id="171" w:name="_Toc31922"/>
      <w:r>
        <w:rPr>
          <w:rFonts w:hint="eastAsia" w:asciiTheme="minorEastAsia" w:hAnsiTheme="minorEastAsia" w:eastAsiaTheme="minorEastAsia" w:cstheme="minorEastAsia"/>
          <w:sz w:val="28"/>
          <w:szCs w:val="28"/>
        </w:rPr>
        <w:t>14. 不可抗力</w:t>
      </w:r>
      <w:bookmarkEnd w:id="170"/>
      <w:bookmarkEnd w:id="171"/>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14.1 不可抗力是合同签字生效后发生的非有关方所能控制的，并非合同方过失的、无法中止的、不能预防的社会和自然事件，包括但不限于：严重的自然灾害（如台风、洪水、地震、火灾、爆炸等），战争（不论是否宣战）、叛乱、破坏、动乱、社会敌视行为、正式罢工等等。合同双方的任何一方，由于不可抗力而影响合同义务执行时，则延迟合同义务的期限相当于不可抗力事件的时间，但是不能因为不可抗力的延迟而调整价格。</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14.2 </w:t>
      </w:r>
      <w:r>
        <w:rPr>
          <w:rFonts w:hint="eastAsia" w:asciiTheme="minorEastAsia" w:hAnsiTheme="minorEastAsia" w:eastAsiaTheme="minorEastAsia" w:cstheme="minorEastAsia"/>
          <w:spacing w:val="-2"/>
          <w:sz w:val="28"/>
          <w:szCs w:val="28"/>
        </w:rPr>
        <w:t>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14.3 如双方对不可抗力事件的影响估计将延续到一百二十天以上时，双方应通过友好协商解决本合同的执行问题（包括交货，试运行和验收等问题）。</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14.4 如果不可抗力使交货时间严重影响了交货期，买方有权终止合同，遗留问题由双方通过友好协商妥善解决。</w:t>
      </w:r>
    </w:p>
    <w:p>
      <w:pPr>
        <w:pStyle w:val="11"/>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72" w:name="_Toc228180158"/>
      <w:bookmarkStart w:id="173" w:name="_Toc28084"/>
      <w:r>
        <w:rPr>
          <w:rFonts w:hint="eastAsia" w:asciiTheme="minorEastAsia" w:hAnsiTheme="minorEastAsia" w:eastAsiaTheme="minorEastAsia" w:cstheme="minorEastAsia"/>
          <w:sz w:val="28"/>
          <w:szCs w:val="28"/>
        </w:rPr>
        <w:t>15. 合同争议的解决</w:t>
      </w:r>
      <w:bookmarkEnd w:id="172"/>
      <w:bookmarkEnd w:id="173"/>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15.1 本合同适用法律为中华人民共和国法律。</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15.2 凡与本合同有关而引起的一切争议，双方应通过友好协商解决，如经协商仍不能达成协议时，任何一方均有权将争议提交人民法院审理。</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15.3 双方约定的有审判管辖权的审判机关为：</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15.4 法院判决对双方都有约束力。</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shd w:val="pct10" w:color="auto" w:fill="FFFFFF"/>
        </w:rPr>
      </w:pPr>
      <w:r>
        <w:rPr>
          <w:rFonts w:hint="eastAsia" w:asciiTheme="minorEastAsia" w:hAnsiTheme="minorEastAsia" w:eastAsiaTheme="minorEastAsia" w:cstheme="minorEastAsia"/>
          <w:sz w:val="28"/>
          <w:szCs w:val="28"/>
        </w:rPr>
        <w:t>15.5 上述过程发生的费用除另有规定外，应由败诉方承担。</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15.6 在法院判决期间，除提交法院判决的事项外，合同仍应继续履行。</w:t>
      </w:r>
    </w:p>
    <w:p>
      <w:pPr>
        <w:pStyle w:val="11"/>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74" w:name="_Toc22379"/>
      <w:bookmarkStart w:id="175" w:name="_Toc228180159"/>
      <w:r>
        <w:rPr>
          <w:rFonts w:hint="eastAsia" w:asciiTheme="minorEastAsia" w:hAnsiTheme="minorEastAsia" w:eastAsiaTheme="minorEastAsia" w:cstheme="minorEastAsia"/>
          <w:sz w:val="28"/>
          <w:szCs w:val="28"/>
        </w:rPr>
        <w:t>16. 税费</w:t>
      </w:r>
      <w:bookmarkEnd w:id="174"/>
      <w:bookmarkEnd w:id="175"/>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16.1 根据国家有关税务的法律、法规和规定，卖方应该交纳的与本合同有关的税费，由卖方承担。</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16.2 本合同价格为含税价。卖方提供的</w:t>
      </w:r>
      <w:r>
        <w:rPr>
          <w:rFonts w:hint="eastAsia" w:asciiTheme="minorEastAsia" w:hAnsiTheme="minorEastAsia" w:eastAsiaTheme="minorEastAsia" w:cstheme="minorEastAsia"/>
          <w:kern w:val="0"/>
          <w:sz w:val="28"/>
          <w:szCs w:val="28"/>
        </w:rPr>
        <w:t>投标产品、各种税费、运费、装卸费、进场协调费、仓储费、保险费、送货到招标人指定地点运输费、检验检测费、资料、技术服务、配套费、人员培训费、管理费、利润等全部费用</w:t>
      </w:r>
      <w:r>
        <w:rPr>
          <w:rFonts w:hint="eastAsia" w:asciiTheme="minorEastAsia" w:hAnsiTheme="minorEastAsia" w:eastAsiaTheme="minorEastAsia" w:cstheme="minorEastAsia"/>
          <w:sz w:val="28"/>
          <w:szCs w:val="28"/>
        </w:rPr>
        <w:t>，由卖方承担。</w:t>
      </w:r>
    </w:p>
    <w:p>
      <w:pPr>
        <w:pStyle w:val="11"/>
        <w:shd w:val="clear" w:color="auto" w:fill="FFFFFF"/>
        <w:adjustRightInd w:val="0"/>
        <w:snapToGrid w:val="0"/>
        <w:spacing w:line="360" w:lineRule="auto"/>
        <w:ind w:firstLine="560" w:firstLineChars="200"/>
        <w:outlineLvl w:val="0"/>
        <w:rPr>
          <w:rFonts w:hint="eastAsia" w:asciiTheme="minorEastAsia" w:hAnsiTheme="minorEastAsia" w:eastAsiaTheme="minorEastAsia" w:cstheme="minorEastAsia"/>
          <w:sz w:val="28"/>
          <w:szCs w:val="28"/>
        </w:rPr>
      </w:pPr>
      <w:bookmarkStart w:id="176" w:name="_Toc6845"/>
      <w:bookmarkStart w:id="177" w:name="_Toc228180160"/>
      <w:r>
        <w:rPr>
          <w:rFonts w:hint="eastAsia" w:asciiTheme="minorEastAsia" w:hAnsiTheme="minorEastAsia" w:eastAsiaTheme="minorEastAsia" w:cstheme="minorEastAsia"/>
          <w:sz w:val="28"/>
          <w:szCs w:val="28"/>
        </w:rPr>
        <w:t>17. 其它</w:t>
      </w:r>
      <w:bookmarkEnd w:id="176"/>
      <w:bookmarkEnd w:id="177"/>
    </w:p>
    <w:p>
      <w:pPr>
        <w:pStyle w:val="11"/>
        <w:shd w:val="clear" w:color="auto" w:fill="FFFFFF"/>
        <w:adjustRightInd w:val="0"/>
        <w:snapToGri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17.1 本合同于年月日由买卖双方法人代表或授权代表在签字。本合同经双方法人或授权代表签字并加盖合同章后生效。</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本合同有效期从合同生效之日起至合同双方责任和义务履行完毕之日货款结清时止。</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17.2 </w:t>
      </w:r>
      <w:r>
        <w:rPr>
          <w:rFonts w:hint="eastAsia" w:asciiTheme="minorEastAsia" w:hAnsiTheme="minorEastAsia" w:eastAsiaTheme="minorEastAsia" w:cstheme="minorEastAsia"/>
          <w:sz w:val="28"/>
          <w:szCs w:val="28"/>
          <w:u w:val="single"/>
        </w:rPr>
        <w:t xml:space="preserve">本合同正本贰份，副本捌份，其中卖方执正本壹份，副本肆份；买方执正本壹份，副本肆份 </w:t>
      </w:r>
      <w:r>
        <w:rPr>
          <w:rFonts w:hint="eastAsia" w:asciiTheme="minorEastAsia" w:hAnsiTheme="minorEastAsia" w:eastAsiaTheme="minorEastAsia" w:cstheme="minorEastAsia"/>
          <w:sz w:val="28"/>
          <w:szCs w:val="28"/>
        </w:rPr>
        <w:t>。</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17.3 双方任何一方未取得另一方事先同意前，不得将本合同项下的部分或全部权利或义务转让给第三方。卖方未经买方同意不得将本合同范围内的设备／部件进行分包（包括主要部件外购）。卖方需分包的内容和比例应在投标文件中予以明确，并征得买方同意，否则不得分包。</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卖方对所有分包设备、部件承担本合同项下的全部责任。</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17.4 卖方在取得买方同意后所选定的分包商应被视为同卖方一样为履行本合同对买方承担责任。其过失疏忽或其它任何违反合同的行为，应由卖方直接承担。</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17.5 本合同项下双方相互提供的文件、资料、双方除为履行合同的目的外，均不得泄漏给与项目无关的第三方。</w:t>
      </w:r>
    </w:p>
    <w:p>
      <w:pPr>
        <w:pStyle w:val="11"/>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17.6 本合同明确了双方全部的权利和义务。任何一方不享有或承担合同规定以外的权利和义务。</w:t>
      </w:r>
    </w:p>
    <w:p>
      <w:pPr>
        <w:shd w:val="clear" w:color="auto" w:fill="FFFFFF"/>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17.7 买、卖双方签订的《技术协议》（如果有的话）、卖方的评标答疑记录、卖方的《投标文件》、《招标文件》及其澄清函、变更函（或通知等）均为本合同的补充文件，是与本合同不可分割的一部分，与本合同同等具有法律效力。</w:t>
      </w:r>
    </w:p>
    <w:p>
      <w:pPr>
        <w:shd w:val="clear" w:color="auto" w:fill="FFFFFF"/>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17.8 本合同未尽事宜双方协商解决。协商未果，因合同及合同有关事项发生的争议，按下列第（2）种方式解决：</w:t>
      </w:r>
    </w:p>
    <w:p>
      <w:pPr>
        <w:shd w:val="clear" w:color="auto" w:fill="FFFFFF"/>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（1）向合同签订地仲裁委员会申请仲裁；</w:t>
      </w:r>
    </w:p>
    <w:p>
      <w:pPr>
        <w:shd w:val="clear" w:color="auto" w:fill="FFFFFF"/>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（2）向合同签订地人民法院起诉。</w:t>
      </w:r>
    </w:p>
    <w:p>
      <w:pPr>
        <w:shd w:val="clear" w:color="auto" w:fill="FFFFFF"/>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（签署页）</w:t>
      </w:r>
    </w:p>
    <w:p>
      <w:pPr>
        <w:shd w:val="clear" w:color="auto" w:fill="FFFFFF"/>
        <w:spacing w:line="24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甲方：（盖公章）                          乙方：（盖公章）</w:t>
      </w:r>
    </w:p>
    <w:p>
      <w:pPr>
        <w:shd w:val="clear" w:color="auto" w:fill="FFFFFF"/>
        <w:spacing w:line="240" w:lineRule="auto"/>
        <w:ind w:firstLine="560" w:firstLineChars="200"/>
        <w:rPr>
          <w:rFonts w:hint="eastAsia" w:asciiTheme="minorEastAsia" w:hAnsiTheme="minorEastAsia" w:eastAsiaTheme="minorEastAsia" w:cstheme="minorEastAsia"/>
          <w:sz w:val="28"/>
          <w:szCs w:val="28"/>
        </w:rPr>
      </w:pPr>
    </w:p>
    <w:p>
      <w:pPr>
        <w:shd w:val="clear" w:color="auto" w:fill="FFFFFF"/>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法定代表人或授权人：（签字、盖章）        法定代表人：（签字、盖章）</w:t>
      </w:r>
    </w:p>
    <w:p>
      <w:pPr>
        <w:shd w:val="clear" w:color="auto" w:fill="FFFFFF"/>
        <w:spacing w:line="240" w:lineRule="auto"/>
        <w:rPr>
          <w:rFonts w:hint="eastAsia" w:asciiTheme="minorEastAsia" w:hAnsiTheme="minorEastAsia" w:eastAsiaTheme="minorEastAsia" w:cstheme="minorEastAsia"/>
          <w:sz w:val="28"/>
          <w:szCs w:val="28"/>
        </w:rPr>
      </w:pPr>
    </w:p>
    <w:p>
      <w:pPr>
        <w:shd w:val="clear" w:color="auto" w:fill="FFFFFF"/>
        <w:spacing w:line="240" w:lineRule="auto"/>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年 月 日</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日期：  年 月 日</w:t>
      </w:r>
    </w:p>
    <w:p>
      <w:pPr>
        <w:shd w:val="clear" w:color="auto" w:fill="FFFFFF"/>
        <w:spacing w:line="360" w:lineRule="auto"/>
        <w:ind w:firstLine="560" w:firstLineChars="200"/>
        <w:rPr>
          <w:rFonts w:hint="eastAsia" w:asciiTheme="minorEastAsia" w:hAnsiTheme="minorEastAsia" w:eastAsiaTheme="minorEastAsia" w:cstheme="minorEastAsia"/>
          <w:sz w:val="28"/>
          <w:szCs w:val="28"/>
        </w:rPr>
      </w:pPr>
    </w:p>
    <w:p>
      <w:pPr>
        <w:pStyle w:val="3"/>
        <w:spacing w:after="100" w:afterAutospacing="1" w:line="400" w:lineRule="atLeast"/>
        <w:ind w:left="0" w:firstLine="0"/>
        <w:jc w:val="center"/>
        <w:rPr>
          <w:rFonts w:hint="eastAsia" w:asciiTheme="minorEastAsia" w:hAnsiTheme="minorEastAsia" w:eastAsiaTheme="minorEastAsia" w:cstheme="minorEastAsia"/>
          <w:sz w:val="36"/>
          <w:szCs w:val="36"/>
        </w:rPr>
      </w:pPr>
      <w:bookmarkStart w:id="178" w:name="_Toc5960_WPSOffice_Level1"/>
      <w:bookmarkStart w:id="179" w:name="_Toc27477"/>
      <w:bookmarkStart w:id="180" w:name="_Toc12532083"/>
      <w:r>
        <w:rPr>
          <w:rFonts w:hint="eastAsia" w:asciiTheme="minorEastAsia" w:hAnsiTheme="minorEastAsia" w:eastAsiaTheme="minorEastAsia" w:cstheme="minorEastAsia"/>
          <w:sz w:val="36"/>
          <w:szCs w:val="36"/>
        </w:rPr>
        <w:t>第五部分　范本格式</w:t>
      </w:r>
      <w:bookmarkEnd w:id="140"/>
      <w:bookmarkEnd w:id="141"/>
      <w:bookmarkEnd w:id="142"/>
      <w:bookmarkEnd w:id="178"/>
      <w:bookmarkEnd w:id="179"/>
      <w:bookmarkEnd w:id="180"/>
    </w:p>
    <w:p>
      <w:pPr>
        <w:pStyle w:val="11"/>
        <w:spacing w:line="400" w:lineRule="atLeast"/>
        <w:jc w:val="right"/>
        <w:rPr>
          <w:rFonts w:hint="eastAsia" w:asciiTheme="minorEastAsia" w:hAnsiTheme="minorEastAsia" w:eastAsiaTheme="minorEastAsia" w:cstheme="minorEastAsia"/>
          <w:b/>
          <w:bCs/>
          <w:kern w:val="0"/>
          <w:sz w:val="40"/>
          <w:szCs w:val="40"/>
        </w:rPr>
      </w:pPr>
    </w:p>
    <w:p>
      <w:pPr>
        <w:pStyle w:val="11"/>
        <w:spacing w:line="400" w:lineRule="atLeast"/>
        <w:jc w:val="right"/>
        <w:rPr>
          <w:rFonts w:hint="eastAsia" w:asciiTheme="minorEastAsia" w:hAnsiTheme="minorEastAsia" w:eastAsiaTheme="minorEastAsia" w:cstheme="minorEastAsia"/>
          <w:b/>
          <w:bCs/>
          <w:kern w:val="0"/>
          <w:sz w:val="40"/>
          <w:szCs w:val="40"/>
        </w:rPr>
      </w:pPr>
    </w:p>
    <w:p>
      <w:pPr>
        <w:pStyle w:val="11"/>
        <w:spacing w:line="400" w:lineRule="atLeast"/>
        <w:jc w:val="right"/>
        <w:rPr>
          <w:rFonts w:hint="eastAsia" w:asciiTheme="minorEastAsia" w:hAnsiTheme="minorEastAsia" w:eastAsiaTheme="minorEastAsia" w:cstheme="minorEastAsia"/>
          <w:b/>
          <w:sz w:val="96"/>
          <w:szCs w:val="21"/>
        </w:rPr>
      </w:pPr>
      <w:bookmarkStart w:id="181" w:name="_Toc6251_WPSOffice_Level1"/>
      <w:bookmarkStart w:id="182" w:name="_Toc25613_WPSOffice_Level1"/>
      <w:r>
        <w:rPr>
          <w:rFonts w:hint="eastAsia" w:asciiTheme="minorEastAsia" w:hAnsiTheme="minorEastAsia" w:eastAsiaTheme="minorEastAsia" w:cstheme="minorEastAsia"/>
          <w:b/>
          <w:bCs/>
          <w:kern w:val="0"/>
          <w:sz w:val="40"/>
          <w:szCs w:val="40"/>
        </w:rPr>
        <w:t>正本/副本</w:t>
      </w:r>
      <w:bookmarkEnd w:id="181"/>
      <w:bookmarkEnd w:id="182"/>
    </w:p>
    <w:p>
      <w:pPr>
        <w:pStyle w:val="11"/>
        <w:spacing w:line="400" w:lineRule="atLeast"/>
        <w:jc w:val="center"/>
        <w:rPr>
          <w:rFonts w:hint="eastAsia" w:asciiTheme="minorEastAsia" w:hAnsiTheme="minorEastAsia" w:eastAsiaTheme="minorEastAsia" w:cstheme="minorEastAsia"/>
          <w:b/>
          <w:sz w:val="96"/>
          <w:szCs w:val="21"/>
        </w:rPr>
      </w:pPr>
    </w:p>
    <w:p>
      <w:pPr>
        <w:pStyle w:val="11"/>
        <w:spacing w:line="400" w:lineRule="atLeast"/>
        <w:jc w:val="center"/>
        <w:rPr>
          <w:rFonts w:hint="eastAsia" w:asciiTheme="minorEastAsia" w:hAnsiTheme="minorEastAsia" w:eastAsiaTheme="minorEastAsia" w:cstheme="minorEastAsia"/>
          <w:b/>
          <w:sz w:val="96"/>
          <w:szCs w:val="21"/>
        </w:rPr>
      </w:pPr>
    </w:p>
    <w:p>
      <w:pPr>
        <w:pStyle w:val="11"/>
        <w:spacing w:line="400" w:lineRule="atLeast"/>
        <w:jc w:val="center"/>
        <w:rPr>
          <w:rFonts w:hint="eastAsia" w:asciiTheme="minorEastAsia" w:hAnsiTheme="minorEastAsia" w:eastAsiaTheme="minorEastAsia" w:cstheme="minorEastAsia"/>
          <w:b/>
          <w:sz w:val="96"/>
          <w:szCs w:val="96"/>
        </w:rPr>
      </w:pPr>
      <w:bookmarkStart w:id="183" w:name="_Toc32690_WPSOffice_Level1"/>
      <w:bookmarkStart w:id="184" w:name="_Toc7267_WPSOffice_Level1"/>
      <w:r>
        <w:rPr>
          <w:rFonts w:hint="eastAsia" w:asciiTheme="minorEastAsia" w:hAnsiTheme="minorEastAsia" w:eastAsiaTheme="minorEastAsia" w:cstheme="minorEastAsia"/>
          <w:b/>
          <w:sz w:val="96"/>
          <w:szCs w:val="96"/>
        </w:rPr>
        <w:t>磋商响应文件</w:t>
      </w:r>
      <w:bookmarkEnd w:id="183"/>
      <w:bookmarkEnd w:id="184"/>
    </w:p>
    <w:p>
      <w:pPr>
        <w:pStyle w:val="11"/>
        <w:spacing w:line="400" w:lineRule="atLeast"/>
        <w:jc w:val="center"/>
        <w:rPr>
          <w:rFonts w:hint="eastAsia" w:asciiTheme="minorEastAsia" w:hAnsiTheme="minorEastAsia" w:eastAsiaTheme="minorEastAsia" w:cstheme="minorEastAsia"/>
          <w:b/>
          <w:sz w:val="56"/>
          <w:szCs w:val="21"/>
        </w:rPr>
      </w:pPr>
    </w:p>
    <w:p>
      <w:pPr>
        <w:pStyle w:val="11"/>
        <w:spacing w:line="400" w:lineRule="atLeast"/>
        <w:rPr>
          <w:rFonts w:hint="eastAsia" w:asciiTheme="minorEastAsia" w:hAnsiTheme="minorEastAsia" w:eastAsiaTheme="minorEastAsia" w:cstheme="minorEastAsia"/>
          <w:b/>
          <w:sz w:val="56"/>
          <w:szCs w:val="21"/>
        </w:rPr>
      </w:pPr>
    </w:p>
    <w:p>
      <w:pPr>
        <w:pStyle w:val="11"/>
        <w:spacing w:line="400" w:lineRule="atLeast"/>
        <w:rPr>
          <w:rFonts w:hint="eastAsia" w:asciiTheme="minorEastAsia" w:hAnsiTheme="minorEastAsia" w:eastAsiaTheme="minorEastAsia" w:cstheme="minorEastAsia"/>
          <w:b/>
          <w:sz w:val="56"/>
          <w:szCs w:val="21"/>
        </w:rPr>
      </w:pPr>
    </w:p>
    <w:p>
      <w:pPr>
        <w:pStyle w:val="11"/>
        <w:spacing w:line="400" w:lineRule="atLeast"/>
        <w:rPr>
          <w:rFonts w:hint="eastAsia" w:asciiTheme="minorEastAsia" w:hAnsiTheme="minorEastAsia" w:eastAsiaTheme="minorEastAsia" w:cstheme="minorEastAsia"/>
          <w:b/>
          <w:sz w:val="56"/>
          <w:szCs w:val="21"/>
        </w:rPr>
      </w:pPr>
    </w:p>
    <w:p>
      <w:pPr>
        <w:pStyle w:val="11"/>
        <w:spacing w:line="400" w:lineRule="atLeast"/>
        <w:rPr>
          <w:rFonts w:hint="eastAsia" w:asciiTheme="minorEastAsia" w:hAnsiTheme="minorEastAsia" w:eastAsiaTheme="minorEastAsia" w:cstheme="minorEastAsia"/>
          <w:b/>
          <w:sz w:val="56"/>
          <w:szCs w:val="21"/>
        </w:rPr>
      </w:pPr>
    </w:p>
    <w:p>
      <w:pPr>
        <w:pStyle w:val="11"/>
        <w:spacing w:line="480" w:lineRule="auto"/>
        <w:ind w:firstLine="723" w:firstLineChars="200"/>
        <w:rPr>
          <w:rFonts w:hint="eastAsia" w:asciiTheme="minorEastAsia" w:hAnsiTheme="minorEastAsia" w:eastAsiaTheme="minorEastAsia" w:cstheme="minorEastAsia"/>
          <w:b/>
          <w:sz w:val="36"/>
          <w:szCs w:val="36"/>
        </w:rPr>
      </w:pPr>
      <w:bookmarkStart w:id="185" w:name="_Toc9442_WPSOffice_Level1"/>
      <w:bookmarkStart w:id="186" w:name="_Toc6603_WPSOffice_Level1"/>
      <w:r>
        <w:rPr>
          <w:rFonts w:hint="eastAsia" w:asciiTheme="minorEastAsia" w:hAnsiTheme="minorEastAsia" w:eastAsiaTheme="minorEastAsia" w:cstheme="minorEastAsia"/>
          <w:b/>
          <w:sz w:val="36"/>
          <w:szCs w:val="36"/>
        </w:rPr>
        <w:t>投标单位：</w:t>
      </w:r>
      <w:bookmarkEnd w:id="185"/>
      <w:bookmarkEnd w:id="186"/>
    </w:p>
    <w:p>
      <w:pPr>
        <w:pStyle w:val="11"/>
        <w:spacing w:line="480" w:lineRule="auto"/>
        <w:ind w:firstLine="723" w:firstLineChars="200"/>
        <w:rPr>
          <w:rFonts w:hint="eastAsia" w:asciiTheme="minorEastAsia" w:hAnsiTheme="minorEastAsia" w:eastAsiaTheme="minorEastAsia" w:cstheme="minorEastAsia"/>
          <w:b/>
          <w:sz w:val="36"/>
          <w:szCs w:val="36"/>
          <w:lang w:eastAsia="zh-CN"/>
        </w:rPr>
      </w:pPr>
      <w:bookmarkStart w:id="187" w:name="_Toc13092_WPSOffice_Level1"/>
      <w:bookmarkStart w:id="188" w:name="_Toc3726_WPSOffice_Level1"/>
      <w:r>
        <w:rPr>
          <w:rFonts w:hint="eastAsia" w:asciiTheme="minorEastAsia" w:hAnsiTheme="minorEastAsia" w:eastAsiaTheme="minorEastAsia" w:cstheme="minorEastAsia"/>
          <w:b/>
          <w:sz w:val="36"/>
          <w:szCs w:val="36"/>
        </w:rPr>
        <w:t>项目编号：</w:t>
      </w:r>
      <w:bookmarkEnd w:id="187"/>
      <w:bookmarkEnd w:id="188"/>
      <w:r>
        <w:rPr>
          <w:rFonts w:hint="eastAsia" w:asciiTheme="minorEastAsia" w:hAnsiTheme="minorEastAsia" w:eastAsiaTheme="minorEastAsia" w:cstheme="minorEastAsia"/>
          <w:b/>
          <w:sz w:val="36"/>
          <w:szCs w:val="36"/>
          <w:lang w:eastAsia="zh-CN"/>
        </w:rPr>
        <w:t>HCRHCS2022-011</w:t>
      </w:r>
    </w:p>
    <w:p>
      <w:pPr>
        <w:pStyle w:val="11"/>
        <w:spacing w:line="480" w:lineRule="auto"/>
        <w:ind w:left="223" w:leftChars="106" w:firstLine="531" w:firstLineChars="147"/>
        <w:rPr>
          <w:rFonts w:hint="eastAsia" w:asciiTheme="minorEastAsia" w:hAnsiTheme="minorEastAsia" w:eastAsiaTheme="minorEastAsia" w:cstheme="minorEastAsia"/>
          <w:b/>
          <w:sz w:val="36"/>
          <w:szCs w:val="36"/>
          <w:lang w:eastAsia="zh-CN"/>
        </w:rPr>
      </w:pPr>
      <w:bookmarkStart w:id="189" w:name="_Toc27103_WPSOffice_Level1"/>
      <w:bookmarkStart w:id="190" w:name="_Toc16639_WPSOffice_Level1"/>
      <w:r>
        <w:rPr>
          <w:rFonts w:hint="eastAsia" w:asciiTheme="minorEastAsia" w:hAnsiTheme="minorEastAsia" w:eastAsiaTheme="minorEastAsia" w:cstheme="minorEastAsia"/>
          <w:b/>
          <w:sz w:val="36"/>
          <w:szCs w:val="36"/>
        </w:rPr>
        <w:t>项目名称：</w:t>
      </w:r>
      <w:bookmarkEnd w:id="189"/>
      <w:bookmarkEnd w:id="190"/>
      <w:r>
        <w:rPr>
          <w:rFonts w:hint="eastAsia" w:asciiTheme="minorEastAsia" w:hAnsiTheme="minorEastAsia" w:eastAsiaTheme="minorEastAsia" w:cstheme="minorEastAsia"/>
          <w:b/>
          <w:sz w:val="36"/>
          <w:szCs w:val="36"/>
          <w:lang w:eastAsia="zh-CN"/>
        </w:rPr>
        <w:t>博州林业和草原局无人机航空巡护项目</w:t>
      </w:r>
    </w:p>
    <w:p>
      <w:pPr>
        <w:pStyle w:val="11"/>
        <w:spacing w:line="480" w:lineRule="auto"/>
        <w:ind w:firstLine="708" w:firstLineChars="196"/>
        <w:rPr>
          <w:rFonts w:hint="eastAsia" w:asciiTheme="minorEastAsia" w:hAnsiTheme="minorEastAsia" w:eastAsiaTheme="minorEastAsia" w:cstheme="minorEastAsia"/>
          <w:b/>
          <w:sz w:val="36"/>
          <w:szCs w:val="36"/>
          <w:lang w:eastAsia="zh-CN"/>
        </w:rPr>
      </w:pPr>
      <w:bookmarkStart w:id="191" w:name="_Toc20551_WPSOffice_Level1"/>
      <w:bookmarkStart w:id="192" w:name="_Toc12416_WPSOffice_Level1"/>
      <w:r>
        <w:rPr>
          <w:rFonts w:hint="eastAsia" w:asciiTheme="minorEastAsia" w:hAnsiTheme="minorEastAsia" w:eastAsiaTheme="minorEastAsia" w:cstheme="minorEastAsia"/>
          <w:b/>
          <w:sz w:val="36"/>
          <w:szCs w:val="36"/>
        </w:rPr>
        <w:t>委托单位：</w:t>
      </w:r>
      <w:bookmarkEnd w:id="191"/>
      <w:bookmarkEnd w:id="192"/>
      <w:r>
        <w:rPr>
          <w:rFonts w:hint="eastAsia" w:asciiTheme="minorEastAsia" w:hAnsiTheme="minorEastAsia" w:eastAsiaTheme="minorEastAsia" w:cstheme="minorEastAsia"/>
          <w:b/>
          <w:sz w:val="36"/>
          <w:szCs w:val="36"/>
          <w:lang w:eastAsia="zh-CN"/>
        </w:rPr>
        <w:t>博尔塔拉蒙古自治州林业和草原局</w:t>
      </w:r>
    </w:p>
    <w:p>
      <w:pPr>
        <w:spacing w:line="420" w:lineRule="exact"/>
        <w:ind w:firstLine="560" w:firstLineChars="200"/>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sz w:val="28"/>
          <w:szCs w:val="21"/>
        </w:rPr>
        <w:br w:type="page"/>
      </w:r>
      <w:bookmarkStart w:id="193" w:name="_Toc3566_WPSOffice_Level1"/>
      <w:bookmarkStart w:id="194" w:name="_Toc1144_WPSOffice_Level1"/>
      <w:bookmarkStart w:id="195" w:name="_Toc493877634"/>
      <w:r>
        <w:rPr>
          <w:rFonts w:hint="eastAsia" w:asciiTheme="minorEastAsia" w:hAnsiTheme="minorEastAsia" w:eastAsiaTheme="minorEastAsia" w:cstheme="minorEastAsia"/>
          <w:b/>
          <w:sz w:val="22"/>
          <w:szCs w:val="22"/>
        </w:rPr>
        <w:t>磋商响应文件内容：</w:t>
      </w:r>
      <w:bookmarkEnd w:id="193"/>
      <w:bookmarkEnd w:id="194"/>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lang w:val="en-US" w:eastAsia="zh-CN"/>
        </w:rPr>
        <w:t>1、</w:t>
      </w:r>
      <w:r>
        <w:rPr>
          <w:rFonts w:hint="eastAsia" w:asciiTheme="minorEastAsia" w:hAnsiTheme="minorEastAsia" w:eastAsiaTheme="minorEastAsia" w:cstheme="minorEastAsia"/>
          <w:bCs/>
          <w:sz w:val="28"/>
          <w:szCs w:val="21"/>
        </w:rPr>
        <w:t>投标人企业简介[包括营业执照副本复印件、组织机构代码证副本复印件、税务登记证副本复印件（三证合一仅需提供三证合一的营业执照副本复印件）；</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lang w:val="en-US" w:eastAsia="zh-CN"/>
        </w:rPr>
        <w:t>2、</w:t>
      </w:r>
      <w:r>
        <w:rPr>
          <w:rFonts w:hint="eastAsia" w:asciiTheme="minorEastAsia" w:hAnsiTheme="minorEastAsia" w:eastAsiaTheme="minorEastAsia" w:cstheme="minorEastAsia"/>
          <w:bCs/>
          <w:sz w:val="28"/>
          <w:szCs w:val="21"/>
        </w:rPr>
        <w:t>法定代表人授权委托书</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lang w:val="en-US" w:eastAsia="zh-CN"/>
        </w:rPr>
        <w:t>3、</w:t>
      </w:r>
      <w:r>
        <w:rPr>
          <w:rFonts w:hint="eastAsia" w:asciiTheme="minorEastAsia" w:hAnsiTheme="minorEastAsia" w:eastAsiaTheme="minorEastAsia" w:cstheme="minorEastAsia"/>
          <w:bCs/>
          <w:sz w:val="28"/>
          <w:szCs w:val="21"/>
        </w:rPr>
        <w:t>开标一览表</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lang w:val="en-US" w:eastAsia="zh-CN"/>
        </w:rPr>
        <w:t>4、</w:t>
      </w:r>
      <w:r>
        <w:rPr>
          <w:rFonts w:hint="eastAsia" w:asciiTheme="minorEastAsia" w:hAnsiTheme="minorEastAsia" w:eastAsiaTheme="minorEastAsia" w:cstheme="minorEastAsia"/>
          <w:bCs/>
          <w:sz w:val="28"/>
          <w:szCs w:val="21"/>
        </w:rPr>
        <w:t>分项报价表</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lang w:val="en-US" w:eastAsia="zh-CN"/>
        </w:rPr>
        <w:t>5、</w:t>
      </w:r>
      <w:r>
        <w:rPr>
          <w:rFonts w:hint="eastAsia" w:asciiTheme="minorEastAsia" w:hAnsiTheme="minorEastAsia" w:eastAsiaTheme="minorEastAsia" w:cstheme="minorEastAsia"/>
          <w:bCs/>
          <w:sz w:val="28"/>
          <w:szCs w:val="21"/>
        </w:rPr>
        <w:t>承诺</w:t>
      </w:r>
      <w:r>
        <w:rPr>
          <w:rFonts w:hint="eastAsia" w:asciiTheme="minorEastAsia" w:hAnsiTheme="minorEastAsia" w:eastAsiaTheme="minorEastAsia" w:cstheme="minorEastAsia"/>
          <w:bCs/>
          <w:sz w:val="28"/>
          <w:szCs w:val="21"/>
          <w:lang w:eastAsia="zh-CN"/>
        </w:rPr>
        <w:t>书</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lang w:val="en-US" w:eastAsia="zh-CN"/>
        </w:rPr>
        <w:t>6、</w:t>
      </w:r>
      <w:r>
        <w:rPr>
          <w:rFonts w:hint="eastAsia" w:asciiTheme="minorEastAsia" w:hAnsiTheme="minorEastAsia" w:eastAsiaTheme="minorEastAsia" w:cstheme="minorEastAsia"/>
          <w:bCs/>
          <w:sz w:val="28"/>
          <w:szCs w:val="21"/>
        </w:rPr>
        <w:t>企业实力（包括规模、综合实力、业绩等）；</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1"/>
        </w:rPr>
      </w:pPr>
      <w:r>
        <w:rPr>
          <w:rFonts w:hint="eastAsia" w:asciiTheme="minorEastAsia" w:hAnsiTheme="minorEastAsia" w:eastAsiaTheme="minorEastAsia" w:cstheme="minorEastAsia"/>
          <w:bCs/>
          <w:sz w:val="28"/>
          <w:szCs w:val="21"/>
          <w:lang w:val="en-US" w:eastAsia="zh-CN"/>
        </w:rPr>
        <w:t>7、</w:t>
      </w:r>
      <w:r>
        <w:rPr>
          <w:rFonts w:hint="eastAsia" w:asciiTheme="minorEastAsia" w:hAnsiTheme="minorEastAsia" w:eastAsiaTheme="minorEastAsia" w:cstheme="minorEastAsia"/>
          <w:bCs/>
          <w:sz w:val="28"/>
          <w:szCs w:val="21"/>
        </w:rPr>
        <w:t>类似业绩；</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4"/>
        </w:rPr>
      </w:pPr>
      <w:r>
        <w:rPr>
          <w:rFonts w:hint="eastAsia" w:asciiTheme="minorEastAsia" w:hAnsiTheme="minorEastAsia" w:eastAsiaTheme="minorEastAsia" w:cstheme="minorEastAsia"/>
          <w:bCs/>
          <w:sz w:val="28"/>
          <w:szCs w:val="24"/>
          <w:lang w:val="en-US" w:eastAsia="zh-CN"/>
        </w:rPr>
        <w:t>8、</w:t>
      </w:r>
      <w:r>
        <w:rPr>
          <w:rFonts w:hint="eastAsia" w:asciiTheme="minorEastAsia" w:hAnsiTheme="minorEastAsia" w:eastAsiaTheme="minorEastAsia" w:cstheme="minorEastAsia"/>
          <w:bCs/>
          <w:sz w:val="28"/>
          <w:szCs w:val="24"/>
        </w:rPr>
        <w:t>所投货物的相关技术/证明资料；</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4"/>
        </w:rPr>
      </w:pPr>
      <w:r>
        <w:rPr>
          <w:rFonts w:hint="eastAsia" w:asciiTheme="minorEastAsia" w:hAnsiTheme="minorEastAsia" w:eastAsiaTheme="minorEastAsia" w:cstheme="minorEastAsia"/>
          <w:bCs/>
          <w:sz w:val="28"/>
          <w:szCs w:val="24"/>
          <w:lang w:val="en-US" w:eastAsia="zh-CN"/>
        </w:rPr>
        <w:t>9、</w:t>
      </w:r>
      <w:r>
        <w:rPr>
          <w:rFonts w:hint="eastAsia" w:asciiTheme="minorEastAsia" w:hAnsiTheme="minorEastAsia" w:eastAsiaTheme="minorEastAsia" w:cstheme="minorEastAsia"/>
          <w:bCs/>
          <w:sz w:val="28"/>
          <w:szCs w:val="24"/>
        </w:rPr>
        <w:t>投标人工期承诺、售后服务承诺</w:t>
      </w:r>
      <w:r>
        <w:rPr>
          <w:rFonts w:hint="eastAsia" w:asciiTheme="minorEastAsia" w:hAnsiTheme="minorEastAsia" w:eastAsiaTheme="minorEastAsia" w:cstheme="minorEastAsia"/>
          <w:bCs/>
          <w:sz w:val="28"/>
          <w:szCs w:val="24"/>
          <w:lang w:eastAsia="zh-CN"/>
        </w:rPr>
        <w:t>、供货方案、培训方案</w:t>
      </w:r>
      <w:r>
        <w:rPr>
          <w:rFonts w:hint="eastAsia" w:asciiTheme="minorEastAsia" w:hAnsiTheme="minorEastAsia" w:eastAsiaTheme="minorEastAsia" w:cstheme="minorEastAsia"/>
          <w:bCs/>
          <w:sz w:val="28"/>
          <w:szCs w:val="24"/>
        </w:rPr>
        <w:t>等；</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4"/>
        </w:rPr>
      </w:pPr>
      <w:r>
        <w:rPr>
          <w:rFonts w:hint="eastAsia" w:asciiTheme="minorEastAsia" w:hAnsiTheme="minorEastAsia" w:eastAsiaTheme="minorEastAsia" w:cstheme="minorEastAsia"/>
          <w:bCs/>
          <w:sz w:val="28"/>
          <w:szCs w:val="24"/>
          <w:lang w:val="en-US" w:eastAsia="zh-CN"/>
        </w:rPr>
        <w:t>10、</w:t>
      </w:r>
      <w:r>
        <w:rPr>
          <w:rFonts w:hint="eastAsia" w:asciiTheme="minorEastAsia" w:hAnsiTheme="minorEastAsia" w:eastAsiaTheme="minorEastAsia" w:cstheme="minorEastAsia"/>
          <w:bCs/>
          <w:sz w:val="28"/>
          <w:szCs w:val="24"/>
          <w:lang w:eastAsia="zh-CN"/>
        </w:rPr>
        <w:t>售后服务人员</w:t>
      </w:r>
      <w:r>
        <w:rPr>
          <w:rFonts w:hint="eastAsia" w:asciiTheme="minorEastAsia" w:hAnsiTheme="minorEastAsia" w:eastAsiaTheme="minorEastAsia" w:cstheme="minorEastAsia"/>
          <w:bCs/>
          <w:sz w:val="28"/>
          <w:szCs w:val="24"/>
        </w:rPr>
        <w:t>表</w:t>
      </w:r>
      <w:r>
        <w:rPr>
          <w:rFonts w:hint="eastAsia" w:asciiTheme="minorEastAsia" w:hAnsiTheme="minorEastAsia" w:eastAsiaTheme="minorEastAsia" w:cstheme="minorEastAsia"/>
          <w:bCs/>
          <w:sz w:val="28"/>
          <w:szCs w:val="24"/>
          <w:lang w:eastAsia="zh-CN"/>
        </w:rPr>
        <w:t>、培训人员</w:t>
      </w:r>
      <w:r>
        <w:rPr>
          <w:rFonts w:hint="eastAsia" w:asciiTheme="minorEastAsia" w:hAnsiTheme="minorEastAsia" w:eastAsiaTheme="minorEastAsia" w:cstheme="minorEastAsia"/>
          <w:bCs/>
          <w:sz w:val="28"/>
          <w:szCs w:val="24"/>
        </w:rPr>
        <w:t>一览表</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4"/>
        </w:rPr>
      </w:pPr>
      <w:r>
        <w:rPr>
          <w:rFonts w:hint="eastAsia" w:asciiTheme="minorEastAsia" w:hAnsiTheme="minorEastAsia" w:eastAsiaTheme="minorEastAsia" w:cstheme="minorEastAsia"/>
          <w:bCs/>
          <w:sz w:val="28"/>
          <w:szCs w:val="24"/>
          <w:lang w:val="en-US" w:eastAsia="zh-CN"/>
        </w:rPr>
        <w:t>11、</w:t>
      </w:r>
      <w:r>
        <w:rPr>
          <w:rFonts w:hint="eastAsia" w:asciiTheme="minorEastAsia" w:hAnsiTheme="minorEastAsia" w:eastAsiaTheme="minorEastAsia" w:cstheme="minorEastAsia"/>
          <w:bCs/>
          <w:sz w:val="28"/>
          <w:szCs w:val="24"/>
          <w:lang w:eastAsia="zh-CN"/>
        </w:rPr>
        <w:t>技术偏离表、商务偏离表</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4"/>
        </w:rPr>
      </w:pPr>
      <w:r>
        <w:rPr>
          <w:rFonts w:hint="eastAsia" w:asciiTheme="minorEastAsia" w:hAnsiTheme="minorEastAsia" w:eastAsiaTheme="minorEastAsia" w:cstheme="minorEastAsia"/>
          <w:bCs/>
          <w:sz w:val="28"/>
          <w:szCs w:val="24"/>
          <w:lang w:val="en-US" w:eastAsia="zh-CN"/>
        </w:rPr>
        <w:t>12、</w:t>
      </w:r>
      <w:r>
        <w:rPr>
          <w:rFonts w:hint="eastAsia" w:asciiTheme="minorEastAsia" w:hAnsiTheme="minorEastAsia" w:eastAsiaTheme="minorEastAsia" w:cstheme="minorEastAsia"/>
          <w:bCs/>
          <w:sz w:val="28"/>
          <w:szCs w:val="24"/>
        </w:rPr>
        <w:t>代理商提供投标产品生产厂商针对本项目的特许授权书；（复印件）</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4"/>
        </w:rPr>
      </w:pPr>
      <w:r>
        <w:rPr>
          <w:rFonts w:hint="eastAsia" w:asciiTheme="minorEastAsia" w:hAnsiTheme="minorEastAsia" w:eastAsiaTheme="minorEastAsia" w:cstheme="minorEastAsia"/>
          <w:sz w:val="28"/>
          <w:szCs w:val="21"/>
          <w:lang w:val="en-US" w:eastAsia="zh-CN"/>
        </w:rPr>
        <w:t>13、</w:t>
      </w:r>
      <w:r>
        <w:rPr>
          <w:rFonts w:hint="eastAsia" w:asciiTheme="minorEastAsia" w:hAnsiTheme="minorEastAsia" w:eastAsiaTheme="minorEastAsia" w:cstheme="minorEastAsia"/>
          <w:sz w:val="28"/>
          <w:szCs w:val="21"/>
        </w:rPr>
        <w:t>招标文件货物需求及技术规格、合同特殊条款中要求提交的文件资料。</w:t>
      </w:r>
    </w:p>
    <w:p>
      <w:pPr>
        <w:numPr>
          <w:ilvl w:val="0"/>
          <w:numId w:val="0"/>
        </w:numPr>
        <w:tabs>
          <w:tab w:val="left" w:pos="1146"/>
        </w:tabs>
        <w:spacing w:line="420" w:lineRule="exact"/>
        <w:ind w:leftChars="0"/>
        <w:rPr>
          <w:rFonts w:hint="eastAsia" w:asciiTheme="minorEastAsia" w:hAnsiTheme="minorEastAsia" w:eastAsiaTheme="minorEastAsia" w:cstheme="minorEastAsia"/>
          <w:bCs/>
          <w:sz w:val="28"/>
          <w:szCs w:val="24"/>
        </w:rPr>
      </w:pPr>
      <w:r>
        <w:rPr>
          <w:rFonts w:hint="eastAsia" w:asciiTheme="minorEastAsia" w:hAnsiTheme="minorEastAsia" w:eastAsiaTheme="minorEastAsia" w:cstheme="minorEastAsia"/>
          <w:bCs/>
          <w:sz w:val="28"/>
          <w:szCs w:val="24"/>
          <w:lang w:val="en-US" w:eastAsia="zh-CN"/>
        </w:rPr>
        <w:t>14、</w:t>
      </w:r>
      <w:r>
        <w:rPr>
          <w:rFonts w:hint="eastAsia" w:asciiTheme="minorEastAsia" w:hAnsiTheme="minorEastAsia" w:eastAsiaTheme="minorEastAsia" w:cstheme="minorEastAsia"/>
          <w:bCs/>
          <w:sz w:val="28"/>
          <w:szCs w:val="24"/>
        </w:rPr>
        <w:t>磋商文件规定及供应商认为需要提供的其他资料。</w:t>
      </w:r>
    </w:p>
    <w:p>
      <w:pPr>
        <w:tabs>
          <w:tab w:val="left" w:pos="1146"/>
        </w:tabs>
        <w:spacing w:line="420" w:lineRule="exact"/>
        <w:ind w:left="420" w:leftChars="200"/>
        <w:rPr>
          <w:rFonts w:hint="eastAsia" w:asciiTheme="minorEastAsia" w:hAnsiTheme="minorEastAsia" w:eastAsiaTheme="minorEastAsia" w:cstheme="minorEastAsia"/>
          <w:bCs/>
          <w:sz w:val="28"/>
          <w:szCs w:val="24"/>
        </w:rPr>
      </w:pPr>
      <w:r>
        <w:rPr>
          <w:rFonts w:hint="eastAsia" w:asciiTheme="minorEastAsia" w:hAnsiTheme="minorEastAsia" w:eastAsiaTheme="minorEastAsia" w:cstheme="minorEastAsia"/>
          <w:bCs/>
          <w:sz w:val="28"/>
          <w:szCs w:val="24"/>
        </w:rPr>
        <w:br w:type="page"/>
      </w:r>
    </w:p>
    <w:bookmarkEnd w:id="195"/>
    <w:p>
      <w:pPr>
        <w:pStyle w:val="30"/>
        <w:widowControl/>
        <w:spacing w:line="360" w:lineRule="auto"/>
        <w:ind w:left="0" w:leftChars="0" w:firstLine="560" w:firstLineChars="200"/>
        <w:jc w:val="center"/>
        <w:rPr>
          <w:rFonts w:hint="eastAsia" w:asciiTheme="minorEastAsia" w:hAnsiTheme="minorEastAsia" w:eastAsiaTheme="minorEastAsia" w:cstheme="minorEastAsia"/>
          <w:sz w:val="28"/>
          <w:szCs w:val="28"/>
        </w:rPr>
      </w:pPr>
      <w:bookmarkStart w:id="196" w:name="_Toc493877635"/>
      <w:r>
        <w:rPr>
          <w:rFonts w:hint="eastAsia" w:asciiTheme="minorEastAsia" w:hAnsiTheme="minorEastAsia" w:eastAsiaTheme="minorEastAsia" w:cstheme="minorEastAsia"/>
          <w:sz w:val="28"/>
          <w:szCs w:val="28"/>
        </w:rPr>
        <w:t>投标承诺书</w:t>
      </w:r>
    </w:p>
    <w:p>
      <w:pPr>
        <w:pStyle w:val="30"/>
        <w:widowControl/>
        <w:spacing w:line="360" w:lineRule="auto"/>
        <w:ind w:left="0" w:leftChars="0" w:firstLine="560" w:firstLineChars="200"/>
        <w:rPr>
          <w:rFonts w:hint="eastAsia" w:asciiTheme="minorEastAsia" w:hAnsiTheme="minorEastAsia" w:eastAsiaTheme="minorEastAsia" w:cstheme="minorEastAsia"/>
          <w:sz w:val="28"/>
          <w:szCs w:val="28"/>
          <w:u w:val="single"/>
        </w:rPr>
      </w:pPr>
    </w:p>
    <w:p>
      <w:pPr>
        <w:pStyle w:val="30"/>
        <w:widowControl/>
        <w:spacing w:line="360" w:lineRule="auto"/>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w:t>
      </w:r>
    </w:p>
    <w:p>
      <w:pPr>
        <w:pStyle w:val="30"/>
        <w:widowControl/>
        <w:spacing w:line="360" w:lineRule="auto"/>
        <w:ind w:left="0"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（招标代理机构）：</w:t>
      </w:r>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(供应商名称)授权(供应商委托代理人姓名、职务) 为我方代表，参加贵方组织的 (项目名称、项目编号)招标的有关活动，并对此项目进行投标。为此：</w:t>
      </w:r>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1、我方承诺：已经具备《中华人民共和国政府采购法》中规定的参加政府采购活动的供应商应当具备的条件和本招标文件中规定的条件。</w:t>
      </w:r>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3、按照招标文件规定提供全部投标文件。</w:t>
      </w:r>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4、我方承诺：按照招标文件要求提供和交付的货物及相关服务，我方投标报价为（小写）（大写），服务期为天，磋商有效期为</w:t>
      </w:r>
      <w:r>
        <w:rPr>
          <w:rFonts w:hint="eastAsia" w:asciiTheme="minorEastAsia" w:hAnsiTheme="minorEastAsia" w:eastAsiaTheme="minorEastAsia" w:cstheme="minorEastAsia"/>
          <w:sz w:val="28"/>
          <w:szCs w:val="28"/>
          <w:u w:val="single"/>
          <w:lang w:val="en-US" w:eastAsia="zh-CN"/>
        </w:rPr>
        <w:t>45</w:t>
      </w:r>
      <w:r>
        <w:rPr>
          <w:rFonts w:hint="eastAsia" w:asciiTheme="minorEastAsia" w:hAnsiTheme="minorEastAsia" w:eastAsiaTheme="minorEastAsia" w:cstheme="minorEastAsia"/>
          <w:sz w:val="28"/>
          <w:szCs w:val="28"/>
        </w:rPr>
        <w:t>日（日历日）。</w:t>
      </w:r>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5、我方承诺：接受招标文件中的全部条款且无任何异议，保证遵守招标文件的规定。</w:t>
      </w:r>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6、我方承诺：完全满足和响应招标文件中的各项技术和服务要求，若有偏差，已在偏离表中予以明确特别说明。</w:t>
      </w:r>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7、我方完全理解贵方不一定接受最低价的投标或收到的任何投标，以及投标报价若超过项目预算时投标将被拒绝。</w:t>
      </w:r>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8、我方已详细审核全部投标文件，包括投标文件修改书（如有的话）、参考资料及有关附件，确认无误。</w:t>
      </w:r>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9、我方承诺：保证中标后严格按照甲方要求合法经营，否则，由此产生的一切法律责任由我方承担。</w:t>
      </w:r>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10、保证忠实地执行双方所签订的合同，并承担合同规定的责任和义务。</w:t>
      </w:r>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bookmarkStart w:id="197" w:name="_Toc28803_WPSOffice_Level1"/>
      <w:bookmarkStart w:id="198" w:name="_Toc23581_WPSOffice_Level1"/>
      <w:r>
        <w:rPr>
          <w:rFonts w:hint="eastAsia" w:asciiTheme="minorEastAsia" w:hAnsiTheme="minorEastAsia" w:eastAsiaTheme="minorEastAsia" w:cstheme="minorEastAsia"/>
          <w:sz w:val="28"/>
          <w:szCs w:val="28"/>
        </w:rPr>
        <w:t>1）提供虚假材料谋取中标、成交的；</w:t>
      </w:r>
      <w:bookmarkEnd w:id="197"/>
      <w:bookmarkEnd w:id="198"/>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bookmarkStart w:id="199" w:name="_Toc14643_WPSOffice_Level1"/>
      <w:bookmarkStart w:id="200" w:name="_Toc7187_WPSOffice_Level1"/>
      <w:r>
        <w:rPr>
          <w:rFonts w:hint="eastAsia" w:asciiTheme="minorEastAsia" w:hAnsiTheme="minorEastAsia" w:eastAsiaTheme="minorEastAsia" w:cstheme="minorEastAsia"/>
          <w:sz w:val="28"/>
          <w:szCs w:val="28"/>
        </w:rPr>
        <w:t>2）采取不正当手段诋毁、排挤其他供应商的；</w:t>
      </w:r>
      <w:bookmarkEnd w:id="199"/>
      <w:bookmarkEnd w:id="200"/>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bookmarkStart w:id="201" w:name="_Toc29644_WPSOffice_Level1"/>
      <w:bookmarkStart w:id="202" w:name="_Toc5029_WPSOffice_Level1"/>
      <w:r>
        <w:rPr>
          <w:rFonts w:hint="eastAsia" w:asciiTheme="minorEastAsia" w:hAnsiTheme="minorEastAsia" w:eastAsiaTheme="minorEastAsia" w:cstheme="minorEastAsia"/>
          <w:sz w:val="28"/>
          <w:szCs w:val="28"/>
        </w:rPr>
        <w:t>3）与采购人、其他供应商或者采购代理机构恶意串通的；</w:t>
      </w:r>
      <w:bookmarkEnd w:id="201"/>
      <w:bookmarkEnd w:id="202"/>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bookmarkStart w:id="203" w:name="_Toc5278_WPSOffice_Level1"/>
      <w:bookmarkStart w:id="204" w:name="_Toc8601_WPSOffice_Level1"/>
      <w:r>
        <w:rPr>
          <w:rFonts w:hint="eastAsia" w:asciiTheme="minorEastAsia" w:hAnsiTheme="minorEastAsia" w:eastAsiaTheme="minorEastAsia" w:cstheme="minorEastAsia"/>
          <w:sz w:val="28"/>
          <w:szCs w:val="28"/>
        </w:rPr>
        <w:t>4）向采购人、采购代理机构行贿或者提供其他不正当利益的；</w:t>
      </w:r>
      <w:bookmarkEnd w:id="203"/>
      <w:bookmarkEnd w:id="204"/>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bookmarkStart w:id="205" w:name="_Toc12144_WPSOffice_Level1"/>
      <w:bookmarkStart w:id="206" w:name="_Toc11715_WPSOffice_Level1"/>
      <w:r>
        <w:rPr>
          <w:rFonts w:hint="eastAsia" w:asciiTheme="minorEastAsia" w:hAnsiTheme="minorEastAsia" w:eastAsiaTheme="minorEastAsia" w:cstheme="minorEastAsia"/>
          <w:sz w:val="28"/>
          <w:szCs w:val="28"/>
        </w:rPr>
        <w:t>5）在招标采购过程中与采购人进行协商谈判的；</w:t>
      </w:r>
      <w:bookmarkEnd w:id="205"/>
      <w:bookmarkEnd w:id="206"/>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bookmarkStart w:id="207" w:name="_Toc24002_WPSOffice_Level1"/>
      <w:bookmarkStart w:id="208" w:name="_Toc26423_WPSOffice_Level1"/>
      <w:r>
        <w:rPr>
          <w:rFonts w:hint="eastAsia" w:asciiTheme="minorEastAsia" w:hAnsiTheme="minorEastAsia" w:eastAsiaTheme="minorEastAsia" w:cstheme="minorEastAsia"/>
          <w:sz w:val="28"/>
          <w:szCs w:val="28"/>
        </w:rPr>
        <w:t>6）拒绝有关部门监督检查或提供虚假情况的。</w:t>
      </w:r>
      <w:bookmarkEnd w:id="207"/>
      <w:bookmarkEnd w:id="208"/>
    </w:p>
    <w:p>
      <w:pPr>
        <w:spacing w:line="360" w:lineRule="auto"/>
        <w:ind w:firstLine="560" w:firstLineChars="200"/>
        <w:rPr>
          <w:rFonts w:hint="eastAsia" w:asciiTheme="minorEastAsia" w:hAnsiTheme="minorEastAsia" w:eastAsiaTheme="minorEastAsia" w:cstheme="minorEastAsia"/>
          <w:sz w:val="28"/>
          <w:szCs w:val="28"/>
        </w:rPr>
      </w:pPr>
    </w:p>
    <w:p>
      <w:pPr>
        <w:pStyle w:val="12"/>
        <w:widowControl/>
        <w:spacing w:line="360" w:lineRule="auto"/>
        <w:ind w:left="0" w:firstLine="560" w:firstLineChars="200"/>
        <w:rPr>
          <w:rFonts w:hint="eastAsia" w:asciiTheme="minorEastAsia" w:hAnsiTheme="minorEastAsia" w:eastAsiaTheme="minorEastAsia" w:cstheme="minorEastAsia"/>
          <w:sz w:val="28"/>
          <w:szCs w:val="28"/>
        </w:rPr>
      </w:pPr>
    </w:p>
    <w:p>
      <w:pPr>
        <w:spacing w:line="360" w:lineRule="auto"/>
        <w:ind w:left="555"/>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 xml:space="preserve">供应商名称（加盖公章）：                                        </w:t>
      </w:r>
    </w:p>
    <w:p>
      <w:pPr>
        <w:spacing w:line="360" w:lineRule="auto"/>
        <w:ind w:left="555"/>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法定代表人（签字或盖章）：</w:t>
      </w:r>
    </w:p>
    <w:p>
      <w:pPr>
        <w:spacing w:line="360" w:lineRule="auto"/>
        <w:ind w:left="555"/>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委托代理人（签字）：</w:t>
      </w:r>
    </w:p>
    <w:p>
      <w:pPr>
        <w:spacing w:line="360" w:lineRule="auto"/>
        <w:ind w:left="555"/>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日期：  年  月  日</w:t>
      </w:r>
    </w:p>
    <w:p>
      <w:pPr>
        <w:pStyle w:val="8"/>
        <w:ind w:firstLine="482"/>
        <w:rPr>
          <w:rFonts w:hint="eastAsia" w:asciiTheme="minorEastAsia" w:hAnsiTheme="minorEastAsia" w:eastAsiaTheme="minorEastAsia" w:cstheme="minorEastAsia"/>
          <w:b/>
          <w:sz w:val="28"/>
          <w:szCs w:val="28"/>
        </w:rPr>
      </w:pPr>
    </w:p>
    <w:p>
      <w:pPr>
        <w:pStyle w:val="12"/>
        <w:widowControl/>
        <w:spacing w:line="360" w:lineRule="auto"/>
        <w:ind w:left="0"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说明：除可填报项目外，对本投标函的任何修改将被视为非实质性响应投标，从而导致该投标被拒绝。</w:t>
      </w:r>
    </w:p>
    <w:p>
      <w:pPr>
        <w:pStyle w:val="5"/>
        <w:ind w:left="-685" w:leftChars="-326" w:firstLine="795" w:firstLineChars="28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bookmarkEnd w:id="196"/>
    <w:p>
      <w:pPr>
        <w:pStyle w:val="32"/>
        <w:jc w:val="center"/>
        <w:outlineLvl w:val="2"/>
        <w:rPr>
          <w:rFonts w:hint="eastAsia" w:asciiTheme="minorEastAsia" w:hAnsiTheme="minorEastAsia" w:eastAsiaTheme="minorEastAsia" w:cstheme="minorEastAsia"/>
          <w:sz w:val="28"/>
          <w:szCs w:val="28"/>
        </w:rPr>
      </w:pPr>
      <w:bookmarkStart w:id="209" w:name="_Toc22745"/>
      <w:bookmarkStart w:id="210" w:name="_Toc6808"/>
      <w:bookmarkStart w:id="211" w:name="_Toc19025"/>
      <w:bookmarkStart w:id="212" w:name="_Toc493877636"/>
      <w:r>
        <w:rPr>
          <w:rFonts w:hint="eastAsia" w:asciiTheme="minorEastAsia" w:hAnsiTheme="minorEastAsia" w:eastAsiaTheme="minorEastAsia" w:cstheme="minorEastAsia"/>
          <w:sz w:val="28"/>
          <w:szCs w:val="28"/>
        </w:rPr>
        <w:t>★法定代表人身份证明书及授权委托书</w:t>
      </w:r>
      <w:bookmarkEnd w:id="209"/>
      <w:bookmarkEnd w:id="210"/>
      <w:bookmarkEnd w:id="211"/>
    </w:p>
    <w:p>
      <w:pPr>
        <w:pStyle w:val="33"/>
        <w:outlineLvl w:val="9"/>
        <w:rPr>
          <w:rFonts w:hint="eastAsia" w:asciiTheme="minorEastAsia" w:hAnsiTheme="minorEastAsia" w:eastAsiaTheme="minorEastAsia" w:cstheme="minorEastAsia"/>
          <w:b w:val="0"/>
          <w:sz w:val="28"/>
          <w:szCs w:val="28"/>
        </w:rPr>
      </w:pPr>
      <w:bookmarkStart w:id="213" w:name="_Toc480371721"/>
      <w:bookmarkStart w:id="214" w:name="_Toc480368595"/>
      <w:bookmarkStart w:id="215" w:name="_Toc480368653"/>
      <w:bookmarkStart w:id="216" w:name="_Toc480368424"/>
    </w:p>
    <w:p>
      <w:pPr>
        <w:pStyle w:val="33"/>
        <w:outlineLvl w:val="9"/>
        <w:rPr>
          <w:rFonts w:hint="eastAsia" w:asciiTheme="minorEastAsia" w:hAnsiTheme="minorEastAsia" w:eastAsiaTheme="minorEastAsia" w:cstheme="minorEastAsia"/>
          <w:b w:val="0"/>
          <w:sz w:val="28"/>
          <w:szCs w:val="28"/>
        </w:rPr>
      </w:pPr>
      <w:bookmarkStart w:id="217" w:name="_Toc18836"/>
      <w:bookmarkStart w:id="218" w:name="_Toc23900"/>
      <w:bookmarkStart w:id="219" w:name="_Toc3704_WPSOffice_Level1"/>
      <w:bookmarkStart w:id="220" w:name="_Toc1318_WPSOffice_Level1"/>
      <w:r>
        <w:rPr>
          <w:rFonts w:hint="eastAsia" w:asciiTheme="minorEastAsia" w:hAnsiTheme="minorEastAsia" w:eastAsiaTheme="minorEastAsia" w:cstheme="minorEastAsia"/>
          <w:b w:val="0"/>
          <w:sz w:val="28"/>
          <w:szCs w:val="28"/>
        </w:rPr>
        <w:t>法定代表人身份证明</w:t>
      </w:r>
      <w:bookmarkEnd w:id="213"/>
      <w:bookmarkEnd w:id="214"/>
      <w:bookmarkEnd w:id="215"/>
      <w:bookmarkEnd w:id="216"/>
      <w:r>
        <w:rPr>
          <w:rFonts w:hint="eastAsia" w:asciiTheme="minorEastAsia" w:hAnsiTheme="minorEastAsia" w:eastAsiaTheme="minorEastAsia" w:cstheme="minorEastAsia"/>
          <w:b w:val="0"/>
          <w:sz w:val="28"/>
          <w:szCs w:val="28"/>
        </w:rPr>
        <w:t>书</w:t>
      </w:r>
      <w:bookmarkEnd w:id="217"/>
      <w:bookmarkEnd w:id="218"/>
      <w:bookmarkEnd w:id="219"/>
      <w:bookmarkEnd w:id="220"/>
    </w:p>
    <w:p>
      <w:pPr>
        <w:pStyle w:val="34"/>
        <w:adjustRightInd w:val="0"/>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（代理机构名称）</w:t>
      </w:r>
      <w:r>
        <w:rPr>
          <w:rFonts w:hint="eastAsia" w:asciiTheme="minorEastAsia" w:hAnsiTheme="minorEastAsia" w:eastAsiaTheme="minorEastAsia" w:cstheme="minorEastAsia"/>
          <w:sz w:val="28"/>
          <w:szCs w:val="28"/>
        </w:rPr>
        <w:t>：</w:t>
      </w:r>
    </w:p>
    <w:p>
      <w:pPr>
        <w:pStyle w:val="34"/>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兹有同志为公司法定代表人，代表我公司办理一切社会公务事宜，具有法律效力。 </w:t>
      </w:r>
    </w:p>
    <w:p>
      <w:pPr>
        <w:pStyle w:val="34"/>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附法定代表人基本情况： </w:t>
      </w:r>
    </w:p>
    <w:p>
      <w:pPr>
        <w:pStyle w:val="34"/>
        <w:adjustRightInd w:val="0"/>
        <w:snapToGrid w:val="0"/>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姓名：性别：年龄：职务：</w:t>
      </w:r>
    </w:p>
    <w:p>
      <w:pPr>
        <w:pStyle w:val="34"/>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身份证号码：</w:t>
      </w:r>
    </w:p>
    <w:p>
      <w:pPr>
        <w:pStyle w:val="34"/>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通讯地址：</w:t>
      </w:r>
    </w:p>
    <w:p>
      <w:pPr>
        <w:pStyle w:val="34"/>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电话号码：邮政编码：</w:t>
      </w:r>
    </w:p>
    <w:p>
      <w:pPr>
        <w:pStyle w:val="34"/>
        <w:adjustRightInd w:val="0"/>
        <w:snapToGrid w:val="0"/>
        <w:spacing w:line="500" w:lineRule="exact"/>
        <w:rPr>
          <w:rFonts w:hint="eastAsia" w:asciiTheme="minorEastAsia" w:hAnsiTheme="minorEastAsia" w:eastAsiaTheme="minorEastAsia" w:cstheme="minorEastAsia"/>
          <w:sz w:val="28"/>
          <w:szCs w:val="28"/>
        </w:rPr>
      </w:pPr>
    </w:p>
    <w:tbl>
      <w:tblPr>
        <w:tblStyle w:val="19"/>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noWrap/>
          </w:tcPr>
          <w:p>
            <w:pPr>
              <w:pStyle w:val="34"/>
              <w:adjustRightInd w:val="0"/>
              <w:snapToGrid w:val="0"/>
              <w:spacing w:line="500" w:lineRule="exact"/>
              <w:jc w:val="center"/>
              <w:rPr>
                <w:rFonts w:hint="eastAsia" w:asciiTheme="minorEastAsia" w:hAnsiTheme="minorEastAsia" w:eastAsiaTheme="minorEastAsia" w:cstheme="minorEastAsia"/>
                <w:sz w:val="28"/>
                <w:szCs w:val="28"/>
              </w:rPr>
            </w:pPr>
          </w:p>
          <w:p>
            <w:pPr>
              <w:pStyle w:val="34"/>
              <w:adjustRightInd w:val="0"/>
              <w:snapToGrid w:val="0"/>
              <w:spacing w:line="500" w:lineRule="exact"/>
              <w:jc w:val="center"/>
              <w:rPr>
                <w:rFonts w:hint="eastAsia" w:asciiTheme="minorEastAsia" w:hAnsiTheme="minorEastAsia" w:eastAsiaTheme="minorEastAsia" w:cstheme="minorEastAsia"/>
                <w:sz w:val="28"/>
                <w:szCs w:val="28"/>
              </w:rPr>
            </w:pPr>
          </w:p>
          <w:p>
            <w:pPr>
              <w:pStyle w:val="34"/>
              <w:adjustRightInd w:val="0"/>
              <w:snapToGrid w:val="0"/>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法定代表人身份证复印件正反面</w:t>
            </w:r>
          </w:p>
        </w:tc>
      </w:tr>
    </w:tbl>
    <w:p>
      <w:pPr>
        <w:pStyle w:val="34"/>
        <w:adjustRightInd w:val="0"/>
        <w:snapToGrid w:val="0"/>
        <w:spacing w:line="500" w:lineRule="exact"/>
        <w:rPr>
          <w:rFonts w:hint="eastAsia" w:asciiTheme="minorEastAsia" w:hAnsiTheme="minorEastAsia" w:eastAsiaTheme="minorEastAsia" w:cstheme="minorEastAsia"/>
          <w:sz w:val="28"/>
          <w:szCs w:val="28"/>
        </w:rPr>
      </w:pPr>
    </w:p>
    <w:p>
      <w:pPr>
        <w:pStyle w:val="34"/>
        <w:tabs>
          <w:tab w:val="left" w:pos="750"/>
        </w:tabs>
        <w:adjustRightInd w:val="0"/>
        <w:snapToGrid w:val="0"/>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供应商名称：（盖章）</w:t>
      </w:r>
    </w:p>
    <w:p>
      <w:pPr>
        <w:pStyle w:val="34"/>
        <w:tabs>
          <w:tab w:val="left" w:pos="750"/>
        </w:tabs>
        <w:adjustRightInd w:val="0"/>
        <w:snapToGrid w:val="0"/>
        <w:spacing w:line="5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法定代表人：（签字或盖章）</w:t>
      </w:r>
    </w:p>
    <w:p>
      <w:pPr>
        <w:pStyle w:val="34"/>
        <w:tabs>
          <w:tab w:val="left" w:pos="750"/>
        </w:tabs>
        <w:adjustRightInd w:val="0"/>
        <w:snapToGrid w:val="0"/>
        <w:spacing w:line="500" w:lineRule="exact"/>
        <w:rPr>
          <w:rFonts w:hint="eastAsia" w:asciiTheme="minorEastAsia" w:hAnsiTheme="minorEastAsia" w:eastAsiaTheme="minorEastAsia" w:cstheme="minorEastAsia"/>
          <w:sz w:val="28"/>
          <w:szCs w:val="28"/>
        </w:rPr>
      </w:pPr>
    </w:p>
    <w:p>
      <w:pPr>
        <w:pStyle w:val="34"/>
        <w:tabs>
          <w:tab w:val="left" w:pos="750"/>
        </w:tabs>
        <w:adjustRightInd w:val="0"/>
        <w:snapToGrid w:val="0"/>
        <w:spacing w:line="500" w:lineRule="exact"/>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日期：年月日</w:t>
      </w:r>
    </w:p>
    <w:p>
      <w:pPr>
        <w:pStyle w:val="33"/>
        <w:outlineLvl w:val="9"/>
        <w:rPr>
          <w:rFonts w:hint="eastAsia" w:asciiTheme="minorEastAsia" w:hAnsiTheme="minorEastAsia" w:eastAsiaTheme="minorEastAsia" w:cstheme="minorEastAsia"/>
          <w:b w:val="0"/>
          <w:sz w:val="28"/>
          <w:szCs w:val="28"/>
        </w:rPr>
      </w:pPr>
      <w:bookmarkStart w:id="221" w:name="_Toc480368425"/>
      <w:bookmarkStart w:id="222" w:name="_Toc480371722"/>
      <w:bookmarkStart w:id="223" w:name="_Toc468535483"/>
      <w:bookmarkStart w:id="224" w:name="_Toc480368654"/>
      <w:bookmarkStart w:id="225" w:name="_Toc480368596"/>
    </w:p>
    <w:p>
      <w:pPr>
        <w:pStyle w:val="33"/>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sz w:val="28"/>
          <w:szCs w:val="28"/>
        </w:rPr>
        <w:br w:type="page"/>
      </w:r>
      <w:bookmarkStart w:id="226" w:name="_Toc1879"/>
      <w:bookmarkStart w:id="227" w:name="_Toc613"/>
      <w:bookmarkStart w:id="228" w:name="_Toc422_WPSOffice_Level1"/>
      <w:bookmarkStart w:id="229" w:name="_Toc16327_WPSOffice_Level1"/>
      <w:r>
        <w:rPr>
          <w:rFonts w:hint="eastAsia" w:asciiTheme="minorEastAsia" w:hAnsiTheme="minorEastAsia" w:eastAsiaTheme="minorEastAsia" w:cstheme="minorEastAsia"/>
          <w:b w:val="0"/>
          <w:sz w:val="28"/>
          <w:szCs w:val="28"/>
        </w:rPr>
        <w:t>法定代表人授权委托书</w:t>
      </w:r>
      <w:bookmarkEnd w:id="221"/>
      <w:bookmarkEnd w:id="222"/>
      <w:bookmarkEnd w:id="223"/>
      <w:bookmarkEnd w:id="224"/>
      <w:bookmarkEnd w:id="225"/>
      <w:bookmarkEnd w:id="226"/>
      <w:bookmarkEnd w:id="227"/>
      <w:bookmarkEnd w:id="228"/>
      <w:bookmarkEnd w:id="229"/>
    </w:p>
    <w:p>
      <w:pPr>
        <w:pStyle w:val="34"/>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（代理机构名称）</w:t>
      </w:r>
      <w:r>
        <w:rPr>
          <w:rFonts w:hint="eastAsia" w:asciiTheme="minorEastAsia" w:hAnsiTheme="minorEastAsia" w:eastAsiaTheme="minorEastAsia" w:cstheme="minorEastAsia"/>
          <w:sz w:val="28"/>
          <w:szCs w:val="28"/>
        </w:rPr>
        <w:t>：</w:t>
      </w:r>
    </w:p>
    <w:p>
      <w:pPr>
        <w:pStyle w:val="34"/>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兹授权同志为我公司参加贵单位组织的编号为</w:t>
      </w:r>
      <w:r>
        <w:rPr>
          <w:rFonts w:hint="eastAsia" w:asciiTheme="minorEastAsia" w:hAnsiTheme="minorEastAsia" w:eastAsiaTheme="minorEastAsia" w:cstheme="minorEastAsia"/>
          <w:sz w:val="28"/>
          <w:szCs w:val="28"/>
          <w:u w:val="single"/>
        </w:rPr>
        <w:t>（项目编号）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（项目名称）</w:t>
      </w:r>
      <w:r>
        <w:rPr>
          <w:rFonts w:hint="eastAsia" w:asciiTheme="minorEastAsia" w:hAnsiTheme="minorEastAsia" w:eastAsiaTheme="minorEastAsia" w:cstheme="minorEastAsia"/>
          <w:sz w:val="28"/>
          <w:szCs w:val="28"/>
        </w:rPr>
        <w:t>采购活动的委托代理人，全权代表我公司处理在该项目采购活动中的一切事宜。</w:t>
      </w:r>
    </w:p>
    <w:p>
      <w:pPr>
        <w:pStyle w:val="34"/>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代理期限：。 </w:t>
      </w:r>
    </w:p>
    <w:p>
      <w:pPr>
        <w:pStyle w:val="34"/>
        <w:spacing w:line="500" w:lineRule="exact"/>
        <w:rPr>
          <w:rFonts w:hint="eastAsia" w:asciiTheme="minorEastAsia" w:hAnsiTheme="minorEastAsia" w:eastAsiaTheme="minorEastAsia" w:cstheme="minorEastAsia"/>
          <w:sz w:val="28"/>
          <w:szCs w:val="28"/>
        </w:rPr>
      </w:pPr>
    </w:p>
    <w:p>
      <w:pPr>
        <w:pStyle w:val="34"/>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代理人工作单位：</w:t>
      </w:r>
    </w:p>
    <w:p>
      <w:pPr>
        <w:pStyle w:val="34"/>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职务：    性别：</w:t>
      </w:r>
    </w:p>
    <w:p>
      <w:pPr>
        <w:pStyle w:val="34"/>
        <w:adjustRightInd w:val="0"/>
        <w:snapToGrid w:val="0"/>
        <w:spacing w:line="50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身份证号码：</w:t>
      </w:r>
    </w:p>
    <w:p>
      <w:pPr>
        <w:pStyle w:val="34"/>
        <w:adjustRightInd w:val="0"/>
        <w:snapToGrid w:val="0"/>
        <w:spacing w:line="500" w:lineRule="exact"/>
        <w:ind w:left="-88" w:leftChars="-42" w:firstLine="700" w:firstLineChars="250"/>
        <w:rPr>
          <w:rFonts w:hint="eastAsia" w:asciiTheme="minorEastAsia" w:hAnsiTheme="minorEastAsia" w:eastAsiaTheme="minorEastAsia" w:cstheme="minorEastAsia"/>
          <w:sz w:val="28"/>
          <w:szCs w:val="28"/>
          <w:u w:val="single"/>
        </w:rPr>
      </w:pPr>
    </w:p>
    <w:tbl>
      <w:tblPr>
        <w:tblStyle w:val="19"/>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tcPr>
          <w:p>
            <w:pPr>
              <w:pStyle w:val="34"/>
              <w:spacing w:line="500" w:lineRule="exact"/>
              <w:rPr>
                <w:rFonts w:hint="eastAsia" w:asciiTheme="minorEastAsia" w:hAnsiTheme="minorEastAsia" w:eastAsiaTheme="minorEastAsia" w:cstheme="minorEastAsia"/>
                <w:sz w:val="28"/>
                <w:szCs w:val="28"/>
              </w:rPr>
            </w:pPr>
          </w:p>
          <w:p>
            <w:pPr>
              <w:pStyle w:val="34"/>
              <w:spacing w:line="500" w:lineRule="exact"/>
              <w:rPr>
                <w:rFonts w:hint="eastAsia" w:asciiTheme="minorEastAsia" w:hAnsiTheme="minorEastAsia" w:eastAsiaTheme="minorEastAsia" w:cstheme="minorEastAsia"/>
                <w:sz w:val="28"/>
                <w:szCs w:val="28"/>
              </w:rPr>
            </w:pPr>
          </w:p>
          <w:p>
            <w:pPr>
              <w:pStyle w:val="34"/>
              <w:spacing w:line="500" w:lineRule="exact"/>
              <w:rPr>
                <w:rFonts w:hint="eastAsia" w:asciiTheme="minorEastAsia" w:hAnsiTheme="minorEastAsia" w:eastAsiaTheme="minorEastAsia" w:cstheme="minorEastAsia"/>
                <w:sz w:val="28"/>
                <w:szCs w:val="28"/>
              </w:rPr>
            </w:pPr>
          </w:p>
          <w:p>
            <w:pPr>
              <w:pStyle w:val="34"/>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法定代表人及被授权人身份证正反面</w:t>
            </w:r>
          </w:p>
        </w:tc>
      </w:tr>
    </w:tbl>
    <w:p>
      <w:pPr>
        <w:pStyle w:val="35"/>
        <w:tabs>
          <w:tab w:val="left" w:pos="8786"/>
        </w:tabs>
        <w:spacing w:after="0" w:line="360" w:lineRule="auto"/>
        <w:rPr>
          <w:rFonts w:hint="eastAsia" w:asciiTheme="minorEastAsia" w:hAnsiTheme="minorEastAsia" w:eastAsiaTheme="minorEastAsia" w:cstheme="minorEastAsia"/>
          <w:b/>
          <w:sz w:val="28"/>
          <w:szCs w:val="28"/>
        </w:rPr>
      </w:pPr>
    </w:p>
    <w:p>
      <w:pPr>
        <w:pStyle w:val="35"/>
        <w:tabs>
          <w:tab w:val="left" w:pos="8786"/>
        </w:tabs>
        <w:spacing w:after="0" w:line="360" w:lineRule="auto"/>
        <w:rPr>
          <w:rFonts w:hint="eastAsia" w:asciiTheme="minorEastAsia" w:hAnsiTheme="minorEastAsia" w:eastAsiaTheme="minorEastAsia" w:cstheme="minorEastAsia"/>
          <w:b/>
          <w:sz w:val="28"/>
          <w:szCs w:val="28"/>
        </w:rPr>
      </w:pPr>
    </w:p>
    <w:p>
      <w:pPr>
        <w:pStyle w:val="34"/>
        <w:tabs>
          <w:tab w:val="left" w:pos="750"/>
        </w:tabs>
        <w:adjustRightInd w:val="0"/>
        <w:snapToGrid w:val="0"/>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供应商名称：（盖章）</w:t>
      </w:r>
    </w:p>
    <w:p>
      <w:pPr>
        <w:pStyle w:val="34"/>
        <w:tabs>
          <w:tab w:val="left" w:pos="750"/>
        </w:tabs>
        <w:adjustRightInd w:val="0"/>
        <w:snapToGrid w:val="0"/>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 ：（签字或盖章）</w:t>
      </w:r>
    </w:p>
    <w:p>
      <w:pPr>
        <w:pStyle w:val="34"/>
        <w:tabs>
          <w:tab w:val="left" w:pos="750"/>
        </w:tabs>
        <w:adjustRightInd w:val="0"/>
        <w:snapToGrid w:val="0"/>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委托代理人：（签字）</w:t>
      </w:r>
    </w:p>
    <w:p>
      <w:pPr>
        <w:pStyle w:val="34"/>
        <w:tabs>
          <w:tab w:val="left" w:pos="750"/>
        </w:tabs>
        <w:adjustRightInd w:val="0"/>
        <w:snapToGrid w:val="0"/>
        <w:spacing w:line="500" w:lineRule="exact"/>
        <w:rPr>
          <w:rFonts w:hint="eastAsia" w:asciiTheme="minorEastAsia" w:hAnsiTheme="minorEastAsia" w:eastAsiaTheme="minorEastAsia" w:cstheme="minorEastAsia"/>
          <w:sz w:val="28"/>
          <w:szCs w:val="28"/>
        </w:rPr>
      </w:pPr>
    </w:p>
    <w:p>
      <w:pPr>
        <w:pStyle w:val="34"/>
        <w:spacing w:line="5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日期：年月日</w:t>
      </w:r>
    </w:p>
    <w:p>
      <w:pPr>
        <w:pStyle w:val="5"/>
        <w:ind w:left="-685" w:leftChars="-326" w:firstLine="795" w:firstLineChars="28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rPr>
          <w:rFonts w:hint="eastAsia" w:asciiTheme="minorEastAsia" w:hAnsiTheme="minorEastAsia" w:eastAsiaTheme="minorEastAsia" w:cstheme="minorEastAsia"/>
          <w:sz w:val="22"/>
          <w:szCs w:val="21"/>
        </w:rPr>
      </w:pPr>
    </w:p>
    <w:p>
      <w:pPr>
        <w:pStyle w:val="5"/>
        <w:ind w:left="-685" w:leftChars="-326" w:firstLine="795" w:firstLineChars="28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★开标一览表</w:t>
      </w:r>
      <w:bookmarkEnd w:id="212"/>
    </w:p>
    <w:p>
      <w:pPr>
        <w:pStyle w:val="28"/>
        <w:ind w:left="277" w:leftChars="-86" w:hanging="458" w:hangingChars="163"/>
        <w:jc w:val="both"/>
        <w:rPr>
          <w:rFonts w:hint="eastAsia" w:asciiTheme="minorEastAsia" w:hAnsiTheme="minorEastAsia" w:eastAsiaTheme="minorEastAsia" w:cstheme="minorEastAsia"/>
          <w:b/>
          <w:color w:val="auto"/>
          <w:kern w:val="2"/>
          <w:sz w:val="28"/>
          <w:szCs w:val="21"/>
        </w:rPr>
      </w:pPr>
    </w:p>
    <w:p>
      <w:pPr>
        <w:autoSpaceDE w:val="0"/>
        <w:autoSpaceDN w:val="0"/>
        <w:spacing w:line="300" w:lineRule="auto"/>
        <w:ind w:firstLine="24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u w:val="single"/>
          <w:lang w:eastAsia="zh-CN"/>
        </w:rPr>
        <w:t>博州林业和草原局无人机航空巡护项目</w:t>
      </w:r>
    </w:p>
    <w:p>
      <w:pPr>
        <w:autoSpaceDE w:val="0"/>
        <w:autoSpaceDN w:val="0"/>
        <w:spacing w:line="300" w:lineRule="auto"/>
        <w:ind w:firstLine="240"/>
        <w:rPr>
          <w:rFonts w:hint="eastAsia" w:asciiTheme="minorEastAsia" w:hAnsiTheme="minorEastAsia" w:eastAsiaTheme="minorEastAsia" w:cstheme="minorEastAsia"/>
          <w:sz w:val="28"/>
          <w:szCs w:val="28"/>
        </w:rPr>
      </w:pPr>
    </w:p>
    <w:p>
      <w:pPr>
        <w:autoSpaceDE w:val="0"/>
        <w:autoSpaceDN w:val="0"/>
        <w:spacing w:line="300" w:lineRule="auto"/>
        <w:ind w:firstLine="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供应商名称：</w:t>
      </w:r>
    </w:p>
    <w:p>
      <w:pPr>
        <w:autoSpaceDE w:val="0"/>
        <w:autoSpaceDN w:val="0"/>
        <w:spacing w:line="300" w:lineRule="auto"/>
        <w:ind w:firstLine="240"/>
        <w:rPr>
          <w:rFonts w:hint="eastAsia" w:asciiTheme="minorEastAsia" w:hAnsiTheme="minorEastAsia" w:eastAsiaTheme="minorEastAsia" w:cstheme="minorEastAsia"/>
          <w:sz w:val="28"/>
          <w:szCs w:val="28"/>
        </w:rPr>
      </w:pPr>
    </w:p>
    <w:p>
      <w:pPr>
        <w:autoSpaceDE w:val="0"/>
        <w:autoSpaceDN w:val="0"/>
        <w:spacing w:line="300" w:lineRule="auto"/>
        <w:ind w:firstLine="24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u w:val="single"/>
        </w:rPr>
        <w:t>　　　</w:t>
      </w:r>
    </w:p>
    <w:p>
      <w:pPr>
        <w:autoSpaceDE w:val="0"/>
        <w:autoSpaceDN w:val="0"/>
        <w:spacing w:line="300" w:lineRule="auto"/>
        <w:ind w:firstLine="240"/>
        <w:rPr>
          <w:rFonts w:hint="eastAsia" w:asciiTheme="minorEastAsia" w:hAnsiTheme="minorEastAsia" w:eastAsiaTheme="minorEastAsia" w:cstheme="minorEastAsia"/>
          <w:sz w:val="28"/>
          <w:szCs w:val="28"/>
          <w:u w:val="single"/>
        </w:rPr>
      </w:pPr>
    </w:p>
    <w:tbl>
      <w:tblPr>
        <w:tblStyle w:val="19"/>
        <w:tblW w:w="9418" w:type="dxa"/>
        <w:jc w:val="center"/>
        <w:tblLayout w:type="fixed"/>
        <w:tblCellMar>
          <w:top w:w="0" w:type="dxa"/>
          <w:left w:w="108" w:type="dxa"/>
          <w:bottom w:w="0" w:type="dxa"/>
          <w:right w:w="108" w:type="dxa"/>
        </w:tblCellMar>
      </w:tblPr>
      <w:tblGrid>
        <w:gridCol w:w="881"/>
        <w:gridCol w:w="2268"/>
        <w:gridCol w:w="1563"/>
        <w:gridCol w:w="1837"/>
        <w:gridCol w:w="1880"/>
        <w:gridCol w:w="989"/>
      </w:tblGrid>
      <w:tr>
        <w:tblPrEx>
          <w:tblCellMar>
            <w:top w:w="0" w:type="dxa"/>
            <w:left w:w="108" w:type="dxa"/>
            <w:bottom w:w="0" w:type="dxa"/>
            <w:right w:w="108" w:type="dxa"/>
          </w:tblCellMar>
        </w:tblPrEx>
        <w:trPr>
          <w:trHeight w:val="749"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序号</w:t>
            </w:r>
          </w:p>
        </w:tc>
        <w:tc>
          <w:tcPr>
            <w:tcW w:w="2268"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项目名称</w:t>
            </w:r>
          </w:p>
        </w:tc>
        <w:tc>
          <w:tcPr>
            <w:tcW w:w="15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保证金</w:t>
            </w:r>
          </w:p>
        </w:tc>
        <w:tc>
          <w:tcPr>
            <w:tcW w:w="18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交付期</w:t>
            </w:r>
          </w:p>
        </w:tc>
        <w:tc>
          <w:tcPr>
            <w:tcW w:w="188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总价（元）</w:t>
            </w:r>
          </w:p>
        </w:tc>
        <w:tc>
          <w:tcPr>
            <w:tcW w:w="989"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备注</w:t>
            </w:r>
          </w:p>
        </w:tc>
      </w:tr>
      <w:tr>
        <w:tblPrEx>
          <w:tblCellMar>
            <w:top w:w="0" w:type="dxa"/>
            <w:left w:w="108" w:type="dxa"/>
            <w:bottom w:w="0" w:type="dxa"/>
            <w:right w:w="108" w:type="dxa"/>
          </w:tblCellMar>
        </w:tblPrEx>
        <w:trPr>
          <w:trHeight w:val="1171" w:hRule="atLeast"/>
          <w:jc w:val="center"/>
        </w:trPr>
        <w:tc>
          <w:tcPr>
            <w:tcW w:w="881"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2"/>
                <w:szCs w:val="22"/>
              </w:rPr>
            </w:pPr>
          </w:p>
        </w:tc>
        <w:tc>
          <w:tcPr>
            <w:tcW w:w="226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2"/>
                <w:szCs w:val="22"/>
              </w:rPr>
            </w:pPr>
          </w:p>
        </w:tc>
        <w:tc>
          <w:tcPr>
            <w:tcW w:w="15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2"/>
                <w:szCs w:val="22"/>
              </w:rPr>
            </w:pPr>
          </w:p>
        </w:tc>
        <w:tc>
          <w:tcPr>
            <w:tcW w:w="18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2"/>
                <w:szCs w:val="22"/>
              </w:rPr>
            </w:pPr>
          </w:p>
        </w:tc>
        <w:tc>
          <w:tcPr>
            <w:tcW w:w="1880"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2"/>
                <w:szCs w:val="22"/>
              </w:rPr>
            </w:pPr>
          </w:p>
        </w:tc>
        <w:tc>
          <w:tcPr>
            <w:tcW w:w="989"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2"/>
                <w:szCs w:val="22"/>
              </w:rPr>
            </w:pPr>
          </w:p>
        </w:tc>
      </w:tr>
    </w:tbl>
    <w:p>
      <w:pPr>
        <w:autoSpaceDE w:val="0"/>
        <w:autoSpaceDN w:val="0"/>
        <w:spacing w:line="300" w:lineRule="auto"/>
        <w:rPr>
          <w:rFonts w:hint="eastAsia" w:asciiTheme="minorEastAsia" w:hAnsiTheme="minorEastAsia" w:eastAsiaTheme="minorEastAsia" w:cstheme="minorEastAsia"/>
          <w:b/>
          <w:sz w:val="28"/>
          <w:szCs w:val="28"/>
        </w:rPr>
      </w:pPr>
    </w:p>
    <w:p>
      <w:pPr>
        <w:autoSpaceDE w:val="0"/>
        <w:autoSpaceDN w:val="0"/>
        <w:spacing w:line="30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注：本报价一览表须单独密封递交。</w:t>
      </w:r>
    </w:p>
    <w:p>
      <w:pPr>
        <w:autoSpaceDE w:val="0"/>
        <w:autoSpaceDN w:val="0"/>
        <w:spacing w:line="300" w:lineRule="auto"/>
        <w:ind w:firstLine="240"/>
        <w:rPr>
          <w:rFonts w:hint="eastAsia" w:asciiTheme="minorEastAsia" w:hAnsiTheme="minorEastAsia" w:eastAsiaTheme="minorEastAsia" w:cstheme="minorEastAsia"/>
          <w:sz w:val="22"/>
          <w:szCs w:val="21"/>
        </w:rPr>
      </w:pPr>
    </w:p>
    <w:p>
      <w:pPr>
        <w:autoSpaceDE w:val="0"/>
        <w:autoSpaceDN w:val="0"/>
        <w:spacing w:line="300" w:lineRule="auto"/>
        <w:ind w:firstLine="240"/>
        <w:rPr>
          <w:rFonts w:hint="eastAsia" w:asciiTheme="minorEastAsia" w:hAnsiTheme="minorEastAsia" w:eastAsiaTheme="minorEastAsia" w:cstheme="minorEastAsia"/>
          <w:sz w:val="22"/>
          <w:szCs w:val="21"/>
        </w:rPr>
      </w:pPr>
    </w:p>
    <w:p>
      <w:pPr>
        <w:spacing w:afterLines="50"/>
        <w:ind w:firstLine="5740" w:firstLineChars="20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供应商（盖章）</w:t>
      </w:r>
    </w:p>
    <w:p>
      <w:pPr>
        <w:wordWrap w:val="0"/>
        <w:spacing w:afterLines="50"/>
        <w:ind w:firstLine="240"/>
        <w:jc w:val="righ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授权代表（签字）</w:t>
      </w:r>
    </w:p>
    <w:p>
      <w:pPr>
        <w:wordWrap w:val="0"/>
        <w:spacing w:afterLines="50"/>
        <w:ind w:firstLine="24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spacing w:afterLines="50"/>
        <w:ind w:firstLine="240"/>
        <w:jc w:val="right"/>
        <w:rPr>
          <w:rFonts w:hint="eastAsia" w:asciiTheme="minorEastAsia" w:hAnsiTheme="minorEastAsia" w:eastAsiaTheme="minorEastAsia" w:cstheme="minorEastAsia"/>
          <w:sz w:val="22"/>
          <w:szCs w:val="21"/>
        </w:rPr>
      </w:pPr>
    </w:p>
    <w:p>
      <w:pPr>
        <w:pStyle w:val="28"/>
        <w:ind w:left="277" w:leftChars="-86" w:hanging="458" w:hangingChars="163"/>
        <w:jc w:val="both"/>
        <w:rPr>
          <w:rFonts w:hint="eastAsia" w:asciiTheme="minorEastAsia" w:hAnsiTheme="minorEastAsia" w:eastAsiaTheme="minorEastAsia" w:cstheme="minorEastAsia"/>
          <w:b/>
          <w:color w:val="auto"/>
          <w:kern w:val="2"/>
          <w:sz w:val="28"/>
          <w:szCs w:val="21"/>
        </w:rPr>
      </w:pPr>
    </w:p>
    <w:p>
      <w:pPr>
        <w:pStyle w:val="28"/>
        <w:ind w:left="277" w:leftChars="-86" w:hanging="458" w:hangingChars="163"/>
        <w:jc w:val="both"/>
        <w:rPr>
          <w:rFonts w:hint="eastAsia" w:asciiTheme="minorEastAsia" w:hAnsiTheme="minorEastAsia" w:eastAsiaTheme="minorEastAsia" w:cstheme="minorEastAsia"/>
          <w:b/>
          <w:color w:val="auto"/>
          <w:kern w:val="2"/>
          <w:sz w:val="28"/>
          <w:szCs w:val="21"/>
        </w:rPr>
      </w:pPr>
    </w:p>
    <w:p>
      <w:pPr>
        <w:pStyle w:val="28"/>
        <w:ind w:left="277" w:leftChars="-86" w:hanging="458" w:hangingChars="163"/>
        <w:jc w:val="both"/>
        <w:rPr>
          <w:rFonts w:hint="eastAsia" w:asciiTheme="minorEastAsia" w:hAnsiTheme="minorEastAsia" w:eastAsiaTheme="minorEastAsia" w:cstheme="minorEastAsia"/>
          <w:b/>
          <w:color w:val="auto"/>
          <w:kern w:val="2"/>
          <w:sz w:val="28"/>
          <w:szCs w:val="21"/>
        </w:rPr>
      </w:pPr>
    </w:p>
    <w:p>
      <w:pPr>
        <w:pStyle w:val="28"/>
        <w:ind w:left="277" w:leftChars="-86" w:hanging="458" w:hangingChars="163"/>
        <w:jc w:val="both"/>
        <w:rPr>
          <w:rFonts w:hint="eastAsia" w:asciiTheme="minorEastAsia" w:hAnsiTheme="minorEastAsia" w:eastAsiaTheme="minorEastAsia" w:cstheme="minorEastAsia"/>
          <w:b/>
          <w:color w:val="auto"/>
          <w:kern w:val="2"/>
          <w:sz w:val="28"/>
          <w:szCs w:val="21"/>
        </w:rPr>
      </w:pPr>
    </w:p>
    <w:p>
      <w:pPr>
        <w:pStyle w:val="28"/>
        <w:ind w:left="277" w:leftChars="-86" w:hanging="458" w:hangingChars="163"/>
        <w:jc w:val="both"/>
        <w:rPr>
          <w:rFonts w:hint="eastAsia" w:asciiTheme="minorEastAsia" w:hAnsiTheme="minorEastAsia" w:eastAsiaTheme="minorEastAsia" w:cstheme="minorEastAsia"/>
          <w:b/>
          <w:color w:val="auto"/>
          <w:kern w:val="2"/>
          <w:sz w:val="28"/>
          <w:szCs w:val="21"/>
        </w:rPr>
      </w:pPr>
    </w:p>
    <w:p>
      <w:pPr>
        <w:pStyle w:val="28"/>
        <w:ind w:left="277" w:leftChars="-86" w:hanging="458" w:hangingChars="163"/>
        <w:jc w:val="both"/>
        <w:rPr>
          <w:rFonts w:hint="eastAsia" w:asciiTheme="minorEastAsia" w:hAnsiTheme="minorEastAsia" w:eastAsiaTheme="minorEastAsia" w:cstheme="minorEastAsia"/>
          <w:b/>
          <w:color w:val="auto"/>
          <w:kern w:val="2"/>
          <w:sz w:val="28"/>
          <w:szCs w:val="21"/>
        </w:rPr>
      </w:pPr>
    </w:p>
    <w:p>
      <w:pPr>
        <w:pStyle w:val="28"/>
        <w:jc w:val="both"/>
        <w:rPr>
          <w:rFonts w:hint="eastAsia" w:asciiTheme="minorEastAsia" w:hAnsiTheme="minorEastAsia" w:eastAsiaTheme="minorEastAsia" w:cstheme="minorEastAsia"/>
          <w:b/>
          <w:color w:val="auto"/>
          <w:kern w:val="2"/>
          <w:sz w:val="28"/>
          <w:szCs w:val="21"/>
        </w:rPr>
      </w:pPr>
    </w:p>
    <w:p>
      <w:pPr>
        <w:pStyle w:val="28"/>
        <w:jc w:val="both"/>
        <w:rPr>
          <w:rFonts w:hint="eastAsia" w:asciiTheme="minorEastAsia" w:hAnsiTheme="minorEastAsia" w:eastAsiaTheme="minorEastAsia" w:cstheme="minorEastAsia"/>
          <w:b/>
          <w:color w:val="auto"/>
          <w:kern w:val="2"/>
          <w:sz w:val="28"/>
          <w:szCs w:val="21"/>
        </w:rPr>
      </w:pPr>
    </w:p>
    <w:p>
      <w:pPr>
        <w:pStyle w:val="28"/>
        <w:jc w:val="both"/>
        <w:rPr>
          <w:rFonts w:hint="eastAsia" w:asciiTheme="minorEastAsia" w:hAnsiTheme="minorEastAsia" w:eastAsiaTheme="minorEastAsia" w:cstheme="minorEastAsia"/>
          <w:b/>
          <w:color w:val="auto"/>
          <w:kern w:val="2"/>
          <w:sz w:val="28"/>
          <w:szCs w:val="21"/>
        </w:rPr>
      </w:pPr>
    </w:p>
    <w:p>
      <w:pPr>
        <w:widowControl/>
        <w:jc w:val="left"/>
        <w:rPr>
          <w:rFonts w:hint="eastAsia" w:asciiTheme="minorEastAsia" w:hAnsiTheme="minorEastAsia" w:eastAsiaTheme="minorEastAsia" w:cstheme="minorEastAsia"/>
          <w:b/>
          <w:bCs/>
          <w:sz w:val="28"/>
          <w:szCs w:val="28"/>
        </w:rPr>
      </w:pPr>
      <w:bookmarkStart w:id="230" w:name="_Toc493877637"/>
      <w:r>
        <w:rPr>
          <w:rFonts w:hint="eastAsia" w:asciiTheme="minorEastAsia" w:hAnsiTheme="minorEastAsia" w:eastAsiaTheme="minorEastAsia" w:cstheme="minorEastAsia"/>
          <w:sz w:val="28"/>
          <w:szCs w:val="28"/>
        </w:rPr>
        <w:br w:type="page"/>
      </w:r>
    </w:p>
    <w:p>
      <w:pPr>
        <w:pStyle w:val="5"/>
        <w:spacing w:before="24" w:after="24"/>
        <w:ind w:left="1"/>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★分项报价表</w:t>
      </w:r>
      <w:bookmarkEnd w:id="230"/>
    </w:p>
    <w:p>
      <w:pPr>
        <w:widowControl/>
        <w:ind w:firstLine="241"/>
        <w:jc w:val="center"/>
        <w:rPr>
          <w:rFonts w:hint="eastAsia" w:asciiTheme="minorEastAsia" w:hAnsiTheme="minorEastAsia" w:eastAsiaTheme="minorEastAsia" w:cstheme="minorEastAsia"/>
          <w:b/>
          <w:bCs/>
          <w:sz w:val="22"/>
          <w:szCs w:val="21"/>
        </w:rPr>
      </w:pPr>
    </w:p>
    <w:p>
      <w:pPr>
        <w:tabs>
          <w:tab w:val="left" w:pos="9135"/>
        </w:tabs>
        <w:rPr>
          <w:rFonts w:hint="eastAsia" w:asciiTheme="minorEastAsia" w:hAnsiTheme="minorEastAsia" w:eastAsiaTheme="minorEastAsia" w:cstheme="minorEastAsia"/>
          <w:sz w:val="28"/>
          <w:szCs w:val="21"/>
          <w:u w:val="single"/>
        </w:rPr>
      </w:pPr>
      <w:r>
        <w:rPr>
          <w:rFonts w:hint="eastAsia" w:asciiTheme="minorEastAsia" w:hAnsiTheme="minorEastAsia" w:eastAsiaTheme="minorEastAsia" w:cstheme="minorEastAsia"/>
          <w:sz w:val="28"/>
          <w:szCs w:val="21"/>
        </w:rPr>
        <w:t>供应商名称(公章)：　　           　　　　　　　　</w:t>
      </w:r>
    </w:p>
    <w:p>
      <w:pPr>
        <w:tabs>
          <w:tab w:val="left" w:pos="9135"/>
        </w:tabs>
        <w:rPr>
          <w:rFonts w:hint="eastAsia" w:asciiTheme="minorEastAsia" w:hAnsiTheme="minorEastAsia" w:eastAsiaTheme="minorEastAsia" w:cstheme="minorEastAsia"/>
          <w:sz w:val="28"/>
          <w:szCs w:val="21"/>
        </w:rPr>
      </w:pPr>
    </w:p>
    <w:p>
      <w:pPr>
        <w:tabs>
          <w:tab w:val="left" w:pos="9135"/>
        </w:tabs>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项目编号:</w:t>
      </w:r>
    </w:p>
    <w:p>
      <w:pPr>
        <w:tabs>
          <w:tab w:val="left" w:pos="9135"/>
        </w:tabs>
        <w:rPr>
          <w:rFonts w:hint="eastAsia" w:asciiTheme="minorEastAsia" w:hAnsiTheme="minorEastAsia" w:eastAsiaTheme="minorEastAsia" w:cstheme="minorEastAsia"/>
          <w:sz w:val="28"/>
          <w:szCs w:val="21"/>
          <w:u w:val="single"/>
        </w:rPr>
      </w:pPr>
    </w:p>
    <w:tbl>
      <w:tblPr>
        <w:tblStyle w:val="19"/>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3413"/>
        <w:gridCol w:w="1765"/>
        <w:gridCol w:w="1471"/>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序号</w:t>
            </w:r>
          </w:p>
        </w:tc>
        <w:tc>
          <w:tcPr>
            <w:tcW w:w="3413"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名称</w:t>
            </w:r>
          </w:p>
        </w:tc>
        <w:tc>
          <w:tcPr>
            <w:tcW w:w="1765"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数量</w:t>
            </w:r>
          </w:p>
        </w:tc>
        <w:tc>
          <w:tcPr>
            <w:tcW w:w="1471" w:type="dxa"/>
            <w:tcBorders>
              <w:top w:val="single" w:color="auto" w:sz="4" w:space="0"/>
              <w:left w:val="single" w:color="auto" w:sz="4" w:space="0"/>
              <w:bottom w:val="single" w:color="auto" w:sz="4" w:space="0"/>
              <w:right w:val="single" w:color="auto" w:sz="4" w:space="0"/>
            </w:tcBorders>
          </w:tcPr>
          <w:p>
            <w:pPr>
              <w:tabs>
                <w:tab w:val="left" w:pos="9135"/>
              </w:tabs>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单价（元）</w:t>
            </w:r>
          </w:p>
        </w:tc>
        <w:tc>
          <w:tcPr>
            <w:tcW w:w="1469" w:type="dxa"/>
            <w:tcBorders>
              <w:top w:val="single" w:color="auto" w:sz="4" w:space="0"/>
              <w:left w:val="single" w:color="auto" w:sz="4" w:space="0"/>
              <w:bottom w:val="single" w:color="auto" w:sz="4" w:space="0"/>
              <w:right w:val="single" w:color="auto" w:sz="4" w:space="0"/>
            </w:tcBorders>
          </w:tcPr>
          <w:p>
            <w:pPr>
              <w:tabs>
                <w:tab w:val="left" w:pos="9135"/>
              </w:tabs>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1</w:t>
            </w:r>
          </w:p>
        </w:tc>
        <w:tc>
          <w:tcPr>
            <w:tcW w:w="3413"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1"/>
              </w:rPr>
            </w:pPr>
          </w:p>
        </w:tc>
        <w:tc>
          <w:tcPr>
            <w:tcW w:w="1765"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1"/>
              </w:rPr>
            </w:pPr>
          </w:p>
        </w:tc>
        <w:tc>
          <w:tcPr>
            <w:tcW w:w="1471" w:type="dxa"/>
            <w:tcBorders>
              <w:top w:val="single" w:color="auto" w:sz="4" w:space="0"/>
              <w:left w:val="single" w:color="auto" w:sz="4" w:space="0"/>
              <w:bottom w:val="single" w:color="auto" w:sz="4" w:space="0"/>
              <w:right w:val="single" w:color="auto" w:sz="4" w:space="0"/>
            </w:tcBorders>
          </w:tcPr>
          <w:p>
            <w:pPr>
              <w:tabs>
                <w:tab w:val="left" w:pos="9135"/>
              </w:tabs>
              <w:rPr>
                <w:rFonts w:hint="eastAsia" w:asciiTheme="minorEastAsia" w:hAnsiTheme="minorEastAsia" w:eastAsiaTheme="minorEastAsia" w:cstheme="minorEastAsia"/>
                <w:sz w:val="28"/>
                <w:szCs w:val="21"/>
              </w:rPr>
            </w:pPr>
          </w:p>
        </w:tc>
        <w:tc>
          <w:tcPr>
            <w:tcW w:w="146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2</w:t>
            </w:r>
          </w:p>
        </w:tc>
        <w:tc>
          <w:tcPr>
            <w:tcW w:w="3413"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1"/>
              </w:rPr>
            </w:pPr>
          </w:p>
        </w:tc>
        <w:tc>
          <w:tcPr>
            <w:tcW w:w="1765" w:type="dxa"/>
            <w:tcBorders>
              <w:top w:val="single" w:color="auto" w:sz="4" w:space="0"/>
              <w:left w:val="single" w:color="auto" w:sz="4" w:space="0"/>
              <w:bottom w:val="single" w:color="auto" w:sz="4" w:space="0"/>
              <w:right w:val="single" w:color="auto" w:sz="4" w:space="0"/>
            </w:tcBorders>
            <w:vAlign w:val="center"/>
          </w:tcPr>
          <w:p>
            <w:pPr>
              <w:tabs>
                <w:tab w:val="left" w:pos="9135"/>
              </w:tabs>
              <w:rPr>
                <w:rFonts w:hint="eastAsia" w:asciiTheme="minorEastAsia" w:hAnsiTheme="minorEastAsia" w:eastAsiaTheme="minorEastAsia" w:cstheme="minorEastAsia"/>
                <w:sz w:val="28"/>
                <w:szCs w:val="21"/>
              </w:rPr>
            </w:pPr>
          </w:p>
        </w:tc>
        <w:tc>
          <w:tcPr>
            <w:tcW w:w="1471" w:type="dxa"/>
            <w:tcBorders>
              <w:top w:val="single" w:color="auto" w:sz="4" w:space="0"/>
              <w:left w:val="single" w:color="auto" w:sz="4" w:space="0"/>
              <w:bottom w:val="single" w:color="auto" w:sz="4" w:space="0"/>
              <w:right w:val="single" w:color="auto" w:sz="4" w:space="0"/>
            </w:tcBorders>
          </w:tcPr>
          <w:p>
            <w:pPr>
              <w:tabs>
                <w:tab w:val="left" w:pos="9135"/>
              </w:tabs>
              <w:rPr>
                <w:rFonts w:hint="eastAsia" w:asciiTheme="minorEastAsia" w:hAnsiTheme="minorEastAsia" w:eastAsiaTheme="minorEastAsia" w:cstheme="minorEastAsia"/>
                <w:sz w:val="28"/>
                <w:szCs w:val="21"/>
              </w:rPr>
            </w:pPr>
          </w:p>
        </w:tc>
        <w:tc>
          <w:tcPr>
            <w:tcW w:w="146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Borders>
              <w:top w:val="single" w:color="auto" w:sz="4" w:space="0"/>
              <w:left w:val="single" w:color="auto" w:sz="4" w:space="0"/>
              <w:bottom w:val="single" w:color="auto" w:sz="4" w:space="0"/>
              <w:right w:val="single" w:color="auto" w:sz="4" w:space="0"/>
            </w:tcBorders>
            <w:vAlign w:val="center"/>
          </w:tcPr>
          <w:p>
            <w:pPr>
              <w:tabs>
                <w:tab w:val="left" w:pos="9135"/>
              </w:tabs>
              <w:jc w:val="center"/>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合  计（元）</w:t>
            </w:r>
          </w:p>
        </w:tc>
        <w:tc>
          <w:tcPr>
            <w:tcW w:w="1469"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32"/>
                <w:szCs w:val="32"/>
              </w:rPr>
            </w:pPr>
          </w:p>
        </w:tc>
      </w:tr>
    </w:tbl>
    <w:p>
      <w:pPr>
        <w:tabs>
          <w:tab w:val="left" w:pos="9135"/>
        </w:tabs>
        <w:rPr>
          <w:rFonts w:hint="eastAsia" w:asciiTheme="minorEastAsia" w:hAnsiTheme="minorEastAsia" w:eastAsiaTheme="minorEastAsia" w:cstheme="minorEastAsia"/>
          <w:sz w:val="28"/>
          <w:szCs w:val="21"/>
          <w:u w:val="single"/>
        </w:rPr>
      </w:pPr>
    </w:p>
    <w:p>
      <w:pPr>
        <w:wordWrap w:val="0"/>
        <w:spacing w:afterLines="50"/>
        <w:ind w:firstLine="240"/>
        <w:jc w:val="right"/>
        <w:rPr>
          <w:rFonts w:hint="eastAsia" w:asciiTheme="minorEastAsia" w:hAnsiTheme="minorEastAsia" w:eastAsiaTheme="minorEastAsia" w:cstheme="minorEastAsia"/>
          <w:sz w:val="28"/>
          <w:szCs w:val="28"/>
        </w:rPr>
      </w:pPr>
      <w:bookmarkStart w:id="231" w:name="_Toc493877638"/>
    </w:p>
    <w:p>
      <w:pPr>
        <w:spacing w:line="360" w:lineRule="auto"/>
        <w:ind w:left="555"/>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 xml:space="preserve">供应商名称（加盖公章）：                                        </w:t>
      </w:r>
    </w:p>
    <w:p>
      <w:pPr>
        <w:spacing w:line="360" w:lineRule="auto"/>
        <w:ind w:left="555"/>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法定代表人（签字或盖章）：</w:t>
      </w:r>
    </w:p>
    <w:p>
      <w:pPr>
        <w:spacing w:line="360" w:lineRule="auto"/>
        <w:ind w:left="555"/>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日期：  年  月  日</w:t>
      </w:r>
    </w:p>
    <w:p>
      <w:pPr>
        <w:widowControl/>
        <w:jc w:val="left"/>
        <w:rPr>
          <w:rFonts w:hint="eastAsia" w:asciiTheme="minorEastAsia" w:hAnsiTheme="minorEastAsia" w:eastAsiaTheme="minorEastAsia" w:cstheme="minorEastAsia"/>
          <w:b/>
          <w:bCs/>
          <w:sz w:val="28"/>
          <w:szCs w:val="28"/>
        </w:rPr>
      </w:pPr>
    </w:p>
    <w:p>
      <w:pPr>
        <w:pStyle w:val="5"/>
        <w:spacing w:before="24" w:after="24"/>
        <w:ind w:left="-344" w:leftChars="-1295" w:hanging="2375" w:hangingChars="845"/>
        <w:jc w:val="cente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br w:type="page"/>
      </w:r>
    </w:p>
    <w:p>
      <w:pPr>
        <w:spacing w:line="360" w:lineRule="auto"/>
        <w:jc w:val="center"/>
        <w:outlineLvl w:val="0"/>
        <w:rPr>
          <w:rFonts w:hint="eastAsia" w:asciiTheme="minorEastAsia" w:hAnsiTheme="minorEastAsia" w:eastAsiaTheme="minorEastAsia" w:cstheme="minorEastAsia"/>
          <w:b/>
          <w:sz w:val="28"/>
          <w:szCs w:val="28"/>
          <w:lang w:val="zh-CN"/>
        </w:rPr>
      </w:pPr>
      <w:bookmarkStart w:id="232" w:name="_Toc11143"/>
      <w:bookmarkStart w:id="233" w:name="_Toc5653"/>
      <w:r>
        <w:rPr>
          <w:rFonts w:hint="eastAsia" w:asciiTheme="minorEastAsia" w:hAnsiTheme="minorEastAsia" w:eastAsiaTheme="minorEastAsia" w:cstheme="minorEastAsia"/>
          <w:b/>
          <w:sz w:val="28"/>
          <w:szCs w:val="28"/>
          <w:lang w:val="zh-CN"/>
        </w:rPr>
        <w:t>二次报价单</w:t>
      </w:r>
      <w:bookmarkEnd w:id="232"/>
      <w:bookmarkEnd w:id="233"/>
    </w:p>
    <w:tbl>
      <w:tblPr>
        <w:tblStyle w:val="19"/>
        <w:tblW w:w="9102" w:type="dxa"/>
        <w:tblInd w:w="0" w:type="dxa"/>
        <w:tblLayout w:type="fixed"/>
        <w:tblCellMar>
          <w:top w:w="15" w:type="dxa"/>
          <w:left w:w="15" w:type="dxa"/>
          <w:bottom w:w="15" w:type="dxa"/>
          <w:right w:w="15" w:type="dxa"/>
        </w:tblCellMar>
      </w:tblPr>
      <w:tblGrid>
        <w:gridCol w:w="2533"/>
        <w:gridCol w:w="1892"/>
        <w:gridCol w:w="2179"/>
        <w:gridCol w:w="2498"/>
      </w:tblGrid>
      <w:tr>
        <w:tblPrEx>
          <w:tblCellMar>
            <w:top w:w="15" w:type="dxa"/>
            <w:left w:w="15" w:type="dxa"/>
            <w:bottom w:w="15" w:type="dxa"/>
            <w:right w:w="15" w:type="dxa"/>
          </w:tblCellMar>
        </w:tblPrEx>
        <w:trPr>
          <w:trHeight w:val="693" w:hRule="atLeast"/>
        </w:trPr>
        <w:tc>
          <w:tcPr>
            <w:tcW w:w="2533"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w:t>
            </w:r>
          </w:p>
        </w:tc>
        <w:tc>
          <w:tcPr>
            <w:tcW w:w="6569" w:type="dxa"/>
            <w:gridSpan w:val="3"/>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r>
      <w:tr>
        <w:tblPrEx>
          <w:tblCellMar>
            <w:top w:w="15" w:type="dxa"/>
            <w:left w:w="15" w:type="dxa"/>
            <w:bottom w:w="15" w:type="dxa"/>
            <w:right w:w="15" w:type="dxa"/>
          </w:tblCellMar>
        </w:tblPrEx>
        <w:trPr>
          <w:trHeight w:val="890" w:hRule="atLeast"/>
        </w:trPr>
        <w:tc>
          <w:tcPr>
            <w:tcW w:w="2533"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w:t>
            </w:r>
          </w:p>
        </w:tc>
        <w:tc>
          <w:tcPr>
            <w:tcW w:w="1892"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c>
          <w:tcPr>
            <w:tcW w:w="2179"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法人委托代理人</w:t>
            </w:r>
          </w:p>
        </w:tc>
        <w:tc>
          <w:tcPr>
            <w:tcW w:w="2498"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r>
      <w:tr>
        <w:tblPrEx>
          <w:tblCellMar>
            <w:top w:w="15" w:type="dxa"/>
            <w:left w:w="15" w:type="dxa"/>
            <w:bottom w:w="15" w:type="dxa"/>
            <w:right w:w="15" w:type="dxa"/>
          </w:tblCellMar>
        </w:tblPrEx>
        <w:trPr>
          <w:trHeight w:val="850" w:hRule="atLeast"/>
        </w:trPr>
        <w:tc>
          <w:tcPr>
            <w:tcW w:w="2533"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p>
        </w:tc>
        <w:tc>
          <w:tcPr>
            <w:tcW w:w="1892"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c>
          <w:tcPr>
            <w:tcW w:w="2179"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w:t>
            </w:r>
          </w:p>
        </w:tc>
        <w:tc>
          <w:tcPr>
            <w:tcW w:w="2498"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r>
      <w:tr>
        <w:tblPrEx>
          <w:tblCellMar>
            <w:top w:w="15" w:type="dxa"/>
            <w:left w:w="15" w:type="dxa"/>
            <w:bottom w:w="15" w:type="dxa"/>
            <w:right w:w="15" w:type="dxa"/>
          </w:tblCellMar>
        </w:tblPrEx>
        <w:trPr>
          <w:trHeight w:val="960" w:hRule="atLeast"/>
        </w:trPr>
        <w:tc>
          <w:tcPr>
            <w:tcW w:w="2533"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单位地址</w:t>
            </w:r>
          </w:p>
        </w:tc>
        <w:tc>
          <w:tcPr>
            <w:tcW w:w="6569" w:type="dxa"/>
            <w:gridSpan w:val="3"/>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r>
      <w:tr>
        <w:tblPrEx>
          <w:tblCellMar>
            <w:top w:w="15" w:type="dxa"/>
            <w:left w:w="15" w:type="dxa"/>
            <w:bottom w:w="15" w:type="dxa"/>
            <w:right w:w="15" w:type="dxa"/>
          </w:tblCellMar>
        </w:tblPrEx>
        <w:trPr>
          <w:trHeight w:val="890" w:hRule="atLeast"/>
        </w:trPr>
        <w:tc>
          <w:tcPr>
            <w:tcW w:w="2533"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开户银行</w:t>
            </w:r>
          </w:p>
        </w:tc>
        <w:tc>
          <w:tcPr>
            <w:tcW w:w="6569" w:type="dxa"/>
            <w:gridSpan w:val="3"/>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r>
      <w:tr>
        <w:tblPrEx>
          <w:tblCellMar>
            <w:top w:w="15" w:type="dxa"/>
            <w:left w:w="15" w:type="dxa"/>
            <w:bottom w:w="15" w:type="dxa"/>
            <w:right w:w="15" w:type="dxa"/>
          </w:tblCellMar>
        </w:tblPrEx>
        <w:trPr>
          <w:trHeight w:val="535" w:hRule="atLeast"/>
        </w:trPr>
        <w:tc>
          <w:tcPr>
            <w:tcW w:w="2533"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投标项目</w:t>
            </w:r>
          </w:p>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w:t>
            </w:r>
          </w:p>
        </w:tc>
        <w:tc>
          <w:tcPr>
            <w:tcW w:w="6569" w:type="dxa"/>
            <w:gridSpan w:val="3"/>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r>
      <w:tr>
        <w:tblPrEx>
          <w:tblCellMar>
            <w:top w:w="15" w:type="dxa"/>
            <w:left w:w="15" w:type="dxa"/>
            <w:bottom w:w="15" w:type="dxa"/>
            <w:right w:w="15" w:type="dxa"/>
          </w:tblCellMar>
        </w:tblPrEx>
        <w:trPr>
          <w:trHeight w:val="1390" w:hRule="atLeast"/>
        </w:trPr>
        <w:tc>
          <w:tcPr>
            <w:tcW w:w="2533" w:type="dxa"/>
            <w:tcBorders>
              <w:top w:val="single" w:color="000000" w:sz="4" w:space="0"/>
              <w:left w:val="single" w:color="000000" w:sz="4" w:space="0"/>
              <w:bottom w:val="single" w:color="000000" w:sz="4" w:space="0"/>
              <w:right w:val="single" w:color="auto"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投标报价（元）人民币</w:t>
            </w:r>
          </w:p>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（按大写数据为准）</w:t>
            </w:r>
          </w:p>
        </w:tc>
        <w:tc>
          <w:tcPr>
            <w:tcW w:w="6569" w:type="dxa"/>
            <w:gridSpan w:val="3"/>
            <w:tcBorders>
              <w:top w:val="single" w:color="000000" w:sz="4" w:space="0"/>
              <w:left w:val="single" w:color="auto" w:sz="4" w:space="0"/>
              <w:bottom w:val="single" w:color="000000" w:sz="4" w:space="0"/>
              <w:right w:val="single" w:color="000000" w:sz="4" w:space="0"/>
            </w:tcBorders>
            <w:noWrap/>
            <w:vAlign w:val="center"/>
          </w:tcPr>
          <w:p>
            <w:pPr>
              <w:widowControl/>
              <w:autoSpaceDE w:val="0"/>
              <w:autoSpaceDN w:val="0"/>
              <w:spacing w:line="360" w:lineRule="auto"/>
              <w:ind w:left="239" w:leftChars="114"/>
              <w:textAlignment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小写：</w:t>
            </w:r>
          </w:p>
          <w:p>
            <w:pPr>
              <w:widowControl/>
              <w:autoSpaceDE w:val="0"/>
              <w:autoSpaceDN w:val="0"/>
              <w:spacing w:line="360" w:lineRule="auto"/>
              <w:ind w:left="239" w:leftChars="114"/>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大写：元</w:t>
            </w:r>
          </w:p>
        </w:tc>
      </w:tr>
      <w:tr>
        <w:tblPrEx>
          <w:tblCellMar>
            <w:top w:w="15" w:type="dxa"/>
            <w:left w:w="15" w:type="dxa"/>
            <w:bottom w:w="15" w:type="dxa"/>
            <w:right w:w="15" w:type="dxa"/>
          </w:tblCellMar>
        </w:tblPrEx>
        <w:trPr>
          <w:trHeight w:val="1050" w:hRule="atLeast"/>
        </w:trPr>
        <w:tc>
          <w:tcPr>
            <w:tcW w:w="2533" w:type="dxa"/>
            <w:tcBorders>
              <w:top w:val="single" w:color="000000" w:sz="4" w:space="0"/>
              <w:left w:val="single" w:color="000000" w:sz="4" w:space="0"/>
              <w:bottom w:val="single" w:color="000000" w:sz="4" w:space="0"/>
              <w:right w:val="single" w:color="auto"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简要说明：</w:t>
            </w:r>
          </w:p>
        </w:tc>
        <w:tc>
          <w:tcPr>
            <w:tcW w:w="6569" w:type="dxa"/>
            <w:gridSpan w:val="3"/>
            <w:tcBorders>
              <w:top w:val="single" w:color="000000" w:sz="4" w:space="0"/>
              <w:left w:val="single" w:color="auto" w:sz="4" w:space="0"/>
              <w:bottom w:val="single" w:color="000000" w:sz="4" w:space="0"/>
              <w:right w:val="single" w:color="000000" w:sz="4" w:space="0"/>
            </w:tcBorders>
            <w:noWrap/>
            <w:vAlign w:val="center"/>
          </w:tcPr>
          <w:p>
            <w:pPr>
              <w:widowControl/>
              <w:autoSpaceDE w:val="0"/>
              <w:autoSpaceDN w:val="0"/>
              <w:spacing w:line="360" w:lineRule="auto"/>
              <w:jc w:val="center"/>
              <w:textAlignment w:val="center"/>
              <w:rPr>
                <w:rFonts w:hint="eastAsia" w:asciiTheme="minorEastAsia" w:hAnsiTheme="minorEastAsia" w:eastAsiaTheme="minorEastAsia" w:cstheme="minorEastAsia"/>
                <w:sz w:val="28"/>
                <w:szCs w:val="28"/>
              </w:rPr>
            </w:pPr>
          </w:p>
        </w:tc>
      </w:tr>
    </w:tbl>
    <w:p>
      <w:pPr>
        <w:jc w:val="center"/>
        <w:rPr>
          <w:rFonts w:hint="eastAsia" w:asciiTheme="minorEastAsia" w:hAnsiTheme="minorEastAsia" w:eastAsiaTheme="minorEastAsia" w:cstheme="minorEastAsia"/>
          <w:b/>
          <w:bCs/>
          <w:sz w:val="28"/>
          <w:szCs w:val="28"/>
        </w:rPr>
      </w:pPr>
    </w:p>
    <w:p>
      <w:pPr>
        <w:pStyle w:val="32"/>
        <w:jc w:val="center"/>
        <w:outlineLvl w:val="2"/>
        <w:rPr>
          <w:rFonts w:hint="eastAsia" w:asciiTheme="minorEastAsia" w:hAnsiTheme="minorEastAsia" w:eastAsiaTheme="minorEastAsia" w:cstheme="minorEastAsia"/>
          <w:bCs/>
          <w:sz w:val="28"/>
          <w:szCs w:val="28"/>
          <w:lang w:val="zh-CN"/>
        </w:rPr>
      </w:pPr>
      <w:r>
        <w:rPr>
          <w:rFonts w:hint="eastAsia" w:asciiTheme="minorEastAsia" w:hAnsiTheme="minorEastAsia" w:eastAsiaTheme="minorEastAsia" w:cstheme="minorEastAsia"/>
          <w:bCs/>
          <w:sz w:val="28"/>
          <w:szCs w:val="28"/>
          <w:lang w:val="zh-CN"/>
        </w:rPr>
        <w:t>注：第二次报价单由供应商自行准备并加盖单位公章，开标现场填写。</w:t>
      </w:r>
    </w:p>
    <w:p>
      <w:pPr>
        <w:pStyle w:val="37"/>
        <w:spacing w:line="360" w:lineRule="auto"/>
        <w:ind w:right="-97"/>
        <w:jc w:val="both"/>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br w:type="page"/>
      </w:r>
      <w:r>
        <w:rPr>
          <w:rFonts w:hint="eastAsia" w:asciiTheme="minorEastAsia" w:hAnsiTheme="minorEastAsia" w:eastAsiaTheme="minorEastAsia" w:cstheme="minorEastAsia"/>
          <w:b/>
          <w:sz w:val="28"/>
          <w:szCs w:val="28"/>
        </w:rPr>
        <w:t>中小企业声明函（如有）</w:t>
      </w:r>
    </w:p>
    <w:p>
      <w:pPr>
        <w:pStyle w:val="38"/>
        <w:spacing w:line="360" w:lineRule="auto"/>
        <w:ind w:left="0" w:leftChars="0" w:firstLine="0" w:firstLineChars="0"/>
        <w:rPr>
          <w:rFonts w:hint="eastAsia"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sz w:val="28"/>
          <w:szCs w:val="28"/>
        </w:rPr>
        <w:t>项目编号：</w:t>
      </w:r>
    </w:p>
    <w:p>
      <w:pPr>
        <w:pStyle w:val="37"/>
        <w:spacing w:line="360" w:lineRule="auto"/>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本公司郑重声明，根据《政府采购促进中小企业发展暂行办法》（财库[2011]181号）的规定，本公司为______（请填写：中型、小型、微型）企业。即，本公司同时满足以下条件：</w:t>
      </w:r>
    </w:p>
    <w:p>
      <w:pPr>
        <w:pStyle w:val="37"/>
        <w:spacing w:line="360" w:lineRule="auto"/>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1.根据《工业和信息化部、国家统计局、国家发展和改革委员会、财政部关于印发中小企业划型标准规定的通知》（工信部联企业[2011]300号）规定的划分标准，本公司为______（请填写：中型、小型、微型）企业。</w:t>
      </w:r>
    </w:p>
    <w:p>
      <w:pPr>
        <w:pStyle w:val="37"/>
        <w:spacing w:line="360" w:lineRule="auto"/>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37"/>
        <w:spacing w:line="360" w:lineRule="auto"/>
        <w:ind w:firstLine="58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6"/>
          <w:sz w:val="28"/>
          <w:szCs w:val="28"/>
        </w:rPr>
        <w:t>本公司对上述声明的真实性负责。如有虚假，将依法承担相应责任。</w:t>
      </w:r>
    </w:p>
    <w:p>
      <w:pPr>
        <w:pStyle w:val="37"/>
        <w:spacing w:line="360" w:lineRule="auto"/>
        <w:ind w:firstLine="5880" w:firstLineChars="2100"/>
        <w:rPr>
          <w:rFonts w:hint="eastAsia" w:asciiTheme="minorEastAsia" w:hAnsiTheme="minorEastAsia" w:eastAsiaTheme="minorEastAsia" w:cstheme="minorEastAsia"/>
          <w:sz w:val="28"/>
          <w:szCs w:val="28"/>
        </w:rPr>
      </w:pPr>
    </w:p>
    <w:p>
      <w:pPr>
        <w:pStyle w:val="37"/>
        <w:spacing w:line="360" w:lineRule="auto"/>
        <w:ind w:firstLine="5880" w:firstLineChars="2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供应商名称（加盖公章）：</w:t>
      </w:r>
    </w:p>
    <w:p>
      <w:pPr>
        <w:pStyle w:val="37"/>
        <w:spacing w:line="360" w:lineRule="auto"/>
        <w:ind w:firstLine="7000" w:firstLineChars="25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37"/>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注：如供应商是中小微企业，须提供国家企业信用信息公示系统（http://www.gsxt.gov.cn/index.html）网站中查询的小微企业名录（http://xwqy.gsxt.gov.cn/）网络截图；供应商为代理商的，其代理产品的制造商也必须为小型、微型企业，需同时提供其国家企业信息公示系统（http://www.gsxt.gov.cn/index.html）网络截图。如未附明确的小微企业名录（http://xwqy.gsxt.gov.cn/）网络截图，将不按小型、微型企业处理。如已附网络截图但有虚假，将按无效标处理。如供应商不是中小微企业，以上内容请填写“/”。</w:t>
      </w:r>
    </w:p>
    <w:p>
      <w:pPr>
        <w:spacing w:line="360" w:lineRule="atLeas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br w:type="page"/>
      </w:r>
    </w:p>
    <w:p>
      <w:pPr>
        <w:spacing w:line="560" w:lineRule="exact"/>
        <w:ind w:firstLine="361" w:firstLineChars="100"/>
        <w:jc w:val="center"/>
        <w:rPr>
          <w:rFonts w:hint="eastAsia" w:asciiTheme="minorEastAsia" w:hAnsiTheme="minorEastAsia" w:eastAsiaTheme="minorEastAsia" w:cstheme="minorEastAsia"/>
          <w:b/>
          <w:sz w:val="36"/>
          <w:szCs w:val="36"/>
        </w:rPr>
      </w:pPr>
      <w:bookmarkStart w:id="234" w:name="_Toc15931_WPSOffice_Level1"/>
      <w:bookmarkStart w:id="235" w:name="_Toc10670_WPSOffice_Level1"/>
      <w:r>
        <w:rPr>
          <w:rFonts w:hint="eastAsia" w:asciiTheme="minorEastAsia" w:hAnsiTheme="minorEastAsia" w:eastAsiaTheme="minorEastAsia" w:cstheme="minorEastAsia"/>
          <w:b/>
          <w:sz w:val="36"/>
          <w:szCs w:val="36"/>
        </w:rPr>
        <w:t>企业声明函（如有）</w:t>
      </w:r>
      <w:bookmarkEnd w:id="234"/>
      <w:bookmarkEnd w:id="235"/>
    </w:p>
    <w:p>
      <w:pPr>
        <w:spacing w:line="560" w:lineRule="exact"/>
        <w:ind w:firstLine="330" w:firstLineChars="150"/>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本公司郑重声明，根据《政府采购促进中小企业发展暂行办法》(财库[2011]181号)的规定，本公司为 (请填写：小型、微型)企业。即，本公司同时满足以下条件：</w:t>
      </w:r>
    </w:p>
    <w:p>
      <w:pPr>
        <w:spacing w:line="560" w:lineRule="exact"/>
        <w:ind w:firstLine="330" w:firstLineChars="150"/>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1、根据《工业和信息化部、国家统计局、国家发展和改革委员会、财政部关于印发中小企业划型标准规定的通知》(工信部联企业[2011]300号)规定的划分标准，本公司为(请填写：小型、微型)企业。</w:t>
      </w:r>
    </w:p>
    <w:p>
      <w:pPr>
        <w:spacing w:line="560" w:lineRule="exact"/>
        <w:ind w:firstLine="330" w:firstLineChars="150"/>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2、本公司参加新疆政府采购中心采购编号为的项目政府采购活动提供本企业制造的货物，由本企业承担工程、提供服务，或者提供其他(请填写：小型、微型)企业制造的货物。本条所称货物不包括使用大型企业注册商标的货物。</w:t>
      </w:r>
    </w:p>
    <w:p>
      <w:pPr>
        <w:spacing w:line="560" w:lineRule="exact"/>
        <w:ind w:firstLine="330" w:firstLineChars="150"/>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3、本公司在本次政府采购活动中提供的小微型企业产品报价合计为人民币（大写）圆整（￥：）。</w:t>
      </w:r>
    </w:p>
    <w:p>
      <w:pPr>
        <w:spacing w:line="560" w:lineRule="exact"/>
        <w:ind w:firstLine="330" w:firstLineChars="150"/>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本公司对上述声明的真实性负责。如有虚假，将依法承担相应责任。</w:t>
      </w:r>
    </w:p>
    <w:p>
      <w:pPr>
        <w:spacing w:line="560" w:lineRule="exact"/>
        <w:ind w:firstLine="330" w:firstLineChars="150"/>
        <w:jc w:val="center"/>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企业名称（盖章）：</w:t>
      </w:r>
    </w:p>
    <w:p>
      <w:pPr>
        <w:spacing w:line="560" w:lineRule="exact"/>
        <w:ind w:right="480" w:firstLine="6380" w:firstLineChars="2900"/>
        <w:rPr>
          <w:rFonts w:hint="eastAsia" w:asciiTheme="minorEastAsia" w:hAnsiTheme="minorEastAsia" w:eastAsiaTheme="minorEastAsia" w:cstheme="minorEastAsia"/>
          <w:sz w:val="22"/>
          <w:szCs w:val="21"/>
        </w:rPr>
      </w:pPr>
      <w:r>
        <w:rPr>
          <w:rFonts w:hint="eastAsia" w:asciiTheme="minorEastAsia" w:hAnsiTheme="minorEastAsia" w:eastAsiaTheme="minorEastAsia" w:cstheme="minorEastAsia"/>
          <w:sz w:val="22"/>
          <w:szCs w:val="21"/>
        </w:rPr>
        <w:t>日期：</w:t>
      </w:r>
    </w:p>
    <w:p>
      <w:pPr>
        <w:spacing w:line="560" w:lineRule="exact"/>
        <w:ind w:firstLine="220" w:firstLineChars="100"/>
        <w:rPr>
          <w:rFonts w:hint="eastAsia" w:asciiTheme="minorEastAsia" w:hAnsiTheme="minorEastAsia" w:eastAsiaTheme="minorEastAsia" w:cstheme="minorEastAsia"/>
          <w:sz w:val="22"/>
          <w:szCs w:val="21"/>
        </w:rPr>
      </w:pPr>
    </w:p>
    <w:p>
      <w:pPr>
        <w:pStyle w:val="39"/>
        <w:rPr>
          <w:rFonts w:hint="eastAsia" w:asciiTheme="minorEastAsia" w:hAnsiTheme="minorEastAsia" w:eastAsiaTheme="minorEastAsia" w:cstheme="minorEastAsia"/>
          <w:b/>
          <w:bCs/>
          <w:sz w:val="32"/>
          <w:szCs w:val="20"/>
        </w:rPr>
      </w:pPr>
      <w:r>
        <w:rPr>
          <w:rFonts w:hint="eastAsia" w:asciiTheme="minorEastAsia" w:hAnsiTheme="minorEastAsia" w:eastAsiaTheme="minorEastAsia" w:cstheme="minorEastAsia"/>
          <w:sz w:val="22"/>
          <w:szCs w:val="21"/>
        </w:rPr>
        <w:t>（备注：供应商如不提供此声明函，价格将不做相应扣除）</w:t>
      </w:r>
      <w:r>
        <w:rPr>
          <w:rFonts w:hint="eastAsia" w:asciiTheme="minorEastAsia" w:hAnsiTheme="minorEastAsia" w:eastAsiaTheme="minorEastAsia" w:cstheme="minorEastAsia"/>
          <w:b/>
          <w:bCs/>
          <w:sz w:val="32"/>
          <w:szCs w:val="20"/>
        </w:rPr>
        <w:br w:type="page"/>
      </w:r>
    </w:p>
    <w:p>
      <w:pPr>
        <w:spacing w:line="460" w:lineRule="exact"/>
        <w:ind w:firstLine="643"/>
        <w:jc w:val="center"/>
        <w:rPr>
          <w:rFonts w:hint="eastAsia" w:asciiTheme="minorEastAsia" w:hAnsiTheme="minorEastAsia" w:eastAsiaTheme="minorEastAsia" w:cstheme="minorEastAsia"/>
          <w:b/>
          <w:sz w:val="36"/>
          <w:szCs w:val="36"/>
        </w:rPr>
      </w:pPr>
      <w:bookmarkStart w:id="236" w:name="_Toc13738_WPSOffice_Level1"/>
      <w:bookmarkStart w:id="237" w:name="_Toc14255_WPSOffice_Level1"/>
      <w:r>
        <w:rPr>
          <w:rFonts w:hint="eastAsia" w:asciiTheme="minorEastAsia" w:hAnsiTheme="minorEastAsia" w:eastAsiaTheme="minorEastAsia" w:cstheme="minorEastAsia"/>
          <w:b/>
          <w:sz w:val="36"/>
          <w:szCs w:val="36"/>
        </w:rPr>
        <w:t>残疾人福利性单位声明函（如有）</w:t>
      </w:r>
      <w:bookmarkEnd w:id="236"/>
      <w:bookmarkEnd w:id="237"/>
    </w:p>
    <w:p>
      <w:pPr>
        <w:spacing w:line="588" w:lineRule="exact"/>
        <w:ind w:firstLine="624"/>
        <w:rPr>
          <w:rFonts w:hint="eastAsia" w:asciiTheme="minorEastAsia" w:hAnsiTheme="minorEastAsia" w:eastAsiaTheme="minorEastAsia" w:cstheme="minorEastAsia"/>
          <w:spacing w:val="6"/>
          <w:sz w:val="32"/>
          <w:szCs w:val="32"/>
        </w:rPr>
      </w:pPr>
    </w:p>
    <w:p>
      <w:pPr>
        <w:spacing w:line="588"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pPr>
        <w:spacing w:line="588"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本单位在本次政府采购活动中提供的残疾人福利单位产品报价合计为人民币（大写）圆整（￥：     ）。</w:t>
      </w:r>
    </w:p>
    <w:p>
      <w:pPr>
        <w:spacing w:line="588"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本单位对上述声明的真实性负责。如有虚假，将依法承担相应责任。</w:t>
      </w:r>
    </w:p>
    <w:p>
      <w:pPr>
        <w:spacing w:line="588" w:lineRule="exact"/>
        <w:ind w:firstLine="480"/>
        <w:rPr>
          <w:rFonts w:hint="eastAsia" w:asciiTheme="minorEastAsia" w:hAnsiTheme="minorEastAsia" w:eastAsiaTheme="minorEastAsia" w:cstheme="minorEastAsia"/>
          <w:sz w:val="28"/>
          <w:szCs w:val="28"/>
        </w:rPr>
      </w:pPr>
    </w:p>
    <w:p>
      <w:pPr>
        <w:spacing w:line="588"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（备注：1、供应商如不提供此声明函，价格将不做相应扣除。2、成交供应商为残疾人福利单位的，此声明函将随成交结果同时公告，接受社会监督）</w:t>
      </w:r>
    </w:p>
    <w:p>
      <w:pPr>
        <w:spacing w:line="588" w:lineRule="exact"/>
        <w:ind w:firstLine="624"/>
        <w:rPr>
          <w:rFonts w:hint="eastAsia" w:asciiTheme="minorEastAsia" w:hAnsiTheme="minorEastAsia" w:eastAsiaTheme="minorEastAsia" w:cstheme="minorEastAsia"/>
          <w:spacing w:val="6"/>
          <w:sz w:val="28"/>
          <w:szCs w:val="28"/>
        </w:rPr>
      </w:pPr>
    </w:p>
    <w:p>
      <w:pPr>
        <w:tabs>
          <w:tab w:val="left" w:pos="4860"/>
        </w:tabs>
        <w:spacing w:line="588" w:lineRule="exact"/>
        <w:ind w:right="1560" w:firstLine="624"/>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供应商全称（盖章）：</w:t>
      </w:r>
    </w:p>
    <w:p>
      <w:pPr>
        <w:tabs>
          <w:tab w:val="left" w:pos="4860"/>
        </w:tabs>
        <w:spacing w:line="588" w:lineRule="exact"/>
        <w:ind w:right="1560" w:firstLine="48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日  期：</w:t>
      </w:r>
    </w:p>
    <w:p>
      <w:pPr>
        <w:pStyle w:val="39"/>
        <w:ind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pStyle w:val="39"/>
        <w:ind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监狱企业证明文件（如有）</w:t>
      </w:r>
    </w:p>
    <w:p>
      <w:pPr>
        <w:pStyle w:val="39"/>
        <w:spacing w:line="960" w:lineRule="exact"/>
        <w:ind w:firstLine="560" w:firstLineChars="2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以省级以上监狱管理局、戒毒管理局（含新疆生产建设兵团）出具的属于监狱企业的证明文件为准。</w:t>
      </w:r>
      <w:r>
        <w:rPr>
          <w:rFonts w:hint="eastAsia" w:asciiTheme="minorEastAsia" w:hAnsiTheme="minorEastAsia" w:eastAsiaTheme="minorEastAsia" w:cstheme="minorEastAsia"/>
          <w:b/>
          <w:bCs/>
          <w:sz w:val="28"/>
          <w:szCs w:val="28"/>
        </w:rPr>
        <w:br w:type="page"/>
      </w:r>
    </w:p>
    <w:p>
      <w:pPr>
        <w:spacing w:line="360" w:lineRule="atLeast"/>
        <w:rPr>
          <w:rFonts w:hint="eastAsia" w:asciiTheme="minorEastAsia" w:hAnsiTheme="minorEastAsia" w:eastAsiaTheme="minorEastAsia" w:cstheme="minorEastAsia"/>
          <w:b/>
          <w:sz w:val="28"/>
          <w:szCs w:val="28"/>
        </w:rPr>
      </w:pPr>
    </w:p>
    <w:p>
      <w:pPr>
        <w:spacing w:line="360" w:lineRule="atLeast"/>
        <w:jc w:val="center"/>
        <w:rPr>
          <w:rFonts w:hint="eastAsia" w:asciiTheme="minorEastAsia" w:hAnsiTheme="minorEastAsia" w:eastAsiaTheme="minorEastAsia" w:cstheme="minorEastAsia"/>
          <w:b/>
          <w:sz w:val="32"/>
          <w:szCs w:val="32"/>
          <w:lang w:eastAsia="en-US"/>
        </w:rPr>
      </w:pPr>
      <w:r>
        <w:rPr>
          <w:rFonts w:hint="eastAsia" w:asciiTheme="minorEastAsia" w:hAnsiTheme="minorEastAsia" w:eastAsiaTheme="minorEastAsia" w:cstheme="minorEastAsia"/>
          <w:b/>
          <w:sz w:val="32"/>
          <w:szCs w:val="32"/>
          <w:lang w:eastAsia="en-US"/>
        </w:rPr>
        <w:t>信用查询记录</w:t>
      </w:r>
    </w:p>
    <w:p>
      <w:pPr>
        <w:spacing w:line="360" w:lineRule="atLeast"/>
        <w:ind w:firstLine="281" w:firstLine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en-US"/>
        </w:rPr>
        <w:t>查询渠道为：“信用中国（www.creditchina.gov.cn ）”网站及“中国政府采购网（www.ccgp.gov.cn）”。</w:t>
      </w:r>
      <w:r>
        <w:rPr>
          <w:rFonts w:hint="eastAsia" w:asciiTheme="minorEastAsia" w:hAnsiTheme="minorEastAsia" w:eastAsiaTheme="minorEastAsia" w:cstheme="minorEastAsia"/>
          <w:b/>
          <w:sz w:val="28"/>
          <w:szCs w:val="28"/>
        </w:rPr>
        <w:t>自公告发布之日起至响应文件递交截止时间止（该时间段内任一时间）。</w:t>
      </w:r>
    </w:p>
    <w:p>
      <w:pPr>
        <w:spacing w:line="360" w:lineRule="atLeas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此处投标单位须附：上述网站查询截图，截图内容必须清晰可辨。</w:t>
      </w:r>
    </w:p>
    <w:p>
      <w:pPr>
        <w:spacing w:line="360" w:lineRule="atLeas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(信用查询最终以开标当日评审现场信用查询的结果为准)</w:t>
      </w:r>
    </w:p>
    <w:p>
      <w:pPr>
        <w:spacing w:line="360" w:lineRule="atLeast"/>
        <w:rPr>
          <w:rFonts w:hint="eastAsia" w:asciiTheme="minorEastAsia" w:hAnsiTheme="minorEastAsia" w:eastAsiaTheme="minorEastAsia" w:cstheme="minorEastAsia"/>
          <w:b/>
          <w:sz w:val="28"/>
          <w:szCs w:val="28"/>
        </w:rPr>
      </w:pPr>
    </w:p>
    <w:p>
      <w:pPr>
        <w:pStyle w:val="5"/>
        <w:spacing w:before="24" w:after="24"/>
        <w:ind w:left="1"/>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bookmarkEnd w:id="231"/>
    <w:p>
      <w:pPr>
        <w:shd w:val="clear" w:color="auto" w:fill="FFFFFF"/>
        <w:spacing w:line="360" w:lineRule="auto"/>
        <w:jc w:val="center"/>
        <w:rPr>
          <w:rFonts w:hint="eastAsia" w:asciiTheme="minorEastAsia" w:hAnsiTheme="minorEastAsia" w:eastAsiaTheme="minorEastAsia" w:cstheme="minorEastAsia"/>
          <w:b/>
          <w:sz w:val="22"/>
          <w:szCs w:val="22"/>
        </w:rPr>
      </w:pPr>
      <w:bookmarkStart w:id="238" w:name="_Toc8020_WPSOffice_Level1"/>
      <w:bookmarkStart w:id="239" w:name="_Toc14635_WPSOffice_Level1"/>
      <w:r>
        <w:rPr>
          <w:rFonts w:hint="eastAsia" w:asciiTheme="minorEastAsia" w:hAnsiTheme="minorEastAsia" w:eastAsiaTheme="minorEastAsia" w:cstheme="minorEastAsia"/>
          <w:b/>
          <w:sz w:val="22"/>
          <w:szCs w:val="22"/>
          <w:lang w:eastAsia="zh-CN"/>
        </w:rPr>
        <w:t>售后</w:t>
      </w:r>
      <w:r>
        <w:rPr>
          <w:rFonts w:hint="eastAsia" w:asciiTheme="minorEastAsia" w:hAnsiTheme="minorEastAsia" w:eastAsiaTheme="minorEastAsia" w:cstheme="minorEastAsia"/>
          <w:b/>
          <w:sz w:val="22"/>
          <w:szCs w:val="22"/>
        </w:rPr>
        <w:t>服务</w:t>
      </w:r>
      <w:r>
        <w:rPr>
          <w:rFonts w:hint="eastAsia" w:asciiTheme="minorEastAsia" w:hAnsiTheme="minorEastAsia" w:eastAsiaTheme="minorEastAsia" w:cstheme="minorEastAsia"/>
          <w:b/>
          <w:sz w:val="22"/>
          <w:szCs w:val="22"/>
          <w:lang w:eastAsia="zh-CN"/>
        </w:rPr>
        <w:t>人员</w:t>
      </w:r>
      <w:r>
        <w:rPr>
          <w:rFonts w:hint="eastAsia" w:asciiTheme="minorEastAsia" w:hAnsiTheme="minorEastAsia" w:eastAsiaTheme="minorEastAsia" w:cstheme="minorEastAsia"/>
          <w:b/>
          <w:sz w:val="22"/>
          <w:szCs w:val="22"/>
        </w:rPr>
        <w:t>表</w:t>
      </w:r>
      <w:bookmarkEnd w:id="238"/>
      <w:bookmarkEnd w:id="239"/>
    </w:p>
    <w:p>
      <w:pPr>
        <w:shd w:val="clear" w:color="auto" w:fill="FFFFFF"/>
        <w:spacing w:line="360" w:lineRule="auto"/>
        <w:ind w:firstLine="220" w:firstLineChars="1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项目名称：</w:t>
      </w:r>
    </w:p>
    <w:tbl>
      <w:tblPr>
        <w:tblStyle w:val="19"/>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364"/>
        <w:gridCol w:w="1706"/>
        <w:gridCol w:w="1178"/>
        <w:gridCol w:w="1264"/>
        <w:gridCol w:w="1251"/>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2" w:type="dxa"/>
            <w:vMerge w:val="restart"/>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序号</w:t>
            </w:r>
          </w:p>
        </w:tc>
        <w:tc>
          <w:tcPr>
            <w:tcW w:w="1364" w:type="dxa"/>
            <w:vMerge w:val="restart"/>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服务阶段</w:t>
            </w:r>
          </w:p>
        </w:tc>
        <w:tc>
          <w:tcPr>
            <w:tcW w:w="1706" w:type="dxa"/>
            <w:vMerge w:val="restart"/>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服务内容</w:t>
            </w:r>
          </w:p>
        </w:tc>
        <w:tc>
          <w:tcPr>
            <w:tcW w:w="1178" w:type="dxa"/>
            <w:vMerge w:val="restart"/>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计划人数</w:t>
            </w:r>
          </w:p>
        </w:tc>
        <w:tc>
          <w:tcPr>
            <w:tcW w:w="2515" w:type="dxa"/>
            <w:gridSpan w:val="2"/>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派出人员构成</w:t>
            </w:r>
          </w:p>
        </w:tc>
        <w:tc>
          <w:tcPr>
            <w:tcW w:w="1638" w:type="dxa"/>
            <w:vMerge w:val="restart"/>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02" w:type="dxa"/>
            <w:vMerge w:val="continue"/>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rPr>
            </w:pPr>
          </w:p>
        </w:tc>
        <w:tc>
          <w:tcPr>
            <w:tcW w:w="1364" w:type="dxa"/>
            <w:vMerge w:val="continue"/>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rPr>
            </w:pPr>
          </w:p>
        </w:tc>
        <w:tc>
          <w:tcPr>
            <w:tcW w:w="1706" w:type="dxa"/>
            <w:vMerge w:val="continue"/>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rPr>
            </w:pPr>
          </w:p>
        </w:tc>
        <w:tc>
          <w:tcPr>
            <w:tcW w:w="1178" w:type="dxa"/>
            <w:vMerge w:val="continue"/>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rPr>
            </w:pPr>
          </w:p>
        </w:tc>
        <w:tc>
          <w:tcPr>
            <w:tcW w:w="1264"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专业</w:t>
            </w:r>
          </w:p>
        </w:tc>
        <w:tc>
          <w:tcPr>
            <w:tcW w:w="1251"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人数</w:t>
            </w:r>
          </w:p>
        </w:tc>
        <w:tc>
          <w:tcPr>
            <w:tcW w:w="1638" w:type="dxa"/>
            <w:vMerge w:val="continue"/>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02"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364"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706"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178"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264"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251"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638"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02"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364"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706"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178"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264"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251"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638"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02"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364"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706"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178"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264"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251"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638"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02"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364"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706"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178"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264"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251"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638"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02"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364"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706"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178"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264"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251"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638"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02"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364"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706"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178"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264"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251"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c>
          <w:tcPr>
            <w:tcW w:w="1638" w:type="dxa"/>
            <w:noWrap/>
            <w:vAlign w:val="center"/>
          </w:tcPr>
          <w:p>
            <w:pPr>
              <w:shd w:val="clear" w:color="auto" w:fill="FFFFFF"/>
              <w:adjustRightInd w:val="0"/>
              <w:snapToGrid w:val="0"/>
              <w:spacing w:line="360" w:lineRule="auto"/>
              <w:jc w:val="center"/>
              <w:rPr>
                <w:rFonts w:hint="eastAsia" w:asciiTheme="minorEastAsia" w:hAnsiTheme="minorEastAsia" w:eastAsiaTheme="minorEastAsia" w:cstheme="minorEastAsia"/>
                <w:sz w:val="22"/>
                <w:szCs w:val="22"/>
                <w:shd w:val="pct10" w:color="auto" w:fill="FFFFFF"/>
              </w:rPr>
            </w:pPr>
          </w:p>
        </w:tc>
      </w:tr>
    </w:tbl>
    <w:p>
      <w:pPr>
        <w:pStyle w:val="28"/>
        <w:shd w:val="clear" w:color="auto" w:fill="FFFFFF"/>
        <w:snapToGrid w:val="0"/>
        <w:spacing w:line="360" w:lineRule="auto"/>
        <w:rPr>
          <w:rFonts w:hint="eastAsia" w:asciiTheme="minorEastAsia" w:hAnsiTheme="minorEastAsia" w:eastAsiaTheme="minorEastAsia" w:cstheme="minorEastAsia"/>
          <w:color w:val="auto"/>
          <w:sz w:val="22"/>
          <w:szCs w:val="22"/>
        </w:rPr>
      </w:pPr>
    </w:p>
    <w:p>
      <w:pPr>
        <w:pStyle w:val="28"/>
        <w:shd w:val="clear" w:color="auto" w:fill="FFFFFF"/>
        <w:snapToGrid w:val="0"/>
        <w:spacing w:line="360" w:lineRule="auto"/>
        <w:rPr>
          <w:rFonts w:hint="eastAsia" w:asciiTheme="minorEastAsia" w:hAnsiTheme="minorEastAsia" w:eastAsiaTheme="minorEastAsia" w:cstheme="minorEastAsia"/>
          <w:color w:val="auto"/>
          <w:sz w:val="22"/>
          <w:szCs w:val="22"/>
        </w:rPr>
      </w:pPr>
    </w:p>
    <w:p>
      <w:pPr>
        <w:pStyle w:val="28"/>
        <w:shd w:val="clear" w:color="auto" w:fill="FFFFFF"/>
        <w:snapToGrid w:val="0"/>
        <w:spacing w:line="360" w:lineRule="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投标单位：（盖公章）</w:t>
      </w:r>
    </w:p>
    <w:p>
      <w:pPr>
        <w:pStyle w:val="28"/>
        <w:shd w:val="clear" w:color="auto" w:fill="FFFFFF"/>
        <w:snapToGrid w:val="0"/>
        <w:spacing w:line="360" w:lineRule="auto"/>
        <w:rPr>
          <w:rFonts w:hint="eastAsia" w:asciiTheme="minorEastAsia" w:hAnsiTheme="minorEastAsia" w:eastAsiaTheme="minorEastAsia" w:cstheme="minorEastAsia"/>
          <w:color w:val="auto"/>
          <w:sz w:val="22"/>
          <w:szCs w:val="22"/>
        </w:rPr>
      </w:pPr>
    </w:p>
    <w:p>
      <w:pPr>
        <w:shd w:val="clear" w:color="auto" w:fill="FFFFFF"/>
        <w:adjustRightInd w:val="0"/>
        <w:snapToGrid w:val="0"/>
        <w:spacing w:line="360" w:lineRule="auto"/>
        <w:ind w:right="48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法定代表人或委托代理人：（盖章或签字）   </w:t>
      </w:r>
    </w:p>
    <w:p>
      <w:pPr>
        <w:shd w:val="clear" w:color="auto" w:fill="FFFFFF"/>
        <w:spacing w:line="360" w:lineRule="auto"/>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sz w:val="22"/>
          <w:szCs w:val="22"/>
        </w:rPr>
        <w:t>日期： 年   月   日</w:t>
      </w:r>
    </w:p>
    <w:p>
      <w:pPr>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br w:type="page"/>
      </w:r>
    </w:p>
    <w:p>
      <w:pPr>
        <w:shd w:val="clear" w:color="auto" w:fill="FFFFFF"/>
        <w:spacing w:line="360" w:lineRule="auto"/>
        <w:jc w:val="center"/>
        <w:rPr>
          <w:rFonts w:hint="eastAsia" w:asciiTheme="minorEastAsia" w:hAnsiTheme="minorEastAsia" w:eastAsiaTheme="minorEastAsia" w:cstheme="minorEastAsia"/>
          <w:sz w:val="22"/>
          <w:szCs w:val="22"/>
        </w:rPr>
      </w:pPr>
      <w:bookmarkStart w:id="240" w:name="_Toc1951_WPSOffice_Level1"/>
      <w:bookmarkStart w:id="241" w:name="_Toc27306_WPSOffice_Level1"/>
      <w:r>
        <w:rPr>
          <w:rFonts w:hint="eastAsia" w:asciiTheme="minorEastAsia" w:hAnsiTheme="minorEastAsia" w:eastAsiaTheme="minorEastAsia" w:cstheme="minorEastAsia"/>
          <w:b/>
          <w:bCs/>
          <w:sz w:val="22"/>
          <w:szCs w:val="22"/>
          <w:lang w:eastAsia="zh-CN"/>
        </w:rPr>
        <w:t>培训</w:t>
      </w:r>
      <w:r>
        <w:rPr>
          <w:rFonts w:hint="eastAsia" w:asciiTheme="minorEastAsia" w:hAnsiTheme="minorEastAsia" w:eastAsiaTheme="minorEastAsia" w:cstheme="minorEastAsia"/>
          <w:b/>
          <w:bCs/>
          <w:sz w:val="22"/>
          <w:szCs w:val="22"/>
        </w:rPr>
        <w:t>人员一览表</w:t>
      </w:r>
      <w:bookmarkEnd w:id="240"/>
      <w:bookmarkEnd w:id="241"/>
    </w:p>
    <w:tbl>
      <w:tblPr>
        <w:tblStyle w:val="1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166"/>
        <w:gridCol w:w="1060"/>
        <w:gridCol w:w="1166"/>
        <w:gridCol w:w="4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14"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岗  位</w:t>
            </w:r>
          </w:p>
        </w:tc>
        <w:tc>
          <w:tcPr>
            <w:tcW w:w="1166"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职 务</w:t>
            </w:r>
          </w:p>
        </w:tc>
        <w:tc>
          <w:tcPr>
            <w:tcW w:w="1060"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姓 名</w:t>
            </w:r>
          </w:p>
        </w:tc>
        <w:tc>
          <w:tcPr>
            <w:tcW w:w="1166"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职 称</w:t>
            </w:r>
          </w:p>
        </w:tc>
        <w:tc>
          <w:tcPr>
            <w:tcW w:w="4092"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承担在建项目情况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14"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kern w:val="0"/>
                <w:sz w:val="22"/>
                <w:szCs w:val="22"/>
              </w:rPr>
              <w:t>项目负责人</w:t>
            </w:r>
          </w:p>
        </w:tc>
        <w:tc>
          <w:tcPr>
            <w:tcW w:w="1166"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c>
          <w:tcPr>
            <w:tcW w:w="1060"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c>
          <w:tcPr>
            <w:tcW w:w="1166"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c>
          <w:tcPr>
            <w:tcW w:w="4092"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14"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rPr>
              <w:t>技术负责人</w:t>
            </w:r>
          </w:p>
        </w:tc>
        <w:tc>
          <w:tcPr>
            <w:tcW w:w="1166"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c>
          <w:tcPr>
            <w:tcW w:w="1060"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c>
          <w:tcPr>
            <w:tcW w:w="1166"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c>
          <w:tcPr>
            <w:tcW w:w="4092"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014" w:type="dxa"/>
            <w:noWrap/>
            <w:vAlign w:val="center"/>
          </w:tcPr>
          <w:p>
            <w:pPr>
              <w:shd w:val="clear" w:color="auto" w:fill="FFFFFF"/>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质量负责人</w:t>
            </w:r>
          </w:p>
        </w:tc>
        <w:tc>
          <w:tcPr>
            <w:tcW w:w="1166"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c>
          <w:tcPr>
            <w:tcW w:w="1060"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c>
          <w:tcPr>
            <w:tcW w:w="1166"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c>
          <w:tcPr>
            <w:tcW w:w="4092"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014" w:type="dxa"/>
            <w:noWrap/>
            <w:vAlign w:val="center"/>
          </w:tcPr>
          <w:p>
            <w:pPr>
              <w:shd w:val="clear" w:color="auto" w:fill="FFFFFF"/>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材料负责人</w:t>
            </w:r>
          </w:p>
        </w:tc>
        <w:tc>
          <w:tcPr>
            <w:tcW w:w="1166"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c>
          <w:tcPr>
            <w:tcW w:w="1060"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c>
          <w:tcPr>
            <w:tcW w:w="1166"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c>
          <w:tcPr>
            <w:tcW w:w="4092" w:type="dxa"/>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014" w:type="dxa"/>
            <w:tcBorders>
              <w:bottom w:val="single" w:color="auto" w:sz="4" w:space="0"/>
            </w:tcBorders>
            <w:noWrap/>
            <w:vAlign w:val="center"/>
          </w:tcPr>
          <w:p>
            <w:pPr>
              <w:shd w:val="clear" w:color="auto" w:fill="FFFFFF"/>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w:t>
            </w:r>
          </w:p>
        </w:tc>
        <w:tc>
          <w:tcPr>
            <w:tcW w:w="1166" w:type="dxa"/>
            <w:tcBorders>
              <w:bottom w:val="single" w:color="auto" w:sz="4" w:space="0"/>
            </w:tcBorders>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c>
          <w:tcPr>
            <w:tcW w:w="1060" w:type="dxa"/>
            <w:tcBorders>
              <w:bottom w:val="single" w:color="auto" w:sz="4" w:space="0"/>
            </w:tcBorders>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c>
          <w:tcPr>
            <w:tcW w:w="1166" w:type="dxa"/>
            <w:tcBorders>
              <w:bottom w:val="single" w:color="auto" w:sz="4" w:space="0"/>
            </w:tcBorders>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c>
          <w:tcPr>
            <w:tcW w:w="4092" w:type="dxa"/>
            <w:tcBorders>
              <w:bottom w:val="single" w:color="auto" w:sz="4" w:space="0"/>
            </w:tcBorders>
            <w:noWrap/>
            <w:vAlign w:val="center"/>
          </w:tcPr>
          <w:p>
            <w:pPr>
              <w:shd w:val="clear" w:color="auto" w:fill="FFFFFF"/>
              <w:spacing w:line="360" w:lineRule="auto"/>
              <w:jc w:val="center"/>
              <w:rPr>
                <w:rFonts w:hint="eastAsia" w:asciiTheme="minorEastAsia" w:hAnsiTheme="minorEastAsia" w:eastAsiaTheme="minorEastAsia" w:cstheme="minorEastAsia"/>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014" w:type="dxa"/>
            <w:noWrap/>
            <w:vAlign w:val="center"/>
          </w:tcPr>
          <w:p>
            <w:pPr>
              <w:shd w:val="clear" w:color="auto" w:fill="FFFFFF"/>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w:t>
            </w:r>
          </w:p>
        </w:tc>
        <w:tc>
          <w:tcPr>
            <w:tcW w:w="1166" w:type="dxa"/>
            <w:noWrap/>
          </w:tcPr>
          <w:p>
            <w:pPr>
              <w:shd w:val="clear" w:color="auto" w:fill="FFFFFF"/>
              <w:spacing w:line="360" w:lineRule="auto"/>
              <w:rPr>
                <w:rFonts w:hint="eastAsia" w:asciiTheme="minorEastAsia" w:hAnsiTheme="minorEastAsia" w:eastAsiaTheme="minorEastAsia" w:cstheme="minorEastAsia"/>
                <w:sz w:val="22"/>
                <w:szCs w:val="22"/>
              </w:rPr>
            </w:pPr>
          </w:p>
        </w:tc>
        <w:tc>
          <w:tcPr>
            <w:tcW w:w="1060" w:type="dxa"/>
            <w:noWrap/>
          </w:tcPr>
          <w:p>
            <w:pPr>
              <w:shd w:val="clear" w:color="auto" w:fill="FFFFFF"/>
              <w:spacing w:line="360" w:lineRule="auto"/>
              <w:rPr>
                <w:rFonts w:hint="eastAsia" w:asciiTheme="minorEastAsia" w:hAnsiTheme="minorEastAsia" w:eastAsiaTheme="minorEastAsia" w:cstheme="minorEastAsia"/>
                <w:sz w:val="22"/>
                <w:szCs w:val="22"/>
              </w:rPr>
            </w:pPr>
          </w:p>
        </w:tc>
        <w:tc>
          <w:tcPr>
            <w:tcW w:w="1166" w:type="dxa"/>
            <w:noWrap/>
          </w:tcPr>
          <w:p>
            <w:pPr>
              <w:shd w:val="clear" w:color="auto" w:fill="FFFFFF"/>
              <w:spacing w:line="360" w:lineRule="auto"/>
              <w:rPr>
                <w:rFonts w:hint="eastAsia" w:asciiTheme="minorEastAsia" w:hAnsiTheme="minorEastAsia" w:eastAsiaTheme="minorEastAsia" w:cstheme="minorEastAsia"/>
                <w:sz w:val="22"/>
                <w:szCs w:val="22"/>
              </w:rPr>
            </w:pPr>
          </w:p>
        </w:tc>
        <w:tc>
          <w:tcPr>
            <w:tcW w:w="4092" w:type="dxa"/>
            <w:noWrap/>
          </w:tcPr>
          <w:p>
            <w:pPr>
              <w:shd w:val="clear" w:color="auto" w:fill="FFFFFF"/>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014" w:type="dxa"/>
            <w:noWrap/>
          </w:tcPr>
          <w:p>
            <w:pPr>
              <w:shd w:val="clear" w:color="auto" w:fill="FFFFFF"/>
              <w:spacing w:line="360" w:lineRule="auto"/>
              <w:rPr>
                <w:rFonts w:hint="eastAsia" w:asciiTheme="minorEastAsia" w:hAnsiTheme="minorEastAsia" w:eastAsiaTheme="minorEastAsia" w:cstheme="minorEastAsia"/>
                <w:sz w:val="22"/>
                <w:szCs w:val="22"/>
              </w:rPr>
            </w:pPr>
          </w:p>
        </w:tc>
        <w:tc>
          <w:tcPr>
            <w:tcW w:w="1166" w:type="dxa"/>
            <w:noWrap/>
          </w:tcPr>
          <w:p>
            <w:pPr>
              <w:shd w:val="clear" w:color="auto" w:fill="FFFFFF"/>
              <w:spacing w:line="360" w:lineRule="auto"/>
              <w:rPr>
                <w:rFonts w:hint="eastAsia" w:asciiTheme="minorEastAsia" w:hAnsiTheme="minorEastAsia" w:eastAsiaTheme="minorEastAsia" w:cstheme="minorEastAsia"/>
                <w:sz w:val="22"/>
                <w:szCs w:val="22"/>
              </w:rPr>
            </w:pPr>
          </w:p>
        </w:tc>
        <w:tc>
          <w:tcPr>
            <w:tcW w:w="1060" w:type="dxa"/>
            <w:noWrap/>
          </w:tcPr>
          <w:p>
            <w:pPr>
              <w:shd w:val="clear" w:color="auto" w:fill="FFFFFF"/>
              <w:spacing w:line="360" w:lineRule="auto"/>
              <w:rPr>
                <w:rFonts w:hint="eastAsia" w:asciiTheme="minorEastAsia" w:hAnsiTheme="minorEastAsia" w:eastAsiaTheme="minorEastAsia" w:cstheme="minorEastAsia"/>
                <w:sz w:val="22"/>
                <w:szCs w:val="22"/>
              </w:rPr>
            </w:pPr>
          </w:p>
        </w:tc>
        <w:tc>
          <w:tcPr>
            <w:tcW w:w="1166" w:type="dxa"/>
            <w:noWrap/>
          </w:tcPr>
          <w:p>
            <w:pPr>
              <w:shd w:val="clear" w:color="auto" w:fill="FFFFFF"/>
              <w:spacing w:line="360" w:lineRule="auto"/>
              <w:rPr>
                <w:rFonts w:hint="eastAsia" w:asciiTheme="minorEastAsia" w:hAnsiTheme="minorEastAsia" w:eastAsiaTheme="minorEastAsia" w:cstheme="minorEastAsia"/>
                <w:sz w:val="22"/>
                <w:szCs w:val="22"/>
              </w:rPr>
            </w:pPr>
          </w:p>
        </w:tc>
        <w:tc>
          <w:tcPr>
            <w:tcW w:w="4092" w:type="dxa"/>
            <w:noWrap/>
          </w:tcPr>
          <w:p>
            <w:pPr>
              <w:shd w:val="clear" w:color="auto" w:fill="FFFFFF"/>
              <w:spacing w:line="360" w:lineRule="auto"/>
              <w:rPr>
                <w:rFonts w:hint="eastAsia" w:asciiTheme="minorEastAsia" w:hAnsiTheme="minorEastAsia" w:eastAsiaTheme="minorEastAsia" w:cstheme="minorEastAsia"/>
                <w:sz w:val="22"/>
                <w:szCs w:val="22"/>
              </w:rPr>
            </w:pPr>
          </w:p>
        </w:tc>
      </w:tr>
    </w:tbl>
    <w:p>
      <w:pPr>
        <w:shd w:val="clear" w:color="auto" w:fill="FFFFFF"/>
        <w:spacing w:line="360" w:lineRule="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备注：1、项目现场管理班子人员应包括：上述人员或项目负责人认为需要配备的其他关键人员。</w:t>
      </w:r>
    </w:p>
    <w:p>
      <w:pPr>
        <w:shd w:val="clear" w:color="auto" w:fill="FFFFFF"/>
        <w:spacing w:line="360" w:lineRule="auto"/>
        <w:ind w:firstLine="660" w:firstLineChars="300"/>
        <w:rPr>
          <w:rFonts w:hint="eastAsia" w:asciiTheme="minorEastAsia" w:hAnsiTheme="minorEastAsia" w:eastAsiaTheme="minorEastAsia" w:cstheme="minorEastAsia"/>
          <w:kern w:val="0"/>
          <w:sz w:val="22"/>
          <w:szCs w:val="22"/>
        </w:rPr>
      </w:pPr>
      <w:bookmarkStart w:id="242" w:name="_Toc13439_WPSOffice_Level1"/>
      <w:bookmarkStart w:id="243" w:name="_Toc30170_WPSOffice_Level1"/>
      <w:r>
        <w:rPr>
          <w:rFonts w:hint="eastAsia" w:asciiTheme="minorEastAsia" w:hAnsiTheme="minorEastAsia" w:eastAsiaTheme="minorEastAsia" w:cstheme="minorEastAsia"/>
          <w:kern w:val="0"/>
          <w:sz w:val="22"/>
          <w:szCs w:val="22"/>
        </w:rPr>
        <w:t>2、项目现场管理班子人员应附职称证书或上岗证书复印件（如有）</w:t>
      </w:r>
      <w:bookmarkEnd w:id="242"/>
      <w:bookmarkEnd w:id="243"/>
    </w:p>
    <w:p>
      <w:pPr>
        <w:pStyle w:val="13"/>
        <w:shd w:val="clear" w:color="auto" w:fill="FFFFFF"/>
        <w:rPr>
          <w:rFonts w:hint="eastAsia" w:asciiTheme="minorEastAsia" w:hAnsiTheme="minorEastAsia" w:eastAsiaTheme="minorEastAsia" w:cstheme="minorEastAsia"/>
          <w:sz w:val="22"/>
          <w:szCs w:val="22"/>
        </w:rPr>
      </w:pPr>
    </w:p>
    <w:p>
      <w:pPr>
        <w:pStyle w:val="13"/>
        <w:shd w:val="clear" w:color="auto" w:fill="FFFFFF"/>
        <w:ind w:firstLine="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sz w:val="22"/>
          <w:szCs w:val="22"/>
        </w:rPr>
        <w:t>本项目一旦我单位中标，将由上述人员组建为项目管理班子。我单位承诺如填报内容真实，如不真实，将按照有关规定接受处理。</w:t>
      </w:r>
    </w:p>
    <w:p>
      <w:pPr>
        <w:shd w:val="clear" w:color="auto" w:fill="FFFFFF"/>
        <w:spacing w:line="360" w:lineRule="auto"/>
        <w:ind w:firstLine="663" w:firstLineChars="300"/>
        <w:rPr>
          <w:rFonts w:hint="eastAsia" w:asciiTheme="minorEastAsia" w:hAnsiTheme="minorEastAsia" w:eastAsiaTheme="minorEastAsia" w:cstheme="minorEastAsia"/>
          <w:b/>
          <w:bCs/>
          <w:sz w:val="22"/>
          <w:szCs w:val="22"/>
        </w:rPr>
      </w:pPr>
    </w:p>
    <w:p>
      <w:pPr>
        <w:shd w:val="clear" w:color="auto" w:fill="FFFFFF"/>
        <w:spacing w:line="360" w:lineRule="auto"/>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投标单位：（盖公章）            法定代表人或委托代理人（签字或盖章）：</w:t>
      </w:r>
    </w:p>
    <w:p>
      <w:pPr>
        <w:shd w:val="clear" w:color="auto" w:fill="FFFFFF"/>
        <w:spacing w:line="360" w:lineRule="auto"/>
        <w:jc w:val="lef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Cs/>
          <w:sz w:val="22"/>
          <w:szCs w:val="22"/>
        </w:rPr>
        <w:t>日期： 年  月  日</w:t>
      </w:r>
    </w:p>
    <w:p>
      <w:pPr>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br w:type="page"/>
      </w:r>
    </w:p>
    <w:p>
      <w:pPr>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技术参数、功能偏离表</w:t>
      </w:r>
    </w:p>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投标人名称（公章）：         　　　　　  项目编号：　　　　　　　　　　　</w:t>
      </w:r>
    </w:p>
    <w:tbl>
      <w:tblPr>
        <w:tblStyle w:val="19"/>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671"/>
        <w:gridCol w:w="2550"/>
        <w:gridCol w:w="2355"/>
        <w:gridCol w:w="1685"/>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24" w:type="dxa"/>
            <w:vAlign w:val="center"/>
          </w:tcPr>
          <w:p>
            <w:pPr>
              <w:spacing w:line="400" w:lineRule="atLeast"/>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序号</w:t>
            </w:r>
          </w:p>
        </w:tc>
        <w:tc>
          <w:tcPr>
            <w:tcW w:w="1671" w:type="dxa"/>
            <w:vAlign w:val="center"/>
          </w:tcPr>
          <w:p>
            <w:pPr>
              <w:spacing w:line="400" w:lineRule="atLeast"/>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招标文件规格条目号</w:t>
            </w:r>
          </w:p>
        </w:tc>
        <w:tc>
          <w:tcPr>
            <w:tcW w:w="2550" w:type="dxa"/>
            <w:vAlign w:val="center"/>
          </w:tcPr>
          <w:p>
            <w:pPr>
              <w:spacing w:line="400" w:lineRule="atLeast"/>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招标文件要求规格</w:t>
            </w:r>
          </w:p>
        </w:tc>
        <w:tc>
          <w:tcPr>
            <w:tcW w:w="2355" w:type="dxa"/>
            <w:vAlign w:val="center"/>
          </w:tcPr>
          <w:p>
            <w:pPr>
              <w:spacing w:line="400" w:lineRule="atLeast"/>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投标规格</w:t>
            </w:r>
          </w:p>
        </w:tc>
        <w:tc>
          <w:tcPr>
            <w:tcW w:w="1685" w:type="dxa"/>
            <w:vAlign w:val="center"/>
          </w:tcPr>
          <w:p>
            <w:pPr>
              <w:spacing w:line="400" w:lineRule="atLeast"/>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偏离</w:t>
            </w:r>
          </w:p>
        </w:tc>
        <w:tc>
          <w:tcPr>
            <w:tcW w:w="1184" w:type="dxa"/>
            <w:vAlign w:val="center"/>
          </w:tcPr>
          <w:p>
            <w:pPr>
              <w:spacing w:line="400" w:lineRule="atLeast"/>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4"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4"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4"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4"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24"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71"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35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7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355"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7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355"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7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355"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2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67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550"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355"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tc>
        <w:tc>
          <w:tcPr>
            <w:tcW w:w="1685"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184"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bl>
    <w:p>
      <w:pPr>
        <w:spacing w:line="400" w:lineRule="atLeas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注：与招标文件要求逐条对应填写。</w:t>
      </w:r>
    </w:p>
    <w:p>
      <w:pPr>
        <w:spacing w:line="400" w:lineRule="atLeas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投标人代表签字：　　　　　　　　　　　　　　</w:t>
      </w:r>
    </w:p>
    <w:p>
      <w:pPr>
        <w:spacing w:line="400" w:lineRule="atLeast"/>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br w:type="column"/>
      </w:r>
      <w:r>
        <w:rPr>
          <w:rFonts w:hint="eastAsia" w:asciiTheme="minorEastAsia" w:hAnsiTheme="minorEastAsia" w:eastAsiaTheme="minorEastAsia" w:cstheme="minorEastAsia"/>
          <w:kern w:val="2"/>
          <w:sz w:val="22"/>
          <w:szCs w:val="22"/>
          <w:lang w:val="en-US" w:eastAsia="zh-CN" w:bidi="ar-SA"/>
        </w:rPr>
        <w:t>商务条款偏离表</w:t>
      </w:r>
    </w:p>
    <w:p>
      <w:pPr>
        <w:spacing w:line="400" w:lineRule="atLeast"/>
        <w:ind w:firstLine="2640"/>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投标人名称（公章）：         　　　　　  项目编号：　　　　　　　　　　　</w:t>
      </w:r>
    </w:p>
    <w:tbl>
      <w:tblPr>
        <w:tblStyle w:val="19"/>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547"/>
        <w:gridCol w:w="2759"/>
        <w:gridCol w:w="3066"/>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56" w:type="dxa"/>
            <w:vAlign w:val="center"/>
          </w:tcPr>
          <w:p>
            <w:pPr>
              <w:spacing w:line="400" w:lineRule="atLeast"/>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序号</w:t>
            </w:r>
          </w:p>
        </w:tc>
        <w:tc>
          <w:tcPr>
            <w:tcW w:w="1547" w:type="dxa"/>
            <w:vAlign w:val="center"/>
          </w:tcPr>
          <w:p>
            <w:pPr>
              <w:spacing w:line="400" w:lineRule="atLeast"/>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招标文件</w:t>
            </w:r>
          </w:p>
          <w:p>
            <w:pPr>
              <w:spacing w:line="400" w:lineRule="atLeast"/>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条目号</w:t>
            </w:r>
          </w:p>
        </w:tc>
        <w:tc>
          <w:tcPr>
            <w:tcW w:w="2759" w:type="dxa"/>
            <w:vAlign w:val="center"/>
          </w:tcPr>
          <w:p>
            <w:pPr>
              <w:spacing w:line="400" w:lineRule="atLeast"/>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招标文件的商务条款</w:t>
            </w:r>
          </w:p>
        </w:tc>
        <w:tc>
          <w:tcPr>
            <w:tcW w:w="3066" w:type="dxa"/>
            <w:vAlign w:val="center"/>
          </w:tcPr>
          <w:p>
            <w:pPr>
              <w:spacing w:line="400" w:lineRule="atLeast"/>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投标文件的商务条款</w:t>
            </w:r>
          </w:p>
        </w:tc>
        <w:tc>
          <w:tcPr>
            <w:tcW w:w="2141" w:type="dxa"/>
            <w:vAlign w:val="center"/>
          </w:tcPr>
          <w:p>
            <w:pPr>
              <w:spacing w:line="400" w:lineRule="atLeast"/>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tcPr>
          <w:p>
            <w:pPr>
              <w:spacing w:line="400" w:lineRule="atLeas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1547" w:type="dxa"/>
          </w:tcPr>
          <w:p>
            <w:pPr>
              <w:widowControl/>
              <w:spacing w:line="400" w:lineRule="atLeast"/>
              <w:jc w:val="left"/>
              <w:rPr>
                <w:rFonts w:hint="eastAsia" w:asciiTheme="minorEastAsia" w:hAnsiTheme="minorEastAsia" w:eastAsiaTheme="minorEastAsia" w:cstheme="minorEastAsia"/>
                <w:kern w:val="2"/>
                <w:sz w:val="22"/>
                <w:szCs w:val="22"/>
                <w:lang w:val="en-US" w:eastAsia="zh-CN" w:bidi="ar-SA"/>
              </w:rPr>
            </w:pPr>
          </w:p>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759"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3066"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c>
          <w:tcPr>
            <w:tcW w:w="2141" w:type="dxa"/>
          </w:tcPr>
          <w:p>
            <w:pPr>
              <w:spacing w:line="400" w:lineRule="atLeast"/>
              <w:rPr>
                <w:rFonts w:hint="eastAsia" w:asciiTheme="minorEastAsia" w:hAnsiTheme="minorEastAsia" w:eastAsiaTheme="minorEastAsia" w:cstheme="minorEastAsia"/>
                <w:kern w:val="2"/>
                <w:sz w:val="22"/>
                <w:szCs w:val="22"/>
                <w:lang w:val="en-US" w:eastAsia="zh-CN" w:bidi="ar-SA"/>
              </w:rPr>
            </w:pPr>
          </w:p>
        </w:tc>
      </w:tr>
    </w:tbl>
    <w:p>
      <w:pPr>
        <w:spacing w:line="400" w:lineRule="atLeas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　</w:t>
      </w:r>
    </w:p>
    <w:p>
      <w:pPr>
        <w:spacing w:line="400" w:lineRule="atLeast"/>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投标人代表签字：　　　　　　　　　　　　　　　　</w:t>
      </w:r>
    </w:p>
    <w:p>
      <w:pPr>
        <w:jc w:val="center"/>
        <w:rPr>
          <w:rFonts w:hint="eastAsia" w:asciiTheme="minorEastAsia" w:hAnsiTheme="minorEastAsia" w:eastAsiaTheme="minorEastAsia" w:cstheme="minorEastAsia"/>
          <w:kern w:val="2"/>
          <w:sz w:val="22"/>
          <w:szCs w:val="22"/>
          <w:lang w:val="en-US" w:eastAsia="zh-CN" w:bidi="ar-SA"/>
        </w:rPr>
      </w:pPr>
    </w:p>
    <w:p>
      <w:pPr>
        <w:pStyle w:val="2"/>
        <w:rPr>
          <w:rFonts w:hint="eastAsia" w:asciiTheme="minorEastAsia" w:hAnsiTheme="minorEastAsia" w:eastAsiaTheme="minorEastAsia" w:cstheme="minorEastAsia"/>
          <w:sz w:val="22"/>
          <w:szCs w:val="21"/>
          <w:lang w:val="en-US" w:eastAsia="zh-CN"/>
        </w:rPr>
      </w:pPr>
    </w:p>
    <w:p>
      <w:pPr>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其他材料</w:t>
      </w:r>
    </w:p>
    <w:p>
      <w:pPr>
        <w:pStyle w:val="8"/>
        <w:ind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kern w:val="0"/>
          <w:sz w:val="28"/>
          <w:szCs w:val="28"/>
        </w:rPr>
        <w:t>供应商认为有必要提供的其他资料</w:t>
      </w:r>
    </w:p>
    <w:p>
      <w:pPr>
        <w:rPr>
          <w:rFonts w:hint="eastAsia" w:asciiTheme="minorEastAsia" w:hAnsiTheme="minorEastAsia" w:eastAsiaTheme="minorEastAsia" w:cstheme="minorEastAsia"/>
          <w:sz w:val="22"/>
          <w:szCs w:val="21"/>
        </w:rPr>
      </w:pPr>
    </w:p>
    <w:p>
      <w:pPr>
        <w:rPr>
          <w:rFonts w:hint="eastAsia" w:asciiTheme="minorEastAsia" w:hAnsiTheme="minorEastAsia" w:eastAsiaTheme="minorEastAsia" w:cstheme="minorEastAsia"/>
          <w:sz w:val="22"/>
          <w:szCs w:val="21"/>
        </w:rPr>
      </w:pPr>
    </w:p>
    <w:sectPr>
      <w:headerReference r:id="rId17" w:type="default"/>
      <w:footerReference r:id="rId18" w:type="default"/>
      <w:pgSz w:w="11907" w:h="16840"/>
      <w:pgMar w:top="1440" w:right="1077" w:bottom="1440" w:left="107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Consolas">
    <w:panose1 w:val="020B0609020204030204"/>
    <w:charset w:val="00"/>
    <w:family w:val="modern"/>
    <w:pitch w:val="default"/>
    <w:sig w:usb0="E10002FF" w:usb1="4000FCFF" w:usb2="00000009" w:usb3="00000000" w:csb0="6000019F" w:csb1="DFD70000"/>
  </w:font>
  <w:font w:name="Adobe 仿宋 Std R">
    <w:altName w:val="仿宋"/>
    <w:panose1 w:val="00000000000000000000"/>
    <w:charset w:val="00"/>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17</w:t>
    </w:r>
    <w:r>
      <w:rPr>
        <w:lang w:val="zh-CN"/>
      </w:rPr>
      <w:fldChar w:fldCharType="end"/>
    </w:r>
  </w:p>
  <w:p>
    <w:pPr>
      <w:ind w:right="360"/>
      <w:jc w:val="right"/>
      <w:rPr>
        <w:rFonts w:ascii="Calibri" w:hAnsi="Calibri"/>
        <w:sz w:val="24"/>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Fonts w:ascii="Calibri" w:hAnsi="Calibri"/>
        <w:szCs w:val="21"/>
      </w:rPr>
    </w:pPr>
    <w:r>
      <w:rPr>
        <w:rFonts w:ascii="Calibri" w:hAnsi="Calibri"/>
        <w:szCs w:val="21"/>
      </w:rPr>
      <w:fldChar w:fldCharType="begin"/>
    </w:r>
    <w:r>
      <w:rPr>
        <w:rFonts w:ascii="Calibri" w:hAnsi="Calibri"/>
        <w:szCs w:val="21"/>
      </w:rPr>
      <w:instrText xml:space="preserve">PAGE  </w:instrText>
    </w:r>
    <w:r>
      <w:rPr>
        <w:rFonts w:ascii="Calibri" w:hAnsi="Calibri"/>
        <w:szCs w:val="21"/>
      </w:rPr>
      <w:fldChar w:fldCharType="end"/>
    </w:r>
  </w:p>
  <w:p>
    <w:pPr>
      <w:ind w:right="360"/>
      <w:rPr>
        <w:rFonts w:ascii="Calibri" w:hAnsi="Calibri"/>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22</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22</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15001"/>
    </w:sdtPr>
    <w:sdtContent>
      <w:p>
        <w:pPr>
          <w:pStyle w:val="14"/>
          <w:jc w:val="center"/>
        </w:pPr>
        <w:r>
          <w:fldChar w:fldCharType="begin"/>
        </w:r>
        <w:r>
          <w:instrText xml:space="preserve"> PAGE   \* MERGEFORMAT </w:instrText>
        </w:r>
        <w:r>
          <w:fldChar w:fldCharType="separate"/>
        </w:r>
        <w:r>
          <w:rPr>
            <w:lang w:val="zh-CN"/>
          </w:rPr>
          <w:t>9</w:t>
        </w:r>
        <w:r>
          <w:rPr>
            <w:lang w:val="zh-CN"/>
          </w:rP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21"/>
        <w:szCs w:val="18"/>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hint="eastAsia" w:ascii="华文行楷" w:hAnsi="华文行楷" w:eastAsia="华文行楷" w:cs="华文行楷"/>
        <w:kern w:val="2"/>
        <w:sz w:val="24"/>
        <w:szCs w:val="24"/>
        <w:lang w:val="en-US" w:eastAsia="zh-CN" w:bidi="ar-S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21"/>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741A3"/>
    <w:multiLevelType w:val="multilevel"/>
    <w:tmpl w:val="04E741A3"/>
    <w:lvl w:ilvl="0" w:tentative="0">
      <w:start w:val="1"/>
      <w:numFmt w:val="decimal"/>
      <w:lvlText w:val="%1、"/>
      <w:lvlJc w:val="left"/>
      <w:pPr>
        <w:ind w:left="1146"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
    <w:nsid w:val="55000B11"/>
    <w:multiLevelType w:val="multilevel"/>
    <w:tmpl w:val="55000B11"/>
    <w:lvl w:ilvl="0" w:tentative="0">
      <w:start w:val="1"/>
      <w:numFmt w:val="decimal"/>
      <w:suff w:val="nothing"/>
      <w:lvlText w:val="（%1）"/>
      <w:lvlJc w:val="left"/>
      <w:pPr>
        <w:tabs>
          <w:tab w:val="left" w:pos="1146"/>
        </w:tabs>
        <w:ind w:left="666" w:hanging="720"/>
      </w:pPr>
      <w:rPr>
        <w:rFonts w:hint="default"/>
      </w:rPr>
    </w:lvl>
    <w:lvl w:ilvl="1" w:tentative="0">
      <w:start w:val="1"/>
      <w:numFmt w:val="lowerLetter"/>
      <w:lvlText w:val="%2)"/>
      <w:lvlJc w:val="left"/>
      <w:pPr>
        <w:tabs>
          <w:tab w:val="left" w:pos="1266"/>
        </w:tabs>
        <w:ind w:left="1056" w:hanging="420"/>
      </w:pPr>
    </w:lvl>
    <w:lvl w:ilvl="2" w:tentative="0">
      <w:start w:val="1"/>
      <w:numFmt w:val="lowerRoman"/>
      <w:lvlText w:val="%3."/>
      <w:lvlJc w:val="right"/>
      <w:pPr>
        <w:tabs>
          <w:tab w:val="left" w:pos="1686"/>
        </w:tabs>
        <w:ind w:left="1476" w:hanging="420"/>
      </w:pPr>
    </w:lvl>
    <w:lvl w:ilvl="3" w:tentative="0">
      <w:start w:val="1"/>
      <w:numFmt w:val="decimal"/>
      <w:lvlText w:val="%4."/>
      <w:lvlJc w:val="left"/>
      <w:pPr>
        <w:tabs>
          <w:tab w:val="left" w:pos="2106"/>
        </w:tabs>
        <w:ind w:left="1896" w:hanging="420"/>
      </w:pPr>
    </w:lvl>
    <w:lvl w:ilvl="4" w:tentative="0">
      <w:start w:val="1"/>
      <w:numFmt w:val="lowerLetter"/>
      <w:lvlText w:val="%5)"/>
      <w:lvlJc w:val="left"/>
      <w:pPr>
        <w:tabs>
          <w:tab w:val="left" w:pos="2526"/>
        </w:tabs>
        <w:ind w:left="2316" w:hanging="420"/>
      </w:pPr>
    </w:lvl>
    <w:lvl w:ilvl="5" w:tentative="0">
      <w:start w:val="1"/>
      <w:numFmt w:val="lowerRoman"/>
      <w:lvlText w:val="%6."/>
      <w:lvlJc w:val="right"/>
      <w:pPr>
        <w:tabs>
          <w:tab w:val="left" w:pos="2946"/>
        </w:tabs>
        <w:ind w:left="2736" w:hanging="420"/>
      </w:pPr>
    </w:lvl>
    <w:lvl w:ilvl="6" w:tentative="0">
      <w:start w:val="1"/>
      <w:numFmt w:val="decimal"/>
      <w:lvlText w:val="%7."/>
      <w:lvlJc w:val="left"/>
      <w:pPr>
        <w:tabs>
          <w:tab w:val="left" w:pos="3366"/>
        </w:tabs>
        <w:ind w:left="3156" w:hanging="420"/>
      </w:pPr>
    </w:lvl>
    <w:lvl w:ilvl="7" w:tentative="0">
      <w:start w:val="1"/>
      <w:numFmt w:val="lowerLetter"/>
      <w:lvlText w:val="%8)"/>
      <w:lvlJc w:val="left"/>
      <w:pPr>
        <w:tabs>
          <w:tab w:val="left" w:pos="3786"/>
        </w:tabs>
        <w:ind w:left="3576" w:hanging="420"/>
      </w:pPr>
    </w:lvl>
    <w:lvl w:ilvl="8" w:tentative="0">
      <w:start w:val="1"/>
      <w:numFmt w:val="lowerRoman"/>
      <w:lvlText w:val="%9."/>
      <w:lvlJc w:val="right"/>
      <w:pPr>
        <w:tabs>
          <w:tab w:val="left" w:pos="4206"/>
        </w:tabs>
        <w:ind w:left="3996" w:hanging="420"/>
      </w:pPr>
    </w:lvl>
  </w:abstractNum>
  <w:abstractNum w:abstractNumId="3">
    <w:nsid w:val="55F7FEE7"/>
    <w:multiLevelType w:val="singleLevel"/>
    <w:tmpl w:val="55F7FEE7"/>
    <w:lvl w:ilvl="0" w:tentative="0">
      <w:start w:val="2"/>
      <w:numFmt w:val="decimal"/>
      <w:suff w:val="nothing"/>
      <w:lvlText w:val="（%1）"/>
      <w:lvlJc w:val="left"/>
    </w:lvl>
  </w:abstractNum>
  <w:abstractNum w:abstractNumId="4">
    <w:nsid w:val="782934A6"/>
    <w:multiLevelType w:val="singleLevel"/>
    <w:tmpl w:val="782934A6"/>
    <w:lvl w:ilvl="0" w:tentative="0">
      <w:start w:val="10"/>
      <w:numFmt w:val="upperLetter"/>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M2U1NzljM2QxNTExYzdjNmQ5ZGFmNmUxMjBlNzkifQ=="/>
  </w:docVars>
  <w:rsids>
    <w:rsidRoot w:val="23FC708A"/>
    <w:rsid w:val="07B700DB"/>
    <w:rsid w:val="0AAA22FF"/>
    <w:rsid w:val="0ACF434F"/>
    <w:rsid w:val="1533256F"/>
    <w:rsid w:val="1C815B88"/>
    <w:rsid w:val="20BA4C81"/>
    <w:rsid w:val="23FC708A"/>
    <w:rsid w:val="24A50548"/>
    <w:rsid w:val="25993E79"/>
    <w:rsid w:val="35A913D8"/>
    <w:rsid w:val="459E3AA1"/>
    <w:rsid w:val="498C3EDB"/>
    <w:rsid w:val="4C6B75CD"/>
    <w:rsid w:val="54917FE5"/>
    <w:rsid w:val="578D18A9"/>
    <w:rsid w:val="57BB3084"/>
    <w:rsid w:val="57ED066D"/>
    <w:rsid w:val="5C0C6607"/>
    <w:rsid w:val="6A101D4A"/>
    <w:rsid w:val="724F53DA"/>
    <w:rsid w:val="746A108D"/>
    <w:rsid w:val="798C56DD"/>
    <w:rsid w:val="7A9766F9"/>
    <w:rsid w:val="7EFC1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360"/>
      </w:tabs>
      <w:ind w:left="360" w:hanging="360"/>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6"/>
    <w:basedOn w:val="1"/>
    <w:next w:val="1"/>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39"/>
    <w:pPr>
      <w:ind w:left="840" w:leftChars="400"/>
    </w:pPr>
  </w:style>
  <w:style w:type="paragraph" w:styleId="7">
    <w:name w:val="index 8"/>
    <w:basedOn w:val="1"/>
    <w:next w:val="1"/>
    <w:qFormat/>
    <w:uiPriority w:val="0"/>
    <w:pPr>
      <w:spacing w:line="276" w:lineRule="auto"/>
      <w:jc w:val="left"/>
    </w:pPr>
    <w:rPr>
      <w:rFonts w:ascii="Times New Roman" w:hAnsi="Times New Roman" w:eastAsia="宋体" w:cs="Times New Roman"/>
      <w:color w:val="FF0000"/>
      <w:szCs w:val="21"/>
    </w:rPr>
  </w:style>
  <w:style w:type="paragraph" w:styleId="8">
    <w:name w:val="Normal Indent"/>
    <w:basedOn w:val="1"/>
    <w:qFormat/>
    <w:uiPriority w:val="0"/>
    <w:pPr>
      <w:ind w:firstLine="420" w:firstLineChars="200"/>
    </w:pPr>
    <w:rPr>
      <w:szCs w:val="24"/>
    </w:rPr>
  </w:style>
  <w:style w:type="paragraph" w:styleId="9">
    <w:name w:val="annotation text"/>
    <w:basedOn w:val="1"/>
    <w:qFormat/>
    <w:uiPriority w:val="0"/>
    <w:pPr>
      <w:widowControl w:val="0"/>
      <w:jc w:val="left"/>
    </w:pPr>
    <w:rPr>
      <w:rFonts w:ascii="Verdana" w:hAnsi="Verdana" w:eastAsia="宋体" w:cs="Times New Roman"/>
      <w:kern w:val="2"/>
      <w:sz w:val="21"/>
      <w:szCs w:val="24"/>
      <w:lang w:val="en-US" w:eastAsia="en-US" w:bidi="ar-SA"/>
    </w:rPr>
  </w:style>
  <w:style w:type="paragraph" w:styleId="10">
    <w:name w:val="Body Text"/>
    <w:basedOn w:val="1"/>
    <w:qFormat/>
    <w:uiPriority w:val="0"/>
    <w:rPr>
      <w:rFonts w:ascii="Arial" w:hAnsi="Arial"/>
      <w:sz w:val="24"/>
    </w:rPr>
  </w:style>
  <w:style w:type="paragraph" w:styleId="11">
    <w:name w:val="Plain Text"/>
    <w:basedOn w:val="1"/>
    <w:qFormat/>
    <w:uiPriority w:val="0"/>
    <w:rPr>
      <w:rFonts w:ascii="宋体" w:hAnsi="Courier New"/>
    </w:rPr>
  </w:style>
  <w:style w:type="paragraph" w:styleId="12">
    <w:name w:val="Date"/>
    <w:basedOn w:val="1"/>
    <w:next w:val="1"/>
    <w:qFormat/>
    <w:uiPriority w:val="0"/>
    <w:pPr>
      <w:ind w:left="100"/>
    </w:pPr>
    <w:rPr>
      <w:sz w:val="24"/>
    </w:rPr>
  </w:style>
  <w:style w:type="paragraph" w:styleId="13">
    <w:name w:val="Body Text Indent 2"/>
    <w:basedOn w:val="1"/>
    <w:qFormat/>
    <w:uiPriority w:val="0"/>
    <w:pPr>
      <w:ind w:firstLine="435"/>
    </w:pPr>
    <w:rPr>
      <w:rFonts w:ascii="宋体" w:hAnsi="宋体"/>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99"/>
    <w:pPr>
      <w:tabs>
        <w:tab w:val="center" w:pos="4153"/>
        <w:tab w:val="right" w:pos="8306"/>
      </w:tabs>
      <w:snapToGrid w:val="0"/>
    </w:pPr>
    <w:rPr>
      <w:sz w:val="18"/>
    </w:rPr>
  </w:style>
  <w:style w:type="paragraph" w:styleId="16">
    <w:name w:val="toc 1"/>
    <w:basedOn w:val="1"/>
    <w:next w:val="1"/>
    <w:qFormat/>
    <w:uiPriority w:val="39"/>
  </w:style>
  <w:style w:type="paragraph" w:styleId="17">
    <w:name w:val="footnote text"/>
    <w:unhideWhenUsed/>
    <w:qFormat/>
    <w:uiPriority w:val="0"/>
    <w:pPr>
      <w:widowControl w:val="0"/>
      <w:snapToGrid w:val="0"/>
      <w:jc w:val="left"/>
    </w:pPr>
    <w:rPr>
      <w:rFonts w:hint="eastAsia" w:ascii="Times New Roman" w:hAnsi="Times New Roman" w:eastAsia="宋体" w:cs="Times New Roman"/>
      <w:kern w:val="0"/>
      <w:sz w:val="18"/>
      <w:szCs w:val="24"/>
      <w:lang w:val="en-US" w:eastAsia="zh-CN"/>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HTML Sample"/>
    <w:basedOn w:val="21"/>
    <w:unhideWhenUsed/>
    <w:qFormat/>
    <w:uiPriority w:val="0"/>
    <w:rPr>
      <w:rFonts w:hint="default" w:ascii="Consolas" w:hAnsi="Consolas" w:eastAsia="Consolas" w:cs="Consolas"/>
      <w:sz w:val="21"/>
      <w:szCs w:val="21"/>
    </w:rPr>
  </w:style>
  <w:style w:type="paragraph" w:customStyle="1" w:styleId="24">
    <w:name w:val="Char"/>
    <w:basedOn w:val="1"/>
    <w:qFormat/>
    <w:uiPriority w:val="0"/>
    <w:pPr>
      <w:widowControl/>
      <w:spacing w:after="160" w:line="240" w:lineRule="exact"/>
      <w:jc w:val="left"/>
    </w:pPr>
    <w:rPr>
      <w:rFonts w:ascii="Verdana" w:hAnsi="Verdana"/>
      <w:kern w:val="0"/>
      <w:sz w:val="20"/>
      <w:lang w:eastAsia="en-US"/>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Table Paragraph"/>
    <w:basedOn w:val="1"/>
    <w:qFormat/>
    <w:uiPriority w:val="1"/>
  </w:style>
  <w:style w:type="paragraph" w:customStyle="1" w:styleId="27">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日期_0"/>
    <w:basedOn w:val="31"/>
    <w:next w:val="31"/>
    <w:qFormat/>
    <w:uiPriority w:val="0"/>
    <w:pPr>
      <w:ind w:left="100" w:leftChars="2500"/>
    </w:pPr>
    <w:rPr>
      <w:kern w:val="0"/>
      <w:sz w:val="20"/>
    </w:rPr>
  </w:style>
  <w:style w:type="paragraph" w:customStyle="1" w:styleId="3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Normal_11"/>
    <w:qFormat/>
    <w:uiPriority w:val="0"/>
    <w:rPr>
      <w:rFonts w:ascii="黑体" w:hAnsi="黑体" w:eastAsia="黑体" w:cs="Times New Roman"/>
      <w:b/>
      <w:sz w:val="32"/>
      <w:szCs w:val="24"/>
      <w:lang w:val="en-US" w:eastAsia="zh-CN" w:bidi="ar-SA"/>
    </w:rPr>
  </w:style>
  <w:style w:type="paragraph" w:customStyle="1" w:styleId="33">
    <w:name w:val="标题 3_0_0"/>
    <w:basedOn w:val="34"/>
    <w:next w:val="34"/>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34">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5">
    <w:name w:val="正文文本_1"/>
    <w:basedOn w:val="36"/>
    <w:qFormat/>
    <w:uiPriority w:val="0"/>
    <w:pPr>
      <w:spacing w:after="120"/>
    </w:pPr>
    <w:rPr>
      <w:kern w:val="0"/>
      <w:sz w:val="20"/>
    </w:rPr>
  </w:style>
  <w:style w:type="paragraph" w:customStyle="1" w:styleId="3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文本缩进_0_0"/>
    <w:basedOn w:val="37"/>
    <w:qFormat/>
    <w:uiPriority w:val="0"/>
    <w:pPr>
      <w:spacing w:line="500" w:lineRule="exact"/>
      <w:ind w:left="1588" w:leftChars="832" w:firstLine="433" w:firstLineChars="196"/>
    </w:pPr>
    <w:rPr>
      <w:kern w:val="0"/>
      <w:sz w:val="24"/>
    </w:rPr>
  </w:style>
  <w:style w:type="paragraph" w:customStyle="1" w:styleId="39">
    <w:name w:val="bb"/>
    <w:basedOn w:val="1"/>
    <w:qFormat/>
    <w:uiPriority w:val="0"/>
    <w:pPr>
      <w:spacing w:before="100" w:beforeAutospacing="1" w:after="100" w:afterAutospacing="1"/>
    </w:pPr>
    <w:rPr>
      <w:rFonts w:ascii="宋体" w:hAnsi="宋体"/>
    </w:rPr>
  </w:style>
  <w:style w:type="paragraph" w:customStyle="1" w:styleId="40">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41">
    <w:name w:val="font141"/>
    <w:qFormat/>
    <w:uiPriority w:val="0"/>
    <w:rPr>
      <w:rFonts w:hint="eastAsia" w:ascii="宋体" w:hAnsi="宋体" w:eastAsia="宋体" w:cs="宋体"/>
      <w:b/>
      <w:color w:val="000000"/>
      <w:kern w:val="0"/>
      <w:sz w:val="32"/>
      <w:szCs w:val="32"/>
      <w:u w:val="none"/>
      <w:lang w:eastAsia="en-US"/>
    </w:rPr>
  </w:style>
  <w:style w:type="paragraph" w:customStyle="1" w:styleId="42">
    <w:name w:val="正文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Body Text Indent1"/>
    <w:basedOn w:val="1"/>
    <w:qFormat/>
    <w:uiPriority w:val="0"/>
    <w:pPr>
      <w:ind w:firstLine="630"/>
    </w:pPr>
    <w:rPr>
      <w:rFonts w:eastAsia="楷体_GB2312"/>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24251</Words>
  <Characters>25768</Characters>
  <Lines>0</Lines>
  <Paragraphs>0</Paragraphs>
  <TotalTime>3</TotalTime>
  <ScaleCrop>false</ScaleCrop>
  <LinksUpToDate>false</LinksUpToDate>
  <CharactersWithSpaces>26594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2022-08-09T04:53:00Z</dcterms:created>
  <dc:creator>Administrator</dc:creator>
  <cp:lastModifiedBy>Administrator</cp:lastModifiedBy>
  <dcterms:modified xsi:type="dcterms:W3CDTF">2022-08-17T05:11:11Z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C6A312A48CE1419B9FBB09F50F2DD081</vt:lpwstr>
  </property>
</Properties>
</file>