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
          <w:tab w:val="left" w:pos="5160"/>
        </w:tabs>
        <w:spacing w:line="360" w:lineRule="auto"/>
        <w:jc w:val="center"/>
        <w:rPr>
          <w:rFonts w:hint="eastAsia" w:asciiTheme="minorEastAsia" w:hAnsiTheme="minorEastAsia" w:eastAsiaTheme="minorEastAsia" w:cstheme="minorEastAsia"/>
          <w:sz w:val="48"/>
          <w:szCs w:val="48"/>
        </w:rPr>
      </w:pPr>
    </w:p>
    <w:p>
      <w:pPr>
        <w:jc w:val="center"/>
        <w:rPr>
          <w:rFonts w:hint="eastAsia" w:asciiTheme="minorEastAsia" w:hAnsiTheme="minorEastAsia" w:eastAsiaTheme="minorEastAsia" w:cstheme="minorEastAsia"/>
          <w:b/>
          <w:bCs/>
          <w:kern w:val="0"/>
          <w:sz w:val="44"/>
          <w:szCs w:val="44"/>
          <w:highlight w:val="none"/>
          <w:lang w:val="en-US" w:eastAsia="zh-CN"/>
        </w:rPr>
      </w:pPr>
      <w:r>
        <w:rPr>
          <w:rFonts w:hint="eastAsia" w:asciiTheme="minorEastAsia" w:hAnsiTheme="minorEastAsia" w:eastAsiaTheme="minorEastAsia" w:cstheme="minorEastAsia"/>
          <w:b/>
          <w:bCs/>
          <w:kern w:val="0"/>
          <w:sz w:val="44"/>
          <w:szCs w:val="44"/>
          <w:highlight w:val="none"/>
          <w:lang w:val="en-US" w:eastAsia="zh-CN"/>
        </w:rPr>
        <w:t>2022年博州森林火灾高风险区综合治理工程建设项目实施方案（代初步设计）</w:t>
      </w:r>
    </w:p>
    <w:p>
      <w:pPr>
        <w:jc w:val="center"/>
        <w:rPr>
          <w:rFonts w:hint="eastAsia" w:asciiTheme="minorEastAsia" w:hAnsiTheme="minorEastAsia" w:eastAsiaTheme="minorEastAsia" w:cstheme="minorEastAsia"/>
          <w:b/>
          <w:bCs/>
          <w:kern w:val="0"/>
          <w:sz w:val="44"/>
          <w:szCs w:val="44"/>
          <w:highlight w:val="none"/>
          <w:lang w:val="en-US" w:eastAsia="zh-CN"/>
        </w:rPr>
      </w:pPr>
      <w:r>
        <w:rPr>
          <w:rFonts w:hint="eastAsia" w:asciiTheme="minorEastAsia" w:hAnsiTheme="minorEastAsia" w:eastAsiaTheme="minorEastAsia" w:cstheme="minorEastAsia"/>
          <w:b/>
          <w:bCs/>
          <w:kern w:val="0"/>
          <w:sz w:val="44"/>
          <w:szCs w:val="44"/>
          <w:highlight w:val="none"/>
          <w:lang w:val="en-US" w:eastAsia="zh-CN"/>
        </w:rPr>
        <w:t>竞争性磋商文件</w:t>
      </w:r>
    </w:p>
    <w:p>
      <w:pPr>
        <w:jc w:val="both"/>
        <w:rPr>
          <w:rFonts w:hint="eastAsia" w:asciiTheme="minorEastAsia" w:hAnsiTheme="minorEastAsia" w:eastAsiaTheme="minorEastAsia" w:cstheme="minorEastAsia"/>
          <w:sz w:val="32"/>
          <w:szCs w:val="32"/>
        </w:rPr>
      </w:pPr>
    </w:p>
    <w:p>
      <w:pPr>
        <w:pStyle w:val="18"/>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964" w:firstLineChars="300"/>
        <w:jc w:val="both"/>
        <w:textAlignment w:val="auto"/>
        <w:outlineLvl w:val="9"/>
        <w:rPr>
          <w:rFonts w:hint="eastAsia" w:asciiTheme="minorEastAsia" w:hAnsiTheme="minorEastAsia" w:eastAsiaTheme="minorEastAsia" w:cstheme="minorEastAsia"/>
          <w:b/>
          <w:bCs/>
          <w:color w:val="000000"/>
          <w:sz w:val="32"/>
          <w:szCs w:val="32"/>
          <w:lang w:eastAsia="zh-CN"/>
        </w:rPr>
      </w:pPr>
      <w:r>
        <w:rPr>
          <w:rFonts w:hint="eastAsia" w:asciiTheme="minorEastAsia" w:hAnsiTheme="minorEastAsia" w:eastAsiaTheme="minorEastAsia" w:cstheme="minorEastAsia"/>
          <w:b/>
          <w:bCs/>
          <w:color w:val="000000"/>
          <w:sz w:val="32"/>
          <w:szCs w:val="32"/>
          <w:lang w:eastAsia="zh-CN"/>
        </w:rPr>
        <w:t>项目编号</w:t>
      </w:r>
      <w:r>
        <w:rPr>
          <w:rFonts w:hint="eastAsia" w:asciiTheme="minorEastAsia" w:hAnsiTheme="minorEastAsia" w:eastAsiaTheme="minorEastAsia" w:cstheme="minorEastAsia"/>
          <w:b/>
          <w:bCs/>
          <w:color w:val="000000"/>
          <w:sz w:val="32"/>
          <w:szCs w:val="32"/>
        </w:rPr>
        <w:t>：</w:t>
      </w:r>
      <w:r>
        <w:rPr>
          <w:rFonts w:hint="eastAsia" w:asciiTheme="minorEastAsia" w:hAnsiTheme="minorEastAsia" w:eastAsiaTheme="minorEastAsia" w:cstheme="minorEastAsia"/>
          <w:b/>
          <w:bCs/>
          <w:color w:val="000000"/>
          <w:sz w:val="32"/>
          <w:szCs w:val="32"/>
          <w:lang w:eastAsia="zh-CN"/>
        </w:rPr>
        <w:t>HCRHCS2022-010</w:t>
      </w:r>
    </w:p>
    <w:p>
      <w:pPr>
        <w:pStyle w:val="18"/>
        <w:rPr>
          <w:rFonts w:hint="eastAsia" w:asciiTheme="minorEastAsia" w:hAnsiTheme="minorEastAsia" w:eastAsiaTheme="minorEastAsia" w:cstheme="minorEastAsia"/>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left="2564" w:leftChars="456" w:right="0" w:rightChars="0" w:hanging="1606" w:hangingChars="500"/>
        <w:jc w:val="both"/>
        <w:textAlignment w:val="auto"/>
        <w:outlineLvl w:val="9"/>
        <w:rPr>
          <w:rFonts w:hint="eastAsia" w:asciiTheme="minorEastAsia" w:hAnsiTheme="minorEastAsia" w:eastAsiaTheme="minorEastAsia" w:cstheme="minorEastAsia"/>
          <w:b/>
          <w:bCs/>
          <w:color w:val="000000"/>
          <w:sz w:val="32"/>
          <w:szCs w:val="32"/>
          <w:lang w:val="en-US" w:eastAsia="zh-CN"/>
        </w:rPr>
      </w:pPr>
      <w:r>
        <w:rPr>
          <w:rFonts w:hint="eastAsia" w:asciiTheme="minorEastAsia" w:hAnsiTheme="minorEastAsia" w:eastAsiaTheme="minorEastAsia" w:cstheme="minorEastAsia"/>
          <w:b/>
          <w:bCs/>
          <w:color w:val="000000"/>
          <w:sz w:val="32"/>
          <w:szCs w:val="32"/>
        </w:rPr>
        <w:t>项目名称：</w:t>
      </w:r>
      <w:r>
        <w:rPr>
          <w:rFonts w:hint="eastAsia" w:asciiTheme="minorEastAsia" w:hAnsiTheme="minorEastAsia" w:eastAsiaTheme="minorEastAsia" w:cstheme="minorEastAsia"/>
          <w:b/>
          <w:bCs/>
          <w:color w:val="000000"/>
          <w:sz w:val="32"/>
          <w:szCs w:val="32"/>
          <w:lang w:val="zh-CN" w:eastAsia="zh-CN"/>
        </w:rPr>
        <w:t>2022年博州森林火灾高风险区综合治理工程建设项目实施方案（代初步设计）</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964" w:firstLineChars="300"/>
        <w:jc w:val="both"/>
        <w:textAlignment w:val="auto"/>
        <w:outlineLvl w:val="9"/>
        <w:rPr>
          <w:rFonts w:hint="eastAsia" w:asciiTheme="minorEastAsia" w:hAnsiTheme="minorEastAsia" w:eastAsiaTheme="minorEastAsia" w:cstheme="minorEastAsia"/>
          <w:b/>
          <w:bCs/>
          <w:color w:val="000000"/>
          <w:sz w:val="32"/>
          <w:szCs w:val="32"/>
        </w:rPr>
      </w:pPr>
    </w:p>
    <w:p>
      <w:pPr>
        <w:pStyle w:val="18"/>
        <w:rPr>
          <w:rFonts w:hint="eastAsia" w:asciiTheme="minorEastAsia" w:hAnsiTheme="minorEastAsia" w:eastAsiaTheme="minorEastAsia" w:cstheme="minorEastAsia"/>
          <w:b/>
          <w:bCs/>
          <w:sz w:val="32"/>
          <w:szCs w:val="32"/>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964" w:firstLineChars="300"/>
        <w:jc w:val="both"/>
        <w:textAlignment w:val="auto"/>
        <w:outlineLvl w:val="9"/>
        <w:rPr>
          <w:rFonts w:hint="eastAsia" w:asciiTheme="minorEastAsia" w:hAnsiTheme="minorEastAsia" w:eastAsiaTheme="minorEastAsia" w:cstheme="minorEastAsia"/>
          <w:b/>
          <w:bCs/>
          <w:color w:val="000000"/>
          <w:sz w:val="32"/>
          <w:szCs w:val="32"/>
          <w:lang w:val="en-US" w:eastAsia="zh-CN"/>
        </w:rPr>
      </w:pPr>
      <w:r>
        <w:rPr>
          <w:rFonts w:hint="eastAsia" w:asciiTheme="minorEastAsia" w:hAnsiTheme="minorEastAsia" w:eastAsiaTheme="minorEastAsia" w:cstheme="minorEastAsia"/>
          <w:b/>
          <w:bCs/>
          <w:color w:val="000000"/>
          <w:sz w:val="32"/>
          <w:szCs w:val="32"/>
        </w:rPr>
        <w:t>采购单位：</w:t>
      </w:r>
      <w:r>
        <w:rPr>
          <w:rFonts w:hint="eastAsia" w:asciiTheme="minorEastAsia" w:hAnsiTheme="minorEastAsia" w:eastAsiaTheme="minorEastAsia" w:cstheme="minorEastAsia"/>
          <w:b/>
          <w:bCs/>
          <w:color w:val="000000"/>
          <w:sz w:val="32"/>
          <w:szCs w:val="32"/>
          <w:lang w:val="zh-CN" w:eastAsia="zh-CN"/>
        </w:rPr>
        <w:t>博尔塔拉蒙古自治州林业和草原局</w:t>
      </w:r>
    </w:p>
    <w:p>
      <w:pPr>
        <w:keepNext w:val="0"/>
        <w:keepLines w:val="0"/>
        <w:pageBreakBefore w:val="0"/>
        <w:widowControl w:val="0"/>
        <w:kinsoku/>
        <w:wordWrap/>
        <w:overflowPunct/>
        <w:topLinePunct w:val="0"/>
        <w:autoSpaceDE/>
        <w:autoSpaceDN/>
        <w:bidi w:val="0"/>
        <w:adjustRightInd/>
        <w:snapToGrid/>
        <w:spacing w:line="700" w:lineRule="exact"/>
        <w:ind w:right="0" w:rightChars="0"/>
        <w:jc w:val="both"/>
        <w:textAlignment w:val="auto"/>
        <w:outlineLvl w:val="9"/>
        <w:rPr>
          <w:rFonts w:hint="eastAsia" w:asciiTheme="minorEastAsia" w:hAnsiTheme="minorEastAsia" w:eastAsiaTheme="minorEastAsia" w:cstheme="minorEastAsia"/>
          <w:b/>
          <w:bCs/>
          <w:color w:val="000000"/>
          <w:sz w:val="32"/>
          <w:szCs w:val="32"/>
        </w:rPr>
      </w:pPr>
    </w:p>
    <w:p>
      <w:pPr>
        <w:pStyle w:val="18"/>
        <w:rPr>
          <w:rFonts w:hint="eastAsia" w:asciiTheme="minorEastAsia" w:hAnsiTheme="minorEastAsia" w:eastAsiaTheme="minorEastAsia" w:cstheme="minorEastAsia"/>
          <w:b/>
          <w:bCs/>
          <w:sz w:val="32"/>
          <w:szCs w:val="32"/>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964" w:firstLineChars="300"/>
        <w:jc w:val="both"/>
        <w:textAlignment w:val="auto"/>
        <w:outlineLvl w:val="9"/>
        <w:rPr>
          <w:rFonts w:hint="eastAsia" w:asciiTheme="minorEastAsia" w:hAnsiTheme="minorEastAsia" w:eastAsiaTheme="minorEastAsia" w:cstheme="minorEastAsia"/>
          <w:b/>
          <w:bCs/>
          <w:color w:val="000000"/>
          <w:sz w:val="32"/>
          <w:szCs w:val="32"/>
          <w:lang w:val="zh-CN"/>
        </w:rPr>
      </w:pPr>
      <w:r>
        <w:rPr>
          <w:rFonts w:hint="eastAsia" w:asciiTheme="minorEastAsia" w:hAnsiTheme="minorEastAsia" w:eastAsiaTheme="minorEastAsia" w:cstheme="minorEastAsia"/>
          <w:b/>
          <w:bCs/>
          <w:color w:val="000000"/>
          <w:sz w:val="32"/>
          <w:szCs w:val="32"/>
        </w:rPr>
        <w:t>招标代理机构：</w:t>
      </w:r>
      <w:r>
        <w:rPr>
          <w:rFonts w:hint="eastAsia" w:asciiTheme="minorEastAsia" w:hAnsiTheme="minorEastAsia" w:eastAsiaTheme="minorEastAsia" w:cstheme="minorEastAsia"/>
          <w:b/>
          <w:bCs/>
          <w:color w:val="000000"/>
          <w:sz w:val="32"/>
          <w:szCs w:val="32"/>
          <w:lang w:val="zh-CN" w:eastAsia="zh-CN"/>
        </w:rPr>
        <w:t xml:space="preserve">新疆宏成润和工程管理有限公司 </w:t>
      </w:r>
    </w:p>
    <w:p>
      <w:pPr>
        <w:keepNext w:val="0"/>
        <w:keepLines w:val="0"/>
        <w:pageBreakBefore w:val="0"/>
        <w:widowControl w:val="0"/>
        <w:kinsoku/>
        <w:wordWrap/>
        <w:overflowPunct/>
        <w:topLinePunct w:val="0"/>
        <w:autoSpaceDE/>
        <w:autoSpaceDN/>
        <w:bidi w:val="0"/>
        <w:adjustRightInd/>
        <w:snapToGrid/>
        <w:spacing w:line="700" w:lineRule="exact"/>
        <w:ind w:right="0" w:rightChars="0"/>
        <w:jc w:val="both"/>
        <w:textAlignment w:val="auto"/>
        <w:outlineLvl w:val="9"/>
        <w:rPr>
          <w:rFonts w:hint="eastAsia" w:asciiTheme="minorEastAsia" w:hAnsiTheme="minorEastAsia" w:eastAsiaTheme="minorEastAsia" w:cstheme="minorEastAsia"/>
          <w:color w:val="000000"/>
          <w:sz w:val="28"/>
          <w:szCs w:val="28"/>
        </w:rPr>
      </w:pPr>
    </w:p>
    <w:p>
      <w:pPr>
        <w:jc w:val="both"/>
        <w:rPr>
          <w:rFonts w:hint="eastAsia" w:asciiTheme="minorEastAsia" w:hAnsiTheme="minorEastAsia" w:eastAsiaTheme="minorEastAsia" w:cstheme="minorEastAsia"/>
          <w:b/>
          <w:bCs/>
          <w:color w:val="000000"/>
          <w:sz w:val="32"/>
          <w:szCs w:val="32"/>
        </w:rPr>
      </w:pPr>
    </w:p>
    <w:p>
      <w:pPr>
        <w:jc w:val="center"/>
        <w:rPr>
          <w:rFonts w:hint="eastAsia" w:asciiTheme="minorEastAsia" w:hAnsiTheme="minorEastAsia" w:eastAsiaTheme="minorEastAsia" w:cstheme="minorEastAsia"/>
          <w:b/>
          <w:bCs/>
          <w:color w:val="000000"/>
          <w:sz w:val="32"/>
          <w:szCs w:val="32"/>
        </w:rPr>
      </w:pPr>
      <w:r>
        <w:rPr>
          <w:rFonts w:hint="eastAsia" w:asciiTheme="minorEastAsia" w:hAnsiTheme="minorEastAsia" w:eastAsiaTheme="minorEastAsia" w:cstheme="minorEastAsia"/>
          <w:b/>
          <w:bCs/>
          <w:color w:val="000000"/>
          <w:sz w:val="32"/>
          <w:szCs w:val="32"/>
          <w:lang w:val="en-US" w:eastAsia="zh-CN"/>
        </w:rPr>
        <w:t xml:space="preserve">新疆宏成润和工程管理有限公司 </w:t>
      </w:r>
    </w:p>
    <w:p>
      <w:pPr>
        <w:spacing w:line="520" w:lineRule="exact"/>
        <w:jc w:val="center"/>
        <w:rPr>
          <w:rFonts w:hint="eastAsia" w:asciiTheme="minorEastAsia" w:hAnsiTheme="minorEastAsia" w:eastAsiaTheme="minorEastAsia" w:cstheme="minorEastAsia"/>
          <w:b/>
          <w:bCs/>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titlePg/>
          <w:docGrid w:type="lines" w:linePitch="312" w:charSpace="0"/>
        </w:sectPr>
      </w:pPr>
      <w:r>
        <w:rPr>
          <w:rFonts w:hint="eastAsia" w:asciiTheme="minorEastAsia" w:hAnsiTheme="minorEastAsia" w:eastAsiaTheme="minorEastAsia" w:cstheme="minorEastAsia"/>
          <w:b/>
          <w:bCs/>
          <w:color w:val="000000"/>
          <w:sz w:val="32"/>
          <w:szCs w:val="32"/>
        </w:rPr>
        <w:t>20</w:t>
      </w:r>
      <w:r>
        <w:rPr>
          <w:rFonts w:hint="eastAsia" w:asciiTheme="minorEastAsia" w:hAnsiTheme="minorEastAsia" w:eastAsiaTheme="minorEastAsia" w:cstheme="minorEastAsia"/>
          <w:b/>
          <w:bCs/>
          <w:color w:val="000000"/>
          <w:sz w:val="32"/>
          <w:szCs w:val="32"/>
          <w:lang w:val="en-US" w:eastAsia="zh-CN"/>
        </w:rPr>
        <w:t>22</w:t>
      </w:r>
      <w:r>
        <w:rPr>
          <w:rFonts w:hint="eastAsia" w:asciiTheme="minorEastAsia" w:hAnsiTheme="minorEastAsia" w:eastAsiaTheme="minorEastAsia" w:cstheme="minorEastAsia"/>
          <w:b/>
          <w:bCs/>
          <w:color w:val="000000"/>
          <w:sz w:val="32"/>
          <w:szCs w:val="32"/>
        </w:rPr>
        <w:t>年</w:t>
      </w:r>
      <w:r>
        <w:rPr>
          <w:rFonts w:hint="eastAsia" w:asciiTheme="minorEastAsia" w:hAnsiTheme="minorEastAsia" w:eastAsiaTheme="minorEastAsia" w:cstheme="minorEastAsia"/>
          <w:b/>
          <w:bCs/>
          <w:color w:val="000000"/>
          <w:sz w:val="32"/>
          <w:szCs w:val="32"/>
          <w:lang w:val="en-US" w:eastAsia="zh-CN"/>
        </w:rPr>
        <w:t>8</w:t>
      </w:r>
      <w:r>
        <w:rPr>
          <w:rFonts w:hint="eastAsia" w:asciiTheme="minorEastAsia" w:hAnsiTheme="minorEastAsia" w:eastAsiaTheme="minorEastAsia" w:cstheme="minorEastAsia"/>
          <w:b/>
          <w:bCs/>
          <w:color w:val="000000"/>
          <w:sz w:val="32"/>
          <w:szCs w:val="32"/>
        </w:rPr>
        <w:t>月</w:t>
      </w:r>
    </w:p>
    <w:p>
      <w:pPr>
        <w:pStyle w:val="13"/>
        <w:tabs>
          <w:tab w:val="right" w:leader="dot" w:pos="8541"/>
        </w:tabs>
        <w:spacing w:line="480" w:lineRule="auto"/>
        <w:jc w:val="both"/>
        <w:rPr>
          <w:rFonts w:hint="eastAsia" w:asciiTheme="minorEastAsia" w:hAnsiTheme="minorEastAsia" w:eastAsiaTheme="minorEastAsia" w:cstheme="minorEastAsia"/>
          <w:sz w:val="28"/>
          <w:szCs w:val="28"/>
        </w:rPr>
      </w:pPr>
    </w:p>
    <w:sdt>
      <w:sdtPr>
        <w:rPr>
          <w:rFonts w:hint="eastAsia" w:asciiTheme="minorEastAsia" w:hAnsiTheme="minorEastAsia" w:eastAsiaTheme="minorEastAsia" w:cstheme="minorEastAsia"/>
          <w:b/>
          <w:bCs/>
          <w:kern w:val="0"/>
          <w:sz w:val="28"/>
          <w:szCs w:val="28"/>
        </w:rPr>
        <w:id w:val="147478570"/>
        <w:docPartObj>
          <w:docPartGallery w:val="Table of Contents"/>
          <w:docPartUnique/>
        </w:docPartObj>
      </w:sdtPr>
      <w:sdtEndPr>
        <w:rPr>
          <w:rFonts w:hint="eastAsia" w:asciiTheme="minorEastAsia" w:hAnsiTheme="minorEastAsia" w:eastAsiaTheme="minorEastAsia" w:cstheme="minorEastAsia"/>
          <w:b/>
          <w:bCs/>
          <w:kern w:val="0"/>
          <w:sz w:val="28"/>
          <w:szCs w:val="28"/>
        </w:rPr>
      </w:sdtEndPr>
      <w:sdtContent>
        <w:p>
          <w:p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目录</w:t>
          </w:r>
        </w:p>
        <w:p>
          <w:pPr>
            <w:pStyle w:val="19"/>
            <w:tabs>
              <w:tab w:val="right" w:leader="dot" w:pos="8312"/>
            </w:tabs>
            <w:spacing w:line="8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"_Toc22794_WPSOffice_Level1"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第一部分 竞争性磋商公告</w:t>
          </w:r>
          <w:r>
            <w:rPr>
              <w:rFonts w:hint="eastAsia" w:asciiTheme="minorEastAsia" w:hAnsiTheme="minorEastAsia" w:eastAsiaTheme="minorEastAsia" w:cstheme="minorEastAsia"/>
              <w:sz w:val="28"/>
              <w:szCs w:val="28"/>
            </w:rPr>
            <w:tab/>
          </w:r>
          <w:bookmarkStart w:id="0" w:name="_Toc22794_WPSOffice_Level1Page"/>
          <w:r>
            <w:rPr>
              <w:rFonts w:hint="eastAsia" w:asciiTheme="minorEastAsia" w:hAnsiTheme="minorEastAsia" w:eastAsiaTheme="minorEastAsia" w:cstheme="minorEastAsia"/>
              <w:sz w:val="28"/>
              <w:szCs w:val="28"/>
            </w:rPr>
            <w:t>3</w:t>
          </w:r>
          <w:bookmarkEnd w:id="0"/>
          <w:r>
            <w:rPr>
              <w:rFonts w:hint="eastAsia" w:asciiTheme="minorEastAsia" w:hAnsiTheme="minorEastAsia" w:eastAsiaTheme="minorEastAsia" w:cstheme="minorEastAsia"/>
              <w:sz w:val="28"/>
              <w:szCs w:val="28"/>
            </w:rPr>
            <w:fldChar w:fldCharType="end"/>
          </w:r>
        </w:p>
        <w:p>
          <w:pPr>
            <w:pStyle w:val="19"/>
            <w:tabs>
              <w:tab w:val="right" w:leader="dot" w:pos="8312"/>
            </w:tabs>
            <w:spacing w:line="8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"_Toc9092_WPSOffice_Level1"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第二部分供应商须知</w:t>
          </w:r>
          <w:r>
            <w:rPr>
              <w:rFonts w:hint="eastAsia" w:asciiTheme="minorEastAsia" w:hAnsiTheme="minorEastAsia" w:eastAsiaTheme="minorEastAsia" w:cstheme="minorEastAsia"/>
              <w:sz w:val="28"/>
              <w:szCs w:val="28"/>
            </w:rPr>
            <w:tab/>
          </w:r>
          <w:bookmarkStart w:id="1" w:name="_Toc9092_WPSOffice_Level1Page"/>
          <w:r>
            <w:rPr>
              <w:rFonts w:hint="eastAsia" w:asciiTheme="minorEastAsia" w:hAnsiTheme="minorEastAsia" w:eastAsiaTheme="minorEastAsia" w:cstheme="minorEastAsia"/>
              <w:sz w:val="28"/>
              <w:szCs w:val="28"/>
            </w:rPr>
            <w:t>5</w:t>
          </w:r>
          <w:bookmarkEnd w:id="1"/>
          <w:r>
            <w:rPr>
              <w:rFonts w:hint="eastAsia" w:asciiTheme="minorEastAsia" w:hAnsiTheme="minorEastAsia" w:eastAsiaTheme="minorEastAsia" w:cstheme="minorEastAsia"/>
              <w:sz w:val="28"/>
              <w:szCs w:val="28"/>
            </w:rPr>
            <w:fldChar w:fldCharType="end"/>
          </w:r>
        </w:p>
        <w:p>
          <w:pPr>
            <w:pStyle w:val="19"/>
            <w:tabs>
              <w:tab w:val="right" w:leader="dot" w:pos="8312"/>
            </w:tabs>
            <w:spacing w:line="8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"_Toc3943_WPSOffice_Level1"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第三部分  技术要求</w:t>
          </w:r>
          <w:r>
            <w:rPr>
              <w:rFonts w:hint="eastAsia" w:asciiTheme="minorEastAsia" w:hAnsiTheme="minorEastAsia" w:eastAsiaTheme="minorEastAsia" w:cstheme="minorEastAsia"/>
              <w:sz w:val="28"/>
              <w:szCs w:val="28"/>
            </w:rPr>
            <w:tab/>
          </w:r>
          <w:bookmarkStart w:id="2" w:name="_Toc3943_WPSOffice_Level1Page"/>
          <w:r>
            <w:rPr>
              <w:rFonts w:hint="eastAsia" w:asciiTheme="minorEastAsia" w:hAnsiTheme="minorEastAsia" w:eastAsiaTheme="minorEastAsia" w:cstheme="minorEastAsia"/>
              <w:sz w:val="28"/>
              <w:szCs w:val="28"/>
            </w:rPr>
            <w:t>1</w:t>
          </w:r>
          <w:bookmarkEnd w:id="2"/>
          <w:r>
            <w:rPr>
              <w:rFonts w:hint="eastAsia" w:asciiTheme="minorEastAsia" w:hAnsiTheme="minorEastAsia" w:eastAsiaTheme="minorEastAsia" w:cstheme="minorEastAsia"/>
              <w:sz w:val="28"/>
              <w:szCs w:val="28"/>
            </w:rPr>
            <w:fldChar w:fldCharType="end"/>
          </w:r>
        </w:p>
        <w:p>
          <w:pPr>
            <w:pStyle w:val="19"/>
            <w:tabs>
              <w:tab w:val="right" w:leader="dot" w:pos="8312"/>
            </w:tabs>
            <w:spacing w:line="8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"_Toc17758_WPSOffice_Level1"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第四部分通用合同条款</w:t>
          </w:r>
          <w:r>
            <w:rPr>
              <w:rFonts w:hint="eastAsia" w:asciiTheme="minorEastAsia" w:hAnsiTheme="minorEastAsia" w:eastAsiaTheme="minorEastAsia" w:cstheme="minorEastAsia"/>
              <w:sz w:val="28"/>
              <w:szCs w:val="28"/>
            </w:rPr>
            <w:tab/>
          </w:r>
          <w:bookmarkStart w:id="3" w:name="_Toc17758_WPSOffice_Level1Page"/>
          <w:r>
            <w:rPr>
              <w:rFonts w:hint="eastAsia" w:asciiTheme="minorEastAsia" w:hAnsiTheme="minorEastAsia" w:eastAsiaTheme="minorEastAsia" w:cstheme="minorEastAsia"/>
              <w:sz w:val="28"/>
              <w:szCs w:val="28"/>
            </w:rPr>
            <w:t>2</w:t>
          </w:r>
          <w:bookmarkEnd w:id="3"/>
          <w:r>
            <w:rPr>
              <w:rFonts w:hint="eastAsia" w:asciiTheme="minorEastAsia" w:hAnsiTheme="minorEastAsia" w:eastAsiaTheme="minorEastAsia" w:cstheme="minorEastAsia"/>
              <w:sz w:val="28"/>
              <w:szCs w:val="28"/>
            </w:rPr>
            <w:fldChar w:fldCharType="end"/>
          </w:r>
        </w:p>
        <w:p>
          <w:pPr>
            <w:pStyle w:val="19"/>
            <w:tabs>
              <w:tab w:val="right" w:leader="dot" w:pos="8312"/>
            </w:tabs>
            <w:spacing w:line="8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"_Toc5960_WPSOffice_Level1"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第五部分　范本格式</w:t>
          </w:r>
          <w:r>
            <w:rPr>
              <w:rFonts w:hint="eastAsia" w:asciiTheme="minorEastAsia" w:hAnsiTheme="minorEastAsia" w:eastAsiaTheme="minorEastAsia" w:cstheme="minorEastAsia"/>
              <w:sz w:val="28"/>
              <w:szCs w:val="28"/>
            </w:rPr>
            <w:tab/>
          </w:r>
          <w:bookmarkStart w:id="4" w:name="_Toc5960_WPSOffice_Level1Page"/>
          <w:r>
            <w:rPr>
              <w:rFonts w:hint="eastAsia" w:asciiTheme="minorEastAsia" w:hAnsiTheme="minorEastAsia" w:eastAsiaTheme="minorEastAsia" w:cstheme="minorEastAsia"/>
              <w:sz w:val="28"/>
              <w:szCs w:val="28"/>
            </w:rPr>
            <w:t>10</w:t>
          </w:r>
          <w:bookmarkEnd w:id="4"/>
          <w:r>
            <w:rPr>
              <w:rFonts w:hint="eastAsia" w:asciiTheme="minorEastAsia" w:hAnsiTheme="minorEastAsia" w:eastAsiaTheme="minorEastAsia" w:cstheme="minorEastAsia"/>
              <w:sz w:val="28"/>
              <w:szCs w:val="28"/>
            </w:rPr>
            <w:fldChar w:fldCharType="end"/>
          </w:r>
        </w:p>
        <w:p>
          <w:pPr>
            <w:pStyle w:val="19"/>
            <w:tabs>
              <w:tab w:val="right" w:leader="dot" w:pos="8312"/>
            </w:tabs>
            <w:rPr>
              <w:rFonts w:hint="eastAsia" w:asciiTheme="minorEastAsia" w:hAnsiTheme="minorEastAsia" w:eastAsiaTheme="minorEastAsia" w:cstheme="minorEastAsia"/>
              <w:sz w:val="28"/>
              <w:szCs w:val="28"/>
            </w:rPr>
          </w:pPr>
        </w:p>
      </w:sdtContent>
    </w:sdt>
    <w:p>
      <w:pPr>
        <w:pStyle w:val="3"/>
        <w:spacing w:line="400" w:lineRule="atLeast"/>
        <w:ind w:left="0" w:firstLine="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pPr>
        <w:pStyle w:val="3"/>
        <w:spacing w:line="400" w:lineRule="atLeast"/>
        <w:ind w:left="0" w:firstLine="0"/>
        <w:jc w:val="center"/>
        <w:rPr>
          <w:rFonts w:hint="eastAsia" w:asciiTheme="minorEastAsia" w:hAnsiTheme="minorEastAsia" w:eastAsiaTheme="minorEastAsia" w:cstheme="minorEastAsia"/>
          <w:sz w:val="28"/>
          <w:szCs w:val="28"/>
        </w:rPr>
      </w:pPr>
      <w:bookmarkStart w:id="5" w:name="_Toc22794_WPSOffice_Level1"/>
      <w:r>
        <w:rPr>
          <w:rFonts w:hint="eastAsia" w:asciiTheme="minorEastAsia" w:hAnsiTheme="minorEastAsia" w:eastAsiaTheme="minorEastAsia" w:cstheme="minorEastAsia"/>
          <w:sz w:val="28"/>
          <w:szCs w:val="28"/>
        </w:rPr>
        <w:t>第一部分竞争性磋商公告</w:t>
      </w:r>
      <w:bookmarkEnd w:id="5"/>
    </w:p>
    <w:p>
      <w:pPr>
        <w:pStyle w:val="14"/>
        <w:keepNext w:val="0"/>
        <w:keepLines w:val="0"/>
        <w:widowControl/>
        <w:suppressLineNumbers w:val="0"/>
        <w:spacing w:before="255" w:beforeAutospacing="0" w:after="255" w:afterAutospacing="0" w:line="450" w:lineRule="atLeast"/>
        <w:ind w:left="0" w:right="0"/>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rPr>
        <w:t>   </w:t>
      </w:r>
      <w:r>
        <w:rPr>
          <w:rFonts w:hint="eastAsia" w:asciiTheme="minorEastAsia" w:hAnsiTheme="minorEastAsia" w:eastAsiaTheme="minorEastAsia" w:cstheme="minorEastAsia"/>
          <w:kern w:val="2"/>
          <w:sz w:val="28"/>
          <w:szCs w:val="28"/>
          <w:lang w:val="en-US" w:eastAsia="zh-CN" w:bidi="ar-SA"/>
        </w:rPr>
        <w:t> 2022年博州森林火灾高风险区综合治理工程建设项目实施方案（代初步设计）采购项目的潜在供应商应在“博州公共资源交易网”（http://xzfw.xjboz.gov.cn/）获取采购文件，并于2022年8月27日11：00（北京时间）前提交响应文件。</w:t>
      </w:r>
    </w:p>
    <w:p>
      <w:pPr>
        <w:pStyle w:val="14"/>
        <w:keepNext w:val="0"/>
        <w:keepLines w:val="0"/>
        <w:widowControl/>
        <w:suppressLineNumbers w:val="0"/>
        <w:spacing w:before="75" w:beforeAutospacing="0" w:after="75" w:afterAutospacing="0" w:line="300" w:lineRule="atLeast"/>
        <w:ind w:left="0" w:right="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项目编号：HCRHCS2022-010 </w:t>
      </w:r>
    </w:p>
    <w:p>
      <w:pPr>
        <w:pStyle w:val="14"/>
        <w:keepNext w:val="0"/>
        <w:keepLines w:val="0"/>
        <w:widowControl/>
        <w:suppressLineNumbers w:val="0"/>
        <w:spacing w:before="75" w:beforeAutospacing="0" w:after="75" w:afterAutospacing="0" w:line="300" w:lineRule="atLeast"/>
        <w:ind w:left="0" w:right="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项目名称：2022年博州森林火灾高风险区综合治理工程建设项目实施方案（代初步设计） </w:t>
      </w:r>
    </w:p>
    <w:p>
      <w:pPr>
        <w:pStyle w:val="14"/>
        <w:keepNext w:val="0"/>
        <w:keepLines w:val="0"/>
        <w:widowControl/>
        <w:suppressLineNumbers w:val="0"/>
        <w:spacing w:before="75" w:beforeAutospacing="0" w:after="75" w:afterAutospacing="0" w:line="300" w:lineRule="atLeast"/>
        <w:ind w:right="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采购方式：竞争性磋商 </w:t>
      </w:r>
    </w:p>
    <w:p>
      <w:pPr>
        <w:pStyle w:val="14"/>
        <w:keepNext w:val="0"/>
        <w:keepLines w:val="0"/>
        <w:widowControl/>
        <w:suppressLineNumbers w:val="0"/>
        <w:spacing w:before="75" w:beforeAutospacing="0" w:after="75" w:afterAutospacing="0" w:line="300" w:lineRule="atLeast"/>
        <w:ind w:right="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预算金额（元）：600000元</w:t>
      </w:r>
    </w:p>
    <w:p>
      <w:pPr>
        <w:pStyle w:val="14"/>
        <w:keepNext w:val="0"/>
        <w:keepLines w:val="0"/>
        <w:widowControl/>
        <w:suppressLineNumbers w:val="0"/>
        <w:spacing w:before="75" w:beforeAutospacing="0" w:after="75" w:afterAutospacing="0" w:line="300" w:lineRule="atLeast"/>
        <w:ind w:right="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最高限价（元）：600000元 </w:t>
      </w:r>
    </w:p>
    <w:p>
      <w:pPr>
        <w:pStyle w:val="14"/>
        <w:keepNext w:val="0"/>
        <w:keepLines w:val="0"/>
        <w:widowControl/>
        <w:suppressLineNumbers w:val="0"/>
        <w:spacing w:before="75" w:beforeAutospacing="0" w:after="75" w:afterAutospacing="0" w:line="300" w:lineRule="atLeast"/>
        <w:ind w:right="0"/>
        <w:rPr>
          <w:rFonts w:hint="eastAsia" w:asciiTheme="minorEastAsia" w:hAnsiTheme="minorEastAsia" w:eastAsiaTheme="minorEastAsia" w:cstheme="minorEastAsia"/>
          <w:color w:val="0000FF"/>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采购需求：</w:t>
      </w:r>
      <w:r>
        <w:rPr>
          <w:rFonts w:hint="eastAsia" w:asciiTheme="minorEastAsia" w:hAnsiTheme="minorEastAsia" w:eastAsiaTheme="minorEastAsia" w:cstheme="minorEastAsia"/>
          <w:color w:val="auto"/>
          <w:kern w:val="2"/>
          <w:sz w:val="28"/>
          <w:szCs w:val="28"/>
          <w:lang w:val="en-US" w:eastAsia="zh-CN" w:bidi="ar-SA"/>
        </w:rPr>
        <w:t>对博尔塔拉蒙古自治州森林火灾高风险区综合治理工程建设项目2000万实施方案设计。</w:t>
      </w:r>
    </w:p>
    <w:p>
      <w:pPr>
        <w:pStyle w:val="14"/>
        <w:keepNext w:val="0"/>
        <w:keepLines w:val="0"/>
        <w:widowControl/>
        <w:suppressLineNumbers w:val="0"/>
        <w:spacing w:before="75" w:beforeAutospacing="0" w:after="75" w:afterAutospacing="0" w:line="300" w:lineRule="atLeast"/>
        <w:ind w:right="0"/>
        <w:rPr>
          <w:rFonts w:hint="eastAsia" w:asciiTheme="minorEastAsia" w:hAnsiTheme="minorEastAsia" w:eastAsiaTheme="minorEastAsia" w:cstheme="minorEastAsia"/>
          <w:color w:val="0000FF"/>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合同履约期限:</w:t>
      </w:r>
      <w:r>
        <w:rPr>
          <w:rFonts w:hint="eastAsia" w:asciiTheme="minorEastAsia" w:hAnsiTheme="minorEastAsia" w:eastAsiaTheme="minorEastAsia" w:cstheme="minorEastAsia"/>
          <w:color w:val="0000FF"/>
          <w:kern w:val="2"/>
          <w:sz w:val="28"/>
          <w:szCs w:val="28"/>
          <w:lang w:val="en-US" w:eastAsia="zh-CN" w:bidi="ar-SA"/>
        </w:rPr>
        <w:t>签订合同后1个月内供货  </w:t>
      </w:r>
    </w:p>
    <w:p>
      <w:pPr>
        <w:pStyle w:val="14"/>
        <w:keepNext w:val="0"/>
        <w:keepLines w:val="0"/>
        <w:widowControl/>
        <w:suppressLineNumbers w:val="0"/>
        <w:spacing w:before="75" w:beforeAutospacing="0" w:after="75" w:afterAutospacing="0" w:line="300" w:lineRule="atLeast"/>
        <w:ind w:left="0" w:right="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本项目（否）接受联合体投标。  </w:t>
      </w:r>
    </w:p>
    <w:p>
      <w:pPr>
        <w:pStyle w:val="14"/>
        <w:keepNext w:val="0"/>
        <w:keepLines w:val="0"/>
        <w:widowControl/>
        <w:suppressLineNumbers w:val="0"/>
        <w:spacing w:before="255" w:beforeAutospacing="0" w:after="255" w:afterAutospacing="0" w:line="450" w:lineRule="atLeast"/>
        <w:ind w:left="0" w:right="0"/>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二、申请人的资格要求：</w:t>
      </w:r>
    </w:p>
    <w:p>
      <w:pPr>
        <w:pStyle w:val="14"/>
        <w:keepNext w:val="0"/>
        <w:keepLines w:val="0"/>
        <w:widowControl/>
        <w:suppressLineNumbers w:val="0"/>
        <w:spacing w:before="75" w:beforeAutospacing="0" w:after="75" w:afterAutospacing="0" w:line="300" w:lineRule="atLeast"/>
        <w:ind w:left="0" w:right="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1.满足《中华人民共和国政府采购法》第二十二条规定；</w:t>
      </w:r>
    </w:p>
    <w:p>
      <w:pPr>
        <w:pStyle w:val="14"/>
        <w:keepNext w:val="0"/>
        <w:keepLines w:val="0"/>
        <w:widowControl/>
        <w:suppressLineNumbers w:val="0"/>
        <w:spacing w:before="75" w:beforeAutospacing="0" w:after="75" w:afterAutospacing="0" w:line="300" w:lineRule="atLeast"/>
        <w:ind w:left="0" w:right="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2.落实政府采购政策需满足的资格要求：1、《财政部 国家发展改革委关于印发〈节能产品政府采购实施意见〉的通知》（财库〔2004〕185号）；2、《财政部 环保总局关于环境标志产品政府采购实施的意见》（财库〔2006〕90号）；3、《政府采购促进中小企业发展暂行办法》（财库〔2011〕181号）； 4、关于促进残疾人就业政府采购政策的通知》（财库〔2017〕141号）；5、《关于政府采购支持监狱企业发展有关问题的通知》（财库〔2014〕68号）； 6、 财政部办公厅关于疫情防控期间开展政府采购活动有关事项的通知 中华人民共和国财政部办公厅（财办库（【2020】29号）; 7、印发《关于应对新冠肺炎疫情支持中小微企业复工复产健康发展的十六条措施》的通知（新政办发[2020]7号） </w:t>
      </w:r>
    </w:p>
    <w:p>
      <w:pPr>
        <w:pStyle w:val="14"/>
        <w:keepNext w:val="0"/>
        <w:keepLines w:val="0"/>
        <w:widowControl/>
        <w:suppressLineNumbers w:val="0"/>
        <w:spacing w:before="75" w:beforeAutospacing="0" w:after="75" w:afterAutospacing="0" w:line="300" w:lineRule="atLeast"/>
        <w:ind w:left="0" w:right="0" w:firstLine="720"/>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3.本项目的特定资格要求：</w:t>
      </w:r>
      <w:r>
        <w:rPr>
          <w:rFonts w:hint="eastAsia" w:asciiTheme="minorEastAsia" w:hAnsiTheme="minorEastAsia" w:eastAsiaTheme="minorEastAsia" w:cstheme="minorEastAsia"/>
          <w:color w:val="auto"/>
          <w:kern w:val="2"/>
          <w:sz w:val="28"/>
          <w:szCs w:val="28"/>
          <w:lang w:val="en-US" w:eastAsia="zh-CN" w:bidi="ar-SA"/>
        </w:rPr>
        <w:t>投标人须具备林业调查规划设计乙级（含）以上资质并在人员、设备、资金等方面具有相应的能力。未被“信用中国”（ www.creditchina.gov.cn）及中国政府采购网（www.ccgp.gov.cn）列入失信被执行人、重大税收违法案件当事人名单、政府采购严重违法失信行为记录名单的投标人。</w:t>
      </w:r>
    </w:p>
    <w:p>
      <w:pPr>
        <w:spacing w:line="400" w:lineRule="exact"/>
        <w:rPr>
          <w:rFonts w:hint="eastAsia" w:asciiTheme="minorEastAsia" w:hAnsiTheme="minorEastAsia" w:eastAsiaTheme="minorEastAsia" w:cstheme="minorEastAsia"/>
          <w:kern w:val="2"/>
          <w:sz w:val="28"/>
          <w:szCs w:val="28"/>
          <w:lang w:val="en-US" w:eastAsia="zh-CN" w:bidi="ar-SA"/>
        </w:rPr>
      </w:pPr>
      <w:bookmarkStart w:id="6" w:name="_Toc35393800"/>
      <w:bookmarkStart w:id="7" w:name="_Toc35393631"/>
      <w:r>
        <w:rPr>
          <w:rFonts w:hint="eastAsia" w:asciiTheme="minorEastAsia" w:hAnsiTheme="minorEastAsia" w:eastAsiaTheme="minorEastAsia" w:cstheme="minorEastAsia"/>
          <w:kern w:val="2"/>
          <w:sz w:val="28"/>
          <w:szCs w:val="28"/>
          <w:lang w:val="en-US" w:eastAsia="zh-CN" w:bidi="ar-SA"/>
        </w:rPr>
        <w:t>三、获取采购文件</w:t>
      </w:r>
      <w:bookmarkEnd w:id="6"/>
      <w:bookmarkEnd w:id="7"/>
    </w:p>
    <w:p>
      <w:pPr>
        <w:spacing w:line="400" w:lineRule="exact"/>
        <w:ind w:firstLine="840" w:firstLineChars="3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时 间：2022年8月18日至2022年8月26日，每天上午10:00至14:00，下午16:00至20:00（北京时间，法定节假日除外 ）</w:t>
      </w:r>
    </w:p>
    <w:p>
      <w:pPr>
        <w:spacing w:line="400" w:lineRule="exact"/>
        <w:ind w:firstLine="840" w:firstLineChars="3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zh-CN" w:eastAsia="zh-CN" w:bidi="ar-SA"/>
        </w:rPr>
        <w:t>地点</w:t>
      </w:r>
      <w:r>
        <w:rPr>
          <w:rFonts w:hint="eastAsia" w:asciiTheme="minorEastAsia" w:hAnsiTheme="minorEastAsia" w:eastAsiaTheme="minorEastAsia" w:cstheme="minorEastAsia"/>
          <w:kern w:val="2"/>
          <w:sz w:val="28"/>
          <w:szCs w:val="28"/>
          <w:lang w:val="en-US" w:eastAsia="zh-CN" w:bidi="ar-SA"/>
        </w:rPr>
        <w:t>：博州公共资源交易网（http://xzfw.xjboz.gov.cn/）</w:t>
      </w:r>
    </w:p>
    <w:p>
      <w:pPr>
        <w:spacing w:line="400" w:lineRule="exact"/>
        <w:ind w:firstLine="840" w:firstLineChars="3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lang w:val="en-US" w:eastAsia="zh-CN" w:bidi="ar-SA"/>
        </w:rPr>
        <w:t>方式：请使用移动CA数字证书登录博州公共资源交易平台</w:t>
      </w:r>
      <w:r>
        <w:rPr>
          <w:rFonts w:hint="eastAsia" w:asciiTheme="minorEastAsia" w:hAnsiTheme="minorEastAsia" w:eastAsiaTheme="minorEastAsia" w:cstheme="minorEastAsia"/>
          <w:sz w:val="28"/>
          <w:szCs w:val="28"/>
        </w:rPr>
        <w:t>http://xzfw.xjboz.gov.cn/TPBidder领取招标文件，移动CA数字证书“标证通”办理方式见博州公共资源交易网办事指南</w:t>
      </w:r>
    </w:p>
    <w:p>
      <w:pPr>
        <w:spacing w:line="400" w:lineRule="exact"/>
        <w:ind w:firstLine="840" w:firstLineChars="3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售价（元）：/</w:t>
      </w:r>
    </w:p>
    <w:p>
      <w:pPr>
        <w:spacing w:line="400" w:lineRule="exact"/>
        <w:rPr>
          <w:rFonts w:hint="eastAsia" w:asciiTheme="minorEastAsia" w:hAnsiTheme="minorEastAsia" w:eastAsiaTheme="minorEastAsia" w:cstheme="minorEastAsia"/>
          <w:sz w:val="28"/>
          <w:szCs w:val="28"/>
        </w:rPr>
      </w:pPr>
      <w:bookmarkStart w:id="8" w:name="_Toc35393632"/>
      <w:bookmarkStart w:id="9" w:name="_Toc28359092"/>
      <w:bookmarkStart w:id="10" w:name="_Toc28359015"/>
      <w:bookmarkStart w:id="11" w:name="_Toc35393801"/>
      <w:r>
        <w:rPr>
          <w:rFonts w:hint="eastAsia" w:asciiTheme="minorEastAsia" w:hAnsiTheme="minorEastAsia" w:eastAsiaTheme="minorEastAsia" w:cstheme="minorEastAsia"/>
          <w:sz w:val="28"/>
          <w:szCs w:val="28"/>
        </w:rPr>
        <w:t>四、响应文件提交</w:t>
      </w:r>
      <w:bookmarkEnd w:id="8"/>
      <w:bookmarkEnd w:id="9"/>
      <w:bookmarkEnd w:id="10"/>
      <w:bookmarkEnd w:id="11"/>
    </w:p>
    <w:p>
      <w:pPr>
        <w:spacing w:line="400" w:lineRule="exact"/>
        <w:ind w:firstLine="840" w:firstLineChars="3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截止时间：2022年8月</w:t>
      </w:r>
      <w:r>
        <w:rPr>
          <w:rFonts w:hint="eastAsia" w:asciiTheme="minorEastAsia" w:hAnsiTheme="minorEastAsia" w:eastAsiaTheme="minorEastAsia" w:cstheme="minorEastAsia"/>
          <w:sz w:val="28"/>
          <w:szCs w:val="28"/>
          <w:lang w:val="en-US" w:eastAsia="zh-CN"/>
        </w:rPr>
        <w:t>29</w:t>
      </w:r>
      <w:r>
        <w:rPr>
          <w:rFonts w:hint="eastAsia" w:asciiTheme="minorEastAsia" w:hAnsiTheme="minorEastAsia" w:eastAsiaTheme="minorEastAsia" w:cstheme="minorEastAsia"/>
          <w:sz w:val="28"/>
          <w:szCs w:val="28"/>
        </w:rPr>
        <w:t>日</w:t>
      </w:r>
      <w:r>
        <w:rPr>
          <w:rFonts w:hint="eastAsia" w:asciiTheme="minorEastAsia" w:hAnsiTheme="minorEastAsia" w:eastAsiaTheme="minorEastAsia" w:cstheme="minorEastAsia"/>
          <w:sz w:val="28"/>
          <w:szCs w:val="28"/>
          <w:lang w:val="en-US" w:eastAsia="zh-CN"/>
        </w:rPr>
        <w:t>11</w:t>
      </w:r>
      <w:r>
        <w:rPr>
          <w:rFonts w:hint="eastAsia" w:asciiTheme="minorEastAsia" w:hAnsiTheme="minorEastAsia" w:eastAsiaTheme="minorEastAsia" w:cstheme="minorEastAsia"/>
          <w:sz w:val="28"/>
          <w:szCs w:val="28"/>
        </w:rPr>
        <w:t>点00分（北京时间）</w:t>
      </w:r>
    </w:p>
    <w:p>
      <w:pPr>
        <w:spacing w:line="400" w:lineRule="exact"/>
        <w:ind w:firstLine="840" w:firstLineChars="3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地点：请使用移动CA数字证书或CA数字证书登录博州公共资源交易平台http://xzfw.xjboz.gov.cn/网上递交加密文件</w:t>
      </w:r>
    </w:p>
    <w:p>
      <w:pPr>
        <w:spacing w:line="400" w:lineRule="exact"/>
        <w:rPr>
          <w:rFonts w:hint="eastAsia" w:asciiTheme="minorEastAsia" w:hAnsiTheme="minorEastAsia" w:eastAsiaTheme="minorEastAsia" w:cstheme="minorEastAsia"/>
          <w:sz w:val="28"/>
          <w:szCs w:val="28"/>
        </w:rPr>
      </w:pPr>
      <w:bookmarkStart w:id="12" w:name="_Toc35393633"/>
      <w:bookmarkStart w:id="13" w:name="_Toc28359093"/>
      <w:bookmarkStart w:id="14" w:name="_Toc35393802"/>
      <w:bookmarkStart w:id="15" w:name="_Toc28359016"/>
      <w:r>
        <w:rPr>
          <w:rFonts w:hint="eastAsia" w:asciiTheme="minorEastAsia" w:hAnsiTheme="minorEastAsia" w:eastAsiaTheme="minorEastAsia" w:cstheme="minorEastAsia"/>
          <w:sz w:val="28"/>
          <w:szCs w:val="28"/>
        </w:rPr>
        <w:t>五、响应开启</w:t>
      </w:r>
      <w:bookmarkEnd w:id="12"/>
      <w:bookmarkEnd w:id="13"/>
      <w:bookmarkEnd w:id="14"/>
      <w:bookmarkEnd w:id="15"/>
    </w:p>
    <w:p>
      <w:pPr>
        <w:spacing w:line="400" w:lineRule="exact"/>
        <w:ind w:firstLine="840" w:firstLineChars="3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时间：2022年8月</w:t>
      </w:r>
      <w:r>
        <w:rPr>
          <w:rFonts w:hint="eastAsia" w:asciiTheme="minorEastAsia" w:hAnsiTheme="minorEastAsia" w:eastAsiaTheme="minorEastAsia" w:cstheme="minorEastAsia"/>
          <w:sz w:val="28"/>
          <w:szCs w:val="28"/>
          <w:lang w:val="en-US" w:eastAsia="zh-CN"/>
        </w:rPr>
        <w:t>29</w:t>
      </w:r>
      <w:r>
        <w:rPr>
          <w:rFonts w:hint="eastAsia" w:asciiTheme="minorEastAsia" w:hAnsiTheme="minorEastAsia" w:eastAsiaTheme="minorEastAsia" w:cstheme="minorEastAsia"/>
          <w:sz w:val="28"/>
          <w:szCs w:val="28"/>
        </w:rPr>
        <w:t>日</w:t>
      </w:r>
      <w:r>
        <w:rPr>
          <w:rFonts w:hint="eastAsia" w:asciiTheme="minorEastAsia" w:hAnsiTheme="minorEastAsia" w:eastAsiaTheme="minorEastAsia" w:cstheme="minorEastAsia"/>
          <w:sz w:val="28"/>
          <w:szCs w:val="28"/>
          <w:lang w:val="en-US" w:eastAsia="zh-CN"/>
        </w:rPr>
        <w:t>11</w:t>
      </w:r>
      <w:r>
        <w:rPr>
          <w:rFonts w:hint="eastAsia" w:asciiTheme="minorEastAsia" w:hAnsiTheme="minorEastAsia" w:eastAsiaTheme="minorEastAsia" w:cstheme="minorEastAsia"/>
          <w:sz w:val="28"/>
          <w:szCs w:val="28"/>
        </w:rPr>
        <w:t>点00分（北京时间）</w:t>
      </w:r>
    </w:p>
    <w:p>
      <w:pPr>
        <w:spacing w:line="400" w:lineRule="exact"/>
        <w:ind w:firstLine="840" w:firstLineChars="3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地点：</w:t>
      </w:r>
      <w:r>
        <w:rPr>
          <w:rFonts w:hint="eastAsia" w:asciiTheme="minorEastAsia" w:hAnsiTheme="minorEastAsia" w:eastAsiaTheme="minorEastAsia" w:cstheme="minorEastAsia"/>
          <w:sz w:val="28"/>
          <w:szCs w:val="28"/>
          <w:lang w:val="zh-CN"/>
        </w:rPr>
        <w:t>博州公共资源交易中心（锦绣路6号行政服务中心三楼）</w:t>
      </w:r>
    </w:p>
    <w:p>
      <w:pPr>
        <w:spacing w:line="400" w:lineRule="exact"/>
        <w:rPr>
          <w:rFonts w:hint="eastAsia" w:asciiTheme="minorEastAsia" w:hAnsiTheme="minorEastAsia" w:eastAsiaTheme="minorEastAsia" w:cstheme="minorEastAsia"/>
          <w:sz w:val="28"/>
          <w:szCs w:val="28"/>
        </w:rPr>
      </w:pPr>
      <w:bookmarkStart w:id="16" w:name="_Toc35393803"/>
      <w:bookmarkStart w:id="17" w:name="_Toc28359094"/>
      <w:bookmarkStart w:id="18" w:name="_Toc28359017"/>
      <w:bookmarkStart w:id="19" w:name="_Toc35393634"/>
      <w:r>
        <w:rPr>
          <w:rFonts w:hint="eastAsia" w:asciiTheme="minorEastAsia" w:hAnsiTheme="minorEastAsia" w:eastAsiaTheme="minorEastAsia" w:cstheme="minorEastAsia"/>
          <w:sz w:val="28"/>
          <w:szCs w:val="28"/>
        </w:rPr>
        <w:t>六、公告期限</w:t>
      </w:r>
      <w:bookmarkEnd w:id="16"/>
      <w:bookmarkEnd w:id="17"/>
      <w:bookmarkEnd w:id="18"/>
      <w:bookmarkEnd w:id="19"/>
    </w:p>
    <w:p>
      <w:pPr>
        <w:spacing w:line="400" w:lineRule="exact"/>
        <w:ind w:firstLine="840" w:firstLineChars="3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自本公告发布之日起5个工作日。</w:t>
      </w:r>
    </w:p>
    <w:p>
      <w:pPr>
        <w:spacing w:line="400" w:lineRule="exact"/>
        <w:rPr>
          <w:rFonts w:hint="eastAsia" w:asciiTheme="minorEastAsia" w:hAnsiTheme="minorEastAsia" w:eastAsiaTheme="minorEastAsia" w:cstheme="minorEastAsia"/>
          <w:sz w:val="28"/>
          <w:szCs w:val="28"/>
        </w:rPr>
      </w:pPr>
      <w:bookmarkStart w:id="20" w:name="_Toc35393804"/>
      <w:bookmarkStart w:id="21" w:name="_Toc35393635"/>
      <w:r>
        <w:rPr>
          <w:rFonts w:hint="eastAsia" w:asciiTheme="minorEastAsia" w:hAnsiTheme="minorEastAsia" w:eastAsiaTheme="minorEastAsia" w:cstheme="minorEastAsia"/>
          <w:sz w:val="28"/>
          <w:szCs w:val="28"/>
        </w:rPr>
        <w:t>七、其他补充事宜</w:t>
      </w:r>
      <w:bookmarkEnd w:id="20"/>
      <w:bookmarkEnd w:id="21"/>
    </w:p>
    <w:p>
      <w:pPr>
        <w:spacing w:line="400" w:lineRule="exact"/>
        <w:ind w:firstLine="840" w:firstLineChars="300"/>
        <w:rPr>
          <w:rFonts w:hint="eastAsia" w:asciiTheme="minorEastAsia" w:hAnsiTheme="minorEastAsia" w:eastAsiaTheme="minorEastAsia" w:cstheme="minorEastAsia"/>
          <w:sz w:val="28"/>
          <w:szCs w:val="28"/>
          <w:lang w:val="zh-CN"/>
        </w:rPr>
      </w:pPr>
      <w:bookmarkStart w:id="22" w:name="_Toc28359018"/>
      <w:bookmarkStart w:id="23" w:name="_Toc35393805"/>
      <w:bookmarkStart w:id="24" w:name="_Toc28359095"/>
      <w:bookmarkStart w:id="25" w:name="_Toc35393636"/>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zh-CN"/>
        </w:rPr>
        <w:t>投标单位到博州公共资源交易网站登陆查看公告，实行网上报名（登陆“博州公共资源交易网”（http://xzfw.xjboz.gov.cn/），选择 “交易主体登录”，进行“供应商”会员注册, 会员注册后即可在网上报名、下载采购文件。）操作手册见公共资源网服务指南，软件咨询联系方式：400-</w:t>
      </w:r>
      <w:r>
        <w:rPr>
          <w:rFonts w:hint="eastAsia" w:asciiTheme="minorEastAsia" w:hAnsiTheme="minorEastAsia" w:eastAsiaTheme="minorEastAsia" w:cstheme="minorEastAsia"/>
          <w:sz w:val="28"/>
          <w:szCs w:val="28"/>
        </w:rPr>
        <w:t>99</w:t>
      </w:r>
      <w:r>
        <w:rPr>
          <w:rFonts w:hint="eastAsia" w:asciiTheme="minorEastAsia" w:hAnsiTheme="minorEastAsia" w:eastAsiaTheme="minorEastAsia" w:cstheme="minorEastAsia"/>
          <w:sz w:val="28"/>
          <w:szCs w:val="28"/>
          <w:lang w:val="zh-CN"/>
        </w:rPr>
        <w:t>8-00</w:t>
      </w:r>
      <w:r>
        <w:rPr>
          <w:rFonts w:hint="eastAsia" w:asciiTheme="minorEastAsia" w:hAnsiTheme="minorEastAsia" w:eastAsiaTheme="minorEastAsia" w:cstheme="minorEastAsia"/>
          <w:sz w:val="28"/>
          <w:szCs w:val="28"/>
        </w:rPr>
        <w:t>00</w:t>
      </w:r>
      <w:r>
        <w:rPr>
          <w:rFonts w:hint="eastAsia" w:asciiTheme="minorEastAsia" w:hAnsiTheme="minorEastAsia" w:eastAsiaTheme="minorEastAsia" w:cstheme="minorEastAsia"/>
          <w:sz w:val="28"/>
          <w:szCs w:val="28"/>
          <w:lang w:val="zh-CN"/>
        </w:rPr>
        <w:t>。</w:t>
      </w:r>
    </w:p>
    <w:p>
      <w:pPr>
        <w:spacing w:line="400" w:lineRule="exact"/>
        <w:ind w:firstLine="840" w:firstLineChars="300"/>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rPr>
        <w:t>2、特别提示：1.超过200万元的货物和服务采购项目、超过400万元的工程采购项目中适宜由中小企业提供的，预留该部分采购项目预算总额的40%以上专门面向中小企业采购，其中预留给小微企业的比例不低于60%。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spacing w:line="4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八、凡对本次采购提出询问，请按以下方式联系。</w:t>
      </w:r>
      <w:bookmarkEnd w:id="22"/>
      <w:bookmarkEnd w:id="23"/>
      <w:bookmarkEnd w:id="24"/>
      <w:bookmarkEnd w:id="25"/>
    </w:p>
    <w:p>
      <w:pPr>
        <w:spacing w:line="400" w:lineRule="exact"/>
        <w:ind w:firstLine="840" w:firstLineChars="300"/>
        <w:rPr>
          <w:rFonts w:hint="eastAsia" w:asciiTheme="minorEastAsia" w:hAnsiTheme="minorEastAsia" w:eastAsiaTheme="minorEastAsia" w:cstheme="minorEastAsia"/>
          <w:sz w:val="28"/>
          <w:szCs w:val="28"/>
        </w:rPr>
      </w:pPr>
      <w:bookmarkStart w:id="26" w:name="_Toc28359096"/>
      <w:bookmarkStart w:id="27" w:name="_Toc28359019"/>
      <w:bookmarkStart w:id="28" w:name="_Toc35393806"/>
      <w:bookmarkStart w:id="29" w:name="_Toc35393637"/>
      <w:r>
        <w:rPr>
          <w:rFonts w:hint="eastAsia" w:asciiTheme="minorEastAsia" w:hAnsiTheme="minorEastAsia" w:eastAsiaTheme="minorEastAsia" w:cstheme="minorEastAsia"/>
          <w:sz w:val="28"/>
          <w:szCs w:val="28"/>
        </w:rPr>
        <w:t>1.采购人信息</w:t>
      </w:r>
      <w:bookmarkEnd w:id="26"/>
      <w:bookmarkEnd w:id="27"/>
      <w:bookmarkEnd w:id="28"/>
      <w:bookmarkEnd w:id="29"/>
    </w:p>
    <w:p>
      <w:pPr>
        <w:spacing w:line="400" w:lineRule="exact"/>
        <w:ind w:firstLine="840" w:firstLineChars="3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名   称：博尔塔拉蒙古自治州林业和草原局</w:t>
      </w:r>
    </w:p>
    <w:p>
      <w:pPr>
        <w:spacing w:line="400" w:lineRule="exact"/>
        <w:ind w:firstLine="840" w:firstLineChars="3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   址：</w:t>
      </w:r>
      <w:r>
        <w:rPr>
          <w:rFonts w:hint="eastAsia" w:asciiTheme="minorEastAsia" w:hAnsiTheme="minorEastAsia" w:eastAsiaTheme="minorEastAsia" w:cstheme="minorEastAsia"/>
          <w:color w:val="auto"/>
          <w:sz w:val="28"/>
          <w:szCs w:val="28"/>
          <w:u w:val="none"/>
          <w:lang w:eastAsia="zh-CN"/>
        </w:rPr>
        <w:t>博州博乐市北京南路4号</w:t>
      </w:r>
      <w:r>
        <w:rPr>
          <w:rFonts w:hint="eastAsia" w:asciiTheme="minorEastAsia" w:hAnsiTheme="minorEastAsia" w:eastAsiaTheme="minorEastAsia" w:cstheme="minorEastAsia"/>
          <w:sz w:val="28"/>
          <w:szCs w:val="28"/>
        </w:rPr>
        <w:t>　　　　  　</w:t>
      </w:r>
    </w:p>
    <w:p>
      <w:pPr>
        <w:spacing w:line="400" w:lineRule="exact"/>
        <w:ind w:firstLine="840" w:firstLineChars="3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sz w:val="28"/>
          <w:szCs w:val="28"/>
        </w:rPr>
        <w:t>联</w:t>
      </w:r>
      <w:r>
        <w:rPr>
          <w:rFonts w:hint="eastAsia" w:asciiTheme="minorEastAsia" w:hAnsiTheme="minorEastAsia" w:eastAsiaTheme="minorEastAsia" w:cstheme="minorEastAsia"/>
          <w:color w:val="auto"/>
          <w:sz w:val="28"/>
          <w:szCs w:val="28"/>
        </w:rPr>
        <w:t>系人：</w:t>
      </w:r>
      <w:r>
        <w:rPr>
          <w:rFonts w:hint="eastAsia" w:asciiTheme="minorEastAsia" w:hAnsiTheme="minorEastAsia" w:eastAsiaTheme="minorEastAsia" w:cstheme="minorEastAsia"/>
          <w:sz w:val="28"/>
          <w:szCs w:val="28"/>
        </w:rPr>
        <w:t>袁剑锋</w:t>
      </w:r>
      <w:r>
        <w:rPr>
          <w:rFonts w:hint="eastAsia" w:asciiTheme="minorEastAsia" w:hAnsiTheme="minorEastAsia" w:eastAsiaTheme="minorEastAsia" w:cstheme="minorEastAsia"/>
          <w:color w:val="auto"/>
          <w:sz w:val="28"/>
          <w:szCs w:val="28"/>
        </w:rPr>
        <w:t xml:space="preserve">           </w:t>
      </w:r>
    </w:p>
    <w:p>
      <w:pPr>
        <w:spacing w:line="400" w:lineRule="exact"/>
        <w:ind w:firstLine="840" w:firstLineChars="3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联系方式：</w:t>
      </w:r>
      <w:r>
        <w:rPr>
          <w:rFonts w:hint="eastAsia" w:asciiTheme="minorEastAsia" w:hAnsiTheme="minorEastAsia" w:eastAsiaTheme="minorEastAsia" w:cstheme="minorEastAsia"/>
          <w:sz w:val="28"/>
          <w:szCs w:val="28"/>
        </w:rPr>
        <w:t>1377902821</w:t>
      </w:r>
      <w:r>
        <w:rPr>
          <w:rFonts w:hint="eastAsia" w:asciiTheme="minorEastAsia" w:hAnsiTheme="minorEastAsia" w:eastAsiaTheme="minorEastAsia" w:cstheme="minorEastAsia"/>
          <w:sz w:val="28"/>
          <w:szCs w:val="28"/>
          <w:lang w:val="en-US" w:eastAsia="zh-CN"/>
        </w:rPr>
        <w:t>8</w:t>
      </w:r>
    </w:p>
    <w:p>
      <w:pPr>
        <w:spacing w:line="400" w:lineRule="exact"/>
        <w:ind w:firstLine="840" w:firstLineChars="300"/>
        <w:rPr>
          <w:rFonts w:hint="eastAsia" w:asciiTheme="minorEastAsia" w:hAnsiTheme="minorEastAsia" w:eastAsiaTheme="minorEastAsia" w:cstheme="minorEastAsia"/>
          <w:color w:val="auto"/>
          <w:sz w:val="28"/>
          <w:szCs w:val="28"/>
        </w:rPr>
      </w:pPr>
      <w:bookmarkStart w:id="30" w:name="_Toc28359097"/>
      <w:bookmarkStart w:id="31" w:name="_Toc35393638"/>
      <w:bookmarkStart w:id="32" w:name="_Toc28359020"/>
      <w:bookmarkStart w:id="33" w:name="_Toc35393807"/>
      <w:r>
        <w:rPr>
          <w:rFonts w:hint="eastAsia" w:asciiTheme="minorEastAsia" w:hAnsiTheme="minorEastAsia" w:eastAsiaTheme="minorEastAsia" w:cstheme="minorEastAsia"/>
          <w:color w:val="auto"/>
          <w:sz w:val="28"/>
          <w:szCs w:val="28"/>
        </w:rPr>
        <w:t>2.采购代理机构信息</w:t>
      </w:r>
      <w:bookmarkEnd w:id="30"/>
      <w:bookmarkEnd w:id="31"/>
      <w:bookmarkEnd w:id="32"/>
      <w:bookmarkEnd w:id="33"/>
    </w:p>
    <w:p>
      <w:pPr>
        <w:spacing w:line="400" w:lineRule="exact"/>
        <w:ind w:firstLine="840" w:firstLineChars="3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名  称：新疆宏成润和工程管理有限公司　　</w:t>
      </w:r>
    </w:p>
    <w:p>
      <w:pPr>
        <w:spacing w:line="400" w:lineRule="exact"/>
        <w:ind w:firstLine="840" w:firstLineChars="3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  址：新疆博州博乐市南城区街道五台路龙文水岸花苑小区2号楼2层02号门面房　　</w:t>
      </w:r>
    </w:p>
    <w:p>
      <w:pPr>
        <w:spacing w:line="400" w:lineRule="exact"/>
        <w:ind w:firstLine="840" w:firstLineChars="3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联系人：刘蕾             </w:t>
      </w:r>
    </w:p>
    <w:p>
      <w:pPr>
        <w:spacing w:line="400" w:lineRule="exact"/>
        <w:ind w:firstLine="840" w:firstLineChars="3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电  话：18742681321　　　                       　</w:t>
      </w:r>
    </w:p>
    <w:p>
      <w:pPr>
        <w:spacing w:line="400" w:lineRule="exact"/>
        <w:ind w:firstLine="840" w:firstLineChars="3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spacing w:line="400" w:lineRule="exact"/>
        <w:ind w:firstLine="840" w:firstLineChars="3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zh-CN"/>
        </w:rPr>
        <w:t>　　</w:t>
      </w:r>
      <w:r>
        <w:rPr>
          <w:rFonts w:hint="eastAsia" w:asciiTheme="minorEastAsia" w:hAnsiTheme="minorEastAsia" w:eastAsiaTheme="minorEastAsia" w:cstheme="minorEastAsia"/>
          <w:sz w:val="28"/>
          <w:szCs w:val="28"/>
        </w:rPr>
        <w:t xml:space="preserve">　            </w:t>
      </w:r>
    </w:p>
    <w:p>
      <w:pPr>
        <w:rPr>
          <w:rFonts w:hint="eastAsia" w:asciiTheme="minorEastAsia" w:hAnsiTheme="minorEastAsia" w:eastAsiaTheme="minorEastAsia" w:cstheme="minorEastAsia"/>
          <w:sz w:val="28"/>
          <w:szCs w:val="28"/>
        </w:rPr>
      </w:pPr>
    </w:p>
    <w:p>
      <w:pPr>
        <w:ind w:firstLine="756" w:firstLineChars="270"/>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bookmarkStart w:id="34" w:name="_Toc9092_WPSOffice_Level1"/>
      <w:bookmarkStart w:id="35" w:name="_Toc12532071"/>
      <w:bookmarkStart w:id="36" w:name="_Toc25003"/>
      <w:r>
        <w:rPr>
          <w:rFonts w:hint="eastAsia" w:asciiTheme="minorEastAsia" w:hAnsiTheme="minorEastAsia" w:eastAsiaTheme="minorEastAsia" w:cstheme="minorEastAsia"/>
          <w:sz w:val="28"/>
          <w:szCs w:val="28"/>
        </w:rPr>
        <w:br w:type="page"/>
      </w:r>
    </w:p>
    <w:p>
      <w:pPr>
        <w:pStyle w:val="3"/>
        <w:spacing w:line="400" w:lineRule="atLeast"/>
        <w:ind w:left="0" w:firstLine="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第二部分供应商须知</w:t>
      </w:r>
      <w:bookmarkEnd w:id="34"/>
      <w:bookmarkEnd w:id="35"/>
      <w:bookmarkEnd w:id="36"/>
    </w:p>
    <w:p>
      <w:pPr>
        <w:pStyle w:val="4"/>
        <w:spacing w:before="0" w:after="100" w:afterAutospacing="1" w:line="400" w:lineRule="atLeast"/>
        <w:jc w:val="center"/>
        <w:rPr>
          <w:rFonts w:hint="eastAsia" w:asciiTheme="minorEastAsia" w:hAnsiTheme="minorEastAsia" w:eastAsiaTheme="minorEastAsia" w:cstheme="minorEastAsia"/>
          <w:sz w:val="28"/>
          <w:szCs w:val="28"/>
        </w:rPr>
      </w:pPr>
      <w:bookmarkStart w:id="37" w:name="_Toc10287"/>
      <w:bookmarkStart w:id="38" w:name="_Toc12532072"/>
      <w:bookmarkStart w:id="39" w:name="_Toc349573120"/>
      <w:bookmarkStart w:id="40" w:name="_Toc9171"/>
      <w:bookmarkStart w:id="41" w:name="_Toc298240404"/>
      <w:bookmarkStart w:id="42" w:name="_Toc267301281"/>
      <w:bookmarkStart w:id="43" w:name="_Toc349637919"/>
      <w:r>
        <w:rPr>
          <w:rFonts w:hint="eastAsia" w:asciiTheme="minorEastAsia" w:hAnsiTheme="minorEastAsia" w:eastAsiaTheme="minorEastAsia" w:cstheme="minorEastAsia"/>
          <w:sz w:val="28"/>
          <w:szCs w:val="28"/>
        </w:rPr>
        <w:t>供应商须知附表</w:t>
      </w:r>
      <w:bookmarkEnd w:id="37"/>
      <w:bookmarkEnd w:id="38"/>
      <w:bookmarkEnd w:id="39"/>
      <w:bookmarkEnd w:id="40"/>
      <w:bookmarkEnd w:id="41"/>
      <w:bookmarkEnd w:id="42"/>
      <w:bookmarkEnd w:id="43"/>
    </w:p>
    <w:tbl>
      <w:tblPr>
        <w:tblStyle w:val="15"/>
        <w:tblW w:w="996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6"/>
        <w:gridCol w:w="1526"/>
        <w:gridCol w:w="76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序号</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963"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项目名称：</w:t>
            </w:r>
            <w:r>
              <w:rPr>
                <w:rFonts w:hint="eastAsia" w:asciiTheme="minorEastAsia" w:hAnsiTheme="minorEastAsia" w:eastAsiaTheme="minorEastAsia" w:cstheme="minorEastAsia"/>
                <w:sz w:val="28"/>
                <w:szCs w:val="28"/>
                <w:lang w:eastAsia="zh-CN"/>
              </w:rPr>
              <w:t>2022年博州森林火灾高风险区综合治理工程建设项目实施方案（代初步设计）</w:t>
            </w:r>
          </w:p>
          <w:p>
            <w:pPr>
              <w:spacing w:line="420" w:lineRule="exac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项目编号：</w:t>
            </w:r>
            <w:r>
              <w:rPr>
                <w:rFonts w:hint="eastAsia" w:asciiTheme="minorEastAsia" w:hAnsiTheme="minorEastAsia" w:eastAsiaTheme="minorEastAsia" w:cstheme="minorEastAsia"/>
                <w:sz w:val="28"/>
                <w:szCs w:val="28"/>
                <w:lang w:eastAsia="zh-CN"/>
              </w:rPr>
              <w:t>HCRHCS2022-010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招标人名称：</w:t>
            </w:r>
            <w:r>
              <w:rPr>
                <w:rFonts w:hint="eastAsia" w:asciiTheme="minorEastAsia" w:hAnsiTheme="minorEastAsia" w:eastAsiaTheme="minorEastAsia" w:cstheme="minorEastAsia"/>
                <w:sz w:val="28"/>
                <w:szCs w:val="28"/>
                <w:lang w:eastAsia="zh-CN"/>
              </w:rPr>
              <w:t>博尔塔拉蒙古自治州林业和草原局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4"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招标代理机构名称：</w:t>
            </w:r>
            <w:r>
              <w:rPr>
                <w:rFonts w:hint="eastAsia" w:asciiTheme="minorEastAsia" w:hAnsiTheme="minorEastAsia" w:eastAsiaTheme="minorEastAsia" w:cstheme="minorEastAsia"/>
                <w:sz w:val="28"/>
                <w:szCs w:val="28"/>
                <w:lang w:eastAsia="zh-CN"/>
              </w:rPr>
              <w:t xml:space="preserve">新疆宏成润和工程管理有限公司 </w:t>
            </w:r>
          </w:p>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单位地址：新疆博州博乐市南城区街道五台路龙文水岸花苑小区2号楼2层02号门面房　　</w:t>
            </w:r>
          </w:p>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电话</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18742681321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磋商响应有效期：</w:t>
            </w:r>
            <w:r>
              <w:rPr>
                <w:rFonts w:hint="eastAsia" w:asciiTheme="minorEastAsia" w:hAnsiTheme="minorEastAsia" w:eastAsiaTheme="minorEastAsia" w:cstheme="minorEastAsia"/>
                <w:sz w:val="28"/>
                <w:szCs w:val="28"/>
                <w:lang w:val="en-US" w:eastAsia="zh-CN"/>
              </w:rPr>
              <w:t>45</w:t>
            </w:r>
            <w:r>
              <w:rPr>
                <w:rFonts w:hint="eastAsia" w:asciiTheme="minorEastAsia" w:hAnsiTheme="minorEastAsia" w:eastAsiaTheme="minorEastAsia" w:cstheme="minorEastAsia"/>
                <w:sz w:val="28"/>
                <w:szCs w:val="28"/>
              </w:rPr>
              <w:t>天（如不满足将导致废标）</w:t>
            </w:r>
          </w:p>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磋商保证金有效期应当与磋商响应有效期一致。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磋商响应语言：中文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磋商内容：</w:t>
            </w:r>
            <w:r>
              <w:rPr>
                <w:rFonts w:hint="eastAsia" w:asciiTheme="minorEastAsia" w:hAnsiTheme="minorEastAsia" w:eastAsiaTheme="minorEastAsia" w:cstheme="minorEastAsia"/>
                <w:color w:val="auto"/>
                <w:kern w:val="0"/>
                <w:sz w:val="28"/>
                <w:szCs w:val="28"/>
                <w:lang w:val="en-US" w:eastAsia="zh-CN" w:bidi="ar-SA"/>
              </w:rPr>
              <w:t>对博尔塔拉蒙古自治州森林火灾高风险区综合治理工程建设项目2000万实施方案设计</w:t>
            </w:r>
            <w:r>
              <w:rPr>
                <w:rFonts w:hint="eastAsia" w:asciiTheme="minorEastAsia" w:hAnsiTheme="minorEastAsia" w:eastAsiaTheme="minorEastAsia" w:cstheme="minorEastAsia"/>
                <w:color w:val="0000FF"/>
                <w:kern w:val="0"/>
                <w:sz w:val="28"/>
                <w:szCs w:val="28"/>
                <w:lang w:val="en-US" w:eastAsia="zh-CN" w:bidi="ar-S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6"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项目控制价：</w:t>
            </w:r>
            <w:r>
              <w:rPr>
                <w:rFonts w:hint="eastAsia" w:asciiTheme="minorEastAsia" w:hAnsiTheme="minorEastAsia" w:eastAsiaTheme="minorEastAsia" w:cstheme="minorEastAsia"/>
                <w:sz w:val="28"/>
                <w:szCs w:val="28"/>
                <w:lang w:val="en-US" w:eastAsia="zh-CN"/>
              </w:rPr>
              <w:t>60</w:t>
            </w:r>
            <w:r>
              <w:rPr>
                <w:rFonts w:hint="eastAsia" w:asciiTheme="minorEastAsia" w:hAnsiTheme="minorEastAsia" w:eastAsiaTheme="minorEastAsia" w:cstheme="minorEastAsia"/>
                <w:sz w:val="28"/>
                <w:szCs w:val="28"/>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 w:hRule="atLeast"/>
          <w:jc w:val="center"/>
        </w:trPr>
        <w:tc>
          <w:tcPr>
            <w:tcW w:w="9963"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磋商响应文件的编制和递交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tabs>
                <w:tab w:val="left" w:pos="252"/>
                <w:tab w:val="left" w:pos="671"/>
              </w:tabs>
              <w:jc w:val="center"/>
              <w:rPr>
                <w:rFonts w:hint="eastAsia" w:asciiTheme="minorEastAsia" w:hAnsiTheme="minorEastAsia" w:eastAsiaTheme="minorEastAsia" w:cstheme="minorEastAsia"/>
                <w:spacing w:val="8"/>
                <w:sz w:val="28"/>
                <w:szCs w:val="28"/>
              </w:rPr>
            </w:pPr>
            <w:r>
              <w:rPr>
                <w:rFonts w:hint="eastAsia" w:asciiTheme="minorEastAsia" w:hAnsiTheme="minorEastAsia" w:eastAsiaTheme="minorEastAsia" w:cstheme="minorEastAsia"/>
                <w:spacing w:val="8"/>
                <w:sz w:val="28"/>
                <w:szCs w:val="28"/>
              </w:rPr>
              <w:t>9</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8"/>
                <w:sz w:val="28"/>
                <w:szCs w:val="28"/>
              </w:rPr>
              <w:t>供</w:t>
            </w:r>
            <w:r>
              <w:rPr>
                <w:rFonts w:hint="eastAsia" w:asciiTheme="minorEastAsia" w:hAnsiTheme="minorEastAsia" w:eastAsiaTheme="minorEastAsia" w:cstheme="minorEastAsia"/>
                <w:sz w:val="28"/>
                <w:szCs w:val="28"/>
              </w:rPr>
              <w:t>应商资格标准：</w:t>
            </w:r>
          </w:p>
          <w:p>
            <w:pPr>
              <w:pStyle w:val="14"/>
              <w:keepNext w:val="0"/>
              <w:keepLines w:val="0"/>
              <w:widowControl/>
              <w:suppressLineNumbers w:val="0"/>
              <w:spacing w:before="75" w:beforeAutospacing="0" w:after="75" w:afterAutospacing="0" w:line="300" w:lineRule="atLeast"/>
              <w:ind w:right="0"/>
              <w:rPr>
                <w:rFonts w:hint="eastAsia" w:asciiTheme="minorEastAsia" w:hAnsiTheme="minorEastAsia" w:eastAsiaTheme="minorEastAsia" w:cstheme="minorEastAsia"/>
                <w:sz w:val="28"/>
                <w:szCs w:val="28"/>
                <w:lang w:val="zh-CN" w:eastAsia="zh-CN"/>
              </w:rPr>
            </w:pPr>
            <w:r>
              <w:rPr>
                <w:rFonts w:hint="eastAsia" w:asciiTheme="minorEastAsia" w:hAnsiTheme="minorEastAsia" w:eastAsiaTheme="minorEastAsia" w:cstheme="minorEastAsia"/>
                <w:sz w:val="28"/>
                <w:szCs w:val="28"/>
                <w:lang w:val="zh-CN" w:eastAsia="zh-CN"/>
              </w:rPr>
              <w:t>1.投标人须符合《政府采购法》第二十二条规定条件；</w:t>
            </w:r>
          </w:p>
          <w:p>
            <w:pPr>
              <w:pStyle w:val="14"/>
              <w:keepNext w:val="0"/>
              <w:keepLines w:val="0"/>
              <w:widowControl/>
              <w:suppressLineNumbers w:val="0"/>
              <w:spacing w:before="75" w:beforeAutospacing="0" w:after="75" w:afterAutospacing="0" w:line="300" w:lineRule="atLeast"/>
              <w:ind w:right="0"/>
              <w:rPr>
                <w:rFonts w:hint="eastAsia" w:asciiTheme="minorEastAsia" w:hAnsiTheme="minorEastAsia" w:eastAsiaTheme="minorEastAsia" w:cstheme="minorEastAsia"/>
                <w:sz w:val="28"/>
                <w:szCs w:val="28"/>
                <w:lang w:val="zh-CN" w:eastAsia="zh-CN"/>
              </w:rPr>
            </w:pPr>
            <w:r>
              <w:rPr>
                <w:rFonts w:hint="eastAsia" w:asciiTheme="minorEastAsia" w:hAnsiTheme="minorEastAsia" w:eastAsiaTheme="minorEastAsia" w:cstheme="minorEastAsia"/>
                <w:sz w:val="28"/>
                <w:szCs w:val="28"/>
                <w:lang w:val="zh-CN" w:eastAsia="zh-CN"/>
              </w:rPr>
              <w:t>2.提供营业执照副本复印件加盖公章或事业单位法人证书复印件加盖公章；</w:t>
            </w:r>
          </w:p>
          <w:p>
            <w:pPr>
              <w:pStyle w:val="14"/>
              <w:keepNext w:val="0"/>
              <w:keepLines w:val="0"/>
              <w:widowControl/>
              <w:suppressLineNumbers w:val="0"/>
              <w:spacing w:before="75" w:beforeAutospacing="0" w:after="75" w:afterAutospacing="0" w:line="300" w:lineRule="atLeast"/>
              <w:ind w:right="0"/>
              <w:rPr>
                <w:rFonts w:hint="eastAsia" w:asciiTheme="minorEastAsia" w:hAnsiTheme="minorEastAsia" w:eastAsiaTheme="minorEastAsia" w:cstheme="minorEastAsia"/>
                <w:sz w:val="28"/>
                <w:szCs w:val="28"/>
                <w:lang w:val="zh-CN" w:eastAsia="zh-CN"/>
              </w:rPr>
            </w:pPr>
            <w:r>
              <w:rPr>
                <w:rFonts w:hint="eastAsia" w:asciiTheme="minorEastAsia" w:hAnsiTheme="minorEastAsia" w:eastAsiaTheme="minorEastAsia" w:cstheme="minorEastAsia"/>
                <w:sz w:val="28"/>
                <w:szCs w:val="28"/>
                <w:lang w:val="zh-CN" w:eastAsia="zh-CN"/>
              </w:rPr>
              <w:t>3.法人授权委托书（原件），被授权人身份证或法人身份证（投标代表为法人时）（原件）；</w:t>
            </w:r>
          </w:p>
          <w:p>
            <w:pPr>
              <w:pStyle w:val="14"/>
              <w:keepNext w:val="0"/>
              <w:keepLines w:val="0"/>
              <w:widowControl/>
              <w:suppressLineNumbers w:val="0"/>
              <w:spacing w:before="75" w:beforeAutospacing="0" w:after="75" w:afterAutospacing="0" w:line="300" w:lineRule="atLeast"/>
              <w:ind w:right="0"/>
              <w:rPr>
                <w:rFonts w:hint="eastAsia" w:asciiTheme="minorEastAsia" w:hAnsiTheme="minorEastAsia" w:eastAsiaTheme="minorEastAsia" w:cstheme="minorEastAsia"/>
                <w:color w:val="0000FF"/>
                <w:sz w:val="28"/>
                <w:szCs w:val="28"/>
                <w:lang w:val="zh-CN" w:eastAsia="zh-CN"/>
              </w:rPr>
            </w:pPr>
            <w:r>
              <w:rPr>
                <w:rFonts w:hint="eastAsia" w:asciiTheme="minorEastAsia" w:hAnsiTheme="minorEastAsia" w:eastAsiaTheme="minorEastAsia" w:cstheme="minorEastAsia"/>
                <w:sz w:val="28"/>
                <w:szCs w:val="28"/>
                <w:lang w:val="zh-CN" w:eastAsia="zh-CN"/>
              </w:rPr>
              <w:t>4</w:t>
            </w:r>
            <w:r>
              <w:rPr>
                <w:rFonts w:hint="eastAsia" w:asciiTheme="minorEastAsia" w:hAnsiTheme="minorEastAsia" w:eastAsiaTheme="minorEastAsia" w:cstheme="minorEastAsia"/>
                <w:color w:val="0000FF"/>
                <w:sz w:val="28"/>
                <w:szCs w:val="28"/>
                <w:lang w:val="zh-CN" w:eastAsia="zh-CN"/>
              </w:rPr>
              <w:t>.</w:t>
            </w:r>
            <w:r>
              <w:rPr>
                <w:rFonts w:hint="eastAsia" w:asciiTheme="minorEastAsia" w:hAnsiTheme="minorEastAsia" w:eastAsiaTheme="minorEastAsia" w:cstheme="minorEastAsia"/>
                <w:color w:val="auto"/>
                <w:sz w:val="28"/>
                <w:szCs w:val="28"/>
                <w:lang w:val="zh-CN" w:eastAsia="zh-CN"/>
              </w:rPr>
              <w:t>有效期内的</w:t>
            </w:r>
            <w:r>
              <w:rPr>
                <w:rFonts w:hint="eastAsia" w:asciiTheme="minorEastAsia" w:hAnsiTheme="minorEastAsia" w:eastAsiaTheme="minorEastAsia" w:cstheme="minorEastAsia"/>
                <w:color w:val="auto"/>
                <w:kern w:val="2"/>
                <w:sz w:val="28"/>
                <w:szCs w:val="28"/>
                <w:lang w:val="en-US" w:eastAsia="zh-CN" w:bidi="ar-SA"/>
              </w:rPr>
              <w:t>林业调查规划设计乙级（含）以上资质证书；</w:t>
            </w:r>
            <w:r>
              <w:rPr>
                <w:rFonts w:hint="eastAsia" w:asciiTheme="minorEastAsia" w:hAnsiTheme="minorEastAsia" w:eastAsiaTheme="minorEastAsia" w:cstheme="minorEastAsia"/>
                <w:color w:val="auto"/>
                <w:sz w:val="28"/>
                <w:szCs w:val="28"/>
                <w:lang w:val="zh-CN" w:eastAsia="zh-CN"/>
              </w:rPr>
              <w:t>（副本原件或复印件加盖公章）</w:t>
            </w:r>
            <w:r>
              <w:rPr>
                <w:rFonts w:hint="eastAsia" w:asciiTheme="minorEastAsia" w:hAnsiTheme="minorEastAsia" w:eastAsiaTheme="minorEastAsia" w:cstheme="minorEastAsia"/>
                <w:color w:val="0000FF"/>
                <w:sz w:val="28"/>
                <w:szCs w:val="28"/>
                <w:lang w:val="zh-CN" w:eastAsia="zh-CN"/>
              </w:rPr>
              <w:t>；</w:t>
            </w:r>
          </w:p>
          <w:p>
            <w:pPr>
              <w:pStyle w:val="14"/>
              <w:keepNext w:val="0"/>
              <w:keepLines w:val="0"/>
              <w:widowControl/>
              <w:suppressLineNumbers w:val="0"/>
              <w:spacing w:before="75" w:beforeAutospacing="0" w:after="75" w:afterAutospacing="0" w:line="300" w:lineRule="atLeast"/>
              <w:ind w:right="0"/>
              <w:rPr>
                <w:rFonts w:hint="eastAsia" w:asciiTheme="minorEastAsia" w:hAnsiTheme="minorEastAsia" w:eastAsiaTheme="minorEastAsia" w:cstheme="minorEastAsia"/>
                <w:sz w:val="28"/>
                <w:szCs w:val="28"/>
                <w:lang w:val="zh-CN" w:eastAsia="zh-CN"/>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lang w:val="zh-CN" w:eastAsia="zh-CN"/>
              </w:rPr>
              <w:t>.上年度财务审计报告或具有良好财务状况的承诺(新成立的公司需提供银行资信证明）；</w:t>
            </w:r>
          </w:p>
          <w:p>
            <w:pPr>
              <w:pStyle w:val="14"/>
              <w:keepNext w:val="0"/>
              <w:keepLines w:val="0"/>
              <w:widowControl/>
              <w:suppressLineNumbers w:val="0"/>
              <w:spacing w:before="75" w:beforeAutospacing="0" w:after="75" w:afterAutospacing="0" w:line="300" w:lineRule="atLeast"/>
              <w:ind w:right="0"/>
              <w:rPr>
                <w:rFonts w:hint="eastAsia" w:asciiTheme="minorEastAsia" w:hAnsiTheme="minorEastAsia" w:eastAsiaTheme="minorEastAsia" w:cstheme="minorEastAsia"/>
                <w:sz w:val="28"/>
                <w:szCs w:val="28"/>
                <w:lang w:val="zh-CN" w:eastAsia="zh-CN"/>
              </w:rPr>
            </w:pP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lang w:val="zh-CN" w:eastAsia="zh-CN"/>
              </w:rPr>
              <w:t>.投标人须提供在“信用中国”（www.creditchina.gov.cn）和中国政府采购网（www.ccgp.gov.cn）网站上未被列入失信被执行人、重大税收违法案件当事人名单以及政府采购严重违法失信行为记录名单的网页打印件（网页打印件须自招标文件发布之日起至首次提交投标文件截止时间内从上述网站中打印）并加盖公章；</w:t>
            </w:r>
          </w:p>
          <w:p>
            <w:pPr>
              <w:spacing w:line="42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sz w:val="28"/>
                <w:szCs w:val="28"/>
              </w:rPr>
              <w:t>*注：以上资格条</w:t>
            </w:r>
            <w:r>
              <w:rPr>
                <w:rFonts w:hint="eastAsia" w:asciiTheme="minorEastAsia" w:hAnsiTheme="minorEastAsia" w:eastAsiaTheme="minorEastAsia" w:cstheme="minorEastAsia"/>
                <w:bCs/>
                <w:sz w:val="28"/>
                <w:szCs w:val="28"/>
              </w:rPr>
              <w:t>件供应商必须满足，否则将取消其投标资格。</w:t>
            </w:r>
          </w:p>
          <w:p>
            <w:pPr>
              <w:tabs>
                <w:tab w:val="left" w:pos="252"/>
                <w:tab w:val="left" w:pos="671"/>
              </w:tabs>
              <w:spacing w:line="420" w:lineRule="exact"/>
              <w:rPr>
                <w:rFonts w:hint="eastAsia" w:asciiTheme="minorEastAsia" w:hAnsiTheme="minorEastAsia" w:eastAsiaTheme="minorEastAsia" w:cstheme="minorEastAsia"/>
                <w:b/>
                <w:spacing w:val="8"/>
                <w:sz w:val="28"/>
                <w:szCs w:val="28"/>
              </w:rPr>
            </w:pPr>
            <w:r>
              <w:rPr>
                <w:rFonts w:hint="eastAsia" w:asciiTheme="minorEastAsia" w:hAnsiTheme="minorEastAsia" w:eastAsiaTheme="minorEastAsia" w:cstheme="minorEastAsia"/>
                <w:bCs/>
                <w:sz w:val="28"/>
                <w:szCs w:val="28"/>
              </w:rPr>
              <w:t>业主方保留对报名供应商实际情况考察的权利。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磋商响应文件：一套正本，</w:t>
            </w:r>
            <w:r>
              <w:rPr>
                <w:rFonts w:hint="eastAsia" w:asciiTheme="minorEastAsia" w:hAnsiTheme="minorEastAsia" w:eastAsiaTheme="minorEastAsia" w:cstheme="minorEastAsia"/>
                <w:sz w:val="28"/>
                <w:szCs w:val="28"/>
                <w:lang w:eastAsia="zh-CN"/>
              </w:rPr>
              <w:t>三</w:t>
            </w:r>
            <w:r>
              <w:rPr>
                <w:rFonts w:hint="eastAsia" w:asciiTheme="minorEastAsia" w:hAnsiTheme="minorEastAsia" w:eastAsiaTheme="minorEastAsia" w:cstheme="minorEastAsia"/>
                <w:sz w:val="28"/>
                <w:szCs w:val="28"/>
              </w:rPr>
              <w:t>套副本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磋商响应文件以密封形式递交至：请使用移动CA数字证书或CA数字证书登录博州公共资源交易平台http://xzfw.xjboz.gov.cn/网上递交加密文件</w:t>
            </w:r>
          </w:p>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磋商响应文件递交截止时间：</w:t>
            </w:r>
            <w:r>
              <w:rPr>
                <w:rFonts w:hint="eastAsia" w:asciiTheme="minorEastAsia" w:hAnsiTheme="minorEastAsia" w:eastAsiaTheme="minorEastAsia" w:cstheme="minorEastAsia"/>
                <w:color w:val="FF0000"/>
                <w:sz w:val="28"/>
                <w:szCs w:val="28"/>
                <w:highlight w:val="none"/>
              </w:rPr>
              <w:t>202</w:t>
            </w:r>
            <w:r>
              <w:rPr>
                <w:rFonts w:hint="eastAsia" w:asciiTheme="minorEastAsia" w:hAnsiTheme="minorEastAsia" w:eastAsiaTheme="minorEastAsia" w:cstheme="minorEastAsia"/>
                <w:color w:val="FF0000"/>
                <w:sz w:val="28"/>
                <w:szCs w:val="28"/>
                <w:highlight w:val="none"/>
                <w:lang w:val="en-US" w:eastAsia="zh-CN"/>
              </w:rPr>
              <w:t>2</w:t>
            </w:r>
            <w:r>
              <w:rPr>
                <w:rFonts w:hint="eastAsia" w:asciiTheme="minorEastAsia" w:hAnsiTheme="minorEastAsia" w:eastAsiaTheme="minorEastAsia" w:cstheme="minorEastAsia"/>
                <w:color w:val="FF0000"/>
                <w:sz w:val="28"/>
                <w:szCs w:val="28"/>
                <w:highlight w:val="none"/>
              </w:rPr>
              <w:t>年</w:t>
            </w:r>
            <w:r>
              <w:rPr>
                <w:rFonts w:hint="eastAsia" w:asciiTheme="minorEastAsia" w:hAnsiTheme="minorEastAsia" w:eastAsiaTheme="minorEastAsia" w:cstheme="minorEastAsia"/>
                <w:color w:val="FF0000"/>
                <w:sz w:val="28"/>
                <w:szCs w:val="28"/>
                <w:highlight w:val="none"/>
                <w:lang w:val="en-US" w:eastAsia="zh-CN"/>
              </w:rPr>
              <w:t>8</w:t>
            </w:r>
            <w:r>
              <w:rPr>
                <w:rFonts w:hint="eastAsia" w:asciiTheme="minorEastAsia" w:hAnsiTheme="minorEastAsia" w:eastAsiaTheme="minorEastAsia" w:cstheme="minorEastAsia"/>
                <w:color w:val="FF0000"/>
                <w:sz w:val="28"/>
                <w:szCs w:val="28"/>
                <w:highlight w:val="none"/>
              </w:rPr>
              <w:t>月</w:t>
            </w:r>
            <w:r>
              <w:rPr>
                <w:rFonts w:hint="eastAsia" w:asciiTheme="minorEastAsia" w:hAnsiTheme="minorEastAsia" w:eastAsiaTheme="minorEastAsia" w:cstheme="minorEastAsia"/>
                <w:color w:val="FF0000"/>
                <w:sz w:val="28"/>
                <w:szCs w:val="28"/>
                <w:highlight w:val="none"/>
                <w:lang w:val="en-US" w:eastAsia="zh-CN"/>
              </w:rPr>
              <w:t>29</w:t>
            </w:r>
            <w:r>
              <w:rPr>
                <w:rFonts w:hint="eastAsia" w:asciiTheme="minorEastAsia" w:hAnsiTheme="minorEastAsia" w:eastAsiaTheme="minorEastAsia" w:cstheme="minorEastAsia"/>
                <w:color w:val="FF0000"/>
                <w:sz w:val="28"/>
                <w:szCs w:val="28"/>
                <w:highlight w:val="none"/>
              </w:rPr>
              <w:t>日</w:t>
            </w:r>
            <w:r>
              <w:rPr>
                <w:rFonts w:hint="eastAsia" w:asciiTheme="minorEastAsia" w:hAnsiTheme="minorEastAsia" w:eastAsiaTheme="minorEastAsia" w:cstheme="minorEastAsia"/>
                <w:color w:val="FF0000"/>
                <w:sz w:val="28"/>
                <w:szCs w:val="28"/>
                <w:highlight w:val="none"/>
                <w:u w:val="single"/>
              </w:rPr>
              <w:t xml:space="preserve"> 1</w:t>
            </w:r>
            <w:r>
              <w:rPr>
                <w:rFonts w:hint="eastAsia" w:asciiTheme="minorEastAsia" w:hAnsiTheme="minorEastAsia" w:eastAsiaTheme="minorEastAsia" w:cstheme="minorEastAsia"/>
                <w:color w:val="FF0000"/>
                <w:sz w:val="28"/>
                <w:szCs w:val="28"/>
                <w:highlight w:val="none"/>
                <w:u w:val="single"/>
                <w:lang w:val="en-US" w:eastAsia="zh-CN"/>
              </w:rPr>
              <w:t>1</w:t>
            </w:r>
            <w:r>
              <w:rPr>
                <w:rFonts w:hint="eastAsia" w:asciiTheme="minorEastAsia" w:hAnsiTheme="minorEastAsia" w:eastAsiaTheme="minorEastAsia" w:cstheme="minorEastAsia"/>
                <w:color w:val="FF0000"/>
                <w:sz w:val="28"/>
                <w:szCs w:val="28"/>
                <w:highlight w:val="none"/>
                <w:u w:val="single"/>
              </w:rPr>
              <w:t>：</w:t>
            </w:r>
            <w:r>
              <w:rPr>
                <w:rFonts w:hint="eastAsia" w:asciiTheme="minorEastAsia" w:hAnsiTheme="minorEastAsia" w:eastAsiaTheme="minorEastAsia" w:cstheme="minorEastAsia"/>
                <w:color w:val="FF0000"/>
                <w:sz w:val="28"/>
                <w:szCs w:val="28"/>
                <w:highlight w:val="none"/>
                <w:u w:val="single"/>
                <w:lang w:val="en-US" w:eastAsia="zh-CN"/>
              </w:rPr>
              <w:t>0</w:t>
            </w:r>
            <w:r>
              <w:rPr>
                <w:rFonts w:hint="eastAsia" w:asciiTheme="minorEastAsia" w:hAnsiTheme="minorEastAsia" w:eastAsiaTheme="minorEastAsia" w:cstheme="minorEastAsia"/>
                <w:color w:val="FF0000"/>
                <w:sz w:val="28"/>
                <w:szCs w:val="28"/>
                <w:highlight w:val="none"/>
                <w:u w:val="single"/>
              </w:rPr>
              <w:t xml:space="preserve">0 </w:t>
            </w:r>
            <w:r>
              <w:rPr>
                <w:rFonts w:hint="eastAsia" w:asciiTheme="minorEastAsia" w:hAnsiTheme="minorEastAsia" w:eastAsiaTheme="minorEastAsia" w:cstheme="minorEastAsia"/>
                <w:sz w:val="28"/>
                <w:szCs w:val="28"/>
              </w:rPr>
              <w:t>时（北京时间）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磋商日期：</w:t>
            </w:r>
            <w:r>
              <w:rPr>
                <w:rFonts w:hint="eastAsia" w:asciiTheme="minorEastAsia" w:hAnsiTheme="minorEastAsia" w:eastAsiaTheme="minorEastAsia" w:cstheme="minorEastAsia"/>
                <w:color w:val="FF0000"/>
                <w:sz w:val="28"/>
                <w:szCs w:val="28"/>
              </w:rPr>
              <w:t>202</w:t>
            </w:r>
            <w:r>
              <w:rPr>
                <w:rFonts w:hint="eastAsia" w:asciiTheme="minorEastAsia" w:hAnsiTheme="minorEastAsia" w:eastAsiaTheme="minorEastAsia" w:cstheme="minorEastAsia"/>
                <w:color w:val="FF0000"/>
                <w:sz w:val="28"/>
                <w:szCs w:val="28"/>
                <w:lang w:val="en-US" w:eastAsia="zh-CN"/>
              </w:rPr>
              <w:t>2</w:t>
            </w:r>
            <w:r>
              <w:rPr>
                <w:rFonts w:hint="eastAsia" w:asciiTheme="minorEastAsia" w:hAnsiTheme="minorEastAsia" w:eastAsiaTheme="minorEastAsia" w:cstheme="minorEastAsia"/>
                <w:color w:val="FF0000"/>
                <w:sz w:val="28"/>
                <w:szCs w:val="28"/>
              </w:rPr>
              <w:t>年</w:t>
            </w:r>
            <w:r>
              <w:rPr>
                <w:rFonts w:hint="eastAsia" w:asciiTheme="minorEastAsia" w:hAnsiTheme="minorEastAsia" w:eastAsiaTheme="minorEastAsia" w:cstheme="minorEastAsia"/>
                <w:color w:val="FF0000"/>
                <w:sz w:val="28"/>
                <w:szCs w:val="28"/>
                <w:lang w:val="en-US" w:eastAsia="zh-CN"/>
              </w:rPr>
              <w:t>8</w:t>
            </w:r>
            <w:r>
              <w:rPr>
                <w:rFonts w:hint="eastAsia" w:asciiTheme="minorEastAsia" w:hAnsiTheme="minorEastAsia" w:eastAsiaTheme="minorEastAsia" w:cstheme="minorEastAsia"/>
                <w:color w:val="FF0000"/>
                <w:sz w:val="28"/>
                <w:szCs w:val="28"/>
              </w:rPr>
              <w:t>月</w:t>
            </w:r>
            <w:r>
              <w:rPr>
                <w:rFonts w:hint="eastAsia" w:asciiTheme="minorEastAsia" w:hAnsiTheme="minorEastAsia" w:eastAsiaTheme="minorEastAsia" w:cstheme="minorEastAsia"/>
                <w:color w:val="FF0000"/>
                <w:sz w:val="28"/>
                <w:szCs w:val="28"/>
                <w:lang w:val="en-US" w:eastAsia="zh-CN"/>
              </w:rPr>
              <w:t>29</w:t>
            </w:r>
            <w:r>
              <w:rPr>
                <w:rFonts w:hint="eastAsia" w:asciiTheme="minorEastAsia" w:hAnsiTheme="minorEastAsia" w:eastAsiaTheme="minorEastAsia" w:cstheme="minorEastAsia"/>
                <w:color w:val="FF0000"/>
                <w:sz w:val="28"/>
                <w:szCs w:val="28"/>
              </w:rPr>
              <w:t>日</w:t>
            </w:r>
            <w:r>
              <w:rPr>
                <w:rFonts w:hint="eastAsia" w:asciiTheme="minorEastAsia" w:hAnsiTheme="minorEastAsia" w:eastAsiaTheme="minorEastAsia" w:cstheme="minorEastAsia"/>
                <w:color w:val="FF0000"/>
                <w:sz w:val="28"/>
                <w:szCs w:val="28"/>
                <w:u w:val="single"/>
              </w:rPr>
              <w:t>1</w:t>
            </w:r>
            <w:r>
              <w:rPr>
                <w:rFonts w:hint="eastAsia" w:asciiTheme="minorEastAsia" w:hAnsiTheme="minorEastAsia" w:eastAsiaTheme="minorEastAsia" w:cstheme="minorEastAsia"/>
                <w:color w:val="FF0000"/>
                <w:sz w:val="28"/>
                <w:szCs w:val="28"/>
                <w:u w:val="single"/>
                <w:lang w:val="en-US" w:eastAsia="zh-CN"/>
              </w:rPr>
              <w:t>1</w:t>
            </w:r>
            <w:r>
              <w:rPr>
                <w:rFonts w:hint="eastAsia" w:asciiTheme="minorEastAsia" w:hAnsiTheme="minorEastAsia" w:eastAsiaTheme="minorEastAsia" w:cstheme="minorEastAsia"/>
                <w:color w:val="FF0000"/>
                <w:sz w:val="28"/>
                <w:szCs w:val="28"/>
                <w:u w:val="single"/>
              </w:rPr>
              <w:t>：</w:t>
            </w:r>
            <w:r>
              <w:rPr>
                <w:rFonts w:hint="eastAsia" w:asciiTheme="minorEastAsia" w:hAnsiTheme="minorEastAsia" w:eastAsiaTheme="minorEastAsia" w:cstheme="minorEastAsia"/>
                <w:color w:val="FF0000"/>
                <w:sz w:val="28"/>
                <w:szCs w:val="28"/>
                <w:u w:val="single"/>
                <w:lang w:val="en-US" w:eastAsia="zh-CN"/>
              </w:rPr>
              <w:t>0</w:t>
            </w:r>
            <w:r>
              <w:rPr>
                <w:rFonts w:hint="eastAsia" w:asciiTheme="minorEastAsia" w:hAnsiTheme="minorEastAsia" w:eastAsiaTheme="minorEastAsia" w:cstheme="minorEastAsia"/>
                <w:color w:val="FF0000"/>
                <w:sz w:val="28"/>
                <w:szCs w:val="28"/>
                <w:u w:val="single"/>
              </w:rPr>
              <w:t>0</w:t>
            </w:r>
            <w:r>
              <w:rPr>
                <w:rFonts w:hint="eastAsia" w:asciiTheme="minorEastAsia" w:hAnsiTheme="minorEastAsia" w:eastAsiaTheme="minorEastAsia" w:cstheme="minorEastAsia"/>
                <w:color w:val="FF0000"/>
                <w:sz w:val="28"/>
                <w:szCs w:val="28"/>
              </w:rPr>
              <w:t>时</w:t>
            </w:r>
            <w:r>
              <w:rPr>
                <w:rFonts w:hint="eastAsia" w:asciiTheme="minorEastAsia" w:hAnsiTheme="minorEastAsia" w:eastAsiaTheme="minorEastAsia" w:cstheme="minorEastAsia"/>
                <w:sz w:val="28"/>
                <w:szCs w:val="28"/>
              </w:rPr>
              <w:t>（北京时间）</w:t>
            </w:r>
          </w:p>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磋商地点：博州公共资源交易中心三楼（新疆博乐市锦绣路6号）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公示期1个工作日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w:t>
            </w:r>
          </w:p>
        </w:tc>
        <w:tc>
          <w:tcPr>
            <w:tcW w:w="1526"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开标查验</w:t>
            </w:r>
          </w:p>
        </w:tc>
        <w:tc>
          <w:tcPr>
            <w:tcW w:w="7611" w:type="dxa"/>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供应商代表随身携带一份法人代表授权委托书及有效身份证明；营业执照</w:t>
            </w:r>
            <w:r>
              <w:rPr>
                <w:rFonts w:hint="eastAsia" w:asciiTheme="minorEastAsia" w:hAnsiTheme="minorEastAsia" w:eastAsiaTheme="minorEastAsia" w:cstheme="minorEastAsia"/>
                <w:sz w:val="28"/>
                <w:szCs w:val="28"/>
                <w:lang w:eastAsia="zh-CN"/>
              </w:rPr>
              <w:t>（原件或复印件加盖公章）</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color w:val="auto"/>
                <w:kern w:val="2"/>
                <w:sz w:val="28"/>
                <w:szCs w:val="28"/>
                <w:lang w:val="en-US" w:eastAsia="zh-CN" w:bidi="ar-SA"/>
              </w:rPr>
              <w:t>林业调查规划设计乙级（含）以上资质证书</w:t>
            </w:r>
            <w:r>
              <w:rPr>
                <w:rFonts w:hint="eastAsia" w:asciiTheme="minorEastAsia" w:hAnsiTheme="minorEastAsia" w:eastAsiaTheme="minorEastAsia" w:cstheme="minorEastAsia"/>
                <w:sz w:val="28"/>
                <w:szCs w:val="28"/>
                <w:lang w:eastAsia="zh-CN"/>
              </w:rPr>
              <w:t>（原件或复印件加盖公章）</w:t>
            </w:r>
            <w:r>
              <w:rPr>
                <w:rFonts w:hint="eastAsia" w:asciiTheme="minorEastAsia" w:hAnsiTheme="minorEastAsia" w:eastAsiaTheme="minorEastAsia" w:cstheme="minorEastAsia"/>
                <w:sz w:val="28"/>
                <w:szCs w:val="28"/>
                <w:lang w:val="zh-CN" w:eastAsia="zh-CN"/>
              </w:rPr>
              <w:t>、上年度财务审计报告或具有良好财务状况的承诺(新成立的公司需提供银行资信证明）、</w:t>
            </w:r>
            <w:r>
              <w:rPr>
                <w:rFonts w:hint="eastAsia" w:asciiTheme="minorEastAsia" w:hAnsiTheme="minorEastAsia" w:eastAsiaTheme="minorEastAsia" w:cstheme="minorEastAsia"/>
                <w:sz w:val="28"/>
                <w:szCs w:val="28"/>
              </w:rPr>
              <w:t>信用中国和中国政府采购网网页打印件，于磋商响应文件递交截止时间前到达开标现场以备查验。否则整个磋商响应文件将被视为不响应磋商文件，而予以拒绝评审。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w:t>
            </w:r>
          </w:p>
        </w:tc>
        <w:tc>
          <w:tcPr>
            <w:tcW w:w="1526"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付款方式</w:t>
            </w:r>
          </w:p>
        </w:tc>
        <w:tc>
          <w:tcPr>
            <w:tcW w:w="7611" w:type="dxa"/>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以跟甲方签订的合同为准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16</w:t>
            </w:r>
          </w:p>
        </w:tc>
        <w:tc>
          <w:tcPr>
            <w:tcW w:w="15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rPr>
              <w:t>磋商轮数和最后报价的其他要求</w:t>
            </w:r>
          </w:p>
        </w:tc>
        <w:tc>
          <w:tcPr>
            <w:tcW w:w="761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int="eastAsia" w:asciiTheme="minorEastAsia" w:hAnsiTheme="minorEastAsia" w:eastAsiaTheme="minorEastAsia" w:cstheme="minorEastAsia"/>
                <w:bCs/>
                <w:kern w:val="0"/>
                <w:sz w:val="28"/>
                <w:szCs w:val="28"/>
                <w:lang w:val="zh-CN"/>
              </w:rPr>
            </w:pPr>
            <w:r>
              <w:rPr>
                <w:rFonts w:hint="eastAsia" w:asciiTheme="minorEastAsia" w:hAnsiTheme="minorEastAsia" w:eastAsiaTheme="minorEastAsia" w:cstheme="minorEastAsia"/>
                <w:bCs/>
                <w:kern w:val="0"/>
                <w:sz w:val="28"/>
                <w:szCs w:val="28"/>
                <w:lang w:val="zh-CN"/>
              </w:rPr>
              <w:t>1、磋商轮数:二次或二次以上；</w:t>
            </w:r>
          </w:p>
          <w:p>
            <w:pPr>
              <w:autoSpaceDE w:val="0"/>
              <w:autoSpaceDN w:val="0"/>
              <w:adjustRightInd w:val="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kern w:val="0"/>
                <w:sz w:val="28"/>
                <w:szCs w:val="28"/>
                <w:lang w:val="zh-CN"/>
              </w:rPr>
              <w:t>2、最后一轮磋商结束后，所有仍在参加磋商的供应商按照磋商小组的要求做最后报价（含修正的响应文件，如有），最后报价由其</w:t>
            </w:r>
            <w:r>
              <w:rPr>
                <w:rFonts w:hint="eastAsia" w:asciiTheme="minorEastAsia" w:hAnsiTheme="minorEastAsia" w:eastAsiaTheme="minorEastAsia" w:cstheme="minorEastAsia"/>
                <w:bCs/>
                <w:sz w:val="28"/>
                <w:szCs w:val="28"/>
              </w:rPr>
              <w:t>法定代表人或其授权代表签字后密封递交给采购代理机构。</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kern w:val="0"/>
                <w:sz w:val="28"/>
                <w:szCs w:val="28"/>
                <w:lang w:val="zh-CN"/>
              </w:rPr>
              <w:t>3、最后报价的递交地点、公布地点同开标地点，并在所有参加磋商的供应商见证下统一集中收缴，逐一展示、公布和登记报价，</w:t>
            </w:r>
            <w:r>
              <w:rPr>
                <w:rFonts w:hint="eastAsia" w:asciiTheme="minorEastAsia" w:hAnsiTheme="minorEastAsia" w:eastAsiaTheme="minorEastAsia" w:cstheme="minorEastAsia"/>
                <w:bCs/>
                <w:sz w:val="28"/>
                <w:szCs w:val="28"/>
              </w:rPr>
              <w:t>并由供应商代表签字确认以示公开。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17</w:t>
            </w:r>
          </w:p>
        </w:tc>
        <w:tc>
          <w:tcPr>
            <w:tcW w:w="1526"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质保金</w:t>
            </w:r>
          </w:p>
        </w:tc>
        <w:tc>
          <w:tcPr>
            <w:tcW w:w="76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20" w:lineRule="exact"/>
              <w:jc w:val="lef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color w:val="0000FF"/>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18</w:t>
            </w:r>
          </w:p>
        </w:tc>
        <w:tc>
          <w:tcPr>
            <w:tcW w:w="1526"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落实政策</w:t>
            </w:r>
          </w:p>
        </w:tc>
        <w:tc>
          <w:tcPr>
            <w:tcW w:w="76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2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政府采购政策功能落实：（1）本项目对小型和微型企业产品给予6%的扣除价格，用扣除后的价格参与评审。</w:t>
            </w:r>
          </w:p>
          <w:p>
            <w:pPr>
              <w:spacing w:line="42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（2）供应商需按照采购文件的要求提供相应的《企业声明函》。</w:t>
            </w:r>
          </w:p>
          <w:p>
            <w:pPr>
              <w:spacing w:line="42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（3）企业标准请参照《关于印发中小企业划型标准规定的通知》（工信部联企业[2011]300号）文件规定自行填写。</w:t>
            </w:r>
          </w:p>
          <w:p>
            <w:pPr>
              <w:spacing w:line="42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2、残疾人福利单位价格扣除</w:t>
            </w:r>
          </w:p>
          <w:p>
            <w:pPr>
              <w:spacing w:line="42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（1）本项目对残疾人福利性单位视同小型、微型企业，给予6%的价格扣除，用扣除后的价格参与评审。</w:t>
            </w:r>
          </w:p>
          <w:p>
            <w:pPr>
              <w:spacing w:line="42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（2）残疾人福利单位需按照采购文件的要求提供《残疾人福利性单位声明函》。</w:t>
            </w:r>
          </w:p>
          <w:p>
            <w:pPr>
              <w:spacing w:line="42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（3）残疾人福利单位标准请参照《关于促进残疾人就业政府采购政策的通知》（财库〔2017〕141号）。</w:t>
            </w:r>
          </w:p>
          <w:p>
            <w:pPr>
              <w:spacing w:line="42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3、监狱和戒毒企业价格扣除</w:t>
            </w:r>
          </w:p>
          <w:p>
            <w:pPr>
              <w:spacing w:line="42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（1）本项目对监狱和戒毒企业（简称监狱企业）视同小型、微型企业，给予6%的价格扣除，用扣除后的价格参与评审。</w:t>
            </w:r>
          </w:p>
          <w:p>
            <w:pPr>
              <w:spacing w:line="42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（2）监狱企业参加政府采购活动时，需提供由省级以上监狱管理局、戒毒管理局(含新疆生产建设兵团)出具的属于监狱企业的证明文件。供应商如不提供上述证明文件，价格将不做相应扣除。</w:t>
            </w:r>
          </w:p>
          <w:p>
            <w:pPr>
              <w:spacing w:line="42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（3）监狱企业标准请参照《关于政府采购支持监狱企业发展有关问题的通知》（财库[2014]68号）。</w:t>
            </w:r>
          </w:p>
          <w:p>
            <w:pPr>
              <w:spacing w:line="42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4、残疾人福利单位、监狱企业属于小型、微型企业的，不重复享受政策。</w:t>
            </w:r>
          </w:p>
          <w:p>
            <w:pPr>
              <w:spacing w:line="420" w:lineRule="exact"/>
              <w:jc w:val="left"/>
              <w:rPr>
                <w:rFonts w:hint="eastAsia" w:asciiTheme="minorEastAsia" w:hAnsiTheme="minorEastAsia" w:eastAsiaTheme="minorEastAsia" w:cstheme="minorEastAsia"/>
                <w:sz w:val="28"/>
                <w:szCs w:val="28"/>
                <w:highlight w:val="yellow"/>
              </w:rPr>
            </w:pPr>
            <w:r>
              <w:rPr>
                <w:rFonts w:hint="eastAsia" w:asciiTheme="minorEastAsia" w:hAnsiTheme="minorEastAsia" w:eastAsiaTheme="minorEastAsia" w:cstheme="minorEastAsia"/>
                <w:sz w:val="28"/>
                <w:szCs w:val="28"/>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tc>
      </w:tr>
    </w:tbl>
    <w:p>
      <w:pPr>
        <w:pStyle w:val="4"/>
        <w:spacing w:before="100" w:beforeAutospacing="1" w:after="100" w:afterAutospacing="1" w:line="48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bookmarkStart w:id="44" w:name="_Toc267301282"/>
      <w:bookmarkStart w:id="45" w:name="_Toc6313"/>
      <w:bookmarkStart w:id="46" w:name="_Toc9288"/>
      <w:bookmarkStart w:id="47" w:name="_Toc349637920"/>
      <w:bookmarkStart w:id="48" w:name="_Toc12532073"/>
      <w:bookmarkStart w:id="49" w:name="_Toc349573121"/>
      <w:bookmarkStart w:id="50" w:name="_Toc298240405"/>
      <w:r>
        <w:rPr>
          <w:rFonts w:hint="eastAsia" w:asciiTheme="minorEastAsia" w:hAnsiTheme="minorEastAsia" w:eastAsiaTheme="minorEastAsia" w:cstheme="minorEastAsia"/>
          <w:sz w:val="28"/>
          <w:szCs w:val="28"/>
        </w:rPr>
        <w:t>A  说明</w:t>
      </w:r>
      <w:bookmarkEnd w:id="44"/>
      <w:bookmarkEnd w:id="45"/>
      <w:bookmarkEnd w:id="46"/>
      <w:bookmarkEnd w:id="47"/>
      <w:bookmarkEnd w:id="48"/>
      <w:bookmarkEnd w:id="49"/>
      <w:bookmarkEnd w:id="50"/>
    </w:p>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 适用范围</w:t>
      </w:r>
    </w:p>
    <w:p>
      <w:pPr>
        <w:numPr>
          <w:ilvl w:val="1"/>
          <w:numId w:val="1"/>
        </w:num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本磋商文件仅适用于本次投标邀请中所叙述项目的货物及服务采购。</w:t>
      </w:r>
    </w:p>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2．定义</w:t>
      </w:r>
    </w:p>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 “招标代理机构”系指</w:t>
      </w:r>
      <w:r>
        <w:rPr>
          <w:rFonts w:hint="eastAsia" w:asciiTheme="minorEastAsia" w:hAnsiTheme="minorEastAsia" w:eastAsiaTheme="minorEastAsia" w:cstheme="minorEastAsia"/>
          <w:sz w:val="28"/>
          <w:szCs w:val="28"/>
          <w:lang w:eastAsia="zh-CN"/>
        </w:rPr>
        <w:t xml:space="preserve">新疆宏成润和工程管理有限公司 </w:t>
      </w:r>
      <w:r>
        <w:rPr>
          <w:rFonts w:hint="eastAsia" w:asciiTheme="minorEastAsia" w:hAnsiTheme="minorEastAsia" w:eastAsiaTheme="minorEastAsia" w:cstheme="minorEastAsia"/>
          <w:sz w:val="28"/>
          <w:szCs w:val="28"/>
        </w:rPr>
        <w:t>；</w:t>
      </w:r>
    </w:p>
    <w:p>
      <w:pPr>
        <w:spacing w:line="420" w:lineRule="exact"/>
        <w:ind w:left="480" w:hanging="560" w:hanging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2.2 “买方”系指</w:t>
      </w:r>
      <w:r>
        <w:rPr>
          <w:rFonts w:hint="eastAsia" w:asciiTheme="minorEastAsia" w:hAnsiTheme="minorEastAsia" w:eastAsiaTheme="minorEastAsia" w:cstheme="minorEastAsia"/>
          <w:sz w:val="28"/>
          <w:szCs w:val="28"/>
          <w:lang w:eastAsia="zh-CN"/>
        </w:rPr>
        <w:t>博尔塔拉蒙古自治州林业和草原局</w:t>
      </w:r>
      <w:r>
        <w:rPr>
          <w:rFonts w:hint="eastAsia" w:asciiTheme="minorEastAsia" w:hAnsiTheme="minorEastAsia" w:eastAsiaTheme="minorEastAsia" w:cstheme="minorEastAsia"/>
          <w:sz w:val="28"/>
          <w:szCs w:val="28"/>
        </w:rPr>
        <w:t>；</w:t>
      </w:r>
    </w:p>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2.3 “磋商供应商”系指向招标代理机构提交磋商响应文件的制造商或代理商；</w:t>
      </w:r>
    </w:p>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2.4 “成交方”系指在本次项目中将被授予合同的供应商。</w:t>
      </w:r>
    </w:p>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3．合格的供应商：详见供应商须知前附表第9条。</w:t>
      </w:r>
    </w:p>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4．磋商费用</w:t>
      </w:r>
    </w:p>
    <w:p>
      <w:pPr>
        <w:spacing w:line="420" w:lineRule="exact"/>
        <w:ind w:left="480" w:hanging="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4.1无论磋商过程中的作法和结果如何，供应商将自行承担所有与参加磋商有关的全部费用。</w:t>
      </w:r>
    </w:p>
    <w:p>
      <w:pPr>
        <w:spacing w:line="420" w:lineRule="exact"/>
        <w:ind w:left="480" w:hanging="480"/>
        <w:rPr>
          <w:rFonts w:hint="eastAsia" w:asciiTheme="minorEastAsia" w:hAnsiTheme="minorEastAsia" w:eastAsiaTheme="minorEastAsia" w:cstheme="minorEastAsia"/>
          <w:sz w:val="28"/>
          <w:szCs w:val="28"/>
        </w:rPr>
      </w:pPr>
    </w:p>
    <w:p>
      <w:pPr>
        <w:pStyle w:val="4"/>
        <w:spacing w:before="100" w:beforeAutospacing="1" w:after="100" w:afterAutospacing="1" w:line="420" w:lineRule="exact"/>
        <w:jc w:val="center"/>
        <w:rPr>
          <w:rFonts w:hint="eastAsia" w:asciiTheme="minorEastAsia" w:hAnsiTheme="minorEastAsia" w:eastAsiaTheme="minorEastAsia" w:cstheme="minorEastAsia"/>
          <w:sz w:val="28"/>
          <w:szCs w:val="28"/>
        </w:rPr>
      </w:pPr>
      <w:bookmarkStart w:id="51" w:name="_Toc298240406"/>
      <w:bookmarkStart w:id="52" w:name="_Toc10687"/>
      <w:bookmarkStart w:id="53" w:name="_Toc349573122"/>
      <w:bookmarkStart w:id="54" w:name="_Toc12532074"/>
      <w:bookmarkStart w:id="55" w:name="_Toc267301283"/>
      <w:bookmarkStart w:id="56" w:name="_Toc32342"/>
      <w:bookmarkStart w:id="57" w:name="_Toc349637921"/>
      <w:r>
        <w:rPr>
          <w:rFonts w:hint="eastAsia" w:asciiTheme="minorEastAsia" w:hAnsiTheme="minorEastAsia" w:eastAsiaTheme="minorEastAsia" w:cstheme="minorEastAsia"/>
          <w:sz w:val="28"/>
          <w:szCs w:val="28"/>
        </w:rPr>
        <w:t>B  磋商文件</w:t>
      </w:r>
      <w:bookmarkEnd w:id="51"/>
      <w:bookmarkEnd w:id="52"/>
      <w:bookmarkEnd w:id="53"/>
      <w:bookmarkEnd w:id="54"/>
      <w:bookmarkEnd w:id="55"/>
      <w:bookmarkEnd w:id="56"/>
      <w:bookmarkEnd w:id="57"/>
    </w:p>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5．磋商文件构成</w:t>
      </w:r>
    </w:p>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5.1磋商文件包括：</w:t>
      </w:r>
    </w:p>
    <w:p>
      <w:pPr>
        <w:spacing w:line="420" w:lineRule="exact"/>
        <w:ind w:firstLine="24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⑴磋商</w:t>
      </w:r>
      <w:r>
        <w:rPr>
          <w:rFonts w:hint="eastAsia" w:asciiTheme="minorEastAsia" w:hAnsiTheme="minorEastAsia" w:eastAsiaTheme="minorEastAsia" w:cstheme="minorEastAsia"/>
          <w:sz w:val="28"/>
          <w:szCs w:val="28"/>
          <w:lang w:eastAsia="zh-CN"/>
        </w:rPr>
        <w:t>公告</w:t>
      </w:r>
      <w:r>
        <w:rPr>
          <w:rFonts w:hint="eastAsia" w:asciiTheme="minorEastAsia" w:hAnsiTheme="minorEastAsia" w:eastAsiaTheme="minorEastAsia" w:cstheme="minorEastAsia"/>
          <w:sz w:val="28"/>
          <w:szCs w:val="28"/>
        </w:rPr>
        <w:t>；</w:t>
      </w:r>
    </w:p>
    <w:p>
      <w:pPr>
        <w:spacing w:line="420" w:lineRule="exact"/>
        <w:ind w:firstLine="24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⑵供应商须知；</w:t>
      </w:r>
    </w:p>
    <w:p>
      <w:pPr>
        <w:spacing w:line="420" w:lineRule="exact"/>
        <w:ind w:firstLine="24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⑶技术要求；</w:t>
      </w:r>
    </w:p>
    <w:p>
      <w:pPr>
        <w:spacing w:line="420" w:lineRule="exact"/>
        <w:ind w:firstLine="24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⑷通用合同条款；</w:t>
      </w:r>
    </w:p>
    <w:p>
      <w:pPr>
        <w:spacing w:line="420" w:lineRule="exact"/>
        <w:ind w:firstLine="24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⑸范本格式；</w:t>
      </w:r>
    </w:p>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6.2 磋商文件以中文编写。</w:t>
      </w:r>
    </w:p>
    <w:p>
      <w:pPr>
        <w:spacing w:line="420" w:lineRule="exact"/>
        <w:ind w:left="360" w:hanging="420" w:hangingChars="1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6.3 供应商应认真阅读磋商文件中所有的事项、格式、条款和规范等要求，从而对磋商文件作出实质性响应。如果没有按照磋商文件要求提交全部磋商响应文件或资料，没有对磋商文件作出实质性响应，其风险应由供应商自行承担。</w:t>
      </w:r>
    </w:p>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7．磋商文件澄清</w:t>
      </w:r>
    </w:p>
    <w:p>
      <w:pPr>
        <w:spacing w:line="420" w:lineRule="exact"/>
        <w:ind w:left="480" w:hanging="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7.1 供应商对磋商文件有疑问的，可以向招标代理机构提出询问，招标代理机构将及时做出答复；</w:t>
      </w:r>
    </w:p>
    <w:p>
      <w:pPr>
        <w:spacing w:line="420" w:lineRule="exact"/>
        <w:ind w:left="480" w:hanging="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7.2 供应商对磋商文件有质疑，须在磋商响应文件递交截止时间5日以前，以书面形式向招标机构提出质疑；招标机构在收到书面质疑后尽快做出答复，并以书面形式通知质疑供应商。</w:t>
      </w:r>
    </w:p>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  磋商文件的修改</w:t>
      </w:r>
    </w:p>
    <w:p>
      <w:pPr>
        <w:spacing w:line="420" w:lineRule="exact"/>
        <w:ind w:left="480" w:hanging="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8.1 对磋商文件进行必要的修改，招标代理机构将在投标截止时间2日前以书面形式通知所有购买磋商文件的供应商。该修改的内容为磋商文件的组成部分；</w:t>
      </w:r>
    </w:p>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8.2 供应商在规定的时间内未对磋商文件提出澄清要求的，招标代理机构将视其为同意。</w:t>
      </w:r>
    </w:p>
    <w:p>
      <w:pPr>
        <w:spacing w:line="420" w:lineRule="exact"/>
        <w:ind w:left="480" w:hanging="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8.3在投标截止时间前，招标机构可视具体情况延长磋商截止时间，并将变更时间书面通知所有购买磋商文件的供应商。</w:t>
      </w:r>
    </w:p>
    <w:p>
      <w:pPr>
        <w:pStyle w:val="4"/>
        <w:spacing w:before="100" w:beforeAutospacing="1" w:after="100" w:afterAutospacing="1" w:line="420" w:lineRule="exact"/>
        <w:jc w:val="center"/>
        <w:rPr>
          <w:rFonts w:hint="eastAsia" w:asciiTheme="minorEastAsia" w:hAnsiTheme="minorEastAsia" w:eastAsiaTheme="minorEastAsia" w:cstheme="minorEastAsia"/>
          <w:sz w:val="28"/>
          <w:szCs w:val="28"/>
        </w:rPr>
      </w:pPr>
      <w:bookmarkStart w:id="58" w:name="_Toc349637922"/>
      <w:bookmarkStart w:id="59" w:name="_Toc24175"/>
      <w:bookmarkStart w:id="60" w:name="_Toc349573123"/>
      <w:bookmarkStart w:id="61" w:name="_Toc267301284"/>
      <w:bookmarkStart w:id="62" w:name="_Toc12532075"/>
      <w:bookmarkStart w:id="63" w:name="_Toc5062"/>
      <w:bookmarkStart w:id="64" w:name="_Toc298240407"/>
      <w:r>
        <w:rPr>
          <w:rFonts w:hint="eastAsia" w:asciiTheme="minorEastAsia" w:hAnsiTheme="minorEastAsia" w:eastAsiaTheme="minorEastAsia" w:cstheme="minorEastAsia"/>
          <w:sz w:val="28"/>
          <w:szCs w:val="28"/>
        </w:rPr>
        <w:t>C  磋商响应文件的编写</w:t>
      </w:r>
      <w:bookmarkEnd w:id="58"/>
      <w:bookmarkEnd w:id="59"/>
      <w:bookmarkEnd w:id="60"/>
      <w:bookmarkEnd w:id="61"/>
      <w:bookmarkEnd w:id="62"/>
      <w:bookmarkEnd w:id="63"/>
      <w:bookmarkEnd w:id="64"/>
    </w:p>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9．要求</w:t>
      </w:r>
    </w:p>
    <w:p>
      <w:pPr>
        <w:spacing w:line="420" w:lineRule="exact"/>
        <w:ind w:left="360" w:hanging="420" w:hangingChars="1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9.1 供应商应仔细阅读磋商文件的所有内容，按磋商文件的要求提供磋商响应文件，并保证所提供的全部资料的真实性，以使其磋商响应对磋商文件作出实质性响应，否则，其磋商可能被拒绝。</w:t>
      </w:r>
    </w:p>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10．磋商语言</w:t>
      </w:r>
    </w:p>
    <w:p>
      <w:pPr>
        <w:spacing w:line="420" w:lineRule="exact"/>
        <w:ind w:left="600" w:hanging="700" w:hanging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10.1磋商响应文件及供应商与招标代理机构就磋商交换的文件和来往信件，应以中文书写（磋商供应商提交的支持文件和印刷的文献可以使用别的语言，但其相应内容必须附有中文翻译文本，在解释竞争性磋商响应文件时以翻译文本为主）。</w:t>
      </w:r>
    </w:p>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11．磋商响应文件的构成</w:t>
      </w:r>
    </w:p>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11.1 供应商编写的磋商响应文件应包括下列内容：</w:t>
      </w:r>
    </w:p>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11.1.1、磋商响应文件内容：</w:t>
      </w:r>
    </w:p>
    <w:p>
      <w:pPr>
        <w:numPr>
          <w:ilvl w:val="0"/>
          <w:numId w:val="2"/>
        </w:numPr>
        <w:spacing w:line="420" w:lineRule="exact"/>
        <w:ind w:left="-480" w:leftChars="0" w:firstLine="480" w:firstLineChars="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投标人企业简介[包括营业执照副本复印件、组织机构代码证副本复印件、税务登记证副本复印件</w:t>
      </w:r>
      <w:r>
        <w:rPr>
          <w:rFonts w:hint="eastAsia" w:asciiTheme="minorEastAsia" w:hAnsiTheme="minorEastAsia" w:eastAsiaTheme="minorEastAsia" w:cstheme="minorEastAsia"/>
          <w:bCs/>
          <w:sz w:val="28"/>
          <w:szCs w:val="28"/>
          <w:lang w:eastAsia="zh-CN"/>
        </w:rPr>
        <w:t>、</w:t>
      </w:r>
      <w:r>
        <w:rPr>
          <w:rFonts w:hint="eastAsia" w:asciiTheme="minorEastAsia" w:hAnsiTheme="minorEastAsia" w:eastAsiaTheme="minorEastAsia" w:cstheme="minorEastAsia"/>
          <w:bCs/>
          <w:sz w:val="28"/>
          <w:szCs w:val="28"/>
        </w:rPr>
        <w:t>事业单位法人证书复印件（三证合一仅需提供三证合一的营业执照副本复印件）；</w:t>
      </w:r>
    </w:p>
    <w:p>
      <w:pPr>
        <w:numPr>
          <w:ilvl w:val="0"/>
          <w:numId w:val="2"/>
        </w:numPr>
        <w:spacing w:line="420" w:lineRule="exact"/>
        <w:ind w:left="-480" w:leftChars="0" w:firstLine="480" w:firstLineChars="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法定代表人授权委托书</w:t>
      </w:r>
    </w:p>
    <w:p>
      <w:pPr>
        <w:numPr>
          <w:ilvl w:val="0"/>
          <w:numId w:val="2"/>
        </w:numPr>
        <w:spacing w:line="420" w:lineRule="exact"/>
        <w:ind w:left="-480" w:leftChars="0" w:firstLine="480" w:firstLineChars="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开标一览表</w:t>
      </w:r>
    </w:p>
    <w:p>
      <w:pPr>
        <w:numPr>
          <w:ilvl w:val="0"/>
          <w:numId w:val="2"/>
        </w:numPr>
        <w:spacing w:line="420" w:lineRule="exact"/>
        <w:ind w:left="-480" w:leftChars="0" w:firstLine="480" w:firstLineChars="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分项报价表</w:t>
      </w:r>
    </w:p>
    <w:p>
      <w:pPr>
        <w:numPr>
          <w:ilvl w:val="0"/>
          <w:numId w:val="2"/>
        </w:numPr>
        <w:spacing w:line="420" w:lineRule="exact"/>
        <w:ind w:left="-480" w:leftChars="0" w:firstLine="480" w:firstLineChars="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承诺</w:t>
      </w:r>
      <w:r>
        <w:rPr>
          <w:rFonts w:hint="eastAsia" w:asciiTheme="minorEastAsia" w:hAnsiTheme="minorEastAsia" w:eastAsiaTheme="minorEastAsia" w:cstheme="minorEastAsia"/>
          <w:bCs/>
          <w:sz w:val="28"/>
          <w:szCs w:val="28"/>
          <w:lang w:eastAsia="zh-CN"/>
        </w:rPr>
        <w:t>书</w:t>
      </w:r>
    </w:p>
    <w:p>
      <w:pPr>
        <w:numPr>
          <w:ilvl w:val="0"/>
          <w:numId w:val="2"/>
        </w:numPr>
        <w:spacing w:line="420" w:lineRule="exact"/>
        <w:ind w:left="-480" w:leftChars="0" w:firstLine="480" w:firstLineChars="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企业实力（包括规模、综合实力、业绩等）；</w:t>
      </w:r>
    </w:p>
    <w:p>
      <w:pPr>
        <w:numPr>
          <w:ilvl w:val="0"/>
          <w:numId w:val="2"/>
        </w:numPr>
        <w:spacing w:line="420" w:lineRule="exact"/>
        <w:ind w:left="-480" w:leftChars="0" w:firstLine="480" w:firstLineChars="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类似业绩；</w:t>
      </w:r>
    </w:p>
    <w:p>
      <w:pPr>
        <w:numPr>
          <w:ilvl w:val="0"/>
          <w:numId w:val="2"/>
        </w:numPr>
        <w:spacing w:line="420" w:lineRule="exact"/>
        <w:ind w:left="-480" w:leftChars="0" w:firstLine="480" w:firstLineChars="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投标人工期承诺、技术服务承诺；</w:t>
      </w:r>
    </w:p>
    <w:p>
      <w:pPr>
        <w:numPr>
          <w:ilvl w:val="0"/>
          <w:numId w:val="2"/>
        </w:numPr>
        <w:spacing w:line="420" w:lineRule="exact"/>
        <w:ind w:left="-480" w:leftChars="0" w:firstLine="480" w:firstLineChars="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技术偏离表、商务偏离表；</w:t>
      </w:r>
    </w:p>
    <w:p>
      <w:pPr>
        <w:numPr>
          <w:ilvl w:val="0"/>
          <w:numId w:val="2"/>
        </w:numPr>
        <w:spacing w:line="420" w:lineRule="exact"/>
        <w:ind w:left="-480" w:leftChars="0" w:firstLine="480" w:firstLineChars="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招标文件的需求及技术规格、合同特殊条款中要求提交的文件资料。</w:t>
      </w:r>
    </w:p>
    <w:p>
      <w:pPr>
        <w:numPr>
          <w:ilvl w:val="0"/>
          <w:numId w:val="2"/>
        </w:numPr>
        <w:spacing w:line="420" w:lineRule="exact"/>
        <w:ind w:left="-480" w:leftChars="0" w:firstLine="480" w:firstLineChars="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磋商文件规定及供应商认为需要提供的其他资料。</w:t>
      </w:r>
    </w:p>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11.2 供应商应将磋商响应文件装订成册，并填写文件资料清单。</w:t>
      </w:r>
    </w:p>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12．磋商响应文件格式</w:t>
      </w:r>
    </w:p>
    <w:p>
      <w:pPr>
        <w:spacing w:line="420" w:lineRule="exact"/>
        <w:ind w:left="600" w:hanging="700" w:hanging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12.1 供应商应按磋商文件的范本格式中提供的文件格式编制磋商响应文件。</w:t>
      </w:r>
    </w:p>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13．磋商报价</w:t>
      </w:r>
    </w:p>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13.1供应商应按附表格式提供分项报价表，如果供应商不提供分项报价，招标人将视为没有实质性响应磋商文件。</w:t>
      </w:r>
    </w:p>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13.2供应商应在磋商报价表上标明单价和总价。单价和总价要相符。小写和大写要相符。供应商应在磋商报价表中标明其提供的所有货物及其相关工作范围内所有费用的总价，不接受有任何选择性磋商报价。</w:t>
      </w:r>
    </w:p>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13.3算术性修正。算术性修正是指对磋商响应文件的报价明细进行校核，并对其算术上和运算上的差错给予修正。修正的原则如下：</w:t>
      </w:r>
    </w:p>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13.3.1 当以数字表示的金额与文字表示的金额有差异时，以文字表示的金额为准；</w:t>
      </w:r>
    </w:p>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13.3.2 当单价与数量相乘不等于合价时，以单价计算为准。如果单价有明显的小数点位置差错，应以标出的合价为准，同时对单价予以修正；</w:t>
      </w:r>
    </w:p>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13.3.3 当各明细部分的价格累计不等于合价时，应以各明细的累计计数为准，修正合价。</w:t>
      </w:r>
    </w:p>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13.3.4 按以上原则对算术性差错修正，应取得供应商的同意，并确认修正后最终磋商报价。如果供应商拒绝确认，则其磋商响应文件将不予以评审并按废标处理，没收其投标担保。</w:t>
      </w:r>
    </w:p>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14．磋商货币</w:t>
      </w:r>
    </w:p>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14.1人民币报价。</w:t>
      </w:r>
    </w:p>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15．供应商的证明文件：</w:t>
      </w:r>
    </w:p>
    <w:p>
      <w:pPr>
        <w:spacing w:line="4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供应商必须提交证明其有资格进行磋商和有能力履行合同的文件（范本格式），作为磋商响应文件的一部分。</w:t>
      </w:r>
    </w:p>
    <w:p>
      <w:pPr>
        <w:spacing w:line="420" w:lineRule="exact"/>
        <w:ind w:firstLine="498" w:firstLineChars="177"/>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bCs/>
          <w:sz w:val="28"/>
          <w:szCs w:val="28"/>
        </w:rPr>
        <w:t>注：（</w:t>
      </w:r>
      <w:r>
        <w:rPr>
          <w:rFonts w:hint="eastAsia" w:asciiTheme="minorEastAsia" w:hAnsiTheme="minorEastAsia" w:eastAsiaTheme="minorEastAsia" w:cstheme="minorEastAsia"/>
          <w:b/>
          <w:sz w:val="28"/>
          <w:szCs w:val="28"/>
        </w:rPr>
        <w:t>1）所有资格证明文件必须满足磋商文件要求，否则将导致废标。</w:t>
      </w:r>
    </w:p>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16符合磋商文件规定的技术响应文件</w:t>
      </w:r>
    </w:p>
    <w:p>
      <w:pPr>
        <w:adjustRightInd w:val="0"/>
        <w:spacing w:line="420" w:lineRule="exact"/>
        <w:ind w:left="540" w:hanging="630" w:hangingChars="225"/>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16.1 供应商须提交证明拟供货物和服务符合磋商文件规定的技术磋商响应文件，作为磋商响应文件的一部分。</w:t>
      </w:r>
    </w:p>
    <w:p>
      <w:pPr>
        <w:adjustRightInd w:val="0"/>
        <w:spacing w:line="420" w:lineRule="exact"/>
        <w:ind w:left="540" w:hanging="630" w:hangingChars="225"/>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16.2上述文件可以是文字资料、图纸和数据，并提供：</w:t>
      </w:r>
    </w:p>
    <w:p>
      <w:pPr>
        <w:adjustRightInd w:val="0"/>
        <w:spacing w:line="420" w:lineRule="exact"/>
        <w:ind w:firstLine="48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（1）主要技术及性能特点的详细描述；</w:t>
      </w:r>
    </w:p>
    <w:p>
      <w:pPr>
        <w:adjustRightInd w:val="0"/>
        <w:spacing w:line="420" w:lineRule="exact"/>
        <w:ind w:firstLine="280" w:firstLineChars="100"/>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lang w:val="en-US" w:eastAsia="zh-CN"/>
        </w:rPr>
        <w:t xml:space="preserve"> </w:t>
      </w:r>
      <w:r>
        <w:rPr>
          <w:rFonts w:hint="eastAsia" w:asciiTheme="minorEastAsia" w:hAnsiTheme="minorEastAsia" w:eastAsiaTheme="minorEastAsia" w:cstheme="minorEastAsia"/>
          <w:bCs/>
          <w:sz w:val="28"/>
          <w:szCs w:val="28"/>
        </w:rPr>
        <w:t>（2） 一份在技术规格中规定的保证货物正常和连续运转期间需要的维护清单包括价格及供货来源信息；没有按要求提供资料或提供资料不完全，将是对本次评标采购未作出实质性响应，其风险由供应商自行承担。</w:t>
      </w:r>
    </w:p>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17．磋商的有效期</w:t>
      </w:r>
    </w:p>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17.1</w:t>
      </w:r>
      <w:r>
        <w:rPr>
          <w:rFonts w:hint="eastAsia" w:asciiTheme="minorEastAsia" w:hAnsiTheme="minorEastAsia" w:eastAsiaTheme="minorEastAsia" w:cstheme="minorEastAsia"/>
          <w:b/>
          <w:sz w:val="28"/>
          <w:szCs w:val="28"/>
        </w:rPr>
        <w:t>磋商响应文件从磋商之日起，投标有效期为</w:t>
      </w:r>
      <w:r>
        <w:rPr>
          <w:rFonts w:hint="eastAsia" w:asciiTheme="minorEastAsia" w:hAnsiTheme="minorEastAsia" w:eastAsiaTheme="minorEastAsia" w:cstheme="minorEastAsia"/>
          <w:b/>
          <w:sz w:val="28"/>
          <w:szCs w:val="28"/>
          <w:lang w:val="en-US" w:eastAsia="zh-CN"/>
        </w:rPr>
        <w:t>45</w:t>
      </w:r>
      <w:r>
        <w:rPr>
          <w:rFonts w:hint="eastAsia" w:asciiTheme="minorEastAsia" w:hAnsiTheme="minorEastAsia" w:eastAsiaTheme="minorEastAsia" w:cstheme="minorEastAsia"/>
          <w:b/>
          <w:sz w:val="28"/>
          <w:szCs w:val="28"/>
        </w:rPr>
        <w:t>天。（如不满足将导致废标）</w:t>
      </w:r>
    </w:p>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17.2 在特殊情况下，招标代理机构可与供应商商量延长磋商响应文件的有效期。</w:t>
      </w:r>
    </w:p>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18．磋商响应文件的书写要求。</w:t>
      </w:r>
    </w:p>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18.1 磋商响应文件须打印。</w:t>
      </w:r>
    </w:p>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18.2 磋商响应文件应清楚工整，修改处应由磋商供应商全权代表签章。</w:t>
      </w:r>
    </w:p>
    <w:p>
      <w:pPr>
        <w:spacing w:line="420" w:lineRule="exact"/>
        <w:ind w:left="600" w:hanging="700" w:hanging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18.3磋商响应文件由法人代表或法人授权代表在规定位置签署并加盖单位公章。</w:t>
      </w:r>
    </w:p>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18.4电报、电话、传真形式的投标概不接受。</w:t>
      </w:r>
    </w:p>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18.5磋商响应文件的份数：正本1份，副本3份。</w:t>
      </w:r>
    </w:p>
    <w:p>
      <w:pPr>
        <w:pStyle w:val="8"/>
        <w:spacing w:line="420" w:lineRule="exact"/>
        <w:rPr>
          <w:rFonts w:hint="eastAsia" w:asciiTheme="minorEastAsia" w:hAnsiTheme="minorEastAsia" w:eastAsiaTheme="minorEastAsia" w:cstheme="minorEastAsia"/>
          <w:sz w:val="28"/>
          <w:szCs w:val="28"/>
        </w:rPr>
      </w:pPr>
    </w:p>
    <w:p>
      <w:pPr>
        <w:pStyle w:val="4"/>
        <w:spacing w:before="100" w:beforeAutospacing="1" w:after="100" w:afterAutospacing="1" w:line="420" w:lineRule="exact"/>
        <w:jc w:val="center"/>
        <w:rPr>
          <w:rFonts w:hint="eastAsia" w:asciiTheme="minorEastAsia" w:hAnsiTheme="minorEastAsia" w:eastAsiaTheme="minorEastAsia" w:cstheme="minorEastAsia"/>
          <w:sz w:val="28"/>
          <w:szCs w:val="28"/>
        </w:rPr>
      </w:pPr>
      <w:bookmarkStart w:id="234" w:name="_GoBack"/>
      <w:bookmarkEnd w:id="234"/>
      <w:bookmarkStart w:id="65" w:name="_Toc267301285"/>
      <w:bookmarkStart w:id="66" w:name="_Toc349573124"/>
      <w:bookmarkStart w:id="67" w:name="_Toc10103"/>
      <w:bookmarkStart w:id="68" w:name="_Toc349637923"/>
      <w:bookmarkStart w:id="69" w:name="_Toc31135"/>
      <w:bookmarkStart w:id="70" w:name="_Toc12532076"/>
      <w:bookmarkStart w:id="71" w:name="_Toc298240408"/>
      <w:r>
        <w:rPr>
          <w:rFonts w:hint="eastAsia" w:asciiTheme="minorEastAsia" w:hAnsiTheme="minorEastAsia" w:eastAsiaTheme="minorEastAsia" w:cstheme="minorEastAsia"/>
          <w:sz w:val="28"/>
          <w:szCs w:val="28"/>
        </w:rPr>
        <w:t>D  磋商响应文件的递交</w:t>
      </w:r>
      <w:bookmarkEnd w:id="65"/>
      <w:bookmarkEnd w:id="66"/>
      <w:bookmarkEnd w:id="67"/>
      <w:bookmarkEnd w:id="68"/>
      <w:bookmarkEnd w:id="69"/>
      <w:bookmarkEnd w:id="70"/>
      <w:bookmarkEnd w:id="71"/>
    </w:p>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 磋商响应文件的密封与标记</w:t>
      </w:r>
    </w:p>
    <w:p>
      <w:pPr>
        <w:spacing w:line="420" w:lineRule="exact"/>
        <w:ind w:left="600" w:hanging="700" w:hanging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20.1 供应商应将磋商响应文件正、副本分别密封，在每个密封件的封面上标明供应商名称、法定代表人、单位公章、正本或副本。</w:t>
      </w:r>
    </w:p>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 磋商响应文件袋上应写明：</w:t>
      </w:r>
    </w:p>
    <w:p>
      <w:pPr>
        <w:numPr>
          <w:ilvl w:val="0"/>
          <w:numId w:val="3"/>
        </w:numPr>
        <w:tabs>
          <w:tab w:val="left" w:pos="1080"/>
        </w:tabs>
        <w:spacing w:line="420" w:lineRule="exact"/>
        <w:ind w:left="10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招标机构：</w:t>
      </w:r>
      <w:r>
        <w:rPr>
          <w:rFonts w:hint="eastAsia" w:asciiTheme="minorEastAsia" w:hAnsiTheme="minorEastAsia" w:eastAsiaTheme="minorEastAsia" w:cstheme="minorEastAsia"/>
          <w:sz w:val="28"/>
          <w:szCs w:val="28"/>
          <w:lang w:eastAsia="zh-CN"/>
        </w:rPr>
        <w:t xml:space="preserve">新疆宏成润和工程管理有限公司 </w:t>
      </w:r>
    </w:p>
    <w:p>
      <w:pPr>
        <w:numPr>
          <w:ilvl w:val="0"/>
          <w:numId w:val="3"/>
        </w:numPr>
        <w:tabs>
          <w:tab w:val="left" w:pos="1080"/>
        </w:tabs>
        <w:spacing w:line="420" w:lineRule="exact"/>
        <w:ind w:left="10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项目名称：</w:t>
      </w:r>
    </w:p>
    <w:p>
      <w:pPr>
        <w:numPr>
          <w:ilvl w:val="0"/>
          <w:numId w:val="3"/>
        </w:numPr>
        <w:tabs>
          <w:tab w:val="left" w:pos="1080"/>
        </w:tabs>
        <w:spacing w:line="420" w:lineRule="exact"/>
        <w:ind w:left="10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项目编号：</w:t>
      </w:r>
    </w:p>
    <w:p>
      <w:pPr>
        <w:numPr>
          <w:ilvl w:val="0"/>
          <w:numId w:val="3"/>
        </w:numPr>
        <w:tabs>
          <w:tab w:val="left" w:pos="1080"/>
        </w:tabs>
        <w:spacing w:line="420" w:lineRule="exact"/>
        <w:ind w:left="10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注明“开标时才能启封”</w:t>
      </w:r>
    </w:p>
    <w:p>
      <w:pPr>
        <w:numPr>
          <w:ilvl w:val="0"/>
          <w:numId w:val="3"/>
        </w:numPr>
        <w:tabs>
          <w:tab w:val="left" w:pos="1080"/>
        </w:tabs>
        <w:spacing w:line="420" w:lineRule="exact"/>
        <w:ind w:left="10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磋商单位名称：</w:t>
      </w:r>
    </w:p>
    <w:p>
      <w:pPr>
        <w:spacing w:line="420" w:lineRule="exact"/>
        <w:ind w:left="600" w:hanging="700" w:hanging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20.3为方便磋商，供应商须将正本的磋商书、磋商报价表和磋商保证金另单独密封一份，并在信封上标明“磋商报价表”字样，然后再装入正本磋商响应文件密封袋中。</w:t>
      </w:r>
    </w:p>
    <w:p>
      <w:pPr>
        <w:spacing w:line="420" w:lineRule="exact"/>
        <w:ind w:left="600" w:hanging="700" w:hanging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20.4磋商响应文件装订要求：磋商响应文件要求不得活页装订</w:t>
      </w:r>
    </w:p>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 磋商响应文件递交截止时间</w:t>
      </w:r>
    </w:p>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21.1 磋商响应文件的递交不得迟于前附表规定时间。</w:t>
      </w:r>
    </w:p>
    <w:p>
      <w:pPr>
        <w:spacing w:line="420" w:lineRule="exact"/>
        <w:ind w:left="540" w:leftChars="25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磋商响应文件以密封形式递交至：磋商现场</w:t>
      </w:r>
    </w:p>
    <w:p>
      <w:pPr>
        <w:spacing w:line="420" w:lineRule="exact"/>
        <w:ind w:left="600" w:hanging="700" w:hanging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21.2 所有磋商响应文件不论派人送交还是通过邮寄递交，都必须按招标代理机构在磋商邀请中规定的投标截止时间之前送到磋商文件规定的地点。</w:t>
      </w:r>
    </w:p>
    <w:p>
      <w:pPr>
        <w:spacing w:line="420" w:lineRule="exact"/>
        <w:ind w:left="600" w:hanging="700" w:hanging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21.3 出现第8.2款因磋商文件的修改推迟投标截止时间时，则按招标代理机构修改通知规定的时间递交。</w:t>
      </w:r>
    </w:p>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22．磋商响应文件的修改和撤销</w:t>
      </w:r>
    </w:p>
    <w:p>
      <w:pPr>
        <w:spacing w:line="420" w:lineRule="exact"/>
        <w:ind w:left="600" w:hanging="700" w:hanging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22.1 供应商在提交磋商响应文件后可对其磋商响应文件进行修改或撤销，但招标代理机构须在投标截止时间之前收到该修改或撤销的书面通知，该通知须有经正式授权的供应商代表签字。</w:t>
      </w:r>
    </w:p>
    <w:p>
      <w:pPr>
        <w:spacing w:line="420" w:lineRule="exact"/>
        <w:ind w:left="600" w:hanging="700" w:hanging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22.2供应商不得在磋商时间起至磋商有效期期满前撤销磋商响应文件。否则招标代理机构将没收其磋商保证金。</w:t>
      </w:r>
    </w:p>
    <w:p>
      <w:pPr>
        <w:pStyle w:val="4"/>
        <w:spacing w:before="100" w:beforeAutospacing="1" w:after="100" w:afterAutospacing="1" w:line="420" w:lineRule="exact"/>
        <w:jc w:val="center"/>
        <w:rPr>
          <w:rFonts w:hint="eastAsia" w:asciiTheme="minorEastAsia" w:hAnsiTheme="minorEastAsia" w:eastAsiaTheme="minorEastAsia" w:cstheme="minorEastAsia"/>
          <w:sz w:val="28"/>
          <w:szCs w:val="28"/>
        </w:rPr>
      </w:pPr>
      <w:bookmarkStart w:id="72" w:name="_Toc349573125"/>
      <w:bookmarkStart w:id="73" w:name="_Toc267301286"/>
      <w:bookmarkStart w:id="74" w:name="_Toc12532077"/>
      <w:bookmarkStart w:id="75" w:name="_Toc298240409"/>
      <w:bookmarkStart w:id="76" w:name="_Toc349637924"/>
      <w:bookmarkStart w:id="77" w:name="_Toc31320"/>
      <w:bookmarkStart w:id="78" w:name="_Toc25270"/>
      <w:r>
        <w:rPr>
          <w:rFonts w:hint="eastAsia" w:asciiTheme="minorEastAsia" w:hAnsiTheme="minorEastAsia" w:eastAsiaTheme="minorEastAsia" w:cstheme="minorEastAsia"/>
          <w:sz w:val="28"/>
          <w:szCs w:val="28"/>
        </w:rPr>
        <w:t xml:space="preserve">E  </w:t>
      </w:r>
      <w:bookmarkEnd w:id="72"/>
      <w:bookmarkEnd w:id="73"/>
      <w:bookmarkEnd w:id="74"/>
      <w:bookmarkEnd w:id="75"/>
      <w:bookmarkEnd w:id="76"/>
      <w:r>
        <w:rPr>
          <w:rFonts w:hint="eastAsia" w:asciiTheme="minorEastAsia" w:hAnsiTheme="minorEastAsia" w:eastAsiaTheme="minorEastAsia" w:cstheme="minorEastAsia"/>
          <w:sz w:val="28"/>
          <w:szCs w:val="28"/>
        </w:rPr>
        <w:t>竞争性磋商程序</w:t>
      </w:r>
      <w:bookmarkEnd w:id="77"/>
      <w:bookmarkEnd w:id="78"/>
    </w:p>
    <w:p>
      <w:pPr>
        <w:widowControl/>
        <w:spacing w:line="360" w:lineRule="auto"/>
        <w:ind w:firstLine="560" w:firstLineChars="200"/>
        <w:textAlignment w:val="baseline"/>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sz w:val="28"/>
          <w:szCs w:val="28"/>
        </w:rPr>
        <w:t xml:space="preserve">23 </w:t>
      </w:r>
      <w:r>
        <w:rPr>
          <w:rFonts w:hint="eastAsia" w:asciiTheme="minorEastAsia" w:hAnsiTheme="minorEastAsia" w:eastAsiaTheme="minorEastAsia" w:cstheme="minorEastAsia"/>
          <w:bCs/>
          <w:sz w:val="28"/>
          <w:szCs w:val="28"/>
        </w:rPr>
        <w:t>磋商小组的组成</w:t>
      </w:r>
    </w:p>
    <w:p>
      <w:pPr>
        <w:pStyle w:val="6"/>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23.1.1磋商小组由采购人代表和有关技术、经济等方面的专家组成。全面负责对响应文件的审查、评审、磋商、打分等全部评审工作。磋商小组人数以及技术、经济方面的专家组成见</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"file:///C:\\WordForm\\e944b4b1-01b6-4e42-b170-f783fcf7903a.doc" \l "_评标委员会"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bCs/>
          <w:kern w:val="0"/>
          <w:sz w:val="28"/>
          <w:szCs w:val="28"/>
        </w:rPr>
        <w:t>供应商须知前附表</w:t>
      </w:r>
      <w:r>
        <w:rPr>
          <w:rFonts w:hint="eastAsia" w:asciiTheme="minorEastAsia" w:hAnsiTheme="minorEastAsia" w:eastAsiaTheme="minorEastAsia" w:cstheme="minorEastAsia"/>
          <w:bCs/>
          <w:kern w:val="0"/>
          <w:sz w:val="28"/>
          <w:szCs w:val="28"/>
        </w:rPr>
        <w:fldChar w:fldCharType="end"/>
      </w:r>
      <w:r>
        <w:rPr>
          <w:rFonts w:hint="eastAsia" w:asciiTheme="minorEastAsia" w:hAnsiTheme="minorEastAsia" w:eastAsiaTheme="minorEastAsia" w:cstheme="minorEastAsia"/>
          <w:bCs/>
          <w:kern w:val="0"/>
          <w:sz w:val="28"/>
          <w:szCs w:val="28"/>
        </w:rPr>
        <w:t>。</w:t>
      </w:r>
    </w:p>
    <w:p>
      <w:pPr>
        <w:pStyle w:val="6"/>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23.2磋商方法</w:t>
      </w:r>
    </w:p>
    <w:p>
      <w:pPr>
        <w:pStyle w:val="6"/>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23.2.1磋商小组将按照磋商文件确定的评审方法进行评审。磋商小组对响应文件的评审分为响应文件初审、澄清有关问题、比较与评价响应文件、推荐中标候选人名单。</w:t>
      </w:r>
    </w:p>
    <w:p>
      <w:pPr>
        <w:pStyle w:val="6"/>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23.2.1项目评审方法详见磋商文件“第四章 评审方法、步骤及标准”。</w:t>
      </w:r>
    </w:p>
    <w:p>
      <w:pPr>
        <w:pStyle w:val="6"/>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23.3响应文件的初审</w:t>
      </w:r>
    </w:p>
    <w:p>
      <w:pPr>
        <w:pStyle w:val="6"/>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初审分为资格性检查和符合性检查。</w:t>
      </w:r>
    </w:p>
    <w:p>
      <w:pPr>
        <w:pStyle w:val="6"/>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23.3.1资格性检查</w:t>
      </w:r>
    </w:p>
    <w:p>
      <w:pPr>
        <w:pStyle w:val="6"/>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（1）磋商小组根据评审办法前附表规定的评审因素和评审标准，对供应商的响应文件进行资格评审。资格性检查不合格的供应商的响应文件作无效文件处理。</w:t>
      </w:r>
    </w:p>
    <w:p>
      <w:pPr>
        <w:pStyle w:val="6"/>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（2）磋商小组在进行资格检查时，不得改变磋商文件中已载明的资格条件、标准和办法。资格性检查不合格的供应商的响应文件作无效文件处理。</w:t>
      </w:r>
    </w:p>
    <w:p>
      <w:pPr>
        <w:pStyle w:val="6"/>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（3）供应商在递交响应文件的同时，应逐项对照上述资格性检查要求提交相应的原件和资格证明文件供磋商小组核查，否则评委将不予采信。</w:t>
      </w:r>
    </w:p>
    <w:p>
      <w:pPr>
        <w:pStyle w:val="6"/>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（4）磋商小组在评审中必要时可按供应商提供的联系方式就有关问题进行查询核实，或要求供应商做出书面澄清，查询及澄清结果将作为审查的依据。</w:t>
      </w:r>
    </w:p>
    <w:p>
      <w:pPr>
        <w:pStyle w:val="6"/>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（5）通过全部资格性检查条件合格的供应商才能通过资格检查，其响应文件方可进入下一个检查阶段。</w:t>
      </w:r>
    </w:p>
    <w:p>
      <w:pPr>
        <w:pStyle w:val="6"/>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23.3.2符合性检查</w:t>
      </w:r>
    </w:p>
    <w:p>
      <w:pPr>
        <w:pStyle w:val="6"/>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磋商小组根据评审办法前附表规定的评审因素和评审标准，对供应商的响应文件进行符合性检查。符合性检查不合格的供应商的响应文件作无效文件处理。</w:t>
      </w:r>
    </w:p>
    <w:p>
      <w:pPr>
        <w:pStyle w:val="6"/>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 xml:space="preserve">23.4违法违规行为 </w:t>
      </w:r>
    </w:p>
    <w:p>
      <w:pPr>
        <w:pStyle w:val="6"/>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23.4.1在评审过程中，磋商小组发现供应商有下列情形之一的，作无效文件处理：</w:t>
      </w:r>
    </w:p>
    <w:p>
      <w:pPr>
        <w:pStyle w:val="6"/>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（1）属于同一集团、协会、商会等组织成员的供应商按照该组织要求协同投标；</w:t>
      </w:r>
    </w:p>
    <w:p>
      <w:pPr>
        <w:pStyle w:val="6"/>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（2）不同供应商的响应文件由同一单位或者个人编制；</w:t>
      </w:r>
    </w:p>
    <w:p>
      <w:pPr>
        <w:pStyle w:val="6"/>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（3）不同供应商委托同一单位或者个人办理投标事宜；</w:t>
      </w:r>
    </w:p>
    <w:p>
      <w:pPr>
        <w:pStyle w:val="6"/>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（4）不同供应商的响应文件载明的项目管理成员为同一人；</w:t>
      </w:r>
    </w:p>
    <w:p>
      <w:pPr>
        <w:pStyle w:val="6"/>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（5）不同供应商的响应文件异常一致或者投标报价呈规律性差异；</w:t>
      </w:r>
    </w:p>
    <w:p>
      <w:pPr>
        <w:pStyle w:val="6"/>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（6）不同供应商的响应文件相互混装；</w:t>
      </w:r>
    </w:p>
    <w:p>
      <w:pPr>
        <w:pStyle w:val="6"/>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（7）不同供应商的投标保证金从同一单位或者个人的账户转出；</w:t>
      </w:r>
    </w:p>
    <w:p>
      <w:pPr>
        <w:pStyle w:val="6"/>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（8）使用伪造、变造的行政许可证件；</w:t>
      </w:r>
    </w:p>
    <w:p>
      <w:pPr>
        <w:pStyle w:val="6"/>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（9）提供虚假的财务状况或者业绩；</w:t>
      </w:r>
    </w:p>
    <w:p>
      <w:pPr>
        <w:pStyle w:val="6"/>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（10）提供虚假的项目负责人或者主要技术人员简历、劳动关系证明；</w:t>
      </w:r>
    </w:p>
    <w:p>
      <w:pPr>
        <w:pStyle w:val="6"/>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（11）提供虚假的信用状况；</w:t>
      </w:r>
    </w:p>
    <w:p>
      <w:pPr>
        <w:pStyle w:val="6"/>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（12）其他弄虚作假的行为。</w:t>
      </w:r>
    </w:p>
    <w:p>
      <w:pPr>
        <w:pStyle w:val="6"/>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23.5 磋商小组审查响应文件是否完整、有无计算上的错误等。</w:t>
      </w:r>
    </w:p>
    <w:p>
      <w:pPr>
        <w:pStyle w:val="6"/>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23.5.1 响应文件的修正及澄清</w:t>
      </w:r>
    </w:p>
    <w:p>
      <w:pPr>
        <w:pStyle w:val="6"/>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（1）磋商小组对确定为实质上响应磋商文件要求的响应文件进行校核，看其是否有计算或表达上的错误，算术错误将按以下方法更正：</w:t>
      </w:r>
    </w:p>
    <w:p>
      <w:pPr>
        <w:pStyle w:val="6"/>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pPr>
        <w:pStyle w:val="6"/>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23.5.2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6"/>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23.5.3实质上没有响应磋商文件要求的响应文件将被视为无效文件。供应商不得通过修正或撤销不合要求的偏离从而使其成为实质上响应的文件。</w:t>
      </w:r>
    </w:p>
    <w:p>
      <w:pPr>
        <w:pStyle w:val="8"/>
        <w:spacing w:line="360" w:lineRule="auto"/>
        <w:ind w:firstLine="560" w:firstLineChars="200"/>
        <w:contextualSpacing/>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23.5.4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pPr>
        <w:pStyle w:val="6"/>
        <w:spacing w:line="360" w:lineRule="auto"/>
        <w:ind w:firstLine="48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kern w:val="0"/>
          <w:sz w:val="28"/>
          <w:szCs w:val="28"/>
        </w:rPr>
        <w:t>23.5.5供应商的澄清文件是其响应文件</w:t>
      </w:r>
      <w:r>
        <w:rPr>
          <w:rFonts w:hint="eastAsia" w:asciiTheme="minorEastAsia" w:hAnsiTheme="minorEastAsia" w:eastAsiaTheme="minorEastAsia" w:cstheme="minorEastAsia"/>
          <w:bCs/>
          <w:sz w:val="28"/>
          <w:szCs w:val="28"/>
        </w:rPr>
        <w:t>的组成部分。</w:t>
      </w:r>
    </w:p>
    <w:p>
      <w:pPr>
        <w:pStyle w:val="6"/>
        <w:spacing w:line="360" w:lineRule="auto"/>
        <w:ind w:firstLine="48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23.6磋商</w:t>
      </w:r>
    </w:p>
    <w:p>
      <w:pPr>
        <w:pStyle w:val="6"/>
        <w:spacing w:line="360" w:lineRule="auto"/>
        <w:ind w:firstLine="48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23.6.1磋商小组所有成员应当集中与单一供应商分别进行磋商，并给予所有参加磋商的供应商平等的磋商机会。</w:t>
      </w:r>
    </w:p>
    <w:p>
      <w:pPr>
        <w:pStyle w:val="6"/>
        <w:spacing w:line="360" w:lineRule="auto"/>
        <w:ind w:firstLine="48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rPr>
        <w:t>23.6.2在磋商过程中，磋商小组可以根据磋商文件和磋商情况实质性变动采购需求中的技术、服务要求以及合同草案条款，但不得变动磋商文件中的其他内容。实质性变动的内容，须经采购人代表确认。</w:t>
      </w:r>
    </w:p>
    <w:p>
      <w:pPr>
        <w:pStyle w:val="6"/>
        <w:spacing w:line="360" w:lineRule="auto"/>
        <w:ind w:firstLine="48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rPr>
        <w:t>　　23.6.3对磋商文件作出的实质性变动是磋商文件的有效组成部分，磋商小组应当及时以书面形式同时通知所有参加磋商的供应商。</w:t>
      </w:r>
    </w:p>
    <w:p>
      <w:pPr>
        <w:pStyle w:val="6"/>
        <w:spacing w:line="360" w:lineRule="auto"/>
        <w:ind w:firstLine="48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rPr>
        <w:t>　　23.6.4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6"/>
        <w:spacing w:line="360" w:lineRule="auto"/>
        <w:ind w:firstLine="48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　  23.6.5磋商文件能够详细列明采购标的的技术、服务要求的，磋商结束后，磋商小组应当要求所有实质性响应的供应商在规定时间内提交最后报价，提交最后报价的供应商不得少于2家。</w:t>
      </w:r>
    </w:p>
    <w:p>
      <w:pPr>
        <w:pStyle w:val="6"/>
        <w:spacing w:line="360" w:lineRule="auto"/>
        <w:ind w:firstLine="48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23.5.6磋商文件不能详细列明采购标的的技术、服务要求，需经磋商由供应商提供最终设计方案或解决方案的，磋商结束后，磋商小组应当按照少数服从多数的原则投票推荐2家以上供应商的设计方案或者解决方案，并要求其在规定时间内提交最后报价。</w:t>
      </w:r>
    </w:p>
    <w:p>
      <w:pPr>
        <w:pStyle w:val="6"/>
        <w:spacing w:line="360" w:lineRule="auto"/>
        <w:ind w:firstLine="48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23.6.7已提交响应文件的供应商，在提交最后报价之前，可以根据磋商情况退出磋商。其磋商保证金将予以退还。</w:t>
      </w:r>
    </w:p>
    <w:p>
      <w:pPr>
        <w:widowControl/>
        <w:spacing w:line="360" w:lineRule="auto"/>
        <w:ind w:firstLine="560" w:firstLineChars="200"/>
        <w:textAlignment w:val="baseline"/>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23.6.8最后报价是供应商响应文件的有效组成部分。符合本办法第三条第四项情形的，提交最后报价的供应商可以为2家。</w:t>
      </w:r>
    </w:p>
    <w:p>
      <w:pPr>
        <w:pStyle w:val="6"/>
        <w:spacing w:line="360" w:lineRule="auto"/>
        <w:ind w:firstLine="48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23.6.9经磋商确定最终采购需求和提交最后报价的供应商后，由磋商小组采用综合评分法对提交最后报价的供应商的响应文件和最后报价进行综合评分。</w:t>
      </w:r>
    </w:p>
    <w:p>
      <w:pPr>
        <w:pStyle w:val="6"/>
        <w:spacing w:line="360" w:lineRule="auto"/>
        <w:ind w:firstLine="48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23.6.10采购结果确认</w:t>
      </w:r>
    </w:p>
    <w:p>
      <w:pPr>
        <w:pStyle w:val="6"/>
        <w:spacing w:line="360" w:lineRule="auto"/>
        <w:ind w:firstLine="48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Style w:val="8"/>
        <w:adjustRightInd w:val="0"/>
        <w:snapToGrid w:val="0"/>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23.7.公示或公告</w:t>
      </w:r>
    </w:p>
    <w:p>
      <w:pPr>
        <w:tabs>
          <w:tab w:val="left" w:pos="1875"/>
        </w:tabs>
        <w:adjustRightInd w:val="0"/>
        <w:snapToGrid w:val="0"/>
        <w:spacing w:line="360" w:lineRule="auto"/>
        <w:ind w:firstLine="560" w:firstLineChars="20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sz w:val="28"/>
          <w:szCs w:val="28"/>
        </w:rPr>
        <w:t>23.7.1成交供应商确定后，采购代理机构将在政府采购监管部门指定的媒体上发布成交公告，同时向成交供应商发出《成交通知书》。《成交通知书》是合同的组成部分,对成交供应商和采购人具有同等法律效力。</w:t>
      </w:r>
    </w:p>
    <w:p>
      <w:pPr>
        <w:spacing w:line="420" w:lineRule="exact"/>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对磋商响应文件的评估和比较分为两步进行，磋商小组按照磋商文件要求对磋商响应文件中的供应商资格、供应商资格证明文件、重要技术指标以及技术和商务上要求的其它重要内容进行审核，审核合格后即视为实质性响应的磋商响应文件，进行第二个步骤：对实质性响应的磋商响应文件进行评估和比较采用综合评分法进行打分评比，打分方法：总分为100分，其中价格因素占20分，商务因素占14分，技术因素占66分。将每位供应商的价格得分、技术得分相加即为该供应商的总得分。</w:t>
      </w:r>
    </w:p>
    <w:p>
      <w:pPr>
        <w:rPr>
          <w:rFonts w:hint="eastAsia" w:asciiTheme="minorEastAsia" w:hAnsiTheme="minorEastAsia" w:eastAsiaTheme="minorEastAsia" w:cstheme="minorEastAsia"/>
          <w:bCs/>
          <w:sz w:val="28"/>
          <w:szCs w:val="28"/>
        </w:rPr>
      </w:pPr>
    </w:p>
    <w:p>
      <w:pPr>
        <w:pStyle w:val="2"/>
        <w:rPr>
          <w:rFonts w:hint="eastAsia" w:asciiTheme="minorEastAsia" w:hAnsiTheme="minorEastAsia" w:eastAsiaTheme="minorEastAsia" w:cstheme="minorEastAsia"/>
          <w:bCs/>
          <w:sz w:val="28"/>
          <w:szCs w:val="28"/>
        </w:rPr>
      </w:pPr>
    </w:p>
    <w:p>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《资格审查标准》</w:t>
      </w:r>
    </w:p>
    <w:tbl>
      <w:tblPr>
        <w:tblStyle w:val="15"/>
        <w:tblW w:w="10280" w:type="dxa"/>
        <w:tblInd w:w="93" w:type="dxa"/>
        <w:tblLayout w:type="fixed"/>
        <w:tblCellMar>
          <w:top w:w="0" w:type="dxa"/>
          <w:left w:w="108" w:type="dxa"/>
          <w:bottom w:w="0" w:type="dxa"/>
          <w:right w:w="108" w:type="dxa"/>
        </w:tblCellMar>
      </w:tblPr>
      <w:tblGrid>
        <w:gridCol w:w="724"/>
        <w:gridCol w:w="4536"/>
        <w:gridCol w:w="1418"/>
        <w:gridCol w:w="1275"/>
        <w:gridCol w:w="1276"/>
        <w:gridCol w:w="1051"/>
      </w:tblGrid>
      <w:tr>
        <w:tblPrEx>
          <w:tblCellMar>
            <w:top w:w="0" w:type="dxa"/>
            <w:left w:w="108" w:type="dxa"/>
            <w:bottom w:w="0" w:type="dxa"/>
            <w:right w:w="108" w:type="dxa"/>
          </w:tblCellMar>
        </w:tblPrEx>
        <w:trPr>
          <w:gridAfter w:val="1"/>
          <w:wAfter w:w="1051" w:type="dxa"/>
          <w:trHeight w:val="570"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序号</w:t>
            </w:r>
          </w:p>
        </w:tc>
        <w:tc>
          <w:tcPr>
            <w:tcW w:w="453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资格审查标准</w:t>
            </w:r>
          </w:p>
        </w:tc>
        <w:tc>
          <w:tcPr>
            <w:tcW w:w="141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投标人A　</w:t>
            </w:r>
          </w:p>
        </w:tc>
        <w:tc>
          <w:tcPr>
            <w:tcW w:w="127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投标人B　</w:t>
            </w:r>
          </w:p>
        </w:tc>
        <w:tc>
          <w:tcPr>
            <w:tcW w:w="12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投标人C</w:t>
            </w:r>
          </w:p>
        </w:tc>
      </w:tr>
      <w:tr>
        <w:tblPrEx>
          <w:tblCellMar>
            <w:top w:w="0" w:type="dxa"/>
            <w:left w:w="108" w:type="dxa"/>
            <w:bottom w:w="0" w:type="dxa"/>
            <w:right w:w="108" w:type="dxa"/>
          </w:tblCellMar>
        </w:tblPrEx>
        <w:trPr>
          <w:gridAfter w:val="1"/>
          <w:wAfter w:w="1051" w:type="dxa"/>
          <w:trHeight w:val="570" w:hRule="atLeast"/>
        </w:trPr>
        <w:tc>
          <w:tcPr>
            <w:tcW w:w="72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1</w:t>
            </w:r>
          </w:p>
        </w:tc>
        <w:tc>
          <w:tcPr>
            <w:tcW w:w="4536"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符合《中华人民共和国政府采购法》第二十二条：投标人参加政府采购活动应当具备的条件；投标人必须是在中华人民共和国境内，且具有独立法人资格的企业；</w:t>
            </w:r>
          </w:p>
        </w:tc>
        <w:tc>
          <w:tcPr>
            <w:tcW w:w="1418"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8"/>
                <w:szCs w:val="28"/>
              </w:rPr>
            </w:pPr>
          </w:p>
        </w:tc>
        <w:tc>
          <w:tcPr>
            <w:tcW w:w="1275"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8"/>
                <w:szCs w:val="28"/>
              </w:rPr>
            </w:pPr>
          </w:p>
        </w:tc>
        <w:tc>
          <w:tcPr>
            <w:tcW w:w="1276"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8"/>
                <w:szCs w:val="28"/>
              </w:rPr>
            </w:pPr>
          </w:p>
        </w:tc>
      </w:tr>
      <w:tr>
        <w:tblPrEx>
          <w:tblCellMar>
            <w:top w:w="0" w:type="dxa"/>
            <w:left w:w="108" w:type="dxa"/>
            <w:bottom w:w="0" w:type="dxa"/>
            <w:right w:w="108" w:type="dxa"/>
          </w:tblCellMar>
        </w:tblPrEx>
        <w:trPr>
          <w:gridAfter w:val="1"/>
          <w:wAfter w:w="1051" w:type="dxa"/>
          <w:trHeight w:val="550"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2</w:t>
            </w:r>
          </w:p>
        </w:tc>
        <w:tc>
          <w:tcPr>
            <w:tcW w:w="4536" w:type="dxa"/>
            <w:tcBorders>
              <w:top w:val="single" w:color="auto" w:sz="4" w:space="0"/>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投标人必须具备有效的资质证书，</w:t>
            </w:r>
            <w:r>
              <w:rPr>
                <w:rFonts w:hint="eastAsia" w:asciiTheme="minorEastAsia" w:hAnsiTheme="minorEastAsia" w:eastAsiaTheme="minorEastAsia" w:cstheme="minorEastAsia"/>
                <w:kern w:val="0"/>
                <w:sz w:val="28"/>
                <w:szCs w:val="28"/>
                <w:lang w:val="en-US" w:eastAsia="zh-CN"/>
              </w:rPr>
              <w:t>林业调查规划设计乙级（含）以上资质证书</w:t>
            </w:r>
          </w:p>
        </w:tc>
        <w:tc>
          <w:tcPr>
            <w:tcW w:w="141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8"/>
                <w:szCs w:val="28"/>
              </w:rPr>
            </w:pPr>
          </w:p>
        </w:tc>
        <w:tc>
          <w:tcPr>
            <w:tcW w:w="127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8"/>
                <w:szCs w:val="28"/>
              </w:rPr>
            </w:pPr>
          </w:p>
        </w:tc>
        <w:tc>
          <w:tcPr>
            <w:tcW w:w="12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8"/>
                <w:szCs w:val="28"/>
              </w:rPr>
            </w:pPr>
          </w:p>
        </w:tc>
      </w:tr>
      <w:tr>
        <w:tblPrEx>
          <w:tblCellMar>
            <w:top w:w="0" w:type="dxa"/>
            <w:left w:w="108" w:type="dxa"/>
            <w:bottom w:w="0" w:type="dxa"/>
            <w:right w:w="108" w:type="dxa"/>
          </w:tblCellMar>
        </w:tblPrEx>
        <w:trPr>
          <w:gridAfter w:val="1"/>
          <w:wAfter w:w="1051" w:type="dxa"/>
          <w:trHeight w:val="686" w:hRule="atLeast"/>
        </w:trPr>
        <w:tc>
          <w:tcPr>
            <w:tcW w:w="72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lang w:val="en-US" w:eastAsia="zh-CN"/>
              </w:rPr>
              <w:t>3</w:t>
            </w:r>
          </w:p>
        </w:tc>
        <w:tc>
          <w:tcPr>
            <w:tcW w:w="4536" w:type="dxa"/>
            <w:tcBorders>
              <w:top w:val="single" w:color="auto" w:sz="4" w:space="0"/>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法人代表或其委托代理人应携带本人身份证原件及复印件，委托代理人还应携带法人代表授权委托书；</w:t>
            </w:r>
          </w:p>
        </w:tc>
        <w:tc>
          <w:tcPr>
            <w:tcW w:w="1418"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8"/>
                <w:szCs w:val="28"/>
              </w:rPr>
            </w:pPr>
          </w:p>
        </w:tc>
        <w:tc>
          <w:tcPr>
            <w:tcW w:w="1275"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8"/>
                <w:szCs w:val="28"/>
              </w:rPr>
            </w:pPr>
          </w:p>
        </w:tc>
        <w:tc>
          <w:tcPr>
            <w:tcW w:w="1276"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8"/>
                <w:szCs w:val="28"/>
              </w:rPr>
            </w:pPr>
          </w:p>
        </w:tc>
      </w:tr>
      <w:tr>
        <w:tblPrEx>
          <w:tblCellMar>
            <w:top w:w="0" w:type="dxa"/>
            <w:left w:w="108" w:type="dxa"/>
            <w:bottom w:w="0" w:type="dxa"/>
            <w:right w:w="108" w:type="dxa"/>
          </w:tblCellMar>
        </w:tblPrEx>
        <w:trPr>
          <w:trHeight w:val="1185" w:hRule="atLeast"/>
        </w:trPr>
        <w:tc>
          <w:tcPr>
            <w:tcW w:w="10280" w:type="dxa"/>
            <w:gridSpan w:val="6"/>
            <w:tcBorders>
              <w:top w:val="nil"/>
              <w:left w:val="nil"/>
              <w:bottom w:val="nil"/>
              <w:right w:val="nil"/>
            </w:tcBorders>
            <w:noWrap w:val="0"/>
            <w:vAlign w:val="top"/>
          </w:tcPr>
          <w:p>
            <w:pPr>
              <w:widowControl/>
              <w:ind w:right="376" w:rightChars="179"/>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注：如果资格评审中有一项不满足审查标准的，评标委员会将认定该投标人不通过资格审查，不得进入下一阶段评审。并且不允许投标人通过修改或撤销其不符合要求的差异或保留，使之成为具有响应性的投标。</w:t>
            </w:r>
          </w:p>
        </w:tc>
      </w:tr>
    </w:tbl>
    <w:p>
      <w:pPr>
        <w:pStyle w:val="36"/>
        <w:spacing w:line="440" w:lineRule="exact"/>
        <w:ind w:firstLine="0"/>
        <w:jc w:val="center"/>
        <w:outlineLvl w:val="1"/>
        <w:rPr>
          <w:rFonts w:hint="eastAsia" w:asciiTheme="minorEastAsia" w:hAnsiTheme="minorEastAsia" w:eastAsiaTheme="minorEastAsia" w:cstheme="minorEastAsia"/>
          <w:b/>
          <w:color w:val="0C0C0C"/>
          <w:sz w:val="28"/>
          <w:szCs w:val="28"/>
        </w:rPr>
      </w:pPr>
      <w:r>
        <w:rPr>
          <w:rFonts w:hint="eastAsia" w:asciiTheme="minorEastAsia" w:hAnsiTheme="minorEastAsia" w:eastAsiaTheme="minorEastAsia" w:cstheme="minorEastAsia"/>
          <w:b/>
          <w:color w:val="0C0C0C"/>
          <w:sz w:val="28"/>
          <w:szCs w:val="28"/>
        </w:rPr>
        <w:t>《符合性审查标准》</w:t>
      </w:r>
    </w:p>
    <w:tbl>
      <w:tblPr>
        <w:tblStyle w:val="15"/>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7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noWrap w:val="0"/>
            <w:vAlign w:val="center"/>
          </w:tcPr>
          <w:p>
            <w:pPr>
              <w:spacing w:line="360" w:lineRule="auto"/>
              <w:jc w:val="center"/>
              <w:rPr>
                <w:rFonts w:hint="eastAsia" w:asciiTheme="minorEastAsia" w:hAnsiTheme="minorEastAsia" w:eastAsiaTheme="minorEastAsia" w:cstheme="minorEastAsia"/>
                <w:bCs/>
                <w:color w:val="0C0C0C"/>
                <w:sz w:val="28"/>
                <w:szCs w:val="28"/>
                <w:lang w:eastAsia="zh-CN"/>
              </w:rPr>
            </w:pPr>
            <w:r>
              <w:rPr>
                <w:rFonts w:hint="eastAsia" w:asciiTheme="minorEastAsia" w:hAnsiTheme="minorEastAsia" w:eastAsiaTheme="minorEastAsia" w:cstheme="minorEastAsia"/>
                <w:bCs/>
                <w:color w:val="0C0C0C"/>
                <w:sz w:val="28"/>
                <w:szCs w:val="28"/>
                <w:lang w:eastAsia="zh-CN"/>
              </w:rPr>
              <w:t>序号</w:t>
            </w:r>
          </w:p>
        </w:tc>
        <w:tc>
          <w:tcPr>
            <w:tcW w:w="7619" w:type="dxa"/>
            <w:noWrap w:val="0"/>
            <w:vAlign w:val="center"/>
          </w:tcPr>
          <w:p>
            <w:pPr>
              <w:spacing w:line="360" w:lineRule="auto"/>
              <w:jc w:val="center"/>
              <w:rPr>
                <w:rFonts w:hint="eastAsia" w:asciiTheme="minorEastAsia" w:hAnsiTheme="minorEastAsia" w:eastAsiaTheme="minorEastAsia" w:cstheme="minorEastAsia"/>
                <w:bCs/>
                <w:color w:val="0C0C0C"/>
                <w:sz w:val="28"/>
                <w:szCs w:val="28"/>
              </w:rPr>
            </w:pPr>
            <w:r>
              <w:rPr>
                <w:rFonts w:hint="eastAsia" w:asciiTheme="minorEastAsia" w:hAnsiTheme="minorEastAsia" w:eastAsiaTheme="minorEastAsia" w:cstheme="minorEastAsia"/>
                <w:bCs/>
                <w:color w:val="0C0C0C"/>
                <w:sz w:val="28"/>
                <w:szCs w:val="28"/>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noWrap w:val="0"/>
            <w:vAlign w:val="center"/>
          </w:tcPr>
          <w:p>
            <w:pPr>
              <w:spacing w:line="360" w:lineRule="auto"/>
              <w:jc w:val="center"/>
              <w:rPr>
                <w:rFonts w:hint="eastAsia" w:asciiTheme="minorEastAsia" w:hAnsiTheme="minorEastAsia" w:eastAsiaTheme="minorEastAsia" w:cstheme="minorEastAsia"/>
                <w:bCs/>
                <w:color w:val="0C0C0C"/>
                <w:sz w:val="28"/>
                <w:szCs w:val="28"/>
                <w:u w:val="none"/>
                <w:lang w:eastAsia="zh-CN"/>
              </w:rPr>
            </w:pPr>
            <w:r>
              <w:rPr>
                <w:rFonts w:hint="eastAsia" w:asciiTheme="minorEastAsia" w:hAnsiTheme="minorEastAsia" w:eastAsiaTheme="minorEastAsia" w:cstheme="minorEastAsia"/>
                <w:color w:val="0C0C0C"/>
                <w:sz w:val="28"/>
                <w:szCs w:val="28"/>
                <w:u w:val="none"/>
                <w:lang w:val="en-US" w:eastAsia="zh-CN"/>
              </w:rPr>
              <w:t>1</w:t>
            </w:r>
          </w:p>
        </w:tc>
        <w:tc>
          <w:tcPr>
            <w:tcW w:w="7619" w:type="dxa"/>
            <w:noWrap w:val="0"/>
            <w:vAlign w:val="center"/>
          </w:tcPr>
          <w:p>
            <w:pPr>
              <w:spacing w:line="360" w:lineRule="auto"/>
              <w:jc w:val="left"/>
              <w:rPr>
                <w:rFonts w:hint="eastAsia" w:asciiTheme="minorEastAsia" w:hAnsiTheme="minorEastAsia" w:eastAsiaTheme="minorEastAsia" w:cstheme="minorEastAsia"/>
                <w:bCs/>
                <w:color w:val="0C0C0C"/>
                <w:sz w:val="28"/>
                <w:szCs w:val="28"/>
              </w:rPr>
            </w:pPr>
            <w:r>
              <w:rPr>
                <w:rFonts w:hint="eastAsia" w:asciiTheme="minorEastAsia" w:hAnsiTheme="minorEastAsia" w:eastAsiaTheme="minorEastAsia" w:cstheme="minorEastAsia"/>
                <w:bCs/>
                <w:color w:val="0C0C0C"/>
                <w:sz w:val="28"/>
                <w:szCs w:val="28"/>
              </w:rPr>
              <w:t>必须按磋商文件规定格式完整提供，并要盖投标人章、法定代表人章或</w:t>
            </w:r>
            <w:r>
              <w:rPr>
                <w:rFonts w:hint="eastAsia" w:asciiTheme="minorEastAsia" w:hAnsiTheme="minorEastAsia" w:eastAsiaTheme="minorEastAsia" w:cstheme="minorEastAsia"/>
                <w:color w:val="0C0C0C"/>
                <w:sz w:val="28"/>
                <w:szCs w:val="28"/>
              </w:rPr>
              <w:t>授权代理人</w:t>
            </w:r>
            <w:r>
              <w:rPr>
                <w:rFonts w:hint="eastAsia" w:asciiTheme="minorEastAsia" w:hAnsiTheme="minorEastAsia" w:eastAsiaTheme="minorEastAsia" w:cstheme="minorEastAsia"/>
                <w:bCs/>
                <w:color w:val="0C0C0C"/>
                <w:sz w:val="28"/>
                <w:szCs w:val="28"/>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noWrap w:val="0"/>
            <w:vAlign w:val="center"/>
          </w:tcPr>
          <w:p>
            <w:pPr>
              <w:spacing w:line="360" w:lineRule="auto"/>
              <w:jc w:val="center"/>
              <w:rPr>
                <w:rFonts w:hint="eastAsia" w:asciiTheme="minorEastAsia" w:hAnsiTheme="minorEastAsia" w:eastAsiaTheme="minorEastAsia" w:cstheme="minorEastAsia"/>
                <w:color w:val="0C0C0C"/>
                <w:sz w:val="28"/>
                <w:szCs w:val="28"/>
                <w:u w:val="none"/>
                <w:lang w:eastAsia="zh-CN"/>
              </w:rPr>
            </w:pPr>
            <w:r>
              <w:rPr>
                <w:rFonts w:hint="eastAsia" w:asciiTheme="minorEastAsia" w:hAnsiTheme="minorEastAsia" w:eastAsiaTheme="minorEastAsia" w:cstheme="minorEastAsia"/>
                <w:color w:val="0C0C0C"/>
                <w:sz w:val="28"/>
                <w:szCs w:val="28"/>
                <w:u w:val="none"/>
                <w:lang w:val="en-US" w:eastAsia="zh-CN"/>
              </w:rPr>
              <w:t>2</w:t>
            </w:r>
          </w:p>
        </w:tc>
        <w:tc>
          <w:tcPr>
            <w:tcW w:w="7619" w:type="dxa"/>
            <w:noWrap w:val="0"/>
            <w:vAlign w:val="center"/>
          </w:tcPr>
          <w:p>
            <w:pPr>
              <w:spacing w:line="360" w:lineRule="auto"/>
              <w:jc w:val="left"/>
              <w:rPr>
                <w:rFonts w:hint="eastAsia" w:asciiTheme="minorEastAsia" w:hAnsiTheme="minorEastAsia" w:eastAsiaTheme="minorEastAsia" w:cstheme="minorEastAsia"/>
                <w:bCs/>
                <w:color w:val="0C0C0C"/>
                <w:sz w:val="28"/>
                <w:szCs w:val="28"/>
              </w:rPr>
            </w:pPr>
            <w:r>
              <w:rPr>
                <w:rFonts w:hint="eastAsia" w:asciiTheme="minorEastAsia" w:hAnsiTheme="minorEastAsia" w:eastAsiaTheme="minorEastAsia" w:cstheme="minorEastAsia"/>
                <w:bCs/>
                <w:color w:val="0C0C0C"/>
                <w:sz w:val="28"/>
                <w:szCs w:val="28"/>
              </w:rPr>
              <w:t>投标承诺书中所报设计周期必须要满足磋商文件规定；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noWrap w:val="0"/>
            <w:vAlign w:val="center"/>
          </w:tcPr>
          <w:p>
            <w:pPr>
              <w:spacing w:line="360" w:lineRule="auto"/>
              <w:jc w:val="center"/>
              <w:rPr>
                <w:rFonts w:hint="eastAsia" w:asciiTheme="minorEastAsia" w:hAnsiTheme="minorEastAsia" w:eastAsiaTheme="minorEastAsia" w:cstheme="minorEastAsia"/>
                <w:bCs/>
                <w:color w:val="0C0C0C"/>
                <w:sz w:val="28"/>
                <w:szCs w:val="28"/>
                <w:u w:val="none"/>
                <w:lang w:eastAsia="zh-CN"/>
              </w:rPr>
            </w:pPr>
            <w:r>
              <w:rPr>
                <w:rFonts w:hint="eastAsia" w:asciiTheme="minorEastAsia" w:hAnsiTheme="minorEastAsia" w:eastAsiaTheme="minorEastAsia" w:cstheme="minorEastAsia"/>
                <w:color w:val="0C0C0C"/>
                <w:sz w:val="28"/>
                <w:szCs w:val="28"/>
                <w:u w:val="none"/>
                <w:lang w:val="en-US" w:eastAsia="zh-CN"/>
              </w:rPr>
              <w:t>3</w:t>
            </w:r>
          </w:p>
        </w:tc>
        <w:tc>
          <w:tcPr>
            <w:tcW w:w="7619" w:type="dxa"/>
            <w:noWrap w:val="0"/>
            <w:vAlign w:val="center"/>
          </w:tcPr>
          <w:p>
            <w:pPr>
              <w:spacing w:line="360" w:lineRule="auto"/>
              <w:jc w:val="left"/>
              <w:rPr>
                <w:rFonts w:hint="eastAsia" w:asciiTheme="minorEastAsia" w:hAnsiTheme="minorEastAsia" w:eastAsiaTheme="minorEastAsia" w:cstheme="minorEastAsia"/>
                <w:bCs/>
                <w:color w:val="0C0C0C"/>
                <w:sz w:val="28"/>
                <w:szCs w:val="28"/>
              </w:rPr>
            </w:pPr>
            <w:r>
              <w:rPr>
                <w:rFonts w:hint="eastAsia" w:asciiTheme="minorEastAsia" w:hAnsiTheme="minorEastAsia" w:eastAsiaTheme="minorEastAsia" w:cstheme="minorEastAsia"/>
                <w:bCs/>
                <w:color w:val="0C0C0C"/>
                <w:sz w:val="28"/>
                <w:szCs w:val="28"/>
              </w:rPr>
              <w:t>法定代表人身份证明书必须按磋商文件规定格式完整提供，并要盖投标人章；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067" w:type="dxa"/>
            <w:noWrap w:val="0"/>
            <w:vAlign w:val="center"/>
          </w:tcPr>
          <w:p>
            <w:pPr>
              <w:spacing w:line="360" w:lineRule="auto"/>
              <w:jc w:val="center"/>
              <w:rPr>
                <w:rFonts w:hint="eastAsia" w:asciiTheme="minorEastAsia" w:hAnsiTheme="minorEastAsia" w:eastAsiaTheme="minorEastAsia" w:cstheme="minorEastAsia"/>
                <w:bCs/>
                <w:color w:val="0C0C0C"/>
                <w:sz w:val="28"/>
                <w:szCs w:val="28"/>
                <w:u w:val="none"/>
                <w:lang w:eastAsia="zh-CN"/>
              </w:rPr>
            </w:pPr>
            <w:r>
              <w:rPr>
                <w:rFonts w:hint="eastAsia" w:asciiTheme="minorEastAsia" w:hAnsiTheme="minorEastAsia" w:eastAsiaTheme="minorEastAsia" w:cstheme="minorEastAsia"/>
                <w:color w:val="0C0C0C"/>
                <w:sz w:val="28"/>
                <w:szCs w:val="28"/>
                <w:u w:val="none"/>
                <w:lang w:val="en-US" w:eastAsia="zh-CN"/>
              </w:rPr>
              <w:t>4</w:t>
            </w:r>
          </w:p>
        </w:tc>
        <w:tc>
          <w:tcPr>
            <w:tcW w:w="7619" w:type="dxa"/>
            <w:noWrap w:val="0"/>
            <w:vAlign w:val="center"/>
          </w:tcPr>
          <w:p>
            <w:pPr>
              <w:spacing w:line="360" w:lineRule="auto"/>
              <w:jc w:val="left"/>
              <w:rPr>
                <w:rFonts w:hint="eastAsia" w:asciiTheme="minorEastAsia" w:hAnsiTheme="minorEastAsia" w:eastAsiaTheme="minorEastAsia" w:cstheme="minorEastAsia"/>
                <w:bCs/>
                <w:color w:val="0C0C0C"/>
                <w:sz w:val="28"/>
                <w:szCs w:val="28"/>
              </w:rPr>
            </w:pPr>
            <w:r>
              <w:rPr>
                <w:rFonts w:hint="eastAsia" w:asciiTheme="minorEastAsia" w:hAnsiTheme="minorEastAsia" w:eastAsiaTheme="minorEastAsia" w:cstheme="minorEastAsia"/>
                <w:bCs/>
                <w:color w:val="0C0C0C"/>
                <w:sz w:val="28"/>
                <w:szCs w:val="28"/>
              </w:rPr>
              <w:t>法定代表人授权委托书必须按磋商文件规定格式完整提供，并要盖投标人章、法定代表人章；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noWrap w:val="0"/>
            <w:vAlign w:val="center"/>
          </w:tcPr>
          <w:p>
            <w:pPr>
              <w:spacing w:line="360" w:lineRule="auto"/>
              <w:jc w:val="center"/>
              <w:rPr>
                <w:rFonts w:hint="eastAsia" w:asciiTheme="minorEastAsia" w:hAnsiTheme="minorEastAsia" w:eastAsiaTheme="minorEastAsia" w:cstheme="minorEastAsia"/>
                <w:bCs/>
                <w:color w:val="0C0C0C"/>
                <w:sz w:val="28"/>
                <w:szCs w:val="28"/>
                <w:u w:val="none"/>
                <w:lang w:eastAsia="zh-CN"/>
              </w:rPr>
            </w:pPr>
            <w:r>
              <w:rPr>
                <w:rFonts w:hint="eastAsia" w:asciiTheme="minorEastAsia" w:hAnsiTheme="minorEastAsia" w:eastAsiaTheme="minorEastAsia" w:cstheme="minorEastAsia"/>
                <w:color w:val="0C0C0C"/>
                <w:sz w:val="28"/>
                <w:szCs w:val="28"/>
                <w:u w:val="none"/>
                <w:lang w:val="en-US" w:eastAsia="zh-CN"/>
              </w:rPr>
              <w:t>5</w:t>
            </w:r>
          </w:p>
        </w:tc>
        <w:tc>
          <w:tcPr>
            <w:tcW w:w="7619" w:type="dxa"/>
            <w:noWrap w:val="0"/>
            <w:vAlign w:val="center"/>
          </w:tcPr>
          <w:p>
            <w:pPr>
              <w:spacing w:line="360" w:lineRule="auto"/>
              <w:jc w:val="left"/>
              <w:rPr>
                <w:rFonts w:hint="eastAsia" w:asciiTheme="minorEastAsia" w:hAnsiTheme="minorEastAsia" w:eastAsiaTheme="minorEastAsia" w:cstheme="minorEastAsia"/>
                <w:bCs/>
                <w:color w:val="0C0C0C"/>
                <w:sz w:val="28"/>
                <w:szCs w:val="28"/>
              </w:rPr>
            </w:pPr>
            <w:r>
              <w:rPr>
                <w:rFonts w:hint="eastAsia" w:asciiTheme="minorEastAsia" w:hAnsiTheme="minorEastAsia" w:eastAsiaTheme="minorEastAsia" w:cstheme="minorEastAsia"/>
                <w:color w:val="0C0C0C"/>
                <w:sz w:val="28"/>
                <w:szCs w:val="28"/>
              </w:rPr>
              <w:t>响应文件封面右上角必须注明“正本”或“副本”字样；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noWrap w:val="0"/>
            <w:vAlign w:val="center"/>
          </w:tcPr>
          <w:p>
            <w:pPr>
              <w:spacing w:line="360" w:lineRule="auto"/>
              <w:jc w:val="center"/>
              <w:rPr>
                <w:rFonts w:hint="eastAsia" w:asciiTheme="minorEastAsia" w:hAnsiTheme="minorEastAsia" w:eastAsiaTheme="minorEastAsia" w:cstheme="minorEastAsia"/>
                <w:color w:val="0C0C0C"/>
                <w:sz w:val="28"/>
                <w:szCs w:val="28"/>
                <w:u w:val="none"/>
                <w:lang w:val="en-US" w:eastAsia="zh-CN"/>
              </w:rPr>
            </w:pPr>
            <w:r>
              <w:rPr>
                <w:rFonts w:hint="eastAsia" w:asciiTheme="minorEastAsia" w:hAnsiTheme="minorEastAsia" w:eastAsiaTheme="minorEastAsia" w:cstheme="minorEastAsia"/>
                <w:color w:val="0C0C0C"/>
                <w:sz w:val="28"/>
                <w:szCs w:val="28"/>
                <w:u w:val="none"/>
                <w:lang w:val="en-US" w:eastAsia="zh-CN"/>
              </w:rPr>
              <w:t>6</w:t>
            </w:r>
          </w:p>
        </w:tc>
        <w:tc>
          <w:tcPr>
            <w:tcW w:w="7619" w:type="dxa"/>
            <w:noWrap w:val="0"/>
            <w:vAlign w:val="center"/>
          </w:tcPr>
          <w:p>
            <w:pPr>
              <w:spacing w:line="360" w:lineRule="auto"/>
              <w:jc w:val="left"/>
              <w:rPr>
                <w:rFonts w:hint="eastAsia" w:asciiTheme="minorEastAsia" w:hAnsiTheme="minorEastAsia" w:eastAsiaTheme="minorEastAsia" w:cstheme="minorEastAsia"/>
                <w:color w:val="0C0C0C"/>
                <w:sz w:val="28"/>
                <w:szCs w:val="28"/>
              </w:rPr>
            </w:pPr>
            <w:r>
              <w:rPr>
                <w:rFonts w:hint="eastAsia" w:asciiTheme="minorEastAsia" w:hAnsiTheme="minorEastAsia" w:eastAsiaTheme="minorEastAsia" w:cstheme="minorEastAsia"/>
                <w:color w:val="0C0C0C"/>
                <w:sz w:val="28"/>
                <w:szCs w:val="28"/>
              </w:rPr>
              <w:t>投标人的投标报价不得超过最高限价，且任何有选择的报价将被拒绝。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noWrap w:val="0"/>
            <w:vAlign w:val="center"/>
          </w:tcPr>
          <w:p>
            <w:pPr>
              <w:spacing w:line="360" w:lineRule="auto"/>
              <w:jc w:val="left"/>
              <w:rPr>
                <w:rFonts w:hint="eastAsia" w:asciiTheme="minorEastAsia" w:hAnsiTheme="minorEastAsia" w:eastAsiaTheme="minorEastAsia" w:cstheme="minorEastAsia"/>
                <w:color w:val="0C0C0C"/>
                <w:sz w:val="28"/>
                <w:szCs w:val="28"/>
                <w:lang w:eastAsia="zh-CN"/>
              </w:rPr>
            </w:pPr>
            <w:r>
              <w:rPr>
                <w:rFonts w:hint="eastAsia" w:asciiTheme="minorEastAsia" w:hAnsiTheme="minorEastAsia" w:eastAsiaTheme="minorEastAsia" w:cstheme="minorEastAsia"/>
                <w:color w:val="0C0C0C"/>
                <w:sz w:val="28"/>
                <w:szCs w:val="28"/>
                <w:lang w:eastAsia="zh-CN"/>
              </w:rPr>
              <w:t>备注</w:t>
            </w:r>
          </w:p>
        </w:tc>
        <w:tc>
          <w:tcPr>
            <w:tcW w:w="7619" w:type="dxa"/>
            <w:noWrap w:val="0"/>
            <w:vAlign w:val="center"/>
          </w:tcPr>
          <w:p>
            <w:pPr>
              <w:spacing w:line="360" w:lineRule="auto"/>
              <w:jc w:val="left"/>
              <w:rPr>
                <w:rFonts w:hint="eastAsia" w:asciiTheme="minorEastAsia" w:hAnsiTheme="minorEastAsia" w:eastAsiaTheme="minorEastAsia" w:cstheme="minorEastAsia"/>
                <w:bCs/>
                <w:color w:val="0C0C0C"/>
                <w:sz w:val="28"/>
                <w:szCs w:val="28"/>
              </w:rPr>
            </w:pPr>
            <w:r>
              <w:rPr>
                <w:rFonts w:hint="eastAsia" w:asciiTheme="minorEastAsia" w:hAnsiTheme="minorEastAsia" w:eastAsiaTheme="minorEastAsia" w:cstheme="minorEastAsia"/>
                <w:bCs/>
                <w:color w:val="0C0C0C"/>
                <w:sz w:val="28"/>
                <w:szCs w:val="28"/>
              </w:rPr>
              <w:t>再次重申：投标人请认真阅读和理解上述内容，避免响应文件中有违背上述审查标准之一的情况发生而造成废标。</w:t>
            </w:r>
          </w:p>
        </w:tc>
      </w:tr>
    </w:tbl>
    <w:p>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Cs/>
          <w:sz w:val="28"/>
          <w:szCs w:val="28"/>
        </w:rPr>
        <w:t>评标委员会将对投标人递交的磋商文件按《</w:t>
      </w:r>
      <w:r>
        <w:rPr>
          <w:rFonts w:hint="eastAsia" w:asciiTheme="minorEastAsia" w:hAnsiTheme="minorEastAsia" w:eastAsiaTheme="minorEastAsia" w:cstheme="minorEastAsia"/>
          <w:sz w:val="28"/>
          <w:szCs w:val="28"/>
        </w:rPr>
        <w:t>响应文件完备性及符合性审查标准》</w:t>
      </w:r>
      <w:r>
        <w:rPr>
          <w:rFonts w:hint="eastAsia" w:asciiTheme="minorEastAsia" w:hAnsiTheme="minorEastAsia" w:eastAsiaTheme="minorEastAsia" w:cstheme="minorEastAsia"/>
          <w:bCs/>
          <w:sz w:val="28"/>
          <w:szCs w:val="28"/>
        </w:rPr>
        <w:t>进行审查。如果响应文件中有一项未通过审查标准，评标委员会将认定该响应文件不响应磋商文件而予以废标，并且不允许投标人通过修改或撤销其不符合要求的差异或保留，使之成为具有响应性的投标。</w:t>
      </w:r>
    </w:p>
    <w:p>
      <w:pPr>
        <w:rPr>
          <w:rFonts w:hint="eastAsia"/>
        </w:rPr>
      </w:pPr>
    </w:p>
    <w:p>
      <w:pPr>
        <w:pStyle w:val="2"/>
        <w:rPr>
          <w:rFonts w:hint="eastAsia" w:asciiTheme="minorEastAsia" w:hAnsiTheme="minorEastAsia" w:eastAsiaTheme="minorEastAsia" w:cstheme="minorEastAsia"/>
          <w:bCs/>
          <w:sz w:val="28"/>
          <w:szCs w:val="28"/>
        </w:rPr>
      </w:pPr>
    </w:p>
    <w:tbl>
      <w:tblPr>
        <w:tblStyle w:val="15"/>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121"/>
        <w:gridCol w:w="701"/>
        <w:gridCol w:w="435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2237"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评审内容</w:t>
            </w:r>
          </w:p>
        </w:tc>
        <w:tc>
          <w:tcPr>
            <w:tcW w:w="70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分值</w:t>
            </w:r>
          </w:p>
        </w:tc>
        <w:tc>
          <w:tcPr>
            <w:tcW w:w="4350"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评审标准</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价格</w:t>
            </w:r>
          </w:p>
          <w:p>
            <w:pPr>
              <w:spacing w:line="276"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20</w:t>
            </w:r>
            <w:r>
              <w:rPr>
                <w:rFonts w:hint="eastAsia" w:asciiTheme="minorEastAsia" w:hAnsiTheme="minorEastAsia" w:eastAsiaTheme="minorEastAsia" w:cstheme="minorEastAsia"/>
                <w:sz w:val="28"/>
                <w:szCs w:val="28"/>
              </w:rPr>
              <w:t>分</w:t>
            </w:r>
          </w:p>
        </w:tc>
        <w:tc>
          <w:tcPr>
            <w:tcW w:w="112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投标报价</w:t>
            </w:r>
          </w:p>
        </w:tc>
        <w:tc>
          <w:tcPr>
            <w:tcW w:w="70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eastAsia="zh-CN"/>
              </w:rPr>
              <w:t>20</w:t>
            </w:r>
          </w:p>
        </w:tc>
        <w:tc>
          <w:tcPr>
            <w:tcW w:w="4350"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价格分统一采用低价优先法计算，即满足招标文件要求且评标价格最低的报价为评标基准价，其价格分为满分。其他供应商的价格分统一按照下列公式计算：</w:t>
            </w:r>
          </w:p>
          <w:p>
            <w:pPr>
              <w:spacing w:line="276"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报价得分=(评标基准价／评标价格)×</w:t>
            </w:r>
            <w:r>
              <w:rPr>
                <w:rFonts w:hint="eastAsia" w:asciiTheme="minorEastAsia" w:hAnsiTheme="minorEastAsia" w:eastAsiaTheme="minorEastAsia" w:cstheme="minorEastAsia"/>
                <w:sz w:val="28"/>
                <w:szCs w:val="28"/>
                <w:lang w:val="en-US" w:eastAsia="zh-CN"/>
              </w:rPr>
              <w:t>20</w:t>
            </w:r>
            <w:r>
              <w:rPr>
                <w:rFonts w:hint="eastAsia" w:asciiTheme="minorEastAsia" w:hAnsiTheme="minorEastAsia" w:eastAsiaTheme="minorEastAsia" w:cstheme="minorEastAsia"/>
                <w:sz w:val="28"/>
                <w:szCs w:val="28"/>
              </w:rPr>
              <w:t>%×100</w:t>
            </w:r>
          </w:p>
          <w:p>
            <w:pPr>
              <w:spacing w:line="276"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在价格评审中，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111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技术部分</w:t>
            </w:r>
          </w:p>
          <w:p>
            <w:pPr>
              <w:spacing w:line="276"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66</w:t>
            </w:r>
            <w:r>
              <w:rPr>
                <w:rFonts w:hint="eastAsia" w:asciiTheme="minorEastAsia" w:hAnsiTheme="minorEastAsia" w:eastAsiaTheme="minorEastAsia" w:cstheme="minorEastAsia"/>
                <w:sz w:val="28"/>
                <w:szCs w:val="28"/>
              </w:rPr>
              <w:t>分</w:t>
            </w:r>
          </w:p>
        </w:tc>
        <w:tc>
          <w:tcPr>
            <w:tcW w:w="11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i w:val="0"/>
                <w:iCs w:val="0"/>
                <w:color w:val="000000"/>
                <w:kern w:val="0"/>
                <w:sz w:val="28"/>
                <w:szCs w:val="28"/>
                <w:u w:val="none"/>
                <w:lang w:val="en-US" w:eastAsia="zh-CN" w:bidi="ar"/>
              </w:rPr>
              <w:t>现状分析</w:t>
            </w:r>
          </w:p>
        </w:tc>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FF0000"/>
                <w:sz w:val="28"/>
                <w:szCs w:val="28"/>
                <w:lang w:eastAsia="zh-CN"/>
              </w:rPr>
            </w:pPr>
            <w:r>
              <w:rPr>
                <w:rFonts w:hint="eastAsia" w:asciiTheme="minorEastAsia" w:hAnsiTheme="minorEastAsia" w:eastAsiaTheme="minorEastAsia" w:cstheme="minorEastAsia"/>
                <w:i w:val="0"/>
                <w:iCs w:val="0"/>
                <w:color w:val="000000"/>
                <w:kern w:val="0"/>
                <w:sz w:val="28"/>
                <w:szCs w:val="28"/>
                <w:u w:val="none"/>
                <w:lang w:val="en-US" w:eastAsia="zh-CN" w:bidi="ar"/>
              </w:rPr>
              <w:t>20</w:t>
            </w:r>
          </w:p>
        </w:tc>
        <w:tc>
          <w:tcPr>
            <w:tcW w:w="4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（1）投标人对项目背景及项目现状进行深入的调研和分析，现状分析思路清晰、全面，完全符合招标人要求：15-20分；</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（2）项目现状分析思路清晰但缺少针对性：8-14分；</w:t>
            </w:r>
          </w:p>
          <w:p>
            <w:pPr>
              <w:keepNext w:val="0"/>
              <w:keepLines w:val="0"/>
              <w:widowControl/>
              <w:suppressLineNumbers w:val="0"/>
              <w:jc w:val="left"/>
              <w:textAlignment w:val="center"/>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i w:val="0"/>
                <w:iCs w:val="0"/>
                <w:color w:val="000000"/>
                <w:kern w:val="0"/>
                <w:sz w:val="28"/>
                <w:szCs w:val="28"/>
                <w:u w:val="none"/>
                <w:lang w:val="en-US" w:eastAsia="zh-CN" w:bidi="ar"/>
              </w:rPr>
              <w:t>（3）项目现状分析思路不清晰或与本项目不匹配：0-7分。</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11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Theme="minorEastAsia" w:hAnsiTheme="minorEastAsia" w:eastAsiaTheme="minorEastAsia" w:cstheme="minorEastAsia"/>
                <w:sz w:val="28"/>
                <w:szCs w:val="28"/>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i w:val="0"/>
                <w:iCs w:val="0"/>
                <w:color w:val="000000"/>
                <w:kern w:val="0"/>
                <w:sz w:val="28"/>
                <w:szCs w:val="28"/>
                <w:u w:val="none"/>
                <w:lang w:val="en-US" w:eastAsia="zh-CN" w:bidi="ar"/>
              </w:rPr>
              <w:t>组织机构</w:t>
            </w:r>
          </w:p>
        </w:tc>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FF0000"/>
                <w:sz w:val="28"/>
                <w:szCs w:val="28"/>
                <w:lang w:eastAsia="zh-CN"/>
              </w:rPr>
            </w:pPr>
            <w:r>
              <w:rPr>
                <w:rFonts w:hint="eastAsia" w:asciiTheme="minorEastAsia" w:hAnsiTheme="minorEastAsia" w:eastAsiaTheme="minorEastAsia" w:cstheme="minorEastAsia"/>
                <w:i w:val="0"/>
                <w:iCs w:val="0"/>
                <w:color w:val="000000"/>
                <w:kern w:val="0"/>
                <w:sz w:val="28"/>
                <w:szCs w:val="28"/>
                <w:u w:val="none"/>
                <w:lang w:val="en-US" w:eastAsia="zh-CN" w:bidi="ar"/>
              </w:rPr>
              <w:t>6</w:t>
            </w:r>
          </w:p>
        </w:tc>
        <w:tc>
          <w:tcPr>
            <w:tcW w:w="4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（1）有健全的组织机构组织机构，成立专项项目组：5-6分</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（2）项目组建立不完善，3-4分</w:t>
            </w:r>
          </w:p>
          <w:p>
            <w:pPr>
              <w:keepNext w:val="0"/>
              <w:keepLines w:val="0"/>
              <w:widowControl/>
              <w:suppressLineNumbers w:val="0"/>
              <w:jc w:val="left"/>
              <w:textAlignment w:val="center"/>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i w:val="0"/>
                <w:iCs w:val="0"/>
                <w:color w:val="000000"/>
                <w:kern w:val="0"/>
                <w:sz w:val="28"/>
                <w:szCs w:val="28"/>
                <w:u w:val="none"/>
                <w:lang w:val="en-US" w:eastAsia="zh-CN" w:bidi="ar"/>
              </w:rPr>
              <w:t>（3）未成立专项项目组，0-2分</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Theme="minorEastAsia" w:hAnsiTheme="minorEastAsia" w:eastAsiaTheme="minorEastAsia" w:cstheme="minorEastAsia"/>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11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76" w:lineRule="auto"/>
              <w:ind w:firstLine="480"/>
              <w:jc w:val="center"/>
              <w:rPr>
                <w:rFonts w:hint="eastAsia" w:asciiTheme="minorEastAsia" w:hAnsiTheme="minorEastAsia" w:eastAsiaTheme="minorEastAsia" w:cstheme="minorEastAsia"/>
                <w:sz w:val="28"/>
                <w:szCs w:val="28"/>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i w:val="0"/>
                <w:iCs w:val="0"/>
                <w:color w:val="000000"/>
                <w:kern w:val="0"/>
                <w:sz w:val="28"/>
                <w:szCs w:val="28"/>
                <w:u w:val="none"/>
                <w:lang w:val="en-US" w:eastAsia="zh-CN" w:bidi="ar"/>
              </w:rPr>
              <w:t>内部管理制度</w:t>
            </w:r>
          </w:p>
        </w:tc>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i w:val="0"/>
                <w:iCs w:val="0"/>
                <w:color w:val="000000"/>
                <w:kern w:val="0"/>
                <w:sz w:val="28"/>
                <w:szCs w:val="28"/>
                <w:u w:val="none"/>
                <w:lang w:val="en-US" w:eastAsia="zh-CN" w:bidi="ar"/>
              </w:rPr>
              <w:t>20</w:t>
            </w:r>
          </w:p>
        </w:tc>
        <w:tc>
          <w:tcPr>
            <w:tcW w:w="4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（1）工作目标清晰，工作内容完整，工程成果表述清晰：15-20分</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（2）工作目标基本完整，提出了工作内容，工程成果基本明确：8-14分</w:t>
            </w:r>
          </w:p>
          <w:p>
            <w:pPr>
              <w:keepNext w:val="0"/>
              <w:keepLines w:val="0"/>
              <w:widowControl/>
              <w:suppressLineNumbers w:val="0"/>
              <w:jc w:val="left"/>
              <w:textAlignment w:val="center"/>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i w:val="0"/>
                <w:iCs w:val="0"/>
                <w:color w:val="000000"/>
                <w:kern w:val="0"/>
                <w:sz w:val="28"/>
                <w:szCs w:val="28"/>
                <w:u w:val="none"/>
                <w:lang w:val="en-US" w:eastAsia="zh-CN" w:bidi="ar"/>
              </w:rPr>
              <w:t>（3）工作目标不全面，无具体的工作内容，工程成果不明确：0-7分</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Theme="minorEastAsia" w:hAnsiTheme="minorEastAsia" w:eastAsiaTheme="minorEastAsia" w:cstheme="minorEastAsia"/>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76" w:lineRule="auto"/>
              <w:ind w:firstLine="480"/>
              <w:jc w:val="center"/>
              <w:rPr>
                <w:rFonts w:hint="eastAsia" w:asciiTheme="minorEastAsia" w:hAnsiTheme="minorEastAsia" w:eastAsiaTheme="minorEastAsia" w:cstheme="minorEastAsia"/>
                <w:sz w:val="28"/>
                <w:szCs w:val="28"/>
              </w:rPr>
            </w:pPr>
          </w:p>
        </w:tc>
        <w:tc>
          <w:tcPr>
            <w:tcW w:w="1121"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i w:val="0"/>
                <w:iCs w:val="0"/>
                <w:color w:val="000000"/>
                <w:kern w:val="0"/>
                <w:sz w:val="28"/>
                <w:szCs w:val="28"/>
                <w:u w:val="none"/>
                <w:lang w:val="en-US" w:eastAsia="zh-CN" w:bidi="ar"/>
              </w:rPr>
              <w:t>质量保证措施及承诺</w:t>
            </w:r>
          </w:p>
        </w:tc>
        <w:tc>
          <w:tcPr>
            <w:tcW w:w="701"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15</w:t>
            </w:r>
          </w:p>
          <w:p>
            <w:pPr>
              <w:spacing w:line="276" w:lineRule="auto"/>
              <w:jc w:val="center"/>
              <w:rPr>
                <w:rFonts w:hint="eastAsia" w:asciiTheme="minorEastAsia" w:hAnsiTheme="minorEastAsia" w:eastAsiaTheme="minorEastAsia" w:cstheme="minorEastAsia"/>
                <w:color w:val="FF0000"/>
                <w:sz w:val="28"/>
                <w:szCs w:val="28"/>
              </w:rPr>
            </w:pPr>
          </w:p>
        </w:tc>
        <w:tc>
          <w:tcPr>
            <w:tcW w:w="4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i w:val="0"/>
                <w:iCs w:val="0"/>
                <w:color w:val="000000"/>
                <w:kern w:val="0"/>
                <w:sz w:val="28"/>
                <w:szCs w:val="28"/>
                <w:u w:val="none"/>
                <w:lang w:val="en-US" w:eastAsia="zh-CN" w:bidi="ar"/>
              </w:rPr>
              <w:t>质量体系的建立及质量方针和目标：0-5分</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Theme="minorEastAsia" w:hAnsiTheme="minorEastAsia" w:eastAsiaTheme="minorEastAsia" w:cstheme="minorEastAsia"/>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11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76" w:lineRule="auto"/>
              <w:ind w:firstLine="480"/>
              <w:jc w:val="center"/>
              <w:rPr>
                <w:rFonts w:hint="eastAsia" w:asciiTheme="minorEastAsia" w:hAnsiTheme="minorEastAsia" w:eastAsiaTheme="minorEastAsia" w:cstheme="minorEastAsia"/>
                <w:sz w:val="28"/>
                <w:szCs w:val="28"/>
              </w:rPr>
            </w:pPr>
          </w:p>
        </w:tc>
        <w:tc>
          <w:tcPr>
            <w:tcW w:w="1121" w:type="dxa"/>
            <w:vMerge w:val="continue"/>
            <w:tcBorders>
              <w:left w:val="single" w:color="auto" w:sz="4" w:space="0"/>
              <w:right w:val="single" w:color="auto" w:sz="4" w:space="0"/>
            </w:tcBorders>
            <w:noWrap w:val="0"/>
            <w:vAlign w:val="center"/>
          </w:tcPr>
          <w:p>
            <w:pPr>
              <w:spacing w:line="276" w:lineRule="auto"/>
              <w:jc w:val="both"/>
              <w:rPr>
                <w:rFonts w:hint="eastAsia" w:asciiTheme="minorEastAsia" w:hAnsiTheme="minorEastAsia" w:eastAsiaTheme="minorEastAsia" w:cstheme="minorEastAsia"/>
                <w:color w:val="FF0000"/>
                <w:sz w:val="28"/>
                <w:szCs w:val="28"/>
              </w:rPr>
            </w:pPr>
          </w:p>
        </w:tc>
        <w:tc>
          <w:tcPr>
            <w:tcW w:w="701" w:type="dxa"/>
            <w:vMerge w:val="continue"/>
            <w:tcBorders>
              <w:left w:val="single" w:color="auto" w:sz="4" w:space="0"/>
              <w:right w:val="single" w:color="auto" w:sz="4" w:space="0"/>
            </w:tcBorders>
            <w:noWrap w:val="0"/>
            <w:vAlign w:val="center"/>
          </w:tcPr>
          <w:p>
            <w:pPr>
              <w:spacing w:line="276" w:lineRule="auto"/>
              <w:jc w:val="center"/>
              <w:rPr>
                <w:rFonts w:hint="eastAsia" w:asciiTheme="minorEastAsia" w:hAnsiTheme="minorEastAsia" w:eastAsiaTheme="minorEastAsia" w:cstheme="minorEastAsia"/>
                <w:color w:val="FF0000"/>
                <w:sz w:val="28"/>
                <w:szCs w:val="28"/>
              </w:rPr>
            </w:pPr>
          </w:p>
        </w:tc>
        <w:tc>
          <w:tcPr>
            <w:tcW w:w="4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i w:val="0"/>
                <w:iCs w:val="0"/>
                <w:color w:val="000000"/>
                <w:kern w:val="0"/>
                <w:sz w:val="28"/>
                <w:szCs w:val="28"/>
                <w:u w:val="none"/>
                <w:lang w:val="en-US" w:eastAsia="zh-CN" w:bidi="ar"/>
              </w:rPr>
              <w:t>实现质量目标的具体措施：0-5分</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Theme="minorEastAsia" w:hAnsiTheme="minorEastAsia" w:eastAsiaTheme="minorEastAsia" w:cstheme="minorEastAsia"/>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11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76" w:lineRule="auto"/>
              <w:ind w:firstLine="480"/>
              <w:jc w:val="center"/>
              <w:rPr>
                <w:rFonts w:hint="eastAsia" w:asciiTheme="minorEastAsia" w:hAnsiTheme="minorEastAsia" w:eastAsiaTheme="minorEastAsia" w:cstheme="minorEastAsia"/>
                <w:sz w:val="28"/>
                <w:szCs w:val="28"/>
              </w:rPr>
            </w:pPr>
          </w:p>
        </w:tc>
        <w:tc>
          <w:tcPr>
            <w:tcW w:w="1121" w:type="dxa"/>
            <w:vMerge w:val="continue"/>
            <w:tcBorders>
              <w:left w:val="single" w:color="auto" w:sz="4" w:space="0"/>
              <w:bottom w:val="single" w:color="auto" w:sz="4" w:space="0"/>
              <w:right w:val="single" w:color="auto" w:sz="4" w:space="0"/>
            </w:tcBorders>
            <w:noWrap w:val="0"/>
            <w:vAlign w:val="center"/>
          </w:tcPr>
          <w:p>
            <w:pPr>
              <w:spacing w:line="276" w:lineRule="auto"/>
              <w:jc w:val="center"/>
              <w:rPr>
                <w:rFonts w:hint="eastAsia" w:asciiTheme="minorEastAsia" w:hAnsiTheme="minorEastAsia" w:eastAsiaTheme="minorEastAsia" w:cstheme="minorEastAsia"/>
                <w:color w:val="FF0000"/>
                <w:sz w:val="28"/>
                <w:szCs w:val="28"/>
              </w:rPr>
            </w:pPr>
          </w:p>
        </w:tc>
        <w:tc>
          <w:tcPr>
            <w:tcW w:w="701" w:type="dxa"/>
            <w:vMerge w:val="continue"/>
            <w:tcBorders>
              <w:left w:val="single" w:color="auto" w:sz="4" w:space="0"/>
              <w:bottom w:val="single" w:color="auto" w:sz="4" w:space="0"/>
              <w:right w:val="single" w:color="auto" w:sz="4" w:space="0"/>
            </w:tcBorders>
            <w:noWrap w:val="0"/>
            <w:vAlign w:val="center"/>
          </w:tcPr>
          <w:p>
            <w:pPr>
              <w:spacing w:line="276" w:lineRule="auto"/>
              <w:jc w:val="center"/>
              <w:rPr>
                <w:rFonts w:hint="eastAsia" w:asciiTheme="minorEastAsia" w:hAnsiTheme="minorEastAsia" w:eastAsiaTheme="minorEastAsia" w:cstheme="minorEastAsia"/>
                <w:color w:val="FF0000"/>
                <w:sz w:val="28"/>
                <w:szCs w:val="28"/>
              </w:rPr>
            </w:pPr>
          </w:p>
        </w:tc>
        <w:tc>
          <w:tcPr>
            <w:tcW w:w="4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i w:val="0"/>
                <w:iCs w:val="0"/>
                <w:color w:val="000000"/>
                <w:kern w:val="0"/>
                <w:sz w:val="28"/>
                <w:szCs w:val="28"/>
                <w:u w:val="none"/>
                <w:lang w:val="en-US" w:eastAsia="zh-CN" w:bidi="ar"/>
              </w:rPr>
              <w:t>确保实现质量目标的质量管理方案及解决质量问题的措施及承诺：0-5分</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Theme="minorEastAsia" w:hAnsiTheme="minorEastAsia" w:eastAsiaTheme="minorEastAsia" w:cstheme="minorEastAsia"/>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111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76" w:lineRule="auto"/>
              <w:ind w:firstLine="480"/>
              <w:jc w:val="center"/>
              <w:rPr>
                <w:rFonts w:hint="eastAsia" w:asciiTheme="minorEastAsia" w:hAnsiTheme="minorEastAsia" w:eastAsiaTheme="minorEastAsia" w:cstheme="minorEastAsia"/>
                <w:sz w:val="28"/>
                <w:szCs w:val="28"/>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i w:val="0"/>
                <w:iCs w:val="0"/>
                <w:color w:val="000000"/>
                <w:kern w:val="0"/>
                <w:sz w:val="28"/>
                <w:szCs w:val="28"/>
                <w:u w:val="none"/>
                <w:lang w:val="en-US" w:eastAsia="zh-CN" w:bidi="ar"/>
              </w:rPr>
              <w:t>进度安排</w:t>
            </w:r>
          </w:p>
        </w:tc>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i w:val="0"/>
                <w:iCs w:val="0"/>
                <w:color w:val="000000"/>
                <w:kern w:val="0"/>
                <w:sz w:val="28"/>
                <w:szCs w:val="28"/>
                <w:u w:val="none"/>
                <w:lang w:val="en-US" w:eastAsia="zh-CN" w:bidi="ar"/>
              </w:rPr>
              <w:t>5</w:t>
            </w:r>
          </w:p>
        </w:tc>
        <w:tc>
          <w:tcPr>
            <w:tcW w:w="4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（1）进度安排合理、控制措施全面、可操作性强4-5分；</w:t>
            </w:r>
          </w:p>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（2）进度安排基本合理、控制措施基本完整、具有一定的可操作性2-3分；</w:t>
            </w:r>
          </w:p>
          <w:p>
            <w:pPr>
              <w:keepNext w:val="0"/>
              <w:keepLines w:val="0"/>
              <w:widowControl/>
              <w:suppressLineNumbers w:val="0"/>
              <w:jc w:val="both"/>
              <w:textAlignment w:val="center"/>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i w:val="0"/>
                <w:iCs w:val="0"/>
                <w:color w:val="000000"/>
                <w:kern w:val="0"/>
                <w:sz w:val="28"/>
                <w:szCs w:val="28"/>
                <w:u w:val="none"/>
                <w:lang w:val="en-US" w:eastAsia="zh-CN" w:bidi="ar"/>
              </w:rPr>
              <w:t>（2）进度安排不合理、控制措施不全面、无可操作性0-1分；</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Theme="minorEastAsia" w:hAnsiTheme="minorEastAsia" w:eastAsiaTheme="minorEastAsia" w:cstheme="minorEastAsia"/>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11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商务部</w:t>
            </w:r>
            <w:r>
              <w:rPr>
                <w:rFonts w:hint="eastAsia" w:asciiTheme="minorEastAsia" w:hAnsiTheme="minorEastAsia" w:eastAsiaTheme="minorEastAsia" w:cstheme="minorEastAsia"/>
                <w:color w:val="auto"/>
                <w:sz w:val="28"/>
                <w:szCs w:val="28"/>
                <w:lang w:val="en-US" w:eastAsia="zh-CN"/>
              </w:rPr>
              <w:t>分</w:t>
            </w:r>
          </w:p>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w:t>
            </w:r>
            <w:r>
              <w:rPr>
                <w:rFonts w:hint="eastAsia" w:asciiTheme="minorEastAsia" w:hAnsiTheme="minorEastAsia" w:eastAsiaTheme="minorEastAsia" w:cstheme="minorEastAsia"/>
                <w:color w:val="auto"/>
                <w:sz w:val="28"/>
                <w:szCs w:val="28"/>
                <w:lang w:val="en-US" w:eastAsia="zh-CN"/>
              </w:rPr>
              <w:t>4</w:t>
            </w:r>
            <w:r>
              <w:rPr>
                <w:rFonts w:hint="eastAsia" w:asciiTheme="minorEastAsia" w:hAnsiTheme="minorEastAsia" w:eastAsiaTheme="minorEastAsia" w:cstheme="minorEastAsia"/>
                <w:color w:val="auto"/>
                <w:sz w:val="28"/>
                <w:szCs w:val="28"/>
              </w:rPr>
              <w:t>分</w:t>
            </w:r>
          </w:p>
        </w:tc>
        <w:tc>
          <w:tcPr>
            <w:tcW w:w="1121"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FF"/>
                <w:sz w:val="28"/>
                <w:szCs w:val="28"/>
              </w:rPr>
            </w:pPr>
            <w:r>
              <w:rPr>
                <w:rFonts w:hint="eastAsia" w:asciiTheme="minorEastAsia" w:hAnsiTheme="minorEastAsia" w:eastAsiaTheme="minorEastAsia" w:cstheme="minorEastAsia"/>
                <w:i w:val="0"/>
                <w:iCs w:val="0"/>
                <w:color w:val="000000"/>
                <w:kern w:val="0"/>
                <w:sz w:val="28"/>
                <w:szCs w:val="28"/>
                <w:u w:val="none"/>
                <w:lang w:val="en-US" w:eastAsia="zh-CN" w:bidi="ar"/>
              </w:rPr>
              <w:t>综合实力</w:t>
            </w:r>
          </w:p>
        </w:tc>
        <w:tc>
          <w:tcPr>
            <w:tcW w:w="701"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FF"/>
                <w:sz w:val="28"/>
                <w:szCs w:val="28"/>
              </w:rPr>
            </w:pPr>
            <w:r>
              <w:rPr>
                <w:rFonts w:hint="eastAsia" w:asciiTheme="minorEastAsia" w:hAnsiTheme="minorEastAsia" w:eastAsiaTheme="minorEastAsia" w:cstheme="minorEastAsia"/>
                <w:i w:val="0"/>
                <w:iCs w:val="0"/>
                <w:color w:val="000000"/>
                <w:kern w:val="0"/>
                <w:sz w:val="28"/>
                <w:szCs w:val="28"/>
                <w:u w:val="none"/>
                <w:lang w:val="en-US" w:eastAsia="zh-CN" w:bidi="ar"/>
              </w:rPr>
              <w:t>4</w:t>
            </w:r>
          </w:p>
        </w:tc>
        <w:tc>
          <w:tcPr>
            <w:tcW w:w="4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FF"/>
                <w:sz w:val="28"/>
                <w:szCs w:val="28"/>
              </w:rPr>
            </w:pPr>
            <w:r>
              <w:rPr>
                <w:rFonts w:hint="eastAsia" w:asciiTheme="minorEastAsia" w:hAnsiTheme="minorEastAsia" w:eastAsiaTheme="minorEastAsia" w:cstheme="minorEastAsia"/>
                <w:i w:val="0"/>
                <w:iCs w:val="0"/>
                <w:color w:val="000000"/>
                <w:kern w:val="0"/>
                <w:sz w:val="28"/>
                <w:szCs w:val="28"/>
                <w:u w:val="none"/>
                <w:lang w:val="en-US" w:eastAsia="zh-CN" w:bidi="ar"/>
              </w:rPr>
              <w:t>投标人具有林业调查规划设计乙级及以上资质，得2分；</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560" w:firstLineChars="200"/>
              <w:jc w:val="left"/>
              <w:rPr>
                <w:rFonts w:hint="eastAsia" w:asciiTheme="minorEastAsia" w:hAnsiTheme="minorEastAsia" w:eastAsiaTheme="minorEastAsia" w:cstheme="minorEastAsia"/>
                <w:color w:val="0000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1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560" w:firstLineChars="200"/>
              <w:jc w:val="left"/>
              <w:rPr>
                <w:rFonts w:hint="eastAsia" w:asciiTheme="minorEastAsia" w:hAnsiTheme="minorEastAsia" w:eastAsiaTheme="minorEastAsia" w:cstheme="minorEastAsia"/>
                <w:color w:val="0000FF"/>
                <w:sz w:val="28"/>
                <w:szCs w:val="28"/>
              </w:rPr>
            </w:pPr>
          </w:p>
        </w:tc>
        <w:tc>
          <w:tcPr>
            <w:tcW w:w="1121" w:type="dxa"/>
            <w:vMerge w:val="continue"/>
            <w:tcBorders>
              <w:left w:val="single" w:color="auto" w:sz="4" w:space="0"/>
              <w:bottom w:val="single" w:color="auto" w:sz="4" w:space="0"/>
              <w:right w:val="single" w:color="auto" w:sz="4" w:space="0"/>
            </w:tcBorders>
            <w:noWrap w:val="0"/>
            <w:vAlign w:val="center"/>
          </w:tcPr>
          <w:p>
            <w:pPr>
              <w:spacing w:line="360" w:lineRule="auto"/>
              <w:ind w:firstLine="560" w:firstLineChars="200"/>
              <w:jc w:val="left"/>
              <w:rPr>
                <w:rFonts w:hint="eastAsia" w:asciiTheme="minorEastAsia" w:hAnsiTheme="minorEastAsia" w:eastAsiaTheme="minorEastAsia" w:cstheme="minorEastAsia"/>
                <w:color w:val="0000FF"/>
                <w:sz w:val="28"/>
                <w:szCs w:val="28"/>
              </w:rPr>
            </w:pPr>
          </w:p>
        </w:tc>
        <w:tc>
          <w:tcPr>
            <w:tcW w:w="701" w:type="dxa"/>
            <w:vMerge w:val="continue"/>
            <w:tcBorders>
              <w:left w:val="single" w:color="auto" w:sz="4" w:space="0"/>
              <w:bottom w:val="single" w:color="auto" w:sz="4" w:space="0"/>
              <w:right w:val="single" w:color="auto" w:sz="4" w:space="0"/>
            </w:tcBorders>
            <w:noWrap w:val="0"/>
            <w:vAlign w:val="center"/>
          </w:tcPr>
          <w:p>
            <w:pPr>
              <w:spacing w:line="360" w:lineRule="auto"/>
              <w:jc w:val="left"/>
              <w:rPr>
                <w:rFonts w:hint="eastAsia" w:asciiTheme="minorEastAsia" w:hAnsiTheme="minorEastAsia" w:eastAsiaTheme="minorEastAsia" w:cstheme="minorEastAsia"/>
                <w:color w:val="0000FF"/>
                <w:sz w:val="28"/>
                <w:szCs w:val="28"/>
              </w:rPr>
            </w:pPr>
          </w:p>
        </w:tc>
        <w:tc>
          <w:tcPr>
            <w:tcW w:w="4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FF"/>
                <w:sz w:val="28"/>
                <w:szCs w:val="28"/>
              </w:rPr>
            </w:pPr>
            <w:r>
              <w:rPr>
                <w:rFonts w:hint="eastAsia" w:asciiTheme="minorEastAsia" w:hAnsiTheme="minorEastAsia" w:eastAsiaTheme="minorEastAsia" w:cstheme="minorEastAsia"/>
                <w:i w:val="0"/>
                <w:iCs w:val="0"/>
                <w:color w:val="000000"/>
                <w:kern w:val="0"/>
                <w:sz w:val="28"/>
                <w:szCs w:val="28"/>
                <w:u w:val="none"/>
                <w:lang w:val="en-US" w:eastAsia="zh-CN" w:bidi="ar"/>
              </w:rPr>
              <w:t>提供项目组成员不少于三个月的社保证明得2分</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Theme="minorEastAsia" w:hAnsiTheme="minorEastAsia" w:eastAsiaTheme="minorEastAsia" w:cstheme="minorEastAsia"/>
                <w:color w:val="0000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11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560" w:firstLineChars="200"/>
              <w:jc w:val="left"/>
              <w:rPr>
                <w:rFonts w:hint="eastAsia" w:asciiTheme="minorEastAsia" w:hAnsiTheme="minorEastAsia" w:eastAsiaTheme="minorEastAsia" w:cstheme="minorEastAsia"/>
                <w:color w:val="0000FF"/>
                <w:sz w:val="28"/>
                <w:szCs w:val="28"/>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FF"/>
                <w:sz w:val="28"/>
                <w:szCs w:val="28"/>
              </w:rPr>
            </w:pPr>
            <w:r>
              <w:rPr>
                <w:rFonts w:hint="eastAsia" w:asciiTheme="minorEastAsia" w:hAnsiTheme="minorEastAsia" w:eastAsiaTheme="minorEastAsia" w:cstheme="minorEastAsia"/>
                <w:i w:val="0"/>
                <w:iCs w:val="0"/>
                <w:color w:val="000000"/>
                <w:kern w:val="0"/>
                <w:sz w:val="28"/>
                <w:szCs w:val="28"/>
                <w:u w:val="none"/>
                <w:lang w:val="en-US" w:eastAsia="zh-CN" w:bidi="ar"/>
              </w:rPr>
              <w:t>经验业绩</w:t>
            </w:r>
          </w:p>
        </w:tc>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FF"/>
                <w:sz w:val="28"/>
                <w:szCs w:val="28"/>
              </w:rPr>
            </w:pPr>
            <w:r>
              <w:rPr>
                <w:rFonts w:hint="eastAsia" w:asciiTheme="minorEastAsia" w:hAnsiTheme="minorEastAsia" w:eastAsiaTheme="minorEastAsia" w:cstheme="minorEastAsia"/>
                <w:i w:val="0"/>
                <w:iCs w:val="0"/>
                <w:color w:val="000000"/>
                <w:kern w:val="0"/>
                <w:sz w:val="28"/>
                <w:szCs w:val="28"/>
                <w:u w:val="none"/>
                <w:lang w:val="en-US" w:eastAsia="zh-CN" w:bidi="ar"/>
              </w:rPr>
              <w:t>10</w:t>
            </w:r>
          </w:p>
        </w:tc>
        <w:tc>
          <w:tcPr>
            <w:tcW w:w="4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FF"/>
                <w:sz w:val="28"/>
                <w:szCs w:val="28"/>
              </w:rPr>
            </w:pPr>
            <w:r>
              <w:rPr>
                <w:rFonts w:hint="eastAsia" w:asciiTheme="minorEastAsia" w:hAnsiTheme="minorEastAsia" w:eastAsiaTheme="minorEastAsia" w:cstheme="minorEastAsia"/>
                <w:i w:val="0"/>
                <w:iCs w:val="0"/>
                <w:color w:val="000000"/>
                <w:kern w:val="0"/>
                <w:sz w:val="28"/>
                <w:szCs w:val="28"/>
                <w:u w:val="none"/>
                <w:lang w:val="en-US" w:eastAsia="zh-CN" w:bidi="ar"/>
              </w:rPr>
              <w:t>具有近三年的林业调查类、林业设计类业绩，每一个得2分，最多10分</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560" w:firstLineChars="200"/>
              <w:jc w:val="left"/>
              <w:rPr>
                <w:rFonts w:hint="eastAsia" w:asciiTheme="minorEastAsia" w:hAnsiTheme="minorEastAsia" w:eastAsiaTheme="minorEastAsia" w:cstheme="minorEastAsia"/>
                <w:color w:val="0000FF"/>
                <w:sz w:val="28"/>
                <w:szCs w:val="28"/>
              </w:rPr>
            </w:pPr>
          </w:p>
        </w:tc>
      </w:tr>
    </w:tbl>
    <w:p>
      <w:pPr>
        <w:spacing w:line="360" w:lineRule="auto"/>
        <w:ind w:firstLine="560" w:firstLineChars="200"/>
        <w:jc w:val="left"/>
        <w:rPr>
          <w:rFonts w:hint="eastAsia" w:asciiTheme="minorEastAsia" w:hAnsiTheme="minorEastAsia" w:eastAsiaTheme="minorEastAsia" w:cstheme="minorEastAsia"/>
          <w:color w:val="0000FF"/>
          <w:sz w:val="28"/>
          <w:szCs w:val="28"/>
        </w:rPr>
      </w:pPr>
    </w:p>
    <w:p>
      <w:pPr>
        <w:pStyle w:val="7"/>
        <w:spacing w:before="3"/>
        <w:ind w:left="0"/>
        <w:rPr>
          <w:rFonts w:hint="eastAsia" w:asciiTheme="minorEastAsia" w:hAnsiTheme="minorEastAsia" w:eastAsiaTheme="minorEastAsia" w:cstheme="minorEastAsia"/>
          <w:b/>
          <w:sz w:val="28"/>
          <w:szCs w:val="28"/>
        </w:rPr>
      </w:pPr>
    </w:p>
    <w:p>
      <w:pPr>
        <w:pStyle w:val="6"/>
        <w:numPr>
          <w:ilvl w:val="0"/>
          <w:numId w:val="0"/>
        </w:numPr>
        <w:rPr>
          <w:rFonts w:hint="eastAsia" w:asciiTheme="minorEastAsia" w:hAnsiTheme="minorEastAsia" w:eastAsiaTheme="minorEastAsia" w:cstheme="minorEastAsia"/>
          <w:sz w:val="28"/>
          <w:szCs w:val="28"/>
        </w:rPr>
      </w:pP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8"/>
          <w:szCs w:val="28"/>
        </w:rPr>
        <w:t xml:space="preserve">注：（1）如供应商为小微企业，需提供《小微企业声明函》及相关证明文件，对小型和微型企业产品的价格给予6%的扣除，用扣除后的价格参与评审。  </w:t>
      </w:r>
      <w:r>
        <w:rPr>
          <w:rFonts w:hint="eastAsia" w:asciiTheme="minorEastAsia" w:hAnsiTheme="minorEastAsia" w:eastAsiaTheme="minorEastAsia" w:cstheme="minorEastAsia"/>
          <w:color w:val="0000FF"/>
          <w:sz w:val="28"/>
          <w:szCs w:val="28"/>
        </w:rPr>
        <w:t xml:space="preserve"> </w:t>
      </w:r>
      <w:r>
        <w:rPr>
          <w:rFonts w:hint="eastAsia" w:asciiTheme="minorEastAsia" w:hAnsiTheme="minorEastAsia" w:eastAsiaTheme="minorEastAsia" w:cstheme="minorEastAsia"/>
          <w:sz w:val="28"/>
          <w:szCs w:val="28"/>
        </w:rPr>
        <w:t xml:space="preserve">                              </w:t>
      </w:r>
    </w:p>
    <w:p>
      <w:pPr>
        <w:spacing w:line="460" w:lineRule="exact"/>
        <w:jc w:val="left"/>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bCs/>
          <w:sz w:val="28"/>
          <w:szCs w:val="28"/>
        </w:rPr>
        <w:t>26.4</w:t>
      </w:r>
      <w:r>
        <w:rPr>
          <w:rFonts w:hint="eastAsia" w:asciiTheme="minorEastAsia" w:hAnsiTheme="minorEastAsia" w:eastAsiaTheme="minorEastAsia" w:cstheme="minorEastAsia"/>
          <w:sz w:val="28"/>
          <w:szCs w:val="28"/>
          <w:shd w:val="clear" w:color="auto" w:fill="FFFFFF"/>
        </w:rPr>
        <w:t>磋商小组应当根据综合评分情况，按照评审得分由高到低顺序推荐3名成交候选供应商。评审得分相同的，按照最后报价由低到高的顺序推荐。评审得分且最后报价相同的，按照技术指标优劣顺序推荐。</w:t>
      </w:r>
    </w:p>
    <w:p>
      <w:pPr>
        <w:spacing w:line="42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26.5采购人根据磋商小组推荐的成交候选供应商名单，根据相关法律法规的规定确定最终成交商。如果排名第一的成交候选供应商的实际情况与其磋商资料不相符，将取消其成交资格，由排名第二的成交候选供应商递补，以此类推。</w:t>
      </w:r>
    </w:p>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27．磋商过程的保密性</w:t>
      </w:r>
    </w:p>
    <w:p>
      <w:pPr>
        <w:spacing w:line="420" w:lineRule="exact"/>
        <w:ind w:left="552" w:hanging="644" w:hangingChars="23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27.1 磋商后，直到授予合同为止，凡是属于审查、澄清、评价和比较的有关资料以及授予成交方的建议等磋商小组成员或参与磋商的有关工作人员均不得向供应商或其他无关的人员透露，违者给予警告、取消担任磋商小组成员的资格，不得再参加任何项目的磋商。</w:t>
      </w:r>
    </w:p>
    <w:p>
      <w:pPr>
        <w:spacing w:line="420" w:lineRule="exact"/>
        <w:ind w:left="552" w:hanging="644" w:hangingChars="23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27.2 供应商在磋商过程中，所进行的力图影响磋商结果的，不符合《政府采购法》及本次磋商中有关规定的活动，将被取消其磋商资格。</w:t>
      </w:r>
    </w:p>
    <w:p>
      <w:pPr>
        <w:spacing w:line="420" w:lineRule="exact"/>
        <w:ind w:left="552" w:hanging="644" w:hangingChars="230"/>
        <w:rPr>
          <w:rFonts w:hint="eastAsia" w:asciiTheme="minorEastAsia" w:hAnsiTheme="minorEastAsia" w:eastAsiaTheme="minorEastAsia" w:cstheme="minorEastAsia"/>
          <w:sz w:val="28"/>
          <w:szCs w:val="28"/>
        </w:rPr>
      </w:pPr>
    </w:p>
    <w:p>
      <w:pPr>
        <w:pStyle w:val="4"/>
        <w:spacing w:before="100" w:beforeAutospacing="1" w:after="100" w:afterAutospacing="1" w:line="420" w:lineRule="exact"/>
        <w:jc w:val="center"/>
        <w:rPr>
          <w:rFonts w:hint="eastAsia" w:asciiTheme="minorEastAsia" w:hAnsiTheme="minorEastAsia" w:eastAsiaTheme="minorEastAsia" w:cstheme="minorEastAsia"/>
          <w:sz w:val="28"/>
          <w:szCs w:val="28"/>
        </w:rPr>
      </w:pPr>
      <w:bookmarkStart w:id="79" w:name="_Toc1080"/>
      <w:bookmarkStart w:id="80" w:name="_Toc349573126"/>
      <w:bookmarkStart w:id="81" w:name="_Toc267301287"/>
      <w:bookmarkStart w:id="82" w:name="_Toc349637925"/>
      <w:bookmarkStart w:id="83" w:name="_Toc12532078"/>
      <w:bookmarkStart w:id="84" w:name="_Toc298240410"/>
      <w:bookmarkStart w:id="85" w:name="_Toc31222"/>
      <w:r>
        <w:rPr>
          <w:rFonts w:hint="eastAsia" w:asciiTheme="minorEastAsia" w:hAnsiTheme="minorEastAsia" w:eastAsiaTheme="minorEastAsia" w:cstheme="minorEastAsia"/>
          <w:sz w:val="28"/>
          <w:szCs w:val="28"/>
        </w:rPr>
        <w:t>F  授予合同</w:t>
      </w:r>
      <w:bookmarkEnd w:id="79"/>
      <w:bookmarkEnd w:id="80"/>
      <w:bookmarkEnd w:id="81"/>
      <w:bookmarkEnd w:id="82"/>
      <w:bookmarkEnd w:id="83"/>
      <w:bookmarkEnd w:id="84"/>
      <w:bookmarkEnd w:id="85"/>
    </w:p>
    <w:p>
      <w:pPr>
        <w:pStyle w:val="8"/>
        <w:adjustRightInd w:val="0"/>
        <w:snapToGrid w:val="0"/>
        <w:spacing w:line="360" w:lineRule="auto"/>
        <w:ind w:firstLine="562" w:firstLineChars="200"/>
        <w:rPr>
          <w:rFonts w:hint="eastAsia" w:asciiTheme="minorEastAsia" w:hAnsiTheme="minorEastAsia" w:eastAsiaTheme="minorEastAsia" w:cstheme="minorEastAsia"/>
          <w:bCs/>
          <w:sz w:val="28"/>
          <w:szCs w:val="28"/>
        </w:rPr>
      </w:pPr>
      <w:bookmarkStart w:id="86" w:name="_Toc12532079"/>
      <w:bookmarkStart w:id="87" w:name="_Toc267301288"/>
      <w:r>
        <w:rPr>
          <w:rFonts w:hint="eastAsia" w:asciiTheme="minorEastAsia" w:hAnsiTheme="minorEastAsia" w:eastAsiaTheme="minorEastAsia" w:cstheme="minorEastAsia"/>
          <w:b/>
          <w:sz w:val="28"/>
          <w:szCs w:val="28"/>
        </w:rPr>
        <w:t xml:space="preserve">28.1 </w:t>
      </w:r>
      <w:r>
        <w:rPr>
          <w:rFonts w:hint="eastAsia" w:asciiTheme="minorEastAsia" w:hAnsiTheme="minorEastAsia" w:eastAsiaTheme="minorEastAsia" w:cstheme="minorEastAsia"/>
          <w:bCs/>
          <w:sz w:val="28"/>
          <w:szCs w:val="28"/>
        </w:rPr>
        <w:t>签订合同</w:t>
      </w:r>
    </w:p>
    <w:p>
      <w:pPr>
        <w:tabs>
          <w:tab w:val="left" w:pos="1875"/>
        </w:tabs>
        <w:adjustRightInd w:val="0"/>
        <w:snapToGrid w:val="0"/>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28.1.1采购人应在成交通知书发出后30日内，根据成交结果和磋商文件、响应文件及有关补遗文件签订合同。</w:t>
      </w:r>
    </w:p>
    <w:p>
      <w:pPr>
        <w:tabs>
          <w:tab w:val="left" w:pos="1875"/>
        </w:tabs>
        <w:adjustRightInd w:val="0"/>
        <w:snapToGrid w:val="0"/>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28.1.2采购人应按磋商文件要求和中标人的响应文件承诺订立书面合同，不得超出磋商文件和中标人响应文件的范围，也不得再另行订立背离合同实质性内容的其他协议。</w:t>
      </w:r>
    </w:p>
    <w:p>
      <w:pPr>
        <w:tabs>
          <w:tab w:val="left" w:pos="1875"/>
        </w:tabs>
        <w:adjustRightInd w:val="0"/>
        <w:snapToGrid w:val="0"/>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28.1.3采购人应在《中标通知书》发出之日起30天内与中标人签订合同。签订政府采购合同后7个工作日内，采购人应将报相关部门和政府采购代理机构备案。</w:t>
      </w:r>
    </w:p>
    <w:bookmarkEnd w:id="86"/>
    <w:p>
      <w:pPr>
        <w:pStyle w:val="4"/>
        <w:jc w:val="center"/>
        <w:rPr>
          <w:rFonts w:hint="eastAsia" w:asciiTheme="minorEastAsia" w:hAnsiTheme="minorEastAsia" w:eastAsiaTheme="minorEastAsia" w:cstheme="minorEastAsia"/>
          <w:sz w:val="28"/>
          <w:szCs w:val="28"/>
        </w:rPr>
      </w:pPr>
      <w:bookmarkStart w:id="88" w:name="_Toc293738997"/>
      <w:bookmarkStart w:id="89" w:name="_Toc293736059"/>
      <w:bookmarkStart w:id="90" w:name="_Toc446599316"/>
      <w:bookmarkStart w:id="91" w:name="_Toc293736016"/>
      <w:bookmarkStart w:id="92" w:name="_Toc30278"/>
      <w:bookmarkStart w:id="93" w:name="_Toc1819"/>
      <w:bookmarkStart w:id="94" w:name="_Toc19404"/>
      <w:bookmarkStart w:id="95" w:name="_Toc17233"/>
      <w:r>
        <w:rPr>
          <w:rFonts w:hint="eastAsia" w:asciiTheme="minorEastAsia" w:hAnsiTheme="minorEastAsia" w:eastAsiaTheme="minorEastAsia" w:cstheme="minorEastAsia"/>
          <w:sz w:val="28"/>
          <w:szCs w:val="28"/>
        </w:rPr>
        <w:t>G、质疑</w:t>
      </w:r>
      <w:bookmarkEnd w:id="88"/>
      <w:bookmarkEnd w:id="89"/>
      <w:bookmarkEnd w:id="90"/>
      <w:bookmarkEnd w:id="91"/>
      <w:r>
        <w:rPr>
          <w:rFonts w:hint="eastAsia" w:asciiTheme="minorEastAsia" w:hAnsiTheme="minorEastAsia" w:eastAsiaTheme="minorEastAsia" w:cstheme="minorEastAsia"/>
          <w:sz w:val="28"/>
          <w:szCs w:val="28"/>
        </w:rPr>
        <w:t>和投诉</w:t>
      </w:r>
      <w:bookmarkEnd w:id="92"/>
      <w:bookmarkEnd w:id="93"/>
      <w:bookmarkEnd w:id="94"/>
      <w:bookmarkEnd w:id="95"/>
    </w:p>
    <w:p>
      <w:pPr>
        <w:wordWrap w:val="0"/>
        <w:spacing w:line="360" w:lineRule="auto"/>
        <w:ind w:firstLine="560" w:firstLineChars="200"/>
        <w:rPr>
          <w:rFonts w:hint="eastAsia" w:asciiTheme="minorEastAsia" w:hAnsiTheme="minorEastAsia" w:eastAsiaTheme="minorEastAsia" w:cstheme="minorEastAsia"/>
          <w:bCs/>
          <w:sz w:val="28"/>
          <w:szCs w:val="28"/>
        </w:rPr>
      </w:pPr>
      <w:bookmarkStart w:id="96" w:name="_Toc294515577"/>
      <w:bookmarkStart w:id="97" w:name="_Toc293736060"/>
      <w:bookmarkStart w:id="98" w:name="_Toc293736017"/>
      <w:bookmarkStart w:id="99" w:name="_Toc446599317"/>
      <w:bookmarkStart w:id="100" w:name="_Toc293738998"/>
      <w:r>
        <w:rPr>
          <w:rFonts w:hint="eastAsia" w:asciiTheme="minorEastAsia" w:hAnsiTheme="minorEastAsia" w:eastAsiaTheme="minorEastAsia" w:cstheme="minorEastAsia"/>
          <w:bCs/>
          <w:sz w:val="28"/>
          <w:szCs w:val="28"/>
        </w:rPr>
        <w:t>29.1质疑</w:t>
      </w:r>
    </w:p>
    <w:p>
      <w:pPr>
        <w:wordWrap w:val="0"/>
        <w:topLinePunct/>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29.1.1供应商提出质疑应当符合以下条件：</w:t>
      </w:r>
    </w:p>
    <w:p>
      <w:pPr>
        <w:pStyle w:val="6"/>
        <w:wordWrap w:val="0"/>
        <w:spacing w:line="360" w:lineRule="auto"/>
        <w:ind w:firstLine="48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如果供应商对此次采购活动有疑问，可依据《政府采购法》等相关规定，在规定的时间内以书面形式向采购人或代理机构提出质疑。质疑书应当包括下列主要内容：</w:t>
      </w:r>
    </w:p>
    <w:p>
      <w:pPr>
        <w:wordWrap w:val="0"/>
        <w:topLinePunct/>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（1）质疑人的名称、地址、电话等；</w:t>
      </w:r>
    </w:p>
    <w:p>
      <w:pPr>
        <w:wordWrap w:val="0"/>
        <w:topLinePunct/>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（2）质疑人法人签章和单位公章；</w:t>
      </w:r>
    </w:p>
    <w:p>
      <w:pPr>
        <w:wordWrap w:val="0"/>
        <w:topLinePunct/>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（3）具体的质疑事项及事实依据；</w:t>
      </w:r>
    </w:p>
    <w:p>
      <w:pPr>
        <w:wordWrap w:val="0"/>
        <w:topLinePunct/>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（4）明确的请求和必要（合法来源）的证明材料；</w:t>
      </w:r>
    </w:p>
    <w:p>
      <w:pPr>
        <w:wordWrap w:val="0"/>
        <w:topLinePunct/>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（5）以联合体形式参与资格预审的，则必须联合体各方共同签署、盖章；</w:t>
      </w:r>
    </w:p>
    <w:p>
      <w:pPr>
        <w:wordWrap w:val="0"/>
        <w:topLinePunct/>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（6）提起质疑的日期。</w:t>
      </w:r>
    </w:p>
    <w:p>
      <w:pPr>
        <w:pStyle w:val="6"/>
        <w:wordWrap w:val="0"/>
        <w:spacing w:line="360" w:lineRule="auto"/>
        <w:ind w:firstLine="48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特注：未按上述程序规定的必备内容进行质疑的，采购人或代理机构将不予以受理。</w:t>
      </w:r>
    </w:p>
    <w:p>
      <w:pPr>
        <w:wordWrap w:val="0"/>
        <w:topLinePunct/>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29.1.2质疑人为自然人的，应当由本人签字并附有效身份证明；质疑人为法人或者其他组织的，应当由法定代表人或者主要负责人签字并加盖单位公章，同时一并提交</w:t>
      </w:r>
      <w:r>
        <w:rPr>
          <w:rFonts w:hint="eastAsia" w:asciiTheme="minorEastAsia" w:hAnsiTheme="minorEastAsia" w:eastAsiaTheme="minorEastAsia" w:cstheme="minorEastAsia"/>
          <w:bCs/>
          <w:sz w:val="28"/>
          <w:szCs w:val="28"/>
          <w:highlight w:val="cyan"/>
        </w:rPr>
        <w:t>营业执照或事业单位法人证书</w:t>
      </w:r>
      <w:r>
        <w:rPr>
          <w:rFonts w:hint="eastAsia" w:asciiTheme="minorEastAsia" w:hAnsiTheme="minorEastAsia" w:eastAsiaTheme="minorEastAsia" w:cstheme="minorEastAsia"/>
          <w:bCs/>
          <w:sz w:val="28"/>
          <w:szCs w:val="28"/>
        </w:rPr>
        <w:t>和法定代表人或者主要负责人有效身份证明。无法提供证件原件的，应当提供真实有效的复印件，并签字或者盖章。</w:t>
      </w:r>
    </w:p>
    <w:p>
      <w:pPr>
        <w:wordWrap w:val="0"/>
        <w:topLinePunct/>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29.1.3质疑人可以委托代理人办理质疑事项，代理人办理质疑事项时，除提交质疑书外，还应当提交质疑人的授权委托书及代理人的有效身份证明，授权委托书应当载明委托代理的具体权限和事项。</w:t>
      </w:r>
    </w:p>
    <w:p>
      <w:pPr>
        <w:wordWrap w:val="0"/>
        <w:topLinePunct/>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29.1.4被质疑人应当在受理质疑后7个工作日内作出答复，并以书面形式通知质疑人和其他有关供应商，答复内容仅限于供应商所质疑的内容，不得涉及国家秘密和商业秘密。</w:t>
      </w:r>
    </w:p>
    <w:p>
      <w:pPr>
        <w:spacing w:line="360" w:lineRule="auto"/>
        <w:ind w:firstLine="560" w:firstLineChars="200"/>
        <w:rPr>
          <w:rFonts w:hint="eastAsia" w:asciiTheme="minorEastAsia" w:hAnsiTheme="minorEastAsia" w:eastAsiaTheme="minorEastAsia" w:cstheme="minorEastAsia"/>
          <w:bCs/>
          <w:sz w:val="28"/>
          <w:szCs w:val="28"/>
        </w:rPr>
      </w:pPr>
      <w:bookmarkStart w:id="101" w:name="_Toc9365"/>
      <w:bookmarkStart w:id="102" w:name="_Toc450546725"/>
      <w:bookmarkStart w:id="103" w:name="_Toc456336161"/>
      <w:bookmarkStart w:id="104" w:name="_Toc483174929"/>
      <w:r>
        <w:rPr>
          <w:rFonts w:hint="eastAsia" w:asciiTheme="minorEastAsia" w:hAnsiTheme="minorEastAsia" w:eastAsiaTheme="minorEastAsia" w:cstheme="minorEastAsia"/>
          <w:bCs/>
          <w:sz w:val="28"/>
          <w:szCs w:val="28"/>
        </w:rPr>
        <w:t>29.2投诉</w:t>
      </w:r>
      <w:bookmarkEnd w:id="101"/>
      <w:bookmarkEnd w:id="102"/>
      <w:bookmarkEnd w:id="103"/>
      <w:bookmarkEnd w:id="104"/>
    </w:p>
    <w:p>
      <w:pPr>
        <w:wordWrap w:val="0"/>
        <w:topLinePunct/>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29.2.1质疑人如对被质疑人的质疑回复不满意或在规定时间内未做出回复的，可在答复期满后15个工作日内向本项目管辖内的政府采购监督部门提起投诉。供应商投诉应当有明确的请求和必要的证明材料。</w:t>
      </w:r>
    </w:p>
    <w:p>
      <w:pPr>
        <w:wordWrap w:val="0"/>
        <w:topLinePunct/>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29.2.2投诉人提起投诉应符合以下条件：</w:t>
      </w:r>
    </w:p>
    <w:p>
      <w:pPr>
        <w:wordWrap w:val="0"/>
        <w:topLinePunct/>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(1)投诉人应是参与项目的供应商；</w:t>
      </w:r>
    </w:p>
    <w:p>
      <w:pPr>
        <w:wordWrap w:val="0"/>
        <w:topLinePunct/>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(2)投诉前已依法进行质疑；</w:t>
      </w:r>
    </w:p>
    <w:p>
      <w:pPr>
        <w:wordWrap w:val="0"/>
        <w:topLinePunct/>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(3)投诉书内容符合中华人民共和国财政部20号令《政府采购供应商投诉处理办法》的规定；</w:t>
      </w:r>
    </w:p>
    <w:p>
      <w:pPr>
        <w:wordWrap w:val="0"/>
        <w:topLinePunct/>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(4)在投诉有效期内；</w:t>
      </w:r>
    </w:p>
    <w:p>
      <w:pPr>
        <w:wordWrap w:val="0"/>
        <w:topLinePunct/>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(5)同一投诉事项未经处理的；</w:t>
      </w:r>
    </w:p>
    <w:p>
      <w:pPr>
        <w:wordWrap w:val="0"/>
        <w:topLinePunct/>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lang w:val="en-GB"/>
        </w:rPr>
        <w:t>(6)</w:t>
      </w:r>
      <w:r>
        <w:rPr>
          <w:rFonts w:hint="eastAsia" w:asciiTheme="minorEastAsia" w:hAnsiTheme="minorEastAsia" w:eastAsiaTheme="minorEastAsia" w:cstheme="minorEastAsia"/>
          <w:bCs/>
          <w:sz w:val="28"/>
          <w:szCs w:val="28"/>
        </w:rPr>
        <w:t>相关法律、法规和省级以上人民政府财政部门规定的其他条件。</w:t>
      </w:r>
    </w:p>
    <w:p>
      <w:pPr>
        <w:wordWrap w:val="0"/>
        <w:topLinePunct/>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29.2.3供应商投诉时，应当当面提交投诉书，投诉书应当包括下列主要内容：</w:t>
      </w:r>
    </w:p>
    <w:p>
      <w:pPr>
        <w:wordWrap w:val="0"/>
        <w:topLinePunct/>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(1)投诉人的姓名或者名称、住所、联系方式及相关证明；</w:t>
      </w:r>
    </w:p>
    <w:p>
      <w:pPr>
        <w:wordWrap w:val="0"/>
        <w:topLinePunct/>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(2)被投诉人的名称、住所、联系方式；</w:t>
      </w:r>
    </w:p>
    <w:p>
      <w:pPr>
        <w:wordWrap w:val="0"/>
        <w:topLinePunct/>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(3)具体的投诉事项、事实根据和法律依据；</w:t>
      </w:r>
    </w:p>
    <w:p>
      <w:pPr>
        <w:wordWrap w:val="0"/>
        <w:topLinePunct/>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(4)质疑和质疑答复情况及相关证明材料；</w:t>
      </w:r>
    </w:p>
    <w:p>
      <w:pPr>
        <w:wordWrap w:val="0"/>
        <w:topLinePunct/>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(5)提起投诉的日期。</w:t>
      </w:r>
    </w:p>
    <w:p>
      <w:pPr>
        <w:wordWrap w:val="0"/>
        <w:topLinePunct/>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投诉人为自然人的，应当由本人签字。投诉人为法人的，应当由其法定代表人签字并加盖单位公章。投诉人为其他组织的，应当由其主要负责人签字盖章并加盖单位公章。</w:t>
      </w:r>
    </w:p>
    <w:p>
      <w:pPr>
        <w:wordWrap w:val="0"/>
        <w:topLinePunct/>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29.2.4投诉人可以授权代理人办理投诉事务。代理人办理投诉事务时，除提交投诉书外，还应当向监督部门提交投诉人的授权委托书，授权委托书应当载明委托代理的具体权限和事项。</w:t>
      </w:r>
    </w:p>
    <w:p>
      <w:pPr>
        <w:wordWrap w:val="0"/>
        <w:topLinePunct/>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29.2.5投诉人不符合上述规定提起的投诉，政府采购监督部门不予受理。</w:t>
      </w:r>
    </w:p>
    <w:p>
      <w:pPr>
        <w:pStyle w:val="4"/>
        <w:jc w:val="center"/>
        <w:rPr>
          <w:rFonts w:hint="eastAsia" w:asciiTheme="minorEastAsia" w:hAnsiTheme="minorEastAsia" w:eastAsiaTheme="minorEastAsia" w:cstheme="minorEastAsia"/>
          <w:b w:val="0"/>
          <w:bCs/>
          <w:kern w:val="0"/>
          <w:sz w:val="28"/>
          <w:szCs w:val="28"/>
        </w:rPr>
      </w:pPr>
      <w:bookmarkStart w:id="105" w:name="_Toc21328"/>
      <w:bookmarkStart w:id="106" w:name="_Toc18608"/>
      <w:bookmarkStart w:id="107" w:name="_Toc11609"/>
      <w:bookmarkStart w:id="108" w:name="_Toc30694"/>
      <w:r>
        <w:rPr>
          <w:rFonts w:hint="eastAsia" w:asciiTheme="minorEastAsia" w:hAnsiTheme="minorEastAsia" w:eastAsiaTheme="minorEastAsia" w:cstheme="minorEastAsia"/>
          <w:sz w:val="28"/>
          <w:szCs w:val="28"/>
        </w:rPr>
        <w:t>H、项目验收</w:t>
      </w:r>
      <w:bookmarkEnd w:id="96"/>
      <w:bookmarkEnd w:id="97"/>
      <w:bookmarkEnd w:id="98"/>
      <w:bookmarkEnd w:id="99"/>
      <w:bookmarkEnd w:id="100"/>
      <w:bookmarkEnd w:id="105"/>
      <w:bookmarkEnd w:id="106"/>
      <w:bookmarkEnd w:id="107"/>
      <w:bookmarkEnd w:id="108"/>
    </w:p>
    <w:p>
      <w:pPr>
        <w:wordWrap w:val="0"/>
        <w:topLinePunct/>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30.1采购单位按照政府采购合同规定的技术、服务、安全标准对供应商履约情况进行验收，并出具验收书。验收书包括每一项技术、服务、安全标准的履约情况。</w:t>
      </w:r>
    </w:p>
    <w:p>
      <w:pPr>
        <w:wordWrap w:val="0"/>
        <w:topLinePunct/>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30.2验收标准:磋商文件、响应文件、政府采购合同规定的标准。</w:t>
      </w:r>
    </w:p>
    <w:p>
      <w:pPr>
        <w:pStyle w:val="4"/>
        <w:jc w:val="center"/>
        <w:rPr>
          <w:rFonts w:hint="eastAsia" w:asciiTheme="minorEastAsia" w:hAnsiTheme="minorEastAsia" w:eastAsiaTheme="minorEastAsia" w:cstheme="minorEastAsia"/>
          <w:sz w:val="28"/>
          <w:szCs w:val="28"/>
        </w:rPr>
      </w:pPr>
      <w:bookmarkStart w:id="109" w:name="_Toc446599318"/>
      <w:bookmarkStart w:id="110" w:name="_Toc29378"/>
      <w:bookmarkStart w:id="111" w:name="_Toc293738999"/>
      <w:bookmarkStart w:id="112" w:name="_Toc5044"/>
      <w:bookmarkStart w:id="113" w:name="_Toc293736061"/>
      <w:bookmarkStart w:id="114" w:name="_Toc293736018"/>
      <w:bookmarkStart w:id="115" w:name="_Toc694"/>
      <w:bookmarkStart w:id="116" w:name="_Toc16262"/>
      <w:r>
        <w:rPr>
          <w:rFonts w:hint="eastAsia" w:asciiTheme="minorEastAsia" w:hAnsiTheme="minorEastAsia" w:eastAsiaTheme="minorEastAsia" w:cstheme="minorEastAsia"/>
          <w:sz w:val="28"/>
          <w:szCs w:val="28"/>
        </w:rPr>
        <w:t>I、适用法律</w:t>
      </w:r>
      <w:bookmarkEnd w:id="109"/>
      <w:bookmarkEnd w:id="110"/>
      <w:bookmarkEnd w:id="111"/>
      <w:bookmarkEnd w:id="112"/>
      <w:bookmarkEnd w:id="113"/>
      <w:bookmarkEnd w:id="114"/>
      <w:bookmarkEnd w:id="115"/>
      <w:bookmarkEnd w:id="116"/>
    </w:p>
    <w:p>
      <w:pPr>
        <w:wordWrap w:val="0"/>
        <w:topLinePunct/>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31.1招标采购单位和供应商的一切招标投标活动均适用于《政府采购法》、《政府采购实施条例》、《政府采购竞争性磋商采购方式管理办法》等相关规定。</w:t>
      </w:r>
    </w:p>
    <w:p>
      <w:pPr>
        <w:autoSpaceDE w:val="0"/>
        <w:autoSpaceDN w:val="0"/>
        <w:spacing w:line="360" w:lineRule="auto"/>
        <w:ind w:firstLine="560" w:firstLineChars="200"/>
        <w:contextualSpacing/>
        <w:rPr>
          <w:rFonts w:hint="eastAsia" w:asciiTheme="minorEastAsia" w:hAnsiTheme="minorEastAsia" w:eastAsiaTheme="minorEastAsia" w:cstheme="minorEastAsia"/>
          <w:bCs/>
          <w:sz w:val="28"/>
          <w:szCs w:val="28"/>
        </w:rPr>
      </w:pPr>
    </w:p>
    <w:p>
      <w:pPr>
        <w:pStyle w:val="4"/>
        <w:numPr>
          <w:ilvl w:val="0"/>
          <w:numId w:val="4"/>
        </w:numPr>
        <w:jc w:val="center"/>
        <w:rPr>
          <w:rFonts w:hint="eastAsia" w:asciiTheme="minorEastAsia" w:hAnsiTheme="minorEastAsia" w:eastAsiaTheme="minorEastAsia" w:cstheme="minorEastAsia"/>
          <w:sz w:val="28"/>
          <w:szCs w:val="28"/>
        </w:rPr>
      </w:pPr>
      <w:bookmarkStart w:id="117" w:name="_Toc27632"/>
      <w:bookmarkStart w:id="118" w:name="_Toc272247702"/>
      <w:bookmarkStart w:id="119" w:name="_Toc446599319"/>
      <w:bookmarkStart w:id="120" w:name="_Toc52"/>
      <w:bookmarkStart w:id="121" w:name="_Toc23207"/>
      <w:bookmarkStart w:id="122" w:name="_Toc437611460"/>
      <w:bookmarkStart w:id="123" w:name="_Toc278891599"/>
      <w:bookmarkStart w:id="124" w:name="_Toc4393"/>
      <w:r>
        <w:rPr>
          <w:rFonts w:hint="eastAsia" w:asciiTheme="minorEastAsia" w:hAnsiTheme="minorEastAsia" w:eastAsiaTheme="minorEastAsia" w:cstheme="minorEastAsia"/>
          <w:sz w:val="28"/>
          <w:szCs w:val="28"/>
        </w:rPr>
        <w:t>磋商文件的解释权</w:t>
      </w:r>
      <w:bookmarkEnd w:id="117"/>
      <w:bookmarkEnd w:id="118"/>
      <w:bookmarkEnd w:id="119"/>
      <w:bookmarkEnd w:id="120"/>
      <w:bookmarkEnd w:id="121"/>
      <w:bookmarkEnd w:id="122"/>
      <w:bookmarkEnd w:id="123"/>
      <w:bookmarkEnd w:id="124"/>
    </w:p>
    <w:p>
      <w:pPr>
        <w:pStyle w:val="4"/>
        <w:rPr>
          <w:rFonts w:hint="eastAsia" w:asciiTheme="minorEastAsia" w:hAnsiTheme="minorEastAsia" w:eastAsiaTheme="minorEastAsia" w:cstheme="minorEastAsia"/>
          <w:b w:val="0"/>
          <w:bCs/>
          <w:sz w:val="28"/>
          <w:szCs w:val="28"/>
        </w:rPr>
      </w:pPr>
      <w:bookmarkStart w:id="125" w:name="_Toc21146"/>
      <w:bookmarkStart w:id="126" w:name="_Toc18752"/>
      <w:r>
        <w:rPr>
          <w:rFonts w:hint="eastAsia" w:asciiTheme="minorEastAsia" w:hAnsiTheme="minorEastAsia" w:eastAsiaTheme="minorEastAsia" w:cstheme="minorEastAsia"/>
          <w:b w:val="0"/>
          <w:bCs/>
          <w:sz w:val="28"/>
          <w:szCs w:val="28"/>
        </w:rPr>
        <w:t>32.1本项目磋商文件的最终解释权为采购单位所有。</w:t>
      </w:r>
      <w:bookmarkEnd w:id="125"/>
      <w:bookmarkEnd w:id="126"/>
    </w:p>
    <w:p>
      <w:pPr>
        <w:pStyle w:val="4"/>
        <w:jc w:val="center"/>
        <w:rPr>
          <w:rFonts w:hint="eastAsia" w:asciiTheme="minorEastAsia" w:hAnsiTheme="minorEastAsia" w:eastAsiaTheme="minorEastAsia" w:cstheme="minorEastAsia"/>
          <w:sz w:val="28"/>
          <w:szCs w:val="28"/>
        </w:rPr>
      </w:pPr>
      <w:bookmarkStart w:id="127" w:name="_Toc10117"/>
      <w:bookmarkStart w:id="128" w:name="_Toc437611461"/>
      <w:bookmarkStart w:id="129" w:name="_Toc7049"/>
      <w:bookmarkStart w:id="130" w:name="_Toc446599320"/>
      <w:bookmarkStart w:id="131" w:name="_Toc21111"/>
      <w:bookmarkStart w:id="132" w:name="_Toc1737"/>
      <w:r>
        <w:rPr>
          <w:rFonts w:hint="eastAsia" w:asciiTheme="minorEastAsia" w:hAnsiTheme="minorEastAsia" w:eastAsiaTheme="minorEastAsia" w:cstheme="minorEastAsia"/>
          <w:sz w:val="28"/>
          <w:szCs w:val="28"/>
        </w:rPr>
        <w:t>K、其他注意事项</w:t>
      </w:r>
      <w:bookmarkEnd w:id="127"/>
      <w:bookmarkEnd w:id="128"/>
      <w:bookmarkEnd w:id="129"/>
      <w:bookmarkEnd w:id="130"/>
      <w:bookmarkEnd w:id="131"/>
      <w:bookmarkEnd w:id="132"/>
    </w:p>
    <w:p>
      <w:pPr>
        <w:pStyle w:val="6"/>
        <w:spacing w:line="360" w:lineRule="auto"/>
        <w:ind w:firstLine="48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33.1单位负责人为同一人或者存在直接控股、管理关系的不同供应商，不得参加同一合同项下的政府采购活动。</w:t>
      </w:r>
    </w:p>
    <w:p>
      <w:pPr>
        <w:pStyle w:val="6"/>
        <w:spacing w:line="360" w:lineRule="auto"/>
        <w:ind w:firstLine="48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33.2供应商为采购项目提供整体设计、规范编制或者项目管理、监理、检测等服务的供应商，不得再参加该采购项目的其他采购活动。</w:t>
      </w:r>
    </w:p>
    <w:p>
      <w:pPr>
        <w:pStyle w:val="6"/>
        <w:spacing w:line="360" w:lineRule="auto"/>
        <w:ind w:firstLine="48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33.3政府采购法第二十二条第一款第五项所称重大违法记录，是指供应商因违法经营受到刑事处罚或者责令停产停业、吊销许可证或者执照、较大数额罚款等行政处罚。</w:t>
      </w:r>
    </w:p>
    <w:p>
      <w:pPr>
        <w:pStyle w:val="6"/>
        <w:spacing w:line="360" w:lineRule="auto"/>
        <w:ind w:firstLine="48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33.4按照财政部《关于规范政府采购行政处罚有关问题的通知》的规定，各级人民政府财政部门依法对参加政府采购活动的供应商作出的禁止参加政府采购活动等行政处罚决定在全国范围内生效。</w:t>
      </w:r>
    </w:p>
    <w:p>
      <w:pPr>
        <w:pStyle w:val="6"/>
        <w:spacing w:line="360" w:lineRule="auto"/>
        <w:ind w:firstLine="48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33.5供应商在参加政府采购活动前3年内因违法经营被禁止在一定期限内参加政府采购活动，期限届满的，可以参加政府采购活动。</w:t>
      </w:r>
    </w:p>
    <w:p>
      <w:pPr>
        <w:pStyle w:val="8"/>
        <w:adjustRightInd w:val="0"/>
        <w:snapToGrid w:val="0"/>
        <w:spacing w:line="500" w:lineRule="exact"/>
        <w:rPr>
          <w:rFonts w:hint="eastAsia" w:asciiTheme="minorEastAsia" w:hAnsiTheme="minorEastAsia" w:eastAsiaTheme="minorEastAsia" w:cstheme="minorEastAsia"/>
          <w:sz w:val="28"/>
          <w:szCs w:val="28"/>
        </w:rPr>
        <w:sectPr>
          <w:headerReference r:id="rId11" w:type="first"/>
          <w:headerReference r:id="rId9" w:type="default"/>
          <w:footerReference r:id="rId12" w:type="default"/>
          <w:headerReference r:id="rId10" w:type="even"/>
          <w:pgSz w:w="11906" w:h="16838"/>
          <w:pgMar w:top="1440" w:right="1797" w:bottom="1440" w:left="1797" w:header="851" w:footer="992" w:gutter="0"/>
          <w:cols w:space="720" w:num="1"/>
          <w:docGrid w:linePitch="312" w:charSpace="0"/>
        </w:sectPr>
      </w:pPr>
    </w:p>
    <w:p>
      <w:pPr>
        <w:pStyle w:val="8"/>
        <w:tabs>
          <w:tab w:val="left" w:pos="720"/>
          <w:tab w:val="left" w:pos="900"/>
          <w:tab w:val="left" w:pos="1260"/>
        </w:tabs>
        <w:adjustRightInd w:val="0"/>
        <w:spacing w:line="400" w:lineRule="atLeast"/>
        <w:ind w:left="964" w:hanging="843" w:hangingChars="300"/>
        <w:jc w:val="center"/>
        <w:rPr>
          <w:rFonts w:hint="eastAsia" w:asciiTheme="minorEastAsia" w:hAnsiTheme="minorEastAsia" w:eastAsiaTheme="minorEastAsia" w:cstheme="minorEastAsia"/>
          <w:b/>
          <w:sz w:val="28"/>
          <w:szCs w:val="28"/>
        </w:rPr>
      </w:pPr>
      <w:bookmarkStart w:id="133" w:name="_Toc349573127"/>
      <w:bookmarkStart w:id="134" w:name="_Toc298240411"/>
      <w:bookmarkStart w:id="135" w:name="_Toc349637926"/>
      <w:bookmarkStart w:id="136" w:name="_Toc3943_WPSOffice_Level1"/>
      <w:bookmarkStart w:id="137" w:name="_Toc12532080"/>
      <w:r>
        <w:rPr>
          <w:rFonts w:hint="eastAsia" w:asciiTheme="minorEastAsia" w:hAnsiTheme="minorEastAsia" w:eastAsiaTheme="minorEastAsia" w:cstheme="minorEastAsia"/>
          <w:b/>
          <w:sz w:val="28"/>
          <w:szCs w:val="28"/>
        </w:rPr>
        <w:t>第三部分</w:t>
      </w:r>
      <w:bookmarkEnd w:id="87"/>
      <w:bookmarkEnd w:id="133"/>
      <w:bookmarkEnd w:id="134"/>
      <w:bookmarkEnd w:id="135"/>
      <w:bookmarkStart w:id="138" w:name="_Toc267301295"/>
      <w:r>
        <w:rPr>
          <w:rFonts w:hint="eastAsia" w:asciiTheme="minorEastAsia" w:hAnsiTheme="minorEastAsia" w:eastAsiaTheme="minorEastAsia" w:cstheme="minorEastAsia"/>
          <w:b/>
          <w:sz w:val="28"/>
          <w:szCs w:val="28"/>
        </w:rPr>
        <w:t xml:space="preserve">  技术要求</w:t>
      </w:r>
      <w:bookmarkEnd w:id="136"/>
      <w:bookmarkEnd w:id="137"/>
    </w:p>
    <w:bookmarkEnd w:id="138"/>
    <w:p>
      <w:pPr>
        <w:tabs>
          <w:tab w:val="left" w:pos="2101"/>
          <w:tab w:val="center" w:pos="5785"/>
        </w:tabs>
        <w:jc w:val="center"/>
        <w:rPr>
          <w:rStyle w:val="21"/>
          <w:rFonts w:hint="eastAsia" w:asciiTheme="minorEastAsia" w:hAnsiTheme="minorEastAsia" w:eastAsiaTheme="minorEastAsia" w:cstheme="minorEastAsia"/>
          <w:b w:val="0"/>
          <w:bCs/>
          <w:color w:val="auto"/>
          <w:sz w:val="28"/>
          <w:szCs w:val="28"/>
          <w:lang w:eastAsia="zh-CN"/>
        </w:rPr>
      </w:pPr>
      <w:bookmarkStart w:id="139" w:name="_Toc510113191"/>
      <w:bookmarkStart w:id="140" w:name="_Toc349637943"/>
      <w:bookmarkStart w:id="141" w:name="_Toc298240429"/>
      <w:bookmarkStart w:id="142" w:name="_Toc349573144"/>
      <w:r>
        <w:rPr>
          <w:rFonts w:hint="eastAsia" w:asciiTheme="minorEastAsia" w:hAnsiTheme="minorEastAsia" w:eastAsiaTheme="minorEastAsia" w:cstheme="minorEastAsia"/>
          <w:b/>
          <w:sz w:val="28"/>
          <w:szCs w:val="28"/>
        </w:rPr>
        <w:t>服务需求及总体要求</w:t>
      </w:r>
    </w:p>
    <w:p>
      <w:pPr>
        <w:adjustRightInd w:val="0"/>
        <w:spacing w:before="120" w:after="120" w:line="180" w:lineRule="auto"/>
        <w:ind w:firstLine="560" w:firstLineChars="200"/>
        <w:contextualSpacing/>
        <w:rPr>
          <w:rFonts w:hint="eastAsia" w:asciiTheme="minorEastAsia" w:hAnsiTheme="minorEastAsia" w:eastAsiaTheme="minorEastAsia" w:cstheme="minorEastAsia"/>
          <w:kern w:val="2"/>
          <w:sz w:val="28"/>
          <w:szCs w:val="28"/>
          <w:lang w:val="en-US" w:eastAsia="zh-CN" w:bidi="ar-SA"/>
        </w:rPr>
      </w:pPr>
    </w:p>
    <w:p>
      <w:pPr>
        <w:adjustRightInd w:val="0"/>
        <w:spacing w:before="120" w:after="120" w:line="180" w:lineRule="auto"/>
        <w:ind w:firstLine="560" w:firstLineChars="200"/>
        <w:contextualSpacing/>
        <w:rPr>
          <w:rFonts w:hint="eastAsia" w:asciiTheme="minorEastAsia" w:hAnsiTheme="minorEastAsia" w:eastAsiaTheme="minorEastAsia" w:cstheme="minorEastAsia"/>
          <w:kern w:val="2"/>
          <w:sz w:val="28"/>
          <w:szCs w:val="28"/>
          <w:lang w:val="en-US" w:eastAsia="zh-CN" w:bidi="ar-SA"/>
        </w:rPr>
      </w:pPr>
    </w:p>
    <w:p>
      <w:pPr>
        <w:pStyle w:val="22"/>
        <w:tabs>
          <w:tab w:val="left" w:pos="0"/>
        </w:tabs>
        <w:spacing w:line="360" w:lineRule="auto"/>
        <w:outlineLvl w:val="1"/>
        <w:rPr>
          <w:rFonts w:hint="eastAsia" w:asciiTheme="minorEastAsia" w:hAnsiTheme="minorEastAsia" w:eastAsiaTheme="minorEastAsia" w:cstheme="minorEastAsia"/>
          <w:b/>
          <w:sz w:val="28"/>
          <w:szCs w:val="28"/>
        </w:rPr>
      </w:pPr>
    </w:p>
    <w:p>
      <w:pPr>
        <w:pStyle w:val="22"/>
        <w:tabs>
          <w:tab w:val="left" w:pos="0"/>
        </w:tabs>
        <w:spacing w:line="360" w:lineRule="auto"/>
        <w:outlineLvl w:val="1"/>
        <w:rPr>
          <w:rFonts w:hint="eastAsia" w:asciiTheme="minorEastAsia" w:hAnsiTheme="minorEastAsia" w:eastAsiaTheme="minorEastAsia" w:cstheme="minorEastAsia"/>
          <w:b/>
          <w:sz w:val="28"/>
          <w:szCs w:val="28"/>
        </w:rPr>
      </w:pPr>
    </w:p>
    <w:p>
      <w:pPr>
        <w:pStyle w:val="22"/>
        <w:tabs>
          <w:tab w:val="left" w:pos="0"/>
        </w:tabs>
        <w:spacing w:line="360" w:lineRule="auto"/>
        <w:outlineLvl w:val="1"/>
        <w:rPr>
          <w:rFonts w:hint="eastAsia" w:asciiTheme="minorEastAsia" w:hAnsiTheme="minorEastAsia" w:eastAsiaTheme="minorEastAsia" w:cstheme="minorEastAsia"/>
          <w:b/>
          <w:sz w:val="28"/>
          <w:szCs w:val="28"/>
        </w:rPr>
      </w:pPr>
    </w:p>
    <w:p>
      <w:pPr>
        <w:pStyle w:val="22"/>
        <w:tabs>
          <w:tab w:val="left" w:pos="0"/>
        </w:tabs>
        <w:spacing w:line="360" w:lineRule="auto"/>
        <w:outlineLvl w:val="1"/>
        <w:rPr>
          <w:rFonts w:hint="eastAsia" w:asciiTheme="minorEastAsia" w:hAnsiTheme="minorEastAsia" w:eastAsiaTheme="minorEastAsia" w:cstheme="minorEastAsia"/>
          <w:b/>
          <w:sz w:val="28"/>
          <w:szCs w:val="28"/>
        </w:rPr>
      </w:pPr>
    </w:p>
    <w:p>
      <w:pPr>
        <w:pStyle w:val="22"/>
        <w:tabs>
          <w:tab w:val="left" w:pos="0"/>
        </w:tabs>
        <w:spacing w:line="360" w:lineRule="auto"/>
        <w:outlineLvl w:val="1"/>
        <w:rPr>
          <w:rFonts w:hint="eastAsia" w:asciiTheme="minorEastAsia" w:hAnsiTheme="minorEastAsia" w:eastAsiaTheme="minorEastAsia" w:cstheme="minorEastAsia"/>
          <w:b/>
          <w:sz w:val="28"/>
          <w:szCs w:val="28"/>
        </w:rPr>
      </w:pPr>
    </w:p>
    <w:p>
      <w:pPr>
        <w:pStyle w:val="22"/>
        <w:tabs>
          <w:tab w:val="left" w:pos="0"/>
        </w:tabs>
        <w:spacing w:line="360" w:lineRule="auto"/>
        <w:outlineLvl w:val="1"/>
        <w:rPr>
          <w:rFonts w:hint="eastAsia" w:asciiTheme="minorEastAsia" w:hAnsiTheme="minorEastAsia" w:eastAsiaTheme="minorEastAsia" w:cstheme="minorEastAsia"/>
          <w:b/>
          <w:sz w:val="28"/>
          <w:szCs w:val="28"/>
        </w:rPr>
      </w:pPr>
    </w:p>
    <w:p>
      <w:pPr>
        <w:pStyle w:val="22"/>
        <w:tabs>
          <w:tab w:val="left" w:pos="0"/>
        </w:tabs>
        <w:spacing w:line="360" w:lineRule="auto"/>
        <w:outlineLvl w:val="1"/>
        <w:rPr>
          <w:rFonts w:hint="eastAsia" w:asciiTheme="minorEastAsia" w:hAnsiTheme="minorEastAsia" w:eastAsiaTheme="minorEastAsia" w:cstheme="minorEastAsia"/>
          <w:b/>
          <w:sz w:val="28"/>
          <w:szCs w:val="28"/>
        </w:rPr>
      </w:pPr>
    </w:p>
    <w:p>
      <w:pPr>
        <w:pStyle w:val="22"/>
        <w:tabs>
          <w:tab w:val="left" w:pos="0"/>
        </w:tabs>
        <w:spacing w:line="360" w:lineRule="auto"/>
        <w:outlineLvl w:val="1"/>
        <w:rPr>
          <w:rFonts w:hint="eastAsia" w:asciiTheme="minorEastAsia" w:hAnsiTheme="minorEastAsia" w:eastAsiaTheme="minorEastAsia" w:cstheme="minorEastAsia"/>
          <w:b/>
          <w:sz w:val="28"/>
          <w:szCs w:val="28"/>
        </w:rPr>
      </w:pPr>
    </w:p>
    <w:p>
      <w:pPr>
        <w:pStyle w:val="22"/>
        <w:tabs>
          <w:tab w:val="left" w:pos="0"/>
        </w:tabs>
        <w:spacing w:line="360" w:lineRule="auto"/>
        <w:outlineLvl w:val="1"/>
        <w:rPr>
          <w:rFonts w:hint="eastAsia" w:asciiTheme="minorEastAsia" w:hAnsiTheme="minorEastAsia" w:eastAsiaTheme="minorEastAsia" w:cstheme="minorEastAsia"/>
          <w:b/>
          <w:sz w:val="28"/>
          <w:szCs w:val="28"/>
        </w:rPr>
      </w:pPr>
    </w:p>
    <w:p>
      <w:pPr>
        <w:pStyle w:val="22"/>
        <w:tabs>
          <w:tab w:val="left" w:pos="0"/>
        </w:tabs>
        <w:spacing w:line="360" w:lineRule="auto"/>
        <w:outlineLvl w:val="1"/>
        <w:rPr>
          <w:rFonts w:hint="eastAsia" w:asciiTheme="minorEastAsia" w:hAnsiTheme="minorEastAsia" w:eastAsiaTheme="minorEastAsia" w:cstheme="minorEastAsia"/>
          <w:b/>
          <w:sz w:val="28"/>
          <w:szCs w:val="28"/>
        </w:rPr>
      </w:pPr>
    </w:p>
    <w:p>
      <w:pPr>
        <w:pStyle w:val="22"/>
        <w:tabs>
          <w:tab w:val="left" w:pos="0"/>
        </w:tabs>
        <w:spacing w:line="360" w:lineRule="auto"/>
        <w:outlineLvl w:val="1"/>
        <w:rPr>
          <w:rFonts w:hint="eastAsia" w:asciiTheme="minorEastAsia" w:hAnsiTheme="minorEastAsia" w:eastAsiaTheme="minorEastAsia" w:cstheme="minorEastAsia"/>
          <w:b/>
          <w:sz w:val="28"/>
          <w:szCs w:val="28"/>
        </w:rPr>
      </w:pPr>
    </w:p>
    <w:p>
      <w:pPr>
        <w:pStyle w:val="22"/>
        <w:tabs>
          <w:tab w:val="left" w:pos="0"/>
        </w:tabs>
        <w:spacing w:line="360" w:lineRule="auto"/>
        <w:outlineLvl w:val="1"/>
        <w:rPr>
          <w:rFonts w:hint="eastAsia" w:asciiTheme="minorEastAsia" w:hAnsiTheme="minorEastAsia" w:eastAsiaTheme="minorEastAsia" w:cstheme="minorEastAsia"/>
          <w:b/>
          <w:sz w:val="28"/>
          <w:szCs w:val="28"/>
        </w:rPr>
      </w:pPr>
    </w:p>
    <w:p>
      <w:pPr>
        <w:pStyle w:val="22"/>
        <w:tabs>
          <w:tab w:val="left" w:pos="0"/>
        </w:tabs>
        <w:spacing w:line="360" w:lineRule="auto"/>
        <w:outlineLvl w:val="1"/>
        <w:rPr>
          <w:rFonts w:hint="eastAsia" w:asciiTheme="minorEastAsia" w:hAnsiTheme="minorEastAsia" w:eastAsiaTheme="minorEastAsia" w:cstheme="minorEastAsia"/>
          <w:b/>
          <w:sz w:val="28"/>
          <w:szCs w:val="28"/>
        </w:rPr>
      </w:pPr>
    </w:p>
    <w:p>
      <w:pPr>
        <w:pStyle w:val="22"/>
        <w:tabs>
          <w:tab w:val="left" w:pos="0"/>
        </w:tabs>
        <w:spacing w:line="360" w:lineRule="auto"/>
        <w:outlineLvl w:val="1"/>
        <w:rPr>
          <w:rFonts w:hint="eastAsia" w:asciiTheme="minorEastAsia" w:hAnsiTheme="minorEastAsia" w:eastAsiaTheme="minorEastAsia" w:cstheme="minorEastAsia"/>
          <w:b/>
          <w:sz w:val="28"/>
          <w:szCs w:val="28"/>
        </w:rPr>
      </w:pPr>
    </w:p>
    <w:p>
      <w:pPr>
        <w:pStyle w:val="22"/>
        <w:tabs>
          <w:tab w:val="left" w:pos="0"/>
        </w:tabs>
        <w:spacing w:line="360" w:lineRule="auto"/>
        <w:outlineLvl w:val="1"/>
        <w:rPr>
          <w:rFonts w:hint="eastAsia" w:asciiTheme="minorEastAsia" w:hAnsiTheme="minorEastAsia" w:eastAsiaTheme="minorEastAsia" w:cstheme="minorEastAsia"/>
          <w:b/>
          <w:sz w:val="28"/>
          <w:szCs w:val="28"/>
        </w:rPr>
      </w:pPr>
    </w:p>
    <w:p>
      <w:pPr>
        <w:pStyle w:val="22"/>
        <w:tabs>
          <w:tab w:val="left" w:pos="0"/>
        </w:tabs>
        <w:spacing w:line="360" w:lineRule="auto"/>
        <w:outlineLvl w:val="1"/>
        <w:rPr>
          <w:rFonts w:hint="eastAsia" w:asciiTheme="minorEastAsia" w:hAnsiTheme="minorEastAsia" w:eastAsiaTheme="minorEastAsia" w:cstheme="minorEastAsia"/>
          <w:b/>
          <w:sz w:val="28"/>
          <w:szCs w:val="28"/>
        </w:rPr>
      </w:pPr>
    </w:p>
    <w:p>
      <w:pPr>
        <w:pStyle w:val="22"/>
        <w:tabs>
          <w:tab w:val="left" w:pos="0"/>
        </w:tabs>
        <w:spacing w:line="360" w:lineRule="auto"/>
        <w:outlineLvl w:val="1"/>
        <w:rPr>
          <w:rFonts w:hint="eastAsia" w:asciiTheme="minorEastAsia" w:hAnsiTheme="minorEastAsia" w:eastAsiaTheme="minorEastAsia" w:cstheme="minorEastAsia"/>
          <w:b/>
          <w:sz w:val="28"/>
          <w:szCs w:val="28"/>
        </w:rPr>
      </w:pPr>
    </w:p>
    <w:p>
      <w:pPr>
        <w:pStyle w:val="22"/>
        <w:tabs>
          <w:tab w:val="left" w:pos="0"/>
        </w:tabs>
        <w:spacing w:line="360" w:lineRule="auto"/>
        <w:outlineLvl w:val="1"/>
        <w:rPr>
          <w:rFonts w:hint="eastAsia" w:asciiTheme="minorEastAsia" w:hAnsiTheme="minorEastAsia" w:eastAsiaTheme="minorEastAsia" w:cstheme="minorEastAsia"/>
          <w:b/>
          <w:sz w:val="28"/>
          <w:szCs w:val="28"/>
        </w:rPr>
      </w:pPr>
    </w:p>
    <w:p>
      <w:pPr>
        <w:pStyle w:val="22"/>
        <w:tabs>
          <w:tab w:val="left" w:pos="0"/>
        </w:tabs>
        <w:spacing w:line="360" w:lineRule="auto"/>
        <w:outlineLvl w:val="1"/>
        <w:rPr>
          <w:rFonts w:hint="eastAsia" w:asciiTheme="minorEastAsia" w:hAnsiTheme="minorEastAsia" w:eastAsiaTheme="minorEastAsia" w:cstheme="minorEastAsia"/>
          <w:b/>
          <w:sz w:val="28"/>
          <w:szCs w:val="28"/>
        </w:rPr>
      </w:pPr>
    </w:p>
    <w:p>
      <w:pPr>
        <w:pStyle w:val="22"/>
        <w:tabs>
          <w:tab w:val="left" w:pos="0"/>
        </w:tabs>
        <w:spacing w:line="360" w:lineRule="auto"/>
        <w:outlineLvl w:val="1"/>
        <w:rPr>
          <w:rFonts w:hint="eastAsia" w:asciiTheme="minorEastAsia" w:hAnsiTheme="minorEastAsia" w:eastAsiaTheme="minorEastAsia" w:cstheme="minorEastAsia"/>
          <w:b/>
          <w:sz w:val="28"/>
          <w:szCs w:val="28"/>
        </w:rPr>
      </w:pPr>
    </w:p>
    <w:p>
      <w:pPr>
        <w:pStyle w:val="22"/>
        <w:tabs>
          <w:tab w:val="left" w:pos="0"/>
        </w:tabs>
        <w:spacing w:line="360" w:lineRule="auto"/>
        <w:outlineLvl w:val="1"/>
        <w:rPr>
          <w:rFonts w:hint="eastAsia" w:asciiTheme="minorEastAsia" w:hAnsiTheme="minorEastAsia" w:eastAsiaTheme="minorEastAsia" w:cstheme="minorEastAsia"/>
          <w:b/>
          <w:sz w:val="28"/>
          <w:szCs w:val="28"/>
        </w:rPr>
      </w:pPr>
    </w:p>
    <w:p>
      <w:pPr>
        <w:pStyle w:val="22"/>
        <w:tabs>
          <w:tab w:val="left" w:pos="0"/>
        </w:tabs>
        <w:spacing w:line="360" w:lineRule="auto"/>
        <w:outlineLvl w:val="1"/>
        <w:rPr>
          <w:rFonts w:hint="eastAsia" w:asciiTheme="minorEastAsia" w:hAnsiTheme="minorEastAsia" w:eastAsiaTheme="minorEastAsia" w:cstheme="minorEastAsia"/>
          <w:b/>
          <w:sz w:val="28"/>
          <w:szCs w:val="28"/>
        </w:rPr>
      </w:pPr>
    </w:p>
    <w:p>
      <w:pPr>
        <w:pStyle w:val="3"/>
        <w:jc w:val="center"/>
        <w:rPr>
          <w:rFonts w:hint="eastAsia" w:asciiTheme="minorEastAsia" w:hAnsiTheme="minorEastAsia" w:eastAsiaTheme="minorEastAsia" w:cstheme="minorEastAsia"/>
          <w:sz w:val="28"/>
          <w:szCs w:val="28"/>
        </w:rPr>
      </w:pPr>
      <w:bookmarkStart w:id="143" w:name="_Toc17758_WPSOffice_Level1"/>
      <w:bookmarkStart w:id="144" w:name="_Toc10468"/>
      <w:bookmarkStart w:id="145" w:name="_Toc12532081"/>
      <w:r>
        <w:rPr>
          <w:rFonts w:hint="eastAsia" w:asciiTheme="minorEastAsia" w:hAnsiTheme="minorEastAsia" w:eastAsiaTheme="minorEastAsia" w:cstheme="minorEastAsia"/>
          <w:sz w:val="28"/>
          <w:szCs w:val="28"/>
        </w:rPr>
        <w:t>第四部分通用合同条款</w:t>
      </w:r>
      <w:bookmarkEnd w:id="139"/>
      <w:bookmarkEnd w:id="143"/>
      <w:bookmarkEnd w:id="144"/>
      <w:bookmarkEnd w:id="145"/>
    </w:p>
    <w:p>
      <w:pPr>
        <w:pStyle w:val="23"/>
        <w:jc w:val="center"/>
        <w:rPr>
          <w:rFonts w:hint="eastAsia" w:asciiTheme="minorEastAsia" w:hAnsiTheme="minorEastAsia" w:eastAsiaTheme="minorEastAsia" w:cstheme="minorEastAsia"/>
          <w:b/>
          <w:bCs/>
          <w:sz w:val="28"/>
          <w:szCs w:val="28"/>
        </w:rPr>
      </w:pPr>
      <w:bookmarkStart w:id="146" w:name="50"/>
      <w:bookmarkEnd w:id="146"/>
      <w:r>
        <w:rPr>
          <w:rFonts w:hint="eastAsia" w:asciiTheme="minorEastAsia" w:hAnsiTheme="minorEastAsia" w:eastAsiaTheme="minorEastAsia" w:cstheme="minorEastAsia"/>
          <w:b/>
          <w:bCs/>
          <w:sz w:val="28"/>
          <w:szCs w:val="28"/>
        </w:rPr>
        <w:t>（本合同仅供参考，具体以实际签订的为准）</w:t>
      </w:r>
    </w:p>
    <w:p>
      <w:pPr>
        <w:widowControl/>
        <w:jc w:val="left"/>
        <w:rPr>
          <w:rFonts w:hint="eastAsia" w:asciiTheme="minorEastAsia" w:hAnsiTheme="minorEastAsia" w:eastAsiaTheme="minorEastAsia" w:cstheme="minorEastAsia"/>
          <w:bCs/>
          <w:kern w:val="0"/>
          <w:sz w:val="28"/>
          <w:szCs w:val="28"/>
        </w:rPr>
      </w:pPr>
    </w:p>
    <w:p>
      <w:pPr>
        <w:shd w:val="clear" w:color="auto" w:fill="FFFFFF"/>
        <w:autoSpaceDE w:val="0"/>
        <w:autoSpaceDN w:val="0"/>
        <w:adjustRightInd w:val="0"/>
        <w:spacing w:line="360" w:lineRule="auto"/>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 xml:space="preserve">（下称买方）和                 （下称卖方）就            </w:t>
      </w:r>
    </w:p>
    <w:p>
      <w:pPr>
        <w:shd w:val="clear" w:color="auto" w:fill="FFFFFF"/>
        <w:autoSpaceDE w:val="0"/>
        <w:autoSpaceDN w:val="0"/>
        <w:adjustRightInd w:val="0"/>
        <w:spacing w:line="360" w:lineRule="auto"/>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所需的货物采购、安装及配套服务等事宜，经双方友好协商，一致同意依照《中华人民共和国民法典·合同编》签订本合同。</w:t>
      </w:r>
    </w:p>
    <w:p>
      <w:pPr>
        <w:shd w:val="clear" w:color="auto" w:fill="FFFFFF"/>
        <w:autoSpaceDE w:val="0"/>
        <w:autoSpaceDN w:val="0"/>
        <w:adjustRightInd w:val="0"/>
        <w:spacing w:line="360" w:lineRule="auto"/>
        <w:ind w:firstLine="560" w:firstLineChars="200"/>
        <w:jc w:val="left"/>
        <w:rPr>
          <w:rFonts w:hint="eastAsia" w:asciiTheme="minorEastAsia" w:hAnsiTheme="minorEastAsia" w:eastAsiaTheme="minorEastAsia" w:cstheme="minorEastAsia"/>
          <w:kern w:val="0"/>
          <w:sz w:val="28"/>
          <w:szCs w:val="28"/>
        </w:rPr>
      </w:pPr>
      <w:bookmarkStart w:id="147" w:name="_Toc228180145"/>
      <w:r>
        <w:rPr>
          <w:rFonts w:hint="eastAsia" w:asciiTheme="minorEastAsia" w:hAnsiTheme="minorEastAsia" w:eastAsiaTheme="minorEastAsia" w:cstheme="minorEastAsia"/>
          <w:kern w:val="0"/>
          <w:sz w:val="28"/>
          <w:szCs w:val="28"/>
        </w:rPr>
        <w:t>1. 定义</w:t>
      </w:r>
      <w:bookmarkEnd w:id="147"/>
    </w:p>
    <w:p>
      <w:pPr>
        <w:shd w:val="clear" w:color="auto" w:fill="FFFFFF"/>
        <w:autoSpaceDE w:val="0"/>
        <w:autoSpaceDN w:val="0"/>
        <w:adjustRightInd w:val="0"/>
        <w:spacing w:line="360" w:lineRule="auto"/>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1.1 在此合同中按照说明解释下列术语：</w:t>
      </w:r>
    </w:p>
    <w:p>
      <w:pPr>
        <w:shd w:val="clear" w:color="auto" w:fill="FFFFFF"/>
        <w:autoSpaceDE w:val="0"/>
        <w:autoSpaceDN w:val="0"/>
        <w:adjustRightInd w:val="0"/>
        <w:spacing w:line="360" w:lineRule="auto"/>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(a)“合同”指的是买方和卖方之间的协议，它被记录在双方签订的合同里，包括所有的附件和由证明体现的所有文件，包括其投标期间的所有文件及承诺。</w:t>
      </w:r>
    </w:p>
    <w:p>
      <w:pPr>
        <w:shd w:val="clear" w:color="auto" w:fill="FFFFFF"/>
        <w:autoSpaceDE w:val="0"/>
        <w:autoSpaceDN w:val="0"/>
        <w:adjustRightInd w:val="0"/>
        <w:spacing w:line="360" w:lineRule="auto"/>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(b)“合同价格”是指在合同下可付给卖方的全部正确履行合同义务的价格。</w:t>
      </w:r>
    </w:p>
    <w:p>
      <w:pPr>
        <w:shd w:val="clear" w:color="auto" w:fill="FFFFFF"/>
        <w:autoSpaceDE w:val="0"/>
        <w:autoSpaceDN w:val="0"/>
        <w:adjustRightInd w:val="0"/>
        <w:spacing w:line="360" w:lineRule="auto"/>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(c)“合同产品”是指卖方根据合同向买方提供的货物。</w:t>
      </w:r>
    </w:p>
    <w:p>
      <w:pPr>
        <w:shd w:val="clear" w:color="auto" w:fill="FFFFFF"/>
        <w:autoSpaceDE w:val="0"/>
        <w:autoSpaceDN w:val="0"/>
        <w:adjustRightInd w:val="0"/>
        <w:spacing w:line="360" w:lineRule="auto"/>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(d)“技术文件”是指合同产品及与其相关的设计、制造、检验、施工、调试、性能验收试验、验收和技术指导等文件（包括图纸和各种文字说明、标准），用于买方对合同产品进行正确运行和维护的文件。</w:t>
      </w:r>
    </w:p>
    <w:p>
      <w:pPr>
        <w:shd w:val="clear" w:color="auto" w:fill="FFFFFF"/>
        <w:autoSpaceDE w:val="0"/>
        <w:autoSpaceDN w:val="0"/>
        <w:adjustRightInd w:val="0"/>
        <w:spacing w:line="360" w:lineRule="auto"/>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(e) “服务”是指合同条款、技术规范及标准、项目采购需求、本竞争性谈判文件规定，卖方为2022年博州森林火灾高风险区综合治理工程建设项目实施方案（代初步设计）项目相关的全部工作保证博尔塔拉蒙古自治州林业和草原局项目竣工验收合格等合同条款、技术规范及标准、项目需求、本竞争性磋商文件约定的全部内容及责任和义务。</w:t>
      </w:r>
    </w:p>
    <w:p>
      <w:pPr>
        <w:shd w:val="clear" w:color="auto" w:fill="FFFFFF"/>
        <w:autoSpaceDE w:val="0"/>
        <w:autoSpaceDN w:val="0"/>
        <w:adjustRightInd w:val="0"/>
        <w:spacing w:line="360" w:lineRule="auto"/>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(f)“质保期”是指本项目有关货物采购、安装及配套服务完成，并整体验收之日起</w:t>
      </w:r>
      <w:r>
        <w:rPr>
          <w:rFonts w:hint="eastAsia" w:asciiTheme="minorEastAsia" w:hAnsiTheme="minorEastAsia" w:eastAsiaTheme="minorEastAsia" w:cstheme="minorEastAsia"/>
          <w:kern w:val="0"/>
          <w:sz w:val="28"/>
          <w:szCs w:val="28"/>
          <w:u w:val="single"/>
        </w:rPr>
        <w:t xml:space="preserve"> 1 </w:t>
      </w:r>
      <w:r>
        <w:rPr>
          <w:rFonts w:hint="eastAsia" w:asciiTheme="minorEastAsia" w:hAnsiTheme="minorEastAsia" w:eastAsiaTheme="minorEastAsia" w:cstheme="minorEastAsia"/>
          <w:kern w:val="0"/>
          <w:sz w:val="28"/>
          <w:szCs w:val="28"/>
        </w:rPr>
        <w:t>年。（注：须不低于国家相关标准）。</w:t>
      </w:r>
    </w:p>
    <w:p>
      <w:pPr>
        <w:pStyle w:val="8"/>
        <w:shd w:val="clear" w:color="auto" w:fill="FFFFFF"/>
        <w:adjustRightInd w:val="0"/>
        <w:snapToGrid w:val="0"/>
        <w:spacing w:line="360" w:lineRule="auto"/>
        <w:ind w:firstLine="700" w:firstLineChars="25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sz w:val="28"/>
          <w:szCs w:val="28"/>
        </w:rPr>
        <w:t>(g)“买方”</w:t>
      </w:r>
      <w:r>
        <w:rPr>
          <w:rFonts w:hint="eastAsia" w:asciiTheme="minorEastAsia" w:hAnsiTheme="minorEastAsia" w:eastAsiaTheme="minorEastAsia" w:cstheme="minorEastAsia"/>
          <w:kern w:val="0"/>
          <w:sz w:val="28"/>
          <w:szCs w:val="28"/>
        </w:rPr>
        <w:t>指的是指本合同项下所有货物及服务的招标人。</w:t>
      </w:r>
    </w:p>
    <w:p>
      <w:pPr>
        <w:pStyle w:val="8"/>
        <w:shd w:val="clear" w:color="auto" w:fill="FFFFFF"/>
        <w:adjustRightInd w:val="0"/>
        <w:snapToGrid w:val="0"/>
        <w:spacing w:line="360" w:lineRule="auto"/>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(h)“卖方”指的是提供本合同项下所有货物及服务的制造厂商或经销商。</w:t>
      </w:r>
    </w:p>
    <w:p>
      <w:pPr>
        <w:pStyle w:val="8"/>
        <w:shd w:val="clear" w:color="auto" w:fill="FFFFFF"/>
        <w:adjustRightInd w:val="0"/>
        <w:snapToGrid w:val="0"/>
        <w:spacing w:line="360" w:lineRule="auto"/>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(i)“寿命”指自合同产品投入使用之日起计算使用时间。</w:t>
      </w:r>
    </w:p>
    <w:p>
      <w:pPr>
        <w:pStyle w:val="8"/>
        <w:shd w:val="clear" w:color="auto" w:fill="FFFFFF"/>
        <w:adjustRightInd w:val="0"/>
        <w:snapToGrid w:val="0"/>
        <w:spacing w:line="360" w:lineRule="auto"/>
        <w:ind w:firstLine="700" w:firstLineChars="250"/>
        <w:outlineLvl w:val="0"/>
        <w:rPr>
          <w:rFonts w:hint="eastAsia" w:asciiTheme="minorEastAsia" w:hAnsiTheme="minorEastAsia" w:eastAsiaTheme="minorEastAsia" w:cstheme="minorEastAsia"/>
          <w:sz w:val="28"/>
          <w:szCs w:val="28"/>
        </w:rPr>
      </w:pPr>
      <w:bookmarkStart w:id="148" w:name="_Toc22672"/>
      <w:bookmarkStart w:id="149" w:name="_Toc228180146"/>
      <w:r>
        <w:rPr>
          <w:rFonts w:hint="eastAsia" w:asciiTheme="minorEastAsia" w:hAnsiTheme="minorEastAsia" w:eastAsiaTheme="minorEastAsia" w:cstheme="minorEastAsia"/>
          <w:sz w:val="28"/>
          <w:szCs w:val="28"/>
        </w:rPr>
        <w:t>2. 合同标的</w:t>
      </w:r>
      <w:bookmarkEnd w:id="148"/>
      <w:bookmarkEnd w:id="149"/>
    </w:p>
    <w:p>
      <w:pPr>
        <w:shd w:val="clear" w:color="auto" w:fill="FFFFFF"/>
        <w:adjustRightInd w:val="0"/>
        <w:snapToGrid w:val="0"/>
        <w:spacing w:line="360" w:lineRule="auto"/>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卖方同意向买方出售技术服务，买方同意从卖方购买技术服务</w:t>
      </w:r>
    </w:p>
    <w:p>
      <w:pPr>
        <w:shd w:val="clear" w:color="auto" w:fill="FFFFFF"/>
        <w:adjustRightInd w:val="0"/>
        <w:snapToGrid w:val="0"/>
        <w:spacing w:line="360" w:lineRule="auto"/>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2.1产品名称、规格(型号)、数量、设备名称、规格(型号)、数量及技术要求等详见招标文件。</w:t>
      </w:r>
    </w:p>
    <w:p>
      <w:pPr>
        <w:shd w:val="clear" w:color="auto" w:fill="FFFFFF"/>
        <w:adjustRightInd w:val="0"/>
        <w:snapToGrid w:val="0"/>
        <w:spacing w:line="360" w:lineRule="auto"/>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2.2 凡卖方供应的产品均应是全新、安全、经济、技术先进并且是成熟可靠的。</w:t>
      </w:r>
    </w:p>
    <w:p>
      <w:pPr>
        <w:shd w:val="clear" w:color="auto" w:fill="FFFFFF"/>
        <w:adjustRightInd w:val="0"/>
        <w:snapToGrid w:val="0"/>
        <w:spacing w:line="360" w:lineRule="auto"/>
        <w:ind w:firstLine="747" w:firstLineChars="26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2.3 合同产品的技术规范、技术经济指标和性能按双方签订的《技术协议》（如果有的话）、卖方的《投标文件》及《招标文件》有关要求执行。</w:t>
      </w:r>
    </w:p>
    <w:p>
      <w:pPr>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2.4 卖方提供合同产品的供货范围按卖方在投标文件报出的并经买方同意认可的供货及招标项目范围清单执行。</w:t>
      </w:r>
    </w:p>
    <w:p>
      <w:pPr>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shd w:val="pct10" w:color="auto" w:fill="FFFFFF"/>
        </w:rPr>
      </w:pPr>
      <w:r>
        <w:rPr>
          <w:rFonts w:hint="eastAsia" w:asciiTheme="minorEastAsia" w:hAnsiTheme="minorEastAsia" w:eastAsiaTheme="minorEastAsia" w:cstheme="minorEastAsia"/>
          <w:sz w:val="28"/>
          <w:szCs w:val="28"/>
        </w:rPr>
        <w:t>2.5 卖方负责合同产品的运输及保险。</w:t>
      </w:r>
    </w:p>
    <w:p>
      <w:pPr>
        <w:pStyle w:val="8"/>
        <w:shd w:val="clear" w:color="auto" w:fill="FFFFFF"/>
        <w:adjustRightInd w:val="0"/>
        <w:snapToGrid w:val="0"/>
        <w:spacing w:line="360" w:lineRule="auto"/>
        <w:ind w:firstLine="560" w:firstLineChars="200"/>
        <w:outlineLvl w:val="0"/>
        <w:rPr>
          <w:rFonts w:hint="eastAsia" w:asciiTheme="minorEastAsia" w:hAnsiTheme="minorEastAsia" w:eastAsiaTheme="minorEastAsia" w:cstheme="minorEastAsia"/>
          <w:sz w:val="28"/>
          <w:szCs w:val="28"/>
        </w:rPr>
      </w:pPr>
      <w:bookmarkStart w:id="150" w:name="_Toc20934"/>
      <w:bookmarkStart w:id="151" w:name="_Toc228180147"/>
      <w:r>
        <w:rPr>
          <w:rFonts w:hint="eastAsia" w:asciiTheme="minorEastAsia" w:hAnsiTheme="minorEastAsia" w:eastAsiaTheme="minorEastAsia" w:cstheme="minorEastAsia"/>
          <w:sz w:val="28"/>
          <w:szCs w:val="28"/>
        </w:rPr>
        <w:t>3. 供货范围</w:t>
      </w:r>
      <w:bookmarkEnd w:id="150"/>
      <w:bookmarkEnd w:id="151"/>
    </w:p>
    <w:p>
      <w:pPr>
        <w:pStyle w:val="8"/>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3.1合同供货内容为：2022年博州森林火灾高风险区综合治理工程建设项目实施方案（代初步设计）</w:t>
      </w:r>
    </w:p>
    <w:p>
      <w:pPr>
        <w:pStyle w:val="8"/>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 货物供应清单</w:t>
      </w:r>
    </w:p>
    <w:p>
      <w:pPr>
        <w:pStyle w:val="8"/>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合同的</w:t>
      </w:r>
      <w:r>
        <w:rPr>
          <w:rFonts w:hint="eastAsia" w:asciiTheme="minorEastAsia" w:hAnsiTheme="minorEastAsia" w:eastAsiaTheme="minorEastAsia" w:cstheme="minorEastAsia"/>
          <w:kern w:val="0"/>
          <w:sz w:val="28"/>
          <w:szCs w:val="28"/>
        </w:rPr>
        <w:t>产品实际采购、配套加工和服务</w:t>
      </w:r>
      <w:r>
        <w:rPr>
          <w:rFonts w:hint="eastAsia" w:asciiTheme="minorEastAsia" w:hAnsiTheme="minorEastAsia" w:eastAsiaTheme="minorEastAsia" w:cstheme="minorEastAsia"/>
          <w:sz w:val="28"/>
          <w:szCs w:val="28"/>
        </w:rPr>
        <w:t>按双方签订的《技术协议》（如果有的话）、卖方的《投标文件》、《招标文件》及答疑记录有关要求执行。</w:t>
      </w:r>
    </w:p>
    <w:p>
      <w:pPr>
        <w:pStyle w:val="8"/>
        <w:shd w:val="clear" w:color="auto" w:fill="FFFFFF"/>
        <w:adjustRightInd w:val="0"/>
        <w:snapToGrid w:val="0"/>
        <w:spacing w:line="36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sz w:val="28"/>
          <w:szCs w:val="28"/>
        </w:rPr>
        <w:t>3.3 验收：</w:t>
      </w:r>
      <w:r>
        <w:rPr>
          <w:rFonts w:hint="eastAsia" w:asciiTheme="minorEastAsia" w:hAnsiTheme="minorEastAsia" w:eastAsiaTheme="minorEastAsia" w:cstheme="minorEastAsia"/>
          <w:kern w:val="0"/>
          <w:sz w:val="28"/>
          <w:szCs w:val="28"/>
        </w:rPr>
        <w:t>实际供货完成并交付采购人指定地点且验收合格后方可交付买方。</w:t>
      </w:r>
    </w:p>
    <w:p>
      <w:pPr>
        <w:pStyle w:val="8"/>
        <w:shd w:val="clear" w:color="auto" w:fill="FFFFFF"/>
        <w:adjustRightInd w:val="0"/>
        <w:snapToGrid w:val="0"/>
        <w:spacing w:line="360" w:lineRule="auto"/>
        <w:ind w:firstLine="560" w:firstLineChars="200"/>
        <w:outlineLvl w:val="0"/>
        <w:rPr>
          <w:rFonts w:hint="eastAsia" w:asciiTheme="minorEastAsia" w:hAnsiTheme="minorEastAsia" w:eastAsiaTheme="minorEastAsia" w:cstheme="minorEastAsia"/>
          <w:sz w:val="28"/>
          <w:szCs w:val="28"/>
        </w:rPr>
      </w:pPr>
      <w:bookmarkStart w:id="152" w:name="_Toc24361"/>
      <w:bookmarkStart w:id="153" w:name="_Toc228180148"/>
      <w:r>
        <w:rPr>
          <w:rFonts w:hint="eastAsia" w:asciiTheme="minorEastAsia" w:hAnsiTheme="minorEastAsia" w:eastAsiaTheme="minorEastAsia" w:cstheme="minorEastAsia"/>
          <w:sz w:val="28"/>
          <w:szCs w:val="28"/>
        </w:rPr>
        <w:t>4. 合同价格</w:t>
      </w:r>
      <w:bookmarkEnd w:id="152"/>
      <w:bookmarkEnd w:id="153"/>
    </w:p>
    <w:p>
      <w:pPr>
        <w:pStyle w:val="8"/>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4.1 以本合同条款第2条规定的合同标的和合同规定及卖方完成对合同应承担的义务为基础，卖方供应的合同总价为元（大写</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pPr>
        <w:pStyle w:val="8"/>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价格包括本项目招标文件中及清单范围内所要求的本项目招标设备及材料采购、配套安装调试，含以下内容：1）本次项目采购所有设备均以到达现场经安装调试并验收合格后的全部费用（招标文件规定的地点），包括招标书中对项目要求的技术服务、资料查询及印刷、评审等全部费用。</w:t>
      </w:r>
    </w:p>
    <w:p>
      <w:pPr>
        <w:pStyle w:val="8"/>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4.2 合同分项价格</w:t>
      </w:r>
    </w:p>
    <w:p>
      <w:pPr>
        <w:pStyle w:val="8"/>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见卖方的《投标文件》。</w:t>
      </w:r>
    </w:p>
    <w:p>
      <w:pPr>
        <w:pStyle w:val="8"/>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4.3 质保期后三年内的设备备品备件及专用工具价格表,买方如需在此时间内向卖方采购,卖方需按此价格表中的单价供货。见卖方的《投标文件》。</w:t>
      </w:r>
    </w:p>
    <w:p>
      <w:pPr>
        <w:pStyle w:val="8"/>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4.4 上述合同价格是本项目交付时的固定不变价格，借任何理由调价都是不允许的。</w:t>
      </w:r>
    </w:p>
    <w:p>
      <w:pPr>
        <w:pStyle w:val="8"/>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4.5 招标范围外合同付款的调整：</w:t>
      </w:r>
    </w:p>
    <w:p>
      <w:pPr>
        <w:pStyle w:val="8"/>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4.5.1 调整因素：设计变更，经济签证。</w:t>
      </w:r>
    </w:p>
    <w:p>
      <w:pPr>
        <w:pStyle w:val="8"/>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4.5.2 调整方法：执行投标书中最终优惠后的报价单价和取费费率调整合同付款。</w:t>
      </w:r>
    </w:p>
    <w:p>
      <w:pPr>
        <w:pStyle w:val="8"/>
        <w:shd w:val="clear" w:color="auto" w:fill="FFFFFF"/>
        <w:adjustRightInd w:val="0"/>
        <w:snapToGrid w:val="0"/>
        <w:spacing w:line="360" w:lineRule="auto"/>
        <w:ind w:firstLine="560" w:firstLineChars="200"/>
        <w:outlineLvl w:val="0"/>
        <w:rPr>
          <w:rFonts w:hint="eastAsia" w:asciiTheme="minorEastAsia" w:hAnsiTheme="minorEastAsia" w:eastAsiaTheme="minorEastAsia" w:cstheme="minorEastAsia"/>
          <w:sz w:val="28"/>
          <w:szCs w:val="28"/>
        </w:rPr>
      </w:pPr>
      <w:bookmarkStart w:id="154" w:name="_Toc22237"/>
      <w:bookmarkStart w:id="155" w:name="_Toc228180149"/>
      <w:r>
        <w:rPr>
          <w:rFonts w:hint="eastAsia" w:asciiTheme="minorEastAsia" w:hAnsiTheme="minorEastAsia" w:eastAsiaTheme="minorEastAsia" w:cstheme="minorEastAsia"/>
          <w:sz w:val="28"/>
          <w:szCs w:val="28"/>
        </w:rPr>
        <w:t>5. 付款方式和付款比例</w:t>
      </w:r>
      <w:bookmarkEnd w:id="154"/>
      <w:bookmarkEnd w:id="155"/>
    </w:p>
    <w:p>
      <w:pPr>
        <w:pStyle w:val="8"/>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5.1 本合同计价货币为人民币。</w:t>
      </w:r>
    </w:p>
    <w:p>
      <w:pPr>
        <w:pStyle w:val="8"/>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5.2 付款方式：支票、银行汇票和电汇。</w:t>
      </w:r>
    </w:p>
    <w:p>
      <w:pPr>
        <w:pStyle w:val="8"/>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5.3 合同款的支付</w:t>
      </w:r>
      <w:r>
        <w:rPr>
          <w:rFonts w:hint="eastAsia" w:asciiTheme="minorEastAsia" w:hAnsiTheme="minorEastAsia" w:eastAsiaTheme="minorEastAsia" w:cstheme="minorEastAsia"/>
          <w:sz w:val="28"/>
          <w:szCs w:val="28"/>
          <w:highlight w:val="cyan"/>
        </w:rPr>
        <w:t>技术服务、资料查询及印刷、评审等全部费用</w:t>
      </w:r>
      <w:r>
        <w:rPr>
          <w:rFonts w:hint="eastAsia" w:asciiTheme="minorEastAsia" w:hAnsiTheme="minorEastAsia" w:eastAsiaTheme="minorEastAsia" w:cstheme="minorEastAsia"/>
          <w:sz w:val="28"/>
          <w:szCs w:val="28"/>
        </w:rPr>
        <w:t>。</w:t>
      </w:r>
    </w:p>
    <w:p>
      <w:pPr>
        <w:pStyle w:val="24"/>
        <w:shd w:val="clear" w:color="auto" w:fill="FFFFFF"/>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5.3.1 付款方式：以跟甲方签订的合同为准。</w:t>
      </w:r>
    </w:p>
    <w:p>
      <w:pPr>
        <w:pStyle w:val="8"/>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5.3.5 合同的付款日期以买方签发支票或在银行办理电汇的日期为准。</w:t>
      </w:r>
    </w:p>
    <w:p>
      <w:pPr>
        <w:pStyle w:val="8"/>
        <w:shd w:val="clear" w:color="auto" w:fill="FFFFFF"/>
        <w:adjustRightInd w:val="0"/>
        <w:snapToGrid w:val="0"/>
        <w:spacing w:line="360" w:lineRule="auto"/>
        <w:ind w:firstLine="560" w:firstLineChars="200"/>
        <w:outlineLvl w:val="0"/>
        <w:rPr>
          <w:rFonts w:hint="eastAsia" w:asciiTheme="minorEastAsia" w:hAnsiTheme="minorEastAsia" w:eastAsiaTheme="minorEastAsia" w:cstheme="minorEastAsia"/>
          <w:sz w:val="28"/>
          <w:szCs w:val="28"/>
        </w:rPr>
      </w:pPr>
      <w:bookmarkStart w:id="156" w:name="_Toc18839"/>
      <w:bookmarkStart w:id="157" w:name="_Toc228180151"/>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 技术服务及联络</w:t>
      </w:r>
      <w:bookmarkEnd w:id="156"/>
      <w:bookmarkEnd w:id="157"/>
    </w:p>
    <w:p>
      <w:pPr>
        <w:pStyle w:val="8"/>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.1 卖方须派有丰富经验的技术人员到现场进行技术服务，指按技术文件和图纸进行分部调试、启动调试和试运行，并负责解决合同设备在调试、试运行中发现的制造质量及性能等有关问题。同时，对买方技术人员提供全面培训。</w:t>
      </w:r>
    </w:p>
    <w:p>
      <w:pPr>
        <w:pStyle w:val="8"/>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当买方要求卖方进行现场服务时，卖方应在接到买方通知的24小时内给予答复，并在48小时内到达现场。买方有权提出更换不能胜任工作的卖方现场服务人员，卖方在不影响工程进度的条件下，应重新选派买方认可的服务人员。如果买方在书面提出该项要求10天内卖方没有答复，将视为延误工期等同处理。</w:t>
      </w:r>
    </w:p>
    <w:p>
      <w:pPr>
        <w:pStyle w:val="8"/>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.2 卖方在合同生效后7日内以邮寄方式向买方提交执行8.1项中规定的服务工作的组织计划一式两份。</w:t>
      </w:r>
    </w:p>
    <w:p>
      <w:pPr>
        <w:pStyle w:val="8"/>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.3 在合同生效后7日内，双方确定技术联络会的次数、时间和地点。</w:t>
      </w:r>
    </w:p>
    <w:p>
      <w:pPr>
        <w:pStyle w:val="8"/>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.4 卖方必须将本合同供货范围中需要向外分包的主要供货商的名单提交买方予以确认，卖方应将从该确认名单中选定的最后供货商通知买方。卖方对其分包商的一切有关供货范围，设备及技术接口等问题负责。</w:t>
      </w:r>
    </w:p>
    <w:p>
      <w:pPr>
        <w:shd w:val="clear" w:color="auto" w:fill="FFFFFF"/>
        <w:tabs>
          <w:tab w:val="left" w:pos="1560"/>
          <w:tab w:val="left" w:pos="1920"/>
        </w:tabs>
        <w:adjustRightInd w:val="0"/>
        <w:snapToGrid w:val="0"/>
        <w:spacing w:line="360" w:lineRule="auto"/>
        <w:ind w:firstLine="548" w:firstLineChars="196"/>
        <w:outlineLvl w:val="0"/>
        <w:rPr>
          <w:rFonts w:hint="eastAsia" w:asciiTheme="minorEastAsia" w:hAnsiTheme="minorEastAsia" w:eastAsiaTheme="minorEastAsia" w:cstheme="minorEastAsia"/>
          <w:sz w:val="28"/>
          <w:szCs w:val="28"/>
        </w:rPr>
      </w:pPr>
      <w:bookmarkStart w:id="158" w:name="_Toc228180152"/>
      <w:bookmarkStart w:id="159" w:name="_Toc10365"/>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 图纸和技术资料的交付</w:t>
      </w:r>
      <w:bookmarkEnd w:id="158"/>
      <w:bookmarkEnd w:id="159"/>
    </w:p>
    <w:p>
      <w:pPr>
        <w:pStyle w:val="8"/>
        <w:shd w:val="clear" w:color="auto" w:fill="FFFFFF"/>
        <w:adjustRightInd w:val="0"/>
        <w:snapToGrid w:val="0"/>
        <w:spacing w:line="36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lang w:val="en-US" w:eastAsia="zh-CN"/>
        </w:rPr>
        <w:t>7</w:t>
      </w:r>
      <w:r>
        <w:rPr>
          <w:rFonts w:hint="eastAsia" w:asciiTheme="minorEastAsia" w:hAnsiTheme="minorEastAsia" w:eastAsiaTheme="minorEastAsia" w:cstheme="minorEastAsia"/>
          <w:kern w:val="0"/>
          <w:sz w:val="28"/>
          <w:szCs w:val="28"/>
        </w:rPr>
        <w:t>.1 卖方应按投标文件中填报的《技术资料付计划表》向买方交付全套技术资料。</w:t>
      </w:r>
    </w:p>
    <w:p>
      <w:pPr>
        <w:pStyle w:val="8"/>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.2 每批技术文件交邮后，卖方在24小时内将技术文件的交邮日期、邮单号、技术文件的详细清单件数及重量、合同号等以传真或电报通知买方。</w:t>
      </w:r>
    </w:p>
    <w:p>
      <w:pPr>
        <w:pStyle w:val="8"/>
        <w:shd w:val="clear" w:color="auto" w:fill="FFFFFF"/>
        <w:adjustRightInd w:val="0"/>
        <w:snapToGrid w:val="0"/>
        <w:spacing w:line="360" w:lineRule="auto"/>
        <w:ind w:firstLine="560" w:firstLineChars="200"/>
        <w:outlineLvl w:val="0"/>
        <w:rPr>
          <w:rFonts w:hint="eastAsia" w:asciiTheme="minorEastAsia" w:hAnsiTheme="minorEastAsia" w:eastAsiaTheme="minorEastAsia" w:cstheme="minorEastAsia"/>
          <w:sz w:val="28"/>
          <w:szCs w:val="28"/>
        </w:rPr>
      </w:pPr>
      <w:bookmarkStart w:id="160" w:name="_Toc7950"/>
      <w:bookmarkStart w:id="161" w:name="_Toc228180154"/>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.调试和验收</w:t>
      </w:r>
      <w:bookmarkEnd w:id="160"/>
      <w:bookmarkEnd w:id="161"/>
    </w:p>
    <w:p>
      <w:pPr>
        <w:pStyle w:val="8"/>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.1 本合同产品由买方根据卖方提供的技术文件、检验标准、图纸及说明书进行调试。卖方应充分合作，采取一切必要措施，使合同产品尽快投入使用。</w:t>
      </w:r>
    </w:p>
    <w:p>
      <w:pPr>
        <w:pStyle w:val="8"/>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.2 合同产品的调试完毕后，卖方派人负责检验。</w:t>
      </w:r>
    </w:p>
    <w:p>
      <w:pPr>
        <w:pStyle w:val="8"/>
        <w:shd w:val="clear" w:color="auto" w:fill="FFFFFF"/>
        <w:adjustRightInd w:val="0"/>
        <w:snapToGrid w:val="0"/>
        <w:spacing w:line="360" w:lineRule="auto"/>
        <w:ind w:firstLine="560" w:firstLineChars="200"/>
        <w:outlineLvl w:val="0"/>
        <w:rPr>
          <w:rFonts w:hint="eastAsia" w:asciiTheme="minorEastAsia" w:hAnsiTheme="minorEastAsia" w:eastAsiaTheme="minorEastAsia" w:cstheme="minorEastAsia"/>
          <w:sz w:val="28"/>
          <w:szCs w:val="28"/>
        </w:rPr>
      </w:pPr>
      <w:bookmarkStart w:id="162" w:name="_Toc228180155"/>
      <w:bookmarkStart w:id="163" w:name="_Toc3125"/>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rPr>
        <w:t>. 保证与索赔</w:t>
      </w:r>
      <w:bookmarkEnd w:id="162"/>
      <w:bookmarkEnd w:id="163"/>
    </w:p>
    <w:p>
      <w:pPr>
        <w:pStyle w:val="8"/>
        <w:shd w:val="clear" w:color="auto" w:fill="FFFFFF"/>
        <w:adjustRightInd w:val="0"/>
        <w:snapToGrid w:val="0"/>
        <w:spacing w:line="360" w:lineRule="auto"/>
        <w:ind w:left="420" w:left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rPr>
        <w:t>.1 质量保证期是</w:t>
      </w:r>
      <w:r>
        <w:rPr>
          <w:rFonts w:hint="eastAsia" w:asciiTheme="minorEastAsia" w:hAnsiTheme="minorEastAsia" w:eastAsiaTheme="minorEastAsia" w:cstheme="minorEastAsia"/>
          <w:kern w:val="0"/>
          <w:sz w:val="28"/>
          <w:szCs w:val="28"/>
        </w:rPr>
        <w:t>指本项目产品、材料采购、配套服务等完成，并自项目整体验收之日起</w:t>
      </w:r>
      <w:r>
        <w:rPr>
          <w:rFonts w:hint="eastAsia" w:asciiTheme="minorEastAsia" w:hAnsiTheme="minorEastAsia" w:eastAsiaTheme="minorEastAsia" w:cstheme="minorEastAsia"/>
          <w:kern w:val="0"/>
          <w:sz w:val="28"/>
          <w:szCs w:val="28"/>
          <w:u w:val="single"/>
        </w:rPr>
        <w:t xml:space="preserve"> 1</w:t>
      </w:r>
      <w:r>
        <w:rPr>
          <w:rFonts w:hint="eastAsia" w:asciiTheme="minorEastAsia" w:hAnsiTheme="minorEastAsia" w:eastAsiaTheme="minorEastAsia" w:cstheme="minorEastAsia"/>
          <w:kern w:val="0"/>
          <w:sz w:val="28"/>
          <w:szCs w:val="28"/>
        </w:rPr>
        <w:t>年</w:t>
      </w:r>
      <w:r>
        <w:rPr>
          <w:rFonts w:hint="eastAsia" w:asciiTheme="minorEastAsia" w:hAnsiTheme="minorEastAsia" w:eastAsiaTheme="minorEastAsia" w:cstheme="minorEastAsia"/>
          <w:sz w:val="28"/>
          <w:szCs w:val="28"/>
        </w:rPr>
        <w:t>。</w:t>
      </w:r>
    </w:p>
    <w:p>
      <w:pPr>
        <w:pStyle w:val="8"/>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在此质保期内，供方应对由于设计、工艺或材料的缺陷而发生的任何不足或故障负责，费用由供方负担。</w:t>
      </w:r>
    </w:p>
    <w:p>
      <w:pPr>
        <w:pStyle w:val="8"/>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rPr>
        <w:t>.2 卖方保证其供应的本合同设备是全新的，技术水平是先进的、成熟的、质量优良的、设备的选型均符合安全可靠、经济运行和易于维护的要求。</w:t>
      </w:r>
    </w:p>
    <w:p>
      <w:pPr>
        <w:pStyle w:val="8"/>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rPr>
        <w:t>.3 在质保期内，如发现卖方提供的设备有缺陷，不符合本合同规定时，买方认为如属卖方责任，则买方有权向卖方提出索赔。卖方在接到买方索赔文件后，应立即无偿修理、换货、赔款或委托买方安排大型修理。由此产生的到安装现场的换货费用、运费及保险费由卖方负担。</w:t>
      </w:r>
    </w:p>
    <w:p>
      <w:pPr>
        <w:pStyle w:val="8"/>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rPr>
        <w:t>.4 如由于卖方责任需要更换。修理有缺陷的设备，而使合同设备停运或推迟安装时，则质保期按实际修理或换货所延误的时间做相应的延长，且新更换或修理的设备，其质保期应重新计算。</w:t>
      </w:r>
    </w:p>
    <w:p>
      <w:pPr>
        <w:pStyle w:val="8"/>
        <w:shd w:val="clear" w:color="auto" w:fill="FFFFFF"/>
        <w:adjustRightInd w:val="0"/>
        <w:snapToGrid w:val="0"/>
        <w:spacing w:line="360" w:lineRule="auto"/>
        <w:ind w:firstLine="560" w:firstLineChars="200"/>
        <w:outlineLvl w:val="0"/>
        <w:rPr>
          <w:rFonts w:hint="eastAsia" w:asciiTheme="minorEastAsia" w:hAnsiTheme="minorEastAsia" w:eastAsiaTheme="minorEastAsia" w:cstheme="minorEastAsia"/>
          <w:sz w:val="28"/>
          <w:szCs w:val="28"/>
        </w:rPr>
      </w:pPr>
      <w:bookmarkStart w:id="164" w:name="_Toc29855"/>
      <w:bookmarkStart w:id="165" w:name="_Toc228180156"/>
      <w:r>
        <w:rPr>
          <w:rFonts w:hint="eastAsia"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rPr>
        <w:t>. 合同的变更、修改、中止和终止</w:t>
      </w:r>
      <w:bookmarkEnd w:id="164"/>
      <w:bookmarkEnd w:id="165"/>
    </w:p>
    <w:p>
      <w:pPr>
        <w:pStyle w:val="8"/>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.1 本合同一经生效，合同双方均不得擅自对本合同的内容（包括附件）作任何单方修改。但任何一方均可以对合同内容以书面形式提出变更、修改、取消或补充的建议。该项建议由一方按顺序编号的修改通知书向对方签发，修改通知书副本经对方签署人会签后返还给修改通知书一方。如果双方共同认为该项修改会对合同价格和交货进度有重大影响时，卖方应在收到上述修改通知书后的14个工作日内，提出影响合同价格或交货期的详细说明。双方同意后经双方法人代表或授权代表签字并经主管部门审核盖章后生效。将修改后的有关部分抄送原合同有关单位。</w:t>
      </w:r>
    </w:p>
    <w:p>
      <w:pPr>
        <w:pStyle w:val="8"/>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.2 如果卖方有违反或拒绝执行本合同规定的行为时，买方将用书面通知卖方，卖方在接到通知书后5个工作日内确认无误后应对违反或拒绝作出修正，如果认为在5个工作日内来不及纠正时，应提出修正计划。如果得不到纠正或提不出修正计划，买方将保留暂停履行本合同的一部份或全部的权利。对于这种暂停，买方将不出具变更通知书，由此而发生的一切费用、损失和索赔将由卖方负担。</w:t>
      </w:r>
    </w:p>
    <w:p>
      <w:pPr>
        <w:pStyle w:val="8"/>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.3 根据13条款规定，如果买方行使暂停权利后，买方有权停付到期应向卖方支付暂停部分的款项，并有权将在执行合同中，预付给卖方的暂停部分款项索回。</w:t>
      </w:r>
    </w:p>
    <w:p>
      <w:pPr>
        <w:pStyle w:val="8"/>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.4 在合同执行过程中，若因国家计划调整而引起本合同无法正常执行时，卖方或买方可以向对方提出暂停执行合同或修改合同有关条款的建议，与之有关的事宜双方协商办理。</w:t>
      </w:r>
    </w:p>
    <w:p>
      <w:pPr>
        <w:pStyle w:val="8"/>
        <w:shd w:val="clear" w:color="auto" w:fill="FFFFFF"/>
        <w:adjustRightInd w:val="0"/>
        <w:snapToGrid w:val="0"/>
        <w:spacing w:line="360" w:lineRule="auto"/>
        <w:ind w:firstLine="544" w:firstLineChars="200"/>
        <w:rPr>
          <w:rFonts w:hint="eastAsia" w:asciiTheme="minorEastAsia" w:hAnsiTheme="minorEastAsia" w:eastAsiaTheme="minorEastAsia" w:cstheme="minorEastAsia"/>
          <w:spacing w:val="-4"/>
          <w:sz w:val="28"/>
          <w:szCs w:val="28"/>
        </w:rPr>
      </w:pPr>
      <w:r>
        <w:rPr>
          <w:rFonts w:hint="eastAsia" w:asciiTheme="minorEastAsia" w:hAnsiTheme="minorEastAsia" w:eastAsiaTheme="minorEastAsia" w:cstheme="minorEastAsia"/>
          <w:spacing w:val="-4"/>
          <w:sz w:val="28"/>
          <w:szCs w:val="28"/>
        </w:rPr>
        <w:t>1</w:t>
      </w:r>
      <w:r>
        <w:rPr>
          <w:rFonts w:hint="eastAsia" w:asciiTheme="minorEastAsia" w:hAnsiTheme="minorEastAsia" w:eastAsiaTheme="minorEastAsia" w:cstheme="minorEastAsia"/>
          <w:spacing w:val="-4"/>
          <w:sz w:val="28"/>
          <w:szCs w:val="28"/>
          <w:lang w:val="en-US" w:eastAsia="zh-CN"/>
        </w:rPr>
        <w:t>0</w:t>
      </w:r>
      <w:r>
        <w:rPr>
          <w:rFonts w:hint="eastAsia" w:asciiTheme="minorEastAsia" w:hAnsiTheme="minorEastAsia" w:eastAsiaTheme="minorEastAsia" w:cstheme="minorEastAsia"/>
          <w:spacing w:val="-4"/>
          <w:sz w:val="28"/>
          <w:szCs w:val="28"/>
        </w:rPr>
        <w:t>.5 在合同执行过程中，若因卖方产品质量低劣或合同履行困难，买方有权利终止合同并另择供货人。</w:t>
      </w:r>
    </w:p>
    <w:p>
      <w:pPr>
        <w:pStyle w:val="24"/>
        <w:shd w:val="clear" w:color="auto" w:fill="FFFFFF"/>
        <w:spacing w:line="360" w:lineRule="auto"/>
        <w:ind w:firstLine="490" w:firstLineChars="175"/>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w:t>
      </w:r>
      <w:r>
        <w:rPr>
          <w:rFonts w:hint="eastAsia" w:asciiTheme="minorEastAsia" w:hAnsiTheme="minorEastAsia" w:eastAsia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rPr>
        <w:t>．延期交货与核定损失额</w:t>
      </w:r>
    </w:p>
    <w:p>
      <w:pPr>
        <w:pStyle w:val="24"/>
        <w:shd w:val="clear" w:color="auto" w:fill="FFFFFF"/>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如果卖方未能按合同规定的时间按期交货（本合同14条款规定的不可抗力因素除外）在卖方同意支付核定损失额的条件下，买方将同意延长交货期。核定损失额的支付将从质量保证金中扣除。但是核定损失额不得超过迟交货物部分合同金额的5%。核定损失额比率为每迟交7天，按迟交货物金额的0.5%计，不满7天按7天计。如果卖方在买方同意延长的时间内仍不能交货,买方有权因卖方违约撤销合同，而卖方仍有义务支付上述迟交核定损失额。</w:t>
      </w:r>
    </w:p>
    <w:p>
      <w:pPr>
        <w:pStyle w:val="8"/>
        <w:shd w:val="clear" w:color="auto" w:fill="FFFFFF"/>
        <w:adjustRightInd w:val="0"/>
        <w:snapToGrid w:val="0"/>
        <w:spacing w:line="360" w:lineRule="auto"/>
        <w:ind w:firstLine="560" w:firstLineChars="200"/>
        <w:outlineLvl w:val="0"/>
        <w:rPr>
          <w:rFonts w:hint="eastAsia" w:asciiTheme="minorEastAsia" w:hAnsiTheme="minorEastAsia" w:eastAsiaTheme="minorEastAsia" w:cstheme="minorEastAsia"/>
          <w:sz w:val="28"/>
          <w:szCs w:val="28"/>
        </w:rPr>
      </w:pPr>
      <w:bookmarkStart w:id="166" w:name="_Toc31922"/>
      <w:bookmarkStart w:id="167" w:name="_Toc228180157"/>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 不可抗力</w:t>
      </w:r>
      <w:bookmarkEnd w:id="166"/>
      <w:bookmarkEnd w:id="167"/>
    </w:p>
    <w:p>
      <w:pPr>
        <w:pStyle w:val="8"/>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.1 不可抗力是合同签字生效后发生的非有关方所能控制的，并非合同方过失的、无法中止的、不能预防的社会和自然事件，包括但不限于：严重的自然灾害（如台风、洪水、地震、火灾、爆炸等），战争（不论是否宣战）、叛乱、破坏、动乱、社会敌视行为、正式罢工等等。合同双方的任何一方，由于不可抗力而影响合同义务执行时，则延迟合同义务的期限相当于不可抗力事件的时间，但是不能因为不可抗力的延迟而调整价格。</w:t>
      </w:r>
    </w:p>
    <w:p>
      <w:pPr>
        <w:pStyle w:val="8"/>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12</w:t>
      </w:r>
      <w:r>
        <w:rPr>
          <w:rFonts w:hint="eastAsia" w:asciiTheme="minorEastAsia" w:hAnsiTheme="minorEastAsia" w:eastAsiaTheme="minorEastAsia" w:cstheme="minorEastAsia"/>
          <w:sz w:val="28"/>
          <w:szCs w:val="28"/>
        </w:rPr>
        <w:t xml:space="preserve">.2 </w:t>
      </w:r>
      <w:r>
        <w:rPr>
          <w:rFonts w:hint="eastAsia" w:asciiTheme="minorEastAsia" w:hAnsiTheme="minorEastAsia" w:eastAsiaTheme="minorEastAsia" w:cstheme="minorEastAsia"/>
          <w:spacing w:val="-2"/>
          <w:sz w:val="28"/>
          <w:szCs w:val="28"/>
        </w:rPr>
        <w:t>受到不可抗力影响的一方应在不可抗力事件发生后，尽快将所发生的不可抗力事件的情况以传真和电报通知另一方审阅确认，受影响的一方同时应尽量设法缩小这种影响和由此而引起的延误，一旦不可抗力的影响消除后，应将此情况立即通知对方。</w:t>
      </w:r>
    </w:p>
    <w:p>
      <w:pPr>
        <w:pStyle w:val="8"/>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.3 如双方对不可抗力事件的影响估计将延续到一百二十天以上时，双方应通过友好协商解决本合同的执行问题（包括交货，试运行和验收等问题）。</w:t>
      </w:r>
    </w:p>
    <w:p>
      <w:pPr>
        <w:pStyle w:val="8"/>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.4 如果不可抗力使交货时间严重影响了交货期，买方有权终止合同，遗留问题由双方通过友好协商妥善解决。</w:t>
      </w:r>
    </w:p>
    <w:p>
      <w:pPr>
        <w:pStyle w:val="8"/>
        <w:shd w:val="clear" w:color="auto" w:fill="FFFFFF"/>
        <w:adjustRightInd w:val="0"/>
        <w:snapToGrid w:val="0"/>
        <w:spacing w:line="360" w:lineRule="auto"/>
        <w:ind w:firstLine="560" w:firstLineChars="200"/>
        <w:outlineLvl w:val="0"/>
        <w:rPr>
          <w:rFonts w:hint="eastAsia" w:asciiTheme="minorEastAsia" w:hAnsiTheme="minorEastAsia" w:eastAsiaTheme="minorEastAsia" w:cstheme="minorEastAsia"/>
          <w:sz w:val="28"/>
          <w:szCs w:val="28"/>
        </w:rPr>
      </w:pPr>
      <w:bookmarkStart w:id="168" w:name="_Toc228180158"/>
      <w:bookmarkStart w:id="169" w:name="_Toc28084"/>
      <w:r>
        <w:rPr>
          <w:rFonts w:hint="eastAsia" w:asciiTheme="minorEastAsia" w:hAnsiTheme="minorEastAsia" w:eastAsiaTheme="minorEastAsia" w:cstheme="minorEastAsia"/>
          <w:sz w:val="28"/>
          <w:szCs w:val="28"/>
          <w:lang w:val="en-US" w:eastAsia="zh-CN"/>
        </w:rPr>
        <w:t>13</w:t>
      </w:r>
      <w:r>
        <w:rPr>
          <w:rFonts w:hint="eastAsia" w:asciiTheme="minorEastAsia" w:hAnsiTheme="minorEastAsia" w:eastAsiaTheme="minorEastAsia" w:cstheme="minorEastAsia"/>
          <w:sz w:val="28"/>
          <w:szCs w:val="28"/>
        </w:rPr>
        <w:t>. 合同争议的解决</w:t>
      </w:r>
      <w:bookmarkEnd w:id="168"/>
      <w:bookmarkEnd w:id="169"/>
    </w:p>
    <w:p>
      <w:pPr>
        <w:pStyle w:val="8"/>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.1 本合同适用法律为中华人民共和国法律。</w:t>
      </w:r>
    </w:p>
    <w:p>
      <w:pPr>
        <w:pStyle w:val="8"/>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13</w:t>
      </w:r>
      <w:r>
        <w:rPr>
          <w:rFonts w:hint="eastAsia" w:asciiTheme="minorEastAsia" w:hAnsiTheme="minorEastAsia" w:eastAsiaTheme="minorEastAsia" w:cstheme="minorEastAsia"/>
          <w:sz w:val="28"/>
          <w:szCs w:val="28"/>
        </w:rPr>
        <w:t>.2 凡与本合同有关而引起的一切争议，双方应通过友好协商解决，如经协商仍不能达成协议时，任何一方均有权将争议提交人民法院审理。</w:t>
      </w:r>
    </w:p>
    <w:p>
      <w:pPr>
        <w:pStyle w:val="8"/>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13</w:t>
      </w:r>
      <w:r>
        <w:rPr>
          <w:rFonts w:hint="eastAsia" w:asciiTheme="minorEastAsia" w:hAnsiTheme="minorEastAsia" w:eastAsiaTheme="minorEastAsia" w:cstheme="minorEastAsia"/>
          <w:sz w:val="28"/>
          <w:szCs w:val="28"/>
        </w:rPr>
        <w:t>.3 双方约定的有审判管辖权的审判机关为：</w:t>
      </w:r>
    </w:p>
    <w:p>
      <w:pPr>
        <w:pStyle w:val="8"/>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.4 法院判决对双方都有约束力。</w:t>
      </w:r>
    </w:p>
    <w:p>
      <w:pPr>
        <w:pStyle w:val="8"/>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shd w:val="pct10" w:color="auto" w:fill="FFFFFF"/>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.5 上述过程发生的费用除另有规定外，应由败诉方承担。</w:t>
      </w:r>
    </w:p>
    <w:p>
      <w:pPr>
        <w:pStyle w:val="8"/>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.6 在法院判决期间，除提交法院判决的事项外，合同仍应继续履行。</w:t>
      </w:r>
    </w:p>
    <w:p>
      <w:pPr>
        <w:pStyle w:val="8"/>
        <w:shd w:val="clear" w:color="auto" w:fill="FFFFFF"/>
        <w:adjustRightInd w:val="0"/>
        <w:snapToGrid w:val="0"/>
        <w:spacing w:line="360" w:lineRule="auto"/>
        <w:ind w:firstLine="560" w:firstLineChars="200"/>
        <w:outlineLvl w:val="0"/>
        <w:rPr>
          <w:rFonts w:hint="eastAsia" w:asciiTheme="minorEastAsia" w:hAnsiTheme="minorEastAsia" w:eastAsiaTheme="minorEastAsia" w:cstheme="minorEastAsia"/>
          <w:sz w:val="28"/>
          <w:szCs w:val="28"/>
        </w:rPr>
      </w:pPr>
      <w:bookmarkStart w:id="170" w:name="_Toc22379"/>
      <w:bookmarkStart w:id="171" w:name="_Toc228180159"/>
      <w:r>
        <w:rPr>
          <w:rFonts w:hint="eastAsia" w:asciiTheme="minorEastAsia" w:hAnsiTheme="minorEastAsia" w:eastAsiaTheme="minorEastAsia" w:cstheme="minorEastAsia"/>
          <w:sz w:val="28"/>
          <w:szCs w:val="28"/>
          <w:lang w:val="en-US" w:eastAsia="zh-CN"/>
        </w:rPr>
        <w:t>14</w:t>
      </w:r>
      <w:r>
        <w:rPr>
          <w:rFonts w:hint="eastAsia" w:asciiTheme="minorEastAsia" w:hAnsiTheme="minorEastAsia" w:eastAsiaTheme="minorEastAsia" w:cstheme="minorEastAsia"/>
          <w:sz w:val="28"/>
          <w:szCs w:val="28"/>
        </w:rPr>
        <w:t>. 税费</w:t>
      </w:r>
      <w:bookmarkEnd w:id="170"/>
      <w:bookmarkEnd w:id="171"/>
    </w:p>
    <w:p>
      <w:pPr>
        <w:pStyle w:val="8"/>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.1 根据国家有关税务的法律、法规和规定，卖方应该交纳的与本合同有关的税费，由卖方承担。</w:t>
      </w:r>
    </w:p>
    <w:p>
      <w:pPr>
        <w:pStyle w:val="8"/>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.2 本合同价格为含税价。合同款的支付技术服务、资料查询及印刷、评审等全部费用。</w:t>
      </w:r>
    </w:p>
    <w:p>
      <w:pPr>
        <w:pStyle w:val="8"/>
        <w:shd w:val="clear" w:color="auto" w:fill="FFFFFF"/>
        <w:adjustRightInd w:val="0"/>
        <w:snapToGrid w:val="0"/>
        <w:spacing w:line="360" w:lineRule="auto"/>
        <w:ind w:firstLine="560" w:firstLineChars="200"/>
        <w:outlineLvl w:val="0"/>
        <w:rPr>
          <w:rFonts w:hint="eastAsia" w:asciiTheme="minorEastAsia" w:hAnsiTheme="minorEastAsia" w:eastAsiaTheme="minorEastAsia" w:cstheme="minorEastAsia"/>
          <w:sz w:val="28"/>
          <w:szCs w:val="28"/>
        </w:rPr>
      </w:pPr>
      <w:bookmarkStart w:id="172" w:name="_Toc228180160"/>
      <w:bookmarkStart w:id="173" w:name="_Toc6845"/>
      <w:r>
        <w:rPr>
          <w:rFonts w:hint="eastAsia" w:asciiTheme="minorEastAsia" w:hAnsiTheme="minorEastAsia" w:eastAsiaTheme="minorEastAsia" w:cstheme="minorEastAsia"/>
          <w:sz w:val="28"/>
          <w:szCs w:val="28"/>
          <w:lang w:val="en-US" w:eastAsia="zh-CN"/>
        </w:rPr>
        <w:t>15</w:t>
      </w:r>
      <w:r>
        <w:rPr>
          <w:rFonts w:hint="eastAsia" w:asciiTheme="minorEastAsia" w:hAnsiTheme="minorEastAsia" w:eastAsiaTheme="minorEastAsia" w:cstheme="minorEastAsia"/>
          <w:sz w:val="28"/>
          <w:szCs w:val="28"/>
        </w:rPr>
        <w:t>. 其它</w:t>
      </w:r>
      <w:bookmarkEnd w:id="172"/>
      <w:bookmarkEnd w:id="173"/>
    </w:p>
    <w:p>
      <w:pPr>
        <w:pStyle w:val="8"/>
        <w:shd w:val="clear" w:color="auto" w:fill="FFFFFF"/>
        <w:adjustRightInd w:val="0"/>
        <w:snapToGrid w:val="0"/>
        <w:spacing w:line="36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.1 本合同于年月日由买卖双方法人代表或授权代表在签字。本合同经双方法人或授权代表签字并加盖合同章后生效。</w:t>
      </w:r>
    </w:p>
    <w:p>
      <w:pPr>
        <w:pStyle w:val="8"/>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本合同有效期从合同生效之日起至合同双方责任和义务履行完毕之日货款结清时止。</w:t>
      </w:r>
    </w:p>
    <w:p>
      <w:pPr>
        <w:pStyle w:val="8"/>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15</w:t>
      </w:r>
      <w:r>
        <w:rPr>
          <w:rFonts w:hint="eastAsia" w:asciiTheme="minorEastAsia" w:hAnsiTheme="minorEastAsia" w:eastAsiaTheme="minorEastAsia" w:cstheme="minorEastAsia"/>
          <w:sz w:val="28"/>
          <w:szCs w:val="28"/>
        </w:rPr>
        <w:t xml:space="preserve">.2本合同一式 </w:t>
      </w:r>
      <w:r>
        <w:rPr>
          <w:rFonts w:hint="eastAsia" w:asciiTheme="minorEastAsia" w:hAnsiTheme="minorEastAsia" w:eastAsiaTheme="minorEastAsia" w:cstheme="minorEastAsia"/>
          <w:sz w:val="28"/>
          <w:szCs w:val="28"/>
          <w:u w:val="single"/>
        </w:rPr>
        <w:t>拾肆</w:t>
      </w:r>
      <w:r>
        <w:rPr>
          <w:rFonts w:hint="eastAsia" w:asciiTheme="minorEastAsia" w:hAnsiTheme="minorEastAsia" w:eastAsiaTheme="minorEastAsia" w:cstheme="minorEastAsia"/>
          <w:sz w:val="28"/>
          <w:szCs w:val="28"/>
        </w:rPr>
        <w:t xml:space="preserve"> 份,甲方</w:t>
      </w:r>
      <w:r>
        <w:rPr>
          <w:rFonts w:hint="eastAsia" w:asciiTheme="minorEastAsia" w:hAnsiTheme="minorEastAsia" w:eastAsiaTheme="minorEastAsia" w:cstheme="minorEastAsia"/>
          <w:sz w:val="28"/>
          <w:szCs w:val="28"/>
          <w:u w:val="single"/>
        </w:rPr>
        <w:t xml:space="preserve"> 柒 </w:t>
      </w:r>
      <w:r>
        <w:rPr>
          <w:rFonts w:hint="eastAsia" w:asciiTheme="minorEastAsia" w:hAnsiTheme="minorEastAsia" w:eastAsiaTheme="minorEastAsia" w:cstheme="minorEastAsia"/>
          <w:sz w:val="28"/>
          <w:szCs w:val="28"/>
        </w:rPr>
        <w:t>份,乙方</w:t>
      </w:r>
      <w:r>
        <w:rPr>
          <w:rFonts w:hint="eastAsia" w:asciiTheme="minorEastAsia" w:hAnsiTheme="minorEastAsia" w:eastAsiaTheme="minorEastAsia" w:cstheme="minorEastAsia"/>
          <w:sz w:val="28"/>
          <w:szCs w:val="28"/>
          <w:u w:val="single"/>
        </w:rPr>
        <w:t xml:space="preserve"> 柒 </w:t>
      </w:r>
      <w:r>
        <w:rPr>
          <w:rFonts w:hint="eastAsia" w:asciiTheme="minorEastAsia" w:hAnsiTheme="minorEastAsia" w:eastAsiaTheme="minorEastAsia" w:cstheme="minorEastAsia"/>
          <w:sz w:val="28"/>
          <w:szCs w:val="28"/>
        </w:rPr>
        <w:t>份。</w:t>
      </w:r>
    </w:p>
    <w:p>
      <w:pPr>
        <w:pStyle w:val="8"/>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15</w:t>
      </w:r>
      <w:r>
        <w:rPr>
          <w:rFonts w:hint="eastAsia" w:asciiTheme="minorEastAsia" w:hAnsiTheme="minorEastAsia" w:eastAsiaTheme="minorEastAsia" w:cstheme="minorEastAsia"/>
          <w:sz w:val="28"/>
          <w:szCs w:val="28"/>
        </w:rPr>
        <w:t>.3 双方任何一方未取得另一方事先同意前，不得将本合同项下的部分或全部权利或义务转让给第三方。卖方未经买方同意不得将本合同范围内的设备／部件进行分包（包括主要部件外购）。卖方需分包的内容和比例应在投标文件中予以明确，并征得买方同意，否则不得分包。</w:t>
      </w:r>
    </w:p>
    <w:p>
      <w:pPr>
        <w:pStyle w:val="8"/>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卖方对所有分包设备、部件承担本合同项下的全部责任。</w:t>
      </w:r>
    </w:p>
    <w:p>
      <w:pPr>
        <w:pStyle w:val="8"/>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.4 卖方在取得买方同意后所选定的分包商应被视为同卖方一样为履行本合同对买方承担责任。其过失疏忽或其它任何违反合同的行为，应由卖方直接承担。</w:t>
      </w:r>
    </w:p>
    <w:p>
      <w:pPr>
        <w:pStyle w:val="8"/>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.5 本合同项下双方相互提供的文件、资料、双方除为履行合同的目的外，均不得泄漏给与项目无关的第三方。</w:t>
      </w:r>
    </w:p>
    <w:p>
      <w:pPr>
        <w:pStyle w:val="8"/>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.6 本合同明确了双方全部的权利和义务。任何一方不享有或承担合同规定以外的权利和义务。</w:t>
      </w:r>
    </w:p>
    <w:p>
      <w:pPr>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15</w:t>
      </w:r>
      <w:r>
        <w:rPr>
          <w:rFonts w:hint="eastAsia" w:asciiTheme="minorEastAsia" w:hAnsiTheme="minorEastAsia" w:eastAsiaTheme="minorEastAsia" w:cstheme="minorEastAsia"/>
          <w:sz w:val="28"/>
          <w:szCs w:val="28"/>
        </w:rPr>
        <w:t>.7 买、卖双方签订的《技术协议》（如果有的话）、卖方的评标答疑记录、卖方的《投标文件》、《招标文件》及其澄清函、变更函（或通知等）均为本合同的补充文件，是与本合同不可分割的一部分，与本合同同等具有法律效力。</w:t>
      </w:r>
    </w:p>
    <w:p>
      <w:pPr>
        <w:shd w:val="clear" w:color="auto" w:fill="FFFFFF"/>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15</w:t>
      </w:r>
      <w:r>
        <w:rPr>
          <w:rFonts w:hint="eastAsia" w:asciiTheme="minorEastAsia" w:hAnsiTheme="minorEastAsia" w:eastAsiaTheme="minorEastAsia" w:cstheme="minorEastAsia"/>
          <w:sz w:val="28"/>
          <w:szCs w:val="28"/>
        </w:rPr>
        <w:t>.8 本合同未尽事宜双方协商解决。协商未果，因合同及合同有关事项发生的争议，按下列第（2）种方式解决：</w:t>
      </w:r>
    </w:p>
    <w:p>
      <w:pPr>
        <w:shd w:val="clear" w:color="auto" w:fill="FFFFFF"/>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（1）向合同签订地仲裁委员会申请仲裁；</w:t>
      </w:r>
    </w:p>
    <w:p>
      <w:pPr>
        <w:shd w:val="clear" w:color="auto" w:fill="FFFFFF"/>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（2）向合同签订地人民法院起诉。</w:t>
      </w:r>
    </w:p>
    <w:p>
      <w:pPr>
        <w:shd w:val="clear" w:color="auto" w:fill="FFFFFF"/>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（签署页）</w:t>
      </w:r>
    </w:p>
    <w:p>
      <w:pPr>
        <w:shd w:val="clear" w:color="auto" w:fill="FFFFFF"/>
        <w:spacing w:line="360" w:lineRule="auto"/>
        <w:ind w:firstLine="560" w:firstLineChars="20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甲方：（盖公章）                          乙方：（盖公章）</w:t>
      </w:r>
    </w:p>
    <w:p>
      <w:pPr>
        <w:shd w:val="clear" w:color="auto" w:fill="FFFFFF"/>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法定代表人或授权人：（签字、盖章）        法定代表人：（签字、盖章）</w:t>
      </w:r>
    </w:p>
    <w:p>
      <w:pPr>
        <w:shd w:val="clear" w:color="auto" w:fill="FFFFFF"/>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日期：  年 月 日</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日期：  年 月 日</w:t>
      </w:r>
    </w:p>
    <w:p>
      <w:pPr>
        <w:shd w:val="clear" w:color="auto" w:fill="FFFFFF"/>
        <w:spacing w:line="360" w:lineRule="auto"/>
        <w:ind w:firstLine="560" w:firstLineChars="200"/>
        <w:rPr>
          <w:rFonts w:hint="eastAsia" w:asciiTheme="minorEastAsia" w:hAnsiTheme="minorEastAsia" w:eastAsiaTheme="minorEastAsia" w:cstheme="minorEastAsia"/>
          <w:sz w:val="28"/>
          <w:szCs w:val="28"/>
        </w:rPr>
      </w:pPr>
    </w:p>
    <w:p>
      <w:pPr>
        <w:pStyle w:val="3"/>
        <w:spacing w:after="100" w:afterAutospacing="1" w:line="400" w:lineRule="atLeast"/>
        <w:ind w:left="0" w:firstLine="0"/>
        <w:jc w:val="both"/>
        <w:rPr>
          <w:rFonts w:hint="eastAsia" w:asciiTheme="minorEastAsia" w:hAnsiTheme="minorEastAsia" w:eastAsiaTheme="minorEastAsia" w:cstheme="minorEastAsia"/>
          <w:sz w:val="28"/>
          <w:szCs w:val="28"/>
        </w:rPr>
      </w:pPr>
      <w:bookmarkStart w:id="174" w:name="_Toc12532083"/>
      <w:r>
        <w:rPr>
          <w:rFonts w:hint="eastAsia" w:asciiTheme="minorEastAsia" w:hAnsiTheme="minorEastAsia" w:eastAsiaTheme="minorEastAsia" w:cstheme="minorEastAsia"/>
          <w:sz w:val="28"/>
          <w:szCs w:val="28"/>
        </w:rPr>
        <w:br w:type="page"/>
      </w:r>
    </w:p>
    <w:p>
      <w:pPr>
        <w:pStyle w:val="3"/>
        <w:spacing w:after="100" w:afterAutospacing="1" w:line="400" w:lineRule="atLeast"/>
        <w:ind w:left="0" w:firstLine="0"/>
        <w:jc w:val="center"/>
        <w:rPr>
          <w:rFonts w:hint="eastAsia" w:asciiTheme="minorEastAsia" w:hAnsiTheme="minorEastAsia" w:eastAsiaTheme="minorEastAsia" w:cstheme="minorEastAsia"/>
          <w:sz w:val="36"/>
          <w:szCs w:val="36"/>
        </w:rPr>
      </w:pPr>
      <w:bookmarkStart w:id="175" w:name="_Toc5960_WPSOffice_Level1"/>
      <w:bookmarkStart w:id="176" w:name="_Toc27477"/>
      <w:r>
        <w:rPr>
          <w:rFonts w:hint="eastAsia" w:asciiTheme="minorEastAsia" w:hAnsiTheme="minorEastAsia" w:eastAsiaTheme="minorEastAsia" w:cstheme="minorEastAsia"/>
          <w:sz w:val="36"/>
          <w:szCs w:val="36"/>
        </w:rPr>
        <w:t>第五部分　范本格式</w:t>
      </w:r>
      <w:bookmarkEnd w:id="140"/>
      <w:bookmarkEnd w:id="141"/>
      <w:bookmarkEnd w:id="142"/>
      <w:bookmarkEnd w:id="174"/>
      <w:bookmarkEnd w:id="175"/>
      <w:bookmarkEnd w:id="176"/>
    </w:p>
    <w:p>
      <w:pPr>
        <w:pStyle w:val="8"/>
        <w:spacing w:line="400" w:lineRule="atLeast"/>
        <w:jc w:val="right"/>
        <w:rPr>
          <w:rFonts w:hint="eastAsia" w:asciiTheme="minorEastAsia" w:hAnsiTheme="minorEastAsia" w:eastAsiaTheme="minorEastAsia" w:cstheme="minorEastAsia"/>
          <w:b/>
          <w:bCs/>
          <w:kern w:val="0"/>
          <w:sz w:val="36"/>
          <w:szCs w:val="36"/>
        </w:rPr>
      </w:pPr>
    </w:p>
    <w:p>
      <w:pPr>
        <w:pStyle w:val="8"/>
        <w:spacing w:line="400" w:lineRule="atLeast"/>
        <w:jc w:val="right"/>
        <w:rPr>
          <w:rFonts w:hint="eastAsia" w:asciiTheme="minorEastAsia" w:hAnsiTheme="minorEastAsia" w:eastAsiaTheme="minorEastAsia" w:cstheme="minorEastAsia"/>
          <w:b/>
          <w:bCs/>
          <w:kern w:val="0"/>
          <w:sz w:val="36"/>
          <w:szCs w:val="36"/>
        </w:rPr>
      </w:pPr>
    </w:p>
    <w:p>
      <w:pPr>
        <w:pStyle w:val="8"/>
        <w:spacing w:line="400" w:lineRule="atLeast"/>
        <w:jc w:val="right"/>
        <w:rPr>
          <w:rFonts w:hint="eastAsia" w:asciiTheme="minorEastAsia" w:hAnsiTheme="minorEastAsia" w:eastAsiaTheme="minorEastAsia" w:cstheme="minorEastAsia"/>
          <w:b/>
          <w:sz w:val="36"/>
          <w:szCs w:val="36"/>
        </w:rPr>
      </w:pPr>
      <w:bookmarkStart w:id="177" w:name="_Toc6251_WPSOffice_Level1"/>
      <w:bookmarkStart w:id="178" w:name="_Toc25613_WPSOffice_Level1"/>
      <w:r>
        <w:rPr>
          <w:rFonts w:hint="eastAsia" w:asciiTheme="minorEastAsia" w:hAnsiTheme="minorEastAsia" w:eastAsiaTheme="minorEastAsia" w:cstheme="minorEastAsia"/>
          <w:b/>
          <w:bCs/>
          <w:kern w:val="0"/>
          <w:sz w:val="36"/>
          <w:szCs w:val="36"/>
        </w:rPr>
        <w:t>正本/副本</w:t>
      </w:r>
      <w:bookmarkEnd w:id="177"/>
      <w:bookmarkEnd w:id="178"/>
    </w:p>
    <w:p>
      <w:pPr>
        <w:pStyle w:val="8"/>
        <w:spacing w:line="400" w:lineRule="atLeast"/>
        <w:jc w:val="center"/>
        <w:rPr>
          <w:rFonts w:hint="eastAsia" w:asciiTheme="minorEastAsia" w:hAnsiTheme="minorEastAsia" w:eastAsiaTheme="minorEastAsia" w:cstheme="minorEastAsia"/>
          <w:b/>
          <w:sz w:val="36"/>
          <w:szCs w:val="36"/>
        </w:rPr>
      </w:pPr>
    </w:p>
    <w:p>
      <w:pPr>
        <w:pStyle w:val="8"/>
        <w:spacing w:line="400" w:lineRule="atLeast"/>
        <w:jc w:val="center"/>
        <w:rPr>
          <w:rFonts w:hint="eastAsia" w:asciiTheme="minorEastAsia" w:hAnsiTheme="minorEastAsia" w:eastAsiaTheme="minorEastAsia" w:cstheme="minorEastAsia"/>
          <w:b/>
          <w:sz w:val="36"/>
          <w:szCs w:val="36"/>
        </w:rPr>
      </w:pPr>
    </w:p>
    <w:p>
      <w:pPr>
        <w:pStyle w:val="8"/>
        <w:spacing w:line="400" w:lineRule="atLeast"/>
        <w:jc w:val="center"/>
        <w:rPr>
          <w:rFonts w:hint="eastAsia" w:asciiTheme="minorEastAsia" w:hAnsiTheme="minorEastAsia" w:eastAsiaTheme="minorEastAsia" w:cstheme="minorEastAsia"/>
          <w:b/>
          <w:sz w:val="36"/>
          <w:szCs w:val="36"/>
        </w:rPr>
      </w:pPr>
      <w:bookmarkStart w:id="179" w:name="_Toc32690_WPSOffice_Level1"/>
      <w:bookmarkStart w:id="180" w:name="_Toc7267_WPSOffice_Level1"/>
      <w:r>
        <w:rPr>
          <w:rFonts w:hint="eastAsia" w:asciiTheme="minorEastAsia" w:hAnsiTheme="minorEastAsia" w:eastAsiaTheme="minorEastAsia" w:cstheme="minorEastAsia"/>
          <w:b/>
          <w:sz w:val="36"/>
          <w:szCs w:val="36"/>
        </w:rPr>
        <w:t>磋商响应文件</w:t>
      </w:r>
      <w:bookmarkEnd w:id="179"/>
      <w:bookmarkEnd w:id="180"/>
    </w:p>
    <w:p>
      <w:pPr>
        <w:pStyle w:val="8"/>
        <w:spacing w:line="400" w:lineRule="atLeast"/>
        <w:jc w:val="center"/>
        <w:rPr>
          <w:rFonts w:hint="eastAsia" w:asciiTheme="minorEastAsia" w:hAnsiTheme="minorEastAsia" w:eastAsiaTheme="minorEastAsia" w:cstheme="minorEastAsia"/>
          <w:b/>
          <w:sz w:val="36"/>
          <w:szCs w:val="36"/>
        </w:rPr>
      </w:pPr>
    </w:p>
    <w:p>
      <w:pPr>
        <w:pStyle w:val="8"/>
        <w:spacing w:line="400" w:lineRule="atLeast"/>
        <w:rPr>
          <w:rFonts w:hint="eastAsia" w:asciiTheme="minorEastAsia" w:hAnsiTheme="minorEastAsia" w:eastAsiaTheme="minorEastAsia" w:cstheme="minorEastAsia"/>
          <w:b/>
          <w:sz w:val="36"/>
          <w:szCs w:val="36"/>
        </w:rPr>
      </w:pPr>
    </w:p>
    <w:p>
      <w:pPr>
        <w:pStyle w:val="8"/>
        <w:spacing w:line="400" w:lineRule="atLeast"/>
        <w:rPr>
          <w:rFonts w:hint="eastAsia" w:asciiTheme="minorEastAsia" w:hAnsiTheme="minorEastAsia" w:eastAsiaTheme="minorEastAsia" w:cstheme="minorEastAsia"/>
          <w:b/>
          <w:sz w:val="36"/>
          <w:szCs w:val="36"/>
        </w:rPr>
      </w:pPr>
    </w:p>
    <w:p>
      <w:pPr>
        <w:pStyle w:val="8"/>
        <w:spacing w:line="400" w:lineRule="atLeast"/>
        <w:rPr>
          <w:rFonts w:hint="eastAsia" w:asciiTheme="minorEastAsia" w:hAnsiTheme="minorEastAsia" w:eastAsiaTheme="minorEastAsia" w:cstheme="minorEastAsia"/>
          <w:b/>
          <w:sz w:val="36"/>
          <w:szCs w:val="36"/>
        </w:rPr>
      </w:pPr>
    </w:p>
    <w:p>
      <w:pPr>
        <w:pStyle w:val="8"/>
        <w:spacing w:line="400" w:lineRule="atLeast"/>
        <w:rPr>
          <w:rFonts w:hint="eastAsia" w:asciiTheme="minorEastAsia" w:hAnsiTheme="minorEastAsia" w:eastAsiaTheme="minorEastAsia" w:cstheme="minorEastAsia"/>
          <w:b/>
          <w:sz w:val="36"/>
          <w:szCs w:val="36"/>
        </w:rPr>
      </w:pPr>
    </w:p>
    <w:p>
      <w:pPr>
        <w:pStyle w:val="8"/>
        <w:spacing w:line="480" w:lineRule="auto"/>
        <w:ind w:firstLine="723" w:firstLineChars="200"/>
        <w:rPr>
          <w:rFonts w:hint="eastAsia" w:asciiTheme="minorEastAsia" w:hAnsiTheme="minorEastAsia" w:eastAsiaTheme="minorEastAsia" w:cstheme="minorEastAsia"/>
          <w:b/>
          <w:sz w:val="36"/>
          <w:szCs w:val="36"/>
        </w:rPr>
      </w:pPr>
      <w:bookmarkStart w:id="181" w:name="_Toc9442_WPSOffice_Level1"/>
      <w:bookmarkStart w:id="182" w:name="_Toc6603_WPSOffice_Level1"/>
      <w:r>
        <w:rPr>
          <w:rFonts w:hint="eastAsia" w:asciiTheme="minorEastAsia" w:hAnsiTheme="minorEastAsia" w:eastAsiaTheme="minorEastAsia" w:cstheme="minorEastAsia"/>
          <w:b/>
          <w:sz w:val="36"/>
          <w:szCs w:val="36"/>
        </w:rPr>
        <w:t>投标单位：</w:t>
      </w:r>
      <w:bookmarkEnd w:id="181"/>
      <w:bookmarkEnd w:id="182"/>
    </w:p>
    <w:p>
      <w:pPr>
        <w:pStyle w:val="8"/>
        <w:spacing w:line="480" w:lineRule="auto"/>
        <w:ind w:firstLine="723" w:firstLineChars="200"/>
        <w:rPr>
          <w:rFonts w:hint="eastAsia" w:asciiTheme="minorEastAsia" w:hAnsiTheme="minorEastAsia" w:eastAsiaTheme="minorEastAsia" w:cstheme="minorEastAsia"/>
          <w:b/>
          <w:sz w:val="36"/>
          <w:szCs w:val="36"/>
          <w:lang w:eastAsia="zh-CN"/>
        </w:rPr>
      </w:pPr>
      <w:bookmarkStart w:id="183" w:name="_Toc3726_WPSOffice_Level1"/>
      <w:bookmarkStart w:id="184" w:name="_Toc13092_WPSOffice_Level1"/>
      <w:r>
        <w:rPr>
          <w:rFonts w:hint="eastAsia" w:asciiTheme="minorEastAsia" w:hAnsiTheme="minorEastAsia" w:eastAsiaTheme="minorEastAsia" w:cstheme="minorEastAsia"/>
          <w:b/>
          <w:sz w:val="36"/>
          <w:szCs w:val="36"/>
        </w:rPr>
        <w:t>项目编号：</w:t>
      </w:r>
      <w:bookmarkEnd w:id="183"/>
      <w:bookmarkEnd w:id="184"/>
      <w:r>
        <w:rPr>
          <w:rFonts w:hint="eastAsia" w:asciiTheme="minorEastAsia" w:hAnsiTheme="minorEastAsia" w:eastAsiaTheme="minorEastAsia" w:cstheme="minorEastAsia"/>
          <w:b/>
          <w:sz w:val="36"/>
          <w:szCs w:val="36"/>
          <w:lang w:eastAsia="zh-CN"/>
        </w:rPr>
        <w:t>HCRHCS2022-010</w:t>
      </w:r>
    </w:p>
    <w:p>
      <w:pPr>
        <w:pStyle w:val="8"/>
        <w:spacing w:line="480" w:lineRule="auto"/>
        <w:ind w:left="223" w:leftChars="106" w:firstLine="531" w:firstLineChars="147"/>
        <w:rPr>
          <w:rFonts w:hint="eastAsia" w:asciiTheme="minorEastAsia" w:hAnsiTheme="minorEastAsia" w:eastAsiaTheme="minorEastAsia" w:cstheme="minorEastAsia"/>
          <w:b/>
          <w:sz w:val="36"/>
          <w:szCs w:val="36"/>
          <w:lang w:eastAsia="zh-CN"/>
        </w:rPr>
      </w:pPr>
      <w:bookmarkStart w:id="185" w:name="_Toc27103_WPSOffice_Level1"/>
      <w:bookmarkStart w:id="186" w:name="_Toc16639_WPSOffice_Level1"/>
      <w:r>
        <w:rPr>
          <w:rFonts w:hint="eastAsia" w:asciiTheme="minorEastAsia" w:hAnsiTheme="minorEastAsia" w:eastAsiaTheme="minorEastAsia" w:cstheme="minorEastAsia"/>
          <w:b/>
          <w:sz w:val="36"/>
          <w:szCs w:val="36"/>
        </w:rPr>
        <w:t>项目名称：</w:t>
      </w:r>
      <w:bookmarkEnd w:id="185"/>
      <w:bookmarkEnd w:id="186"/>
      <w:r>
        <w:rPr>
          <w:rFonts w:hint="eastAsia" w:asciiTheme="minorEastAsia" w:hAnsiTheme="minorEastAsia" w:eastAsiaTheme="minorEastAsia" w:cstheme="minorEastAsia"/>
          <w:b/>
          <w:sz w:val="36"/>
          <w:szCs w:val="36"/>
          <w:lang w:eastAsia="zh-CN"/>
        </w:rPr>
        <w:t>2022年博州森林火灾高风险区综合治理工程建设项目实施方案（代初步设计）</w:t>
      </w:r>
    </w:p>
    <w:p>
      <w:pPr>
        <w:pStyle w:val="8"/>
        <w:spacing w:line="480" w:lineRule="auto"/>
        <w:ind w:firstLine="708" w:firstLineChars="196"/>
        <w:rPr>
          <w:rFonts w:hint="eastAsia" w:asciiTheme="minorEastAsia" w:hAnsiTheme="minorEastAsia" w:eastAsiaTheme="minorEastAsia" w:cstheme="minorEastAsia"/>
          <w:b/>
          <w:sz w:val="36"/>
          <w:szCs w:val="36"/>
          <w:lang w:eastAsia="zh-CN"/>
        </w:rPr>
      </w:pPr>
      <w:bookmarkStart w:id="187" w:name="_Toc12416_WPSOffice_Level1"/>
      <w:bookmarkStart w:id="188" w:name="_Toc20551_WPSOffice_Level1"/>
      <w:r>
        <w:rPr>
          <w:rFonts w:hint="eastAsia" w:asciiTheme="minorEastAsia" w:hAnsiTheme="minorEastAsia" w:eastAsiaTheme="minorEastAsia" w:cstheme="minorEastAsia"/>
          <w:b/>
          <w:sz w:val="36"/>
          <w:szCs w:val="36"/>
        </w:rPr>
        <w:t>委托单位：</w:t>
      </w:r>
      <w:bookmarkEnd w:id="187"/>
      <w:bookmarkEnd w:id="188"/>
      <w:r>
        <w:rPr>
          <w:rFonts w:hint="eastAsia" w:asciiTheme="minorEastAsia" w:hAnsiTheme="minorEastAsia" w:eastAsiaTheme="minorEastAsia" w:cstheme="minorEastAsia"/>
          <w:b/>
          <w:sz w:val="36"/>
          <w:szCs w:val="36"/>
          <w:lang w:eastAsia="zh-CN"/>
        </w:rPr>
        <w:t>博尔塔拉蒙古自治州林业和草原局</w:t>
      </w:r>
    </w:p>
    <w:p>
      <w:pPr>
        <w:spacing w:line="420" w:lineRule="exact"/>
        <w:ind w:firstLine="720" w:firstLineChars="200"/>
        <w:jc w:val="lef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36"/>
          <w:szCs w:val="36"/>
        </w:rPr>
        <w:br w:type="page"/>
      </w:r>
      <w:bookmarkStart w:id="189" w:name="_Toc1144_WPSOffice_Level1"/>
      <w:bookmarkStart w:id="190" w:name="_Toc3566_WPSOffice_Level1"/>
      <w:bookmarkStart w:id="191" w:name="_Toc493877634"/>
      <w:r>
        <w:rPr>
          <w:rFonts w:hint="eastAsia" w:asciiTheme="minorEastAsia" w:hAnsiTheme="minorEastAsia" w:eastAsiaTheme="minorEastAsia" w:cstheme="minorEastAsia"/>
          <w:b/>
          <w:sz w:val="28"/>
          <w:szCs w:val="28"/>
        </w:rPr>
        <w:t>磋商响应文件内容：</w:t>
      </w:r>
      <w:bookmarkEnd w:id="189"/>
      <w:bookmarkEnd w:id="190"/>
    </w:p>
    <w:p>
      <w:pPr>
        <w:numPr>
          <w:ilvl w:val="0"/>
          <w:numId w:val="0"/>
        </w:numPr>
        <w:tabs>
          <w:tab w:val="left" w:pos="1146"/>
        </w:tabs>
        <w:spacing w:line="420" w:lineRule="exact"/>
        <w:ind w:leftChars="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lang w:val="en-US" w:eastAsia="zh-CN"/>
        </w:rPr>
        <w:t>1、</w:t>
      </w:r>
      <w:r>
        <w:rPr>
          <w:rFonts w:hint="eastAsia" w:asciiTheme="minorEastAsia" w:hAnsiTheme="minorEastAsia" w:eastAsiaTheme="minorEastAsia" w:cstheme="minorEastAsia"/>
          <w:bCs/>
          <w:sz w:val="28"/>
          <w:szCs w:val="28"/>
        </w:rPr>
        <w:t>投标人企业简介[包括营业执照副本复印件、组织机构代码证副本复印件、税务登记证副本复印件（三证合一仅需提供三证合一的营业执照副本复印件）；</w:t>
      </w:r>
    </w:p>
    <w:p>
      <w:pPr>
        <w:numPr>
          <w:ilvl w:val="0"/>
          <w:numId w:val="0"/>
        </w:numPr>
        <w:tabs>
          <w:tab w:val="left" w:pos="1146"/>
        </w:tabs>
        <w:spacing w:line="420" w:lineRule="exact"/>
        <w:ind w:leftChars="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lang w:val="en-US" w:eastAsia="zh-CN"/>
        </w:rPr>
        <w:t>2、</w:t>
      </w:r>
      <w:r>
        <w:rPr>
          <w:rFonts w:hint="eastAsia" w:asciiTheme="minorEastAsia" w:hAnsiTheme="minorEastAsia" w:eastAsiaTheme="minorEastAsia" w:cstheme="minorEastAsia"/>
          <w:bCs/>
          <w:sz w:val="28"/>
          <w:szCs w:val="28"/>
        </w:rPr>
        <w:t>法定代表人授权委托书</w:t>
      </w:r>
    </w:p>
    <w:p>
      <w:pPr>
        <w:numPr>
          <w:ilvl w:val="0"/>
          <w:numId w:val="0"/>
        </w:numPr>
        <w:tabs>
          <w:tab w:val="left" w:pos="1146"/>
        </w:tabs>
        <w:spacing w:line="420" w:lineRule="exact"/>
        <w:ind w:leftChars="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lang w:val="en-US" w:eastAsia="zh-CN"/>
        </w:rPr>
        <w:t>3、</w:t>
      </w:r>
      <w:r>
        <w:rPr>
          <w:rFonts w:hint="eastAsia" w:asciiTheme="minorEastAsia" w:hAnsiTheme="minorEastAsia" w:eastAsiaTheme="minorEastAsia" w:cstheme="minorEastAsia"/>
          <w:bCs/>
          <w:sz w:val="28"/>
          <w:szCs w:val="28"/>
        </w:rPr>
        <w:t>开标一览表</w:t>
      </w:r>
    </w:p>
    <w:p>
      <w:pPr>
        <w:numPr>
          <w:ilvl w:val="0"/>
          <w:numId w:val="0"/>
        </w:numPr>
        <w:tabs>
          <w:tab w:val="left" w:pos="1146"/>
        </w:tabs>
        <w:spacing w:line="420" w:lineRule="exact"/>
        <w:ind w:leftChars="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lang w:val="en-US" w:eastAsia="zh-CN"/>
        </w:rPr>
        <w:t>4、</w:t>
      </w:r>
      <w:r>
        <w:rPr>
          <w:rFonts w:hint="eastAsia" w:asciiTheme="minorEastAsia" w:hAnsiTheme="minorEastAsia" w:eastAsiaTheme="minorEastAsia" w:cstheme="minorEastAsia"/>
          <w:bCs/>
          <w:sz w:val="28"/>
          <w:szCs w:val="28"/>
        </w:rPr>
        <w:t>分项报价表</w:t>
      </w:r>
    </w:p>
    <w:p>
      <w:pPr>
        <w:numPr>
          <w:ilvl w:val="0"/>
          <w:numId w:val="0"/>
        </w:numPr>
        <w:tabs>
          <w:tab w:val="left" w:pos="1146"/>
        </w:tabs>
        <w:spacing w:line="420" w:lineRule="exact"/>
        <w:ind w:leftChars="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lang w:val="en-US" w:eastAsia="zh-CN"/>
        </w:rPr>
        <w:t>5、</w:t>
      </w:r>
      <w:r>
        <w:rPr>
          <w:rFonts w:hint="eastAsia" w:asciiTheme="minorEastAsia" w:hAnsiTheme="minorEastAsia" w:eastAsiaTheme="minorEastAsia" w:cstheme="minorEastAsia"/>
          <w:bCs/>
          <w:sz w:val="28"/>
          <w:szCs w:val="28"/>
        </w:rPr>
        <w:t>承诺</w:t>
      </w:r>
      <w:r>
        <w:rPr>
          <w:rFonts w:hint="eastAsia" w:asciiTheme="minorEastAsia" w:hAnsiTheme="minorEastAsia" w:eastAsiaTheme="minorEastAsia" w:cstheme="minorEastAsia"/>
          <w:bCs/>
          <w:sz w:val="28"/>
          <w:szCs w:val="28"/>
          <w:lang w:eastAsia="zh-CN"/>
        </w:rPr>
        <w:t>书</w:t>
      </w:r>
    </w:p>
    <w:p>
      <w:pPr>
        <w:numPr>
          <w:ilvl w:val="0"/>
          <w:numId w:val="0"/>
        </w:numPr>
        <w:tabs>
          <w:tab w:val="left" w:pos="1146"/>
        </w:tabs>
        <w:spacing w:line="420" w:lineRule="exact"/>
        <w:ind w:leftChars="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lang w:val="en-US" w:eastAsia="zh-CN"/>
        </w:rPr>
        <w:t>6、</w:t>
      </w:r>
      <w:r>
        <w:rPr>
          <w:rFonts w:hint="eastAsia" w:asciiTheme="minorEastAsia" w:hAnsiTheme="minorEastAsia" w:eastAsiaTheme="minorEastAsia" w:cstheme="minorEastAsia"/>
          <w:bCs/>
          <w:sz w:val="28"/>
          <w:szCs w:val="28"/>
        </w:rPr>
        <w:t>企业实力（包括规模、综合实力、业绩等）；</w:t>
      </w:r>
    </w:p>
    <w:p>
      <w:pPr>
        <w:numPr>
          <w:ilvl w:val="0"/>
          <w:numId w:val="0"/>
        </w:numPr>
        <w:tabs>
          <w:tab w:val="left" w:pos="1146"/>
        </w:tabs>
        <w:spacing w:line="420" w:lineRule="exact"/>
        <w:ind w:leftChars="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lang w:val="en-US" w:eastAsia="zh-CN"/>
        </w:rPr>
        <w:t>7、</w:t>
      </w:r>
      <w:r>
        <w:rPr>
          <w:rFonts w:hint="eastAsia" w:asciiTheme="minorEastAsia" w:hAnsiTheme="minorEastAsia" w:eastAsiaTheme="minorEastAsia" w:cstheme="minorEastAsia"/>
          <w:bCs/>
          <w:sz w:val="28"/>
          <w:szCs w:val="28"/>
        </w:rPr>
        <w:t>类似业绩；</w:t>
      </w:r>
    </w:p>
    <w:p>
      <w:pPr>
        <w:numPr>
          <w:ilvl w:val="0"/>
          <w:numId w:val="0"/>
        </w:numPr>
        <w:tabs>
          <w:tab w:val="left" w:pos="1146"/>
        </w:tabs>
        <w:spacing w:line="420" w:lineRule="exact"/>
        <w:ind w:leftChars="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lang w:val="en-US" w:eastAsia="zh-CN"/>
        </w:rPr>
        <w:t>8、</w:t>
      </w:r>
      <w:r>
        <w:rPr>
          <w:rFonts w:hint="eastAsia" w:asciiTheme="minorEastAsia" w:hAnsiTheme="minorEastAsia" w:eastAsiaTheme="minorEastAsia" w:cstheme="minorEastAsia"/>
          <w:bCs/>
          <w:sz w:val="28"/>
          <w:szCs w:val="28"/>
        </w:rPr>
        <w:t>所投货物的相关技术/证明资料；</w:t>
      </w:r>
    </w:p>
    <w:p>
      <w:pPr>
        <w:numPr>
          <w:ilvl w:val="0"/>
          <w:numId w:val="0"/>
        </w:numPr>
        <w:tabs>
          <w:tab w:val="left" w:pos="1146"/>
        </w:tabs>
        <w:spacing w:line="420" w:lineRule="exact"/>
        <w:ind w:leftChars="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lang w:val="en-US" w:eastAsia="zh-CN"/>
        </w:rPr>
        <w:t>9、</w:t>
      </w:r>
      <w:r>
        <w:rPr>
          <w:rFonts w:hint="eastAsia" w:asciiTheme="minorEastAsia" w:hAnsiTheme="minorEastAsia" w:eastAsiaTheme="minorEastAsia" w:cstheme="minorEastAsia"/>
          <w:bCs/>
          <w:sz w:val="28"/>
          <w:szCs w:val="28"/>
        </w:rPr>
        <w:t>投标人工期承诺、售后服务承诺</w:t>
      </w:r>
      <w:r>
        <w:rPr>
          <w:rFonts w:hint="eastAsia" w:asciiTheme="minorEastAsia" w:hAnsiTheme="minorEastAsia" w:eastAsiaTheme="minorEastAsia" w:cstheme="minorEastAsia"/>
          <w:bCs/>
          <w:sz w:val="28"/>
          <w:szCs w:val="28"/>
          <w:lang w:eastAsia="zh-CN"/>
        </w:rPr>
        <w:t>、供货方案、培训方案</w:t>
      </w:r>
      <w:r>
        <w:rPr>
          <w:rFonts w:hint="eastAsia" w:asciiTheme="minorEastAsia" w:hAnsiTheme="minorEastAsia" w:eastAsiaTheme="minorEastAsia" w:cstheme="minorEastAsia"/>
          <w:bCs/>
          <w:sz w:val="28"/>
          <w:szCs w:val="28"/>
        </w:rPr>
        <w:t>等；</w:t>
      </w:r>
    </w:p>
    <w:p>
      <w:pPr>
        <w:numPr>
          <w:ilvl w:val="0"/>
          <w:numId w:val="0"/>
        </w:numPr>
        <w:tabs>
          <w:tab w:val="left" w:pos="1146"/>
        </w:tabs>
        <w:spacing w:line="420" w:lineRule="exact"/>
        <w:ind w:leftChars="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lang w:val="en-US" w:eastAsia="zh-CN"/>
        </w:rPr>
        <w:t>10、</w:t>
      </w:r>
      <w:r>
        <w:rPr>
          <w:rFonts w:hint="eastAsia" w:asciiTheme="minorEastAsia" w:hAnsiTheme="minorEastAsia" w:eastAsiaTheme="minorEastAsia" w:cstheme="minorEastAsia"/>
          <w:bCs/>
          <w:sz w:val="28"/>
          <w:szCs w:val="28"/>
          <w:lang w:eastAsia="zh-CN"/>
        </w:rPr>
        <w:t>售后服务人员</w:t>
      </w:r>
      <w:r>
        <w:rPr>
          <w:rFonts w:hint="eastAsia" w:asciiTheme="minorEastAsia" w:hAnsiTheme="minorEastAsia" w:eastAsiaTheme="minorEastAsia" w:cstheme="minorEastAsia"/>
          <w:bCs/>
          <w:sz w:val="28"/>
          <w:szCs w:val="28"/>
        </w:rPr>
        <w:t>表</w:t>
      </w:r>
      <w:r>
        <w:rPr>
          <w:rFonts w:hint="eastAsia" w:asciiTheme="minorEastAsia" w:hAnsiTheme="minorEastAsia" w:eastAsiaTheme="minorEastAsia" w:cstheme="minorEastAsia"/>
          <w:bCs/>
          <w:sz w:val="28"/>
          <w:szCs w:val="28"/>
          <w:lang w:eastAsia="zh-CN"/>
        </w:rPr>
        <w:t>、培训人员</w:t>
      </w:r>
      <w:r>
        <w:rPr>
          <w:rFonts w:hint="eastAsia" w:asciiTheme="minorEastAsia" w:hAnsiTheme="minorEastAsia" w:eastAsiaTheme="minorEastAsia" w:cstheme="minorEastAsia"/>
          <w:bCs/>
          <w:sz w:val="28"/>
          <w:szCs w:val="28"/>
        </w:rPr>
        <w:t>一览表</w:t>
      </w:r>
    </w:p>
    <w:p>
      <w:pPr>
        <w:numPr>
          <w:ilvl w:val="0"/>
          <w:numId w:val="0"/>
        </w:numPr>
        <w:tabs>
          <w:tab w:val="left" w:pos="1146"/>
        </w:tabs>
        <w:spacing w:line="420" w:lineRule="exact"/>
        <w:ind w:leftChars="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lang w:val="en-US" w:eastAsia="zh-CN"/>
        </w:rPr>
        <w:t>11、</w:t>
      </w:r>
      <w:r>
        <w:rPr>
          <w:rFonts w:hint="eastAsia" w:asciiTheme="minorEastAsia" w:hAnsiTheme="minorEastAsia" w:eastAsiaTheme="minorEastAsia" w:cstheme="minorEastAsia"/>
          <w:bCs/>
          <w:sz w:val="28"/>
          <w:szCs w:val="28"/>
          <w:lang w:eastAsia="zh-CN"/>
        </w:rPr>
        <w:t>技术偏离表、商务偏离表</w:t>
      </w:r>
    </w:p>
    <w:p>
      <w:pPr>
        <w:numPr>
          <w:ilvl w:val="0"/>
          <w:numId w:val="0"/>
        </w:numPr>
        <w:tabs>
          <w:tab w:val="left" w:pos="1146"/>
        </w:tabs>
        <w:spacing w:line="420" w:lineRule="exact"/>
        <w:ind w:leftChars="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lang w:val="en-US" w:eastAsia="zh-CN"/>
        </w:rPr>
        <w:t>12、</w:t>
      </w:r>
      <w:r>
        <w:rPr>
          <w:rFonts w:hint="eastAsia" w:asciiTheme="minorEastAsia" w:hAnsiTheme="minorEastAsia" w:eastAsiaTheme="minorEastAsia" w:cstheme="minorEastAsia"/>
          <w:bCs/>
          <w:sz w:val="28"/>
          <w:szCs w:val="28"/>
        </w:rPr>
        <w:t>代理商提供投标产品生产厂商针对本项目的特许授权书；（复印件）</w:t>
      </w:r>
    </w:p>
    <w:p>
      <w:pPr>
        <w:numPr>
          <w:ilvl w:val="0"/>
          <w:numId w:val="0"/>
        </w:numPr>
        <w:tabs>
          <w:tab w:val="left" w:pos="1146"/>
        </w:tabs>
        <w:spacing w:line="420" w:lineRule="exact"/>
        <w:ind w:leftChars="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sz w:val="28"/>
          <w:szCs w:val="28"/>
          <w:lang w:val="en-US" w:eastAsia="zh-CN"/>
        </w:rPr>
        <w:t>13、</w:t>
      </w:r>
      <w:r>
        <w:rPr>
          <w:rFonts w:hint="eastAsia" w:asciiTheme="minorEastAsia" w:hAnsiTheme="minorEastAsia" w:eastAsiaTheme="minorEastAsia" w:cstheme="minorEastAsia"/>
          <w:sz w:val="28"/>
          <w:szCs w:val="28"/>
        </w:rPr>
        <w:t>招标文件货物需求及技术规格、合同特殊条款中要求提交的文件资料。</w:t>
      </w:r>
    </w:p>
    <w:p>
      <w:pPr>
        <w:numPr>
          <w:ilvl w:val="0"/>
          <w:numId w:val="0"/>
        </w:numPr>
        <w:tabs>
          <w:tab w:val="left" w:pos="1146"/>
        </w:tabs>
        <w:spacing w:line="420" w:lineRule="exact"/>
        <w:ind w:leftChars="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lang w:val="en-US" w:eastAsia="zh-CN"/>
        </w:rPr>
        <w:t>14、</w:t>
      </w:r>
      <w:r>
        <w:rPr>
          <w:rFonts w:hint="eastAsia" w:asciiTheme="minorEastAsia" w:hAnsiTheme="minorEastAsia" w:eastAsiaTheme="minorEastAsia" w:cstheme="minorEastAsia"/>
          <w:bCs/>
          <w:sz w:val="28"/>
          <w:szCs w:val="28"/>
        </w:rPr>
        <w:t>磋商文件规定及供应商认为需要提供的其他资料。</w:t>
      </w:r>
    </w:p>
    <w:p>
      <w:pPr>
        <w:tabs>
          <w:tab w:val="left" w:pos="1146"/>
        </w:tabs>
        <w:spacing w:line="420" w:lineRule="exact"/>
        <w:ind w:left="420" w:left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br w:type="page"/>
      </w:r>
    </w:p>
    <w:bookmarkEnd w:id="191"/>
    <w:p>
      <w:pPr>
        <w:pStyle w:val="26"/>
        <w:widowControl/>
        <w:spacing w:line="360" w:lineRule="auto"/>
        <w:ind w:left="0" w:leftChars="0" w:firstLine="560" w:firstLineChars="200"/>
        <w:jc w:val="center"/>
        <w:rPr>
          <w:rFonts w:hint="eastAsia" w:asciiTheme="minorEastAsia" w:hAnsiTheme="minorEastAsia" w:eastAsiaTheme="minorEastAsia" w:cstheme="minorEastAsia"/>
          <w:sz w:val="28"/>
          <w:szCs w:val="28"/>
        </w:rPr>
      </w:pPr>
      <w:bookmarkStart w:id="192" w:name="_Toc493877635"/>
      <w:r>
        <w:rPr>
          <w:rFonts w:hint="eastAsia" w:asciiTheme="minorEastAsia" w:hAnsiTheme="minorEastAsia" w:eastAsiaTheme="minorEastAsia" w:cstheme="minorEastAsia"/>
          <w:sz w:val="28"/>
          <w:szCs w:val="28"/>
        </w:rPr>
        <w:t>投标承诺书</w:t>
      </w:r>
    </w:p>
    <w:p>
      <w:pPr>
        <w:pStyle w:val="26"/>
        <w:widowControl/>
        <w:spacing w:line="360" w:lineRule="auto"/>
        <w:ind w:left="0" w:leftChars="0" w:firstLine="560" w:firstLineChars="200"/>
        <w:rPr>
          <w:rFonts w:hint="eastAsia" w:asciiTheme="minorEastAsia" w:hAnsiTheme="minorEastAsia" w:eastAsiaTheme="minorEastAsia" w:cstheme="minorEastAsia"/>
          <w:sz w:val="28"/>
          <w:szCs w:val="28"/>
          <w:u w:val="single"/>
        </w:rPr>
      </w:pPr>
    </w:p>
    <w:p>
      <w:pPr>
        <w:pStyle w:val="26"/>
        <w:widowControl/>
        <w:spacing w:line="360" w:lineRule="auto"/>
        <w:ind w:left="0" w:leftChars="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（采购人）：</w:t>
      </w:r>
    </w:p>
    <w:p>
      <w:pPr>
        <w:pStyle w:val="26"/>
        <w:widowControl/>
        <w:spacing w:line="360" w:lineRule="auto"/>
        <w:ind w:left="0" w:leftChars="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（招标代理机构）：</w:t>
      </w:r>
    </w:p>
    <w:p>
      <w:pPr>
        <w:pStyle w:val="9"/>
        <w:widowControl/>
        <w:spacing w:line="360" w:lineRule="auto"/>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(供应商名称)授权(供应商委托代理人姓名、职务) 为我方代表，参加贵方组织的 (项目名称、项目编号)招标的有关活动，并对此项目进行投标。为此：</w:t>
      </w:r>
    </w:p>
    <w:p>
      <w:pPr>
        <w:pStyle w:val="9"/>
        <w:widowControl/>
        <w:spacing w:line="360" w:lineRule="auto"/>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1、我方承诺：已经具备《中华人民共和国政府采购法》中规定的参加政府采购活动的供应商应当具备的条件和本招标文件中规定的条件。</w:t>
      </w:r>
    </w:p>
    <w:p>
      <w:pPr>
        <w:pStyle w:val="9"/>
        <w:widowControl/>
        <w:spacing w:line="360" w:lineRule="auto"/>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2、我方同意在本项目招标文件中规定的投标有效期内遵守本投标文件中的承诺且在此期限期满之前均具有约束力。如果在开标后规定的投标有效期内撤回投标，我方的投标保证金可被贵方没收。</w:t>
      </w:r>
    </w:p>
    <w:p>
      <w:pPr>
        <w:pStyle w:val="9"/>
        <w:widowControl/>
        <w:spacing w:line="360" w:lineRule="auto"/>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3、按照招标文件规定提供全部投标文件。</w:t>
      </w:r>
    </w:p>
    <w:p>
      <w:pPr>
        <w:pStyle w:val="9"/>
        <w:widowControl/>
        <w:spacing w:line="360" w:lineRule="auto"/>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4、我方承诺：按照招标文件要求提供和交付的货物及相关服务，我方投标报价为（小写）（大写），服务期为天，磋商有效期为</w:t>
      </w:r>
      <w:r>
        <w:rPr>
          <w:rFonts w:hint="eastAsia" w:asciiTheme="minorEastAsia" w:hAnsiTheme="minorEastAsia" w:eastAsiaTheme="minorEastAsia" w:cstheme="minorEastAsia"/>
          <w:sz w:val="28"/>
          <w:szCs w:val="28"/>
          <w:u w:val="single"/>
          <w:lang w:val="en-US" w:eastAsia="zh-CN"/>
        </w:rPr>
        <w:t>45</w:t>
      </w:r>
      <w:r>
        <w:rPr>
          <w:rFonts w:hint="eastAsia" w:asciiTheme="minorEastAsia" w:hAnsiTheme="minorEastAsia" w:eastAsiaTheme="minorEastAsia" w:cstheme="minorEastAsia"/>
          <w:sz w:val="28"/>
          <w:szCs w:val="28"/>
        </w:rPr>
        <w:t>日（日历日）。</w:t>
      </w:r>
    </w:p>
    <w:p>
      <w:pPr>
        <w:pStyle w:val="9"/>
        <w:widowControl/>
        <w:spacing w:line="360" w:lineRule="auto"/>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5、我方承诺：接受招标文件中的全部条款且无任何异议，保证遵守招标文件的规定。</w:t>
      </w:r>
    </w:p>
    <w:p>
      <w:pPr>
        <w:pStyle w:val="9"/>
        <w:widowControl/>
        <w:spacing w:line="360" w:lineRule="auto"/>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6、我方承诺：完全满足和响应招标文件中的各项技术和服务要求，若有偏差，已在偏离表中予以明确特别说明。</w:t>
      </w:r>
    </w:p>
    <w:p>
      <w:pPr>
        <w:pStyle w:val="9"/>
        <w:widowControl/>
        <w:spacing w:line="360" w:lineRule="auto"/>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7、我方完全理解贵方不一定接受最低价的投标或收到的任何投标，以及投标报价若超过项目预算时投标将被拒绝。</w:t>
      </w:r>
    </w:p>
    <w:p>
      <w:pPr>
        <w:pStyle w:val="9"/>
        <w:widowControl/>
        <w:spacing w:line="360" w:lineRule="auto"/>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8、我方已详细审核全部投标文件，包括投标文件修改书（如有的话）、参考资料及有关附件，确认无误。</w:t>
      </w:r>
    </w:p>
    <w:p>
      <w:pPr>
        <w:pStyle w:val="9"/>
        <w:widowControl/>
        <w:spacing w:line="360" w:lineRule="auto"/>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9、我方承诺：保证中标后严格按照甲方要求合法经营，否则，由此产生的一切法律责任由我方承担。</w:t>
      </w:r>
    </w:p>
    <w:p>
      <w:pPr>
        <w:pStyle w:val="9"/>
        <w:widowControl/>
        <w:spacing w:line="360" w:lineRule="auto"/>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10、保证忠实地执行双方所签订的合同，并承担合同规定的责任和义务。</w:t>
      </w:r>
    </w:p>
    <w:p>
      <w:pPr>
        <w:pStyle w:val="9"/>
        <w:widowControl/>
        <w:spacing w:line="360" w:lineRule="auto"/>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9"/>
        <w:widowControl/>
        <w:spacing w:line="360" w:lineRule="auto"/>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9"/>
        <w:widowControl/>
        <w:spacing w:line="360" w:lineRule="auto"/>
        <w:ind w:left="0" w:firstLine="560" w:firstLineChars="200"/>
        <w:rPr>
          <w:rFonts w:hint="eastAsia" w:asciiTheme="minorEastAsia" w:hAnsiTheme="minorEastAsia" w:eastAsiaTheme="minorEastAsia" w:cstheme="minorEastAsia"/>
          <w:sz w:val="28"/>
          <w:szCs w:val="28"/>
        </w:rPr>
      </w:pPr>
      <w:bookmarkStart w:id="193" w:name="_Toc23581_WPSOffice_Level1"/>
      <w:bookmarkStart w:id="194" w:name="_Toc28803_WPSOffice_Level1"/>
      <w:r>
        <w:rPr>
          <w:rFonts w:hint="eastAsia" w:asciiTheme="minorEastAsia" w:hAnsiTheme="minorEastAsia" w:eastAsiaTheme="minorEastAsia" w:cstheme="minorEastAsia"/>
          <w:sz w:val="28"/>
          <w:szCs w:val="28"/>
        </w:rPr>
        <w:t>1）提供虚假材料谋取中标、成交的；</w:t>
      </w:r>
      <w:bookmarkEnd w:id="193"/>
      <w:bookmarkEnd w:id="194"/>
    </w:p>
    <w:p>
      <w:pPr>
        <w:pStyle w:val="9"/>
        <w:widowControl/>
        <w:spacing w:line="360" w:lineRule="auto"/>
        <w:ind w:left="0" w:firstLine="560" w:firstLineChars="200"/>
        <w:rPr>
          <w:rFonts w:hint="eastAsia" w:asciiTheme="minorEastAsia" w:hAnsiTheme="minorEastAsia" w:eastAsiaTheme="minorEastAsia" w:cstheme="minorEastAsia"/>
          <w:sz w:val="28"/>
          <w:szCs w:val="28"/>
        </w:rPr>
      </w:pPr>
      <w:bookmarkStart w:id="195" w:name="_Toc14643_WPSOffice_Level1"/>
      <w:bookmarkStart w:id="196" w:name="_Toc7187_WPSOffice_Level1"/>
      <w:r>
        <w:rPr>
          <w:rFonts w:hint="eastAsia" w:asciiTheme="minorEastAsia" w:hAnsiTheme="minorEastAsia" w:eastAsiaTheme="minorEastAsia" w:cstheme="minorEastAsia"/>
          <w:sz w:val="28"/>
          <w:szCs w:val="28"/>
        </w:rPr>
        <w:t>2）采取不正当手段诋毁、排挤其他供应商的；</w:t>
      </w:r>
      <w:bookmarkEnd w:id="195"/>
      <w:bookmarkEnd w:id="196"/>
    </w:p>
    <w:p>
      <w:pPr>
        <w:pStyle w:val="9"/>
        <w:widowControl/>
        <w:spacing w:line="360" w:lineRule="auto"/>
        <w:ind w:left="0" w:firstLine="560" w:firstLineChars="200"/>
        <w:rPr>
          <w:rFonts w:hint="eastAsia" w:asciiTheme="minorEastAsia" w:hAnsiTheme="minorEastAsia" w:eastAsiaTheme="minorEastAsia" w:cstheme="minorEastAsia"/>
          <w:sz w:val="28"/>
          <w:szCs w:val="28"/>
        </w:rPr>
      </w:pPr>
      <w:bookmarkStart w:id="197" w:name="_Toc29644_WPSOffice_Level1"/>
      <w:bookmarkStart w:id="198" w:name="_Toc5029_WPSOffice_Level1"/>
      <w:r>
        <w:rPr>
          <w:rFonts w:hint="eastAsia" w:asciiTheme="minorEastAsia" w:hAnsiTheme="minorEastAsia" w:eastAsiaTheme="minorEastAsia" w:cstheme="minorEastAsia"/>
          <w:sz w:val="28"/>
          <w:szCs w:val="28"/>
        </w:rPr>
        <w:t>3）与采购人、其他供应商或者采购代理机构恶意串通的；</w:t>
      </w:r>
      <w:bookmarkEnd w:id="197"/>
      <w:bookmarkEnd w:id="198"/>
    </w:p>
    <w:p>
      <w:pPr>
        <w:pStyle w:val="9"/>
        <w:widowControl/>
        <w:spacing w:line="360" w:lineRule="auto"/>
        <w:ind w:left="0" w:firstLine="560" w:firstLineChars="200"/>
        <w:rPr>
          <w:rFonts w:hint="eastAsia" w:asciiTheme="minorEastAsia" w:hAnsiTheme="minorEastAsia" w:eastAsiaTheme="minorEastAsia" w:cstheme="minorEastAsia"/>
          <w:sz w:val="28"/>
          <w:szCs w:val="28"/>
        </w:rPr>
      </w:pPr>
      <w:bookmarkStart w:id="199" w:name="_Toc8601_WPSOffice_Level1"/>
      <w:bookmarkStart w:id="200" w:name="_Toc5278_WPSOffice_Level1"/>
      <w:r>
        <w:rPr>
          <w:rFonts w:hint="eastAsia" w:asciiTheme="minorEastAsia" w:hAnsiTheme="minorEastAsia" w:eastAsiaTheme="minorEastAsia" w:cstheme="minorEastAsia"/>
          <w:sz w:val="28"/>
          <w:szCs w:val="28"/>
        </w:rPr>
        <w:t>4）向采购人、采购代理机构行贿或者提供其他不正当利益的；</w:t>
      </w:r>
      <w:bookmarkEnd w:id="199"/>
      <w:bookmarkEnd w:id="200"/>
    </w:p>
    <w:p>
      <w:pPr>
        <w:pStyle w:val="9"/>
        <w:widowControl/>
        <w:spacing w:line="360" w:lineRule="auto"/>
        <w:ind w:left="0" w:firstLine="560" w:firstLineChars="200"/>
        <w:rPr>
          <w:rFonts w:hint="eastAsia" w:asciiTheme="minorEastAsia" w:hAnsiTheme="minorEastAsia" w:eastAsiaTheme="minorEastAsia" w:cstheme="minorEastAsia"/>
          <w:sz w:val="28"/>
          <w:szCs w:val="28"/>
        </w:rPr>
      </w:pPr>
      <w:bookmarkStart w:id="201" w:name="_Toc11715_WPSOffice_Level1"/>
      <w:bookmarkStart w:id="202" w:name="_Toc12144_WPSOffice_Level1"/>
      <w:r>
        <w:rPr>
          <w:rFonts w:hint="eastAsia" w:asciiTheme="minorEastAsia" w:hAnsiTheme="minorEastAsia" w:eastAsiaTheme="minorEastAsia" w:cstheme="minorEastAsia"/>
          <w:sz w:val="28"/>
          <w:szCs w:val="28"/>
        </w:rPr>
        <w:t>5）在招标采购过程中与采购人进行协商谈判的；</w:t>
      </w:r>
      <w:bookmarkEnd w:id="201"/>
      <w:bookmarkEnd w:id="202"/>
    </w:p>
    <w:p>
      <w:pPr>
        <w:pStyle w:val="9"/>
        <w:widowControl/>
        <w:spacing w:line="360" w:lineRule="auto"/>
        <w:ind w:left="0" w:firstLine="560" w:firstLineChars="200"/>
        <w:rPr>
          <w:rFonts w:hint="eastAsia" w:asciiTheme="minorEastAsia" w:hAnsiTheme="minorEastAsia" w:eastAsiaTheme="minorEastAsia" w:cstheme="minorEastAsia"/>
          <w:sz w:val="28"/>
          <w:szCs w:val="28"/>
        </w:rPr>
      </w:pPr>
      <w:bookmarkStart w:id="203" w:name="_Toc24002_WPSOffice_Level1"/>
      <w:bookmarkStart w:id="204" w:name="_Toc26423_WPSOffice_Level1"/>
      <w:r>
        <w:rPr>
          <w:rFonts w:hint="eastAsia" w:asciiTheme="minorEastAsia" w:hAnsiTheme="minorEastAsia" w:eastAsiaTheme="minorEastAsia" w:cstheme="minorEastAsia"/>
          <w:sz w:val="28"/>
          <w:szCs w:val="28"/>
        </w:rPr>
        <w:t>6）拒绝有关部门监督检查或提供虚假情况的。</w:t>
      </w:r>
      <w:bookmarkEnd w:id="203"/>
      <w:bookmarkEnd w:id="204"/>
    </w:p>
    <w:p>
      <w:pPr>
        <w:spacing w:line="360" w:lineRule="auto"/>
        <w:ind w:firstLine="560" w:firstLineChars="200"/>
        <w:rPr>
          <w:rFonts w:hint="eastAsia" w:asciiTheme="minorEastAsia" w:hAnsiTheme="minorEastAsia" w:eastAsiaTheme="minorEastAsia" w:cstheme="minorEastAsia"/>
          <w:sz w:val="28"/>
          <w:szCs w:val="28"/>
        </w:rPr>
      </w:pPr>
    </w:p>
    <w:p>
      <w:pPr>
        <w:pStyle w:val="9"/>
        <w:widowControl/>
        <w:spacing w:line="360" w:lineRule="auto"/>
        <w:ind w:left="0" w:firstLine="560" w:firstLineChars="200"/>
        <w:rPr>
          <w:rFonts w:hint="eastAsia" w:asciiTheme="minorEastAsia" w:hAnsiTheme="minorEastAsia" w:eastAsiaTheme="minorEastAsia" w:cstheme="minorEastAsia"/>
          <w:sz w:val="28"/>
          <w:szCs w:val="28"/>
        </w:rPr>
      </w:pPr>
    </w:p>
    <w:p>
      <w:pPr>
        <w:spacing w:line="360" w:lineRule="auto"/>
        <w:ind w:left="555"/>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 xml:space="preserve">供应商名称（加盖公章）：                                        </w:t>
      </w:r>
    </w:p>
    <w:p>
      <w:pPr>
        <w:spacing w:line="360" w:lineRule="auto"/>
        <w:ind w:left="555"/>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法定代表人（签字或盖章）：</w:t>
      </w:r>
    </w:p>
    <w:p>
      <w:pPr>
        <w:spacing w:line="360" w:lineRule="auto"/>
        <w:ind w:left="555"/>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委托代理人（签字）：</w:t>
      </w:r>
    </w:p>
    <w:p>
      <w:pPr>
        <w:spacing w:line="360" w:lineRule="auto"/>
        <w:ind w:left="555"/>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日期：  年  月  日</w:t>
      </w:r>
    </w:p>
    <w:p>
      <w:pPr>
        <w:pStyle w:val="6"/>
        <w:ind w:firstLine="482"/>
        <w:rPr>
          <w:rFonts w:hint="eastAsia" w:asciiTheme="minorEastAsia" w:hAnsiTheme="minorEastAsia" w:eastAsiaTheme="minorEastAsia" w:cstheme="minorEastAsia"/>
          <w:b/>
          <w:sz w:val="28"/>
          <w:szCs w:val="28"/>
        </w:rPr>
      </w:pPr>
    </w:p>
    <w:p>
      <w:pPr>
        <w:pStyle w:val="9"/>
        <w:widowControl/>
        <w:spacing w:line="360" w:lineRule="auto"/>
        <w:ind w:left="0"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说明：除可填报项目外，对本投标函的任何修改将被视为非实质性响应投标，从而导致该投标被拒绝。</w:t>
      </w:r>
    </w:p>
    <w:p>
      <w:pPr>
        <w:pStyle w:val="5"/>
        <w:ind w:left="-685" w:leftChars="-326" w:firstLine="795" w:firstLineChars="283"/>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bookmarkEnd w:id="192"/>
    <w:p>
      <w:pPr>
        <w:pStyle w:val="28"/>
        <w:jc w:val="center"/>
        <w:outlineLvl w:val="2"/>
        <w:rPr>
          <w:rFonts w:hint="eastAsia" w:asciiTheme="minorEastAsia" w:hAnsiTheme="minorEastAsia" w:eastAsiaTheme="minorEastAsia" w:cstheme="minorEastAsia"/>
          <w:sz w:val="28"/>
          <w:szCs w:val="28"/>
        </w:rPr>
      </w:pPr>
      <w:bookmarkStart w:id="205" w:name="_Toc22745"/>
      <w:bookmarkStart w:id="206" w:name="_Toc19025"/>
      <w:bookmarkStart w:id="207" w:name="_Toc6808"/>
      <w:bookmarkStart w:id="208" w:name="_Toc493877636"/>
      <w:r>
        <w:rPr>
          <w:rFonts w:hint="eastAsia" w:asciiTheme="minorEastAsia" w:hAnsiTheme="minorEastAsia" w:eastAsiaTheme="minorEastAsia" w:cstheme="minorEastAsia"/>
          <w:sz w:val="28"/>
          <w:szCs w:val="28"/>
        </w:rPr>
        <w:t>★法定代表人身份证明书及授权委托书</w:t>
      </w:r>
      <w:bookmarkEnd w:id="205"/>
      <w:bookmarkEnd w:id="206"/>
      <w:bookmarkEnd w:id="207"/>
    </w:p>
    <w:p>
      <w:pPr>
        <w:pStyle w:val="29"/>
        <w:outlineLvl w:val="9"/>
        <w:rPr>
          <w:rFonts w:hint="eastAsia" w:asciiTheme="minorEastAsia" w:hAnsiTheme="minorEastAsia" w:eastAsiaTheme="minorEastAsia" w:cstheme="minorEastAsia"/>
          <w:b w:val="0"/>
          <w:sz w:val="28"/>
          <w:szCs w:val="28"/>
        </w:rPr>
      </w:pPr>
      <w:bookmarkStart w:id="209" w:name="_Toc480371721"/>
      <w:bookmarkStart w:id="210" w:name="_Toc480368424"/>
      <w:bookmarkStart w:id="211" w:name="_Toc480368595"/>
      <w:bookmarkStart w:id="212" w:name="_Toc480368653"/>
    </w:p>
    <w:p>
      <w:pPr>
        <w:pStyle w:val="29"/>
        <w:outlineLvl w:val="9"/>
        <w:rPr>
          <w:rFonts w:hint="eastAsia" w:asciiTheme="minorEastAsia" w:hAnsiTheme="minorEastAsia" w:eastAsiaTheme="minorEastAsia" w:cstheme="minorEastAsia"/>
          <w:b w:val="0"/>
          <w:sz w:val="28"/>
          <w:szCs w:val="28"/>
        </w:rPr>
      </w:pPr>
      <w:bookmarkStart w:id="213" w:name="_Toc3704_WPSOffice_Level1"/>
      <w:bookmarkStart w:id="214" w:name="_Toc23900"/>
      <w:bookmarkStart w:id="215" w:name="_Toc1318_WPSOffice_Level1"/>
      <w:bookmarkStart w:id="216" w:name="_Toc18836"/>
      <w:r>
        <w:rPr>
          <w:rFonts w:hint="eastAsia" w:asciiTheme="minorEastAsia" w:hAnsiTheme="minorEastAsia" w:eastAsiaTheme="minorEastAsia" w:cstheme="minorEastAsia"/>
          <w:b w:val="0"/>
          <w:sz w:val="28"/>
          <w:szCs w:val="28"/>
        </w:rPr>
        <w:t>法定代表人身份证明</w:t>
      </w:r>
      <w:bookmarkEnd w:id="209"/>
      <w:bookmarkEnd w:id="210"/>
      <w:bookmarkEnd w:id="211"/>
      <w:bookmarkEnd w:id="212"/>
      <w:r>
        <w:rPr>
          <w:rFonts w:hint="eastAsia" w:asciiTheme="minorEastAsia" w:hAnsiTheme="minorEastAsia" w:eastAsiaTheme="minorEastAsia" w:cstheme="minorEastAsia"/>
          <w:b w:val="0"/>
          <w:sz w:val="28"/>
          <w:szCs w:val="28"/>
        </w:rPr>
        <w:t>书</w:t>
      </w:r>
      <w:bookmarkEnd w:id="213"/>
      <w:bookmarkEnd w:id="214"/>
      <w:bookmarkEnd w:id="215"/>
      <w:bookmarkEnd w:id="216"/>
    </w:p>
    <w:p>
      <w:pPr>
        <w:pStyle w:val="30"/>
        <w:adjustRightInd w:val="0"/>
        <w:snapToGrid w:val="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（代理机构名称）</w:t>
      </w:r>
      <w:r>
        <w:rPr>
          <w:rFonts w:hint="eastAsia" w:asciiTheme="minorEastAsia" w:hAnsiTheme="minorEastAsia" w:eastAsiaTheme="minorEastAsia" w:cstheme="minorEastAsia"/>
          <w:sz w:val="28"/>
          <w:szCs w:val="28"/>
        </w:rPr>
        <w:t>：</w:t>
      </w:r>
    </w:p>
    <w:p>
      <w:pPr>
        <w:pStyle w:val="30"/>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兹有同志为公司法定代表人，代表我公司办理一切社会公务事宜，具有法律效力。 </w:t>
      </w:r>
    </w:p>
    <w:p>
      <w:pPr>
        <w:pStyle w:val="30"/>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附法定代表人基本情况： </w:t>
      </w:r>
    </w:p>
    <w:p>
      <w:pPr>
        <w:pStyle w:val="30"/>
        <w:adjustRightInd w:val="0"/>
        <w:snapToGrid w:val="0"/>
        <w:spacing w:line="360" w:lineRule="auto"/>
        <w:ind w:firstLine="560" w:firstLineChars="20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姓名：性别：年龄：职务：</w:t>
      </w:r>
    </w:p>
    <w:p>
      <w:pPr>
        <w:pStyle w:val="30"/>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身份证号码：</w:t>
      </w:r>
    </w:p>
    <w:p>
      <w:pPr>
        <w:pStyle w:val="30"/>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通讯地址：</w:t>
      </w:r>
    </w:p>
    <w:p>
      <w:pPr>
        <w:pStyle w:val="30"/>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电话号码：邮政编码：</w:t>
      </w:r>
    </w:p>
    <w:p>
      <w:pPr>
        <w:pStyle w:val="30"/>
        <w:adjustRightInd w:val="0"/>
        <w:snapToGrid w:val="0"/>
        <w:spacing w:line="500" w:lineRule="exact"/>
        <w:rPr>
          <w:rFonts w:hint="eastAsia" w:asciiTheme="minorEastAsia" w:hAnsiTheme="minorEastAsia" w:eastAsiaTheme="minorEastAsia" w:cstheme="minorEastAsia"/>
          <w:sz w:val="28"/>
          <w:szCs w:val="28"/>
        </w:rPr>
      </w:pPr>
    </w:p>
    <w:tbl>
      <w:tblPr>
        <w:tblStyle w:val="15"/>
        <w:tblW w:w="7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jc w:val="center"/>
        </w:trPr>
        <w:tc>
          <w:tcPr>
            <w:tcW w:w="7886" w:type="dxa"/>
            <w:tcBorders>
              <w:top w:val="single" w:color="auto" w:sz="4" w:space="0"/>
              <w:left w:val="single" w:color="auto" w:sz="4" w:space="0"/>
              <w:bottom w:val="single" w:color="auto" w:sz="4" w:space="0"/>
              <w:right w:val="single" w:color="auto" w:sz="4" w:space="0"/>
            </w:tcBorders>
            <w:noWrap/>
          </w:tcPr>
          <w:p>
            <w:pPr>
              <w:pStyle w:val="30"/>
              <w:adjustRightInd w:val="0"/>
              <w:snapToGrid w:val="0"/>
              <w:spacing w:line="500" w:lineRule="exact"/>
              <w:jc w:val="center"/>
              <w:rPr>
                <w:rFonts w:hint="eastAsia" w:asciiTheme="minorEastAsia" w:hAnsiTheme="minorEastAsia" w:eastAsiaTheme="minorEastAsia" w:cstheme="minorEastAsia"/>
                <w:sz w:val="28"/>
                <w:szCs w:val="28"/>
              </w:rPr>
            </w:pPr>
          </w:p>
          <w:p>
            <w:pPr>
              <w:pStyle w:val="30"/>
              <w:adjustRightInd w:val="0"/>
              <w:snapToGrid w:val="0"/>
              <w:spacing w:line="500" w:lineRule="exact"/>
              <w:jc w:val="center"/>
              <w:rPr>
                <w:rFonts w:hint="eastAsia" w:asciiTheme="minorEastAsia" w:hAnsiTheme="minorEastAsia" w:eastAsiaTheme="minorEastAsia" w:cstheme="minorEastAsia"/>
                <w:sz w:val="28"/>
                <w:szCs w:val="28"/>
              </w:rPr>
            </w:pPr>
          </w:p>
          <w:p>
            <w:pPr>
              <w:pStyle w:val="30"/>
              <w:adjustRightInd w:val="0"/>
              <w:snapToGrid w:val="0"/>
              <w:spacing w:line="5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法定代表人身份证复印件正反面</w:t>
            </w:r>
          </w:p>
        </w:tc>
      </w:tr>
    </w:tbl>
    <w:p>
      <w:pPr>
        <w:pStyle w:val="30"/>
        <w:adjustRightInd w:val="0"/>
        <w:snapToGrid w:val="0"/>
        <w:spacing w:line="500" w:lineRule="exact"/>
        <w:rPr>
          <w:rFonts w:hint="eastAsia" w:asciiTheme="minorEastAsia" w:hAnsiTheme="minorEastAsia" w:eastAsiaTheme="minorEastAsia" w:cstheme="minorEastAsia"/>
          <w:sz w:val="28"/>
          <w:szCs w:val="28"/>
        </w:rPr>
      </w:pPr>
    </w:p>
    <w:p>
      <w:pPr>
        <w:pStyle w:val="30"/>
        <w:tabs>
          <w:tab w:val="left" w:pos="750"/>
        </w:tabs>
        <w:adjustRightInd w:val="0"/>
        <w:snapToGrid w:val="0"/>
        <w:spacing w:line="5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供应商名称：（盖章）</w:t>
      </w:r>
    </w:p>
    <w:p>
      <w:pPr>
        <w:pStyle w:val="30"/>
        <w:tabs>
          <w:tab w:val="left" w:pos="750"/>
        </w:tabs>
        <w:adjustRightInd w:val="0"/>
        <w:snapToGrid w:val="0"/>
        <w:spacing w:line="500" w:lineRule="exact"/>
        <w:ind w:firstLine="840" w:firstLineChars="3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法定代表人：（签字或盖章）</w:t>
      </w:r>
    </w:p>
    <w:p>
      <w:pPr>
        <w:pStyle w:val="30"/>
        <w:tabs>
          <w:tab w:val="left" w:pos="750"/>
        </w:tabs>
        <w:adjustRightInd w:val="0"/>
        <w:snapToGrid w:val="0"/>
        <w:spacing w:line="500" w:lineRule="exact"/>
        <w:rPr>
          <w:rFonts w:hint="eastAsia" w:asciiTheme="minorEastAsia" w:hAnsiTheme="minorEastAsia" w:eastAsiaTheme="minorEastAsia" w:cstheme="minorEastAsia"/>
          <w:sz w:val="28"/>
          <w:szCs w:val="28"/>
        </w:rPr>
      </w:pPr>
    </w:p>
    <w:p>
      <w:pPr>
        <w:pStyle w:val="30"/>
        <w:tabs>
          <w:tab w:val="left" w:pos="750"/>
        </w:tabs>
        <w:adjustRightInd w:val="0"/>
        <w:snapToGrid w:val="0"/>
        <w:spacing w:line="500" w:lineRule="exact"/>
        <w:ind w:firstLine="840" w:firstLineChars="3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日期：年月日</w:t>
      </w:r>
    </w:p>
    <w:p>
      <w:pPr>
        <w:pStyle w:val="29"/>
        <w:outlineLvl w:val="9"/>
        <w:rPr>
          <w:rFonts w:hint="eastAsia" w:asciiTheme="minorEastAsia" w:hAnsiTheme="minorEastAsia" w:eastAsiaTheme="minorEastAsia" w:cstheme="minorEastAsia"/>
          <w:b w:val="0"/>
          <w:sz w:val="28"/>
          <w:szCs w:val="28"/>
        </w:rPr>
      </w:pPr>
      <w:bookmarkStart w:id="217" w:name="_Toc480368596"/>
      <w:bookmarkStart w:id="218" w:name="_Toc480368425"/>
      <w:bookmarkStart w:id="219" w:name="_Toc480368654"/>
      <w:bookmarkStart w:id="220" w:name="_Toc480371722"/>
      <w:bookmarkStart w:id="221" w:name="_Toc468535483"/>
    </w:p>
    <w:p>
      <w:pPr>
        <w:pStyle w:val="29"/>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sz w:val="28"/>
          <w:szCs w:val="28"/>
        </w:rPr>
        <w:br w:type="page"/>
      </w:r>
      <w:bookmarkStart w:id="222" w:name="_Toc422_WPSOffice_Level1"/>
      <w:bookmarkStart w:id="223" w:name="_Toc613"/>
      <w:bookmarkStart w:id="224" w:name="_Toc1879"/>
      <w:bookmarkStart w:id="225" w:name="_Toc16327_WPSOffice_Level1"/>
      <w:r>
        <w:rPr>
          <w:rFonts w:hint="eastAsia" w:asciiTheme="minorEastAsia" w:hAnsiTheme="minorEastAsia" w:eastAsiaTheme="minorEastAsia" w:cstheme="minorEastAsia"/>
          <w:b w:val="0"/>
          <w:sz w:val="28"/>
          <w:szCs w:val="28"/>
        </w:rPr>
        <w:t>法定代表人授权委托书</w:t>
      </w:r>
      <w:bookmarkEnd w:id="217"/>
      <w:bookmarkEnd w:id="218"/>
      <w:bookmarkEnd w:id="219"/>
      <w:bookmarkEnd w:id="220"/>
      <w:bookmarkEnd w:id="221"/>
      <w:bookmarkEnd w:id="222"/>
      <w:bookmarkEnd w:id="223"/>
      <w:bookmarkEnd w:id="224"/>
      <w:bookmarkEnd w:id="225"/>
    </w:p>
    <w:p>
      <w:pPr>
        <w:pStyle w:val="3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（代理机构名称）</w:t>
      </w:r>
      <w:r>
        <w:rPr>
          <w:rFonts w:hint="eastAsia" w:asciiTheme="minorEastAsia" w:hAnsiTheme="minorEastAsia" w:eastAsiaTheme="minorEastAsia" w:cstheme="minorEastAsia"/>
          <w:sz w:val="28"/>
          <w:szCs w:val="28"/>
        </w:rPr>
        <w:t>：</w:t>
      </w:r>
    </w:p>
    <w:p>
      <w:pPr>
        <w:pStyle w:val="3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兹授权同志为我公司参加贵单位组织的编号为</w:t>
      </w:r>
      <w:r>
        <w:rPr>
          <w:rFonts w:hint="eastAsia" w:asciiTheme="minorEastAsia" w:hAnsiTheme="minorEastAsia" w:eastAsiaTheme="minorEastAsia" w:cstheme="minorEastAsia"/>
          <w:sz w:val="28"/>
          <w:szCs w:val="28"/>
          <w:u w:val="single"/>
        </w:rPr>
        <w:t>（项目编号）</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（项目名称）</w:t>
      </w:r>
      <w:r>
        <w:rPr>
          <w:rFonts w:hint="eastAsia" w:asciiTheme="minorEastAsia" w:hAnsiTheme="minorEastAsia" w:eastAsiaTheme="minorEastAsia" w:cstheme="minorEastAsia"/>
          <w:sz w:val="28"/>
          <w:szCs w:val="28"/>
        </w:rPr>
        <w:t>采购活动的委托代理人，全权代表我公司处理在该项目采购活动中的一切事宜。</w:t>
      </w:r>
    </w:p>
    <w:p>
      <w:pPr>
        <w:pStyle w:val="3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代理期限：。 </w:t>
      </w:r>
    </w:p>
    <w:p>
      <w:pPr>
        <w:pStyle w:val="30"/>
        <w:spacing w:line="500" w:lineRule="exact"/>
        <w:rPr>
          <w:rFonts w:hint="eastAsia" w:asciiTheme="minorEastAsia" w:hAnsiTheme="minorEastAsia" w:eastAsiaTheme="minorEastAsia" w:cstheme="minorEastAsia"/>
          <w:sz w:val="28"/>
          <w:szCs w:val="28"/>
        </w:rPr>
      </w:pPr>
    </w:p>
    <w:p>
      <w:pPr>
        <w:pStyle w:val="30"/>
        <w:spacing w:line="5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代理人工作单位：</w:t>
      </w:r>
    </w:p>
    <w:p>
      <w:pPr>
        <w:pStyle w:val="30"/>
        <w:spacing w:line="5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职务：    性别：</w:t>
      </w:r>
    </w:p>
    <w:p>
      <w:pPr>
        <w:pStyle w:val="30"/>
        <w:adjustRightInd w:val="0"/>
        <w:snapToGrid w:val="0"/>
        <w:spacing w:line="500" w:lineRule="exac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身份证号码：</w:t>
      </w:r>
    </w:p>
    <w:p>
      <w:pPr>
        <w:pStyle w:val="30"/>
        <w:adjustRightInd w:val="0"/>
        <w:snapToGrid w:val="0"/>
        <w:spacing w:line="500" w:lineRule="exact"/>
        <w:ind w:left="-88" w:leftChars="-42" w:firstLine="700" w:firstLineChars="250"/>
        <w:rPr>
          <w:rFonts w:hint="eastAsia" w:asciiTheme="minorEastAsia" w:hAnsiTheme="minorEastAsia" w:eastAsiaTheme="minorEastAsia" w:cstheme="minorEastAsia"/>
          <w:sz w:val="28"/>
          <w:szCs w:val="28"/>
          <w:u w:val="single"/>
        </w:rPr>
      </w:pPr>
    </w:p>
    <w:tbl>
      <w:tblPr>
        <w:tblStyle w:val="15"/>
        <w:tblW w:w="7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7668" w:type="dxa"/>
            <w:tcBorders>
              <w:top w:val="single" w:color="auto" w:sz="4" w:space="0"/>
              <w:left w:val="single" w:color="auto" w:sz="4" w:space="0"/>
              <w:bottom w:val="single" w:color="auto" w:sz="4" w:space="0"/>
              <w:right w:val="single" w:color="auto" w:sz="4" w:space="0"/>
            </w:tcBorders>
            <w:noWrap/>
          </w:tcPr>
          <w:p>
            <w:pPr>
              <w:pStyle w:val="30"/>
              <w:spacing w:line="500" w:lineRule="exact"/>
              <w:rPr>
                <w:rFonts w:hint="eastAsia" w:asciiTheme="minorEastAsia" w:hAnsiTheme="minorEastAsia" w:eastAsiaTheme="minorEastAsia" w:cstheme="minorEastAsia"/>
                <w:sz w:val="28"/>
                <w:szCs w:val="28"/>
              </w:rPr>
            </w:pPr>
          </w:p>
          <w:p>
            <w:pPr>
              <w:pStyle w:val="30"/>
              <w:spacing w:line="500" w:lineRule="exact"/>
              <w:rPr>
                <w:rFonts w:hint="eastAsia" w:asciiTheme="minorEastAsia" w:hAnsiTheme="minorEastAsia" w:eastAsiaTheme="minorEastAsia" w:cstheme="minorEastAsia"/>
                <w:sz w:val="28"/>
                <w:szCs w:val="28"/>
              </w:rPr>
            </w:pPr>
          </w:p>
          <w:p>
            <w:pPr>
              <w:pStyle w:val="30"/>
              <w:spacing w:line="500" w:lineRule="exact"/>
              <w:rPr>
                <w:rFonts w:hint="eastAsia" w:asciiTheme="minorEastAsia" w:hAnsiTheme="minorEastAsia" w:eastAsiaTheme="minorEastAsia" w:cstheme="minorEastAsia"/>
                <w:sz w:val="28"/>
                <w:szCs w:val="28"/>
              </w:rPr>
            </w:pPr>
          </w:p>
          <w:p>
            <w:pPr>
              <w:pStyle w:val="30"/>
              <w:spacing w:line="5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法定代表人及被授权人身份证正反面</w:t>
            </w:r>
          </w:p>
        </w:tc>
      </w:tr>
    </w:tbl>
    <w:p>
      <w:pPr>
        <w:pStyle w:val="31"/>
        <w:tabs>
          <w:tab w:val="left" w:pos="8786"/>
        </w:tabs>
        <w:spacing w:after="0" w:line="360" w:lineRule="auto"/>
        <w:rPr>
          <w:rFonts w:hint="eastAsia" w:asciiTheme="minorEastAsia" w:hAnsiTheme="minorEastAsia" w:eastAsiaTheme="minorEastAsia" w:cstheme="minorEastAsia"/>
          <w:b/>
          <w:sz w:val="28"/>
          <w:szCs w:val="28"/>
        </w:rPr>
      </w:pPr>
    </w:p>
    <w:p>
      <w:pPr>
        <w:pStyle w:val="31"/>
        <w:tabs>
          <w:tab w:val="left" w:pos="8786"/>
        </w:tabs>
        <w:spacing w:after="0" w:line="360" w:lineRule="auto"/>
        <w:rPr>
          <w:rFonts w:hint="eastAsia" w:asciiTheme="minorEastAsia" w:hAnsiTheme="minorEastAsia" w:eastAsiaTheme="minorEastAsia" w:cstheme="minorEastAsia"/>
          <w:b/>
          <w:sz w:val="28"/>
          <w:szCs w:val="28"/>
        </w:rPr>
      </w:pPr>
    </w:p>
    <w:p>
      <w:pPr>
        <w:pStyle w:val="30"/>
        <w:tabs>
          <w:tab w:val="left" w:pos="750"/>
        </w:tabs>
        <w:adjustRightInd w:val="0"/>
        <w:snapToGrid w:val="0"/>
        <w:spacing w:line="5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供应商名称：（盖章）</w:t>
      </w:r>
    </w:p>
    <w:p>
      <w:pPr>
        <w:pStyle w:val="30"/>
        <w:tabs>
          <w:tab w:val="left" w:pos="750"/>
        </w:tabs>
        <w:adjustRightInd w:val="0"/>
        <w:snapToGrid w:val="0"/>
        <w:spacing w:line="5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 ：（签字或盖章）</w:t>
      </w:r>
    </w:p>
    <w:p>
      <w:pPr>
        <w:pStyle w:val="30"/>
        <w:tabs>
          <w:tab w:val="left" w:pos="750"/>
        </w:tabs>
        <w:adjustRightInd w:val="0"/>
        <w:snapToGrid w:val="0"/>
        <w:spacing w:line="5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委托代理人：（签字）</w:t>
      </w:r>
    </w:p>
    <w:p>
      <w:pPr>
        <w:pStyle w:val="30"/>
        <w:tabs>
          <w:tab w:val="left" w:pos="750"/>
        </w:tabs>
        <w:adjustRightInd w:val="0"/>
        <w:snapToGrid w:val="0"/>
        <w:spacing w:line="500" w:lineRule="exact"/>
        <w:rPr>
          <w:rFonts w:hint="eastAsia" w:asciiTheme="minorEastAsia" w:hAnsiTheme="minorEastAsia" w:eastAsiaTheme="minorEastAsia" w:cstheme="minorEastAsia"/>
          <w:sz w:val="28"/>
          <w:szCs w:val="28"/>
        </w:rPr>
      </w:pPr>
    </w:p>
    <w:p>
      <w:pPr>
        <w:pStyle w:val="30"/>
        <w:spacing w:line="5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日期：年月日</w:t>
      </w:r>
    </w:p>
    <w:p>
      <w:pPr>
        <w:pStyle w:val="5"/>
        <w:ind w:left="-685" w:leftChars="-326" w:firstLine="795" w:firstLineChars="283"/>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pPr>
        <w:rPr>
          <w:rFonts w:hint="eastAsia" w:asciiTheme="minorEastAsia" w:hAnsiTheme="minorEastAsia" w:eastAsiaTheme="minorEastAsia" w:cstheme="minorEastAsia"/>
          <w:sz w:val="28"/>
          <w:szCs w:val="28"/>
        </w:rPr>
      </w:pPr>
    </w:p>
    <w:p>
      <w:pPr>
        <w:pStyle w:val="5"/>
        <w:ind w:left="-685" w:leftChars="-326" w:firstLine="795" w:firstLineChars="283"/>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★开标一览表</w:t>
      </w:r>
      <w:bookmarkEnd w:id="208"/>
    </w:p>
    <w:p>
      <w:pPr>
        <w:pStyle w:val="24"/>
        <w:ind w:left="277" w:leftChars="-86" w:hanging="458" w:hangingChars="163"/>
        <w:jc w:val="both"/>
        <w:rPr>
          <w:rFonts w:hint="eastAsia" w:asciiTheme="minorEastAsia" w:hAnsiTheme="minorEastAsia" w:eastAsiaTheme="minorEastAsia" w:cstheme="minorEastAsia"/>
          <w:b/>
          <w:color w:val="auto"/>
          <w:kern w:val="2"/>
          <w:sz w:val="28"/>
          <w:szCs w:val="28"/>
        </w:rPr>
      </w:pPr>
    </w:p>
    <w:p>
      <w:pPr>
        <w:autoSpaceDE w:val="0"/>
        <w:autoSpaceDN w:val="0"/>
        <w:spacing w:line="300" w:lineRule="auto"/>
        <w:ind w:firstLine="24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项目名称：</w:t>
      </w:r>
      <w:r>
        <w:rPr>
          <w:rFonts w:hint="eastAsia" w:asciiTheme="minorEastAsia" w:hAnsiTheme="minorEastAsia" w:eastAsiaTheme="minorEastAsia" w:cstheme="minorEastAsia"/>
          <w:sz w:val="28"/>
          <w:szCs w:val="28"/>
          <w:u w:val="single"/>
          <w:lang w:eastAsia="zh-CN"/>
        </w:rPr>
        <w:t>2022年博州森林火灾高风险区综合治理工程建设项目实施方案（代初步设计）</w:t>
      </w:r>
    </w:p>
    <w:p>
      <w:pPr>
        <w:autoSpaceDE w:val="0"/>
        <w:autoSpaceDN w:val="0"/>
        <w:spacing w:line="300" w:lineRule="auto"/>
        <w:ind w:firstLine="240"/>
        <w:rPr>
          <w:rFonts w:hint="eastAsia" w:asciiTheme="minorEastAsia" w:hAnsiTheme="minorEastAsia" w:eastAsiaTheme="minorEastAsia" w:cstheme="minorEastAsia"/>
          <w:sz w:val="28"/>
          <w:szCs w:val="28"/>
        </w:rPr>
      </w:pPr>
    </w:p>
    <w:p>
      <w:pPr>
        <w:autoSpaceDE w:val="0"/>
        <w:autoSpaceDN w:val="0"/>
        <w:spacing w:line="300" w:lineRule="auto"/>
        <w:ind w:firstLine="24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供应商名称：</w:t>
      </w:r>
    </w:p>
    <w:p>
      <w:pPr>
        <w:autoSpaceDE w:val="0"/>
        <w:autoSpaceDN w:val="0"/>
        <w:spacing w:line="300" w:lineRule="auto"/>
        <w:ind w:firstLine="240"/>
        <w:rPr>
          <w:rFonts w:hint="eastAsia" w:asciiTheme="minorEastAsia" w:hAnsiTheme="minorEastAsia" w:eastAsiaTheme="minorEastAsia" w:cstheme="minorEastAsia"/>
          <w:sz w:val="28"/>
          <w:szCs w:val="28"/>
        </w:rPr>
      </w:pPr>
    </w:p>
    <w:p>
      <w:pPr>
        <w:autoSpaceDE w:val="0"/>
        <w:autoSpaceDN w:val="0"/>
        <w:spacing w:line="300" w:lineRule="auto"/>
        <w:ind w:firstLine="24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项目编号：</w:t>
      </w:r>
      <w:r>
        <w:rPr>
          <w:rFonts w:hint="eastAsia" w:asciiTheme="minorEastAsia" w:hAnsiTheme="minorEastAsia" w:eastAsiaTheme="minorEastAsia" w:cstheme="minorEastAsia"/>
          <w:sz w:val="28"/>
          <w:szCs w:val="28"/>
          <w:u w:val="single"/>
        </w:rPr>
        <w:t>　　　</w:t>
      </w:r>
    </w:p>
    <w:p>
      <w:pPr>
        <w:autoSpaceDE w:val="0"/>
        <w:autoSpaceDN w:val="0"/>
        <w:spacing w:line="300" w:lineRule="auto"/>
        <w:ind w:firstLine="240"/>
        <w:rPr>
          <w:rFonts w:hint="eastAsia" w:asciiTheme="minorEastAsia" w:hAnsiTheme="minorEastAsia" w:eastAsiaTheme="minorEastAsia" w:cstheme="minorEastAsia"/>
          <w:sz w:val="28"/>
          <w:szCs w:val="28"/>
          <w:u w:val="single"/>
        </w:rPr>
      </w:pPr>
    </w:p>
    <w:tbl>
      <w:tblPr>
        <w:tblStyle w:val="15"/>
        <w:tblW w:w="7855" w:type="dxa"/>
        <w:jc w:val="center"/>
        <w:tblLayout w:type="fixed"/>
        <w:tblCellMar>
          <w:top w:w="0" w:type="dxa"/>
          <w:left w:w="108" w:type="dxa"/>
          <w:bottom w:w="0" w:type="dxa"/>
          <w:right w:w="108" w:type="dxa"/>
        </w:tblCellMar>
      </w:tblPr>
      <w:tblGrid>
        <w:gridCol w:w="881"/>
        <w:gridCol w:w="2268"/>
        <w:gridCol w:w="1837"/>
        <w:gridCol w:w="1880"/>
        <w:gridCol w:w="989"/>
      </w:tblGrid>
      <w:tr>
        <w:tblPrEx>
          <w:tblCellMar>
            <w:top w:w="0" w:type="dxa"/>
            <w:left w:w="108" w:type="dxa"/>
            <w:bottom w:w="0" w:type="dxa"/>
            <w:right w:w="108" w:type="dxa"/>
          </w:tblCellMar>
        </w:tblPrEx>
        <w:trPr>
          <w:trHeight w:val="749"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序号</w:t>
            </w:r>
          </w:p>
        </w:tc>
        <w:tc>
          <w:tcPr>
            <w:tcW w:w="2268"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项目名称</w:t>
            </w:r>
          </w:p>
        </w:tc>
        <w:tc>
          <w:tcPr>
            <w:tcW w:w="18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交付期</w:t>
            </w:r>
          </w:p>
        </w:tc>
        <w:tc>
          <w:tcPr>
            <w:tcW w:w="1880"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总价（元）</w:t>
            </w:r>
          </w:p>
        </w:tc>
        <w:tc>
          <w:tcPr>
            <w:tcW w:w="989"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备注</w:t>
            </w:r>
          </w:p>
        </w:tc>
      </w:tr>
      <w:tr>
        <w:tblPrEx>
          <w:tblCellMar>
            <w:top w:w="0" w:type="dxa"/>
            <w:left w:w="108" w:type="dxa"/>
            <w:bottom w:w="0" w:type="dxa"/>
            <w:right w:w="108" w:type="dxa"/>
          </w:tblCellMar>
        </w:tblPrEx>
        <w:trPr>
          <w:trHeight w:val="1171" w:hRule="atLeast"/>
          <w:jc w:val="center"/>
        </w:trPr>
        <w:tc>
          <w:tcPr>
            <w:tcW w:w="881" w:type="dxa"/>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28"/>
                <w:szCs w:val="28"/>
              </w:rPr>
            </w:pPr>
          </w:p>
        </w:tc>
        <w:tc>
          <w:tcPr>
            <w:tcW w:w="2268"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28"/>
                <w:szCs w:val="28"/>
              </w:rPr>
            </w:pPr>
          </w:p>
        </w:tc>
        <w:tc>
          <w:tcPr>
            <w:tcW w:w="18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28"/>
                <w:szCs w:val="28"/>
              </w:rPr>
            </w:pPr>
          </w:p>
        </w:tc>
        <w:tc>
          <w:tcPr>
            <w:tcW w:w="1880"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28"/>
                <w:szCs w:val="28"/>
              </w:rPr>
            </w:pPr>
          </w:p>
        </w:tc>
        <w:tc>
          <w:tcPr>
            <w:tcW w:w="989"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28"/>
                <w:szCs w:val="28"/>
              </w:rPr>
            </w:pPr>
          </w:p>
        </w:tc>
      </w:tr>
    </w:tbl>
    <w:p>
      <w:pPr>
        <w:autoSpaceDE w:val="0"/>
        <w:autoSpaceDN w:val="0"/>
        <w:spacing w:line="300" w:lineRule="auto"/>
        <w:rPr>
          <w:rFonts w:hint="eastAsia" w:asciiTheme="minorEastAsia" w:hAnsiTheme="minorEastAsia" w:eastAsiaTheme="minorEastAsia" w:cstheme="minorEastAsia"/>
          <w:b/>
          <w:sz w:val="28"/>
          <w:szCs w:val="28"/>
        </w:rPr>
      </w:pPr>
    </w:p>
    <w:p>
      <w:pPr>
        <w:autoSpaceDE w:val="0"/>
        <w:autoSpaceDN w:val="0"/>
        <w:spacing w:line="30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注：本报价一览表须单独密封递交。</w:t>
      </w:r>
    </w:p>
    <w:p>
      <w:pPr>
        <w:autoSpaceDE w:val="0"/>
        <w:autoSpaceDN w:val="0"/>
        <w:spacing w:line="300" w:lineRule="auto"/>
        <w:ind w:firstLine="240"/>
        <w:rPr>
          <w:rFonts w:hint="eastAsia" w:asciiTheme="minorEastAsia" w:hAnsiTheme="minorEastAsia" w:eastAsiaTheme="minorEastAsia" w:cstheme="minorEastAsia"/>
          <w:sz w:val="28"/>
          <w:szCs w:val="28"/>
        </w:rPr>
      </w:pPr>
    </w:p>
    <w:p>
      <w:pPr>
        <w:autoSpaceDE w:val="0"/>
        <w:autoSpaceDN w:val="0"/>
        <w:spacing w:line="300" w:lineRule="auto"/>
        <w:ind w:firstLine="240"/>
        <w:rPr>
          <w:rFonts w:hint="eastAsia" w:asciiTheme="minorEastAsia" w:hAnsiTheme="minorEastAsia" w:eastAsiaTheme="minorEastAsia" w:cstheme="minorEastAsia"/>
          <w:sz w:val="28"/>
          <w:szCs w:val="28"/>
        </w:rPr>
      </w:pPr>
    </w:p>
    <w:p>
      <w:pPr>
        <w:spacing w:afterLines="50"/>
        <w:ind w:firstLine="5740" w:firstLineChars="20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供应商（盖章）</w:t>
      </w:r>
    </w:p>
    <w:p>
      <w:pPr>
        <w:wordWrap w:val="0"/>
        <w:spacing w:afterLines="50"/>
        <w:ind w:firstLine="240"/>
        <w:jc w:val="righ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授权代表（签字）</w:t>
      </w:r>
    </w:p>
    <w:p>
      <w:pPr>
        <w:wordWrap w:val="0"/>
        <w:spacing w:afterLines="50"/>
        <w:ind w:firstLine="24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pPr>
        <w:spacing w:afterLines="50"/>
        <w:ind w:firstLine="240"/>
        <w:jc w:val="right"/>
        <w:rPr>
          <w:rFonts w:hint="eastAsia" w:asciiTheme="minorEastAsia" w:hAnsiTheme="minorEastAsia" w:eastAsiaTheme="minorEastAsia" w:cstheme="minorEastAsia"/>
          <w:sz w:val="28"/>
          <w:szCs w:val="28"/>
        </w:rPr>
      </w:pPr>
    </w:p>
    <w:p>
      <w:pPr>
        <w:pStyle w:val="24"/>
        <w:ind w:left="277" w:leftChars="-86" w:hanging="458" w:hangingChars="163"/>
        <w:jc w:val="both"/>
        <w:rPr>
          <w:rFonts w:hint="eastAsia" w:asciiTheme="minorEastAsia" w:hAnsiTheme="minorEastAsia" w:eastAsiaTheme="minorEastAsia" w:cstheme="minorEastAsia"/>
          <w:b/>
          <w:color w:val="auto"/>
          <w:kern w:val="2"/>
          <w:sz w:val="28"/>
          <w:szCs w:val="28"/>
        </w:rPr>
      </w:pPr>
    </w:p>
    <w:p>
      <w:pPr>
        <w:pStyle w:val="24"/>
        <w:ind w:left="277" w:leftChars="-86" w:hanging="458" w:hangingChars="163"/>
        <w:jc w:val="both"/>
        <w:rPr>
          <w:rFonts w:hint="eastAsia" w:asciiTheme="minorEastAsia" w:hAnsiTheme="minorEastAsia" w:eastAsiaTheme="minorEastAsia" w:cstheme="minorEastAsia"/>
          <w:b/>
          <w:color w:val="auto"/>
          <w:kern w:val="2"/>
          <w:sz w:val="28"/>
          <w:szCs w:val="28"/>
        </w:rPr>
      </w:pPr>
    </w:p>
    <w:p>
      <w:pPr>
        <w:pStyle w:val="24"/>
        <w:ind w:left="277" w:leftChars="-86" w:hanging="458" w:hangingChars="163"/>
        <w:jc w:val="both"/>
        <w:rPr>
          <w:rFonts w:hint="eastAsia" w:asciiTheme="minorEastAsia" w:hAnsiTheme="minorEastAsia" w:eastAsiaTheme="minorEastAsia" w:cstheme="minorEastAsia"/>
          <w:b/>
          <w:color w:val="auto"/>
          <w:kern w:val="2"/>
          <w:sz w:val="28"/>
          <w:szCs w:val="28"/>
        </w:rPr>
      </w:pPr>
    </w:p>
    <w:p>
      <w:pPr>
        <w:pStyle w:val="24"/>
        <w:ind w:left="277" w:leftChars="-86" w:hanging="458" w:hangingChars="163"/>
        <w:jc w:val="both"/>
        <w:rPr>
          <w:rFonts w:hint="eastAsia" w:asciiTheme="minorEastAsia" w:hAnsiTheme="minorEastAsia" w:eastAsiaTheme="minorEastAsia" w:cstheme="minorEastAsia"/>
          <w:b/>
          <w:color w:val="auto"/>
          <w:kern w:val="2"/>
          <w:sz w:val="28"/>
          <w:szCs w:val="28"/>
        </w:rPr>
      </w:pPr>
    </w:p>
    <w:p>
      <w:pPr>
        <w:pStyle w:val="24"/>
        <w:ind w:left="277" w:leftChars="-86" w:hanging="458" w:hangingChars="163"/>
        <w:jc w:val="both"/>
        <w:rPr>
          <w:rFonts w:hint="eastAsia" w:asciiTheme="minorEastAsia" w:hAnsiTheme="minorEastAsia" w:eastAsiaTheme="minorEastAsia" w:cstheme="minorEastAsia"/>
          <w:b/>
          <w:color w:val="auto"/>
          <w:kern w:val="2"/>
          <w:sz w:val="28"/>
          <w:szCs w:val="28"/>
        </w:rPr>
      </w:pPr>
    </w:p>
    <w:p>
      <w:pPr>
        <w:pStyle w:val="24"/>
        <w:ind w:left="277" w:leftChars="-86" w:hanging="458" w:hangingChars="163"/>
        <w:jc w:val="both"/>
        <w:rPr>
          <w:rFonts w:hint="eastAsia" w:asciiTheme="minorEastAsia" w:hAnsiTheme="minorEastAsia" w:eastAsiaTheme="minorEastAsia" w:cstheme="minorEastAsia"/>
          <w:b/>
          <w:color w:val="auto"/>
          <w:kern w:val="2"/>
          <w:sz w:val="28"/>
          <w:szCs w:val="28"/>
        </w:rPr>
      </w:pPr>
    </w:p>
    <w:p>
      <w:pPr>
        <w:pStyle w:val="24"/>
        <w:jc w:val="both"/>
        <w:rPr>
          <w:rFonts w:hint="eastAsia" w:asciiTheme="minorEastAsia" w:hAnsiTheme="minorEastAsia" w:eastAsiaTheme="minorEastAsia" w:cstheme="minorEastAsia"/>
          <w:b/>
          <w:color w:val="auto"/>
          <w:kern w:val="2"/>
          <w:sz w:val="28"/>
          <w:szCs w:val="28"/>
        </w:rPr>
      </w:pPr>
    </w:p>
    <w:p>
      <w:pPr>
        <w:pStyle w:val="24"/>
        <w:jc w:val="both"/>
        <w:rPr>
          <w:rFonts w:hint="eastAsia" w:asciiTheme="minorEastAsia" w:hAnsiTheme="minorEastAsia" w:eastAsiaTheme="minorEastAsia" w:cstheme="minorEastAsia"/>
          <w:b/>
          <w:color w:val="auto"/>
          <w:kern w:val="2"/>
          <w:sz w:val="28"/>
          <w:szCs w:val="28"/>
        </w:rPr>
      </w:pPr>
    </w:p>
    <w:p>
      <w:pPr>
        <w:widowControl/>
        <w:jc w:val="left"/>
        <w:rPr>
          <w:rFonts w:hint="eastAsia" w:asciiTheme="minorEastAsia" w:hAnsiTheme="minorEastAsia" w:eastAsiaTheme="minorEastAsia" w:cstheme="minorEastAsia"/>
          <w:b/>
          <w:bCs/>
          <w:sz w:val="28"/>
          <w:szCs w:val="28"/>
        </w:rPr>
      </w:pPr>
      <w:bookmarkStart w:id="226" w:name="_Toc493877637"/>
    </w:p>
    <w:p>
      <w:pPr>
        <w:pStyle w:val="5"/>
        <w:spacing w:before="24" w:after="24"/>
        <w:ind w:left="1"/>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★分项报价表</w:t>
      </w:r>
      <w:bookmarkEnd w:id="226"/>
    </w:p>
    <w:p>
      <w:pPr>
        <w:widowControl/>
        <w:ind w:firstLine="241"/>
        <w:jc w:val="center"/>
        <w:rPr>
          <w:rFonts w:hint="eastAsia" w:asciiTheme="minorEastAsia" w:hAnsiTheme="minorEastAsia" w:eastAsiaTheme="minorEastAsia" w:cstheme="minorEastAsia"/>
          <w:b/>
          <w:bCs/>
          <w:sz w:val="28"/>
          <w:szCs w:val="28"/>
        </w:rPr>
      </w:pPr>
    </w:p>
    <w:p>
      <w:pPr>
        <w:tabs>
          <w:tab w:val="left" w:pos="9135"/>
        </w:tabs>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供应商名称(公章)：　　           　　　　　　　　</w:t>
      </w:r>
    </w:p>
    <w:p>
      <w:pPr>
        <w:tabs>
          <w:tab w:val="left" w:pos="9135"/>
        </w:tabs>
        <w:rPr>
          <w:rFonts w:hint="eastAsia" w:asciiTheme="minorEastAsia" w:hAnsiTheme="minorEastAsia" w:eastAsiaTheme="minorEastAsia" w:cstheme="minorEastAsia"/>
          <w:sz w:val="28"/>
          <w:szCs w:val="28"/>
        </w:rPr>
      </w:pPr>
    </w:p>
    <w:p>
      <w:pPr>
        <w:tabs>
          <w:tab w:val="left" w:pos="9135"/>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项目编号:</w:t>
      </w:r>
    </w:p>
    <w:p>
      <w:pPr>
        <w:tabs>
          <w:tab w:val="left" w:pos="9135"/>
        </w:tabs>
        <w:rPr>
          <w:rFonts w:hint="eastAsia" w:asciiTheme="minorEastAsia" w:hAnsiTheme="minorEastAsia" w:eastAsiaTheme="minorEastAsia" w:cstheme="minorEastAsia"/>
          <w:sz w:val="28"/>
          <w:szCs w:val="28"/>
          <w:u w:val="single"/>
        </w:rPr>
      </w:pPr>
    </w:p>
    <w:tbl>
      <w:tblPr>
        <w:tblStyle w:val="15"/>
        <w:tblW w:w="9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1"/>
        <w:gridCol w:w="3413"/>
        <w:gridCol w:w="1765"/>
        <w:gridCol w:w="1471"/>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Borders>
              <w:top w:val="single" w:color="auto" w:sz="4" w:space="0"/>
              <w:left w:val="single" w:color="auto" w:sz="4" w:space="0"/>
              <w:bottom w:val="single" w:color="auto" w:sz="4" w:space="0"/>
              <w:right w:val="single" w:color="auto" w:sz="4" w:space="0"/>
            </w:tcBorders>
            <w:vAlign w:val="center"/>
          </w:tcPr>
          <w:p>
            <w:pPr>
              <w:tabs>
                <w:tab w:val="left" w:pos="9135"/>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序号</w:t>
            </w:r>
          </w:p>
        </w:tc>
        <w:tc>
          <w:tcPr>
            <w:tcW w:w="3413" w:type="dxa"/>
            <w:tcBorders>
              <w:top w:val="single" w:color="auto" w:sz="4" w:space="0"/>
              <w:left w:val="single" w:color="auto" w:sz="4" w:space="0"/>
              <w:bottom w:val="single" w:color="auto" w:sz="4" w:space="0"/>
              <w:right w:val="single" w:color="auto" w:sz="4" w:space="0"/>
            </w:tcBorders>
            <w:vAlign w:val="center"/>
          </w:tcPr>
          <w:p>
            <w:pPr>
              <w:tabs>
                <w:tab w:val="left" w:pos="9135"/>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名称</w:t>
            </w:r>
          </w:p>
        </w:tc>
        <w:tc>
          <w:tcPr>
            <w:tcW w:w="1765" w:type="dxa"/>
            <w:tcBorders>
              <w:top w:val="single" w:color="auto" w:sz="4" w:space="0"/>
              <w:left w:val="single" w:color="auto" w:sz="4" w:space="0"/>
              <w:bottom w:val="single" w:color="auto" w:sz="4" w:space="0"/>
              <w:right w:val="single" w:color="auto" w:sz="4" w:space="0"/>
            </w:tcBorders>
            <w:vAlign w:val="center"/>
          </w:tcPr>
          <w:p>
            <w:pPr>
              <w:tabs>
                <w:tab w:val="left" w:pos="9135"/>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数量</w:t>
            </w:r>
          </w:p>
        </w:tc>
        <w:tc>
          <w:tcPr>
            <w:tcW w:w="1471" w:type="dxa"/>
            <w:tcBorders>
              <w:top w:val="single" w:color="auto" w:sz="4" w:space="0"/>
              <w:left w:val="single" w:color="auto" w:sz="4" w:space="0"/>
              <w:bottom w:val="single" w:color="auto" w:sz="4" w:space="0"/>
              <w:right w:val="single" w:color="auto" w:sz="4" w:space="0"/>
            </w:tcBorders>
          </w:tcPr>
          <w:p>
            <w:pPr>
              <w:tabs>
                <w:tab w:val="left" w:pos="9135"/>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单价（元）</w:t>
            </w:r>
          </w:p>
        </w:tc>
        <w:tc>
          <w:tcPr>
            <w:tcW w:w="1469" w:type="dxa"/>
            <w:tcBorders>
              <w:top w:val="single" w:color="auto" w:sz="4" w:space="0"/>
              <w:left w:val="single" w:color="auto" w:sz="4" w:space="0"/>
              <w:bottom w:val="single" w:color="auto" w:sz="4" w:space="0"/>
              <w:right w:val="single" w:color="auto" w:sz="4" w:space="0"/>
            </w:tcBorders>
          </w:tcPr>
          <w:p>
            <w:pPr>
              <w:tabs>
                <w:tab w:val="left" w:pos="9135"/>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总计（元）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Borders>
              <w:top w:val="single" w:color="auto" w:sz="4" w:space="0"/>
              <w:left w:val="single" w:color="auto" w:sz="4" w:space="0"/>
              <w:bottom w:val="single" w:color="auto" w:sz="4" w:space="0"/>
              <w:right w:val="single" w:color="auto" w:sz="4" w:space="0"/>
            </w:tcBorders>
            <w:vAlign w:val="center"/>
          </w:tcPr>
          <w:p>
            <w:pPr>
              <w:tabs>
                <w:tab w:val="left" w:pos="9135"/>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3413" w:type="dxa"/>
            <w:tcBorders>
              <w:top w:val="single" w:color="auto" w:sz="4" w:space="0"/>
              <w:left w:val="single" w:color="auto" w:sz="4" w:space="0"/>
              <w:bottom w:val="single" w:color="auto" w:sz="4" w:space="0"/>
              <w:right w:val="single" w:color="auto" w:sz="4" w:space="0"/>
            </w:tcBorders>
            <w:vAlign w:val="center"/>
          </w:tcPr>
          <w:p>
            <w:pPr>
              <w:tabs>
                <w:tab w:val="left" w:pos="9135"/>
              </w:tabs>
              <w:rPr>
                <w:rFonts w:hint="eastAsia" w:asciiTheme="minorEastAsia" w:hAnsiTheme="minorEastAsia" w:eastAsiaTheme="minorEastAsia" w:cstheme="minorEastAsia"/>
                <w:sz w:val="28"/>
                <w:szCs w:val="28"/>
              </w:rPr>
            </w:pPr>
          </w:p>
        </w:tc>
        <w:tc>
          <w:tcPr>
            <w:tcW w:w="1765" w:type="dxa"/>
            <w:tcBorders>
              <w:top w:val="single" w:color="auto" w:sz="4" w:space="0"/>
              <w:left w:val="single" w:color="auto" w:sz="4" w:space="0"/>
              <w:bottom w:val="single" w:color="auto" w:sz="4" w:space="0"/>
              <w:right w:val="single" w:color="auto" w:sz="4" w:space="0"/>
            </w:tcBorders>
            <w:vAlign w:val="center"/>
          </w:tcPr>
          <w:p>
            <w:pPr>
              <w:tabs>
                <w:tab w:val="left" w:pos="9135"/>
              </w:tabs>
              <w:rPr>
                <w:rFonts w:hint="eastAsia" w:asciiTheme="minorEastAsia" w:hAnsiTheme="minorEastAsia" w:eastAsiaTheme="minorEastAsia" w:cstheme="minorEastAsia"/>
                <w:sz w:val="28"/>
                <w:szCs w:val="28"/>
              </w:rPr>
            </w:pPr>
          </w:p>
        </w:tc>
        <w:tc>
          <w:tcPr>
            <w:tcW w:w="1471" w:type="dxa"/>
            <w:tcBorders>
              <w:top w:val="single" w:color="auto" w:sz="4" w:space="0"/>
              <w:left w:val="single" w:color="auto" w:sz="4" w:space="0"/>
              <w:bottom w:val="single" w:color="auto" w:sz="4" w:space="0"/>
              <w:right w:val="single" w:color="auto" w:sz="4" w:space="0"/>
            </w:tcBorders>
          </w:tcPr>
          <w:p>
            <w:pPr>
              <w:tabs>
                <w:tab w:val="left" w:pos="9135"/>
              </w:tabs>
              <w:rPr>
                <w:rFonts w:hint="eastAsia" w:asciiTheme="minorEastAsia" w:hAnsiTheme="minorEastAsia" w:eastAsiaTheme="minorEastAsia" w:cstheme="minorEastAsia"/>
                <w:sz w:val="28"/>
                <w:szCs w:val="28"/>
              </w:rPr>
            </w:pPr>
          </w:p>
        </w:tc>
        <w:tc>
          <w:tcPr>
            <w:tcW w:w="1469"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Borders>
              <w:top w:val="single" w:color="auto" w:sz="4" w:space="0"/>
              <w:left w:val="single" w:color="auto" w:sz="4" w:space="0"/>
              <w:bottom w:val="single" w:color="auto" w:sz="4" w:space="0"/>
              <w:right w:val="single" w:color="auto" w:sz="4" w:space="0"/>
            </w:tcBorders>
            <w:vAlign w:val="center"/>
          </w:tcPr>
          <w:p>
            <w:pPr>
              <w:tabs>
                <w:tab w:val="left" w:pos="9135"/>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p>
        </w:tc>
        <w:tc>
          <w:tcPr>
            <w:tcW w:w="3413" w:type="dxa"/>
            <w:tcBorders>
              <w:top w:val="single" w:color="auto" w:sz="4" w:space="0"/>
              <w:left w:val="single" w:color="auto" w:sz="4" w:space="0"/>
              <w:bottom w:val="single" w:color="auto" w:sz="4" w:space="0"/>
              <w:right w:val="single" w:color="auto" w:sz="4" w:space="0"/>
            </w:tcBorders>
            <w:vAlign w:val="center"/>
          </w:tcPr>
          <w:p>
            <w:pPr>
              <w:tabs>
                <w:tab w:val="left" w:pos="9135"/>
              </w:tabs>
              <w:rPr>
                <w:rFonts w:hint="eastAsia" w:asciiTheme="minorEastAsia" w:hAnsiTheme="minorEastAsia" w:eastAsiaTheme="minorEastAsia" w:cstheme="minorEastAsia"/>
                <w:sz w:val="28"/>
                <w:szCs w:val="28"/>
              </w:rPr>
            </w:pPr>
          </w:p>
        </w:tc>
        <w:tc>
          <w:tcPr>
            <w:tcW w:w="1765" w:type="dxa"/>
            <w:tcBorders>
              <w:top w:val="single" w:color="auto" w:sz="4" w:space="0"/>
              <w:left w:val="single" w:color="auto" w:sz="4" w:space="0"/>
              <w:bottom w:val="single" w:color="auto" w:sz="4" w:space="0"/>
              <w:right w:val="single" w:color="auto" w:sz="4" w:space="0"/>
            </w:tcBorders>
            <w:vAlign w:val="center"/>
          </w:tcPr>
          <w:p>
            <w:pPr>
              <w:tabs>
                <w:tab w:val="left" w:pos="9135"/>
              </w:tabs>
              <w:rPr>
                <w:rFonts w:hint="eastAsia" w:asciiTheme="minorEastAsia" w:hAnsiTheme="minorEastAsia" w:eastAsiaTheme="minorEastAsia" w:cstheme="minorEastAsia"/>
                <w:sz w:val="28"/>
                <w:szCs w:val="28"/>
              </w:rPr>
            </w:pPr>
          </w:p>
        </w:tc>
        <w:tc>
          <w:tcPr>
            <w:tcW w:w="1471" w:type="dxa"/>
            <w:tcBorders>
              <w:top w:val="single" w:color="auto" w:sz="4" w:space="0"/>
              <w:left w:val="single" w:color="auto" w:sz="4" w:space="0"/>
              <w:bottom w:val="single" w:color="auto" w:sz="4" w:space="0"/>
              <w:right w:val="single" w:color="auto" w:sz="4" w:space="0"/>
            </w:tcBorders>
          </w:tcPr>
          <w:p>
            <w:pPr>
              <w:tabs>
                <w:tab w:val="left" w:pos="9135"/>
              </w:tabs>
              <w:rPr>
                <w:rFonts w:hint="eastAsia" w:asciiTheme="minorEastAsia" w:hAnsiTheme="minorEastAsia" w:eastAsiaTheme="minorEastAsia" w:cstheme="minorEastAsia"/>
                <w:sz w:val="28"/>
                <w:szCs w:val="28"/>
              </w:rPr>
            </w:pPr>
          </w:p>
        </w:tc>
        <w:tc>
          <w:tcPr>
            <w:tcW w:w="1469"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4"/>
            <w:tcBorders>
              <w:top w:val="single" w:color="auto" w:sz="4" w:space="0"/>
              <w:left w:val="single" w:color="auto" w:sz="4" w:space="0"/>
              <w:bottom w:val="single" w:color="auto" w:sz="4" w:space="0"/>
              <w:right w:val="single" w:color="auto" w:sz="4" w:space="0"/>
            </w:tcBorders>
            <w:vAlign w:val="center"/>
          </w:tcPr>
          <w:p>
            <w:pPr>
              <w:tabs>
                <w:tab w:val="left" w:pos="9135"/>
              </w:tabs>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  计（元）</w:t>
            </w:r>
          </w:p>
        </w:tc>
        <w:tc>
          <w:tcPr>
            <w:tcW w:w="1469"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28"/>
                <w:szCs w:val="28"/>
              </w:rPr>
            </w:pPr>
          </w:p>
        </w:tc>
      </w:tr>
    </w:tbl>
    <w:p>
      <w:pPr>
        <w:tabs>
          <w:tab w:val="left" w:pos="9135"/>
        </w:tabs>
        <w:rPr>
          <w:rFonts w:hint="eastAsia" w:asciiTheme="minorEastAsia" w:hAnsiTheme="minorEastAsia" w:eastAsiaTheme="minorEastAsia" w:cstheme="minorEastAsia"/>
          <w:sz w:val="28"/>
          <w:szCs w:val="28"/>
          <w:u w:val="single"/>
        </w:rPr>
      </w:pPr>
    </w:p>
    <w:p>
      <w:pPr>
        <w:wordWrap w:val="0"/>
        <w:spacing w:afterLines="50"/>
        <w:ind w:firstLine="240"/>
        <w:jc w:val="right"/>
        <w:rPr>
          <w:rFonts w:hint="eastAsia" w:asciiTheme="minorEastAsia" w:hAnsiTheme="minorEastAsia" w:eastAsiaTheme="minorEastAsia" w:cstheme="minorEastAsia"/>
          <w:sz w:val="28"/>
          <w:szCs w:val="28"/>
        </w:rPr>
      </w:pPr>
      <w:bookmarkStart w:id="227" w:name="_Toc493877638"/>
    </w:p>
    <w:p>
      <w:pPr>
        <w:spacing w:line="360" w:lineRule="auto"/>
        <w:ind w:left="555"/>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 xml:space="preserve">供应商名称（加盖公章）：                                        </w:t>
      </w:r>
    </w:p>
    <w:p>
      <w:pPr>
        <w:spacing w:line="360" w:lineRule="auto"/>
        <w:ind w:left="555"/>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法定代表人（签字或盖章）：</w:t>
      </w:r>
    </w:p>
    <w:p>
      <w:pPr>
        <w:spacing w:line="360" w:lineRule="auto"/>
        <w:ind w:left="555"/>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日期：  年  月  日</w:t>
      </w:r>
    </w:p>
    <w:p>
      <w:pPr>
        <w:widowControl/>
        <w:jc w:val="left"/>
        <w:rPr>
          <w:rFonts w:hint="eastAsia" w:asciiTheme="minorEastAsia" w:hAnsiTheme="minorEastAsia" w:eastAsiaTheme="minorEastAsia" w:cstheme="minorEastAsia"/>
          <w:b/>
          <w:bCs/>
          <w:sz w:val="28"/>
          <w:szCs w:val="28"/>
        </w:rPr>
      </w:pPr>
    </w:p>
    <w:p>
      <w:pPr>
        <w:pStyle w:val="5"/>
        <w:spacing w:before="24" w:after="24"/>
        <w:ind w:left="-344" w:leftChars="-1295" w:hanging="2375" w:hangingChars="845"/>
        <w:jc w:val="cente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pPr>
        <w:spacing w:line="360" w:lineRule="auto"/>
        <w:jc w:val="center"/>
        <w:outlineLvl w:val="0"/>
        <w:rPr>
          <w:rFonts w:hint="eastAsia" w:asciiTheme="minorEastAsia" w:hAnsiTheme="minorEastAsia" w:eastAsiaTheme="minorEastAsia" w:cstheme="minorEastAsia"/>
          <w:b/>
          <w:sz w:val="28"/>
          <w:szCs w:val="28"/>
          <w:lang w:val="zh-CN"/>
        </w:rPr>
      </w:pPr>
      <w:bookmarkStart w:id="228" w:name="_Toc11143"/>
      <w:bookmarkStart w:id="229" w:name="_Toc5653"/>
      <w:r>
        <w:rPr>
          <w:rFonts w:hint="eastAsia" w:asciiTheme="minorEastAsia" w:hAnsiTheme="minorEastAsia" w:eastAsiaTheme="minorEastAsia" w:cstheme="minorEastAsia"/>
          <w:b/>
          <w:sz w:val="28"/>
          <w:szCs w:val="28"/>
          <w:lang w:val="zh-CN"/>
        </w:rPr>
        <w:t>二次报价单</w:t>
      </w:r>
      <w:bookmarkEnd w:id="228"/>
      <w:bookmarkEnd w:id="229"/>
    </w:p>
    <w:tbl>
      <w:tblPr>
        <w:tblStyle w:val="15"/>
        <w:tblW w:w="9102" w:type="dxa"/>
        <w:tblInd w:w="0" w:type="dxa"/>
        <w:tblLayout w:type="fixed"/>
        <w:tblCellMar>
          <w:top w:w="15" w:type="dxa"/>
          <w:left w:w="15" w:type="dxa"/>
          <w:bottom w:w="15" w:type="dxa"/>
          <w:right w:w="15" w:type="dxa"/>
        </w:tblCellMar>
      </w:tblPr>
      <w:tblGrid>
        <w:gridCol w:w="2533"/>
        <w:gridCol w:w="1892"/>
        <w:gridCol w:w="2179"/>
        <w:gridCol w:w="2498"/>
      </w:tblGrid>
      <w:tr>
        <w:tblPrEx>
          <w:tblCellMar>
            <w:top w:w="15" w:type="dxa"/>
            <w:left w:w="15" w:type="dxa"/>
            <w:bottom w:w="15" w:type="dxa"/>
            <w:right w:w="15" w:type="dxa"/>
          </w:tblCellMar>
        </w:tblPrEx>
        <w:trPr>
          <w:trHeight w:val="693" w:hRule="atLeast"/>
        </w:trPr>
        <w:tc>
          <w:tcPr>
            <w:tcW w:w="2533"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spacing w:line="360" w:lineRule="auto"/>
              <w:jc w:val="center"/>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w:t>
            </w:r>
          </w:p>
        </w:tc>
        <w:tc>
          <w:tcPr>
            <w:tcW w:w="6569" w:type="dxa"/>
            <w:gridSpan w:val="3"/>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spacing w:line="360" w:lineRule="auto"/>
              <w:jc w:val="center"/>
              <w:textAlignment w:val="center"/>
              <w:rPr>
                <w:rFonts w:hint="eastAsia" w:asciiTheme="minorEastAsia" w:hAnsiTheme="minorEastAsia" w:eastAsiaTheme="minorEastAsia" w:cstheme="minorEastAsia"/>
                <w:sz w:val="28"/>
                <w:szCs w:val="28"/>
              </w:rPr>
            </w:pPr>
          </w:p>
        </w:tc>
      </w:tr>
      <w:tr>
        <w:tblPrEx>
          <w:tblCellMar>
            <w:top w:w="15" w:type="dxa"/>
            <w:left w:w="15" w:type="dxa"/>
            <w:bottom w:w="15" w:type="dxa"/>
            <w:right w:w="15" w:type="dxa"/>
          </w:tblCellMar>
        </w:tblPrEx>
        <w:trPr>
          <w:trHeight w:val="890" w:hRule="atLeast"/>
        </w:trPr>
        <w:tc>
          <w:tcPr>
            <w:tcW w:w="2533"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spacing w:line="360" w:lineRule="auto"/>
              <w:jc w:val="center"/>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w:t>
            </w:r>
          </w:p>
        </w:tc>
        <w:tc>
          <w:tcPr>
            <w:tcW w:w="1892"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spacing w:line="360" w:lineRule="auto"/>
              <w:jc w:val="center"/>
              <w:textAlignment w:val="center"/>
              <w:rPr>
                <w:rFonts w:hint="eastAsia" w:asciiTheme="minorEastAsia" w:hAnsiTheme="minorEastAsia" w:eastAsiaTheme="minorEastAsia" w:cstheme="minorEastAsia"/>
                <w:sz w:val="28"/>
                <w:szCs w:val="28"/>
              </w:rPr>
            </w:pPr>
          </w:p>
        </w:tc>
        <w:tc>
          <w:tcPr>
            <w:tcW w:w="2179"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spacing w:line="360" w:lineRule="auto"/>
              <w:jc w:val="center"/>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法人委托代理人</w:t>
            </w:r>
          </w:p>
        </w:tc>
        <w:tc>
          <w:tcPr>
            <w:tcW w:w="2498"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spacing w:line="360" w:lineRule="auto"/>
              <w:jc w:val="center"/>
              <w:textAlignment w:val="center"/>
              <w:rPr>
                <w:rFonts w:hint="eastAsia" w:asciiTheme="minorEastAsia" w:hAnsiTheme="minorEastAsia" w:eastAsiaTheme="minorEastAsia" w:cstheme="minorEastAsia"/>
                <w:sz w:val="28"/>
                <w:szCs w:val="28"/>
              </w:rPr>
            </w:pPr>
          </w:p>
        </w:tc>
      </w:tr>
      <w:tr>
        <w:tblPrEx>
          <w:tblCellMar>
            <w:top w:w="15" w:type="dxa"/>
            <w:left w:w="15" w:type="dxa"/>
            <w:bottom w:w="15" w:type="dxa"/>
            <w:right w:w="15" w:type="dxa"/>
          </w:tblCellMar>
        </w:tblPrEx>
        <w:trPr>
          <w:trHeight w:val="850" w:hRule="atLeast"/>
        </w:trPr>
        <w:tc>
          <w:tcPr>
            <w:tcW w:w="2533"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spacing w:line="360" w:lineRule="auto"/>
              <w:jc w:val="center"/>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联系人</w:t>
            </w:r>
          </w:p>
        </w:tc>
        <w:tc>
          <w:tcPr>
            <w:tcW w:w="1892"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spacing w:line="360" w:lineRule="auto"/>
              <w:jc w:val="center"/>
              <w:textAlignment w:val="center"/>
              <w:rPr>
                <w:rFonts w:hint="eastAsia" w:asciiTheme="minorEastAsia" w:hAnsiTheme="minorEastAsia" w:eastAsiaTheme="minorEastAsia" w:cstheme="minorEastAsia"/>
                <w:sz w:val="28"/>
                <w:szCs w:val="28"/>
              </w:rPr>
            </w:pPr>
          </w:p>
        </w:tc>
        <w:tc>
          <w:tcPr>
            <w:tcW w:w="2179"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spacing w:line="360" w:lineRule="auto"/>
              <w:jc w:val="center"/>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联系电话</w:t>
            </w:r>
          </w:p>
        </w:tc>
        <w:tc>
          <w:tcPr>
            <w:tcW w:w="2498"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spacing w:line="360" w:lineRule="auto"/>
              <w:jc w:val="center"/>
              <w:textAlignment w:val="center"/>
              <w:rPr>
                <w:rFonts w:hint="eastAsia" w:asciiTheme="minorEastAsia" w:hAnsiTheme="minorEastAsia" w:eastAsiaTheme="minorEastAsia" w:cstheme="minorEastAsia"/>
                <w:sz w:val="28"/>
                <w:szCs w:val="28"/>
              </w:rPr>
            </w:pPr>
          </w:p>
        </w:tc>
      </w:tr>
      <w:tr>
        <w:tblPrEx>
          <w:tblCellMar>
            <w:top w:w="15" w:type="dxa"/>
            <w:left w:w="15" w:type="dxa"/>
            <w:bottom w:w="15" w:type="dxa"/>
            <w:right w:w="15" w:type="dxa"/>
          </w:tblCellMar>
        </w:tblPrEx>
        <w:trPr>
          <w:trHeight w:val="960" w:hRule="atLeast"/>
        </w:trPr>
        <w:tc>
          <w:tcPr>
            <w:tcW w:w="2533"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spacing w:line="360" w:lineRule="auto"/>
              <w:jc w:val="center"/>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单位地址</w:t>
            </w:r>
          </w:p>
        </w:tc>
        <w:tc>
          <w:tcPr>
            <w:tcW w:w="6569" w:type="dxa"/>
            <w:gridSpan w:val="3"/>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spacing w:line="360" w:lineRule="auto"/>
              <w:jc w:val="center"/>
              <w:textAlignment w:val="center"/>
              <w:rPr>
                <w:rFonts w:hint="eastAsia" w:asciiTheme="minorEastAsia" w:hAnsiTheme="minorEastAsia" w:eastAsiaTheme="minorEastAsia" w:cstheme="minorEastAsia"/>
                <w:sz w:val="28"/>
                <w:szCs w:val="28"/>
              </w:rPr>
            </w:pPr>
          </w:p>
        </w:tc>
      </w:tr>
      <w:tr>
        <w:tblPrEx>
          <w:tblCellMar>
            <w:top w:w="15" w:type="dxa"/>
            <w:left w:w="15" w:type="dxa"/>
            <w:bottom w:w="15" w:type="dxa"/>
            <w:right w:w="15" w:type="dxa"/>
          </w:tblCellMar>
        </w:tblPrEx>
        <w:trPr>
          <w:trHeight w:val="890" w:hRule="atLeast"/>
        </w:trPr>
        <w:tc>
          <w:tcPr>
            <w:tcW w:w="2533"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spacing w:line="360" w:lineRule="auto"/>
              <w:jc w:val="center"/>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开户银行</w:t>
            </w:r>
          </w:p>
        </w:tc>
        <w:tc>
          <w:tcPr>
            <w:tcW w:w="6569" w:type="dxa"/>
            <w:gridSpan w:val="3"/>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spacing w:line="360" w:lineRule="auto"/>
              <w:jc w:val="center"/>
              <w:textAlignment w:val="center"/>
              <w:rPr>
                <w:rFonts w:hint="eastAsia" w:asciiTheme="minorEastAsia" w:hAnsiTheme="minorEastAsia" w:eastAsiaTheme="minorEastAsia" w:cstheme="minorEastAsia"/>
                <w:sz w:val="28"/>
                <w:szCs w:val="28"/>
              </w:rPr>
            </w:pPr>
          </w:p>
        </w:tc>
      </w:tr>
      <w:tr>
        <w:tblPrEx>
          <w:tblCellMar>
            <w:top w:w="15" w:type="dxa"/>
            <w:left w:w="15" w:type="dxa"/>
            <w:bottom w:w="15" w:type="dxa"/>
            <w:right w:w="15" w:type="dxa"/>
          </w:tblCellMar>
        </w:tblPrEx>
        <w:trPr>
          <w:trHeight w:val="535" w:hRule="atLeast"/>
        </w:trPr>
        <w:tc>
          <w:tcPr>
            <w:tcW w:w="2533"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spacing w:line="360" w:lineRule="auto"/>
              <w:jc w:val="center"/>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投标项目</w:t>
            </w:r>
          </w:p>
          <w:p>
            <w:pPr>
              <w:widowControl/>
              <w:autoSpaceDE w:val="0"/>
              <w:autoSpaceDN w:val="0"/>
              <w:spacing w:line="360" w:lineRule="auto"/>
              <w:jc w:val="center"/>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名称</w:t>
            </w:r>
          </w:p>
        </w:tc>
        <w:tc>
          <w:tcPr>
            <w:tcW w:w="6569" w:type="dxa"/>
            <w:gridSpan w:val="3"/>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spacing w:line="360" w:lineRule="auto"/>
              <w:jc w:val="center"/>
              <w:textAlignment w:val="center"/>
              <w:rPr>
                <w:rFonts w:hint="eastAsia" w:asciiTheme="minorEastAsia" w:hAnsiTheme="minorEastAsia" w:eastAsiaTheme="minorEastAsia" w:cstheme="minorEastAsia"/>
                <w:sz w:val="28"/>
                <w:szCs w:val="28"/>
              </w:rPr>
            </w:pPr>
          </w:p>
        </w:tc>
      </w:tr>
      <w:tr>
        <w:tblPrEx>
          <w:tblCellMar>
            <w:top w:w="15" w:type="dxa"/>
            <w:left w:w="15" w:type="dxa"/>
            <w:bottom w:w="15" w:type="dxa"/>
            <w:right w:w="15" w:type="dxa"/>
          </w:tblCellMar>
        </w:tblPrEx>
        <w:trPr>
          <w:trHeight w:val="1390" w:hRule="atLeast"/>
        </w:trPr>
        <w:tc>
          <w:tcPr>
            <w:tcW w:w="2533" w:type="dxa"/>
            <w:tcBorders>
              <w:top w:val="single" w:color="000000" w:sz="4" w:space="0"/>
              <w:left w:val="single" w:color="000000" w:sz="4" w:space="0"/>
              <w:bottom w:val="single" w:color="000000" w:sz="4" w:space="0"/>
              <w:right w:val="single" w:color="auto" w:sz="4" w:space="0"/>
            </w:tcBorders>
            <w:noWrap/>
            <w:vAlign w:val="center"/>
          </w:tcPr>
          <w:p>
            <w:pPr>
              <w:widowControl/>
              <w:autoSpaceDE w:val="0"/>
              <w:autoSpaceDN w:val="0"/>
              <w:spacing w:line="360" w:lineRule="auto"/>
              <w:jc w:val="center"/>
              <w:textAlignment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投标报价（元）人民币</w:t>
            </w:r>
          </w:p>
          <w:p>
            <w:pPr>
              <w:widowControl/>
              <w:autoSpaceDE w:val="0"/>
              <w:autoSpaceDN w:val="0"/>
              <w:spacing w:line="360" w:lineRule="auto"/>
              <w:jc w:val="center"/>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（按大写数据为准）</w:t>
            </w:r>
          </w:p>
        </w:tc>
        <w:tc>
          <w:tcPr>
            <w:tcW w:w="6569" w:type="dxa"/>
            <w:gridSpan w:val="3"/>
            <w:tcBorders>
              <w:top w:val="single" w:color="000000" w:sz="4" w:space="0"/>
              <w:left w:val="single" w:color="auto" w:sz="4" w:space="0"/>
              <w:bottom w:val="single" w:color="000000" w:sz="4" w:space="0"/>
              <w:right w:val="single" w:color="000000" w:sz="4" w:space="0"/>
            </w:tcBorders>
            <w:noWrap/>
            <w:vAlign w:val="center"/>
          </w:tcPr>
          <w:p>
            <w:pPr>
              <w:widowControl/>
              <w:autoSpaceDE w:val="0"/>
              <w:autoSpaceDN w:val="0"/>
              <w:spacing w:line="360" w:lineRule="auto"/>
              <w:ind w:left="239" w:leftChars="114"/>
              <w:textAlignment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小写：</w:t>
            </w:r>
          </w:p>
          <w:p>
            <w:pPr>
              <w:widowControl/>
              <w:autoSpaceDE w:val="0"/>
              <w:autoSpaceDN w:val="0"/>
              <w:spacing w:line="360" w:lineRule="auto"/>
              <w:ind w:left="239" w:leftChars="114"/>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大写：元</w:t>
            </w:r>
          </w:p>
        </w:tc>
      </w:tr>
      <w:tr>
        <w:tblPrEx>
          <w:tblCellMar>
            <w:top w:w="15" w:type="dxa"/>
            <w:left w:w="15" w:type="dxa"/>
            <w:bottom w:w="15" w:type="dxa"/>
            <w:right w:w="15" w:type="dxa"/>
          </w:tblCellMar>
        </w:tblPrEx>
        <w:trPr>
          <w:trHeight w:val="1050" w:hRule="atLeast"/>
        </w:trPr>
        <w:tc>
          <w:tcPr>
            <w:tcW w:w="2533" w:type="dxa"/>
            <w:tcBorders>
              <w:top w:val="single" w:color="000000" w:sz="4" w:space="0"/>
              <w:left w:val="single" w:color="000000" w:sz="4" w:space="0"/>
              <w:bottom w:val="single" w:color="000000" w:sz="4" w:space="0"/>
              <w:right w:val="single" w:color="auto" w:sz="4" w:space="0"/>
            </w:tcBorders>
            <w:noWrap/>
            <w:vAlign w:val="center"/>
          </w:tcPr>
          <w:p>
            <w:pPr>
              <w:widowControl/>
              <w:autoSpaceDE w:val="0"/>
              <w:autoSpaceDN w:val="0"/>
              <w:spacing w:line="360" w:lineRule="auto"/>
              <w:jc w:val="center"/>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简要说明：</w:t>
            </w:r>
          </w:p>
        </w:tc>
        <w:tc>
          <w:tcPr>
            <w:tcW w:w="6569" w:type="dxa"/>
            <w:gridSpan w:val="3"/>
            <w:tcBorders>
              <w:top w:val="single" w:color="000000" w:sz="4" w:space="0"/>
              <w:left w:val="single" w:color="auto" w:sz="4" w:space="0"/>
              <w:bottom w:val="single" w:color="000000" w:sz="4" w:space="0"/>
              <w:right w:val="single" w:color="000000" w:sz="4" w:space="0"/>
            </w:tcBorders>
            <w:noWrap/>
            <w:vAlign w:val="center"/>
          </w:tcPr>
          <w:p>
            <w:pPr>
              <w:widowControl/>
              <w:autoSpaceDE w:val="0"/>
              <w:autoSpaceDN w:val="0"/>
              <w:spacing w:line="360" w:lineRule="auto"/>
              <w:jc w:val="center"/>
              <w:textAlignment w:val="center"/>
              <w:rPr>
                <w:rFonts w:hint="eastAsia" w:asciiTheme="minorEastAsia" w:hAnsiTheme="minorEastAsia" w:eastAsiaTheme="minorEastAsia" w:cstheme="minorEastAsia"/>
                <w:sz w:val="28"/>
                <w:szCs w:val="28"/>
              </w:rPr>
            </w:pPr>
          </w:p>
        </w:tc>
      </w:tr>
    </w:tbl>
    <w:p>
      <w:pPr>
        <w:jc w:val="center"/>
        <w:rPr>
          <w:rFonts w:hint="eastAsia" w:asciiTheme="minorEastAsia" w:hAnsiTheme="minorEastAsia" w:eastAsiaTheme="minorEastAsia" w:cstheme="minorEastAsia"/>
          <w:b/>
          <w:bCs/>
          <w:sz w:val="28"/>
          <w:szCs w:val="28"/>
        </w:rPr>
      </w:pPr>
    </w:p>
    <w:p>
      <w:pPr>
        <w:pStyle w:val="28"/>
        <w:jc w:val="center"/>
        <w:outlineLvl w:val="2"/>
        <w:rPr>
          <w:rFonts w:hint="eastAsia" w:asciiTheme="minorEastAsia" w:hAnsiTheme="minorEastAsia" w:eastAsiaTheme="minorEastAsia" w:cstheme="minorEastAsia"/>
          <w:bCs/>
          <w:sz w:val="28"/>
          <w:szCs w:val="28"/>
          <w:lang w:val="zh-CN"/>
        </w:rPr>
      </w:pPr>
      <w:r>
        <w:rPr>
          <w:rFonts w:hint="eastAsia" w:asciiTheme="minorEastAsia" w:hAnsiTheme="minorEastAsia" w:eastAsiaTheme="minorEastAsia" w:cstheme="minorEastAsia"/>
          <w:bCs/>
          <w:sz w:val="28"/>
          <w:szCs w:val="28"/>
          <w:lang w:val="zh-CN"/>
        </w:rPr>
        <w:t>注：第二次报价单由供应商自行准备并加盖单位公章，开标现场填写。</w:t>
      </w:r>
    </w:p>
    <w:p>
      <w:pPr>
        <w:pStyle w:val="33"/>
        <w:spacing w:line="360" w:lineRule="auto"/>
        <w:ind w:right="-97"/>
        <w:jc w:val="both"/>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br w:type="page"/>
      </w:r>
      <w:r>
        <w:rPr>
          <w:rFonts w:hint="eastAsia" w:asciiTheme="minorEastAsia" w:hAnsiTheme="minorEastAsia" w:eastAsiaTheme="minorEastAsia" w:cstheme="minorEastAsia"/>
          <w:b/>
          <w:sz w:val="28"/>
          <w:szCs w:val="28"/>
        </w:rPr>
        <w:t>中小企业声明函（如有）</w:t>
      </w:r>
    </w:p>
    <w:p>
      <w:pPr>
        <w:pStyle w:val="34"/>
        <w:spacing w:line="360" w:lineRule="auto"/>
        <w:ind w:left="0" w:leftChars="0" w:firstLine="0" w:firstLineChars="0"/>
        <w:rPr>
          <w:rFonts w:hint="eastAsia" w:asciiTheme="minorEastAsia" w:hAnsiTheme="minorEastAsia" w:eastAsiaTheme="minorEastAsia" w:cstheme="minorEastAsia"/>
          <w:bCs/>
          <w:sz w:val="28"/>
          <w:szCs w:val="28"/>
          <w:u w:val="single"/>
        </w:rPr>
      </w:pPr>
      <w:r>
        <w:rPr>
          <w:rFonts w:hint="eastAsia" w:asciiTheme="minorEastAsia" w:hAnsiTheme="minorEastAsia" w:eastAsiaTheme="minorEastAsia" w:cstheme="minorEastAsia"/>
          <w:sz w:val="28"/>
          <w:szCs w:val="28"/>
        </w:rPr>
        <w:t>项目编号：</w:t>
      </w:r>
    </w:p>
    <w:p>
      <w:pPr>
        <w:pStyle w:val="33"/>
        <w:spacing w:line="360" w:lineRule="auto"/>
        <w:ind w:firstLine="584" w:firstLineChars="20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本公司郑重声明，根据《政府采购促进中小企业发展暂行办法》（财库[2011]181号）的规定，本公司为______（请填写：中型、小型、微型）企业。即，本公司同时满足以下条件：</w:t>
      </w:r>
    </w:p>
    <w:p>
      <w:pPr>
        <w:pStyle w:val="33"/>
        <w:spacing w:line="360" w:lineRule="auto"/>
        <w:ind w:firstLine="584" w:firstLineChars="20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1.根据《工业和信息化部、国家统计局、国家发展和改革委员会、财政部关于印发中小企业划型标准规定的通知》（工信部联企业[2011]300号）规定的划分标准，本公司为______（请填写：中型、小型、微型）企业。</w:t>
      </w:r>
    </w:p>
    <w:p>
      <w:pPr>
        <w:pStyle w:val="33"/>
        <w:spacing w:line="360" w:lineRule="auto"/>
        <w:ind w:firstLine="584" w:firstLineChars="20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pStyle w:val="33"/>
        <w:spacing w:line="360" w:lineRule="auto"/>
        <w:ind w:firstLine="584" w:firstLineChars="20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本公司对上述声明的真实性负责。如有虚假，将依法承担相应责任。</w:t>
      </w:r>
    </w:p>
    <w:p>
      <w:pPr>
        <w:pStyle w:val="33"/>
        <w:spacing w:line="360" w:lineRule="auto"/>
        <w:ind w:firstLine="5880" w:firstLineChars="2100"/>
        <w:rPr>
          <w:rFonts w:hint="eastAsia" w:asciiTheme="minorEastAsia" w:hAnsiTheme="minorEastAsia" w:eastAsiaTheme="minorEastAsia" w:cstheme="minorEastAsia"/>
          <w:sz w:val="28"/>
          <w:szCs w:val="28"/>
        </w:rPr>
      </w:pPr>
    </w:p>
    <w:p>
      <w:pPr>
        <w:pStyle w:val="33"/>
        <w:spacing w:line="360" w:lineRule="auto"/>
        <w:ind w:firstLine="5880" w:firstLineChars="2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供应商名称（加盖公章）：</w:t>
      </w:r>
    </w:p>
    <w:p>
      <w:pPr>
        <w:pStyle w:val="33"/>
        <w:spacing w:line="360" w:lineRule="auto"/>
        <w:ind w:firstLine="7000" w:firstLineChars="25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pPr>
        <w:pStyle w:val="33"/>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注：如供应商是中小微企业，须提供国家企业信用信息公示系统（http://www.gsxt.gov.cn/index.html）网站中查询的小微企业名录（http://xwqy.gsxt.gov.cn/）网络截图；供应商为代理商的，其代理产品的制造商也必须为小型、微型企业，需同时提供其国家企业信息公示系统（http://www.gsxt.gov.cn/index.html）网络截图。如未附明确的小微企业名录（http://xwqy.gsxt.gov.cn/）网络截图，将不按小型、微型企业处理。如已附网络截图但有虚假，将按无效标处理。如供应商不是中小微企业，以上内容请填写“/”。</w:t>
      </w:r>
    </w:p>
    <w:p>
      <w:pPr>
        <w:spacing w:line="360" w:lineRule="atLeas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br w:type="page"/>
      </w:r>
    </w:p>
    <w:p>
      <w:pPr>
        <w:spacing w:line="560" w:lineRule="exact"/>
        <w:ind w:firstLine="281" w:firstLineChars="100"/>
        <w:jc w:val="center"/>
        <w:rPr>
          <w:rFonts w:hint="eastAsia" w:asciiTheme="minorEastAsia" w:hAnsiTheme="minorEastAsia" w:eastAsiaTheme="minorEastAsia" w:cstheme="minorEastAsia"/>
          <w:b/>
          <w:sz w:val="28"/>
          <w:szCs w:val="28"/>
        </w:rPr>
      </w:pPr>
      <w:bookmarkStart w:id="230" w:name="_Toc10670_WPSOffice_Level1"/>
      <w:bookmarkStart w:id="231" w:name="_Toc15931_WPSOffice_Level1"/>
      <w:r>
        <w:rPr>
          <w:rFonts w:hint="eastAsia" w:asciiTheme="minorEastAsia" w:hAnsiTheme="minorEastAsia" w:eastAsiaTheme="minorEastAsia" w:cstheme="minorEastAsia"/>
          <w:b/>
          <w:sz w:val="28"/>
          <w:szCs w:val="28"/>
        </w:rPr>
        <w:t>企业声明函（如有）</w:t>
      </w:r>
      <w:bookmarkEnd w:id="230"/>
      <w:bookmarkEnd w:id="231"/>
    </w:p>
    <w:p>
      <w:pPr>
        <w:spacing w:line="560" w:lineRule="exact"/>
        <w:ind w:firstLine="420" w:firstLineChars="1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本公司郑重声明，根据《政府采购促进中小企业发展暂行办法》(财库[2011]181号)的规定，本公司为 (请填写：小型、微型)企业。即，本公司同时满足以下条件：</w:t>
      </w:r>
    </w:p>
    <w:p>
      <w:pPr>
        <w:spacing w:line="560" w:lineRule="exact"/>
        <w:ind w:firstLine="420" w:firstLineChars="1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1、根据《工业和信息化部、国家统计局、国家发展和改革委员会、财政部关于印发中小企业划型标准规定的通知》(工信部联企业[2011]300号)规定的划分标准，本公司为(请填写：小型、微型)企业。</w:t>
      </w:r>
    </w:p>
    <w:p>
      <w:pPr>
        <w:spacing w:line="560" w:lineRule="exact"/>
        <w:ind w:firstLine="420" w:firstLineChars="1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本公司参加新疆政府采购中心采购编号为的项目政府采购活动提供本企业制造的货物，由本企业承担工程、提供服务，或者提供其他(请填写：小型、微型)企业制造的货物。本条所称货物不包括使用大型企业注册商标的货物。</w:t>
      </w:r>
    </w:p>
    <w:p>
      <w:pPr>
        <w:spacing w:line="560" w:lineRule="exact"/>
        <w:ind w:firstLine="420" w:firstLineChars="1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3、本公司在本次政府采购活动中提供的小微型企业产品报价合计为人民币（大写）圆整（￥：）。</w:t>
      </w:r>
    </w:p>
    <w:p>
      <w:pPr>
        <w:spacing w:line="560" w:lineRule="exact"/>
        <w:ind w:firstLine="420" w:firstLineChars="1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本公司对上述声明的真实性负责。如有虚假，将依法承担相应责任。</w:t>
      </w:r>
    </w:p>
    <w:p>
      <w:pPr>
        <w:spacing w:line="560" w:lineRule="exact"/>
        <w:ind w:firstLine="420" w:firstLineChars="15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企业名称（盖章）：</w:t>
      </w:r>
    </w:p>
    <w:p>
      <w:pPr>
        <w:spacing w:line="560" w:lineRule="exact"/>
        <w:ind w:right="480" w:firstLine="8120" w:firstLineChars="29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日期：</w:t>
      </w:r>
    </w:p>
    <w:p>
      <w:pPr>
        <w:spacing w:line="560" w:lineRule="exact"/>
        <w:ind w:firstLine="280" w:firstLineChars="100"/>
        <w:rPr>
          <w:rFonts w:hint="eastAsia" w:asciiTheme="minorEastAsia" w:hAnsiTheme="minorEastAsia" w:eastAsiaTheme="minorEastAsia" w:cstheme="minorEastAsia"/>
          <w:sz w:val="28"/>
          <w:szCs w:val="28"/>
        </w:rPr>
      </w:pPr>
    </w:p>
    <w:p>
      <w:pPr>
        <w:pStyle w:val="35"/>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（备注：供应商如不提供此声明函，价格将不做相应扣除）</w:t>
      </w:r>
      <w:r>
        <w:rPr>
          <w:rFonts w:hint="eastAsia" w:asciiTheme="minorEastAsia" w:hAnsiTheme="minorEastAsia" w:eastAsiaTheme="minorEastAsia" w:cstheme="minorEastAsia"/>
          <w:b/>
          <w:bCs/>
          <w:sz w:val="28"/>
          <w:szCs w:val="28"/>
        </w:rPr>
        <w:br w:type="page"/>
      </w:r>
    </w:p>
    <w:p>
      <w:pPr>
        <w:spacing w:line="460" w:lineRule="exact"/>
        <w:ind w:firstLine="643"/>
        <w:jc w:val="center"/>
        <w:rPr>
          <w:rFonts w:hint="eastAsia" w:asciiTheme="minorEastAsia" w:hAnsiTheme="minorEastAsia" w:eastAsiaTheme="minorEastAsia" w:cstheme="minorEastAsia"/>
          <w:b/>
          <w:sz w:val="28"/>
          <w:szCs w:val="28"/>
        </w:rPr>
      </w:pPr>
      <w:bookmarkStart w:id="232" w:name="_Toc13738_WPSOffice_Level1"/>
      <w:bookmarkStart w:id="233" w:name="_Toc14255_WPSOffice_Level1"/>
      <w:r>
        <w:rPr>
          <w:rFonts w:hint="eastAsia" w:asciiTheme="minorEastAsia" w:hAnsiTheme="minorEastAsia" w:eastAsiaTheme="minorEastAsia" w:cstheme="minorEastAsia"/>
          <w:b/>
          <w:sz w:val="28"/>
          <w:szCs w:val="28"/>
        </w:rPr>
        <w:t>残疾人福利性单位声明函（如有）</w:t>
      </w:r>
      <w:bookmarkEnd w:id="232"/>
      <w:bookmarkEnd w:id="233"/>
    </w:p>
    <w:p>
      <w:pPr>
        <w:spacing w:line="588" w:lineRule="exact"/>
        <w:ind w:firstLine="624"/>
        <w:rPr>
          <w:rFonts w:hint="eastAsia" w:asciiTheme="minorEastAsia" w:hAnsiTheme="minorEastAsia" w:eastAsiaTheme="minorEastAsia" w:cstheme="minorEastAsia"/>
          <w:spacing w:val="6"/>
          <w:sz w:val="28"/>
          <w:szCs w:val="28"/>
        </w:rPr>
      </w:pPr>
    </w:p>
    <w:p>
      <w:pPr>
        <w:spacing w:line="588"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本单位郑重声明，根据《财政部 民政部 中国残疾人联合会关于促进残疾人就业政府采购政策的通知》（财库〔2017〕 141号）的规定，本单位为符合条件的残疾人福利性单位，且本单位参加______单位的采购文件编号为______的项目采购活动提供本单位制造的货物（由本单位承担工程/提供服务），或者提供其他残疾人福利性单位制造的货物（不包括使用非残疾人福利性单位注册商标的货物）。</w:t>
      </w:r>
    </w:p>
    <w:p>
      <w:pPr>
        <w:spacing w:line="588"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本单位在本次政府采购活动中提供的残疾人福利单位产品报价合计为人民币（大写）圆整（￥：     ）。</w:t>
      </w:r>
    </w:p>
    <w:p>
      <w:pPr>
        <w:spacing w:line="588"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本单位对上述声明的真实性负责。如有虚假，将依法承担相应责任。</w:t>
      </w:r>
    </w:p>
    <w:p>
      <w:pPr>
        <w:spacing w:line="588" w:lineRule="exact"/>
        <w:ind w:firstLine="480"/>
        <w:rPr>
          <w:rFonts w:hint="eastAsia" w:asciiTheme="minorEastAsia" w:hAnsiTheme="minorEastAsia" w:eastAsiaTheme="minorEastAsia" w:cstheme="minorEastAsia"/>
          <w:sz w:val="28"/>
          <w:szCs w:val="28"/>
        </w:rPr>
      </w:pPr>
    </w:p>
    <w:p>
      <w:pPr>
        <w:spacing w:line="588"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（备注：1、供应商如不提供此声明函，价格将不做相应扣除。2、成交供应商为残疾人福利单位的，此声明函将随成交结果同时公告，接受社会监督）</w:t>
      </w:r>
    </w:p>
    <w:p>
      <w:pPr>
        <w:spacing w:line="588" w:lineRule="exact"/>
        <w:ind w:firstLine="624"/>
        <w:rPr>
          <w:rFonts w:hint="eastAsia" w:asciiTheme="minorEastAsia" w:hAnsiTheme="minorEastAsia" w:eastAsiaTheme="minorEastAsia" w:cstheme="minorEastAsia"/>
          <w:spacing w:val="6"/>
          <w:sz w:val="28"/>
          <w:szCs w:val="28"/>
        </w:rPr>
      </w:pPr>
    </w:p>
    <w:p>
      <w:pPr>
        <w:tabs>
          <w:tab w:val="left" w:pos="4860"/>
        </w:tabs>
        <w:spacing w:line="588" w:lineRule="exact"/>
        <w:ind w:right="1560" w:firstLine="624"/>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供应商全称（盖章）：</w:t>
      </w:r>
    </w:p>
    <w:p>
      <w:pPr>
        <w:tabs>
          <w:tab w:val="left" w:pos="4860"/>
        </w:tabs>
        <w:spacing w:line="588" w:lineRule="exact"/>
        <w:ind w:right="1560" w:firstLine="48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日  期：</w:t>
      </w:r>
    </w:p>
    <w:p>
      <w:pPr>
        <w:pStyle w:val="35"/>
        <w:ind w:firstLine="562" w:firstLineChars="200"/>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pPr>
        <w:pStyle w:val="35"/>
        <w:ind w:firstLine="562" w:firstLineChars="200"/>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监狱企业证明文件（如有）</w:t>
      </w:r>
    </w:p>
    <w:p>
      <w:pPr>
        <w:pStyle w:val="35"/>
        <w:spacing w:line="960" w:lineRule="exact"/>
        <w:ind w:firstLine="560" w:firstLineChars="20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以省级以上监狱管理局、戒毒管理局（含新疆生产建设兵团）出具的属于监狱企业的证明文件为准。</w:t>
      </w:r>
      <w:r>
        <w:rPr>
          <w:rFonts w:hint="eastAsia" w:asciiTheme="minorEastAsia" w:hAnsiTheme="minorEastAsia" w:eastAsiaTheme="minorEastAsia" w:cstheme="minorEastAsia"/>
          <w:b/>
          <w:bCs/>
          <w:sz w:val="28"/>
          <w:szCs w:val="28"/>
        </w:rPr>
        <w:br w:type="page"/>
      </w:r>
    </w:p>
    <w:p>
      <w:pPr>
        <w:spacing w:line="360" w:lineRule="atLeast"/>
        <w:rPr>
          <w:rFonts w:hint="eastAsia" w:asciiTheme="minorEastAsia" w:hAnsiTheme="minorEastAsia" w:eastAsiaTheme="minorEastAsia" w:cstheme="minorEastAsia"/>
          <w:b/>
          <w:sz w:val="28"/>
          <w:szCs w:val="28"/>
        </w:rPr>
      </w:pPr>
    </w:p>
    <w:p>
      <w:pPr>
        <w:spacing w:line="360" w:lineRule="atLeast"/>
        <w:jc w:val="center"/>
        <w:rPr>
          <w:rFonts w:hint="eastAsia" w:asciiTheme="minorEastAsia" w:hAnsiTheme="minorEastAsia" w:eastAsiaTheme="minorEastAsia" w:cstheme="minorEastAsia"/>
          <w:b/>
          <w:sz w:val="28"/>
          <w:szCs w:val="28"/>
          <w:lang w:eastAsia="en-US"/>
        </w:rPr>
      </w:pPr>
      <w:r>
        <w:rPr>
          <w:rFonts w:hint="eastAsia" w:asciiTheme="minorEastAsia" w:hAnsiTheme="minorEastAsia" w:eastAsiaTheme="minorEastAsia" w:cstheme="minorEastAsia"/>
          <w:b/>
          <w:sz w:val="28"/>
          <w:szCs w:val="28"/>
          <w:lang w:eastAsia="en-US"/>
        </w:rPr>
        <w:t>信用查询记录</w:t>
      </w:r>
    </w:p>
    <w:p>
      <w:pPr>
        <w:spacing w:line="360" w:lineRule="atLeast"/>
        <w:ind w:firstLine="281" w:firstLineChars="1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eastAsia="en-US"/>
        </w:rPr>
        <w:t>查询渠道为：“信用中国（www.creditchina.gov.cn ）”网站及“中国政府采购网（www.ccgp.gov.cn）”。</w:t>
      </w:r>
      <w:r>
        <w:rPr>
          <w:rFonts w:hint="eastAsia" w:asciiTheme="minorEastAsia" w:hAnsiTheme="minorEastAsia" w:eastAsiaTheme="minorEastAsia" w:cstheme="minorEastAsia"/>
          <w:b/>
          <w:sz w:val="28"/>
          <w:szCs w:val="28"/>
        </w:rPr>
        <w:t>自公告发布之日起至响应文件递交截止时间止（该时间段内任一时间）。</w:t>
      </w:r>
    </w:p>
    <w:p>
      <w:pPr>
        <w:spacing w:line="360" w:lineRule="atLeas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此处投标单位须附：上述网站查询截图，截图内容必须清晰可辨。</w:t>
      </w:r>
    </w:p>
    <w:p>
      <w:pPr>
        <w:spacing w:line="360" w:lineRule="atLeas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(信用查询最终以开标当日评审现场信用查询的结果为准)</w:t>
      </w:r>
    </w:p>
    <w:p>
      <w:pPr>
        <w:spacing w:line="360" w:lineRule="atLeast"/>
        <w:rPr>
          <w:rFonts w:hint="eastAsia" w:asciiTheme="minorEastAsia" w:hAnsiTheme="minorEastAsia" w:eastAsiaTheme="minorEastAsia" w:cstheme="minorEastAsia"/>
          <w:b/>
          <w:sz w:val="28"/>
          <w:szCs w:val="28"/>
        </w:rPr>
      </w:pPr>
    </w:p>
    <w:bookmarkEnd w:id="227"/>
    <w:p>
      <w:pPr>
        <w:pStyle w:val="5"/>
        <w:spacing w:before="24" w:after="24"/>
        <w:jc w:val="both"/>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br w:type="page"/>
      </w:r>
    </w:p>
    <w:p>
      <w:pPr>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技术参数、功能偏离表</w:t>
      </w:r>
    </w:p>
    <w:p>
      <w:pPr>
        <w:spacing w:line="400" w:lineRule="atLeast"/>
        <w:rPr>
          <w:rFonts w:hint="eastAsia" w:asciiTheme="minorEastAsia" w:hAnsiTheme="minorEastAsia" w:eastAsiaTheme="minorEastAsia" w:cstheme="minorEastAsia"/>
          <w:kern w:val="2"/>
          <w:sz w:val="28"/>
          <w:szCs w:val="28"/>
          <w:lang w:val="en-US" w:eastAsia="zh-CN" w:bidi="ar-SA"/>
        </w:rPr>
      </w:pPr>
    </w:p>
    <w:p>
      <w:pPr>
        <w:spacing w:line="400" w:lineRule="atLeas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投标人名称（公章）：         　　　　　  项目编号：　　　　　　　　　　　</w:t>
      </w:r>
    </w:p>
    <w:tbl>
      <w:tblPr>
        <w:tblStyle w:val="15"/>
        <w:tblW w:w="9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1671"/>
        <w:gridCol w:w="2550"/>
        <w:gridCol w:w="2355"/>
        <w:gridCol w:w="1685"/>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24" w:type="dxa"/>
            <w:vAlign w:val="center"/>
          </w:tcPr>
          <w:p>
            <w:pPr>
              <w:spacing w:line="400" w:lineRule="atLeast"/>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序号</w:t>
            </w:r>
          </w:p>
        </w:tc>
        <w:tc>
          <w:tcPr>
            <w:tcW w:w="1671" w:type="dxa"/>
            <w:vAlign w:val="center"/>
          </w:tcPr>
          <w:p>
            <w:pPr>
              <w:spacing w:line="400" w:lineRule="atLeast"/>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招标文件规格条目号</w:t>
            </w:r>
          </w:p>
        </w:tc>
        <w:tc>
          <w:tcPr>
            <w:tcW w:w="2550" w:type="dxa"/>
            <w:vAlign w:val="center"/>
          </w:tcPr>
          <w:p>
            <w:pPr>
              <w:spacing w:line="400" w:lineRule="atLeast"/>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招标文件要求规格</w:t>
            </w:r>
          </w:p>
        </w:tc>
        <w:tc>
          <w:tcPr>
            <w:tcW w:w="2355" w:type="dxa"/>
            <w:vAlign w:val="center"/>
          </w:tcPr>
          <w:p>
            <w:pPr>
              <w:spacing w:line="400" w:lineRule="atLeast"/>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投标规格</w:t>
            </w:r>
          </w:p>
        </w:tc>
        <w:tc>
          <w:tcPr>
            <w:tcW w:w="1685" w:type="dxa"/>
            <w:vAlign w:val="center"/>
          </w:tcPr>
          <w:p>
            <w:pPr>
              <w:spacing w:line="400" w:lineRule="atLeast"/>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偏离</w:t>
            </w:r>
          </w:p>
        </w:tc>
        <w:tc>
          <w:tcPr>
            <w:tcW w:w="1184" w:type="dxa"/>
            <w:vAlign w:val="center"/>
          </w:tcPr>
          <w:p>
            <w:pPr>
              <w:spacing w:line="400" w:lineRule="atLeast"/>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24" w:type="dxa"/>
          </w:tcPr>
          <w:p>
            <w:pPr>
              <w:spacing w:line="400" w:lineRule="atLeast"/>
              <w:rPr>
                <w:rFonts w:hint="eastAsia" w:asciiTheme="minorEastAsia" w:hAnsiTheme="minorEastAsia" w:eastAsiaTheme="minorEastAsia" w:cstheme="minorEastAsia"/>
                <w:kern w:val="2"/>
                <w:sz w:val="28"/>
                <w:szCs w:val="28"/>
                <w:lang w:val="en-US" w:eastAsia="zh-CN" w:bidi="ar-SA"/>
              </w:rPr>
            </w:pPr>
          </w:p>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1671" w:type="dxa"/>
          </w:tcPr>
          <w:p>
            <w:pPr>
              <w:widowControl/>
              <w:spacing w:line="400" w:lineRule="atLeast"/>
              <w:jc w:val="left"/>
              <w:rPr>
                <w:rFonts w:hint="eastAsia" w:asciiTheme="minorEastAsia" w:hAnsiTheme="minorEastAsia" w:eastAsiaTheme="minorEastAsia" w:cstheme="minorEastAsia"/>
                <w:kern w:val="2"/>
                <w:sz w:val="28"/>
                <w:szCs w:val="28"/>
                <w:lang w:val="en-US" w:eastAsia="zh-CN" w:bidi="ar-SA"/>
              </w:rPr>
            </w:pPr>
          </w:p>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2550"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2355"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1685"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1184"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24" w:type="dxa"/>
          </w:tcPr>
          <w:p>
            <w:pPr>
              <w:spacing w:line="400" w:lineRule="atLeast"/>
              <w:rPr>
                <w:rFonts w:hint="eastAsia" w:asciiTheme="minorEastAsia" w:hAnsiTheme="minorEastAsia" w:eastAsiaTheme="minorEastAsia" w:cstheme="minorEastAsia"/>
                <w:kern w:val="2"/>
                <w:sz w:val="28"/>
                <w:szCs w:val="28"/>
                <w:lang w:val="en-US" w:eastAsia="zh-CN" w:bidi="ar-SA"/>
              </w:rPr>
            </w:pPr>
          </w:p>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1671" w:type="dxa"/>
          </w:tcPr>
          <w:p>
            <w:pPr>
              <w:widowControl/>
              <w:spacing w:line="400" w:lineRule="atLeast"/>
              <w:jc w:val="left"/>
              <w:rPr>
                <w:rFonts w:hint="eastAsia" w:asciiTheme="minorEastAsia" w:hAnsiTheme="minorEastAsia" w:eastAsiaTheme="minorEastAsia" w:cstheme="minorEastAsia"/>
                <w:kern w:val="2"/>
                <w:sz w:val="28"/>
                <w:szCs w:val="28"/>
                <w:lang w:val="en-US" w:eastAsia="zh-CN" w:bidi="ar-SA"/>
              </w:rPr>
            </w:pPr>
          </w:p>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2550"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2355"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1685"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1184"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24" w:type="dxa"/>
          </w:tcPr>
          <w:p>
            <w:pPr>
              <w:spacing w:line="400" w:lineRule="atLeast"/>
              <w:rPr>
                <w:rFonts w:hint="eastAsia" w:asciiTheme="minorEastAsia" w:hAnsiTheme="minorEastAsia" w:eastAsiaTheme="minorEastAsia" w:cstheme="minorEastAsia"/>
                <w:kern w:val="2"/>
                <w:sz w:val="28"/>
                <w:szCs w:val="28"/>
                <w:lang w:val="en-US" w:eastAsia="zh-CN" w:bidi="ar-SA"/>
              </w:rPr>
            </w:pPr>
          </w:p>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1671" w:type="dxa"/>
          </w:tcPr>
          <w:p>
            <w:pPr>
              <w:widowControl/>
              <w:spacing w:line="400" w:lineRule="atLeast"/>
              <w:jc w:val="left"/>
              <w:rPr>
                <w:rFonts w:hint="eastAsia" w:asciiTheme="minorEastAsia" w:hAnsiTheme="minorEastAsia" w:eastAsiaTheme="minorEastAsia" w:cstheme="minorEastAsia"/>
                <w:kern w:val="2"/>
                <w:sz w:val="28"/>
                <w:szCs w:val="28"/>
                <w:lang w:val="en-US" w:eastAsia="zh-CN" w:bidi="ar-SA"/>
              </w:rPr>
            </w:pPr>
          </w:p>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2550"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2355"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1685"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1184"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24" w:type="dxa"/>
          </w:tcPr>
          <w:p>
            <w:pPr>
              <w:spacing w:line="400" w:lineRule="atLeast"/>
              <w:rPr>
                <w:rFonts w:hint="eastAsia" w:asciiTheme="minorEastAsia" w:hAnsiTheme="minorEastAsia" w:eastAsiaTheme="minorEastAsia" w:cstheme="minorEastAsia"/>
                <w:kern w:val="2"/>
                <w:sz w:val="28"/>
                <w:szCs w:val="28"/>
                <w:lang w:val="en-US" w:eastAsia="zh-CN" w:bidi="ar-SA"/>
              </w:rPr>
            </w:pPr>
          </w:p>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1671" w:type="dxa"/>
          </w:tcPr>
          <w:p>
            <w:pPr>
              <w:widowControl/>
              <w:spacing w:line="400" w:lineRule="atLeast"/>
              <w:jc w:val="left"/>
              <w:rPr>
                <w:rFonts w:hint="eastAsia" w:asciiTheme="minorEastAsia" w:hAnsiTheme="minorEastAsia" w:eastAsiaTheme="minorEastAsia" w:cstheme="minorEastAsia"/>
                <w:kern w:val="2"/>
                <w:sz w:val="28"/>
                <w:szCs w:val="28"/>
                <w:lang w:val="en-US" w:eastAsia="zh-CN" w:bidi="ar-SA"/>
              </w:rPr>
            </w:pPr>
          </w:p>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2550"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2355"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1685"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1184"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24" w:type="dxa"/>
          </w:tcPr>
          <w:p>
            <w:pPr>
              <w:spacing w:line="400" w:lineRule="atLeast"/>
              <w:rPr>
                <w:rFonts w:hint="eastAsia" w:asciiTheme="minorEastAsia" w:hAnsiTheme="minorEastAsia" w:eastAsiaTheme="minorEastAsia" w:cstheme="minorEastAsia"/>
                <w:kern w:val="2"/>
                <w:sz w:val="28"/>
                <w:szCs w:val="28"/>
                <w:lang w:val="en-US" w:eastAsia="zh-CN" w:bidi="ar-SA"/>
              </w:rPr>
            </w:pPr>
          </w:p>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1671" w:type="dxa"/>
          </w:tcPr>
          <w:p>
            <w:pPr>
              <w:widowControl/>
              <w:spacing w:line="400" w:lineRule="atLeast"/>
              <w:jc w:val="left"/>
              <w:rPr>
                <w:rFonts w:hint="eastAsia" w:asciiTheme="minorEastAsia" w:hAnsiTheme="minorEastAsia" w:eastAsiaTheme="minorEastAsia" w:cstheme="minorEastAsia"/>
                <w:kern w:val="2"/>
                <w:sz w:val="28"/>
                <w:szCs w:val="28"/>
                <w:lang w:val="en-US" w:eastAsia="zh-CN" w:bidi="ar-SA"/>
              </w:rPr>
            </w:pPr>
          </w:p>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2550"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2355"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1685"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1184"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24" w:type="dxa"/>
          </w:tcPr>
          <w:p>
            <w:pPr>
              <w:spacing w:line="400" w:lineRule="atLeast"/>
              <w:rPr>
                <w:rFonts w:hint="eastAsia" w:asciiTheme="minorEastAsia" w:hAnsiTheme="minorEastAsia" w:eastAsiaTheme="minorEastAsia" w:cstheme="minorEastAsia"/>
                <w:kern w:val="2"/>
                <w:sz w:val="28"/>
                <w:szCs w:val="28"/>
                <w:lang w:val="en-US" w:eastAsia="zh-CN" w:bidi="ar-SA"/>
              </w:rPr>
            </w:pPr>
          </w:p>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1671" w:type="dxa"/>
          </w:tcPr>
          <w:p>
            <w:pPr>
              <w:widowControl/>
              <w:spacing w:line="400" w:lineRule="atLeast"/>
              <w:jc w:val="left"/>
              <w:rPr>
                <w:rFonts w:hint="eastAsia" w:asciiTheme="minorEastAsia" w:hAnsiTheme="minorEastAsia" w:eastAsiaTheme="minorEastAsia" w:cstheme="minorEastAsia"/>
                <w:kern w:val="2"/>
                <w:sz w:val="28"/>
                <w:szCs w:val="28"/>
                <w:lang w:val="en-US" w:eastAsia="zh-CN" w:bidi="ar-SA"/>
              </w:rPr>
            </w:pPr>
          </w:p>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2550"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2355"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1685"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1184"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24" w:type="dxa"/>
          </w:tcPr>
          <w:p>
            <w:pPr>
              <w:spacing w:line="400" w:lineRule="atLeast"/>
              <w:rPr>
                <w:rFonts w:hint="eastAsia" w:asciiTheme="minorEastAsia" w:hAnsiTheme="minorEastAsia" w:eastAsiaTheme="minorEastAsia" w:cstheme="minorEastAsia"/>
                <w:kern w:val="2"/>
                <w:sz w:val="28"/>
                <w:szCs w:val="28"/>
                <w:lang w:val="en-US" w:eastAsia="zh-CN" w:bidi="ar-SA"/>
              </w:rPr>
            </w:pPr>
          </w:p>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1671" w:type="dxa"/>
          </w:tcPr>
          <w:p>
            <w:pPr>
              <w:widowControl/>
              <w:spacing w:line="400" w:lineRule="atLeast"/>
              <w:jc w:val="left"/>
              <w:rPr>
                <w:rFonts w:hint="eastAsia" w:asciiTheme="minorEastAsia" w:hAnsiTheme="minorEastAsia" w:eastAsiaTheme="minorEastAsia" w:cstheme="minorEastAsia"/>
                <w:kern w:val="2"/>
                <w:sz w:val="28"/>
                <w:szCs w:val="28"/>
                <w:lang w:val="en-US" w:eastAsia="zh-CN" w:bidi="ar-SA"/>
              </w:rPr>
            </w:pPr>
          </w:p>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2550"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2355"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1685"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1184"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24" w:type="dxa"/>
          </w:tcPr>
          <w:p>
            <w:pPr>
              <w:spacing w:line="400" w:lineRule="atLeast"/>
              <w:rPr>
                <w:rFonts w:hint="eastAsia" w:asciiTheme="minorEastAsia" w:hAnsiTheme="minorEastAsia" w:eastAsiaTheme="minorEastAsia" w:cstheme="minorEastAsia"/>
                <w:kern w:val="2"/>
                <w:sz w:val="28"/>
                <w:szCs w:val="28"/>
                <w:lang w:val="en-US" w:eastAsia="zh-CN" w:bidi="ar-SA"/>
              </w:rPr>
            </w:pPr>
          </w:p>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1671" w:type="dxa"/>
          </w:tcPr>
          <w:p>
            <w:pPr>
              <w:widowControl/>
              <w:spacing w:line="400" w:lineRule="atLeast"/>
              <w:jc w:val="left"/>
              <w:rPr>
                <w:rFonts w:hint="eastAsia" w:asciiTheme="minorEastAsia" w:hAnsiTheme="minorEastAsia" w:eastAsiaTheme="minorEastAsia" w:cstheme="minorEastAsia"/>
                <w:kern w:val="2"/>
                <w:sz w:val="28"/>
                <w:szCs w:val="28"/>
                <w:lang w:val="en-US" w:eastAsia="zh-CN" w:bidi="ar-SA"/>
              </w:rPr>
            </w:pPr>
          </w:p>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2550"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2355"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1685"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1184"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24" w:type="dxa"/>
          </w:tcPr>
          <w:p>
            <w:pPr>
              <w:spacing w:line="400" w:lineRule="atLeast"/>
              <w:rPr>
                <w:rFonts w:hint="eastAsia" w:asciiTheme="minorEastAsia" w:hAnsiTheme="minorEastAsia" w:eastAsiaTheme="minorEastAsia" w:cstheme="minorEastAsia"/>
                <w:kern w:val="2"/>
                <w:sz w:val="28"/>
                <w:szCs w:val="28"/>
                <w:lang w:val="en-US" w:eastAsia="zh-CN" w:bidi="ar-SA"/>
              </w:rPr>
            </w:pPr>
          </w:p>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1671" w:type="dxa"/>
          </w:tcPr>
          <w:p>
            <w:pPr>
              <w:widowControl/>
              <w:spacing w:line="400" w:lineRule="atLeast"/>
              <w:jc w:val="left"/>
              <w:rPr>
                <w:rFonts w:hint="eastAsia" w:asciiTheme="minorEastAsia" w:hAnsiTheme="minorEastAsia" w:eastAsiaTheme="minorEastAsia" w:cstheme="minorEastAsia"/>
                <w:kern w:val="2"/>
                <w:sz w:val="28"/>
                <w:szCs w:val="28"/>
                <w:lang w:val="en-US" w:eastAsia="zh-CN" w:bidi="ar-SA"/>
              </w:rPr>
            </w:pPr>
          </w:p>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2550"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2355"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1685"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1184"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24" w:type="dxa"/>
          </w:tcPr>
          <w:p>
            <w:pPr>
              <w:spacing w:line="400" w:lineRule="atLeast"/>
              <w:rPr>
                <w:rFonts w:hint="eastAsia" w:asciiTheme="minorEastAsia" w:hAnsiTheme="minorEastAsia" w:eastAsiaTheme="minorEastAsia" w:cstheme="minorEastAsia"/>
                <w:kern w:val="2"/>
                <w:sz w:val="28"/>
                <w:szCs w:val="28"/>
                <w:lang w:val="en-US" w:eastAsia="zh-CN" w:bidi="ar-SA"/>
              </w:rPr>
            </w:pPr>
          </w:p>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1671" w:type="dxa"/>
          </w:tcPr>
          <w:p>
            <w:pPr>
              <w:widowControl/>
              <w:spacing w:line="400" w:lineRule="atLeast"/>
              <w:jc w:val="left"/>
              <w:rPr>
                <w:rFonts w:hint="eastAsia" w:asciiTheme="minorEastAsia" w:hAnsiTheme="minorEastAsia" w:eastAsiaTheme="minorEastAsia" w:cstheme="minorEastAsia"/>
                <w:kern w:val="2"/>
                <w:sz w:val="28"/>
                <w:szCs w:val="28"/>
                <w:lang w:val="en-US" w:eastAsia="zh-CN" w:bidi="ar-SA"/>
              </w:rPr>
            </w:pPr>
          </w:p>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2550"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2355"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1685"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1184"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24"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1671"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2550" w:type="dxa"/>
          </w:tcPr>
          <w:p>
            <w:pPr>
              <w:spacing w:line="400" w:lineRule="atLeast"/>
              <w:rPr>
                <w:rFonts w:hint="eastAsia" w:asciiTheme="minorEastAsia" w:hAnsiTheme="minorEastAsia" w:eastAsiaTheme="minorEastAsia" w:cstheme="minorEastAsia"/>
                <w:kern w:val="2"/>
                <w:sz w:val="28"/>
                <w:szCs w:val="28"/>
                <w:lang w:val="en-US" w:eastAsia="zh-CN" w:bidi="ar-SA"/>
              </w:rPr>
            </w:pPr>
          </w:p>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2355" w:type="dxa"/>
          </w:tcPr>
          <w:p>
            <w:pPr>
              <w:widowControl/>
              <w:spacing w:line="400" w:lineRule="atLeast"/>
              <w:jc w:val="left"/>
              <w:rPr>
                <w:rFonts w:hint="eastAsia" w:asciiTheme="minorEastAsia" w:hAnsiTheme="minorEastAsia" w:eastAsiaTheme="minorEastAsia" w:cstheme="minorEastAsia"/>
                <w:kern w:val="2"/>
                <w:sz w:val="28"/>
                <w:szCs w:val="28"/>
                <w:lang w:val="en-US" w:eastAsia="zh-CN" w:bidi="ar-SA"/>
              </w:rPr>
            </w:pPr>
          </w:p>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1685"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1184"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24"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1671"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2550"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2355" w:type="dxa"/>
          </w:tcPr>
          <w:p>
            <w:pPr>
              <w:widowControl/>
              <w:spacing w:line="400" w:lineRule="atLeast"/>
              <w:jc w:val="left"/>
              <w:rPr>
                <w:rFonts w:hint="eastAsia" w:asciiTheme="minorEastAsia" w:hAnsiTheme="minorEastAsia" w:eastAsiaTheme="minorEastAsia" w:cstheme="minorEastAsia"/>
                <w:kern w:val="2"/>
                <w:sz w:val="28"/>
                <w:szCs w:val="28"/>
                <w:lang w:val="en-US" w:eastAsia="zh-CN" w:bidi="ar-SA"/>
              </w:rPr>
            </w:pPr>
          </w:p>
        </w:tc>
        <w:tc>
          <w:tcPr>
            <w:tcW w:w="1685"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1184"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24"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1671"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2550"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2355" w:type="dxa"/>
          </w:tcPr>
          <w:p>
            <w:pPr>
              <w:widowControl/>
              <w:spacing w:line="400" w:lineRule="atLeast"/>
              <w:jc w:val="left"/>
              <w:rPr>
                <w:rFonts w:hint="eastAsia" w:asciiTheme="minorEastAsia" w:hAnsiTheme="minorEastAsia" w:eastAsiaTheme="minorEastAsia" w:cstheme="minorEastAsia"/>
                <w:kern w:val="2"/>
                <w:sz w:val="28"/>
                <w:szCs w:val="28"/>
                <w:lang w:val="en-US" w:eastAsia="zh-CN" w:bidi="ar-SA"/>
              </w:rPr>
            </w:pPr>
          </w:p>
        </w:tc>
        <w:tc>
          <w:tcPr>
            <w:tcW w:w="1685"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1184"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24"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1671"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2550"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2355" w:type="dxa"/>
          </w:tcPr>
          <w:p>
            <w:pPr>
              <w:widowControl/>
              <w:spacing w:line="400" w:lineRule="atLeast"/>
              <w:jc w:val="left"/>
              <w:rPr>
                <w:rFonts w:hint="eastAsia" w:asciiTheme="minorEastAsia" w:hAnsiTheme="minorEastAsia" w:eastAsiaTheme="minorEastAsia" w:cstheme="minorEastAsia"/>
                <w:kern w:val="2"/>
                <w:sz w:val="28"/>
                <w:szCs w:val="28"/>
                <w:lang w:val="en-US" w:eastAsia="zh-CN" w:bidi="ar-SA"/>
              </w:rPr>
            </w:pPr>
          </w:p>
        </w:tc>
        <w:tc>
          <w:tcPr>
            <w:tcW w:w="1685"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1184"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r>
    </w:tbl>
    <w:p>
      <w:pPr>
        <w:spacing w:line="400" w:lineRule="atLeas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注：与招标文件要求逐条对应填写。</w:t>
      </w:r>
    </w:p>
    <w:p>
      <w:pPr>
        <w:spacing w:line="400" w:lineRule="atLeas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投标人代表签字：　　　　　　　　　　　　　　</w:t>
      </w:r>
    </w:p>
    <w:p>
      <w:pPr>
        <w:spacing w:line="400" w:lineRule="atLeast"/>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br w:type="column"/>
      </w:r>
      <w:r>
        <w:rPr>
          <w:rFonts w:hint="eastAsia" w:asciiTheme="minorEastAsia" w:hAnsiTheme="minorEastAsia" w:eastAsiaTheme="minorEastAsia" w:cstheme="minorEastAsia"/>
          <w:kern w:val="2"/>
          <w:sz w:val="28"/>
          <w:szCs w:val="28"/>
          <w:lang w:val="en-US" w:eastAsia="zh-CN" w:bidi="ar-SA"/>
        </w:rPr>
        <w:t>商务条款偏离表</w:t>
      </w:r>
    </w:p>
    <w:p>
      <w:pPr>
        <w:spacing w:line="400" w:lineRule="atLeast"/>
        <w:ind w:firstLine="2640"/>
        <w:rPr>
          <w:rFonts w:hint="eastAsia" w:asciiTheme="minorEastAsia" w:hAnsiTheme="minorEastAsia" w:eastAsiaTheme="minorEastAsia" w:cstheme="minorEastAsia"/>
          <w:kern w:val="2"/>
          <w:sz w:val="28"/>
          <w:szCs w:val="28"/>
          <w:lang w:val="en-US" w:eastAsia="zh-CN" w:bidi="ar-SA"/>
        </w:rPr>
      </w:pPr>
    </w:p>
    <w:p>
      <w:pPr>
        <w:spacing w:line="400" w:lineRule="atLeas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投标人名称（公章）：         　　　　　  项目编号：　　　　　　　　　　　</w:t>
      </w:r>
    </w:p>
    <w:tbl>
      <w:tblPr>
        <w:tblStyle w:val="15"/>
        <w:tblW w:w="9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547"/>
        <w:gridCol w:w="2759"/>
        <w:gridCol w:w="3066"/>
        <w:gridCol w:w="2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456" w:type="dxa"/>
            <w:vAlign w:val="center"/>
          </w:tcPr>
          <w:p>
            <w:pPr>
              <w:spacing w:line="400" w:lineRule="atLeast"/>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序号</w:t>
            </w:r>
          </w:p>
        </w:tc>
        <w:tc>
          <w:tcPr>
            <w:tcW w:w="1547" w:type="dxa"/>
            <w:vAlign w:val="center"/>
          </w:tcPr>
          <w:p>
            <w:pPr>
              <w:spacing w:line="400" w:lineRule="atLeast"/>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招标文件</w:t>
            </w:r>
          </w:p>
          <w:p>
            <w:pPr>
              <w:spacing w:line="400" w:lineRule="atLeast"/>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条目号</w:t>
            </w:r>
          </w:p>
        </w:tc>
        <w:tc>
          <w:tcPr>
            <w:tcW w:w="2759" w:type="dxa"/>
            <w:vAlign w:val="center"/>
          </w:tcPr>
          <w:p>
            <w:pPr>
              <w:spacing w:line="400" w:lineRule="atLeast"/>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招标文件的商务条款</w:t>
            </w:r>
          </w:p>
        </w:tc>
        <w:tc>
          <w:tcPr>
            <w:tcW w:w="3066" w:type="dxa"/>
            <w:vAlign w:val="center"/>
          </w:tcPr>
          <w:p>
            <w:pPr>
              <w:spacing w:line="400" w:lineRule="atLeast"/>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投标文件的商务条款</w:t>
            </w:r>
          </w:p>
        </w:tc>
        <w:tc>
          <w:tcPr>
            <w:tcW w:w="2141" w:type="dxa"/>
            <w:vAlign w:val="center"/>
          </w:tcPr>
          <w:p>
            <w:pPr>
              <w:spacing w:line="400" w:lineRule="atLeast"/>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56" w:type="dxa"/>
          </w:tcPr>
          <w:p>
            <w:pPr>
              <w:spacing w:line="400" w:lineRule="atLeast"/>
              <w:rPr>
                <w:rFonts w:hint="eastAsia" w:asciiTheme="minorEastAsia" w:hAnsiTheme="minorEastAsia" w:eastAsiaTheme="minorEastAsia" w:cstheme="minorEastAsia"/>
                <w:kern w:val="2"/>
                <w:sz w:val="28"/>
                <w:szCs w:val="28"/>
                <w:lang w:val="en-US" w:eastAsia="zh-CN" w:bidi="ar-SA"/>
              </w:rPr>
            </w:pPr>
          </w:p>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1547" w:type="dxa"/>
          </w:tcPr>
          <w:p>
            <w:pPr>
              <w:widowControl/>
              <w:spacing w:line="400" w:lineRule="atLeast"/>
              <w:jc w:val="left"/>
              <w:rPr>
                <w:rFonts w:hint="eastAsia" w:asciiTheme="minorEastAsia" w:hAnsiTheme="minorEastAsia" w:eastAsiaTheme="minorEastAsia" w:cstheme="minorEastAsia"/>
                <w:kern w:val="2"/>
                <w:sz w:val="28"/>
                <w:szCs w:val="28"/>
                <w:lang w:val="en-US" w:eastAsia="zh-CN" w:bidi="ar-SA"/>
              </w:rPr>
            </w:pPr>
          </w:p>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2759"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3066"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2141"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56" w:type="dxa"/>
          </w:tcPr>
          <w:p>
            <w:pPr>
              <w:spacing w:line="400" w:lineRule="atLeast"/>
              <w:rPr>
                <w:rFonts w:hint="eastAsia" w:asciiTheme="minorEastAsia" w:hAnsiTheme="minorEastAsia" w:eastAsiaTheme="minorEastAsia" w:cstheme="minorEastAsia"/>
                <w:kern w:val="2"/>
                <w:sz w:val="28"/>
                <w:szCs w:val="28"/>
                <w:lang w:val="en-US" w:eastAsia="zh-CN" w:bidi="ar-SA"/>
              </w:rPr>
            </w:pPr>
          </w:p>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1547" w:type="dxa"/>
          </w:tcPr>
          <w:p>
            <w:pPr>
              <w:widowControl/>
              <w:spacing w:line="400" w:lineRule="atLeast"/>
              <w:jc w:val="left"/>
              <w:rPr>
                <w:rFonts w:hint="eastAsia" w:asciiTheme="minorEastAsia" w:hAnsiTheme="minorEastAsia" w:eastAsiaTheme="minorEastAsia" w:cstheme="minorEastAsia"/>
                <w:kern w:val="2"/>
                <w:sz w:val="28"/>
                <w:szCs w:val="28"/>
                <w:lang w:val="en-US" w:eastAsia="zh-CN" w:bidi="ar-SA"/>
              </w:rPr>
            </w:pPr>
          </w:p>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2759"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3066"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2141"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56" w:type="dxa"/>
          </w:tcPr>
          <w:p>
            <w:pPr>
              <w:spacing w:line="400" w:lineRule="atLeast"/>
              <w:rPr>
                <w:rFonts w:hint="eastAsia" w:asciiTheme="minorEastAsia" w:hAnsiTheme="minorEastAsia" w:eastAsiaTheme="minorEastAsia" w:cstheme="minorEastAsia"/>
                <w:kern w:val="2"/>
                <w:sz w:val="28"/>
                <w:szCs w:val="28"/>
                <w:lang w:val="en-US" w:eastAsia="zh-CN" w:bidi="ar-SA"/>
              </w:rPr>
            </w:pPr>
          </w:p>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1547" w:type="dxa"/>
          </w:tcPr>
          <w:p>
            <w:pPr>
              <w:widowControl/>
              <w:spacing w:line="400" w:lineRule="atLeast"/>
              <w:jc w:val="left"/>
              <w:rPr>
                <w:rFonts w:hint="eastAsia" w:asciiTheme="minorEastAsia" w:hAnsiTheme="minorEastAsia" w:eastAsiaTheme="minorEastAsia" w:cstheme="minorEastAsia"/>
                <w:kern w:val="2"/>
                <w:sz w:val="28"/>
                <w:szCs w:val="28"/>
                <w:lang w:val="en-US" w:eastAsia="zh-CN" w:bidi="ar-SA"/>
              </w:rPr>
            </w:pPr>
          </w:p>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2759"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3066"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2141"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56" w:type="dxa"/>
          </w:tcPr>
          <w:p>
            <w:pPr>
              <w:spacing w:line="400" w:lineRule="atLeast"/>
              <w:rPr>
                <w:rFonts w:hint="eastAsia" w:asciiTheme="minorEastAsia" w:hAnsiTheme="minorEastAsia" w:eastAsiaTheme="minorEastAsia" w:cstheme="minorEastAsia"/>
                <w:kern w:val="2"/>
                <w:sz w:val="28"/>
                <w:szCs w:val="28"/>
                <w:lang w:val="en-US" w:eastAsia="zh-CN" w:bidi="ar-SA"/>
              </w:rPr>
            </w:pPr>
          </w:p>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1547" w:type="dxa"/>
          </w:tcPr>
          <w:p>
            <w:pPr>
              <w:widowControl/>
              <w:spacing w:line="400" w:lineRule="atLeast"/>
              <w:jc w:val="left"/>
              <w:rPr>
                <w:rFonts w:hint="eastAsia" w:asciiTheme="minorEastAsia" w:hAnsiTheme="minorEastAsia" w:eastAsiaTheme="minorEastAsia" w:cstheme="minorEastAsia"/>
                <w:kern w:val="2"/>
                <w:sz w:val="28"/>
                <w:szCs w:val="28"/>
                <w:lang w:val="en-US" w:eastAsia="zh-CN" w:bidi="ar-SA"/>
              </w:rPr>
            </w:pPr>
          </w:p>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2759"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3066"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2141"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56" w:type="dxa"/>
          </w:tcPr>
          <w:p>
            <w:pPr>
              <w:spacing w:line="400" w:lineRule="atLeast"/>
              <w:rPr>
                <w:rFonts w:hint="eastAsia" w:asciiTheme="minorEastAsia" w:hAnsiTheme="minorEastAsia" w:eastAsiaTheme="minorEastAsia" w:cstheme="minorEastAsia"/>
                <w:kern w:val="2"/>
                <w:sz w:val="28"/>
                <w:szCs w:val="28"/>
                <w:lang w:val="en-US" w:eastAsia="zh-CN" w:bidi="ar-SA"/>
              </w:rPr>
            </w:pPr>
          </w:p>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1547" w:type="dxa"/>
          </w:tcPr>
          <w:p>
            <w:pPr>
              <w:widowControl/>
              <w:spacing w:line="400" w:lineRule="atLeast"/>
              <w:jc w:val="left"/>
              <w:rPr>
                <w:rFonts w:hint="eastAsia" w:asciiTheme="minorEastAsia" w:hAnsiTheme="minorEastAsia" w:eastAsiaTheme="minorEastAsia" w:cstheme="minorEastAsia"/>
                <w:kern w:val="2"/>
                <w:sz w:val="28"/>
                <w:szCs w:val="28"/>
                <w:lang w:val="en-US" w:eastAsia="zh-CN" w:bidi="ar-SA"/>
              </w:rPr>
            </w:pPr>
          </w:p>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2759"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3066"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2141"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56" w:type="dxa"/>
          </w:tcPr>
          <w:p>
            <w:pPr>
              <w:spacing w:line="400" w:lineRule="atLeast"/>
              <w:rPr>
                <w:rFonts w:hint="eastAsia" w:asciiTheme="minorEastAsia" w:hAnsiTheme="minorEastAsia" w:eastAsiaTheme="minorEastAsia" w:cstheme="minorEastAsia"/>
                <w:kern w:val="2"/>
                <w:sz w:val="28"/>
                <w:szCs w:val="28"/>
                <w:lang w:val="en-US" w:eastAsia="zh-CN" w:bidi="ar-SA"/>
              </w:rPr>
            </w:pPr>
          </w:p>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1547" w:type="dxa"/>
          </w:tcPr>
          <w:p>
            <w:pPr>
              <w:widowControl/>
              <w:spacing w:line="400" w:lineRule="atLeast"/>
              <w:jc w:val="left"/>
              <w:rPr>
                <w:rFonts w:hint="eastAsia" w:asciiTheme="minorEastAsia" w:hAnsiTheme="minorEastAsia" w:eastAsiaTheme="minorEastAsia" w:cstheme="minorEastAsia"/>
                <w:kern w:val="2"/>
                <w:sz w:val="28"/>
                <w:szCs w:val="28"/>
                <w:lang w:val="en-US" w:eastAsia="zh-CN" w:bidi="ar-SA"/>
              </w:rPr>
            </w:pPr>
          </w:p>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2759"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3066"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2141"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56" w:type="dxa"/>
          </w:tcPr>
          <w:p>
            <w:pPr>
              <w:spacing w:line="400" w:lineRule="atLeast"/>
              <w:rPr>
                <w:rFonts w:hint="eastAsia" w:asciiTheme="minorEastAsia" w:hAnsiTheme="minorEastAsia" w:eastAsiaTheme="minorEastAsia" w:cstheme="minorEastAsia"/>
                <w:kern w:val="2"/>
                <w:sz w:val="28"/>
                <w:szCs w:val="28"/>
                <w:lang w:val="en-US" w:eastAsia="zh-CN" w:bidi="ar-SA"/>
              </w:rPr>
            </w:pPr>
          </w:p>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1547" w:type="dxa"/>
          </w:tcPr>
          <w:p>
            <w:pPr>
              <w:widowControl/>
              <w:spacing w:line="400" w:lineRule="atLeast"/>
              <w:jc w:val="left"/>
              <w:rPr>
                <w:rFonts w:hint="eastAsia" w:asciiTheme="minorEastAsia" w:hAnsiTheme="minorEastAsia" w:eastAsiaTheme="minorEastAsia" w:cstheme="minorEastAsia"/>
                <w:kern w:val="2"/>
                <w:sz w:val="28"/>
                <w:szCs w:val="28"/>
                <w:lang w:val="en-US" w:eastAsia="zh-CN" w:bidi="ar-SA"/>
              </w:rPr>
            </w:pPr>
          </w:p>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2759"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3066"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2141"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56" w:type="dxa"/>
          </w:tcPr>
          <w:p>
            <w:pPr>
              <w:spacing w:line="400" w:lineRule="atLeast"/>
              <w:rPr>
                <w:rFonts w:hint="eastAsia" w:asciiTheme="minorEastAsia" w:hAnsiTheme="minorEastAsia" w:eastAsiaTheme="minorEastAsia" w:cstheme="minorEastAsia"/>
                <w:kern w:val="2"/>
                <w:sz w:val="28"/>
                <w:szCs w:val="28"/>
                <w:lang w:val="en-US" w:eastAsia="zh-CN" w:bidi="ar-SA"/>
              </w:rPr>
            </w:pPr>
          </w:p>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1547" w:type="dxa"/>
          </w:tcPr>
          <w:p>
            <w:pPr>
              <w:widowControl/>
              <w:spacing w:line="400" w:lineRule="atLeast"/>
              <w:jc w:val="left"/>
              <w:rPr>
                <w:rFonts w:hint="eastAsia" w:asciiTheme="minorEastAsia" w:hAnsiTheme="minorEastAsia" w:eastAsiaTheme="minorEastAsia" w:cstheme="minorEastAsia"/>
                <w:kern w:val="2"/>
                <w:sz w:val="28"/>
                <w:szCs w:val="28"/>
                <w:lang w:val="en-US" w:eastAsia="zh-CN" w:bidi="ar-SA"/>
              </w:rPr>
            </w:pPr>
          </w:p>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2759"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3066"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2141"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56" w:type="dxa"/>
          </w:tcPr>
          <w:p>
            <w:pPr>
              <w:spacing w:line="400" w:lineRule="atLeast"/>
              <w:rPr>
                <w:rFonts w:hint="eastAsia" w:asciiTheme="minorEastAsia" w:hAnsiTheme="minorEastAsia" w:eastAsiaTheme="minorEastAsia" w:cstheme="minorEastAsia"/>
                <w:kern w:val="2"/>
                <w:sz w:val="28"/>
                <w:szCs w:val="28"/>
                <w:lang w:val="en-US" w:eastAsia="zh-CN" w:bidi="ar-SA"/>
              </w:rPr>
            </w:pPr>
          </w:p>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1547" w:type="dxa"/>
          </w:tcPr>
          <w:p>
            <w:pPr>
              <w:widowControl/>
              <w:spacing w:line="400" w:lineRule="atLeast"/>
              <w:jc w:val="left"/>
              <w:rPr>
                <w:rFonts w:hint="eastAsia" w:asciiTheme="minorEastAsia" w:hAnsiTheme="minorEastAsia" w:eastAsiaTheme="minorEastAsia" w:cstheme="minorEastAsia"/>
                <w:kern w:val="2"/>
                <w:sz w:val="28"/>
                <w:szCs w:val="28"/>
                <w:lang w:val="en-US" w:eastAsia="zh-CN" w:bidi="ar-SA"/>
              </w:rPr>
            </w:pPr>
          </w:p>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2759"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3066"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2141"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56" w:type="dxa"/>
          </w:tcPr>
          <w:p>
            <w:pPr>
              <w:spacing w:line="400" w:lineRule="atLeast"/>
              <w:rPr>
                <w:rFonts w:hint="eastAsia" w:asciiTheme="minorEastAsia" w:hAnsiTheme="minorEastAsia" w:eastAsiaTheme="minorEastAsia" w:cstheme="minorEastAsia"/>
                <w:kern w:val="2"/>
                <w:sz w:val="28"/>
                <w:szCs w:val="28"/>
                <w:lang w:val="en-US" w:eastAsia="zh-CN" w:bidi="ar-SA"/>
              </w:rPr>
            </w:pPr>
          </w:p>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1547" w:type="dxa"/>
          </w:tcPr>
          <w:p>
            <w:pPr>
              <w:widowControl/>
              <w:spacing w:line="400" w:lineRule="atLeast"/>
              <w:jc w:val="left"/>
              <w:rPr>
                <w:rFonts w:hint="eastAsia" w:asciiTheme="minorEastAsia" w:hAnsiTheme="minorEastAsia" w:eastAsiaTheme="minorEastAsia" w:cstheme="minorEastAsia"/>
                <w:kern w:val="2"/>
                <w:sz w:val="28"/>
                <w:szCs w:val="28"/>
                <w:lang w:val="en-US" w:eastAsia="zh-CN" w:bidi="ar-SA"/>
              </w:rPr>
            </w:pPr>
          </w:p>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2759"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3066"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2141"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56" w:type="dxa"/>
          </w:tcPr>
          <w:p>
            <w:pPr>
              <w:spacing w:line="400" w:lineRule="atLeast"/>
              <w:rPr>
                <w:rFonts w:hint="eastAsia" w:asciiTheme="minorEastAsia" w:hAnsiTheme="minorEastAsia" w:eastAsiaTheme="minorEastAsia" w:cstheme="minorEastAsia"/>
                <w:kern w:val="2"/>
                <w:sz w:val="28"/>
                <w:szCs w:val="28"/>
                <w:lang w:val="en-US" w:eastAsia="zh-CN" w:bidi="ar-SA"/>
              </w:rPr>
            </w:pPr>
          </w:p>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1547" w:type="dxa"/>
          </w:tcPr>
          <w:p>
            <w:pPr>
              <w:widowControl/>
              <w:spacing w:line="400" w:lineRule="atLeast"/>
              <w:jc w:val="left"/>
              <w:rPr>
                <w:rFonts w:hint="eastAsia" w:asciiTheme="minorEastAsia" w:hAnsiTheme="minorEastAsia" w:eastAsiaTheme="minorEastAsia" w:cstheme="minorEastAsia"/>
                <w:kern w:val="2"/>
                <w:sz w:val="28"/>
                <w:szCs w:val="28"/>
                <w:lang w:val="en-US" w:eastAsia="zh-CN" w:bidi="ar-SA"/>
              </w:rPr>
            </w:pPr>
          </w:p>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2759"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3066"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2141"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56" w:type="dxa"/>
          </w:tcPr>
          <w:p>
            <w:pPr>
              <w:spacing w:line="400" w:lineRule="atLeast"/>
              <w:rPr>
                <w:rFonts w:hint="eastAsia" w:asciiTheme="minorEastAsia" w:hAnsiTheme="minorEastAsia" w:eastAsiaTheme="minorEastAsia" w:cstheme="minorEastAsia"/>
                <w:kern w:val="2"/>
                <w:sz w:val="28"/>
                <w:szCs w:val="28"/>
                <w:lang w:val="en-US" w:eastAsia="zh-CN" w:bidi="ar-SA"/>
              </w:rPr>
            </w:pPr>
          </w:p>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1547" w:type="dxa"/>
          </w:tcPr>
          <w:p>
            <w:pPr>
              <w:widowControl/>
              <w:spacing w:line="400" w:lineRule="atLeast"/>
              <w:jc w:val="left"/>
              <w:rPr>
                <w:rFonts w:hint="eastAsia" w:asciiTheme="minorEastAsia" w:hAnsiTheme="minorEastAsia" w:eastAsiaTheme="minorEastAsia" w:cstheme="minorEastAsia"/>
                <w:kern w:val="2"/>
                <w:sz w:val="28"/>
                <w:szCs w:val="28"/>
                <w:lang w:val="en-US" w:eastAsia="zh-CN" w:bidi="ar-SA"/>
              </w:rPr>
            </w:pPr>
          </w:p>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2759"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3066"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2141"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56" w:type="dxa"/>
          </w:tcPr>
          <w:p>
            <w:pPr>
              <w:spacing w:line="400" w:lineRule="atLeast"/>
              <w:rPr>
                <w:rFonts w:hint="eastAsia" w:asciiTheme="minorEastAsia" w:hAnsiTheme="minorEastAsia" w:eastAsiaTheme="minorEastAsia" w:cstheme="minorEastAsia"/>
                <w:kern w:val="2"/>
                <w:sz w:val="28"/>
                <w:szCs w:val="28"/>
                <w:lang w:val="en-US" w:eastAsia="zh-CN" w:bidi="ar-SA"/>
              </w:rPr>
            </w:pPr>
          </w:p>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1547" w:type="dxa"/>
          </w:tcPr>
          <w:p>
            <w:pPr>
              <w:widowControl/>
              <w:spacing w:line="400" w:lineRule="atLeast"/>
              <w:jc w:val="left"/>
              <w:rPr>
                <w:rFonts w:hint="eastAsia" w:asciiTheme="minorEastAsia" w:hAnsiTheme="minorEastAsia" w:eastAsiaTheme="minorEastAsia" w:cstheme="minorEastAsia"/>
                <w:kern w:val="2"/>
                <w:sz w:val="28"/>
                <w:szCs w:val="28"/>
                <w:lang w:val="en-US" w:eastAsia="zh-CN" w:bidi="ar-SA"/>
              </w:rPr>
            </w:pPr>
          </w:p>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2759"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3066"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c>
          <w:tcPr>
            <w:tcW w:w="2141" w:type="dxa"/>
          </w:tcPr>
          <w:p>
            <w:pPr>
              <w:spacing w:line="400" w:lineRule="atLeast"/>
              <w:rPr>
                <w:rFonts w:hint="eastAsia" w:asciiTheme="minorEastAsia" w:hAnsiTheme="minorEastAsia" w:eastAsiaTheme="minorEastAsia" w:cstheme="minorEastAsia"/>
                <w:kern w:val="2"/>
                <w:sz w:val="28"/>
                <w:szCs w:val="28"/>
                <w:lang w:val="en-US" w:eastAsia="zh-CN" w:bidi="ar-SA"/>
              </w:rPr>
            </w:pPr>
          </w:p>
        </w:tc>
      </w:tr>
    </w:tbl>
    <w:p>
      <w:pPr>
        <w:spacing w:line="400" w:lineRule="atLeas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w:t>
      </w:r>
    </w:p>
    <w:p>
      <w:pPr>
        <w:spacing w:line="400" w:lineRule="atLeas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投标人代表签字：　　　　　　　　　　　　　　　　</w:t>
      </w:r>
    </w:p>
    <w:p>
      <w:pPr>
        <w:jc w:val="center"/>
        <w:rPr>
          <w:rFonts w:hint="eastAsia" w:asciiTheme="minorEastAsia" w:hAnsiTheme="minorEastAsia" w:eastAsiaTheme="minorEastAsia" w:cstheme="minorEastAsia"/>
          <w:kern w:val="2"/>
          <w:sz w:val="28"/>
          <w:szCs w:val="28"/>
          <w:lang w:val="en-US" w:eastAsia="zh-CN" w:bidi="ar-SA"/>
        </w:rPr>
      </w:pPr>
    </w:p>
    <w:p>
      <w:pPr>
        <w:pStyle w:val="2"/>
        <w:rPr>
          <w:rFonts w:hint="eastAsia" w:asciiTheme="minorEastAsia" w:hAnsiTheme="minorEastAsia" w:eastAsiaTheme="minorEastAsia" w:cstheme="minorEastAsia"/>
          <w:sz w:val="28"/>
          <w:szCs w:val="28"/>
          <w:lang w:val="en-US" w:eastAsia="zh-CN"/>
        </w:rPr>
      </w:pPr>
    </w:p>
    <w:p>
      <w:pPr>
        <w:jc w:val="center"/>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其他材料</w:t>
      </w:r>
    </w:p>
    <w:p>
      <w:pPr>
        <w:pStyle w:val="6"/>
        <w:ind w:firstLine="0" w:firstLineChars="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kern w:val="0"/>
          <w:sz w:val="28"/>
          <w:szCs w:val="28"/>
        </w:rPr>
        <w:t>供应商认为有必要提供的其他资料</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sectPr>
      <w:headerReference r:id="rId13" w:type="default"/>
      <w:footerReference r:id="rId14" w:type="default"/>
      <w:pgSz w:w="11907" w:h="16840"/>
      <w:pgMar w:top="1440" w:right="1077" w:bottom="1440" w:left="1077"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Adobe 仿宋 Std R">
    <w:altName w:val="仿宋"/>
    <w:panose1 w:val="00000000000000000000"/>
    <w:charset w:val="00"/>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17</w:t>
    </w:r>
    <w:r>
      <w:rPr>
        <w:lang w:val="zh-CN"/>
      </w:rPr>
      <w:fldChar w:fldCharType="end"/>
    </w:r>
  </w:p>
  <w:p>
    <w:pPr>
      <w:ind w:right="360"/>
      <w:jc w:val="right"/>
      <w:rPr>
        <w:rFonts w:ascii="Calibri" w:hAnsi="Calibri"/>
        <w:sz w:val="24"/>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rPr>
        <w:rFonts w:ascii="Calibri" w:hAnsi="Calibri"/>
        <w:szCs w:val="21"/>
      </w:rPr>
    </w:pPr>
    <w:r>
      <w:rPr>
        <w:rFonts w:ascii="Calibri" w:hAnsi="Calibri"/>
        <w:szCs w:val="21"/>
      </w:rPr>
      <w:fldChar w:fldCharType="begin"/>
    </w:r>
    <w:r>
      <w:rPr>
        <w:rFonts w:ascii="Calibri" w:hAnsi="Calibri"/>
        <w:szCs w:val="21"/>
      </w:rPr>
      <w:instrText xml:space="preserve">PAGE  </w:instrText>
    </w:r>
    <w:r>
      <w:rPr>
        <w:rFonts w:ascii="Calibri" w:hAnsi="Calibri"/>
        <w:szCs w:val="21"/>
      </w:rPr>
      <w:fldChar w:fldCharType="end"/>
    </w:r>
  </w:p>
  <w:p>
    <w:pPr>
      <w:ind w:right="360"/>
      <w:rPr>
        <w:rFonts w:ascii="Calibri" w:hAnsi="Calibri"/>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15001"/>
    </w:sdtPr>
    <w:sdtContent>
      <w:p>
        <w:pPr>
          <w:pStyle w:val="11"/>
          <w:jc w:val="center"/>
        </w:pPr>
        <w:r>
          <w:fldChar w:fldCharType="begin"/>
        </w:r>
        <w:r>
          <w:instrText xml:space="preserve"> PAGE   \* MERGEFORMAT </w:instrText>
        </w:r>
        <w:r>
          <w:fldChar w:fldCharType="separate"/>
        </w:r>
        <w:r>
          <w:rPr>
            <w:lang w:val="zh-CN"/>
          </w:rPr>
          <w:t>9</w:t>
        </w:r>
        <w:r>
          <w:rPr>
            <w:lang w:val="zh-CN"/>
          </w:rPr>
          <w:fldChar w:fldCharType="end"/>
        </w:r>
      </w:p>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ascii="Times New Roman" w:hAnsi="Times New Roman" w:eastAsia="宋体" w:cs="Times New Roman"/>
        <w:kern w:val="2"/>
        <w:sz w:val="21"/>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E741A3"/>
    <w:multiLevelType w:val="multilevel"/>
    <w:tmpl w:val="04E741A3"/>
    <w:lvl w:ilvl="0" w:tentative="0">
      <w:start w:val="1"/>
      <w:numFmt w:val="decimal"/>
      <w:lvlText w:val="%1、"/>
      <w:lvlJc w:val="left"/>
      <w:pPr>
        <w:ind w:left="1146"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8E72660"/>
    <w:multiLevelType w:val="multilevel"/>
    <w:tmpl w:val="38E72660"/>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
    <w:nsid w:val="55000B11"/>
    <w:multiLevelType w:val="multilevel"/>
    <w:tmpl w:val="55000B11"/>
    <w:lvl w:ilvl="0" w:tentative="0">
      <w:start w:val="1"/>
      <w:numFmt w:val="decimal"/>
      <w:suff w:val="nothing"/>
      <w:lvlText w:val="（%1）"/>
      <w:lvlJc w:val="left"/>
      <w:pPr>
        <w:tabs>
          <w:tab w:val="left" w:pos="1146"/>
        </w:tabs>
        <w:ind w:left="666" w:hanging="720"/>
      </w:pPr>
      <w:rPr>
        <w:rFonts w:hint="default"/>
      </w:rPr>
    </w:lvl>
    <w:lvl w:ilvl="1" w:tentative="0">
      <w:start w:val="1"/>
      <w:numFmt w:val="lowerLetter"/>
      <w:lvlText w:val="%2)"/>
      <w:lvlJc w:val="left"/>
      <w:pPr>
        <w:tabs>
          <w:tab w:val="left" w:pos="1266"/>
        </w:tabs>
        <w:ind w:left="1056" w:hanging="420"/>
      </w:pPr>
    </w:lvl>
    <w:lvl w:ilvl="2" w:tentative="0">
      <w:start w:val="1"/>
      <w:numFmt w:val="lowerRoman"/>
      <w:lvlText w:val="%3."/>
      <w:lvlJc w:val="right"/>
      <w:pPr>
        <w:tabs>
          <w:tab w:val="left" w:pos="1686"/>
        </w:tabs>
        <w:ind w:left="1476" w:hanging="420"/>
      </w:pPr>
    </w:lvl>
    <w:lvl w:ilvl="3" w:tentative="0">
      <w:start w:val="1"/>
      <w:numFmt w:val="decimal"/>
      <w:lvlText w:val="%4."/>
      <w:lvlJc w:val="left"/>
      <w:pPr>
        <w:tabs>
          <w:tab w:val="left" w:pos="2106"/>
        </w:tabs>
        <w:ind w:left="1896" w:hanging="420"/>
      </w:pPr>
    </w:lvl>
    <w:lvl w:ilvl="4" w:tentative="0">
      <w:start w:val="1"/>
      <w:numFmt w:val="lowerLetter"/>
      <w:lvlText w:val="%5)"/>
      <w:lvlJc w:val="left"/>
      <w:pPr>
        <w:tabs>
          <w:tab w:val="left" w:pos="2526"/>
        </w:tabs>
        <w:ind w:left="2316" w:hanging="420"/>
      </w:pPr>
    </w:lvl>
    <w:lvl w:ilvl="5" w:tentative="0">
      <w:start w:val="1"/>
      <w:numFmt w:val="lowerRoman"/>
      <w:lvlText w:val="%6."/>
      <w:lvlJc w:val="right"/>
      <w:pPr>
        <w:tabs>
          <w:tab w:val="left" w:pos="2946"/>
        </w:tabs>
        <w:ind w:left="2736" w:hanging="420"/>
      </w:pPr>
    </w:lvl>
    <w:lvl w:ilvl="6" w:tentative="0">
      <w:start w:val="1"/>
      <w:numFmt w:val="decimal"/>
      <w:lvlText w:val="%7."/>
      <w:lvlJc w:val="left"/>
      <w:pPr>
        <w:tabs>
          <w:tab w:val="left" w:pos="3366"/>
        </w:tabs>
        <w:ind w:left="3156" w:hanging="420"/>
      </w:pPr>
    </w:lvl>
    <w:lvl w:ilvl="7" w:tentative="0">
      <w:start w:val="1"/>
      <w:numFmt w:val="lowerLetter"/>
      <w:lvlText w:val="%8)"/>
      <w:lvlJc w:val="left"/>
      <w:pPr>
        <w:tabs>
          <w:tab w:val="left" w:pos="3786"/>
        </w:tabs>
        <w:ind w:left="3576" w:hanging="420"/>
      </w:pPr>
    </w:lvl>
    <w:lvl w:ilvl="8" w:tentative="0">
      <w:start w:val="1"/>
      <w:numFmt w:val="lowerRoman"/>
      <w:lvlText w:val="%9."/>
      <w:lvlJc w:val="right"/>
      <w:pPr>
        <w:tabs>
          <w:tab w:val="left" w:pos="4206"/>
        </w:tabs>
        <w:ind w:left="3996" w:hanging="420"/>
      </w:pPr>
    </w:lvl>
  </w:abstractNum>
  <w:abstractNum w:abstractNumId="3">
    <w:nsid w:val="782934A6"/>
    <w:multiLevelType w:val="singleLevel"/>
    <w:tmpl w:val="782934A6"/>
    <w:lvl w:ilvl="0" w:tentative="0">
      <w:start w:val="10"/>
      <w:numFmt w:val="upperLetter"/>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xM2U1NzljM2QxNTExYzdjNmQ5ZGFmNmUxMjBlNzkifQ=="/>
  </w:docVars>
  <w:rsids>
    <w:rsidRoot w:val="7F635549"/>
    <w:rsid w:val="0DE229EF"/>
    <w:rsid w:val="0FCD5301"/>
    <w:rsid w:val="14134061"/>
    <w:rsid w:val="1A191041"/>
    <w:rsid w:val="305A278E"/>
    <w:rsid w:val="44DD5E05"/>
    <w:rsid w:val="4CD126A5"/>
    <w:rsid w:val="66A02C7C"/>
    <w:rsid w:val="684E2429"/>
    <w:rsid w:val="6AE45D1A"/>
    <w:rsid w:val="70E87725"/>
    <w:rsid w:val="73822C01"/>
    <w:rsid w:val="79E40AFD"/>
    <w:rsid w:val="7F635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tabs>
        <w:tab w:val="left" w:pos="360"/>
      </w:tabs>
      <w:ind w:left="360" w:hanging="360"/>
      <w:outlineLvl w:val="0"/>
    </w:pPr>
    <w:rPr>
      <w:b/>
    </w:rPr>
  </w:style>
  <w:style w:type="paragraph" w:styleId="4">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39"/>
    <w:pPr>
      <w:ind w:left="840" w:leftChars="400"/>
    </w:pPr>
  </w:style>
  <w:style w:type="paragraph" w:styleId="6">
    <w:name w:val="Normal Indent"/>
    <w:basedOn w:val="1"/>
    <w:qFormat/>
    <w:uiPriority w:val="0"/>
    <w:pPr>
      <w:ind w:firstLine="420" w:firstLineChars="200"/>
    </w:pPr>
    <w:rPr>
      <w:szCs w:val="24"/>
    </w:rPr>
  </w:style>
  <w:style w:type="paragraph" w:styleId="7">
    <w:name w:val="Body Text"/>
    <w:basedOn w:val="1"/>
    <w:qFormat/>
    <w:uiPriority w:val="0"/>
    <w:rPr>
      <w:rFonts w:ascii="Arial" w:hAnsi="Arial"/>
      <w:sz w:val="24"/>
    </w:rPr>
  </w:style>
  <w:style w:type="paragraph" w:styleId="8">
    <w:name w:val="Plain Text"/>
    <w:basedOn w:val="1"/>
    <w:qFormat/>
    <w:uiPriority w:val="0"/>
    <w:rPr>
      <w:rFonts w:ascii="宋体" w:hAnsi="Courier New"/>
    </w:rPr>
  </w:style>
  <w:style w:type="paragraph" w:styleId="9">
    <w:name w:val="Date"/>
    <w:basedOn w:val="1"/>
    <w:next w:val="1"/>
    <w:qFormat/>
    <w:uiPriority w:val="0"/>
    <w:pPr>
      <w:ind w:left="100"/>
    </w:pPr>
    <w:rPr>
      <w:sz w:val="24"/>
    </w:rPr>
  </w:style>
  <w:style w:type="paragraph" w:styleId="10">
    <w:name w:val="Body Text Indent 2"/>
    <w:basedOn w:val="1"/>
    <w:qFormat/>
    <w:uiPriority w:val="0"/>
    <w:pPr>
      <w:ind w:firstLine="435"/>
    </w:pPr>
    <w:rPr>
      <w:rFonts w:ascii="宋体" w:hAnsi="宋体"/>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99"/>
    <w:pPr>
      <w:tabs>
        <w:tab w:val="center" w:pos="4153"/>
        <w:tab w:val="right" w:pos="8306"/>
      </w:tabs>
      <w:snapToGrid w:val="0"/>
    </w:pPr>
    <w:rPr>
      <w:sz w:val="18"/>
    </w:rPr>
  </w:style>
  <w:style w:type="paragraph" w:styleId="13">
    <w:name w:val="toc 1"/>
    <w:basedOn w:val="1"/>
    <w:next w:val="1"/>
    <w:qFormat/>
    <w:uiPriority w:val="39"/>
  </w:style>
  <w:style w:type="paragraph" w:styleId="14">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character" w:styleId="17">
    <w:name w:val="Hyperlink"/>
    <w:qFormat/>
    <w:uiPriority w:val="0"/>
    <w:rPr>
      <w:rFonts w:ascii="Times New Roman" w:hAnsi="Times New Roman" w:eastAsia="宋体" w:cs="Times New Roman"/>
      <w:color w:val="0000FF"/>
      <w:u w:val="single"/>
    </w:rPr>
  </w:style>
  <w:style w:type="paragraph" w:customStyle="1" w:styleId="18">
    <w:name w:val="Char"/>
    <w:basedOn w:val="1"/>
    <w:qFormat/>
    <w:uiPriority w:val="0"/>
    <w:pPr>
      <w:widowControl/>
      <w:spacing w:after="160" w:line="240" w:lineRule="exact"/>
      <w:jc w:val="left"/>
    </w:pPr>
    <w:rPr>
      <w:rFonts w:ascii="Verdana" w:hAnsi="Verdana"/>
      <w:kern w:val="0"/>
      <w:sz w:val="20"/>
      <w:lang w:eastAsia="en-US"/>
    </w:rPr>
  </w:style>
  <w:style w:type="paragraph" w:customStyle="1" w:styleId="19">
    <w:name w:val="WPSOffice手动目录 1"/>
    <w:qFormat/>
    <w:uiPriority w:val="0"/>
    <w:rPr>
      <w:rFonts w:ascii="Times New Roman" w:hAnsi="Times New Roman" w:eastAsia="宋体" w:cs="Times New Roman"/>
      <w:lang w:val="en-US" w:eastAsia="zh-CN" w:bidi="ar-SA"/>
    </w:rPr>
  </w:style>
  <w:style w:type="paragraph" w:customStyle="1" w:styleId="20">
    <w:name w:val="正文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1">
    <w:name w:val="font141"/>
    <w:qFormat/>
    <w:uiPriority w:val="0"/>
    <w:rPr>
      <w:rFonts w:hint="eastAsia" w:ascii="宋体" w:hAnsi="宋体" w:eastAsia="宋体" w:cs="宋体"/>
      <w:b/>
      <w:color w:val="000000"/>
      <w:kern w:val="0"/>
      <w:sz w:val="32"/>
      <w:szCs w:val="32"/>
      <w:u w:val="none"/>
      <w:lang w:eastAsia="en-US"/>
    </w:rPr>
  </w:style>
  <w:style w:type="paragraph" w:customStyle="1" w:styleId="22">
    <w:name w:val="正文_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
    <w:name w:val="正文_1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24">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5">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6">
    <w:name w:val="日期_0"/>
    <w:basedOn w:val="27"/>
    <w:next w:val="27"/>
    <w:qFormat/>
    <w:uiPriority w:val="0"/>
    <w:pPr>
      <w:ind w:left="100" w:leftChars="2500"/>
    </w:pPr>
    <w:rPr>
      <w:kern w:val="0"/>
      <w:sz w:val="20"/>
    </w:rPr>
  </w:style>
  <w:style w:type="paragraph" w:customStyle="1" w:styleId="27">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Normal_11"/>
    <w:qFormat/>
    <w:uiPriority w:val="0"/>
    <w:rPr>
      <w:rFonts w:ascii="黑体" w:hAnsi="黑体" w:eastAsia="黑体" w:cs="Times New Roman"/>
      <w:b/>
      <w:sz w:val="32"/>
      <w:szCs w:val="24"/>
      <w:lang w:val="en-US" w:eastAsia="zh-CN" w:bidi="ar-SA"/>
    </w:rPr>
  </w:style>
  <w:style w:type="paragraph" w:customStyle="1" w:styleId="29">
    <w:name w:val="标题 3_0_0"/>
    <w:basedOn w:val="30"/>
    <w:next w:val="30"/>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30">
    <w:name w:val="正文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31">
    <w:name w:val="正文文本_1"/>
    <w:basedOn w:val="32"/>
    <w:qFormat/>
    <w:uiPriority w:val="0"/>
    <w:pPr>
      <w:spacing w:after="120"/>
    </w:pPr>
    <w:rPr>
      <w:kern w:val="0"/>
      <w:sz w:val="20"/>
    </w:rPr>
  </w:style>
  <w:style w:type="paragraph" w:customStyle="1" w:styleId="32">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正文文本缩进_0_0"/>
    <w:basedOn w:val="33"/>
    <w:qFormat/>
    <w:uiPriority w:val="0"/>
    <w:pPr>
      <w:spacing w:line="500" w:lineRule="exact"/>
      <w:ind w:left="1588" w:leftChars="832" w:firstLine="433" w:firstLineChars="196"/>
    </w:pPr>
    <w:rPr>
      <w:kern w:val="0"/>
      <w:sz w:val="24"/>
    </w:rPr>
  </w:style>
  <w:style w:type="paragraph" w:customStyle="1" w:styleId="35">
    <w:name w:val="bb"/>
    <w:basedOn w:val="1"/>
    <w:qFormat/>
    <w:uiPriority w:val="0"/>
    <w:pPr>
      <w:spacing w:before="100" w:beforeAutospacing="1" w:after="100" w:afterAutospacing="1"/>
    </w:pPr>
    <w:rPr>
      <w:rFonts w:ascii="宋体" w:hAnsi="宋体"/>
    </w:rPr>
  </w:style>
  <w:style w:type="paragraph" w:customStyle="1" w:styleId="36">
    <w:name w:val="Body Text Indent1"/>
    <w:basedOn w:val="1"/>
    <w:qFormat/>
    <w:uiPriority w:val="0"/>
    <w:pPr>
      <w:ind w:firstLine="630"/>
    </w:pPr>
    <w:rPr>
      <w:rFonts w:eastAsia="楷体_GB2312"/>
      <w:kern w:val="0"/>
      <w:sz w:val="20"/>
    </w:rPr>
  </w:style>
  <w:style w:type="paragraph" w:customStyle="1" w:styleId="37">
    <w:name w:val="List Paragraph1"/>
    <w:basedOn w:val="1"/>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52</Pages>
  <Words>21163</Words>
  <Characters>22612</Characters>
  <Lines>0</Lines>
  <Paragraphs>0</Paragraphs>
  <TotalTime>3</TotalTime>
  <ScaleCrop>false</ScaleCrop>
  <LinksUpToDate>false</LinksUpToDate>
  <CharactersWithSpaces>23360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2022-08-12T04:35:00Z</dcterms:created>
  <dc:creator>Administrator</dc:creator>
  <cp:lastModifiedBy>Administrator</cp:lastModifiedBy>
  <dcterms:modified xsi:type="dcterms:W3CDTF">2022-08-16T13:49:16Z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C07128EA1F8340D6A67DD501667D5E4B</vt:lpwstr>
  </property>
</Properties>
</file>