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color w:val="auto"/>
          <w:sz w:val="52"/>
          <w:szCs w:val="52"/>
        </w:rPr>
      </w:pPr>
      <w:r>
        <w:rPr>
          <w:rFonts w:hint="eastAsia" w:ascii="宋体" w:hAnsi="宋体" w:eastAsia="宋体" w:cs="宋体"/>
          <w:color w:val="auto"/>
          <w:sz w:val="52"/>
          <w:szCs w:val="52"/>
          <w:lang w:eastAsia="zh-CN"/>
        </w:rPr>
        <w:t>策勒县津南小学基础设施提升工程建设项目（二次）</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lang w:val="en-US" w:eastAsia="zh-CN"/>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项目编号：</w:t>
      </w:r>
      <w:r>
        <w:rPr>
          <w:rFonts w:hint="eastAsia" w:ascii="宋体" w:hAnsi="宋体" w:cs="宋体"/>
          <w:color w:val="auto"/>
          <w:sz w:val="32"/>
          <w:szCs w:val="32"/>
          <w:lang w:val="en-US" w:eastAsia="zh-CN"/>
        </w:rPr>
        <w:t>CLX-2022-034-1</w:t>
      </w:r>
    </w:p>
    <w:p>
      <w:pPr>
        <w:pStyle w:val="31"/>
        <w:rPr>
          <w:rFonts w:hint="eastAsia" w:ascii="宋体" w:hAnsi="宋体" w:eastAsia="宋体" w:cs="宋体"/>
          <w:color w:val="auto"/>
        </w:rPr>
      </w:pPr>
    </w:p>
    <w:p>
      <w:pPr>
        <w:keepNext w:val="0"/>
        <w:keepLines w:val="0"/>
        <w:pageBreakBefore w:val="0"/>
        <w:widowControl w:val="0"/>
        <w:kinsoku/>
        <w:wordWrap/>
        <w:overflowPunct/>
        <w:topLinePunct w:val="0"/>
        <w:autoSpaceDE w:val="0"/>
        <w:autoSpaceDN w:val="0"/>
        <w:bidi w:val="0"/>
        <w:adjustRightInd w:val="0"/>
        <w:snapToGrid/>
        <w:spacing w:line="560" w:lineRule="exact"/>
        <w:ind w:left="1959" w:leftChars="133" w:hanging="1680" w:hangingChars="600"/>
        <w:textAlignment w:val="auto"/>
        <w:rPr>
          <w:rFonts w:hint="eastAsia" w:ascii="宋体" w:hAnsi="宋体" w:eastAsia="宋体" w:cs="宋体"/>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采</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zh-CN"/>
        </w:rPr>
        <w:t>购</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zh-CN"/>
        </w:rPr>
        <w:t>人（盖章）：</w:t>
      </w:r>
      <w:r>
        <w:rPr>
          <w:rFonts w:hint="eastAsia" w:ascii="宋体" w:hAnsi="宋体" w:eastAsia="宋体" w:cs="宋体"/>
          <w:bCs/>
          <w:color w:val="auto"/>
          <w:sz w:val="28"/>
          <w:szCs w:val="28"/>
          <w:lang w:val="en-US" w:eastAsia="zh-CN"/>
        </w:rPr>
        <w:t>策勒县教育局</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联 系 人：</w:t>
      </w:r>
      <w:r>
        <w:rPr>
          <w:rFonts w:hint="eastAsia" w:ascii="宋体" w:hAnsi="宋体" w:cs="宋体"/>
          <w:bCs/>
          <w:color w:val="auto"/>
          <w:sz w:val="28"/>
          <w:szCs w:val="28"/>
          <w:lang w:val="en-US" w:eastAsia="zh-CN"/>
        </w:rPr>
        <w:t>哈克孜·依明</w:t>
      </w:r>
      <w:r>
        <w:rPr>
          <w:rFonts w:hint="eastAsia" w:ascii="宋体" w:hAnsi="宋体" w:eastAsia="宋体" w:cs="宋体"/>
          <w:bCs/>
          <w:color w:val="auto"/>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电    话：</w:t>
      </w:r>
      <w:r>
        <w:rPr>
          <w:rFonts w:hint="eastAsia" w:ascii="宋体" w:hAnsi="宋体" w:eastAsia="宋体" w:cs="宋体"/>
          <w:bCs/>
          <w:color w:val="auto"/>
          <w:sz w:val="28"/>
          <w:szCs w:val="28"/>
          <w:lang w:val="en-US" w:eastAsia="zh-CN"/>
        </w:rPr>
        <w:t xml:space="preserve"> </w:t>
      </w:r>
      <w:r>
        <w:rPr>
          <w:rFonts w:hint="eastAsia" w:ascii="宋体" w:hAnsi="宋体" w:cs="宋体"/>
          <w:bCs/>
          <w:color w:val="auto"/>
          <w:sz w:val="28"/>
          <w:szCs w:val="28"/>
          <w:lang w:val="en-US" w:eastAsia="zh-CN"/>
        </w:rPr>
        <w:t>0903-6715540</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详细地址：策勒县博斯坦街2号</w:t>
      </w:r>
    </w:p>
    <w:p>
      <w:pPr>
        <w:keepNext w:val="0"/>
        <w:keepLines w:val="0"/>
        <w:pageBreakBefore w:val="0"/>
        <w:widowControl w:val="0"/>
        <w:kinsoku/>
        <w:wordWrap/>
        <w:overflowPunct/>
        <w:topLinePunct w:val="0"/>
        <w:autoSpaceDE w:val="0"/>
        <w:autoSpaceDN w:val="0"/>
        <w:bidi w:val="0"/>
        <w:adjustRightInd w:val="0"/>
        <w:snapToGrid/>
        <w:spacing w:line="480" w:lineRule="auto"/>
        <w:ind w:left="4302" w:leftChars="382" w:hanging="3500" w:hangingChars="1250"/>
        <w:textAlignment w:val="auto"/>
        <w:rPr>
          <w:rFonts w:hint="eastAsia" w:ascii="宋体" w:hAnsi="宋体" w:eastAsia="宋体" w:cs="宋体"/>
          <w:bCs/>
          <w:color w:val="auto"/>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招标代理机构</w:t>
      </w:r>
      <w:r>
        <w:rPr>
          <w:rFonts w:hint="eastAsia" w:ascii="宋体" w:hAnsi="宋体" w:eastAsia="宋体" w:cs="宋体"/>
          <w:color w:val="auto"/>
          <w:sz w:val="28"/>
          <w:szCs w:val="28"/>
          <w:lang w:val="zh-CN"/>
        </w:rPr>
        <w:t>（盖章）</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en-US" w:eastAsia="zh-CN"/>
        </w:rPr>
        <w:t>新疆星耀天都项目管理有限责任公司</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kern w:val="0"/>
          <w:sz w:val="28"/>
          <w:szCs w:val="28"/>
          <w:lang w:val="zh-CN"/>
        </w:rPr>
        <w:t>项目负责人</w:t>
      </w:r>
      <w:r>
        <w:rPr>
          <w:rFonts w:hint="eastAsia" w:ascii="宋体" w:hAnsi="宋体" w:eastAsia="宋体" w:cs="宋体"/>
          <w:bCs/>
          <w:color w:val="auto"/>
          <w:sz w:val="28"/>
          <w:szCs w:val="28"/>
          <w:lang w:val="zh-CN"/>
        </w:rPr>
        <w:t>：</w:t>
      </w:r>
      <w:r>
        <w:rPr>
          <w:rFonts w:hint="eastAsia" w:ascii="宋体" w:hAnsi="宋体" w:cs="宋体"/>
          <w:bCs/>
          <w:color w:val="auto"/>
          <w:sz w:val="28"/>
          <w:szCs w:val="28"/>
          <w:lang w:val="en-US" w:eastAsia="zh-CN"/>
        </w:rPr>
        <w:t>许女士</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kern w:val="0"/>
          <w:sz w:val="28"/>
          <w:szCs w:val="28"/>
          <w:lang w:val="zh-CN"/>
        </w:rPr>
        <w:t>电    话</w:t>
      </w:r>
      <w:r>
        <w:rPr>
          <w:rFonts w:hint="eastAsia" w:ascii="宋体" w:hAnsi="宋体" w:eastAsia="宋体" w:cs="宋体"/>
          <w:bCs/>
          <w:color w:val="auto"/>
          <w:sz w:val="28"/>
          <w:szCs w:val="28"/>
          <w:lang w:val="zh-CN"/>
        </w:rPr>
        <w:t>：</w:t>
      </w:r>
      <w:r>
        <w:rPr>
          <w:rFonts w:hint="eastAsia" w:ascii="宋体" w:hAnsi="宋体" w:cs="宋体"/>
          <w:bCs/>
          <w:color w:val="auto"/>
          <w:sz w:val="28"/>
          <w:szCs w:val="28"/>
          <w:lang w:val="zh-CN" w:eastAsia="zh-CN"/>
        </w:rPr>
        <w:t>0903-7820806</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 w:val="0"/>
          <w:bCs/>
          <w:color w:val="auto"/>
          <w:kern w:val="0"/>
          <w:sz w:val="28"/>
          <w:szCs w:val="28"/>
          <w:lang w:val="zh-CN" w:eastAsia="zh-CN" w:bidi="ar-SA"/>
        </w:rPr>
      </w:pPr>
      <w:r>
        <w:rPr>
          <w:rFonts w:hint="eastAsia" w:ascii="宋体" w:hAnsi="宋体" w:eastAsia="宋体" w:cs="宋体"/>
          <w:b w:val="0"/>
          <w:bCs/>
          <w:color w:val="auto"/>
          <w:kern w:val="0"/>
          <w:sz w:val="28"/>
          <w:szCs w:val="28"/>
          <w:lang w:val="zh-CN" w:eastAsia="zh-CN" w:bidi="ar-SA"/>
        </w:rPr>
        <w:t>详细地址：和田市人民路18号玉都国际广场银座9楼</w:t>
      </w:r>
    </w:p>
    <w:p>
      <w:pPr>
        <w:keepNext w:val="0"/>
        <w:keepLines w:val="0"/>
        <w:pageBreakBefore w:val="0"/>
        <w:widowControl w:val="0"/>
        <w:kinsoku/>
        <w:wordWrap/>
        <w:overflowPunct/>
        <w:topLinePunct w:val="0"/>
        <w:autoSpaceDE w:val="0"/>
        <w:autoSpaceDN w:val="0"/>
        <w:bidi w:val="0"/>
        <w:adjustRightInd w:val="0"/>
        <w:snapToGrid/>
        <w:spacing w:line="480" w:lineRule="auto"/>
        <w:ind w:left="315" w:leftChars="150"/>
        <w:textAlignment w:val="auto"/>
        <w:rPr>
          <w:rFonts w:hint="eastAsia" w:ascii="宋体" w:hAnsi="宋体" w:eastAsia="宋体" w:cs="宋体"/>
          <w:b w:val="0"/>
          <w:bCs/>
          <w:color w:val="auto"/>
          <w:kern w:val="0"/>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left="315" w:leftChars="150"/>
        <w:textAlignment w:val="auto"/>
        <w:rPr>
          <w:rFonts w:hint="eastAsia" w:ascii="宋体" w:hAnsi="宋体" w:eastAsia="宋体" w:cs="宋体"/>
          <w:b w:val="0"/>
          <w:bCs/>
          <w:color w:val="auto"/>
          <w:kern w:val="0"/>
          <w:sz w:val="28"/>
          <w:szCs w:val="28"/>
          <w:lang w:val="en-US" w:eastAsia="zh-CN" w:bidi="ar-SA"/>
        </w:rPr>
      </w:pPr>
      <w:r>
        <w:rPr>
          <w:rFonts w:hint="eastAsia" w:ascii="宋体" w:hAnsi="宋体" w:eastAsia="宋体" w:cs="宋体"/>
          <w:b w:val="0"/>
          <w:bCs/>
          <w:color w:val="auto"/>
          <w:kern w:val="0"/>
          <w:sz w:val="28"/>
          <w:szCs w:val="28"/>
          <w:lang w:val="en-US" w:eastAsia="zh-CN" w:bidi="ar-SA"/>
        </w:rPr>
        <w:t>日    期：2022年</w:t>
      </w:r>
      <w:r>
        <w:rPr>
          <w:rFonts w:hint="eastAsia" w:ascii="宋体" w:hAnsi="宋体" w:cs="宋体"/>
          <w:b w:val="0"/>
          <w:bCs/>
          <w:color w:val="auto"/>
          <w:kern w:val="0"/>
          <w:sz w:val="28"/>
          <w:szCs w:val="28"/>
          <w:lang w:val="en-US" w:eastAsia="zh-CN" w:bidi="ar-SA"/>
        </w:rPr>
        <w:t>8</w:t>
      </w:r>
      <w:r>
        <w:rPr>
          <w:rFonts w:hint="eastAsia" w:ascii="宋体" w:hAnsi="宋体" w:eastAsia="宋体" w:cs="宋体"/>
          <w:b w:val="0"/>
          <w:bCs/>
          <w:color w:val="auto"/>
          <w:kern w:val="0"/>
          <w:sz w:val="28"/>
          <w:szCs w:val="28"/>
          <w:lang w:val="en-US" w:eastAsia="zh-CN" w:bidi="ar-SA"/>
        </w:rPr>
        <w:t>月</w:t>
      </w:r>
    </w:p>
    <w:p>
      <w:pPr>
        <w:pStyle w:val="5"/>
        <w:rPr>
          <w:rFonts w:hint="eastAsia"/>
          <w:color w:val="auto"/>
          <w:lang w:val="en-US" w:eastAsia="zh-CN"/>
        </w:rPr>
      </w:pPr>
    </w:p>
    <w:p>
      <w:pPr>
        <w:spacing w:line="360" w:lineRule="auto"/>
        <w:rPr>
          <w:rFonts w:hint="eastAsia" w:ascii="宋体" w:hAnsi="宋体" w:eastAsia="宋体" w:cs="宋体"/>
          <w:color w:val="auto"/>
        </w:rPr>
      </w:pPr>
    </w:p>
    <w:p>
      <w:pPr>
        <w:ind w:left="1077" w:leftChars="513"/>
        <w:rPr>
          <w:rFonts w:hint="eastAsia" w:ascii="宋体" w:hAnsi="宋体" w:eastAsia="宋体" w:cs="宋体"/>
          <w:color w:val="auto"/>
          <w:sz w:val="32"/>
          <w:szCs w:val="32"/>
        </w:rPr>
      </w:pP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政府采购管理机构备案登记栏：</w:t>
      </w:r>
    </w:p>
    <w:tbl>
      <w:tblPr>
        <w:tblStyle w:val="41"/>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8" w:hRule="atLeast"/>
          <w:jc w:val="center"/>
        </w:trPr>
        <w:tc>
          <w:tcPr>
            <w:tcW w:w="9785" w:type="dxa"/>
            <w:vAlign w:val="top"/>
          </w:tcPr>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本文件已报备</w:t>
            </w: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rPr>
                <w:rFonts w:hint="eastAsia" w:ascii="宋体" w:hAnsi="宋体" w:eastAsia="宋体" w:cs="宋体"/>
                <w:bCs/>
                <w:color w:val="auto"/>
                <w:sz w:val="32"/>
                <w:szCs w:val="32"/>
                <w:lang w:val="en-US"/>
              </w:rPr>
            </w:pPr>
            <w:r>
              <w:rPr>
                <w:rFonts w:hint="eastAsia" w:ascii="宋体" w:hAnsi="宋体" w:eastAsia="宋体" w:cs="宋体"/>
                <w:color w:val="auto"/>
                <w:sz w:val="28"/>
                <w:szCs w:val="28"/>
              </w:rPr>
              <w:t>项目名称：</w:t>
            </w:r>
            <w:r>
              <w:rPr>
                <w:rFonts w:hint="eastAsia" w:ascii="宋体" w:hAnsi="宋体" w:cs="宋体"/>
                <w:bCs/>
                <w:color w:val="auto"/>
                <w:sz w:val="28"/>
                <w:szCs w:val="28"/>
                <w:lang w:eastAsia="zh-CN"/>
              </w:rPr>
              <w:t>策勒县津南小学基础设施提升工程建设项目（二次）</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pStyle w:val="19"/>
              <w:rPr>
                <w:rFonts w:hint="eastAsia" w:ascii="宋体" w:hAnsi="宋体" w:eastAsia="宋体" w:cs="宋体"/>
                <w:color w:val="auto"/>
              </w:rPr>
            </w:pPr>
          </w:p>
          <w:p>
            <w:pPr>
              <w:spacing w:line="360" w:lineRule="auto"/>
              <w:rPr>
                <w:rFonts w:hint="eastAsia" w:ascii="宋体" w:hAnsi="宋体" w:eastAsia="宋体" w:cs="宋体"/>
                <w:color w:val="auto"/>
                <w:sz w:val="28"/>
                <w:szCs w:val="28"/>
              </w:rPr>
            </w:pPr>
          </w:p>
        </w:tc>
      </w:tr>
    </w:tbl>
    <w:p>
      <w:pPr>
        <w:pStyle w:val="53"/>
        <w:jc w:val="right"/>
        <w:rPr>
          <w:rFonts w:hint="eastAsia" w:ascii="宋体" w:hAnsi="宋体" w:eastAsia="宋体" w:cs="宋体"/>
          <w:b/>
          <w:bCs/>
          <w:color w:val="auto"/>
        </w:rPr>
      </w:pPr>
      <w:r>
        <w:rPr>
          <w:rFonts w:hint="eastAsia" w:ascii="宋体" w:hAnsi="宋体" w:eastAsia="宋体" w:cs="宋体"/>
          <w:b/>
          <w:bCs/>
          <w:color w:val="auto"/>
          <w:sz w:val="28"/>
          <w:szCs w:val="28"/>
          <w:lang w:val="en-US" w:eastAsia="zh-CN"/>
        </w:rPr>
        <w:t>策勒县政府采购办备案</w:t>
      </w:r>
    </w:p>
    <w:p>
      <w:pPr>
        <w:autoSpaceDE w:val="0"/>
        <w:autoSpaceDN w:val="0"/>
        <w:adjustRightInd w:val="0"/>
        <w:spacing w:line="600" w:lineRule="auto"/>
        <w:jc w:val="center"/>
        <w:rPr>
          <w:rFonts w:hint="eastAsia" w:ascii="宋体" w:hAnsi="宋体" w:eastAsia="宋体" w:cs="宋体"/>
          <w:color w:val="auto"/>
          <w:kern w:val="0"/>
          <w:sz w:val="36"/>
          <w:szCs w:val="36"/>
        </w:rPr>
      </w:pPr>
    </w:p>
    <w:p>
      <w:pPr>
        <w:autoSpaceDE w:val="0"/>
        <w:autoSpaceDN w:val="0"/>
        <w:adjustRightInd w:val="0"/>
        <w:spacing w:line="600" w:lineRule="auto"/>
        <w:jc w:val="center"/>
        <w:rPr>
          <w:rFonts w:hint="eastAsia" w:ascii="宋体" w:hAnsi="宋体" w:eastAsia="宋体" w:cs="宋体"/>
          <w:color w:val="auto"/>
          <w:kern w:val="0"/>
          <w:sz w:val="36"/>
          <w:szCs w:val="36"/>
        </w:rPr>
      </w:pPr>
      <w:r>
        <w:rPr>
          <w:rFonts w:hint="eastAsia" w:ascii="宋体" w:hAnsi="宋体" w:eastAsia="宋体" w:cs="宋体"/>
          <w:color w:val="auto"/>
          <w:kern w:val="0"/>
          <w:sz w:val="36"/>
          <w:szCs w:val="36"/>
        </w:rPr>
        <w:t>目  录</w:t>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TOC \o "1-9" \f \h \u </w:instrText>
      </w:r>
      <w:r>
        <w:rPr>
          <w:rFonts w:hint="eastAsia" w:ascii="宋体" w:hAnsi="宋体" w:eastAsia="宋体" w:cs="宋体"/>
          <w:color w:val="auto"/>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_Toc31121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lang w:eastAsia="zh-CN"/>
        </w:rPr>
        <w:t>第一部分</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eastAsia="zh-CN"/>
        </w:rPr>
        <w:t>采购公告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_Toc25035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第二部分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34"/>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_Toc26927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cs="宋体"/>
          <w:color w:val="auto"/>
          <w:sz w:val="24"/>
          <w:szCs w:val="24"/>
          <w:lang w:eastAsia="zh-CN"/>
        </w:rPr>
        <w:t>三部分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评标办法及标准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34"/>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_Toc29633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第</w:t>
      </w:r>
      <w:r>
        <w:rPr>
          <w:rFonts w:hint="eastAsia" w:ascii="宋体" w:hAnsi="宋体" w:cs="宋体"/>
          <w:color w:val="auto"/>
          <w:sz w:val="24"/>
          <w:szCs w:val="24"/>
          <w:lang w:eastAsia="zh-CN"/>
        </w:rPr>
        <w:t>四</w:t>
      </w:r>
      <w:r>
        <w:rPr>
          <w:rFonts w:hint="eastAsia" w:ascii="宋体" w:hAnsi="宋体" w:eastAsia="宋体" w:cs="宋体"/>
          <w:color w:val="auto"/>
          <w:sz w:val="24"/>
          <w:szCs w:val="24"/>
          <w:lang w:eastAsia="zh-CN"/>
        </w:rPr>
        <w:t>章</w:t>
      </w:r>
      <w:r>
        <w:rPr>
          <w:rFonts w:hint="eastAsia" w:ascii="宋体" w:hAnsi="宋体" w:eastAsia="宋体" w:cs="宋体"/>
          <w:color w:val="auto"/>
          <w:sz w:val="24"/>
          <w:szCs w:val="24"/>
          <w:lang w:val="en-US" w:eastAsia="zh-CN"/>
        </w:rPr>
        <w:t xml:space="preserve"> 采购需求、技术参数、规格</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_Toc29633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_Toc13536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w:t>
      </w:r>
      <w:r>
        <w:rPr>
          <w:rFonts w:hint="eastAsia" w:ascii="宋体" w:hAnsi="宋体" w:cs="宋体"/>
          <w:bCs/>
          <w:color w:val="auto"/>
          <w:sz w:val="24"/>
          <w:szCs w:val="24"/>
          <w:lang w:eastAsia="zh-CN"/>
        </w:rPr>
        <w:t>五</w:t>
      </w:r>
      <w:r>
        <w:rPr>
          <w:rFonts w:hint="eastAsia" w:ascii="宋体" w:hAnsi="宋体" w:eastAsia="宋体" w:cs="宋体"/>
          <w:bCs/>
          <w:color w:val="auto"/>
          <w:sz w:val="24"/>
          <w:szCs w:val="24"/>
        </w:rPr>
        <w:t xml:space="preserve">章 </w:t>
      </w:r>
      <w:r>
        <w:rPr>
          <w:rFonts w:hint="eastAsia" w:ascii="宋体" w:hAnsi="宋体" w:eastAsia="宋体" w:cs="宋体"/>
          <w:bCs/>
          <w:color w:val="auto"/>
          <w:sz w:val="24"/>
          <w:szCs w:val="24"/>
          <w:lang w:eastAsia="zh-CN"/>
        </w:rPr>
        <w:t>采购合同范本</w:t>
      </w:r>
      <w:r>
        <w:rPr>
          <w:rFonts w:hint="eastAsia" w:ascii="宋体" w:hAnsi="宋体" w:eastAsia="宋体" w:cs="宋体"/>
          <w:bCs/>
          <w:color w:val="auto"/>
          <w:sz w:val="24"/>
          <w:szCs w:val="24"/>
        </w:rPr>
        <w:t>（仅供参考）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rPr>
          <w:rFonts w:hint="eastAsia"/>
          <w:color w:val="auto"/>
        </w:rPr>
      </w:pP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_Toc5124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第</w:t>
      </w:r>
      <w:r>
        <w:rPr>
          <w:rFonts w:hint="eastAsia" w:ascii="宋体" w:hAnsi="宋体" w:cs="宋体"/>
          <w:color w:val="auto"/>
          <w:sz w:val="24"/>
          <w:szCs w:val="24"/>
          <w:lang w:eastAsia="zh-CN"/>
        </w:rPr>
        <w:t>六</w:t>
      </w:r>
      <w:r>
        <w:rPr>
          <w:rFonts w:hint="eastAsia" w:ascii="宋体" w:hAnsi="宋体" w:eastAsia="宋体" w:cs="宋体"/>
          <w:color w:val="auto"/>
          <w:sz w:val="24"/>
          <w:szCs w:val="24"/>
          <w:lang w:eastAsia="zh-CN"/>
        </w:rPr>
        <w:t>章</w:t>
      </w:r>
      <w:r>
        <w:rPr>
          <w:rFonts w:hint="eastAsia" w:ascii="宋体" w:hAnsi="宋体" w:eastAsia="宋体" w:cs="宋体"/>
          <w:color w:val="auto"/>
          <w:sz w:val="24"/>
          <w:szCs w:val="24"/>
          <w:lang w:val="en-US" w:eastAsia="zh-CN"/>
        </w:rPr>
        <w:t xml:space="preserve"> 投标文件内容及格式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_Toc5124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
        <w:outlineLvl w:val="0"/>
        <w:rPr>
          <w:rFonts w:hint="eastAsia" w:ascii="宋体" w:hAnsi="宋体" w:eastAsia="宋体" w:cs="宋体"/>
          <w:color w:val="auto"/>
        </w:rPr>
      </w:pPr>
      <w:r>
        <w:rPr>
          <w:rFonts w:hint="eastAsia" w:ascii="宋体" w:hAnsi="宋体" w:eastAsia="宋体" w:cs="宋体"/>
          <w:color w:val="auto"/>
        </w:rPr>
        <w:fldChar w:fldCharType="end"/>
      </w:r>
    </w:p>
    <w:p>
      <w:pPr>
        <w:rPr>
          <w:rFonts w:hint="eastAsia" w:ascii="宋体" w:hAnsi="宋体" w:eastAsia="宋体" w:cs="宋体"/>
          <w:color w:val="auto"/>
        </w:rPr>
      </w:pPr>
    </w:p>
    <w:p>
      <w:pPr>
        <w:pStyle w:val="5"/>
        <w:rPr>
          <w:rFonts w:hint="eastAsia" w:ascii="宋体" w:hAnsi="宋体" w:eastAsia="宋体" w:cs="宋体"/>
          <w:color w:val="auto"/>
        </w:rPr>
      </w:pPr>
    </w:p>
    <w:p>
      <w:pPr>
        <w:rPr>
          <w:rFonts w:hint="eastAsia"/>
          <w:color w:val="auto"/>
        </w:rPr>
      </w:pPr>
    </w:p>
    <w:p>
      <w:pPr>
        <w:autoSpaceDE w:val="0"/>
        <w:autoSpaceDN w:val="0"/>
        <w:adjustRightInd w:val="0"/>
        <w:spacing w:line="600" w:lineRule="auto"/>
        <w:ind w:left="2"/>
        <w:rPr>
          <w:rFonts w:hint="eastAsia" w:ascii="宋体" w:hAnsi="宋体" w:eastAsia="宋体" w:cs="宋体"/>
          <w:color w:val="auto"/>
          <w:kern w:val="0"/>
          <w:sz w:val="28"/>
          <w:szCs w:val="28"/>
        </w:rPr>
      </w:pPr>
    </w:p>
    <w:p>
      <w:pPr>
        <w:pStyle w:val="5"/>
        <w:rPr>
          <w:rFonts w:hint="eastAsia" w:ascii="宋体" w:hAnsi="宋体" w:eastAsia="宋体" w:cs="宋体"/>
          <w:color w:val="auto"/>
          <w:kern w:val="0"/>
          <w:sz w:val="28"/>
          <w:szCs w:val="28"/>
        </w:rPr>
      </w:pPr>
    </w:p>
    <w:p>
      <w:pPr>
        <w:rPr>
          <w:rFonts w:hint="eastAsia" w:ascii="宋体" w:hAnsi="宋体" w:eastAsia="宋体" w:cs="宋体"/>
          <w:color w:val="auto"/>
          <w:kern w:val="0"/>
          <w:sz w:val="28"/>
          <w:szCs w:val="28"/>
        </w:rPr>
      </w:pPr>
    </w:p>
    <w:p>
      <w:pPr>
        <w:pStyle w:val="5"/>
        <w:rPr>
          <w:rFonts w:hint="eastAsia" w:ascii="宋体" w:hAnsi="宋体" w:eastAsia="宋体" w:cs="宋体"/>
          <w:color w:val="auto"/>
          <w:kern w:val="0"/>
          <w:sz w:val="28"/>
          <w:szCs w:val="28"/>
        </w:rPr>
      </w:pPr>
    </w:p>
    <w:p>
      <w:pPr>
        <w:rPr>
          <w:rFonts w:hint="eastAsia" w:ascii="宋体" w:hAnsi="宋体" w:eastAsia="宋体" w:cs="宋体"/>
          <w:color w:val="auto"/>
          <w:kern w:val="0"/>
          <w:sz w:val="28"/>
          <w:szCs w:val="28"/>
        </w:rPr>
      </w:pPr>
    </w:p>
    <w:p>
      <w:pPr>
        <w:pStyle w:val="85"/>
        <w:rPr>
          <w:rFonts w:hint="eastAsia" w:ascii="宋体" w:hAnsi="宋体" w:eastAsia="宋体" w:cs="宋体"/>
          <w:color w:val="auto"/>
          <w:kern w:val="0"/>
          <w:sz w:val="28"/>
          <w:szCs w:val="28"/>
        </w:rPr>
      </w:pP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rPr>
          <w:rFonts w:hint="eastAsia" w:ascii="宋体" w:hAnsi="宋体" w:eastAsia="宋体" w:cs="宋体"/>
          <w:color w:val="auto"/>
          <w:sz w:val="36"/>
          <w:szCs w:val="36"/>
          <w:lang w:val="en-US"/>
        </w:rPr>
      </w:pPr>
      <w:bookmarkStart w:id="0" w:name="_Toc27002"/>
      <w:bookmarkStart w:id="1" w:name="_Toc30491"/>
      <w:r>
        <w:rPr>
          <w:rFonts w:hint="eastAsia" w:ascii="宋体" w:hAnsi="宋体" w:cs="宋体"/>
          <w:color w:val="auto"/>
          <w:sz w:val="36"/>
          <w:szCs w:val="36"/>
          <w:lang w:eastAsia="zh-CN"/>
        </w:rPr>
        <w:t>策勒县津南小学基础设施提升工程建设项目（二次）</w:t>
      </w:r>
      <w:r>
        <w:rPr>
          <w:rFonts w:hint="eastAsia" w:ascii="宋体" w:hAnsi="宋体" w:eastAsia="宋体" w:cs="宋体"/>
          <w:color w:val="auto"/>
          <w:sz w:val="36"/>
          <w:szCs w:val="36"/>
          <w:lang w:val="en-US"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u w:val="single"/>
          <w:lang w:eastAsia="zh-CN"/>
        </w:rPr>
        <w:t>策勒县津南小学基础设施提升工程建设项目（二次）</w:t>
      </w:r>
      <w:r>
        <w:rPr>
          <w:rFonts w:hint="eastAsia" w:ascii="宋体" w:hAnsi="宋体" w:eastAsia="宋体" w:cs="宋体"/>
          <w:color w:val="auto"/>
          <w:sz w:val="24"/>
          <w:szCs w:val="24"/>
          <w:u w:val="single"/>
          <w:lang w:eastAsia="zh-CN"/>
        </w:rPr>
        <w:t>的潜在投标人应在政采云平台：</w:t>
      </w:r>
      <w:r>
        <w:rPr>
          <w:rFonts w:hint="eastAsia" w:ascii="宋体" w:hAnsi="宋体" w:eastAsia="宋体" w:cs="宋体"/>
          <w:color w:val="auto"/>
          <w:sz w:val="24"/>
          <w:szCs w:val="24"/>
          <w:u w:val="single"/>
          <w:lang w:eastAsia="zh-CN"/>
        </w:rPr>
        <w:fldChar w:fldCharType="begin"/>
      </w:r>
      <w:r>
        <w:rPr>
          <w:rFonts w:hint="eastAsia" w:ascii="宋体" w:hAnsi="宋体" w:eastAsia="宋体" w:cs="宋体"/>
          <w:color w:val="auto"/>
          <w:sz w:val="24"/>
          <w:szCs w:val="24"/>
          <w:u w:val="single"/>
          <w:lang w:eastAsia="zh-CN"/>
        </w:rPr>
        <w:instrText xml:space="preserve"> HYPERLINK "https://www.zcygov.cn/线上获取获取招标文件，并于2022年07月" </w:instrText>
      </w:r>
      <w:r>
        <w:rPr>
          <w:rFonts w:hint="eastAsia" w:ascii="宋体" w:hAnsi="宋体" w:eastAsia="宋体" w:cs="宋体"/>
          <w:color w:val="auto"/>
          <w:sz w:val="24"/>
          <w:szCs w:val="24"/>
          <w:u w:val="single"/>
          <w:lang w:eastAsia="zh-CN"/>
        </w:rPr>
        <w:fldChar w:fldCharType="separate"/>
      </w:r>
      <w:r>
        <w:rPr>
          <w:rStyle w:val="48"/>
          <w:rFonts w:hint="eastAsia" w:ascii="宋体" w:hAnsi="宋体" w:eastAsia="宋体" w:cs="宋体"/>
          <w:color w:val="auto"/>
          <w:sz w:val="24"/>
          <w:szCs w:val="24"/>
          <w:lang w:eastAsia="zh-CN"/>
        </w:rPr>
        <w:t>https://www.zcygov.cn/线上获取获取招标文件，并于2022年0</w:t>
      </w:r>
      <w:r>
        <w:rPr>
          <w:rStyle w:val="48"/>
          <w:rFonts w:hint="eastAsia" w:ascii="宋体" w:hAnsi="宋体" w:cs="宋体"/>
          <w:color w:val="auto"/>
          <w:sz w:val="24"/>
          <w:szCs w:val="24"/>
          <w:lang w:val="en-US" w:eastAsia="zh-CN"/>
        </w:rPr>
        <w:t>9</w:t>
      </w:r>
      <w:r>
        <w:rPr>
          <w:rStyle w:val="48"/>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fldChar w:fldCharType="end"/>
      </w:r>
      <w:r>
        <w:rPr>
          <w:rFonts w:hint="eastAsia" w:ascii="宋体" w:hAnsi="宋体" w:eastAsia="宋体" w:cs="宋体"/>
          <w:color w:val="auto"/>
          <w:sz w:val="24"/>
          <w:szCs w:val="24"/>
          <w:u w:val="single"/>
          <w:lang w:val="en-US" w:eastAsia="zh-CN"/>
        </w:rPr>
        <w:t>0</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lang w:eastAsia="zh-CN"/>
        </w:rPr>
        <w:t>日 11:00（北京时间）前递交投标文件。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bCs/>
          <w:color w:val="auto"/>
          <w:sz w:val="24"/>
          <w:szCs w:val="24"/>
          <w:highlight w:val="none"/>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b/>
          <w:bCs/>
          <w:color w:val="auto"/>
          <w:sz w:val="24"/>
          <w:szCs w:val="24"/>
          <w:highlight w:val="none"/>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CLX-2022-034-1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6"/>
      <w:bookmarkStart w:id="7" w:name="_Toc28359003"/>
      <w:bookmarkStart w:id="8" w:name="_Toc28359080"/>
      <w:bookmarkStart w:id="9" w:name="_Toc35393622"/>
      <w:bookmarkStart w:id="10" w:name="_Toc35393791"/>
      <w:r>
        <w:rPr>
          <w:rFonts w:hint="eastAsia" w:ascii="宋体" w:hAnsi="宋体" w:cs="宋体"/>
          <w:color w:val="auto"/>
          <w:sz w:val="24"/>
          <w:szCs w:val="24"/>
          <w:highlight w:val="none"/>
          <w:lang w:eastAsia="zh-CN"/>
        </w:rPr>
        <w:t>策勒县津南小学基础设施提升工程建设项目（二次）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公开招标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r>
        <w:rPr>
          <w:rFonts w:hint="eastAsia" w:ascii="宋体" w:hAnsi="宋体" w:cs="宋体"/>
          <w:color w:val="auto"/>
          <w:sz w:val="24"/>
          <w:szCs w:val="24"/>
          <w:lang w:val="en-US" w:eastAsia="zh-CN"/>
        </w:rPr>
        <w:t>150万元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r>
        <w:rPr>
          <w:rFonts w:hint="eastAsia"/>
          <w:color w:val="auto"/>
          <w:sz w:val="24"/>
          <w:lang w:eastAsia="zh-CN"/>
        </w:rPr>
        <w:t>办公设备及教育教学设</w:t>
      </w:r>
      <w:r>
        <w:rPr>
          <w:rFonts w:hint="eastAsia" w:ascii="宋体" w:hAnsi="宋体" w:eastAsia="宋体" w:cs="宋体"/>
          <w:color w:val="auto"/>
          <w:sz w:val="24"/>
          <w:lang w:eastAsia="zh-CN"/>
        </w:rPr>
        <w:t>备（具体采购需求详见招标文件）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 xml:space="preserve">签订合同后15日内完成供货及安装调完毕 </w:t>
      </w:r>
      <w:r>
        <w:rPr>
          <w:rFonts w:hint="eastAsia" w:ascii="宋体" w:hAnsi="宋体" w:eastAsia="宋体" w:cs="宋体"/>
          <w:color w:val="auto"/>
          <w:sz w:val="24"/>
          <w:szCs w:val="24"/>
          <w:lang w:val="en-US" w:eastAsia="zh-CN"/>
        </w:rPr>
        <w:t>（具体以与甲方签订合同为准）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接受联合体投标。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的资格要求：</w:t>
      </w:r>
      <w:bookmarkEnd w:id="7"/>
      <w:bookmarkEnd w:id="8"/>
      <w:bookmarkEnd w:id="9"/>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1、满足《中华人民共和国政府采购法》第二十二条规定；</w:t>
      </w:r>
    </w:p>
    <w:p>
      <w:pPr>
        <w:keepNext w:val="0"/>
        <w:keepLines w:val="0"/>
        <w:widowControl/>
        <w:suppressLineNumbers w:val="0"/>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（1）须提供经年审有效的三证合一的营业执照； </w:t>
      </w:r>
    </w:p>
    <w:p>
      <w:pPr>
        <w:keepNext w:val="0"/>
        <w:keepLines w:val="0"/>
        <w:widowControl/>
        <w:suppressLineNumbers w:val="0"/>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（2）供应商代表到场参需提供身份证明书及身份证原件，提供近三个月由本单位社保缴费凭证及个人明细；委托代理人到场参与投标需提供授权委托书及身份证原件，需提供委托代理人近三个月（2022年</w:t>
      </w:r>
      <w:r>
        <w:rPr>
          <w:rFonts w:hint="eastAsia" w:ascii="宋体" w:hAnsi="宋体" w:cs="宋体"/>
          <w:b w:val="0"/>
          <w:bCs/>
          <w:i w:val="0"/>
          <w:caps w:val="0"/>
          <w:color w:val="auto"/>
          <w:spacing w:val="0"/>
          <w:sz w:val="24"/>
          <w:szCs w:val="24"/>
          <w:shd w:val="clear" w:color="auto" w:fill="FFFFFF"/>
          <w:lang w:val="en-US" w:eastAsia="zh-CN"/>
        </w:rPr>
        <w:t>6</w:t>
      </w:r>
      <w:r>
        <w:rPr>
          <w:rFonts w:hint="eastAsia" w:ascii="宋体" w:hAnsi="宋体" w:eastAsia="宋体" w:cs="宋体"/>
          <w:b w:val="0"/>
          <w:bCs/>
          <w:i w:val="0"/>
          <w:caps w:val="0"/>
          <w:color w:val="auto"/>
          <w:spacing w:val="0"/>
          <w:sz w:val="24"/>
          <w:szCs w:val="24"/>
          <w:shd w:val="clear" w:color="auto" w:fill="FFFFFF"/>
          <w:lang w:val="en-US" w:eastAsia="zh-CN"/>
        </w:rPr>
        <w:t>月至</w:t>
      </w:r>
      <w:r>
        <w:rPr>
          <w:rFonts w:hint="eastAsia" w:ascii="宋体" w:hAnsi="宋体" w:cs="宋体"/>
          <w:b w:val="0"/>
          <w:bCs/>
          <w:i w:val="0"/>
          <w:caps w:val="0"/>
          <w:color w:val="auto"/>
          <w:spacing w:val="0"/>
          <w:sz w:val="24"/>
          <w:szCs w:val="24"/>
          <w:shd w:val="clear" w:color="auto" w:fill="FFFFFF"/>
          <w:lang w:val="en-US" w:eastAsia="zh-CN"/>
        </w:rPr>
        <w:t>8</w:t>
      </w:r>
      <w:r>
        <w:rPr>
          <w:rFonts w:hint="eastAsia" w:ascii="宋体" w:hAnsi="宋体" w:eastAsia="宋体" w:cs="宋体"/>
          <w:b w:val="0"/>
          <w:bCs/>
          <w:i w:val="0"/>
          <w:caps w:val="0"/>
          <w:color w:val="auto"/>
          <w:spacing w:val="0"/>
          <w:sz w:val="24"/>
          <w:szCs w:val="24"/>
          <w:shd w:val="clear" w:color="auto" w:fill="FFFFFF"/>
          <w:lang w:val="en-US" w:eastAsia="zh-CN"/>
        </w:rPr>
        <w:t>月）由本单位社保缴费凭证及个人明细（新成立的公司按实际发生提供）；</w:t>
      </w:r>
    </w:p>
    <w:p>
      <w:pPr>
        <w:keepNext w:val="0"/>
        <w:keepLines w:val="0"/>
        <w:widowControl/>
        <w:suppressLineNumbers w:val="0"/>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（3）2021年度由第三方财务审计机构出具的财务审计报告</w:t>
      </w:r>
      <w:r>
        <w:rPr>
          <w:rFonts w:hint="eastAsia" w:ascii="宋体" w:hAnsi="宋体" w:cs="宋体"/>
          <w:b w:val="0"/>
          <w:bCs/>
          <w:i w:val="0"/>
          <w:caps w:val="0"/>
          <w:color w:val="auto"/>
          <w:spacing w:val="0"/>
          <w:sz w:val="24"/>
          <w:szCs w:val="24"/>
          <w:shd w:val="clear" w:color="auto" w:fill="FFFFFF"/>
          <w:lang w:val="en-US" w:eastAsia="zh-CN"/>
        </w:rPr>
        <w:t>原</w:t>
      </w:r>
      <w:r>
        <w:rPr>
          <w:rFonts w:hint="eastAsia" w:ascii="宋体" w:hAnsi="宋体" w:eastAsia="宋体" w:cs="宋体"/>
          <w:b w:val="0"/>
          <w:bCs/>
          <w:i w:val="0"/>
          <w:caps w:val="0"/>
          <w:color w:val="auto"/>
          <w:spacing w:val="0"/>
          <w:sz w:val="24"/>
          <w:szCs w:val="24"/>
          <w:shd w:val="clear" w:color="auto" w:fill="FFFFFF"/>
          <w:lang w:val="en-US" w:eastAsia="zh-CN"/>
        </w:rPr>
        <w:t>件（新成立的公司需提供银行出具的近三个月（2022年</w:t>
      </w:r>
      <w:r>
        <w:rPr>
          <w:rFonts w:hint="eastAsia" w:ascii="宋体" w:hAnsi="宋体" w:cs="宋体"/>
          <w:b w:val="0"/>
          <w:bCs/>
          <w:i w:val="0"/>
          <w:caps w:val="0"/>
          <w:color w:val="auto"/>
          <w:spacing w:val="0"/>
          <w:sz w:val="24"/>
          <w:szCs w:val="24"/>
          <w:shd w:val="clear" w:color="auto" w:fill="FFFFFF"/>
          <w:lang w:val="en-US" w:eastAsia="zh-CN"/>
        </w:rPr>
        <w:t>6</w:t>
      </w:r>
      <w:r>
        <w:rPr>
          <w:rFonts w:hint="eastAsia" w:ascii="宋体" w:hAnsi="宋体" w:eastAsia="宋体" w:cs="宋体"/>
          <w:b w:val="0"/>
          <w:bCs/>
          <w:i w:val="0"/>
          <w:caps w:val="0"/>
          <w:color w:val="auto"/>
          <w:spacing w:val="0"/>
          <w:sz w:val="24"/>
          <w:szCs w:val="24"/>
          <w:shd w:val="clear" w:color="auto" w:fill="FFFFFF"/>
          <w:lang w:val="en-US" w:eastAsia="zh-CN"/>
        </w:rPr>
        <w:t>月至</w:t>
      </w:r>
      <w:r>
        <w:rPr>
          <w:rFonts w:hint="eastAsia" w:ascii="宋体" w:hAnsi="宋体" w:cs="宋体"/>
          <w:b w:val="0"/>
          <w:bCs/>
          <w:i w:val="0"/>
          <w:caps w:val="0"/>
          <w:color w:val="auto"/>
          <w:spacing w:val="0"/>
          <w:sz w:val="24"/>
          <w:szCs w:val="24"/>
          <w:shd w:val="clear" w:color="auto" w:fill="FFFFFF"/>
          <w:lang w:val="en-US" w:eastAsia="zh-CN"/>
        </w:rPr>
        <w:t>8</w:t>
      </w:r>
      <w:r>
        <w:rPr>
          <w:rFonts w:hint="eastAsia" w:ascii="宋体" w:hAnsi="宋体" w:eastAsia="宋体" w:cs="宋体"/>
          <w:b w:val="0"/>
          <w:bCs/>
          <w:i w:val="0"/>
          <w:caps w:val="0"/>
          <w:color w:val="auto"/>
          <w:spacing w:val="0"/>
          <w:sz w:val="24"/>
          <w:szCs w:val="24"/>
          <w:shd w:val="clear" w:color="auto" w:fill="FFFFFF"/>
          <w:lang w:val="en-US" w:eastAsia="zh-CN"/>
        </w:rPr>
        <w:t>月）的资信证明和健全的财务会计制度）；</w:t>
      </w:r>
    </w:p>
    <w:p>
      <w:pPr>
        <w:keepNext w:val="0"/>
        <w:keepLines w:val="0"/>
        <w:widowControl/>
        <w:suppressLineNumbers w:val="0"/>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（4）有依法缴纳税收和社会保障资金的良好记录（提供开标前近三个月（2022年</w:t>
      </w:r>
      <w:r>
        <w:rPr>
          <w:rFonts w:hint="eastAsia" w:ascii="宋体" w:hAnsi="宋体" w:cs="宋体"/>
          <w:b w:val="0"/>
          <w:bCs/>
          <w:i w:val="0"/>
          <w:caps w:val="0"/>
          <w:color w:val="auto"/>
          <w:spacing w:val="0"/>
          <w:sz w:val="24"/>
          <w:szCs w:val="24"/>
          <w:shd w:val="clear" w:color="auto" w:fill="FFFFFF"/>
          <w:lang w:val="en-US" w:eastAsia="zh-CN"/>
        </w:rPr>
        <w:t>6</w:t>
      </w:r>
      <w:r>
        <w:rPr>
          <w:rFonts w:hint="eastAsia" w:ascii="宋体" w:hAnsi="宋体" w:eastAsia="宋体" w:cs="宋体"/>
          <w:b w:val="0"/>
          <w:bCs/>
          <w:i w:val="0"/>
          <w:caps w:val="0"/>
          <w:color w:val="auto"/>
          <w:spacing w:val="0"/>
          <w:sz w:val="24"/>
          <w:szCs w:val="24"/>
          <w:shd w:val="clear" w:color="auto" w:fill="FFFFFF"/>
          <w:lang w:val="en-US" w:eastAsia="zh-CN"/>
        </w:rPr>
        <w:t>月至</w:t>
      </w:r>
      <w:r>
        <w:rPr>
          <w:rFonts w:hint="eastAsia" w:ascii="宋体" w:hAnsi="宋体" w:cs="宋体"/>
          <w:b w:val="0"/>
          <w:bCs/>
          <w:i w:val="0"/>
          <w:caps w:val="0"/>
          <w:color w:val="auto"/>
          <w:spacing w:val="0"/>
          <w:sz w:val="24"/>
          <w:szCs w:val="24"/>
          <w:shd w:val="clear" w:color="auto" w:fill="FFFFFF"/>
          <w:lang w:val="en-US" w:eastAsia="zh-CN"/>
        </w:rPr>
        <w:t>8</w:t>
      </w:r>
      <w:r>
        <w:rPr>
          <w:rFonts w:hint="eastAsia" w:ascii="宋体" w:hAnsi="宋体" w:eastAsia="宋体" w:cs="宋体"/>
          <w:b w:val="0"/>
          <w:bCs/>
          <w:i w:val="0"/>
          <w:caps w:val="0"/>
          <w:color w:val="auto"/>
          <w:spacing w:val="0"/>
          <w:sz w:val="24"/>
          <w:szCs w:val="24"/>
          <w:shd w:val="clear" w:color="auto" w:fill="FFFFFF"/>
          <w:lang w:val="en-US" w:eastAsia="zh-CN"/>
        </w:rPr>
        <w:t>月）依法缴纳税收资料）；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（5）凡拟参加本次招标项目的投标人须提供“参加政府采购活动前3年内在经营活动中没有重大违法记录的书面声明”；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cs="宋体"/>
          <w:b w:val="0"/>
          <w:bCs/>
          <w:i w:val="0"/>
          <w:caps w:val="0"/>
          <w:color w:val="auto"/>
          <w:spacing w:val="0"/>
          <w:sz w:val="24"/>
          <w:szCs w:val="24"/>
          <w:shd w:val="clear" w:color="auto" w:fill="FFFFFF"/>
          <w:lang w:val="en-US" w:eastAsia="zh-CN"/>
        </w:rPr>
        <w:t>（6）</w:t>
      </w:r>
      <w:r>
        <w:rPr>
          <w:rFonts w:hint="eastAsia" w:ascii="宋体" w:hAnsi="宋体" w:eastAsia="宋体" w:cs="宋体"/>
          <w:b w:val="0"/>
          <w:bCs/>
          <w:i w:val="0"/>
          <w:caps w:val="0"/>
          <w:color w:val="auto"/>
          <w:spacing w:val="0"/>
          <w:sz w:val="24"/>
          <w:szCs w:val="24"/>
          <w:shd w:val="clear" w:color="auto" w:fill="FFFFFF"/>
          <w:lang w:val="en-US" w:eastAsia="zh-CN"/>
        </w:rPr>
        <w:t>本项目不接受“信用中国”（www.creditchina.gov.cn）和“中国政府采购网” （www.ccgp.gov.cn）网站等列入失信被执行人、重大税收违法案件当事人名单、政府采购严重违法失信行为记录名单的投标供应商投标（以现场查询为准）；</w:t>
      </w:r>
    </w:p>
    <w:p>
      <w:pPr>
        <w:keepNext w:val="0"/>
        <w:keepLines w:val="0"/>
        <w:widowControl/>
        <w:suppressLineNumbers w:val="0"/>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w:t>
      </w:r>
      <w:r>
        <w:rPr>
          <w:rFonts w:hint="eastAsia" w:ascii="宋体" w:hAnsi="宋体" w:cs="宋体"/>
          <w:b w:val="0"/>
          <w:bCs/>
          <w:i w:val="0"/>
          <w:caps w:val="0"/>
          <w:color w:val="auto"/>
          <w:spacing w:val="0"/>
          <w:sz w:val="24"/>
          <w:szCs w:val="24"/>
          <w:shd w:val="clear" w:color="auto" w:fill="FFFFFF"/>
          <w:lang w:val="en-US" w:eastAsia="zh-CN"/>
        </w:rPr>
        <w:t>7</w:t>
      </w:r>
      <w:r>
        <w:rPr>
          <w:rFonts w:hint="eastAsia" w:ascii="宋体" w:hAnsi="宋体" w:eastAsia="宋体" w:cs="宋体"/>
          <w:b w:val="0"/>
          <w:bCs/>
          <w:i w:val="0"/>
          <w:caps w:val="0"/>
          <w:color w:val="auto"/>
          <w:spacing w:val="0"/>
          <w:sz w:val="24"/>
          <w:szCs w:val="24"/>
          <w:shd w:val="clear" w:color="auto" w:fill="FFFFFF"/>
          <w:lang w:val="en-US" w:eastAsia="zh-CN"/>
        </w:rPr>
        <w:t>）单位负责人为同一</w:t>
      </w:r>
      <w:r>
        <w:rPr>
          <w:rFonts w:hint="eastAsia" w:ascii="宋体" w:hAnsi="宋体" w:eastAsia="宋体" w:cs="宋体"/>
          <w:color w:val="auto"/>
          <w:sz w:val="24"/>
          <w:highlight w:val="none"/>
          <w:lang w:val="en-US" w:eastAsia="zh-CN"/>
        </w:rPr>
        <w:t>人或者存在控股、管理关系的不同供应商，不得参加同一合同项目下的政府采购活动；</w:t>
      </w:r>
    </w:p>
    <w:p>
      <w:pPr>
        <w:keepNext w:val="0"/>
        <w:keepLines w:val="0"/>
        <w:widowControl/>
        <w:suppressLineNumbers w:val="0"/>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（8）本项目不接受联合体投标；</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中小企业优惠、监狱企业、节能产品、环境标志产品等，（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环境标志产品政府采购执行机制的通知》（财库〔2019〕9号）；（三）财政部、工业和信息化部《关于印发《政府采购促进中小企业展暂行办法》的通知》（财库[202</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46</w:t>
      </w:r>
      <w:r>
        <w:rPr>
          <w:rFonts w:hint="eastAsia" w:ascii="宋体" w:hAnsi="宋体" w:eastAsia="宋体" w:cs="宋体"/>
          <w:color w:val="auto"/>
          <w:sz w:val="24"/>
          <w:highlight w:val="none"/>
          <w:lang w:val="en-US" w:eastAsia="zh-CN"/>
        </w:rPr>
        <w:t xml:space="preserve"> 号文）；（四）财政部、民政部、中国残疾人联合会《关于促进残疾人就业政府采购政策的通知》（财库〔2017〕141号）；（五）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ascii="宋体" w:hAnsi="宋体" w:cs="宋体"/>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bookmarkStart w:id="11" w:name="_Toc35393793"/>
      <w:bookmarkStart w:id="12" w:name="_Toc28359082"/>
      <w:bookmarkStart w:id="13" w:name="_Toc28359005"/>
      <w:bookmarkStart w:id="14" w:name="_Toc35393624"/>
      <w:r>
        <w:rPr>
          <w:rFonts w:hint="eastAsia" w:ascii="宋体" w:hAnsi="宋体" w:eastAsia="宋体" w:cs="宋体"/>
          <w:b/>
          <w:bCs w:val="0"/>
          <w:i w:val="0"/>
          <w:caps w:val="0"/>
          <w:color w:val="auto"/>
          <w:spacing w:val="0"/>
          <w:sz w:val="24"/>
          <w:szCs w:val="24"/>
          <w:shd w:val="clear" w:color="auto" w:fill="FFFFFF"/>
          <w:lang w:val="en-US" w:eastAsia="zh-CN"/>
        </w:rPr>
        <w:t>三、获取采购文件</w:t>
      </w:r>
    </w:p>
    <w:bookmarkEnd w:id="11"/>
    <w:bookmarkEnd w:id="12"/>
    <w:bookmarkEnd w:id="13"/>
    <w:bookmarkEnd w:id="14"/>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default"/>
          <w:color w:val="auto"/>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时间：</w:t>
      </w:r>
      <w:r>
        <w:rPr>
          <w:rFonts w:hint="eastAsia" w:ascii="宋体" w:hAnsi="宋体" w:eastAsia="宋体" w:cs="宋体"/>
          <w:b w:val="0"/>
          <w:bCs/>
          <w:i w:val="0"/>
          <w:caps w:val="0"/>
          <w:color w:val="auto"/>
          <w:spacing w:val="0"/>
          <w:sz w:val="24"/>
          <w:szCs w:val="24"/>
          <w:highlight w:val="none"/>
          <w:shd w:val="clear" w:color="auto" w:fill="FFFFFF"/>
          <w:lang w:val="en-US" w:eastAsia="zh-CN"/>
        </w:rPr>
        <w:t>2022年</w:t>
      </w:r>
      <w:r>
        <w:rPr>
          <w:rFonts w:hint="eastAsia" w:ascii="宋体" w:hAnsi="宋体" w:cs="宋体"/>
          <w:b w:val="0"/>
          <w:bCs/>
          <w:i w:val="0"/>
          <w:caps w:val="0"/>
          <w:color w:val="auto"/>
          <w:spacing w:val="0"/>
          <w:sz w:val="24"/>
          <w:szCs w:val="24"/>
          <w:highlight w:val="none"/>
          <w:shd w:val="clear" w:color="auto" w:fill="FFFFFF"/>
          <w:lang w:val="en-US" w:eastAsia="zh-CN"/>
        </w:rPr>
        <w:t>8</w:t>
      </w:r>
      <w:r>
        <w:rPr>
          <w:rFonts w:hint="eastAsia" w:ascii="宋体" w:hAnsi="宋体" w:eastAsia="宋体" w:cs="宋体"/>
          <w:b w:val="0"/>
          <w:bCs/>
          <w:i w:val="0"/>
          <w:caps w:val="0"/>
          <w:color w:val="auto"/>
          <w:spacing w:val="0"/>
          <w:sz w:val="24"/>
          <w:szCs w:val="24"/>
          <w:highlight w:val="none"/>
          <w:shd w:val="clear" w:color="auto" w:fill="FFFFFF"/>
          <w:lang w:val="en-US" w:eastAsia="zh-CN"/>
        </w:rPr>
        <w:t>月</w:t>
      </w:r>
      <w:r>
        <w:rPr>
          <w:rFonts w:hint="eastAsia" w:ascii="宋体" w:hAnsi="宋体" w:cs="宋体"/>
          <w:b w:val="0"/>
          <w:bCs/>
          <w:i w:val="0"/>
          <w:caps w:val="0"/>
          <w:color w:val="auto"/>
          <w:spacing w:val="0"/>
          <w:sz w:val="24"/>
          <w:szCs w:val="24"/>
          <w:highlight w:val="none"/>
          <w:shd w:val="clear" w:color="auto" w:fill="FFFFFF"/>
          <w:lang w:val="en-US" w:eastAsia="zh-CN"/>
        </w:rPr>
        <w:t>11</w:t>
      </w:r>
      <w:r>
        <w:rPr>
          <w:rFonts w:hint="eastAsia" w:ascii="宋体" w:hAnsi="宋体" w:eastAsia="宋体" w:cs="宋体"/>
          <w:b w:val="0"/>
          <w:bCs/>
          <w:i w:val="0"/>
          <w:caps w:val="0"/>
          <w:color w:val="auto"/>
          <w:spacing w:val="0"/>
          <w:sz w:val="24"/>
          <w:szCs w:val="24"/>
          <w:highlight w:val="none"/>
          <w:shd w:val="clear" w:color="auto" w:fill="FFFFFF"/>
          <w:lang w:val="en-US" w:eastAsia="zh-CN"/>
        </w:rPr>
        <w:t>日至2022年</w:t>
      </w:r>
      <w:r>
        <w:rPr>
          <w:rFonts w:hint="eastAsia" w:ascii="宋体" w:hAnsi="宋体" w:cs="宋体"/>
          <w:b w:val="0"/>
          <w:bCs/>
          <w:i w:val="0"/>
          <w:caps w:val="0"/>
          <w:color w:val="auto"/>
          <w:spacing w:val="0"/>
          <w:sz w:val="24"/>
          <w:szCs w:val="24"/>
          <w:highlight w:val="none"/>
          <w:shd w:val="clear" w:color="auto" w:fill="FFFFFF"/>
          <w:lang w:val="en-US" w:eastAsia="zh-CN"/>
        </w:rPr>
        <w:t>8</w:t>
      </w:r>
      <w:r>
        <w:rPr>
          <w:rFonts w:hint="eastAsia" w:ascii="宋体" w:hAnsi="宋体" w:eastAsia="宋体" w:cs="宋体"/>
          <w:b w:val="0"/>
          <w:bCs/>
          <w:i w:val="0"/>
          <w:caps w:val="0"/>
          <w:color w:val="auto"/>
          <w:spacing w:val="0"/>
          <w:sz w:val="24"/>
          <w:szCs w:val="24"/>
          <w:highlight w:val="none"/>
          <w:shd w:val="clear" w:color="auto" w:fill="FFFFFF"/>
          <w:lang w:val="en-US" w:eastAsia="zh-CN"/>
        </w:rPr>
        <w:t>月</w:t>
      </w:r>
      <w:r>
        <w:rPr>
          <w:rFonts w:hint="eastAsia" w:ascii="宋体" w:hAnsi="宋体" w:cs="宋体"/>
          <w:b w:val="0"/>
          <w:bCs/>
          <w:i w:val="0"/>
          <w:caps w:val="0"/>
          <w:color w:val="auto"/>
          <w:spacing w:val="0"/>
          <w:sz w:val="24"/>
          <w:szCs w:val="24"/>
          <w:highlight w:val="none"/>
          <w:shd w:val="clear" w:color="auto" w:fill="FFFFFF"/>
          <w:lang w:val="en-US" w:eastAsia="zh-CN"/>
        </w:rPr>
        <w:t>21</w:t>
      </w:r>
      <w:r>
        <w:rPr>
          <w:rFonts w:hint="eastAsia" w:ascii="宋体" w:hAnsi="宋体" w:eastAsia="宋体" w:cs="宋体"/>
          <w:b w:val="0"/>
          <w:bCs/>
          <w:i w:val="0"/>
          <w:caps w:val="0"/>
          <w:color w:val="auto"/>
          <w:spacing w:val="0"/>
          <w:sz w:val="24"/>
          <w:szCs w:val="24"/>
          <w:highlight w:val="none"/>
          <w:shd w:val="clear" w:color="auto" w:fill="FFFFFF"/>
          <w:lang w:val="en-US" w:eastAsia="zh-CN"/>
        </w:rPr>
        <w:t>日</w:t>
      </w:r>
      <w:r>
        <w:rPr>
          <w:rFonts w:hint="eastAsia" w:ascii="宋体" w:hAnsi="宋体" w:eastAsia="宋体" w:cs="宋体"/>
          <w:b w:val="0"/>
          <w:bCs/>
          <w:i w:val="0"/>
          <w:caps w:val="0"/>
          <w:color w:val="auto"/>
          <w:spacing w:val="0"/>
          <w:sz w:val="24"/>
          <w:szCs w:val="24"/>
          <w:shd w:val="clear" w:color="auto" w:fill="FFFFFF"/>
          <w:lang w:val="en-US" w:eastAsia="zh-CN"/>
        </w:rPr>
        <w:t>每天上午00:00至12:00，下午12:00至23:59（北京时间</w:t>
      </w:r>
      <w:r>
        <w:rPr>
          <w:rFonts w:hint="eastAsia" w:ascii="宋体" w:hAnsi="宋体" w:cs="宋体"/>
          <w:b w:val="0"/>
          <w:bCs/>
          <w:i w:val="0"/>
          <w:caps w:val="0"/>
          <w:color w:val="auto"/>
          <w:spacing w:val="0"/>
          <w:sz w:val="24"/>
          <w:szCs w:val="24"/>
          <w:shd w:val="clear" w:color="auto" w:fill="FFFFFF"/>
          <w:lang w:val="en-US" w:eastAsia="zh-CN"/>
        </w:rPr>
        <w:t>，法定节假日除外</w:t>
      </w:r>
      <w:r>
        <w:rPr>
          <w:rFonts w:hint="eastAsia" w:ascii="宋体" w:hAnsi="宋体" w:eastAsia="宋体" w:cs="宋体"/>
          <w:b w:val="0"/>
          <w:bCs/>
          <w:i w:val="0"/>
          <w:caps w:val="0"/>
          <w:color w:val="auto"/>
          <w:spacing w:val="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地点：登陆政采云平台https://www.zcygov.cn/在线申请获取采购文件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方式</w:t>
      </w:r>
      <w:r>
        <w:rPr>
          <w:rFonts w:hint="eastAsia" w:ascii="宋体" w:hAnsi="宋体" w:cs="宋体"/>
          <w:b w:val="0"/>
          <w:bCs/>
          <w:i w:val="0"/>
          <w:caps w:val="0"/>
          <w:color w:val="auto"/>
          <w:spacing w:val="0"/>
          <w:sz w:val="24"/>
          <w:szCs w:val="24"/>
          <w:shd w:val="clear" w:color="auto" w:fill="FFFFFF"/>
          <w:lang w:val="en-US" w:eastAsia="zh-CN"/>
        </w:rPr>
        <w:t>：供应商登录政采云平台https://www.zcygov.cn/在线申请获取采购文件（进入“项目采购”应用，在获取采购文件菜单中选择项目，申请获取采购文件）</w:t>
      </w:r>
      <w:r>
        <w:rPr>
          <w:rFonts w:hint="eastAsia" w:ascii="宋体" w:hAnsi="宋体" w:eastAsia="宋体" w:cs="宋体"/>
          <w:b w:val="0"/>
          <w:bCs/>
          <w:i w:val="0"/>
          <w:caps w:val="0"/>
          <w:color w:val="auto"/>
          <w:spacing w:val="0"/>
          <w:sz w:val="24"/>
          <w:szCs w:val="24"/>
          <w:shd w:val="clear" w:color="auto" w:fill="FFFFFF"/>
          <w:lang w:val="en-US" w:eastAsia="zh-CN"/>
        </w:rPr>
        <w:t>附件处下载《策勒县政府采购报名表》；并将《策勒县政府采购报名表》及相关报名材料如实填写后加盖鲜红公章以PDF格式制成压缩包形式于2022年8月11日至2022年8月21日23:59分发送至504152186@qq.com邮箱，逾期发送的将拒绝投标，联系人及联系电话：阿米娜0903-6712345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bookmarkStart w:id="15" w:name="_Toc28359085"/>
      <w:bookmarkStart w:id="16" w:name="_Toc35393627"/>
      <w:bookmarkStart w:id="17" w:name="_Toc28359008"/>
      <w:bookmarkStart w:id="18" w:name="_Toc35393796"/>
      <w:r>
        <w:rPr>
          <w:rFonts w:hint="eastAsia" w:ascii="宋体" w:hAnsi="宋体" w:eastAsia="宋体" w:cs="宋体"/>
          <w:b w:val="0"/>
          <w:bCs/>
          <w:i w:val="0"/>
          <w:caps w:val="0"/>
          <w:color w:val="auto"/>
          <w:spacing w:val="0"/>
          <w:sz w:val="24"/>
          <w:szCs w:val="24"/>
          <w:shd w:val="clear" w:color="auto" w:fill="FFFFFF"/>
          <w:lang w:val="en-US" w:eastAsia="zh-CN"/>
        </w:rPr>
        <w:t>售价（元）：0</w:t>
      </w:r>
    </w:p>
    <w:p>
      <w:pPr>
        <w:keepNext w:val="0"/>
        <w:keepLines w:val="0"/>
        <w:pageBreakBefore w:val="0"/>
        <w:widowControl w:val="0"/>
        <w:numPr>
          <w:ilvl w:val="0"/>
          <w:numId w:val="0"/>
        </w:numPr>
        <w:tabs>
          <w:tab w:val="left" w:pos="8416"/>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四、提交投标文件截止时间、开标时间和地点</w:t>
      </w:r>
      <w:r>
        <w:rPr>
          <w:rFonts w:hint="eastAsia" w:ascii="宋体" w:hAnsi="宋体" w:cs="宋体"/>
          <w:b/>
          <w:bCs w:val="0"/>
          <w:i w:val="0"/>
          <w:caps w:val="0"/>
          <w:color w:val="auto"/>
          <w:spacing w:val="0"/>
          <w:sz w:val="24"/>
          <w:szCs w:val="24"/>
          <w:shd w:val="clear" w:color="auto" w:fill="FFFFFF"/>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bookmarkStart w:id="19" w:name="_Toc28359084"/>
      <w:bookmarkStart w:id="20" w:name="_Toc35393625"/>
      <w:bookmarkStart w:id="21" w:name="_Toc28359007"/>
      <w:bookmarkStart w:id="22" w:name="_Toc35393794"/>
      <w:r>
        <w:rPr>
          <w:rFonts w:hint="eastAsia" w:ascii="宋体" w:hAnsi="宋体" w:eastAsia="宋体" w:cs="宋体"/>
          <w:b w:val="0"/>
          <w:bCs/>
          <w:i w:val="0"/>
          <w:caps w:val="0"/>
          <w:color w:val="auto"/>
          <w:spacing w:val="0"/>
          <w:sz w:val="24"/>
          <w:szCs w:val="24"/>
          <w:shd w:val="clear" w:color="auto" w:fill="FFFFFF"/>
          <w:lang w:val="en-US" w:eastAsia="zh-CN"/>
        </w:rPr>
        <w:t>提交投标文件截止时间</w:t>
      </w:r>
      <w:r>
        <w:rPr>
          <w:rFonts w:hint="eastAsia" w:ascii="宋体" w:hAnsi="宋体" w:eastAsia="宋体" w:cs="宋体"/>
          <w:b w:val="0"/>
          <w:bCs/>
          <w:i w:val="0"/>
          <w:caps w:val="0"/>
          <w:color w:val="auto"/>
          <w:spacing w:val="0"/>
          <w:sz w:val="24"/>
          <w:szCs w:val="24"/>
          <w:highlight w:val="none"/>
          <w:shd w:val="clear" w:color="auto" w:fill="FFFFFF"/>
          <w:lang w:val="en-US" w:eastAsia="zh-CN"/>
        </w:rPr>
        <w:t>：</w:t>
      </w:r>
      <w:r>
        <w:rPr>
          <w:rFonts w:hint="eastAsia" w:ascii="宋体" w:hAnsi="宋体" w:cs="宋体"/>
          <w:b w:val="0"/>
          <w:bCs/>
          <w:i w:val="0"/>
          <w:caps w:val="0"/>
          <w:color w:val="auto"/>
          <w:spacing w:val="0"/>
          <w:sz w:val="24"/>
          <w:szCs w:val="24"/>
          <w:highlight w:val="none"/>
          <w:shd w:val="clear" w:color="auto" w:fill="FFFFFF"/>
          <w:lang w:val="en-US" w:eastAsia="zh-CN"/>
        </w:rPr>
        <w:t>2022年09月01日</w:t>
      </w: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11:00（北京时间）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投标地点：新疆政府采购网政采云平台（www.zcygov.cn）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开标时间：</w:t>
      </w:r>
      <w:r>
        <w:rPr>
          <w:rFonts w:hint="eastAsia" w:ascii="宋体" w:hAnsi="宋体" w:cs="宋体"/>
          <w:b w:val="0"/>
          <w:bCs/>
          <w:i w:val="0"/>
          <w:caps w:val="0"/>
          <w:color w:val="auto"/>
          <w:spacing w:val="0"/>
          <w:sz w:val="24"/>
          <w:szCs w:val="24"/>
          <w:highlight w:val="none"/>
          <w:shd w:val="clear" w:color="auto" w:fill="FFFFFF"/>
          <w:lang w:val="en-US" w:eastAsia="zh-CN"/>
        </w:rPr>
        <w:t>2022年09月01日</w:t>
      </w: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11:00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开标地点：新疆政府采购网政采云平台（www.zcygov.cn）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五、公告期限</w:t>
      </w:r>
      <w:bookmarkEnd w:id="19"/>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自本公告发</w:t>
      </w:r>
      <w:r>
        <w:rPr>
          <w:rFonts w:hint="eastAsia" w:ascii="宋体" w:hAnsi="宋体" w:eastAsia="宋体" w:cs="宋体"/>
          <w:b w:val="0"/>
          <w:bCs/>
          <w:i w:val="0"/>
          <w:caps w:val="0"/>
          <w:color w:val="auto"/>
          <w:spacing w:val="0"/>
          <w:sz w:val="24"/>
          <w:szCs w:val="24"/>
          <w:highlight w:val="none"/>
          <w:shd w:val="clear" w:color="auto" w:fill="FFFFFF"/>
          <w:lang w:val="en-US" w:eastAsia="zh-CN"/>
        </w:rPr>
        <w:t>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bookmarkStart w:id="23" w:name="_Toc35393626"/>
      <w:bookmarkStart w:id="24" w:name="_Toc35393795"/>
      <w:r>
        <w:rPr>
          <w:rFonts w:hint="eastAsia" w:ascii="宋体" w:hAnsi="宋体" w:eastAsia="宋体" w:cs="宋体"/>
          <w:b/>
          <w:bCs w:val="0"/>
          <w:i w:val="0"/>
          <w:caps w:val="0"/>
          <w:color w:val="auto"/>
          <w:spacing w:val="0"/>
          <w:sz w:val="24"/>
          <w:szCs w:val="24"/>
          <w:highlight w:val="none"/>
          <w:shd w:val="clear" w:color="auto" w:fill="FFFFFF"/>
          <w:lang w:val="en-US" w:eastAsia="zh-CN"/>
        </w:rPr>
        <w:t>六、其他补充事宜</w:t>
      </w:r>
      <w:bookmarkEnd w:id="23"/>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1、本项目实行网上投标，采用电子投标文件。若供应商参与投标，自行承担投标一切费用。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5、根据财政部、工业和信息化部关于印发《政府采购促进中小企业发展管理办法》的通知(财库</w:t>
      </w:r>
      <w:r>
        <w:rPr>
          <w:rFonts w:hint="eastAsia" w:ascii="宋体" w:hAnsi="宋体" w:cs="宋体"/>
          <w:b w:val="0"/>
          <w:bCs/>
          <w:i w:val="0"/>
          <w:caps w:val="0"/>
          <w:color w:val="auto"/>
          <w:spacing w:val="0"/>
          <w:sz w:val="24"/>
          <w:szCs w:val="24"/>
          <w:shd w:val="clear" w:color="auto" w:fill="FFFFFF"/>
          <w:lang w:val="en-US" w:eastAsia="zh-CN"/>
        </w:rPr>
        <w:t xml:space="preserve">[2020]46 </w:t>
      </w:r>
      <w:r>
        <w:rPr>
          <w:rFonts w:hint="eastAsia" w:ascii="宋体" w:hAnsi="宋体" w:eastAsia="宋体" w:cs="宋体"/>
          <w:b w:val="0"/>
          <w:bCs/>
          <w:i w:val="0"/>
          <w:caps w:val="0"/>
          <w:color w:val="auto"/>
          <w:spacing w:val="0"/>
          <w:sz w:val="24"/>
          <w:szCs w:val="24"/>
          <w:shd w:val="clear" w:color="auto" w:fill="FFFFFF"/>
          <w:lang w:val="en-US" w:eastAsia="zh-CN"/>
        </w:rPr>
        <w:t>号)，第三条款：采购人在政府采购活动中应当通过加强采购需求管理，落实预留采购份额、价格评审优惠、优先采购等措施，提高中小企业在政府采购中的份额，支持中小企业发展。本项目响应该条款要求，对符合规定的中小微企业报价给予10%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15"/>
    <w:bookmarkEnd w:id="16"/>
    <w:bookmarkEnd w:id="17"/>
    <w:bookmarkEnd w:id="18"/>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七、对本次招标提出询问，请按以下方式联系。</w:t>
      </w:r>
    </w:p>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名 称：策勒县教育局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 址：策勒县博斯坦街2号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 xml:space="preserve">联系人： </w:t>
      </w:r>
      <w:r>
        <w:rPr>
          <w:rFonts w:hint="eastAsia" w:ascii="宋体" w:hAnsi="宋体" w:cs="宋体"/>
          <w:b w:val="0"/>
          <w:bCs/>
          <w:i w:val="0"/>
          <w:caps w:val="0"/>
          <w:color w:val="auto"/>
          <w:spacing w:val="0"/>
          <w:sz w:val="24"/>
          <w:szCs w:val="24"/>
          <w:shd w:val="clear" w:color="auto" w:fill="FFFFFF"/>
          <w:lang w:val="en-US" w:eastAsia="zh-CN"/>
        </w:rPr>
        <w:t>哈克孜·依明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联系方式：</w:t>
      </w:r>
      <w:bookmarkStart w:id="25" w:name="_Toc28359086"/>
      <w:bookmarkStart w:id="26" w:name="_Toc28359009"/>
      <w:r>
        <w:rPr>
          <w:rFonts w:hint="eastAsia" w:ascii="宋体" w:hAnsi="宋体" w:cs="宋体"/>
          <w:b w:val="0"/>
          <w:bCs/>
          <w:i w:val="0"/>
          <w:caps w:val="0"/>
          <w:color w:val="auto"/>
          <w:spacing w:val="0"/>
          <w:sz w:val="24"/>
          <w:szCs w:val="24"/>
          <w:shd w:val="clear" w:color="auto" w:fill="FFFFFF"/>
          <w:lang w:val="en-US" w:eastAsia="zh-CN"/>
        </w:rPr>
        <w:t>0903-6715540</w:t>
      </w:r>
    </w:p>
    <w:p>
      <w:pPr>
        <w:pStyle w:val="50"/>
        <w:numPr>
          <w:ilvl w:val="0"/>
          <w:numId w:val="0"/>
        </w:numPr>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2.采购代理机构信息</w:t>
      </w:r>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名 称：新疆星耀天都项目管理有限责任公司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 址：和田市人民路18号玉都国际广场银座9楼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联系人：</w:t>
      </w:r>
      <w:r>
        <w:rPr>
          <w:rFonts w:hint="eastAsia" w:ascii="宋体" w:hAnsi="宋体" w:cs="宋体"/>
          <w:b w:val="0"/>
          <w:bCs/>
          <w:i w:val="0"/>
          <w:caps w:val="0"/>
          <w:color w:val="auto"/>
          <w:spacing w:val="0"/>
          <w:sz w:val="24"/>
          <w:szCs w:val="24"/>
          <w:shd w:val="clear" w:color="auto" w:fill="FFFFFF"/>
          <w:lang w:val="en-US" w:eastAsia="zh-CN"/>
        </w:rPr>
        <w:t>马女士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联系方式：</w:t>
      </w:r>
      <w:r>
        <w:rPr>
          <w:rFonts w:hint="eastAsia" w:ascii="宋体" w:hAnsi="宋体" w:cs="宋体"/>
          <w:b w:val="0"/>
          <w:bCs/>
          <w:i w:val="0"/>
          <w:caps w:val="0"/>
          <w:color w:val="auto"/>
          <w:spacing w:val="0"/>
          <w:sz w:val="24"/>
          <w:szCs w:val="24"/>
          <w:shd w:val="clear" w:color="auto" w:fill="FFFFFF"/>
          <w:lang w:val="en-US" w:eastAsia="zh-CN"/>
        </w:rPr>
        <w:t>0903-7820806</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宋体" w:hAnsi="宋体" w:eastAsia="宋体" w:cs="宋体"/>
          <w:i w:val="0"/>
          <w:caps w:val="0"/>
          <w:color w:val="auto"/>
          <w:spacing w:val="0"/>
          <w:sz w:val="24"/>
          <w:szCs w:val="24"/>
        </w:rPr>
      </w:pPr>
    </w:p>
    <w:p>
      <w:pPr>
        <w:rPr>
          <w:rFonts w:hint="eastAsia" w:ascii="宋体" w:hAnsi="宋体" w:eastAsia="宋体" w:cs="宋体"/>
          <w:b/>
          <w:color w:val="auto"/>
          <w:sz w:val="28"/>
          <w:szCs w:val="28"/>
          <w:lang w:eastAsia="zh-CN"/>
        </w:rPr>
      </w:pPr>
      <w:bookmarkStart w:id="27" w:name="_Toc15770"/>
      <w:bookmarkStart w:id="28" w:name="_Toc19282"/>
      <w:bookmarkStart w:id="29" w:name="_Toc1277"/>
      <w:bookmarkStart w:id="30" w:name="_Toc30559"/>
      <w:bookmarkStart w:id="31" w:name="_Toc15231"/>
      <w:bookmarkStart w:id="32" w:name="_Toc25035"/>
      <w:bookmarkStart w:id="33" w:name="_Toc5064"/>
      <w:r>
        <w:rPr>
          <w:rFonts w:hint="eastAsia" w:ascii="宋体" w:hAnsi="宋体" w:eastAsia="宋体" w:cs="宋体"/>
          <w:b/>
          <w:color w:val="auto"/>
          <w:sz w:val="28"/>
          <w:szCs w:val="28"/>
          <w:lang w:eastAsia="zh-CN"/>
        </w:rPr>
        <w:br w:type="page"/>
      </w:r>
    </w:p>
    <w:p>
      <w:pPr>
        <w:ind w:firstLine="420"/>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第二部分</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lang w:eastAsia="zh-CN"/>
        </w:rPr>
        <w:t>投标人须知</w:t>
      </w:r>
      <w:bookmarkEnd w:id="0"/>
      <w:bookmarkEnd w:id="1"/>
      <w:bookmarkEnd w:id="27"/>
      <w:bookmarkEnd w:id="28"/>
      <w:bookmarkEnd w:id="29"/>
      <w:bookmarkEnd w:id="30"/>
      <w:bookmarkEnd w:id="31"/>
      <w:bookmarkEnd w:id="32"/>
      <w:bookmarkEnd w:id="33"/>
    </w:p>
    <w:p>
      <w:pPr>
        <w:ind w:firstLine="420"/>
        <w:jc w:val="center"/>
        <w:outlineLvl w:val="0"/>
        <w:rPr>
          <w:rFonts w:hint="eastAsia" w:ascii="宋体" w:hAnsi="宋体" w:eastAsia="宋体" w:cs="宋体"/>
          <w:b/>
          <w:color w:val="auto"/>
          <w:sz w:val="28"/>
          <w:szCs w:val="28"/>
        </w:rPr>
      </w:pPr>
      <w:bookmarkStart w:id="34" w:name="_Toc7237"/>
      <w:bookmarkStart w:id="35" w:name="_Toc24832"/>
      <w:bookmarkStart w:id="36" w:name="_Toc17655"/>
      <w:bookmarkStart w:id="37" w:name="_Toc18219"/>
      <w:bookmarkStart w:id="38" w:name="_Toc9144"/>
      <w:bookmarkStart w:id="39" w:name="_Toc14053"/>
      <w:bookmarkStart w:id="40" w:name="_Toc8971"/>
      <w:bookmarkStart w:id="41" w:name="_Toc21348_WPSOffice_Level1"/>
      <w:bookmarkStart w:id="42" w:name="_Toc29111"/>
      <w:bookmarkStart w:id="43" w:name="_Toc12827"/>
      <w:bookmarkStart w:id="44" w:name="_Toc10179"/>
      <w:bookmarkStart w:id="45" w:name="_Toc10040"/>
      <w:r>
        <w:rPr>
          <w:rFonts w:hint="eastAsia" w:ascii="宋体" w:hAnsi="宋体" w:eastAsia="宋体" w:cs="宋体"/>
          <w:b/>
          <w:color w:val="auto"/>
          <w:sz w:val="28"/>
          <w:szCs w:val="28"/>
        </w:rPr>
        <w:t>投标人须知前附表</w:t>
      </w:r>
      <w:bookmarkEnd w:id="34"/>
      <w:bookmarkEnd w:id="35"/>
      <w:bookmarkEnd w:id="36"/>
      <w:bookmarkEnd w:id="37"/>
      <w:bookmarkEnd w:id="38"/>
      <w:bookmarkEnd w:id="39"/>
      <w:bookmarkEnd w:id="40"/>
      <w:bookmarkEnd w:id="41"/>
      <w:bookmarkEnd w:id="42"/>
      <w:bookmarkEnd w:id="43"/>
      <w:bookmarkEnd w:id="44"/>
      <w:bookmarkEnd w:id="45"/>
    </w:p>
    <w:tbl>
      <w:tblPr>
        <w:tblStyle w:val="41"/>
        <w:tblW w:w="10261"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723"/>
        <w:gridCol w:w="7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1</w:t>
            </w:r>
          </w:p>
        </w:tc>
        <w:tc>
          <w:tcPr>
            <w:tcW w:w="1723" w:type="dxa"/>
            <w:vAlign w:val="center"/>
          </w:tcPr>
          <w:p>
            <w:pPr>
              <w:spacing w:before="24" w:beforeLines="10" w:after="24" w:afterLines="10"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采购人</w:t>
            </w:r>
          </w:p>
        </w:tc>
        <w:tc>
          <w:tcPr>
            <w:tcW w:w="7700" w:type="dxa"/>
            <w:vAlign w:val="center"/>
          </w:tcPr>
          <w:p>
            <w:pPr>
              <w:spacing w:before="24" w:beforeLines="10" w:after="24" w:afterLines="10" w:line="24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名  称：</w:t>
            </w:r>
            <w:r>
              <w:rPr>
                <w:rFonts w:hint="eastAsia" w:ascii="宋体" w:hAnsi="宋体" w:eastAsia="宋体" w:cs="宋体"/>
                <w:color w:val="auto"/>
                <w:sz w:val="24"/>
                <w:highlight w:val="none"/>
                <w:lang w:val="en-US" w:eastAsia="zh-CN"/>
              </w:rPr>
              <w:t>策勒县教育局</w:t>
            </w:r>
          </w:p>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联系人：</w:t>
            </w:r>
            <w:r>
              <w:rPr>
                <w:rFonts w:hint="eastAsia" w:ascii="宋体" w:hAnsi="宋体" w:eastAsia="宋体" w:cs="宋体"/>
                <w:color w:val="auto"/>
                <w:sz w:val="24"/>
                <w:highlight w:val="none"/>
                <w:lang w:val="en-US" w:eastAsia="zh-CN"/>
              </w:rPr>
              <w:t xml:space="preserve">哈克孜·依明 </w:t>
            </w:r>
          </w:p>
          <w:p>
            <w:pPr>
              <w:spacing w:before="24" w:beforeLines="10" w:after="24" w:afterLines="10"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highlight w:val="none"/>
                <w:lang w:eastAsia="zh-CN"/>
              </w:rPr>
              <w:t>电  话：</w:t>
            </w:r>
            <w:r>
              <w:rPr>
                <w:rFonts w:hint="eastAsia" w:ascii="宋体" w:hAnsi="宋体" w:eastAsia="宋体" w:cs="宋体"/>
                <w:color w:val="auto"/>
                <w:sz w:val="24"/>
                <w:highlight w:val="none"/>
                <w:lang w:val="en-US" w:eastAsia="zh-CN"/>
              </w:rPr>
              <w:t>0903-6715540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2</w:t>
            </w:r>
          </w:p>
        </w:tc>
        <w:tc>
          <w:tcPr>
            <w:tcW w:w="1723" w:type="dxa"/>
            <w:vAlign w:val="center"/>
          </w:tcPr>
          <w:p>
            <w:pPr>
              <w:spacing w:before="24" w:beforeLines="10" w:after="24" w:afterLines="10"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代理机构</w:t>
            </w:r>
          </w:p>
        </w:tc>
        <w:tc>
          <w:tcPr>
            <w:tcW w:w="7700" w:type="dxa"/>
            <w:vAlign w:val="center"/>
          </w:tcPr>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 xml:space="preserve">名  称: </w:t>
            </w:r>
            <w:r>
              <w:rPr>
                <w:rFonts w:hint="eastAsia" w:ascii="宋体" w:hAnsi="宋体" w:eastAsia="宋体" w:cs="宋体"/>
                <w:color w:val="auto"/>
                <w:sz w:val="24"/>
                <w:highlight w:val="none"/>
                <w:lang w:val="en-US" w:eastAsia="zh-CN"/>
              </w:rPr>
              <w:t>新疆星耀天都项目管理有限责任公司</w:t>
            </w:r>
          </w:p>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地  址: 和田市人民路18号玉都国际广场银座9楼</w:t>
            </w:r>
          </w:p>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 xml:space="preserve">联系人: </w:t>
            </w:r>
            <w:r>
              <w:rPr>
                <w:rFonts w:hint="eastAsia" w:ascii="宋体" w:hAnsi="宋体" w:cs="宋体"/>
                <w:color w:val="auto"/>
                <w:sz w:val="24"/>
                <w:highlight w:val="none"/>
                <w:lang w:val="en-US" w:eastAsia="zh-CN"/>
              </w:rPr>
              <w:t>马</w:t>
            </w:r>
            <w:r>
              <w:rPr>
                <w:rFonts w:hint="eastAsia" w:ascii="宋体" w:hAnsi="宋体" w:eastAsia="宋体" w:cs="宋体"/>
                <w:b w:val="0"/>
                <w:bCs/>
                <w:i w:val="0"/>
                <w:caps w:val="0"/>
                <w:color w:val="auto"/>
                <w:spacing w:val="0"/>
                <w:sz w:val="24"/>
                <w:szCs w:val="24"/>
                <w:shd w:val="clear" w:color="auto" w:fill="FFFFFF"/>
                <w:lang w:val="en-US" w:eastAsia="zh-CN"/>
              </w:rPr>
              <w:t>女士</w:t>
            </w:r>
          </w:p>
          <w:p>
            <w:pPr>
              <w:spacing w:before="24" w:beforeLines="10" w:after="24" w:afterLines="10"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highlight w:val="none"/>
                <w:lang w:eastAsia="zh-CN"/>
              </w:rPr>
              <w:t>电  话:</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i w:val="0"/>
                <w:caps w:val="0"/>
                <w:color w:val="auto"/>
                <w:spacing w:val="0"/>
                <w:sz w:val="24"/>
                <w:szCs w:val="24"/>
                <w:shd w:val="clear" w:color="auto" w:fill="FFFFFF"/>
                <w:lang w:val="en-US" w:eastAsia="zh-CN"/>
              </w:rPr>
              <w:t>0903-7820806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b w:val="0"/>
                <w:bCs/>
                <w:i w:val="0"/>
                <w:caps w:val="0"/>
                <w:color w:val="auto"/>
                <w:spacing w:val="0"/>
                <w:sz w:val="24"/>
                <w:szCs w:val="24"/>
                <w:shd w:val="clear" w:color="auto" w:fill="FFFFFF"/>
                <w:lang w:val="en-US" w:eastAsia="zh-CN"/>
              </w:rPr>
              <w:t>3</w:t>
            </w:r>
          </w:p>
        </w:tc>
        <w:tc>
          <w:tcPr>
            <w:tcW w:w="1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 w:val="0"/>
                <w:bCs/>
                <w:i w:val="0"/>
                <w:caps w:val="0"/>
                <w:color w:val="auto"/>
                <w:spacing w:val="0"/>
                <w:sz w:val="24"/>
                <w:szCs w:val="24"/>
                <w:shd w:val="clear" w:color="auto" w:fill="FFFFFF"/>
                <w:lang w:val="en-US" w:eastAsia="zh-CN"/>
              </w:rPr>
              <w:t>同级政府采购监督管理部门</w:t>
            </w: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名称：策勒县政府采购办公室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联系人：阿米娜</w:t>
            </w:r>
          </w:p>
          <w:p>
            <w:pPr>
              <w:spacing w:before="24" w:beforeLines="10" w:after="24" w:afterLines="10" w:line="240" w:lineRule="auto"/>
              <w:ind w:firstLine="0" w:firstLineChars="0"/>
              <w:rPr>
                <w:rFonts w:hint="eastAsia" w:ascii="宋体" w:hAnsi="宋体" w:eastAsia="宋体" w:cs="宋体"/>
                <w:color w:val="auto"/>
                <w:sz w:val="24"/>
                <w:szCs w:val="24"/>
              </w:rPr>
            </w:pPr>
            <w:r>
              <w:rPr>
                <w:rFonts w:hint="eastAsia" w:ascii="宋体" w:hAnsi="宋体" w:eastAsia="宋体" w:cs="宋体"/>
                <w:b w:val="0"/>
                <w:bCs/>
                <w:i w:val="0"/>
                <w:caps w:val="0"/>
                <w:color w:val="auto"/>
                <w:spacing w:val="0"/>
                <w:sz w:val="24"/>
                <w:szCs w:val="24"/>
                <w:shd w:val="clear" w:color="auto" w:fill="FFFFFF"/>
                <w:lang w:val="en-US" w:eastAsia="zh-CN"/>
              </w:rPr>
              <w:t>监督投诉电话：0903-6712345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项目编号及</w:t>
            </w:r>
            <w:r>
              <w:rPr>
                <w:rFonts w:hint="eastAsia" w:ascii="宋体" w:hAnsi="宋体" w:eastAsia="宋体" w:cs="宋体"/>
                <w:color w:val="auto"/>
                <w:sz w:val="24"/>
                <w:szCs w:val="24"/>
              </w:rPr>
              <w:t>项目名称</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r>
              <w:rPr>
                <w:rFonts w:hint="eastAsia" w:ascii="宋体" w:hAnsi="宋体" w:cs="宋体"/>
                <w:color w:val="auto"/>
                <w:sz w:val="24"/>
                <w:szCs w:val="24"/>
                <w:highlight w:val="none"/>
                <w:shd w:val="clear"/>
                <w:lang w:eastAsia="zh-CN"/>
              </w:rPr>
              <w:t>CLX-2022-034-1</w:t>
            </w:r>
          </w:p>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r>
              <w:rPr>
                <w:rFonts w:hint="eastAsia" w:ascii="宋体" w:hAnsi="宋体" w:cs="宋体"/>
                <w:color w:val="auto"/>
                <w:sz w:val="24"/>
                <w:szCs w:val="24"/>
                <w:lang w:eastAsia="zh-CN"/>
              </w:rPr>
              <w:t>策勒县津南小学基础设施提升工程建设项目（二次）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vertAlign w:val="baseline"/>
                <w:lang w:val="en-US" w:eastAsia="zh-CN"/>
              </w:rPr>
              <w:t>办公设备及教育教学设备</w:t>
            </w:r>
            <w:r>
              <w:rPr>
                <w:rFonts w:hint="eastAsia" w:ascii="宋体" w:hAnsi="宋体" w:eastAsia="宋体" w:cs="宋体"/>
                <w:b w:val="0"/>
                <w:bCs/>
                <w:i w:val="0"/>
                <w:caps w:val="0"/>
                <w:color w:val="auto"/>
                <w:spacing w:val="0"/>
                <w:kern w:val="2"/>
                <w:sz w:val="24"/>
                <w:szCs w:val="24"/>
                <w:shd w:val="clear" w:color="auto" w:fill="FFFFFF"/>
                <w:lang w:val="en-US" w:eastAsia="zh-CN" w:bidi="ar-SA"/>
              </w:rPr>
              <w:t>（具体参数详见招标文件）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投标保证金</w:t>
            </w:r>
          </w:p>
        </w:tc>
        <w:tc>
          <w:tcPr>
            <w:tcW w:w="7700" w:type="dxa"/>
            <w:vAlign w:val="center"/>
          </w:tcPr>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color w:val="auto"/>
                <w:sz w:val="24"/>
                <w:highlight w:val="none"/>
                <w:lang w:val="en-US" w:eastAsia="zh-CN"/>
              </w:rPr>
              <w:t>投</w:t>
            </w:r>
            <w:r>
              <w:rPr>
                <w:rFonts w:hint="eastAsia" w:ascii="宋体" w:hAnsi="宋体" w:eastAsia="宋体" w:cs="宋体"/>
                <w:b/>
                <w:bCs/>
                <w:color w:val="auto"/>
                <w:kern w:val="0"/>
                <w:sz w:val="24"/>
                <w:highlight w:val="none"/>
                <w:lang w:val="en-US" w:eastAsia="zh-CN"/>
              </w:rPr>
              <w:t>标保证金：¥ 15000.00元（ 大写：壹万伍仟元整）</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保证金的缴纳方式：转账或电汇（须从供应商基本账户转出）</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账户名称：策勒县公共资源交易中心</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开户银行：策勒县农村信用合作社联合社</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行    号：3088 8102 9026</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银行账号：88101001 20101026 33101</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投标保证金缴纳截止时间：2022年</w:t>
            </w:r>
            <w:r>
              <w:rPr>
                <w:rFonts w:hint="eastAsia" w:ascii="宋体" w:hAnsi="宋体" w:cs="宋体"/>
                <w:b/>
                <w:bCs/>
                <w:color w:val="auto"/>
                <w:kern w:val="0"/>
                <w:sz w:val="24"/>
                <w:highlight w:val="none"/>
                <w:lang w:val="en-US" w:eastAsia="zh-CN"/>
              </w:rPr>
              <w:t>9</w:t>
            </w:r>
            <w:r>
              <w:rPr>
                <w:rFonts w:hint="eastAsia" w:ascii="宋体" w:hAnsi="宋体" w:eastAsia="宋体" w:cs="宋体"/>
                <w:b/>
                <w:bCs/>
                <w:color w:val="auto"/>
                <w:kern w:val="0"/>
                <w:sz w:val="24"/>
                <w:highlight w:val="none"/>
                <w:lang w:val="en-US" w:eastAsia="zh-CN"/>
              </w:rPr>
              <w:t>月</w:t>
            </w:r>
            <w:r>
              <w:rPr>
                <w:rFonts w:hint="eastAsia" w:ascii="宋体" w:hAnsi="宋体" w:cs="宋体"/>
                <w:b/>
                <w:bCs/>
                <w:color w:val="auto"/>
                <w:kern w:val="0"/>
                <w:sz w:val="24"/>
                <w:highlight w:val="none"/>
                <w:lang w:val="en-US" w:eastAsia="zh-CN"/>
              </w:rPr>
              <w:t>1</w:t>
            </w:r>
            <w:r>
              <w:rPr>
                <w:rFonts w:hint="eastAsia" w:ascii="宋体" w:hAnsi="宋体" w:eastAsia="宋体" w:cs="宋体"/>
                <w:b/>
                <w:bCs/>
                <w:color w:val="auto"/>
                <w:kern w:val="0"/>
                <w:sz w:val="24"/>
                <w:highlight w:val="none"/>
                <w:lang w:val="en-US" w:eastAsia="zh-CN"/>
              </w:rPr>
              <w:t>日</w:t>
            </w:r>
            <w:r>
              <w:rPr>
                <w:rFonts w:hint="eastAsia" w:ascii="宋体" w:hAnsi="宋体" w:cs="宋体"/>
                <w:b/>
                <w:bCs/>
                <w:color w:val="auto"/>
                <w:kern w:val="0"/>
                <w:sz w:val="24"/>
                <w:highlight w:val="none"/>
                <w:lang w:val="en-US" w:eastAsia="zh-CN"/>
              </w:rPr>
              <w:t>11</w:t>
            </w:r>
            <w:r>
              <w:rPr>
                <w:rFonts w:hint="eastAsia" w:ascii="宋体" w:hAnsi="宋体" w:eastAsia="宋体" w:cs="宋体"/>
                <w:b/>
                <w:bCs/>
                <w:color w:val="auto"/>
                <w:kern w:val="0"/>
                <w:sz w:val="24"/>
                <w:highlight w:val="none"/>
                <w:lang w:val="en-US" w:eastAsia="zh-CN"/>
              </w:rPr>
              <w:t>：00分（北京时间）。</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交付方式：必须以投标单位的名义缴纳投标保证金,汇款时必须在备注栏写明所投采购项目名称。在投标截止时间前将投标保证金以银行电汇、银行转账的方式到策勒县公共资源交易中心，须公对公账户，不接受个人打款，以个人名义打款将视为无效。</w:t>
            </w:r>
          </w:p>
          <w:p>
            <w:pPr>
              <w:spacing w:line="240" w:lineRule="auto"/>
              <w:ind w:firstLine="482" w:firstLineChars="200"/>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highlight w:val="none"/>
                <w:lang w:val="en-US" w:eastAsia="zh-CN"/>
              </w:rPr>
              <w:t>备注：开标结束后未中标企业现场将授权委托书或法人身份证复印件、开户许可证复印件（注明：联系人、联系电话、行号）、收据（必须加盖公司公章/财务章）、保证金银行回单递交至策勒县公共资源交易中心财务室）。请各供应商充分考虑保证金到账时间！（投标保证金不按要求缴纳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资格要求</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1、满足《中华人民共和国政府采购法》第二十二条规定；</w:t>
            </w:r>
          </w:p>
          <w:p>
            <w:pPr>
              <w:keepNext w:val="0"/>
              <w:keepLines w:val="0"/>
              <w:widowControl/>
              <w:suppressLineNumbers w:val="0"/>
              <w:spacing w:line="240" w:lineRule="auto"/>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（1）须提供经年审有效的三证合一的营业执照； </w:t>
            </w:r>
          </w:p>
          <w:p>
            <w:pPr>
              <w:keepNext w:val="0"/>
              <w:keepLines w:val="0"/>
              <w:widowControl/>
              <w:suppressLineNumbers w:val="0"/>
              <w:spacing w:line="240" w:lineRule="auto"/>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（2）供应商代表到场参需提供身份证明书及身份证原件，提供近三个月由本单位社保缴费凭证及个人明细；委托代理人到场参与投标需提供授权委托书及身份证原件，需提供委托代理人近三个月（2022年</w:t>
            </w:r>
            <w:r>
              <w:rPr>
                <w:rFonts w:hint="eastAsia" w:ascii="宋体" w:hAnsi="宋体" w:cs="宋体"/>
                <w:b w:val="0"/>
                <w:bCs/>
                <w:i w:val="0"/>
                <w:caps w:val="0"/>
                <w:color w:val="auto"/>
                <w:spacing w:val="0"/>
                <w:sz w:val="24"/>
                <w:szCs w:val="24"/>
                <w:shd w:val="clear" w:color="auto" w:fill="FFFFFF"/>
                <w:lang w:val="en-US" w:eastAsia="zh-CN"/>
              </w:rPr>
              <w:t>6</w:t>
            </w:r>
            <w:r>
              <w:rPr>
                <w:rFonts w:hint="eastAsia" w:ascii="宋体" w:hAnsi="宋体" w:eastAsia="宋体" w:cs="宋体"/>
                <w:b w:val="0"/>
                <w:bCs/>
                <w:i w:val="0"/>
                <w:caps w:val="0"/>
                <w:color w:val="auto"/>
                <w:spacing w:val="0"/>
                <w:sz w:val="24"/>
                <w:szCs w:val="24"/>
                <w:shd w:val="clear" w:color="auto" w:fill="FFFFFF"/>
                <w:lang w:val="en-US" w:eastAsia="zh-CN"/>
              </w:rPr>
              <w:t>月至</w:t>
            </w:r>
            <w:r>
              <w:rPr>
                <w:rFonts w:hint="eastAsia" w:ascii="宋体" w:hAnsi="宋体" w:cs="宋体"/>
                <w:b w:val="0"/>
                <w:bCs/>
                <w:i w:val="0"/>
                <w:caps w:val="0"/>
                <w:color w:val="auto"/>
                <w:spacing w:val="0"/>
                <w:sz w:val="24"/>
                <w:szCs w:val="24"/>
                <w:shd w:val="clear" w:color="auto" w:fill="FFFFFF"/>
                <w:lang w:val="en-US" w:eastAsia="zh-CN"/>
              </w:rPr>
              <w:t>8</w:t>
            </w:r>
            <w:r>
              <w:rPr>
                <w:rFonts w:hint="eastAsia" w:ascii="宋体" w:hAnsi="宋体" w:eastAsia="宋体" w:cs="宋体"/>
                <w:b w:val="0"/>
                <w:bCs/>
                <w:i w:val="0"/>
                <w:caps w:val="0"/>
                <w:color w:val="auto"/>
                <w:spacing w:val="0"/>
                <w:sz w:val="24"/>
                <w:szCs w:val="24"/>
                <w:shd w:val="clear" w:color="auto" w:fill="FFFFFF"/>
                <w:lang w:val="en-US" w:eastAsia="zh-CN"/>
              </w:rPr>
              <w:t>月）由本单位社保缴费凭证及个人明细（新成立的公司按实际发生提供）；</w:t>
            </w:r>
          </w:p>
          <w:p>
            <w:pPr>
              <w:keepNext w:val="0"/>
              <w:keepLines w:val="0"/>
              <w:widowControl/>
              <w:suppressLineNumbers w:val="0"/>
              <w:spacing w:line="240" w:lineRule="auto"/>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（3）2021年度由第三方财务审计机构出具的财务审计报告</w:t>
            </w:r>
            <w:r>
              <w:rPr>
                <w:rFonts w:hint="eastAsia" w:ascii="宋体" w:hAnsi="宋体" w:cs="宋体"/>
                <w:b w:val="0"/>
                <w:bCs/>
                <w:i w:val="0"/>
                <w:caps w:val="0"/>
                <w:color w:val="auto"/>
                <w:spacing w:val="0"/>
                <w:sz w:val="24"/>
                <w:szCs w:val="24"/>
                <w:shd w:val="clear" w:color="auto" w:fill="FFFFFF"/>
                <w:lang w:val="en-US" w:eastAsia="zh-CN"/>
              </w:rPr>
              <w:t>原</w:t>
            </w:r>
            <w:r>
              <w:rPr>
                <w:rFonts w:hint="eastAsia" w:ascii="宋体" w:hAnsi="宋体" w:eastAsia="宋体" w:cs="宋体"/>
                <w:b w:val="0"/>
                <w:bCs/>
                <w:i w:val="0"/>
                <w:caps w:val="0"/>
                <w:color w:val="auto"/>
                <w:spacing w:val="0"/>
                <w:sz w:val="24"/>
                <w:szCs w:val="24"/>
                <w:shd w:val="clear" w:color="auto" w:fill="FFFFFF"/>
                <w:lang w:val="en-US" w:eastAsia="zh-CN"/>
              </w:rPr>
              <w:t>件（新成立的公司需提供银行出具的近三个月（2022年</w:t>
            </w:r>
            <w:r>
              <w:rPr>
                <w:rFonts w:hint="eastAsia" w:ascii="宋体" w:hAnsi="宋体" w:cs="宋体"/>
                <w:b w:val="0"/>
                <w:bCs/>
                <w:i w:val="0"/>
                <w:caps w:val="0"/>
                <w:color w:val="auto"/>
                <w:spacing w:val="0"/>
                <w:sz w:val="24"/>
                <w:szCs w:val="24"/>
                <w:shd w:val="clear" w:color="auto" w:fill="FFFFFF"/>
                <w:lang w:val="en-US" w:eastAsia="zh-CN"/>
              </w:rPr>
              <w:t>6</w:t>
            </w:r>
            <w:r>
              <w:rPr>
                <w:rFonts w:hint="eastAsia" w:ascii="宋体" w:hAnsi="宋体" w:eastAsia="宋体" w:cs="宋体"/>
                <w:b w:val="0"/>
                <w:bCs/>
                <w:i w:val="0"/>
                <w:caps w:val="0"/>
                <w:color w:val="auto"/>
                <w:spacing w:val="0"/>
                <w:sz w:val="24"/>
                <w:szCs w:val="24"/>
                <w:shd w:val="clear" w:color="auto" w:fill="FFFFFF"/>
                <w:lang w:val="en-US" w:eastAsia="zh-CN"/>
              </w:rPr>
              <w:t>月至</w:t>
            </w:r>
            <w:r>
              <w:rPr>
                <w:rFonts w:hint="eastAsia" w:ascii="宋体" w:hAnsi="宋体" w:cs="宋体"/>
                <w:b w:val="0"/>
                <w:bCs/>
                <w:i w:val="0"/>
                <w:caps w:val="0"/>
                <w:color w:val="auto"/>
                <w:spacing w:val="0"/>
                <w:sz w:val="24"/>
                <w:szCs w:val="24"/>
                <w:shd w:val="clear" w:color="auto" w:fill="FFFFFF"/>
                <w:lang w:val="en-US" w:eastAsia="zh-CN"/>
              </w:rPr>
              <w:t>8</w:t>
            </w:r>
            <w:r>
              <w:rPr>
                <w:rFonts w:hint="eastAsia" w:ascii="宋体" w:hAnsi="宋体" w:eastAsia="宋体" w:cs="宋体"/>
                <w:b w:val="0"/>
                <w:bCs/>
                <w:i w:val="0"/>
                <w:caps w:val="0"/>
                <w:color w:val="auto"/>
                <w:spacing w:val="0"/>
                <w:sz w:val="24"/>
                <w:szCs w:val="24"/>
                <w:shd w:val="clear" w:color="auto" w:fill="FFFFFF"/>
                <w:lang w:val="en-US" w:eastAsia="zh-CN"/>
              </w:rPr>
              <w:t>月）的资信证明和健全的财务会计制度）；</w:t>
            </w:r>
          </w:p>
          <w:p>
            <w:pPr>
              <w:keepNext w:val="0"/>
              <w:keepLines w:val="0"/>
              <w:widowControl/>
              <w:suppressLineNumbers w:val="0"/>
              <w:spacing w:line="240" w:lineRule="auto"/>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（4）有依法缴纳税收和社会保障资金的良好记录（提供开标前近三个月（2022年</w:t>
            </w:r>
            <w:r>
              <w:rPr>
                <w:rFonts w:hint="eastAsia" w:ascii="宋体" w:hAnsi="宋体" w:cs="宋体"/>
                <w:b w:val="0"/>
                <w:bCs/>
                <w:i w:val="0"/>
                <w:caps w:val="0"/>
                <w:color w:val="auto"/>
                <w:spacing w:val="0"/>
                <w:sz w:val="24"/>
                <w:szCs w:val="24"/>
                <w:shd w:val="clear" w:color="auto" w:fill="FFFFFF"/>
                <w:lang w:val="en-US" w:eastAsia="zh-CN"/>
              </w:rPr>
              <w:t>6</w:t>
            </w:r>
            <w:r>
              <w:rPr>
                <w:rFonts w:hint="eastAsia" w:ascii="宋体" w:hAnsi="宋体" w:eastAsia="宋体" w:cs="宋体"/>
                <w:b w:val="0"/>
                <w:bCs/>
                <w:i w:val="0"/>
                <w:caps w:val="0"/>
                <w:color w:val="auto"/>
                <w:spacing w:val="0"/>
                <w:sz w:val="24"/>
                <w:szCs w:val="24"/>
                <w:shd w:val="clear" w:color="auto" w:fill="FFFFFF"/>
                <w:lang w:val="en-US" w:eastAsia="zh-CN"/>
              </w:rPr>
              <w:t>月至</w:t>
            </w:r>
            <w:r>
              <w:rPr>
                <w:rFonts w:hint="eastAsia" w:ascii="宋体" w:hAnsi="宋体" w:cs="宋体"/>
                <w:b w:val="0"/>
                <w:bCs/>
                <w:i w:val="0"/>
                <w:caps w:val="0"/>
                <w:color w:val="auto"/>
                <w:spacing w:val="0"/>
                <w:sz w:val="24"/>
                <w:szCs w:val="24"/>
                <w:shd w:val="clear" w:color="auto" w:fill="FFFFFF"/>
                <w:lang w:val="en-US" w:eastAsia="zh-CN"/>
              </w:rPr>
              <w:t>8</w:t>
            </w:r>
            <w:r>
              <w:rPr>
                <w:rFonts w:hint="eastAsia" w:ascii="宋体" w:hAnsi="宋体" w:eastAsia="宋体" w:cs="宋体"/>
                <w:b w:val="0"/>
                <w:bCs/>
                <w:i w:val="0"/>
                <w:caps w:val="0"/>
                <w:color w:val="auto"/>
                <w:spacing w:val="0"/>
                <w:sz w:val="24"/>
                <w:szCs w:val="24"/>
                <w:shd w:val="clear" w:color="auto" w:fill="FFFFFF"/>
                <w:lang w:val="en-US" w:eastAsia="zh-CN"/>
              </w:rPr>
              <w:t>月）依法缴纳税收资料）；</w:t>
            </w:r>
          </w:p>
          <w:p>
            <w:pPr>
              <w:keepNext w:val="0"/>
              <w:keepLines w:val="0"/>
              <w:widowControl/>
              <w:suppressLineNumbers w:val="0"/>
              <w:spacing w:line="240" w:lineRule="auto"/>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（5）凡拟参加本次招标项目的投标人须提供“参加政府采购活动前3年内在经营活动中没有重大违法记录的书面声明”；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（6）本项目不接受“信用中国”（www.creditchina.gov.cn）和“中国政府采购网” （www.ccgp.gov.cn）网站等列入失信被执行人、重大税收违法案件当事人名单、政府采购严重违法失信行为记录名单的投标供应商投标（以现场查询为准）；</w:t>
            </w:r>
          </w:p>
          <w:p>
            <w:pPr>
              <w:keepNext w:val="0"/>
              <w:keepLines w:val="0"/>
              <w:widowControl/>
              <w:suppressLineNumbers w:val="0"/>
              <w:spacing w:line="240" w:lineRule="auto"/>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（7）单位负责人为同一人或者存在控股、管理关系的不同供应商，不得参加同一合同项目下的政府采购活动；</w:t>
            </w:r>
          </w:p>
          <w:p>
            <w:pPr>
              <w:keepNext w:val="0"/>
              <w:keepLines w:val="0"/>
              <w:widowControl/>
              <w:suppressLineNumbers w:val="0"/>
              <w:spacing w:line="240" w:lineRule="auto"/>
              <w:ind w:firstLine="480" w:firstLineChars="200"/>
              <w:jc w:val="left"/>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（8）本项目不接受联合体投标；</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w:t>
            </w:r>
            <w:r>
              <w:rPr>
                <w:rFonts w:hint="eastAsia" w:ascii="宋体" w:hAnsi="宋体" w:eastAsia="宋体" w:cs="宋体"/>
                <w:b w:val="0"/>
                <w:bCs/>
                <w:i w:val="0"/>
                <w:caps w:val="0"/>
                <w:color w:val="auto"/>
                <w:spacing w:val="0"/>
                <w:sz w:val="24"/>
                <w:szCs w:val="24"/>
                <w:highlight w:val="none"/>
                <w:shd w:val="clear" w:color="auto" w:fill="FFFFFF"/>
                <w:lang w:val="en-US" w:eastAsia="zh-CN"/>
              </w:rPr>
              <w:t>落实政府采购政策需满足的资格要求：</w:t>
            </w:r>
            <w:r>
              <w:rPr>
                <w:rFonts w:hint="eastAsia" w:ascii="宋体" w:hAnsi="宋体" w:eastAsia="宋体" w:cs="宋体"/>
                <w:color w:val="auto"/>
                <w:sz w:val="24"/>
                <w:highlight w:val="none"/>
                <w:lang w:val="en-US" w:eastAsia="zh-CN"/>
              </w:rPr>
              <w:t>中小企业优惠、监狱企业、节能产品、环境标志产品等，（一）财政部、国家发展改革委《关于印发《节能产品政府采购实施意见》的通知》（财库〔2004〕185号文）；（二）《财政部发展改革委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环境标志产品政府采购执行机制的通知》（财库〔2019〕9号）；（三）财政部、工业和信息化部《关于印发《政府采购促进中小企业展暂行办法》的通知》（财库财库</w:t>
            </w:r>
            <w:r>
              <w:rPr>
                <w:rFonts w:hint="eastAsia" w:ascii="宋体" w:hAnsi="宋体" w:cs="宋体"/>
                <w:color w:val="auto"/>
                <w:sz w:val="24"/>
                <w:highlight w:val="none"/>
                <w:lang w:val="en-US" w:eastAsia="zh-CN"/>
              </w:rPr>
              <w:t xml:space="preserve">[2020]46 </w:t>
            </w:r>
            <w:r>
              <w:rPr>
                <w:rFonts w:hint="eastAsia" w:ascii="宋体" w:hAnsi="宋体" w:eastAsia="宋体" w:cs="宋体"/>
                <w:color w:val="auto"/>
                <w:sz w:val="24"/>
                <w:highlight w:val="none"/>
                <w:lang w:val="en-US" w:eastAsia="zh-CN"/>
              </w:rPr>
              <w:t>号文）；（四）财政部、民政部、中国残疾人联合会《关于促进残疾人就业政府采购政策的通知》（财库〔2017〕141号）；（五）财政部、司法部《关于政府采购支持监狱企业发展有关问题的通知》（财库〔2014〕68号文）；</w:t>
            </w: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caps w:val="0"/>
                <w:color w:val="auto"/>
                <w:spacing w:val="0"/>
                <w:kern w:val="2"/>
                <w:sz w:val="24"/>
                <w:szCs w:val="24"/>
                <w:lang w:val="en-US" w:eastAsia="zh-CN" w:bidi="ar-SA"/>
              </w:rPr>
            </w:pPr>
            <w:r>
              <w:rPr>
                <w:rFonts w:hint="eastAsia" w:ascii="宋体" w:hAnsi="宋体" w:eastAsia="宋体" w:cs="宋体"/>
                <w:color w:val="auto"/>
                <w:sz w:val="24"/>
                <w:highlight w:val="none"/>
                <w:lang w:val="en-US" w:eastAsia="zh-CN"/>
              </w:rPr>
              <w:t>3、本项目的特定资格要求：/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highlight w:val="none"/>
              </w:rPr>
              <w:t>信用情况</w:t>
            </w:r>
          </w:p>
        </w:tc>
        <w:tc>
          <w:tcPr>
            <w:tcW w:w="7700" w:type="dxa"/>
            <w:vAlign w:val="center"/>
          </w:tcPr>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1、信用记录查询时间及方式：</w:t>
            </w:r>
          </w:p>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（1）查询时间：自招标公告发布日期起至开标日期止，超出此时间范围将被视为无效投标。</w:t>
            </w:r>
          </w:p>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sz w:val="24"/>
                <w:szCs w:val="24"/>
                <w:lang w:eastAsia="zh-CN"/>
              </w:rPr>
            </w:pPr>
            <w:r>
              <w:rPr>
                <w:rStyle w:val="48"/>
                <w:rFonts w:hint="eastAsia" w:ascii="宋体" w:hAnsi="宋体" w:eastAsia="宋体" w:cs="宋体"/>
                <w:b/>
                <w:bCs/>
                <w:color w:val="auto"/>
                <w:sz w:val="24"/>
                <w:szCs w:val="24"/>
              </w:rPr>
              <w:t>标前准备</w:t>
            </w:r>
          </w:p>
        </w:tc>
        <w:tc>
          <w:tcPr>
            <w:tcW w:w="7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val="0"/>
                <w:color w:val="auto"/>
                <w:sz w:val="24"/>
                <w:szCs w:val="24"/>
              </w:rPr>
              <w:t>1、本项目实行网上投标，采用电子投标文件。若供应商参与投标，自行承担投标一切费用。2、各供应商应在开标前应确保成为新疆维吾尔 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 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400-881-7190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p>
        </w:tc>
        <w:tc>
          <w:tcPr>
            <w:tcW w:w="7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签订合同后15日内完成供货及安装调试完毕（具体时间以与甲方签订合同为准）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7700" w:type="dxa"/>
            <w:vAlign w:val="center"/>
          </w:tcPr>
          <w:p>
            <w:pPr>
              <w:pStyle w:val="85"/>
              <w:spacing w:line="240" w:lineRule="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采购人指定具体交货地点（策勒县教育局指定）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质保期</w:t>
            </w:r>
          </w:p>
        </w:tc>
        <w:tc>
          <w:tcPr>
            <w:tcW w:w="7700" w:type="dxa"/>
            <w:vAlign w:val="center"/>
          </w:tcPr>
          <w:p>
            <w:pPr>
              <w:pStyle w:val="85"/>
              <w:spacing w:line="240" w:lineRule="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7700" w:type="dxa"/>
            <w:vAlign w:val="center"/>
          </w:tcPr>
          <w:p>
            <w:pPr>
              <w:pStyle w:val="85"/>
              <w:spacing w:line="240" w:lineRule="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合格，必须达行业规定标准及招标文件中规定的标准。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付款方式</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lang w:val="en-US" w:eastAsia="zh-CN"/>
              </w:rPr>
            </w:pPr>
            <w:r>
              <w:rPr>
                <w:rFonts w:hint="eastAsia" w:ascii="宋体" w:hAnsi="宋体" w:eastAsia="宋体" w:cs="宋体"/>
                <w:b/>
                <w:bCs/>
                <w:color w:val="auto"/>
                <w:kern w:val="2"/>
                <w:sz w:val="24"/>
                <w:szCs w:val="24"/>
                <w:lang w:val="en-US" w:eastAsia="zh-CN" w:bidi="ar-SA"/>
              </w:rPr>
              <w:t>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highlight w:val="none"/>
                <w:lang w:val="en-US" w:eastAsia="zh-CN"/>
              </w:rPr>
              <w:t>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投标文件有效期</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90天</w:t>
            </w:r>
            <w:r>
              <w:rPr>
                <w:rFonts w:hint="eastAsia" w:ascii="宋体" w:hAnsi="宋体" w:eastAsia="宋体" w:cs="宋体"/>
                <w:bCs/>
                <w:color w:val="auto"/>
                <w:sz w:val="24"/>
                <w:szCs w:val="24"/>
              </w:rPr>
              <w:t>（从投标截止之日算起）</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1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联合体投标</w:t>
            </w: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1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考察现场</w:t>
            </w: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w:t>
            </w:r>
          </w:p>
        </w:tc>
        <w:tc>
          <w:tcPr>
            <w:tcW w:w="17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质疑须知</w:t>
            </w:r>
          </w:p>
        </w:tc>
        <w:tc>
          <w:tcPr>
            <w:tcW w:w="77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接收质疑函的方式：现场递交纸质版及Word格式电子版质疑文件至接受单位。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接受质疑的单位：新疆星耀天都项目管理有限责任公司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联系电话：0903-7820806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地址：和田市人民路18号玉都国际广场银座9楼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default" w:ascii="宋体" w:hAnsi="宋体" w:eastAsia="宋体" w:cs="宋体"/>
                <w:color w:val="auto"/>
                <w:sz w:val="24"/>
                <w:highlight w:val="none"/>
                <w:lang w:val="en-US" w:eastAsia="zh-CN"/>
              </w:rPr>
              <w:t>注：根据《中华人民共和国政府采购法》的规定，供应商质疑不得超出</w:t>
            </w:r>
            <w:r>
              <w:rPr>
                <w:rFonts w:hint="eastAsia" w:ascii="宋体" w:hAnsi="宋体" w:eastAsia="宋体" w:cs="宋体"/>
                <w:color w:val="auto"/>
                <w:sz w:val="24"/>
                <w:highlight w:val="none"/>
                <w:lang w:val="en-US" w:eastAsia="zh-CN"/>
              </w:rPr>
              <w:t xml:space="preserve"> 招标</w:t>
            </w:r>
            <w:r>
              <w:rPr>
                <w:rFonts w:hint="default" w:ascii="宋体" w:hAnsi="宋体" w:eastAsia="宋体" w:cs="宋体"/>
                <w:color w:val="auto"/>
                <w:sz w:val="24"/>
                <w:highlight w:val="none"/>
                <w:lang w:val="en-US" w:eastAsia="zh-CN"/>
              </w:rPr>
              <w:t>文件、</w:t>
            </w:r>
            <w:r>
              <w:rPr>
                <w:rFonts w:hint="eastAsia" w:ascii="宋体" w:hAnsi="宋体" w:eastAsia="宋体" w:cs="宋体"/>
                <w:color w:val="auto"/>
                <w:sz w:val="24"/>
                <w:highlight w:val="none"/>
                <w:lang w:val="en-US" w:eastAsia="zh-CN"/>
              </w:rPr>
              <w:t>招标</w:t>
            </w:r>
            <w:r>
              <w:rPr>
                <w:rFonts w:hint="default" w:ascii="宋体" w:hAnsi="宋体" w:eastAsia="宋体" w:cs="宋体"/>
                <w:color w:val="auto"/>
                <w:sz w:val="24"/>
                <w:highlight w:val="none"/>
                <w:lang w:val="en-US" w:eastAsia="zh-CN"/>
              </w:rPr>
              <w:t>过程及</w:t>
            </w:r>
            <w:r>
              <w:rPr>
                <w:rFonts w:hint="eastAsia" w:ascii="宋体" w:hAnsi="宋体" w:eastAsia="宋体" w:cs="宋体"/>
                <w:color w:val="auto"/>
                <w:sz w:val="24"/>
                <w:highlight w:val="none"/>
                <w:lang w:val="en-US" w:eastAsia="zh-CN"/>
              </w:rPr>
              <w:t>招标</w:t>
            </w:r>
            <w:r>
              <w:rPr>
                <w:rFonts w:hint="default" w:ascii="宋体" w:hAnsi="宋体" w:eastAsia="宋体" w:cs="宋体"/>
                <w:color w:val="auto"/>
                <w:sz w:val="24"/>
                <w:highlight w:val="none"/>
                <w:lang w:val="en-US" w:eastAsia="zh-CN"/>
              </w:rPr>
              <w:t>结果的范围及时效限制。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招标</w:t>
            </w:r>
            <w:r>
              <w:rPr>
                <w:rFonts w:hint="eastAsia" w:ascii="宋体" w:hAnsi="宋体" w:eastAsia="宋体" w:cs="宋体"/>
                <w:b/>
                <w:bCs/>
                <w:color w:val="auto"/>
                <w:sz w:val="24"/>
                <w:szCs w:val="24"/>
              </w:rPr>
              <w:t>文件</w:t>
            </w:r>
            <w:r>
              <w:rPr>
                <w:rFonts w:hint="eastAsia" w:ascii="宋体" w:hAnsi="宋体" w:eastAsia="宋体" w:cs="宋体"/>
                <w:b/>
                <w:bCs/>
                <w:color w:val="auto"/>
                <w:sz w:val="24"/>
                <w:szCs w:val="24"/>
                <w:lang w:eastAsia="zh-CN"/>
              </w:rPr>
              <w:t>发放</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t>供应商登陆政采云平台</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"https://www.zcygov.cn/" </w:instrText>
            </w:r>
            <w:r>
              <w:rPr>
                <w:rFonts w:hint="eastAsia" w:ascii="宋体" w:hAnsi="宋体" w:eastAsia="宋体" w:cs="宋体"/>
                <w:b/>
                <w:bCs/>
                <w:color w:val="auto"/>
                <w:sz w:val="24"/>
                <w:szCs w:val="24"/>
                <w:highlight w:val="none"/>
              </w:rPr>
              <w:fldChar w:fldCharType="separate"/>
            </w:r>
            <w:r>
              <w:rPr>
                <w:rStyle w:val="48"/>
                <w:rFonts w:hint="eastAsia" w:ascii="宋体" w:hAnsi="宋体" w:eastAsia="宋体" w:cs="宋体"/>
                <w:b/>
                <w:bCs/>
                <w:color w:val="auto"/>
                <w:sz w:val="24"/>
                <w:szCs w:val="24"/>
                <w:highlight w:val="none"/>
              </w:rPr>
              <w:t>https://www.zcygov.cn/</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rPr>
              <w:t>构成招标文件的其他文件</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Cs/>
                <w:color w:val="auto"/>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投标截止时间</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i w:val="0"/>
                <w:caps w:val="0"/>
                <w:color w:val="auto"/>
                <w:spacing w:val="0"/>
                <w:sz w:val="24"/>
                <w:szCs w:val="24"/>
                <w:highlight w:val="none"/>
                <w:shd w:val="clear" w:color="auto" w:fill="FFFFFF"/>
                <w:lang w:val="en-US" w:eastAsia="zh-CN"/>
              </w:rPr>
              <w:t>2022年0</w:t>
            </w:r>
            <w:r>
              <w:rPr>
                <w:rFonts w:hint="eastAsia" w:ascii="宋体" w:hAnsi="宋体" w:cs="宋体"/>
                <w:b w:val="0"/>
                <w:bCs/>
                <w:i w:val="0"/>
                <w:caps w:val="0"/>
                <w:color w:val="auto"/>
                <w:spacing w:val="0"/>
                <w:sz w:val="24"/>
                <w:szCs w:val="24"/>
                <w:highlight w:val="none"/>
                <w:shd w:val="clear" w:color="auto" w:fill="FFFFFF"/>
                <w:lang w:val="en-US" w:eastAsia="zh-CN"/>
              </w:rPr>
              <w:t>9</w:t>
            </w:r>
            <w:r>
              <w:rPr>
                <w:rFonts w:hint="eastAsia" w:ascii="宋体" w:hAnsi="宋体" w:eastAsia="宋体" w:cs="宋体"/>
                <w:b w:val="0"/>
                <w:bCs/>
                <w:i w:val="0"/>
                <w:caps w:val="0"/>
                <w:color w:val="auto"/>
                <w:spacing w:val="0"/>
                <w:sz w:val="24"/>
                <w:szCs w:val="24"/>
                <w:highlight w:val="none"/>
                <w:shd w:val="clear" w:color="auto" w:fill="FFFFFF"/>
                <w:lang w:val="en-US" w:eastAsia="zh-CN"/>
              </w:rPr>
              <w:t>月0</w:t>
            </w:r>
            <w:r>
              <w:rPr>
                <w:rFonts w:hint="eastAsia" w:ascii="宋体" w:hAnsi="宋体" w:cs="宋体"/>
                <w:b w:val="0"/>
                <w:bCs/>
                <w:i w:val="0"/>
                <w:caps w:val="0"/>
                <w:color w:val="auto"/>
                <w:spacing w:val="0"/>
                <w:sz w:val="24"/>
                <w:szCs w:val="24"/>
                <w:highlight w:val="none"/>
                <w:shd w:val="clear" w:color="auto" w:fill="FFFFFF"/>
                <w:lang w:val="en-US" w:eastAsia="zh-CN"/>
              </w:rPr>
              <w:t>1</w:t>
            </w: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日 </w:t>
            </w:r>
            <w:r>
              <w:rPr>
                <w:rFonts w:hint="eastAsia" w:ascii="宋体" w:hAnsi="宋体" w:eastAsia="宋体" w:cs="宋体"/>
                <w:b w:val="0"/>
                <w:bCs/>
                <w:i w:val="0"/>
                <w:caps w:val="0"/>
                <w:color w:val="auto"/>
                <w:spacing w:val="0"/>
                <w:sz w:val="24"/>
                <w:szCs w:val="24"/>
                <w:highlight w:val="none"/>
                <w:shd w:val="clear" w:color="auto" w:fill="FFFFFF"/>
                <w:lang w:val="en-US" w:eastAsia="zh-CN"/>
              </w:rPr>
              <w:t>11:00</w:t>
            </w:r>
            <w:r>
              <w:rPr>
                <w:rFonts w:hint="eastAsia" w:ascii="宋体" w:hAnsi="宋体" w:eastAsia="宋体" w:cs="宋体"/>
                <w:b w:val="0"/>
                <w:bCs/>
                <w:color w:val="auto"/>
                <w:sz w:val="24"/>
                <w:szCs w:val="24"/>
                <w:u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递交投标文件的地点</w:t>
            </w:r>
            <w:r>
              <w:rPr>
                <w:rFonts w:hint="eastAsia" w:ascii="宋体" w:hAnsi="宋体" w:eastAsia="宋体" w:cs="宋体"/>
                <w:color w:val="auto"/>
                <w:sz w:val="24"/>
                <w:lang w:eastAsia="zh-CN"/>
              </w:rPr>
              <w:t>及方式</w:t>
            </w:r>
          </w:p>
        </w:tc>
        <w:tc>
          <w:tcPr>
            <w:tcW w:w="7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策勒县政务服务与公共资源交易中心（策勒县石榴花社区经五路21号）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i w:val="0"/>
                <w:caps w:val="0"/>
                <w:color w:val="auto"/>
                <w:spacing w:val="0"/>
                <w:kern w:val="2"/>
                <w:sz w:val="24"/>
                <w:szCs w:val="24"/>
                <w:lang w:val="en-US" w:eastAsia="zh-CN" w:bidi="ar-SA"/>
              </w:rPr>
            </w:pPr>
            <w:r>
              <w:rPr>
                <w:rFonts w:hint="eastAsia" w:ascii="宋体" w:hAnsi="宋体" w:eastAsia="宋体" w:cs="宋体"/>
                <w:bCs/>
                <w:color w:val="auto"/>
                <w:sz w:val="24"/>
                <w:szCs w:val="24"/>
              </w:rPr>
              <w:t>投标人应于</w:t>
            </w:r>
            <w:r>
              <w:rPr>
                <w:rFonts w:hint="eastAsia" w:ascii="宋体" w:hAnsi="宋体" w:eastAsia="宋体" w:cs="宋体"/>
                <w:bCs/>
                <w:color w:val="auto"/>
                <w:sz w:val="24"/>
                <w:szCs w:val="24"/>
                <w:lang w:val="en-US" w:eastAsia="zh-CN"/>
              </w:rPr>
              <w:t>2022年0</w:t>
            </w:r>
            <w:r>
              <w:rPr>
                <w:rFonts w:hint="eastAsia" w:ascii="宋体" w:hAnsi="宋体" w:cs="宋体"/>
                <w:bCs/>
                <w:color w:val="auto"/>
                <w:sz w:val="24"/>
                <w:szCs w:val="24"/>
                <w:lang w:val="en-US" w:eastAsia="zh-CN"/>
              </w:rPr>
              <w:t>9</w:t>
            </w:r>
            <w:r>
              <w:rPr>
                <w:rFonts w:hint="eastAsia" w:ascii="宋体" w:hAnsi="宋体" w:eastAsia="宋体" w:cs="宋体"/>
                <w:bCs/>
                <w:color w:val="auto"/>
                <w:sz w:val="24"/>
                <w:szCs w:val="24"/>
                <w:lang w:val="en-US" w:eastAsia="zh-CN"/>
              </w:rPr>
              <w:t>月0</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日 11:00</w:t>
            </w:r>
            <w:r>
              <w:rPr>
                <w:rFonts w:hint="eastAsia" w:ascii="宋体" w:hAnsi="宋体" w:eastAsia="宋体" w:cs="宋体"/>
                <w:b w:val="0"/>
                <w:bCs/>
                <w:color w:val="auto"/>
                <w:sz w:val="24"/>
                <w:szCs w:val="24"/>
                <w:u w:val="none"/>
                <w:lang w:eastAsia="zh-CN"/>
              </w:rPr>
              <w:t>时整之前</w:t>
            </w:r>
            <w:r>
              <w:rPr>
                <w:rFonts w:hint="eastAsia" w:ascii="宋体" w:hAnsi="宋体" w:eastAsia="宋体" w:cs="宋体"/>
                <w:b w:val="0"/>
                <w:bCs/>
                <w:color w:val="auto"/>
                <w:sz w:val="24"/>
                <w:szCs w:val="24"/>
              </w:rPr>
              <w:t>将电子投标文件上传到“政采云”平台。应按照本项目招标文件和政采云</w:t>
            </w:r>
            <w:r>
              <w:rPr>
                <w:rFonts w:hint="eastAsia" w:ascii="宋体" w:hAnsi="宋体" w:eastAsia="宋体" w:cs="宋体"/>
                <w:bCs/>
                <w:color w:val="auto"/>
                <w:sz w:val="24"/>
                <w:szCs w:val="24"/>
              </w:rPr>
              <w:t>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4</w:t>
            </w:r>
          </w:p>
        </w:tc>
        <w:tc>
          <w:tcPr>
            <w:tcW w:w="1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投标</w:t>
            </w:r>
            <w:r>
              <w:rPr>
                <w:rFonts w:hint="eastAsia" w:ascii="宋体" w:hAnsi="宋体" w:eastAsia="宋体" w:cs="宋体"/>
                <w:b/>
                <w:bCs w:val="0"/>
                <w:color w:val="auto"/>
                <w:sz w:val="24"/>
                <w:szCs w:val="24"/>
              </w:rPr>
              <w:t>文件</w:t>
            </w:r>
            <w:r>
              <w:rPr>
                <w:rFonts w:hint="eastAsia" w:ascii="宋体" w:hAnsi="宋体" w:eastAsia="宋体" w:cs="宋体"/>
                <w:b/>
                <w:bCs w:val="0"/>
                <w:color w:val="auto"/>
                <w:sz w:val="24"/>
                <w:szCs w:val="24"/>
                <w:lang w:eastAsia="zh-CN"/>
              </w:rPr>
              <w:t>解密时间</w:t>
            </w:r>
          </w:p>
        </w:tc>
        <w:tc>
          <w:tcPr>
            <w:tcW w:w="7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开标时间后</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0分钟</w:t>
            </w:r>
            <w:r>
              <w:rPr>
                <w:rFonts w:hint="eastAsia" w:ascii="宋体" w:hAnsi="宋体" w:eastAsia="宋体" w:cs="宋体"/>
                <w:b/>
                <w:bCs w:val="0"/>
                <w:color w:val="auto"/>
                <w:sz w:val="24"/>
                <w:szCs w:val="24"/>
                <w:highlight w:val="none"/>
              </w:rPr>
              <w:t>内（202</w:t>
            </w: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年</w:t>
            </w:r>
            <w:r>
              <w:rPr>
                <w:rFonts w:hint="eastAsia" w:ascii="宋体" w:hAnsi="宋体" w:eastAsia="宋体" w:cs="宋体"/>
                <w:b/>
                <w:bCs w:val="0"/>
                <w:color w:val="auto"/>
                <w:sz w:val="24"/>
                <w:szCs w:val="24"/>
                <w:highlight w:val="none"/>
                <w:lang w:val="en-US" w:eastAsia="zh-CN"/>
              </w:rPr>
              <w:t xml:space="preserve"> </w:t>
            </w:r>
            <w:r>
              <w:rPr>
                <w:rFonts w:hint="eastAsia" w:ascii="宋体" w:hAnsi="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月</w:t>
            </w:r>
            <w:r>
              <w:rPr>
                <w:rFonts w:hint="eastAsia" w:ascii="宋体" w:hAnsi="宋体" w:eastAsia="宋体" w:cs="宋体"/>
                <w:b/>
                <w:bCs w:val="0"/>
                <w:color w:val="auto"/>
                <w:sz w:val="24"/>
                <w:szCs w:val="24"/>
                <w:highlight w:val="none"/>
                <w:lang w:val="en-US" w:eastAsia="zh-CN"/>
              </w:rPr>
              <w:t xml:space="preserve"> </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日</w:t>
            </w:r>
            <w:r>
              <w:rPr>
                <w:rFonts w:hint="eastAsia" w:ascii="宋体" w:hAnsi="宋体" w:eastAsia="宋体" w:cs="宋体"/>
                <w:b/>
                <w:bCs w:val="0"/>
                <w:color w:val="auto"/>
                <w:sz w:val="24"/>
                <w:szCs w:val="24"/>
                <w:highlight w:val="none"/>
                <w:lang w:eastAsia="zh-CN"/>
              </w:rPr>
              <w:t>上</w:t>
            </w:r>
            <w:r>
              <w:rPr>
                <w:rFonts w:hint="eastAsia" w:ascii="宋体" w:hAnsi="宋体" w:eastAsia="宋体" w:cs="宋体"/>
                <w:b/>
                <w:bCs w:val="0"/>
                <w:color w:val="auto"/>
                <w:sz w:val="24"/>
                <w:szCs w:val="24"/>
                <w:highlight w:val="none"/>
              </w:rPr>
              <w:t>午</w:t>
            </w:r>
            <w:r>
              <w:rPr>
                <w:rFonts w:hint="eastAsia" w:ascii="宋体" w:hAnsi="宋体" w:eastAsia="宋体" w:cs="宋体"/>
                <w:b/>
                <w:bCs w:val="0"/>
                <w:color w:val="auto"/>
                <w:sz w:val="24"/>
                <w:szCs w:val="24"/>
                <w:highlight w:val="none"/>
                <w:lang w:val="en-US" w:eastAsia="zh-CN"/>
              </w:rPr>
              <w:t>11</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00-1</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0</w:t>
            </w:r>
            <w:r>
              <w:rPr>
                <w:rFonts w:hint="eastAsia" w:ascii="宋体" w:hAnsi="宋体" w:eastAsia="宋体" w:cs="宋体"/>
                <w:b/>
                <w:bCs w:val="0"/>
                <w:color w:val="auto"/>
                <w:sz w:val="24"/>
                <w:szCs w:val="24"/>
                <w:highlight w:val="none"/>
              </w:rPr>
              <w:t>前）</w:t>
            </w:r>
            <w:r>
              <w:rPr>
                <w:rFonts w:hint="eastAsia" w:ascii="宋体" w:hAnsi="宋体" w:eastAsia="宋体" w:cs="宋体"/>
                <w:b/>
                <w:bCs w:val="0"/>
                <w:color w:val="auto"/>
                <w:sz w:val="24"/>
                <w:szCs w:val="24"/>
              </w:rPr>
              <w:t>供应商可以登录“政采云”平台，用“项目采购-开标评标”功能进行解密投标文件。若供应商在规定时间内（</w:t>
            </w:r>
            <w:r>
              <w:rPr>
                <w:rFonts w:hint="eastAsia" w:ascii="宋体" w:hAnsi="宋体" w:cs="宋体"/>
                <w:b/>
                <w:bCs w:val="0"/>
                <w:color w:val="auto"/>
                <w:sz w:val="24"/>
                <w:szCs w:val="24"/>
                <w:lang w:eastAsia="zh-CN"/>
              </w:rPr>
              <w:t>2022年 9月1日</w:t>
            </w:r>
            <w:r>
              <w:rPr>
                <w:rFonts w:hint="eastAsia" w:ascii="宋体" w:hAnsi="宋体" w:eastAsia="宋体" w:cs="宋体"/>
                <w:b/>
                <w:bCs w:val="0"/>
                <w:color w:val="auto"/>
                <w:sz w:val="24"/>
                <w:szCs w:val="24"/>
                <w:lang w:eastAsia="zh-CN"/>
              </w:rPr>
              <w:t>上</w:t>
            </w:r>
            <w:r>
              <w:rPr>
                <w:rFonts w:hint="eastAsia" w:ascii="宋体" w:hAnsi="宋体" w:eastAsia="宋体" w:cs="宋体"/>
                <w:b/>
                <w:bCs w:val="0"/>
                <w:color w:val="auto"/>
                <w:sz w:val="24"/>
                <w:szCs w:val="24"/>
              </w:rPr>
              <w:t>午</w:t>
            </w:r>
            <w:r>
              <w:rPr>
                <w:rFonts w:hint="eastAsia" w:ascii="宋体" w:hAnsi="宋体" w:eastAsia="宋体" w:cs="宋体"/>
                <w:b/>
                <w:bCs w:val="0"/>
                <w:color w:val="auto"/>
                <w:sz w:val="24"/>
                <w:szCs w:val="24"/>
                <w:lang w:val="en-US" w:eastAsia="zh-CN"/>
              </w:rPr>
              <w:t>1</w:t>
            </w:r>
            <w:r>
              <w:rPr>
                <w:rFonts w:hint="eastAsia" w:ascii="宋体" w:hAnsi="宋体" w:cs="宋体"/>
                <w:b/>
                <w:bCs w:val="0"/>
                <w:color w:val="auto"/>
                <w:sz w:val="24"/>
                <w:szCs w:val="24"/>
                <w:lang w:val="en-US" w:eastAsia="zh-CN"/>
              </w:rPr>
              <w:t>1</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0</w:t>
            </w:r>
            <w:r>
              <w:rPr>
                <w:rFonts w:hint="eastAsia" w:ascii="宋体" w:hAnsi="宋体" w:eastAsia="宋体" w:cs="宋体"/>
                <w:b/>
                <w:bCs w:val="0"/>
                <w:color w:val="auto"/>
                <w:sz w:val="24"/>
                <w:szCs w:val="24"/>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25</w:t>
            </w:r>
          </w:p>
        </w:tc>
        <w:tc>
          <w:tcPr>
            <w:tcW w:w="1723" w:type="dxa"/>
            <w:vAlign w:val="center"/>
          </w:tcPr>
          <w:p>
            <w:pPr>
              <w:keepNext w:val="0"/>
              <w:keepLines w:val="0"/>
              <w:widowControl/>
              <w:suppressLineNumbers w:val="0"/>
              <w:spacing w:line="240" w:lineRule="auto"/>
              <w:jc w:val="left"/>
              <w:rPr>
                <w:rFonts w:hint="eastAsia" w:ascii="宋体" w:hAnsi="宋体" w:eastAsia="宋体" w:cs="宋体"/>
                <w:b/>
                <w:bCs w:val="0"/>
                <w:color w:val="auto"/>
                <w:sz w:val="24"/>
                <w:szCs w:val="24"/>
                <w:lang w:eastAsia="zh-CN"/>
              </w:rPr>
            </w:pPr>
            <w:r>
              <w:rPr>
                <w:rFonts w:hint="eastAsia" w:ascii="宋体" w:hAnsi="宋体" w:eastAsia="宋体" w:cs="宋体"/>
                <w:b/>
                <w:bCs/>
                <w:color w:val="auto"/>
                <w:kern w:val="0"/>
                <w:sz w:val="24"/>
                <w:szCs w:val="24"/>
                <w:lang w:val="en-US" w:eastAsia="zh-CN" w:bidi="ar"/>
              </w:rPr>
              <w:t>评标委员会的组成</w:t>
            </w:r>
          </w:p>
        </w:tc>
        <w:tc>
          <w:tcPr>
            <w:tcW w:w="7700" w:type="dxa"/>
            <w:vAlign w:val="center"/>
          </w:tcPr>
          <w:p>
            <w:pPr>
              <w:keepNext w:val="0"/>
              <w:keepLines w:val="0"/>
              <w:widowControl/>
              <w:suppressLineNumbers w:val="0"/>
              <w:spacing w:line="240" w:lineRule="auto"/>
              <w:jc w:val="left"/>
              <w:rPr>
                <w:rFonts w:hint="eastAsia" w:ascii="宋体" w:hAnsi="宋体" w:eastAsia="宋体" w:cs="宋体"/>
                <w:b/>
                <w:bCs w:val="0"/>
                <w:color w:val="auto"/>
                <w:sz w:val="24"/>
                <w:szCs w:val="24"/>
              </w:rPr>
            </w:pPr>
            <w:r>
              <w:rPr>
                <w:rFonts w:hint="eastAsia" w:ascii="宋体" w:hAnsi="宋体" w:eastAsia="宋体" w:cs="宋体"/>
                <w:color w:val="auto"/>
                <w:kern w:val="0"/>
                <w:sz w:val="24"/>
                <w:szCs w:val="24"/>
                <w:lang w:val="en-US" w:eastAsia="zh-CN" w:bidi="ar"/>
              </w:rPr>
              <w:t>评标委员会构成：5人组成，</w:t>
            </w:r>
            <w:r>
              <w:rPr>
                <w:rFonts w:hint="eastAsia" w:ascii="宋体" w:hAnsi="宋体" w:eastAsia="宋体" w:cs="宋体"/>
                <w:bCs/>
                <w:color w:val="auto"/>
                <w:kern w:val="2"/>
                <w:sz w:val="24"/>
                <w:szCs w:val="24"/>
                <w:highlight w:val="none"/>
                <w:lang w:val="en-US" w:eastAsia="zh-CN" w:bidi="ar-SA"/>
              </w:rPr>
              <w:t>其中采购人代表1人和专家评委4人</w:t>
            </w:r>
            <w:r>
              <w:rPr>
                <w:rFonts w:hint="eastAsia" w:ascii="宋体" w:hAnsi="宋体" w:eastAsia="宋体" w:cs="宋体"/>
                <w:color w:val="auto"/>
                <w:kern w:val="0"/>
                <w:sz w:val="24"/>
                <w:szCs w:val="24"/>
                <w:lang w:val="en-US" w:eastAsia="zh-CN" w:bidi="ar"/>
              </w:rPr>
              <w:t>；</w:t>
            </w:r>
            <w:r>
              <w:rPr>
                <w:rFonts w:hint="eastAsia" w:ascii="宋体" w:hAnsi="宋体" w:eastAsia="宋体" w:cs="宋体"/>
                <w:bCs/>
                <w:color w:val="auto"/>
                <w:sz w:val="24"/>
              </w:rPr>
              <w:t>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6</w:t>
            </w:r>
          </w:p>
        </w:tc>
        <w:tc>
          <w:tcPr>
            <w:tcW w:w="1723" w:type="dxa"/>
            <w:vAlign w:val="center"/>
          </w:tcPr>
          <w:p>
            <w:pPr>
              <w:keepNext w:val="0"/>
              <w:keepLines w:val="0"/>
              <w:widowControl/>
              <w:suppressLineNumbers w:val="0"/>
              <w:spacing w:line="24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投标报价</w:t>
            </w:r>
          </w:p>
        </w:tc>
        <w:tc>
          <w:tcPr>
            <w:tcW w:w="7700" w:type="dxa"/>
            <w:vAlign w:val="center"/>
          </w:tcPr>
          <w:p>
            <w:pPr>
              <w:numPr>
                <w:ilvl w:val="0"/>
                <w:numId w:val="0"/>
              </w:numPr>
              <w:tabs>
                <w:tab w:val="left" w:pos="900"/>
              </w:tabs>
              <w:spacing w:before="24" w:beforeLines="10" w:after="24" w:afterLines="10" w:line="24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投标报价：</w:t>
            </w:r>
            <w:r>
              <w:rPr>
                <w:rFonts w:hint="eastAsia" w:ascii="宋体" w:hAnsi="宋体" w:eastAsia="宋体" w:cs="宋体"/>
                <w:color w:val="auto"/>
                <w:kern w:val="0"/>
                <w:sz w:val="24"/>
                <w:highlight w:val="none"/>
                <w:u w:val="single"/>
              </w:rPr>
              <w:t>货物到达交货地点并安装调试完成的包干总价；</w:t>
            </w:r>
          </w:p>
          <w:p>
            <w:pPr>
              <w:numPr>
                <w:ilvl w:val="0"/>
                <w:numId w:val="0"/>
              </w:numPr>
              <w:tabs>
                <w:tab w:val="left" w:pos="900"/>
              </w:tabs>
              <w:spacing w:before="24" w:beforeLines="10" w:after="24" w:afterLines="10" w:line="240" w:lineRule="auto"/>
              <w:ind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投标报价应包括：</w:t>
            </w:r>
            <w:r>
              <w:rPr>
                <w:rFonts w:hint="eastAsia" w:ascii="宋体" w:hAnsi="宋体" w:eastAsia="宋体" w:cs="宋体"/>
                <w:color w:val="auto"/>
                <w:kern w:val="0"/>
                <w:sz w:val="24"/>
                <w:highlight w:val="none"/>
                <w:u w:val="single"/>
              </w:rPr>
              <w:t>有关本项目所需货物采购、包装费、运输费、 安装费、保险费、人员工资、技术培训、验收、免费期维护费及售 后服务、税金等。运输途中风险由中标供应商自行承担；</w:t>
            </w:r>
          </w:p>
          <w:p>
            <w:pPr>
              <w:numPr>
                <w:ilvl w:val="0"/>
                <w:numId w:val="0"/>
              </w:numPr>
              <w:tabs>
                <w:tab w:val="left" w:pos="900"/>
              </w:tabs>
              <w:spacing w:before="24" w:beforeLines="10" w:after="24" w:afterLines="10" w:line="240" w:lineRule="auto"/>
              <w:ind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投标货币：</w:t>
            </w:r>
            <w:r>
              <w:rPr>
                <w:rFonts w:hint="eastAsia" w:ascii="宋体" w:hAnsi="宋体" w:eastAsia="宋体" w:cs="宋体"/>
                <w:color w:val="auto"/>
                <w:kern w:val="0"/>
                <w:sz w:val="24"/>
                <w:highlight w:val="none"/>
                <w:u w:val="single"/>
              </w:rPr>
              <w:t>人民币；</w:t>
            </w:r>
          </w:p>
          <w:p>
            <w:pPr>
              <w:numPr>
                <w:ilvl w:val="0"/>
                <w:numId w:val="0"/>
              </w:numPr>
              <w:tabs>
                <w:tab w:val="left" w:pos="900"/>
              </w:tabs>
              <w:spacing w:before="24" w:beforeLines="10" w:after="24" w:afterLines="10" w:line="240"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的报价超过本项目的最高限价，按无效投标处理。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w:t>
            </w:r>
          </w:p>
        </w:tc>
        <w:tc>
          <w:tcPr>
            <w:tcW w:w="1723"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本项目评标办法</w:t>
            </w:r>
          </w:p>
        </w:tc>
        <w:tc>
          <w:tcPr>
            <w:tcW w:w="770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8</w:t>
            </w:r>
          </w:p>
        </w:tc>
        <w:tc>
          <w:tcPr>
            <w:tcW w:w="1723" w:type="dxa"/>
            <w:vAlign w:val="center"/>
          </w:tcPr>
          <w:p>
            <w:pPr>
              <w:spacing w:line="240" w:lineRule="auto"/>
              <w:ind w:firstLine="0" w:firstLineChars="0"/>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color w:val="auto"/>
                <w:sz w:val="24"/>
                <w:highlight w:val="none"/>
              </w:rPr>
              <w:t>低于成本价不正当竞争预防措施</w:t>
            </w:r>
          </w:p>
        </w:tc>
        <w:tc>
          <w:tcPr>
            <w:tcW w:w="7700" w:type="dxa"/>
            <w:vAlign w:val="center"/>
          </w:tcPr>
          <w:p>
            <w:pPr>
              <w:spacing w:line="240" w:lineRule="auto"/>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报价低于</w:t>
            </w:r>
            <w:r>
              <w:rPr>
                <w:rFonts w:hint="eastAsia" w:ascii="宋体" w:hAnsi="宋体" w:eastAsia="宋体" w:cs="宋体"/>
                <w:color w:val="auto"/>
                <w:sz w:val="24"/>
                <w:highlight w:val="none"/>
                <w:lang w:eastAsia="zh-CN"/>
              </w:rPr>
              <w:t>采购预算</w:t>
            </w:r>
            <w:r>
              <w:rPr>
                <w:rFonts w:hint="eastAsia" w:ascii="宋体" w:hAnsi="宋体" w:eastAsia="宋体" w:cs="宋体"/>
                <w:color w:val="auto"/>
                <w:sz w:val="24"/>
                <w:highlight w:val="none"/>
                <w:lang w:val="en-US" w:eastAsia="zh-CN"/>
              </w:rPr>
              <w:t>50%或者低于其他有效供应商报价报价算术平均价40%</w:t>
            </w:r>
            <w:r>
              <w:rPr>
                <w:rFonts w:hint="eastAsia" w:ascii="宋体" w:hAnsi="宋体" w:eastAsia="宋体" w:cs="宋体"/>
                <w:color w:val="auto"/>
                <w:sz w:val="24"/>
                <w:highlight w:val="none"/>
              </w:rPr>
              <w:t>，有可能影响产品质量或者不能诚信履约的，评标委员会应当要求其在评标现场合理的时间内提供成本构成书面说明，并提交相关证明材料。供应商书面说明应当按照国家财务会计制度的规定要求，逐项就供应商提供的</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、工程和服务的主营业务成本（应根据供应商企业类型予以区别）、税金及附加、销售费用、管理费用、财务费用等成本构成事项详细陈述。</w:t>
            </w:r>
          </w:p>
          <w:p>
            <w:pPr>
              <w:spacing w:line="24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240" w:lineRule="auto"/>
              <w:ind w:firstLine="480" w:firstLineChars="200"/>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性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9</w:t>
            </w:r>
          </w:p>
        </w:tc>
        <w:tc>
          <w:tcPr>
            <w:tcW w:w="1723" w:type="dxa"/>
            <w:vAlign w:val="center"/>
          </w:tcPr>
          <w:p>
            <w:pPr>
              <w:spacing w:line="240" w:lineRule="auto"/>
              <w:ind w:firstLine="0" w:firstLineChars="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履约保证金</w:t>
            </w:r>
          </w:p>
        </w:tc>
        <w:tc>
          <w:tcPr>
            <w:tcW w:w="7700" w:type="dxa"/>
            <w:vAlign w:val="center"/>
          </w:tcPr>
          <w:p>
            <w:pPr>
              <w:spacing w:line="240" w:lineRule="auto"/>
              <w:ind w:firstLine="0" w:firstLineChars="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《中华人民共和国政府采购法实施条例》第四十八条　履约保证金的数额不得超过政府采购合同金额的</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%。中标人与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签订合同前提交履约保证金，如中标人未按招标文件规定的工期供货，则扣除履约保证金，且三年内不得参加</w:t>
            </w:r>
            <w:r>
              <w:rPr>
                <w:rFonts w:hint="eastAsia" w:ascii="宋体" w:hAnsi="宋体" w:eastAsia="宋体" w:cs="宋体"/>
                <w:color w:val="auto"/>
                <w:sz w:val="24"/>
                <w:highlight w:val="none"/>
                <w:lang w:eastAsia="zh-CN"/>
              </w:rPr>
              <w:t>策勒</w:t>
            </w:r>
            <w:r>
              <w:rPr>
                <w:rFonts w:hint="eastAsia" w:ascii="宋体" w:hAnsi="宋体" w:eastAsia="宋体" w:cs="宋体"/>
                <w:color w:val="auto"/>
                <w:sz w:val="24"/>
                <w:highlight w:val="none"/>
              </w:rPr>
              <w:t>县所有政府采购招投标活动。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1723" w:type="dxa"/>
            <w:vAlign w:val="center"/>
          </w:tcPr>
          <w:p>
            <w:pPr>
              <w:spacing w:line="240" w:lineRule="auto"/>
              <w:ind w:firstLine="0" w:firstLineChars="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履行合同</w:t>
            </w:r>
          </w:p>
        </w:tc>
        <w:tc>
          <w:tcPr>
            <w:tcW w:w="7700" w:type="dxa"/>
            <w:vAlign w:val="center"/>
          </w:tcPr>
          <w:p>
            <w:pPr>
              <w:spacing w:line="240" w:lineRule="auto"/>
              <w:ind w:firstLine="0" w:firstLineChars="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具体以双方合同签订为准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31</w:t>
            </w:r>
          </w:p>
        </w:tc>
        <w:tc>
          <w:tcPr>
            <w:tcW w:w="1723" w:type="dxa"/>
            <w:vAlign w:val="center"/>
          </w:tcPr>
          <w:p>
            <w:pPr>
              <w:spacing w:line="240" w:lineRule="auto"/>
              <w:ind w:firstLine="0" w:firstLine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利害关系代理人处理</w:t>
            </w:r>
          </w:p>
        </w:tc>
        <w:tc>
          <w:tcPr>
            <w:tcW w:w="7700" w:type="dxa"/>
            <w:vAlign w:val="center"/>
          </w:tcPr>
          <w:p>
            <w:pPr>
              <w:spacing w:line="240" w:lineRule="auto"/>
              <w:ind w:firstLine="0" w:firstLineChars="0"/>
              <w:jc w:val="both"/>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32</w:t>
            </w:r>
          </w:p>
        </w:tc>
        <w:tc>
          <w:tcPr>
            <w:tcW w:w="1723" w:type="dxa"/>
            <w:vAlign w:val="center"/>
          </w:tcPr>
          <w:p>
            <w:pPr>
              <w:spacing w:line="24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szCs w:val="22"/>
                <w:highlight w:val="none"/>
              </w:rPr>
              <w:t>政府采购政策支持</w:t>
            </w:r>
          </w:p>
        </w:tc>
        <w:tc>
          <w:tcPr>
            <w:tcW w:w="7700" w:type="dxa"/>
            <w:vAlign w:val="center"/>
          </w:tcPr>
          <w:p>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(1)根据财政部、工业和信息化部关于印发 《政府采购促进中小企业发展暂行办法》的通知(财库[2022]19 号)规定执行； </w:t>
            </w:r>
          </w:p>
          <w:p>
            <w:pPr>
              <w:spacing w:line="240" w:lineRule="auto"/>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(2)价格扣除幅度：中小企业价格给予10%的扣除</w:t>
            </w:r>
            <w:r>
              <w:rPr>
                <w:rFonts w:hint="eastAsia" w:ascii="宋体" w:hAnsi="宋体" w:cs="宋体"/>
                <w:bCs/>
                <w:color w:val="auto"/>
                <w:kern w:val="2"/>
                <w:sz w:val="24"/>
                <w:szCs w:val="24"/>
                <w:highlight w:val="none"/>
                <w:lang w:val="en-US" w:eastAsia="zh-CN" w:bidi="ar-SA"/>
              </w:rPr>
              <w:t>，其余按照6%扣除</w:t>
            </w:r>
            <w:r>
              <w:rPr>
                <w:rFonts w:hint="eastAsia" w:ascii="宋体" w:hAnsi="宋体" w:eastAsia="宋体" w:cs="宋体"/>
                <w:bCs/>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3</w:t>
            </w:r>
          </w:p>
        </w:tc>
        <w:tc>
          <w:tcPr>
            <w:tcW w:w="1723" w:type="dxa"/>
            <w:vAlign w:val="center"/>
          </w:tcPr>
          <w:p>
            <w:pPr>
              <w:spacing w:line="24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其他说明</w:t>
            </w:r>
          </w:p>
        </w:tc>
        <w:tc>
          <w:tcPr>
            <w:tcW w:w="7700" w:type="dxa"/>
            <w:vAlign w:val="center"/>
          </w:tcPr>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特别提醒：</w:t>
            </w:r>
          </w:p>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1、所有供应商的报价高于采购预算额度视为无效报价（即作否决投标处理）。</w:t>
            </w:r>
          </w:p>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2、为保证本项目服务质量，良好的售后服务；最低报价不作为中标的唯一依据。</w:t>
            </w:r>
          </w:p>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相同品牌产品且通过资格审查、符合性审查的不同供应商参加同一合同项下投标的，按一家供应商计算，评审后报价最低的同品牌供应商获得中标人推荐资格；报价相同的，按照随机抽取方式确定一个供应商获得中标人推荐资格，其他同品牌供应商不作为中标候选人。</w:t>
            </w:r>
          </w:p>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5、更正补充公告请自行登录新疆政府采购网查看下载。</w:t>
            </w:r>
          </w:p>
          <w:p>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6</w:t>
            </w:r>
            <w:r>
              <w:rPr>
                <w:rFonts w:hint="eastAsia" w:ascii="宋体" w:hAnsi="宋体" w:eastAsia="宋体" w:cs="宋体"/>
                <w:bCs/>
                <w:color w:val="auto"/>
                <w:kern w:val="2"/>
                <w:sz w:val="24"/>
                <w:szCs w:val="24"/>
                <w:highlight w:val="none"/>
                <w:lang w:val="en-US" w:eastAsia="zh-CN" w:bidi="ar-SA"/>
              </w:rPr>
              <w:t>、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pStyle w:val="19"/>
              <w:spacing w:line="240" w:lineRule="auto"/>
              <w:rPr>
                <w:rFonts w:hint="eastAsia" w:ascii="宋体" w:hAnsi="宋体" w:eastAsia="宋体" w:cs="宋体"/>
                <w:color w:val="auto"/>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
                <w:bCs/>
                <w:color w:val="auto"/>
                <w:sz w:val="24"/>
                <w:szCs w:val="24"/>
                <w:highlight w:val="none"/>
                <w:lang w:val="en-US" w:eastAsia="zh-CN"/>
              </w:rPr>
              <w:t>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4</w:t>
            </w:r>
          </w:p>
        </w:tc>
        <w:tc>
          <w:tcPr>
            <w:tcW w:w="1723" w:type="dxa"/>
            <w:vAlign w:val="center"/>
          </w:tcPr>
          <w:p>
            <w:pPr>
              <w:spacing w:line="240" w:lineRule="auto"/>
              <w:ind w:firstLine="0" w:firstLineChars="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招标代理服务费</w:t>
            </w:r>
          </w:p>
        </w:tc>
        <w:tc>
          <w:tcPr>
            <w:tcW w:w="7700" w:type="dxa"/>
            <w:vAlign w:val="center"/>
          </w:tcPr>
          <w:p>
            <w:pPr>
              <w:spacing w:line="240" w:lineRule="auto"/>
              <w:ind w:firstLine="0" w:firstLineChars="0"/>
              <w:rPr>
                <w:rFonts w:hint="eastAsia" w:ascii="宋体" w:hAnsi="宋体" w:eastAsia="宋体" w:cs="宋体"/>
                <w:color w:val="auto"/>
                <w:kern w:val="2"/>
                <w:sz w:val="24"/>
                <w:highlight w:val="none"/>
                <w:lang w:val="en-US" w:eastAsia="zh-CN" w:bidi="ar-SA"/>
              </w:rPr>
            </w:pPr>
            <w:r>
              <w:rPr>
                <w:rFonts w:hint="eastAsia" w:ascii="宋体" w:hAnsi="宋体" w:eastAsia="宋体" w:cs="宋体"/>
                <w:b/>
                <w:bCs/>
                <w:color w:val="auto"/>
                <w:sz w:val="24"/>
                <w:highlight w:val="none"/>
                <w:lang w:val="zh-CN" w:eastAsia="zh-CN"/>
              </w:rPr>
              <w:t>招标代理服务费由成交供应商支付。成交供应商在收到成交通知书前，须向新疆星耀天都项目管理有限责任公司支付采购代理费。收费标准：参考计价格[2002]1980号文件标准（100 万以下按 1.5%计取、100万-500 万按 1.1%）计取。敬请供应商注意！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261" w:type="dxa"/>
            <w:gridSpan w:val="3"/>
            <w:vAlign w:val="center"/>
          </w:tcPr>
          <w:p>
            <w:pPr>
              <w:pStyle w:val="87"/>
              <w:spacing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lang w:val="en-US" w:eastAsia="zh-CN"/>
              </w:rPr>
              <w:t>备注：</w:t>
            </w:r>
            <w:r>
              <w:rPr>
                <w:rFonts w:hint="eastAsia" w:ascii="宋体" w:hAnsi="宋体" w:eastAsia="宋体" w:cs="宋体"/>
                <w:color w:val="auto"/>
                <w:kern w:val="0"/>
                <w:sz w:val="24"/>
                <w:szCs w:val="24"/>
                <w:highlight w:val="none"/>
                <w:lang w:val="en-US" w:eastAsia="zh-CN" w:bidi="ar-SA"/>
              </w:rPr>
              <w:t>（1）如本《投标须知前附表》相关内容与招标文件中的相关内容如有不一致处，则以本《投标须知前附表》相关内容为准。</w:t>
            </w:r>
          </w:p>
          <w:p>
            <w:pPr>
              <w:pStyle w:val="87"/>
              <w:spacing w:line="24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（2）招标文件中废标、无效标、投标被拒绝字样的条款，为招标的实质性要求和条件，着重提醒各供应商注意，并认真查看招标文件中的每一个条款及要求，因误读招标文件而造成的后果，采购人概不负责。</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sz w:val="24"/>
                <w:highlight w:val="none"/>
              </w:rPr>
              <w:t>为节能减排、保护环境，倡议响应文件双面打印。</w:t>
            </w:r>
          </w:p>
        </w:tc>
      </w:tr>
    </w:tbl>
    <w:p>
      <w:pPr>
        <w:spacing w:line="360" w:lineRule="auto"/>
        <w:jc w:val="center"/>
        <w:outlineLvl w:val="9"/>
        <w:rPr>
          <w:rFonts w:hint="eastAsia" w:ascii="宋体" w:hAnsi="宋体" w:eastAsia="宋体" w:cs="宋体"/>
          <w:b/>
          <w:color w:val="auto"/>
          <w:sz w:val="28"/>
          <w:szCs w:val="28"/>
        </w:rPr>
      </w:pPr>
      <w:bookmarkStart w:id="46" w:name="_Toc3877"/>
    </w:p>
    <w:p>
      <w:pPr>
        <w:pStyle w:val="85"/>
        <w:rPr>
          <w:rFonts w:hint="eastAsia" w:ascii="宋体" w:hAnsi="宋体" w:eastAsia="宋体" w:cs="宋体"/>
          <w:b/>
          <w:color w:val="auto"/>
          <w:sz w:val="28"/>
          <w:szCs w:val="28"/>
        </w:rPr>
      </w:pPr>
    </w:p>
    <w:p>
      <w:pPr>
        <w:rPr>
          <w:rFonts w:hint="eastAsia"/>
          <w:color w:val="auto"/>
        </w:rPr>
      </w:pPr>
      <w:bookmarkStart w:id="47" w:name="_Toc27509"/>
      <w:bookmarkStart w:id="48" w:name="_Toc24863"/>
      <w:bookmarkStart w:id="49" w:name="_Toc3745"/>
      <w:bookmarkStart w:id="50" w:name="_Toc27167"/>
      <w:bookmarkStart w:id="51" w:name="_Toc17755"/>
      <w:bookmarkStart w:id="52" w:name="_Toc31564"/>
      <w:bookmarkStart w:id="53" w:name="_Toc22081"/>
      <w:bookmarkStart w:id="54" w:name="_Toc32496"/>
      <w:r>
        <w:rPr>
          <w:rFonts w:hint="eastAsia"/>
          <w:color w:val="auto"/>
        </w:rPr>
        <w:br w:type="page"/>
      </w:r>
    </w:p>
    <w:bookmarkEnd w:id="46"/>
    <w:bookmarkEnd w:id="47"/>
    <w:bookmarkEnd w:id="48"/>
    <w:bookmarkEnd w:id="49"/>
    <w:bookmarkEnd w:id="50"/>
    <w:bookmarkEnd w:id="51"/>
    <w:bookmarkEnd w:id="52"/>
    <w:bookmarkEnd w:id="53"/>
    <w:bookmarkEnd w:id="54"/>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center"/>
        <w:textAlignment w:val="auto"/>
        <w:rPr>
          <w:rFonts w:hint="eastAsia" w:ascii="宋体" w:hAnsi="宋体" w:eastAsia="宋体" w:cs="宋体"/>
          <w:b/>
          <w:bCs/>
          <w:color w:val="auto"/>
          <w:sz w:val="24"/>
          <w:szCs w:val="24"/>
          <w:lang w:val="en-US" w:eastAsia="zh-CN"/>
        </w:rPr>
      </w:pPr>
      <w:bookmarkStart w:id="55" w:name="_Toc13351"/>
      <w:bookmarkStart w:id="56" w:name="_Toc2805"/>
      <w:r>
        <w:rPr>
          <w:rFonts w:hint="eastAsia" w:ascii="宋体" w:hAnsi="宋体" w:eastAsia="宋体" w:cs="宋体"/>
          <w:b/>
          <w:bCs/>
          <w:color w:val="auto"/>
          <w:sz w:val="24"/>
          <w:szCs w:val="24"/>
          <w:lang w:val="en-US" w:eastAsia="zh-CN"/>
        </w:rPr>
        <w:t>总则</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 适用范围</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本招标文件适用于策勒县采购、服务类项目的招标、投标、评标、定标、验收、合同履约、付款等行为（法律、法规另有规定的，从其规定）。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（二）定义</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1.招标采购单位系指组织本次招标的代理机构（“招标人”）和采购单位。</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2.“投标人”系指向招标方提交投标文件的单位或个人。</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lang w:val="en-US" w:eastAsia="zh-CN"/>
        </w:rPr>
        <w:t>系指供方按招标文件规定，须向招标人提供的一切设备、保险、税金、备品备件、工具、手册及其它有关技术资料和材料。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4.“服务”系指招标文件规定投标人须承担的技术协助、校准、培训、技术指导以及其他类似的义务。</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5.“项目”系指投标人按招标文件规定向招标人提供的产品和服务。</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6.“书面形式”包括信函、传真、电报等。</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（三）招标方式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本次招标采用公开招标方式进行。</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（四）投标报名</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在符合该招标（采购）公告投标人资格要求条件的前提下，可于本公告发布之日起登陆新疆政府采购网（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"http://www.ccgp-xinjiang.gov.cn/" \h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http://www.ccgp-xinjiang.gov.cn/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）进入“项目采购”栏目，在获取采购文件菜单中选择所要投标的项目（包段），申请获取（自行下载）采购文件，不再需要报名，在开标时一并进行资格审核。</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（五）投标费用</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不论投标结果如何，投标人均应自行承担所有与投标有关的全部费用。</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（六）联合体投标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（七）转包与分包</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1.本项目不允许转包。</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2.本项目不可以分包。</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3.投标人应仔细阅读招标文件的所有内容，按照招标文件的要求提交投标文件，并对所提供的全部资料的真实性承担法律责任。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4、投标人在投标活动中提供任何虚假材料,其投标无效，并报监管部门查处；中标后发现的,中标人须依照《中华人民共和国消费者权益保护法》第 49 条之规定双倍赔偿招标人，且民事赔偿并不免除违法投标人的行政与刑事责任。</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质疑的审查和受理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40.1 采购方在收到质疑函后应当及时审查是否符合质疑受理条件，对符合质疑受理条件的，及时予以受理。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40.2对不符合质疑受理条件的，分别按照下列不同情形予以处理：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（一）质疑函内容不符合规定的，告知质疑人进行修改并重新提出质疑。修改后质疑事项仍不具体、不明确或者最终递交质疑函的时间超过质疑法定期限的，不予受理；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（二）质疑主体不符合有关规定的，告知质疑人不予受理；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（三）超过质疑法定期限提出质疑的，告知质疑人不予受理；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（四）对不属于可以提出质疑的政府采购事项提出质疑的，告知质疑人不予受理；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（五）质疑不属于本项目采购方管辖的，告知质疑人向有管辖权的采购人提出质疑；</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（六）质疑不符合其他条件的，告知质疑人不予受理。</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质疑的处理和答复</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按照《政府采购质疑和投诉办法（财政部94号令）》处理及答复质疑。</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采购方受理质疑后，将及时把质疑函发送给被质疑人，并要求其在一定限期人提交书面答复，同时提供有关证据、依据和相关材料。</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对于质疑事项中涉及的问题较多、情况比较复杂的，为了全面查清事实、取得充分的证据，采购方认为有必要时，可以进行调查取证或者组织质证。</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对评审过程、中标结果提出质疑的，采购方可以组织原评审委员会协助答复质疑。</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质疑处理过程中，质疑人书面申请撤回质疑的，将终止质疑处理程序。</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质疑人拒绝配合采购方依法对质疑进行调查处理的，采购方将按质疑人自动撤回质疑处理；被质疑人拒绝配合采购方依法对质疑进行调查处理的，采购方将视同其认可质疑事项。</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采购方将在正式受理质疑后 7 个工作日内作出答复，但处理质疑需要进行调查取证、组织专家评审、质疑人及被质疑人提交或补正材料等所需时间，不计算在质疑处理期限内。</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采购方经调查、论证、核实，认定质疑不能成立的，继续开展采购活动；认定质疑成立的，按照以下情况处理：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采购方将书面答复质疑，质疑答复包括下列内容：</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（一）质疑人名称；</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（二）收到质疑函的日期、质疑项目名称及编号;</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（三）质疑事项、质疑答复的具体内容、事实依据和法律依据；</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（四）告知质疑人依法投诉的权利；</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（五）质疑答复日期。</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质疑人有下列行为之一的，属于虚假、恶意质疑，将由采购方建议财政部门将其列入不良行为记录名单，禁止其 1 至 3 年内参加政府采购活动：</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（一）受理后发现投诉不符合法定受理条件；</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（二）投诉事项缺乏事实依据，投诉事项不成立；</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（三）投诉人捏造事实或者提供虚假材料；</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（四）投诉人以非法手段取得证明材料。证据来源的合法性存在明显疑问，投诉人无法证明其取得方式合法的，视为以非法手段取得证明材料。</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（五）法律法规规定的其他违法情形。</w:t>
      </w:r>
    </w:p>
    <w:p>
      <w:pPr>
        <w:pStyle w:val="16"/>
        <w:ind w:left="0" w:leftChars="0" w:firstLine="0" w:firstLineChars="0"/>
        <w:rPr>
          <w:rFonts w:hint="eastAsia" w:ascii="宋体" w:hAnsi="宋体" w:eastAsia="宋体" w:cs="宋体"/>
          <w:b/>
          <w:color w:val="auto"/>
          <w:sz w:val="32"/>
          <w:szCs w:val="32"/>
          <w:highlight w:val="none"/>
        </w:rPr>
      </w:pPr>
      <w:bookmarkStart w:id="57" w:name="_Toc25665"/>
      <w:bookmarkStart w:id="58" w:name="_Toc4251"/>
      <w:bookmarkStart w:id="59" w:name="_Toc16936"/>
      <w:bookmarkStart w:id="60" w:name="_Toc13588"/>
      <w:bookmarkStart w:id="61" w:name="_Toc25094"/>
      <w:bookmarkStart w:id="62" w:name="_Toc19742"/>
      <w:bookmarkStart w:id="63" w:name="_Toc31734"/>
      <w:r>
        <w:rPr>
          <w:rFonts w:hint="eastAsia" w:ascii="宋体" w:hAnsi="宋体" w:eastAsia="宋体" w:cs="宋体"/>
          <w:b/>
          <w:bCs/>
          <w:color w:val="auto"/>
          <w:sz w:val="28"/>
          <w:szCs w:val="28"/>
        </w:rPr>
        <w:br w:type="page"/>
      </w:r>
      <w:bookmarkEnd w:id="57"/>
      <w:bookmarkEnd w:id="58"/>
      <w:bookmarkEnd w:id="59"/>
      <w:bookmarkEnd w:id="60"/>
      <w:bookmarkEnd w:id="61"/>
      <w:bookmarkEnd w:id="62"/>
      <w:bookmarkEnd w:id="63"/>
      <w:r>
        <w:rPr>
          <w:rFonts w:hint="eastAsia" w:ascii="宋体" w:hAnsi="宋体" w:eastAsia="宋体" w:cs="宋体"/>
          <w:b/>
          <w:bCs/>
          <w:color w:val="auto"/>
          <w:sz w:val="24"/>
          <w:szCs w:val="24"/>
          <w:highlight w:val="none"/>
        </w:rPr>
        <w:t>附：《质疑函》范本格式</w:t>
      </w:r>
    </w:p>
    <w:tbl>
      <w:tblPr>
        <w:tblStyle w:val="4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460" w:type="dxa"/>
            <w:noWrap w:val="0"/>
            <w:vAlign w:val="top"/>
          </w:tcPr>
          <w:p>
            <w:pPr>
              <w:spacing w:line="480" w:lineRule="auto"/>
              <w:ind w:firstLine="960" w:firstLineChars="4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质疑函范本</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一、质疑供应商基本信息</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质疑供应商：____________________________</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邮    编：________________</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联系电话：________________</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授权代表：______________________________</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联系电话：______________________________</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邮   编：________________</w:t>
            </w:r>
            <w:r>
              <w:rPr>
                <w:rFonts w:hint="eastAsia" w:ascii="宋体" w:hAnsi="宋体" w:eastAsia="宋体" w:cs="宋体"/>
                <w:b w:val="0"/>
                <w:bCs w:val="0"/>
                <w:color w:val="auto"/>
                <w:sz w:val="24"/>
                <w:szCs w:val="24"/>
                <w:highlight w:val="none"/>
                <w:u w:val="singl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二、质疑项目基本情况</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质疑项目的名称：________________________</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质疑项目的编号：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包   号：________________</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采购人名称：____________________________</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询价文件获取日期：______________________</w:t>
            </w:r>
            <w:r>
              <w:rPr>
                <w:rFonts w:hint="eastAsia" w:ascii="宋体" w:hAnsi="宋体" w:eastAsia="宋体" w:cs="宋体"/>
                <w:b w:val="0"/>
                <w:bCs w:val="0"/>
                <w:color w:val="auto"/>
                <w:sz w:val="24"/>
                <w:szCs w:val="24"/>
                <w:highlight w:val="none"/>
                <w:u w:val="singl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三、质疑事项具体内容</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质疑事项1                                        </w:t>
            </w:r>
          </w:p>
          <w:p>
            <w:pPr>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lang w:eastAsia="zh-CN"/>
              </w:rPr>
              <w:t>事实依据</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singl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法律依据：</w:t>
            </w:r>
            <w:r>
              <w:rPr>
                <w:rFonts w:hint="eastAsia" w:ascii="宋体" w:hAnsi="宋体" w:eastAsia="宋体" w:cs="宋体"/>
                <w:b w:val="0"/>
                <w:bCs w:val="0"/>
                <w:color w:val="auto"/>
                <w:sz w:val="24"/>
                <w:szCs w:val="24"/>
                <w:highlight w:val="none"/>
                <w:u w:val="single"/>
              </w:rPr>
              <w:t xml:space="preserve">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质疑事项2</w:t>
            </w:r>
            <w:r>
              <w:rPr>
                <w:rFonts w:hint="eastAsia" w:ascii="宋体" w:hAnsi="宋体" w:eastAsia="宋体" w:cs="宋体"/>
                <w:b w:val="0"/>
                <w:bCs w:val="0"/>
                <w:color w:val="auto"/>
                <w:sz w:val="24"/>
                <w:szCs w:val="24"/>
                <w:highlight w:val="none"/>
                <w:u w:val="single"/>
              </w:rPr>
              <w:t xml:space="preserve">                                                 </w:t>
            </w:r>
          </w:p>
          <w:p>
            <w:pPr>
              <w:pBdr>
                <w:bottom w:val="single" w:color="auto" w:sz="12" w:space="0"/>
              </w:pBdr>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事实依据：</w:t>
            </w:r>
            <w:r>
              <w:rPr>
                <w:rFonts w:hint="eastAsia" w:ascii="宋体" w:hAnsi="宋体" w:eastAsia="宋体" w:cs="宋体"/>
                <w:b w:val="0"/>
                <w:bCs w:val="0"/>
                <w:color w:val="auto"/>
                <w:sz w:val="24"/>
                <w:szCs w:val="24"/>
                <w:highlight w:val="none"/>
                <w:u w:val="single"/>
              </w:rPr>
              <w:t xml:space="preserve">                                              </w:t>
            </w:r>
          </w:p>
          <w:p>
            <w:pPr>
              <w:pBdr>
                <w:bottom w:val="single" w:color="auto" w:sz="12" w:space="0"/>
              </w:pBdr>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法律依据：</w:t>
            </w:r>
            <w:r>
              <w:rPr>
                <w:rFonts w:hint="eastAsia" w:ascii="宋体" w:hAnsi="宋体" w:eastAsia="宋体" w:cs="宋体"/>
                <w:b w:val="0"/>
                <w:bCs w:val="0"/>
                <w:color w:val="auto"/>
                <w:sz w:val="24"/>
                <w:szCs w:val="24"/>
                <w:highlight w:val="none"/>
                <w:u w:val="single"/>
              </w:rPr>
              <w:t xml:space="preserve">                                                 </w:t>
            </w:r>
          </w:p>
          <w:p>
            <w:pPr>
              <w:pBdr>
                <w:bottom w:val="single" w:color="auto" w:sz="12" w:space="0"/>
              </w:pBd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四、与质疑事项相关的质疑请求</w:t>
            </w:r>
          </w:p>
          <w:p>
            <w:pPr>
              <w:pBdr>
                <w:bottom w:val="single" w:color="auto" w:sz="12" w:space="0"/>
              </w:pBd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请求：</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法定代表人签字(签章)：</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pBdr>
                <w:bottom w:val="single" w:color="auto" w:sz="12" w:space="0"/>
              </w:pBd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授权代表签字(签章)：_________________</w:t>
            </w:r>
          </w:p>
          <w:p>
            <w:pPr>
              <w:pBdr>
                <w:bottom w:val="single" w:color="auto" w:sz="12" w:space="0"/>
              </w:pBd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公章：___________________</w:t>
            </w:r>
          </w:p>
          <w:p>
            <w:pPr>
              <w:pBdr>
                <w:bottom w:val="single" w:color="auto" w:sz="12" w:space="0"/>
              </w:pBd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日期：___________________</w:t>
            </w:r>
          </w:p>
          <w:p>
            <w:pPr>
              <w:pBdr>
                <w:bottom w:val="single" w:color="auto" w:sz="12" w:space="0"/>
              </w:pBd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证据目录清单</w:t>
            </w:r>
          </w:p>
          <w:tbl>
            <w:tblPr>
              <w:tblStyle w:val="4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427"/>
              <w:gridCol w:w="2645"/>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9" w:type="dxa"/>
                  <w:noWrap w:val="0"/>
                  <w:vAlign w:val="center"/>
                </w:tcPr>
                <w:p>
                  <w:pPr>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2427" w:type="dxa"/>
                  <w:noWrap w:val="0"/>
                  <w:vAlign w:val="center"/>
                </w:tcPr>
                <w:p>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证据名称</w:t>
                  </w:r>
                </w:p>
              </w:tc>
              <w:tc>
                <w:tcPr>
                  <w:tcW w:w="2645" w:type="dxa"/>
                  <w:noWrap w:val="0"/>
                  <w:vAlign w:val="center"/>
                </w:tcPr>
                <w:p>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证据来源</w:t>
                  </w:r>
                </w:p>
              </w:tc>
              <w:tc>
                <w:tcPr>
                  <w:tcW w:w="2646" w:type="dxa"/>
                  <w:noWrap w:val="0"/>
                  <w:vAlign w:val="center"/>
                </w:tcPr>
                <w:p>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99" w:type="dxa"/>
                  <w:noWrap w:val="0"/>
                  <w:vAlign w:val="center"/>
                </w:tcPr>
                <w:p>
                  <w:pPr>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2427" w:type="dxa"/>
                  <w:noWrap w:val="0"/>
                  <w:vAlign w:val="center"/>
                </w:tcPr>
                <w:p>
                  <w:pPr>
                    <w:jc w:val="center"/>
                    <w:rPr>
                      <w:rFonts w:hint="eastAsia" w:ascii="宋体" w:hAnsi="宋体" w:eastAsia="宋体" w:cs="宋体"/>
                      <w:b w:val="0"/>
                      <w:bCs w:val="0"/>
                      <w:color w:val="auto"/>
                      <w:sz w:val="24"/>
                      <w:szCs w:val="24"/>
                      <w:highlight w:val="none"/>
                    </w:rPr>
                  </w:pPr>
                </w:p>
              </w:tc>
              <w:tc>
                <w:tcPr>
                  <w:tcW w:w="2645" w:type="dxa"/>
                  <w:noWrap w:val="0"/>
                  <w:vAlign w:val="center"/>
                </w:tcPr>
                <w:p>
                  <w:pPr>
                    <w:jc w:val="center"/>
                    <w:rPr>
                      <w:rFonts w:hint="eastAsia" w:ascii="宋体" w:hAnsi="宋体" w:eastAsia="宋体" w:cs="宋体"/>
                      <w:b w:val="0"/>
                      <w:bCs w:val="0"/>
                      <w:color w:val="auto"/>
                      <w:sz w:val="24"/>
                      <w:szCs w:val="24"/>
                      <w:highlight w:val="none"/>
                    </w:rPr>
                  </w:pPr>
                </w:p>
              </w:tc>
              <w:tc>
                <w:tcPr>
                  <w:tcW w:w="2646" w:type="dxa"/>
                  <w:noWrap w:val="0"/>
                  <w:vAlign w:val="center"/>
                </w:tcPr>
                <w:p>
                  <w:pPr>
                    <w:jc w:val="center"/>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99" w:type="dxa"/>
                  <w:noWrap w:val="0"/>
                  <w:vAlign w:val="center"/>
                </w:tcPr>
                <w:p>
                  <w:pPr>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427" w:type="dxa"/>
                  <w:noWrap w:val="0"/>
                  <w:vAlign w:val="center"/>
                </w:tcPr>
                <w:p>
                  <w:pPr>
                    <w:jc w:val="center"/>
                    <w:rPr>
                      <w:rFonts w:hint="eastAsia" w:ascii="宋体" w:hAnsi="宋体" w:eastAsia="宋体" w:cs="宋体"/>
                      <w:b w:val="0"/>
                      <w:bCs w:val="0"/>
                      <w:color w:val="auto"/>
                      <w:sz w:val="24"/>
                      <w:szCs w:val="24"/>
                      <w:highlight w:val="none"/>
                    </w:rPr>
                  </w:pPr>
                </w:p>
              </w:tc>
              <w:tc>
                <w:tcPr>
                  <w:tcW w:w="2645" w:type="dxa"/>
                  <w:noWrap w:val="0"/>
                  <w:vAlign w:val="center"/>
                </w:tcPr>
                <w:p>
                  <w:pPr>
                    <w:jc w:val="center"/>
                    <w:rPr>
                      <w:rFonts w:hint="eastAsia" w:ascii="宋体" w:hAnsi="宋体" w:eastAsia="宋体" w:cs="宋体"/>
                      <w:b w:val="0"/>
                      <w:bCs w:val="0"/>
                      <w:color w:val="auto"/>
                      <w:sz w:val="24"/>
                      <w:szCs w:val="24"/>
                      <w:highlight w:val="none"/>
                    </w:rPr>
                  </w:pPr>
                </w:p>
              </w:tc>
              <w:tc>
                <w:tcPr>
                  <w:tcW w:w="2646" w:type="dxa"/>
                  <w:noWrap w:val="0"/>
                  <w:vAlign w:val="center"/>
                </w:tcPr>
                <w:p>
                  <w:pPr>
                    <w:jc w:val="center"/>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99" w:type="dxa"/>
                  <w:noWrap w:val="0"/>
                  <w:vAlign w:val="center"/>
                </w:tcPr>
                <w:p>
                  <w:pPr>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2427" w:type="dxa"/>
                  <w:noWrap w:val="0"/>
                  <w:vAlign w:val="center"/>
                </w:tcPr>
                <w:p>
                  <w:pPr>
                    <w:jc w:val="center"/>
                    <w:rPr>
                      <w:rFonts w:hint="eastAsia" w:ascii="宋体" w:hAnsi="宋体" w:eastAsia="宋体" w:cs="宋体"/>
                      <w:b w:val="0"/>
                      <w:bCs w:val="0"/>
                      <w:color w:val="auto"/>
                      <w:sz w:val="24"/>
                      <w:szCs w:val="24"/>
                      <w:highlight w:val="none"/>
                    </w:rPr>
                  </w:pPr>
                </w:p>
              </w:tc>
              <w:tc>
                <w:tcPr>
                  <w:tcW w:w="2645" w:type="dxa"/>
                  <w:noWrap w:val="0"/>
                  <w:vAlign w:val="center"/>
                </w:tcPr>
                <w:p>
                  <w:pPr>
                    <w:jc w:val="center"/>
                    <w:rPr>
                      <w:rFonts w:hint="eastAsia" w:ascii="宋体" w:hAnsi="宋体" w:eastAsia="宋体" w:cs="宋体"/>
                      <w:b w:val="0"/>
                      <w:bCs w:val="0"/>
                      <w:color w:val="auto"/>
                      <w:sz w:val="24"/>
                      <w:szCs w:val="24"/>
                      <w:highlight w:val="none"/>
                    </w:rPr>
                  </w:pPr>
                </w:p>
              </w:tc>
              <w:tc>
                <w:tcPr>
                  <w:tcW w:w="2646" w:type="dxa"/>
                  <w:noWrap w:val="0"/>
                  <w:vAlign w:val="center"/>
                </w:tcPr>
                <w:p>
                  <w:pPr>
                    <w:jc w:val="center"/>
                    <w:rPr>
                      <w:rFonts w:hint="eastAsia" w:ascii="宋体" w:hAnsi="宋体" w:eastAsia="宋体" w:cs="宋体"/>
                      <w:b w:val="0"/>
                      <w:bCs w:val="0"/>
                      <w:color w:val="auto"/>
                      <w:sz w:val="24"/>
                      <w:szCs w:val="24"/>
                      <w:highlight w:val="none"/>
                    </w:rPr>
                  </w:pPr>
                </w:p>
              </w:tc>
            </w:tr>
          </w:tbl>
          <w:p>
            <w:pPr>
              <w:jc w:val="center"/>
              <w:rPr>
                <w:rFonts w:hint="eastAsia" w:ascii="宋体" w:hAnsi="宋体" w:eastAsia="宋体" w:cs="宋体"/>
                <w:b w:val="0"/>
                <w:bCs w:val="0"/>
                <w:color w:val="auto"/>
                <w:sz w:val="24"/>
                <w:szCs w:val="24"/>
                <w:highlight w:val="none"/>
              </w:rPr>
            </w:pPr>
          </w:p>
        </w:tc>
      </w:tr>
    </w:tbl>
    <w:p>
      <w:pPr>
        <w:snapToGrid w:val="0"/>
        <w:spacing w:before="6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.12供应商对采购人或采购代理机构的答复不满意或他们未在规定时间内给予答复的，提出质疑的供应商可以在答复期满后15个工作日内向采购监督管理机构投诉。</w:t>
      </w:r>
    </w:p>
    <w:p>
      <w:pPr>
        <w:spacing w:line="360" w:lineRule="auto"/>
        <w:ind w:firstLine="643"/>
        <w:jc w:val="center"/>
        <w:outlineLvl w:val="0"/>
        <w:rPr>
          <w:rFonts w:hint="eastAsia" w:ascii="宋体" w:hAnsi="宋体" w:eastAsia="宋体" w:cs="宋体"/>
          <w:b/>
          <w:color w:val="auto"/>
          <w:sz w:val="32"/>
          <w:szCs w:val="32"/>
          <w:highlight w:val="none"/>
        </w:rPr>
        <w:sectPr>
          <w:pgSz w:w="11907" w:h="16840"/>
          <w:pgMar w:top="1440" w:right="1077" w:bottom="1440" w:left="1077" w:header="851" w:footer="850" w:gutter="0"/>
          <w:pgNumType w:fmt="decimal" w:start="1"/>
          <w:cols w:space="720" w:num="1"/>
          <w:rtlGutter w:val="0"/>
          <w:docGrid w:linePitch="462" w:charSpace="0"/>
        </w:sectPr>
      </w:pP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bookmarkStart w:id="64" w:name="一、招标文件"/>
      <w:bookmarkEnd w:id="64"/>
      <w:r>
        <w:rPr>
          <w:rFonts w:hint="eastAsia" w:ascii="宋体" w:hAnsi="宋体" w:eastAsia="宋体" w:cs="宋体"/>
          <w:b/>
          <w:bCs/>
          <w:color w:val="auto"/>
          <w:sz w:val="24"/>
          <w:szCs w:val="24"/>
          <w:lang w:val="en-US" w:eastAsia="zh-CN"/>
        </w:rPr>
        <w:t>招标文件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（一）招标文件的构成。本招标文件由以下部份组成：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第一部分 招标公告</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第二部分 投标人须知</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第三部分 评标办法及标准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第四部分 招标需求</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第五部分 合同主要条款</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第六部分 投标文件格式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（二）投标人的风险</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投标人没有按照招标文件要求提供全部资料，或者投标人没有对招标文件在各方面作出实质性响应是投标人的风险，并可能导致其投标为无效标。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（三）招标文件的澄清与修改</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2.招标文件澄清、答复、修改、补充的内容为招标文件的组成部分。当招标文件与招标文件的答复、澄清、修改、补充通知就同一内容的表述不一致时， 以最后发出的书面文件为准。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3.招标文件的澄清、答复、修改或补充都应该通过本代理机构以法定形式发布，招标人非通过本机构，不得擅自澄清、答复、修改或补充招标文件。</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w:t>
      </w:r>
      <w:bookmarkStart w:id="65" w:name="二、投标文件的编制"/>
      <w:bookmarkEnd w:id="65"/>
      <w:r>
        <w:rPr>
          <w:rFonts w:hint="eastAsia" w:ascii="宋体" w:hAnsi="宋体" w:eastAsia="宋体" w:cs="宋体"/>
          <w:b/>
          <w:bCs/>
          <w:color w:val="auto"/>
          <w:sz w:val="24"/>
          <w:szCs w:val="24"/>
          <w:lang w:val="en-US" w:eastAsia="zh-CN"/>
        </w:rPr>
        <w:t>投标文件的编制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（一）投标文件的组成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投标文件由商务部分、技术部分、报价部分组成。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1、投标单位应按招标文件的要求提供招标文件，并保证所有材料的真实性， 以确保其投标对招标文件做出实质性的响应。</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2、招标文件使用的计量单位，应采用国家法定的计量单位。</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3、商务、技术部分：详见“第六部分投标文件格式”。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▲注：投标文件中法定代表人授权委托书、投标函、投标报价一览表必须  由法定代表人签名盖章并加盖单位公章。</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（二）投标文件的语言及计量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▲2.投标计量单位，招标文件已有明确规定的，使用招标文件规定的计量单位；招标文件没有规定的，应采用中华人民共和国法定计量单位（货币单位： 人民币元），否则视同未响应。</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（三）投标报价</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▲1.投标报价应按招标文件中相关附表格式填写。</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▲2.投标报价是履行合同的最终价格，应是含税全包价，包含提供相关服务的所有费用。</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▲3.投标文件只允许有一个报价，有选择的或有条件的报价将不予接受。</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▲4.招标代理服务费由中标单位支付，投标单位在报价时请考虑。</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（四）投标文件的有效期</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▲1.自投标截止日起 90 日历天投标文件应保持有效。有效期不足的投标文件将被拒绝。</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4.中标人的投标文件自开标之日起至合同履行完毕止均应保持有效。</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（五）投标保证金</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▲1.投标人须按规定提交投标保证金。否则，其投标将被拒绝。</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2.保证金形式： 转账（必须从基本账户转出）。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3.未中标人的投标保证金在公示期截止后退还。</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4.中标人的投标保证金在中标通知书发出签订正式采购合同，履约保证金打到指定账户后退还。</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5.保证金不计息。</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（1）投标人在投标有效期内撤回投标文件的；</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（2）投标人在投标过程中弄虚作假，提供虚假材料的；</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（3）中标人无正当理由不与招标人签订合同的；</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（4）其他严重扰乱招投标程序的。</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（六）投标文件的签署和递交</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1.投标人应按本招标文件规定的格式和顺序编制、装订投标文件并标注页码，投标文件内容不完整、编排混乱导致投标文件被误读、漏读或者查找不到相关内容的，是投标人的责任。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2.投标人应于 2022 年</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lang w:val="en-US" w:eastAsia="zh-CN"/>
        </w:rPr>
        <w:t xml:space="preserve"> 月</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日 11 时 00 分（北京时间）之前将电子投标文件上传到“政采云”平台。应按照本项目招标文件和政采云平台的要求  编制、加密传输投标文件。供应商在使用系统进行投标的过程中遇到涉及平台  使用的任何问题，可致电政采云平台技术支持热线咨询，联系方式：400-881-7190。</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3.投标文件须由投标人在规定位置盖章并由法定代表人或法定代表人 的授权委托人签署，投标人应写全称。</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4.投标文件不得涂改，若有修改错漏处，须加盖单位公章或者法定代表人或授权委托人签字或盖章。投标文件因字迹潦草或表达不清所引起的后果  由投标人负责。</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 投标文件的准备和解密时间要求</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1.本项目实行网上投标，采用电子投标文件。若供应商参与投标，自行承担  投标一切费用。</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b/>
          <w:bCs/>
          <w:color w:val="auto"/>
          <w:sz w:val="24"/>
          <w:szCs w:val="24"/>
          <w:lang w:val="en-US" w:eastAsia="zh-CN"/>
        </w:rPr>
        <w:t>本项目为电子招投标，投标人需要使用 CA 加密设备，有意向参与新疆区电子开评标的供应商，请访问新疆数字证书认证中心官方网站</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（https://</w:t>
      </w: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"http://www.xjca.com.cn/" \h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sz w:val="24"/>
          <w:szCs w:val="24"/>
          <w:lang w:val="en-US" w:eastAsia="zh-CN"/>
        </w:rPr>
        <w:t>www.xjca.com.cn/</w:t>
      </w:r>
      <w:r>
        <w:rPr>
          <w:rFonts w:hint="eastAsia" w:ascii="宋体" w:hAnsi="宋体" w:eastAsia="宋体" w:cs="宋体"/>
          <w:b/>
          <w:bCs/>
          <w:color w:val="auto"/>
          <w:sz w:val="24"/>
          <w:szCs w:val="24"/>
          <w:lang w:val="en-US" w:eastAsia="zh-CN"/>
        </w:rPr>
        <w:fldChar w:fldCharType="end"/>
      </w:r>
      <w:r>
        <w:rPr>
          <w:rFonts w:hint="eastAsia" w:ascii="宋体" w:hAnsi="宋体" w:eastAsia="宋体" w:cs="宋体"/>
          <w:b/>
          <w:bCs/>
          <w:color w:val="auto"/>
          <w:sz w:val="24"/>
          <w:szCs w:val="24"/>
          <w:lang w:val="en-US" w:eastAsia="zh-CN"/>
        </w:rPr>
        <w:t>）或下载;“新疆政务通”APP 自行进</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行申领。如需咨询，请联系新疆CA 服务热线 0991-2819290</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供应商将政采云电子交易客户端下载、安装完成后，可通过账号密码或CA登录客户端进行投标文件制作。在使用政采云投标客户端时，建议使用WIN7 及以上操作系统。客户端请至新疆政府采购网（https://</w:t>
      </w: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"http://www.xjca.com.cn/" \h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sz w:val="24"/>
          <w:szCs w:val="24"/>
          <w:lang w:val="en-US" w:eastAsia="zh-CN"/>
        </w:rPr>
        <w:t>www.xjca.com.cn/</w:t>
      </w:r>
      <w:r>
        <w:rPr>
          <w:rFonts w:hint="eastAsia" w:ascii="宋体" w:hAnsi="宋体" w:eastAsia="宋体" w:cs="宋体"/>
          <w:b/>
          <w:bCs/>
          <w:color w:val="auto"/>
          <w:sz w:val="24"/>
          <w:szCs w:val="24"/>
          <w:lang w:val="en-US" w:eastAsia="zh-CN"/>
        </w:rPr>
        <w:fldChar w:fldCharType="end"/>
      </w:r>
      <w:r>
        <w:rPr>
          <w:rFonts w:hint="eastAsia" w:ascii="宋体" w:hAnsi="宋体" w:eastAsia="宋体" w:cs="宋体"/>
          <w:b/>
          <w:bCs/>
          <w:color w:val="auto"/>
          <w:sz w:val="24"/>
          <w:szCs w:val="24"/>
          <w:lang w:val="en-US" w:eastAsia="zh-CN"/>
        </w:rPr>
        <w:t xml:space="preserve">）下载专区查看，如有问题可拨打政采云客户服务热线400-881-7190进行咨询。  </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开标时间后 </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 xml:space="preserve">0 分钟内（2022 年 </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日北京时间 11:00-1</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0 前）供应商可以登录“政采云”平台，用“项目采购-开标评标”功能进行解密投标文件。若供应商在规定时间内（2022 年</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日北京时间 1</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0 前）未按时解密的，视为投标文件撤回。</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（八）投标无效的情形</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彩色扫描件必须加盖单位公章）。修改或者补正投标文件必须以书面形式进行，并应在中标结果公告之前查核原件彩色扫描件。限期内不补正或经补正后仍不符合招标文件要求的，应认定其投标无效。投标人修改、补正投标文件后，不影响评标委员会对其投标文件所作的评价和评分结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w:t>
      </w:r>
      <w:bookmarkStart w:id="66" w:name="三、开标"/>
      <w:bookmarkEnd w:id="66"/>
      <w:r>
        <w:rPr>
          <w:rFonts w:hint="eastAsia" w:ascii="宋体" w:hAnsi="宋体" w:eastAsia="宋体" w:cs="宋体"/>
          <w:b/>
          <w:bCs/>
          <w:color w:val="auto"/>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（一）开标准备</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1）招标代理机构将在规定的时间和地点进行开标。（本项目实行网上投标， 采用电子投标文件。若供应商参与投标，自行承担投标一切费用；各供应商应在开标前应确保成为新疆维吾尔自治区政府采购网正式注册入库供应商，并完成CA 数字证书申领。因未注册入库、未办理 CA 数字证书等原因造成无法投标或投标失败等后果由供应商自行承担；供应商将政采云电子交易客户端下载、  安装完成后，可通过账号密码或 CA 登录客户端进行投标文件制作。在使用政采云投标客户端时，建议使用 WIN7 及以上操作系统。客户端请至新疆政府采购网（https://</w:t>
      </w: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"http://www.xjca.com.cn/" \h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sz w:val="24"/>
          <w:szCs w:val="24"/>
          <w:lang w:val="en-US" w:eastAsia="zh-CN"/>
        </w:rPr>
        <w:t>www.xjca.com.cn/</w:t>
      </w:r>
      <w:r>
        <w:rPr>
          <w:rFonts w:hint="eastAsia" w:ascii="宋体" w:hAnsi="宋体" w:eastAsia="宋体" w:cs="宋体"/>
          <w:b/>
          <w:bCs/>
          <w:color w:val="auto"/>
          <w:sz w:val="24"/>
          <w:szCs w:val="24"/>
          <w:lang w:val="en-US" w:eastAsia="zh-CN"/>
        </w:rPr>
        <w:fldChar w:fldCharType="end"/>
      </w:r>
      <w:r>
        <w:rPr>
          <w:rFonts w:hint="eastAsia" w:ascii="宋体" w:hAnsi="宋体" w:eastAsia="宋体" w:cs="宋体"/>
          <w:b/>
          <w:bCs/>
          <w:color w:val="auto"/>
          <w:sz w:val="24"/>
          <w:szCs w:val="24"/>
          <w:lang w:val="en-US" w:eastAsia="zh-CN"/>
        </w:rPr>
        <w:t>）下载专区查看，如有问题可拨打政采云客户服务热线 400-881-7190 进行咨询。）</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 开标程序：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1.开标会由招标代理机构主持，主持人宣布开标会议开始；</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2.主持人介绍参加开标会的人员名单；</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3.主持人宣布评标期间的有关事项；告知应当回避的情形,提请有关人员回避；</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4.专家进入会场进入评标阶段，宣读评标纪律。</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5.资格审查由评标委员会组织检查</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6.符合性审查由评标委员会组织。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7.符合性审查通过的企业评标委员会组织对商务部分评分，评分完毕后对技术部分评分，招标代理公司负责本环节的录音录像工作。</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复会时由主持人公布无效投标的投标人名单、投标无效的原因.由主持人按照递交标书逆向顺序逐一宣读投标企业的《投标报价一览表》，宣读其中的投标人名称及在其投标文件中承诺的投标报价和供货期，以及主持人认为有必要宣读的其他内容。</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9.由主持人公布及其他有效投标的评分结果；</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10记录人做开标记录, 由记录人、监督人当场签字确认。</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11.开标会议结束。</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w:t>
      </w:r>
      <w:bookmarkStart w:id="67" w:name="四、评标"/>
      <w:bookmarkEnd w:id="67"/>
      <w:r>
        <w:rPr>
          <w:rFonts w:hint="eastAsia" w:ascii="宋体" w:hAnsi="宋体" w:eastAsia="宋体" w:cs="宋体"/>
          <w:b/>
          <w:bCs/>
          <w:color w:val="auto"/>
          <w:sz w:val="24"/>
          <w:szCs w:val="24"/>
          <w:lang w:val="en-US" w:eastAsia="zh-CN"/>
        </w:rPr>
        <w:t>评标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（一）组建评标委员会</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kern w:val="0"/>
          <w:sz w:val="24"/>
          <w:szCs w:val="24"/>
          <w:lang w:val="en-US" w:eastAsia="zh-CN" w:bidi="ar"/>
        </w:rPr>
        <w:t>评标委员会构成：5人组成，</w:t>
      </w:r>
      <w:r>
        <w:rPr>
          <w:rFonts w:hint="eastAsia" w:ascii="宋体" w:hAnsi="宋体" w:eastAsia="宋体" w:cs="宋体"/>
          <w:bCs/>
          <w:color w:val="auto"/>
          <w:kern w:val="2"/>
          <w:sz w:val="24"/>
          <w:szCs w:val="24"/>
          <w:highlight w:val="none"/>
          <w:lang w:val="en-US" w:eastAsia="zh-CN" w:bidi="ar-SA"/>
        </w:rPr>
        <w:t>其中采购人代表1人和专家评委4人</w:t>
      </w:r>
      <w:r>
        <w:rPr>
          <w:rFonts w:hint="eastAsia" w:ascii="宋体" w:hAnsi="宋体" w:eastAsia="宋体" w:cs="宋体"/>
          <w:color w:val="auto"/>
          <w:kern w:val="0"/>
          <w:sz w:val="24"/>
          <w:szCs w:val="24"/>
          <w:lang w:val="en-US" w:eastAsia="zh-CN" w:bidi="ar"/>
        </w:rPr>
        <w:t>；</w:t>
      </w:r>
      <w:r>
        <w:rPr>
          <w:rFonts w:hint="eastAsia" w:ascii="宋体" w:hAnsi="宋体" w:eastAsia="宋体" w:cs="宋体"/>
          <w:bCs/>
          <w:color w:val="auto"/>
          <w:sz w:val="24"/>
        </w:rPr>
        <w:t>评标专家确定方式：由招标代理在开标前48小时在政采云专家库中随机抽取此次评标专家。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（二）评标的方式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本项目采用不公开方式评标，评标的依据为《中华人民共和国招标投标法》、《中华人民共和国政府采购法》、《中华人民共和国财政部令第 87 号--政府采购货物和服务招标投标管理办法》及招标文件。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（三）评标程序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资格评审</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评标委员会对投标人提交的资格文件进行评审。</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2.响应性评审</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评标委员会对投标人提交的投标文件进行响应性性评审。</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3.实质审查与比较</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评标委员会审查投标文件的实质性内容是否符合招标文件的实质性要求。</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评标委员会将根据投标人的与投标文件进行审查、核对,如有疑问, 将对投标人进行询标,投标人要向评标委员会澄清有关问题,并最终以书面形式进行答复。</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各投标人的商务评分、技术评分按照评标委员会成员的独立评分的算术平均值计算，由指定专人进行计算复核。</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工作人员协助评标委员会根据本项目的评分标准计算各投标人的报价得分。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评标委员会完成评标后,评委对得分进行汇总,计算出本项目最终得分等。评标委员会按评标原则推荐排名前三中标候选人同时起草评标报告。</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（四）澄清问题的形式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（五）错误修正</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投标文件如果出现计算或表达上的错误，修正错误的原则如下：</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投标报价一览表总价与投标报价明细表汇总数不一致的，以投标报价一览表为准；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投标文件的大写金额和小写金额不一致的，以大写金额为准；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按上述修正错误的原则及方法调整或修正投标文件的投标报价，投标人同意并签字确认后，调整后的投标报价对投标人具有约束作用。如果投标人不接受修正后的报价，则其投标将作为无效投标处理。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（六）评标原则和评标办法</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评标办法。本项目评标办法是综合评分法，具体评标内容及评分标准等详见《第三部分 评标办法及评分标准》。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（七）评标过程的监控</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bookmarkStart w:id="68" w:name="_bookmark2"/>
      <w:bookmarkEnd w:id="68"/>
      <w:bookmarkStart w:id="69" w:name="第三部分 评标办法及标准"/>
      <w:bookmarkEnd w:id="69"/>
      <w:r>
        <w:rPr>
          <w:rFonts w:hint="eastAsia" w:ascii="宋体" w:hAnsi="宋体" w:eastAsia="宋体" w:cs="宋体"/>
          <w:color w:val="auto"/>
          <w:sz w:val="24"/>
          <w:szCs w:val="24"/>
          <w:lang w:val="en-US" w:eastAsia="zh-CN"/>
        </w:rPr>
        <w:t>本项目评标过程实行录像监控、照片记录，且由监标人员进行现场监督， 投标人在评标过程中所进行的试图影响评标结果的不公正活动，可能导致其投标被拒绝。</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val="en-US" w:eastAsia="zh-CN"/>
        </w:rPr>
        <w:tab/>
      </w:r>
      <w:bookmarkStart w:id="70" w:name="五、定标"/>
      <w:bookmarkEnd w:id="70"/>
      <w:r>
        <w:rPr>
          <w:rFonts w:hint="eastAsia" w:ascii="宋体" w:hAnsi="宋体" w:eastAsia="宋体" w:cs="宋体"/>
          <w:b/>
          <w:bCs/>
          <w:color w:val="auto"/>
          <w:sz w:val="24"/>
          <w:szCs w:val="24"/>
          <w:lang w:val="en-US" w:eastAsia="zh-CN"/>
        </w:rPr>
        <w:t>定标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确定中标人。本项目由招标人根据评标结果排名第一位的候选人（得分最高）为中标人</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lang w:val="en-US" w:eastAsia="zh-CN"/>
        </w:rPr>
        <w:tab/>
      </w:r>
      <w:bookmarkStart w:id="71" w:name="六、合同授予"/>
      <w:bookmarkEnd w:id="71"/>
      <w:r>
        <w:rPr>
          <w:rFonts w:hint="eastAsia" w:ascii="宋体" w:hAnsi="宋体" w:eastAsia="宋体" w:cs="宋体"/>
          <w:b/>
          <w:bCs/>
          <w:color w:val="auto"/>
          <w:sz w:val="24"/>
          <w:szCs w:val="24"/>
          <w:lang w:val="en-US" w:eastAsia="zh-CN"/>
        </w:rPr>
        <w:t>合同授予</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（一）签订合同</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招标人与中标人应当在《中标通知书》发出之日起 30 日内签订合同。同时，招标代理机构对合同内容进行审查，如发现与采购结果和投标承诺内容不一致的，应予以纠正。</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中标人拖延、拒签合同的,将被扣罚投标保证金并取消中标资格。</w:t>
      </w:r>
    </w:p>
    <w:p>
      <w:pPr>
        <w:spacing w:after="0" w:line="357" w:lineRule="exact"/>
        <w:jc w:val="left"/>
        <w:rPr>
          <w:rFonts w:hint="eastAsia" w:ascii="宋体" w:hAnsi="宋体" w:eastAsia="宋体" w:cs="宋体"/>
          <w:color w:val="auto"/>
          <w:sz w:val="28"/>
        </w:rPr>
        <w:sectPr>
          <w:footerReference r:id="rId3" w:type="default"/>
          <w:pgSz w:w="11910" w:h="16840"/>
          <w:pgMar w:top="1440" w:right="1800" w:bottom="1440" w:left="1800" w:header="0" w:footer="1037" w:gutter="0"/>
          <w:cols w:space="720" w:num="1"/>
        </w:sectPr>
      </w:pPr>
    </w:p>
    <w:bookmarkEnd w:id="55"/>
    <w:bookmarkEnd w:id="56"/>
    <w:p>
      <w:pPr>
        <w:keepNext w:val="0"/>
        <w:keepLines w:val="0"/>
        <w:widowControl/>
        <w:numPr>
          <w:ilvl w:val="0"/>
          <w:numId w:val="4"/>
        </w:numPr>
        <w:suppressLineNumbers w:val="0"/>
        <w:jc w:val="center"/>
        <w:rPr>
          <w:rFonts w:hint="eastAsia" w:ascii="宋体" w:hAnsi="宋体" w:eastAsia="宋体" w:cs="宋体"/>
          <w:b/>
          <w:bCs/>
          <w:color w:val="auto"/>
          <w:kern w:val="0"/>
          <w:sz w:val="36"/>
          <w:szCs w:val="36"/>
          <w:lang w:val="en-US" w:eastAsia="zh-CN" w:bidi="ar"/>
        </w:rPr>
      </w:pPr>
      <w:bookmarkStart w:id="72" w:name="_Toc29710"/>
      <w:bookmarkStart w:id="73" w:name="_Toc20110"/>
      <w:bookmarkStart w:id="74" w:name="_Toc6417"/>
      <w:bookmarkStart w:id="75" w:name="_Toc1354"/>
      <w:bookmarkStart w:id="76" w:name="_Toc23028"/>
      <w:r>
        <w:rPr>
          <w:rFonts w:hint="eastAsia" w:ascii="宋体" w:hAnsi="宋体" w:eastAsia="宋体" w:cs="宋体"/>
          <w:b/>
          <w:bCs/>
          <w:color w:val="auto"/>
          <w:kern w:val="0"/>
          <w:sz w:val="36"/>
          <w:szCs w:val="36"/>
          <w:lang w:val="en-US" w:eastAsia="zh-CN" w:bidi="ar"/>
        </w:rPr>
        <w:t>评标办法及标准</w:t>
      </w:r>
    </w:p>
    <w:tbl>
      <w:tblPr>
        <w:tblStyle w:val="41"/>
        <w:tblW w:w="9704"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05"/>
        <w:gridCol w:w="6812"/>
        <w:gridCol w:w="688"/>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40" w:type="dxa"/>
            <w:vMerge w:val="restart"/>
          </w:tcPr>
          <w:p>
            <w:pPr>
              <w:pStyle w:val="139"/>
              <w:spacing w:before="39" w:line="240" w:lineRule="auto"/>
              <w:ind w:left="219" w:right="211"/>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05" w:type="dxa"/>
            <w:vMerge w:val="restart"/>
          </w:tcPr>
          <w:p>
            <w:pPr>
              <w:pStyle w:val="139"/>
              <w:spacing w:before="39" w:line="240" w:lineRule="auto"/>
              <w:ind w:left="208" w:right="197"/>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812" w:type="dxa"/>
            <w:vMerge w:val="restart"/>
          </w:tcPr>
          <w:p>
            <w:pPr>
              <w:pStyle w:val="139"/>
              <w:spacing w:before="10" w:line="240" w:lineRule="auto"/>
              <w:jc w:val="center"/>
              <w:rPr>
                <w:rFonts w:hint="eastAsia" w:ascii="宋体" w:hAnsi="宋体" w:eastAsia="宋体" w:cs="宋体"/>
                <w:b/>
                <w:color w:val="auto"/>
                <w:sz w:val="24"/>
                <w:szCs w:val="24"/>
              </w:rPr>
            </w:pPr>
          </w:p>
          <w:p>
            <w:pPr>
              <w:pStyle w:val="139"/>
              <w:spacing w:before="1" w:line="240" w:lineRule="auto"/>
              <w:ind w:right="3083"/>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1647" w:type="dxa"/>
            <w:gridSpan w:val="2"/>
          </w:tcPr>
          <w:p>
            <w:pPr>
              <w:pStyle w:val="139"/>
              <w:spacing w:before="1" w:line="240" w:lineRule="auto"/>
              <w:ind w:left="436"/>
              <w:rPr>
                <w:rFonts w:hint="eastAsia" w:ascii="宋体" w:hAnsi="宋体" w:eastAsia="宋体" w:cs="宋体"/>
                <w:color w:val="auto"/>
                <w:sz w:val="24"/>
                <w:szCs w:val="24"/>
              </w:rPr>
            </w:pPr>
            <w:r>
              <w:rPr>
                <w:rFonts w:hint="eastAsia" w:ascii="宋体" w:hAnsi="宋体" w:eastAsia="宋体" w:cs="宋体"/>
                <w:color w:val="auto"/>
                <w:sz w:val="24"/>
                <w:szCs w:val="24"/>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40" w:type="dxa"/>
            <w:vMerge w:val="continue"/>
          </w:tcPr>
          <w:p>
            <w:pPr>
              <w:pStyle w:val="139"/>
              <w:spacing w:before="39" w:line="240" w:lineRule="auto"/>
              <w:ind w:left="219" w:right="211"/>
              <w:rPr>
                <w:rFonts w:hint="eastAsia" w:ascii="宋体" w:hAnsi="宋体" w:eastAsia="宋体" w:cs="宋体"/>
                <w:color w:val="auto"/>
                <w:sz w:val="24"/>
                <w:szCs w:val="24"/>
              </w:rPr>
            </w:pPr>
          </w:p>
        </w:tc>
        <w:tc>
          <w:tcPr>
            <w:tcW w:w="705" w:type="dxa"/>
            <w:vMerge w:val="continue"/>
          </w:tcPr>
          <w:p>
            <w:pPr>
              <w:pStyle w:val="139"/>
              <w:spacing w:before="39" w:line="240" w:lineRule="auto"/>
              <w:ind w:left="208" w:right="197"/>
              <w:jc w:val="center"/>
              <w:rPr>
                <w:rFonts w:hint="eastAsia" w:ascii="宋体" w:hAnsi="宋体" w:eastAsia="宋体" w:cs="宋体"/>
                <w:color w:val="auto"/>
                <w:sz w:val="24"/>
                <w:szCs w:val="24"/>
              </w:rPr>
            </w:pPr>
          </w:p>
        </w:tc>
        <w:tc>
          <w:tcPr>
            <w:tcW w:w="6812" w:type="dxa"/>
            <w:vMerge w:val="continue"/>
          </w:tcPr>
          <w:p>
            <w:pPr>
              <w:pStyle w:val="139"/>
              <w:spacing w:before="1" w:line="240" w:lineRule="auto"/>
              <w:ind w:right="3083"/>
              <w:jc w:val="center"/>
              <w:rPr>
                <w:rFonts w:hint="eastAsia" w:ascii="宋体" w:hAnsi="宋体" w:eastAsia="宋体" w:cs="宋体"/>
                <w:color w:val="auto"/>
                <w:sz w:val="24"/>
                <w:szCs w:val="24"/>
              </w:rPr>
            </w:pPr>
          </w:p>
        </w:tc>
        <w:tc>
          <w:tcPr>
            <w:tcW w:w="688" w:type="dxa"/>
            <w:vAlign w:val="top"/>
          </w:tcPr>
          <w:p>
            <w:pPr>
              <w:pStyle w:val="139"/>
              <w:spacing w:before="124" w:line="240" w:lineRule="auto"/>
              <w:ind w:left="162" w:leftChars="0"/>
              <w:rPr>
                <w:rFonts w:hint="eastAsia" w:ascii="宋体" w:hAnsi="宋体" w:eastAsia="宋体" w:cs="宋体"/>
                <w:color w:val="auto"/>
                <w:sz w:val="24"/>
                <w:szCs w:val="24"/>
              </w:rPr>
            </w:pPr>
            <w:r>
              <w:rPr>
                <w:rFonts w:hint="eastAsia" w:ascii="宋体" w:hAnsi="宋体" w:eastAsia="宋体" w:cs="宋体"/>
                <w:color w:val="auto"/>
                <w:sz w:val="24"/>
                <w:szCs w:val="24"/>
              </w:rPr>
              <w:t>通过</w:t>
            </w:r>
          </w:p>
        </w:tc>
        <w:tc>
          <w:tcPr>
            <w:tcW w:w="959" w:type="dxa"/>
            <w:vAlign w:val="top"/>
          </w:tcPr>
          <w:p>
            <w:pPr>
              <w:pStyle w:val="139"/>
              <w:spacing w:before="124" w:line="240" w:lineRule="auto"/>
              <w:ind w:left="154" w:leftChars="0"/>
              <w:rPr>
                <w:rFonts w:hint="eastAsia" w:ascii="宋体" w:hAnsi="宋体" w:eastAsia="宋体" w:cs="宋体"/>
                <w:color w:val="auto"/>
                <w:sz w:val="24"/>
                <w:szCs w:val="24"/>
              </w:rPr>
            </w:pPr>
            <w:r>
              <w:rPr>
                <w:rFonts w:hint="eastAsia" w:ascii="宋体" w:hAnsi="宋体" w:eastAsia="宋体" w:cs="宋体"/>
                <w:color w:val="auto"/>
                <w:sz w:val="24"/>
                <w:szCs w:val="24"/>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restart"/>
          </w:tcPr>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before="8" w:line="240" w:lineRule="auto"/>
              <w:rPr>
                <w:rFonts w:hint="eastAsia" w:ascii="宋体" w:hAnsi="宋体" w:eastAsia="宋体" w:cs="宋体"/>
                <w:b/>
                <w:color w:val="auto"/>
                <w:sz w:val="24"/>
                <w:szCs w:val="24"/>
              </w:rPr>
            </w:pPr>
          </w:p>
          <w:p>
            <w:pPr>
              <w:pStyle w:val="139"/>
              <w:spacing w:line="240" w:lineRule="auto"/>
              <w:ind w:left="219" w:right="211"/>
              <w:jc w:val="both"/>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705" w:type="dxa"/>
          </w:tcPr>
          <w:p>
            <w:pPr>
              <w:pStyle w:val="139"/>
              <w:spacing w:before="124"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812" w:type="dxa"/>
          </w:tcPr>
          <w:p>
            <w:pPr>
              <w:pStyle w:val="139"/>
              <w:spacing w:before="124" w:line="240" w:lineRule="auto"/>
              <w:ind w:left="10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须提供经年审有效的三证合一的营业执照；</w:t>
            </w:r>
          </w:p>
        </w:tc>
        <w:tc>
          <w:tcPr>
            <w:tcW w:w="688" w:type="dxa"/>
          </w:tcPr>
          <w:p>
            <w:pPr>
              <w:pStyle w:val="139"/>
              <w:spacing w:before="124" w:line="240" w:lineRule="auto"/>
              <w:ind w:left="162"/>
              <w:rPr>
                <w:rFonts w:hint="eastAsia" w:ascii="宋体" w:hAnsi="宋体" w:eastAsia="宋体" w:cs="宋体"/>
                <w:color w:val="auto"/>
                <w:sz w:val="24"/>
                <w:szCs w:val="24"/>
              </w:rPr>
            </w:pPr>
          </w:p>
        </w:tc>
        <w:tc>
          <w:tcPr>
            <w:tcW w:w="959" w:type="dxa"/>
          </w:tcPr>
          <w:p>
            <w:pPr>
              <w:pStyle w:val="139"/>
              <w:spacing w:before="124" w:line="240" w:lineRule="auto"/>
              <w:ind w:left="154"/>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40" w:type="dxa"/>
            <w:vMerge w:val="continue"/>
            <w:tcBorders>
              <w:top w:val="nil"/>
            </w:tcBorders>
          </w:tcPr>
          <w:p>
            <w:pPr>
              <w:spacing w:line="240" w:lineRule="auto"/>
              <w:rPr>
                <w:rFonts w:hint="eastAsia" w:ascii="宋体" w:hAnsi="宋体" w:eastAsia="宋体" w:cs="宋体"/>
                <w:color w:val="auto"/>
                <w:sz w:val="24"/>
                <w:szCs w:val="24"/>
              </w:rPr>
            </w:pPr>
          </w:p>
        </w:tc>
        <w:tc>
          <w:tcPr>
            <w:tcW w:w="705" w:type="dxa"/>
          </w:tcPr>
          <w:p>
            <w:pPr>
              <w:pStyle w:val="139"/>
              <w:spacing w:before="140"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812" w:type="dxa"/>
          </w:tcPr>
          <w:p>
            <w:pPr>
              <w:pStyle w:val="139"/>
              <w:spacing w:before="140" w:line="240" w:lineRule="auto"/>
              <w:ind w:left="10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供应商代表到场参需提供身份证明书及身份证原件，提供近三个月由本单位社保缴费凭证及个人明细；委托代理人到场参与投标需提供授权委托书及身份证原件，需提供委托代理人近三个月（2022年</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月）由本单位社保缴费凭证及个人明细（新成立的公司按实际发生提供）；</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40" w:type="dxa"/>
            <w:vMerge w:val="continue"/>
            <w:tcBorders>
              <w:top w:val="nil"/>
            </w:tcBorders>
          </w:tcPr>
          <w:p>
            <w:pPr>
              <w:spacing w:line="240" w:lineRule="auto"/>
              <w:rPr>
                <w:rFonts w:hint="eastAsia" w:ascii="宋体" w:hAnsi="宋体" w:eastAsia="宋体" w:cs="宋体"/>
                <w:color w:val="auto"/>
                <w:sz w:val="24"/>
                <w:szCs w:val="24"/>
              </w:rPr>
            </w:pPr>
          </w:p>
        </w:tc>
        <w:tc>
          <w:tcPr>
            <w:tcW w:w="705" w:type="dxa"/>
          </w:tcPr>
          <w:p>
            <w:pPr>
              <w:pStyle w:val="139"/>
              <w:spacing w:before="138"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812" w:type="dxa"/>
          </w:tcPr>
          <w:p>
            <w:pPr>
              <w:pStyle w:val="139"/>
              <w:spacing w:before="138" w:line="240" w:lineRule="auto"/>
              <w:ind w:left="10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2021年度由第三方财务审计机构出具的财务审计报告</w:t>
            </w:r>
            <w:r>
              <w:rPr>
                <w:rFonts w:hint="eastAsia" w:cs="宋体"/>
                <w:color w:val="auto"/>
                <w:sz w:val="24"/>
                <w:szCs w:val="24"/>
                <w:lang w:val="en-US" w:eastAsia="zh-CN"/>
              </w:rPr>
              <w:t>原</w:t>
            </w:r>
            <w:r>
              <w:rPr>
                <w:rFonts w:hint="eastAsia" w:ascii="宋体" w:hAnsi="宋体" w:eastAsia="宋体" w:cs="宋体"/>
                <w:color w:val="auto"/>
                <w:sz w:val="24"/>
                <w:szCs w:val="24"/>
                <w:lang w:val="en-US" w:eastAsia="zh-CN"/>
              </w:rPr>
              <w:t>件（新成立的公司需提供银行出具的近三个月（2022年</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月）的资信证明和健全的财务会计制度）；</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40" w:type="dxa"/>
            <w:vMerge w:val="continue"/>
            <w:tcBorders>
              <w:top w:val="nil"/>
            </w:tcBorders>
          </w:tcPr>
          <w:p>
            <w:pPr>
              <w:spacing w:line="240" w:lineRule="auto"/>
              <w:rPr>
                <w:rFonts w:hint="eastAsia" w:ascii="宋体" w:hAnsi="宋体" w:eastAsia="宋体" w:cs="宋体"/>
                <w:color w:val="auto"/>
                <w:sz w:val="24"/>
                <w:szCs w:val="24"/>
              </w:rPr>
            </w:pPr>
          </w:p>
        </w:tc>
        <w:tc>
          <w:tcPr>
            <w:tcW w:w="705" w:type="dxa"/>
          </w:tcPr>
          <w:p>
            <w:pPr>
              <w:pStyle w:val="139"/>
              <w:spacing w:before="188"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812" w:type="dxa"/>
          </w:tcPr>
          <w:p>
            <w:pPr>
              <w:pStyle w:val="139"/>
              <w:spacing w:before="188"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有依法缴纳税收和社会保障资金的良好记录（提供开标前近三个月（2022年</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月）依法缴纳税收资料）；</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40" w:type="dxa"/>
            <w:vMerge w:val="continue"/>
            <w:tcBorders>
              <w:top w:val="nil"/>
            </w:tcBorders>
          </w:tcPr>
          <w:p>
            <w:pPr>
              <w:spacing w:line="240" w:lineRule="auto"/>
              <w:rPr>
                <w:rFonts w:hint="eastAsia" w:ascii="宋体" w:hAnsi="宋体" w:eastAsia="宋体" w:cs="宋体"/>
                <w:color w:val="auto"/>
                <w:sz w:val="24"/>
                <w:szCs w:val="24"/>
              </w:rPr>
            </w:pPr>
          </w:p>
        </w:tc>
        <w:tc>
          <w:tcPr>
            <w:tcW w:w="705" w:type="dxa"/>
          </w:tcPr>
          <w:p>
            <w:pPr>
              <w:pStyle w:val="139"/>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6812" w:type="dxa"/>
            <w:vAlign w:val="top"/>
          </w:tcPr>
          <w:p>
            <w:pPr>
              <w:pStyle w:val="139"/>
              <w:spacing w:before="188" w:line="240" w:lineRule="auto"/>
              <w:ind w:left="9"/>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凡拟参加本次招标项目的投标人须提供“参加政府采购活动前3年内在经营活动中没有重大违法记录的书面声明”；</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40" w:type="dxa"/>
            <w:vMerge w:val="continue"/>
            <w:tcBorders>
              <w:top w:val="nil"/>
            </w:tcBorders>
          </w:tcPr>
          <w:p>
            <w:pPr>
              <w:spacing w:line="240" w:lineRule="auto"/>
              <w:rPr>
                <w:rFonts w:hint="eastAsia" w:ascii="宋体" w:hAnsi="宋体" w:eastAsia="宋体" w:cs="宋体"/>
                <w:color w:val="auto"/>
                <w:sz w:val="24"/>
                <w:szCs w:val="24"/>
              </w:rPr>
            </w:pPr>
          </w:p>
        </w:tc>
        <w:tc>
          <w:tcPr>
            <w:tcW w:w="705" w:type="dxa"/>
          </w:tcPr>
          <w:p>
            <w:pPr>
              <w:pStyle w:val="139"/>
              <w:spacing w:before="188" w:line="240" w:lineRule="auto"/>
              <w:ind w:left="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812" w:type="dxa"/>
            <w:vAlign w:val="top"/>
          </w:tcPr>
          <w:p>
            <w:pPr>
              <w:pStyle w:val="139"/>
              <w:spacing w:before="188" w:line="240" w:lineRule="auto"/>
              <w:ind w:left="9"/>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本项目不接受“信用中国”（www.creditchina.gov.cn）和“中国政府采购网” （www.ccgp.gov.cn）网站等列入失信被执行人、重大税收违法案件当事人名单、政府采购严重违法失信行为记录名单的投标供应商投标（以现场查询为准）；</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tcBorders>
              <w:top w:val="nil"/>
            </w:tcBorders>
          </w:tcPr>
          <w:p>
            <w:pPr>
              <w:spacing w:line="240" w:lineRule="auto"/>
              <w:rPr>
                <w:rFonts w:hint="eastAsia" w:ascii="宋体" w:hAnsi="宋体" w:eastAsia="宋体" w:cs="宋体"/>
                <w:color w:val="auto"/>
                <w:sz w:val="24"/>
                <w:szCs w:val="24"/>
              </w:rPr>
            </w:pPr>
          </w:p>
        </w:tc>
        <w:tc>
          <w:tcPr>
            <w:tcW w:w="705" w:type="dxa"/>
          </w:tcPr>
          <w:p>
            <w:pPr>
              <w:pStyle w:val="139"/>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812" w:type="dxa"/>
            <w:vAlign w:val="top"/>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单位负责人为同一人或者存在控股、管理关系的不同供应商，不得参加同一合同项目下的政府采购活动；</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40" w:type="dxa"/>
            <w:vMerge w:val="restart"/>
          </w:tcPr>
          <w:p>
            <w:pPr>
              <w:pStyle w:val="139"/>
              <w:spacing w:line="240" w:lineRule="auto"/>
              <w:rPr>
                <w:rFonts w:hint="eastAsia" w:ascii="宋体" w:hAnsi="宋体" w:eastAsia="宋体" w:cs="宋体"/>
                <w:b/>
                <w:color w:val="auto"/>
                <w:sz w:val="24"/>
                <w:szCs w:val="24"/>
              </w:rPr>
            </w:pPr>
          </w:p>
          <w:p>
            <w:pPr>
              <w:pStyle w:val="139"/>
              <w:spacing w:line="240" w:lineRule="auto"/>
              <w:rPr>
                <w:rFonts w:hint="eastAsia" w:ascii="宋体" w:hAnsi="宋体" w:eastAsia="宋体" w:cs="宋体"/>
                <w:b/>
                <w:color w:val="auto"/>
                <w:sz w:val="24"/>
                <w:szCs w:val="24"/>
              </w:rPr>
            </w:pPr>
          </w:p>
          <w:p>
            <w:pPr>
              <w:pStyle w:val="139"/>
              <w:spacing w:before="3" w:line="240" w:lineRule="auto"/>
              <w:rPr>
                <w:rFonts w:hint="eastAsia" w:ascii="宋体" w:hAnsi="宋体" w:eastAsia="宋体" w:cs="宋体"/>
                <w:b/>
                <w:color w:val="auto"/>
                <w:sz w:val="24"/>
                <w:szCs w:val="24"/>
              </w:rPr>
            </w:pPr>
          </w:p>
          <w:p>
            <w:pPr>
              <w:pStyle w:val="139"/>
              <w:spacing w:before="3" w:line="240" w:lineRule="auto"/>
              <w:rPr>
                <w:rFonts w:hint="eastAsia" w:ascii="宋体" w:hAnsi="宋体" w:eastAsia="宋体" w:cs="宋体"/>
                <w:b/>
                <w:color w:val="auto"/>
                <w:sz w:val="24"/>
                <w:szCs w:val="24"/>
              </w:rPr>
            </w:pPr>
          </w:p>
          <w:p>
            <w:pPr>
              <w:pStyle w:val="139"/>
              <w:spacing w:before="3" w:line="240" w:lineRule="auto"/>
              <w:rPr>
                <w:rFonts w:hint="eastAsia" w:ascii="宋体" w:hAnsi="宋体" w:eastAsia="宋体" w:cs="宋体"/>
                <w:b/>
                <w:color w:val="auto"/>
                <w:sz w:val="24"/>
                <w:szCs w:val="24"/>
              </w:rPr>
            </w:pPr>
          </w:p>
          <w:p>
            <w:pPr>
              <w:pStyle w:val="139"/>
              <w:spacing w:before="3" w:line="240" w:lineRule="auto"/>
              <w:rPr>
                <w:rFonts w:hint="eastAsia" w:ascii="宋体" w:hAnsi="宋体" w:eastAsia="宋体" w:cs="宋体"/>
                <w:b/>
                <w:color w:val="auto"/>
                <w:sz w:val="24"/>
                <w:szCs w:val="24"/>
              </w:rPr>
            </w:pPr>
          </w:p>
          <w:p>
            <w:pPr>
              <w:pStyle w:val="139"/>
              <w:spacing w:before="3" w:line="240" w:lineRule="auto"/>
              <w:rPr>
                <w:rFonts w:hint="eastAsia" w:ascii="宋体" w:hAnsi="宋体" w:eastAsia="宋体" w:cs="宋体"/>
                <w:b/>
                <w:color w:val="auto"/>
                <w:sz w:val="24"/>
                <w:szCs w:val="24"/>
              </w:rPr>
            </w:pPr>
          </w:p>
          <w:p>
            <w:pPr>
              <w:pStyle w:val="139"/>
              <w:spacing w:before="3" w:line="240" w:lineRule="auto"/>
              <w:rPr>
                <w:rFonts w:hint="eastAsia" w:ascii="宋体" w:hAnsi="宋体" w:eastAsia="宋体" w:cs="宋体"/>
                <w:b/>
                <w:color w:val="auto"/>
                <w:sz w:val="24"/>
                <w:szCs w:val="24"/>
              </w:rPr>
            </w:pPr>
          </w:p>
          <w:p>
            <w:pPr>
              <w:pStyle w:val="139"/>
              <w:spacing w:line="240" w:lineRule="auto"/>
              <w:ind w:left="219" w:right="211"/>
              <w:jc w:val="both"/>
              <w:rPr>
                <w:rFonts w:hint="eastAsia" w:ascii="宋体" w:hAnsi="宋体" w:eastAsia="宋体" w:cs="宋体"/>
                <w:color w:val="auto"/>
                <w:sz w:val="24"/>
                <w:szCs w:val="24"/>
              </w:rPr>
            </w:pPr>
            <w:r>
              <w:rPr>
                <w:rFonts w:hint="eastAsia" w:ascii="宋体" w:hAnsi="宋体" w:eastAsia="宋体" w:cs="宋体"/>
                <w:color w:val="auto"/>
                <w:sz w:val="24"/>
                <w:szCs w:val="24"/>
              </w:rPr>
              <w:t>符合性评审</w:t>
            </w:r>
          </w:p>
        </w:tc>
        <w:tc>
          <w:tcPr>
            <w:tcW w:w="705" w:type="dxa"/>
            <w:vAlign w:val="top"/>
          </w:tcPr>
          <w:p>
            <w:pPr>
              <w:pStyle w:val="139"/>
              <w:spacing w:before="188" w:line="240" w:lineRule="auto"/>
              <w:ind w:left="9"/>
              <w:jc w:val="center"/>
              <w:rPr>
                <w:rFonts w:hint="eastAsia" w:ascii="宋体" w:hAnsi="宋体" w:eastAsia="宋体" w:cs="宋体"/>
                <w:color w:val="auto"/>
                <w:sz w:val="24"/>
                <w:szCs w:val="24"/>
                <w:lang w:val="en-US" w:eastAsia="zh-CN"/>
              </w:rPr>
            </w:pPr>
          </w:p>
          <w:p>
            <w:pPr>
              <w:pStyle w:val="139"/>
              <w:spacing w:before="188" w:line="240" w:lineRule="auto"/>
              <w:ind w:left="9"/>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投标报价高于设定的采购预算价的；</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0" w:type="dxa"/>
            <w:vMerge w:val="continue"/>
          </w:tcPr>
          <w:p>
            <w:pPr>
              <w:spacing w:line="240" w:lineRule="auto"/>
              <w:rPr>
                <w:rFonts w:hint="eastAsia"/>
                <w:color w:val="auto"/>
              </w:rPr>
            </w:pPr>
          </w:p>
          <w:p>
            <w:pPr>
              <w:pStyle w:val="2"/>
              <w:rPr>
                <w:rFonts w:hint="eastAsia"/>
                <w:color w:val="auto"/>
              </w:rPr>
            </w:pPr>
          </w:p>
        </w:tc>
        <w:tc>
          <w:tcPr>
            <w:tcW w:w="705" w:type="dxa"/>
            <w:vAlign w:val="top"/>
          </w:tcPr>
          <w:p>
            <w:pPr>
              <w:pStyle w:val="139"/>
              <w:spacing w:before="188" w:line="240" w:lineRule="auto"/>
              <w:ind w:left="9"/>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投标报价为唯一报价，有不同报价时是否明确有效力的报价；</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0" w:type="dxa"/>
            <w:vMerge w:val="continue"/>
          </w:tcPr>
          <w:p>
            <w:pPr>
              <w:pStyle w:val="2"/>
              <w:rPr>
                <w:rFonts w:hint="eastAsia"/>
                <w:color w:val="auto"/>
              </w:rPr>
            </w:pPr>
          </w:p>
        </w:tc>
        <w:tc>
          <w:tcPr>
            <w:tcW w:w="705" w:type="dxa"/>
            <w:vAlign w:val="top"/>
          </w:tcPr>
          <w:p>
            <w:pPr>
              <w:pStyle w:val="139"/>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投标文件的内容组成是否符合招标文件要求；</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0" w:type="dxa"/>
            <w:vMerge w:val="continue"/>
          </w:tcPr>
          <w:p>
            <w:pPr>
              <w:pStyle w:val="2"/>
              <w:rPr>
                <w:rFonts w:hint="eastAsia"/>
                <w:color w:val="auto"/>
              </w:rPr>
            </w:pPr>
          </w:p>
        </w:tc>
        <w:tc>
          <w:tcPr>
            <w:tcW w:w="705" w:type="dxa"/>
            <w:vAlign w:val="top"/>
          </w:tcPr>
          <w:p>
            <w:pPr>
              <w:pStyle w:val="139"/>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格式填写是否按规定的格式填写，没有内容不全或关键字迹模糊、无法辨认的；</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5</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是否按照招标文件规定要求签署、盖章的；</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jc w:val="center"/>
              <w:rPr>
                <w:rFonts w:hint="default" w:cs="宋体"/>
                <w:color w:val="auto"/>
                <w:sz w:val="24"/>
                <w:szCs w:val="24"/>
                <w:lang w:val="en-US" w:eastAsia="zh-CN"/>
              </w:rPr>
            </w:pPr>
            <w:r>
              <w:rPr>
                <w:rFonts w:hint="eastAsia" w:cs="宋体"/>
                <w:color w:val="auto"/>
                <w:sz w:val="24"/>
                <w:szCs w:val="24"/>
                <w:lang w:val="en-US" w:eastAsia="zh-CN"/>
              </w:rPr>
              <w:t>6</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投标文件附有采购人不能接受条件的；</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交货期是否满足采购文件规定交货期限；</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投标保证金是否符合招标文件规定；</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改变招标文件提供的清单中的计量单位、数量的；</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leftChars="0"/>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sz w:val="24"/>
                <w:szCs w:val="24"/>
                <w:lang w:val="en-US" w:eastAsia="zh-CN"/>
              </w:rPr>
              <w:t>10</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评标委员会共同确定有实质上不响应招标文件要求的；</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leftChars="0"/>
              <w:jc w:val="center"/>
              <w:rPr>
                <w:rFonts w:hint="eastAsia" w:ascii="宋体" w:hAnsi="宋体" w:eastAsia="宋体" w:cs="宋体"/>
                <w:color w:val="auto"/>
                <w:kern w:val="2"/>
                <w:sz w:val="24"/>
                <w:szCs w:val="24"/>
                <w:lang w:val="en-US" w:eastAsia="zh-CN" w:bidi="zh-CN"/>
              </w:rPr>
            </w:pPr>
            <w:r>
              <w:rPr>
                <w:rFonts w:hint="eastAsia" w:cs="宋体"/>
                <w:color w:val="auto"/>
                <w:sz w:val="24"/>
                <w:szCs w:val="24"/>
                <w:lang w:val="en-US" w:eastAsia="zh-CN"/>
              </w:rPr>
              <w:t>11</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是否存在法律、法规和招标文件规定的其他无效情形；</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leftChars="0"/>
              <w:jc w:val="center"/>
              <w:rPr>
                <w:rFonts w:hint="eastAsia" w:ascii="宋体" w:hAnsi="宋体" w:eastAsia="宋体" w:cs="宋体"/>
                <w:color w:val="auto"/>
                <w:kern w:val="2"/>
                <w:sz w:val="24"/>
                <w:szCs w:val="24"/>
                <w:lang w:val="en-US" w:eastAsia="zh-CN" w:bidi="zh-CN"/>
              </w:rPr>
            </w:pPr>
            <w:r>
              <w:rPr>
                <w:rFonts w:hint="eastAsia" w:cs="宋体"/>
                <w:color w:val="auto"/>
                <w:sz w:val="24"/>
                <w:szCs w:val="24"/>
                <w:lang w:val="en-US" w:eastAsia="zh-CN"/>
              </w:rPr>
              <w:t>12</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投标文件载明的技术规格等，不符合招标文件要求的；</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39"/>
              <w:spacing w:before="188" w:line="240" w:lineRule="auto"/>
              <w:ind w:left="9"/>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13</w:t>
            </w:r>
          </w:p>
        </w:tc>
        <w:tc>
          <w:tcPr>
            <w:tcW w:w="6812" w:type="dxa"/>
            <w:vAlign w:val="center"/>
          </w:tcPr>
          <w:p>
            <w:pPr>
              <w:pStyle w:val="139"/>
              <w:spacing w:before="188" w:line="240" w:lineRule="auto"/>
              <w:ind w:left="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不满足招标文件实质性要求的其他情形。</w:t>
            </w:r>
          </w:p>
        </w:tc>
        <w:tc>
          <w:tcPr>
            <w:tcW w:w="688" w:type="dxa"/>
          </w:tcPr>
          <w:p>
            <w:pPr>
              <w:pStyle w:val="139"/>
              <w:spacing w:line="240" w:lineRule="auto"/>
              <w:rPr>
                <w:rFonts w:hint="eastAsia" w:ascii="宋体" w:hAnsi="宋体" w:eastAsia="宋体" w:cs="宋体"/>
                <w:color w:val="auto"/>
                <w:sz w:val="24"/>
                <w:szCs w:val="24"/>
              </w:rPr>
            </w:pPr>
          </w:p>
        </w:tc>
        <w:tc>
          <w:tcPr>
            <w:tcW w:w="959" w:type="dxa"/>
          </w:tcPr>
          <w:p>
            <w:pPr>
              <w:pStyle w:val="139"/>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704" w:type="dxa"/>
            <w:gridSpan w:val="5"/>
          </w:tcPr>
          <w:p>
            <w:pPr>
              <w:pStyle w:val="139"/>
              <w:spacing w:before="80" w:line="240" w:lineRule="auto"/>
              <w:ind w:right="1311"/>
              <w:jc w:val="both"/>
              <w:rPr>
                <w:rFonts w:hint="eastAsia" w:ascii="宋体" w:hAnsi="宋体" w:eastAsia="宋体" w:cs="宋体"/>
                <w:color w:val="auto"/>
                <w:sz w:val="24"/>
                <w:szCs w:val="24"/>
              </w:rPr>
            </w:pPr>
            <w:r>
              <w:rPr>
                <w:rFonts w:hint="eastAsia" w:ascii="宋体" w:hAnsi="宋体" w:eastAsia="宋体" w:cs="宋体"/>
                <w:color w:val="auto"/>
                <w:sz w:val="24"/>
                <w:szCs w:val="24"/>
              </w:rPr>
              <w:t>以上有一项不通过结论为不通过，初步评审通过的投标人进入下阶段评审</w:t>
            </w:r>
          </w:p>
        </w:tc>
      </w:tr>
    </w:tbl>
    <w:p>
      <w:pP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br w:type="page"/>
      </w:r>
    </w:p>
    <w:p>
      <w:pPr>
        <w:pStyle w:val="5"/>
        <w:jc w:val="center"/>
        <w:rPr>
          <w:rFonts w:hint="default" w:ascii="宋体" w:hAnsi="宋体" w:eastAsia="宋体" w:cs="宋体"/>
          <w:b/>
          <w:bCs/>
          <w:color w:val="auto"/>
          <w:kern w:val="0"/>
          <w:sz w:val="28"/>
          <w:szCs w:val="28"/>
          <w:highlight w:val="red"/>
          <w:lang w:val="en-US" w:eastAsia="zh-CN" w:bidi="ar"/>
        </w:rPr>
      </w:pPr>
      <w:r>
        <w:rPr>
          <w:rFonts w:hint="eastAsia" w:ascii="宋体" w:hAnsi="宋体" w:eastAsia="宋体" w:cs="宋体"/>
          <w:b/>
          <w:bCs/>
          <w:color w:val="auto"/>
          <w:kern w:val="0"/>
          <w:sz w:val="28"/>
          <w:szCs w:val="28"/>
          <w:lang w:val="en-US" w:eastAsia="zh-CN" w:bidi="ar"/>
        </w:rPr>
        <w:t>评分</w:t>
      </w:r>
      <w:r>
        <w:rPr>
          <w:rFonts w:hint="eastAsia" w:ascii="宋体" w:hAnsi="宋体" w:eastAsia="宋体" w:cs="宋体"/>
          <w:b/>
          <w:bCs/>
          <w:color w:val="auto"/>
          <w:kern w:val="0"/>
          <w:sz w:val="28"/>
          <w:szCs w:val="28"/>
          <w:highlight w:val="none"/>
          <w:lang w:val="en-US" w:eastAsia="zh-CN" w:bidi="ar"/>
        </w:rPr>
        <w:t>标准</w:t>
      </w:r>
    </w:p>
    <w:tbl>
      <w:tblPr>
        <w:tblStyle w:val="41"/>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85"/>
        <w:gridCol w:w="854"/>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noWrap w:val="0"/>
            <w:vAlign w:val="center"/>
          </w:tcPr>
          <w:p>
            <w:pPr>
              <w:pStyle w:val="35"/>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85" w:type="dxa"/>
            <w:noWrap w:val="0"/>
            <w:vAlign w:val="center"/>
          </w:tcPr>
          <w:p>
            <w:pPr>
              <w:pStyle w:val="35"/>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854" w:type="dxa"/>
            <w:noWrap w:val="0"/>
            <w:vAlign w:val="center"/>
          </w:tcPr>
          <w:p>
            <w:pPr>
              <w:pStyle w:val="35"/>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分数</w:t>
            </w:r>
          </w:p>
        </w:tc>
        <w:tc>
          <w:tcPr>
            <w:tcW w:w="6654" w:type="dxa"/>
            <w:noWrap w:val="0"/>
            <w:vAlign w:val="center"/>
          </w:tcPr>
          <w:p>
            <w:pPr>
              <w:pStyle w:val="35"/>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报价部分</w:t>
            </w:r>
          </w:p>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30分</w:t>
            </w:r>
          </w:p>
        </w:tc>
        <w:tc>
          <w:tcPr>
            <w:tcW w:w="1385"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投标报价</w:t>
            </w:r>
          </w:p>
        </w:tc>
        <w:tc>
          <w:tcPr>
            <w:tcW w:w="8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30</w:t>
            </w:r>
          </w:p>
        </w:tc>
        <w:tc>
          <w:tcPr>
            <w:tcW w:w="66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以满足采购文件要求且最终报价最低的报价为评标基准价，其价格分为满分30分，其他供应商的价格得分按照下列公式计算：报价得分=（评标基准价/最终报价）×价格权重，报价高于预算价的，按无效报价处理。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对符合规定的小微企业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vMerge w:val="restart"/>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商务</w:t>
            </w:r>
          </w:p>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部分</w:t>
            </w:r>
          </w:p>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22</w:t>
            </w:r>
            <w:r>
              <w:rPr>
                <w:rFonts w:hint="eastAsia" w:ascii="宋体" w:hAnsi="宋体" w:eastAsia="宋体" w:cs="宋体"/>
                <w:b/>
                <w:color w:val="auto"/>
                <w:sz w:val="24"/>
                <w:szCs w:val="24"/>
                <w:highlight w:val="none"/>
                <w:lang w:val="en-US" w:eastAsia="zh-CN"/>
              </w:rPr>
              <w:t>分</w:t>
            </w:r>
          </w:p>
        </w:tc>
        <w:tc>
          <w:tcPr>
            <w:tcW w:w="1385" w:type="dxa"/>
            <w:noWrap w:val="0"/>
            <w:vAlign w:val="center"/>
          </w:tcPr>
          <w:p>
            <w:pPr>
              <w:autoSpaceDE w:val="0"/>
              <w:autoSpaceDN w:val="0"/>
              <w:adjustRightInd w:val="0"/>
              <w:spacing w:line="240" w:lineRule="auto"/>
              <w:jc w:val="lef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业绩</w:t>
            </w:r>
          </w:p>
        </w:tc>
        <w:tc>
          <w:tcPr>
            <w:tcW w:w="854" w:type="dxa"/>
            <w:noWrap w:val="0"/>
            <w:vAlign w:val="center"/>
          </w:tcPr>
          <w:p>
            <w:pPr>
              <w:autoSpaceDE w:val="0"/>
              <w:autoSpaceDN w:val="0"/>
              <w:adjustRightInd w:val="0"/>
              <w:spacing w:line="240" w:lineRule="auto"/>
              <w:jc w:val="lef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6分</w:t>
            </w:r>
          </w:p>
        </w:tc>
        <w:tc>
          <w:tcPr>
            <w:tcW w:w="66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投标人近三年具备类似项目业绩，每个业绩得2分，最高得6分。【需提供中标通知书和合同协议书】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385"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投标文件及相关资料的完整性</w:t>
            </w:r>
          </w:p>
        </w:tc>
        <w:tc>
          <w:tcPr>
            <w:tcW w:w="8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en-US" w:eastAsia="zh-CN"/>
              </w:rPr>
              <w:t>分</w:t>
            </w:r>
          </w:p>
        </w:tc>
        <w:tc>
          <w:tcPr>
            <w:tcW w:w="66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编制内容完整、齐全、叙述严谨，标书无涂改、错页、漏页现象，履约措施具体、合理、可行得</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en-US" w:eastAsia="zh-CN"/>
              </w:rPr>
              <w:t>分；标函编制内容不完整、叙述简单，标书有涂改、错页或漏页现象，履约措施不具体得1-</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385"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售后服务</w:t>
            </w:r>
          </w:p>
        </w:tc>
        <w:tc>
          <w:tcPr>
            <w:tcW w:w="8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lang w:val="en-US" w:eastAsia="zh-CN"/>
              </w:rPr>
              <w:t>分</w:t>
            </w:r>
          </w:p>
        </w:tc>
        <w:tc>
          <w:tcPr>
            <w:tcW w:w="66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综合比较各投标人针对本项目需求拟提供的售后服务方案（包括专人售后跟踪、售后处理等）：售后服务方案优于采购需求，方案全面、科学且能够结合项目特点的， 得</w:t>
            </w:r>
            <w:r>
              <w:rPr>
                <w:rFonts w:hint="eastAsia" w:ascii="宋体" w:hAnsi="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lang w:val="en-US" w:eastAsia="zh-CN"/>
              </w:rPr>
              <w:t>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售后服务方案满足采购需求，基本全面且具有一定的合理性的，得 4-</w:t>
            </w:r>
            <w:r>
              <w:rPr>
                <w:rFonts w:hint="eastAsia" w:ascii="宋体" w:hAnsi="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lang w:val="en-US" w:eastAsia="zh-CN"/>
              </w:rPr>
              <w:t>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售后服务方案基本满足采购需求，部分方案不清晰且可行性一般的，得0-3 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部分不满足采购需求，部分方案不具有保障性且不可行的，不得分。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83" w:type="dxa"/>
            <w:vMerge w:val="restart"/>
            <w:noWrap w:val="0"/>
            <w:vAlign w:val="center"/>
          </w:tcPr>
          <w:p>
            <w:pPr>
              <w:pStyle w:val="35"/>
              <w:spacing w:line="240" w:lineRule="auto"/>
              <w:jc w:val="left"/>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技术</w:t>
            </w:r>
          </w:p>
          <w:p>
            <w:pPr>
              <w:pStyle w:val="35"/>
              <w:spacing w:line="240" w:lineRule="auto"/>
              <w:jc w:val="left"/>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部分</w:t>
            </w:r>
          </w:p>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48</w:t>
            </w:r>
            <w:r>
              <w:rPr>
                <w:rFonts w:hint="eastAsia" w:ascii="宋体" w:hAnsi="宋体" w:eastAsia="宋体" w:cs="宋体"/>
                <w:b/>
                <w:color w:val="auto"/>
                <w:sz w:val="24"/>
                <w:szCs w:val="24"/>
                <w:highlight w:val="none"/>
                <w:lang w:val="en-US" w:eastAsia="zh-CN"/>
              </w:rPr>
              <w:t>分</w:t>
            </w:r>
          </w:p>
        </w:tc>
        <w:tc>
          <w:tcPr>
            <w:tcW w:w="1385"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对项目的了解和熟悉程度</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p>
        </w:tc>
        <w:tc>
          <w:tcPr>
            <w:tcW w:w="8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lang w:val="en-US" w:eastAsia="zh-CN"/>
              </w:rPr>
              <w:t>分</w:t>
            </w:r>
          </w:p>
        </w:tc>
        <w:tc>
          <w:tcPr>
            <w:tcW w:w="66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对项目和理解和服务方案进行评审：</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对项目理解深入透彻，服务方案整体框架清晰，阐述内容主次分明，方案可操作性、可行性强，得</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lang w:val="en-US" w:eastAsia="zh-CN"/>
              </w:rPr>
              <w:t>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对项目理解较为深入，服务方案整体框架较清晰，阐述内容主次较为分明， 方案具有一定的可操作性、可行性较强，得</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val="en-US" w:eastAsia="zh-CN"/>
              </w:rPr>
              <w:t>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对项目理解基本深入，服务方案整体框架基本清晰，阐述内容主次基本分明，方案具有基本的可操作性、可行性， 得 </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val="en-US" w:eastAsia="zh-CN"/>
              </w:rPr>
              <w:t xml:space="preserve"> 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对项目理解不深入，服务方案整体框架模糊，阐述内容主次不分明，方案的可操作性、可行性较差，得 1 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en-US" w:eastAsia="zh-CN"/>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385"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实施本项目的质量保证体系及质量承诺书      </w:t>
            </w:r>
          </w:p>
        </w:tc>
        <w:tc>
          <w:tcPr>
            <w:tcW w:w="8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15分</w:t>
            </w:r>
          </w:p>
        </w:tc>
        <w:tc>
          <w:tcPr>
            <w:tcW w:w="66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有严格合理的质量保证体系，对整个项目质量管理有具体的保障制度和措施，针对性强，能很好的保证项目质量，提供国家级出具检测报告得10-15分；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提供有较合理质量保证措施，质量保证及质量承诺符合项目需求，提供省级出具检测报告得5-9分；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提供相对简单的质量保证措施，没有针对性，提供市级检测报告得1-4分；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未提供质量保证措施及检测报告得0分。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385"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技术指标和配置</w:t>
            </w:r>
          </w:p>
        </w:tc>
        <w:tc>
          <w:tcPr>
            <w:tcW w:w="8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lang w:val="en-US" w:eastAsia="zh-CN"/>
              </w:rPr>
              <w:t>分</w:t>
            </w:r>
          </w:p>
        </w:tc>
        <w:tc>
          <w:tcPr>
            <w:tcW w:w="66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产品质量、性能满足设计及采购文件要求，产品性价比高，技术应答无偏离，返修率低；</w:t>
            </w:r>
            <w:r>
              <w:rPr>
                <w:rFonts w:hint="eastAsia" w:ascii="宋体" w:hAnsi="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lang w:val="en-US" w:eastAsia="zh-CN"/>
              </w:rPr>
              <w:t>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产品质量、性能基本满足设计及采购文件要求，产品性价比一般，技术应答基本无偏离，返修率低；</w:t>
            </w: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val="en-US" w:eastAsia="zh-CN"/>
              </w:rPr>
              <w:t>分。</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产品质量、性能差,产品性价比差，技术应答无偏离,但返修率高；0-</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385" w:type="dxa"/>
            <w:noWrap w:val="0"/>
            <w:vAlign w:val="top"/>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实施方案</w:t>
            </w:r>
          </w:p>
        </w:tc>
        <w:tc>
          <w:tcPr>
            <w:tcW w:w="8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10</w:t>
            </w:r>
          </w:p>
        </w:tc>
        <w:tc>
          <w:tcPr>
            <w:tcW w:w="6654" w:type="dxa"/>
            <w:noWrap w:val="0"/>
            <w:vAlign w:val="top"/>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实施方案的科学合理性，思路清晰度，内容全面度，切实可</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行度以及能够根据实际情况制定，满足采购人的需要，考虑</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问题周全，实施过程务实情况等（设备设施配置方案，供货</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方案，仓储设备设施等情况）；实施方案内容齐</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全且完全满足上述要求的得6-10分，实施方案内容一般且</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基本满足上述要求的得3-</w:t>
            </w:r>
            <w:r>
              <w:rPr>
                <w:rFonts w:hint="eastAsia" w:ascii="宋体"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val="en-US" w:eastAsia="zh-CN"/>
              </w:rPr>
              <w:t>分，实施方案内容不齐全且不能</w:t>
            </w:r>
          </w:p>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满足上述要求的得0-</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3"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385"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培训计划</w:t>
            </w:r>
          </w:p>
        </w:tc>
        <w:tc>
          <w:tcPr>
            <w:tcW w:w="8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val="en-US" w:eastAsia="zh-CN"/>
              </w:rPr>
              <w:t>分</w:t>
            </w:r>
          </w:p>
        </w:tc>
        <w:tc>
          <w:tcPr>
            <w:tcW w:w="6654"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供货方能保证用户单位完全掌握设备正常使用和基础维护，有完整的培训计划，措施具体得当，完全满足培训要求得</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val="en-US" w:eastAsia="zh-CN"/>
              </w:rPr>
              <w:t>分；基本满足培训要求得1-</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val="en-US" w:eastAsia="zh-CN"/>
              </w:rPr>
              <w:t>分；无培训或培训水平低不得分；</w:t>
            </w:r>
          </w:p>
        </w:tc>
      </w:tr>
    </w:tbl>
    <w:p>
      <w:pPr>
        <w:rPr>
          <w:rFonts w:hint="eastAsia" w:ascii="宋体" w:hAnsi="宋体" w:eastAsia="宋体" w:cs="宋体"/>
          <w:color w:val="auto"/>
          <w:lang w:val="en-US" w:eastAsia="zh-CN"/>
        </w:rPr>
      </w:pPr>
    </w:p>
    <w:p>
      <w:pPr>
        <w:rPr>
          <w:rFonts w:hint="eastAsia" w:ascii="宋体" w:hAnsi="宋体" w:eastAsia="宋体" w:cs="宋体"/>
          <w:b/>
          <w:bCs/>
          <w:color w:val="auto"/>
          <w:sz w:val="36"/>
          <w:szCs w:val="56"/>
        </w:rPr>
      </w:pPr>
    </w:p>
    <w:p>
      <w:pPr>
        <w:rPr>
          <w:rFonts w:hint="eastAsia" w:ascii="宋体" w:hAnsi="宋体" w:eastAsia="宋体" w:cs="宋体"/>
          <w:b/>
          <w:bCs/>
          <w:color w:val="auto"/>
          <w:sz w:val="36"/>
          <w:szCs w:val="56"/>
        </w:rPr>
      </w:pPr>
      <w:r>
        <w:rPr>
          <w:rFonts w:hint="eastAsia" w:ascii="宋体" w:hAnsi="宋体" w:eastAsia="宋体" w:cs="宋体"/>
          <w:b/>
          <w:bCs/>
          <w:color w:val="auto"/>
          <w:sz w:val="36"/>
          <w:szCs w:val="56"/>
        </w:rPr>
        <w:br w:type="page"/>
      </w:r>
    </w:p>
    <w:p>
      <w:pPr>
        <w:jc w:val="center"/>
        <w:rPr>
          <w:rFonts w:hint="eastAsia" w:ascii="宋体" w:hAnsi="宋体" w:eastAsia="宋体" w:cs="宋体"/>
          <w:b/>
          <w:bCs/>
          <w:color w:val="auto"/>
          <w:sz w:val="36"/>
          <w:szCs w:val="56"/>
        </w:rPr>
        <w:sectPr>
          <w:headerReference r:id="rId4" w:type="default"/>
          <w:footerReference r:id="rId5"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numPr>
          <w:ilvl w:val="0"/>
          <w:numId w:val="5"/>
        </w:numPr>
        <w:jc w:val="center"/>
        <w:rPr>
          <w:rFonts w:hint="eastAsia" w:ascii="宋体" w:hAnsi="宋体" w:eastAsia="宋体" w:cs="宋体"/>
          <w:b/>
          <w:bCs/>
          <w:color w:val="auto"/>
          <w:sz w:val="36"/>
          <w:szCs w:val="56"/>
        </w:rPr>
      </w:pPr>
      <w:r>
        <w:rPr>
          <w:rFonts w:hint="eastAsia" w:ascii="宋体" w:hAnsi="宋体" w:eastAsia="宋体" w:cs="宋体"/>
          <w:b/>
          <w:bCs/>
          <w:color w:val="auto"/>
          <w:sz w:val="36"/>
          <w:szCs w:val="56"/>
          <w:lang w:val="en-US" w:eastAsia="zh-CN"/>
        </w:rPr>
        <w:t xml:space="preserve"> </w:t>
      </w:r>
      <w:r>
        <w:rPr>
          <w:rFonts w:hint="eastAsia" w:ascii="宋体" w:hAnsi="宋体" w:eastAsia="宋体" w:cs="宋体"/>
          <w:b/>
          <w:bCs/>
          <w:color w:val="auto"/>
          <w:sz w:val="36"/>
          <w:szCs w:val="56"/>
        </w:rPr>
        <w:t>采购需求、技术参数、规格</w:t>
      </w:r>
      <w:bookmarkEnd w:id="72"/>
      <w:bookmarkEnd w:id="73"/>
      <w:bookmarkEnd w:id="74"/>
      <w:bookmarkEnd w:id="75"/>
      <w:bookmarkEnd w:id="76"/>
    </w:p>
    <w:p>
      <w:pPr>
        <w:widowControl w:val="0"/>
        <w:numPr>
          <w:ilvl w:val="0"/>
          <w:numId w:val="0"/>
        </w:numPr>
        <w:jc w:val="center"/>
        <w:rPr>
          <w:rFonts w:hint="eastAsia" w:ascii="宋体" w:hAnsi="宋体" w:eastAsia="宋体" w:cs="宋体"/>
          <w:b/>
          <w:bCs/>
          <w:color w:val="auto"/>
          <w:sz w:val="36"/>
          <w:szCs w:val="56"/>
        </w:rPr>
      </w:pPr>
    </w:p>
    <w:tbl>
      <w:tblPr>
        <w:tblStyle w:val="41"/>
        <w:tblW w:w="14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
        <w:gridCol w:w="605"/>
        <w:gridCol w:w="54"/>
        <w:gridCol w:w="1094"/>
        <w:gridCol w:w="466"/>
        <w:gridCol w:w="725"/>
        <w:gridCol w:w="675"/>
        <w:gridCol w:w="8100"/>
        <w:gridCol w:w="248"/>
        <w:gridCol w:w="698"/>
        <w:gridCol w:w="718"/>
        <w:gridCol w:w="698"/>
        <w:gridCol w:w="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5" w:hRule="atLeast"/>
        </w:trPr>
        <w:tc>
          <w:tcPr>
            <w:tcW w:w="14140" w:type="dxa"/>
            <w:gridSpan w:val="12"/>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28"/>
                <w:szCs w:val="28"/>
                <w:u w:val="none"/>
                <w:lang w:val="en-US" w:eastAsia="zh-CN" w:bidi="ar"/>
              </w:rPr>
              <w:t>1、策勒县津南小学办公用品采购计划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14140" w:type="dxa"/>
            <w:gridSpan w:val="12"/>
            <w:vMerge w:val="continue"/>
            <w:shd w:val="clear" w:color="auto" w:fill="auto"/>
            <w:vAlign w:val="center"/>
          </w:tcPr>
          <w:p>
            <w:pPr>
              <w:jc w:val="center"/>
              <w:rPr>
                <w:rFonts w:hint="eastAsia" w:ascii="宋体" w:hAnsi="宋体" w:eastAsia="宋体" w:cs="宋体"/>
                <w:b/>
                <w:bCs/>
                <w:i w:val="0"/>
                <w:iCs w:val="0"/>
                <w:color w:val="auto"/>
                <w:sz w:val="44"/>
                <w:szCs w:val="4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549" w:hRule="atLeast"/>
        </w:trPr>
        <w:tc>
          <w:tcPr>
            <w:tcW w:w="659"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序号</w:t>
            </w:r>
          </w:p>
        </w:tc>
        <w:tc>
          <w:tcPr>
            <w:tcW w:w="156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名称</w:t>
            </w:r>
          </w:p>
        </w:tc>
        <w:tc>
          <w:tcPr>
            <w:tcW w:w="7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单位</w:t>
            </w:r>
          </w:p>
        </w:tc>
        <w:tc>
          <w:tcPr>
            <w:tcW w:w="6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数量</w:t>
            </w:r>
          </w:p>
        </w:tc>
        <w:tc>
          <w:tcPr>
            <w:tcW w:w="81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 xml:space="preserve">       参数</w:t>
            </w:r>
          </w:p>
        </w:tc>
        <w:tc>
          <w:tcPr>
            <w:tcW w:w="2421"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1763" w:hRule="atLeast"/>
        </w:trPr>
        <w:tc>
          <w:tcPr>
            <w:tcW w:w="659"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1</w:t>
            </w:r>
          </w:p>
        </w:tc>
        <w:tc>
          <w:tcPr>
            <w:tcW w:w="156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触摸屏教学一体机（班班通）教学推拉黑板</w:t>
            </w:r>
          </w:p>
        </w:tc>
        <w:tc>
          <w:tcPr>
            <w:tcW w:w="7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台</w:t>
            </w:r>
          </w:p>
        </w:tc>
        <w:tc>
          <w:tcPr>
            <w:tcW w:w="6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10</w:t>
            </w:r>
          </w:p>
        </w:tc>
        <w:tc>
          <w:tcPr>
            <w:tcW w:w="8100"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硬件技术</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1.交互平板屏幕采用LED液晶屏；分辨率：3840(W)*2160(B);整机显示比例16:9；可视角度：178°;屏幕尺寸不小于75寸。玻璃厚度≤4mm，玻璃表面硬度≥8H，具备防眩光钢化玻璃。</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2.整机符合浪涌（冲击）抗扰度、静电放电抗扰度、射频电磁场辐射抗扰度、电快速瞬变脉冲群抗扰度、射频场感应的传导抗扰度等要求，确保整机使用安全。</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3.整机亮度不小于300cd/m2；对比度不小于3000:1；屏幕显示灰度分辨等级128灰阶以上，保证画面显示效果细腻。</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4.整机具备不少于1路侧置双通道USB接口，双系统USB接口支持Windows和Android双系统读取外接存储设备数据和识别展台信号。</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5.外接电脑设备通过机外Type-C线连接至整机Type-C口，可直接调用整机内置的摄像头、麦克风、扬声器，在外接电脑可拍摄教室画面。</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6.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7.整机采用红外触控技术，Windows下20点或以上触控， Android系统中10点或以上触控。</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8.为便于不同操作习惯的老师进行设备操作。需支持锁定屏幕触摸和整机前置按键，可通过遥控器、十指长按屏幕5秒、软件菜单实现该功能，也可通过前置面板的物理按键以组合按键的形式进行锁定/解锁。</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9.采用安全性外观设计，整机采用全金属外壳设计，边角采用弧形设计，表面无尖锐边缘或凸起。外部无任何可见内部功能模块的连接线。</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10.为保证老师可快速调用教学功能，设备需提供不少于6个前置功能性按键。包括开关机、音量大小等基础功能。</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11.整机Android系统版本不低于Android9.0，内存不低于2GB，存储空间不低于8GB。</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12.支持传屏功能，可以将外部电脑的屏幕画面通过无线方式传输到整机上显示。</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13.无PC状态下，嵌入式系统内置互动白板支持十笔书写及手掌擦除（手掌擦除面积根据手掌与屏幕的接触面大小自动调整），白板书写内容可导出PDF、IWB、SVG、ENB格式。支持10种以上平面图形工具，支持8种以上立体图形工具。</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14.嵌入式Android操作系统下，互动白板支持不同背景颜色，同时提供学科专用背景，如：五线谱、信纸、田字格、英文格、篮球和足球场地平面图。</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15.为防止学生操作设备进行无关教学的活动，设备需支持触摸锁定及按键锁定，锁定后无法随意自由操作，为防止学生私自解除触摸锁定功能，设备使用时需插入USB key、加密狗等形式进行解锁，拒绝通过前置按键直接解锁。</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16.为了方便教师快速录制课堂微课，交互平板前置物理按键，可通过此物理按键快速调用录屏功能，同步录制屏幕中的画面和声音，并自动保存成为标准格式视频，方便老师导出。</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17.智能一键式设计：仅使用一个物理按键即可完成整机（包括windows以及Android系统）的开机、关机、节能熄屏/唤醒功能。</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18.无需任何外置接线及设备外观凸起，设备自带800w像素以上，对角角度≥120度的内置摄像头和高清拾音麦克风，可进行二维码扫描识别，同时配合集控系统可实现教室远程巡课。</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19.为便于教师快速确定摄像头工作状态，要求摄像头需内置且无需任何外置接线及设备外观凸起。设备需具备摄像头工作指示灯，摄像头运行时，有指示灯提示。</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20.整机内置无线网络模块，PC模块无任何外接或转接天线、网卡可实现Wi-Fi无线上网连接和AP无线热点发射。</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21.Wi-Fi和AP热点均支持频段 2.4GHz/5GHz ，满足IEEE 802.11 a/b/g/n/ac/hz标准。Wi-Fi和AP热点工作距离≥12m。</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22.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23.为保证设备安全，降低设备维护难度，整机关机状态下，通过长按电源键进入设置界面后，可点击屏幕选择恢复整机系统及Windows操作系统到出厂默认状态，无需额外工具辅助。</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24.为保证信息安全，自带安全管控软件，支持对系统盘进行垃圾清理、大文件迁移，释放系统盘空间占用，提升设备运行速度。</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25.为保证安全管控软件不被误操作删除，安全软件具备自我保护系统，用户无法通过传统方法（卸载或者关闭程序）来终止其的运行，删除时，需要软件删除密码验证。从而保护管理员可有效的管控设备。</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26.为便于老师教学，产品桌面提供收纳显示教师教学常用的教学资源和教学应用入口，方便教师快速授课，支持最小化模式，不影响授课界面内容展示。</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二、电脑模块：</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1.处理器：Intel Core i5 及以上，内存≥8G DDR4 笔记本内存或以上配置，硬盘≥256G SSD 固态硬盘，采用抽拉内置式模块化电脑，抽拉内置式，PC模块可插入整机，可实现无单独接线的插拔。</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2.具有独立非外扩展的电脑USB接口：≥3路USB。≥1 路 HDMI ；</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3.按压式卡扣方式设计无需工具即可快速拆卸电脑模块，具有标准PC防盗锁孔，确保电脑模块安全防盗.</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三、教学白板软件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3.出于课件私密性考虑，教学软件须一体的信息化教学账号体系；根据教师账号信息将教师云空间匹配至对应学校、学科校本资源库。</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5.提供至少30种应用于文本、形状、图片等课件元素的触发动画，可对动画的设置触发条件、动画声效、动画时长、动画延迟和动画方向进行自定义设置。</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6.内置不少于40种符合教学需要的课件背景供教师直接使用，且教师可自定义课件背景。</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7.支持课件内所有的元素对象创建超链接，可链接到对象所在课件的相关页面、网页、文档等。</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8.为方便老时间课件的传阅，软件需支持互动教学课件支持定向精准分享：分享者可将互动课件、课件组精准推送至指定接收方账号云空间，接收方可在云空间接收并打开分享课件；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10.AI智能纠错：软件内置的AI智能语义分析模块，可对输入的英文文本的拼写、句型、语法进行错误检查，并支持一键纠错。</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13.出于方便教师快速定位讲解关键教学内容，软件需支持对音频、视频文件进行关键帧标记，可在音、视频进度条任意位置自由设置关键帧播放节点。</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14.为方便老师快速处理图片素材，需支持快捷抠图，无需借助专业图片处理软件，即可在白板软件中对导入的图片进行快捷抠图、去背景，处理后的图片主体边缘没有明显毛边，可导出保存成PNG/ENB格式。方便老师制作课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15.为更好的提升课堂互动性做到寓教于乐，软件需支持创建判断题竞赛游戏，教师可设置正确项／干扰项，让两组学生进行判断对错游戏竞争。提供简单、中等、困难难度及多种预设游戏背景模版，模版样式支持自定义修改。</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17.为方便老师讲解古诗词，需提供覆盖小学、初中、高中的古诗词、古文资源，包含原文、翻译、背景介绍、作者介绍、朗诵音频等。且对内容进行二次编辑 如：添加古诗词原文，更改翻译、背景介绍、作者介绍。便于输出特色性教学文案。</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19.为方便老师随时随地快速查看分享课件，白板软件具有手机app支持，老师可在手机白板app中快速接收分享课件并进行查看预览。</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学生管理软件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1.便于老师实时进行学生管理工作方便老师登录，支持通过数字账号、微信二维码、硬件密钥方式等三种以上登录方式登录教师个人账号。</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2.移动端支持教师/家长双重身份无缝切换，软件内可直接切换账户类型，无需安装多个APP应用或退出账号重新登录。</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4.为便于老师对学生的期末总结，帮助老师减负增效，软件需支持学期末自动生成评价功能，可根据日常评价自动生成学期末评价，供教师参考。</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5.学生成长统计档案支持导出excel格式的班级学生评价分数，也可以单个学生的形式导出pdf格式的成长档案。</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教师发展管理平台</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1.为便于管理者的日常管理，需支持管理者在网页中登录账号查看学校教师备授课情况。</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2.为便于老师进行对比提高，软件需可以根据数据自动分析，同比显示周、月总情况。</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3.为针对性的激励老师，具备自动排名的功能，根据老师备授课情况、家校互通情况进行排名。</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4.学校可通过网页平台建设校本资源库，老师可以上传白板课件，分享给全校老师。</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5.为提高听评课效率，平台内自带听课评课功能，教师可以通过平台快速评课。</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设备运维管理平台</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为便于学校进行设备管理，提供设备统一管理平台，Windows、Linux、Android、IOS等多种操作系统通过网页浏览器登陆操作，提供多种智能身份识别方式：支持通过账号登录、手机扫码登录等方式，方便用户使用。支持管理员移动端进行设备管理，免安装并支持Android、IOS等多种移动操作系统，便于远程管理及告警信息通知。</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2.管理平台可随时查看所有弹窗拦截的设备数和历史拦截的条数。管理平台可开启或关闭全校所有设备的弹窗拦截功能。管理平台可远程批量拦截弹窗，适用于所有关联本学校的交互智能设备。</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3.具备设备移动管理平台：</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提供免安装且兼容Android、IOS等主流移动终端的移动管理平台，无需反复登录移动浏览器，可实时查看开机设备数、关机设备数等信息化运行数据。</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移动管理平台可对已连接的交互智能设备进行实时关机、开机和重启操作</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移动管理平台可实时监测已连接的交互智能设备，远程查看设备的开关机状态、CPU温度、CPU使用率、开机时间等设备详情。</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移动管理平台可查看已连接设备运行异常数据，异常类型包含温度过高、CPU占用率过高、待机时间过长等，支持按年级筛选查看设备异常数据并对异常设备进行管控。</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交互智能设备发生异常时，移动管理平台自动发送异常信息提醒管理员ADMINWB</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培训要求</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1.培训目标：通过培训，切实提高全体教师的信息化教学应用能力，了解交互式教学的基本特征，掌握交互式课件制作的基本方法，掌握信息时代的学生评价与管理方法。</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2.培训方式：录播视频+音频视频+学习服务，以慕课、互动交流、案例剖析为主要方式的网络研修</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3.培训涵盖包含13个单元，69节线上课程，按天进行课程计划拆分；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4.培训涵盖包含12次在线考试，按天进行考试计划拆分；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5.课程以交互式课件制作为核心，通过专家引领，针对全国优秀课件案例进行深度解读及学习，围绕“交互式课件制作进阶技巧及课件美化，资源搜索力提升”等主题开展全区教师信息化教学应用融合专题研修；</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6.培训课程需落地务实，实践性课程比例60%；</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7.培训过程中需有专人全程在群内进行答疑，保证培训过程的顺利进行；</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 xml:space="preserve">8.培训工具账号须与培训平台账号及管理平台账号实现统一身份认证。 </w:t>
            </w:r>
          </w:p>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16.为了方便教师快速录制课堂微课，交互平板前置物理按键，可通过此物理按键快速调用录屏功能，同步录制屏幕中的画面和声音，并自动保存成为标准格式视频，方便老师导出。</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17.智能一键式设计：仅使用一个物理按键即可完成整机（包括windows以及Android系统）的开机、关机、节能熄屏/唤醒功能。</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18.无需任何外置接线及设备外观凸起，设备自带800w像素以上，对角角度≥120度的内置摄像头和高清拾音麦克风，可进行二维码扫描识别，同时配合集控系统可实现教室远程巡课。</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19.为便于教师快速确定摄像头工作状态，要求摄像头需内置且无需任何外置接线及设备外观凸起。设备需具备摄像头工作指示灯，摄像头运行时，有指示灯提示。</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20.整机内置无线网络模块，PC模块无任何外接或转接天线、网卡可实现Wi-Fi无线上网连接和AP无线热点发射。</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21.Wi-Fi和AP热点均支持频段 2.4GHz/5GHz ，满足IEEE 802.11 a/b/g/n/ac/hz标准。Wi-Fi和AP热点工作距离≥12m。</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22.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23.为保证设备安全，降低设备维护难度，整机关机状态下，通过长按电源键进入设置界面后，可点击屏幕选择恢复整机系统及Windows操作系统到出厂默认状态，无需额外工具辅助。</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24.为保证信息安全，自带安全管控软件，支持对系统盘进行垃圾清理、大文件迁移，释放系统盘空间占用，提升设备运行速度。</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25.为保证安全管控软件不被误操作删除，安全软件具备自我保护系统，用户无法通过传统方法（卸载或者关闭程序）来终止其的运行，删除时，需要软件删除密码验证。从而保护管理员可有效的管控设备。</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26.为便于老师教学，产品桌面提供收纳显示教师教学常用的教学资源和教学应用入口，方便教师快速授课，支持最小化模式，不影响授课界面内容展示。1.处理器：Intel Core i5 及以上，内存≥8G DDR4 笔记本内存或以上配置，硬盘≥256G SSD 固态硬盘，采用抽拉内置式模块化电脑，抽拉内置式，PC模块可插入整机，可实现无单独接线的插拔。</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2.具有独立非外扩展的电脑USB接口：≥3路USB。≥1 路 HDMI ；</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3.按压式卡扣方式设计无需工具即可快速拆卸电脑模块，具有标准PC防盗锁孔，确保电脑模块安全防盗.</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三、教学白板软件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3.出于课件私密性考虑，教学软件须一体的信息化教学账号体系；根据教师账号信息将教师云空间匹配至对应学校、学科校本资源库。</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5.提供至少30种应用于文本、形状、图片等课件元素的触发动画，可对动画的设置触发条件、动画声效、动画时长、动画延迟和动画方向进行自定义设置。</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6.内置不少于40种符合教学需要的课件背景供教师直接使用，且教师可自定义课件背景。</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7.支持课件内所有的元素对象创建超链接，可链接到对象所在课件的相关页面、网页、文档等。</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8.为方便老时间课件的传阅，软件需支持互动教学课件支持定向精准分享：分享者可将互动课件、课件组精准推送至指定接收方账号云空间，接收方可在云空间接收并打开分享课件；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10.AI智能纠错：软件内置的AI智能语义分析模块，可对输入的英文文本的拼写、句型、语法进行错误检查，并支持一键纠错。</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12.为方便老师利用软件互动功能在原有PPT基础上修改课件，需支持用户在软件中打开pptx格式文件，且用户可在软件中自由编辑原文件中的图片、文字、表格等元素，并支持修改原文件中的动画。</w:t>
            </w:r>
          </w:p>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drawing>
                <wp:anchor distT="0" distB="0" distL="114300" distR="114300" simplePos="0" relativeHeight="251665408" behindDoc="0" locked="0" layoutInCell="1" allowOverlap="1">
                  <wp:simplePos x="0" y="0"/>
                  <wp:positionH relativeFrom="column">
                    <wp:posOffset>5238750</wp:posOffset>
                  </wp:positionH>
                  <wp:positionV relativeFrom="paragraph">
                    <wp:posOffset>278765</wp:posOffset>
                  </wp:positionV>
                  <wp:extent cx="1298575" cy="1334135"/>
                  <wp:effectExtent l="0" t="0" r="15875" b="1841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5"/>
                          <a:stretch>
                            <a:fillRect/>
                          </a:stretch>
                        </pic:blipFill>
                        <pic:spPr>
                          <a:xfrm>
                            <a:off x="0" y="0"/>
                            <a:ext cx="1298575" cy="1334135"/>
                          </a:xfrm>
                          <a:prstGeom prst="rect">
                            <a:avLst/>
                          </a:prstGeom>
                          <a:noFill/>
                          <a:ln>
                            <a:noFill/>
                          </a:ln>
                        </pic:spPr>
                      </pic:pic>
                    </a:graphicData>
                  </a:graphic>
                </wp:anchor>
              </w:drawing>
            </w:r>
            <w:r>
              <w:rPr>
                <w:rFonts w:hint="eastAsia" w:ascii="宋体" w:hAnsi="宋体" w:eastAsia="宋体" w:cs="宋体"/>
                <w:b w:val="0"/>
                <w:bCs w:val="0"/>
                <w:i w:val="0"/>
                <w:iCs w:val="0"/>
                <w:color w:val="auto"/>
                <w:sz w:val="18"/>
                <w:szCs w:val="18"/>
                <w:u w:val="none"/>
                <w:lang w:val="en-US" w:eastAsia="zh-CN"/>
              </w:rPr>
              <w:t>3.出于课件私密性考虑，教学软件须一体的信息化教学账号体系；根据教师账号信息将教师云空间匹配至对应学校、学科校本资源库。</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5.提供至少30种应用于文本、形状、图片等课件元素的触发动画，可对动画的设置触发条件、动画声效、动画时长、动画延迟和动画方向进行自定义设置。</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6.内置不少于40种符合教学需要的课件背景供教师直接使用，且教师可自定义课件背景。</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7.支持课件内所有的元素对象创建超链接，可链接到对象所在课件的相关页面、网页、文档等。</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8.为方便老时间课件的传阅，软件需支持互动教学课件支持定向精准分享：分享者可将互动课件、课件组精准推送至指定接收方账号云空间，接收方可在云空间接收并打开分享课件；</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10.AI智能纠错：软件内置的AI智能语义分析模块，可对输入的英文文本的拼写、句型、语法进行错误检查，并支持一键纠错。</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eastAsia="宋体" w:cs="宋体"/>
                <w:b w:val="0"/>
                <w:bCs w:val="0"/>
                <w:i w:val="0"/>
                <w:iCs w:val="0"/>
                <w:color w:val="auto"/>
                <w:sz w:val="18"/>
                <w:szCs w:val="18"/>
                <w:u w:val="none"/>
                <w:lang w:val="en-US" w:eastAsia="zh-CN"/>
              </w:rPr>
              <w:t>12.为方便老师利用软件互动功能在原有PPT基础上修改课件，需支持用户在软件中打开pptx格式文件，且用户可在软件中自由编辑原文件中的图片、文字、表格等元素，并支持修改原文件中的动画。</w:t>
            </w:r>
          </w:p>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 xml:space="preserve">一、外形尺寸：约4000mm*1200mm。二、产品结构：内外双层结构，根据所配一体机适当调整。三、边框：外框铝型材正面尺寸≥53mm，壁厚约1.0mm,工业铝型材。耐腐蚀、耐磨性达到GB/T5237-2008标准。内框铝型材正面尺寸≥25mm,壁厚约0.6mm，工业铝型材，耐腐蚀、耐磨性达到GB/T5237-2008标准。四、书写板面：采用厚度约为0.27mm 高档墨绿色金属烤漆书写板，表面细致光洁，书写流畅，抗撞击、磨损、刮擦、不褪色，使用寿命10 年以上。五、采用环保型双组份聚氨酯胶水，自动化流水线覆板作业，确保粘接牢固板面平整，甲醛释放量≤0.2mg/L，符合GB/T 28231-2011《书写板安全卫生要求》。六、夹层：采用高密度聚苯乙烯板做夹层，厚度≥15mm，面层平整，无折痕，不变形，吸音强且环保，书写无噪音。七、背板：采用高档优质镀锌板，厚度≥0.27mm，板面平整，镀层牢固、光滑而均匀。八、外框四角与绿板四角采用ABS工程塑料，模具一次成型，抗冲击力强。九、整套书写板的两端装置固定挡板，并设有滑动缓冲胶垫，缓解滑动发出的噪音以及强烈碰撞造成的损坏。配置带拉手的高档锌合金镶嵌式钩锁。十、滑轨与外框整体成型，具备独立、隐形的特点。滑轮采用隐形安装、传动，不露一根螺钉。滑轮后置，隔离滑轮与粉笔灰的接触面，杜绝长期使用后，因粉笔灰沉积导致书写板推拉困难，杜绝滑轮脱轨。 </w:t>
            </w:r>
          </w:p>
        </w:tc>
        <w:tc>
          <w:tcPr>
            <w:tcW w:w="2421"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563" w:hRule="atLeast"/>
        </w:trPr>
        <w:tc>
          <w:tcPr>
            <w:tcW w:w="659"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2</w:t>
            </w:r>
          </w:p>
        </w:tc>
        <w:tc>
          <w:tcPr>
            <w:tcW w:w="1560"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教师讲台</w:t>
            </w:r>
          </w:p>
        </w:tc>
        <w:tc>
          <w:tcPr>
            <w:tcW w:w="72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个</w:t>
            </w:r>
          </w:p>
        </w:tc>
        <w:tc>
          <w:tcPr>
            <w:tcW w:w="67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50</w:t>
            </w:r>
          </w:p>
        </w:tc>
        <w:tc>
          <w:tcPr>
            <w:tcW w:w="8100"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多媒体讲台钢制 木面款 1000*700*1000</w:t>
            </w:r>
          </w:p>
        </w:tc>
        <w:tc>
          <w:tcPr>
            <w:tcW w:w="2421" w:type="dxa"/>
            <w:gridSpan w:val="5"/>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797" w:hRule="atLeast"/>
        </w:trPr>
        <w:tc>
          <w:tcPr>
            <w:tcW w:w="659"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3</w:t>
            </w:r>
          </w:p>
        </w:tc>
        <w:tc>
          <w:tcPr>
            <w:tcW w:w="156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大型开水器饮水机</w:t>
            </w:r>
          </w:p>
        </w:tc>
        <w:tc>
          <w:tcPr>
            <w:tcW w:w="72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台</w:t>
            </w:r>
          </w:p>
        </w:tc>
        <w:tc>
          <w:tcPr>
            <w:tcW w:w="67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4</w:t>
            </w:r>
          </w:p>
        </w:tc>
        <w:tc>
          <w:tcPr>
            <w:tcW w:w="8100"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default" w:ascii="宋体" w:hAnsi="宋体" w:eastAsia="宋体" w:cs="宋体"/>
                <w:b w:val="0"/>
                <w:bCs w:val="0"/>
                <w:i w:val="0"/>
                <w:iCs w:val="0"/>
                <w:color w:val="auto"/>
                <w:sz w:val="18"/>
                <w:szCs w:val="18"/>
                <w:u w:val="none"/>
                <w:lang w:val="en-US" w:eastAsia="zh-CN"/>
              </w:rPr>
              <w:t>直饮机商用净水器直饮水机大型开水器五级RO反渗透公司学校用加热直饮一体机 两开一温</w:t>
            </w:r>
          </w:p>
        </w:tc>
        <w:tc>
          <w:tcPr>
            <w:tcW w:w="2421" w:type="dxa"/>
            <w:gridSpan w:val="5"/>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801" w:hRule="atLeast"/>
        </w:trPr>
        <w:tc>
          <w:tcPr>
            <w:tcW w:w="659"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4</w:t>
            </w:r>
          </w:p>
        </w:tc>
        <w:tc>
          <w:tcPr>
            <w:tcW w:w="156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窗帘</w:t>
            </w:r>
          </w:p>
        </w:tc>
        <w:tc>
          <w:tcPr>
            <w:tcW w:w="72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米</w:t>
            </w:r>
          </w:p>
        </w:tc>
        <w:tc>
          <w:tcPr>
            <w:tcW w:w="67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200</w:t>
            </w:r>
          </w:p>
        </w:tc>
        <w:tc>
          <w:tcPr>
            <w:tcW w:w="81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高2.4米，适合学校（包括安装及其他挂件）</w:t>
            </w:r>
          </w:p>
        </w:tc>
        <w:tc>
          <w:tcPr>
            <w:tcW w:w="2421" w:type="dxa"/>
            <w:gridSpan w:val="5"/>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312" w:hRule="atLeast"/>
          <w:jc w:val="center"/>
        </w:trPr>
        <w:tc>
          <w:tcPr>
            <w:tcW w:w="14174" w:type="dxa"/>
            <w:gridSpan w:val="12"/>
            <w:vMerge w:val="restart"/>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bookmarkStart w:id="77" w:name="_Toc19312"/>
            <w:bookmarkStart w:id="78" w:name="_Toc18832"/>
            <w:bookmarkStart w:id="79" w:name="_Toc20061"/>
            <w:bookmarkStart w:id="80" w:name="_Toc25254"/>
            <w:bookmarkStart w:id="81" w:name="_Toc13536"/>
            <w:bookmarkStart w:id="82" w:name="_Toc26060"/>
            <w:bookmarkStart w:id="83" w:name="_Toc7241"/>
            <w:bookmarkStart w:id="84" w:name="_Toc700"/>
            <w:bookmarkStart w:id="85" w:name="_Toc28817"/>
            <w:bookmarkStart w:id="86" w:name="_Toc19723"/>
            <w:bookmarkStart w:id="87" w:name="_Toc11973"/>
            <w:bookmarkStart w:id="88" w:name="_Toc24194"/>
            <w:bookmarkStart w:id="89" w:name="_Toc32237"/>
            <w:r>
              <w:rPr>
                <w:rFonts w:hint="eastAsia" w:ascii="宋体" w:hAnsi="宋体" w:eastAsia="宋体" w:cs="宋体"/>
                <w:b/>
                <w:bCs/>
                <w:i w:val="0"/>
                <w:iCs w:val="0"/>
                <w:color w:val="auto"/>
                <w:kern w:val="0"/>
                <w:sz w:val="44"/>
                <w:szCs w:val="44"/>
                <w:u w:val="none"/>
                <w:lang w:val="en-US" w:eastAsia="zh-CN" w:bidi="ar"/>
              </w:rPr>
              <w:t>2、策勒县津南小学会议室设备采购计划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312" w:hRule="atLeast"/>
          <w:jc w:val="center"/>
        </w:trPr>
        <w:tc>
          <w:tcPr>
            <w:tcW w:w="14174" w:type="dxa"/>
            <w:gridSpan w:val="12"/>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b/>
                <w:bCs/>
                <w:i w:val="0"/>
                <w:iCs w:val="0"/>
                <w:color w:val="auto"/>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       参数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会议桌</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条桌，实木木皮油漆桌1.2米，带两把靠背椅子。</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会议桌领导席（桌椅）</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会议桌主席台条形领导桌培训台椅油漆，发言台实木演讲台 1.8*0.6*0.75m配(三人座椅)</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发言席</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发言席，讲台实木，60.49.113mm</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线阵吊架</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重型顶部吊架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只</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10寸专业音响</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系统类型  System type  10”二分频全频音箱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频率响应  Frequency  55Hz-20kHz±3dB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灵敏度     Sensitivity  102dB/1W/1M@±2dB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额定功率  Power Rating  215W/8Ω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峰值功率  Peak Power  430W/8Ω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高音单元  Tweeter Unit  1.36”×1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低音单元  Woofer Unit  10”×1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声压级     SPL  109dB Continuous  115dB Peak</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连接器     Cannon Plug  NL4 x 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箱体材料  Box materials  18mm/BB级板材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表面处理  Protective Finish  黑色浮点耐磨喷漆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指向性     Directivity  90 X 60(Deg)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尺寸        Dimension(WHD)  318×509×320(mm)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净重        Weight  19Kg</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只</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音响壁架</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全铁加厚型支架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专业功放</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额定功率：立体声/并接模式，2X400W/8Ω.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立体声/并接模式，2X550W/4Ω.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总谐波失真:1KHZ＜0.08%.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互调失真:60HZ/7HZ 4 ：1＜0.05%.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频率响应:20-20KHZ＜±0.1dB.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信噪比:单通道工作，8Ω负载A计权＞98dB.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阻尼系数:单通道工作，8Ω负载400HZ ≥280.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转换速率:单通道工作，8Ω负载10HZ方波 ≥30V/us.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输入灵敏度:单通道工作，8Ω负载 0.775V.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输入阻抗:正常工作条件，1HZ20Kohms 平衡输入，10Kohms 非平衡输入,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最低负载阻抗:单通道工作 ＞4Ω.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输入接口:XLR卡侬公/XLR卡侬母.</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输出接口:卡侬/接线柱.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保护模式:过热，过载，欠压，输出直流.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机身尺寸:485x430x88mm.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机身重量:12kg,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电源要求:～190V－240V 50/60HZ,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消耗功率（满功率）:1200W.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环境温度:工作温度：-10℃-40℃，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储存温度：-25℃-80℃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12路调音台</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话筒输入：electronically</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balanced. discrete input configurat on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频带宽度：10Hz to 60kHz±3dB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失真度： 0.01% at+4dBu,1kHz,Bandwudth 80kHz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话筒频晌：-129.5dBu, 150 0hm source</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-117.3dBu, 150 0hm source</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-132.0dBu, input shorted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-122.0dBu, input shorted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增益范围：+10dB to 60dB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线路输入：electronically balanced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线路增益：+10dBu to 4dBu</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均衡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高音： 12KHz ±15dB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中音： 2.5KHz ±15da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低音： 80Hz ±15dB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圭输出最大输出+22dBu balanced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辅助输出：+22dBu unbalanced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监听输出：+22dBu unbalanced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信噪比： +112dB. all channels at Unity Gain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电源电压：AC120V 60Hz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AC240V 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AC220V 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通道 Channel：12 Mono</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通道均衡 Channel EQ：3 Band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辅助输出 AUX：1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返回 Return：1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效果器 Effects：16DSP</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主控均衡 Main EQ：--</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主输出 Main Out：Stereo</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编组输出 Groups：--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幻象电源 Phantom Power：48VDC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功放输出 Power Output：--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USB Player：YES</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有线鹅颈话筒</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 主要指标、性能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换能方式：电容式     频率响应：100~16000Hz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输出阻抗：2KΩ        指向性：超心型指向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灵敏度：  -34dB      供电电源：DC3.7V(锂电池)/DC48V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二、使用方法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1、按麦克风电池室“+”  “-”标志，正确安装好电池和安上音频输出线。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2、先将功放机音量旋钮控制在“0”位置，然后开启功放机和会议麦克风电源开关，再慢慢调功放机音量，直至音量达到最佳效果为止。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3、使用48V时，将6.5转换插咀除下，把音频线直接连接在48V供电设备上。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 音头最佳拾音效果在距离音头30cm，授话时请与音头保持在20cm~60cm之间。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 话筒开启关闭是触摸式的,开启状态带有蓝色显示图标。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 话筒带有TYPE-C母座实现18650电池充电模式。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三、 注意事项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 不要将麦克风的音头对着喇叭，以免产生啸叫。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 不要将音量调放过大，以免产生回啸。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麦克风如短时间内不使用，请将电池除下，以免电池液腐蚀机件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一拖二手持话筒</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接收机技术参数：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频率范围：640-690MHz  737－800MHz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邻道选择性:±300 kHz&gt;45dB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频率稳定度：10ppm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接收灵敏度：-100dBm(S+N)/N = 26 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频率响应：50Hz-15KHz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音频输出：150mV(RMS)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信噪比：&gt;85dB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电源：DC12V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工作电流：300MA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发射器技术参数：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频率范围：640-690MHz  737－800MHz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频率稳定度：10ppm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发射功率：+13dBm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谐波抑制：&gt;45dB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调制方式：FM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最大调制度：75K</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工作电压：3V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工作电流：110mA </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953"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电源时序器</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有屏2座空气开关每路独立开关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●有空气开关保护，遇到短路，过流现象自动断开电源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●每路具有独立开关控制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●共十路可控八路电源输出，每路可达30A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●可控输出延时时间为1S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●同时按下1 3 5键可锁住面板防误触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 面板颜色：铁银色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2 电力输入条件(单相3线)：AC90-260V 50-60HZ两相（三线：零，火，地）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3 通道数量：8路万用插座继电器受控与2路万用插座直接输出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4 继电器受控输出最大承受单路功率/总功率(无功功率）：5000W/8000W最大承受无功功率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5 输出电源插座规格：阻燃ABS材料，最大可承受13A电流黄铜材质，标准万用插座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6 功能特点功能特点：1.顺序开启逆序关闭 2.精准电压显示 3.过流保护 4.面板通道独立关闭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7 每路开关间隔时间/定时时间：默认1秒</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8 输出继电器触点电流：30A 277VAC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9 电路板规格：双面纤维板，主电源走线二次加厚加粗处理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 供电规格：内置开关电源，适用全球电压AC90-260V 50-60HZ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 主电缆线规格：3*2.5平方电缆线，总长度为1.5米（配电源输入插头）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 开启类型：自复位型开关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 单路独立开关功能：支持面板独立控制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 功能显示电压显示表类型：红色数码管显示电压表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 电源净化功能（EMI专业电网滤波器）：无（可选配单独或每路带滤波器）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 短路过流保护断路器配置：断路器零，火线控制，过流保护,（63A短路保护)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 机身尺寸：长482MM * 宽185MM * 高44MM（非标准1U）</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 单机包装尺寸：长555MM * 宽255MM * 高85MM(美牛硬纸盒）毛重：2.9KG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19 总重量与外包装尺寸：1件5台装共16KG，外包装尺寸：长257*宽85*高555mm</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机柜</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木质金属包角包边,二个万向轮方便移动及卫生清洁;整洁的同时又保护产品及效果调节的稳定和安全;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9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卡侬公母线</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卡侬公母线，1米</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条</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会议室空调</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空调 新三级能效 变频冷暖 自清洁 大风量 除湿 圆柱立式柜机 3匹 KFR-72LW/NhGi3Bt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天线放大器</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P-980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输入阻抗( lnput Impedance)：50Ω   输出阻抗( Output Impedance)：50Ω 天线输入插座(Antenna input Plug)：BNC   天线输出插座(Antenna Output Plug)：BNC  增益(Antenna Gain)：3dB、12dB   带宽(Band Width)：500MHz  供电(Power Supply)：DC9V    重量(Weight)：150g    尺寸(Size)：25mm*45mm*75mm</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纯后级功放</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产品用途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◆单通道大功率的纯后级功率放大器；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◆为广播系统提供区域功率放大，适用于较大区域范围的广播扩声。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产品特点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◆标准机柜式设计（3U），人性化的设计，考究的工艺，尽显高档气质；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◆1通道LINE不平衡TRS输入，1通道LINE不平衡TRS级联输出；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◆1通道LINE平衡XLR输入，1通道LINE平衡XLR级联输出；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◆面板带音量调节旋钮；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◆产品具有良好的短路、过载、过热等自我保护；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◆2种功率输出方式：定压输出100V、240V和定阻输出4～16Ω。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技术参数: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◆额定输出功率：1200W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◆扬声器输出：240V, 100V &amp; 4～16Ω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◆输入灵敏度 &amp;输入阻抗：775mV/10KΩ, 平衡 XLR/TRS接口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◆输出灵敏度 &amp; 输出源阻抗：775mV/470Ω, 平衡 XLR 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◆频率响应：50Hz～16KHz(+1dB, -3dB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◆信噪比：&gt;90dB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◆总谐波失真：1KHz时0.5%, 1/3 输出功率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◆散热：由前往后强制风冷，散热器温度45度时启动内置风扇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◆保护：过热, 过载&amp;短路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◆电源：～220V/50Hz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◆尺寸：482×500×140mm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◆包装尺寸：590*560*240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◆产品重量：28KG 2000W:33KG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◆材质：铝面板，SPCC冷轧板材质机箱</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防水全铝合金音柱</w:t>
            </w:r>
          </w:p>
        </w:tc>
        <w:tc>
          <w:tcPr>
            <w:tcW w:w="10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★全天候设计，防水外壳，选用防水单元，室内外均宜，寿命长，声音清晰、明亮；配有安装支架，安装便捷；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★额定功率：160W，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★输入电压：70-100V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★灵敏度(1m,1W)：92dB；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★最大声压级(1m)：110dB；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★频响：80-16,000Hz；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★尺寸（H×W×L）：1400×210×140mm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★喇叭单元：6.5寸（100磁，玻纤盆）*6+强磁远程号角*2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★重量：净重13.7KG 整件重量：57KG</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只</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114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纯后级功放</w:t>
            </w:r>
          </w:p>
        </w:tc>
        <w:tc>
          <w:tcPr>
            <w:tcW w:w="10214"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1.标准机箱设计，3U铝合金面板，拉手+挂耳一体式设计，适用于机柜或桌面安装。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2.专业噪声门控制输出信号，保证背景音乐的静噪。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3.一个MP3总音量调节旋钮，统一控制MP3音量，两段参量均衡调节旋钮，用于调节高低音改善音质。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4.每路线路输入音量、每路话筒音量均有独立调节旋钮控制音量大小。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5.带MP3播放器，可播放U盘、SD卡内的音频节目，最大可支持32G，带蓝牙功能。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6.带FM收音功能，可接收频率88-108MHz电台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7.5路音源输入，其中3路标准线路输入接口，3路标准话筒输入接口。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8.1路音源输出，可环接至下一台功放音频输入接口。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9.MIC1具最高优先权，信号输入时自动默音，结型FET进行优先级转换，保证在默音过程中信号不失真。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10.可分别控制五路分区音量大小，每分区五档可调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11.240V定压输出，4-16Ω定阻输出，CH1-CH5 五路分区100V定压输出。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12.工作状态实时指示灯，3个信号指示，1个保护指示，1个失真指示，1个电源指示。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13.线路安全工作区保护，保证输出负载在短路、过载等任何恶劣环境下安全工作。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14.完善的温度保护功能，当机器温度升高时，温度伺服电路会加速风扇，风扇工作噪音低。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15.峰值负反馈保护，当信号出现失真、冲击、或线电压严重过压时，能有效地对功放进行保护。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16.综合交叉音色补偿电路，对线间变压器所造成的高频损失进行修正，使线电压上的信号频谱曲线平直，音色优美。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17.高倍频程低音切除电路，采用带音色补偿的低切技术，在不损失音质的情况下去除有安全隐患的超低频成份，保证升压系统安全工作。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18.额定功率：1500W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19.输出方式：70V，100V，4-16Ω，CH1-CH5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20.输入灵敏度/阻抗：MIC1，2,3，5mV/600Ω，不平衡TS端子输入。AUX1，2，3：350mV/10KΩ，不平衡RCA端子输入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21.输出灵敏度/阻抗：1000mV/470Ω，不平衡TS端子输出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22.过载源电动势：MIC1，2，3：&gt;12dB，不平衡TRS端子输入。AUX1，2，3：&gt;20dB，不平衡RCA端子输入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23.音调(低音)：±10dB @100Hz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24.音调(高音)：±10dB @10KHz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25.频率响应：50-16KHz(+1dB,-3dB)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26.信噪比：MIC1，2：66dB。AUX1，2，3：80dB                                                                                                                                                                               27.总谐波失真：1KHz时0.5%，1/3输出功率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28.默音功能：MIC1优先其他通道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29.通道串音衰减：≤50dB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30.散热：由前往后强制风冷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31.保护：过热，过载&amp;短路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32.电源：AC 220V/50Hz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33.重量：28Kg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34.尺寸(W×H×D)：482*515*145mmMM</w:t>
            </w:r>
          </w:p>
        </w:tc>
        <w:tc>
          <w:tcPr>
            <w:tcW w:w="6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69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0" w:hRule="atLeast"/>
          <w:jc w:val="center"/>
        </w:trPr>
        <w:tc>
          <w:tcPr>
            <w:tcW w:w="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11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防水全铝合金音柱</w:t>
            </w:r>
          </w:p>
        </w:tc>
        <w:tc>
          <w:tcPr>
            <w:tcW w:w="102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★全天候设计，防水外壳，选用防水单元，室内外均宜，寿命长，声音清晰、明亮；配有安装支架，安装便捷；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★额定功率：120W，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★输入电压：70-100V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★灵敏度(1m,1W)：92dB；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★最大声压级(1m)：110dB；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★频响：80-16,000Hz；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★尺寸（H×W×L）：1200×210×140mm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★喇叭单元：6.5寸（100磁，玻纤盆）*5+强磁远程号角*1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★重量：净重11.2KG 整件重量47KG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★防护等级：IP56防水</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只</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1821" w:hRule="atLeast"/>
          <w:jc w:val="center"/>
        </w:trPr>
        <w:tc>
          <w:tcPr>
            <w:tcW w:w="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11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会议室显示LED屏</w:t>
            </w:r>
          </w:p>
        </w:tc>
        <w:tc>
          <w:tcPr>
            <w:tcW w:w="102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1.像素点间距 2±0.05mm .提供LED显示屏生产厂家针对本项目的授权书和售后服务承诺书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2.结构   LED显示屏显示部分结构可采用钢、铝、镀锌方管、塑料等材料，结构安全坚固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3.外观   LED显示屏的外表面无明显划痕，LED显示屏模组安装应一致，无松动无破裂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4.工作电压  在4.2×(1±10%）VDC范围内能正常工作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5.工作环境  -20℃~50℃条件下能正常工作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6.材质 套件采用采用聚碳酸酯和玻璃纤维材质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7.系统调节功能 可通过系统调节参数影响显示效果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8.像素密度  单元大小为320mm×160mm的像素密度为12800点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9.动态扫描 采用行驱动芯片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10像素组成 1R、1G、1B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11支持亮度调节功能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12、支持亮度校正、色度校正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13、驱动芯片功能 具有列下消隐功能、倍频刷新率提升、低灰偏色改善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14、支持鬼影消除、暗亮线消除、慢速开启、十字架消除、毛毛虫消除、亮度缓慢变亮功能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15、功能  显示单元均可独立控制，单点故障不影响整屏使用，单元支持带电热插拔；单元板支持前、后维护；系统、电源支持前、后维护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★16、防伪功能 具备logo、产品型号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17、支持联网一键下载程序文件和调试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18、支持亮暗线拼缝调节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19、整屏平整度 ≤0.1mm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★20、模组平整度 ≤0.04mm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★21、拼接缝  ≤0.04mm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22、最高对比度 ≥6000:1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23、水平视角 ≥140°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24、垂直视角 ≥130°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25亮度 ≥450cd/㎡ 亮度均匀性 ＞0.95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26、刷新率 1920Hz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27、最大功耗 ≤350W/m2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28、像素中心距精确度 ≤3%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29、像素失控率 &lt;0.01%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30、灰度级数（信号处理深度） 采用16bit技术</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★31、色温  3000K~18000K可调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32、色度均匀性 ±0.002Cx、Cy内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33、低亮高灰  亮度为20%时信号处理深度（灰度级数）达到14bit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34、采用恒流设计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35、换帧频率  60Hz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36、宽色域  测试NTSC色域110.5%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37、平均功耗 ≤150W/m2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38、色度均匀性 -0.003＜Cx＜0.003，-0.003＜Cy＜0.003（校正后）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39、反光率  ≤1.5%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40、衰减率  ≤10%（工作3年）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41、图像质量 LED显示屏图像质量主观评价优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42、防护性能 具有防静电、防电磁干扰、喷三防漆防潮、防腐蚀、防虫、抗震动、抗雷击等功能；具有电源过压、过流、断电保护、分布上电措施、防护等级达到IP50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43、连续工作时间   连续工作时间：≥7×24hrs，支持连续不间断显示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44、使用寿命 ≥100000h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45、屏幕温升 最高亮度（白平衡）持续工作4小时，模组表面温升小于20K</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46、高温负荷工作 样品状态：通电工作,试验温度：80℃,试验时间：12h;试验结束后，产品正常工作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47、低温负荷工作 样品状态：通电工作,试验温度：-40℃,试验时间：12h;试验结束后，产品正常工作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48、高温存储  样品放入试验箱中，试验箱内温度80℃，存放48h，无异常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49、低温存储  样品放入试验箱中，试验箱内温度-40℃，存放48h，无异常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50、恒定湿热  样品状态：通电工作,试验温度：85℃,相对湿度：85%,试验时间：168h;试验结束后，产品正常工作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51、湿热负载  LED显示屏最高工作环境温度下，相对湿度87%-93%，通电工作12h;试验结束后，产品正常工作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52、盐雾等级 达到盐雾10级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53、阻燃  PCB板、防火保护外壳达到V-0等级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54、振动试验 频率循环范围：（5～55～5）Hz,震动试验，试验结束后，产品正常工作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55、冷热冲击  低温：-40℃，时间：0.5h，高温：100℃，时间：0.5h，转换时间：（3-5分钟）min，试验周期：上述试验为1个循环，试验进行200循环，样品状态：非工作状态；试验结束后，产品正常工作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★56、失真效果检测 显示画面无几何畸变、扭曲、比例失调情况，无亮度、色温非线性失真。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★57、能耗对比  对LED显示屏进行节能对比，达到能效一级标准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58、高低温循环 低温：-40℃，时间：0.5h，高温：80℃，时间：0.5h，转换时间：（3-5分钟）min，试验周期：上述试验为1个循环，试验进行200循环，样品状态：工作状态；试验结束后，产品正常工作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59、电磁兼容/干扰 符合Class B标准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60、抗紫外线UV检测合格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★61、噪声  1m范围内，测试4个位置（前后左右）噪音不大于2dB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62、抗电强度  在电源插头与金属外壳之间以施加试验电压1.5kV/50Hz，保持1min，不应出现飞弧和击穿现象。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63、对地漏电流 mA ≤3.5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★64、抗干扰  符合IEC801规定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★65、安全性  符合GB4793规定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★66、一键点屏  支持一键点屏技术，开机后自动识别系统连接，无需重置系统配置以上技术参数指标。                                                                                        </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平方米</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bl>
    <w:p>
      <w:pPr>
        <w:pStyle w:val="32"/>
        <w:ind w:left="0" w:leftChars="0" w:firstLine="0" w:firstLineChars="0"/>
        <w:rPr>
          <w:rFonts w:hint="eastAsia" w:ascii="宋体" w:hAnsi="宋体" w:eastAsia="宋体" w:cs="宋体"/>
          <w:color w:val="auto"/>
          <w:sz w:val="24"/>
          <w:szCs w:val="24"/>
        </w:rPr>
      </w:pPr>
    </w:p>
    <w:tbl>
      <w:tblPr>
        <w:tblStyle w:val="4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
        <w:gridCol w:w="382"/>
        <w:gridCol w:w="272"/>
        <w:gridCol w:w="695"/>
        <w:gridCol w:w="411"/>
        <w:gridCol w:w="10398"/>
        <w:gridCol w:w="869"/>
        <w:gridCol w:w="38"/>
        <w:gridCol w:w="475"/>
        <w:gridCol w:w="360"/>
        <w:gridCol w:w="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3、策勒县津南小学体育器材采购计划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编号</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  型号  功能</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接力棒</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铝合金或木质材料（表面必须涂清漆处理），长度为300mm，直径30mm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标志杆（筒）</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标志杆高1500mm，立杆采用铝合金或塑料或木质材质，直径为25mm厚1.2mm，表面静电喷涂，三角形红色旗面，带橡胶底盘，底盘直径220mm,重量2800g，表面光滑放置平稳</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秒表</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电子型，精度1∕100秒。数码显示，具有分散、重叠、累计时间显示功能，符合国标GB6050第一章要求。</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跳高架</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比赛用铝合金双柱，本产品符合标准GT19851,17-2007的国家相关规定；材料：主立柱为两根32*32mm铝合金方管，可升降，最大高度2400mm最低高度500mm，厚度2.5mm；内置尺条刻度均匀、字码准确、清晰；移动式底座，400*400*60m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付</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跳高横竿</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1、采用新型玻璃钢材料；2、长度4000mm，直径为30mm,两端各有一段长150-200mm宽35mm的平面； 3、ABS塑料接头，以便安放；4、产品应符合JY0001-2003《教学仪器产品一般质量要求》的有关规定</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山羊和跳箱</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山羊：可升降，高度范围为：680（1）080mm，主轴升降间距为50mm；四角可调，山羊腿外管直径为42mm，壁厚为3mm，山羊地脚用ABS工程塑料，坚固耐用，内管径32mm实心圆钢材质，山羊头：规格为460*280*180mm，表面为革面，色泽一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2、跳箱：跳箱分五级总高900mm，木柱出头高40-50mm,第一级跳箱规格1000*350*300mm，第二级至第五级每级高150mm.跳箱面用重体海绵填充，侧面下宽650mm，侧面上宽350mm，采用25mm厚的优质硬杂实木制成，表面喷透明漆。</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助跳板</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助跳板长1200mm，宽600mm，前端高220mm，后端高65mm，上表面应有柔性层和防滑层，上板厚18mm，对助跳板施加6000N的压力。</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小沙包</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采用内装大颗粒河沙、沙包采用4*4牛津布手工缝制而成。</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垒    球</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垒球为手缝10寸，球心采用优质长纤维木棉，用高质纱线涂上乳胶或橡胶粘合绕成，球表面材质为PU革，针数≥88针，重量不低于200克，圆周为240mm-260mm，球表面整洁光滑</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实心球</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实心球，圆球形，直径150mm，偏差正负5mm，球用天然橡胶整体成型，不得使用再生胶，产品不得有异味，球表面应防滑。</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11</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投掷靶</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铁框架，木靶面；尺寸：800*800mm，中心孔直径60mm，中心孔外围有三道50mm宽三种颜色的靶围，中心孔距地面1.2m，靶面厚5mm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    尺</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皮盒，长50米</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13</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小体操垫</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该产品符合标准GB/T19851.2-2005的国家相关规定；尺寸规定：1200mm*600mm*50mm，表面材质为绿色帆布，色泽一致，可折叠，内部材质为优质35＃以上整体海绵。</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大体操垫</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该产品符合标准GB/T19851.2-2005的国家相关规定；尺寸规定：2000mm*1200mm*100mm，表面材质为绿色帆布，色泽一致，内部填充密度35#以上整块优质海绵。</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毽子</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采用彩色鸡羽扎呈圆形，固定在键垫上，键毛均匀整齐，键垫采用一层皮革或两层金属片，用皮条穿插而成</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短跳绳</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跳绳长2500mm-3000mm，绳体为彩色，实心天然橡胶制成，直径5mm，木柄表面光滑无毛刺，喷清漆，绳体与手柄连接，外应有转轴或轴承，实心天然胶更易操作结实耐用</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长跳绳</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跳绳长7000mm，绳体为彩色，实心天然橡胶制成，直径8mm，木柄表面光滑无毛刺，喷清漆，绳体与手柄连接，外应有转轴或轴承，实心天然胶更易操作结实耐用</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篮球</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5号高档PU革面，厚1.5mm（1）.6mm圆周长长为645mm-670mm，重量为420g-480g，回弹高度≥1100mm丁基内胆，有黑色橡胶制成。缠纱：内胆 表面均匀地缠绕上一条纱线，对球胆形成像蚕茧一样的保护层，或是纱布代替。中胎：内胆和表皮之间的支撑结构，有橡胶材料制成</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19</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篮球架</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室外用可拆装箱式配重，配重≥300kg/每只</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国标篮圈及篮网，篮圈距地高度2800mm，支柱距篮板正面长度1800mm。                                              </w:t>
            </w:r>
          </w:p>
          <w:p>
            <w:pPr>
              <w:keepNext w:val="0"/>
              <w:keepLines w:val="0"/>
              <w:widowControl/>
              <w:numPr>
                <w:numId w:val="0"/>
              </w:numPr>
              <w:suppressLineNumbers w:val="0"/>
              <w:ind w:lef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3、篮板为钢化玻璃篮板，篮板尺寸：1800mm×1050mm，厚度40mm。篮板下沿有厚度为50mm的保护条；侧表面上，从板底起有高度为350mm的保护条。                                         </w:t>
            </w:r>
          </w:p>
          <w:p>
            <w:pPr>
              <w:keepNext w:val="0"/>
              <w:keepLines w:val="0"/>
              <w:widowControl/>
              <w:numPr>
                <w:numId w:val="0"/>
              </w:numPr>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4、支柱钢管采用100*200mm的异形钢管，方钢管臂篮圈采用高弹性材料，内部有钢簧，圈条为直径20mm的碳钢。篮网用锦纶绳体编织而成。</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付</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足球</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足球表面皮质，3号；一等品球内为3层棉布做防护层，圆周长540mm，重量280g-310g；PU丁基内胆，由黑色橡胶制成。</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21</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排球架</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升降高度1800mm-2200mm，移动式钢管直径76mm，壁厚3.5mm，静电喷涂，带网和钢丝，金属外表面采用喷砂抛丸、酸洗磷化除锈，表面静电喷涂全部使用优质纯聚脂室外粉末，厚度不低于80um。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付</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22</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软式排球</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产品为免充气式。圆周长600mm-620mm，圆周长差≤5mm,质量200g-250g，气孔≤4mm，反弹高度为600mm，冲击次数15000次</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23</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乒乓球台</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1、球台由支架、台面、网架组成。规格为：2740*1525*760mm,2、支架为直径60 mm，厚3 mm的优质钢管。用自动折弯机一次弯制成彩虹式，中间称采用直径42mm，厚为3mm的钢管制成，安装平稳，牢固。所有支架金属外表经喷砂抛丸、酸洗磷化后静电喷涂。3、台面采用SMC片状膜塑料，由不饱和树脂材料、引发剂、增调剂、低收缩添加剂、脱膜剂、着色剂、交联剂组成，整体高温模压一次成；4、台面面板厚度5mm，翻边宽度50mm，翻边厚度5m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24</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乒乓球拍</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球拍长240mm宽150mm厚10mm，椭圆形。实木，反胶带海绵，直拍，横拍 两种，球拍底面平整、坚硬。</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付</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25</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乒乓球网架</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室外用，采用不锈钢钢管和不锈钢钢网，防锈、防松、防盗、防损坏。网架高度152.5mm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26</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乒乓球</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1、直径：43.4mm-44.4mm。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2、产品应符合JY0001-2003《教学仪器产品一般质量要求》的有关规定</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筒</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27</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羽毛球网架</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产品底坐采用整体铸铁，重量为每幅为100公斤，立柱采用直径40*40mm方管, 臂厚3.0mm；上有直径为10mm的钢筋网架、滑轮；侧面配备齿轮紧线器。</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付</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28</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羽毛球拍</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产品整体铝合金制，（弦线除外），长度580mm,球拍宽度230mm,球拍弦面长度280mm,整体重量80g,拍弦直径0.9mm,握柄直径：25mm。</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付</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羽毛球</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羽毛，带橡胶底套</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肺活量测试仪</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1.使用精密传感器，精度高，带有温度补偿 2.液晶显示，读数方便   3.吹管优化设计，不积水 4.防补气功能，补气时自动锁定数据 5.低功耗设计，电池寿命长6.省电设计，自动关机 7.低电量提示功能      8.多用户测量功能 9.根据用户年龄、性别参数对测量结果进行评价功能 10.带有USB接口 11.配吹嘴30个</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31</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中国象棋</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加厚榉木中国象棋套装实木折叠盒装儿童学生大号 50号雕花榉木中国象棋套装</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五子棋</w:t>
            </w:r>
          </w:p>
        </w:tc>
        <w:tc>
          <w:tcPr>
            <w:tcW w:w="1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套装五子棋361颗仿玉棋子学生入门围棋仿竹纹塑料棋罐单面皮革棋盘</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181" w:type="dxa"/>
          <w:trHeight w:val="1058" w:hRule="atLeast"/>
          <w:jc w:val="center"/>
        </w:trPr>
        <w:tc>
          <w:tcPr>
            <w:tcW w:w="1390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4、策勒县津南小学体育体测系列设备采购计划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181" w:type="dxa"/>
          <w:trHeight w:val="90" w:hRule="atLeast"/>
          <w:jc w:val="center"/>
        </w:trPr>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设备名称</w:t>
            </w:r>
          </w:p>
        </w:tc>
        <w:tc>
          <w:tcPr>
            <w:tcW w:w="10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规格功能</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93" w:type="dxa"/>
          <w:wAfter w:w="181" w:type="dxa"/>
          <w:trHeight w:val="788" w:hRule="atLeast"/>
          <w:jc w:val="center"/>
        </w:trPr>
        <w:tc>
          <w:tcPr>
            <w:tcW w:w="65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0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视力表灯箱</w:t>
            </w:r>
          </w:p>
        </w:tc>
        <w:tc>
          <w:tcPr>
            <w:tcW w:w="1039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标准视力表灯箱医院5米2.5米E字卡通成人儿童家用测视力表幼儿园学校体检测视力灯箱眼镜店验光仪器 5米国标E字款银色</w:t>
            </w:r>
          </w:p>
        </w:tc>
        <w:tc>
          <w:tcPr>
            <w:tcW w:w="86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181" w:type="dxa"/>
          <w:trHeight w:val="1786" w:hRule="atLeast"/>
          <w:jc w:val="center"/>
        </w:trPr>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身高体重测试仪</w:t>
            </w:r>
          </w:p>
        </w:tc>
        <w:tc>
          <w:tcPr>
            <w:tcW w:w="10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时测试身高与体重并同时显示身高和体重两项数据；中文液晶屏,测试仪底板带有水平仪校对功能,精度高，数据自动清零；采用便携式小主机，可以通过非接触式IC读取和存储信息，支持不用IC卡也可独立作为测试单机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量程：90～210cm；5～150kg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精度：+0.1% ; +0.2%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分辨率：0.1cm；0.1kg</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bl>
    <w:p>
      <w:pPr>
        <w:rPr>
          <w:color w:val="auto"/>
        </w:rPr>
      </w:pPr>
    </w:p>
    <w:tbl>
      <w:tblPr>
        <w:tblStyle w:val="4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333"/>
        <w:gridCol w:w="387"/>
        <w:gridCol w:w="513"/>
        <w:gridCol w:w="87"/>
        <w:gridCol w:w="10773"/>
        <w:gridCol w:w="9"/>
        <w:gridCol w:w="824"/>
        <w:gridCol w:w="110"/>
        <w:gridCol w:w="823"/>
        <w:gridCol w:w="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13952" w:type="dxa"/>
            <w:gridSpan w:val="10"/>
            <w:tcBorders>
              <w:top w:val="nil"/>
              <w:left w:val="nil"/>
              <w:bottom w:val="nil"/>
              <w:right w:val="nil"/>
            </w:tcBorders>
            <w:shd w:val="clear" w:color="auto" w:fill="auto"/>
            <w:noWrap/>
            <w:vAlign w:val="center"/>
          </w:tcPr>
          <w:p>
            <w:pPr>
              <w:jc w:val="center"/>
              <w:rPr>
                <w:rFonts w:hint="eastAsia"/>
                <w:color w:val="auto"/>
              </w:rPr>
            </w:pPr>
            <w:r>
              <w:rPr>
                <w:rFonts w:hint="eastAsia" w:ascii="宋体" w:hAnsi="宋体" w:eastAsia="宋体" w:cs="宋体"/>
                <w:b/>
                <w:bCs/>
                <w:i w:val="0"/>
                <w:iCs w:val="0"/>
                <w:color w:val="auto"/>
                <w:kern w:val="0"/>
                <w:sz w:val="36"/>
                <w:szCs w:val="36"/>
                <w:u w:val="none"/>
                <w:lang w:val="en-US" w:eastAsia="zh-CN" w:bidi="ar"/>
              </w:rPr>
              <w:t>5、策勒县津南小学舞蹈教室教学设备采购计划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编号</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名称</w:t>
            </w:r>
          </w:p>
        </w:tc>
        <w:tc>
          <w:tcPr>
            <w:tcW w:w="10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rPr>
            </w:pPr>
            <w:r>
              <w:rPr>
                <w:rFonts w:hint="eastAsia"/>
                <w:color w:val="auto"/>
                <w:lang w:val="en-US" w:eastAsia="zh-CN"/>
              </w:rPr>
              <w:t>规格  型号  功能</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单位</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1</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钢琴</w:t>
            </w:r>
          </w:p>
        </w:tc>
        <w:tc>
          <w:tcPr>
            <w:tcW w:w="10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高度:：1180±2mm，长度：1506±2mm，宽度：588±2mm，琴弦：采用进口原装德国罗丝劳（ROSLAU）琴钢丝，低音弦长度：1143mm，弦槌：采用红木毛毡弦槌，重量：约6－10克，音板：采用复合实木音板，上下两层白松实木木皮加强音板的抗拉张力，使音板在任何环，境下都能保持稳定状态，不会变形和开裂。为了保证音源系统的稳定性和良好的共振性，采用了世界上最先进的五轴联动设备加工音板框，音板尺寸：1435×888mm 88键力度键盘底层为高密度聚脂板，再涂饰底漆及高硬度防裂亮光面漆。</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架</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2</w:t>
            </w:r>
          </w:p>
        </w:tc>
        <w:tc>
          <w:tcPr>
            <w:tcW w:w="900" w:type="dxa"/>
            <w:gridSpan w:val="2"/>
            <w:tcBorders>
              <w:top w:val="single" w:color="000000" w:sz="4" w:space="0"/>
              <w:left w:val="single" w:color="000000" w:sz="4" w:space="0"/>
              <w:bottom w:val="single" w:color="000000" w:sz="4" w:space="0"/>
              <w:right w:val="nil"/>
            </w:tcBorders>
            <w:shd w:val="clear" w:color="auto" w:fill="auto"/>
            <w:vAlign w:val="center"/>
          </w:tcPr>
          <w:p>
            <w:pPr>
              <w:rPr>
                <w:rFonts w:hint="eastAsia"/>
                <w:color w:val="auto"/>
              </w:rPr>
            </w:pPr>
            <w:r>
              <w:rPr>
                <w:rFonts w:hint="eastAsia"/>
                <w:color w:val="auto"/>
                <w:lang w:val="en-US" w:eastAsia="zh-CN"/>
              </w:rPr>
              <w:t>舞蹈把杆</w:t>
            </w:r>
          </w:p>
        </w:tc>
        <w:tc>
          <w:tcPr>
            <w:tcW w:w="10860" w:type="dxa"/>
            <w:gridSpan w:val="2"/>
            <w:tcBorders>
              <w:top w:val="single" w:color="000000" w:sz="4" w:space="0"/>
              <w:left w:val="single" w:color="000000" w:sz="4" w:space="0"/>
              <w:bottom w:val="single" w:color="000000" w:sz="4" w:space="0"/>
              <w:right w:val="nil"/>
            </w:tcBorders>
            <w:shd w:val="clear" w:color="auto" w:fill="auto"/>
            <w:vAlign w:val="center"/>
          </w:tcPr>
          <w:p>
            <w:pPr>
              <w:rPr>
                <w:rFonts w:hint="eastAsia"/>
                <w:color w:val="auto"/>
              </w:rPr>
            </w:pPr>
            <w:r>
              <w:rPr>
                <w:rFonts w:hint="eastAsia"/>
                <w:color w:val="auto"/>
                <w:lang w:val="en-US" w:eastAsia="zh-CN"/>
              </w:rPr>
              <w:t>舞蹈把杆为水曲柳材质，把杆Φ55，内有Φ22弹簧钢，表面聚脂清漆处理。壁挂式支架：立柱为φ60钢管，内有φ35实心圆钢作升降杆，升降高度为800至1100，表面喷塑处理。带碰珠升降。</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根</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3</w:t>
            </w:r>
          </w:p>
        </w:tc>
        <w:tc>
          <w:tcPr>
            <w:tcW w:w="900"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合唱椅子</w:t>
            </w:r>
          </w:p>
        </w:tc>
        <w:tc>
          <w:tcPr>
            <w:tcW w:w="10860"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1、规格：竖高、侧高、平高为≥400mm×300mm×250mm 2、材质：优质板材，各面的连接处贴宽度为48mm的直角封边条 3、要求：各面的角采用保护扣，凳面光滑</w:t>
            </w:r>
          </w:p>
        </w:tc>
        <w:tc>
          <w:tcPr>
            <w:tcW w:w="833"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个</w:t>
            </w:r>
          </w:p>
        </w:tc>
        <w:tc>
          <w:tcPr>
            <w:tcW w:w="933"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4</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落地镜</w:t>
            </w:r>
          </w:p>
        </w:tc>
        <w:tc>
          <w:tcPr>
            <w:tcW w:w="10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木龙骨，夹板、银镜、四周为榉木电脑锣成型线条装饰</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平米</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磁性黑板</w:t>
            </w:r>
          </w:p>
        </w:tc>
        <w:tc>
          <w:tcPr>
            <w:tcW w:w="10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一、适用范围：适用于小学、中学舞蹈教学用,二、技术要求：1、规格：≥1500mm×900mm；2、材质：锌背白板，表面PET覆膜，优质厚铝合金包框；3、要求：两面用，带磁扣、板刷专用笔，易写易擦，不留痕迹。三、产品应符合JY0001（200）3《教学仪器产品一般质量要求》的有关规定</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块</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6</w:t>
            </w:r>
          </w:p>
        </w:tc>
        <w:tc>
          <w:tcPr>
            <w:tcW w:w="900"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木质地板</w:t>
            </w:r>
          </w:p>
        </w:tc>
        <w:tc>
          <w:tcPr>
            <w:tcW w:w="10860"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符合舞蹈训练标准</w:t>
            </w:r>
          </w:p>
        </w:tc>
        <w:tc>
          <w:tcPr>
            <w:tcW w:w="833"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平米</w:t>
            </w:r>
          </w:p>
        </w:tc>
        <w:tc>
          <w:tcPr>
            <w:tcW w:w="933"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7</w:t>
            </w:r>
          </w:p>
        </w:tc>
        <w:tc>
          <w:tcPr>
            <w:tcW w:w="900" w:type="dxa"/>
            <w:gridSpan w:val="2"/>
            <w:tcBorders>
              <w:top w:val="nil"/>
              <w:left w:val="single" w:color="000000" w:sz="4" w:space="0"/>
              <w:bottom w:val="single" w:color="000000" w:sz="4" w:space="0"/>
              <w:right w:val="nil"/>
            </w:tcBorders>
            <w:shd w:val="clear" w:color="auto" w:fill="auto"/>
            <w:vAlign w:val="center"/>
          </w:tcPr>
          <w:p>
            <w:pPr>
              <w:rPr>
                <w:rFonts w:hint="eastAsia"/>
                <w:color w:val="auto"/>
              </w:rPr>
            </w:pPr>
            <w:r>
              <w:rPr>
                <w:rFonts w:hint="eastAsia"/>
                <w:color w:val="auto"/>
                <w:lang w:val="en-US" w:eastAsia="zh-CN"/>
              </w:rPr>
              <w:t>消音板（隔音板，吸音板）</w:t>
            </w:r>
          </w:p>
        </w:tc>
        <w:tc>
          <w:tcPr>
            <w:tcW w:w="10860" w:type="dxa"/>
            <w:gridSpan w:val="2"/>
            <w:tcBorders>
              <w:top w:val="nil"/>
              <w:left w:val="single" w:color="000000" w:sz="4" w:space="0"/>
              <w:bottom w:val="single" w:color="000000" w:sz="4" w:space="0"/>
              <w:right w:val="nil"/>
            </w:tcBorders>
            <w:shd w:val="clear" w:color="auto" w:fill="auto"/>
            <w:vAlign w:val="center"/>
          </w:tcPr>
          <w:p>
            <w:pPr>
              <w:rPr>
                <w:rFonts w:hint="eastAsia"/>
                <w:color w:val="auto"/>
              </w:rPr>
            </w:pPr>
            <w:r>
              <w:rPr>
                <w:rFonts w:hint="eastAsia"/>
                <w:color w:val="auto"/>
                <w:lang w:val="en-US" w:eastAsia="zh-CN"/>
              </w:rPr>
              <w:t xml:space="preserve">音板安装要求  1、阳角海棠角，角边2.5mm 2、接缝交叉，下口上提20mm（板墙有踢脚线）拼缝留0.5mm缝（防胀用） 3、阴角段吸音板条形平面不小于10mm，无大小头(外窗不正除外) 4、23层柱、外墙侧面板缝对称 5、暗门宽按现场条形板（门缝在凹槽位置）舞台洞口饰面板收口 </w:t>
            </w:r>
          </w:p>
        </w:tc>
        <w:tc>
          <w:tcPr>
            <w:tcW w:w="833"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平米</w:t>
            </w:r>
          </w:p>
        </w:tc>
        <w:tc>
          <w:tcPr>
            <w:tcW w:w="933"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dxa"/>
          <w:trHeight w:val="0" w:hRule="atLeast"/>
          <w:jc w:val="center"/>
        </w:trPr>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8</w:t>
            </w:r>
          </w:p>
        </w:tc>
        <w:tc>
          <w:tcPr>
            <w:tcW w:w="900" w:type="dxa"/>
            <w:gridSpan w:val="2"/>
            <w:tcBorders>
              <w:top w:val="nil"/>
              <w:left w:val="single" w:color="000000" w:sz="4" w:space="0"/>
              <w:bottom w:val="single" w:color="000000" w:sz="4" w:space="0"/>
              <w:right w:val="nil"/>
            </w:tcBorders>
            <w:shd w:val="clear" w:color="auto" w:fill="auto"/>
            <w:vAlign w:val="center"/>
          </w:tcPr>
          <w:p>
            <w:pPr>
              <w:rPr>
                <w:rFonts w:hint="eastAsia"/>
                <w:color w:val="auto"/>
              </w:rPr>
            </w:pPr>
            <w:r>
              <w:rPr>
                <w:rFonts w:hint="eastAsia"/>
                <w:color w:val="auto"/>
                <w:lang w:val="en-US" w:eastAsia="zh-CN"/>
              </w:rPr>
              <w:t>音像系统</w:t>
            </w:r>
          </w:p>
        </w:tc>
        <w:tc>
          <w:tcPr>
            <w:tcW w:w="10860" w:type="dxa"/>
            <w:gridSpan w:val="2"/>
            <w:tcBorders>
              <w:top w:val="nil"/>
              <w:left w:val="single" w:color="000000" w:sz="4" w:space="0"/>
              <w:bottom w:val="single" w:color="000000" w:sz="4" w:space="0"/>
              <w:right w:val="nil"/>
            </w:tcBorders>
            <w:shd w:val="clear" w:color="auto" w:fill="auto"/>
            <w:vAlign w:val="center"/>
          </w:tcPr>
          <w:p>
            <w:pPr>
              <w:rPr>
                <w:rFonts w:hint="eastAsia"/>
                <w:color w:val="auto"/>
              </w:rPr>
            </w:pPr>
            <w:r>
              <w:rPr>
                <w:rFonts w:hint="eastAsia"/>
                <w:color w:val="auto"/>
                <w:lang w:val="en-US" w:eastAsia="zh-CN"/>
              </w:rPr>
              <w:t>单15寸250瓦全频音响2只，1000瓦后级功放1台，8路调音台1台，一拖二无线话筒1套，线材（卡农线，音频线等）</w:t>
            </w:r>
          </w:p>
        </w:tc>
        <w:tc>
          <w:tcPr>
            <w:tcW w:w="833"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套</w:t>
            </w:r>
          </w:p>
        </w:tc>
        <w:tc>
          <w:tcPr>
            <w:tcW w:w="933" w:type="dxa"/>
            <w:gridSpan w:val="2"/>
            <w:tcBorders>
              <w:top w:val="nil"/>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14002"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6、策勒县津南小学科学教学仪器设备采购计划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编号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  型号  功能</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720"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w:t>
            </w:r>
          </w:p>
        </w:tc>
        <w:tc>
          <w:tcPr>
            <w:tcW w:w="13282" w:type="dxa"/>
            <w:gridSpan w:val="8"/>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78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学生电源</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0"/>
                <w:color w:val="auto"/>
                <w:lang w:val="en-US" w:eastAsia="zh-CN" w:bidi="ar"/>
              </w:rPr>
              <w:t>1、初中学生电源。输出电压：交流输出，1.5V－9V；共五档；额定输出电流：5A；直流稳压输出，1.5V－9V，分1.5V、3V、4.5V、6V、9V五档；额定输出电流：2A；直流大电流短时输出：40A，8秒自动关断；</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059"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教学电源</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1、初中教学电源。输出电压：交流输出，2（1）2V，每2V一挡；共六档；额定输出电流：5A；直流稳压输出，1.5V（1）2V，分1.5V、3V、4.5V、6V、9V、12V六档；额定输出电流：2A；直流大电流短时输出：40A，8秒自动关断</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90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电池盒</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0"/>
                <w:color w:val="auto"/>
                <w:lang w:val="en-US" w:eastAsia="zh-CN" w:bidi="ar"/>
              </w:rPr>
              <w:t>1、电池盒由塑料盒底、正负极弹簧片、插接件组成2、电池盒分1号电池一节1个，为组装式，即可并联 多个也可串联多个，组合方便，接触性好，四个为一组3、应符合JY0001-2003《教学仪器设备产品一般质量要求》</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w:t>
            </w:r>
          </w:p>
        </w:tc>
        <w:tc>
          <w:tcPr>
            <w:tcW w:w="132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小学科学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斜面</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100"/>
                <w:color w:val="auto"/>
                <w:lang w:val="en-US" w:eastAsia="zh-CN" w:bidi="ar"/>
              </w:rPr>
              <w:t>木质（表面必须涂清漆处理）</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压簧</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1、本产品为金属制品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2、表面镀镍</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拉簧</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1、本产品为金属制品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2、表面镀镍</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沉浮块</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同体积不同质量、同质量不同形状、可改变质量等物体</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06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条形磁铁</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1、规格型号：D-CG-LT-270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2、磁感应强度：≥60×10-2T，磁极端大约可收起50～100颗大头钉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3、材质：磁钢制品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4、符合中华人民共和国教育部标准JY0001</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419"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条形磁铁</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1、学生用，条形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2、铁氧体材料，D-CG-LT（1）80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3、材质：磁钢制品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4、产品符合JY0122-91《小学磁铁性质实验盒》中有关条形磁铁的要求。一对产品有一个纸盒包装</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299"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蹄形磁铁</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1、结构外观应符合JY0001第6、7章的有关规定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2、其它技术要求符合JY0057第4章的有关规定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3、磁铁经高温老化处理后两磁极磁感应强度平均值应≥70mT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4、铝铁碳、铁氧体材料磁钢的磁特性(室温磁化到饱合后的最小值)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5、材质：磁钢制品</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08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蹄形磁铁</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1、型号规格：U082型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2、磁感应强度大于50×10-2T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3、材质：磁钢制品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4、符合中华人民共和国教育部标准JY0057</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60" w:hRule="atLeast"/>
          <w:jc w:val="center"/>
        </w:trPr>
        <w:tc>
          <w:tcPr>
            <w:tcW w:w="720"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w:t>
            </w:r>
          </w:p>
        </w:tc>
        <w:tc>
          <w:tcPr>
            <w:tcW w:w="132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675" w:hRule="atLeast"/>
          <w:jc w:val="center"/>
        </w:trPr>
        <w:tc>
          <w:tcPr>
            <w:tcW w:w="720"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一字螺丝刀</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1、旋杆长度采用45#钢，工作部硬度不低于HRC48。2、旋杆长度L:75mm，直径D:4mm 3、旋杆应经镀鉻防锈处理。</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675" w:hRule="atLeast"/>
          <w:jc w:val="center"/>
        </w:trPr>
        <w:tc>
          <w:tcPr>
            <w:tcW w:w="720"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十字螺丝刀</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1、旋杆材料采用45#钢，工作部长度内硬度HRC48～54。2、旋杆长度L:75mm，直径D:4mm 3、旋杆应经镀铬防锈处理。</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80" w:hRule="atLeast"/>
          <w:jc w:val="center"/>
        </w:trPr>
        <w:tc>
          <w:tcPr>
            <w:tcW w:w="720"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塑料桶</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1、用环保材料制；2、产品应符合JY0001《教学仪器产品一般质量要求》；中号</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80" w:hRule="atLeast"/>
          <w:jc w:val="center"/>
        </w:trPr>
        <w:tc>
          <w:tcPr>
            <w:tcW w:w="720"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喷水壶</w:t>
            </w:r>
          </w:p>
        </w:tc>
        <w:tc>
          <w:tcPr>
            <w:tcW w:w="10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1、喷壶为塑料制产品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2、产品应符合JY0001《教学仪器产品一般质量要求》</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bl>
    <w:p>
      <w:pPr>
        <w:rPr>
          <w:color w:val="auto"/>
        </w:rPr>
      </w:pPr>
    </w:p>
    <w:p>
      <w:pPr>
        <w:pStyle w:val="2"/>
        <w:rPr>
          <w:color w:val="auto"/>
        </w:rPr>
      </w:pPr>
    </w:p>
    <w:p>
      <w:pPr>
        <w:rPr>
          <w:color w:val="auto"/>
        </w:rPr>
      </w:pPr>
    </w:p>
    <w:p>
      <w:pPr>
        <w:pStyle w:val="2"/>
        <w:rPr>
          <w:color w:val="auto"/>
        </w:rPr>
      </w:pPr>
    </w:p>
    <w:p>
      <w:pPr>
        <w:rPr>
          <w:color w:val="auto"/>
        </w:rPr>
      </w:pPr>
    </w:p>
    <w:p>
      <w:pPr>
        <w:rPr>
          <w:color w:val="auto"/>
        </w:rPr>
      </w:pPr>
    </w:p>
    <w:tbl>
      <w:tblPr>
        <w:tblStyle w:val="41"/>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900"/>
        <w:gridCol w:w="10763"/>
        <w:gridCol w:w="667"/>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96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7、策勒县津南学美术教学设备采购计划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编号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  型号  功能</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衬布</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1、规格：≥900mm×1500mm2、材质：棉、麻、绒； 3、颜色：灰、蓝、红、棕为主。三、产品应符合JY0001-2003《教学仪器产品一般质量要求》的有关规定</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遮光窗帘</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1、规格：≥220cm×180cm 2、材质为全涤，三层遮光布，中间为低弹黑丝，正反面均为缎纹组织，系喷水织机织造，可水洗、机洗 3、具有隔音，隔热，防辐射等功能。遮光性能好，垂感好，日晒牢度好，不易老化三、产品应符合JY0001-2003《教学仪器产品一般质量要求》的有关规定</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三面写生凳</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1、规格：竖高、侧高、平高为≥400mm×300mm×250mm 2、材质：优质板材，各面的连接处贴宽度为48mm的直角封边条 3、要求：各面的角采用保护扣，凳面光滑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写生灯</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美术教学用具，美术写生，素描时使用。聚光，使色彩更丰富。一般为可升降，规格有1.2m,   1.5m  2.3m .由三根灯脚，一个灯座，一节可调节高度的灯杆，灯罩和开光组合而成。</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工作台</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1、规格：180cm×80cm×75cm 2、材质：可折叠、桌面材质三聚氰胺密度板，厚16mm。底部为40mm×40mm，壁厚1.3mm，方管焊接成型的对折式支撑架 3、表面酸洗磷化后静电喷塑处理，光滑无毛刺；圆柱形升降可调式4个防滑地脚垫</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美术教学用品柜</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1、规格：宽1200mm×深500mm×高2000mm  2、材质、格局：优质板材，塑木结构，柜体上下两节，上节门为玻璃，柜门上带锁、带拉手 3、要求：上、下柜各设置1块活动隔板，高度可调节。每块隔板厚度20mm，四周折边，中间加装支撑横杆你，柜体内侧应安装高度升降条，每侧2根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磁性白黑板</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1、规格：≥1200mm×900mm 2、材质：锌背白板，表面PET覆膜，优质厚铝合金包框 3、要求：两面用，带磁扣、板刷专用笔，易写易擦，不留痕迹</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小学美术教学挂图</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对开，≥40幅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写生画板</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1、规格：≥450mm×320mm，2、材质：双面榉木三合板，四周实木边框</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w:t>
            </w:r>
          </w:p>
        </w:tc>
        <w:tc>
          <w:tcPr>
            <w:tcW w:w="132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教具（教师用）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写生画箱</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箱体：≥500mm×330mm×110mm，箱内配360mm×260mm的调色板，箱盖可支起作画架用，并有夹层来存放图纸，箱内分格≥5个，用来存放绘画工具、颜料等，箱体有提把，背带由宽度≥25mm的混纺编织带或帆布制成，长短可调 2、腿：三腿折叠式 3、材质：优质实木</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写生教具（1）</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1、配置：（1）鲁迅1件；（2）高尔基1件；（3）青年头像1件；（4）小天使胸像1件；（5）石膏手共5件 2、材质：优质石膏粉</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写生教具（2）</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1、配置：圆球、四棱锥、正方体、圆锥、长方体、圆柱体、六棱柱、方带方、圆锥带圆、方锥带方、多面体、八棱柱、六棱锥、圆切、十二面体各一件 2、圆球：直径180mm、圆锥：高220mm，底面直径150mm、长方体：100mm×100mm×220mm、正方体：边长160mm、四棱锥：高220mm，底面棱长140mm、圆柱体：高220mm，直径120mm、六棱柱：高220mm，底面棱长60mm、方带方：高220mm，底面棱长90mm、带方柱长210mm，带方柱棱长100mm、圆锥带圆：底面直径160mm，高220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画架</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1、规格：总高度≥1420mm，边框宽≥40mm，厚≥20mm 2、材质：优质木材3、高度升降可调</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画板</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1、规格：≥900mm×600mm 2、材质：双面榉木三合板，四周实木边框</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绘图仪器</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1、①直尺1件；②三角板1付；③曲线板1件；④圆规1件；⑤蛇形尺1件；共5类5件</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大圆规</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圆规总长500mm，ABS工程塑料制；圆心成三爪定位状，附吸盘；边角为粉笔</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丁字尺</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丁字尺总长1000mm，有机玻璃制或塑料制品；尺面宽55mm；厚度≥7mm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三角板</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1、规格：每套2个，30、45各一，550mm。ABS工程塑料制作或木质（表面清漆处理）；厚度≥7mm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付</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版画工具</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1、①胶辊1件；②磨托1件③笔刀1件：④笔刀刀头3件⑤木刻刀5件⑥石刻刀1件⑦油石1件⑧马莲1件；共8类15件</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绘画工具</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①调色盘1个：梅花10眼；②毛笔6支：大白云1支、中白云1支、大兰竹1支、中兰竹1支、小狼毫1支、刷笔1支；③水粉笔 1-12#各1支；④油画笔1-12#各1支；⑤24眼调色盒1件，共5类32件</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制作工具</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1、⑴木工锯1把；⑵木锉1把⑶手摇钻1台；⑷盒尺1件；⑸U形线锯1把；⑹线锯条10根；⑺小光刨子1把；⑻木工锤1把；⑼砂纸5张；⑽墨斗1件；⑾壁纸刀1把；⑿扁铲1把</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w:t>
            </w:r>
          </w:p>
        </w:tc>
        <w:tc>
          <w:tcPr>
            <w:tcW w:w="132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学具（学生用）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美术学具</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透明塑料材质,≥487*260*211cm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美术课配套材料（包括美术教学素材库）</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纸浆脸谱1件、粉笔雕刻材料1套、石膏脸谱1件、风筝制作材料1套、线构成材料1套、纸化盘制作材料1套、版画制作材料1套、阿福1套</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电脑</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CPU intel i5 8代, 4G内存, 固态500G，独立显卡1G，光驱描述：支持DVD SuperMulti双层刻录, 23寸液晶屏，含DVD光驱，抗菌防水键盘，USB光电鼠标，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装修</w:t>
            </w:r>
          </w:p>
        </w:tc>
        <w:tc>
          <w:tcPr>
            <w:tcW w:w="107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轻钢龙骨（35*25）做架，板面镶石膏板（2400*1200*10）及外衬胡桃木夹板，石膏板之间留4～6mm安装缝，石膏板用自攻螺钉固定，并嵌入板面2mm，螺钉帽刷防锈漆。现代造型，刷清漆。开关插座及部分漏电电制：开关、电制装饰仿古灯及筒灯。电线、线管：电线采用BVR-2.5㎡国际铜芯线。墙面清理，双飞粉108胶打底,底漆两遍,批双飞粉直到墙面平直角。帘面材料：优质布料，功能：透光. 实木地板 （防水）：耐磨转数&gt;=1万转;吸水后膨率在3%以内;甲醛含量每100克地板的甲醛含量不得超过30毫克;地板厚度在10~15毫米之间,布置美术室四面文化墙。灯饰，线性现代灯。</w:t>
            </w:r>
          </w:p>
        </w:tc>
        <w:tc>
          <w:tcPr>
            <w:tcW w:w="66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bl>
    <w:p>
      <w:pPr>
        <w:pStyle w:val="2"/>
        <w:rPr>
          <w:color w:val="auto"/>
        </w:rPr>
      </w:pPr>
    </w:p>
    <w:p>
      <w:pPr>
        <w:rPr>
          <w:color w:val="auto"/>
        </w:rPr>
      </w:pPr>
    </w:p>
    <w:tbl>
      <w:tblPr>
        <w:tblStyle w:val="4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375"/>
        <w:gridCol w:w="10056"/>
        <w:gridCol w:w="713"/>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32"/>
                <w:szCs w:val="32"/>
                <w:u w:val="none"/>
                <w:lang w:val="en-US" w:eastAsia="zh-CN" w:bidi="ar"/>
              </w:rPr>
              <w:t>8、策勒县津南小学书法教学设备采购计划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10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交互式数字临摹台</w:t>
            </w:r>
          </w:p>
        </w:tc>
        <w:tc>
          <w:tcPr>
            <w:tcW w:w="10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1.★一体化设计，无需外接任何辅助主机系统，基于iOS或者Android系统，支持远程升级。高清临摹：支持学生用宣纸、毛笔传统的方式进行高清临摹，能临摹长宽均不大于1cm的电子字帖。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2.★临摹台支持网络供电功能，只需要在临摹台的网络接口插入一根网线，即可实现临摹台的供电和网络接入的功能。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4.高可视角度：＞80/80/80/80 （上下左右）；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5.摹帖屏可承重60kg以上无裂痕；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6.防水：临摹屏支持防水功能；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7.耐磨：临摹区面板可抗击100000次以上自然摩擦无划痕；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8.护眼功能：发光柔和护眼，亮度低于260cd/m2；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9.支持RJ45接口；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10.支持WiFi连接；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11.摹帖屏显示尺寸：＞45cm×25cm；分辨率：1920×1080；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12.临摹台外置分体式接口：耳机插孔、USB接口、电源开关，并将分体式接口嵌入在临摹桌桌面前侧（学生座位一侧）；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13.支持自主学习模式下的碑帖临摹功能；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14.支持一键自动更新碑帖功能；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15.支持一键系统整体升级功能；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16.★上电自动开机，直接进入学生自主学习软件界面，通过学校、班级、账号、密码登录，直接触控操作4套软件系统：练习系统、碑帖系统、名家介绍、名家课堂系统；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17.碑帖系统：支持碑帖手指八点触控放大缩小功能，支持临帖电子毛毡功能，电子毛毡能触控放大缩小，位置随意摆放，支持碑帖通过年代、字体、作者搜索选择功能；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18.练习系统：支持字体排版功能，支持书体、作者、字形、笔类、笔画、偏旁、结构排版字体，支持字格数量的设置功能，支持米字格、田字格、九宫格、田回格、大方格多种背景随意变化，支持一键清空功能；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19.名家课堂系统：具备专家视频课程。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20.支持软件方式调节音量和亮度的功能；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21.支持统一授课模式和自主学习模式切换功能，模式切换由老师控制；</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3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0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教师中控条案</w:t>
            </w:r>
          </w:p>
        </w:tc>
        <w:tc>
          <w:tcPr>
            <w:tcW w:w="100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1.规格：200cm×80cm×75cm，实木结构；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2.古典书桌设计，烤漆处理；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3.全部卯榫结构；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4.支持将本方案中的中控、教师手绘屏、直播系统集成在中控条案中；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5.砚台：20cm×13cm×2.5cm，材质：螺纹石；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6.毛笔笔架：36cm×34cm×10cm，材质: 鸡翅木；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7.笔洗：7.5cm×20cm，材质：优质陶瓷；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8.砚台水滴：陶瓷；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9.镇尺：加重型黑梓木；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10.笔搁：卧式笔架，材质：实木；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11.毛毡：1×2米，可以水洗反复使用；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12.笔筒：12.5cm×9.5cm，材质: 黑檀；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13.毛笔套装：笔头材质为纯狼毫；笔杆材质：天然黑湘妃；大号毛笔尺寸：出锋3.8cm、口径1.1cm、全长26.5cm；中号毛笔：出锋3.3cm、口径0.9cm、全长26.0cm；小号毛笔：出锋2.8cm，口径0.8cm，全长25.5cm；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14.配套实木方凳1个。</w:t>
            </w:r>
          </w:p>
        </w:tc>
        <w:tc>
          <w:tcPr>
            <w:tcW w:w="71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书法临摹桌</w:t>
            </w:r>
          </w:p>
        </w:tc>
        <w:tc>
          <w:tcPr>
            <w:tcW w:w="10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1.仿古设计，弧形腿，框架结构：松木；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2.规格：≤134cm×60cm×75cm；左右两边两个墨盒孔，长宽：≤13.8cm×7.8cm；左右两边两个临摹台开关孔，长宽：≤7.5cm×1.8cm；洗笔器开关孔直径：≤1.6cm；桌面厚度：≥3.5cm；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3.交互式数字临摹台能无缝嵌入至书法桌，嵌入后临摹台与书法桌表面水平，为一体化设计；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4.书法桌学生一侧具有嵌入式临摹台开关，音频接口，USB接口；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5.专业笔搁；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6.配套实木方凳2个。</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学生互动拍摄系统</w:t>
            </w:r>
          </w:p>
        </w:tc>
        <w:tc>
          <w:tcPr>
            <w:tcW w:w="10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1.★学生端临摹台的软件支持互动拍摄硬件，互动拍摄硬件与现有学生端临摹台的硬件对接，硬件固定到学生书法桌上；互动拍摄硬件具有笔架功能，支持同时挂三只毛笔；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2.通过USB连接交互式数字临摹台进行供电，USB线在桌面上不外露；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3.帧速率不低于24帧；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4.具备学生座位图功能，老师可管理班级、学生，并对学生进行排坐，形成座位图；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5.老师直接双击座位图上的学生姓名即可查看该学生书写过程，支持老师通过控制系统切换每一个学生的书写过程实时传输到大屏和其他同学的临摹台上欣赏查看；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6.一键收取作业:教师在中控台上可一键收取作业，作业按照学生座位图的顺序和位置关系进行排列；</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3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书画教学展示台</w:t>
            </w:r>
          </w:p>
        </w:tc>
        <w:tc>
          <w:tcPr>
            <w:tcW w:w="100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1.拍摄架：≥10千克，全金属构架,铝合金底座；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2.支持每台摄像机360度旋转，拍摄幅面可以达到A2幅面（A4幅面的4倍），可清晰拍摄软硬笔的书写；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3.配置3台摄像机从不同角度拍摄；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4.摄像机3台，网络接口，规格：≥138mm×58mm×68mm；帧速率：每秒大于30帧；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5．红外镜头3个。规格：≥48×65mm；镜头光圈：F1.2-2.8；接口：CS接口，支持手动调节焦距；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6.★支持场景式网络课堂教学系统直接调取3台摄像机使用；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7．★提供产品实物图片（图片放置在投标文件技术偏离表的本条响应文字参数的下面，验收以投标提供的实物图片为准）。</w:t>
            </w:r>
          </w:p>
        </w:tc>
        <w:tc>
          <w:tcPr>
            <w:tcW w:w="7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书法教学直播系统</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1．系统支持连接书画教学展示台的三台摄像机同时拍摄直播、录像，其中两台摄像机从正上方和左侧方45度进行同时拍摄录课，另一台摄像机录制授课特写画面；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软件界面同时显示正面、侧面、特写三个画面，并在画面上进行标识，画面上清楚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秒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3.支持快镜头播放、暂停功能；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4.支持慢镜头播放、暂停功能；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5.支持摄像机自动录音功能，软件调节声音大小；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6.支持在画面上任意批注功能；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书法字帖排版系统</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1.★支持1-500个字内，任意字体数量排版功能，随意设置字格大小，调节字格的宽、高，支持鼠标滚轮选择模板。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2.支持拼音搜索，可同时输入多字拼音，直接搜索多字；支持多字文本搜索；支持书写字体历史记录。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演示汉字笔顺功能：具备一笔一划功能，每一笔划自动按照顺序排列组成单字。动态笔划功能，每一笔以动画起笔收笔的方式，按照笔划顺序展现。具备笔划分拆功能，每一笔都占一格，书写过的笔划用彩色标识出来，整体直观展现单字笔划过程。每个字的偏旁和非偏旁部分，都是通过两种颜色区分出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4.支持在软件界面直接点播现代书法家书写的颜欧柳赵及字体中偏旁、例字的视频。可以实时同步临摹台显示。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5.支持字帖文件随意排版及混排。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6.支持电子字帖全屏显示，通过调整排版规格可控制每个字的大小和位置。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7.★内置篆、隶、楷、行、草五种软笔字体字帖文件，不少于2万字的字帖库资源。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8.支持米字格、回字格、九宫格、田字格、大方格选项。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9.支持进行集字练习；具备一键排版六步教学法。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10.支持边看边练，左边是书法家视频教学，右边是学生临摹书法家字帖功能；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11.支持字体使用的历史记录；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书法集创系统</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1.支持折扇、团扇、条幅、横幅、斗方、对联、中堂等模式集字创作功能，从1言到500言随意编辑排版功能，支持字体大小缩放功能；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2.支持自定义创作作品类型功能；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3.支持字体自适应大小功能，后面排版的字体自动适应第一个排版好的字体大小；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4.支持自适应角度调整，字体智能化自动调整摆放角度；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5.支持文件新建、修改、保存、放大缩小、临摹功能；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包含重修三门记、陋室铭、六体千字文、灵隐禅师塔铭、黄庭经、淮云院记、后赤壁赋、归来辞去、道德经、东铭、大学、感兴诗并序、多宝塔碑、颜勤礼碑、颜家庙碑、颜体合成创作、赵体合成创作等多个创作字体模块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7.支持一键还原功能；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三笔字板书示范书写软件</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1.软件支持选用白板、黑板、宣纸和画布四种模式作为背景底纹；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2.软件支持米字格、田字格、田回格、九宫格、方格和无格作为写字用底格；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3.软件排版支持从一字格到十五字格共十种不同排版方式；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4.笔型：支持毛笔、铅笔、钢笔、粉笔、刀笔、水彩笔、艺术笔1、艺术笔2、艺术笔3、艺术笔4、标注、橡皮共12种书写功能。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5.软件支持标注和具有橡皮擦功能；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6.支持笔锋粗细、浓度、锐利可调控；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7.支持色板，颜色可自由设置；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8.具有全屏显示功能；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书法教学视频资源平台</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1.具备对平台资源进行控制、查询、播放及备课调整功能。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2.内置三年级、四年级、五年级、六年级、初级、中级（一）、中级（二）、高级的高清毛笔书法示范讲解视频。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3.含各年级课时的毛笔示范视频，针对每一个字，每一个笔画都有教学视频。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4.每个视频都配有教学音频讲解。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5.视频资源均为高清拍摄，可观察运笔方式。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6.★视频资源按照每一例字的结构、笔画、结体规律进行分类，可以一键式调取任一课时内的视频资料。</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书法教学查询系统</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1.碑帖资源查询可实现通过年代、作者、字帖名字进行智能化检索，并可任意放大缩小拖动字帖。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2.支持通过原图模式、高光模式、荧光模式、红外模式、3D模式进行碑帖的查看欣赏以及临摹。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3.创作碑帖素材查询可通过关键字检索功能来搜索相应的碑帖素材。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4.支持输入文字、拼音搜索功能，支持临摹、欣赏选项按钮；支持黑白反向功能，原贴是白底黑字的可以直接转换成黑底白字，原贴是黑底白字的可以直接转换成白底黑字。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5.内含中国历代高清碑帖，包含临摹范本全部碑帖，有楷书、隶书、行书；包含欣赏作品全部碑帖，有篆、隶、草、楷、行五种字体。包含其他碑帖，包含篆、隶、草、楷、行五种字体，不少于10000张。</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场景式网络课堂教学系统</w:t>
            </w:r>
          </w:p>
        </w:tc>
        <w:tc>
          <w:tcPr>
            <w:tcW w:w="10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一、教师授课端软件：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1.软件必须是从智慧书法教学系统界面直接点击进入。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教师创建自己的直播课程，直播课程中可包含多个章节与课时，每个课时均可独立直播，也可单独设置直播时间。每个直播课程均可进行分类，支持课程定价以及点播时收费，课程可以设置课程名称，可上传图片封面。图片封面支持放大、缩小、剪切，还可实时预览效果，可设置简介，还可增加详细图文介绍。图文介绍包含以下功能：文字加粗，文字倾斜，文字下划线，文字删除线，段落靠左，段落居中，段落靠后，段落居中自动调整，支持设置段落编号或设置段落图形，支持设置左右缩进，支持设置文字颜色，文字背景色，支持插入链接，支持插入图形，也可插入网络视频，支持清除格式。创建课程时，支持加入多个章节，每个章节均可独立定义名称。创建章节后，每个章节均可增加多个独立课时。均可自定义本课时名称。课时分为直播、点播两种，点播课时可上传视频文件供点播使用，上传视频文件后可自动计算并展现本课时时长。直播课时可定义直播开始的日期以及时间，支持一键查看当前时间。编辑课时时，支持通过图标区分点播和直播课程。支持课时跨章节直接拖拽调整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3.教师申请功能，支持通过输入教师姓名、手机号、短信验证、密码设置、个人介绍、头像等信息，提交注册，可查询审核状态，查询时需要手机验证码审核教师身份。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4.★可分类查看拥有的所有课程列表，可通过名称或名称简写对课程进行模糊查询。可修改课程。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5.教师现场直播授课时，可切换不同的三维场景，三维场景支持不低于4个不同位置的场景大屏设置，不同的大屏可同时播放不同的内容。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6.课程同时支持直播与点播。支持下载所有课程的视频，支持视频本地编辑后再次上传更新。支持在线预览。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7.三维场景支持远景、近景、特写，直播授课过程中教师可以任意切换三种方式，切换后学生端立即生效、进行观看。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8.在课时详情中一键进入直播。支持一键初始化直播配置。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二、接收客户端软件：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9.客户端软件必须是从智慧书法教学系统界面直接进入。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支持查看当前以及即将开播的直播课程，可查看当前的热门课程，还可查看全部可用课程。可查询当前以及随后一周内的正在直播的课程，以及待直播的课程。直播课程课程开始前，系统自动为订阅用户发送提醒收看的短信。可查询最新课程和热门课程。可查看课程列表以及课程的详细信息，可查看教师介绍以及课程介绍。教师介绍包括教师的个人详情，还包括教师的所有已开放的在线课程，包括直播与点播课程。课程详情中包含，课程的介绍，以及课程的章节与所有具体课时，每个课时均可显示课程时长，观看完毕后系统可自动记录并调取本课程最后一次所学的课时，支持从此课时后继续学习。可查看本课程的热门程度以及订购费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 支持通过课时列表点击后直接进入直播或点播观看界面，在此界面中可以查看课程详细信息，包括课程名称，教师，以及所有章节中的课时。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12.支持查看学习历史记录，并可进行复习。可查看个人的所有订单，以及费用明细，可通过课程名称以及订单时间查询订单详情。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13.客户端学习点播课程可以从上次学习位置开始播放：将课程加入学习后，进入某个点播课程时，自动从上次退出时的播放位置开始播放，比如某个课时上次看了5分钟，那么这次播放时会自动从5分钟开始播放。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14.可查看所有教师以及教师的详细介绍，还可以查看教师的课程列表并播放相应课程。可按照课程分类，课程名称，教师姓名对课程进行搜索。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三、移动客户端软件：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15.支持通过安卓以及IOS的微信小程序参与直播或点播。支持轮播图，轮播图中可进入课程详情，课时详情。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要求通过微信扫码进入直播间，并与讲师、PC端用户三方进行文字、表情符号交流。支持进入课时讨论组与PC端用户以及教师同时交流。可在线咨询系统客服。移动端学习点播课程可以从上次学习位置开始播放。</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书法课程讲义系统</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1.系统全部课程不少于700课时；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包含颜体1、颜体2、欧、柳、赵5套基本课程，每套课程各128课时，均是独立的软件模块，支持查看范字的书写要点讲解，书写示范视频讲解，单钩、双钩、笔法、示意图，核心示范字的文字演变，每课时都有书法知识点讲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3.支持左边有课程导航栏和底部有快捷键按钮；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包括三年级、四年级、五年级、六年级的课程128课时（可在教育部通过的11套教材里面任选1套），均是独立的软件模块，支持查看范字的书写要点讲解，书写示范视频讲解，单钩、双钩、笔法、示意图，核心示范字的文字演变，每课时都有书法知识点讲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5.颜欧柳赵的配套讲义中，支持课程临摹练习界面可一键统一变换字体、字格，可变换需要练习的字帖；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6.颜欧柳赵的配套讲义中，支持所有示范字可一键变换字体、字格，可变换需要讲解的字帖；</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碑帖深度学习软件</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1.该软件从智慧书法教学系统界面进入，支持打开碑帖深度学习软件，要求在碑帖深度学习软件界面上出现《九成宫碑》、《多宝塔碑》、《玄秘塔碑》、《颜勤礼碑》、《三门记》、《曹全碑》、《兰亭序》。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点击碑帖名称，出现碑帖的相应图片，要求相应的碑帖图片可进行拖动条、滚轮、数字加减三种方式进行缩放。可通过翻页按钮选择该碑帖的任意一张图片，要求该图片可缩放和拖动，选择图片后鼠标点击碑帖上的任意一个字，要求碑帖上该字的右下角自动出现对应的简体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3.点击单字后，该单字的碑帖原图出现在界面左侧；再点击左侧的碑帖原图，可查看笔顺图，要求笔顺图中的每一笔为硬笔手写体；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4.可查看该字的行笔路线动画，要求行笔路线动画的每一笔为硬笔手写体；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5.可查看该字的笔势视图，视图中的每一个笔画的起笔、行笔、转折处要求用手写箭头标识出来；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6.可查看该字的单钩视图、双钩视图，单钩视图要求为硬笔手写体；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7.可查看碑帖原图和碑帖修复图，要求碑帖修复图为对破损的碑帖进行原意修复，修复后的字帖要求笔画完整、不允许变形、背景干净无污；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8.可查看碑帖修复提取图，要求碑帖修复图经过处理后变成背景透明字体，并放在米字格中；</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软笔书法Ai智能评价软件</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通过学生互动终端收取所有学生的书法练习作业。老师可在教师端一次性收齐所有学生的作业。支持查看作业历史记录，并查看某次作业中所有学生的电子版练习作业，也可单独查看某位学生的作业。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2.★在书法教学云平台的课程讲义软件中，支持对所配套的全部毛笔楷书课程中涉及的所有讲解例字进行自动智能评价。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3.支持查看每位学生的书法成长记录。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4.点击选择某位学生的书法练习作业，可对作业上的单字或多字同时进行自动智能评测分析，可选取其中任意一个字查看评测结果。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5.支持根据学生书写的单字与原帖的符合程度自动进行整体评测打分。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6.★可对字的结构进行自动智能评测，评测时根据每个字的复杂程度从多个评价维度进行分析（一般五到七个评价维度），不同的字，其评价维度的名称、数量不能完全相同。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7.对结构智能评测时，每个字的评价维度均配有教学视频。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8.★对结构智能评测时，按照每个字的评价维度，自动描述该字的结构方面出现的每一个问题，并自动给出文字性的指导建议，针对书写出现的每个问题都自动给出指导图片和书写指导视频。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9.可对作业中单字的所有笔画进行自动智能评价，对有问题的笔画自动突出标识。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10.笔画智能评价时，可自动将作业中的每个笔画与原帖的笔画进行图片对比。</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作品虚拟展馆展示系统软件</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一、展示参观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虚拟展馆入口支持学校真实场景融入。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★支持展示特定场所的3D实景，支持展示虚拟3D展馆。虚拟展馆设有路径点用于3D漫游。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3.虚拟展馆可展示书法作品、美术作品、碑帖图等，也可展示视频，视频支持自动播放和手动播放两种方式。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4.参观者可查看作品介绍、作者介绍，可对作品或视频进行点赞或留言。点击作品时，可对作品进行全幅画面欣赏，也可自由缩放展示。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5.★支持参观者使用3D形象，不同参观者进入虚拟展馆后可以看到其他参观者的实时位置以及走动过程，点击其他参观者，可进行互动交流。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6.★支持在虚拟场景中通过键盘控制进行平滑移动，也可通过预设的位置点进行快速移动，还可调出快速导航功能，进行房间切换或场景切换。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7.★支持在虚拟场景中进行专注方式观赏。专注方式下，可打开或关闭房间灯光，可打开探照灯聚焦显示关键区域，也可打开灯光跟随效果，随时照明用户周围区域的作品。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二、展馆管理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可设置学校简介，学校简介包含文字描述以及封面图片。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 可进行作品管理，作品可单独上传，也支持使用智慧书法教室的互动教学系统批量采集。可进行视频素材管理。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学生镇尺</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专业镇尺。</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学生毛笔</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学生练习专用毛笔。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兼毫中锋。</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多功能墨盒</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1.墨盒嵌入在桌面；材质：ABS；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2.外观尺寸：≤140×80×33mm；墨盒盖尺寸：≤140.mm×80.mm×6.5mm；墨盒右边水池：≤46×67mm，墨盒左上墨水池：≤33×56mm，左下舔笔台：≤33×56mm，左上角引流槽一个。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3.墨盒采用微倒扣防挥发设计，所盛墨汁可保持百日以上不干涸。墨盒集刮笔、舔笔、润笔功能于一体。</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毛毡</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规格：不小于50×50cm。</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临摹专用纸</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书法专用临摹纸，100张/包。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吸墨性好，且不透墨。</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中控系统</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1.开机界面即是智慧书法教学系统平台界面，通过主机系统直接控制书法直播系统、大屏、软件等软硬件；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2.系统平台有独立的音乐背景模块软件；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3.控制系统硬件规格：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CPU：酷睿I5；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内存：8G；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硬盘：1TB；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4.板书专用手写屏规格：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显示尺寸：21.5寸（16:9）；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解析度：1920*1080；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对比度：1000:1；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感应方式：电磁式；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分辨率：2000Lpi；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反应速度：200点/秒；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压感：2048级；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压感笔1支。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系统集成</w:t>
            </w:r>
          </w:p>
        </w:tc>
        <w:tc>
          <w:tcPr>
            <w:tcW w:w="10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包含运费、安装、调试费。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bl>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rPr>
          <w:color w:val="auto"/>
        </w:rPr>
      </w:pPr>
    </w:p>
    <w:p>
      <w:pPr>
        <w:pStyle w:val="2"/>
        <w:rPr>
          <w:color w:val="auto"/>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5"/>
        <w:gridCol w:w="1083"/>
        <w:gridCol w:w="10140"/>
        <w:gridCol w:w="800"/>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358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6"/>
                <w:szCs w:val="36"/>
                <w:u w:val="none"/>
                <w:lang w:val="en-US" w:eastAsia="zh-CN" w:bidi="ar"/>
              </w:rPr>
              <w:t>9、策勒县津南小学计算机教学设备采购计划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编号</w:t>
            </w:r>
          </w:p>
        </w:tc>
        <w:tc>
          <w:tcPr>
            <w:tcW w:w="108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1014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  型号  功能</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服务器</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硬件参数：配置2U机架式服务器，配置2颗高性能处理器，每颗CPU≥32核心64线程，主频≥2.0Ghz，≥256G内存，整机配置2块 480G SSD，配置≥2T 3.5寸 HDD硬盘，提供≥4个千兆网口，提供2个1200W电源模块。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软件平台：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1、管理平台采用B/S架构，中文图形化操作界面，同一管理界面中可实现对计算、存储、网络等功能的配置和操作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2、要求采用超融合架构，在同一管理平台内至少包含计算资源、存储资源、网络资源等功能管理模块。所有功能模块需要通过一个厂家的一套软件实现超融合部署，不可以使用多套软件或产品叠加实现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3、支持将服务器主机节点添加为计算集群，为上层业务平台提供统一的计算、存储、网络资源调度，形成基础计算平台支撑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可以按需创建多个存储池，并且可以按需指定每个存储池所需使用的冗余策略。同时还可以根据具体需求选择每个存储池对应的容量盘，容量盘可以选择服务器集群中任意几个节点中的一块或多块未被使用的磁盘，要求提供实际界面截图证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5、存储池可以设置的冗余策略至少包括：单副本、2副本、3副本、纠删码等冗余策略，纠删码可以按照2数据1校验的方案部署并实际使用，磁盘空间的利用率超过66%，要求提供实际界面截图证明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6、要求支持并且可以实际使用局部超融合方案，每个节点上启动的虚拟桌面都可以在本节点上以单副本的方式运行，其它用户数据（如：镜像模版、作业等）依然采用相应的冗余策略存储在多节点上。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7、为保证云桌面的使用体验，要求三节点集群模式下4KB块大小全随机100%读IOPS 大于170万。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8、为保证硬盘故障后，数据可以快速重构，要求所投产品在分布式存储的方案下，1T数据重构时间不超过15分钟。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为避免用户数据外泄，要求分布式存储采用块虚拟化技术，将用户的文件切分成多个小数据块，以裸数据的形式分别保存在不同服务器的不同硬盘上。避免硬盘故障维修时，原故障硬盘被第三方公司/人带走，导致数据外泄。</w:t>
            </w:r>
          </w:p>
        </w:tc>
        <w:tc>
          <w:tcPr>
            <w:tcW w:w="8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9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终端</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硬件要求：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1、软硬件一体化设备，内置嵌入式操作系统和软件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2、为保证软件运行的兼容稳定，需采用ARM架构的云终端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3、处理器不得低于Cortex A9 四核，处理器主频不得低于1.6GHz，内存容量不低于1GB；提供不少于8GB的内置存储空间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4、提供接口不少于4个USB 2.0接口、1个百兆网口、1对音频输入输出接口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5、具备防盗设计的显示器背挂架，需提供产品截图或者功能介绍，防盗功能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6、投标所选终端需提供3C证书，提供证书复印件，需加盖厂商印章。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7、为保证兼容性和服务便捷性，防止推诿：要求与云主机、教学管理软件、显示器、交换机同一品牌 。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软件功能授权：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1、采用BS软件架构，中文图形化管理页面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2、为了方便管理和使用，要求管理平台至少要包括镜像管理、教室管理、用户管理等关键功能模块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3、为了满足基本教学的使用需求，要求镜像模版可以使用多种类型的操作系统，至少包括：win7 、win 10、win server 2008、win server 2012、Redhat、Ubuntu等操作系统版本。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4、为了方便后期的扩展性，要求同一虚拟教室的学生机可以按需工作在IDV、TCI、VDI任意一种模式下。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提供教学镜像隐藏功能，在云桌面控制器后台可实现针对指定教室的部分教学镜像对学生可见，部分镜像（如考试镜像）对学生不可见，当需要使用的时候，只需一键设置学生即可看到镜像，保证重要镜像的安全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6、支持用户进行的创建、修改、查询、删除的操作。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7、要求可以通过LDAP对接学校的统一身份平台，让用户也可以使用统一身份平台的用户信息，无需重新创建一个全新的用户体系。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为方便正版软件的部署和使用，要求所投产品支持个性化配置保存功能，在还原桌面的情况下，首次完成软件的逐台注册激活后，可以将激活信息保存至个人数据盘中。之后即使更新镜像模版也不会破坏激活信息，无需重新激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9、每台设备配置相应功能授权</w:t>
            </w:r>
          </w:p>
        </w:tc>
        <w:tc>
          <w:tcPr>
            <w:tcW w:w="8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9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液晶显示器</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硬件规格：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1、配置≥23.8寸 WLED，分辨率≥1920×1080，≥1个VGA接口 ，≥1个HDMI接口；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2、硬件形态：为保障使用时的动态清晰度、色彩还原准确、可视角度等方面的体验，需采用IPS屏，水平及垂直可视角度≥178°，亮度≥250 cd/m²，对比度≥1,000:1；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★3、为了保证产品质量，所投设备提供三年质保的书面声明（格式自拟）；</w:t>
            </w:r>
          </w:p>
        </w:tc>
        <w:tc>
          <w:tcPr>
            <w:tcW w:w="8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9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08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键盘鼠标</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1、键盘：连接方式：有线；键盘接口：USB；键盘按键数：104键；防水功能：防泼溅；人体工学：支持，键盘水滴字键；线长：1m以上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2、鼠标：工作方式：光电（针光）；鼠标分辨率：1000DPI；鼠标接口：USB；人体工学：鼠标对称设计；按键数：3键；滚轮方向：双向滚轮；线长：1m以上</w:t>
            </w:r>
          </w:p>
        </w:tc>
        <w:tc>
          <w:tcPr>
            <w:tcW w:w="8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9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0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管理终端</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硬件规格：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1、软硬件一体化设备，内置虚拟化系统和软件。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2、★配置≥Intel第八代四核四线程处理器（处理器主频≥3.6GHz）；内存≥8GB，显卡≥Intel UHD 630；本地存储≥256 GB SSD；</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3、终端主体尺寸部分(L*W*H)≤20cm*20cm*6cm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4、USB接口≥8个（包含≥2个USB 3.0接口），≥1个千兆网口，≥1个VGA接口，≥1个HDMI接口，≥1对音频输入输出接口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5、配置≥1个内存扩展槽，配置≥1个硬盘扩展槽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6、★为保障所投设备质量优异，可靠性高，要求所投设备平均故障间隔时间（MTBF）不低于120000小时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7、★为了方便后期的应用扩展，要求终端支持部署成IDV或TCI模式，要求提供实际操作截图</w:t>
            </w:r>
          </w:p>
        </w:tc>
        <w:tc>
          <w:tcPr>
            <w:tcW w:w="8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9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66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0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管理软件</w:t>
            </w:r>
          </w:p>
        </w:tc>
        <w:tc>
          <w:tcPr>
            <w:tcW w:w="1014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要求提供多种教学模式以应对不同的教学需求，包括信息课模式、考试模式等多种模式，并可根据学校实际教学需求增加自定义场景模式，每个模式下提供不同的教学镜像，切换模式时，云终端硬件无需重新启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2、为简化管理和使用方面，要求一套教学管理软件能够实现教学业务，同时能够进行终端管理，比如禁网、终端参数配置、终端编号等，不接受在教学机上安装多个软件来实现教学管理和终端管理功能。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通过教学管理软件，一键关闭云终端后，所有终端自动关闭（虚拟机与物理终端同时关闭）；通过教学管理软件，一键开启所有云终端后，终端自动启动并进入对那个的课程镜像桌面；通过教学管理软件，一键关闭服务器和云终端后，服务器和云终端都被关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4、为简化教学，教学管理软件需要提供远程终端编号功能，并与云桌面编号一一对应，方便上课前的学生点名等。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5、支持老师将选中的文件分发给学生，可以分发给所有学生，也可以分发给指定学生；同时支持学生直接将文件提交给老师，使用100M的rar文件，60台传输时间在55s以内。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为保证正常教学使用，教学机和学生终端完成正常开机，服务器处于关闭状态，在教学机可以实现屏幕广播；为方便在老师屏幕广播时，学生可以根据老师的演示同步进行学习操作，需提供窗口化广播模式，即在使窗口化广播时，学生可以调整老师广播屏幕大小，以便自由操作学生云终端的系统进行自由跟学，在屏幕广播的同时，老师可以选择是否广播声音给学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7、最小化托盘：为方便教学课堂教学时进行快捷操作，支持教学管理软件一键切换为托盘状态，托盘上应有屏幕广播，发送文件，随堂测试，作业空间，以及禁网、禁USB、锁屏等常用教学功能。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8、支持老师在线打开学生作业，格式至少包括Word、Flash、Excel、PPT、图片。在线查看学生作业后，可以在作业空间中打分并录入评语。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分组教学：支持老师对学生进行分组，分组时老师可以在软件界面根据学生姓名分组，每个班可以保存分组信息。老师可以指定小组组长，组名可以由组长和老师重命名。可记录小组总得分与小组内成员对小组的贡献值，同一组内的学生可以相互传送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10、账号灵活管理，支持管理员通过EXCEL导入学生和老师在作业空间的帐号，也可以单独修改、添加、删除帐号。学生、老师需要在登陆作业空间时，同时学生账号支持密码登陆和无密码登陆方式。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随堂测试：为提高教学效率，支持老师通过Web界面在办公室等其他场景录入题库，无需下载office或其他插件、模板，同时支持教室内截屏出题，口述出题等快速出题方式；教学可以通过全班答题、抢答等多种方式发起测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支持答题结果统计：可以通过多种维度统计学生答题结果。按题统计：可以查看每道题学生选项分布情况；按人统计：可查看每个学生的总得分和正确率；按组统计：在分组状态下，可以查看每组得分和组内学生贡献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13、作业空间内置网盘功能，学生可通过作业空间账号直接登录，学生没有做完的作业或文件，可以上传到在作业空间中独立的存储空间中，方便下次上课使用，网盘支持上传和下载。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14、年级一键升级：为简化账号管理维护工作，在每学年满了之后，所有的学生账号能够一键升级到高年级，不需要重新创建学生账号。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15、班级模型自动创建，为简化账号管理维护工作，支持通过签到的方式自动建立班级模型和账号。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16、微课中心：支持微课的上传、浏览及删除，老师将观看微课任务布置给学生，并可以附加测试试题，学生观看微课后完成答题，老师可以查看学生答题情况，并对答题结果统计分析。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17、为避免U-Key丢失和兼容性以及安全性问题，授权方式必须为文件授权方式，而非U-Key授权的方式。系统需自带个人题库、随堂测试等基础教学功能，不接受通过非原厂软件的方式来实现。</w:t>
            </w:r>
          </w:p>
        </w:tc>
        <w:tc>
          <w:tcPr>
            <w:tcW w:w="800"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92"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665" w:type="dxa"/>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1083" w:type="dxa"/>
            <w:vMerge w:val="continue"/>
            <w:shd w:val="clear" w:color="auto" w:fill="auto"/>
            <w:vAlign w:val="center"/>
          </w:tcPr>
          <w:p>
            <w:pPr>
              <w:jc w:val="center"/>
              <w:rPr>
                <w:rFonts w:hint="eastAsia" w:ascii="宋体" w:hAnsi="宋体" w:eastAsia="宋体" w:cs="宋体"/>
                <w:i w:val="0"/>
                <w:iCs w:val="0"/>
                <w:color w:val="auto"/>
                <w:sz w:val="22"/>
                <w:szCs w:val="22"/>
                <w:u w:val="none"/>
              </w:rPr>
            </w:pPr>
          </w:p>
        </w:tc>
        <w:tc>
          <w:tcPr>
            <w:tcW w:w="10140" w:type="dxa"/>
            <w:vMerge w:val="continue"/>
            <w:shd w:val="clear" w:color="auto" w:fill="auto"/>
            <w:vAlign w:val="center"/>
          </w:tcPr>
          <w:p>
            <w:pPr>
              <w:jc w:val="left"/>
              <w:rPr>
                <w:rFonts w:hint="eastAsia" w:ascii="宋体" w:hAnsi="宋体" w:eastAsia="宋体" w:cs="宋体"/>
                <w:i w:val="0"/>
                <w:iCs w:val="0"/>
                <w:color w:val="auto"/>
                <w:sz w:val="20"/>
                <w:szCs w:val="20"/>
                <w:u w:val="none"/>
              </w:rPr>
            </w:pPr>
          </w:p>
        </w:tc>
        <w:tc>
          <w:tcPr>
            <w:tcW w:w="800" w:type="dxa"/>
            <w:vMerge w:val="continue"/>
            <w:shd w:val="clear" w:color="auto" w:fill="auto"/>
            <w:noWrap/>
            <w:vAlign w:val="center"/>
          </w:tcPr>
          <w:p>
            <w:pPr>
              <w:jc w:val="center"/>
              <w:rPr>
                <w:rFonts w:hint="eastAsia" w:ascii="宋体" w:hAnsi="宋体" w:eastAsia="宋体" w:cs="宋体"/>
                <w:i w:val="0"/>
                <w:iCs w:val="0"/>
                <w:color w:val="auto"/>
                <w:sz w:val="24"/>
                <w:szCs w:val="24"/>
                <w:u w:val="none"/>
              </w:rPr>
            </w:pPr>
          </w:p>
        </w:tc>
        <w:tc>
          <w:tcPr>
            <w:tcW w:w="892" w:type="dxa"/>
            <w:vMerge w:val="continue"/>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0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24口接入交换机</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1、配置≥24口10/100/1000M自适应端口，≥4个100/1000M SFP光口（非复用）；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2、交换容量≥330Gbps，包转发率≥87Mpps；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3、设备采用静音无风扇节能设计；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5、符合国家低碳环保等政策要求，支持802.3az高效节能以太网络（EEE）技术；</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0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48口接入交换机</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1、配置≥48口10/100/1000M自适应端口，≥4个100/1000M SFP光口（非复用）；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2、交换容量≥330Gbps，包转发率≥120Mpps；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3、设备自带云管理功能，支持一键设备发现，并在线生成交付验收报告；支持一键全网巡检操作，随时随地掌握网络健康状况，并自动生成巡检报告；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5、符合国家低碳环保等政策要求，支持802.3az高效节能以太网络（EEE）技术。</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0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讲台</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1、整体设计符合人机工程学，讲台整体精致美观。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2、整体采用分体式结构，规格为800mm、宽515mm、高900mm；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3、多媒体讲台整体采用1.0mm优质冷轧钢板，无接缝，边缘及拐角均采用圆弧设计，确保学生安全，耐冲击性强，防盗性能优越。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颜色选用哑光灰白色，讲台面板及木扶手采用优质木板加工成型，表面进行低温物理工艺处理；下体前门采用木纹色，表面经脱脂磷化工艺处理后选用优质塑粉静电喷涂而成，耐腐蚀性强，色彩搭配靓丽，美观耐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5、讲台上体留有储物抽屉，抽拉式开关方式，可放置教学工具；讲台下体留有大空间放置教学教具；一把钥匙通开；桌面预留接线走线孔。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6、全部的加工件均采用模具成型，先进的工装夹具、配合全自动焊接工艺，保障尺寸精度及各部件一致性。</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学生桌</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人学生桌规格：1400*600*750（长*宽*高）本款电脑桌为钢木结构，产品外形尺寸的极限偏差宽±2mm，深±2mm，高±1mm，各部分使用的材料：桌面基材为25mm鸭嘴优质实木颗粒双饰面板，其表面硬度高，耐磨、耐刮、耐酸碱、阻燃等性能，板材截面进行2mm厚的PVC封边。桌子框架材料采用SPCC优质冷轧钢板，框架厚度1、5mm，板材厚度≥1、2mm，先进的静电喷涂处理工艺，颜色为灰白色，外形高档，安装简易，维护快捷，防火耐用，表面光滑无尖角毛刺。</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10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学生凳</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学生凳：全钢冲孔方凳（350*250*450）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凳面采用0、8mm的优质冷轧钢板，经模具一次性冲压而成；凳面表面带透气孔。外形尺寸：350*250*450mm，凳架采用25*25的方管，焊壁厚1、2mm；焊接部分采用二氧化碳保护焊无缝焊接而成，坚固耐用；表面经除锈磷化处理后静电喷涂，经高温加热成型，此工艺附着力强不易掉漆，经久耐用、环保，表面光滑无尖角毛刺。与地面连接处加环保耐磨胶垫，使方凳使用无异声，确保对地板无任何伤害，执行标准：QB/T2384-2010，技术要求：产品外形尺寸的极限偏差±1mm</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10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机柜</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每间教室配备≥24U标准服务器机柜1台，承重≥100KG且稳定性好。</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10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辅材安装</w:t>
            </w:r>
          </w:p>
        </w:tc>
        <w:tc>
          <w:tcPr>
            <w:tcW w:w="10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系统集成配置电源线一律国标各类线材、国标超六类网线，辅材具体数量根据现场实际需要确定，安装防静电地板。</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批</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r>
    </w:tbl>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p>
      <w:pPr>
        <w:rPr>
          <w:color w:val="auto"/>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
        <w:gridCol w:w="360"/>
        <w:gridCol w:w="48"/>
        <w:gridCol w:w="791"/>
        <w:gridCol w:w="37"/>
        <w:gridCol w:w="933"/>
        <w:gridCol w:w="8483"/>
        <w:gridCol w:w="50"/>
        <w:gridCol w:w="650"/>
        <w:gridCol w:w="184"/>
        <w:gridCol w:w="400"/>
        <w:gridCol w:w="283"/>
        <w:gridCol w:w="133"/>
        <w:gridCol w:w="734"/>
        <w:gridCol w:w="833"/>
        <w:gridCol w:w="67"/>
        <w:gridCol w:w="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029" w:type="dxa"/>
            <w:gridSpan w:val="11"/>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10、策勒县津南小学阅览室设备采购计划</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编号</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848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  型号  功能</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4"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图书架</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钢制书架，阅览室双面灰色铁架子双面六层主架高200长190深45cm</w:t>
            </w:r>
          </w:p>
        </w:tc>
        <w:tc>
          <w:tcPr>
            <w:tcW w:w="70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58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45" w:type="dxa"/>
            <w:gridSpan w:val="6"/>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326515" cy="1083310"/>
                  <wp:effectExtent l="0" t="0" r="14605" b="13970"/>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16"/>
                          <a:stretch>
                            <a:fillRect/>
                          </a:stretch>
                        </pic:blipFill>
                        <pic:spPr>
                          <a:xfrm>
                            <a:off x="0" y="0"/>
                            <a:ext cx="1326515" cy="108331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3"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斜面报纸柜</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橡木斜面报纸柜</w:t>
            </w:r>
          </w:p>
        </w:tc>
        <w:tc>
          <w:tcPr>
            <w:tcW w:w="70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58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4 </w:t>
            </w:r>
          </w:p>
        </w:tc>
        <w:tc>
          <w:tcPr>
            <w:tcW w:w="2145" w:type="dxa"/>
            <w:gridSpan w:val="6"/>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159385</wp:posOffset>
                  </wp:positionH>
                  <wp:positionV relativeFrom="paragraph">
                    <wp:posOffset>137795</wp:posOffset>
                  </wp:positionV>
                  <wp:extent cx="1127125" cy="770255"/>
                  <wp:effectExtent l="0" t="0" r="635" b="698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17"/>
                          <a:stretch>
                            <a:fillRect/>
                          </a:stretch>
                        </pic:blipFill>
                        <pic:spPr>
                          <a:xfrm>
                            <a:off x="0" y="0"/>
                            <a:ext cx="1127125" cy="770255"/>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159385</wp:posOffset>
                  </wp:positionH>
                  <wp:positionV relativeFrom="paragraph">
                    <wp:posOffset>137795</wp:posOffset>
                  </wp:positionV>
                  <wp:extent cx="1127125" cy="770255"/>
                  <wp:effectExtent l="0" t="0" r="635" b="6985"/>
                  <wp:wrapNone/>
                  <wp:docPr id="4" name="图片_2_SpCnt_1"/>
                  <wp:cNvGraphicFramePr/>
                  <a:graphic xmlns:a="http://schemas.openxmlformats.org/drawingml/2006/main">
                    <a:graphicData uri="http://schemas.openxmlformats.org/drawingml/2006/picture">
                      <pic:pic xmlns:pic="http://schemas.openxmlformats.org/drawingml/2006/picture">
                        <pic:nvPicPr>
                          <pic:cNvPr id="4" name="图片_2_SpCnt_1"/>
                          <pic:cNvPicPr/>
                        </pic:nvPicPr>
                        <pic:blipFill>
                          <a:blip r:embed="rId17"/>
                          <a:stretch>
                            <a:fillRect/>
                          </a:stretch>
                        </pic:blipFill>
                        <pic:spPr>
                          <a:xfrm>
                            <a:off x="0" y="0"/>
                            <a:ext cx="1127125" cy="77025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5"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阅览桌</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阅览桌拼接美术桌现代</w:t>
            </w:r>
            <w:r>
              <w:rPr>
                <w:rStyle w:val="114"/>
                <w:rFonts w:hint="eastAsia" w:ascii="宋体" w:hAnsi="宋体" w:eastAsia="宋体" w:cs="宋体"/>
                <w:color w:val="auto"/>
                <w:sz w:val="24"/>
                <w:szCs w:val="24"/>
                <w:lang w:val="en-US" w:eastAsia="zh-CN" w:bidi="ar"/>
              </w:rPr>
              <w:t xml:space="preserve"> </w:t>
            </w:r>
            <w:r>
              <w:rPr>
                <w:rStyle w:val="103"/>
                <w:rFonts w:hint="eastAsia" w:ascii="宋体" w:hAnsi="宋体" w:eastAsia="宋体" w:cs="宋体"/>
                <w:color w:val="auto"/>
                <w:lang w:val="en-US" w:eastAsia="zh-CN" w:bidi="ar"/>
              </w:rPr>
              <w:t>六桌六椅6</w:t>
            </w:r>
            <w:r>
              <w:rPr>
                <w:rStyle w:val="114"/>
                <w:rFonts w:hint="eastAsia" w:ascii="宋体" w:hAnsi="宋体" w:eastAsia="宋体" w:cs="宋体"/>
                <w:color w:val="auto"/>
                <w:sz w:val="24"/>
                <w:szCs w:val="24"/>
                <w:lang w:val="en-US" w:eastAsia="zh-CN" w:bidi="ar"/>
              </w:rPr>
              <w:t>0*120CM</w:t>
            </w:r>
            <w:r>
              <w:rPr>
                <w:rStyle w:val="103"/>
                <w:rFonts w:hint="eastAsia" w:ascii="宋体" w:hAnsi="宋体" w:eastAsia="宋体" w:cs="宋体"/>
                <w:color w:val="auto"/>
                <w:lang w:val="en-US" w:eastAsia="zh-CN" w:bidi="ar"/>
              </w:rPr>
              <w:t>单层颜色</w:t>
            </w:r>
          </w:p>
        </w:tc>
        <w:tc>
          <w:tcPr>
            <w:tcW w:w="70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58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45" w:type="dxa"/>
            <w:gridSpan w:val="6"/>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113665</wp:posOffset>
                  </wp:positionH>
                  <wp:positionV relativeFrom="paragraph">
                    <wp:posOffset>112395</wp:posOffset>
                  </wp:positionV>
                  <wp:extent cx="1097280" cy="807085"/>
                  <wp:effectExtent l="0" t="0" r="0" b="635"/>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18"/>
                          <a:stretch>
                            <a:fillRect/>
                          </a:stretch>
                        </pic:blipFill>
                        <pic:spPr>
                          <a:xfrm>
                            <a:off x="0" y="0"/>
                            <a:ext cx="1097280" cy="80708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9"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图书管理工作台</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前台桌接待台</w:t>
            </w:r>
            <w:r>
              <w:rPr>
                <w:rStyle w:val="114"/>
                <w:rFonts w:hint="eastAsia" w:ascii="宋体" w:hAnsi="宋体" w:eastAsia="宋体" w:cs="宋体"/>
                <w:color w:val="auto"/>
                <w:sz w:val="24"/>
                <w:szCs w:val="24"/>
                <w:lang w:val="en-US" w:eastAsia="zh-CN" w:bidi="ar"/>
              </w:rPr>
              <w:t xml:space="preserve"> </w:t>
            </w:r>
            <w:r>
              <w:rPr>
                <w:rStyle w:val="103"/>
                <w:rFonts w:hint="eastAsia" w:ascii="宋体" w:hAnsi="宋体" w:eastAsia="宋体" w:cs="宋体"/>
                <w:color w:val="auto"/>
                <w:lang w:val="en-US" w:eastAsia="zh-CN" w:bidi="ar"/>
              </w:rPr>
              <w:t>收银台小型储物柜</w:t>
            </w:r>
            <w:r>
              <w:rPr>
                <w:rStyle w:val="114"/>
                <w:rFonts w:hint="eastAsia" w:ascii="宋体" w:hAnsi="宋体" w:eastAsia="宋体" w:cs="宋体"/>
                <w:color w:val="auto"/>
                <w:sz w:val="24"/>
                <w:szCs w:val="24"/>
                <w:lang w:val="en-US" w:eastAsia="zh-CN" w:bidi="ar"/>
              </w:rPr>
              <w:t xml:space="preserve"> </w:t>
            </w:r>
            <w:r>
              <w:rPr>
                <w:rStyle w:val="103"/>
                <w:rFonts w:hint="eastAsia" w:ascii="宋体" w:hAnsi="宋体" w:eastAsia="宋体" w:cs="宋体"/>
                <w:color w:val="auto"/>
                <w:lang w:val="en-US" w:eastAsia="zh-CN" w:bidi="ar"/>
              </w:rPr>
              <w:t>电脑桌办公家具带抽屉柜耐磨防水</w:t>
            </w:r>
            <w:r>
              <w:rPr>
                <w:rStyle w:val="114"/>
                <w:rFonts w:hint="eastAsia" w:ascii="宋体" w:hAnsi="宋体" w:eastAsia="宋体" w:cs="宋体"/>
                <w:color w:val="auto"/>
                <w:sz w:val="24"/>
                <w:szCs w:val="24"/>
                <w:lang w:val="en-US" w:eastAsia="zh-CN" w:bidi="ar"/>
              </w:rPr>
              <w:t xml:space="preserve"> </w:t>
            </w:r>
            <w:r>
              <w:rPr>
                <w:rStyle w:val="103"/>
                <w:rFonts w:hint="eastAsia" w:ascii="宋体" w:hAnsi="宋体" w:eastAsia="宋体" w:cs="宋体"/>
                <w:color w:val="auto"/>
                <w:lang w:val="en-US" w:eastAsia="zh-CN" w:bidi="ar"/>
              </w:rPr>
              <w:t>仿大理石黑右拐</w:t>
            </w:r>
            <w:r>
              <w:rPr>
                <w:rStyle w:val="114"/>
                <w:rFonts w:hint="eastAsia" w:ascii="宋体" w:hAnsi="宋体" w:eastAsia="宋体" w:cs="宋体"/>
                <w:color w:val="auto"/>
                <w:sz w:val="24"/>
                <w:szCs w:val="24"/>
                <w:lang w:val="en-US" w:eastAsia="zh-CN" w:bidi="ar"/>
              </w:rPr>
              <w:t xml:space="preserve"> 200x100x110cm</w:t>
            </w:r>
            <w:r>
              <w:rPr>
                <w:rStyle w:val="103"/>
                <w:rFonts w:hint="eastAsia" w:ascii="宋体" w:hAnsi="宋体" w:eastAsia="宋体" w:cs="宋体"/>
                <w:color w:val="auto"/>
                <w:lang w:val="en-US" w:eastAsia="zh-CN" w:bidi="ar"/>
              </w:rPr>
              <w:t>送固定柜</w:t>
            </w:r>
          </w:p>
        </w:tc>
        <w:tc>
          <w:tcPr>
            <w:tcW w:w="70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58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45" w:type="dxa"/>
            <w:gridSpan w:val="6"/>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198755</wp:posOffset>
                  </wp:positionH>
                  <wp:positionV relativeFrom="paragraph">
                    <wp:posOffset>85090</wp:posOffset>
                  </wp:positionV>
                  <wp:extent cx="960120" cy="701040"/>
                  <wp:effectExtent l="0" t="0" r="0" b="0"/>
                  <wp:wrapNone/>
                  <wp:docPr id="5" name="图片_2_SpCnt_2"/>
                  <wp:cNvGraphicFramePr/>
                  <a:graphic xmlns:a="http://schemas.openxmlformats.org/drawingml/2006/main">
                    <a:graphicData uri="http://schemas.openxmlformats.org/drawingml/2006/picture">
                      <pic:pic xmlns:pic="http://schemas.openxmlformats.org/drawingml/2006/picture">
                        <pic:nvPicPr>
                          <pic:cNvPr id="5" name="图片_2_SpCnt_2"/>
                          <pic:cNvPicPr/>
                        </pic:nvPicPr>
                        <pic:blipFill>
                          <a:blip r:embed="rId19"/>
                          <a:stretch>
                            <a:fillRect/>
                          </a:stretch>
                        </pic:blipFill>
                        <pic:spPr>
                          <a:xfrm>
                            <a:off x="0" y="0"/>
                            <a:ext cx="960120" cy="70104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198755</wp:posOffset>
                  </wp:positionH>
                  <wp:positionV relativeFrom="paragraph">
                    <wp:posOffset>85090</wp:posOffset>
                  </wp:positionV>
                  <wp:extent cx="922020" cy="677545"/>
                  <wp:effectExtent l="0" t="0" r="7620" b="8255"/>
                  <wp:wrapNone/>
                  <wp:docPr id="6" name="图片_2_SpCnt_3"/>
                  <wp:cNvGraphicFramePr/>
                  <a:graphic xmlns:a="http://schemas.openxmlformats.org/drawingml/2006/main">
                    <a:graphicData uri="http://schemas.openxmlformats.org/drawingml/2006/picture">
                      <pic:pic xmlns:pic="http://schemas.openxmlformats.org/drawingml/2006/picture">
                        <pic:nvPicPr>
                          <pic:cNvPr id="6" name="图片_2_SpCnt_3"/>
                          <pic:cNvPicPr/>
                        </pic:nvPicPr>
                        <pic:blipFill>
                          <a:blip r:embed="rId20"/>
                          <a:stretch>
                            <a:fillRect/>
                          </a:stretch>
                        </pic:blipFill>
                        <pic:spPr>
                          <a:xfrm>
                            <a:off x="0" y="0"/>
                            <a:ext cx="922020" cy="67754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0"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木质阅览桌</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橡木阅览课桌椅组合大桌子【单桌】</w:t>
            </w:r>
            <w:r>
              <w:rPr>
                <w:rStyle w:val="114"/>
                <w:rFonts w:hint="eastAsia" w:ascii="宋体" w:hAnsi="宋体" w:eastAsia="宋体" w:cs="宋体"/>
                <w:color w:val="auto"/>
                <w:sz w:val="24"/>
                <w:szCs w:val="24"/>
                <w:lang w:val="en-US" w:eastAsia="zh-CN" w:bidi="ar"/>
              </w:rPr>
              <w:t>400*120*75</w:t>
            </w:r>
            <w:r>
              <w:rPr>
                <w:rStyle w:val="103"/>
                <w:rFonts w:hint="eastAsia" w:ascii="宋体" w:hAnsi="宋体" w:eastAsia="宋体" w:cs="宋体"/>
                <w:color w:val="auto"/>
                <w:lang w:val="en-US" w:eastAsia="zh-CN" w:bidi="ar"/>
              </w:rPr>
              <w:t>（板厚</w:t>
            </w:r>
            <w:r>
              <w:rPr>
                <w:rStyle w:val="114"/>
                <w:rFonts w:hint="eastAsia" w:ascii="宋体" w:hAnsi="宋体" w:eastAsia="宋体" w:cs="宋体"/>
                <w:color w:val="auto"/>
                <w:sz w:val="24"/>
                <w:szCs w:val="24"/>
                <w:lang w:val="en-US" w:eastAsia="zh-CN" w:bidi="ar"/>
              </w:rPr>
              <w:t>8CM</w:t>
            </w:r>
            <w:r>
              <w:rPr>
                <w:rStyle w:val="103"/>
                <w:rFonts w:hint="eastAsia" w:ascii="宋体" w:hAnsi="宋体" w:eastAsia="宋体" w:cs="宋体"/>
                <w:color w:val="auto"/>
                <w:lang w:val="en-US" w:eastAsia="zh-CN" w:bidi="ar"/>
              </w:rPr>
              <w:t>）一桌10椅</w:t>
            </w:r>
          </w:p>
        </w:tc>
        <w:tc>
          <w:tcPr>
            <w:tcW w:w="70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58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45" w:type="dxa"/>
            <w:gridSpan w:val="6"/>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1" locked="0" layoutInCell="1" allowOverlap="1">
                  <wp:simplePos x="0" y="0"/>
                  <wp:positionH relativeFrom="column">
                    <wp:posOffset>63500</wp:posOffset>
                  </wp:positionH>
                  <wp:positionV relativeFrom="paragraph">
                    <wp:posOffset>-110490</wp:posOffset>
                  </wp:positionV>
                  <wp:extent cx="1104900" cy="648335"/>
                  <wp:effectExtent l="0" t="0" r="7620" b="6985"/>
                  <wp:wrapTight wrapText="bothSides">
                    <wp:wrapPolygon>
                      <wp:start x="0" y="0"/>
                      <wp:lineTo x="0" y="21325"/>
                      <wp:lineTo x="21451" y="21325"/>
                      <wp:lineTo x="21451" y="0"/>
                      <wp:lineTo x="0" y="0"/>
                    </wp:wrapPolygon>
                  </wp:wrapTight>
                  <wp:docPr id="8" name="图片_3_SpCnt_1"/>
                  <wp:cNvGraphicFramePr/>
                  <a:graphic xmlns:a="http://schemas.openxmlformats.org/drawingml/2006/main">
                    <a:graphicData uri="http://schemas.openxmlformats.org/drawingml/2006/picture">
                      <pic:pic xmlns:pic="http://schemas.openxmlformats.org/drawingml/2006/picture">
                        <pic:nvPicPr>
                          <pic:cNvPr id="8" name="图片_3_SpCnt_1"/>
                          <pic:cNvPicPr/>
                        </pic:nvPicPr>
                        <pic:blipFill>
                          <a:blip r:embed="rId21"/>
                          <a:stretch>
                            <a:fillRect/>
                          </a:stretch>
                        </pic:blipFill>
                        <pic:spPr>
                          <a:xfrm>
                            <a:off x="0" y="0"/>
                            <a:ext cx="1104900" cy="64833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书车</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图书馆专用</w:t>
            </w:r>
          </w:p>
        </w:tc>
        <w:tc>
          <w:tcPr>
            <w:tcW w:w="70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58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三层书梯</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专业标准</w:t>
            </w:r>
          </w:p>
        </w:tc>
        <w:tc>
          <w:tcPr>
            <w:tcW w:w="70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w:t>
            </w:r>
          </w:p>
        </w:tc>
        <w:tc>
          <w:tcPr>
            <w:tcW w:w="58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图书馆电脑</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1.机型 国内品牌商用台式机。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2.CPU&amp;主板 ≥六核，主频3.6GHz，≥PRO560芯片组及以上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3.扩展槽 ≥1个PCI-E*16，≥2个PCI-E*1, ≥1个PCI。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4.内存 ≥4G DDR4 2400MHz，双插槽 。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5.显卡 高性能独立显卡，显存2G。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6.接口 8个USB接口，前4后4（前置2*USB3.1 G2,2*USB3.1 G1），串口一个，支持读卡器。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7.硬盘 ≥1TB STAT 7200RM硬盘；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8.显示器 ≥21.5吋 宽屏LED低蓝光护眼显示器，支低蓝光调节。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9.键鼠 PS/2防水抗菌键盘、USB光电抗菌鼠标。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10.电源 110/220V  节能电源  ≤210WES-SXL。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11.操作系统 出厂预装WINDOWS正版操作系统。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12.机箱 标准MATX立式机箱，顶置开关，顶置提手，机箱体积不大于15L。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13.整机认证 要求针对主机主要部件提供3年保修及3年上门服务（400电话可查）。                   </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0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文件柜</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185*40*90cm，实木材质</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10</w:t>
            </w:r>
          </w:p>
        </w:tc>
        <w:tc>
          <w:tcPr>
            <w:tcW w:w="839" w:type="dxa"/>
            <w:gridSpan w:val="2"/>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图书管理系统及配套</w:t>
            </w:r>
          </w:p>
        </w:tc>
        <w:tc>
          <w:tcPr>
            <w:tcW w:w="97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图书管理系统</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1.系统架构为SAAS，采用多层架模式，基于JAVAEE架构标准进行开发设计；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软件采用B/S、C/S两种模式；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3.后台采用最流行的关系型数据库MySQL,具有数据安全、稳等特点；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可将书商提供的随书MARC导入本地套录库，进行精准检索，提高编目的准确性；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 编目参数可根据管理员需求设置表单填空式编目、专业MARC编目，两种方式数据同步更新；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6.图书编目时支持多数据源免费检索，包括本地中央数据库、套录库、云端数据库（即厂商自带数据库）、Z39.50服务器至少四种检索源。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支持不规范MARC检测功能，如保存时检测，系统应明确提示不规范字段，如保存时支持不规范数据保存，系统自动将不规范MARC数据分离显示，方便操作员精准修改不规范MARC数据，实现实时检测MARC数据，以保证MARC标准规范性；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在编目检索过程中，如本地中央数据库有该数据，无需查看图书基本信息，可直接添加复本、多卷完成图书著录，如通过套录库、云端数据库、Z39.50服务器检索出该数据，则自动套录至本地中央数据库，从检索该数据到套录数据至本地中央数据库完成时间应在1秒内，以提高编目效率、准确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 支持书标打印、条形码打印，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 支持编目员工作量统计，支持编目日期、操作员统计结果，系统支持打印、导出结果；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 支持编目综合统计，按馆藏地、编目批次、文献状态、文献语种、文献类型、中图法分类、入库人员等显示统计结果，支持打印、导出统计结果；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 流通系统支持IC卡、条码卡借还、二维码电子借阅证，支持对接学校现有一卡通系统，避免图书馆工作人员进行第二次办证的情况；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 可按文献类别统计出每个类别的总借阅次数及导出结果；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 支持多条件查询文献借阅排行及读者借阅排行及导出查询结果；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 支持借阅查询，可根据读者、条形码等查询当前借阅、历史借阅记录，支持打印、导出；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 支持期刊预定数据导入，导入格式支持ISO2709，批量导入时选择批次号、供货单位支持快捷新建功能；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 支持期刊记到功能；支持期刊合刊、増刊；每一种期刊记录完成后有最终完成日期及完成记到提示；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18. 支持单个期刊预定信息新增，支持设置核心期刊，期刊可以批续订;期刊记到时，可根据当期期刊数量，分别分发馆藏地点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19. 支持读者管理功能；包括新读者办证、换证、退证操作，针对单一读者进行收、退费操作；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20. 可批量修改读者类型、单位、状态、截至日期、密码等快捷操作；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21.可支持编目、流通、阅览、预约、读者、期刊统计，支持在线打印及文件导出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22.可对整馆索书号生成方式进行设置；支持种次号、著者号、四角号码、著者首拼等方式选择；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23.  支持设置架位号生成方式；可支持索书号范围、条码号进行设置；实现将馆内图书批量定位功，支持导入外部指定文件进行批量设定架位，可实现精准锁定每本书位置，有助图书于明确馆藏图书位置，便于读者、馆员快速找到所需图书位置，节省时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24支持阅览室管理功能，支持签到签退、预览详情(签到签退明细清单，可显示读者在馆时长)、可以现刊流通。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25.支持邮件、短信配置；可对已发送的邮件、短信进行管理(基于通讯信息化管理，为方便读者了解自身预约、超期等借书情况。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26.系统内置帮助文档，讲解软件功能的使用，应以图文并茂、视频讲解两种方式体现，方便管理员进行在线学习，有助理解；</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lang w:val="en-US" w:eastAsia="zh-CN"/>
              </w:rPr>
            </w:pPr>
          </w:p>
        </w:tc>
        <w:tc>
          <w:tcPr>
            <w:tcW w:w="839"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97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扫描枪</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1、按键寿命高达3000万次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2、光源类型： 650nm纳米可视激光二极管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3、误码率：1/500万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4、安全性能：符合国家二级激光安全标准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5、条码类型：EAN-8，EAN-13，UPC-A，UPC-E，Code 39，Code 93，Code 128，EAN128，Codaber，Industoal 2 of 5，Interleave 2 of 5，Matrix 2 of 5，MSI，中国邮政码等。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6、支持接口：RS232，PS2键盘，USB等接口。扫描方式：自动或手动 传输速率  RS232 Baudeate:2400-38400  解析度      (4mil)景深(可调)  15-600mm(pcs0.9)</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读码速度  100次/秒读取仰角  60°读取倾角  45°  操作温度  -20°C-45°C储存温度  20°C-45°C  操作湿度  5%-85%储存湿度  5%-85%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7、电源  5V工作电流  48mA  静态电流  28mA跌落试验  1.5m (25次)  受光强度  日光4000Lux电磁干扰  符合en50081,par1规格外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防电磁干扰  符合en50081,par1规格</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839"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97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条形码</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 采用进口不干胶铜板纸，通过热转印技术打印，应用进口混合碳带，采用专业条码打印机打印，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2.可直接打印上图书馆的名称或单位名称 ;字母清晰 ;条码位数 6位--11。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3.可定制PVC材质(挂不掉、撕不破。永久识别)。</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839"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97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书标</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 专业定做高粘度图书馆专用书标，标准尺寸为：40MM*29MM,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2.（也可按照学校尺寸、颜色定做）</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3.表面覆膜处理，采用激光打印机打印，保证不掉色，必须采用高粘度，保证粘贴到书上不脱落。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4.配合图书管理软件使用，方便打印及粘贴。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5.通用版50个/张，每一大张A4尺寸</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839"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97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书标膜</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1.高透专用保护膜，粘度强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2.图书馆专用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3.规格：50*30，每卷1000枚</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839" w:type="dxa"/>
            <w:gridSpan w:val="2"/>
            <w:vMerge w:val="continue"/>
            <w:shd w:val="clear" w:color="auto" w:fill="auto"/>
            <w:vAlign w:val="center"/>
          </w:tcPr>
          <w:p>
            <w:pPr>
              <w:jc w:val="center"/>
              <w:rPr>
                <w:rFonts w:hint="eastAsia" w:ascii="宋体" w:hAnsi="宋体" w:eastAsia="宋体" w:cs="宋体"/>
                <w:i w:val="0"/>
                <w:iCs w:val="0"/>
                <w:color w:val="auto"/>
                <w:sz w:val="18"/>
                <w:szCs w:val="18"/>
                <w:u w:val="none"/>
              </w:rPr>
            </w:pPr>
          </w:p>
        </w:tc>
        <w:tc>
          <w:tcPr>
            <w:tcW w:w="97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借阅证（条码卡）</w:t>
            </w:r>
          </w:p>
        </w:tc>
        <w:tc>
          <w:tcPr>
            <w:tcW w:w="84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可根据采购方提供LOGO、背景图等定制设计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PVC材质，加膜处理，防磨损</w:t>
            </w:r>
          </w:p>
        </w:tc>
        <w:tc>
          <w:tcPr>
            <w:tcW w:w="70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53"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839"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装修</w:t>
            </w:r>
          </w:p>
        </w:tc>
        <w:tc>
          <w:tcPr>
            <w:tcW w:w="9453"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现代造型，刷清漆。开关插座及部分漏电电制：电线、线管：电线采用BVR-2.5㎡国际铜芯线。墙面科技类挂画。帘面材料：优质布料，功能：透光. 实木地板 （防水）：耐磨转数&gt;=1万转;吸水后膨率在3%以内;甲醛含量每100克地板的甲醛含量不得超过30毫克;地板厚度在10~15毫米之间,布置四周阅览室文化墙。灯饰：现代科技暖色护眼灯，8组。</w:t>
            </w:r>
          </w:p>
        </w:tc>
        <w:tc>
          <w:tcPr>
            <w:tcW w:w="700" w:type="dxa"/>
            <w:gridSpan w:val="2"/>
            <w:shd w:val="clear" w:color="auto" w:fill="auto"/>
            <w:vAlign w:val="center"/>
          </w:tcPr>
          <w:p>
            <w:pPr>
              <w:jc w:val="center"/>
              <w:rPr>
                <w:rFonts w:hint="eastAsia" w:ascii="宋体" w:hAnsi="宋体" w:eastAsia="宋体" w:cs="宋体"/>
                <w:i w:val="0"/>
                <w:iCs w:val="0"/>
                <w:color w:val="auto"/>
                <w:sz w:val="18"/>
                <w:szCs w:val="18"/>
                <w:u w:val="none"/>
              </w:rPr>
            </w:pPr>
          </w:p>
        </w:tc>
        <w:tc>
          <w:tcPr>
            <w:tcW w:w="5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145" w:type="dxa"/>
            <w:gridSpan w:val="6"/>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12352" w:type="dxa"/>
            <w:gridSpan w:val="1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11、策勒县津南小学心理咨询室设备采购计划</w:t>
            </w:r>
          </w:p>
        </w:tc>
        <w:tc>
          <w:tcPr>
            <w:tcW w:w="1567" w:type="dxa"/>
            <w:gridSpan w:val="2"/>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编号</w:t>
            </w:r>
          </w:p>
        </w:tc>
        <w:tc>
          <w:tcPr>
            <w:tcW w:w="828" w:type="dxa"/>
            <w:gridSpan w:val="2"/>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9466" w:type="dxa"/>
            <w:gridSpan w:val="3"/>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  型号  功能</w:t>
            </w:r>
          </w:p>
        </w:tc>
        <w:tc>
          <w:tcPr>
            <w:tcW w:w="834" w:type="dxa"/>
            <w:gridSpan w:val="2"/>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816" w:type="dxa"/>
            <w:gridSpan w:val="3"/>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567" w:type="dxa"/>
            <w:gridSpan w:val="2"/>
            <w:tcBorders>
              <w:top w:val="single" w:color="auto" w:sz="4" w:space="0"/>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心理咨询室团体活动椅</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每套环形组合桌，六个扇形桌面，六种颜色。颜色:红蓝绿黄橙白，能够根据团体活动需要，组合成圆形、扇形、方形、S形、C形、X形等十几种排列方式。材质:钢木材质，木质多层烤漆面板，金属支架，桌面支架采用直径2.5厘米圆管焊接而成，桌子外圆直径160厘米，高70厘米;根</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据团体辅导活动的专业要求，组合后圆的内直径是不低于40公分曲木背靠椅。选环保多层曲木板高频热压而成，双面贴优质可弯曲防火板,椅腿选钢管，表面电镀。座高理论保持在420-440mm之间。椅子靠背圆形设计，可放入扇形桌下面，节省空间。</w:t>
            </w:r>
          </w:p>
        </w:tc>
        <w:tc>
          <w:tcPr>
            <w:tcW w:w="83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套</w:t>
            </w:r>
          </w:p>
        </w:tc>
        <w:tc>
          <w:tcPr>
            <w:tcW w:w="816"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567" w:type="dxa"/>
            <w:gridSpan w:val="2"/>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心理咨询室沙盘</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沙盘游戏训练系统由沙盘、沙子、放置架、沙具、沙盘管理软件共5大部份组成。产品规格</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1.沙盘</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 尺寸</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标准沙盘：2个；内侧尺寸：57X72X7(Cm)；外侧尺寸：60X75X10(Cm)。</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颗粒板(饰面刨花)材质，高度可任意调整：65-100厘米，以腰部高度为宜，此时砂箱大体可以置于视野之内。</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 颜色外侧涂深颜色或木本色，内侧涂蓝色，可以让受训者感到挖砂子会挖出水。</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 放置架放置架2个沙子用沙:专业细砂数量：60公斤</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3、沙具柜</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1)大小尺寸150*100*30cm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2)层数。5-6层</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3)数量2个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 xml:space="preserve">4)颜色自然木纹色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4、沙具</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(1)种类: 17大类(风车、灯塔等标志类、公共标识类、交通工具类、公共建筑类、桥栅栏类、日月等自然物类、贝壳山石类、现实中人物类、空想人物类虚拟人物、恐龙怪兽类、家具、日用品类、水生动</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物、野生动物类、家禽家畜类、草坪类、植物类、军队类)</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(2)数量: 900个</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(3)材质:木质、陶瓷、塑料、玻璃、橡胶等多样</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(4)颜色:五彩</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5、沙盘管理软件</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可分类对沙盘训练析图片、视频以及文字资料进行管理。可以进行连续性对比观察分析。常见的沙具样图及配置明细，方便沙盘治疗的工作开展。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三、系统功能</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1)系统 是心理治疗的辅助工具，用于呈现使用者的潜意识内容，提供意识和无意识合作的桥梁;</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2)系统是非语言交流的工具,帮助使用者表达内心的想法，促进人际沟通;</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3)系统可用 于团队的配合使用，以提升团队的沟通合作,增强团队凝聚力。</w:t>
            </w:r>
          </w:p>
        </w:tc>
        <w:tc>
          <w:tcPr>
            <w:tcW w:w="83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个</w:t>
            </w:r>
          </w:p>
        </w:tc>
        <w:tc>
          <w:tcPr>
            <w:tcW w:w="816"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 xml:space="preserve">2 </w:t>
            </w:r>
          </w:p>
        </w:tc>
        <w:tc>
          <w:tcPr>
            <w:tcW w:w="1567" w:type="dxa"/>
            <w:gridSpan w:val="2"/>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宣泄人</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1、硅胶宣泄人1个，人体部分90*50cm， 高度可以自行调节，可调节范围是在168-178cm，主体重25KG,底座重7. 3KG，产品人性化设计结构简单，安装容易，击打时，摆动小，持久耐用、实心，手感好，如同真人的感觉，表面采用-级出口用硅胶，材料无毒环保，高弹性橡胶发泡，底座注水或者注沙，注入口超大，方便注沙或者注水，可注水110公斤，注沙165公斤;底座设计有合理的手抬孔，方便使用过程中的搬移，底座结实耐用，一次成型,易搬移、安装。</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2、护手套5对:可有效的缓冲打击时的撞击，采用了轻型耐用材料</w:t>
            </w:r>
          </w:p>
        </w:tc>
        <w:tc>
          <w:tcPr>
            <w:tcW w:w="83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个</w:t>
            </w:r>
          </w:p>
        </w:tc>
        <w:tc>
          <w:tcPr>
            <w:tcW w:w="816"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p>
        </w:tc>
        <w:tc>
          <w:tcPr>
            <w:tcW w:w="1567" w:type="dxa"/>
            <w:gridSpan w:val="2"/>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1498"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4</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宣泄立柱</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立式吸盘实心沙包家用成人儿童跆拳道健身器材武术搏击散打不倒翁。高175cm，底座直径60cm，柱体高123cm.</w:t>
            </w:r>
          </w:p>
        </w:tc>
        <w:tc>
          <w:tcPr>
            <w:tcW w:w="83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个</w:t>
            </w:r>
          </w:p>
        </w:tc>
        <w:tc>
          <w:tcPr>
            <w:tcW w:w="816"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p>
        </w:tc>
        <w:tc>
          <w:tcPr>
            <w:tcW w:w="1567"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20320</wp:posOffset>
                  </wp:positionH>
                  <wp:positionV relativeFrom="paragraph">
                    <wp:posOffset>61595</wp:posOffset>
                  </wp:positionV>
                  <wp:extent cx="843915" cy="854710"/>
                  <wp:effectExtent l="0" t="0" r="9525" b="13970"/>
                  <wp:wrapNone/>
                  <wp:docPr id="21" name="图片_14"/>
                  <wp:cNvGraphicFramePr/>
                  <a:graphic xmlns:a="http://schemas.openxmlformats.org/drawingml/2006/main">
                    <a:graphicData uri="http://schemas.openxmlformats.org/drawingml/2006/picture">
                      <pic:pic xmlns:pic="http://schemas.openxmlformats.org/drawingml/2006/picture">
                        <pic:nvPicPr>
                          <pic:cNvPr id="21" name="图片_14"/>
                          <pic:cNvPicPr/>
                        </pic:nvPicPr>
                        <pic:blipFill>
                          <a:blip r:embed="rId22"/>
                          <a:stretch>
                            <a:fillRect/>
                          </a:stretch>
                        </pic:blipFill>
                        <pic:spPr>
                          <a:xfrm>
                            <a:off x="0" y="0"/>
                            <a:ext cx="843915" cy="85471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1562"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放松沙发</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三人沙发 木质，仿真皮，清新蓝(推荐) 四人座长度1.8米：带2个抱枕</w:t>
            </w:r>
          </w:p>
        </w:tc>
        <w:tc>
          <w:tcPr>
            <w:tcW w:w="83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个</w:t>
            </w:r>
          </w:p>
        </w:tc>
        <w:tc>
          <w:tcPr>
            <w:tcW w:w="816"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567"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6432" behindDoc="0" locked="0" layoutInCell="1" allowOverlap="1">
                  <wp:simplePos x="0" y="0"/>
                  <wp:positionH relativeFrom="column">
                    <wp:posOffset>-24130</wp:posOffset>
                  </wp:positionH>
                  <wp:positionV relativeFrom="paragraph">
                    <wp:posOffset>-2540</wp:posOffset>
                  </wp:positionV>
                  <wp:extent cx="868045" cy="910590"/>
                  <wp:effectExtent l="0" t="0" r="635" b="3810"/>
                  <wp:wrapNone/>
                  <wp:docPr id="22" name="图片_4"/>
                  <wp:cNvGraphicFramePr/>
                  <a:graphic xmlns:a="http://schemas.openxmlformats.org/drawingml/2006/main">
                    <a:graphicData uri="http://schemas.openxmlformats.org/drawingml/2006/picture">
                      <pic:pic xmlns:pic="http://schemas.openxmlformats.org/drawingml/2006/picture">
                        <pic:nvPicPr>
                          <pic:cNvPr id="22" name="图片_4"/>
                          <pic:cNvPicPr/>
                        </pic:nvPicPr>
                        <pic:blipFill>
                          <a:blip r:embed="rId23"/>
                          <a:stretch>
                            <a:fillRect/>
                          </a:stretch>
                        </pic:blipFill>
                        <pic:spPr>
                          <a:xfrm>
                            <a:off x="0" y="0"/>
                            <a:ext cx="868045" cy="91059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6</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心理咨询室书籍</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《大众心理学》《小学生心理健康》等适合中小学生心理学书籍和杂志。</w:t>
            </w:r>
          </w:p>
        </w:tc>
        <w:tc>
          <w:tcPr>
            <w:tcW w:w="83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本</w:t>
            </w:r>
          </w:p>
        </w:tc>
        <w:tc>
          <w:tcPr>
            <w:tcW w:w="816"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100</w:t>
            </w:r>
          </w:p>
        </w:tc>
        <w:tc>
          <w:tcPr>
            <w:tcW w:w="1567" w:type="dxa"/>
            <w:gridSpan w:val="2"/>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1462"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7</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圆形旋转书架</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128cm*46cm,层高30cm</w:t>
            </w:r>
          </w:p>
        </w:tc>
        <w:tc>
          <w:tcPr>
            <w:tcW w:w="83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个</w:t>
            </w:r>
          </w:p>
        </w:tc>
        <w:tc>
          <w:tcPr>
            <w:tcW w:w="816"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 xml:space="preserve">2.0 </w:t>
            </w:r>
          </w:p>
        </w:tc>
        <w:tc>
          <w:tcPr>
            <w:tcW w:w="1567"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50800</wp:posOffset>
                  </wp:positionH>
                  <wp:positionV relativeFrom="paragraph">
                    <wp:posOffset>94615</wp:posOffset>
                  </wp:positionV>
                  <wp:extent cx="843915" cy="819150"/>
                  <wp:effectExtent l="0" t="0" r="9525" b="3810"/>
                  <wp:wrapNone/>
                  <wp:docPr id="23" name="图片_15"/>
                  <wp:cNvGraphicFramePr/>
                  <a:graphic xmlns:a="http://schemas.openxmlformats.org/drawingml/2006/main">
                    <a:graphicData uri="http://schemas.openxmlformats.org/drawingml/2006/picture">
                      <pic:pic xmlns:pic="http://schemas.openxmlformats.org/drawingml/2006/picture">
                        <pic:nvPicPr>
                          <pic:cNvPr id="23" name="图片_15"/>
                          <pic:cNvPicPr/>
                        </pic:nvPicPr>
                        <pic:blipFill>
                          <a:blip r:embed="rId24"/>
                          <a:stretch>
                            <a:fillRect/>
                          </a:stretch>
                        </pic:blipFill>
                        <pic:spPr>
                          <a:xfrm>
                            <a:off x="0" y="0"/>
                            <a:ext cx="843915" cy="8191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1631"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8</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书柜</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140cm*69cm*34cm,实木材质</w:t>
            </w:r>
          </w:p>
        </w:tc>
        <w:tc>
          <w:tcPr>
            <w:tcW w:w="834"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个</w:t>
            </w:r>
          </w:p>
        </w:tc>
        <w:tc>
          <w:tcPr>
            <w:tcW w:w="816"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567"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6432" behindDoc="0" locked="0" layoutInCell="1" allowOverlap="1">
                  <wp:simplePos x="0" y="0"/>
                  <wp:positionH relativeFrom="column">
                    <wp:posOffset>-41275</wp:posOffset>
                  </wp:positionH>
                  <wp:positionV relativeFrom="paragraph">
                    <wp:posOffset>52705</wp:posOffset>
                  </wp:positionV>
                  <wp:extent cx="898525" cy="974090"/>
                  <wp:effectExtent l="0" t="0" r="635" b="1270"/>
                  <wp:wrapNone/>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25"/>
                          <a:stretch>
                            <a:fillRect/>
                          </a:stretch>
                        </pic:blipFill>
                        <pic:spPr>
                          <a:xfrm>
                            <a:off x="0" y="0"/>
                            <a:ext cx="898525" cy="97409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9</w:t>
            </w:r>
          </w:p>
        </w:tc>
        <w:tc>
          <w:tcPr>
            <w:tcW w:w="82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软式宣泄室地板</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无毒、环保产品，尺寸100*100*3cm (长宽厚)安装简便，直接拼在地面即可。EVA发泡材料，表面有物理压花，无毒，环保，防滑。超强回弹，防水易清理。可以有效缓冲宣泄时的回弹，保持宣泄室清洁。宣泄时脱鞋进入，可较好维护宜泄室卫生，延长宜泄器材使用寿命。</w:t>
            </w:r>
          </w:p>
        </w:tc>
        <w:tc>
          <w:tcPr>
            <w:tcW w:w="83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平方</w:t>
            </w:r>
          </w:p>
        </w:tc>
        <w:tc>
          <w:tcPr>
            <w:tcW w:w="816"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10</w:t>
            </w:r>
          </w:p>
        </w:tc>
        <w:tc>
          <w:tcPr>
            <w:tcW w:w="1567" w:type="dxa"/>
            <w:gridSpan w:val="2"/>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w:t>
            </w:r>
          </w:p>
        </w:tc>
        <w:tc>
          <w:tcPr>
            <w:tcW w:w="82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心理咨询室毛绒玩具、积木</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毛绒玩具、大2个 小的5个、积木5套</w:t>
            </w:r>
          </w:p>
        </w:tc>
        <w:tc>
          <w:tcPr>
            <w:tcW w:w="83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6"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w:t>
            </w:r>
          </w:p>
        </w:tc>
        <w:tc>
          <w:tcPr>
            <w:tcW w:w="1567"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11</w:t>
            </w:r>
          </w:p>
        </w:tc>
        <w:tc>
          <w:tcPr>
            <w:tcW w:w="82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档案柜</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185*40*90cm，实木材质</w:t>
            </w:r>
          </w:p>
        </w:tc>
        <w:tc>
          <w:tcPr>
            <w:tcW w:w="83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个</w:t>
            </w:r>
          </w:p>
        </w:tc>
        <w:tc>
          <w:tcPr>
            <w:tcW w:w="816"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p>
        </w:tc>
        <w:tc>
          <w:tcPr>
            <w:tcW w:w="1567" w:type="dxa"/>
            <w:gridSpan w:val="2"/>
            <w:shd w:val="clear" w:color="auto" w:fill="auto"/>
            <w:noWrap/>
            <w:vAlign w:val="center"/>
          </w:tcPr>
          <w:p>
            <w:pP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1" locked="0" layoutInCell="1" allowOverlap="1">
                  <wp:simplePos x="0" y="0"/>
                  <wp:positionH relativeFrom="column">
                    <wp:posOffset>-50800</wp:posOffset>
                  </wp:positionH>
                  <wp:positionV relativeFrom="paragraph">
                    <wp:posOffset>-576580</wp:posOffset>
                  </wp:positionV>
                  <wp:extent cx="990600" cy="808355"/>
                  <wp:effectExtent l="0" t="0" r="0" b="14605"/>
                  <wp:wrapTight wrapText="bothSides">
                    <wp:wrapPolygon>
                      <wp:start x="0" y="0"/>
                      <wp:lineTo x="0" y="21176"/>
                      <wp:lineTo x="21268" y="21176"/>
                      <wp:lineTo x="21268" y="0"/>
                      <wp:lineTo x="0" y="0"/>
                    </wp:wrapPolygon>
                  </wp:wrapTight>
                  <wp:docPr id="25" name="图片_12"/>
                  <wp:cNvGraphicFramePr/>
                  <a:graphic xmlns:a="http://schemas.openxmlformats.org/drawingml/2006/main">
                    <a:graphicData uri="http://schemas.openxmlformats.org/drawingml/2006/picture">
                      <pic:pic xmlns:pic="http://schemas.openxmlformats.org/drawingml/2006/picture">
                        <pic:nvPicPr>
                          <pic:cNvPr id="25" name="图片_12"/>
                          <pic:cNvPicPr/>
                        </pic:nvPicPr>
                        <pic:blipFill>
                          <a:blip r:embed="rId26"/>
                          <a:stretch>
                            <a:fillRect/>
                          </a:stretch>
                        </pic:blipFill>
                        <pic:spPr>
                          <a:xfrm>
                            <a:off x="0" y="0"/>
                            <a:ext cx="990600" cy="80835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12</w:t>
            </w:r>
          </w:p>
        </w:tc>
        <w:tc>
          <w:tcPr>
            <w:tcW w:w="82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心语信箱</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亚克力板材质，独特造型。长31，宽12，高28cm</w:t>
            </w:r>
          </w:p>
        </w:tc>
        <w:tc>
          <w:tcPr>
            <w:tcW w:w="83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个</w:t>
            </w:r>
          </w:p>
        </w:tc>
        <w:tc>
          <w:tcPr>
            <w:tcW w:w="816"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4</w:t>
            </w:r>
          </w:p>
        </w:tc>
        <w:tc>
          <w:tcPr>
            <w:tcW w:w="1567" w:type="dxa"/>
            <w:gridSpan w:val="2"/>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6432" behindDoc="1" locked="0" layoutInCell="1" allowOverlap="1">
                  <wp:simplePos x="0" y="0"/>
                  <wp:positionH relativeFrom="column">
                    <wp:posOffset>-50165</wp:posOffset>
                  </wp:positionH>
                  <wp:positionV relativeFrom="paragraph">
                    <wp:posOffset>247650</wp:posOffset>
                  </wp:positionV>
                  <wp:extent cx="925195" cy="702310"/>
                  <wp:effectExtent l="0" t="0" r="4445" b="13970"/>
                  <wp:wrapTight wrapText="bothSides">
                    <wp:wrapPolygon>
                      <wp:start x="0" y="0"/>
                      <wp:lineTo x="0" y="21092"/>
                      <wp:lineTo x="21348" y="21092"/>
                      <wp:lineTo x="21348" y="0"/>
                      <wp:lineTo x="0" y="0"/>
                    </wp:wrapPolygon>
                  </wp:wrapTight>
                  <wp:docPr id="26" name="图片_17"/>
                  <wp:cNvGraphicFramePr/>
                  <a:graphic xmlns:a="http://schemas.openxmlformats.org/drawingml/2006/main">
                    <a:graphicData uri="http://schemas.openxmlformats.org/drawingml/2006/picture">
                      <pic:pic xmlns:pic="http://schemas.openxmlformats.org/drawingml/2006/picture">
                        <pic:nvPicPr>
                          <pic:cNvPr id="26" name="图片_17"/>
                          <pic:cNvPicPr/>
                        </pic:nvPicPr>
                        <pic:blipFill>
                          <a:blip r:embed="rId27"/>
                          <a:stretch>
                            <a:fillRect/>
                          </a:stretch>
                        </pic:blipFill>
                        <pic:spPr>
                          <a:xfrm>
                            <a:off x="0" y="0"/>
                            <a:ext cx="925195" cy="70231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2"/>
          <w:wBefore w:w="93" w:type="dxa"/>
          <w:wAfter w:w="162" w:type="dxa"/>
          <w:trHeight w:val="0" w:hRule="atLeast"/>
          <w:jc w:val="center"/>
        </w:trPr>
        <w:tc>
          <w:tcPr>
            <w:tcW w:w="40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13</w:t>
            </w:r>
          </w:p>
        </w:tc>
        <w:tc>
          <w:tcPr>
            <w:tcW w:w="82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装修</w:t>
            </w:r>
          </w:p>
        </w:tc>
        <w:tc>
          <w:tcPr>
            <w:tcW w:w="9466"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室内隔断打造两个空间，宣泄室和咨询室。分别布置心理咨询文化墙两面，现代造型，刷清漆。                            开关插座及部分漏电电制：电线、线管：电线采用BVR-2.5㎡国际铜芯线。                                                心理挂图中的图片所包含内容有心理学家图形、两歧图形、错觉图形、心理趣味图和主题统觉图片以及励志，积极向上等图片。高清相纸永不退色(不带框)，规格: 43*56CM。                                  帘面材料：暖色调窗帘(带窗纱），功能：透光暖色，长320cm*高300cm 。                                                实木地板 （防水）：耐磨转数&gt;=1万转;吸水后膨率在3%以内;甲醛含量每100克地板的甲醛含量不得超过30毫克;地板厚度在10~15毫米之间.心理咨询室背景墙贴(特大号）350*155cm。</w:t>
            </w:r>
          </w:p>
        </w:tc>
        <w:tc>
          <w:tcPr>
            <w:tcW w:w="83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平米</w:t>
            </w:r>
          </w:p>
        </w:tc>
        <w:tc>
          <w:tcPr>
            <w:tcW w:w="816"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92</w:t>
            </w:r>
          </w:p>
        </w:tc>
        <w:tc>
          <w:tcPr>
            <w:tcW w:w="1567" w:type="dxa"/>
            <w:gridSpan w:val="2"/>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95" w:type="dxa"/>
          <w:trHeight w:val="0" w:hRule="atLeast"/>
          <w:jc w:val="center"/>
        </w:trPr>
        <w:tc>
          <w:tcPr>
            <w:tcW w:w="13986" w:type="dxa"/>
            <w:gridSpan w:val="15"/>
            <w:tcBorders>
              <w:top w:val="nil"/>
              <w:left w:val="nil"/>
              <w:bottom w:val="nil"/>
              <w:right w:val="nil"/>
            </w:tcBorders>
            <w:shd w:val="clear" w:color="auto" w:fill="auto"/>
            <w:noWrap/>
            <w:vAlign w:val="center"/>
          </w:tcPr>
          <w:p>
            <w:pPr>
              <w:pStyle w:val="2"/>
              <w:rPr>
                <w:rFonts w:hint="eastAsia" w:ascii="宋体" w:hAnsi="宋体" w:eastAsia="宋体" w:cs="宋体"/>
                <w:color w:val="auto"/>
                <w:lang w:val="en-US" w:eastAsia="zh-CN"/>
              </w:rPr>
            </w:pPr>
          </w:p>
          <w:p>
            <w:pPr>
              <w:pStyle w:val="2"/>
              <w:jc w:val="center"/>
              <w:rPr>
                <w:rFonts w:hint="eastAsia" w:ascii="宋体" w:hAnsi="宋体" w:eastAsia="宋体" w:cs="宋体"/>
                <w:b/>
                <w:bCs/>
                <w:i w:val="0"/>
                <w:iCs w:val="0"/>
                <w:color w:val="auto"/>
                <w:kern w:val="0"/>
                <w:sz w:val="32"/>
                <w:szCs w:val="32"/>
                <w:u w:val="none"/>
                <w:lang w:val="en-US" w:eastAsia="zh-CN" w:bidi="ar"/>
              </w:rPr>
            </w:pPr>
          </w:p>
          <w:p>
            <w:pPr>
              <w:pStyle w:val="2"/>
              <w:jc w:val="center"/>
              <w:rPr>
                <w:rFonts w:hint="eastAsia" w:ascii="宋体" w:hAnsi="宋体" w:eastAsia="宋体" w:cs="宋体"/>
                <w:color w:val="auto"/>
              </w:rPr>
            </w:pPr>
            <w:r>
              <w:rPr>
                <w:rFonts w:hint="eastAsia" w:ascii="宋体" w:hAnsi="宋体" w:eastAsia="宋体" w:cs="宋体"/>
                <w:b/>
                <w:bCs/>
                <w:i w:val="0"/>
                <w:iCs w:val="0"/>
                <w:color w:val="auto"/>
                <w:kern w:val="0"/>
                <w:sz w:val="32"/>
                <w:szCs w:val="32"/>
                <w:u w:val="none"/>
                <w:lang w:val="en-US" w:eastAsia="zh-CN" w:bidi="ar"/>
              </w:rPr>
              <w:t>12、策勒县津南小学综合楼文化建设装修计划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95" w:type="dxa"/>
          <w:trHeight w:val="0" w:hRule="atLeast"/>
          <w:jc w:val="center"/>
        </w:trPr>
        <w:tc>
          <w:tcPr>
            <w:tcW w:w="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编号</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名称</w:t>
            </w:r>
          </w:p>
        </w:tc>
        <w:tc>
          <w:tcPr>
            <w:tcW w:w="109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规格  型号  功能</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95" w:type="dxa"/>
          <w:trHeight w:val="0" w:hRule="atLeast"/>
          <w:jc w:val="center"/>
        </w:trPr>
        <w:tc>
          <w:tcPr>
            <w:tcW w:w="40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2"/>
              <w:rPr>
                <w:rFonts w:hint="eastAsia" w:ascii="宋体" w:hAnsi="宋体" w:eastAsia="宋体" w:cs="宋体"/>
                <w:color w:val="auto"/>
              </w:rPr>
            </w:pPr>
            <w:r>
              <w:rPr>
                <w:rFonts w:hint="eastAsia" w:ascii="宋体" w:hAnsi="宋体" w:eastAsia="宋体" w:cs="宋体"/>
                <w:color w:val="auto"/>
                <w:lang w:val="en-US" w:eastAsia="zh-CN"/>
              </w:rPr>
              <w:t>11</w:t>
            </w:r>
          </w:p>
        </w:tc>
        <w:tc>
          <w:tcPr>
            <w:tcW w:w="82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一层装修</w:t>
            </w:r>
          </w:p>
        </w:tc>
        <w:tc>
          <w:tcPr>
            <w:tcW w:w="10983"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楼道、楼梯间校园文化布置，一层全部运用中国红色文化元素的文化墙(塑钢材质)，覆盖面不得低于百分之70。正门口安装仪容镜，班级门口公示牌（8个中空卡座，塑钢材质），每个班级内悬挂名人名言牌8个，中小学生行为规范、守则各一个。中国地图1个，世界地图一个。</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color w:val="auto"/>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95" w:type="dxa"/>
          <w:trHeight w:val="0" w:hRule="atLeast"/>
          <w:jc w:val="center"/>
        </w:trPr>
        <w:tc>
          <w:tcPr>
            <w:tcW w:w="408"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pStyle w:val="2"/>
              <w:rPr>
                <w:rFonts w:hint="eastAsia" w:ascii="宋体" w:hAnsi="宋体" w:eastAsia="宋体" w:cs="宋体"/>
                <w:color w:val="auto"/>
              </w:rPr>
            </w:pPr>
            <w:r>
              <w:rPr>
                <w:rFonts w:hint="eastAsia" w:ascii="宋体" w:hAnsi="宋体" w:eastAsia="宋体" w:cs="宋体"/>
                <w:color w:val="auto"/>
                <w:lang w:val="en-US" w:eastAsia="zh-CN"/>
              </w:rPr>
              <w:t>22</w:t>
            </w:r>
          </w:p>
        </w:tc>
        <w:tc>
          <w:tcPr>
            <w:tcW w:w="828" w:type="dxa"/>
            <w:gridSpan w:val="2"/>
            <w:tcBorders>
              <w:top w:val="single" w:color="auto" w:sz="4" w:space="0"/>
              <w:left w:val="nil"/>
              <w:bottom w:val="nil"/>
              <w:right w:val="nil"/>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二层装修</w:t>
            </w:r>
          </w:p>
        </w:tc>
        <w:tc>
          <w:tcPr>
            <w:tcW w:w="10983" w:type="dxa"/>
            <w:gridSpan w:val="7"/>
            <w:tcBorders>
              <w:top w:val="single" w:color="auto" w:sz="4" w:space="0"/>
              <w:left w:val="single" w:color="000000" w:sz="4" w:space="0"/>
              <w:bottom w:val="single" w:color="000000" w:sz="4" w:space="0"/>
              <w:right w:val="single" w:color="auto"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楼道、楼梯间校园文化布置，二层全部运用中国传统文化元素的文化墙(塑钢材质)，覆盖面不得低于百分之70。正门口安装仪容镜，班级门口公示牌（8个中空卡座，塑钢材质），每个班级内悬挂名人名言牌8个，中小学生行为规范、守则各一个。中国地图1个，世界地图一个。</w:t>
            </w:r>
          </w:p>
        </w:tc>
        <w:tc>
          <w:tcPr>
            <w:tcW w:w="86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color w:val="auto"/>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95" w:type="dxa"/>
          <w:trHeight w:val="0" w:hRule="atLeast"/>
          <w:jc w:val="center"/>
        </w:trPr>
        <w:tc>
          <w:tcPr>
            <w:tcW w:w="408"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pStyle w:val="2"/>
              <w:rPr>
                <w:rFonts w:hint="eastAsia" w:ascii="宋体" w:hAnsi="宋体" w:eastAsia="宋体" w:cs="宋体"/>
                <w:color w:val="auto"/>
              </w:rPr>
            </w:pPr>
            <w:r>
              <w:rPr>
                <w:rFonts w:hint="eastAsia" w:ascii="宋体" w:hAnsi="宋体" w:eastAsia="宋体" w:cs="宋体"/>
                <w:color w:val="auto"/>
                <w:lang w:val="en-US" w:eastAsia="zh-CN"/>
              </w:rPr>
              <w:t>33</w:t>
            </w:r>
          </w:p>
        </w:tc>
        <w:tc>
          <w:tcPr>
            <w:tcW w:w="82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三层装修</w:t>
            </w:r>
          </w:p>
        </w:tc>
        <w:tc>
          <w:tcPr>
            <w:tcW w:w="10983" w:type="dxa"/>
            <w:gridSpan w:val="7"/>
            <w:tcBorders>
              <w:top w:val="single" w:color="000000" w:sz="4" w:space="0"/>
              <w:left w:val="single" w:color="000000" w:sz="4" w:space="0"/>
              <w:bottom w:val="single" w:color="auto" w:sz="4" w:space="0"/>
              <w:right w:val="single" w:color="auto"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楼道、楼梯间校园文化布置，三层全部运用中国航天科技文化元素的文化墙(塑钢材质)，覆盖面不得低于百分之70。正门口安装仪容镜，班级门口公示牌（8个中空卡座，塑钢材质），每个班级内悬挂名人名言牌8个，中小学生行为规范、守则各一个。中国地图1个，世界地图一个。</w:t>
            </w:r>
          </w:p>
        </w:tc>
        <w:tc>
          <w:tcPr>
            <w:tcW w:w="86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color w:val="auto"/>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95" w:type="dxa"/>
          <w:trHeight w:val="0" w:hRule="atLeast"/>
          <w:jc w:val="center"/>
        </w:trPr>
        <w:tc>
          <w:tcPr>
            <w:tcW w:w="40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pStyle w:val="2"/>
              <w:rPr>
                <w:rFonts w:hint="eastAsia" w:ascii="宋体" w:hAnsi="宋体" w:eastAsia="宋体" w:cs="宋体"/>
                <w:color w:val="auto"/>
              </w:rPr>
            </w:pPr>
            <w:r>
              <w:rPr>
                <w:rFonts w:hint="eastAsia" w:ascii="宋体" w:hAnsi="宋体" w:eastAsia="宋体" w:cs="宋体"/>
                <w:color w:val="auto"/>
                <w:lang w:val="en-US" w:eastAsia="zh-CN"/>
              </w:rPr>
              <w:t>44</w:t>
            </w:r>
          </w:p>
        </w:tc>
        <w:tc>
          <w:tcPr>
            <w:tcW w:w="82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楼前显示LED屏</w:t>
            </w:r>
          </w:p>
        </w:tc>
        <w:tc>
          <w:tcPr>
            <w:tcW w:w="10983"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像数点间距 10mm 像素密度 10000Dots/㎡。</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像素构成 1R 灯管封装 SMD2835H</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尺寸(长*宽*厚) 320*160*14.2mm 重量 0.267kg±0.01kg</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结构特点 灯驱合一 模组分辨率 32*16=512Dots</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输入电压(直流) 4.5±0.1V 最大电流 ≤3.5A</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模组功率 ≤16W 驱动方式 1/4恒流驱动</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40A电源带模组数 8-9张 80A电源带模组数 17-18张。亮度 ≥1000cd/㎡ 亮度均匀性 ＞0.8</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屏幕水平视角 140±10度 屏幕垂直视角 130±10度</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最佳视距 ≥10m 使用环境 户外</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 xml:space="preserve">每平方模组最大功率 ≤308W/㎡  </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配电功率（每平方最大功率÷78%÷85%） ≤464W/m2</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灰度等级 8bits 显示颜色 256种</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换帧频率 ≥60帧/秒 刷新频率 ≥60Hz</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控制方式 计算机控制，逐点一一对应，视频同步，实时显示 亮度调节 256级手动/自动</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 xml:space="preserve">输入信号 DVI/VGA，视频(多种制式)RGBHV、复合视频信号、S-VIDEO YpbPr(HDTV) </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使用寿命 ≥10万小时 平均无故障时间 ≥1万小时</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衰减率(工作3年) ≤25％ 连续失控点 0</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离散失控点 ＜0.0001，出厂时为0 盲点率 ＜0.0003，出厂时为0</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工作温度范围 -20-40℃ 工作湿度范围 10％-90％RH</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防护性能 超温/过载/掉电/过流/过压/防雷(可选项)</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保修年限 壹年免费返厂维修(具体以产品购销合同签订为准)</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屏幕水平平整度 ＜1mm/㎡</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屏幕垂直平整度 ＜1mm/㎡</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平方米</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95" w:type="dxa"/>
          <w:trHeight w:val="0" w:hRule="atLeast"/>
          <w:jc w:val="center"/>
        </w:trPr>
        <w:tc>
          <w:tcPr>
            <w:tcW w:w="1308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宋体" w:hAnsi="宋体" w:eastAsia="宋体" w:cs="宋体"/>
                <w:color w:val="auto"/>
              </w:rPr>
            </w:pPr>
            <w:r>
              <w:rPr>
                <w:rFonts w:hint="eastAsia" w:ascii="宋体" w:hAnsi="宋体" w:eastAsia="宋体" w:cs="宋体"/>
                <w:color w:val="auto"/>
                <w:lang w:val="en-US" w:eastAsia="zh-CN"/>
              </w:rPr>
              <w:t>合计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7.8</w:t>
            </w:r>
          </w:p>
        </w:tc>
      </w:tr>
    </w:tbl>
    <w:p>
      <w:pPr>
        <w:pStyle w:val="2"/>
        <w:rPr>
          <w:color w:val="auto"/>
        </w:rPr>
      </w:pPr>
    </w:p>
    <w:p>
      <w:pPr>
        <w:numPr>
          <w:ilvl w:val="0"/>
          <w:numId w:val="0"/>
        </w:numPr>
        <w:snapToGrid w:val="0"/>
        <w:spacing w:line="240" w:lineRule="auto"/>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备注： </w:t>
      </w:r>
    </w:p>
    <w:p>
      <w:pPr>
        <w:numPr>
          <w:ilvl w:val="0"/>
          <w:numId w:val="0"/>
        </w:numPr>
        <w:snapToGrid w:val="0"/>
        <w:spacing w:line="240" w:lineRule="auto"/>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1、上述技术指标中凡有品牌、型号描述或指向某品牌、型号均为参考指标，但所投产品参数不得低于上述要求。</w:t>
      </w:r>
    </w:p>
    <w:p>
      <w:pPr>
        <w:numPr>
          <w:ilvl w:val="0"/>
          <w:numId w:val="0"/>
        </w:numPr>
        <w:snapToGrid w:val="0"/>
        <w:spacing w:line="240" w:lineRule="auto"/>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2、货物的供应、运输、装卸、安装、调试、使用操作培训和相关服务等。</w:t>
      </w:r>
    </w:p>
    <w:p>
      <w:pPr>
        <w:pStyle w:val="32"/>
        <w:ind w:left="0" w:leftChars="0" w:firstLine="0" w:firstLineChars="0"/>
        <w:rPr>
          <w:rFonts w:hint="eastAsia" w:ascii="宋体" w:hAnsi="宋体" w:eastAsia="宋体" w:cs="宋体"/>
          <w:color w:val="auto"/>
          <w:sz w:val="28"/>
          <w:szCs w:val="28"/>
        </w:rPr>
      </w:pPr>
      <w:r>
        <w:rPr>
          <w:rFonts w:hint="eastAsia" w:ascii="宋体" w:hAnsi="宋体" w:eastAsia="宋体" w:cs="宋体"/>
          <w:b/>
          <w:bCs/>
          <w:color w:val="auto"/>
          <w:sz w:val="28"/>
          <w:szCs w:val="28"/>
          <w:highlight w:val="none"/>
          <w:lang w:val="en-US" w:eastAsia="zh-CN"/>
        </w:rPr>
        <w:t>3、税费、运输、保险费及安装调试费的其它费用均含在单项报价中。</w:t>
      </w: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pPr>
    </w:p>
    <w:p>
      <w:pPr>
        <w:pStyle w:val="32"/>
        <w:ind w:left="0" w:leftChars="0" w:firstLine="0" w:firstLineChars="0"/>
        <w:rPr>
          <w:rFonts w:hint="eastAsia" w:ascii="宋体" w:hAnsi="宋体" w:eastAsia="宋体" w:cs="宋体"/>
          <w:color w:val="auto"/>
          <w:sz w:val="24"/>
          <w:szCs w:val="24"/>
        </w:rPr>
        <w:sectPr>
          <w:pgSz w:w="16838" w:h="11906" w:orient="landscape"/>
          <w:pgMar w:top="1083" w:right="1440" w:bottom="1083" w:left="1440" w:header="737" w:footer="737" w:gutter="0"/>
          <w:pgNumType w:start="1"/>
          <w:cols w:space="720" w:num="1"/>
          <w:rtlGutter w:val="0"/>
          <w:docGrid w:linePitch="312" w:charSpace="0"/>
        </w:sectPr>
      </w:pPr>
    </w:p>
    <w:p>
      <w:pPr>
        <w:spacing w:line="240" w:lineRule="auto"/>
        <w:rPr>
          <w:rFonts w:hint="eastAsia" w:ascii="宋体" w:hAnsi="宋体" w:eastAsia="宋体" w:cs="宋体"/>
          <w:color w:val="auto"/>
          <w:sz w:val="24"/>
          <w:szCs w:val="24"/>
          <w:u w:val="single"/>
        </w:rPr>
      </w:pPr>
      <w:r>
        <w:rPr>
          <w:rFonts w:hint="eastAsia" w:ascii="宋体" w:hAnsi="宋体" w:eastAsia="宋体" w:cs="宋体"/>
          <w:b/>
          <w:bCs/>
          <w:color w:val="auto"/>
          <w:sz w:val="48"/>
          <w:szCs w:val="56"/>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Start w:id="90" w:name="_Toc25217"/>
      <w:bookmarkStart w:id="91" w:name="_Toc29040"/>
      <w:bookmarkStart w:id="92" w:name="_Toc17546"/>
      <w:bookmarkStart w:id="93" w:name="_Toc381970843"/>
      <w:r>
        <w:rPr>
          <w:rFonts w:hint="eastAsia" w:ascii="宋体" w:hAnsi="宋体" w:eastAsia="宋体" w:cs="宋体"/>
          <w:color w:val="auto"/>
          <w:sz w:val="24"/>
          <w:szCs w:val="24"/>
        </w:rPr>
        <w:t>合同编号：</w:t>
      </w:r>
      <w:r>
        <w:rPr>
          <w:rFonts w:hint="eastAsia" w:ascii="宋体" w:hAnsi="宋体" w:eastAsia="宋体" w:cs="宋体"/>
          <w:color w:val="auto"/>
          <w:sz w:val="24"/>
          <w:szCs w:val="24"/>
          <w:u w:val="single"/>
        </w:rPr>
        <w:t xml:space="preserve">           </w:t>
      </w:r>
    </w:p>
    <w:p>
      <w:pPr>
        <w:spacing w:line="480" w:lineRule="auto"/>
        <w:jc w:val="both"/>
        <w:rPr>
          <w:rFonts w:hint="eastAsia" w:ascii="宋体" w:hAnsi="宋体" w:eastAsia="宋体" w:cs="宋体"/>
          <w:b/>
          <w:color w:val="auto"/>
          <w:sz w:val="24"/>
          <w:szCs w:val="24"/>
        </w:rPr>
      </w:pPr>
      <w:bookmarkStart w:id="461" w:name="_GoBack"/>
      <w:bookmarkEnd w:id="461"/>
    </w:p>
    <w:p>
      <w:pPr>
        <w:spacing w:line="480" w:lineRule="auto"/>
        <w:jc w:val="center"/>
        <w:rPr>
          <w:rFonts w:hint="eastAsia" w:ascii="宋体" w:hAnsi="宋体" w:eastAsia="宋体" w:cs="宋体"/>
          <w:b/>
          <w:color w:val="auto"/>
          <w:sz w:val="24"/>
          <w:szCs w:val="24"/>
        </w:rPr>
      </w:pPr>
    </w:p>
    <w:p>
      <w:pPr>
        <w:spacing w:line="480" w:lineRule="auto"/>
        <w:jc w:val="center"/>
        <w:rPr>
          <w:rFonts w:hint="eastAsia" w:ascii="宋体" w:hAnsi="宋体" w:eastAsia="宋体" w:cs="宋体"/>
          <w:b/>
          <w:color w:val="auto"/>
          <w:sz w:val="40"/>
          <w:szCs w:val="40"/>
        </w:rPr>
      </w:pPr>
    </w:p>
    <w:p>
      <w:pPr>
        <w:spacing w:line="480" w:lineRule="auto"/>
        <w:jc w:val="center"/>
        <w:rPr>
          <w:rFonts w:hint="eastAsia" w:ascii="宋体" w:hAnsi="宋体" w:eastAsia="宋体" w:cs="宋体"/>
          <w:b/>
          <w:color w:val="auto"/>
          <w:sz w:val="40"/>
          <w:szCs w:val="40"/>
        </w:rPr>
      </w:pPr>
      <w:r>
        <w:rPr>
          <w:rFonts w:hint="eastAsia" w:ascii="宋体" w:hAnsi="宋体" w:eastAsia="宋体" w:cs="宋体"/>
          <w:b/>
          <w:bCs/>
          <w:color w:val="auto"/>
          <w:sz w:val="48"/>
          <w:szCs w:val="56"/>
        </w:rPr>
        <w:t>第</w:t>
      </w:r>
      <w:r>
        <w:rPr>
          <w:rFonts w:hint="eastAsia" w:ascii="宋体" w:hAnsi="宋体" w:eastAsia="宋体" w:cs="宋体"/>
          <w:b/>
          <w:bCs/>
          <w:color w:val="auto"/>
          <w:sz w:val="48"/>
          <w:szCs w:val="56"/>
          <w:lang w:val="en-US" w:eastAsia="zh-CN"/>
        </w:rPr>
        <w:t>五</w:t>
      </w:r>
      <w:r>
        <w:rPr>
          <w:rFonts w:hint="eastAsia" w:ascii="宋体" w:hAnsi="宋体" w:eastAsia="宋体" w:cs="宋体"/>
          <w:b/>
          <w:bCs/>
          <w:color w:val="auto"/>
          <w:sz w:val="48"/>
          <w:szCs w:val="56"/>
        </w:rPr>
        <w:t>章政府采购合同参考范本</w:t>
      </w:r>
    </w:p>
    <w:p>
      <w:pPr>
        <w:spacing w:line="48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（货物类）</w:t>
      </w:r>
    </w:p>
    <w:p>
      <w:pPr>
        <w:pStyle w:val="65"/>
        <w:spacing w:line="240" w:lineRule="auto"/>
        <w:ind w:firstLine="0"/>
        <w:rPr>
          <w:rFonts w:hint="eastAsia" w:ascii="宋体" w:hAnsi="宋体" w:eastAsia="宋体" w:cs="宋体"/>
          <w:color w:val="auto"/>
          <w:sz w:val="24"/>
          <w:szCs w:val="24"/>
        </w:rPr>
      </w:pPr>
    </w:p>
    <w:p>
      <w:pPr>
        <w:pStyle w:val="65"/>
        <w:spacing w:line="240" w:lineRule="auto"/>
        <w:ind w:firstLine="0"/>
        <w:rPr>
          <w:rFonts w:hint="eastAsia" w:ascii="宋体" w:hAnsi="宋体" w:eastAsia="宋体" w:cs="宋体"/>
          <w:color w:val="auto"/>
          <w:sz w:val="24"/>
          <w:szCs w:val="24"/>
        </w:rPr>
      </w:pPr>
    </w:p>
    <w:p>
      <w:pPr>
        <w:pStyle w:val="65"/>
        <w:spacing w:line="240" w:lineRule="auto"/>
        <w:ind w:firstLine="0"/>
        <w:rPr>
          <w:rFonts w:hint="eastAsia" w:ascii="宋体" w:hAnsi="宋体" w:eastAsia="宋体" w:cs="宋体"/>
          <w:color w:val="auto"/>
          <w:sz w:val="24"/>
          <w:szCs w:val="24"/>
        </w:rPr>
      </w:pPr>
    </w:p>
    <w:p>
      <w:pPr>
        <w:pStyle w:val="65"/>
        <w:spacing w:line="240" w:lineRule="auto"/>
        <w:ind w:firstLine="0"/>
        <w:rPr>
          <w:rFonts w:hint="eastAsia" w:ascii="宋体" w:hAnsi="宋体" w:eastAsia="宋体" w:cs="宋体"/>
          <w:color w:val="auto"/>
          <w:sz w:val="24"/>
          <w:szCs w:val="24"/>
        </w:rPr>
      </w:pPr>
    </w:p>
    <w:p>
      <w:pPr>
        <w:pStyle w:val="65"/>
        <w:spacing w:line="240" w:lineRule="auto"/>
        <w:ind w:firstLine="0"/>
        <w:rPr>
          <w:rFonts w:hint="eastAsia" w:ascii="宋体" w:hAnsi="宋体" w:eastAsia="宋体" w:cs="宋体"/>
          <w:color w:val="auto"/>
          <w:sz w:val="24"/>
          <w:szCs w:val="24"/>
        </w:rPr>
      </w:pPr>
    </w:p>
    <w:p>
      <w:pPr>
        <w:pStyle w:val="65"/>
        <w:spacing w:line="240" w:lineRule="auto"/>
        <w:ind w:firstLine="0"/>
        <w:rPr>
          <w:rFonts w:hint="eastAsia" w:ascii="宋体" w:hAnsi="宋体" w:eastAsia="宋体" w:cs="宋体"/>
          <w:color w:val="auto"/>
          <w:sz w:val="24"/>
          <w:szCs w:val="24"/>
        </w:rPr>
      </w:pPr>
    </w:p>
    <w:p>
      <w:pPr>
        <w:pStyle w:val="65"/>
        <w:spacing w:line="240" w:lineRule="auto"/>
        <w:ind w:firstLine="0"/>
        <w:rPr>
          <w:rFonts w:hint="eastAsia" w:ascii="宋体" w:hAnsi="宋体" w:eastAsia="宋体" w:cs="宋体"/>
          <w:color w:val="auto"/>
          <w:sz w:val="24"/>
          <w:szCs w:val="24"/>
        </w:rPr>
      </w:pPr>
    </w:p>
    <w:p>
      <w:pPr>
        <w:pStyle w:val="65"/>
        <w:spacing w:line="240"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第一部分 合同书</w:t>
      </w:r>
    </w:p>
    <w:p>
      <w:pPr>
        <w:pStyle w:val="65"/>
        <w:spacing w:line="240" w:lineRule="auto"/>
        <w:ind w:firstLine="0"/>
        <w:rPr>
          <w:rFonts w:hint="eastAsia" w:ascii="宋体" w:hAnsi="宋体" w:eastAsia="宋体" w:cs="宋体"/>
          <w:color w:val="auto"/>
          <w:sz w:val="24"/>
          <w:szCs w:val="24"/>
        </w:rPr>
      </w:pPr>
    </w:p>
    <w:p>
      <w:pPr>
        <w:spacing w:before="120" w:line="22" w:lineRule="atLeast"/>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pPr>
        <w:spacing w:line="240" w:lineRule="auto"/>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u w:val="single"/>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rPr>
        <w:t xml:space="preserve">                                      </w:t>
      </w:r>
    </w:p>
    <w:p>
      <w:pPr>
        <w:spacing w:before="120" w:line="22" w:lineRule="atLeast"/>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u w:val="single"/>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rPr>
        <w:t xml:space="preserve">                                       </w:t>
      </w:r>
    </w:p>
    <w:p>
      <w:pPr>
        <w:spacing w:before="120" w:line="22" w:lineRule="atLeast"/>
        <w:rPr>
          <w:rFonts w:hint="eastAsia" w:ascii="宋体" w:hAnsi="宋体" w:eastAsia="宋体" w:cs="宋体"/>
          <w:color w:val="auto"/>
          <w:sz w:val="24"/>
          <w:szCs w:val="24"/>
        </w:rPr>
      </w:pP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rPr>
        <w:t>签订地：</w:t>
      </w:r>
      <w:r>
        <w:rPr>
          <w:rFonts w:hint="eastAsia" w:ascii="宋体" w:hAnsi="宋体" w:eastAsia="宋体" w:cs="宋体"/>
          <w:color w:val="auto"/>
          <w:sz w:val="24"/>
          <w:szCs w:val="24"/>
          <w:u w:val="single"/>
        </w:rPr>
        <w:t xml:space="preserve">     </w:t>
      </w: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spacing w:before="120" w:line="22" w:lineRule="atLeast"/>
        <w:rPr>
          <w:rFonts w:hint="eastAsia" w:ascii="宋体" w:hAnsi="宋体" w:eastAsia="宋体" w:cs="宋体"/>
          <w:color w:val="auto"/>
          <w:sz w:val="24"/>
          <w:szCs w:val="24"/>
        </w:rPr>
      </w:pPr>
    </w:p>
    <w:p>
      <w:pPr>
        <w:spacing w:before="120" w:line="22" w:lineRule="atLeast"/>
        <w:ind w:firstLine="960" w:firstLineChars="400"/>
        <w:rPr>
          <w:rFonts w:hint="eastAsia" w:ascii="宋体" w:hAnsi="宋体" w:eastAsia="宋体" w:cs="宋体"/>
          <w:color w:val="auto"/>
          <w:sz w:val="24"/>
          <w:szCs w:val="24"/>
        </w:rPr>
      </w:pP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widowControl/>
        <w:tabs>
          <w:tab w:val="left" w:pos="724"/>
        </w:tabs>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（政府采购方式）  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（同前页项目名称）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项目进行了采购。经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（相关评定主体名称）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评定，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（中标供应商名称）为该项目中标供应商。现于中标通知书发出之日起三十日内，按照采购文件确定的事项签订本合同。</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(以下简称：甲方)和</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（中标供应商名称）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(以下简称：乙方)协商一致，约定以下合同</w:t>
      </w:r>
      <w:r>
        <w:rPr>
          <w:rFonts w:hint="eastAsia" w:ascii="宋体" w:hAnsi="宋体" w:eastAsia="宋体" w:cs="宋体"/>
          <w:color w:val="auto"/>
          <w:sz w:val="24"/>
          <w:szCs w:val="24"/>
        </w:rPr>
        <w:t>条款，以兹共同遵守、全面履行。</w:t>
      </w:r>
    </w:p>
    <w:p>
      <w:pPr>
        <w:widowControl/>
        <w:tabs>
          <w:tab w:val="left" w:pos="724"/>
        </w:tabs>
        <w:spacing w:line="460" w:lineRule="exact"/>
        <w:jc w:val="left"/>
        <w:rPr>
          <w:rFonts w:hint="eastAsia" w:ascii="宋体" w:hAnsi="宋体" w:eastAsia="宋体" w:cs="宋体"/>
          <w:color w:val="auto"/>
          <w:sz w:val="24"/>
          <w:szCs w:val="24"/>
        </w:rPr>
      </w:pPr>
      <w:bookmarkStart w:id="94" w:name="_Toc24059"/>
      <w:bookmarkStart w:id="95" w:name="_Toc2232"/>
      <w:bookmarkStart w:id="96" w:name="_Toc3029"/>
      <w:r>
        <w:rPr>
          <w:rFonts w:hint="eastAsia" w:ascii="宋体" w:hAnsi="宋体" w:eastAsia="宋体" w:cs="宋体"/>
          <w:color w:val="auto"/>
          <w:sz w:val="24"/>
          <w:szCs w:val="24"/>
        </w:rPr>
        <w:t>1.1 合同组成部分</w:t>
      </w:r>
      <w:bookmarkEnd w:id="94"/>
      <w:bookmarkEnd w:id="95"/>
      <w:bookmarkEnd w:id="96"/>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1.1.1 本合同及其补充合同、变更协议；</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1.1.2 中标通知书；</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1.1.3 投标文件（含澄清或者说明文件）；</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1.1.4 </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（含澄清或者修改文件）；</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1.1.5 其他相关采购文件。</w:t>
      </w:r>
    </w:p>
    <w:p>
      <w:pPr>
        <w:widowControl/>
        <w:tabs>
          <w:tab w:val="left" w:pos="724"/>
        </w:tabs>
        <w:spacing w:line="460" w:lineRule="exact"/>
        <w:jc w:val="left"/>
        <w:rPr>
          <w:rFonts w:hint="eastAsia" w:ascii="宋体" w:hAnsi="宋体" w:eastAsia="宋体" w:cs="宋体"/>
          <w:color w:val="auto"/>
          <w:sz w:val="24"/>
          <w:szCs w:val="24"/>
        </w:rPr>
      </w:pPr>
      <w:bookmarkStart w:id="97" w:name="_Toc24300"/>
      <w:bookmarkStart w:id="98" w:name="_Toc21295"/>
      <w:bookmarkStart w:id="99" w:name="_Toc27126"/>
      <w:r>
        <w:rPr>
          <w:rFonts w:hint="eastAsia" w:ascii="宋体" w:hAnsi="宋体" w:eastAsia="宋体" w:cs="宋体"/>
          <w:color w:val="auto"/>
          <w:sz w:val="24"/>
          <w:szCs w:val="24"/>
        </w:rPr>
        <w:t>1.2 货物</w:t>
      </w:r>
      <w:bookmarkEnd w:id="97"/>
      <w:bookmarkEnd w:id="98"/>
      <w:bookmarkEnd w:id="99"/>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1.2.1 货物名称：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1.2.2 货物数量：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1.2.3 货物质量：　　　　　　　　　                      　      </w:t>
      </w:r>
    </w:p>
    <w:p>
      <w:pPr>
        <w:widowControl/>
        <w:tabs>
          <w:tab w:val="left" w:pos="724"/>
        </w:tabs>
        <w:spacing w:line="460" w:lineRule="exact"/>
        <w:jc w:val="left"/>
        <w:rPr>
          <w:rFonts w:hint="eastAsia" w:ascii="宋体" w:hAnsi="宋体" w:eastAsia="宋体" w:cs="宋体"/>
          <w:color w:val="auto"/>
          <w:sz w:val="24"/>
          <w:szCs w:val="24"/>
        </w:rPr>
      </w:pPr>
      <w:bookmarkStart w:id="100" w:name="_Toc23292"/>
      <w:bookmarkStart w:id="101" w:name="_Toc21631"/>
      <w:bookmarkStart w:id="102" w:name="_Toc21551"/>
      <w:r>
        <w:rPr>
          <w:rFonts w:hint="eastAsia" w:ascii="宋体" w:hAnsi="宋体" w:eastAsia="宋体" w:cs="宋体"/>
          <w:color w:val="auto"/>
          <w:sz w:val="24"/>
          <w:szCs w:val="24"/>
        </w:rPr>
        <w:t>1.3 价款</w:t>
      </w:r>
      <w:bookmarkEnd w:id="100"/>
      <w:bookmarkEnd w:id="101"/>
      <w:bookmarkEnd w:id="102"/>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本合同总价为：￥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bl>
      <w:tblPr>
        <w:tblStyle w:val="4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分项名称</w:t>
            </w: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rPr>
            </w:pP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rPr>
            </w:pP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rPr>
            </w:pP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rPr>
            </w:pP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533" w:type="dxa"/>
            <w:gridSpan w:val="2"/>
            <w:vAlign w:val="center"/>
          </w:tcPr>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rPr>
            </w:pPr>
          </w:p>
        </w:tc>
      </w:tr>
    </w:tbl>
    <w:p>
      <w:pPr>
        <w:widowControl/>
        <w:tabs>
          <w:tab w:val="left" w:pos="724"/>
        </w:tabs>
        <w:spacing w:line="460" w:lineRule="exact"/>
        <w:jc w:val="left"/>
        <w:rPr>
          <w:rFonts w:hint="eastAsia" w:ascii="宋体" w:hAnsi="宋体" w:eastAsia="宋体" w:cs="宋体"/>
          <w:color w:val="auto"/>
          <w:sz w:val="24"/>
          <w:szCs w:val="24"/>
        </w:rPr>
      </w:pPr>
      <w:bookmarkStart w:id="103" w:name="_Toc1814"/>
      <w:bookmarkStart w:id="104" w:name="_Toc22618"/>
      <w:bookmarkStart w:id="105" w:name="_Toc10340"/>
      <w:r>
        <w:rPr>
          <w:rFonts w:hint="eastAsia" w:ascii="宋体" w:hAnsi="宋体" w:eastAsia="宋体" w:cs="宋体"/>
          <w:color w:val="auto"/>
          <w:sz w:val="24"/>
          <w:szCs w:val="24"/>
        </w:rPr>
        <w:t>1.4 付款方式和发票开具方式</w:t>
      </w:r>
      <w:bookmarkEnd w:id="103"/>
      <w:bookmarkEnd w:id="104"/>
      <w:bookmarkEnd w:id="105"/>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1.4.1 付款方式：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1.4.2 发票开具方式：                                            </w:t>
      </w:r>
    </w:p>
    <w:p>
      <w:pPr>
        <w:widowControl/>
        <w:tabs>
          <w:tab w:val="left" w:pos="724"/>
        </w:tabs>
        <w:spacing w:line="460" w:lineRule="exact"/>
        <w:jc w:val="left"/>
        <w:rPr>
          <w:rFonts w:hint="eastAsia" w:ascii="宋体" w:hAnsi="宋体" w:eastAsia="宋体" w:cs="宋体"/>
          <w:color w:val="auto"/>
          <w:sz w:val="24"/>
          <w:szCs w:val="24"/>
        </w:rPr>
      </w:pPr>
      <w:bookmarkStart w:id="106" w:name="_Toc32071"/>
      <w:bookmarkStart w:id="107" w:name="_Toc19304"/>
      <w:bookmarkStart w:id="108" w:name="_Toc2846"/>
      <w:r>
        <w:rPr>
          <w:rFonts w:hint="eastAsia" w:ascii="宋体" w:hAnsi="宋体" w:eastAsia="宋体" w:cs="宋体"/>
          <w:color w:val="auto"/>
          <w:sz w:val="24"/>
          <w:szCs w:val="24"/>
        </w:rPr>
        <w:t>1.5 货物交付期限、地点和方式</w:t>
      </w:r>
      <w:bookmarkEnd w:id="106"/>
      <w:bookmarkEnd w:id="107"/>
      <w:bookmarkEnd w:id="108"/>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1.5.1 交付期限：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1.5.2 交付地点：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1.5.3 交付方式：　　　　　　　　　                      　      </w:t>
      </w:r>
    </w:p>
    <w:p>
      <w:pPr>
        <w:widowControl/>
        <w:tabs>
          <w:tab w:val="left" w:pos="724"/>
        </w:tabs>
        <w:spacing w:line="460" w:lineRule="exact"/>
        <w:jc w:val="left"/>
        <w:rPr>
          <w:rFonts w:hint="eastAsia" w:ascii="宋体" w:hAnsi="宋体" w:eastAsia="宋体" w:cs="宋体"/>
          <w:color w:val="auto"/>
          <w:sz w:val="24"/>
          <w:szCs w:val="24"/>
        </w:rPr>
      </w:pPr>
      <w:bookmarkStart w:id="109" w:name="_Toc21423"/>
      <w:bookmarkStart w:id="110" w:name="_Toc19554"/>
      <w:bookmarkStart w:id="111" w:name="_Toc27250"/>
      <w:r>
        <w:rPr>
          <w:rFonts w:hint="eastAsia" w:ascii="宋体" w:hAnsi="宋体" w:eastAsia="宋体" w:cs="宋体"/>
          <w:color w:val="auto"/>
          <w:sz w:val="24"/>
          <w:szCs w:val="24"/>
        </w:rPr>
        <w:t>1.6 违约责任</w:t>
      </w:r>
      <w:bookmarkEnd w:id="109"/>
      <w:bookmarkEnd w:id="110"/>
      <w:bookmarkEnd w:id="111"/>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%；迟延交付货物的违约金计算数额达到前述最高限额之日起，甲方有权在要求乙方支付违约金的同时，书面通知乙方解除本合同；</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%；迟延付款的违约金计算数额达到前述最高限额之日起，乙方有权在要求甲方支付违约金的同时，书面通知甲方解除本合同；</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widowControl/>
        <w:tabs>
          <w:tab w:val="left" w:pos="724"/>
        </w:tabs>
        <w:spacing w:line="460" w:lineRule="exact"/>
        <w:jc w:val="left"/>
        <w:rPr>
          <w:rFonts w:hint="eastAsia" w:ascii="宋体" w:hAnsi="宋体" w:eastAsia="宋体" w:cs="宋体"/>
          <w:color w:val="auto"/>
          <w:sz w:val="24"/>
          <w:szCs w:val="24"/>
        </w:rPr>
      </w:pPr>
      <w:bookmarkStart w:id="112" w:name="_Toc16021"/>
      <w:bookmarkStart w:id="113" w:name="_Toc28375"/>
      <w:bookmarkStart w:id="114" w:name="_Toc15583"/>
      <w:r>
        <w:rPr>
          <w:rFonts w:hint="eastAsia" w:ascii="宋体" w:hAnsi="宋体" w:eastAsia="宋体" w:cs="宋体"/>
          <w:color w:val="auto"/>
          <w:sz w:val="24"/>
          <w:szCs w:val="24"/>
        </w:rPr>
        <w:t>1.7 合同争议的解决</w:t>
      </w:r>
      <w:bookmarkEnd w:id="112"/>
      <w:bookmarkEnd w:id="113"/>
      <w:bookmarkEnd w:id="114"/>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1.7.1 将争议提交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仲裁委员会依申请仲裁时其现行有效的仲裁规则裁决；</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1.7.2 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（被告住所地、合同履行地、合同签订地、原告住所地、标的物所在地等与争议有实际联系的地点中选出的人民法院名称）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p>
    <w:p>
      <w:pPr>
        <w:widowControl/>
        <w:tabs>
          <w:tab w:val="left" w:pos="724"/>
        </w:tabs>
        <w:spacing w:line="460" w:lineRule="exact"/>
        <w:jc w:val="left"/>
        <w:rPr>
          <w:rFonts w:hint="eastAsia" w:ascii="宋体" w:hAnsi="宋体" w:eastAsia="宋体" w:cs="宋体"/>
          <w:color w:val="auto"/>
          <w:sz w:val="24"/>
          <w:szCs w:val="24"/>
        </w:rPr>
      </w:pPr>
      <w:bookmarkStart w:id="115" w:name="_Toc7245"/>
      <w:bookmarkStart w:id="116" w:name="_Toc11173"/>
      <w:bookmarkStart w:id="117" w:name="_Toc15322"/>
      <w:r>
        <w:rPr>
          <w:rFonts w:hint="eastAsia" w:ascii="宋体" w:hAnsi="宋体" w:eastAsia="宋体" w:cs="宋体"/>
          <w:color w:val="auto"/>
          <w:sz w:val="24"/>
          <w:szCs w:val="24"/>
        </w:rPr>
        <w:t>1.8 合同生效</w:t>
      </w:r>
      <w:bookmarkEnd w:id="115"/>
      <w:bookmarkEnd w:id="116"/>
      <w:bookmarkEnd w:id="117"/>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本合同自双方当事人盖章或者签字时生效。</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                                   乙方：</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                       统一社会信用代码或身份证号码：</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住所：                                   住所：</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                             法定代表人</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授权代表（签字）：                        或授权代表（签字）: </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                                 联系人：</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约定送达地址：                           约定送达地址：</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邮政编码：                               邮政编码：</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电话:                                    电话: </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                                    传真:</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电子邮箱：                               电子邮箱：</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                               开户名称：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开户账号：</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开户账号：</w:t>
      </w:r>
      <w:bookmarkStart w:id="118" w:name="_Toc331685783"/>
    </w:p>
    <w:p>
      <w:pPr>
        <w:pStyle w:val="85"/>
        <w:rPr>
          <w:rFonts w:hint="eastAsia" w:ascii="宋体" w:hAnsi="宋体" w:eastAsia="宋体" w:cs="宋体"/>
          <w:color w:val="auto"/>
          <w:sz w:val="24"/>
          <w:szCs w:val="24"/>
        </w:rPr>
      </w:pPr>
    </w:p>
    <w:p>
      <w:pPr>
        <w:pStyle w:val="85"/>
        <w:rPr>
          <w:rFonts w:hint="eastAsia" w:ascii="宋体" w:hAnsi="宋体" w:eastAsia="宋体" w:cs="宋体"/>
          <w:color w:val="auto"/>
          <w:sz w:val="24"/>
          <w:szCs w:val="24"/>
        </w:rPr>
      </w:pPr>
    </w:p>
    <w:p>
      <w:pPr>
        <w:pStyle w:val="85"/>
        <w:rPr>
          <w:rFonts w:hint="eastAsia" w:ascii="宋体" w:hAnsi="宋体" w:eastAsia="宋体" w:cs="宋体"/>
          <w:color w:val="auto"/>
          <w:sz w:val="24"/>
          <w:szCs w:val="24"/>
        </w:rPr>
      </w:pPr>
    </w:p>
    <w:p>
      <w:pPr>
        <w:pStyle w:val="85"/>
        <w:rPr>
          <w:rFonts w:hint="eastAsia" w:ascii="宋体" w:hAnsi="宋体" w:eastAsia="宋体" w:cs="宋体"/>
          <w:color w:val="auto"/>
          <w:sz w:val="24"/>
          <w:szCs w:val="24"/>
        </w:rPr>
      </w:pPr>
    </w:p>
    <w:p>
      <w:pPr>
        <w:pStyle w:val="85"/>
        <w:rPr>
          <w:rFonts w:hint="eastAsia" w:ascii="宋体" w:hAnsi="宋体" w:eastAsia="宋体" w:cs="宋体"/>
          <w:color w:val="auto"/>
          <w:sz w:val="24"/>
          <w:szCs w:val="24"/>
        </w:rPr>
      </w:pPr>
    </w:p>
    <w:p>
      <w:pPr>
        <w:pStyle w:val="85"/>
        <w:rPr>
          <w:rFonts w:hint="eastAsia" w:ascii="宋体" w:hAnsi="宋体" w:eastAsia="宋体" w:cs="宋体"/>
          <w:color w:val="auto"/>
          <w:sz w:val="24"/>
          <w:szCs w:val="24"/>
        </w:rPr>
      </w:pP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widowControl/>
        <w:tabs>
          <w:tab w:val="left" w:pos="724"/>
        </w:tabs>
        <w:spacing w:line="4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 合同一般条款</w:t>
      </w:r>
      <w:bookmarkEnd w:id="118"/>
    </w:p>
    <w:p>
      <w:pPr>
        <w:spacing w:line="560" w:lineRule="exact"/>
        <w:ind w:firstLine="482" w:firstLineChars="200"/>
        <w:outlineLvl w:val="0"/>
        <w:rPr>
          <w:rFonts w:hint="eastAsia" w:ascii="宋体" w:hAnsi="宋体" w:eastAsia="宋体" w:cs="宋体"/>
          <w:b/>
          <w:color w:val="auto"/>
          <w:sz w:val="24"/>
        </w:rPr>
      </w:pPr>
      <w:bookmarkStart w:id="119" w:name="_Toc259093669"/>
      <w:bookmarkStart w:id="120" w:name="_Toc11977"/>
      <w:bookmarkStart w:id="121" w:name="_Toc24072"/>
      <w:bookmarkStart w:id="122" w:name="_Toc487900349"/>
      <w:bookmarkStart w:id="123" w:name="_Toc21504"/>
      <w:bookmarkStart w:id="124" w:name="_Ref467379205"/>
      <w:bookmarkStart w:id="125" w:name="_Toc28763"/>
      <w:bookmarkStart w:id="126" w:name="_Ref467379225"/>
      <w:bookmarkStart w:id="127" w:name="_Toc2375"/>
      <w:bookmarkStart w:id="128" w:name="_Ref467379109"/>
      <w:bookmarkStart w:id="129" w:name="_Toc2145"/>
      <w:bookmarkStart w:id="130" w:name="_Ref467378404"/>
      <w:bookmarkStart w:id="131" w:name="_Ref467379195"/>
      <w:bookmarkStart w:id="132" w:name="_Ref467379214"/>
      <w:bookmarkStart w:id="133" w:name="_Ref467379101"/>
      <w:bookmarkStart w:id="134" w:name="_Toc13758"/>
      <w:bookmarkStart w:id="135" w:name="_Ref467379094"/>
      <w:bookmarkStart w:id="136" w:name="_Toc28507"/>
      <w:bookmarkStart w:id="137" w:name="_Toc19614"/>
      <w:bookmarkStart w:id="138" w:name="_Toc16917"/>
      <w:bookmarkStart w:id="139" w:name="_Toc279701240"/>
      <w:bookmarkStart w:id="140" w:name="_Ref467378499"/>
      <w:bookmarkStart w:id="141" w:name="_Ref467378463"/>
      <w:r>
        <w:rPr>
          <w:rFonts w:hint="eastAsia" w:ascii="宋体" w:hAnsi="宋体" w:eastAsia="宋体" w:cs="宋体"/>
          <w:b/>
          <w:color w:val="auto"/>
          <w:sz w:val="24"/>
        </w:rPr>
        <w:t>2.1 定义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auto"/>
          <w:sz w:val="24"/>
        </w:rPr>
      </w:pPr>
      <w:bookmarkStart w:id="142" w:name="_Ref467378840"/>
      <w:r>
        <w:rPr>
          <w:rFonts w:hint="eastAsia" w:ascii="宋体" w:hAnsi="宋体" w:eastAsia="宋体" w:cs="宋体"/>
          <w:color w:val="auto"/>
          <w:sz w:val="24"/>
        </w:rPr>
        <w:t>2.1.4 “甲方”系指与中标供应商签署合同的采购人</w:t>
      </w:r>
      <w:bookmarkEnd w:id="142"/>
      <w:r>
        <w:rPr>
          <w:rFonts w:hint="eastAsia" w:ascii="宋体" w:hAnsi="宋体" w:eastAsia="宋体" w:cs="宋体"/>
          <w:color w:val="auto"/>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rPr>
      </w:pPr>
      <w:bookmarkStart w:id="143" w:name="_Ref467379400"/>
      <w:r>
        <w:rPr>
          <w:rFonts w:hint="eastAsia" w:ascii="宋体" w:hAnsi="宋体" w:eastAsia="宋体" w:cs="宋体"/>
          <w:color w:val="auto"/>
          <w:sz w:val="24"/>
        </w:rPr>
        <w:t>2.1.5 “乙方”系指根据合同约定交付货物的中标供应商</w:t>
      </w:r>
      <w:bookmarkEnd w:id="143"/>
      <w:r>
        <w:rPr>
          <w:rFonts w:hint="eastAsia" w:ascii="宋体" w:hAnsi="宋体" w:eastAsia="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rPr>
      </w:pPr>
      <w:bookmarkStart w:id="144" w:name="_Ref467379436"/>
      <w:r>
        <w:rPr>
          <w:rFonts w:hint="eastAsia" w:ascii="宋体" w:hAnsi="宋体" w:eastAsia="宋体" w:cs="宋体"/>
          <w:color w:val="auto"/>
          <w:sz w:val="24"/>
        </w:rPr>
        <w:t>2.1.6 “现场”系指合同约定货物将要运至或者安装的地点。</w:t>
      </w:r>
      <w:bookmarkEnd w:id="144"/>
    </w:p>
    <w:p>
      <w:pPr>
        <w:spacing w:line="560" w:lineRule="exact"/>
        <w:ind w:firstLine="482" w:firstLineChars="200"/>
        <w:outlineLvl w:val="0"/>
        <w:rPr>
          <w:rFonts w:hint="eastAsia" w:ascii="宋体" w:hAnsi="宋体" w:eastAsia="宋体" w:cs="宋体"/>
          <w:b/>
          <w:color w:val="auto"/>
          <w:sz w:val="24"/>
        </w:rPr>
      </w:pPr>
      <w:bookmarkStart w:id="145" w:name="_Toc31101"/>
      <w:bookmarkStart w:id="146" w:name="_Toc13336"/>
      <w:bookmarkStart w:id="147" w:name="_Toc7453"/>
      <w:bookmarkStart w:id="148" w:name="_Toc13317"/>
      <w:bookmarkStart w:id="149" w:name="_Toc27635"/>
      <w:bookmarkStart w:id="150" w:name="_Toc32504"/>
      <w:bookmarkStart w:id="151" w:name="_Toc487900350"/>
      <w:bookmarkStart w:id="152" w:name="_Toc259093670"/>
      <w:bookmarkStart w:id="153" w:name="_Toc13369"/>
      <w:bookmarkStart w:id="154" w:name="_Toc19224"/>
      <w:bookmarkStart w:id="155" w:name="_Toc279701241"/>
      <w:bookmarkStart w:id="156" w:name="_Toc24589"/>
      <w:bookmarkStart w:id="157" w:name="_Toc24811"/>
      <w:r>
        <w:rPr>
          <w:rFonts w:hint="eastAsia" w:ascii="宋体" w:hAnsi="宋体" w:eastAsia="宋体" w:cs="宋体"/>
          <w:b/>
          <w:color w:val="auto"/>
          <w:sz w:val="24"/>
        </w:rPr>
        <w:t>2.2 技术规范</w:t>
      </w:r>
      <w:bookmarkEnd w:id="145"/>
      <w:bookmarkEnd w:id="146"/>
      <w:bookmarkEnd w:id="147"/>
      <w:bookmarkEnd w:id="148"/>
      <w:bookmarkEnd w:id="149"/>
      <w:bookmarkEnd w:id="150"/>
      <w:bookmarkEnd w:id="151"/>
      <w:bookmarkEnd w:id="152"/>
      <w:bookmarkEnd w:id="153"/>
      <w:bookmarkEnd w:id="154"/>
      <w:bookmarkEnd w:id="155"/>
      <w:bookmarkEnd w:id="156"/>
      <w:bookmarkEnd w:id="15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auto"/>
          <w:sz w:val="24"/>
        </w:rPr>
      </w:pPr>
      <w:bookmarkStart w:id="158" w:name="_Toc3536"/>
      <w:bookmarkStart w:id="159" w:name="_Toc2222"/>
      <w:bookmarkStart w:id="160" w:name="_Toc31634"/>
      <w:bookmarkStart w:id="161" w:name="_Toc487900351"/>
      <w:bookmarkStart w:id="162" w:name="_Toc22299"/>
      <w:bookmarkStart w:id="163" w:name="_Toc279701242"/>
      <w:bookmarkStart w:id="164" w:name="_Toc15043"/>
      <w:bookmarkStart w:id="165" w:name="_Toc259093671"/>
      <w:bookmarkStart w:id="166" w:name="_Toc13148"/>
      <w:bookmarkStart w:id="167" w:name="_Toc2427"/>
      <w:bookmarkStart w:id="168" w:name="_Toc16101"/>
      <w:bookmarkStart w:id="169" w:name="_Toc27853"/>
      <w:bookmarkStart w:id="170" w:name="_Toc9829"/>
      <w:r>
        <w:rPr>
          <w:rFonts w:hint="eastAsia" w:ascii="宋体" w:hAnsi="宋体" w:eastAsia="宋体" w:cs="宋体"/>
          <w:b/>
          <w:color w:val="auto"/>
          <w:sz w:val="24"/>
        </w:rPr>
        <w:t>2.3 知识产权</w:t>
      </w:r>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2.3.2具有知识产权的计算机软件等货物的知识产权归属，详见</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171" w:name="_Toc18079"/>
      <w:bookmarkStart w:id="172" w:name="_Toc28025"/>
      <w:bookmarkStart w:id="173" w:name="_Toc27181"/>
      <w:bookmarkStart w:id="174" w:name="_Toc11932"/>
      <w:bookmarkStart w:id="175" w:name="_Toc4194"/>
      <w:bookmarkStart w:id="176" w:name="_Toc2570"/>
      <w:bookmarkStart w:id="177" w:name="_Toc30289"/>
      <w:bookmarkStart w:id="178" w:name="_Toc9061"/>
      <w:bookmarkStart w:id="179" w:name="_Toc14655"/>
      <w:bookmarkStart w:id="180" w:name="_Toc29149"/>
      <w:r>
        <w:rPr>
          <w:rFonts w:hint="eastAsia" w:ascii="宋体" w:hAnsi="宋体" w:eastAsia="宋体" w:cs="宋体"/>
          <w:b/>
          <w:color w:val="auto"/>
          <w:sz w:val="24"/>
        </w:rPr>
        <w:t>2.4 包装和装运</w:t>
      </w:r>
      <w:bookmarkEnd w:id="171"/>
      <w:bookmarkEnd w:id="172"/>
      <w:bookmarkEnd w:id="173"/>
      <w:bookmarkEnd w:id="174"/>
      <w:bookmarkEnd w:id="175"/>
      <w:bookmarkEnd w:id="176"/>
      <w:bookmarkEnd w:id="177"/>
      <w:bookmarkEnd w:id="178"/>
      <w:bookmarkEnd w:id="179"/>
      <w:bookmarkEnd w:id="18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2.4.1除</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装运货物的要求和通知，详见</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181" w:name="_Ref467378591"/>
      <w:bookmarkStart w:id="182" w:name="_Toc487900354"/>
      <w:bookmarkStart w:id="183" w:name="_Ref467379527"/>
      <w:bookmarkStart w:id="184" w:name="_Ref467378541"/>
      <w:bookmarkStart w:id="185" w:name="_Ref467379542"/>
      <w:bookmarkStart w:id="186" w:name="_Toc259093674"/>
      <w:bookmarkStart w:id="187" w:name="_Ref467379536"/>
      <w:bookmarkStart w:id="188" w:name="_Toc279701245"/>
      <w:bookmarkStart w:id="189" w:name="_Toc19657"/>
      <w:bookmarkStart w:id="190" w:name="_Toc10228"/>
      <w:bookmarkStart w:id="191" w:name="_Toc26182"/>
      <w:bookmarkStart w:id="192" w:name="_Toc19074"/>
      <w:bookmarkStart w:id="193" w:name="_Toc15314"/>
      <w:bookmarkStart w:id="194" w:name="_Toc20989"/>
      <w:bookmarkStart w:id="195" w:name="_Toc22049"/>
      <w:bookmarkStart w:id="196" w:name="_Toc30272"/>
      <w:bookmarkStart w:id="197" w:name="_Toc15012"/>
      <w:bookmarkStart w:id="198" w:name="_Toc11846"/>
      <w:r>
        <w:rPr>
          <w:rFonts w:hint="eastAsia" w:ascii="宋体" w:hAnsi="宋体" w:eastAsia="宋体" w:cs="宋体"/>
          <w:b/>
          <w:color w:val="auto"/>
          <w:sz w:val="24"/>
        </w:rPr>
        <w:t>2.</w:t>
      </w:r>
      <w:bookmarkEnd w:id="181"/>
      <w:bookmarkEnd w:id="182"/>
      <w:bookmarkEnd w:id="183"/>
      <w:bookmarkEnd w:id="184"/>
      <w:bookmarkEnd w:id="185"/>
      <w:bookmarkEnd w:id="186"/>
      <w:bookmarkEnd w:id="187"/>
      <w:bookmarkEnd w:id="188"/>
      <w:r>
        <w:rPr>
          <w:rFonts w:hint="eastAsia" w:ascii="宋体" w:hAnsi="宋体" w:eastAsia="宋体" w:cs="宋体"/>
          <w:b/>
          <w:color w:val="auto"/>
          <w:sz w:val="24"/>
        </w:rPr>
        <w:t>5 履约检查和问题反馈</w:t>
      </w:r>
      <w:bookmarkEnd w:id="189"/>
      <w:bookmarkEnd w:id="190"/>
      <w:bookmarkEnd w:id="191"/>
      <w:bookmarkEnd w:id="192"/>
      <w:bookmarkEnd w:id="193"/>
      <w:bookmarkEnd w:id="194"/>
      <w:bookmarkEnd w:id="195"/>
      <w:bookmarkEnd w:id="196"/>
      <w:bookmarkEnd w:id="197"/>
      <w:bookmarkEnd w:id="198"/>
    </w:p>
    <w:p>
      <w:pPr>
        <w:spacing w:line="560" w:lineRule="exact"/>
        <w:ind w:firstLine="480" w:firstLineChars="200"/>
        <w:rPr>
          <w:rFonts w:hint="eastAsia" w:ascii="宋体" w:hAnsi="宋体" w:eastAsia="宋体" w:cs="宋体"/>
          <w:color w:val="auto"/>
          <w:sz w:val="24"/>
        </w:rPr>
      </w:pPr>
      <w:bookmarkStart w:id="199" w:name="_Ref467379657"/>
      <w:r>
        <w:rPr>
          <w:rFonts w:hint="eastAsia" w:ascii="宋体" w:hAnsi="宋体" w:eastAsia="宋体" w:cs="宋体"/>
          <w:color w:val="auto"/>
          <w:sz w:val="24"/>
        </w:rPr>
        <w:t>2.5.1</w:t>
      </w:r>
      <w:bookmarkEnd w:id="199"/>
      <w:bookmarkStart w:id="200" w:name="_Toc186431854"/>
      <w:bookmarkStart w:id="201" w:name="_Toc259093676"/>
      <w:bookmarkStart w:id="202" w:name="_Ref467379793"/>
      <w:bookmarkStart w:id="203" w:name="_Toc487900357"/>
      <w:bookmarkStart w:id="204" w:name="_Toc279701247"/>
      <w:bookmarkStart w:id="205" w:name="_Ref467379807"/>
      <w:r>
        <w:rPr>
          <w:rFonts w:hint="eastAsia" w:ascii="宋体" w:hAnsi="宋体" w:eastAsia="宋体" w:cs="宋体"/>
          <w:color w:val="auto"/>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2.5.2 合同履行期间，甲方有权将履行过程中出现的问题反馈给乙方，双方当事人应以书面形式约定需要完善和改进的内容</w:t>
      </w:r>
      <w:bookmarkEnd w:id="200"/>
      <w:bookmarkStart w:id="206" w:name="_Toc186431855"/>
      <w:r>
        <w:rPr>
          <w:rFonts w:hint="eastAsia" w:ascii="宋体" w:hAnsi="宋体" w:eastAsia="宋体" w:cs="宋体"/>
          <w:color w:val="auto"/>
          <w:sz w:val="24"/>
        </w:rPr>
        <w:t>。</w:t>
      </w:r>
    </w:p>
    <w:bookmarkEnd w:id="206"/>
    <w:p>
      <w:pPr>
        <w:spacing w:line="560" w:lineRule="exact"/>
        <w:ind w:firstLine="482" w:firstLineChars="200"/>
        <w:outlineLvl w:val="0"/>
        <w:rPr>
          <w:rFonts w:hint="eastAsia" w:ascii="宋体" w:hAnsi="宋体" w:eastAsia="宋体" w:cs="宋体"/>
          <w:b/>
          <w:color w:val="auto"/>
          <w:sz w:val="24"/>
        </w:rPr>
      </w:pPr>
      <w:bookmarkStart w:id="207" w:name="_Toc19219"/>
      <w:bookmarkStart w:id="208" w:name="_Toc5474"/>
      <w:bookmarkStart w:id="209" w:name="_Toc26797"/>
      <w:bookmarkStart w:id="210" w:name="_Toc22425"/>
      <w:bookmarkStart w:id="211" w:name="_Toc24173"/>
      <w:bookmarkStart w:id="212" w:name="_Toc7836"/>
      <w:bookmarkStart w:id="213" w:name="_Toc22421"/>
      <w:bookmarkStart w:id="214" w:name="_Toc18914"/>
      <w:bookmarkStart w:id="215" w:name="_Toc22884"/>
      <w:bookmarkStart w:id="216" w:name="_Toc28451"/>
      <w:r>
        <w:rPr>
          <w:rFonts w:hint="eastAsia" w:ascii="宋体" w:hAnsi="宋体" w:eastAsia="宋体" w:cs="宋体"/>
          <w:b/>
          <w:color w:val="auto"/>
          <w:sz w:val="24"/>
        </w:rPr>
        <w:t>2.6 结算方式和付款条件</w:t>
      </w:r>
      <w:bookmarkEnd w:id="201"/>
      <w:bookmarkEnd w:id="202"/>
      <w:bookmarkEnd w:id="203"/>
      <w:bookmarkEnd w:id="204"/>
      <w:bookmarkEnd w:id="205"/>
      <w:bookmarkEnd w:id="207"/>
      <w:bookmarkEnd w:id="208"/>
      <w:bookmarkEnd w:id="209"/>
      <w:bookmarkEnd w:id="210"/>
      <w:bookmarkEnd w:id="211"/>
      <w:bookmarkEnd w:id="212"/>
      <w:bookmarkEnd w:id="213"/>
      <w:bookmarkEnd w:id="214"/>
      <w:bookmarkEnd w:id="215"/>
      <w:bookmarkEnd w:id="21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p>
      <w:pPr>
        <w:spacing w:line="560" w:lineRule="exact"/>
        <w:ind w:firstLine="482" w:firstLineChars="200"/>
        <w:outlineLvl w:val="0"/>
        <w:rPr>
          <w:rFonts w:hint="eastAsia" w:ascii="宋体" w:hAnsi="宋体" w:eastAsia="宋体" w:cs="宋体"/>
          <w:b/>
          <w:color w:val="auto"/>
          <w:sz w:val="24"/>
        </w:rPr>
      </w:pPr>
      <w:bookmarkStart w:id="217" w:name="_Ref467379852"/>
      <w:bookmarkStart w:id="218" w:name="_Ref467379923"/>
      <w:bookmarkStart w:id="219" w:name="_Toc279701248"/>
      <w:bookmarkStart w:id="220" w:name="_Ref467379863"/>
      <w:bookmarkStart w:id="221" w:name="_Toc487900358"/>
      <w:bookmarkStart w:id="222" w:name="_Toc259093677"/>
      <w:bookmarkStart w:id="223" w:name="_Toc3225"/>
      <w:bookmarkStart w:id="224" w:name="_Toc5047"/>
      <w:bookmarkStart w:id="225" w:name="_Toc14640"/>
      <w:bookmarkStart w:id="226" w:name="_Toc11565"/>
      <w:bookmarkStart w:id="227" w:name="_Toc22587"/>
      <w:bookmarkStart w:id="228" w:name="_Toc774"/>
      <w:bookmarkStart w:id="229" w:name="_Toc9239"/>
      <w:bookmarkStart w:id="230" w:name="_Toc16110"/>
      <w:bookmarkStart w:id="231" w:name="_Toc20729"/>
      <w:bookmarkStart w:id="232" w:name="_Toc13107"/>
      <w:r>
        <w:rPr>
          <w:rFonts w:hint="eastAsia" w:ascii="宋体" w:hAnsi="宋体" w:eastAsia="宋体" w:cs="宋体"/>
          <w:b/>
          <w:color w:val="auto"/>
          <w:sz w:val="24"/>
        </w:rPr>
        <w:t>2.7 技术资料</w:t>
      </w:r>
      <w:bookmarkEnd w:id="217"/>
      <w:bookmarkEnd w:id="218"/>
      <w:bookmarkEnd w:id="219"/>
      <w:bookmarkEnd w:id="220"/>
      <w:bookmarkEnd w:id="221"/>
      <w:bookmarkEnd w:id="222"/>
      <w:r>
        <w:rPr>
          <w:rFonts w:hint="eastAsia" w:ascii="宋体" w:hAnsi="宋体" w:eastAsia="宋体" w:cs="宋体"/>
          <w:b/>
          <w:color w:val="auto"/>
          <w:sz w:val="24"/>
        </w:rPr>
        <w:t>和保密义务</w:t>
      </w:r>
      <w:bookmarkEnd w:id="223"/>
      <w:bookmarkEnd w:id="224"/>
      <w:bookmarkEnd w:id="225"/>
      <w:bookmarkEnd w:id="226"/>
      <w:bookmarkEnd w:id="227"/>
      <w:bookmarkEnd w:id="228"/>
      <w:bookmarkEnd w:id="229"/>
      <w:bookmarkEnd w:id="230"/>
      <w:bookmarkEnd w:id="231"/>
      <w:bookmarkEnd w:id="23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乙方有义务妥善保管和保护由甲方提供的前款信息和资料等；</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auto"/>
          <w:sz w:val="24"/>
        </w:rPr>
      </w:pPr>
      <w:bookmarkStart w:id="233" w:name="_Toc3734"/>
      <w:bookmarkStart w:id="234" w:name="_Toc7860"/>
      <w:bookmarkStart w:id="235" w:name="_Toc29443"/>
      <w:bookmarkStart w:id="236" w:name="_Toc30184"/>
      <w:bookmarkStart w:id="237" w:name="_Toc22356"/>
      <w:bookmarkStart w:id="238" w:name="_Toc8012"/>
      <w:bookmarkStart w:id="239" w:name="_Toc2271"/>
      <w:bookmarkStart w:id="240" w:name="_Toc10227"/>
      <w:r>
        <w:rPr>
          <w:rFonts w:hint="eastAsia" w:ascii="宋体" w:hAnsi="宋体" w:eastAsia="宋体" w:cs="宋体"/>
          <w:b/>
          <w:color w:val="auto"/>
          <w:sz w:val="24"/>
        </w:rPr>
        <w:t>2.8 质量保证</w:t>
      </w:r>
      <w:bookmarkEnd w:id="233"/>
      <w:bookmarkEnd w:id="234"/>
      <w:bookmarkEnd w:id="235"/>
      <w:bookmarkEnd w:id="236"/>
      <w:bookmarkEnd w:id="237"/>
      <w:bookmarkEnd w:id="238"/>
      <w:bookmarkEnd w:id="239"/>
      <w:bookmarkEnd w:id="24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auto"/>
          <w:sz w:val="24"/>
        </w:rPr>
      </w:pPr>
      <w:bookmarkStart w:id="241" w:name="_Toc766"/>
      <w:bookmarkStart w:id="242" w:name="_Toc18237"/>
      <w:bookmarkStart w:id="243" w:name="_Toc4009"/>
      <w:bookmarkStart w:id="244" w:name="_Toc17244"/>
      <w:bookmarkStart w:id="245" w:name="_Toc17773"/>
      <w:bookmarkStart w:id="246" w:name="_Toc26744"/>
      <w:bookmarkStart w:id="247" w:name="_Toc15900"/>
      <w:bookmarkStart w:id="248" w:name="_Toc20251"/>
      <w:bookmarkStart w:id="249" w:name="_Toc487900362"/>
      <w:bookmarkStart w:id="250" w:name="_Toc279701252"/>
      <w:bookmarkStart w:id="251" w:name="_Toc259093681"/>
      <w:r>
        <w:rPr>
          <w:rFonts w:hint="eastAsia" w:ascii="宋体" w:hAnsi="宋体" w:eastAsia="宋体" w:cs="宋体"/>
          <w:b/>
          <w:color w:val="auto"/>
          <w:sz w:val="24"/>
        </w:rPr>
        <w:t>2.9 货物的风险负担</w:t>
      </w:r>
      <w:bookmarkEnd w:id="241"/>
      <w:bookmarkEnd w:id="242"/>
      <w:bookmarkEnd w:id="243"/>
      <w:bookmarkEnd w:id="244"/>
      <w:bookmarkEnd w:id="245"/>
      <w:bookmarkEnd w:id="246"/>
      <w:bookmarkEnd w:id="247"/>
      <w:bookmarkEnd w:id="248"/>
    </w:p>
    <w:p>
      <w:pPr>
        <w:spacing w:line="560" w:lineRule="exact"/>
        <w:ind w:firstLine="480" w:firstLineChars="200"/>
        <w:rPr>
          <w:rFonts w:hint="eastAsia" w:ascii="宋体" w:hAnsi="宋体" w:eastAsia="宋体" w:cs="宋体"/>
          <w:b/>
          <w:i w:val="0"/>
          <w:iCs/>
          <w:color w:val="auto"/>
          <w:sz w:val="24"/>
        </w:rPr>
      </w:pPr>
      <w:r>
        <w:rPr>
          <w:rFonts w:hint="eastAsia" w:ascii="宋体" w:hAnsi="宋体" w:eastAsia="宋体" w:cs="宋体"/>
          <w:color w:val="auto"/>
          <w:sz w:val="24"/>
        </w:rPr>
        <w:t>货物或者在途货物或者交付给第一承运人后的货物毁损、灭失的风险负担详见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p>
      <w:pPr>
        <w:spacing w:line="560" w:lineRule="exact"/>
        <w:ind w:firstLine="482" w:firstLineChars="200"/>
        <w:outlineLvl w:val="0"/>
        <w:rPr>
          <w:rFonts w:hint="eastAsia" w:ascii="宋体" w:hAnsi="宋体" w:eastAsia="宋体" w:cs="宋体"/>
          <w:b/>
          <w:color w:val="auto"/>
          <w:sz w:val="24"/>
        </w:rPr>
      </w:pPr>
      <w:bookmarkStart w:id="252" w:name="_Toc14055"/>
      <w:bookmarkStart w:id="253" w:name="_Toc26257"/>
      <w:bookmarkStart w:id="254" w:name="_Toc29958"/>
      <w:bookmarkStart w:id="255" w:name="_Toc15408"/>
      <w:bookmarkStart w:id="256" w:name="_Toc24674"/>
      <w:bookmarkStart w:id="257" w:name="_Toc28120"/>
      <w:bookmarkStart w:id="258" w:name="_Toc12707"/>
      <w:bookmarkStart w:id="259" w:name="_Toc18036"/>
      <w:r>
        <w:rPr>
          <w:rFonts w:hint="eastAsia" w:ascii="宋体" w:hAnsi="宋体" w:eastAsia="宋体" w:cs="宋体"/>
          <w:b/>
          <w:color w:val="auto"/>
          <w:sz w:val="24"/>
        </w:rPr>
        <w:t>2.10 延迟交货</w:t>
      </w:r>
      <w:bookmarkEnd w:id="249"/>
      <w:bookmarkEnd w:id="250"/>
      <w:bookmarkEnd w:id="251"/>
      <w:bookmarkEnd w:id="252"/>
      <w:bookmarkEnd w:id="253"/>
      <w:bookmarkEnd w:id="254"/>
      <w:bookmarkEnd w:id="255"/>
      <w:bookmarkEnd w:id="256"/>
      <w:bookmarkEnd w:id="257"/>
      <w:bookmarkEnd w:id="258"/>
      <w:bookmarkEnd w:id="25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color w:val="auto"/>
          <w:sz w:val="24"/>
        </w:rPr>
      </w:pPr>
      <w:bookmarkStart w:id="260" w:name="_Toc28981"/>
      <w:bookmarkStart w:id="261" w:name="_Toc16789"/>
      <w:bookmarkStart w:id="262" w:name="_Toc31709"/>
      <w:bookmarkStart w:id="263" w:name="_Toc9407"/>
      <w:bookmarkStart w:id="264" w:name="_Toc13615"/>
      <w:bookmarkStart w:id="265" w:name="_Toc25996"/>
      <w:bookmarkStart w:id="266" w:name="_Toc21627"/>
      <w:bookmarkStart w:id="267" w:name="_Toc7502"/>
      <w:bookmarkStart w:id="268" w:name="_Toc487900364"/>
      <w:bookmarkStart w:id="269" w:name="_Toc279701254"/>
      <w:bookmarkStart w:id="270" w:name="_Toc259093683"/>
      <w:bookmarkStart w:id="271" w:name="_Ref467378121"/>
      <w:r>
        <w:rPr>
          <w:rFonts w:hint="eastAsia" w:ascii="宋体" w:hAnsi="宋体" w:eastAsia="宋体" w:cs="宋体"/>
          <w:b/>
          <w:color w:val="auto"/>
          <w:sz w:val="24"/>
        </w:rPr>
        <w:t>2.11 合同变更</w:t>
      </w:r>
      <w:bookmarkEnd w:id="260"/>
      <w:bookmarkEnd w:id="261"/>
      <w:bookmarkEnd w:id="262"/>
      <w:bookmarkEnd w:id="263"/>
      <w:bookmarkEnd w:id="264"/>
      <w:bookmarkEnd w:id="265"/>
      <w:bookmarkEnd w:id="266"/>
      <w:bookmarkEnd w:id="26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2.11.2 合同继续履行将损害国家利益和社会公共利益的，双方当事人应当以书面形式变更合同。有过错的一方应当承担赔偿责任，双方当事人都有过错的，各自承担相应的责任。</w:t>
      </w:r>
      <w:bookmarkStart w:id="272" w:name="_Toc487900369"/>
      <w:bookmarkStart w:id="273" w:name="_Toc259093688"/>
      <w:bookmarkStart w:id="274" w:name="_Toc279701259"/>
    </w:p>
    <w:p>
      <w:pPr>
        <w:spacing w:line="560" w:lineRule="exact"/>
        <w:ind w:firstLine="482" w:firstLineChars="200"/>
        <w:outlineLvl w:val="0"/>
        <w:rPr>
          <w:rFonts w:hint="eastAsia" w:ascii="宋体" w:hAnsi="宋体" w:eastAsia="宋体" w:cs="宋体"/>
          <w:b/>
          <w:color w:val="auto"/>
          <w:sz w:val="24"/>
        </w:rPr>
      </w:pPr>
      <w:bookmarkStart w:id="275" w:name="_Toc12400"/>
      <w:bookmarkStart w:id="276" w:name="_Toc19764"/>
      <w:bookmarkStart w:id="277" w:name="_Toc20529"/>
      <w:bookmarkStart w:id="278" w:name="_Toc15237"/>
      <w:bookmarkStart w:id="279" w:name="_Toc1424"/>
      <w:bookmarkStart w:id="280" w:name="_Toc7032"/>
      <w:bookmarkStart w:id="281" w:name="_Toc1443"/>
      <w:bookmarkStart w:id="282" w:name="_Toc10366"/>
      <w:bookmarkStart w:id="283" w:name="_Toc23692"/>
      <w:bookmarkStart w:id="284" w:name="_Toc22955"/>
      <w:r>
        <w:rPr>
          <w:rFonts w:hint="eastAsia" w:ascii="宋体" w:hAnsi="宋体" w:eastAsia="宋体" w:cs="宋体"/>
          <w:b/>
          <w:color w:val="auto"/>
          <w:sz w:val="24"/>
        </w:rPr>
        <w:t>2.12 合同转让</w:t>
      </w:r>
      <w:bookmarkEnd w:id="272"/>
      <w:bookmarkEnd w:id="273"/>
      <w:bookmarkEnd w:id="274"/>
      <w:r>
        <w:rPr>
          <w:rFonts w:hint="eastAsia" w:ascii="宋体" w:hAnsi="宋体" w:eastAsia="宋体" w:cs="宋体"/>
          <w:b/>
          <w:color w:val="auto"/>
          <w:sz w:val="24"/>
        </w:rPr>
        <w:t>和分包</w:t>
      </w:r>
      <w:bookmarkEnd w:id="275"/>
      <w:bookmarkEnd w:id="276"/>
      <w:bookmarkEnd w:id="277"/>
      <w:bookmarkEnd w:id="278"/>
      <w:bookmarkEnd w:id="279"/>
      <w:bookmarkEnd w:id="280"/>
      <w:bookmarkEnd w:id="281"/>
      <w:bookmarkEnd w:id="282"/>
      <w:bookmarkEnd w:id="283"/>
      <w:bookmarkEnd w:id="28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color w:val="auto"/>
          <w:sz w:val="24"/>
        </w:rPr>
      </w:pPr>
      <w:bookmarkStart w:id="285" w:name="_Toc16508"/>
      <w:bookmarkStart w:id="286" w:name="_Toc13566"/>
      <w:bookmarkStart w:id="287" w:name="_Toc21116"/>
      <w:bookmarkStart w:id="288" w:name="_Toc5900"/>
      <w:bookmarkStart w:id="289" w:name="_Toc16798"/>
      <w:bookmarkStart w:id="290" w:name="_Toc28067"/>
      <w:bookmarkStart w:id="291" w:name="_Toc28335"/>
      <w:bookmarkStart w:id="292" w:name="_Toc11779"/>
      <w:bookmarkStart w:id="293" w:name="_Toc2656"/>
      <w:bookmarkStart w:id="294" w:name="_Toc14066"/>
      <w:r>
        <w:rPr>
          <w:rFonts w:hint="eastAsia" w:ascii="宋体" w:hAnsi="宋体" w:eastAsia="宋体" w:cs="宋体"/>
          <w:b/>
          <w:color w:val="auto"/>
          <w:sz w:val="24"/>
        </w:rPr>
        <w:t>2.13 不可抗力</w:t>
      </w:r>
      <w:bookmarkEnd w:id="285"/>
      <w:bookmarkEnd w:id="286"/>
      <w:bookmarkEnd w:id="287"/>
      <w:bookmarkEnd w:id="288"/>
      <w:bookmarkEnd w:id="289"/>
      <w:bookmarkEnd w:id="290"/>
      <w:bookmarkEnd w:id="291"/>
      <w:bookmarkEnd w:id="292"/>
      <w:bookmarkEnd w:id="293"/>
      <w:bookmarkEnd w:id="29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2.13.2 因不可抗力致使不能实现合同目的的，当事人可以解除合同；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2.13.3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2.13.4受不可抗力影响的一方在不可抗力发生后，应在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color w:val="auto"/>
          <w:sz w:val="24"/>
        </w:rPr>
      </w:pPr>
      <w:bookmarkStart w:id="295" w:name="_Toc487900365"/>
      <w:bookmarkStart w:id="296" w:name="_Toc5657"/>
      <w:bookmarkStart w:id="297" w:name="_Toc25034"/>
      <w:bookmarkStart w:id="298" w:name="_Toc30676"/>
      <w:bookmarkStart w:id="299" w:name="_Toc279701255"/>
      <w:bookmarkStart w:id="300" w:name="_Toc29703"/>
      <w:bookmarkStart w:id="301" w:name="_Toc689"/>
      <w:bookmarkStart w:id="302" w:name="_Toc13955"/>
      <w:bookmarkStart w:id="303" w:name="_Toc29141"/>
      <w:bookmarkStart w:id="304" w:name="_Toc2525"/>
      <w:bookmarkStart w:id="305" w:name="_Toc23753"/>
      <w:bookmarkStart w:id="306" w:name="_Toc6969"/>
      <w:bookmarkStart w:id="307" w:name="_Toc259093684"/>
      <w:r>
        <w:rPr>
          <w:rFonts w:hint="eastAsia" w:ascii="宋体" w:hAnsi="宋体" w:eastAsia="宋体" w:cs="宋体"/>
          <w:b/>
          <w:color w:val="auto"/>
          <w:sz w:val="24"/>
        </w:rPr>
        <w:t>2.14 税费</w:t>
      </w:r>
      <w:bookmarkEnd w:id="295"/>
      <w:bookmarkEnd w:id="296"/>
      <w:bookmarkEnd w:id="297"/>
      <w:bookmarkEnd w:id="298"/>
      <w:bookmarkEnd w:id="299"/>
      <w:bookmarkEnd w:id="300"/>
      <w:bookmarkEnd w:id="301"/>
      <w:bookmarkEnd w:id="302"/>
      <w:bookmarkEnd w:id="303"/>
      <w:bookmarkEnd w:id="304"/>
      <w:bookmarkEnd w:id="305"/>
      <w:bookmarkEnd w:id="306"/>
      <w:bookmarkEnd w:id="30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w:t>
      </w:r>
    </w:p>
    <w:p>
      <w:pPr>
        <w:spacing w:line="560" w:lineRule="exact"/>
        <w:ind w:firstLine="482" w:firstLineChars="200"/>
        <w:outlineLvl w:val="0"/>
        <w:rPr>
          <w:rFonts w:hint="eastAsia" w:ascii="宋体" w:hAnsi="宋体" w:eastAsia="宋体" w:cs="宋体"/>
          <w:b/>
          <w:color w:val="auto"/>
          <w:sz w:val="24"/>
        </w:rPr>
      </w:pPr>
      <w:bookmarkStart w:id="308" w:name="_Toc259093687"/>
      <w:bookmarkStart w:id="309" w:name="_Toc24852"/>
      <w:bookmarkStart w:id="310" w:name="_Toc8298"/>
      <w:bookmarkStart w:id="311" w:name="_Toc12118"/>
      <w:bookmarkStart w:id="312" w:name="_Toc16959"/>
      <w:bookmarkStart w:id="313" w:name="_Toc7102"/>
      <w:bookmarkStart w:id="314" w:name="_Toc2491"/>
      <w:bookmarkStart w:id="315" w:name="_Toc279701258"/>
      <w:bookmarkStart w:id="316" w:name="_Toc487900368"/>
      <w:bookmarkStart w:id="317" w:name="_Toc18183"/>
      <w:bookmarkStart w:id="318" w:name="_Toc21421"/>
      <w:bookmarkStart w:id="319" w:name="_Toc28411"/>
      <w:bookmarkStart w:id="320" w:name="_Toc19969"/>
      <w:r>
        <w:rPr>
          <w:rFonts w:hint="eastAsia" w:ascii="宋体" w:hAnsi="宋体" w:eastAsia="宋体" w:cs="宋体"/>
          <w:b/>
          <w:color w:val="auto"/>
          <w:sz w:val="24"/>
        </w:rPr>
        <w:t>2.15 乙方破产</w:t>
      </w:r>
      <w:bookmarkEnd w:id="308"/>
      <w:bookmarkEnd w:id="309"/>
      <w:bookmarkEnd w:id="310"/>
      <w:bookmarkEnd w:id="311"/>
      <w:bookmarkEnd w:id="312"/>
      <w:bookmarkEnd w:id="313"/>
      <w:bookmarkEnd w:id="314"/>
      <w:bookmarkEnd w:id="315"/>
      <w:bookmarkEnd w:id="316"/>
      <w:bookmarkEnd w:id="317"/>
      <w:bookmarkEnd w:id="318"/>
      <w:bookmarkEnd w:id="319"/>
      <w:bookmarkEnd w:id="32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auto"/>
          <w:sz w:val="24"/>
        </w:rPr>
      </w:pPr>
      <w:bookmarkStart w:id="321" w:name="_Toc23301"/>
      <w:bookmarkStart w:id="322" w:name="_Toc22720"/>
      <w:bookmarkStart w:id="323" w:name="_Toc1847"/>
      <w:bookmarkStart w:id="324" w:name="_Toc20630"/>
      <w:bookmarkStart w:id="325" w:name="_Toc15387"/>
      <w:bookmarkStart w:id="326" w:name="_Toc25831"/>
      <w:bookmarkStart w:id="327" w:name="_Toc20901"/>
      <w:bookmarkStart w:id="328" w:name="_Toc22272"/>
      <w:bookmarkStart w:id="329" w:name="_Toc29333"/>
      <w:bookmarkStart w:id="330" w:name="_Toc6134"/>
      <w:r>
        <w:rPr>
          <w:rFonts w:hint="eastAsia" w:ascii="宋体" w:hAnsi="宋体" w:eastAsia="宋体" w:cs="宋体"/>
          <w:b/>
          <w:color w:val="auto"/>
          <w:sz w:val="24"/>
        </w:rPr>
        <w:t>2.16 合同中止、终止</w:t>
      </w:r>
      <w:bookmarkEnd w:id="321"/>
      <w:bookmarkEnd w:id="322"/>
      <w:bookmarkEnd w:id="323"/>
      <w:bookmarkEnd w:id="324"/>
      <w:bookmarkEnd w:id="325"/>
      <w:bookmarkEnd w:id="326"/>
      <w:bookmarkEnd w:id="327"/>
      <w:bookmarkEnd w:id="328"/>
      <w:bookmarkEnd w:id="329"/>
      <w:bookmarkEnd w:id="33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2.16.1 双方当事人不得擅自中止或者终止合同；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auto"/>
          <w:sz w:val="24"/>
        </w:rPr>
      </w:pPr>
      <w:bookmarkStart w:id="331" w:name="_Toc13957"/>
      <w:bookmarkStart w:id="332" w:name="_Toc20628"/>
      <w:bookmarkStart w:id="333" w:name="_Toc11234"/>
      <w:bookmarkStart w:id="334" w:name="_Toc19897"/>
      <w:bookmarkStart w:id="335" w:name="_Toc1125"/>
      <w:bookmarkStart w:id="336" w:name="_Toc6596"/>
      <w:bookmarkStart w:id="337" w:name="_Toc20421"/>
      <w:bookmarkStart w:id="338" w:name="_Toc18411"/>
      <w:bookmarkStart w:id="339" w:name="_Toc14563"/>
      <w:bookmarkStart w:id="340" w:name="_Toc6584"/>
      <w:r>
        <w:rPr>
          <w:rFonts w:hint="eastAsia" w:ascii="宋体" w:hAnsi="宋体" w:eastAsia="宋体" w:cs="宋体"/>
          <w:b/>
          <w:color w:val="auto"/>
          <w:sz w:val="24"/>
        </w:rPr>
        <w:t>2.17 检验和验收</w:t>
      </w:r>
      <w:bookmarkEnd w:id="331"/>
      <w:bookmarkEnd w:id="332"/>
      <w:bookmarkEnd w:id="333"/>
      <w:bookmarkEnd w:id="334"/>
      <w:bookmarkEnd w:id="335"/>
      <w:bookmarkEnd w:id="336"/>
      <w:bookmarkEnd w:id="337"/>
      <w:bookmarkEnd w:id="338"/>
      <w:bookmarkEnd w:id="339"/>
      <w:bookmarkEnd w:id="340"/>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268"/>
    <w:bookmarkEnd w:id="269"/>
    <w:bookmarkEnd w:id="270"/>
    <w:bookmarkEnd w:id="271"/>
    <w:p>
      <w:pPr>
        <w:spacing w:line="560" w:lineRule="exact"/>
        <w:ind w:firstLine="482" w:firstLineChars="200"/>
        <w:outlineLvl w:val="0"/>
        <w:rPr>
          <w:rFonts w:hint="eastAsia" w:ascii="宋体" w:hAnsi="宋体" w:eastAsia="宋体" w:cs="宋体"/>
          <w:b/>
          <w:color w:val="auto"/>
          <w:sz w:val="24"/>
        </w:rPr>
      </w:pPr>
      <w:bookmarkStart w:id="341" w:name="_Toc487900371"/>
      <w:bookmarkStart w:id="342" w:name="_Toc279701261"/>
      <w:bookmarkStart w:id="343" w:name="_Toc259093690"/>
      <w:bookmarkStart w:id="344" w:name="_Toc20825"/>
      <w:bookmarkStart w:id="345" w:name="_Toc15103"/>
      <w:bookmarkStart w:id="346" w:name="_Toc19604"/>
      <w:bookmarkStart w:id="347" w:name="_Toc17336"/>
      <w:bookmarkStart w:id="348" w:name="_Toc11284"/>
      <w:bookmarkStart w:id="349" w:name="_Toc31213"/>
      <w:bookmarkStart w:id="350" w:name="_Toc22693"/>
      <w:bookmarkStart w:id="351" w:name="_Toc5140"/>
      <w:bookmarkStart w:id="352" w:name="_Toc25182"/>
      <w:bookmarkStart w:id="353" w:name="_Toc10923"/>
      <w:r>
        <w:rPr>
          <w:rFonts w:hint="eastAsia" w:ascii="宋体" w:hAnsi="宋体" w:eastAsia="宋体" w:cs="宋体"/>
          <w:b/>
          <w:color w:val="auto"/>
          <w:sz w:val="24"/>
        </w:rPr>
        <w:t>2.18 通知</w:t>
      </w:r>
      <w:bookmarkEnd w:id="341"/>
      <w:bookmarkEnd w:id="342"/>
      <w:bookmarkEnd w:id="343"/>
      <w:r>
        <w:rPr>
          <w:rFonts w:hint="eastAsia" w:ascii="宋体" w:hAnsi="宋体" w:eastAsia="宋体" w:cs="宋体"/>
          <w:b/>
          <w:color w:val="auto"/>
          <w:sz w:val="24"/>
        </w:rPr>
        <w:t>和送达</w:t>
      </w:r>
      <w:bookmarkEnd w:id="344"/>
      <w:bookmarkEnd w:id="345"/>
      <w:bookmarkEnd w:id="346"/>
      <w:bookmarkEnd w:id="347"/>
      <w:bookmarkEnd w:id="348"/>
      <w:bookmarkEnd w:id="349"/>
      <w:bookmarkEnd w:id="350"/>
      <w:bookmarkEnd w:id="351"/>
      <w:bookmarkEnd w:id="352"/>
      <w:bookmarkEnd w:id="353"/>
    </w:p>
    <w:p>
      <w:pPr>
        <w:spacing w:line="560" w:lineRule="exact"/>
        <w:ind w:firstLine="480" w:firstLineChars="200"/>
        <w:rPr>
          <w:rFonts w:hint="eastAsia" w:ascii="宋体" w:hAnsi="宋体" w:eastAsia="宋体" w:cs="宋体"/>
          <w:color w:val="auto"/>
          <w:sz w:val="24"/>
        </w:rPr>
      </w:pPr>
      <w:bookmarkStart w:id="354" w:name="_Toc6698"/>
      <w:bookmarkStart w:id="355" w:name="_Toc3135"/>
      <w:bookmarkStart w:id="356" w:name="_Toc259093691"/>
      <w:bookmarkStart w:id="357" w:name="_Toc487900372"/>
      <w:bookmarkStart w:id="358" w:name="_Toc279701262"/>
      <w:r>
        <w:rPr>
          <w:rFonts w:hint="eastAsia" w:ascii="宋体" w:hAnsi="宋体" w:eastAsia="宋体" w:cs="宋体"/>
          <w:color w:val="auto"/>
          <w:sz w:val="24"/>
        </w:rPr>
        <w:t>2.18.1 任何一方因履行合同而以合同第一部分尾部所列明的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354"/>
      <w:bookmarkEnd w:id="355"/>
    </w:p>
    <w:p>
      <w:pPr>
        <w:spacing w:line="560" w:lineRule="exact"/>
        <w:ind w:firstLine="480" w:firstLineChars="200"/>
        <w:rPr>
          <w:rFonts w:hint="eastAsia" w:ascii="宋体" w:hAnsi="宋体" w:eastAsia="宋体" w:cs="宋体"/>
          <w:color w:val="auto"/>
          <w:sz w:val="24"/>
        </w:rPr>
      </w:pPr>
      <w:bookmarkStart w:id="359" w:name="_Toc23128"/>
      <w:bookmarkStart w:id="360" w:name="_Toc23294"/>
      <w:r>
        <w:rPr>
          <w:rFonts w:hint="eastAsia" w:ascii="宋体" w:hAnsi="宋体" w:eastAsia="宋体" w:cs="宋体"/>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9"/>
      <w:bookmarkEnd w:id="360"/>
    </w:p>
    <w:p>
      <w:pPr>
        <w:spacing w:line="560" w:lineRule="exact"/>
        <w:ind w:firstLine="482" w:firstLineChars="200"/>
        <w:outlineLvl w:val="0"/>
        <w:rPr>
          <w:rFonts w:hint="eastAsia" w:ascii="宋体" w:hAnsi="宋体" w:eastAsia="宋体" w:cs="宋体"/>
          <w:b/>
          <w:color w:val="auto"/>
          <w:sz w:val="24"/>
        </w:rPr>
      </w:pPr>
      <w:bookmarkStart w:id="361" w:name="_Toc30599"/>
      <w:bookmarkStart w:id="362" w:name="_Toc20003"/>
      <w:bookmarkStart w:id="363" w:name="_Toc11310"/>
      <w:bookmarkStart w:id="364" w:name="_Toc2658"/>
      <w:bookmarkStart w:id="365" w:name="_Toc3808"/>
      <w:bookmarkStart w:id="366" w:name="_Toc4253"/>
      <w:bookmarkStart w:id="367" w:name="_Toc18540"/>
      <w:bookmarkStart w:id="368" w:name="_Toc4326"/>
      <w:bookmarkStart w:id="369" w:name="_Toc31572"/>
      <w:bookmarkStart w:id="370" w:name="_Toc4355"/>
      <w:r>
        <w:rPr>
          <w:rFonts w:hint="eastAsia" w:ascii="宋体" w:hAnsi="宋体" w:eastAsia="宋体" w:cs="宋体"/>
          <w:b/>
          <w:color w:val="auto"/>
          <w:sz w:val="24"/>
        </w:rPr>
        <w:t>2.19 计量单位</w:t>
      </w:r>
      <w:bookmarkEnd w:id="356"/>
      <w:bookmarkEnd w:id="357"/>
      <w:bookmarkEnd w:id="358"/>
      <w:bookmarkEnd w:id="361"/>
      <w:bookmarkEnd w:id="362"/>
      <w:bookmarkEnd w:id="363"/>
      <w:bookmarkEnd w:id="364"/>
      <w:bookmarkEnd w:id="365"/>
      <w:bookmarkEnd w:id="366"/>
      <w:bookmarkEnd w:id="367"/>
      <w:bookmarkEnd w:id="368"/>
      <w:bookmarkEnd w:id="369"/>
      <w:bookmarkEnd w:id="370"/>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color w:val="auto"/>
          <w:sz w:val="24"/>
        </w:rPr>
      </w:pPr>
      <w:bookmarkStart w:id="371" w:name="_Toc259093692"/>
      <w:bookmarkStart w:id="372" w:name="_Toc279701263"/>
      <w:bookmarkStart w:id="373" w:name="_Toc4735"/>
      <w:bookmarkStart w:id="374" w:name="_Toc18567"/>
      <w:bookmarkStart w:id="375" w:name="_Toc21928"/>
      <w:bookmarkStart w:id="376" w:name="_Toc12773"/>
      <w:bookmarkStart w:id="377" w:name="_Toc23218"/>
      <w:bookmarkStart w:id="378" w:name="_Toc487900373"/>
      <w:bookmarkStart w:id="379" w:name="_Toc15075"/>
      <w:bookmarkStart w:id="380" w:name="_Toc18817"/>
      <w:bookmarkStart w:id="381" w:name="_Toc32587"/>
      <w:bookmarkStart w:id="382" w:name="_Toc10330"/>
      <w:bookmarkStart w:id="383" w:name="_Toc17301"/>
      <w:r>
        <w:rPr>
          <w:rFonts w:hint="eastAsia" w:ascii="宋体" w:hAnsi="宋体" w:eastAsia="宋体" w:cs="宋体"/>
          <w:b/>
          <w:color w:val="auto"/>
          <w:sz w:val="24"/>
        </w:rPr>
        <w:t>2.20 合同使用的文字和适用的法律</w:t>
      </w:r>
      <w:bookmarkEnd w:id="371"/>
      <w:bookmarkEnd w:id="372"/>
      <w:bookmarkEnd w:id="373"/>
      <w:bookmarkEnd w:id="374"/>
      <w:bookmarkEnd w:id="375"/>
      <w:bookmarkEnd w:id="376"/>
      <w:bookmarkEnd w:id="377"/>
      <w:bookmarkEnd w:id="378"/>
      <w:bookmarkEnd w:id="379"/>
      <w:bookmarkEnd w:id="380"/>
      <w:bookmarkEnd w:id="381"/>
      <w:bookmarkEnd w:id="382"/>
      <w:bookmarkEnd w:id="383"/>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2.20.1 合同使用汉语书就、变更和解释；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2.20.2 合同适用中华人民共和国法律。</w:t>
      </w:r>
    </w:p>
    <w:p>
      <w:pPr>
        <w:spacing w:line="560" w:lineRule="exact"/>
        <w:ind w:firstLine="482" w:firstLineChars="200"/>
        <w:outlineLvl w:val="0"/>
        <w:rPr>
          <w:rFonts w:hint="eastAsia" w:ascii="宋体" w:hAnsi="宋体" w:eastAsia="宋体" w:cs="宋体"/>
          <w:b/>
          <w:color w:val="auto"/>
          <w:sz w:val="24"/>
        </w:rPr>
      </w:pPr>
      <w:bookmarkStart w:id="384" w:name="_Toc279701264"/>
      <w:bookmarkStart w:id="385" w:name="_Toc25137"/>
      <w:bookmarkStart w:id="386" w:name="_Toc18539"/>
      <w:bookmarkStart w:id="387" w:name="_Toc16673"/>
      <w:bookmarkStart w:id="388" w:name="_Toc3148"/>
      <w:bookmarkStart w:id="389" w:name="_Toc31374"/>
      <w:bookmarkStart w:id="390" w:name="_Toc21426"/>
      <w:bookmarkStart w:id="391" w:name="_Toc27260"/>
      <w:bookmarkStart w:id="392" w:name="_Toc25603"/>
      <w:bookmarkStart w:id="393" w:name="_Toc12004"/>
      <w:bookmarkStart w:id="394" w:name="_Toc259093693"/>
      <w:bookmarkStart w:id="395" w:name="_Toc2392"/>
      <w:bookmarkStart w:id="396" w:name="_Toc487900374"/>
      <w:r>
        <w:rPr>
          <w:rFonts w:hint="eastAsia" w:ascii="宋体" w:hAnsi="宋体" w:eastAsia="宋体" w:cs="宋体"/>
          <w:b/>
          <w:color w:val="auto"/>
          <w:sz w:val="24"/>
        </w:rPr>
        <w:t>2.21 履约保证金</w:t>
      </w:r>
      <w:bookmarkEnd w:id="384"/>
      <w:bookmarkEnd w:id="385"/>
      <w:bookmarkEnd w:id="386"/>
      <w:bookmarkEnd w:id="387"/>
      <w:bookmarkEnd w:id="388"/>
      <w:bookmarkEnd w:id="389"/>
      <w:bookmarkEnd w:id="390"/>
      <w:bookmarkEnd w:id="391"/>
      <w:bookmarkEnd w:id="392"/>
      <w:bookmarkEnd w:id="393"/>
      <w:bookmarkEnd w:id="394"/>
      <w:bookmarkEnd w:id="395"/>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2.21.1 采购文件要求乙方提交履约保证金的，乙方应按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2.21.2  履约保证金在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约定期间内或者货物质量保证期内不予退还或者应完全有效，前述约定期间届满或者货物质量保证期届满之日起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96"/>
    <w:p>
      <w:pPr>
        <w:spacing w:line="560" w:lineRule="exact"/>
        <w:ind w:firstLine="482" w:firstLineChars="200"/>
        <w:outlineLvl w:val="0"/>
        <w:rPr>
          <w:rFonts w:hint="eastAsia" w:ascii="宋体" w:hAnsi="宋体" w:eastAsia="宋体" w:cs="宋体"/>
          <w:b/>
          <w:color w:val="auto"/>
          <w:sz w:val="24"/>
        </w:rPr>
      </w:pPr>
      <w:bookmarkStart w:id="397" w:name="_Toc24986"/>
      <w:bookmarkStart w:id="398" w:name="_Toc19890"/>
      <w:bookmarkStart w:id="399" w:name="_Toc21727"/>
      <w:bookmarkStart w:id="400" w:name="_Toc28957"/>
      <w:bookmarkStart w:id="401" w:name="_Toc14001"/>
      <w:bookmarkStart w:id="402" w:name="_Toc30751"/>
      <w:bookmarkStart w:id="403" w:name="_Toc22827"/>
      <w:bookmarkStart w:id="404" w:name="_Toc32400"/>
      <w:bookmarkStart w:id="405" w:name="_Toc6885"/>
      <w:bookmarkStart w:id="406" w:name="_Toc21053"/>
      <w:r>
        <w:rPr>
          <w:rFonts w:hint="eastAsia" w:ascii="宋体" w:hAnsi="宋体" w:eastAsia="宋体" w:cs="宋体"/>
          <w:b/>
          <w:color w:val="auto"/>
          <w:sz w:val="24"/>
        </w:rPr>
        <w:t>2.22 合同份数</w:t>
      </w:r>
      <w:bookmarkEnd w:id="397"/>
      <w:bookmarkEnd w:id="398"/>
      <w:bookmarkEnd w:id="399"/>
      <w:bookmarkEnd w:id="400"/>
      <w:bookmarkEnd w:id="401"/>
      <w:bookmarkEnd w:id="402"/>
      <w:bookmarkEnd w:id="403"/>
      <w:bookmarkEnd w:id="404"/>
      <w:bookmarkEnd w:id="405"/>
      <w:bookmarkEnd w:id="40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规定，每份均具有同等法律效力。</w:t>
      </w:r>
    </w:p>
    <w:p>
      <w:pPr>
        <w:pStyle w:val="85"/>
        <w:rPr>
          <w:rFonts w:hint="eastAsia" w:ascii="宋体" w:hAnsi="宋体" w:eastAsia="宋体" w:cs="宋体"/>
          <w:color w:val="auto"/>
        </w:rPr>
      </w:pPr>
    </w:p>
    <w:p>
      <w:pPr>
        <w:rPr>
          <w:rFonts w:hint="eastAsia" w:ascii="宋体" w:hAnsi="宋体" w:eastAsia="宋体" w:cs="宋体"/>
          <w:b/>
          <w:bCs/>
          <w:color w:val="auto"/>
          <w:sz w:val="32"/>
          <w:szCs w:val="32"/>
        </w:rPr>
      </w:pPr>
      <w:bookmarkStart w:id="407" w:name="_Toc331685784"/>
      <w:r>
        <w:rPr>
          <w:rFonts w:hint="eastAsia" w:ascii="宋体" w:hAnsi="宋体" w:eastAsia="宋体" w:cs="宋体"/>
          <w:b/>
          <w:bCs/>
          <w:color w:val="auto"/>
          <w:sz w:val="32"/>
          <w:szCs w:val="32"/>
        </w:rPr>
        <w:br w:type="page"/>
      </w:r>
    </w:p>
    <w:p>
      <w:pPr>
        <w:widowControl/>
        <w:tabs>
          <w:tab w:val="left" w:pos="724"/>
        </w:tabs>
        <w:spacing w:line="4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第三部分  合同专用条款</w:t>
      </w:r>
      <w:bookmarkEnd w:id="407"/>
    </w:p>
    <w:p>
      <w:pPr>
        <w:widowControl/>
        <w:tabs>
          <w:tab w:val="left" w:pos="724"/>
        </w:tabs>
        <w:spacing w:line="460" w:lineRule="exact"/>
        <w:jc w:val="left"/>
        <w:rPr>
          <w:rFonts w:hint="eastAsia" w:ascii="宋体" w:hAnsi="宋体" w:eastAsia="宋体" w:cs="宋体"/>
          <w:color w:val="auto"/>
          <w:sz w:val="24"/>
          <w:szCs w:val="24"/>
        </w:rPr>
      </w:pPr>
    </w:p>
    <w:p>
      <w:pPr>
        <w:widowControl/>
        <w:tabs>
          <w:tab w:val="left" w:pos="724"/>
        </w:tabs>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3"/>
        <w:gridCol w:w="7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73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bl>
    <w:p>
      <w:pPr>
        <w:spacing w:after="156" w:line="560" w:lineRule="exact"/>
        <w:jc w:val="center"/>
        <w:rPr>
          <w:rStyle w:val="52"/>
          <w:rFonts w:hint="eastAsia" w:ascii="宋体" w:hAnsi="宋体" w:eastAsia="宋体" w:cs="宋体"/>
          <w:color w:val="auto"/>
        </w:rPr>
      </w:pPr>
    </w:p>
    <w:p>
      <w:pPr>
        <w:pStyle w:val="2"/>
        <w:rPr>
          <w:rStyle w:val="52"/>
          <w:rFonts w:hint="eastAsia" w:ascii="宋体" w:hAnsi="宋体" w:eastAsia="宋体" w:cs="宋体"/>
          <w:color w:val="auto"/>
        </w:rPr>
      </w:pPr>
    </w:p>
    <w:p>
      <w:pPr>
        <w:rPr>
          <w:rStyle w:val="52"/>
          <w:rFonts w:hint="eastAsia" w:ascii="宋体" w:hAnsi="宋体" w:eastAsia="宋体" w:cs="宋体"/>
          <w:color w:val="auto"/>
        </w:rPr>
      </w:pPr>
    </w:p>
    <w:p>
      <w:pPr>
        <w:pStyle w:val="2"/>
        <w:rPr>
          <w:rStyle w:val="52"/>
          <w:rFonts w:hint="eastAsia" w:ascii="宋体" w:hAnsi="宋体" w:eastAsia="宋体" w:cs="宋体"/>
          <w:color w:val="auto"/>
        </w:rPr>
      </w:pPr>
    </w:p>
    <w:p>
      <w:pPr>
        <w:rPr>
          <w:rStyle w:val="52"/>
          <w:rFonts w:hint="eastAsia" w:ascii="宋体" w:hAnsi="宋体" w:eastAsia="宋体" w:cs="宋体"/>
          <w:color w:val="auto"/>
        </w:rPr>
      </w:pPr>
    </w:p>
    <w:p>
      <w:pPr>
        <w:rPr>
          <w:rStyle w:val="52"/>
          <w:rFonts w:hint="eastAsia" w:ascii="宋体" w:hAnsi="宋体" w:eastAsia="宋体" w:cs="宋体"/>
          <w:color w:val="auto"/>
        </w:rPr>
      </w:pPr>
    </w:p>
    <w:p>
      <w:pPr>
        <w:pStyle w:val="19"/>
        <w:rPr>
          <w:rFonts w:hint="eastAsia" w:ascii="宋体" w:hAnsi="宋体" w:eastAsia="宋体" w:cs="宋体"/>
          <w:color w:val="auto"/>
        </w:rPr>
      </w:pPr>
    </w:p>
    <w:p>
      <w:pPr>
        <w:rPr>
          <w:rStyle w:val="52"/>
          <w:rFonts w:hint="eastAsia" w:ascii="宋体" w:hAnsi="宋体" w:eastAsia="宋体" w:cs="宋体"/>
          <w:color w:val="auto"/>
        </w:rPr>
      </w:pPr>
    </w:p>
    <w:bookmarkEnd w:id="90"/>
    <w:bookmarkEnd w:id="91"/>
    <w:bookmarkEnd w:id="92"/>
    <w:bookmarkEnd w:id="93"/>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jc w:val="center"/>
        <w:rPr>
          <w:rFonts w:hint="eastAsia" w:ascii="宋体" w:hAnsi="宋体" w:eastAsia="宋体" w:cs="宋体"/>
          <w:color w:val="auto"/>
        </w:rPr>
      </w:pPr>
      <w:r>
        <w:rPr>
          <w:rFonts w:hint="eastAsia" w:ascii="宋体" w:hAnsi="宋体" w:eastAsia="宋体" w:cs="宋体"/>
          <w:b/>
          <w:color w:val="auto"/>
          <w:sz w:val="32"/>
          <w:szCs w:val="32"/>
        </w:rPr>
        <w:t>第五</w:t>
      </w:r>
      <w:r>
        <w:rPr>
          <w:rFonts w:hint="eastAsia" w:ascii="宋体" w:hAnsi="宋体" w:eastAsia="宋体" w:cs="宋体"/>
          <w:b/>
          <w:color w:val="auto"/>
          <w:sz w:val="32"/>
          <w:szCs w:val="32"/>
          <w:lang w:eastAsia="zh-CN"/>
        </w:rPr>
        <w:t>章</w:t>
      </w:r>
      <w:r>
        <w:rPr>
          <w:rFonts w:hint="eastAsia" w:ascii="宋体" w:hAnsi="宋体" w:eastAsia="宋体" w:cs="宋体"/>
          <w:b/>
          <w:color w:val="auto"/>
          <w:sz w:val="32"/>
          <w:szCs w:val="32"/>
        </w:rPr>
        <w:t xml:space="preserve">  投标文件内容及格式</w:t>
      </w:r>
    </w:p>
    <w:p>
      <w:pPr>
        <w:pStyle w:val="58"/>
        <w:spacing w:line="24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Style w:val="58"/>
        <w:spacing w:line="240" w:lineRule="auto"/>
        <w:jc w:val="center"/>
        <w:rPr>
          <w:rFonts w:hint="eastAsia" w:ascii="宋体" w:hAnsi="宋体" w:eastAsia="宋体" w:cs="宋体"/>
          <w:color w:val="auto"/>
          <w:sz w:val="28"/>
          <w:szCs w:val="28"/>
          <w:highlight w:val="none"/>
          <w:bdr w:val="single" w:color="auto" w:sz="4" w:space="0"/>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bdr w:val="single" w:color="auto" w:sz="4" w:space="0"/>
        </w:rPr>
        <w:t xml:space="preserve"> 正本 </w:t>
      </w:r>
    </w:p>
    <w:p>
      <w:pPr>
        <w:pStyle w:val="58"/>
        <w:spacing w:line="240" w:lineRule="auto"/>
        <w:jc w:val="center"/>
        <w:rPr>
          <w:rFonts w:hint="eastAsia" w:ascii="宋体" w:hAnsi="宋体" w:eastAsia="宋体" w:cs="宋体"/>
          <w:color w:val="auto"/>
          <w:sz w:val="28"/>
          <w:szCs w:val="28"/>
          <w:highlight w:val="none"/>
        </w:rPr>
      </w:pPr>
    </w:p>
    <w:p>
      <w:pPr>
        <w:spacing w:line="240" w:lineRule="auto"/>
        <w:ind w:right="9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（项目名称）</w:t>
      </w:r>
    </w:p>
    <w:p>
      <w:pPr>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spacing w:line="240" w:lineRule="auto"/>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招标文件编号： </w:t>
      </w:r>
      <w:r>
        <w:rPr>
          <w:rFonts w:hint="eastAsia" w:ascii="宋体" w:hAnsi="宋体" w:eastAsia="宋体" w:cs="宋体"/>
          <w:color w:val="auto"/>
          <w:sz w:val="28"/>
          <w:szCs w:val="28"/>
          <w:highlight w:val="none"/>
          <w:u w:val="single"/>
        </w:rPr>
        <w:t xml:space="preserve">                      </w:t>
      </w: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jc w:val="center"/>
        <w:rPr>
          <w:rFonts w:hint="eastAsia" w:ascii="宋体" w:hAnsi="宋体" w:eastAsia="宋体" w:cs="宋体"/>
          <w:b/>
          <w:bCs/>
          <w:color w:val="auto"/>
          <w:sz w:val="44"/>
          <w:szCs w:val="44"/>
          <w:highlight w:val="none"/>
        </w:rPr>
      </w:pPr>
    </w:p>
    <w:p>
      <w:pPr>
        <w:spacing w:line="240" w:lineRule="auto"/>
        <w:jc w:val="center"/>
        <w:outlineLvl w:val="1"/>
        <w:rPr>
          <w:rFonts w:hint="eastAsia" w:ascii="宋体" w:hAnsi="宋体" w:eastAsia="宋体" w:cs="宋体"/>
          <w:b/>
          <w:bCs/>
          <w:color w:val="auto"/>
          <w:sz w:val="44"/>
          <w:szCs w:val="44"/>
          <w:highlight w:val="none"/>
        </w:rPr>
      </w:pPr>
      <w:bookmarkStart w:id="408" w:name="_Toc21764"/>
      <w:r>
        <w:rPr>
          <w:rFonts w:hint="eastAsia" w:ascii="宋体" w:hAnsi="宋体" w:eastAsia="宋体" w:cs="宋体"/>
          <w:b/>
          <w:bCs/>
          <w:color w:val="auto"/>
          <w:sz w:val="44"/>
          <w:szCs w:val="44"/>
          <w:highlight w:val="none"/>
        </w:rPr>
        <w:t>投  标  文  件</w:t>
      </w:r>
      <w:bookmarkEnd w:id="408"/>
    </w:p>
    <w:p>
      <w:pPr>
        <w:spacing w:line="240" w:lineRule="auto"/>
        <w:rPr>
          <w:rFonts w:hint="eastAsia" w:ascii="宋体" w:hAnsi="宋体" w:eastAsia="宋体" w:cs="宋体"/>
          <w:b/>
          <w:bCs/>
          <w:color w:val="auto"/>
          <w:sz w:val="44"/>
          <w:szCs w:val="44"/>
          <w:highlight w:val="none"/>
        </w:rPr>
      </w:pPr>
    </w:p>
    <w:p>
      <w:pPr>
        <w:spacing w:line="240" w:lineRule="auto"/>
        <w:rPr>
          <w:rFonts w:hint="eastAsia" w:ascii="宋体" w:hAnsi="宋体" w:eastAsia="宋体" w:cs="宋体"/>
          <w:color w:val="auto"/>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投标人：_____________________________（盖单位章）</w:t>
      </w:r>
    </w:p>
    <w:p>
      <w:pPr>
        <w:pStyle w:val="2"/>
        <w:spacing w:line="240" w:lineRule="auto"/>
        <w:jc w:val="center"/>
        <w:rPr>
          <w:rFonts w:hint="eastAsia" w:ascii="宋体" w:hAnsi="宋体" w:eastAsia="宋体" w:cs="宋体"/>
          <w:color w:val="auto"/>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址：_______________________________________</w:t>
      </w:r>
    </w:p>
    <w:p>
      <w:pPr>
        <w:pStyle w:val="2"/>
        <w:spacing w:line="240" w:lineRule="auto"/>
        <w:jc w:val="center"/>
        <w:rPr>
          <w:rFonts w:hint="eastAsia" w:ascii="宋体" w:hAnsi="宋体" w:eastAsia="宋体" w:cs="宋体"/>
          <w:color w:val="auto"/>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法定代表人：_______________________（签字或盖章）</w:t>
      </w:r>
    </w:p>
    <w:p>
      <w:pPr>
        <w:pStyle w:val="2"/>
        <w:spacing w:line="240" w:lineRule="auto"/>
        <w:jc w:val="center"/>
        <w:rPr>
          <w:rFonts w:hint="eastAsia" w:ascii="宋体" w:hAnsi="宋体" w:eastAsia="宋体" w:cs="宋体"/>
          <w:color w:val="auto"/>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联系人：_______________________________________</w:t>
      </w:r>
    </w:p>
    <w:p>
      <w:pPr>
        <w:pStyle w:val="2"/>
        <w:spacing w:line="240" w:lineRule="auto"/>
        <w:jc w:val="center"/>
        <w:rPr>
          <w:rFonts w:hint="eastAsia" w:ascii="宋体" w:hAnsi="宋体" w:eastAsia="宋体" w:cs="宋体"/>
          <w:color w:val="auto"/>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联系电话：_____________________________________</w:t>
      </w:r>
    </w:p>
    <w:p>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240" w:lineRule="auto"/>
        <w:jc w:val="center"/>
        <w:rPr>
          <w:rFonts w:hint="eastAsia" w:ascii="宋体" w:hAnsi="宋体" w:eastAsia="宋体" w:cs="宋体"/>
          <w:color w:val="auto"/>
          <w:highlight w:val="none"/>
        </w:rPr>
      </w:pPr>
    </w:p>
    <w:p>
      <w:pPr>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spacing w:line="240" w:lineRule="auto"/>
        <w:jc w:val="center"/>
        <w:rPr>
          <w:rFonts w:hint="eastAsia" w:ascii="宋体" w:hAnsi="宋体" w:eastAsia="宋体" w:cs="宋体"/>
          <w:color w:val="auto"/>
          <w:highlight w:val="none"/>
        </w:rPr>
      </w:pPr>
    </w:p>
    <w:p>
      <w:pPr>
        <w:spacing w:line="240" w:lineRule="auto"/>
        <w:jc w:val="center"/>
        <w:rPr>
          <w:rFonts w:hint="eastAsia" w:ascii="宋体" w:hAnsi="宋体" w:eastAsia="宋体" w:cs="宋体"/>
          <w:color w:val="auto"/>
          <w:highlight w:val="none"/>
        </w:rPr>
      </w:pPr>
    </w:p>
    <w:p>
      <w:pPr>
        <w:spacing w:line="240" w:lineRule="auto"/>
        <w:jc w:val="center"/>
        <w:rPr>
          <w:rFonts w:hint="eastAsia" w:ascii="宋体" w:hAnsi="宋体" w:eastAsia="宋体" w:cs="宋体"/>
          <w:color w:val="auto"/>
          <w:highlight w:val="none"/>
        </w:rPr>
      </w:pPr>
    </w:p>
    <w:p>
      <w:pPr>
        <w:spacing w:line="240" w:lineRule="auto"/>
        <w:jc w:val="center"/>
        <w:rPr>
          <w:rFonts w:hint="eastAsia" w:ascii="宋体" w:hAnsi="宋体" w:eastAsia="宋体" w:cs="宋体"/>
          <w:color w:val="auto"/>
          <w:highlight w:val="none"/>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   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一、投 标 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五、投标保证金（投标保证金银行转账单复印件）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六、技术规格功能要求偏离表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七、商务条款偏离表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八、项目实施人员一览表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九、投标人基本情况表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十、质量保证书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十一、投标人安全事故的应急预案和处置方案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十二、服务承诺书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十三、符合《政府采购法》第二十二条规定的条件</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经年审计的上年度财务审计报告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十五、投标单位（供应商）反商业贿赂承诺书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十六、中小企业声明函（如是）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十七、节能、环保产品证明（如有）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十八、网站截图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十九、投标人认为需要提供的其他资料</w:t>
      </w:r>
    </w:p>
    <w:p>
      <w:pPr>
        <w:rPr>
          <w:rFonts w:hint="eastAsia" w:ascii="宋体" w:hAnsi="宋体" w:eastAsia="宋体" w:cs="宋体"/>
          <w:b/>
          <w:bCs/>
          <w:color w:val="auto"/>
          <w:sz w:val="24"/>
          <w:lang w:val="en-US" w:eastAsia="zh-CN"/>
        </w:rPr>
      </w:pPr>
      <w:r>
        <w:rPr>
          <w:rFonts w:hint="eastAsia" w:ascii="宋体" w:hAnsi="宋体" w:eastAsia="宋体" w:cs="宋体"/>
          <w:b/>
          <w:bCs/>
          <w:color w:val="auto"/>
          <w:sz w:val="24"/>
        </w:rPr>
        <w:t>注：1、</w:t>
      </w:r>
      <w:r>
        <w:rPr>
          <w:rFonts w:hint="eastAsia" w:ascii="宋体" w:hAnsi="宋体" w:eastAsia="宋体" w:cs="宋体"/>
          <w:b/>
          <w:bCs/>
          <w:color w:val="auto"/>
          <w:sz w:val="24"/>
          <w:lang w:val="en-US" w:eastAsia="zh-CN"/>
        </w:rPr>
        <w:t>只接受A4纸张大小的投标文件</w:t>
      </w:r>
    </w:p>
    <w:p>
      <w:pPr>
        <w:numPr>
          <w:ilvl w:val="0"/>
          <w:numId w:val="8"/>
        </w:numPr>
        <w:ind w:left="0" w:leftChars="0" w:firstLine="420" w:firstLineChars="0"/>
        <w:rPr>
          <w:rFonts w:hint="eastAsia" w:ascii="宋体" w:hAnsi="宋体" w:eastAsia="宋体" w:cs="宋体"/>
          <w:b/>
          <w:bCs/>
          <w:color w:val="auto"/>
          <w:sz w:val="24"/>
          <w:szCs w:val="22"/>
        </w:rPr>
      </w:pPr>
      <w:r>
        <w:rPr>
          <w:rFonts w:hint="eastAsia" w:ascii="宋体" w:hAnsi="宋体" w:eastAsia="宋体" w:cs="宋体"/>
          <w:b/>
          <w:bCs/>
          <w:color w:val="auto"/>
          <w:sz w:val="24"/>
          <w:szCs w:val="22"/>
        </w:rPr>
        <w:t>投标文件必须制作有目录和页码</w:t>
      </w:r>
    </w:p>
    <w:p>
      <w:pPr>
        <w:numPr>
          <w:ilvl w:val="0"/>
          <w:numId w:val="8"/>
        </w:numPr>
        <w:ind w:left="0" w:leftChars="0" w:firstLine="420" w:firstLineChars="0"/>
        <w:rPr>
          <w:rFonts w:hint="eastAsia"/>
          <w:color w:val="auto"/>
          <w:lang w:val="en-US" w:eastAsia="zh-CN"/>
        </w:rPr>
      </w:pPr>
      <w:r>
        <w:rPr>
          <w:rFonts w:hint="eastAsia" w:ascii="宋体" w:hAnsi="宋体" w:eastAsia="宋体" w:cs="宋体"/>
          <w:b/>
          <w:bCs/>
          <w:color w:val="auto"/>
          <w:sz w:val="24"/>
          <w:szCs w:val="22"/>
          <w:lang w:val="en-US" w:eastAsia="zh-CN"/>
        </w:rPr>
        <w:t>投标文件严格按要求制作</w:t>
      </w:r>
    </w:p>
    <w:p>
      <w:pPr>
        <w:pStyle w:val="28"/>
        <w:rPr>
          <w:rFonts w:hint="eastAsia"/>
          <w:color w:val="auto"/>
        </w:rPr>
        <w:sectPr>
          <w:headerReference r:id="rId6" w:type="default"/>
          <w:footerReference r:id="rId7" w:type="default"/>
          <w:pgSz w:w="11906" w:h="16838"/>
          <w:pgMar w:top="851" w:right="1304" w:bottom="1134" w:left="1304" w:header="851" w:footer="680" w:gutter="0"/>
          <w:pgNumType w:fmt="numberInDash"/>
          <w:cols w:space="720" w:num="1"/>
          <w:docGrid w:linePitch="312" w:charSpace="0"/>
        </w:sectPr>
      </w:pPr>
    </w:p>
    <w:p>
      <w:pPr>
        <w:numPr>
          <w:ilvl w:val="0"/>
          <w:numId w:val="0"/>
        </w:numPr>
        <w:jc w:val="center"/>
        <w:rPr>
          <w:rFonts w:hint="eastAsia" w:ascii="宋体" w:hAnsi="宋体" w:eastAsia="宋体" w:cs="宋体"/>
          <w:b/>
          <w:bCs/>
          <w:color w:val="auto"/>
          <w:lang w:eastAsia="zh-CN"/>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 xml:space="preserve">投 标 </w:t>
      </w:r>
      <w:r>
        <w:rPr>
          <w:rFonts w:hint="eastAsia" w:ascii="宋体" w:hAnsi="宋体" w:eastAsia="宋体" w:cs="宋体"/>
          <w:b/>
          <w:bCs/>
          <w:color w:val="auto"/>
          <w:sz w:val="28"/>
          <w:szCs w:val="28"/>
          <w:lang w:val="en-US" w:eastAsia="zh-CN"/>
        </w:rPr>
        <w:t>函</w:t>
      </w:r>
    </w:p>
    <w:p>
      <w:pPr>
        <w:pStyle w:val="19"/>
        <w:spacing w:line="360" w:lineRule="auto"/>
        <w:ind w:left="119" w:firstLine="480"/>
        <w:rPr>
          <w:rFonts w:hint="eastAsia" w:ascii="宋体" w:hAnsi="宋体" w:eastAsia="宋体" w:cs="宋体"/>
          <w:color w:val="auto"/>
          <w:sz w:val="33"/>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eastAsia="zh-CN"/>
        </w:rPr>
        <w:t>（</w:t>
      </w:r>
      <w:r>
        <w:rPr>
          <w:rFonts w:hint="eastAsia" w:hAnsi="宋体" w:eastAsia="宋体" w:cs="宋体"/>
          <w:color w:val="auto"/>
          <w:highlight w:val="none"/>
          <w:u w:val="single"/>
          <w:lang w:eastAsia="zh-CN"/>
        </w:rPr>
        <w:t>采购人</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pPr>
        <w:spacing w:line="440" w:lineRule="exact"/>
        <w:ind w:firstLine="555"/>
        <w:rPr>
          <w:rStyle w:val="144"/>
          <w:rFonts w:ascii="宋体" w:hAnsi="宋体"/>
          <w:color w:val="auto"/>
          <w:sz w:val="24"/>
          <w:szCs w:val="24"/>
          <w:highlight w:val="none"/>
        </w:rPr>
      </w:pPr>
      <w:r>
        <w:rPr>
          <w:rStyle w:val="144"/>
          <w:rFonts w:hint="eastAsia" w:ascii="宋体" w:hAnsi="宋体"/>
          <w:b/>
          <w:color w:val="auto"/>
          <w:sz w:val="24"/>
          <w:szCs w:val="24"/>
          <w:highlight w:val="none"/>
          <w:lang w:val="en-US" w:eastAsia="zh-CN"/>
        </w:rPr>
        <w:t xml:space="preserve"> </w:t>
      </w:r>
      <w:r>
        <w:rPr>
          <w:rStyle w:val="144"/>
          <w:rFonts w:ascii="宋体" w:hAnsi="宋体"/>
          <w:color w:val="auto"/>
          <w:sz w:val="24"/>
          <w:szCs w:val="24"/>
          <w:highlight w:val="none"/>
        </w:rPr>
        <w:t>根据贵方为项目招标的投标邀请</w:t>
      </w:r>
      <w:r>
        <w:rPr>
          <w:rStyle w:val="144"/>
          <w:rFonts w:ascii="宋体" w:hAnsi="宋体"/>
          <w:color w:val="auto"/>
          <w:sz w:val="24"/>
          <w:szCs w:val="24"/>
          <w:highlight w:val="none"/>
          <w:u w:val="single"/>
        </w:rPr>
        <w:t>项目编号</w:t>
      </w:r>
      <w:r>
        <w:rPr>
          <w:rStyle w:val="144"/>
          <w:rFonts w:ascii="宋体" w:hAnsi="宋体"/>
          <w:color w:val="auto"/>
          <w:sz w:val="24"/>
          <w:szCs w:val="24"/>
          <w:highlight w:val="none"/>
        </w:rPr>
        <w:t>，</w:t>
      </w:r>
      <w:r>
        <w:rPr>
          <w:rStyle w:val="144"/>
          <w:rFonts w:hint="eastAsia" w:ascii="宋体" w:hAnsi="宋体"/>
          <w:color w:val="auto"/>
          <w:sz w:val="24"/>
          <w:szCs w:val="24"/>
          <w:highlight w:val="none"/>
          <w:lang w:val="en-US" w:eastAsia="zh-CN"/>
        </w:rPr>
        <w:t>授权</w:t>
      </w:r>
      <w:r>
        <w:rPr>
          <w:rStyle w:val="144"/>
          <w:rFonts w:ascii="宋体" w:hAnsi="宋体"/>
          <w:color w:val="auto"/>
          <w:sz w:val="24"/>
          <w:szCs w:val="24"/>
          <w:highlight w:val="none"/>
        </w:rPr>
        <w:t>签字代表</w:t>
      </w:r>
      <w:r>
        <w:rPr>
          <w:rStyle w:val="144"/>
          <w:rFonts w:ascii="宋体" w:hAnsi="宋体"/>
          <w:color w:val="auto"/>
          <w:sz w:val="24"/>
          <w:szCs w:val="24"/>
          <w:highlight w:val="none"/>
          <w:u w:val="single"/>
        </w:rPr>
        <w:t>（姓名、职务）</w:t>
      </w:r>
      <w:r>
        <w:rPr>
          <w:rStyle w:val="144"/>
          <w:rFonts w:ascii="宋体" w:hAnsi="宋体"/>
          <w:color w:val="auto"/>
          <w:sz w:val="24"/>
          <w:szCs w:val="24"/>
          <w:highlight w:val="none"/>
        </w:rPr>
        <w:t>经正式授权并代表</w:t>
      </w:r>
      <w:r>
        <w:rPr>
          <w:rStyle w:val="144"/>
          <w:rFonts w:hint="eastAsia" w:ascii="宋体" w:hAnsi="宋体"/>
          <w:color w:val="auto"/>
          <w:sz w:val="24"/>
          <w:szCs w:val="24"/>
          <w:highlight w:val="none"/>
          <w:lang w:eastAsia="zh-CN"/>
        </w:rPr>
        <w:t>供应商</w:t>
      </w:r>
      <w:r>
        <w:rPr>
          <w:rStyle w:val="144"/>
          <w:rFonts w:ascii="宋体" w:hAnsi="宋体"/>
          <w:color w:val="auto"/>
          <w:sz w:val="24"/>
          <w:szCs w:val="24"/>
          <w:highlight w:val="none"/>
          <w:u w:val="single"/>
        </w:rPr>
        <w:t>（</w:t>
      </w:r>
      <w:r>
        <w:rPr>
          <w:rStyle w:val="144"/>
          <w:rFonts w:hint="eastAsia" w:ascii="宋体" w:hAnsi="宋体"/>
          <w:color w:val="auto"/>
          <w:sz w:val="24"/>
          <w:szCs w:val="24"/>
          <w:highlight w:val="none"/>
          <w:u w:val="single"/>
          <w:lang w:eastAsia="zh-CN"/>
        </w:rPr>
        <w:t>供应商</w:t>
      </w:r>
      <w:r>
        <w:rPr>
          <w:rStyle w:val="144"/>
          <w:rFonts w:ascii="宋体" w:hAnsi="宋体"/>
          <w:color w:val="auto"/>
          <w:sz w:val="24"/>
          <w:szCs w:val="24"/>
          <w:highlight w:val="none"/>
          <w:u w:val="single"/>
        </w:rPr>
        <w:t>名称、地址）</w:t>
      </w:r>
      <w:r>
        <w:rPr>
          <w:rStyle w:val="144"/>
          <w:rFonts w:ascii="宋体" w:hAnsi="宋体"/>
          <w:color w:val="auto"/>
          <w:sz w:val="24"/>
          <w:szCs w:val="24"/>
          <w:highlight w:val="none"/>
        </w:rPr>
        <w:t>对此项目进行投标。据此函，签字代表宣布并同意如下：</w:t>
      </w:r>
    </w:p>
    <w:p>
      <w:pPr>
        <w:spacing w:line="440" w:lineRule="exact"/>
        <w:ind w:firstLine="480" w:firstLineChars="200"/>
        <w:rPr>
          <w:rStyle w:val="144"/>
          <w:rFonts w:ascii="宋体" w:hAnsi="宋体"/>
          <w:color w:val="auto"/>
          <w:sz w:val="24"/>
          <w:szCs w:val="24"/>
          <w:highlight w:val="none"/>
          <w:u w:val="single"/>
        </w:rPr>
      </w:pPr>
      <w:r>
        <w:rPr>
          <w:rStyle w:val="144"/>
          <w:rFonts w:ascii="宋体" w:hAnsi="宋体"/>
          <w:color w:val="auto"/>
          <w:sz w:val="24"/>
          <w:szCs w:val="24"/>
          <w:highlight w:val="none"/>
        </w:rPr>
        <w:t>1、所附明细报价表中规定的应提交和交付的货物和服务投标总价为</w:t>
      </w:r>
      <w:r>
        <w:rPr>
          <w:rStyle w:val="144"/>
          <w:rFonts w:ascii="宋体" w:hAnsi="宋体"/>
          <w:color w:val="auto"/>
          <w:sz w:val="24"/>
          <w:szCs w:val="24"/>
          <w:highlight w:val="none"/>
          <w:u w:val="single"/>
        </w:rPr>
        <w:t>（注明币种，并用文字和数字表示的投标总价）。</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2、我方同意在本项目招标文件中规定的开标日起</w:t>
      </w:r>
      <w:r>
        <w:rPr>
          <w:rStyle w:val="144"/>
          <w:rFonts w:hint="eastAsia" w:ascii="宋体" w:hAnsi="宋体"/>
          <w:color w:val="auto"/>
          <w:sz w:val="24"/>
          <w:szCs w:val="24"/>
          <w:highlight w:val="none"/>
          <w:u w:val="single"/>
          <w:lang w:val="en-US" w:eastAsia="zh-CN"/>
        </w:rPr>
        <w:t xml:space="preserve">   </w:t>
      </w:r>
      <w:r>
        <w:rPr>
          <w:rStyle w:val="144"/>
          <w:rFonts w:ascii="宋体" w:hAnsi="宋体"/>
          <w:color w:val="auto"/>
          <w:sz w:val="24"/>
          <w:szCs w:val="24"/>
          <w:highlight w:val="none"/>
        </w:rPr>
        <w:t>遵守本投标文件中的承诺且在此期限期满之前均具有约束力。</w:t>
      </w:r>
    </w:p>
    <w:p>
      <w:pPr>
        <w:pStyle w:val="145"/>
        <w:snapToGrid w:val="0"/>
        <w:spacing w:line="440" w:lineRule="exact"/>
        <w:ind w:firstLine="480" w:firstLineChars="200"/>
        <w:rPr>
          <w:rStyle w:val="144"/>
          <w:color w:val="auto"/>
          <w:kern w:val="2"/>
          <w:sz w:val="24"/>
          <w:szCs w:val="24"/>
          <w:highlight w:val="none"/>
        </w:rPr>
      </w:pPr>
      <w:r>
        <w:rPr>
          <w:rStyle w:val="144"/>
          <w:color w:val="auto"/>
          <w:kern w:val="2"/>
          <w:sz w:val="24"/>
          <w:szCs w:val="24"/>
          <w:highlight w:val="none"/>
        </w:rPr>
        <w:t>3、我方承诺已经具备《中华人民共和国政府采购法》中规定的参加政府采购活动的供应商应当具备的条件：</w:t>
      </w:r>
    </w:p>
    <w:p>
      <w:pPr>
        <w:numPr>
          <w:ilvl w:val="0"/>
          <w:numId w:val="9"/>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具有独立承担民事责任的能力；</w:t>
      </w:r>
    </w:p>
    <w:p>
      <w:pPr>
        <w:numPr>
          <w:ilvl w:val="0"/>
          <w:numId w:val="9"/>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具有良好的商业信誉和健全的财务会计制度；</w:t>
      </w:r>
    </w:p>
    <w:p>
      <w:pPr>
        <w:numPr>
          <w:ilvl w:val="0"/>
          <w:numId w:val="9"/>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具有履行合同所必需的设备和专业技术能力；</w:t>
      </w:r>
    </w:p>
    <w:p>
      <w:pPr>
        <w:numPr>
          <w:ilvl w:val="0"/>
          <w:numId w:val="9"/>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有依法缴纳税收和社会保障资金的良好记录；</w:t>
      </w:r>
    </w:p>
    <w:p>
      <w:pPr>
        <w:numPr>
          <w:ilvl w:val="0"/>
          <w:numId w:val="9"/>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参加此项采购活动前三年内，在经营活动中没有重大违法记录。</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4、提供投标须知规定的全部投标文件，包括投标文件正本一份，副本</w:t>
      </w:r>
      <w:r>
        <w:rPr>
          <w:rStyle w:val="144"/>
          <w:rFonts w:hint="eastAsia" w:ascii="宋体" w:hAnsi="宋体"/>
          <w:color w:val="auto"/>
          <w:sz w:val="24"/>
          <w:szCs w:val="24"/>
          <w:highlight w:val="none"/>
        </w:rPr>
        <w:t>叁</w:t>
      </w:r>
      <w:r>
        <w:rPr>
          <w:rStyle w:val="144"/>
          <w:rFonts w:ascii="宋体" w:hAnsi="宋体"/>
          <w:color w:val="auto"/>
          <w:sz w:val="24"/>
          <w:szCs w:val="24"/>
          <w:highlight w:val="none"/>
        </w:rPr>
        <w:t>份。</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5、按招标文件要求提供和交付的货物和服务的投标报价详见投标报价表。</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6、保证忠实地执行双方所签订的合同，并承担合同规定的责任和义务。</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7、遵守招标文件的规定，对交付的货物数量、规格、技术参数、服务等保证做到响应性的一一对应。否则，愿意承担违约的处罚。</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8、如果在开标后规定的投标有效期内撤回投标，我方的投标保证金可被贵方没收。</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9、我方完全理解贵方不一定接受最低价的投标或收到的任何投标。</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10、我方愿意向贵方提供任何与本项投标有关的数据、情况和技术资料。若贵方需要，我方愿意提供我方作出的一切承诺的证明材料。</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11、我方已详细审核全部投标文件，包括“修改投标文件”（如有的话）、参考资料及有关附件，确认无误。</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12、我方承诺接受招标文件中合同部分的全部条款且无任何异议。</w:t>
      </w:r>
    </w:p>
    <w:p>
      <w:pPr>
        <w:snapToGrid w:val="0"/>
        <w:spacing w:line="440" w:lineRule="exact"/>
        <w:ind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0"/>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提供虚假材料谋取中标、成交的；</w:t>
      </w:r>
    </w:p>
    <w:p>
      <w:pPr>
        <w:numPr>
          <w:ilvl w:val="0"/>
          <w:numId w:val="10"/>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采取不正当手段诋毁、排挤其他供应商的；</w:t>
      </w:r>
    </w:p>
    <w:p>
      <w:pPr>
        <w:numPr>
          <w:ilvl w:val="0"/>
          <w:numId w:val="10"/>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与采购人、其它供应商或者采购代理机构恶意串通的；</w:t>
      </w:r>
    </w:p>
    <w:p>
      <w:pPr>
        <w:numPr>
          <w:ilvl w:val="0"/>
          <w:numId w:val="10"/>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向采购人、采购代理机构行贿或者提供其他不正当利益的；</w:t>
      </w:r>
    </w:p>
    <w:p>
      <w:pPr>
        <w:numPr>
          <w:ilvl w:val="0"/>
          <w:numId w:val="10"/>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未经采购代理机构同意，在采购过程中与采购人进行协商谈判的；</w:t>
      </w:r>
    </w:p>
    <w:p>
      <w:pPr>
        <w:numPr>
          <w:ilvl w:val="0"/>
          <w:numId w:val="10"/>
        </w:numPr>
        <w:snapToGrid w:val="0"/>
        <w:spacing w:line="440" w:lineRule="exact"/>
        <w:ind w:left="0" w:firstLine="480" w:firstLineChars="200"/>
        <w:rPr>
          <w:rStyle w:val="144"/>
          <w:rFonts w:ascii="宋体" w:hAnsi="宋体"/>
          <w:color w:val="auto"/>
          <w:sz w:val="24"/>
          <w:szCs w:val="24"/>
          <w:highlight w:val="none"/>
        </w:rPr>
      </w:pPr>
      <w:r>
        <w:rPr>
          <w:rStyle w:val="144"/>
          <w:rFonts w:ascii="宋体" w:hAnsi="宋体"/>
          <w:color w:val="auto"/>
          <w:sz w:val="24"/>
          <w:szCs w:val="24"/>
          <w:highlight w:val="none"/>
        </w:rPr>
        <w:t>拒绝有关部门监督检查或提供虚假情况的。</w:t>
      </w:r>
    </w:p>
    <w:p>
      <w:pPr>
        <w:snapToGrid w:val="0"/>
        <w:spacing w:line="440" w:lineRule="exact"/>
        <w:rPr>
          <w:rStyle w:val="144"/>
          <w:rFonts w:hint="default" w:ascii="宋体" w:hAnsi="宋体" w:eastAsia="宋体"/>
          <w:color w:val="auto"/>
          <w:sz w:val="24"/>
          <w:szCs w:val="24"/>
          <w:highlight w:val="none"/>
          <w:lang w:val="en-US" w:eastAsia="zh-CN"/>
        </w:rPr>
      </w:pPr>
      <w:r>
        <w:rPr>
          <w:rStyle w:val="144"/>
          <w:rFonts w:hint="eastAsia" w:ascii="宋体" w:hAnsi="宋体"/>
          <w:color w:val="auto"/>
          <w:sz w:val="24"/>
          <w:szCs w:val="24"/>
          <w:highlight w:val="none"/>
          <w:lang w:val="en-US" w:eastAsia="zh-CN"/>
        </w:rPr>
        <w:t>14.其他</w:t>
      </w:r>
      <w:r>
        <w:rPr>
          <w:rStyle w:val="144"/>
          <w:rFonts w:hint="eastAsia" w:ascii="宋体" w:hAnsi="宋体"/>
          <w:color w:val="auto"/>
          <w:sz w:val="24"/>
          <w:szCs w:val="24"/>
          <w:highlight w:val="none"/>
          <w:u w:val="single"/>
          <w:lang w:val="en-US" w:eastAsia="zh-CN"/>
        </w:rPr>
        <w:t xml:space="preserve">                          </w:t>
      </w:r>
    </w:p>
    <w:p>
      <w:pPr>
        <w:spacing w:line="440" w:lineRule="exact"/>
        <w:ind w:firstLine="240" w:firstLineChars="100"/>
        <w:rPr>
          <w:rStyle w:val="144"/>
          <w:rFonts w:ascii="宋体" w:hAnsi="宋体"/>
          <w:color w:val="auto"/>
          <w:sz w:val="24"/>
          <w:szCs w:val="24"/>
          <w:highlight w:val="none"/>
        </w:rPr>
      </w:pPr>
    </w:p>
    <w:p>
      <w:pPr>
        <w:spacing w:line="440" w:lineRule="exact"/>
        <w:ind w:firstLine="240" w:firstLineChars="100"/>
        <w:rPr>
          <w:rStyle w:val="144"/>
          <w:rFonts w:ascii="宋体" w:hAnsi="宋体"/>
          <w:color w:val="auto"/>
          <w:sz w:val="24"/>
          <w:szCs w:val="24"/>
          <w:highlight w:val="none"/>
        </w:rPr>
      </w:pPr>
    </w:p>
    <w:p>
      <w:pPr>
        <w:spacing w:line="440" w:lineRule="exact"/>
        <w:ind w:firstLine="240" w:firstLineChars="100"/>
        <w:rPr>
          <w:rStyle w:val="144"/>
          <w:rFonts w:ascii="宋体" w:hAnsi="宋体"/>
          <w:color w:val="auto"/>
          <w:sz w:val="24"/>
          <w:szCs w:val="24"/>
          <w:highlight w:val="none"/>
        </w:rPr>
      </w:pPr>
      <w:r>
        <w:rPr>
          <w:rStyle w:val="144"/>
          <w:rFonts w:ascii="宋体" w:hAnsi="宋体"/>
          <w:color w:val="auto"/>
          <w:sz w:val="24"/>
          <w:szCs w:val="24"/>
          <w:highlight w:val="none"/>
        </w:rPr>
        <w:t>与本投标有关的一切正式往来信函请寄：</w:t>
      </w:r>
    </w:p>
    <w:p>
      <w:pPr>
        <w:spacing w:line="440" w:lineRule="exact"/>
        <w:ind w:firstLine="240" w:firstLineChars="100"/>
        <w:rPr>
          <w:rStyle w:val="144"/>
          <w:rFonts w:ascii="宋体" w:hAnsi="宋体"/>
          <w:color w:val="auto"/>
          <w:sz w:val="24"/>
          <w:szCs w:val="24"/>
          <w:highlight w:val="none"/>
          <w:u w:val="single"/>
        </w:rPr>
      </w:pPr>
      <w:r>
        <w:rPr>
          <w:rStyle w:val="144"/>
          <w:rFonts w:ascii="宋体" w:hAnsi="宋体"/>
          <w:color w:val="auto"/>
          <w:sz w:val="24"/>
          <w:szCs w:val="24"/>
          <w:highlight w:val="none"/>
        </w:rPr>
        <w:t>地　　　　　址：</w:t>
      </w:r>
      <w:r>
        <w:rPr>
          <w:rStyle w:val="144"/>
          <w:rFonts w:ascii="宋体" w:hAnsi="宋体"/>
          <w:color w:val="auto"/>
          <w:sz w:val="24"/>
          <w:szCs w:val="24"/>
          <w:highlight w:val="none"/>
          <w:u w:val="single"/>
        </w:rPr>
        <w:t>　　　　　　　　　　</w:t>
      </w:r>
      <w:r>
        <w:rPr>
          <w:rStyle w:val="144"/>
          <w:rFonts w:ascii="宋体" w:hAnsi="宋体"/>
          <w:color w:val="auto"/>
          <w:sz w:val="24"/>
          <w:szCs w:val="24"/>
          <w:highlight w:val="none"/>
        </w:rPr>
        <w:t>邮编：</w:t>
      </w:r>
      <w:r>
        <w:rPr>
          <w:rStyle w:val="144"/>
          <w:rFonts w:ascii="宋体" w:hAnsi="宋体"/>
          <w:color w:val="auto"/>
          <w:sz w:val="24"/>
          <w:szCs w:val="24"/>
          <w:highlight w:val="none"/>
          <w:u w:val="single"/>
        </w:rPr>
        <w:t>　　　　　　　　　</w:t>
      </w:r>
    </w:p>
    <w:p>
      <w:pPr>
        <w:spacing w:line="440" w:lineRule="exact"/>
        <w:ind w:left="0" w:leftChars="0" w:firstLine="240" w:firstLineChars="100"/>
        <w:rPr>
          <w:rStyle w:val="144"/>
          <w:rFonts w:ascii="宋体" w:hAnsi="宋体"/>
          <w:color w:val="auto"/>
          <w:sz w:val="24"/>
          <w:szCs w:val="24"/>
          <w:highlight w:val="none"/>
        </w:rPr>
      </w:pPr>
      <w:r>
        <w:rPr>
          <w:rStyle w:val="144"/>
          <w:rFonts w:ascii="宋体" w:hAnsi="宋体"/>
          <w:color w:val="auto"/>
          <w:sz w:val="24"/>
          <w:szCs w:val="24"/>
          <w:highlight w:val="none"/>
        </w:rPr>
        <w:t>电　　　　　话：</w:t>
      </w:r>
      <w:r>
        <w:rPr>
          <w:rStyle w:val="144"/>
          <w:rFonts w:ascii="宋体" w:hAnsi="宋体"/>
          <w:color w:val="auto"/>
          <w:sz w:val="24"/>
          <w:szCs w:val="24"/>
          <w:highlight w:val="none"/>
          <w:u w:val="single"/>
        </w:rPr>
        <w:t>　　　　　　　　　　</w:t>
      </w:r>
      <w:r>
        <w:rPr>
          <w:rStyle w:val="144"/>
          <w:rFonts w:ascii="宋体" w:hAnsi="宋体"/>
          <w:color w:val="auto"/>
          <w:sz w:val="24"/>
          <w:szCs w:val="24"/>
          <w:highlight w:val="none"/>
        </w:rPr>
        <w:t>传真：</w:t>
      </w:r>
      <w:r>
        <w:rPr>
          <w:rStyle w:val="144"/>
          <w:rFonts w:ascii="宋体" w:hAnsi="宋体"/>
          <w:color w:val="auto"/>
          <w:sz w:val="24"/>
          <w:szCs w:val="24"/>
          <w:highlight w:val="none"/>
          <w:u w:val="single"/>
        </w:rPr>
        <w:t>　　　　　　　　　</w:t>
      </w:r>
    </w:p>
    <w:p>
      <w:pPr>
        <w:spacing w:line="440" w:lineRule="exact"/>
        <w:ind w:left="0" w:leftChars="0" w:firstLine="240" w:firstLineChars="100"/>
        <w:rPr>
          <w:rStyle w:val="144"/>
          <w:rFonts w:hint="eastAsia" w:ascii="宋体" w:hAnsi="宋体"/>
          <w:color w:val="auto"/>
          <w:sz w:val="24"/>
          <w:szCs w:val="24"/>
          <w:highlight w:val="none"/>
          <w:lang w:eastAsia="zh-CN"/>
        </w:rPr>
      </w:pPr>
    </w:p>
    <w:p>
      <w:pPr>
        <w:spacing w:line="440" w:lineRule="exact"/>
        <w:ind w:left="0" w:leftChars="0" w:firstLine="240" w:firstLineChars="100"/>
        <w:rPr>
          <w:rStyle w:val="144"/>
          <w:rFonts w:hint="eastAsia" w:ascii="宋体" w:hAnsi="宋体"/>
          <w:color w:val="auto"/>
          <w:sz w:val="24"/>
          <w:szCs w:val="24"/>
          <w:highlight w:val="none"/>
          <w:lang w:eastAsia="zh-CN"/>
        </w:rPr>
      </w:pPr>
    </w:p>
    <w:p>
      <w:pPr>
        <w:spacing w:line="440" w:lineRule="exact"/>
        <w:ind w:left="0" w:leftChars="0" w:firstLine="240" w:firstLineChars="100"/>
        <w:rPr>
          <w:rStyle w:val="144"/>
          <w:rFonts w:ascii="宋体" w:hAnsi="宋体"/>
          <w:color w:val="auto"/>
          <w:sz w:val="24"/>
          <w:szCs w:val="24"/>
          <w:highlight w:val="none"/>
          <w:u w:val="single"/>
        </w:rPr>
      </w:pPr>
      <w:r>
        <w:rPr>
          <w:rStyle w:val="144"/>
          <w:rFonts w:hint="eastAsia" w:ascii="宋体" w:hAnsi="宋体"/>
          <w:color w:val="auto"/>
          <w:sz w:val="24"/>
          <w:szCs w:val="24"/>
          <w:highlight w:val="none"/>
          <w:lang w:eastAsia="zh-CN"/>
        </w:rPr>
        <w:t>供应商</w:t>
      </w:r>
      <w:r>
        <w:rPr>
          <w:rStyle w:val="144"/>
          <w:rFonts w:ascii="宋体" w:hAnsi="宋体"/>
          <w:color w:val="auto"/>
          <w:sz w:val="24"/>
          <w:szCs w:val="24"/>
          <w:highlight w:val="none"/>
        </w:rPr>
        <w:t>名称（单位公章）：</w:t>
      </w:r>
      <w:r>
        <w:rPr>
          <w:rStyle w:val="144"/>
          <w:rFonts w:ascii="宋体" w:hAnsi="宋体"/>
          <w:color w:val="auto"/>
          <w:sz w:val="24"/>
          <w:szCs w:val="24"/>
          <w:highlight w:val="none"/>
          <w:u w:val="single"/>
        </w:rPr>
        <w:t>　　　　　　　　　　</w:t>
      </w:r>
    </w:p>
    <w:p>
      <w:pPr>
        <w:spacing w:line="440" w:lineRule="exact"/>
        <w:ind w:left="0" w:leftChars="0" w:firstLine="240" w:firstLineChars="100"/>
        <w:rPr>
          <w:rStyle w:val="144"/>
          <w:rFonts w:ascii="宋体" w:hAnsi="宋体"/>
          <w:color w:val="auto"/>
          <w:sz w:val="24"/>
          <w:szCs w:val="24"/>
          <w:highlight w:val="none"/>
        </w:rPr>
      </w:pPr>
      <w:r>
        <w:rPr>
          <w:rStyle w:val="144"/>
          <w:rFonts w:hint="eastAsia" w:ascii="宋体" w:hAnsi="宋体"/>
          <w:color w:val="auto"/>
          <w:sz w:val="24"/>
          <w:szCs w:val="24"/>
          <w:highlight w:val="none"/>
          <w:lang w:eastAsia="zh-CN"/>
        </w:rPr>
        <w:t>供应商</w:t>
      </w:r>
      <w:r>
        <w:rPr>
          <w:rStyle w:val="144"/>
          <w:rFonts w:ascii="宋体" w:hAnsi="宋体"/>
          <w:color w:val="auto"/>
          <w:sz w:val="24"/>
          <w:szCs w:val="24"/>
          <w:highlight w:val="none"/>
        </w:rPr>
        <w:t>代表签字：</w:t>
      </w:r>
      <w:r>
        <w:rPr>
          <w:rStyle w:val="144"/>
          <w:rFonts w:ascii="宋体" w:hAnsi="宋体"/>
          <w:color w:val="auto"/>
          <w:sz w:val="24"/>
          <w:szCs w:val="24"/>
          <w:highlight w:val="none"/>
          <w:u w:val="single"/>
        </w:rPr>
        <w:t>　　　　　　　　　　　　　</w:t>
      </w:r>
    </w:p>
    <w:p>
      <w:pPr>
        <w:spacing w:line="440" w:lineRule="exact"/>
        <w:ind w:left="0" w:leftChars="0" w:firstLine="240" w:firstLineChars="100"/>
        <w:jc w:val="left"/>
        <w:rPr>
          <w:rStyle w:val="144"/>
          <w:rFonts w:ascii="宋体" w:hAnsi="宋体"/>
          <w:color w:val="auto"/>
          <w:sz w:val="24"/>
          <w:szCs w:val="24"/>
          <w:highlight w:val="none"/>
        </w:rPr>
      </w:pPr>
    </w:p>
    <w:p>
      <w:pPr>
        <w:snapToGrid w:val="0"/>
        <w:spacing w:line="440" w:lineRule="exact"/>
        <w:ind w:firstLine="482" w:firstLineChars="200"/>
        <w:rPr>
          <w:rStyle w:val="144"/>
          <w:rFonts w:ascii="宋体" w:hAnsi="宋体"/>
          <w:b/>
          <w:color w:val="auto"/>
          <w:sz w:val="24"/>
          <w:szCs w:val="24"/>
          <w:highlight w:val="none"/>
        </w:rPr>
      </w:pPr>
    </w:p>
    <w:p>
      <w:pPr>
        <w:pStyle w:val="2"/>
        <w:rPr>
          <w:rStyle w:val="144"/>
          <w:rFonts w:ascii="宋体" w:hAnsi="宋体"/>
          <w:b/>
          <w:color w:val="auto"/>
          <w:sz w:val="24"/>
          <w:szCs w:val="24"/>
          <w:highlight w:val="none"/>
        </w:rPr>
      </w:pPr>
    </w:p>
    <w:p>
      <w:pPr>
        <w:rPr>
          <w:color w:val="auto"/>
        </w:rPr>
      </w:pPr>
    </w:p>
    <w:p>
      <w:pPr>
        <w:snapToGrid w:val="0"/>
        <w:spacing w:line="440" w:lineRule="exact"/>
        <w:ind w:firstLine="482" w:firstLineChars="200"/>
        <w:rPr>
          <w:rStyle w:val="144"/>
          <w:rFonts w:ascii="宋体" w:hAnsi="宋体"/>
          <w:b/>
          <w:color w:val="auto"/>
          <w:sz w:val="24"/>
          <w:szCs w:val="24"/>
          <w:highlight w:val="none"/>
        </w:rPr>
      </w:pPr>
    </w:p>
    <w:p>
      <w:pPr>
        <w:snapToGrid w:val="0"/>
        <w:spacing w:line="440" w:lineRule="exact"/>
        <w:ind w:firstLine="482" w:firstLineChars="200"/>
        <w:rPr>
          <w:rStyle w:val="144"/>
          <w:rFonts w:ascii="宋体" w:hAnsi="宋体"/>
          <w:b/>
          <w:color w:val="auto"/>
          <w:sz w:val="24"/>
          <w:szCs w:val="24"/>
          <w:highlight w:val="none"/>
        </w:rPr>
      </w:pPr>
    </w:p>
    <w:p>
      <w:pPr>
        <w:snapToGrid w:val="0"/>
        <w:spacing w:line="440" w:lineRule="exact"/>
        <w:ind w:firstLine="482" w:firstLineChars="200"/>
        <w:rPr>
          <w:rStyle w:val="144"/>
          <w:rFonts w:ascii="宋体" w:hAnsi="宋体"/>
          <w:b/>
          <w:color w:val="auto"/>
          <w:sz w:val="24"/>
          <w:szCs w:val="24"/>
          <w:highlight w:val="none"/>
        </w:rPr>
      </w:pPr>
    </w:p>
    <w:p>
      <w:pPr>
        <w:snapToGrid w:val="0"/>
        <w:spacing w:line="440" w:lineRule="exact"/>
        <w:ind w:firstLine="482" w:firstLineChars="200"/>
        <w:rPr>
          <w:rStyle w:val="144"/>
          <w:rFonts w:ascii="宋体" w:hAnsi="宋体"/>
          <w:b/>
          <w:color w:val="auto"/>
          <w:sz w:val="24"/>
          <w:szCs w:val="24"/>
          <w:highlight w:val="none"/>
        </w:rPr>
      </w:pPr>
      <w:r>
        <w:rPr>
          <w:rStyle w:val="144"/>
          <w:rFonts w:ascii="宋体" w:hAnsi="宋体"/>
          <w:b/>
          <w:color w:val="auto"/>
          <w:sz w:val="24"/>
          <w:szCs w:val="24"/>
          <w:highlight w:val="none"/>
        </w:rPr>
        <w:t>注：除可填报项目外，对本投标函的任何修改将被视为非实质性响应投标，从而导致该投标被拒绝。</w:t>
      </w:r>
    </w:p>
    <w:p>
      <w:pPr>
        <w:spacing w:line="440" w:lineRule="exact"/>
        <w:ind w:firstLine="480"/>
        <w:rPr>
          <w:rFonts w:hint="eastAsia" w:ascii="宋体" w:hAnsi="宋体" w:eastAsia="宋体" w:cs="宋体"/>
          <w:color w:val="auto"/>
          <w:sz w:val="24"/>
          <w:szCs w:val="22"/>
        </w:rPr>
      </w:pPr>
    </w:p>
    <w:p>
      <w:pPr>
        <w:spacing w:line="440" w:lineRule="exact"/>
        <w:ind w:firstLine="480"/>
        <w:rPr>
          <w:rFonts w:hint="eastAsia" w:ascii="宋体" w:hAnsi="宋体" w:eastAsia="宋体" w:cs="宋体"/>
          <w:color w:val="auto"/>
          <w:sz w:val="24"/>
          <w:szCs w:val="22"/>
        </w:rPr>
      </w:pPr>
    </w:p>
    <w:p>
      <w:pPr>
        <w:spacing w:line="440" w:lineRule="exact"/>
        <w:ind w:firstLine="480"/>
        <w:rPr>
          <w:rFonts w:hint="eastAsia" w:ascii="宋体" w:hAnsi="宋体" w:eastAsia="宋体" w:cs="宋体"/>
          <w:color w:val="auto"/>
          <w:sz w:val="24"/>
          <w:szCs w:val="22"/>
        </w:rPr>
      </w:pPr>
    </w:p>
    <w:p>
      <w:pPr>
        <w:spacing w:line="440" w:lineRule="exact"/>
        <w:ind w:firstLine="480"/>
        <w:rPr>
          <w:rFonts w:hint="eastAsia" w:ascii="宋体" w:hAnsi="宋体" w:eastAsia="宋体" w:cs="宋体"/>
          <w:color w:val="auto"/>
          <w:sz w:val="24"/>
          <w:szCs w:val="22"/>
        </w:rPr>
      </w:pPr>
    </w:p>
    <w:p>
      <w:pPr>
        <w:spacing w:line="440" w:lineRule="exact"/>
        <w:ind w:firstLine="480"/>
        <w:rPr>
          <w:rFonts w:hint="eastAsia" w:ascii="宋体" w:hAnsi="宋体" w:eastAsia="宋体" w:cs="宋体"/>
          <w:color w:val="auto"/>
          <w:sz w:val="24"/>
          <w:szCs w:val="22"/>
        </w:rPr>
      </w:pPr>
      <w:r>
        <w:rPr>
          <w:rFonts w:hint="eastAsia" w:ascii="宋体" w:hAnsi="宋体" w:eastAsia="宋体" w:cs="宋体"/>
          <w:color w:val="auto"/>
          <w:sz w:val="24"/>
          <w:szCs w:val="22"/>
        </w:rPr>
        <w:t>年     月     日</w:t>
      </w:r>
    </w:p>
    <w:p>
      <w:pPr>
        <w:spacing w:line="440" w:lineRule="exact"/>
        <w:rPr>
          <w:rFonts w:hint="eastAsia" w:ascii="宋体" w:hAnsi="宋体" w:eastAsia="宋体" w:cs="宋体"/>
          <w:b/>
          <w:bCs/>
          <w:color w:val="auto"/>
          <w:sz w:val="30"/>
          <w:szCs w:val="30"/>
        </w:rPr>
      </w:pPr>
    </w:p>
    <w:p>
      <w:pPr>
        <w:spacing w:line="440" w:lineRule="exact"/>
        <w:ind w:firstLine="480"/>
        <w:jc w:val="center"/>
        <w:rPr>
          <w:rFonts w:hint="eastAsia" w:ascii="宋体" w:hAnsi="宋体" w:eastAsia="宋体" w:cs="宋体"/>
          <w:b/>
          <w:bCs/>
          <w:color w:val="auto"/>
          <w:sz w:val="30"/>
          <w:szCs w:val="30"/>
          <w:lang w:val="en-US" w:eastAsia="zh-CN"/>
        </w:rPr>
      </w:pPr>
    </w:p>
    <w:p>
      <w:pPr>
        <w:spacing w:line="440" w:lineRule="exact"/>
        <w:jc w:val="both"/>
        <w:rPr>
          <w:rFonts w:hint="eastAsia" w:ascii="宋体" w:hAnsi="宋体" w:eastAsia="宋体" w:cs="宋体"/>
          <w:b/>
          <w:bCs/>
          <w:color w:val="auto"/>
          <w:sz w:val="30"/>
          <w:szCs w:val="30"/>
          <w:lang w:val="en-US" w:eastAsia="zh-CN"/>
        </w:rPr>
      </w:pPr>
    </w:p>
    <w:p>
      <w:pPr>
        <w:spacing w:line="440" w:lineRule="exact"/>
        <w:ind w:firstLine="48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二、</w:t>
      </w:r>
      <w:r>
        <w:rPr>
          <w:rFonts w:hint="eastAsia" w:ascii="宋体" w:hAnsi="宋体" w:eastAsia="宋体" w:cs="宋体"/>
          <w:b/>
          <w:bCs/>
          <w:color w:val="auto"/>
          <w:sz w:val="30"/>
          <w:szCs w:val="30"/>
        </w:rPr>
        <w:t>投标文件真实性和不存在限制投标情形的声明</w:t>
      </w:r>
    </w:p>
    <w:p>
      <w:pPr>
        <w:spacing w:line="200" w:lineRule="exact"/>
        <w:rPr>
          <w:rFonts w:hint="eastAsia" w:ascii="宋体" w:hAnsi="宋体" w:eastAsia="宋体" w:cs="宋体"/>
          <w:color w:val="auto"/>
        </w:rPr>
      </w:pPr>
    </w:p>
    <w:p>
      <w:pPr>
        <w:spacing w:line="48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策勒县教育局</w:t>
      </w:r>
      <w:r>
        <w:rPr>
          <w:rFonts w:hint="eastAsia" w:ascii="宋体" w:hAnsi="宋体" w:eastAsia="宋体" w:cs="宋体"/>
          <w:color w:val="auto"/>
          <w:sz w:val="24"/>
          <w:szCs w:val="24"/>
        </w:rPr>
        <w:t>：</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我方在此声明，所递交的（项目名称）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的投标文件（包括有关资料、澄清）真实可信，不存在虚假（包括隐瞒）。我方近三年来在经营活动中没有重大违法记录。</w:t>
      </w:r>
    </w:p>
    <w:p>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我方承诺，如存在虚假投标行为，我方自愿承担</w:t>
      </w:r>
      <w:r>
        <w:rPr>
          <w:rFonts w:hint="eastAsia" w:ascii="宋体" w:hAnsi="宋体" w:eastAsia="宋体" w:cs="宋体"/>
          <w:color w:val="auto"/>
          <w:sz w:val="24"/>
          <w:szCs w:val="24"/>
          <w:lang w:val="en-US" w:eastAsia="zh-CN"/>
        </w:rPr>
        <w:t>一切法律</w:t>
      </w:r>
      <w:r>
        <w:rPr>
          <w:rFonts w:hint="eastAsia" w:ascii="宋体" w:hAnsi="宋体" w:eastAsia="宋体" w:cs="宋体"/>
          <w:color w:val="auto"/>
          <w:sz w:val="24"/>
          <w:szCs w:val="24"/>
        </w:rPr>
        <w:t>责任。</w:t>
      </w:r>
    </w:p>
    <w:p>
      <w:pPr>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投标单位：（单位公章）</w:t>
      </w:r>
    </w:p>
    <w:p>
      <w:pPr>
        <w:spacing w:line="360" w:lineRule="auto"/>
        <w:rPr>
          <w:rFonts w:hint="eastAsia" w:ascii="宋体" w:hAnsi="宋体" w:eastAsia="宋体" w:cs="宋体"/>
          <w:color w:val="auto"/>
          <w:sz w:val="24"/>
          <w:szCs w:val="24"/>
        </w:rPr>
      </w:pP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投标单位法定代表人或其授权委托人（签字或盖章）：</w:t>
      </w:r>
    </w:p>
    <w:p>
      <w:pPr>
        <w:spacing w:line="360" w:lineRule="auto"/>
        <w:ind w:firstLine="3360" w:firstLineChars="14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年   月   日</w:t>
      </w:r>
      <w:bookmarkStart w:id="409" w:name="_Toc7164"/>
      <w:bookmarkStart w:id="410" w:name="_Toc21652"/>
      <w:bookmarkStart w:id="411" w:name="_Toc22822"/>
      <w:bookmarkStart w:id="412" w:name="_Toc21183"/>
      <w:bookmarkStart w:id="413" w:name="_Toc2775"/>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rPr>
          <w:rFonts w:hint="eastAsia"/>
          <w:color w:val="auto"/>
        </w:rPr>
      </w:pPr>
    </w:p>
    <w:p>
      <w:pPr>
        <w:spacing w:line="360" w:lineRule="auto"/>
        <w:rPr>
          <w:rFonts w:hint="eastAsia" w:ascii="宋体" w:hAnsi="宋体" w:eastAsia="宋体" w:cs="宋体"/>
          <w:color w:val="auto"/>
          <w:sz w:val="24"/>
        </w:rPr>
      </w:pPr>
    </w:p>
    <w:p>
      <w:pPr>
        <w:spacing w:line="440" w:lineRule="exact"/>
        <w:ind w:firstLine="480"/>
        <w:jc w:val="center"/>
        <w:rPr>
          <w:rFonts w:hint="eastAsia" w:ascii="宋体" w:hAnsi="宋体" w:eastAsia="宋体" w:cs="宋体"/>
          <w:b/>
          <w:bCs/>
          <w:color w:val="auto"/>
          <w:sz w:val="30"/>
          <w:szCs w:val="30"/>
          <w:lang w:val="en-US" w:eastAsia="zh-CN"/>
        </w:rPr>
      </w:pPr>
    </w:p>
    <w:p>
      <w:pPr>
        <w:spacing w:line="440" w:lineRule="exact"/>
        <w:ind w:firstLine="480"/>
        <w:jc w:val="center"/>
        <w:rPr>
          <w:rFonts w:hint="eastAsia" w:ascii="宋体" w:hAnsi="宋体" w:eastAsia="宋体" w:cs="宋体"/>
          <w:b/>
          <w:bCs/>
          <w:color w:val="auto"/>
          <w:sz w:val="30"/>
          <w:szCs w:val="30"/>
          <w:lang w:val="en-US" w:eastAsia="zh-CN"/>
        </w:rPr>
      </w:pPr>
    </w:p>
    <w:p>
      <w:pPr>
        <w:spacing w:line="440" w:lineRule="exact"/>
        <w:ind w:firstLine="480"/>
        <w:jc w:val="center"/>
        <w:rPr>
          <w:rFonts w:hint="eastAsia" w:ascii="宋体" w:hAnsi="宋体" w:eastAsia="宋体" w:cs="宋体"/>
          <w:b/>
          <w:bCs/>
          <w:color w:val="auto"/>
          <w:sz w:val="30"/>
          <w:szCs w:val="30"/>
          <w:lang w:val="en-US" w:eastAsia="zh-CN"/>
        </w:rPr>
      </w:pPr>
    </w:p>
    <w:p>
      <w:pPr>
        <w:spacing w:line="440" w:lineRule="exact"/>
        <w:ind w:firstLine="48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三、开标</w:t>
      </w:r>
      <w:r>
        <w:rPr>
          <w:rFonts w:hint="eastAsia" w:ascii="宋体" w:hAnsi="宋体" w:eastAsia="宋体" w:cs="宋体"/>
          <w:b/>
          <w:bCs/>
          <w:color w:val="auto"/>
          <w:sz w:val="30"/>
          <w:szCs w:val="30"/>
        </w:rPr>
        <w:t>一览表</w:t>
      </w:r>
      <w:bookmarkEnd w:id="409"/>
      <w:bookmarkEnd w:id="410"/>
      <w:bookmarkEnd w:id="411"/>
      <w:bookmarkEnd w:id="412"/>
      <w:bookmarkEnd w:id="413"/>
    </w:p>
    <w:p>
      <w:pPr>
        <w:spacing w:line="400" w:lineRule="exact"/>
        <w:rPr>
          <w:rFonts w:hint="eastAsia" w:ascii="宋体" w:hAnsi="宋体" w:eastAsia="宋体" w:cs="宋体"/>
          <w:color w:val="auto"/>
          <w:sz w:val="24"/>
        </w:rPr>
      </w:pPr>
      <w:r>
        <w:rPr>
          <w:rFonts w:hint="eastAsia" w:ascii="宋体" w:hAnsi="宋体" w:eastAsia="宋体" w:cs="宋体"/>
          <w:color w:val="auto"/>
          <w:sz w:val="24"/>
        </w:rPr>
        <w:t>项目名称：</w:t>
      </w:r>
    </w:p>
    <w:p>
      <w:pPr>
        <w:rPr>
          <w:rFonts w:hint="eastAsia" w:ascii="宋体" w:hAnsi="宋体" w:eastAsia="宋体" w:cs="宋体"/>
          <w:b/>
          <w:color w:val="auto"/>
          <w:sz w:val="24"/>
          <w:szCs w:val="24"/>
          <w:lang w:eastAsia="zh-CN"/>
        </w:rPr>
      </w:pPr>
      <w:r>
        <w:rPr>
          <w:rFonts w:hint="eastAsia" w:ascii="宋体" w:hAnsi="宋体" w:eastAsia="宋体" w:cs="宋体"/>
          <w:color w:val="auto"/>
          <w:sz w:val="24"/>
        </w:rPr>
        <w:t xml:space="preserve">项目编号：           </w:t>
      </w:r>
    </w:p>
    <w:tbl>
      <w:tblPr>
        <w:tblStyle w:val="41"/>
        <w:tblpPr w:leftFromText="180" w:rightFromText="180" w:vertAnchor="text" w:horzAnchor="page" w:tblpXSpec="center" w:tblpY="381"/>
        <w:tblOverlap w:val="never"/>
        <w:tblW w:w="88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588"/>
        <w:gridCol w:w="972"/>
        <w:gridCol w:w="1762"/>
        <w:gridCol w:w="2471"/>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4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序号</w:t>
            </w:r>
          </w:p>
        </w:tc>
        <w:tc>
          <w:tcPr>
            <w:tcW w:w="1588" w:type="dxa"/>
            <w:noWrap w:val="0"/>
            <w:vAlign w:val="center"/>
          </w:tcPr>
          <w:p>
            <w:pPr>
              <w:tabs>
                <w:tab w:val="left" w:pos="9135"/>
              </w:tabs>
              <w:spacing w:line="400" w:lineRule="atLeast"/>
              <w:jc w:val="center"/>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商品</w:t>
            </w:r>
            <w:r>
              <w:rPr>
                <w:rFonts w:hint="eastAsia" w:ascii="宋体" w:hAnsi="宋体" w:eastAsia="宋体" w:cs="宋体"/>
                <w:color w:val="auto"/>
                <w:sz w:val="24"/>
                <w:u w:val="none"/>
              </w:rPr>
              <w:t>名称</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数量</w:t>
            </w:r>
          </w:p>
        </w:tc>
        <w:tc>
          <w:tcPr>
            <w:tcW w:w="1762" w:type="dxa"/>
            <w:noWrap w:val="0"/>
            <w:vAlign w:val="center"/>
          </w:tcPr>
          <w:p>
            <w:pPr>
              <w:tabs>
                <w:tab w:val="left" w:pos="9135"/>
              </w:tabs>
              <w:spacing w:line="400" w:lineRule="atLeast"/>
              <w:jc w:val="center"/>
              <w:rPr>
                <w:rFonts w:hint="eastAsia" w:ascii="宋体" w:hAnsi="宋体" w:eastAsia="宋体" w:cs="宋体"/>
                <w:color w:val="auto"/>
                <w:sz w:val="24"/>
                <w:u w:val="none"/>
              </w:rPr>
            </w:pPr>
            <w:r>
              <w:rPr>
                <w:rFonts w:hint="eastAsia" w:ascii="宋体" w:hAnsi="宋体" w:eastAsia="宋体" w:cs="宋体"/>
                <w:color w:val="auto"/>
                <w:kern w:val="2"/>
                <w:sz w:val="24"/>
                <w:u w:val="none"/>
                <w:lang w:val="en-US" w:eastAsia="zh-CN" w:bidi="ar-SA"/>
              </w:rPr>
              <w:t>单价（元）</w:t>
            </w:r>
          </w:p>
        </w:tc>
        <w:tc>
          <w:tcPr>
            <w:tcW w:w="2471" w:type="dxa"/>
            <w:noWrap w:val="0"/>
            <w:vAlign w:val="center"/>
          </w:tcPr>
          <w:p>
            <w:pPr>
              <w:tabs>
                <w:tab w:val="left" w:pos="9135"/>
              </w:tabs>
              <w:spacing w:line="400" w:lineRule="atLeast"/>
              <w:jc w:val="center"/>
              <w:rPr>
                <w:rFonts w:hint="eastAsia" w:ascii="宋体" w:hAnsi="宋体" w:eastAsia="宋体" w:cs="宋体"/>
                <w:color w:val="auto"/>
                <w:kern w:val="2"/>
                <w:sz w:val="24"/>
                <w:u w:val="none"/>
                <w:lang w:val="en-US" w:eastAsia="zh-CN" w:bidi="ar-SA"/>
              </w:rPr>
            </w:pPr>
            <w:r>
              <w:rPr>
                <w:rFonts w:hint="eastAsia" w:ascii="宋体" w:hAnsi="宋体" w:eastAsia="宋体" w:cs="宋体"/>
                <w:color w:val="auto"/>
                <w:kern w:val="2"/>
                <w:sz w:val="24"/>
                <w:u w:val="none"/>
                <w:lang w:val="en-US" w:eastAsia="zh-CN" w:bidi="ar-SA"/>
              </w:rPr>
              <w:t>合计（元）</w:t>
            </w:r>
          </w:p>
        </w:tc>
        <w:tc>
          <w:tcPr>
            <w:tcW w:w="1235" w:type="dxa"/>
            <w:noWrap w:val="0"/>
            <w:vAlign w:val="center"/>
          </w:tcPr>
          <w:p>
            <w:pPr>
              <w:tabs>
                <w:tab w:val="left" w:pos="9135"/>
              </w:tabs>
              <w:spacing w:line="400" w:lineRule="atLeast"/>
              <w:jc w:val="center"/>
              <w:rPr>
                <w:rFonts w:hint="eastAsia" w:ascii="宋体" w:hAnsi="宋体" w:eastAsia="宋体" w:cs="宋体"/>
                <w:color w:val="auto"/>
                <w:kern w:val="2"/>
                <w:sz w:val="24"/>
                <w:u w:val="none"/>
                <w:lang w:val="en-US" w:eastAsia="zh-CN" w:bidi="ar-SA"/>
              </w:rPr>
            </w:pPr>
            <w:r>
              <w:rPr>
                <w:rFonts w:hint="eastAsia" w:ascii="宋体" w:hAnsi="宋体" w:eastAsia="宋体" w:cs="宋体"/>
                <w:color w:val="auto"/>
                <w:sz w:val="24"/>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tabs>
                <w:tab w:val="left" w:pos="9135"/>
              </w:tabs>
              <w:spacing w:line="400" w:lineRule="atLeast"/>
              <w:rPr>
                <w:rFonts w:hint="eastAsia" w:ascii="宋体" w:hAnsi="宋体" w:eastAsia="宋体" w:cs="宋体"/>
                <w:color w:val="auto"/>
                <w:sz w:val="24"/>
                <w:u w:val="none"/>
              </w:rPr>
            </w:pPr>
          </w:p>
        </w:tc>
        <w:tc>
          <w:tcPr>
            <w:tcW w:w="1588" w:type="dxa"/>
            <w:noWrap w:val="0"/>
            <w:vAlign w:val="top"/>
          </w:tcPr>
          <w:p>
            <w:pPr>
              <w:tabs>
                <w:tab w:val="left" w:pos="9135"/>
              </w:tabs>
              <w:spacing w:line="400" w:lineRule="atLeast"/>
              <w:rPr>
                <w:rFonts w:hint="eastAsia" w:ascii="宋体" w:hAnsi="宋体" w:eastAsia="宋体" w:cs="宋体"/>
                <w:color w:val="auto"/>
                <w:sz w:val="24"/>
                <w:u w:val="none"/>
              </w:rPr>
            </w:pPr>
          </w:p>
        </w:tc>
        <w:tc>
          <w:tcPr>
            <w:tcW w:w="972" w:type="dxa"/>
            <w:noWrap w:val="0"/>
            <w:vAlign w:val="top"/>
          </w:tcPr>
          <w:p>
            <w:pPr>
              <w:tabs>
                <w:tab w:val="left" w:pos="9135"/>
              </w:tabs>
              <w:spacing w:line="400" w:lineRule="atLeast"/>
              <w:rPr>
                <w:rFonts w:hint="eastAsia" w:ascii="宋体" w:hAnsi="宋体" w:eastAsia="宋体" w:cs="宋体"/>
                <w:color w:val="auto"/>
                <w:sz w:val="24"/>
                <w:u w:val="none"/>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876" w:type="dxa"/>
            <w:gridSpan w:val="6"/>
            <w:noWrap w:val="0"/>
            <w:vAlign w:val="top"/>
          </w:tcPr>
          <w:p>
            <w:pPr>
              <w:tabs>
                <w:tab w:val="left" w:pos="9135"/>
              </w:tabs>
              <w:spacing w:line="400" w:lineRule="atLeast"/>
              <w:rPr>
                <w:rFonts w:hint="eastAsia" w:ascii="宋体" w:hAnsi="宋体" w:eastAsia="宋体" w:cs="宋体"/>
                <w:color w:val="auto"/>
                <w:sz w:val="24"/>
                <w:u w:val="none"/>
              </w:rPr>
            </w:pPr>
            <w:r>
              <w:rPr>
                <w:rFonts w:hint="eastAsia" w:ascii="宋体" w:hAnsi="宋体" w:eastAsia="宋体" w:cs="宋体"/>
                <w:color w:val="auto"/>
                <w:kern w:val="2"/>
                <w:sz w:val="24"/>
                <w:u w:val="none"/>
                <w:lang w:val="en-US" w:eastAsia="zh-CN" w:bidi="ar-SA"/>
              </w:rPr>
              <w:t>合同履约期限：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vMerge w:val="restart"/>
            <w:noWrap w:val="0"/>
            <w:vAlign w:val="center"/>
          </w:tcPr>
          <w:p>
            <w:pPr>
              <w:tabs>
                <w:tab w:val="left" w:pos="9135"/>
              </w:tabs>
              <w:spacing w:line="400" w:lineRule="atLeast"/>
              <w:jc w:val="center"/>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投标</w:t>
            </w:r>
            <w:r>
              <w:rPr>
                <w:rFonts w:hint="eastAsia" w:ascii="宋体" w:hAnsi="宋体" w:eastAsia="宋体" w:cs="宋体"/>
                <w:color w:val="auto"/>
                <w:sz w:val="24"/>
                <w:u w:val="none"/>
              </w:rPr>
              <w:t>总价</w:t>
            </w:r>
          </w:p>
        </w:tc>
        <w:tc>
          <w:tcPr>
            <w:tcW w:w="8028" w:type="dxa"/>
            <w:gridSpan w:val="5"/>
            <w:noWrap w:val="0"/>
            <w:vAlign w:val="center"/>
          </w:tcPr>
          <w:p>
            <w:pPr>
              <w:tabs>
                <w:tab w:val="left" w:pos="9135"/>
              </w:tabs>
              <w:spacing w:line="400" w:lineRule="atLeast"/>
              <w:rPr>
                <w:rFonts w:hint="eastAsia" w:ascii="宋体" w:hAnsi="宋体" w:eastAsia="宋体" w:cs="宋体"/>
                <w:color w:val="auto"/>
                <w:sz w:val="24"/>
                <w:u w:val="none"/>
              </w:rPr>
            </w:pPr>
            <w:r>
              <w:rPr>
                <w:rFonts w:hint="eastAsia" w:ascii="宋体" w:hAnsi="宋体" w:eastAsia="宋体" w:cs="宋体"/>
                <w:color w:val="auto"/>
                <w:sz w:val="24"/>
                <w:u w:val="none"/>
              </w:rPr>
              <w:t>（人民币小写）</w:t>
            </w:r>
            <w:r>
              <w:rPr>
                <w:rFonts w:hint="eastAsia" w:ascii="宋体" w:hAnsi="宋体" w:eastAsia="宋体" w:cs="宋体"/>
                <w:color w:val="auto"/>
                <w:sz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8" w:type="dxa"/>
            <w:vMerge w:val="continue"/>
            <w:noWrap w:val="0"/>
            <w:vAlign w:val="center"/>
          </w:tcPr>
          <w:p>
            <w:pPr>
              <w:tabs>
                <w:tab w:val="left" w:pos="9135"/>
              </w:tabs>
              <w:spacing w:line="400" w:lineRule="atLeast"/>
              <w:rPr>
                <w:rFonts w:hint="eastAsia" w:ascii="宋体" w:hAnsi="宋体" w:eastAsia="宋体" w:cs="宋体"/>
                <w:color w:val="auto"/>
                <w:sz w:val="24"/>
                <w:u w:val="none"/>
              </w:rPr>
            </w:pPr>
          </w:p>
        </w:tc>
        <w:tc>
          <w:tcPr>
            <w:tcW w:w="8028" w:type="dxa"/>
            <w:gridSpan w:val="5"/>
            <w:noWrap w:val="0"/>
            <w:vAlign w:val="center"/>
          </w:tcPr>
          <w:p>
            <w:pPr>
              <w:tabs>
                <w:tab w:val="left" w:pos="9135"/>
              </w:tabs>
              <w:spacing w:line="400" w:lineRule="atLeast"/>
              <w:rPr>
                <w:rFonts w:hint="eastAsia" w:ascii="宋体" w:hAnsi="宋体" w:eastAsia="宋体" w:cs="宋体"/>
                <w:color w:val="auto"/>
                <w:sz w:val="24"/>
                <w:u w:val="none"/>
              </w:rPr>
            </w:pPr>
            <w:r>
              <w:rPr>
                <w:rFonts w:hint="eastAsia" w:ascii="宋体" w:hAnsi="宋体" w:eastAsia="宋体" w:cs="宋体"/>
                <w:color w:val="auto"/>
                <w:sz w:val="24"/>
                <w:u w:val="none"/>
              </w:rPr>
              <w:t>（人民币大写）</w:t>
            </w:r>
            <w:r>
              <w:rPr>
                <w:rFonts w:hint="eastAsia" w:ascii="宋体" w:hAnsi="宋体" w:eastAsia="宋体" w:cs="宋体"/>
                <w:color w:val="auto"/>
                <w:sz w:val="24"/>
                <w:u w:val="none"/>
                <w:lang w:eastAsia="zh-CN"/>
              </w:rPr>
              <w:t>：</w:t>
            </w:r>
          </w:p>
        </w:tc>
      </w:tr>
    </w:tbl>
    <w:p>
      <w:pPr>
        <w:rPr>
          <w:rFonts w:hint="eastAsia" w:ascii="宋体" w:hAnsi="宋体" w:eastAsia="宋体" w:cs="宋体"/>
          <w:b w:val="0"/>
          <w:bCs/>
          <w:color w:val="auto"/>
          <w:sz w:val="24"/>
          <w:szCs w:val="24"/>
          <w:lang w:val="en-US" w:eastAsia="zh-CN"/>
        </w:rPr>
      </w:pP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注：1、报价货币为人民币。</w:t>
      </w: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2、投标一览表中投标总报价大小应写一致，如不一致以大写为准。</w:t>
      </w: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3、以上报价含一切费用,是指货物经验收交付采购人使用的价格。</w:t>
      </w: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4、各投标企业每个分项不得超过每个分项的招标控制价，超过本项目分项招标控制价的视为无效报价，作否决投标处理。</w:t>
      </w: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5、各投标企业总投标报价不得高于本项目招标控制价，超过本项目招标控制价的视为无效报价，作否决投标处理。</w:t>
      </w:r>
    </w:p>
    <w:p>
      <w:pPr>
        <w:spacing w:line="360" w:lineRule="auto"/>
        <w:rPr>
          <w:rFonts w:hint="eastAsia" w:ascii="宋体" w:hAnsi="宋体" w:eastAsia="宋体" w:cs="宋体"/>
          <w:color w:val="auto"/>
          <w:sz w:val="24"/>
        </w:rPr>
      </w:pPr>
    </w:p>
    <w:p>
      <w:pPr>
        <w:spacing w:line="360" w:lineRule="auto"/>
        <w:ind w:left="48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pStyle w:val="39"/>
        <w:ind w:left="0" w:leftChars="0" w:firstLine="0" w:firstLineChars="0"/>
        <w:rPr>
          <w:rFonts w:hint="eastAsia" w:ascii="宋体" w:hAnsi="宋体" w:eastAsia="宋体" w:cs="宋体"/>
          <w:color w:val="auto"/>
          <w:sz w:val="24"/>
        </w:rPr>
      </w:pPr>
    </w:p>
    <w:p>
      <w:pPr>
        <w:pStyle w:val="39"/>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投标单位：（单位公章）</w:t>
      </w:r>
    </w:p>
    <w:p>
      <w:pPr>
        <w:spacing w:line="360" w:lineRule="auto"/>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ind w:firstLine="3360" w:firstLineChars="14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年   月   日</w:t>
      </w:r>
      <w:bookmarkStart w:id="414" w:name="_Toc4570"/>
      <w:bookmarkStart w:id="415" w:name="_Toc21935"/>
      <w:bookmarkStart w:id="416" w:name="_Toc32601"/>
      <w:bookmarkStart w:id="417" w:name="_Toc12987"/>
      <w:bookmarkStart w:id="418" w:name="_Toc4683"/>
    </w:p>
    <w:p>
      <w:pPr>
        <w:spacing w:line="360" w:lineRule="auto"/>
        <w:rPr>
          <w:rFonts w:hint="eastAsia" w:ascii="宋体" w:hAnsi="宋体" w:eastAsia="宋体" w:cs="宋体"/>
          <w:color w:val="auto"/>
          <w:sz w:val="24"/>
        </w:rPr>
      </w:pPr>
    </w:p>
    <w:p>
      <w:pPr>
        <w:pStyle w:val="4"/>
        <w:jc w:val="center"/>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投标报价明细表</w:t>
      </w:r>
      <w:bookmarkEnd w:id="414"/>
      <w:bookmarkEnd w:id="415"/>
      <w:bookmarkEnd w:id="416"/>
      <w:bookmarkEnd w:id="417"/>
      <w:bookmarkEnd w:id="418"/>
    </w:p>
    <w:p>
      <w:pPr>
        <w:spacing w:line="400" w:lineRule="exact"/>
        <w:rPr>
          <w:rFonts w:hint="eastAsia" w:ascii="宋体" w:hAnsi="宋体" w:eastAsia="宋体" w:cs="宋体"/>
          <w:color w:val="auto"/>
          <w:sz w:val="24"/>
        </w:rPr>
      </w:pPr>
      <w:r>
        <w:rPr>
          <w:rFonts w:hint="eastAsia" w:ascii="宋体" w:hAnsi="宋体" w:eastAsia="宋体" w:cs="宋体"/>
          <w:color w:val="auto"/>
          <w:sz w:val="24"/>
        </w:rPr>
        <w:t>项目名称：</w:t>
      </w:r>
    </w:p>
    <w:p>
      <w:pPr>
        <w:pStyle w:val="2"/>
        <w:ind w:left="0" w:leftChars="0" w:firstLine="0" w:firstLineChars="0"/>
        <w:rPr>
          <w:rFonts w:hint="eastAsia" w:ascii="宋体" w:hAnsi="宋体" w:eastAsia="宋体" w:cs="宋体"/>
          <w:color w:val="auto"/>
        </w:rPr>
      </w:pPr>
      <w:r>
        <w:rPr>
          <w:rFonts w:hint="eastAsia" w:ascii="宋体" w:hAnsi="宋体" w:eastAsia="宋体" w:cs="宋体"/>
          <w:color w:val="auto"/>
          <w:kern w:val="2"/>
          <w:sz w:val="24"/>
          <w:szCs w:val="22"/>
          <w:lang w:val="en-US" w:eastAsia="zh-CN" w:bidi="ar-SA"/>
        </w:rPr>
        <w:t xml:space="preserve">项目编号： </w:t>
      </w:r>
      <w:r>
        <w:rPr>
          <w:rFonts w:hint="eastAsia" w:ascii="宋体" w:hAnsi="宋体" w:eastAsia="宋体" w:cs="宋体"/>
          <w:color w:val="auto"/>
          <w:sz w:val="24"/>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2"/>
        <w:gridCol w:w="1276"/>
        <w:gridCol w:w="1327"/>
        <w:gridCol w:w="812"/>
        <w:gridCol w:w="1020"/>
        <w:gridCol w:w="930"/>
        <w:gridCol w:w="9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ind w:left="0" w:leftChars="0" w:firstLine="0" w:firstLineChars="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序号</w:t>
            </w:r>
          </w:p>
        </w:tc>
        <w:tc>
          <w:tcPr>
            <w:tcW w:w="1392"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仿宋" w:hAnsi="仿宋" w:eastAsia="仿宋" w:cs="仿宋"/>
                <w:color w:val="auto"/>
                <w:spacing w:val="4"/>
                <w:sz w:val="28"/>
                <w:szCs w:val="28"/>
                <w:highlight w:val="none"/>
                <w:lang w:eastAsia="zh-CN"/>
              </w:rPr>
              <w:t>名称</w:t>
            </w:r>
          </w:p>
        </w:tc>
        <w:tc>
          <w:tcPr>
            <w:tcW w:w="1276"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品牌、规格型号、产地</w:t>
            </w:r>
          </w:p>
        </w:tc>
        <w:tc>
          <w:tcPr>
            <w:tcW w:w="1327"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材料性能或等级</w:t>
            </w:r>
          </w:p>
        </w:tc>
        <w:tc>
          <w:tcPr>
            <w:tcW w:w="812"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单位</w:t>
            </w:r>
          </w:p>
        </w:tc>
        <w:tc>
          <w:tcPr>
            <w:tcW w:w="1020"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930"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单价</w:t>
            </w:r>
          </w:p>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（元）</w:t>
            </w:r>
          </w:p>
        </w:tc>
        <w:tc>
          <w:tcPr>
            <w:tcW w:w="915" w:type="dxa"/>
            <w:noWrap w:val="0"/>
            <w:vAlign w:val="center"/>
          </w:tcPr>
          <w:p>
            <w:pPr>
              <w:ind w:left="0" w:leftChars="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总价（元）</w:t>
            </w:r>
          </w:p>
        </w:tc>
        <w:tc>
          <w:tcPr>
            <w:tcW w:w="1078"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90" w:type="dxa"/>
            <w:gridSpan w:val="2"/>
            <w:noWrap w:val="0"/>
            <w:vAlign w:val="center"/>
          </w:tcPr>
          <w:p>
            <w:pPr>
              <w:ind w:left="0" w:leftChars="0" w:firstLine="480" w:firstLineChars="2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总</w:t>
            </w:r>
            <w:r>
              <w:rPr>
                <w:rFonts w:hint="eastAsia" w:ascii="宋体" w:hAnsi="宋体" w:eastAsia="宋体" w:cs="宋体"/>
                <w:b w:val="0"/>
                <w:bCs/>
                <w:color w:val="auto"/>
                <w:sz w:val="24"/>
                <w:szCs w:val="24"/>
              </w:rPr>
              <w:t>合计</w:t>
            </w:r>
          </w:p>
        </w:tc>
        <w:tc>
          <w:tcPr>
            <w:tcW w:w="7358" w:type="dxa"/>
            <w:gridSpan w:val="7"/>
            <w:noWrap w:val="0"/>
            <w:vAlign w:val="center"/>
          </w:tcPr>
          <w:p>
            <w:pPr>
              <w:jc w:val="center"/>
              <w:rPr>
                <w:rFonts w:hint="eastAsia" w:ascii="宋体" w:hAnsi="宋体" w:eastAsia="宋体" w:cs="宋体"/>
                <w:b w:val="0"/>
                <w:bCs/>
                <w:color w:val="auto"/>
                <w:sz w:val="24"/>
                <w:szCs w:val="24"/>
              </w:rPr>
            </w:pP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（此表可延长）</w:t>
      </w:r>
    </w:p>
    <w:p>
      <w:pPr>
        <w:spacing w:line="360" w:lineRule="auto"/>
        <w:ind w:firstLine="964" w:firstLineChars="400"/>
        <w:rPr>
          <w:rFonts w:hint="eastAsia" w:ascii="宋体" w:hAnsi="宋体" w:eastAsia="宋体" w:cs="宋体"/>
          <w:b/>
          <w:color w:val="auto"/>
          <w:sz w:val="24"/>
          <w:lang w:val="en-US" w:eastAsia="zh-CN"/>
        </w:rPr>
      </w:pPr>
      <w:r>
        <w:rPr>
          <w:rFonts w:hint="eastAsia" w:ascii="宋体" w:hAnsi="宋体" w:eastAsia="宋体" w:cs="宋体"/>
          <w:b/>
          <w:color w:val="auto"/>
          <w:sz w:val="24"/>
        </w:rPr>
        <w:t>注：1</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若获得中标资格并与采购人签署供货合同，由于报价遗漏面造成在供货、等工作中出现费用的增加，均由中标供应商自行承担，采购人将不再支付任何额外费用。</w:t>
      </w:r>
    </w:p>
    <w:p>
      <w:pPr>
        <w:spacing w:line="360" w:lineRule="auto"/>
        <w:rPr>
          <w:rFonts w:hint="eastAsia" w:ascii="宋体" w:hAnsi="宋体" w:eastAsia="宋体" w:cs="宋体"/>
          <w:color w:val="auto"/>
          <w:sz w:val="24"/>
        </w:rPr>
      </w:pPr>
    </w:p>
    <w:p>
      <w:pPr>
        <w:spacing w:line="360" w:lineRule="auto"/>
        <w:ind w:firstLine="4080" w:firstLineChars="17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kern w:val="0"/>
          <w:sz w:val="28"/>
        </w:rPr>
      </w:pPr>
      <w:r>
        <w:rPr>
          <w:rFonts w:hint="eastAsia" w:ascii="宋体" w:hAnsi="宋体" w:eastAsia="宋体" w:cs="宋体"/>
          <w:color w:val="auto"/>
          <w:sz w:val="24"/>
        </w:rPr>
        <w:t>年   月   日</w:t>
      </w:r>
      <w:bookmarkStart w:id="419" w:name="_Toc22433"/>
      <w:bookmarkStart w:id="420" w:name="_Toc25282"/>
      <w:bookmarkStart w:id="421" w:name="_Toc19324"/>
      <w:bookmarkStart w:id="422" w:name="_Toc6647"/>
    </w:p>
    <w:p>
      <w:pPr>
        <w:rPr>
          <w:rFonts w:hint="eastAsia" w:ascii="宋体" w:hAnsi="宋体" w:eastAsia="宋体" w:cs="宋体"/>
          <w:color w:val="auto"/>
        </w:rPr>
      </w:pPr>
      <w:bookmarkStart w:id="423" w:name="_Toc329785083"/>
      <w:bookmarkStart w:id="424" w:name="_Toc248313661"/>
    </w:p>
    <w:p>
      <w:pPr>
        <w:rPr>
          <w:rFonts w:hint="eastAsia" w:ascii="宋体" w:hAnsi="宋体" w:eastAsia="宋体" w:cs="宋体"/>
          <w:color w:val="auto"/>
        </w:rPr>
      </w:pPr>
    </w:p>
    <w:p>
      <w:pPr>
        <w:jc w:val="center"/>
        <w:rPr>
          <w:rFonts w:hint="eastAsia" w:ascii="宋体" w:hAnsi="宋体" w:eastAsia="宋体" w:cs="宋体"/>
          <w:b/>
          <w:bCs/>
          <w:color w:val="auto"/>
          <w:kern w:val="0"/>
          <w:sz w:val="30"/>
          <w:szCs w:val="30"/>
          <w:lang w:val="en-US" w:eastAsia="zh-CN"/>
        </w:rPr>
      </w:pPr>
    </w:p>
    <w:p>
      <w:pPr>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0"/>
          <w:szCs w:val="30"/>
          <w:lang w:val="en-US" w:eastAsia="zh-CN"/>
        </w:rPr>
        <w:t>四</w:t>
      </w:r>
      <w:r>
        <w:rPr>
          <w:rFonts w:hint="eastAsia" w:ascii="宋体" w:hAnsi="宋体" w:eastAsia="宋体" w:cs="宋体"/>
          <w:b/>
          <w:bCs/>
          <w:color w:val="auto"/>
          <w:kern w:val="0"/>
          <w:sz w:val="30"/>
          <w:szCs w:val="30"/>
        </w:rPr>
        <w:t>、法定代表人身份证明、法定代表人授权委托书</w:t>
      </w:r>
    </w:p>
    <w:p>
      <w:pPr>
        <w:tabs>
          <w:tab w:val="left" w:pos="1813"/>
        </w:tabs>
        <w:autoSpaceDE w:val="0"/>
        <w:autoSpaceDN w:val="0"/>
        <w:adjustRightInd w:val="0"/>
        <w:spacing w:line="6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（一）法定代表人身份证明</w:t>
      </w:r>
    </w:p>
    <w:p>
      <w:pPr>
        <w:tabs>
          <w:tab w:val="left" w:pos="1813"/>
        </w:tabs>
        <w:autoSpaceDE w:val="0"/>
        <w:autoSpaceDN w:val="0"/>
        <w:adjustRightInd w:val="0"/>
        <w:spacing w:line="200" w:lineRule="exact"/>
        <w:rPr>
          <w:rFonts w:hint="eastAsia" w:ascii="宋体" w:hAnsi="宋体" w:eastAsia="宋体" w:cs="宋体"/>
          <w:color w:val="auto"/>
          <w:kern w:val="0"/>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投标单位</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投标单位</w:t>
      </w:r>
      <w:r>
        <w:rPr>
          <w:rFonts w:hint="eastAsia" w:ascii="宋体" w:hAnsi="宋体" w:eastAsia="宋体" w:cs="宋体"/>
          <w:color w:val="auto"/>
          <w:kern w:val="0"/>
          <w:sz w:val="24"/>
          <w:szCs w:val="24"/>
          <w:highlight w:val="none"/>
          <w:u w:val="single"/>
        </w:rPr>
        <w:t xml:space="preserve">名称）        </w:t>
      </w:r>
      <w:r>
        <w:rPr>
          <w:rFonts w:hint="eastAsia" w:ascii="宋体" w:hAnsi="宋体" w:eastAsia="宋体" w:cs="宋体"/>
          <w:color w:val="auto"/>
          <w:kern w:val="0"/>
          <w:sz w:val="24"/>
          <w:szCs w:val="24"/>
          <w:highlight w:val="none"/>
        </w:rPr>
        <w:t>的法定代表人。</w:t>
      </w:r>
    </w:p>
    <w:p>
      <w:pPr>
        <w:shd w:val="clear" w:color="auto" w:fill="FFFFFF"/>
        <w:snapToGrid w:val="0"/>
        <w:spacing w:line="360" w:lineRule="auto"/>
        <w:ind w:firstLine="960" w:firstLineChars="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0288;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LhPXr4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59264;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5Zl9tgAAAAJAQAADwAAAAAAAAABACAAAAAi&#10;AAAAZHJzL2Rvd25yZXYueG1sUEsBAhQAFAAAAAgAh07iQCxB32o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投标单位名称（单位公章）：                         </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法定代表人或其授权委托人（签字或盖章）：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rPr>
      </w:pP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rPr>
      </w:pP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rPr>
      </w:pP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bookmarkEnd w:id="423"/>
    <w:bookmarkEnd w:id="424"/>
    <w:p>
      <w:pPr>
        <w:tabs>
          <w:tab w:val="left" w:pos="1813"/>
        </w:tabs>
        <w:autoSpaceDE w:val="0"/>
        <w:autoSpaceDN w:val="0"/>
        <w:adjustRightInd w:val="0"/>
        <w:spacing w:line="480" w:lineRule="auto"/>
        <w:jc w:val="both"/>
        <w:rPr>
          <w:rFonts w:hint="eastAsia" w:ascii="宋体" w:hAnsi="宋体" w:eastAsia="宋体" w:cs="宋体"/>
          <w:color w:val="auto"/>
          <w:kern w:val="0"/>
          <w:sz w:val="28"/>
          <w:szCs w:val="28"/>
        </w:rPr>
      </w:pPr>
    </w:p>
    <w:p>
      <w:pPr>
        <w:numPr>
          <w:ilvl w:val="0"/>
          <w:numId w:val="11"/>
        </w:numPr>
        <w:tabs>
          <w:tab w:val="left" w:pos="1813"/>
        </w:tabs>
        <w:autoSpaceDE w:val="0"/>
        <w:autoSpaceDN w:val="0"/>
        <w:adjustRightInd w:val="0"/>
        <w:spacing w:line="48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法定代表人授权委托书</w:t>
      </w:r>
    </w:p>
    <w:p>
      <w:pPr>
        <w:pStyle w:val="19"/>
        <w:numPr>
          <w:ilvl w:val="0"/>
          <w:numId w:val="0"/>
        </w:numPr>
        <w:tabs>
          <w:tab w:val="left" w:pos="9214"/>
        </w:tabs>
        <w:ind w:right="-58" w:rightChars="0"/>
        <w:rPr>
          <w:rFonts w:hint="eastAsia" w:ascii="宋体" w:hAnsi="宋体" w:eastAsia="宋体" w:cs="宋体"/>
          <w:color w:val="auto"/>
        </w:rPr>
      </w:pP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致：         发包人名称        ：</w:t>
      </w:r>
    </w:p>
    <w:p>
      <w:pPr>
        <w:pStyle w:val="23"/>
        <w:snapToGrid w:val="0"/>
        <w:spacing w:line="400" w:lineRule="exact"/>
        <w:ind w:firstLine="480" w:firstLineChars="200"/>
        <w:rPr>
          <w:rFonts w:hint="eastAsia" w:ascii="宋体" w:hAnsi="宋体" w:eastAsia="宋体" w:cs="宋体"/>
          <w:color w:val="auto"/>
          <w:sz w:val="24"/>
          <w:szCs w:val="24"/>
          <w:highlight w:val="none"/>
        </w:rPr>
      </w:pPr>
    </w:p>
    <w:p>
      <w:pPr>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投标单位</w:t>
      </w:r>
      <w:r>
        <w:rPr>
          <w:rFonts w:hint="eastAsia" w:ascii="宋体" w:hAnsi="宋体" w:eastAsia="宋体" w:cs="宋体"/>
          <w:color w:val="auto"/>
          <w:sz w:val="24"/>
          <w:szCs w:val="24"/>
          <w:highlight w:val="none"/>
          <w:u w:val="single"/>
        </w:rPr>
        <w:t xml:space="preserve">全称）        </w:t>
      </w:r>
      <w:r>
        <w:rPr>
          <w:rFonts w:hint="eastAsia" w:ascii="宋体" w:hAnsi="宋体" w:eastAsia="宋体" w:cs="宋体"/>
          <w:color w:val="auto"/>
          <w:sz w:val="24"/>
          <w:szCs w:val="24"/>
          <w:highlight w:val="none"/>
          <w:u w:val="none"/>
        </w:rPr>
        <w:t xml:space="preserve">的法定代表人授权我公司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投标单位</w:t>
      </w:r>
      <w:r>
        <w:rPr>
          <w:rFonts w:hint="eastAsia" w:ascii="宋体" w:hAnsi="宋体" w:eastAsia="宋体" w:cs="宋体"/>
          <w:color w:val="auto"/>
          <w:sz w:val="24"/>
          <w:szCs w:val="24"/>
          <w:highlight w:val="none"/>
          <w:u w:val="single"/>
        </w:rPr>
        <w:t xml:space="preserve">代表姓名）  </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rPr>
        <w:t>代表，代表本公司参加贵司组织的</w:t>
      </w:r>
      <w:r>
        <w:rPr>
          <w:rFonts w:hint="eastAsia" w:ascii="宋体" w:hAnsi="宋体" w:eastAsia="宋体" w:cs="宋体"/>
          <w:color w:val="auto"/>
          <w:sz w:val="24"/>
          <w:szCs w:val="24"/>
          <w:highlight w:val="none"/>
          <w:u w:val="single"/>
        </w:rPr>
        <w:t xml:space="preserve">    项目名称、招标编号    ）</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rPr>
        <w:t>活动，全权代表本公司处理</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rPr>
        <w:t>的一切事宜，包括但不限于：投标、参与开标、谈判、签约等。</w:t>
      </w:r>
      <w:r>
        <w:rPr>
          <w:rFonts w:hint="eastAsia" w:ascii="宋体" w:hAnsi="宋体" w:eastAsia="宋体"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rPr>
        <w:t>代表在</w:t>
      </w:r>
      <w:r>
        <w:rPr>
          <w:rFonts w:hint="eastAsia" w:ascii="宋体" w:hAnsi="宋体" w:eastAsia="宋体" w:cs="宋体"/>
          <w:color w:val="auto"/>
          <w:sz w:val="24"/>
          <w:szCs w:val="24"/>
          <w:highlight w:val="none"/>
          <w:u w:val="none"/>
          <w:lang w:val="en-US" w:eastAsia="zh-CN"/>
        </w:rPr>
        <w:t>投标</w:t>
      </w:r>
      <w:r>
        <w:rPr>
          <w:rFonts w:hint="eastAsia" w:ascii="宋体" w:hAnsi="宋体" w:eastAsia="宋体" w:cs="宋体"/>
          <w:color w:val="auto"/>
          <w:sz w:val="24"/>
          <w:szCs w:val="24"/>
          <w:highlight w:val="none"/>
          <w:u w:val="none"/>
        </w:rPr>
        <w:t>过程中所签署的一切文件和处理与之有关的一切事务，本公司均予以认可并对此承担责任。供应商代表无转委托权。特此授权。</w:t>
      </w:r>
    </w:p>
    <w:p>
      <w:pPr>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本授权书自出具之日起生效。</w:t>
      </w: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2336;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4eAf2AAAAAkBAAAPAAAAAAAAAAEAIAAAACIA&#10;AABkcnMvZG93bnJldi54bWxQSwECFAAUAAAACACHTuJAlPJz7wkCAAA6BAAADgAAAAAAAAABACAA&#10;AAAnAQAAZHJzL2Uyb0RvYy54bWxQSwUGAAAAAAYABgBZAQAAog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1312;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XAttUAAAAHAQAADwAAAAAAAAABACAAAAAiAAAA&#10;ZHJzL2Rvd25yZXYueG1sUEsBAhQAFAAAAAgAh07iQNxYsTcKAgAAOgQAAA4AAAAAAAAAAQAgAAAA&#10;JAEAAGRycy9lMm9Eb2MueG1sUEsFBgAAAAAGAAYAWQEAAKAFA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6" name="矩形 1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3360;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MQITnWAAAACAEAAA8AAAAAAAAAAQAgAAAAIgAA&#10;AGRycy9kb3ducmV2LnhtbFBLAQIUABQAAAAIAIdO4kC51V3SCgIAADoEAAAOAAAAAAAAAAEAIAAA&#10;ACUBAABkcnMvZTJvRG9jLnhtbFBLBQYAAAAABgAGAFkBAACh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8" name="矩形 18"/>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4384;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Y8hfdgAAAAKAQAADwAAAAAAAAABACAAAAAi&#10;AAAAZHJzL2Rvd25yZXYueG1sUEsBAhQAFAAAAAgAh07iQPaUROEKAgAAOgQAAA4AAAAAAAAAAQAg&#10;AAAAJwEAAGRycy9lMm9Eb2MueG1sUEsFBgAAAAAGAAYAWQEAAKMFA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（签字）   </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年龄：_______</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（签字或盖章）               </w:t>
      </w:r>
    </w:p>
    <w:p>
      <w:pPr>
        <w:ind w:firstLine="2760" w:firstLineChars="115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41"/>
        <w:jc w:val="center"/>
        <w:outlineLvl w:val="9"/>
        <w:rPr>
          <w:rFonts w:hint="eastAsia" w:ascii="宋体" w:hAnsi="宋体" w:eastAsia="宋体" w:cs="宋体"/>
          <w:b/>
          <w:color w:val="auto"/>
          <w:sz w:val="24"/>
          <w:szCs w:val="24"/>
          <w:highlight w:val="none"/>
        </w:rPr>
      </w:pPr>
    </w:p>
    <w:p>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注意：被委托人必须是投标单位正式员工，需提供社保部门出具最少提供</w:t>
      </w:r>
      <w:r>
        <w:rPr>
          <w:rFonts w:hint="eastAsia" w:ascii="宋体" w:hAnsi="宋体" w:eastAsia="宋体" w:cs="宋体"/>
          <w:b/>
          <w:bCs/>
          <w:color w:val="auto"/>
          <w:sz w:val="24"/>
          <w:szCs w:val="24"/>
          <w:lang w:eastAsia="zh-CN"/>
        </w:rPr>
        <w:t>近</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lang w:eastAsia="zh-CN"/>
        </w:rPr>
        <w:t>个月的缴纳社保证明</w:t>
      </w:r>
      <w:r>
        <w:rPr>
          <w:rFonts w:hint="eastAsia" w:ascii="宋体" w:hAnsi="宋体" w:eastAsia="宋体" w:cs="宋体"/>
          <w:b/>
          <w:bCs/>
          <w:color w:val="auto"/>
          <w:sz w:val="24"/>
          <w:szCs w:val="24"/>
        </w:rPr>
        <w:t>（社保缴费凭证及个人明细表）</w:t>
      </w:r>
      <w:r>
        <w:rPr>
          <w:rFonts w:hint="eastAsia" w:ascii="宋体" w:hAnsi="宋体" w:eastAsia="宋体" w:cs="宋体"/>
          <w:color w:val="auto"/>
          <w:sz w:val="24"/>
          <w:szCs w:val="24"/>
        </w:rPr>
        <w:t xml:space="preserve"> </w:t>
      </w:r>
    </w:p>
    <w:p>
      <w:pPr>
        <w:spacing w:line="400" w:lineRule="exact"/>
        <w:rPr>
          <w:rFonts w:hint="eastAsia" w:ascii="宋体" w:hAnsi="宋体" w:eastAsia="宋体" w:cs="宋体"/>
          <w:b/>
          <w:bCs/>
          <w:color w:val="auto"/>
          <w:kern w:val="2"/>
          <w:sz w:val="28"/>
          <w:szCs w:val="32"/>
          <w:lang w:val="en-US" w:eastAsia="zh-CN" w:bidi="ar-SA"/>
        </w:rPr>
      </w:pPr>
      <w:r>
        <w:rPr>
          <w:rFonts w:hint="eastAsia" w:ascii="宋体" w:hAnsi="宋体" w:eastAsia="宋体" w:cs="宋体"/>
          <w:color w:val="auto"/>
        </w:rPr>
        <w:t xml:space="preserve"> </w:t>
      </w:r>
    </w:p>
    <w:p>
      <w:pPr>
        <w:spacing w:line="440" w:lineRule="exact"/>
        <w:jc w:val="center"/>
        <w:rPr>
          <w:rFonts w:hint="eastAsia" w:ascii="宋体" w:hAnsi="宋体" w:eastAsia="宋体" w:cs="宋体"/>
          <w:b/>
          <w:bCs/>
          <w:color w:val="auto"/>
          <w:kern w:val="2"/>
          <w:sz w:val="28"/>
          <w:szCs w:val="32"/>
          <w:lang w:val="en-US" w:eastAsia="zh-CN" w:bidi="ar-SA"/>
        </w:rPr>
      </w:pPr>
      <w:r>
        <w:rPr>
          <w:rFonts w:hint="eastAsia" w:ascii="宋体" w:hAnsi="宋体" w:eastAsia="宋体" w:cs="宋体"/>
          <w:b/>
          <w:bCs/>
          <w:color w:val="auto"/>
          <w:kern w:val="2"/>
          <w:sz w:val="28"/>
          <w:szCs w:val="32"/>
          <w:lang w:val="en-US" w:eastAsia="zh-CN" w:bidi="ar-SA"/>
        </w:rPr>
        <w:t>五、投标保证金（投标保证金银行转账单复印件）</w:t>
      </w: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pStyle w:val="19"/>
        <w:tabs>
          <w:tab w:val="left" w:pos="9214"/>
        </w:tabs>
        <w:rPr>
          <w:rFonts w:hint="eastAsia" w:ascii="宋体" w:hAnsi="宋体" w:eastAsia="宋体" w:cs="宋体"/>
          <w:color w:val="auto"/>
          <w:lang w:val="en-US" w:eastAsia="zh-CN"/>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pStyle w:val="5"/>
        <w:outlineLvl w:val="9"/>
        <w:rPr>
          <w:rFonts w:hint="eastAsia" w:ascii="宋体" w:hAnsi="宋体" w:eastAsia="宋体" w:cs="宋体"/>
          <w:color w:val="auto"/>
          <w:lang w:val="en-US" w:eastAsia="zh-CN"/>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r>
        <w:rPr>
          <w:rFonts w:hint="eastAsia" w:ascii="宋体" w:hAnsi="宋体" w:eastAsia="宋体" w:cs="宋体"/>
          <w:b/>
          <w:bCs/>
          <w:color w:val="auto"/>
          <w:kern w:val="2"/>
          <w:sz w:val="28"/>
          <w:szCs w:val="32"/>
          <w:lang w:val="en-US" w:eastAsia="zh-CN" w:bidi="ar-SA"/>
        </w:rPr>
        <w:t>六、技术规格功能要求偏离表</w:t>
      </w:r>
      <w:bookmarkEnd w:id="419"/>
      <w:bookmarkEnd w:id="420"/>
      <w:bookmarkEnd w:id="421"/>
      <w:bookmarkEnd w:id="422"/>
    </w:p>
    <w:p>
      <w:pPr>
        <w:rPr>
          <w:rFonts w:hint="eastAsia" w:ascii="宋体" w:hAnsi="宋体" w:eastAsia="宋体" w:cs="宋体"/>
          <w:color w:val="auto"/>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项目名称：</w:t>
      </w:r>
    </w:p>
    <w:p>
      <w:pPr>
        <w:rPr>
          <w:rFonts w:hint="eastAsia" w:ascii="宋体" w:hAnsi="宋体" w:eastAsia="宋体" w:cs="宋体"/>
          <w:color w:val="auto"/>
        </w:rPr>
      </w:pPr>
      <w:r>
        <w:rPr>
          <w:rFonts w:hint="eastAsia" w:ascii="宋体" w:hAnsi="宋体" w:eastAsia="宋体" w:cs="宋体"/>
          <w:color w:val="auto"/>
          <w:sz w:val="24"/>
        </w:rPr>
        <w:t xml:space="preserve">项目编号：                                                   </w:t>
      </w:r>
    </w:p>
    <w:tbl>
      <w:tblPr>
        <w:tblStyle w:val="41"/>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02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招标文件规格功能要求条目号</w:t>
            </w:r>
          </w:p>
        </w:tc>
        <w:tc>
          <w:tcPr>
            <w:tcW w:w="1655"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招标文件</w:t>
            </w:r>
          </w:p>
          <w:p>
            <w:pPr>
              <w:jc w:val="center"/>
              <w:rPr>
                <w:rFonts w:hint="eastAsia" w:ascii="宋体" w:hAnsi="宋体" w:eastAsia="宋体" w:cs="宋体"/>
                <w:color w:val="auto"/>
                <w:sz w:val="24"/>
              </w:rPr>
            </w:pPr>
            <w:r>
              <w:rPr>
                <w:rFonts w:hint="eastAsia" w:ascii="宋体" w:hAnsi="宋体" w:eastAsia="宋体" w:cs="宋体"/>
                <w:color w:val="auto"/>
                <w:sz w:val="24"/>
              </w:rPr>
              <w:t>要求规格</w:t>
            </w:r>
          </w:p>
        </w:tc>
        <w:tc>
          <w:tcPr>
            <w:tcW w:w="1471"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投标规格</w:t>
            </w:r>
          </w:p>
          <w:p>
            <w:pPr>
              <w:jc w:val="center"/>
              <w:rPr>
                <w:rFonts w:hint="eastAsia" w:ascii="宋体" w:hAnsi="宋体" w:eastAsia="宋体" w:cs="宋体"/>
                <w:color w:val="auto"/>
                <w:sz w:val="24"/>
              </w:rPr>
            </w:pPr>
            <w:r>
              <w:rPr>
                <w:rFonts w:hint="eastAsia" w:ascii="宋体" w:hAnsi="宋体" w:eastAsia="宋体" w:cs="宋体"/>
                <w:color w:val="auto"/>
                <w:sz w:val="24"/>
              </w:rPr>
              <w:t>功能</w:t>
            </w:r>
          </w:p>
        </w:tc>
        <w:tc>
          <w:tcPr>
            <w:tcW w:w="183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w:t>
            </w:r>
          </w:p>
        </w:tc>
        <w:tc>
          <w:tcPr>
            <w:tcW w:w="128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bl>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：1、应与招标文件要求逐条对应填写。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2、本表如填写不完，可以续页。</w:t>
      </w:r>
    </w:p>
    <w:p>
      <w:pPr>
        <w:spacing w:line="360" w:lineRule="auto"/>
        <w:rPr>
          <w:rFonts w:hint="eastAsia" w:ascii="宋体" w:hAnsi="宋体" w:eastAsia="宋体" w:cs="宋体"/>
          <w:color w:val="auto"/>
          <w:sz w:val="24"/>
        </w:rPr>
      </w:pPr>
    </w:p>
    <w:p>
      <w:pPr>
        <w:spacing w:line="360" w:lineRule="auto"/>
        <w:ind w:firstLine="3960" w:firstLineChars="1650"/>
        <w:rPr>
          <w:rFonts w:hint="eastAsia" w:ascii="宋体" w:hAnsi="宋体" w:eastAsia="宋体" w:cs="宋体"/>
          <w:color w:val="auto"/>
          <w:sz w:val="24"/>
        </w:rPr>
      </w:pPr>
    </w:p>
    <w:p>
      <w:pPr>
        <w:spacing w:line="360" w:lineRule="auto"/>
        <w:ind w:firstLine="3960" w:firstLineChars="165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rPr>
          <w:rFonts w:hint="eastAsia" w:ascii="宋体" w:hAnsi="宋体" w:eastAsia="宋体" w:cs="宋体"/>
          <w:color w:val="auto"/>
          <w:sz w:val="24"/>
        </w:rPr>
      </w:pPr>
    </w:p>
    <w:p>
      <w:pPr>
        <w:spacing w:line="440" w:lineRule="exact"/>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ind w:firstLine="4080" w:firstLineChars="17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年   月   日</w:t>
      </w:r>
    </w:p>
    <w:p>
      <w:pPr>
        <w:spacing w:line="360" w:lineRule="auto"/>
        <w:rPr>
          <w:rFonts w:hint="eastAsia" w:ascii="宋体" w:hAnsi="宋体" w:eastAsia="宋体" w:cs="宋体"/>
          <w:color w:val="auto"/>
          <w:sz w:val="28"/>
          <w:szCs w:val="28"/>
        </w:rPr>
      </w:pPr>
    </w:p>
    <w:p>
      <w:pPr>
        <w:pStyle w:val="4"/>
        <w:jc w:val="center"/>
        <w:rPr>
          <w:rFonts w:hint="eastAsia" w:ascii="宋体" w:hAnsi="宋体" w:eastAsia="宋体" w:cs="宋体"/>
          <w:color w:val="auto"/>
          <w:sz w:val="28"/>
        </w:rPr>
      </w:pPr>
      <w:bookmarkStart w:id="425" w:name="_Toc14367"/>
      <w:bookmarkStart w:id="426" w:name="_Toc23111"/>
      <w:bookmarkStart w:id="427" w:name="_Toc23139"/>
      <w:bookmarkStart w:id="428" w:name="_Toc13218"/>
      <w:bookmarkStart w:id="429" w:name="_Toc27405"/>
      <w:r>
        <w:rPr>
          <w:rFonts w:hint="eastAsia" w:ascii="宋体" w:hAnsi="宋体" w:eastAsia="宋体" w:cs="宋体"/>
          <w:color w:val="auto"/>
          <w:sz w:val="28"/>
          <w:lang w:val="en-US" w:eastAsia="zh-CN"/>
        </w:rPr>
        <w:t>七、</w:t>
      </w:r>
      <w:r>
        <w:rPr>
          <w:rFonts w:hint="eastAsia" w:ascii="宋体" w:hAnsi="宋体" w:eastAsia="宋体" w:cs="宋体"/>
          <w:color w:val="auto"/>
          <w:sz w:val="28"/>
        </w:rPr>
        <w:t>商务条款偏离表</w:t>
      </w:r>
      <w:bookmarkEnd w:id="425"/>
      <w:bookmarkEnd w:id="426"/>
      <w:bookmarkEnd w:id="427"/>
      <w:bookmarkEnd w:id="428"/>
      <w:bookmarkEnd w:id="429"/>
    </w:p>
    <w:p>
      <w:pPr>
        <w:spacing w:line="40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项目名称：</w:t>
      </w:r>
    </w:p>
    <w:p>
      <w:pPr>
        <w:ind w:firstLine="240" w:firstLineChars="100"/>
        <w:rPr>
          <w:rFonts w:hint="eastAsia" w:ascii="宋体" w:hAnsi="宋体" w:eastAsia="宋体" w:cs="宋体"/>
          <w:color w:val="auto"/>
        </w:rPr>
      </w:pPr>
      <w:r>
        <w:rPr>
          <w:rFonts w:hint="eastAsia" w:ascii="宋体" w:hAnsi="宋体" w:eastAsia="宋体" w:cs="宋体"/>
          <w:color w:val="auto"/>
          <w:sz w:val="24"/>
        </w:rPr>
        <w:t xml:space="preserve">项目编号：                                                 </w:t>
      </w:r>
    </w:p>
    <w:tbl>
      <w:tblPr>
        <w:tblStyle w:val="41"/>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jc w:val="both"/>
              <w:rPr>
                <w:rFonts w:hint="eastAsia" w:ascii="宋体" w:hAnsi="宋体" w:eastAsia="宋体" w:cs="宋体"/>
                <w:color w:val="auto"/>
                <w:sz w:val="24"/>
              </w:rPr>
            </w:pPr>
            <w:r>
              <w:rPr>
                <w:rFonts w:hint="eastAsia" w:ascii="宋体" w:hAnsi="宋体" w:eastAsia="宋体" w:cs="宋体"/>
                <w:color w:val="auto"/>
                <w:sz w:val="24"/>
              </w:rPr>
              <w:t>序号</w:t>
            </w:r>
          </w:p>
        </w:tc>
        <w:tc>
          <w:tcPr>
            <w:tcW w:w="1705"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招标文件</w:t>
            </w:r>
          </w:p>
          <w:p>
            <w:pPr>
              <w:jc w:val="center"/>
              <w:rPr>
                <w:rFonts w:hint="eastAsia" w:ascii="宋体" w:hAnsi="宋体" w:eastAsia="宋体" w:cs="宋体"/>
                <w:color w:val="auto"/>
                <w:sz w:val="24"/>
              </w:rPr>
            </w:pPr>
            <w:r>
              <w:rPr>
                <w:rFonts w:hint="eastAsia" w:ascii="宋体" w:hAnsi="宋体" w:eastAsia="宋体" w:cs="宋体"/>
                <w:color w:val="auto"/>
                <w:sz w:val="24"/>
              </w:rPr>
              <w:t>条目号</w:t>
            </w:r>
          </w:p>
        </w:tc>
        <w:tc>
          <w:tcPr>
            <w:tcW w:w="217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招标文件的</w:t>
            </w:r>
          </w:p>
          <w:p>
            <w:pPr>
              <w:jc w:val="center"/>
              <w:rPr>
                <w:rFonts w:hint="eastAsia" w:ascii="宋体" w:hAnsi="宋体" w:eastAsia="宋体" w:cs="宋体"/>
                <w:color w:val="auto"/>
                <w:sz w:val="24"/>
              </w:rPr>
            </w:pPr>
            <w:r>
              <w:rPr>
                <w:rFonts w:hint="eastAsia" w:ascii="宋体" w:hAnsi="宋体" w:eastAsia="宋体" w:cs="宋体"/>
                <w:color w:val="auto"/>
                <w:sz w:val="24"/>
              </w:rPr>
              <w:t>商务条款</w:t>
            </w:r>
          </w:p>
        </w:tc>
        <w:tc>
          <w:tcPr>
            <w:tcW w:w="2215"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投标文件的</w:t>
            </w:r>
          </w:p>
          <w:p>
            <w:pPr>
              <w:jc w:val="center"/>
              <w:rPr>
                <w:rFonts w:hint="eastAsia" w:ascii="宋体" w:hAnsi="宋体" w:eastAsia="宋体" w:cs="宋体"/>
                <w:color w:val="auto"/>
                <w:sz w:val="24"/>
              </w:rPr>
            </w:pPr>
            <w:r>
              <w:rPr>
                <w:rFonts w:hint="eastAsia" w:ascii="宋体" w:hAnsi="宋体" w:eastAsia="宋体" w:cs="宋体"/>
                <w:color w:val="auto"/>
                <w:sz w:val="24"/>
              </w:rPr>
              <w:t>商务条款</w:t>
            </w:r>
          </w:p>
        </w:tc>
        <w:tc>
          <w:tcPr>
            <w:tcW w:w="170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bl>
    <w:p>
      <w:pPr>
        <w:spacing w:line="360" w:lineRule="auto"/>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：1、应与招标文件要求的实质性条款对应填写，如投标企业填写无偏离或此表空白，则视为完全响应招标文件。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2、本表如填写不完，可以续页。</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年   月   日</w:t>
      </w:r>
    </w:p>
    <w:p>
      <w:pPr>
        <w:pStyle w:val="19"/>
        <w:tabs>
          <w:tab w:val="left" w:pos="9214"/>
        </w:tabs>
        <w:rPr>
          <w:rFonts w:hint="eastAsia" w:ascii="宋体" w:hAnsi="宋体" w:eastAsia="宋体" w:cs="宋体"/>
          <w:color w:val="auto"/>
        </w:rPr>
      </w:pPr>
    </w:p>
    <w:p>
      <w:pPr>
        <w:pStyle w:val="142"/>
        <w:spacing w:line="240" w:lineRule="auto"/>
        <w:jc w:val="both"/>
        <w:rPr>
          <w:rFonts w:hint="eastAsia" w:ascii="宋体" w:hAnsi="宋体" w:eastAsia="宋体" w:cs="宋体"/>
          <w:color w:val="auto"/>
          <w:kern w:val="2"/>
          <w:sz w:val="32"/>
          <w:szCs w:val="28"/>
        </w:rPr>
      </w:pPr>
    </w:p>
    <w:p>
      <w:pPr>
        <w:pStyle w:val="23"/>
        <w:adjustRightInd w:val="0"/>
        <w:jc w:val="center"/>
        <w:textAlignment w:val="baseline"/>
        <w:rPr>
          <w:rFonts w:hint="eastAsia" w:ascii="宋体" w:hAnsi="宋体" w:eastAsia="宋体" w:cs="宋体"/>
          <w:color w:val="auto"/>
          <w:sz w:val="28"/>
          <w:szCs w:val="28"/>
        </w:rPr>
      </w:pP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rPr>
        <w:t>项目实施人员一览表</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1354"/>
        <w:gridCol w:w="923"/>
        <w:gridCol w:w="936"/>
        <w:gridCol w:w="1144"/>
        <w:gridCol w:w="1144"/>
        <w:gridCol w:w="984"/>
        <w:gridCol w:w="17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项目组所任职务</w:t>
            </w: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学 历</w:t>
            </w: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从事本工作时间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r>
    </w:tbl>
    <w:p>
      <w:pPr>
        <w:ind w:firstLine="422" w:firstLineChars="200"/>
        <w:rPr>
          <w:rFonts w:hint="eastAsia" w:ascii="宋体" w:hAnsi="宋体" w:eastAsia="宋体" w:cs="宋体"/>
          <w:b/>
          <w:color w:val="auto"/>
          <w:szCs w:val="21"/>
        </w:rPr>
      </w:pPr>
    </w:p>
    <w:p>
      <w:pPr>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注：1、“项目实施人员”指投标单位针对该项目实施所配备的人员。</w:t>
      </w:r>
    </w:p>
    <w:p>
      <w:pPr>
        <w:ind w:firstLine="843" w:firstLineChars="400"/>
        <w:rPr>
          <w:rFonts w:hint="eastAsia" w:ascii="宋体" w:hAnsi="宋体" w:eastAsia="宋体" w:cs="宋体"/>
          <w:b/>
          <w:color w:val="auto"/>
          <w:szCs w:val="21"/>
        </w:rPr>
      </w:pPr>
      <w:r>
        <w:rPr>
          <w:rFonts w:hint="eastAsia" w:ascii="宋体" w:hAnsi="宋体" w:eastAsia="宋体" w:cs="宋体"/>
          <w:b/>
          <w:color w:val="auto"/>
          <w:szCs w:val="21"/>
        </w:rPr>
        <w:t>2、后附各专业人员</w:t>
      </w:r>
      <w:r>
        <w:rPr>
          <w:rFonts w:hint="eastAsia" w:ascii="宋体" w:hAnsi="宋体" w:eastAsia="宋体" w:cs="宋体"/>
          <w:b/>
          <w:color w:val="auto"/>
        </w:rPr>
        <w:t>相关证明材料</w:t>
      </w:r>
      <w:r>
        <w:rPr>
          <w:rFonts w:hint="eastAsia" w:ascii="宋体" w:hAnsi="宋体" w:eastAsia="宋体" w:cs="宋体"/>
          <w:b/>
          <w:color w:val="auto"/>
          <w:szCs w:val="21"/>
        </w:rPr>
        <w:t>复印件；项目负责人须填写简历表。</w:t>
      </w:r>
    </w:p>
    <w:p>
      <w:pPr>
        <w:ind w:firstLine="843" w:firstLineChars="400"/>
        <w:rPr>
          <w:rFonts w:hint="eastAsia" w:ascii="宋体" w:hAnsi="宋体" w:eastAsia="宋体" w:cs="宋体"/>
          <w:b/>
          <w:color w:val="auto"/>
          <w:szCs w:val="21"/>
        </w:rPr>
      </w:pPr>
      <w:r>
        <w:rPr>
          <w:rFonts w:hint="eastAsia" w:ascii="宋体" w:hAnsi="宋体" w:eastAsia="宋体" w:cs="宋体"/>
          <w:b/>
          <w:color w:val="auto"/>
          <w:szCs w:val="21"/>
        </w:rPr>
        <w:t>3、表格不够填写可添加。如本表格不适合投标人的实际情况，可自行制表填写。</w:t>
      </w:r>
    </w:p>
    <w:p>
      <w:pPr>
        <w:spacing w:line="360" w:lineRule="auto"/>
        <w:ind w:firstLine="562" w:firstLineChars="200"/>
        <w:jc w:val="center"/>
        <w:rPr>
          <w:rFonts w:hint="eastAsia" w:ascii="宋体" w:hAnsi="宋体" w:eastAsia="宋体" w:cs="宋体"/>
          <w:b/>
          <w:bCs/>
          <w:color w:val="auto"/>
          <w:kern w:val="2"/>
          <w:sz w:val="28"/>
          <w:szCs w:val="32"/>
          <w:lang w:val="en-US" w:eastAsia="zh-CN" w:bidi="ar-SA"/>
        </w:rPr>
        <w:sectPr>
          <w:headerReference r:id="rId8" w:type="default"/>
          <w:footerReference r:id="rId9"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before="156" w:beforeLines="50" w:after="312" w:afterLines="100" w:line="440" w:lineRule="exact"/>
        <w:jc w:val="center"/>
        <w:rPr>
          <w:rFonts w:hint="eastAsia" w:ascii="宋体" w:hAnsi="宋体" w:eastAsia="宋体" w:cs="宋体"/>
          <w:b/>
          <w:color w:val="auto"/>
          <w:sz w:val="32"/>
          <w:szCs w:val="30"/>
        </w:rPr>
      </w:pPr>
      <w:r>
        <w:rPr>
          <w:rFonts w:hint="eastAsia" w:ascii="宋体" w:hAnsi="宋体" w:eastAsia="宋体" w:cs="宋体"/>
          <w:b/>
          <w:color w:val="auto"/>
          <w:sz w:val="32"/>
          <w:szCs w:val="30"/>
          <w:lang w:val="en-US" w:eastAsia="zh-CN"/>
        </w:rPr>
        <w:t>九、</w:t>
      </w:r>
      <w:r>
        <w:rPr>
          <w:rFonts w:hint="eastAsia" w:ascii="宋体" w:hAnsi="宋体" w:eastAsia="宋体" w:cs="宋体"/>
          <w:b/>
          <w:color w:val="auto"/>
          <w:sz w:val="32"/>
          <w:szCs w:val="30"/>
        </w:rPr>
        <w:t>投标人基本情况表</w:t>
      </w:r>
    </w:p>
    <w:tbl>
      <w:tblPr>
        <w:tblStyle w:val="4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标</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人</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概</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况</w:t>
            </w: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公司名称</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经济性质</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技术人员数</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资产总额</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净资产</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工商登记号</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税务登记号</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是否依法纳税</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是否参加社保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近三年公司</w:t>
            </w: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业绩、信誉</w:t>
            </w:r>
          </w:p>
        </w:tc>
        <w:tc>
          <w:tcPr>
            <w:tcW w:w="6618" w:type="dxa"/>
            <w:gridSpan w:val="3"/>
            <w:noWrap w:val="0"/>
            <w:vAlign w:val="center"/>
          </w:tcPr>
          <w:p>
            <w:pPr>
              <w:spacing w:after="60" w:afterLines="25"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合同总额：     万元，合同履行情况：</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8371" w:type="dxa"/>
            <w:gridSpan w:val="4"/>
            <w:noWrap w:val="0"/>
            <w:vAlign w:val="top"/>
          </w:tcPr>
          <w:p>
            <w:pPr>
              <w:spacing w:after="60" w:afterLines="25"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单位优势及特点：</w:t>
            </w:r>
          </w:p>
        </w:tc>
      </w:tr>
    </w:tbl>
    <w:p>
      <w:pPr>
        <w:pStyle w:val="36"/>
        <w:spacing w:before="0" w:beforeAutospacing="0" w:after="0" w:afterAutospacing="0"/>
        <w:rPr>
          <w:rFonts w:hint="eastAsia" w:ascii="宋体" w:hAnsi="宋体" w:eastAsia="宋体" w:cs="宋体"/>
          <w:snapToGrid w:val="0"/>
          <w:color w:val="auto"/>
        </w:rPr>
      </w:pPr>
      <w:r>
        <w:rPr>
          <w:rFonts w:hint="eastAsia" w:ascii="宋体" w:hAnsi="宋体" w:eastAsia="宋体" w:cs="宋体"/>
          <w:snapToGrid w:val="0"/>
          <w:color w:val="auto"/>
        </w:rPr>
        <w:t>说明：本表后应附有</w:t>
      </w:r>
      <w:r>
        <w:rPr>
          <w:rFonts w:hint="eastAsia" w:ascii="宋体" w:hAnsi="宋体" w:eastAsia="宋体" w:cs="宋体"/>
          <w:snapToGrid w:val="0"/>
          <w:color w:val="auto"/>
          <w:lang w:val="en-US" w:eastAsia="zh-CN"/>
        </w:rPr>
        <w:t>供应商营业执照、</w:t>
      </w:r>
      <w:r>
        <w:rPr>
          <w:rFonts w:hint="eastAsia" w:ascii="宋体" w:hAnsi="宋体" w:eastAsia="宋体" w:cs="宋体"/>
          <w:snapToGrid w:val="0"/>
          <w:color w:val="auto"/>
        </w:rPr>
        <w:t>单位简介。</w:t>
      </w:r>
    </w:p>
    <w:p>
      <w:pPr>
        <w:snapToGrid w:val="0"/>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投标单位名称（单位公章）：                         </w:t>
      </w:r>
    </w:p>
    <w:p>
      <w:pPr>
        <w:spacing w:line="360" w:lineRule="auto"/>
        <w:ind w:firstLine="480"/>
        <w:rPr>
          <w:rFonts w:hint="eastAsia" w:ascii="宋体" w:hAnsi="宋体" w:eastAsia="宋体" w:cs="宋体"/>
          <w:color w:val="auto"/>
          <w:sz w:val="24"/>
        </w:rPr>
      </w:pPr>
    </w:p>
    <w:p>
      <w:pPr>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法定代表人或其授权委托人（签字或盖章）：</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日期：   年   月   日</w:t>
      </w:r>
    </w:p>
    <w:p>
      <w:pPr>
        <w:spacing w:line="440" w:lineRule="exact"/>
        <w:ind w:firstLine="562" w:firstLineChars="200"/>
        <w:rPr>
          <w:rFonts w:hint="eastAsia" w:ascii="宋体" w:hAnsi="宋体" w:eastAsia="宋体" w:cs="宋体"/>
          <w:b/>
          <w:bCs/>
          <w:color w:val="auto"/>
          <w:kern w:val="2"/>
          <w:sz w:val="28"/>
          <w:szCs w:val="32"/>
          <w:lang w:val="en-US" w:eastAsia="zh-CN" w:bidi="ar-SA"/>
        </w:rPr>
      </w:pPr>
    </w:p>
    <w:p>
      <w:pPr>
        <w:spacing w:line="360" w:lineRule="auto"/>
        <w:rPr>
          <w:rFonts w:hint="eastAsia" w:ascii="宋体" w:hAnsi="宋体" w:eastAsia="宋体" w:cs="宋体"/>
          <w:color w:val="auto"/>
          <w:sz w:val="24"/>
        </w:rPr>
      </w:pPr>
    </w:p>
    <w:p>
      <w:pPr>
        <w:spacing w:line="360" w:lineRule="auto"/>
        <w:ind w:firstLine="562" w:firstLineChars="200"/>
        <w:jc w:val="center"/>
        <w:rPr>
          <w:rFonts w:hint="eastAsia" w:ascii="宋体" w:hAnsi="宋体" w:eastAsia="宋体" w:cs="宋体"/>
          <w:b/>
          <w:bCs/>
          <w:color w:val="auto"/>
          <w:kern w:val="2"/>
          <w:sz w:val="28"/>
          <w:szCs w:val="32"/>
          <w:lang w:val="en-US" w:eastAsia="zh-CN" w:bidi="ar-SA"/>
        </w:rPr>
        <w:sectPr>
          <w:headerReference r:id="rId10" w:type="default"/>
          <w:footerReference r:id="rId11"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pStyle w:val="58"/>
        <w:numPr>
          <w:ilvl w:val="0"/>
          <w:numId w:val="0"/>
        </w:numPr>
        <w:tabs>
          <w:tab w:val="left" w:pos="540"/>
          <w:tab w:val="left" w:pos="1080"/>
        </w:tabs>
        <w:jc w:val="center"/>
        <w:rPr>
          <w:rFonts w:hint="eastAsia" w:ascii="宋体" w:hAnsi="宋体" w:eastAsia="宋体" w:cs="宋体"/>
          <w:b/>
          <w:color w:val="auto"/>
          <w:kern w:val="2"/>
          <w:sz w:val="30"/>
          <w:szCs w:val="30"/>
          <w:lang w:val="en-US" w:eastAsia="zh-CN" w:bidi="ar-SA"/>
        </w:rPr>
      </w:pPr>
      <w:r>
        <w:rPr>
          <w:rFonts w:hint="eastAsia" w:ascii="宋体" w:hAnsi="宋体" w:eastAsia="宋体" w:cs="宋体"/>
          <w:b/>
          <w:color w:val="auto"/>
          <w:kern w:val="2"/>
          <w:sz w:val="30"/>
          <w:szCs w:val="30"/>
          <w:lang w:val="en-US" w:eastAsia="zh-CN" w:bidi="ar-SA"/>
        </w:rPr>
        <w:t>十、质量保证书</w:t>
      </w:r>
    </w:p>
    <w:p>
      <w:pPr>
        <w:pStyle w:val="58"/>
        <w:numPr>
          <w:ilvl w:val="0"/>
          <w:numId w:val="0"/>
        </w:numPr>
        <w:tabs>
          <w:tab w:val="left" w:pos="540"/>
          <w:tab w:val="left" w:pos="1080"/>
        </w:tabs>
        <w:jc w:val="both"/>
        <w:rPr>
          <w:rFonts w:hint="eastAsia" w:ascii="宋体" w:hAnsi="宋体" w:cs="宋体"/>
          <w:b/>
          <w:bCs/>
          <w:color w:val="auto"/>
          <w:sz w:val="28"/>
          <w:szCs w:val="28"/>
          <w:highlight w:val="none"/>
        </w:rPr>
      </w:pPr>
    </w:p>
    <w:p>
      <w:pPr>
        <w:pStyle w:val="58"/>
        <w:numPr>
          <w:ilvl w:val="0"/>
          <w:numId w:val="0"/>
        </w:numPr>
        <w:tabs>
          <w:tab w:val="left" w:pos="540"/>
          <w:tab w:val="left" w:pos="1080"/>
        </w:tabs>
        <w:jc w:val="both"/>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要求：</w:t>
      </w:r>
    </w:p>
    <w:p>
      <w:pPr>
        <w:pStyle w:val="58"/>
        <w:numPr>
          <w:ilvl w:val="0"/>
          <w:numId w:val="0"/>
        </w:numPr>
        <w:tabs>
          <w:tab w:val="left" w:pos="540"/>
          <w:tab w:val="left" w:pos="1080"/>
        </w:tabs>
        <w:jc w:val="both"/>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1、未发生产品质量事故和用户使用的事故;</w:t>
      </w:r>
    </w:p>
    <w:p>
      <w:pPr>
        <w:pStyle w:val="58"/>
        <w:numPr>
          <w:ilvl w:val="0"/>
          <w:numId w:val="0"/>
        </w:numPr>
        <w:tabs>
          <w:tab w:val="left" w:pos="540"/>
          <w:tab w:val="left" w:pos="1080"/>
        </w:tabs>
        <w:jc w:val="both"/>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2、保证产品各项指数符合招标文件要求，不发生质量问题等。</w:t>
      </w:r>
    </w:p>
    <w:p>
      <w:pPr>
        <w:pStyle w:val="58"/>
        <w:numPr>
          <w:ilvl w:val="0"/>
          <w:numId w:val="0"/>
        </w:numPr>
        <w:tabs>
          <w:tab w:val="left" w:pos="540"/>
          <w:tab w:val="left" w:pos="1080"/>
        </w:tabs>
        <w:jc w:val="both"/>
        <w:rPr>
          <w:rFonts w:hint="eastAsia" w:ascii="宋体" w:hAnsi="宋体" w:cs="宋体"/>
          <w:color w:val="auto"/>
          <w:kern w:val="2"/>
          <w:sz w:val="24"/>
          <w:szCs w:val="24"/>
          <w:highlight w:val="none"/>
          <w:lang w:val="en-US" w:eastAsia="zh-CN" w:bidi="ar-SA"/>
        </w:rPr>
      </w:pPr>
    </w:p>
    <w:p>
      <w:pPr>
        <w:numPr>
          <w:ilvl w:val="0"/>
          <w:numId w:val="0"/>
        </w:numPr>
        <w:adjustRightInd w:val="0"/>
        <w:spacing w:line="360" w:lineRule="auto"/>
        <w:ind w:leftChars="0"/>
        <w:jc w:val="center"/>
        <w:rPr>
          <w:rFonts w:hint="eastAsia" w:ascii="宋体" w:hAnsi="宋体" w:eastAsia="宋体" w:cs="宋体"/>
          <w:b/>
          <w:color w:val="auto"/>
          <w:sz w:val="30"/>
          <w:szCs w:val="30"/>
          <w:lang w:val="en-US" w:eastAsia="zh-CN"/>
        </w:rPr>
      </w:pPr>
    </w:p>
    <w:p>
      <w:pPr>
        <w:numPr>
          <w:ilvl w:val="0"/>
          <w:numId w:val="0"/>
        </w:numPr>
        <w:adjustRightInd w:val="0"/>
        <w:spacing w:line="360" w:lineRule="auto"/>
        <w:ind w:leftChars="0"/>
        <w:jc w:val="center"/>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十一、投标人安全事故的应急预案和处置方案</w:t>
      </w:r>
    </w:p>
    <w:p>
      <w:pPr>
        <w:pStyle w:val="53"/>
        <w:widowControl w:val="0"/>
        <w:numPr>
          <w:ilvl w:val="0"/>
          <w:numId w:val="0"/>
        </w:numPr>
        <w:autoSpaceDE w:val="0"/>
        <w:autoSpaceDN w:val="0"/>
        <w:adjustRightInd w:val="0"/>
        <w:rPr>
          <w:rFonts w:hint="eastAsia" w:ascii="宋体" w:hAnsi="宋体" w:eastAsia="宋体" w:cs="宋体"/>
          <w:color w:val="auto"/>
          <w:lang w:val="en-US" w:eastAsia="zh-CN"/>
        </w:rPr>
      </w:pPr>
    </w:p>
    <w:p>
      <w:pPr>
        <w:pStyle w:val="53"/>
        <w:widowControl w:val="0"/>
        <w:numPr>
          <w:ilvl w:val="0"/>
          <w:numId w:val="0"/>
        </w:numPr>
        <w:autoSpaceDE w:val="0"/>
        <w:autoSpaceDN w:val="0"/>
        <w:adjustRightInd w:val="0"/>
        <w:jc w:val="center"/>
        <w:rPr>
          <w:rFonts w:hint="eastAsia" w:ascii="宋体" w:hAnsi="宋体" w:eastAsia="宋体" w:cs="宋体"/>
          <w:color w:val="auto"/>
          <w:lang w:val="en-US" w:eastAsia="zh-CN"/>
        </w:rPr>
      </w:pPr>
      <w:r>
        <w:rPr>
          <w:rFonts w:hint="eastAsia" w:ascii="宋体" w:hAnsi="宋体" w:eastAsia="宋体" w:cs="宋体"/>
          <w:b/>
          <w:bCs/>
          <w:color w:val="auto"/>
          <w:sz w:val="32"/>
          <w:szCs w:val="32"/>
          <w:lang w:val="en-US" w:eastAsia="zh-CN"/>
        </w:rPr>
        <w:t>格式自拟</w:t>
      </w:r>
    </w:p>
    <w:p>
      <w:pPr>
        <w:spacing w:line="360" w:lineRule="auto"/>
        <w:jc w:val="center"/>
        <w:rPr>
          <w:rFonts w:hint="eastAsia" w:ascii="宋体" w:hAnsi="宋体" w:eastAsia="宋体" w:cs="宋体"/>
          <w:color w:val="auto"/>
          <w:sz w:val="24"/>
        </w:rPr>
      </w:pPr>
    </w:p>
    <w:p>
      <w:pPr>
        <w:spacing w:line="360" w:lineRule="auto"/>
        <w:ind w:firstLine="3840" w:firstLineChars="1600"/>
        <w:jc w:val="both"/>
        <w:rPr>
          <w:rFonts w:hint="eastAsia" w:ascii="宋体" w:hAnsi="宋体" w:eastAsia="宋体" w:cs="宋体"/>
          <w:color w:val="auto"/>
          <w:sz w:val="24"/>
        </w:rPr>
      </w:pPr>
    </w:p>
    <w:p>
      <w:pPr>
        <w:spacing w:line="360" w:lineRule="auto"/>
        <w:jc w:val="both"/>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jc w:val="right"/>
        <w:rPr>
          <w:rFonts w:hint="eastAsia" w:ascii="宋体" w:hAnsi="宋体" w:eastAsia="宋体" w:cs="宋体"/>
          <w:color w:val="auto"/>
          <w:sz w:val="24"/>
        </w:rPr>
      </w:pPr>
    </w:p>
    <w:p>
      <w:pPr>
        <w:spacing w:line="440" w:lineRule="exact"/>
        <w:jc w:val="both"/>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jc w:val="right"/>
        <w:rPr>
          <w:rFonts w:hint="eastAsia" w:ascii="宋体" w:hAnsi="宋体" w:eastAsia="宋体" w:cs="宋体"/>
          <w:color w:val="auto"/>
          <w:sz w:val="24"/>
        </w:rPr>
      </w:pPr>
    </w:p>
    <w:p>
      <w:pPr>
        <w:spacing w:line="360" w:lineRule="auto"/>
        <w:ind w:firstLine="480" w:firstLineChars="200"/>
        <w:jc w:val="right"/>
        <w:rPr>
          <w:rFonts w:hint="eastAsia" w:ascii="宋体" w:hAnsi="宋体" w:eastAsia="宋体" w:cs="宋体"/>
          <w:color w:val="auto"/>
          <w:kern w:val="0"/>
          <w:sz w:val="28"/>
        </w:rPr>
      </w:pPr>
      <w:r>
        <w:rPr>
          <w:rFonts w:hint="eastAsia" w:ascii="宋体" w:hAnsi="宋体" w:eastAsia="宋体" w:cs="宋体"/>
          <w:color w:val="auto"/>
          <w:sz w:val="24"/>
        </w:rPr>
        <w:t>年   月   日</w:t>
      </w:r>
    </w:p>
    <w:p>
      <w:pPr>
        <w:pStyle w:val="53"/>
        <w:widowControl w:val="0"/>
        <w:numPr>
          <w:ilvl w:val="0"/>
          <w:numId w:val="0"/>
        </w:numPr>
        <w:autoSpaceDE w:val="0"/>
        <w:autoSpaceDN w:val="0"/>
        <w:adjustRightInd w:val="0"/>
        <w:jc w:val="right"/>
        <w:rPr>
          <w:rFonts w:hint="eastAsia" w:ascii="宋体" w:hAnsi="宋体" w:eastAsia="宋体" w:cs="宋体"/>
          <w:color w:val="auto"/>
          <w:lang w:val="en-US" w:eastAsia="zh-CN"/>
        </w:rPr>
      </w:pPr>
    </w:p>
    <w:p>
      <w:pPr>
        <w:numPr>
          <w:ilvl w:val="0"/>
          <w:numId w:val="0"/>
        </w:numPr>
        <w:adjustRightInd w:val="0"/>
        <w:spacing w:line="360" w:lineRule="auto"/>
        <w:jc w:val="center"/>
        <w:rPr>
          <w:rFonts w:hint="eastAsia" w:ascii="宋体" w:hAnsi="宋体" w:eastAsia="宋体" w:cs="宋体"/>
          <w:b/>
          <w:color w:val="auto"/>
          <w:sz w:val="30"/>
          <w:szCs w:val="30"/>
          <w:lang w:val="en-US" w:eastAsia="zh-CN"/>
        </w:rPr>
      </w:pPr>
    </w:p>
    <w:p>
      <w:pPr>
        <w:numPr>
          <w:ilvl w:val="0"/>
          <w:numId w:val="0"/>
        </w:numPr>
        <w:adjustRightInd w:val="0"/>
        <w:spacing w:line="360" w:lineRule="auto"/>
        <w:jc w:val="center"/>
        <w:rPr>
          <w:rFonts w:hint="eastAsia" w:ascii="宋体" w:hAnsi="宋体" w:eastAsia="宋体" w:cs="宋体"/>
          <w:b/>
          <w:color w:val="auto"/>
          <w:sz w:val="30"/>
          <w:szCs w:val="30"/>
          <w:lang w:val="en-US" w:eastAsia="zh-CN"/>
        </w:rPr>
      </w:pPr>
    </w:p>
    <w:p>
      <w:pPr>
        <w:numPr>
          <w:ilvl w:val="0"/>
          <w:numId w:val="0"/>
        </w:numPr>
        <w:adjustRightInd w:val="0"/>
        <w:spacing w:line="360" w:lineRule="auto"/>
        <w:jc w:val="center"/>
        <w:rPr>
          <w:rFonts w:hint="eastAsia" w:ascii="宋体" w:hAnsi="宋体" w:eastAsia="宋体" w:cs="宋体"/>
          <w:b/>
          <w:color w:val="auto"/>
          <w:sz w:val="30"/>
          <w:szCs w:val="30"/>
          <w:lang w:val="en-US" w:eastAsia="zh-CN"/>
        </w:rPr>
      </w:pPr>
    </w:p>
    <w:p>
      <w:pPr>
        <w:pStyle w:val="5"/>
        <w:outlineLvl w:val="9"/>
        <w:rPr>
          <w:rFonts w:hint="eastAsia" w:ascii="宋体" w:hAnsi="宋体" w:eastAsia="宋体" w:cs="宋体"/>
          <w:b/>
          <w:color w:val="auto"/>
          <w:sz w:val="30"/>
          <w:szCs w:val="30"/>
          <w:lang w:val="en-US" w:eastAsia="zh-CN"/>
        </w:rPr>
      </w:pPr>
    </w:p>
    <w:p>
      <w:pPr>
        <w:rPr>
          <w:rFonts w:hint="eastAsia" w:ascii="宋体" w:hAnsi="宋体" w:eastAsia="宋体" w:cs="宋体"/>
          <w:b/>
          <w:color w:val="auto"/>
          <w:sz w:val="30"/>
          <w:szCs w:val="30"/>
          <w:lang w:val="en-US" w:eastAsia="zh-CN"/>
        </w:rPr>
      </w:pPr>
    </w:p>
    <w:p>
      <w:pPr>
        <w:pStyle w:val="5"/>
        <w:outlineLvl w:val="9"/>
        <w:rPr>
          <w:rFonts w:hint="eastAsia" w:ascii="宋体" w:hAnsi="宋体" w:eastAsia="宋体" w:cs="宋体"/>
          <w:b/>
          <w:color w:val="auto"/>
          <w:sz w:val="30"/>
          <w:szCs w:val="30"/>
          <w:lang w:val="en-US" w:eastAsia="zh-CN"/>
        </w:rPr>
      </w:pPr>
    </w:p>
    <w:p>
      <w:pPr>
        <w:pStyle w:val="2"/>
        <w:overflowPunct w:val="0"/>
        <w:ind w:left="0" w:leftChars="0" w:firstLine="0" w:firstLineChars="0"/>
        <w:jc w:val="both"/>
        <w:rPr>
          <w:rFonts w:hint="eastAsia" w:ascii="宋体" w:hAnsi="宋体" w:eastAsia="宋体" w:cs="宋体"/>
          <w:b/>
          <w:color w:val="auto"/>
          <w:kern w:val="2"/>
          <w:sz w:val="30"/>
          <w:szCs w:val="30"/>
          <w:lang w:val="en-US" w:eastAsia="zh-CN" w:bidi="ar-SA"/>
        </w:rPr>
      </w:pPr>
    </w:p>
    <w:p>
      <w:pPr>
        <w:pStyle w:val="2"/>
        <w:overflowPunct w:val="0"/>
        <w:ind w:firstLine="0"/>
        <w:jc w:val="center"/>
        <w:rPr>
          <w:rFonts w:hint="eastAsia" w:ascii="宋体" w:hAnsi="宋体" w:eastAsia="宋体" w:cs="宋体"/>
          <w:b/>
          <w:color w:val="auto"/>
          <w:kern w:val="2"/>
          <w:sz w:val="30"/>
          <w:szCs w:val="30"/>
          <w:lang w:val="en-US" w:eastAsia="zh-CN" w:bidi="ar-SA"/>
        </w:rPr>
      </w:pPr>
      <w:r>
        <w:rPr>
          <w:rFonts w:hint="eastAsia" w:ascii="宋体" w:hAnsi="宋体" w:eastAsia="宋体" w:cs="宋体"/>
          <w:b/>
          <w:color w:val="auto"/>
          <w:kern w:val="2"/>
          <w:sz w:val="30"/>
          <w:szCs w:val="30"/>
          <w:lang w:val="en-US" w:eastAsia="zh-CN" w:bidi="ar-SA"/>
        </w:rPr>
        <w:t>十二、服务承诺书</w:t>
      </w:r>
    </w:p>
    <w:p>
      <w:pPr>
        <w:rPr>
          <w:rFonts w:hint="eastAsia" w:ascii="宋体" w:hAnsi="宋体" w:eastAsia="宋体" w:cs="宋体"/>
          <w:color w:val="auto"/>
        </w:rPr>
      </w:pPr>
    </w:p>
    <w:p>
      <w:pPr>
        <w:pStyle w:val="53"/>
        <w:widowControl w:val="0"/>
        <w:numPr>
          <w:ilvl w:val="0"/>
          <w:numId w:val="0"/>
        </w:numPr>
        <w:autoSpaceDE w:val="0"/>
        <w:autoSpaceDN w:val="0"/>
        <w:adjustRightInd w:val="0"/>
        <w:ind w:firstLine="4176" w:firstLineChars="1300"/>
        <w:rPr>
          <w:rFonts w:hint="eastAsia" w:ascii="宋体" w:hAnsi="宋体" w:eastAsia="宋体" w:cs="宋体"/>
          <w:color w:val="auto"/>
          <w:lang w:val="en-US" w:eastAsia="zh-CN"/>
        </w:rPr>
      </w:pPr>
      <w:r>
        <w:rPr>
          <w:rFonts w:hint="eastAsia" w:ascii="宋体" w:hAnsi="宋体" w:eastAsia="宋体" w:cs="宋体"/>
          <w:b/>
          <w:bCs/>
          <w:color w:val="auto"/>
          <w:sz w:val="32"/>
          <w:szCs w:val="32"/>
          <w:lang w:val="en-US" w:eastAsia="zh-CN"/>
        </w:rPr>
        <w:t>格式自拟</w:t>
      </w:r>
    </w:p>
    <w:p>
      <w:pPr>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ind w:firstLine="3840" w:firstLineChars="1600"/>
        <w:jc w:val="both"/>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jc w:val="right"/>
        <w:rPr>
          <w:rFonts w:hint="eastAsia" w:ascii="宋体" w:hAnsi="宋体" w:eastAsia="宋体" w:cs="宋体"/>
          <w:color w:val="auto"/>
          <w:sz w:val="24"/>
        </w:rPr>
      </w:pPr>
    </w:p>
    <w:p>
      <w:pPr>
        <w:spacing w:line="440" w:lineRule="exact"/>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ind w:firstLine="4080" w:firstLineChars="1700"/>
        <w:jc w:val="both"/>
        <w:rPr>
          <w:rFonts w:hint="eastAsia" w:ascii="宋体" w:hAnsi="宋体" w:eastAsia="宋体" w:cs="宋体"/>
          <w:color w:val="auto"/>
          <w:sz w:val="24"/>
        </w:rPr>
      </w:pPr>
      <w:r>
        <w:rPr>
          <w:rFonts w:hint="eastAsia" w:ascii="宋体" w:hAnsi="宋体" w:eastAsia="宋体" w:cs="宋体"/>
          <w:color w:val="auto"/>
          <w:sz w:val="24"/>
        </w:rPr>
        <w:t>年   月   日</w:t>
      </w:r>
    </w:p>
    <w:p>
      <w:pPr>
        <w:pStyle w:val="19"/>
        <w:tabs>
          <w:tab w:val="left" w:pos="9214"/>
        </w:tabs>
        <w:rPr>
          <w:rFonts w:hint="eastAsia" w:ascii="宋体" w:hAnsi="宋体" w:eastAsia="宋体" w:cs="宋体"/>
          <w:color w:val="auto"/>
        </w:rPr>
      </w:pPr>
    </w:p>
    <w:p>
      <w:pPr>
        <w:rPr>
          <w:rFonts w:hint="eastAsia" w:ascii="宋体" w:hAnsi="宋体" w:eastAsia="宋体" w:cs="宋体"/>
          <w:color w:val="auto"/>
        </w:rPr>
      </w:pPr>
    </w:p>
    <w:p>
      <w:pPr>
        <w:pStyle w:val="5"/>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十三、</w:t>
      </w:r>
      <w:r>
        <w:rPr>
          <w:rFonts w:hint="eastAsia" w:ascii="宋体" w:hAnsi="宋体" w:eastAsia="宋体" w:cs="宋体"/>
          <w:b/>
          <w:bCs/>
          <w:color w:val="auto"/>
          <w:sz w:val="30"/>
          <w:szCs w:val="30"/>
        </w:rPr>
        <w:t>符合《政府采购法》第二十二条规定的条件</w:t>
      </w:r>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30" w:name="_Toc31468"/>
      <w:r>
        <w:rPr>
          <w:rFonts w:hint="eastAsia" w:ascii="宋体" w:hAnsi="宋体" w:eastAsia="宋体" w:cs="宋体"/>
          <w:color w:val="auto"/>
          <w:sz w:val="24"/>
          <w:szCs w:val="32"/>
          <w:lang w:eastAsia="zh-CN"/>
        </w:rPr>
        <w:t>（一）具有独立承担民事责任的能力</w:t>
      </w:r>
      <w:bookmarkEnd w:id="430"/>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31" w:name="_Toc30453"/>
      <w:r>
        <w:rPr>
          <w:rFonts w:hint="eastAsia" w:ascii="宋体" w:hAnsi="宋体" w:eastAsia="宋体" w:cs="宋体"/>
          <w:color w:val="auto"/>
          <w:sz w:val="24"/>
          <w:szCs w:val="32"/>
          <w:lang w:eastAsia="zh-CN"/>
        </w:rPr>
        <w:t>（二）具有良好的商业信誉和健全的财务会计制度</w:t>
      </w:r>
      <w:bookmarkEnd w:id="431"/>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32" w:name="_Toc3183"/>
      <w:r>
        <w:rPr>
          <w:rFonts w:hint="eastAsia" w:ascii="宋体" w:hAnsi="宋体" w:eastAsia="宋体" w:cs="宋体"/>
          <w:color w:val="auto"/>
          <w:sz w:val="24"/>
          <w:szCs w:val="32"/>
          <w:lang w:eastAsia="zh-CN"/>
        </w:rPr>
        <w:t>（三）具有履行合同所必需的货物和专业技术能力</w:t>
      </w:r>
      <w:bookmarkEnd w:id="432"/>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33" w:name="_Toc13229"/>
      <w:r>
        <w:rPr>
          <w:rFonts w:hint="eastAsia" w:ascii="宋体" w:hAnsi="宋体" w:eastAsia="宋体" w:cs="宋体"/>
          <w:color w:val="auto"/>
          <w:sz w:val="24"/>
          <w:szCs w:val="32"/>
          <w:lang w:eastAsia="zh-CN"/>
        </w:rPr>
        <w:t>（四）有依法缴纳税收和社会保障资金的良好记录</w:t>
      </w:r>
      <w:bookmarkEnd w:id="433"/>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34" w:name="_Toc14749"/>
      <w:r>
        <w:rPr>
          <w:rFonts w:hint="eastAsia" w:ascii="宋体" w:hAnsi="宋体" w:eastAsia="宋体" w:cs="宋体"/>
          <w:color w:val="auto"/>
          <w:sz w:val="24"/>
          <w:szCs w:val="32"/>
          <w:lang w:eastAsia="zh-CN"/>
        </w:rPr>
        <w:t>（五）参加政府采购活动前三年内在经营活动中没有重大违法记录，法律、行政法规规定的其他条件</w:t>
      </w:r>
      <w:bookmarkEnd w:id="434"/>
    </w:p>
    <w:p>
      <w:pPr>
        <w:pStyle w:val="32"/>
        <w:spacing w:before="120" w:line="360" w:lineRule="auto"/>
        <w:ind w:firstLine="482" w:firstLineChars="200"/>
        <w:jc w:val="both"/>
        <w:outlineLvl w:val="0"/>
        <w:rPr>
          <w:rFonts w:hint="eastAsia" w:ascii="宋体" w:hAnsi="宋体" w:eastAsia="宋体" w:cs="宋体"/>
          <w:b/>
          <w:bCs/>
          <w:color w:val="auto"/>
          <w:sz w:val="24"/>
          <w:szCs w:val="32"/>
          <w:lang w:eastAsia="zh-CN"/>
        </w:rPr>
      </w:pPr>
      <w:bookmarkStart w:id="435" w:name="_Toc23747"/>
      <w:r>
        <w:rPr>
          <w:rFonts w:hint="eastAsia" w:ascii="宋体" w:hAnsi="宋体" w:eastAsia="宋体" w:cs="宋体"/>
          <w:b/>
          <w:bCs/>
          <w:color w:val="auto"/>
          <w:sz w:val="24"/>
          <w:szCs w:val="32"/>
          <w:lang w:eastAsia="zh-CN"/>
        </w:rPr>
        <w:t>【包括健全的财务会计制度、审计机构出具的审计报告、依法缴纳税收证明（近6个月的完税证明）、依法缴纳社会保障资金证明（法定代表人近6个月的社保缴费凭证及个人明细或委托代理人的近6个月的社保缴费凭证及个人明细）等等】</w:t>
      </w:r>
      <w:bookmarkEnd w:id="435"/>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8"/>
          <w:szCs w:val="28"/>
          <w:lang w:val="en-US" w:eastAsia="zh-CN"/>
        </w:rPr>
      </w:pPr>
      <w:bookmarkStart w:id="436" w:name="_Toc5144"/>
      <w:bookmarkStart w:id="437" w:name="_Toc3862"/>
      <w:bookmarkStart w:id="438" w:name="_Toc26467"/>
      <w:bookmarkStart w:id="439" w:name="_Toc6014"/>
    </w:p>
    <w:p>
      <w:pPr>
        <w:pStyle w:val="32"/>
        <w:numPr>
          <w:ilvl w:val="0"/>
          <w:numId w:val="0"/>
        </w:numPr>
        <w:spacing w:before="120" w:line="360" w:lineRule="auto"/>
        <w:jc w:val="center"/>
        <w:outlineLvl w:val="0"/>
        <w:rPr>
          <w:rFonts w:hint="eastAsia" w:ascii="宋体" w:hAnsi="宋体" w:eastAsia="宋体" w:cs="宋体"/>
          <w:b/>
          <w:bCs/>
          <w:color w:val="auto"/>
          <w:sz w:val="28"/>
          <w:szCs w:val="28"/>
        </w:rPr>
      </w:pPr>
      <w:bookmarkStart w:id="440" w:name="_Toc7330"/>
      <w:r>
        <w:rPr>
          <w:rFonts w:hint="eastAsia" w:ascii="宋体" w:hAnsi="宋体" w:eastAsia="宋体" w:cs="宋体"/>
          <w:b/>
          <w:bCs/>
          <w:color w:val="auto"/>
          <w:sz w:val="28"/>
          <w:szCs w:val="28"/>
          <w:lang w:val="en-US" w:eastAsia="zh-CN"/>
        </w:rPr>
        <w:t>十四、</w:t>
      </w:r>
      <w:r>
        <w:rPr>
          <w:rFonts w:hint="eastAsia" w:ascii="宋体" w:hAnsi="宋体" w:eastAsia="宋体" w:cs="宋体"/>
          <w:b/>
          <w:bCs/>
          <w:color w:val="auto"/>
          <w:sz w:val="28"/>
          <w:szCs w:val="28"/>
        </w:rPr>
        <w:t>经年审计的上年度</w:t>
      </w:r>
      <w:bookmarkEnd w:id="436"/>
      <w:r>
        <w:rPr>
          <w:rFonts w:hint="eastAsia" w:ascii="宋体" w:hAnsi="宋体" w:eastAsia="宋体" w:cs="宋体"/>
          <w:b/>
          <w:bCs/>
          <w:color w:val="auto"/>
          <w:sz w:val="28"/>
          <w:szCs w:val="28"/>
        </w:rPr>
        <w:t>财务审计报告</w:t>
      </w:r>
      <w:bookmarkEnd w:id="437"/>
      <w:bookmarkEnd w:id="438"/>
      <w:bookmarkEnd w:id="439"/>
      <w:bookmarkEnd w:id="440"/>
    </w:p>
    <w:p>
      <w:pPr>
        <w:pStyle w:val="32"/>
        <w:numPr>
          <w:ilvl w:val="0"/>
          <w:numId w:val="0"/>
        </w:numPr>
        <w:spacing w:before="120" w:line="360" w:lineRule="auto"/>
        <w:jc w:val="both"/>
        <w:outlineLvl w:val="9"/>
        <w:rPr>
          <w:rFonts w:hint="eastAsia" w:ascii="宋体" w:hAnsi="宋体" w:eastAsia="宋体" w:cs="宋体"/>
          <w:b/>
          <w:bCs/>
          <w:color w:val="auto"/>
          <w:sz w:val="28"/>
          <w:szCs w:val="28"/>
        </w:rPr>
      </w:pPr>
    </w:p>
    <w:p>
      <w:pPr>
        <w:pStyle w:val="32"/>
        <w:spacing w:before="120" w:line="360" w:lineRule="auto"/>
        <w:ind w:firstLine="405"/>
        <w:jc w:val="center"/>
        <w:outlineLvl w:val="0"/>
        <w:rPr>
          <w:rFonts w:hint="eastAsia" w:ascii="宋体" w:hAnsi="宋体" w:eastAsia="宋体" w:cs="宋体"/>
          <w:b/>
          <w:bCs/>
          <w:color w:val="auto"/>
          <w:sz w:val="28"/>
          <w:szCs w:val="28"/>
        </w:rPr>
      </w:pPr>
      <w:bookmarkStart w:id="441" w:name="_Toc18555"/>
      <w:r>
        <w:rPr>
          <w:rFonts w:hint="eastAsia" w:ascii="宋体" w:hAnsi="宋体" w:eastAsia="宋体" w:cs="宋体"/>
          <w:b/>
          <w:bCs/>
          <w:color w:val="auto"/>
          <w:sz w:val="28"/>
          <w:szCs w:val="28"/>
          <w:lang w:eastAsia="zh-CN"/>
        </w:rPr>
        <w:t>投标单位须提供近一年审计报告（2021年度财务审计报告）(2022年新成立公司不提供)。</w:t>
      </w:r>
      <w:bookmarkEnd w:id="441"/>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ind w:left="0" w:leftChars="0" w:firstLine="0" w:firstLineChars="0"/>
        <w:rPr>
          <w:rFonts w:hint="eastAsia" w:ascii="宋体" w:hAnsi="宋体" w:eastAsia="宋体" w:cs="宋体"/>
          <w:color w:val="auto"/>
          <w:sz w:val="24"/>
        </w:rPr>
      </w:pPr>
    </w:p>
    <w:p>
      <w:pPr>
        <w:pStyle w:val="39"/>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健全的财务会计制度</w:t>
      </w: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rPr>
          <w:rStyle w:val="143"/>
          <w:rFonts w:hint="eastAsia" w:ascii="宋体" w:hAnsi="宋体" w:eastAsia="宋体" w:cs="宋体"/>
          <w:bCs w:val="0"/>
          <w:color w:val="auto"/>
          <w:sz w:val="28"/>
          <w:szCs w:val="28"/>
        </w:rPr>
      </w:pPr>
    </w:p>
    <w:p>
      <w:pPr>
        <w:pStyle w:val="5"/>
        <w:rPr>
          <w:rFonts w:hint="default" w:ascii="宋体" w:hAnsi="宋体" w:eastAsia="宋体" w:cs="宋体"/>
          <w:b/>
          <w:bCs/>
          <w:color w:val="auto"/>
          <w:kern w:val="2"/>
          <w:sz w:val="28"/>
          <w:szCs w:val="28"/>
          <w:lang w:val="en-US" w:eastAsia="zh-CN" w:bidi="ar-SA"/>
        </w:rPr>
        <w:sectPr>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line="360" w:lineRule="auto"/>
        <w:jc w:val="center"/>
        <w:outlineLvl w:val="0"/>
        <w:rPr>
          <w:rFonts w:hint="eastAsia" w:ascii="宋体" w:hAnsi="宋体" w:eastAsia="宋体" w:cs="宋体"/>
          <w:color w:val="auto"/>
          <w:sz w:val="24"/>
          <w:szCs w:val="24"/>
        </w:rPr>
      </w:pPr>
      <w:bookmarkStart w:id="442" w:name="_Toc1350"/>
      <w:bookmarkStart w:id="443" w:name="_Toc26849"/>
      <w:bookmarkStart w:id="444" w:name="_Toc3132"/>
      <w:bookmarkStart w:id="445" w:name="_Toc11866"/>
      <w:bookmarkStart w:id="446" w:name="_Toc6232"/>
      <w:r>
        <w:rPr>
          <w:rStyle w:val="143"/>
          <w:rFonts w:hint="eastAsia" w:ascii="宋体" w:hAnsi="宋体" w:eastAsia="宋体" w:cs="宋体"/>
          <w:bCs w:val="0"/>
          <w:color w:val="auto"/>
          <w:sz w:val="28"/>
          <w:szCs w:val="28"/>
          <w:lang w:val="en-US" w:eastAsia="zh-CN"/>
        </w:rPr>
        <w:t>十五</w:t>
      </w:r>
      <w:r>
        <w:rPr>
          <w:rStyle w:val="143"/>
          <w:rFonts w:hint="eastAsia" w:ascii="宋体" w:hAnsi="宋体" w:eastAsia="宋体" w:cs="宋体"/>
          <w:bCs w:val="0"/>
          <w:color w:val="auto"/>
          <w:sz w:val="28"/>
          <w:szCs w:val="28"/>
          <w:lang w:eastAsia="zh-CN"/>
        </w:rPr>
        <w:t>、</w:t>
      </w:r>
      <w:r>
        <w:rPr>
          <w:rStyle w:val="143"/>
          <w:rFonts w:hint="eastAsia" w:ascii="宋体" w:hAnsi="宋体" w:eastAsia="宋体" w:cs="宋体"/>
          <w:bCs w:val="0"/>
          <w:color w:val="auto"/>
          <w:sz w:val="28"/>
          <w:szCs w:val="28"/>
        </w:rPr>
        <w:t>投标单位（供应商）反商业贿赂承诺书</w:t>
      </w:r>
      <w:bookmarkEnd w:id="442"/>
      <w:bookmarkEnd w:id="443"/>
      <w:bookmarkEnd w:id="444"/>
      <w:bookmarkEnd w:id="445"/>
      <w:bookmarkEnd w:id="446"/>
    </w:p>
    <w:p>
      <w:pPr>
        <w:pStyle w:val="32"/>
        <w:spacing w:before="120" w:line="360" w:lineRule="auto"/>
        <w:ind w:left="120" w:leftChars="57" w:firstLine="280" w:firstLineChars="117"/>
        <w:rPr>
          <w:rFonts w:hint="eastAsia" w:ascii="宋体" w:hAnsi="宋体" w:eastAsia="宋体" w:cs="宋体"/>
          <w:color w:val="auto"/>
          <w:sz w:val="24"/>
          <w:szCs w:val="24"/>
        </w:rPr>
      </w:pPr>
      <w:r>
        <w:rPr>
          <w:rFonts w:hint="eastAsia" w:ascii="宋体" w:hAnsi="宋体" w:eastAsia="宋体" w:cs="宋体"/>
          <w:color w:val="auto"/>
          <w:sz w:val="24"/>
          <w:szCs w:val="24"/>
        </w:rPr>
        <w:t>我单位承诺在</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单位名称：（盖章）</w:t>
      </w:r>
    </w:p>
    <w:p>
      <w:pPr>
        <w:pStyle w:val="32"/>
        <w:spacing w:before="120"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法定代表人：（签字盖章）</w:t>
      </w:r>
    </w:p>
    <w:p>
      <w:pPr>
        <w:pStyle w:val="32"/>
        <w:spacing w:before="120"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项目经办人：</w:t>
      </w: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年   月   日</w:t>
      </w:r>
      <w:bookmarkStart w:id="447" w:name="_Toc8968"/>
      <w:bookmarkStart w:id="448" w:name="_Toc5662"/>
      <w:bookmarkStart w:id="449" w:name="_Toc29266"/>
      <w:bookmarkStart w:id="450" w:name="_Toc15248"/>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jc w:val="center"/>
        <w:rPr>
          <w:rStyle w:val="143"/>
          <w:rFonts w:hint="eastAsia" w:ascii="宋体" w:hAnsi="宋体" w:eastAsia="宋体" w:cs="宋体"/>
          <w:bCs w:val="0"/>
          <w:color w:val="auto"/>
          <w:kern w:val="2"/>
          <w:sz w:val="28"/>
          <w:szCs w:val="2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中小企业声明函（所投产品制造商为中小企业时提交本函，所属行业应符合采购文件中明确的本项目所属行业）</w:t>
      </w:r>
    </w:p>
    <w:p>
      <w:pPr>
        <w:pStyle w:val="39"/>
        <w:spacing w:line="360" w:lineRule="auto"/>
        <w:jc w:val="center"/>
        <w:rPr>
          <w:rStyle w:val="143"/>
          <w:rFonts w:hint="eastAsia" w:ascii="宋体" w:hAnsi="宋体" w:eastAsia="宋体" w:cs="宋体"/>
          <w:bCs w:val="0"/>
          <w:color w:val="auto"/>
          <w:kern w:val="2"/>
          <w:sz w:val="28"/>
          <w:szCs w:val="28"/>
          <w:lang w:val="en-US" w:eastAsia="zh-CN" w:bidi="ar-SA"/>
        </w:rPr>
      </w:pPr>
      <w:r>
        <w:rPr>
          <w:rStyle w:val="143"/>
          <w:rFonts w:hint="eastAsia" w:ascii="宋体" w:hAnsi="宋体" w:eastAsia="宋体" w:cs="宋体"/>
          <w:bCs w:val="0"/>
          <w:color w:val="auto"/>
          <w:kern w:val="2"/>
          <w:sz w:val="28"/>
          <w:szCs w:val="28"/>
          <w:lang w:val="en-US" w:eastAsia="zh-CN" w:bidi="ar-SA"/>
        </w:rPr>
        <w:t>十六、</w:t>
      </w:r>
      <w:bookmarkEnd w:id="447"/>
      <w:bookmarkEnd w:id="448"/>
      <w:bookmarkEnd w:id="449"/>
      <w:bookmarkEnd w:id="450"/>
      <w:r>
        <w:rPr>
          <w:rStyle w:val="143"/>
          <w:rFonts w:hint="eastAsia" w:ascii="宋体" w:hAnsi="宋体" w:eastAsia="宋体" w:cs="宋体"/>
          <w:bCs w:val="0"/>
          <w:color w:val="auto"/>
          <w:kern w:val="2"/>
          <w:sz w:val="28"/>
          <w:szCs w:val="28"/>
          <w:lang w:val="en-US" w:eastAsia="zh-CN" w:bidi="ar-SA"/>
        </w:rPr>
        <w:t>中、小微企业声明函（中、小、微型企业产品价格需扣除的须提供）（如是）</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rPr>
      </w:pPr>
      <w:r>
        <w:rPr>
          <w:rFonts w:hint="eastAsia" w:ascii="宋体" w:hAnsi="宋体" w:eastAsia="宋体" w:cs="宋体"/>
          <w:b/>
          <w:color w:val="auto"/>
          <w:kern w:val="0"/>
          <w:sz w:val="44"/>
          <w:szCs w:val="44"/>
          <w:highlight w:val="none"/>
        </w:rPr>
        <w:t>中小企业声明函（货物）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本公司（联合体）郑重声明，根据《政府采购促进中小企业发展管理办法》（财库﹝202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号）的规定，本公司（联合体）参加</w:t>
      </w:r>
      <w:r>
        <w:rPr>
          <w:rFonts w:hint="eastAsia" w:ascii="宋体" w:hAnsi="宋体" w:eastAsia="宋体" w:cs="宋体"/>
          <w:i/>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i/>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i/>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i/>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i/>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i/>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i/>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i/>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i/>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i/>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本企业对上述声明内容的真实性负责。如有虚假，将依法承担相应责任。</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企业名称（盖章）：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39"/>
        <w:rPr>
          <w:rFonts w:hint="eastAsia" w:ascii="宋体" w:hAnsi="宋体" w:eastAsia="宋体" w:cs="宋体"/>
          <w:color w:val="auto"/>
        </w:rPr>
      </w:pPr>
    </w:p>
    <w:p>
      <w:pPr>
        <w:pStyle w:val="39"/>
        <w:rPr>
          <w:rFonts w:hint="eastAsia" w:ascii="宋体" w:hAnsi="宋体" w:eastAsia="宋体" w:cs="宋体"/>
          <w:color w:val="auto"/>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sectPr>
          <w:headerReference r:id="rId12" w:type="default"/>
          <w:footerReference r:id="rId13"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残疾人福利性单位声明函（如有）</w:t>
      </w:r>
    </w:p>
    <w:p>
      <w:pPr>
        <w:pStyle w:val="5"/>
        <w:rPr>
          <w:rFonts w:hint="eastAsia"/>
          <w:color w:val="auto"/>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投标人名称（单位盖公章）：</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监狱企业的证明文件（如有）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说明：监狱企业参加政府采购活动时，应当提供由</w:t>
      </w:r>
      <w:r>
        <w:rPr>
          <w:rFonts w:hint="eastAsia" w:ascii="宋体" w:hAnsi="宋体" w:eastAsia="宋体" w:cs="宋体"/>
          <w:b/>
          <w:color w:val="auto"/>
          <w:sz w:val="24"/>
          <w:highlight w:val="none"/>
        </w:rPr>
        <w:t>省级以上监狱管理局、戒毒管理局（含新疆生产建设兵团）出具的属于监狱企业的证明文件，</w:t>
      </w:r>
      <w:r>
        <w:rPr>
          <w:rFonts w:hint="eastAsia" w:ascii="宋体" w:hAnsi="宋体" w:eastAsia="宋体" w:cs="宋体"/>
          <w:color w:val="auto"/>
          <w:sz w:val="24"/>
          <w:highlight w:val="none"/>
        </w:rPr>
        <w:t>并加盖投标单位公章。</w:t>
      </w: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r>
        <w:rPr>
          <w:rFonts w:hint="eastAsia" w:ascii="宋体" w:hAnsi="宋体" w:eastAsia="宋体" w:cs="宋体"/>
          <w:b/>
          <w:color w:val="auto"/>
          <w:spacing w:val="6"/>
          <w:kern w:val="2"/>
          <w:sz w:val="28"/>
          <w:szCs w:val="28"/>
          <w:lang w:val="en-US" w:eastAsia="zh-CN" w:bidi="ar-SA"/>
        </w:rPr>
        <w:t>十七、节能、环保产品证明（如有）</w:t>
      </w:r>
    </w:p>
    <w:p>
      <w:pPr>
        <w:pStyle w:val="5"/>
        <w:numPr>
          <w:ilvl w:val="0"/>
          <w:numId w:val="0"/>
        </w:numPr>
        <w:outlineLvl w:val="9"/>
        <w:rPr>
          <w:rFonts w:hint="eastAsia"/>
          <w:color w:val="auto"/>
          <w:lang w:val="en-US" w:eastAsia="zh-CN"/>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投标人（加盖公章）：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投标人代表（签字）：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日          期：    年   月  日</w:t>
      </w:r>
    </w:p>
    <w:p>
      <w:pPr>
        <w:rPr>
          <w:rFonts w:hint="eastAsia" w:ascii="宋体" w:hAnsi="宋体" w:eastAsia="宋体" w:cs="宋体"/>
          <w:b/>
          <w:color w:val="auto"/>
          <w:spacing w:val="6"/>
          <w:szCs w:val="21"/>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39"/>
        <w:rPr>
          <w:rFonts w:hint="eastAsia" w:ascii="宋体" w:hAnsi="宋体" w:eastAsia="宋体" w:cs="宋体"/>
          <w:color w:val="auto"/>
        </w:rPr>
      </w:pPr>
    </w:p>
    <w:p>
      <w:pPr>
        <w:pStyle w:val="19"/>
        <w:keepNext w:val="0"/>
        <w:keepLines w:val="0"/>
        <w:pageBreakBefore w:val="0"/>
        <w:widowControl w:val="0"/>
        <w:tabs>
          <w:tab w:val="left" w:pos="9214"/>
        </w:tabs>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color w:val="auto"/>
          <w:spacing w:val="6"/>
          <w:kern w:val="2"/>
          <w:sz w:val="28"/>
          <w:szCs w:val="28"/>
          <w:lang w:val="en-US" w:eastAsia="zh-CN" w:bidi="ar-SA"/>
        </w:rPr>
      </w:pPr>
    </w:p>
    <w:p>
      <w:pPr>
        <w:pStyle w:val="19"/>
        <w:keepNext w:val="0"/>
        <w:keepLines w:val="0"/>
        <w:pageBreakBefore w:val="0"/>
        <w:widowControl w:val="0"/>
        <w:tabs>
          <w:tab w:val="left" w:pos="9214"/>
        </w:tabs>
        <w:kinsoku/>
        <w:wordWrap/>
        <w:overflowPunct/>
        <w:topLinePunct w:val="0"/>
        <w:autoSpaceDE/>
        <w:autoSpaceDN/>
        <w:bidi w:val="0"/>
        <w:adjustRightInd/>
        <w:snapToGrid/>
        <w:ind w:firstLine="586" w:firstLineChars="200"/>
        <w:textAlignment w:val="auto"/>
        <w:rPr>
          <w:rFonts w:hint="eastAsia" w:ascii="宋体" w:hAnsi="宋体" w:eastAsia="宋体" w:cs="宋体"/>
          <w:b/>
          <w:color w:val="auto"/>
          <w:spacing w:val="6"/>
          <w:kern w:val="2"/>
          <w:sz w:val="28"/>
          <w:szCs w:val="28"/>
          <w:lang w:val="en-US" w:eastAsia="zh-CN" w:bidi="ar-SA"/>
        </w:rPr>
      </w:pPr>
      <w:r>
        <w:rPr>
          <w:rFonts w:hint="eastAsia" w:hAnsi="宋体" w:eastAsia="宋体" w:cs="宋体"/>
          <w:b/>
          <w:color w:val="auto"/>
          <w:spacing w:val="6"/>
          <w:kern w:val="2"/>
          <w:sz w:val="28"/>
          <w:szCs w:val="28"/>
          <w:lang w:val="en-US" w:eastAsia="zh-CN" w:bidi="ar-SA"/>
        </w:rPr>
        <w:t>十八</w:t>
      </w:r>
      <w:r>
        <w:rPr>
          <w:rFonts w:hint="eastAsia" w:ascii="宋体" w:hAnsi="宋体" w:eastAsia="宋体" w:cs="宋体"/>
          <w:b/>
          <w:color w:val="auto"/>
          <w:spacing w:val="6"/>
          <w:kern w:val="2"/>
          <w:sz w:val="28"/>
          <w:szCs w:val="28"/>
          <w:lang w:val="en-US" w:eastAsia="zh-CN" w:bidi="ar-SA"/>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19"/>
        <w:keepNext w:val="0"/>
        <w:keepLines w:val="0"/>
        <w:pageBreakBefore w:val="0"/>
        <w:widowControl w:val="0"/>
        <w:tabs>
          <w:tab w:val="left" w:pos="9214"/>
        </w:tabs>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ind w:left="0" w:leftChars="0" w:firstLine="0" w:firstLineChars="0"/>
        <w:jc w:val="both"/>
        <w:rPr>
          <w:rFonts w:hint="eastAsia" w:ascii="宋体" w:hAnsi="宋体" w:eastAsia="宋体" w:cs="宋体"/>
          <w:b/>
          <w:color w:val="auto"/>
          <w:spacing w:val="6"/>
          <w:kern w:val="2"/>
          <w:sz w:val="28"/>
          <w:szCs w:val="28"/>
          <w:lang w:val="en-US" w:eastAsia="zh-CN" w:bidi="ar-SA"/>
        </w:rPr>
      </w:pPr>
    </w:p>
    <w:p>
      <w:pPr>
        <w:pStyle w:val="39"/>
        <w:jc w:val="center"/>
        <w:rPr>
          <w:rFonts w:hint="eastAsia" w:ascii="宋体" w:hAnsi="宋体" w:eastAsia="宋体" w:cs="宋体"/>
          <w:b/>
          <w:color w:val="auto"/>
          <w:spacing w:val="6"/>
          <w:kern w:val="2"/>
          <w:sz w:val="28"/>
          <w:szCs w:val="28"/>
          <w:lang w:val="en-US" w:eastAsia="zh-CN" w:bidi="ar-SA"/>
        </w:rPr>
      </w:pPr>
    </w:p>
    <w:p>
      <w:pPr>
        <w:pStyle w:val="39"/>
        <w:ind w:left="0" w:leftChars="0" w:firstLine="0" w:firstLineChars="0"/>
        <w:jc w:val="center"/>
        <w:rPr>
          <w:rFonts w:hint="eastAsia" w:ascii="宋体" w:hAnsi="宋体" w:eastAsia="宋体" w:cs="宋体"/>
          <w:b/>
          <w:color w:val="auto"/>
          <w:spacing w:val="6"/>
          <w:kern w:val="2"/>
          <w:sz w:val="28"/>
          <w:szCs w:val="28"/>
          <w:lang w:val="en-US" w:eastAsia="zh-CN" w:bidi="ar-SA"/>
        </w:rPr>
      </w:pPr>
      <w:r>
        <w:rPr>
          <w:rFonts w:hint="eastAsia" w:ascii="宋体" w:hAnsi="宋体" w:eastAsia="宋体" w:cs="宋体"/>
          <w:b/>
          <w:color w:val="auto"/>
          <w:spacing w:val="6"/>
          <w:kern w:val="2"/>
          <w:sz w:val="28"/>
          <w:szCs w:val="28"/>
          <w:lang w:val="en-US" w:eastAsia="zh-CN" w:bidi="ar-SA"/>
        </w:rPr>
        <w:t>十九、投标人认为需要提供的其他资料</w:t>
      </w:r>
    </w:p>
    <w:p>
      <w:pPr>
        <w:rPr>
          <w:rFonts w:hint="eastAsia" w:ascii="宋体" w:hAnsi="宋体" w:eastAsia="宋体" w:cs="宋体"/>
          <w:color w:val="auto"/>
          <w:kern w:val="0"/>
          <w:sz w:val="28"/>
        </w:rPr>
      </w:pPr>
    </w:p>
    <w:p>
      <w:pPr>
        <w:pStyle w:val="5"/>
        <w:outlineLvl w:val="9"/>
        <w:rPr>
          <w:rFonts w:hint="eastAsia" w:ascii="宋体" w:hAnsi="宋体" w:eastAsia="宋体" w:cs="宋体"/>
          <w:color w:val="auto"/>
          <w:kern w:val="0"/>
          <w:sz w:val="28"/>
        </w:rPr>
      </w:pPr>
    </w:p>
    <w:p>
      <w:pPr>
        <w:pStyle w:val="4"/>
        <w:jc w:val="center"/>
        <w:outlineLvl w:val="9"/>
        <w:rPr>
          <w:rFonts w:hint="eastAsia" w:ascii="宋体" w:hAnsi="宋体" w:eastAsia="宋体" w:cs="宋体"/>
          <w:color w:val="auto"/>
          <w:kern w:val="0"/>
          <w:sz w:val="28"/>
        </w:rPr>
      </w:pPr>
      <w:bookmarkStart w:id="451" w:name="_Toc27985"/>
      <w:bookmarkStart w:id="452" w:name="_Toc1589"/>
      <w:bookmarkStart w:id="453" w:name="_Toc3556"/>
      <w:bookmarkStart w:id="454" w:name="_Toc19600"/>
    </w:p>
    <w:p>
      <w:pPr>
        <w:pStyle w:val="5"/>
        <w:rPr>
          <w:rFonts w:hint="eastAsia" w:ascii="宋体" w:hAnsi="宋体" w:eastAsia="宋体" w:cs="宋体"/>
          <w:color w:val="auto"/>
          <w:kern w:val="0"/>
          <w:sz w:val="28"/>
        </w:rPr>
      </w:pPr>
    </w:p>
    <w:p>
      <w:pPr>
        <w:rPr>
          <w:rFonts w:hint="eastAsia" w:ascii="宋体" w:hAnsi="宋体" w:eastAsia="宋体" w:cs="宋体"/>
          <w:color w:val="auto"/>
          <w:kern w:val="0"/>
          <w:sz w:val="28"/>
        </w:rPr>
      </w:pPr>
    </w:p>
    <w:p>
      <w:pPr>
        <w:pStyle w:val="2"/>
        <w:rPr>
          <w:rFonts w:hint="eastAsia" w:ascii="宋体" w:hAnsi="宋体" w:eastAsia="宋体" w:cs="宋体"/>
          <w:color w:val="auto"/>
          <w:kern w:val="0"/>
          <w:sz w:val="28"/>
        </w:rPr>
      </w:pPr>
    </w:p>
    <w:p>
      <w:pPr>
        <w:rPr>
          <w:rFonts w:hint="eastAsia" w:ascii="宋体" w:hAnsi="宋体" w:eastAsia="宋体" w:cs="宋体"/>
          <w:color w:val="auto"/>
          <w:kern w:val="0"/>
          <w:sz w:val="28"/>
        </w:rPr>
      </w:pPr>
    </w:p>
    <w:p>
      <w:pPr>
        <w:pStyle w:val="2"/>
        <w:rPr>
          <w:rFonts w:hint="eastAsia" w:ascii="宋体" w:hAnsi="宋体" w:eastAsia="宋体" w:cs="宋体"/>
          <w:color w:val="auto"/>
          <w:kern w:val="0"/>
          <w:sz w:val="28"/>
        </w:rPr>
      </w:pPr>
    </w:p>
    <w:p>
      <w:pPr>
        <w:rPr>
          <w:rFonts w:hint="eastAsia"/>
          <w:color w:val="auto"/>
        </w:rPr>
      </w:pPr>
    </w:p>
    <w:p>
      <w:pPr>
        <w:pStyle w:val="5"/>
        <w:outlineLvl w:val="9"/>
        <w:rPr>
          <w:rFonts w:hint="eastAsia"/>
          <w:color w:val="auto"/>
        </w:rPr>
      </w:pPr>
    </w:p>
    <w:p>
      <w:pPr>
        <w:rPr>
          <w:rFonts w:hint="eastAsia" w:ascii="宋体" w:hAnsi="宋体" w:eastAsia="宋体" w:cs="宋体"/>
          <w:color w:val="auto"/>
          <w:kern w:val="0"/>
          <w:sz w:val="28"/>
        </w:rPr>
      </w:pPr>
    </w:p>
    <w:p>
      <w:pPr>
        <w:pStyle w:val="19"/>
        <w:tabs>
          <w:tab w:val="left" w:pos="9214"/>
        </w:tabs>
        <w:rPr>
          <w:rFonts w:hint="eastAsia" w:ascii="宋体" w:hAnsi="宋体" w:eastAsia="宋体" w:cs="宋体"/>
          <w:color w:val="auto"/>
        </w:rPr>
      </w:pPr>
    </w:p>
    <w:bookmarkEnd w:id="451"/>
    <w:bookmarkEnd w:id="452"/>
    <w:bookmarkEnd w:id="453"/>
    <w:bookmarkEnd w:id="454"/>
    <w:p>
      <w:pPr>
        <w:spacing w:line="360" w:lineRule="auto"/>
        <w:jc w:val="both"/>
        <w:rPr>
          <w:rFonts w:hint="eastAsia" w:ascii="宋体" w:hAnsi="宋体" w:eastAsia="宋体" w:cs="宋体"/>
          <w:b/>
          <w:bCs/>
          <w:color w:val="auto"/>
          <w:spacing w:val="60"/>
          <w:sz w:val="32"/>
          <w:szCs w:val="32"/>
        </w:rPr>
      </w:pPr>
      <w:bookmarkStart w:id="455" w:name="_Toc20918"/>
      <w:bookmarkStart w:id="456" w:name="_Toc12999"/>
      <w:bookmarkStart w:id="457" w:name="_Toc24887"/>
      <w:bookmarkStart w:id="458" w:name="_Toc31830"/>
      <w:bookmarkStart w:id="459" w:name="_Toc16687"/>
      <w:bookmarkStart w:id="460" w:name="_Toc23806"/>
    </w:p>
    <w:p>
      <w:pPr>
        <w:spacing w:line="360" w:lineRule="auto"/>
        <w:jc w:val="center"/>
        <w:rPr>
          <w:rFonts w:hint="eastAsia" w:ascii="宋体" w:hAnsi="宋体" w:eastAsia="宋体" w:cs="宋体"/>
          <w:color w:val="auto"/>
          <w:sz w:val="32"/>
          <w:szCs w:val="32"/>
        </w:rPr>
      </w:pPr>
      <w:r>
        <w:rPr>
          <w:rFonts w:hint="eastAsia" w:ascii="宋体" w:hAnsi="宋体" w:eastAsia="宋体" w:cs="宋体"/>
          <w:b/>
          <w:bCs/>
          <w:color w:val="auto"/>
          <w:spacing w:val="60"/>
          <w:sz w:val="32"/>
          <w:szCs w:val="32"/>
        </w:rPr>
        <w:t>注意事项</w:t>
      </w:r>
      <w:bookmarkEnd w:id="455"/>
      <w:bookmarkEnd w:id="456"/>
      <w:bookmarkEnd w:id="457"/>
      <w:bookmarkEnd w:id="458"/>
      <w:bookmarkEnd w:id="459"/>
      <w:bookmarkEnd w:id="460"/>
    </w:p>
    <w:p>
      <w:pPr>
        <w:rPr>
          <w:rFonts w:hint="eastAsia" w:ascii="宋体" w:hAnsi="宋体" w:eastAsia="宋体" w:cs="宋体"/>
          <w:color w:val="auto"/>
          <w:sz w:val="24"/>
        </w:rPr>
      </w:pPr>
      <w:r>
        <w:rPr>
          <w:rFonts w:hint="eastAsia" w:ascii="宋体" w:hAnsi="宋体" w:eastAsia="宋体" w:cs="宋体"/>
          <w:color w:val="auto"/>
          <w:sz w:val="28"/>
        </w:rPr>
        <w:t>1、</w:t>
      </w:r>
      <w:r>
        <w:rPr>
          <w:rFonts w:hint="eastAsia" w:ascii="宋体" w:hAnsi="宋体" w:eastAsia="宋体" w:cs="宋体"/>
          <w:color w:val="auto"/>
          <w:sz w:val="24"/>
        </w:rPr>
        <w:t>投标人对所附表格中要求的资料和询问应做出肯定的回答。</w:t>
      </w:r>
    </w:p>
    <w:p>
      <w:pPr>
        <w:rPr>
          <w:rFonts w:hint="eastAsia" w:ascii="宋体" w:hAnsi="宋体" w:eastAsia="宋体" w:cs="宋体"/>
          <w:color w:val="auto"/>
          <w:sz w:val="24"/>
        </w:rPr>
      </w:pPr>
      <w:r>
        <w:rPr>
          <w:rFonts w:hint="eastAsia" w:ascii="宋体" w:hAnsi="宋体" w:eastAsia="宋体" w:cs="宋体"/>
          <w:color w:val="auto"/>
          <w:sz w:val="24"/>
        </w:rPr>
        <w:t>2、招标文件的签字人应保证他所做的声明及对一切问题的回答的真实性和准确。</w:t>
      </w:r>
    </w:p>
    <w:p>
      <w:pPr>
        <w:rPr>
          <w:rFonts w:hint="eastAsia" w:ascii="宋体" w:hAnsi="宋体" w:eastAsia="宋体" w:cs="宋体"/>
          <w:color w:val="auto"/>
          <w:sz w:val="24"/>
        </w:rPr>
      </w:pPr>
      <w:r>
        <w:rPr>
          <w:rFonts w:hint="eastAsia" w:ascii="宋体" w:hAnsi="宋体" w:eastAsia="宋体" w:cs="宋体"/>
          <w:color w:val="auto"/>
          <w:sz w:val="24"/>
        </w:rPr>
        <w:t>3、投标人提供的招标文件将由招标人使用，并据此进行评价和判断，确定投标人的能力。</w:t>
      </w:r>
    </w:p>
    <w:p>
      <w:pPr>
        <w:rPr>
          <w:rFonts w:hint="eastAsia" w:ascii="宋体" w:hAnsi="宋体" w:eastAsia="宋体" w:cs="宋体"/>
          <w:color w:val="auto"/>
          <w:sz w:val="24"/>
        </w:rPr>
      </w:pPr>
      <w:r>
        <w:rPr>
          <w:rFonts w:hint="eastAsia" w:ascii="宋体" w:hAnsi="宋体" w:eastAsia="宋体" w:cs="宋体"/>
          <w:color w:val="auto"/>
          <w:sz w:val="24"/>
        </w:rPr>
        <w:t>4、投标人提交的文件将给予保密，但不退还。</w:t>
      </w:r>
    </w:p>
    <w:p>
      <w:pPr>
        <w:spacing w:line="380" w:lineRule="exact"/>
        <w:rPr>
          <w:rFonts w:hint="eastAsia" w:ascii="宋体" w:hAnsi="宋体" w:eastAsia="宋体" w:cs="宋体"/>
          <w:color w:val="auto"/>
          <w:sz w:val="28"/>
          <w:szCs w:val="28"/>
        </w:rPr>
      </w:pPr>
    </w:p>
    <w:sectPr>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3702050</wp:posOffset>
              </wp:positionH>
              <wp:positionV relativeFrom="page">
                <wp:posOffset>9893935</wp:posOffset>
              </wp:positionV>
              <wp:extent cx="16637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5pt;margin-top:779.05pt;height:12pt;width:13.1pt;mso-position-horizontal-relative:page;mso-position-vertical-relative:page;z-index:-251655168;mso-width-relative:page;mso-height-relative:page;" filled="f" stroked="f" coordsize="21600,21600" o:gfxdata="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TZFtoAAAANAQAADwAAAAAAAAABACAAAAAiAAAAZHJzL2Rvd25yZXYueG1sUEsB&#10;AhQAFAAAAAgAh07iQAXgBqS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K80B/hAQAAu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8jZwQe97/KWpQ7Rvz5E6jI3nwqP1aZ+&#10;aKSZ/rR+aWf+Pueohye3+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MrzQH+EBAAC6AwAA&#10;DgAAAAAAAAABACAAAAAiAQAAZHJzL2Uyb0RvYy54bWxQSwUGAAAAAAYABgBZAQAAdQUAAAAA&#10;">
              <v:fill on="f" focussize="0,0"/>
              <v:stroke on="f" weight="1.2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2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GYnUDTAQAApQMAAA4AAAAAAAAAAQAgAAAA&#10;IgEAAGRycy9lMm9Eb2MueG1sUEsFBgAAAAAGAAYAWQEAAGcFAAAAAA==&#10;">
              <v:fill on="f" focussize="0,0"/>
              <v:stroke on="f" weight="1.2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v3NE9IBAAClAwAADgAAAAAAAAABACAAAAAi&#10;AQAAZHJzL2Uyb0RvYy54bWxQSwUGAAAAAAYABgBZAQAAZgUAAAAA&#10;">
              <v:fill on="f" focussize="0,0"/>
              <v:stroke on="f" weight="1.2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NpGRx+EBAAC8AwAA&#10;DgAAAAAAAAABACAAAAAiAQAAZHJzL2Uyb0RvYy54bWxQSwUGAAAAAAYABgBZAQAAdQUAAAAA&#10;">
              <v:fill on="f" focussize="0,0"/>
              <v:stroke on="f" weight="1.2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spacing w:line="380" w:lineRule="exact"/>
      <w:jc w:val="both"/>
      <w:rPr>
        <w:rFonts w:hint="eastAsia"/>
        <w:sz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273DA"/>
    <w:multiLevelType w:val="singleLevel"/>
    <w:tmpl w:val="993273DA"/>
    <w:lvl w:ilvl="0" w:tentative="0">
      <w:start w:val="1"/>
      <w:numFmt w:val="decimal"/>
      <w:suff w:val="nothing"/>
      <w:lvlText w:val="%1、"/>
      <w:lvlJc w:val="left"/>
    </w:lvl>
  </w:abstractNum>
  <w:abstractNum w:abstractNumId="1">
    <w:nsid w:val="99B19BFF"/>
    <w:multiLevelType w:val="singleLevel"/>
    <w:tmpl w:val="99B19BFF"/>
    <w:lvl w:ilvl="0" w:tentative="0">
      <w:start w:val="4"/>
      <w:numFmt w:val="chineseCounting"/>
      <w:suff w:val="space"/>
      <w:lvlText w:val="第%1章"/>
      <w:lvlJc w:val="left"/>
      <w:rPr>
        <w:rFonts w:hint="eastAsia"/>
      </w:rPr>
    </w:lvl>
  </w:abstractNum>
  <w:abstractNum w:abstractNumId="2">
    <w:nsid w:val="9C6EACCF"/>
    <w:multiLevelType w:val="singleLevel"/>
    <w:tmpl w:val="9C6EACCF"/>
    <w:lvl w:ilvl="0" w:tentative="0">
      <w:start w:val="3"/>
      <w:numFmt w:val="chineseCounting"/>
      <w:suff w:val="space"/>
      <w:lvlText w:val="第%1部分"/>
      <w:lvlJc w:val="left"/>
      <w:rPr>
        <w:rFonts w:hint="eastAsia"/>
      </w:rPr>
    </w:lvl>
  </w:abstractNum>
  <w:abstractNum w:abstractNumId="3">
    <w:nsid w:val="BD96CC2A"/>
    <w:multiLevelType w:val="singleLevel"/>
    <w:tmpl w:val="BD96CC2A"/>
    <w:lvl w:ilvl="0" w:tentative="0">
      <w:start w:val="2"/>
      <w:numFmt w:val="chineseCounting"/>
      <w:suff w:val="nothing"/>
      <w:lvlText w:val="（%1）"/>
      <w:lvlJc w:val="left"/>
      <w:rPr>
        <w:rFonts w:hint="eastAsia"/>
      </w:rPr>
    </w:lvl>
  </w:abstractNum>
  <w:abstractNum w:abstractNumId="4">
    <w:nsid w:val="CE48D951"/>
    <w:multiLevelType w:val="singleLevel"/>
    <w:tmpl w:val="CE48D951"/>
    <w:lvl w:ilvl="0" w:tentative="0">
      <w:start w:val="1"/>
      <w:numFmt w:val="decimal"/>
      <w:pStyle w:val="75"/>
      <w:suff w:val="nothing"/>
      <w:lvlText w:val="%1、"/>
      <w:lvlJc w:val="left"/>
    </w:lvl>
  </w:abstractNum>
  <w:abstractNum w:abstractNumId="5">
    <w:nsid w:val="0000000C"/>
    <w:multiLevelType w:val="multilevel"/>
    <w:tmpl w:val="0000000C"/>
    <w:lvl w:ilvl="0" w:tentative="0">
      <w:start w:val="2"/>
      <w:numFmt w:val="decimal"/>
      <w:pStyle w:val="50"/>
      <w:suff w:val="nothing"/>
      <w:lvlText w:val="%1、"/>
      <w:lvlJc w:val="left"/>
    </w:lvl>
    <w:lvl w:ilvl="1" w:tentative="0">
      <w:start w:val="1"/>
      <w:numFmt w:val="decimal"/>
      <w:pStyle w:val="74"/>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6"/>
      <w:lvlText w:val="%4)"/>
      <w:lvlJc w:val="left"/>
      <w:pPr>
        <w:tabs>
          <w:tab w:val="left" w:pos="1680"/>
        </w:tabs>
        <w:ind w:left="1680" w:hanging="420"/>
      </w:pPr>
      <w:rPr>
        <w:rFonts w:hint="default"/>
      </w:rPr>
    </w:lvl>
    <w:lvl w:ilvl="4" w:tentative="0">
      <w:start w:val="1"/>
      <w:numFmt w:val="lowerLetter"/>
      <w:pStyle w:val="7"/>
      <w:lvlText w:val="%5."/>
      <w:lvlJc w:val="left"/>
      <w:pPr>
        <w:tabs>
          <w:tab w:val="left" w:pos="2100"/>
        </w:tabs>
        <w:ind w:left="2100" w:hanging="420"/>
      </w:pPr>
      <w:rPr>
        <w:rFonts w:hint="default"/>
      </w:rPr>
    </w:lvl>
    <w:lvl w:ilvl="5" w:tentative="0">
      <w:start w:val="1"/>
      <w:numFmt w:val="lowerLetter"/>
      <w:pStyle w:val="8"/>
      <w:lvlText w:val="%6)"/>
      <w:lvlJc w:val="left"/>
      <w:pPr>
        <w:tabs>
          <w:tab w:val="left" w:pos="2520"/>
        </w:tabs>
        <w:ind w:left="2520" w:hanging="420"/>
      </w:pPr>
      <w:rPr>
        <w:rFonts w:hint="default"/>
      </w:rPr>
    </w:lvl>
    <w:lvl w:ilvl="6" w:tentative="0">
      <w:start w:val="1"/>
      <w:numFmt w:val="lowerRoman"/>
      <w:pStyle w:val="9"/>
      <w:lvlText w:val="%7."/>
      <w:lvlJc w:val="left"/>
      <w:pPr>
        <w:tabs>
          <w:tab w:val="left" w:pos="2940"/>
        </w:tabs>
        <w:ind w:left="2940" w:hanging="420"/>
      </w:pPr>
      <w:rPr>
        <w:rFonts w:hint="default"/>
      </w:rPr>
    </w:lvl>
    <w:lvl w:ilvl="7" w:tentative="0">
      <w:start w:val="1"/>
      <w:numFmt w:val="lowerRoman"/>
      <w:pStyle w:val="10"/>
      <w:lvlText w:val="%8)"/>
      <w:lvlJc w:val="left"/>
      <w:pPr>
        <w:tabs>
          <w:tab w:val="left" w:pos="3360"/>
        </w:tabs>
        <w:ind w:left="3360" w:hanging="420"/>
      </w:pPr>
      <w:rPr>
        <w:rFonts w:hint="default"/>
      </w:rPr>
    </w:lvl>
    <w:lvl w:ilvl="8" w:tentative="0">
      <w:start w:val="1"/>
      <w:numFmt w:val="lowerLetter"/>
      <w:pStyle w:val="11"/>
      <w:lvlText w:val="%9."/>
      <w:lvlJc w:val="left"/>
      <w:pPr>
        <w:tabs>
          <w:tab w:val="left" w:pos="3780"/>
        </w:tabs>
        <w:ind w:left="3780" w:hanging="420"/>
      </w:pPr>
      <w:rPr>
        <w:rFonts w:hint="default"/>
      </w:rPr>
    </w:lvl>
  </w:abstractNum>
  <w:abstractNum w:abstractNumId="6">
    <w:nsid w:val="07BB68B4"/>
    <w:multiLevelType w:val="singleLevel"/>
    <w:tmpl w:val="07BB68B4"/>
    <w:lvl w:ilvl="0" w:tentative="0">
      <w:start w:val="14"/>
      <w:numFmt w:val="chineseCounting"/>
      <w:suff w:val="nothing"/>
      <w:lvlText w:val="%1、"/>
      <w:lvlJc w:val="left"/>
      <w:rPr>
        <w:rFonts w:hint="eastAsia"/>
      </w:rPr>
    </w:lvl>
  </w:abstractNum>
  <w:abstractNum w:abstractNumId="7">
    <w:nsid w:val="09E68D8B"/>
    <w:multiLevelType w:val="singleLevel"/>
    <w:tmpl w:val="09E68D8B"/>
    <w:lvl w:ilvl="0" w:tentative="0">
      <w:start w:val="1"/>
      <w:numFmt w:val="decimal"/>
      <w:lvlText w:val="%1."/>
      <w:lvlJc w:val="left"/>
      <w:pPr>
        <w:tabs>
          <w:tab w:val="left" w:pos="312"/>
        </w:tabs>
      </w:pPr>
    </w:lvl>
  </w:abstractNum>
  <w:abstractNum w:abstractNumId="8">
    <w:nsid w:val="19C5E42D"/>
    <w:multiLevelType w:val="singleLevel"/>
    <w:tmpl w:val="19C5E42D"/>
    <w:lvl w:ilvl="0" w:tentative="0">
      <w:start w:val="1"/>
      <w:numFmt w:val="decimal"/>
      <w:pStyle w:val="13"/>
      <w:lvlText w:val="%1."/>
      <w:lvlJc w:val="left"/>
      <w:pPr>
        <w:tabs>
          <w:tab w:val="left" w:pos="360"/>
        </w:tabs>
        <w:ind w:left="360" w:hanging="360"/>
      </w:pPr>
    </w:lvl>
  </w:abstractNum>
  <w:abstractNum w:abstractNumId="9">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10">
    <w:nsid w:val="4B8F68CF"/>
    <w:multiLevelType w:val="multilevel"/>
    <w:tmpl w:val="4B8F68CF"/>
    <w:lvl w:ilvl="0" w:tentative="0">
      <w:start w:val="1"/>
      <w:numFmt w:val="decimal"/>
      <w:lvlText w:val="（%1）"/>
      <w:lvlJc w:val="left"/>
      <w:pPr>
        <w:tabs>
          <w:tab w:val="left" w:pos="1200"/>
        </w:tabs>
        <w:ind w:left="120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1">
    <w:nsid w:val="63A190A5"/>
    <w:multiLevelType w:val="singleLevel"/>
    <w:tmpl w:val="63A190A5"/>
    <w:lvl w:ilvl="0" w:tentative="0">
      <w:start w:val="1"/>
      <w:numFmt w:val="decimal"/>
      <w:suff w:val="nothing"/>
      <w:lvlText w:val="%1、"/>
      <w:lvlJc w:val="left"/>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6"/>
  </w:num>
  <w:num w:numId="8">
    <w:abstractNumId w:val="11"/>
  </w:num>
  <w:num w:numId="9">
    <w:abstractNumId w:val="9"/>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OWZkNjIxZDBhMjE0Y2IwN2IwZWUyNWY4OGIzZmYifQ=="/>
  </w:docVars>
  <w:rsids>
    <w:rsidRoot w:val="00172A27"/>
    <w:rsid w:val="000F78F8"/>
    <w:rsid w:val="00164C33"/>
    <w:rsid w:val="002F5EFC"/>
    <w:rsid w:val="002F6D43"/>
    <w:rsid w:val="004852A3"/>
    <w:rsid w:val="006843FA"/>
    <w:rsid w:val="006A7838"/>
    <w:rsid w:val="00735ACC"/>
    <w:rsid w:val="0078578F"/>
    <w:rsid w:val="009D1D6B"/>
    <w:rsid w:val="00A54779"/>
    <w:rsid w:val="00B42D9D"/>
    <w:rsid w:val="00B71FBF"/>
    <w:rsid w:val="00C56DFF"/>
    <w:rsid w:val="00D41950"/>
    <w:rsid w:val="00D4336C"/>
    <w:rsid w:val="00D70EA7"/>
    <w:rsid w:val="00E77F2B"/>
    <w:rsid w:val="00E83F8F"/>
    <w:rsid w:val="00EF1595"/>
    <w:rsid w:val="00FD7FED"/>
    <w:rsid w:val="017753C6"/>
    <w:rsid w:val="017F5739"/>
    <w:rsid w:val="01882F2E"/>
    <w:rsid w:val="01916D9E"/>
    <w:rsid w:val="01D10442"/>
    <w:rsid w:val="022A7A8C"/>
    <w:rsid w:val="024A0BA6"/>
    <w:rsid w:val="025678F5"/>
    <w:rsid w:val="02647AD4"/>
    <w:rsid w:val="02A14C7A"/>
    <w:rsid w:val="02EB4148"/>
    <w:rsid w:val="03164A81"/>
    <w:rsid w:val="03793B97"/>
    <w:rsid w:val="03895ADE"/>
    <w:rsid w:val="03CA7259"/>
    <w:rsid w:val="03D604BB"/>
    <w:rsid w:val="04257B1C"/>
    <w:rsid w:val="048C2C9E"/>
    <w:rsid w:val="04B213C1"/>
    <w:rsid w:val="04B54A0D"/>
    <w:rsid w:val="04FD70C7"/>
    <w:rsid w:val="0510448D"/>
    <w:rsid w:val="05536562"/>
    <w:rsid w:val="055920B6"/>
    <w:rsid w:val="05621F2C"/>
    <w:rsid w:val="05692D56"/>
    <w:rsid w:val="05DC228D"/>
    <w:rsid w:val="060D148A"/>
    <w:rsid w:val="062B7991"/>
    <w:rsid w:val="06717375"/>
    <w:rsid w:val="06AF013D"/>
    <w:rsid w:val="06F9464B"/>
    <w:rsid w:val="07436C5F"/>
    <w:rsid w:val="07B25F62"/>
    <w:rsid w:val="07BA1167"/>
    <w:rsid w:val="07E15CC2"/>
    <w:rsid w:val="082F3FD3"/>
    <w:rsid w:val="08F655F4"/>
    <w:rsid w:val="095C4021"/>
    <w:rsid w:val="097A4F8F"/>
    <w:rsid w:val="099A5D5B"/>
    <w:rsid w:val="0A035572"/>
    <w:rsid w:val="0A124C34"/>
    <w:rsid w:val="0A8214DE"/>
    <w:rsid w:val="0A932CCA"/>
    <w:rsid w:val="0AD1579D"/>
    <w:rsid w:val="0B306B9A"/>
    <w:rsid w:val="0B410F8B"/>
    <w:rsid w:val="0B58238F"/>
    <w:rsid w:val="0B7E012E"/>
    <w:rsid w:val="0B8C1F3D"/>
    <w:rsid w:val="0BBA6113"/>
    <w:rsid w:val="0BD81D82"/>
    <w:rsid w:val="0C70367A"/>
    <w:rsid w:val="0C871385"/>
    <w:rsid w:val="0C9B30E4"/>
    <w:rsid w:val="0CBE1BE2"/>
    <w:rsid w:val="0CC54204"/>
    <w:rsid w:val="0D3851A2"/>
    <w:rsid w:val="0D410B01"/>
    <w:rsid w:val="0DC54E21"/>
    <w:rsid w:val="0E187EE3"/>
    <w:rsid w:val="0E395338"/>
    <w:rsid w:val="0E4F198B"/>
    <w:rsid w:val="0EAC48BD"/>
    <w:rsid w:val="0EBF3FBE"/>
    <w:rsid w:val="0F3B0774"/>
    <w:rsid w:val="0F597EC1"/>
    <w:rsid w:val="0F6D24C6"/>
    <w:rsid w:val="105D6BCF"/>
    <w:rsid w:val="10824ED0"/>
    <w:rsid w:val="108B08F2"/>
    <w:rsid w:val="10907D37"/>
    <w:rsid w:val="10A9611E"/>
    <w:rsid w:val="11114205"/>
    <w:rsid w:val="1120496E"/>
    <w:rsid w:val="11693E13"/>
    <w:rsid w:val="119B0672"/>
    <w:rsid w:val="11D9089D"/>
    <w:rsid w:val="11E93B5E"/>
    <w:rsid w:val="12723C85"/>
    <w:rsid w:val="12A003E8"/>
    <w:rsid w:val="12C246A7"/>
    <w:rsid w:val="13063E3E"/>
    <w:rsid w:val="131655CE"/>
    <w:rsid w:val="134C2C02"/>
    <w:rsid w:val="13EA53A0"/>
    <w:rsid w:val="142F202D"/>
    <w:rsid w:val="14710DC1"/>
    <w:rsid w:val="14754F4B"/>
    <w:rsid w:val="147F687F"/>
    <w:rsid w:val="14D868FD"/>
    <w:rsid w:val="153F193C"/>
    <w:rsid w:val="15524BE4"/>
    <w:rsid w:val="15DB6150"/>
    <w:rsid w:val="162D6097"/>
    <w:rsid w:val="165E2C35"/>
    <w:rsid w:val="16866FA7"/>
    <w:rsid w:val="175B1B2C"/>
    <w:rsid w:val="178253FE"/>
    <w:rsid w:val="17A0586A"/>
    <w:rsid w:val="1867248F"/>
    <w:rsid w:val="18725D99"/>
    <w:rsid w:val="189E2620"/>
    <w:rsid w:val="18D46954"/>
    <w:rsid w:val="18F173E8"/>
    <w:rsid w:val="190268FE"/>
    <w:rsid w:val="197163E1"/>
    <w:rsid w:val="19A253D3"/>
    <w:rsid w:val="19D40F30"/>
    <w:rsid w:val="1A415875"/>
    <w:rsid w:val="1AF23E6D"/>
    <w:rsid w:val="1AF37BE5"/>
    <w:rsid w:val="1B2158C7"/>
    <w:rsid w:val="1C006EAF"/>
    <w:rsid w:val="1C190A99"/>
    <w:rsid w:val="1C206580"/>
    <w:rsid w:val="1C3D63ED"/>
    <w:rsid w:val="1C6B037B"/>
    <w:rsid w:val="1C8E5E18"/>
    <w:rsid w:val="1CBB4922"/>
    <w:rsid w:val="1CCB2A5A"/>
    <w:rsid w:val="1CE2284F"/>
    <w:rsid w:val="1CE27665"/>
    <w:rsid w:val="1D1F7314"/>
    <w:rsid w:val="1D985169"/>
    <w:rsid w:val="1DAA1CFA"/>
    <w:rsid w:val="1DF47391"/>
    <w:rsid w:val="1E0B6D0F"/>
    <w:rsid w:val="1E436CBC"/>
    <w:rsid w:val="1E4F29BA"/>
    <w:rsid w:val="1E4F50EF"/>
    <w:rsid w:val="1E9637FD"/>
    <w:rsid w:val="1EBB7EAA"/>
    <w:rsid w:val="1F026509"/>
    <w:rsid w:val="1F771A4D"/>
    <w:rsid w:val="20451F26"/>
    <w:rsid w:val="206705CC"/>
    <w:rsid w:val="207C716F"/>
    <w:rsid w:val="20A6633B"/>
    <w:rsid w:val="20F011EF"/>
    <w:rsid w:val="21310218"/>
    <w:rsid w:val="21A16738"/>
    <w:rsid w:val="21BB1762"/>
    <w:rsid w:val="21DC0A70"/>
    <w:rsid w:val="21E620E9"/>
    <w:rsid w:val="220215B6"/>
    <w:rsid w:val="23915BF2"/>
    <w:rsid w:val="23AE6F3A"/>
    <w:rsid w:val="23F9781D"/>
    <w:rsid w:val="24740FED"/>
    <w:rsid w:val="247B615F"/>
    <w:rsid w:val="248E4857"/>
    <w:rsid w:val="24E53A07"/>
    <w:rsid w:val="24ED1F1B"/>
    <w:rsid w:val="25550F0F"/>
    <w:rsid w:val="2567077F"/>
    <w:rsid w:val="259B4ADE"/>
    <w:rsid w:val="25C46060"/>
    <w:rsid w:val="260E4A99"/>
    <w:rsid w:val="262D4932"/>
    <w:rsid w:val="26360BC2"/>
    <w:rsid w:val="263B7010"/>
    <w:rsid w:val="26527375"/>
    <w:rsid w:val="26705CF5"/>
    <w:rsid w:val="26845B90"/>
    <w:rsid w:val="26955E2C"/>
    <w:rsid w:val="26A15028"/>
    <w:rsid w:val="26F70735"/>
    <w:rsid w:val="27585507"/>
    <w:rsid w:val="275E310C"/>
    <w:rsid w:val="27AB234F"/>
    <w:rsid w:val="27C54C43"/>
    <w:rsid w:val="27CB1478"/>
    <w:rsid w:val="27D677D0"/>
    <w:rsid w:val="27FE496D"/>
    <w:rsid w:val="281015F1"/>
    <w:rsid w:val="28727659"/>
    <w:rsid w:val="28845CC2"/>
    <w:rsid w:val="28A702B9"/>
    <w:rsid w:val="28BE3623"/>
    <w:rsid w:val="28C96735"/>
    <w:rsid w:val="28DB6EAA"/>
    <w:rsid w:val="29223A0C"/>
    <w:rsid w:val="296C4096"/>
    <w:rsid w:val="29B80F87"/>
    <w:rsid w:val="2A3558B4"/>
    <w:rsid w:val="2A613DB9"/>
    <w:rsid w:val="2AA8758A"/>
    <w:rsid w:val="2AAE6BCF"/>
    <w:rsid w:val="2AE06085"/>
    <w:rsid w:val="2B433BE2"/>
    <w:rsid w:val="2C0078D2"/>
    <w:rsid w:val="2C2C721C"/>
    <w:rsid w:val="2CDA0972"/>
    <w:rsid w:val="2D3F156A"/>
    <w:rsid w:val="2D4F7387"/>
    <w:rsid w:val="2D913ECB"/>
    <w:rsid w:val="2DC16D9B"/>
    <w:rsid w:val="2E231423"/>
    <w:rsid w:val="2E4B76EC"/>
    <w:rsid w:val="2EC51780"/>
    <w:rsid w:val="2EF56EA2"/>
    <w:rsid w:val="2F1D1D8E"/>
    <w:rsid w:val="2F2A04CA"/>
    <w:rsid w:val="2F2B74F6"/>
    <w:rsid w:val="2F4C12F7"/>
    <w:rsid w:val="2F52087C"/>
    <w:rsid w:val="2F570AD7"/>
    <w:rsid w:val="2F84708E"/>
    <w:rsid w:val="2F9D1627"/>
    <w:rsid w:val="2FD76221"/>
    <w:rsid w:val="2FEA776D"/>
    <w:rsid w:val="300A4BE4"/>
    <w:rsid w:val="302225B6"/>
    <w:rsid w:val="302945C4"/>
    <w:rsid w:val="30384235"/>
    <w:rsid w:val="30B240A1"/>
    <w:rsid w:val="30BA5D83"/>
    <w:rsid w:val="30F465F9"/>
    <w:rsid w:val="31665252"/>
    <w:rsid w:val="31CB168D"/>
    <w:rsid w:val="31EB38F9"/>
    <w:rsid w:val="31F877A0"/>
    <w:rsid w:val="320B3E33"/>
    <w:rsid w:val="327021AB"/>
    <w:rsid w:val="32731930"/>
    <w:rsid w:val="329218B6"/>
    <w:rsid w:val="32B05762"/>
    <w:rsid w:val="332E6D2C"/>
    <w:rsid w:val="33501C21"/>
    <w:rsid w:val="33650BC1"/>
    <w:rsid w:val="33A9307D"/>
    <w:rsid w:val="33AD37C7"/>
    <w:rsid w:val="33F64849"/>
    <w:rsid w:val="3405793E"/>
    <w:rsid w:val="342601B1"/>
    <w:rsid w:val="347C79C5"/>
    <w:rsid w:val="34966C87"/>
    <w:rsid w:val="34D23D8F"/>
    <w:rsid w:val="34E17CC1"/>
    <w:rsid w:val="351C3972"/>
    <w:rsid w:val="35535DF9"/>
    <w:rsid w:val="357830FD"/>
    <w:rsid w:val="358A639D"/>
    <w:rsid w:val="36101977"/>
    <w:rsid w:val="363A12E4"/>
    <w:rsid w:val="365517B7"/>
    <w:rsid w:val="36722E94"/>
    <w:rsid w:val="3681127D"/>
    <w:rsid w:val="368C74AA"/>
    <w:rsid w:val="369A4AAB"/>
    <w:rsid w:val="36B63A76"/>
    <w:rsid w:val="36D16E9F"/>
    <w:rsid w:val="37180D0B"/>
    <w:rsid w:val="37352257"/>
    <w:rsid w:val="374C7D9F"/>
    <w:rsid w:val="374E0226"/>
    <w:rsid w:val="374F4745"/>
    <w:rsid w:val="375A3AF3"/>
    <w:rsid w:val="37622048"/>
    <w:rsid w:val="38C60AB9"/>
    <w:rsid w:val="38EE5DE8"/>
    <w:rsid w:val="38FA6EBF"/>
    <w:rsid w:val="39083B56"/>
    <w:rsid w:val="39575489"/>
    <w:rsid w:val="395E28CA"/>
    <w:rsid w:val="39DD53FD"/>
    <w:rsid w:val="3A05640B"/>
    <w:rsid w:val="3A34505A"/>
    <w:rsid w:val="3A442FE9"/>
    <w:rsid w:val="3A5969B4"/>
    <w:rsid w:val="3B547DD5"/>
    <w:rsid w:val="3B7F4C3A"/>
    <w:rsid w:val="3B887742"/>
    <w:rsid w:val="3B9628EE"/>
    <w:rsid w:val="3B9B23CA"/>
    <w:rsid w:val="3C3A012D"/>
    <w:rsid w:val="3C457305"/>
    <w:rsid w:val="3C5B7C42"/>
    <w:rsid w:val="3C621722"/>
    <w:rsid w:val="3CB31014"/>
    <w:rsid w:val="3CE17E80"/>
    <w:rsid w:val="3CF83553"/>
    <w:rsid w:val="3D2F72C4"/>
    <w:rsid w:val="3DE758F0"/>
    <w:rsid w:val="3DF46EE2"/>
    <w:rsid w:val="3E012500"/>
    <w:rsid w:val="3E5F0393"/>
    <w:rsid w:val="3E987FAB"/>
    <w:rsid w:val="3EDA5274"/>
    <w:rsid w:val="3F1D60A0"/>
    <w:rsid w:val="3FA13A7E"/>
    <w:rsid w:val="3FB90913"/>
    <w:rsid w:val="3FC94073"/>
    <w:rsid w:val="406946E9"/>
    <w:rsid w:val="41661607"/>
    <w:rsid w:val="41B164B6"/>
    <w:rsid w:val="41CF588A"/>
    <w:rsid w:val="41D628A7"/>
    <w:rsid w:val="41E24788"/>
    <w:rsid w:val="41EE08A5"/>
    <w:rsid w:val="420C2C04"/>
    <w:rsid w:val="427325F4"/>
    <w:rsid w:val="42882165"/>
    <w:rsid w:val="430C2C22"/>
    <w:rsid w:val="4377495C"/>
    <w:rsid w:val="44213529"/>
    <w:rsid w:val="44BD7C24"/>
    <w:rsid w:val="44DD2EE3"/>
    <w:rsid w:val="4504461A"/>
    <w:rsid w:val="450D65D4"/>
    <w:rsid w:val="455E4BA2"/>
    <w:rsid w:val="456071E7"/>
    <w:rsid w:val="45863910"/>
    <w:rsid w:val="45920B15"/>
    <w:rsid w:val="459D123E"/>
    <w:rsid w:val="45EB3DD6"/>
    <w:rsid w:val="4610213A"/>
    <w:rsid w:val="461C6256"/>
    <w:rsid w:val="462D5C7F"/>
    <w:rsid w:val="46325C58"/>
    <w:rsid w:val="46466F77"/>
    <w:rsid w:val="467008B0"/>
    <w:rsid w:val="469519CD"/>
    <w:rsid w:val="46A74B88"/>
    <w:rsid w:val="46BA07E8"/>
    <w:rsid w:val="46E4489A"/>
    <w:rsid w:val="47304E59"/>
    <w:rsid w:val="47B944D6"/>
    <w:rsid w:val="485633DE"/>
    <w:rsid w:val="486D481D"/>
    <w:rsid w:val="48AC1460"/>
    <w:rsid w:val="48BE55D6"/>
    <w:rsid w:val="48C87B66"/>
    <w:rsid w:val="48E716FF"/>
    <w:rsid w:val="49154F13"/>
    <w:rsid w:val="496E2020"/>
    <w:rsid w:val="4971269F"/>
    <w:rsid w:val="498B2FA1"/>
    <w:rsid w:val="49C71CCA"/>
    <w:rsid w:val="49E13B64"/>
    <w:rsid w:val="4A2951D7"/>
    <w:rsid w:val="4A4D0245"/>
    <w:rsid w:val="4A9D7E98"/>
    <w:rsid w:val="4AED40DB"/>
    <w:rsid w:val="4B037A9E"/>
    <w:rsid w:val="4B2E23F0"/>
    <w:rsid w:val="4B9F73FC"/>
    <w:rsid w:val="4BA708E2"/>
    <w:rsid w:val="4C202322"/>
    <w:rsid w:val="4C272F70"/>
    <w:rsid w:val="4C770388"/>
    <w:rsid w:val="4C8046A5"/>
    <w:rsid w:val="4C863258"/>
    <w:rsid w:val="4CA014AC"/>
    <w:rsid w:val="4CD34A28"/>
    <w:rsid w:val="4CD7475C"/>
    <w:rsid w:val="4D3105D5"/>
    <w:rsid w:val="4DF32B56"/>
    <w:rsid w:val="4DF5104E"/>
    <w:rsid w:val="4E37382D"/>
    <w:rsid w:val="4E984E43"/>
    <w:rsid w:val="4EAD1C03"/>
    <w:rsid w:val="4EDE7C89"/>
    <w:rsid w:val="4F59232C"/>
    <w:rsid w:val="4FBF0985"/>
    <w:rsid w:val="4FD25A40"/>
    <w:rsid w:val="4FF2658A"/>
    <w:rsid w:val="506C4329"/>
    <w:rsid w:val="512F2209"/>
    <w:rsid w:val="5144471C"/>
    <w:rsid w:val="51681AE8"/>
    <w:rsid w:val="519F6E1A"/>
    <w:rsid w:val="51A60DC3"/>
    <w:rsid w:val="52103A14"/>
    <w:rsid w:val="521C76E1"/>
    <w:rsid w:val="52BB5599"/>
    <w:rsid w:val="52E2398A"/>
    <w:rsid w:val="530E61AC"/>
    <w:rsid w:val="53151A46"/>
    <w:rsid w:val="53395CCF"/>
    <w:rsid w:val="53AD5812"/>
    <w:rsid w:val="53EC2E48"/>
    <w:rsid w:val="545413CC"/>
    <w:rsid w:val="54B47EFB"/>
    <w:rsid w:val="54DB0F18"/>
    <w:rsid w:val="55011C7A"/>
    <w:rsid w:val="55543AF1"/>
    <w:rsid w:val="55706241"/>
    <w:rsid w:val="559C6CBA"/>
    <w:rsid w:val="55B94875"/>
    <w:rsid w:val="55CC2F32"/>
    <w:rsid w:val="55D51B93"/>
    <w:rsid w:val="56F72230"/>
    <w:rsid w:val="5719502F"/>
    <w:rsid w:val="578339E3"/>
    <w:rsid w:val="57E53B64"/>
    <w:rsid w:val="57FA3D86"/>
    <w:rsid w:val="581E4D42"/>
    <w:rsid w:val="583409BB"/>
    <w:rsid w:val="588F48D4"/>
    <w:rsid w:val="58AB7BD9"/>
    <w:rsid w:val="58AF759C"/>
    <w:rsid w:val="58E66A6D"/>
    <w:rsid w:val="59262959"/>
    <w:rsid w:val="597328A2"/>
    <w:rsid w:val="59DB079F"/>
    <w:rsid w:val="59FA4317"/>
    <w:rsid w:val="5A100581"/>
    <w:rsid w:val="5A3306E9"/>
    <w:rsid w:val="5A6539D1"/>
    <w:rsid w:val="5A6A3F7A"/>
    <w:rsid w:val="5A88315D"/>
    <w:rsid w:val="5AA2162F"/>
    <w:rsid w:val="5ADD5E18"/>
    <w:rsid w:val="5B0B2D3B"/>
    <w:rsid w:val="5B1E4CF9"/>
    <w:rsid w:val="5B212785"/>
    <w:rsid w:val="5B80374A"/>
    <w:rsid w:val="5BB500C9"/>
    <w:rsid w:val="5BD64486"/>
    <w:rsid w:val="5C514CA0"/>
    <w:rsid w:val="5CA57B86"/>
    <w:rsid w:val="5CC77C96"/>
    <w:rsid w:val="5CF557A7"/>
    <w:rsid w:val="5D2327C3"/>
    <w:rsid w:val="5D523508"/>
    <w:rsid w:val="5D546753"/>
    <w:rsid w:val="5D6D7EF5"/>
    <w:rsid w:val="5D9500AD"/>
    <w:rsid w:val="5DA930C5"/>
    <w:rsid w:val="5DF23751"/>
    <w:rsid w:val="5E0A1538"/>
    <w:rsid w:val="5E2A239D"/>
    <w:rsid w:val="5F480A20"/>
    <w:rsid w:val="5F541A66"/>
    <w:rsid w:val="5F6A29B1"/>
    <w:rsid w:val="5FDF599A"/>
    <w:rsid w:val="5FE56811"/>
    <w:rsid w:val="5FF37A81"/>
    <w:rsid w:val="5FF53085"/>
    <w:rsid w:val="602C45FD"/>
    <w:rsid w:val="60795CBD"/>
    <w:rsid w:val="60824919"/>
    <w:rsid w:val="60F47BEC"/>
    <w:rsid w:val="614222FA"/>
    <w:rsid w:val="61816125"/>
    <w:rsid w:val="622D2FAA"/>
    <w:rsid w:val="624806F1"/>
    <w:rsid w:val="629D0895"/>
    <w:rsid w:val="62C0222F"/>
    <w:rsid w:val="62C75F18"/>
    <w:rsid w:val="63443247"/>
    <w:rsid w:val="63EA5A54"/>
    <w:rsid w:val="6415508D"/>
    <w:rsid w:val="64267CB1"/>
    <w:rsid w:val="65EB6652"/>
    <w:rsid w:val="66212F88"/>
    <w:rsid w:val="66574FE9"/>
    <w:rsid w:val="669727FD"/>
    <w:rsid w:val="669F28F3"/>
    <w:rsid w:val="66F629D6"/>
    <w:rsid w:val="6744454D"/>
    <w:rsid w:val="67754838"/>
    <w:rsid w:val="67762C3A"/>
    <w:rsid w:val="677A4210"/>
    <w:rsid w:val="679B13E4"/>
    <w:rsid w:val="67F264CF"/>
    <w:rsid w:val="67FF6CD4"/>
    <w:rsid w:val="68AE4433"/>
    <w:rsid w:val="691E5105"/>
    <w:rsid w:val="694F1A58"/>
    <w:rsid w:val="696B5AAD"/>
    <w:rsid w:val="69803202"/>
    <w:rsid w:val="69F60484"/>
    <w:rsid w:val="6A354541"/>
    <w:rsid w:val="6B453FD7"/>
    <w:rsid w:val="6B707A3D"/>
    <w:rsid w:val="6B7B1A68"/>
    <w:rsid w:val="6BA537D6"/>
    <w:rsid w:val="6BB1273B"/>
    <w:rsid w:val="6BB85D17"/>
    <w:rsid w:val="6BC82C73"/>
    <w:rsid w:val="6C2B781D"/>
    <w:rsid w:val="6C2C7FB1"/>
    <w:rsid w:val="6C474B12"/>
    <w:rsid w:val="6C5B4CE2"/>
    <w:rsid w:val="6D302529"/>
    <w:rsid w:val="6D535911"/>
    <w:rsid w:val="6D7878FB"/>
    <w:rsid w:val="6DC64D96"/>
    <w:rsid w:val="6E7D3EAA"/>
    <w:rsid w:val="6EBB207A"/>
    <w:rsid w:val="6EC47B07"/>
    <w:rsid w:val="6EEE1ED2"/>
    <w:rsid w:val="6EF9070E"/>
    <w:rsid w:val="6EFC7DC4"/>
    <w:rsid w:val="6FBC32DD"/>
    <w:rsid w:val="6FEB70E8"/>
    <w:rsid w:val="70017D21"/>
    <w:rsid w:val="702678A4"/>
    <w:rsid w:val="70957B36"/>
    <w:rsid w:val="709F5ADF"/>
    <w:rsid w:val="70AC03D4"/>
    <w:rsid w:val="70BA2FFA"/>
    <w:rsid w:val="713A744C"/>
    <w:rsid w:val="7141561C"/>
    <w:rsid w:val="71465DA4"/>
    <w:rsid w:val="715A74D5"/>
    <w:rsid w:val="718E0763"/>
    <w:rsid w:val="71D37FA9"/>
    <w:rsid w:val="723E5522"/>
    <w:rsid w:val="72AA61C2"/>
    <w:rsid w:val="72C2773E"/>
    <w:rsid w:val="73050C51"/>
    <w:rsid w:val="7352233B"/>
    <w:rsid w:val="73870838"/>
    <w:rsid w:val="739871D5"/>
    <w:rsid w:val="73F23F7B"/>
    <w:rsid w:val="74067081"/>
    <w:rsid w:val="741C1C19"/>
    <w:rsid w:val="745E05AD"/>
    <w:rsid w:val="74835184"/>
    <w:rsid w:val="74A4132C"/>
    <w:rsid w:val="74D476E4"/>
    <w:rsid w:val="75787206"/>
    <w:rsid w:val="75A512B8"/>
    <w:rsid w:val="75BF77EE"/>
    <w:rsid w:val="75D70FF2"/>
    <w:rsid w:val="75FA1E0C"/>
    <w:rsid w:val="75FB3FF3"/>
    <w:rsid w:val="7610390D"/>
    <w:rsid w:val="76186A30"/>
    <w:rsid w:val="762C31BE"/>
    <w:rsid w:val="7653467E"/>
    <w:rsid w:val="772B4ED2"/>
    <w:rsid w:val="77777E50"/>
    <w:rsid w:val="77E652C6"/>
    <w:rsid w:val="782563F5"/>
    <w:rsid w:val="78880F29"/>
    <w:rsid w:val="794723D1"/>
    <w:rsid w:val="7977267E"/>
    <w:rsid w:val="7A8A1906"/>
    <w:rsid w:val="7AB67AD9"/>
    <w:rsid w:val="7ACA6A91"/>
    <w:rsid w:val="7ACE1913"/>
    <w:rsid w:val="7B0E23F7"/>
    <w:rsid w:val="7B515EAC"/>
    <w:rsid w:val="7B9128FA"/>
    <w:rsid w:val="7BAA251B"/>
    <w:rsid w:val="7C06770E"/>
    <w:rsid w:val="7C8C0805"/>
    <w:rsid w:val="7C90112B"/>
    <w:rsid w:val="7C946125"/>
    <w:rsid w:val="7CAE256B"/>
    <w:rsid w:val="7CC32006"/>
    <w:rsid w:val="7CD35C4B"/>
    <w:rsid w:val="7CD67A48"/>
    <w:rsid w:val="7CE335DB"/>
    <w:rsid w:val="7D0664BA"/>
    <w:rsid w:val="7D2324BD"/>
    <w:rsid w:val="7D376D46"/>
    <w:rsid w:val="7DE61A14"/>
    <w:rsid w:val="7E0D5970"/>
    <w:rsid w:val="7E367B16"/>
    <w:rsid w:val="7E3937A2"/>
    <w:rsid w:val="7E5A6E32"/>
    <w:rsid w:val="7E604E32"/>
    <w:rsid w:val="7E702E8C"/>
    <w:rsid w:val="7EC34539"/>
    <w:rsid w:val="7F2B0A14"/>
    <w:rsid w:val="7F3103EC"/>
    <w:rsid w:val="7F5176FB"/>
    <w:rsid w:val="7FD65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30"/>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5">
    <w:name w:val="heading 3"/>
    <w:basedOn w:val="1"/>
    <w:next w:val="1"/>
    <w:link w:val="143"/>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link w:val="13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13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07"/>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9">
    <w:name w:val="heading 7"/>
    <w:basedOn w:val="1"/>
    <w:next w:val="1"/>
    <w:link w:val="132"/>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0">
    <w:name w:val="heading 8"/>
    <w:basedOn w:val="1"/>
    <w:next w:val="1"/>
    <w:link w:val="112"/>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1">
    <w:name w:val="heading 9"/>
    <w:basedOn w:val="1"/>
    <w:next w:val="1"/>
    <w:link w:val="136"/>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link w:val="44"/>
    <w:qFormat/>
    <w:uiPriority w:val="0"/>
    <w:rPr>
      <w:szCs w:val="21"/>
    </w:rPr>
  </w:style>
  <w:style w:type="table" w:default="1" w:styleId="4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pPr>
    <w:rPr>
      <w:rFonts w:eastAsia="楷体_GB2312"/>
      <w:sz w:val="24"/>
      <w:lang w:val="en-US" w:eastAsia="zh-CN" w:bidi="ar-SA"/>
    </w:rPr>
  </w:style>
  <w:style w:type="paragraph" w:styleId="12">
    <w:name w:val="List 3"/>
    <w:basedOn w:val="1"/>
    <w:qFormat/>
    <w:uiPriority w:val="0"/>
    <w:pPr>
      <w:ind w:left="100" w:leftChars="400" w:hanging="200" w:hangingChars="200"/>
    </w:pPr>
    <w:rPr>
      <w:szCs w:val="24"/>
    </w:rPr>
  </w:style>
  <w:style w:type="paragraph" w:styleId="13">
    <w:name w:val="List Number"/>
    <w:basedOn w:val="1"/>
    <w:qFormat/>
    <w:uiPriority w:val="0"/>
    <w:pPr>
      <w:numPr>
        <w:ilvl w:val="0"/>
        <w:numId w:val="2"/>
      </w:numPr>
    </w:p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link w:val="110"/>
    <w:qFormat/>
    <w:uiPriority w:val="0"/>
    <w:pPr>
      <w:shd w:val="clear" w:color="auto" w:fill="000080"/>
    </w:pPr>
    <w:rPr>
      <w:szCs w:val="24"/>
    </w:rPr>
  </w:style>
  <w:style w:type="paragraph" w:styleId="16">
    <w:name w:val="toa heading"/>
    <w:basedOn w:val="1"/>
    <w:next w:val="1"/>
    <w:qFormat/>
    <w:uiPriority w:val="99"/>
    <w:pPr>
      <w:spacing w:before="120"/>
    </w:pPr>
    <w:rPr>
      <w:rFonts w:ascii="Arial" w:hAnsi="Arial" w:eastAsia="仿宋"/>
      <w:sz w:val="24"/>
      <w:szCs w:val="20"/>
    </w:rPr>
  </w:style>
  <w:style w:type="paragraph" w:styleId="17">
    <w:name w:val="annotation text"/>
    <w:basedOn w:val="1"/>
    <w:link w:val="93"/>
    <w:qFormat/>
    <w:uiPriority w:val="0"/>
    <w:pPr>
      <w:jc w:val="left"/>
    </w:pPr>
  </w:style>
  <w:style w:type="paragraph" w:styleId="18">
    <w:name w:val="Body Text 3"/>
    <w:basedOn w:val="1"/>
    <w:link w:val="133"/>
    <w:qFormat/>
    <w:uiPriority w:val="0"/>
    <w:pPr>
      <w:spacing w:after="120"/>
    </w:pPr>
    <w:rPr>
      <w:sz w:val="16"/>
      <w:szCs w:val="16"/>
    </w:rPr>
  </w:style>
  <w:style w:type="paragraph" w:styleId="19">
    <w:name w:val="Body Text"/>
    <w:basedOn w:val="1"/>
    <w:next w:val="1"/>
    <w:link w:val="124"/>
    <w:qFormat/>
    <w:uiPriority w:val="0"/>
    <w:pPr>
      <w:spacing w:after="120"/>
    </w:pPr>
    <w:rPr>
      <w:szCs w:val="24"/>
    </w:rPr>
  </w:style>
  <w:style w:type="paragraph" w:styleId="20">
    <w:name w:val="Body Text Indent"/>
    <w:basedOn w:val="1"/>
    <w:link w:val="117"/>
    <w:qFormat/>
    <w:uiPriority w:val="0"/>
    <w:pPr>
      <w:spacing w:line="360" w:lineRule="auto"/>
      <w:ind w:firstLine="560" w:firstLineChars="200"/>
    </w:pPr>
    <w:rPr>
      <w:sz w:val="28"/>
    </w:rPr>
  </w:style>
  <w:style w:type="paragraph" w:styleId="21">
    <w:name w:val="List 2"/>
    <w:basedOn w:val="1"/>
    <w:qFormat/>
    <w:uiPriority w:val="0"/>
    <w:pPr>
      <w:ind w:left="100" w:leftChars="200" w:hanging="200" w:hangingChars="200"/>
    </w:pPr>
    <w:rPr>
      <w:szCs w:val="24"/>
    </w:rPr>
  </w:style>
  <w:style w:type="paragraph" w:styleId="22">
    <w:name w:val="toc 3"/>
    <w:basedOn w:val="1"/>
    <w:next w:val="1"/>
    <w:qFormat/>
    <w:uiPriority w:val="39"/>
    <w:pPr>
      <w:ind w:left="840" w:leftChars="400"/>
    </w:pPr>
    <w:rPr>
      <w:szCs w:val="24"/>
    </w:rPr>
  </w:style>
  <w:style w:type="paragraph" w:styleId="23">
    <w:name w:val="Plain Text"/>
    <w:basedOn w:val="1"/>
    <w:next w:val="1"/>
    <w:link w:val="113"/>
    <w:qFormat/>
    <w:uiPriority w:val="0"/>
    <w:rPr>
      <w:rFonts w:ascii="宋体" w:hAnsi="Courier New"/>
    </w:rPr>
  </w:style>
  <w:style w:type="paragraph" w:styleId="24">
    <w:name w:val="Date"/>
    <w:basedOn w:val="1"/>
    <w:next w:val="1"/>
    <w:link w:val="127"/>
    <w:qFormat/>
    <w:uiPriority w:val="0"/>
    <w:pPr>
      <w:ind w:left="100" w:leftChars="2500"/>
    </w:pPr>
    <w:rPr>
      <w:szCs w:val="24"/>
    </w:rPr>
  </w:style>
  <w:style w:type="paragraph" w:styleId="25">
    <w:name w:val="Body Text Indent 2"/>
    <w:basedOn w:val="1"/>
    <w:link w:val="135"/>
    <w:qFormat/>
    <w:uiPriority w:val="0"/>
    <w:pPr>
      <w:spacing w:after="120" w:line="480" w:lineRule="auto"/>
      <w:ind w:left="420" w:leftChars="200"/>
    </w:pPr>
    <w:rPr>
      <w:szCs w:val="24"/>
    </w:rPr>
  </w:style>
  <w:style w:type="paragraph" w:styleId="26">
    <w:name w:val="Balloon Text"/>
    <w:basedOn w:val="1"/>
    <w:link w:val="134"/>
    <w:qFormat/>
    <w:uiPriority w:val="0"/>
    <w:rPr>
      <w:sz w:val="18"/>
      <w:szCs w:val="18"/>
    </w:rPr>
  </w:style>
  <w:style w:type="paragraph" w:styleId="27">
    <w:name w:val="footer"/>
    <w:basedOn w:val="1"/>
    <w:next w:val="1"/>
    <w:link w:val="111"/>
    <w:qFormat/>
    <w:uiPriority w:val="99"/>
    <w:pPr>
      <w:tabs>
        <w:tab w:val="center" w:pos="4153"/>
        <w:tab w:val="right" w:pos="8306"/>
      </w:tabs>
      <w:snapToGrid w:val="0"/>
      <w:jc w:val="left"/>
    </w:pPr>
    <w:rPr>
      <w:sz w:val="18"/>
      <w:szCs w:val="18"/>
    </w:rPr>
  </w:style>
  <w:style w:type="paragraph" w:styleId="28">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rPr>
      <w:szCs w:val="24"/>
    </w:rPr>
  </w:style>
  <w:style w:type="paragraph" w:styleId="30">
    <w:name w:val="Subtitle"/>
    <w:basedOn w:val="1"/>
    <w:next w:val="1"/>
    <w:link w:val="122"/>
    <w:qFormat/>
    <w:uiPriority w:val="0"/>
    <w:pPr>
      <w:spacing w:before="240" w:beforeLines="0" w:after="60" w:afterLines="0" w:line="312" w:lineRule="auto"/>
      <w:jc w:val="center"/>
      <w:outlineLvl w:val="1"/>
    </w:pPr>
    <w:rPr>
      <w:rFonts w:ascii="Cambria" w:hAnsi="Cambria"/>
      <w:b/>
      <w:bCs/>
      <w:kern w:val="28"/>
      <w:sz w:val="32"/>
      <w:szCs w:val="32"/>
    </w:rPr>
  </w:style>
  <w:style w:type="paragraph" w:styleId="31">
    <w:name w:val="List"/>
    <w:basedOn w:val="1"/>
    <w:qFormat/>
    <w:uiPriority w:val="0"/>
    <w:pPr>
      <w:spacing w:before="312" w:beforeLines="100" w:line="360" w:lineRule="auto"/>
      <w:jc w:val="center"/>
    </w:pPr>
    <w:rPr>
      <w:rFonts w:ascii="宋体" w:hAnsi="宋体"/>
      <w:b/>
      <w:sz w:val="28"/>
      <w:szCs w:val="24"/>
    </w:rPr>
  </w:style>
  <w:style w:type="paragraph" w:styleId="32">
    <w:name w:val="footnote text"/>
    <w:basedOn w:val="1"/>
    <w:link w:val="121"/>
    <w:qFormat/>
    <w:uiPriority w:val="0"/>
    <w:pPr>
      <w:adjustRightInd w:val="0"/>
      <w:spacing w:line="312" w:lineRule="atLeast"/>
      <w:textAlignment w:val="baseline"/>
    </w:pPr>
    <w:rPr>
      <w:kern w:val="0"/>
      <w:sz w:val="18"/>
    </w:rPr>
  </w:style>
  <w:style w:type="paragraph" w:styleId="33">
    <w:name w:val="Body Text Indent 3"/>
    <w:basedOn w:val="1"/>
    <w:link w:val="98"/>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4">
    <w:name w:val="toc 2"/>
    <w:basedOn w:val="1"/>
    <w:next w:val="1"/>
    <w:qFormat/>
    <w:uiPriority w:val="39"/>
    <w:pPr>
      <w:ind w:left="420" w:leftChars="200"/>
    </w:pPr>
    <w:rPr>
      <w:szCs w:val="24"/>
    </w:rPr>
  </w:style>
  <w:style w:type="paragraph" w:styleId="35">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6">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37">
    <w:name w:val="Title"/>
    <w:basedOn w:val="1"/>
    <w:next w:val="1"/>
    <w:link w:val="126"/>
    <w:qFormat/>
    <w:uiPriority w:val="0"/>
    <w:pPr>
      <w:spacing w:before="240" w:after="60"/>
      <w:jc w:val="center"/>
      <w:outlineLvl w:val="0"/>
    </w:pPr>
    <w:rPr>
      <w:rFonts w:ascii="Cambria" w:hAnsi="Cambria"/>
      <w:b/>
      <w:bCs/>
      <w:sz w:val="32"/>
      <w:szCs w:val="32"/>
    </w:rPr>
  </w:style>
  <w:style w:type="paragraph" w:styleId="38">
    <w:name w:val="annotation subject"/>
    <w:basedOn w:val="17"/>
    <w:next w:val="17"/>
    <w:link w:val="106"/>
    <w:qFormat/>
    <w:uiPriority w:val="0"/>
    <w:rPr>
      <w:b/>
      <w:bCs/>
      <w:szCs w:val="24"/>
    </w:rPr>
  </w:style>
  <w:style w:type="paragraph" w:styleId="39">
    <w:name w:val="Body Text First Indent"/>
    <w:basedOn w:val="19"/>
    <w:qFormat/>
    <w:uiPriority w:val="0"/>
    <w:pPr>
      <w:tabs>
        <w:tab w:val="left" w:pos="9214"/>
      </w:tabs>
      <w:spacing w:after="0"/>
      <w:ind w:firstLine="200" w:firstLineChars="200"/>
    </w:pPr>
  </w:style>
  <w:style w:type="paragraph" w:styleId="40">
    <w:name w:val="Body Text First Indent 2"/>
    <w:basedOn w:val="20"/>
    <w:link w:val="116"/>
    <w:qFormat/>
    <w:uiPriority w:val="0"/>
    <w:pPr>
      <w:ind w:left="1588" w:leftChars="832" w:firstLine="433"/>
    </w:pPr>
    <w:rPr>
      <w:rFonts w:eastAsia="仿宋_GB2312"/>
      <w:spacing w:val="15"/>
      <w:kern w:val="10"/>
      <w:sz w:val="24"/>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Char Char Char Char"/>
    <w:basedOn w:val="1"/>
    <w:link w:val="43"/>
    <w:qFormat/>
    <w:uiPriority w:val="0"/>
    <w:rPr>
      <w:szCs w:val="21"/>
    </w:rPr>
  </w:style>
  <w:style w:type="character" w:styleId="45">
    <w:name w:val="Strong"/>
    <w:basedOn w:val="43"/>
    <w:qFormat/>
    <w:uiPriority w:val="0"/>
    <w:rPr>
      <w:b/>
      <w:bCs/>
    </w:rPr>
  </w:style>
  <w:style w:type="character" w:styleId="46">
    <w:name w:val="page number"/>
    <w:basedOn w:val="43"/>
    <w:qFormat/>
    <w:uiPriority w:val="0"/>
  </w:style>
  <w:style w:type="character" w:styleId="47">
    <w:name w:val="Emphasis"/>
    <w:basedOn w:val="43"/>
    <w:qFormat/>
    <w:uiPriority w:val="0"/>
    <w:rPr>
      <w:i/>
    </w:rPr>
  </w:style>
  <w:style w:type="character" w:styleId="48">
    <w:name w:val="Hyperlink"/>
    <w:basedOn w:val="43"/>
    <w:qFormat/>
    <w:uiPriority w:val="99"/>
    <w:rPr>
      <w:color w:val="0000FF"/>
      <w:u w:val="single"/>
    </w:rPr>
  </w:style>
  <w:style w:type="character" w:styleId="49">
    <w:name w:val="annotation reference"/>
    <w:qFormat/>
    <w:uiPriority w:val="0"/>
    <w:rPr>
      <w:sz w:val="21"/>
      <w:szCs w:val="21"/>
    </w:rPr>
  </w:style>
  <w:style w:type="paragraph" w:customStyle="1" w:styleId="50">
    <w:name w:val="样式1"/>
    <w:basedOn w:val="1"/>
    <w:next w:val="6"/>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51">
    <w:name w:val="文本正文"/>
    <w:basedOn w:val="1"/>
    <w:qFormat/>
    <w:uiPriority w:val="0"/>
    <w:pPr>
      <w:spacing w:afterLines="50"/>
      <w:ind w:firstLine="200" w:firstLineChars="200"/>
      <w:jc w:val="left"/>
    </w:pPr>
    <w:rPr>
      <w:rFonts w:ascii="Calibri" w:hAnsi="Calibri"/>
      <w:szCs w:val="22"/>
      <w:lang w:bidi="en-US"/>
    </w:rPr>
  </w:style>
  <w:style w:type="character" w:customStyle="1" w:styleId="52">
    <w:name w:val="标题 1 Char"/>
    <w:link w:val="3"/>
    <w:qFormat/>
    <w:uiPriority w:val="0"/>
    <w:rPr>
      <w:b/>
      <w:bCs/>
      <w:kern w:val="44"/>
      <w:sz w:val="44"/>
      <w:szCs w:val="44"/>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_Style 5"/>
    <w:basedOn w:val="1"/>
    <w:qFormat/>
    <w:uiPriority w:val="0"/>
    <w:pPr>
      <w:tabs>
        <w:tab w:val="left" w:pos="360"/>
      </w:tabs>
      <w:ind w:firstLine="420" w:firstLineChars="150"/>
    </w:pPr>
    <w:rPr>
      <w:rFonts w:ascii="Arial" w:hAnsi="Arial" w:cs="Arial"/>
      <w:sz w:val="20"/>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57">
    <w:name w:val="Char Char Char Char Char Char"/>
    <w:basedOn w:val="15"/>
    <w:qFormat/>
    <w:uiPriority w:val="0"/>
    <w:rPr>
      <w:rFonts w:ascii="Tahoma" w:hAnsi="Tahoma"/>
      <w:sz w:val="24"/>
    </w:rPr>
  </w:style>
  <w:style w:type="paragraph" w:customStyle="1" w:styleId="58">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9">
    <w:name w:val="p16"/>
    <w:basedOn w:val="1"/>
    <w:qFormat/>
    <w:uiPriority w:val="0"/>
    <w:pPr>
      <w:widowControl/>
    </w:pPr>
    <w:rPr>
      <w:kern w:val="0"/>
      <w:szCs w:val="21"/>
    </w:rPr>
  </w:style>
  <w:style w:type="paragraph" w:customStyle="1" w:styleId="60">
    <w:name w:val="WPSOffice手动目录 2"/>
    <w:qFormat/>
    <w:uiPriority w:val="0"/>
    <w:pPr>
      <w:ind w:leftChars="200"/>
    </w:pPr>
    <w:rPr>
      <w:rFonts w:ascii="Times New Roman" w:hAnsi="Times New Roman" w:eastAsia="宋体" w:cs="Times New Roman"/>
      <w:sz w:val="20"/>
      <w:szCs w:val="20"/>
    </w:rPr>
  </w:style>
  <w:style w:type="paragraph" w:customStyle="1" w:styleId="61">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2">
    <w:name w:val=" Char Char Char Char"/>
    <w:basedOn w:val="1"/>
    <w:qFormat/>
    <w:uiPriority w:val="0"/>
    <w:pPr>
      <w:tabs>
        <w:tab w:val="left" w:pos="360"/>
      </w:tabs>
      <w:ind w:firstLine="420" w:firstLineChars="150"/>
    </w:pPr>
    <w:rPr>
      <w:rFonts w:ascii="Arial" w:hAnsi="Arial" w:cs="Arial"/>
      <w:sz w:val="20"/>
    </w:rPr>
  </w:style>
  <w:style w:type="paragraph" w:customStyle="1" w:styleId="63">
    <w:name w:val="Plain Text1"/>
    <w:basedOn w:val="1"/>
    <w:qFormat/>
    <w:uiPriority w:val="99"/>
    <w:rPr>
      <w:rFonts w:ascii="宋体" w:hAnsi="Courier New"/>
    </w:rPr>
  </w:style>
  <w:style w:type="paragraph" w:customStyle="1" w:styleId="64">
    <w:name w:val="Char Char Char"/>
    <w:basedOn w:val="1"/>
    <w:qFormat/>
    <w:uiPriority w:val="0"/>
    <w:pPr>
      <w:widowControl/>
      <w:spacing w:after="160" w:line="240" w:lineRule="exact"/>
      <w:jc w:val="left"/>
    </w:pPr>
    <w:rPr>
      <w:szCs w:val="24"/>
    </w:rPr>
  </w:style>
  <w:style w:type="paragraph" w:customStyle="1" w:styleId="65">
    <w:name w:val="正文缩进1"/>
    <w:basedOn w:val="1"/>
    <w:qFormat/>
    <w:uiPriority w:val="0"/>
    <w:pPr>
      <w:autoSpaceDE w:val="0"/>
      <w:autoSpaceDN w:val="0"/>
      <w:adjustRightInd w:val="0"/>
      <w:ind w:firstLine="420"/>
    </w:pPr>
    <w:rPr>
      <w:rFonts w:ascii="宋体" w:hAnsi="Calibri"/>
      <w:szCs w:val="22"/>
    </w:rPr>
  </w:style>
  <w:style w:type="paragraph" w:customStyle="1" w:styleId="66">
    <w:name w:val="Normal"/>
    <w:qFormat/>
    <w:uiPriority w:val="0"/>
    <w:rPr>
      <w:rFonts w:ascii="Times New Roman" w:hAnsi="Times New Roman" w:eastAsia="Times New Roman" w:cs="Times New Roman"/>
      <w:sz w:val="24"/>
      <w:szCs w:val="24"/>
      <w:lang w:val="en-US" w:eastAsia="zh-CN" w:bidi="ar-SA"/>
    </w:rPr>
  </w:style>
  <w:style w:type="paragraph" w:customStyle="1" w:styleId="67">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68">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_Style 7"/>
    <w:basedOn w:val="1"/>
    <w:qFormat/>
    <w:uiPriority w:val="0"/>
    <w:pPr>
      <w:tabs>
        <w:tab w:val="left" w:pos="360"/>
      </w:tabs>
      <w:ind w:firstLine="420" w:firstLineChars="150"/>
    </w:pPr>
    <w:rPr>
      <w:rFonts w:ascii="Arial" w:hAnsi="Arial" w:cs="Arial"/>
      <w:sz w:val="20"/>
    </w:rPr>
  </w:style>
  <w:style w:type="paragraph" w:customStyle="1" w:styleId="70">
    <w:name w:val="_Style 11"/>
    <w:basedOn w:val="1"/>
    <w:qFormat/>
    <w:uiPriority w:val="0"/>
    <w:pPr>
      <w:tabs>
        <w:tab w:val="left" w:pos="360"/>
      </w:tabs>
      <w:ind w:firstLine="420" w:firstLineChars="150"/>
    </w:pPr>
    <w:rPr>
      <w:rFonts w:ascii="Arial" w:hAnsi="Arial" w:cs="Arial"/>
      <w:sz w:val="20"/>
    </w:rPr>
  </w:style>
  <w:style w:type="paragraph" w:customStyle="1" w:styleId="71">
    <w:name w:val="p15"/>
    <w:basedOn w:val="1"/>
    <w:qFormat/>
    <w:uiPriority w:val="0"/>
    <w:pPr>
      <w:widowControl/>
    </w:pPr>
    <w:rPr>
      <w:rFonts w:ascii="宋体" w:hAnsi="宋体" w:cs="宋体"/>
      <w:kern w:val="0"/>
      <w:szCs w:val="21"/>
    </w:rPr>
  </w:style>
  <w:style w:type="paragraph" w:customStyle="1" w:styleId="72">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3">
    <w:name w:val="正文1"/>
    <w:basedOn w:val="1"/>
    <w:qFormat/>
    <w:uiPriority w:val="0"/>
    <w:pPr>
      <w:spacing w:before="156" w:beforeLines="50" w:line="360" w:lineRule="auto"/>
      <w:ind w:firstLine="420" w:firstLineChars="200"/>
    </w:pPr>
    <w:rPr>
      <w:rFonts w:ascii="宋体" w:hAnsi="宋体"/>
      <w:iCs/>
      <w:szCs w:val="21"/>
    </w:rPr>
  </w:style>
  <w:style w:type="paragraph" w:customStyle="1" w:styleId="74">
    <w:name w:val="样式 标题 2 + 宋体 五号 非加粗 黑色"/>
    <w:basedOn w:val="4"/>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5">
    <w:name w:val="正文序号 1"/>
    <w:basedOn w:val="1"/>
    <w:qFormat/>
    <w:uiPriority w:val="0"/>
    <w:pPr>
      <w:numPr>
        <w:ilvl w:val="0"/>
        <w:numId w:val="3"/>
      </w:numPr>
      <w:tabs>
        <w:tab w:val="left" w:pos="502"/>
        <w:tab w:val="left" w:pos="839"/>
      </w:tabs>
      <w:spacing w:before="60"/>
    </w:pPr>
    <w:rPr>
      <w:szCs w:val="24"/>
    </w:rPr>
  </w:style>
  <w:style w:type="paragraph" w:customStyle="1" w:styleId="76">
    <w:name w:val="p0"/>
    <w:basedOn w:val="1"/>
    <w:qFormat/>
    <w:uiPriority w:val="0"/>
    <w:pPr>
      <w:widowControl/>
      <w:jc w:val="left"/>
    </w:pPr>
    <w:rPr>
      <w:kern w:val="0"/>
      <w:szCs w:val="21"/>
    </w:rPr>
  </w:style>
  <w:style w:type="paragraph" w:customStyle="1" w:styleId="77">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8">
    <w:name w:val="样式 标题 4 + 段前: 5 磅 段后: 5 磅 行距: 单倍行距"/>
    <w:basedOn w:val="6"/>
    <w:qFormat/>
    <w:uiPriority w:val="0"/>
    <w:pPr>
      <w:spacing w:before="100" w:after="100" w:line="240" w:lineRule="auto"/>
    </w:pPr>
    <w:rPr>
      <w:rFonts w:cs="宋体"/>
      <w:szCs w:val="20"/>
    </w:rPr>
  </w:style>
  <w:style w:type="paragraph" w:customStyle="1" w:styleId="79">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80">
    <w:name w:val="列出段落1"/>
    <w:basedOn w:val="1"/>
    <w:qFormat/>
    <w:uiPriority w:val="34"/>
    <w:pPr>
      <w:ind w:firstLine="420" w:firstLineChars="200"/>
    </w:p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3">
    <w:name w:val="表头文本"/>
    <w:basedOn w:val="1"/>
    <w:qFormat/>
    <w:uiPriority w:val="0"/>
    <w:pPr>
      <w:autoSpaceDE w:val="0"/>
      <w:autoSpaceDN w:val="0"/>
      <w:adjustRightInd w:val="0"/>
      <w:jc w:val="center"/>
    </w:pPr>
    <w:rPr>
      <w:b/>
      <w:kern w:val="0"/>
      <w:sz w:val="24"/>
    </w:rPr>
  </w:style>
  <w:style w:type="paragraph" w:customStyle="1" w:styleId="84">
    <w:name w:val="默认段落字体 Para Char Char Char Char Char Char Char Char Char Char Char Char Char Char Char Char"/>
    <w:basedOn w:val="1"/>
    <w:qFormat/>
    <w:uiPriority w:val="0"/>
    <w:rPr>
      <w:rFonts w:ascii="Tahoma" w:hAnsi="Tahoma"/>
      <w:sz w:val="24"/>
    </w:rPr>
  </w:style>
  <w:style w:type="paragraph" w:customStyle="1" w:styleId="8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样式2"/>
    <w:basedOn w:val="1"/>
    <w:qFormat/>
    <w:uiPriority w:val="0"/>
    <w:pPr>
      <w:spacing w:line="560" w:lineRule="exact"/>
      <w:ind w:firstLine="601"/>
    </w:pPr>
    <w:rPr>
      <w:rFonts w:eastAsia="宋体"/>
      <w:kern w:val="2"/>
      <w:sz w:val="28"/>
      <w:lang w:val="en-US" w:eastAsia="zh-CN" w:bidi="ar-SA"/>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标题 3_0"/>
    <w:basedOn w:val="72"/>
    <w:next w:val="72"/>
    <w:link w:val="119"/>
    <w:qFormat/>
    <w:uiPriority w:val="0"/>
    <w:pPr>
      <w:autoSpaceDE w:val="0"/>
      <w:autoSpaceDN w:val="0"/>
      <w:adjustRightInd w:val="0"/>
      <w:spacing w:line="500" w:lineRule="exact"/>
      <w:jc w:val="center"/>
      <w:outlineLvl w:val="2"/>
    </w:pPr>
    <w:rPr>
      <w:rFonts w:ascii="宋体" w:hAnsi="宋体"/>
      <w:b/>
      <w:szCs w:val="28"/>
    </w:rPr>
  </w:style>
  <w:style w:type="paragraph" w:customStyle="1" w:styleId="89">
    <w:name w:val="附件正文"/>
    <w:basedOn w:val="1"/>
    <w:qFormat/>
    <w:uiPriority w:val="0"/>
    <w:pPr>
      <w:snapToGrid w:val="0"/>
      <w:spacing w:line="500" w:lineRule="exact"/>
      <w:ind w:firstLine="540" w:firstLineChars="225"/>
    </w:pPr>
    <w:rPr>
      <w:kern w:val="0"/>
      <w:sz w:val="24"/>
      <w:szCs w:val="24"/>
    </w:rPr>
  </w:style>
  <w:style w:type="paragraph" w:styleId="90">
    <w:name w:val="List Paragraph"/>
    <w:basedOn w:val="1"/>
    <w:qFormat/>
    <w:uiPriority w:val="0"/>
    <w:pPr>
      <w:ind w:firstLine="420" w:firstLineChars="200"/>
    </w:pPr>
    <w:rPr>
      <w:rFonts w:ascii="Calibri" w:hAnsi="Calibri"/>
      <w:szCs w:val="22"/>
    </w:rPr>
  </w:style>
  <w:style w:type="paragraph" w:customStyle="1" w:styleId="91">
    <w:name w:val="正文文字"/>
    <w:basedOn w:val="1"/>
    <w:link w:val="118"/>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2">
    <w:name w:val="WPSOffice手动目录 3"/>
    <w:qFormat/>
    <w:uiPriority w:val="0"/>
    <w:pPr>
      <w:ind w:leftChars="400"/>
    </w:pPr>
    <w:rPr>
      <w:rFonts w:ascii="Times New Roman" w:hAnsi="Times New Roman" w:eastAsia="宋体" w:cs="Times New Roman"/>
      <w:sz w:val="20"/>
      <w:szCs w:val="20"/>
    </w:rPr>
  </w:style>
  <w:style w:type="character" w:customStyle="1" w:styleId="93">
    <w:name w:val="批注文字 Char1"/>
    <w:basedOn w:val="43"/>
    <w:link w:val="17"/>
    <w:qFormat/>
    <w:uiPriority w:val="0"/>
    <w:rPr>
      <w:kern w:val="2"/>
      <w:sz w:val="21"/>
    </w:rPr>
  </w:style>
  <w:style w:type="character" w:customStyle="1" w:styleId="94">
    <w:name w:val="批注文字 Char"/>
    <w:qFormat/>
    <w:uiPriority w:val="0"/>
    <w:rPr>
      <w:rFonts w:eastAsia="宋体"/>
      <w:kern w:val="2"/>
      <w:sz w:val="21"/>
      <w:szCs w:val="24"/>
      <w:lang w:val="en-US" w:eastAsia="zh-CN" w:bidi="ar-SA"/>
    </w:rPr>
  </w:style>
  <w:style w:type="character" w:customStyle="1" w:styleId="95">
    <w:name w:val="font41"/>
    <w:basedOn w:val="43"/>
    <w:qFormat/>
    <w:uiPriority w:val="0"/>
    <w:rPr>
      <w:rFonts w:hint="eastAsia" w:ascii="宋体" w:hAnsi="宋体" w:eastAsia="宋体" w:cs="宋体"/>
      <w:color w:val="000000"/>
      <w:sz w:val="20"/>
      <w:szCs w:val="20"/>
      <w:u w:val="none"/>
    </w:rPr>
  </w:style>
  <w:style w:type="character" w:customStyle="1" w:styleId="96">
    <w:name w:val="font141"/>
    <w:basedOn w:val="43"/>
    <w:qFormat/>
    <w:uiPriority w:val="0"/>
    <w:rPr>
      <w:rFonts w:hint="eastAsia" w:ascii="宋体" w:hAnsi="宋体" w:eastAsia="宋体" w:cs="宋体"/>
      <w:color w:val="000000"/>
      <w:sz w:val="24"/>
      <w:szCs w:val="24"/>
      <w:u w:val="none"/>
    </w:rPr>
  </w:style>
  <w:style w:type="character" w:customStyle="1" w:styleId="97">
    <w:name w:val="font51"/>
    <w:basedOn w:val="43"/>
    <w:qFormat/>
    <w:uiPriority w:val="0"/>
    <w:rPr>
      <w:rFonts w:hint="eastAsia" w:ascii="宋体" w:hAnsi="宋体" w:eastAsia="宋体" w:cs="宋体"/>
      <w:color w:val="FF0000"/>
      <w:sz w:val="20"/>
      <w:szCs w:val="20"/>
      <w:u w:val="none"/>
    </w:rPr>
  </w:style>
  <w:style w:type="character" w:customStyle="1" w:styleId="98">
    <w:name w:val="正文文本缩进 3 Char"/>
    <w:basedOn w:val="43"/>
    <w:link w:val="33"/>
    <w:qFormat/>
    <w:uiPriority w:val="0"/>
    <w:rPr>
      <w:rFonts w:eastAsia="黑体"/>
      <w:b/>
      <w:bCs/>
      <w:kern w:val="2"/>
      <w:sz w:val="72"/>
      <w:szCs w:val="24"/>
    </w:rPr>
  </w:style>
  <w:style w:type="character" w:customStyle="1" w:styleId="99">
    <w:name w:val="HTML 预设格式 Char"/>
    <w:basedOn w:val="43"/>
    <w:link w:val="35"/>
    <w:qFormat/>
    <w:uiPriority w:val="0"/>
    <w:rPr>
      <w:rFonts w:ascii="宋体" w:hAnsi="宋体"/>
      <w:sz w:val="24"/>
      <w:szCs w:val="24"/>
    </w:rPr>
  </w:style>
  <w:style w:type="character" w:customStyle="1" w:styleId="100">
    <w:name w:val="font31"/>
    <w:basedOn w:val="43"/>
    <w:qFormat/>
    <w:uiPriority w:val="0"/>
    <w:rPr>
      <w:rFonts w:hint="eastAsia" w:ascii="宋体" w:hAnsi="宋体" w:eastAsia="宋体" w:cs="宋体"/>
      <w:color w:val="000000"/>
      <w:sz w:val="16"/>
      <w:szCs w:val="16"/>
      <w:u w:val="none"/>
    </w:rPr>
  </w:style>
  <w:style w:type="character" w:customStyle="1" w:styleId="101">
    <w:name w:val="标题 3 Char"/>
    <w:basedOn w:val="43"/>
    <w:link w:val="5"/>
    <w:qFormat/>
    <w:uiPriority w:val="0"/>
    <w:rPr>
      <w:b/>
      <w:bCs/>
      <w:kern w:val="2"/>
      <w:sz w:val="32"/>
      <w:szCs w:val="32"/>
    </w:rPr>
  </w:style>
  <w:style w:type="character" w:customStyle="1" w:styleId="102">
    <w:name w:val="正文文本缩进 Char"/>
    <w:qFormat/>
    <w:uiPriority w:val="0"/>
    <w:rPr>
      <w:rFonts w:eastAsia="宋体"/>
      <w:kern w:val="2"/>
      <w:sz w:val="24"/>
      <w:szCs w:val="24"/>
      <w:lang w:val="en-US" w:eastAsia="zh-CN" w:bidi="ar-SA"/>
    </w:rPr>
  </w:style>
  <w:style w:type="character" w:customStyle="1" w:styleId="103">
    <w:name w:val="font11"/>
    <w:basedOn w:val="43"/>
    <w:qFormat/>
    <w:uiPriority w:val="0"/>
    <w:rPr>
      <w:rFonts w:hint="eastAsia" w:ascii="宋体" w:hAnsi="宋体" w:eastAsia="宋体" w:cs="宋体"/>
      <w:color w:val="000000"/>
      <w:sz w:val="16"/>
      <w:szCs w:val="16"/>
      <w:u w:val="none"/>
    </w:rPr>
  </w:style>
  <w:style w:type="character" w:customStyle="1" w:styleId="104">
    <w:name w:val="font01"/>
    <w:basedOn w:val="43"/>
    <w:qFormat/>
    <w:uiPriority w:val="0"/>
    <w:rPr>
      <w:rFonts w:hint="eastAsia" w:ascii="宋体" w:hAnsi="宋体" w:eastAsia="宋体" w:cs="宋体"/>
      <w:color w:val="000000"/>
      <w:sz w:val="24"/>
      <w:szCs w:val="24"/>
      <w:u w:val="none"/>
    </w:rPr>
  </w:style>
  <w:style w:type="character" w:customStyle="1" w:styleId="105">
    <w:name w:val="正文文本 Char1"/>
    <w:basedOn w:val="43"/>
    <w:link w:val="19"/>
    <w:qFormat/>
    <w:uiPriority w:val="0"/>
    <w:rPr>
      <w:kern w:val="2"/>
      <w:sz w:val="21"/>
    </w:rPr>
  </w:style>
  <w:style w:type="character" w:customStyle="1" w:styleId="106">
    <w:name w:val="批注主题 Char"/>
    <w:basedOn w:val="93"/>
    <w:link w:val="38"/>
    <w:qFormat/>
    <w:uiPriority w:val="0"/>
  </w:style>
  <w:style w:type="character" w:customStyle="1" w:styleId="107">
    <w:name w:val="标题 6 Char"/>
    <w:basedOn w:val="43"/>
    <w:link w:val="8"/>
    <w:qFormat/>
    <w:uiPriority w:val="0"/>
    <w:rPr>
      <w:rFonts w:eastAsia="黑体"/>
      <w:b/>
      <w:bCs/>
      <w:sz w:val="24"/>
      <w:szCs w:val="24"/>
    </w:rPr>
  </w:style>
  <w:style w:type="character" w:customStyle="1" w:styleId="108">
    <w:name w:val="font151"/>
    <w:basedOn w:val="43"/>
    <w:qFormat/>
    <w:uiPriority w:val="0"/>
    <w:rPr>
      <w:rFonts w:hint="default" w:ascii="Times New Roman" w:hAnsi="Times New Roman" w:cs="Times New Roman"/>
      <w:color w:val="000000"/>
      <w:sz w:val="20"/>
      <w:szCs w:val="20"/>
      <w:u w:val="none"/>
    </w:rPr>
  </w:style>
  <w:style w:type="character" w:customStyle="1" w:styleId="109">
    <w:name w:val="font61"/>
    <w:basedOn w:val="43"/>
    <w:qFormat/>
    <w:uiPriority w:val="0"/>
    <w:rPr>
      <w:rFonts w:hint="eastAsia" w:ascii="微软雅黑" w:hAnsi="微软雅黑" w:eastAsia="微软雅黑" w:cs="微软雅黑"/>
      <w:color w:val="000000"/>
      <w:sz w:val="16"/>
      <w:szCs w:val="16"/>
      <w:u w:val="none"/>
    </w:rPr>
  </w:style>
  <w:style w:type="character" w:customStyle="1" w:styleId="110">
    <w:name w:val="文档结构图 Char"/>
    <w:basedOn w:val="43"/>
    <w:link w:val="15"/>
    <w:qFormat/>
    <w:uiPriority w:val="0"/>
    <w:rPr>
      <w:kern w:val="2"/>
      <w:sz w:val="21"/>
      <w:szCs w:val="24"/>
      <w:shd w:val="clear" w:color="auto" w:fill="000080"/>
    </w:rPr>
  </w:style>
  <w:style w:type="character" w:customStyle="1" w:styleId="111">
    <w:name w:val="页脚 Char"/>
    <w:link w:val="27"/>
    <w:qFormat/>
    <w:uiPriority w:val="99"/>
    <w:rPr>
      <w:kern w:val="2"/>
      <w:sz w:val="18"/>
      <w:szCs w:val="18"/>
    </w:rPr>
  </w:style>
  <w:style w:type="character" w:customStyle="1" w:styleId="112">
    <w:name w:val="标题 8 Char"/>
    <w:basedOn w:val="43"/>
    <w:link w:val="10"/>
    <w:qFormat/>
    <w:uiPriority w:val="0"/>
    <w:rPr>
      <w:rFonts w:eastAsia="黑体"/>
      <w:sz w:val="24"/>
      <w:szCs w:val="24"/>
    </w:rPr>
  </w:style>
  <w:style w:type="character" w:customStyle="1" w:styleId="113">
    <w:name w:val="纯文本 Char"/>
    <w:link w:val="23"/>
    <w:qFormat/>
    <w:uiPriority w:val="0"/>
    <w:rPr>
      <w:rFonts w:ascii="宋体" w:hAnsi="Courier New"/>
      <w:kern w:val="2"/>
      <w:sz w:val="21"/>
    </w:rPr>
  </w:style>
  <w:style w:type="character" w:customStyle="1" w:styleId="114">
    <w:name w:val="font112"/>
    <w:basedOn w:val="43"/>
    <w:qFormat/>
    <w:uiPriority w:val="0"/>
    <w:rPr>
      <w:rFonts w:hint="eastAsia" w:ascii="宋体" w:hAnsi="宋体" w:eastAsia="宋体" w:cs="宋体"/>
      <w:color w:val="000000"/>
      <w:sz w:val="16"/>
      <w:szCs w:val="16"/>
      <w:u w:val="none"/>
    </w:rPr>
  </w:style>
  <w:style w:type="character" w:customStyle="1" w:styleId="115">
    <w:name w:val="纯文本 Char1"/>
    <w:basedOn w:val="43"/>
    <w:qFormat/>
    <w:uiPriority w:val="0"/>
    <w:rPr>
      <w:rFonts w:eastAsia="宋体"/>
      <w:kern w:val="2"/>
      <w:sz w:val="24"/>
      <w:lang w:val="en-US" w:eastAsia="zh-CN" w:bidi="ar-SA"/>
    </w:rPr>
  </w:style>
  <w:style w:type="character" w:customStyle="1" w:styleId="116">
    <w:name w:val="正文首行缩进 2 Char"/>
    <w:basedOn w:val="117"/>
    <w:link w:val="40"/>
    <w:qFormat/>
    <w:uiPriority w:val="0"/>
  </w:style>
  <w:style w:type="character" w:customStyle="1" w:styleId="117">
    <w:name w:val="正文文本缩进 Char1"/>
    <w:basedOn w:val="43"/>
    <w:link w:val="20"/>
    <w:qFormat/>
    <w:uiPriority w:val="0"/>
    <w:rPr>
      <w:kern w:val="2"/>
      <w:sz w:val="28"/>
    </w:rPr>
  </w:style>
  <w:style w:type="character" w:customStyle="1" w:styleId="118">
    <w:name w:val="正文文字 Char1"/>
    <w:basedOn w:val="43"/>
    <w:link w:val="91"/>
    <w:qFormat/>
    <w:uiPriority w:val="0"/>
    <w:rPr>
      <w:rFonts w:ascii="宋体"/>
      <w:color w:val="000000"/>
      <w:kern w:val="0"/>
      <w:sz w:val="28"/>
      <w:u w:val="none" w:color="000000"/>
    </w:rPr>
  </w:style>
  <w:style w:type="character" w:customStyle="1" w:styleId="119">
    <w:name w:val="标题 3 Char_0"/>
    <w:link w:val="88"/>
    <w:qFormat/>
    <w:uiPriority w:val="0"/>
    <w:rPr>
      <w:rFonts w:ascii="宋体" w:hAnsi="宋体"/>
      <w:b/>
      <w:kern w:val="2"/>
      <w:sz w:val="28"/>
      <w:szCs w:val="28"/>
    </w:rPr>
  </w:style>
  <w:style w:type="character" w:customStyle="1" w:styleId="120">
    <w:name w:val="font21"/>
    <w:basedOn w:val="43"/>
    <w:qFormat/>
    <w:uiPriority w:val="0"/>
    <w:rPr>
      <w:rFonts w:hint="eastAsia" w:ascii="宋体" w:hAnsi="宋体" w:eastAsia="宋体" w:cs="宋体"/>
      <w:color w:val="000000"/>
      <w:sz w:val="22"/>
      <w:szCs w:val="22"/>
      <w:u w:val="none"/>
    </w:rPr>
  </w:style>
  <w:style w:type="character" w:customStyle="1" w:styleId="121">
    <w:name w:val="脚注文本 Char"/>
    <w:basedOn w:val="43"/>
    <w:link w:val="32"/>
    <w:qFormat/>
    <w:uiPriority w:val="0"/>
    <w:rPr>
      <w:sz w:val="18"/>
    </w:rPr>
  </w:style>
  <w:style w:type="character" w:customStyle="1" w:styleId="122">
    <w:name w:val="副标题 Char"/>
    <w:link w:val="30"/>
    <w:qFormat/>
    <w:uiPriority w:val="0"/>
    <w:rPr>
      <w:rFonts w:ascii="Cambria" w:hAnsi="Cambria" w:eastAsia="宋体"/>
      <w:b/>
      <w:bCs/>
      <w:kern w:val="28"/>
      <w:sz w:val="32"/>
      <w:szCs w:val="32"/>
      <w:lang w:val="en-US" w:eastAsia="zh-CN" w:bidi="ar-SA"/>
    </w:rPr>
  </w:style>
  <w:style w:type="character" w:customStyle="1" w:styleId="123">
    <w:name w:val=" Char Char3"/>
    <w:qFormat/>
    <w:uiPriority w:val="0"/>
    <w:rPr>
      <w:rFonts w:eastAsia="宋体"/>
      <w:kern w:val="2"/>
      <w:sz w:val="21"/>
      <w:szCs w:val="24"/>
      <w:lang w:val="en-US" w:eastAsia="zh-CN" w:bidi="ar-SA"/>
    </w:rPr>
  </w:style>
  <w:style w:type="character" w:customStyle="1" w:styleId="124">
    <w:name w:val="正文文本 Char"/>
    <w:link w:val="19"/>
    <w:qFormat/>
    <w:uiPriority w:val="0"/>
    <w:rPr>
      <w:kern w:val="2"/>
      <w:sz w:val="21"/>
      <w:szCs w:val="24"/>
    </w:rPr>
  </w:style>
  <w:style w:type="character" w:customStyle="1" w:styleId="125">
    <w:name w:val=" Char Char6"/>
    <w:qFormat/>
    <w:uiPriority w:val="0"/>
    <w:rPr>
      <w:rFonts w:eastAsia="宋体"/>
      <w:kern w:val="2"/>
      <w:sz w:val="21"/>
      <w:szCs w:val="24"/>
      <w:lang w:val="en-US" w:eastAsia="zh-CN" w:bidi="ar-SA"/>
    </w:rPr>
  </w:style>
  <w:style w:type="character" w:customStyle="1" w:styleId="126">
    <w:name w:val="标题 Char"/>
    <w:basedOn w:val="43"/>
    <w:link w:val="37"/>
    <w:qFormat/>
    <w:uiPriority w:val="0"/>
    <w:rPr>
      <w:rFonts w:ascii="Cambria" w:hAnsi="Cambria"/>
      <w:b/>
      <w:bCs/>
      <w:kern w:val="2"/>
      <w:sz w:val="32"/>
      <w:szCs w:val="32"/>
    </w:rPr>
  </w:style>
  <w:style w:type="character" w:customStyle="1" w:styleId="127">
    <w:name w:val="日期 Char"/>
    <w:basedOn w:val="43"/>
    <w:link w:val="24"/>
    <w:qFormat/>
    <w:uiPriority w:val="0"/>
    <w:rPr>
      <w:kern w:val="2"/>
      <w:sz w:val="21"/>
      <w:szCs w:val="24"/>
    </w:rPr>
  </w:style>
  <w:style w:type="character" w:customStyle="1" w:styleId="128">
    <w:name w:val="ca-1"/>
    <w:basedOn w:val="43"/>
    <w:qFormat/>
    <w:uiPriority w:val="0"/>
  </w:style>
  <w:style w:type="character" w:customStyle="1" w:styleId="129">
    <w:name w:val="font101"/>
    <w:basedOn w:val="43"/>
    <w:qFormat/>
    <w:uiPriority w:val="0"/>
    <w:rPr>
      <w:rFonts w:ascii="Arial Unicode MS" w:hAnsi="Arial Unicode MS" w:eastAsia="Arial Unicode MS" w:cs="Arial Unicode MS"/>
      <w:color w:val="000000"/>
      <w:sz w:val="16"/>
      <w:szCs w:val="16"/>
      <w:u w:val="none"/>
    </w:rPr>
  </w:style>
  <w:style w:type="character" w:customStyle="1" w:styleId="130">
    <w:name w:val="标题 2 Char"/>
    <w:link w:val="4"/>
    <w:qFormat/>
    <w:uiPriority w:val="0"/>
    <w:rPr>
      <w:rFonts w:ascii="Arial Black" w:hAnsi="Arial Black" w:eastAsia="黑体"/>
      <w:b/>
      <w:bCs/>
      <w:kern w:val="2"/>
      <w:sz w:val="32"/>
      <w:szCs w:val="32"/>
      <w:lang w:val="en-US" w:eastAsia="zh-CN" w:bidi="ar-SA"/>
    </w:rPr>
  </w:style>
  <w:style w:type="character" w:customStyle="1" w:styleId="131">
    <w:name w:val="标题 5 Char"/>
    <w:basedOn w:val="43"/>
    <w:link w:val="7"/>
    <w:qFormat/>
    <w:uiPriority w:val="0"/>
    <w:rPr>
      <w:b/>
      <w:bCs/>
      <w:sz w:val="28"/>
      <w:szCs w:val="28"/>
    </w:rPr>
  </w:style>
  <w:style w:type="character" w:customStyle="1" w:styleId="132">
    <w:name w:val="标题 7 Char"/>
    <w:basedOn w:val="43"/>
    <w:link w:val="9"/>
    <w:qFormat/>
    <w:uiPriority w:val="0"/>
    <w:rPr>
      <w:b/>
      <w:bCs/>
      <w:sz w:val="24"/>
      <w:szCs w:val="24"/>
    </w:rPr>
  </w:style>
  <w:style w:type="character" w:customStyle="1" w:styleId="133">
    <w:name w:val="正文文本 3 Char"/>
    <w:basedOn w:val="43"/>
    <w:link w:val="18"/>
    <w:qFormat/>
    <w:uiPriority w:val="0"/>
    <w:rPr>
      <w:kern w:val="2"/>
      <w:sz w:val="16"/>
      <w:szCs w:val="16"/>
    </w:rPr>
  </w:style>
  <w:style w:type="character" w:customStyle="1" w:styleId="134">
    <w:name w:val="批注框文本 Char"/>
    <w:basedOn w:val="43"/>
    <w:link w:val="26"/>
    <w:qFormat/>
    <w:uiPriority w:val="0"/>
    <w:rPr>
      <w:kern w:val="2"/>
      <w:sz w:val="18"/>
      <w:szCs w:val="18"/>
    </w:rPr>
  </w:style>
  <w:style w:type="character" w:customStyle="1" w:styleId="135">
    <w:name w:val="正文文本缩进 2 Char"/>
    <w:basedOn w:val="43"/>
    <w:link w:val="25"/>
    <w:qFormat/>
    <w:uiPriority w:val="0"/>
    <w:rPr>
      <w:kern w:val="2"/>
      <w:sz w:val="21"/>
      <w:szCs w:val="24"/>
    </w:rPr>
  </w:style>
  <w:style w:type="character" w:customStyle="1" w:styleId="136">
    <w:name w:val="标题 9 Char"/>
    <w:basedOn w:val="43"/>
    <w:link w:val="11"/>
    <w:qFormat/>
    <w:uiPriority w:val="0"/>
    <w:rPr>
      <w:rFonts w:eastAsia="黑体"/>
      <w:sz w:val="21"/>
      <w:szCs w:val="21"/>
    </w:rPr>
  </w:style>
  <w:style w:type="character" w:customStyle="1" w:styleId="137">
    <w:name w:val="标题 4 Char"/>
    <w:basedOn w:val="43"/>
    <w:link w:val="6"/>
    <w:qFormat/>
    <w:uiPriority w:val="0"/>
    <w:rPr>
      <w:rFonts w:eastAsia="黑体"/>
      <w:b/>
      <w:bCs/>
      <w:sz w:val="28"/>
      <w:szCs w:val="28"/>
    </w:rPr>
  </w:style>
  <w:style w:type="character" w:customStyle="1" w:styleId="138">
    <w:name w:val="font91"/>
    <w:basedOn w:val="43"/>
    <w:qFormat/>
    <w:uiPriority w:val="0"/>
    <w:rPr>
      <w:rFonts w:hint="eastAsia" w:ascii="宋体" w:hAnsi="宋体" w:eastAsia="宋体" w:cs="宋体"/>
      <w:b/>
      <w:color w:val="FF0000"/>
      <w:sz w:val="20"/>
      <w:szCs w:val="20"/>
      <w:u w:val="none"/>
    </w:rPr>
  </w:style>
  <w:style w:type="paragraph" w:customStyle="1" w:styleId="139">
    <w:name w:val="Table Paragraph"/>
    <w:basedOn w:val="1"/>
    <w:qFormat/>
    <w:uiPriority w:val="1"/>
    <w:rPr>
      <w:rFonts w:ascii="宋体" w:hAnsi="宋体" w:eastAsia="宋体" w:cs="宋体"/>
      <w:lang w:val="zh-CN" w:eastAsia="zh-CN" w:bidi="zh-CN"/>
    </w:rPr>
  </w:style>
  <w:style w:type="paragraph" w:customStyle="1" w:styleId="140">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41">
    <w:name w:val="样式3"/>
    <w:basedOn w:val="23"/>
    <w:qFormat/>
    <w:uiPriority w:val="0"/>
    <w:pPr>
      <w:spacing w:line="0" w:lineRule="atLeast"/>
      <w:outlineLvl w:val="0"/>
    </w:pPr>
    <w:rPr>
      <w:sz w:val="28"/>
    </w:rPr>
  </w:style>
  <w:style w:type="paragraph" w:customStyle="1" w:styleId="142">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143">
    <w:name w:val="标题 3 字符"/>
    <w:basedOn w:val="43"/>
    <w:link w:val="5"/>
    <w:semiHidden/>
    <w:qFormat/>
    <w:locked/>
    <w:uiPriority w:val="99"/>
    <w:rPr>
      <w:rFonts w:cs="Times New Roman"/>
      <w:b/>
      <w:bCs/>
      <w:sz w:val="32"/>
      <w:szCs w:val="32"/>
    </w:rPr>
  </w:style>
  <w:style w:type="character" w:customStyle="1" w:styleId="144">
    <w:name w:val="NormalCharacter"/>
    <w:qFormat/>
    <w:uiPriority w:val="0"/>
    <w:rPr>
      <w:rFonts w:ascii="Times New Roman" w:hAnsi="Times New Roman" w:eastAsia="宋体"/>
      <w:kern w:val="2"/>
      <w:sz w:val="21"/>
      <w:lang w:val="en-US" w:eastAsia="zh-CN" w:bidi="ar-SA"/>
    </w:rPr>
  </w:style>
  <w:style w:type="paragraph" w:customStyle="1" w:styleId="145">
    <w:name w:val="UserStyle_10"/>
    <w:basedOn w:val="1"/>
    <w:qFormat/>
    <w:uiPriority w:val="0"/>
    <w:pPr>
      <w:jc w:val="left"/>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99</Pages>
  <Words>63624</Words>
  <Characters>71811</Characters>
  <Lines>227</Lines>
  <Paragraphs>64</Paragraphs>
  <TotalTime>37</TotalTime>
  <ScaleCrop>false</ScaleCrop>
  <LinksUpToDate>false</LinksUpToDate>
  <CharactersWithSpaces>78194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悲伤逆流成河</cp:lastModifiedBy>
  <cp:lastPrinted>2022-08-01T12:07:00Z</cp:lastPrinted>
  <dcterms:modified xsi:type="dcterms:W3CDTF">2022-08-10T09:15:12Z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FD67447CD66342878C4C545390C52D09</vt:lpwstr>
  </property>
</Properties>
</file>