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 xml:space="preserve"> </w:t>
      </w:r>
    </w:p>
    <w:p>
      <w:pPr>
        <w:jc w:val="center"/>
        <w:rPr>
          <w:rFonts w:hint="eastAsia" w:ascii="宋体" w:hAnsi="宋体" w:eastAsia="宋体" w:cs="宋体"/>
          <w:b w:val="0"/>
          <w:bCs/>
          <w:color w:val="auto"/>
          <w:sz w:val="44"/>
          <w:szCs w:val="44"/>
          <w:lang w:val="en-US" w:eastAsia="zh-CN"/>
        </w:rPr>
      </w:pPr>
      <w:r>
        <w:rPr>
          <w:rFonts w:hint="eastAsia" w:ascii="宋体" w:hAnsi="宋体" w:eastAsia="宋体" w:cs="宋体"/>
          <w:b w:val="0"/>
          <w:bCs/>
          <w:color w:val="auto"/>
          <w:sz w:val="44"/>
          <w:szCs w:val="44"/>
          <w:lang w:val="en-US" w:eastAsia="zh-CN"/>
        </w:rPr>
        <w:t>新疆维吾尔自治区人民检察院喀什分院</w:t>
      </w:r>
    </w:p>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sz w:val="44"/>
          <w:szCs w:val="44"/>
          <w:lang w:val="en-US" w:eastAsia="zh-CN"/>
        </w:rPr>
        <w:t>-两房屋顶改造项目</w:t>
      </w:r>
    </w:p>
    <w:p>
      <w:pPr>
        <w:rPr>
          <w:rFonts w:hint="eastAsia" w:ascii="宋体" w:hAnsi="宋体" w:eastAsia="宋体" w:cs="宋体"/>
          <w:b w:val="0"/>
          <w:bCs/>
          <w:color w:val="auto"/>
          <w:lang w:val="en-US" w:eastAsia="zh-CN"/>
        </w:rPr>
      </w:pPr>
    </w:p>
    <w:p>
      <w:pPr>
        <w:rPr>
          <w:rFonts w:hint="eastAsia" w:ascii="宋体" w:hAnsi="宋体" w:eastAsia="宋体" w:cs="宋体"/>
          <w:b w:val="0"/>
          <w:bCs/>
          <w:color w:val="auto"/>
        </w:rPr>
      </w:pPr>
    </w:p>
    <w:p>
      <w:pPr>
        <w:pStyle w:val="2"/>
        <w:rPr>
          <w:rFonts w:hint="eastAsia"/>
        </w:rPr>
      </w:pPr>
    </w:p>
    <w:p>
      <w:pPr>
        <w:spacing w:line="240" w:lineRule="atLeast"/>
        <w:jc w:val="center"/>
        <w:rPr>
          <w:rFonts w:hint="eastAsia" w:ascii="宋体" w:hAnsi="宋体" w:eastAsia="宋体" w:cs="宋体"/>
          <w:b w:val="0"/>
          <w:bCs/>
          <w:color w:val="auto"/>
          <w:sz w:val="36"/>
          <w:szCs w:val="28"/>
        </w:rPr>
      </w:pPr>
      <w:r>
        <w:rPr>
          <w:rFonts w:hint="eastAsia" w:ascii="宋体" w:hAnsi="宋体" w:eastAsia="宋体" w:cs="宋体"/>
          <w:b w:val="0"/>
          <w:bCs/>
          <w:color w:val="auto"/>
          <w:sz w:val="36"/>
          <w:szCs w:val="28"/>
        </w:rPr>
        <w:t>竞争性磋商文件</w:t>
      </w:r>
    </w:p>
    <w:p>
      <w:pPr>
        <w:spacing w:line="240" w:lineRule="atLeast"/>
        <w:jc w:val="center"/>
        <w:rPr>
          <w:rFonts w:hint="eastAsia" w:ascii="宋体" w:hAnsi="宋体" w:eastAsia="宋体" w:cs="宋体"/>
          <w:b w:val="0"/>
          <w:bCs/>
          <w:color w:val="auto"/>
          <w:sz w:val="32"/>
          <w:lang w:val="en-US" w:eastAsia="zh-CN"/>
        </w:rPr>
      </w:pPr>
      <w:r>
        <w:rPr>
          <w:rFonts w:hint="eastAsia" w:ascii="宋体" w:hAnsi="宋体" w:eastAsia="宋体" w:cs="宋体"/>
          <w:b w:val="0"/>
          <w:bCs/>
          <w:color w:val="auto"/>
          <w:sz w:val="32"/>
        </w:rPr>
        <w:t>项目编号：</w:t>
      </w:r>
      <w:r>
        <w:rPr>
          <w:rFonts w:hint="eastAsia" w:ascii="宋体" w:hAnsi="宋体" w:eastAsia="宋体" w:cs="宋体"/>
          <w:b w:val="0"/>
          <w:bCs/>
          <w:color w:val="auto"/>
          <w:sz w:val="32"/>
          <w:lang w:val="en-US" w:eastAsia="zh-CN"/>
        </w:rPr>
        <w:t>JDTCK-2021-01</w:t>
      </w:r>
      <w:r>
        <w:rPr>
          <w:rFonts w:hint="eastAsia" w:ascii="宋体" w:hAnsi="宋体" w:cs="宋体"/>
          <w:b w:val="0"/>
          <w:bCs/>
          <w:color w:val="auto"/>
          <w:sz w:val="32"/>
          <w:lang w:val="en-US" w:eastAsia="zh-CN"/>
        </w:rPr>
        <w:t>7</w:t>
      </w:r>
      <w:r>
        <w:rPr>
          <w:rFonts w:hint="eastAsia" w:ascii="宋体" w:hAnsi="宋体" w:eastAsia="宋体" w:cs="宋体"/>
          <w:b w:val="0"/>
          <w:bCs/>
          <w:color w:val="auto"/>
          <w:sz w:val="32"/>
          <w:lang w:val="en-US" w:eastAsia="zh-CN"/>
        </w:rPr>
        <w:t>-CG</w:t>
      </w:r>
    </w:p>
    <w:p>
      <w:pPr>
        <w:spacing w:line="240" w:lineRule="atLeast"/>
        <w:jc w:val="center"/>
        <w:rPr>
          <w:rFonts w:hint="eastAsia" w:ascii="宋体" w:hAnsi="宋体" w:eastAsia="宋体" w:cs="宋体"/>
          <w:b w:val="0"/>
          <w:bCs/>
          <w:color w:val="auto"/>
          <w:sz w:val="32"/>
        </w:rPr>
      </w:pPr>
    </w:p>
    <w:p>
      <w:pPr>
        <w:spacing w:line="240" w:lineRule="atLeast"/>
        <w:jc w:val="center"/>
        <w:rPr>
          <w:rFonts w:hint="eastAsia" w:ascii="宋体" w:hAnsi="宋体" w:eastAsia="宋体" w:cs="宋体"/>
          <w:b w:val="0"/>
          <w:bCs/>
          <w:color w:val="auto"/>
          <w:sz w:val="32"/>
        </w:rPr>
      </w:pPr>
      <w:r>
        <w:rPr>
          <w:rFonts w:hint="eastAsia" w:ascii="宋体" w:hAnsi="宋体" w:eastAsia="宋体" w:cs="宋体"/>
          <w:b w:val="0"/>
          <w:bCs/>
          <w:color w:val="auto"/>
          <w:sz w:val="32"/>
        </w:rPr>
        <w:t xml:space="preserve">  </w:t>
      </w: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cs="宋体"/>
          <w:b w:val="0"/>
          <w:bCs/>
          <w:color w:val="auto"/>
          <w:sz w:val="28"/>
          <w:szCs w:val="28"/>
          <w:u w:val="none"/>
          <w:lang w:eastAsia="zh-CN"/>
        </w:rPr>
        <w:t>采购人</w:t>
      </w:r>
      <w:r>
        <w:rPr>
          <w:rFonts w:hint="eastAsia" w:ascii="宋体" w:hAnsi="宋体" w:eastAsia="宋体" w:cs="宋体"/>
          <w:b w:val="0"/>
          <w:bCs/>
          <w:color w:val="auto"/>
          <w:sz w:val="28"/>
          <w:szCs w:val="28"/>
          <w:u w:val="none"/>
        </w:rPr>
        <w:t>名称：</w:t>
      </w:r>
      <w:r>
        <w:rPr>
          <w:rFonts w:hint="eastAsia" w:ascii="宋体" w:hAnsi="宋体" w:eastAsia="宋体" w:cs="宋体"/>
          <w:b w:val="0"/>
          <w:bCs/>
          <w:color w:val="auto"/>
          <w:sz w:val="28"/>
          <w:szCs w:val="28"/>
          <w:u w:val="none"/>
          <w:lang w:val="en-US" w:eastAsia="zh-CN"/>
        </w:rPr>
        <w:t xml:space="preserve"> 新疆维吾尔自治区人民检察院喀什分院</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   </w:t>
      </w:r>
    </w:p>
    <w:p>
      <w:pPr>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联</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系</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人： </w:t>
      </w:r>
      <w:r>
        <w:rPr>
          <w:rFonts w:hint="eastAsia" w:ascii="宋体" w:hAnsi="宋体" w:eastAsia="宋体" w:cs="宋体"/>
          <w:b w:val="0"/>
          <w:bCs/>
          <w:color w:val="auto"/>
          <w:sz w:val="28"/>
          <w:szCs w:val="28"/>
          <w:u w:val="none"/>
          <w:lang w:val="en-US" w:eastAsia="zh-CN"/>
        </w:rPr>
        <w:t>王宁平</w:t>
      </w:r>
      <w:r>
        <w:rPr>
          <w:rFonts w:hint="eastAsia" w:ascii="宋体" w:hAnsi="宋体" w:eastAsia="宋体" w:cs="宋体"/>
          <w:b w:val="0"/>
          <w:bCs/>
          <w:color w:val="auto"/>
          <w:sz w:val="28"/>
          <w:szCs w:val="28"/>
          <w:u w:val="none"/>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         </w:t>
      </w:r>
    </w:p>
    <w:p>
      <w:pPr>
        <w:spacing w:line="360" w:lineRule="auto"/>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联</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系</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电</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话： </w:t>
      </w:r>
      <w:r>
        <w:rPr>
          <w:rFonts w:hint="eastAsia" w:ascii="宋体" w:hAnsi="宋体" w:eastAsia="宋体" w:cs="宋体"/>
          <w:b w:val="0"/>
          <w:bCs/>
          <w:color w:val="auto"/>
          <w:sz w:val="28"/>
          <w:szCs w:val="28"/>
          <w:u w:val="none"/>
          <w:lang w:val="en-US" w:eastAsia="zh-CN"/>
        </w:rPr>
        <w:t>17709980688</w:t>
      </w:r>
      <w:r>
        <w:rPr>
          <w:rFonts w:hint="eastAsia" w:ascii="宋体" w:hAnsi="宋体" w:eastAsia="宋体" w:cs="宋体"/>
          <w:b w:val="0"/>
          <w:bCs/>
          <w:color w:val="auto"/>
          <w:sz w:val="28"/>
          <w:szCs w:val="28"/>
          <w:u w:val="none"/>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 </w:t>
      </w:r>
    </w:p>
    <w:p>
      <w:pPr>
        <w:spacing w:line="240" w:lineRule="atLeast"/>
        <w:jc w:val="center"/>
        <w:rPr>
          <w:rFonts w:hint="eastAsia" w:ascii="宋体" w:hAnsi="宋体" w:eastAsia="宋体" w:cs="宋体"/>
          <w:b w:val="0"/>
          <w:bCs/>
          <w:color w:val="auto"/>
          <w:sz w:val="28"/>
          <w:szCs w:val="28"/>
          <w:u w:val="none"/>
        </w:rPr>
      </w:pPr>
    </w:p>
    <w:p>
      <w:pPr>
        <w:rPr>
          <w:rFonts w:hint="eastAsia" w:ascii="宋体" w:hAnsi="宋体" w:eastAsia="宋体" w:cs="宋体"/>
          <w:b w:val="0"/>
          <w:bCs/>
          <w:color w:val="auto"/>
          <w:u w:val="none"/>
        </w:rPr>
      </w:pPr>
    </w:p>
    <w:p>
      <w:pPr>
        <w:rPr>
          <w:rFonts w:hint="eastAsia" w:ascii="宋体" w:hAnsi="宋体" w:eastAsia="宋体" w:cs="宋体"/>
          <w:b w:val="0"/>
          <w:bCs/>
          <w:color w:val="auto"/>
          <w:u w:val="none"/>
        </w:rPr>
      </w:pPr>
    </w:p>
    <w:p>
      <w:pPr>
        <w:pStyle w:val="2"/>
        <w:rPr>
          <w:rFonts w:hint="eastAsia" w:ascii="宋体" w:hAnsi="宋体" w:eastAsia="宋体" w:cs="宋体"/>
          <w:b w:val="0"/>
          <w:bCs/>
          <w:color w:val="auto"/>
          <w:sz w:val="28"/>
          <w:szCs w:val="28"/>
          <w:u w:val="none"/>
        </w:rPr>
      </w:pP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cs="宋体"/>
          <w:b w:val="0"/>
          <w:bCs/>
          <w:color w:val="auto"/>
          <w:sz w:val="28"/>
          <w:szCs w:val="28"/>
          <w:u w:val="none"/>
          <w:lang w:eastAsia="zh-CN"/>
        </w:rPr>
        <w:t>代理机构</w:t>
      </w:r>
      <w:r>
        <w:rPr>
          <w:rFonts w:hint="eastAsia" w:ascii="宋体" w:hAnsi="宋体" w:eastAsia="宋体" w:cs="宋体"/>
          <w:b w:val="0"/>
          <w:bCs/>
          <w:color w:val="auto"/>
          <w:sz w:val="28"/>
          <w:szCs w:val="28"/>
          <w:u w:val="none"/>
        </w:rPr>
        <w:t>名称：</w:t>
      </w:r>
      <w:r>
        <w:rPr>
          <w:rFonts w:hint="eastAsia" w:ascii="宋体" w:hAnsi="宋体" w:eastAsia="宋体" w:cs="宋体"/>
          <w:b w:val="0"/>
          <w:bCs/>
          <w:color w:val="auto"/>
          <w:kern w:val="0"/>
          <w:sz w:val="28"/>
          <w:szCs w:val="28"/>
          <w:lang w:val="en-US" w:eastAsia="zh-CN"/>
        </w:rPr>
        <w:t>新疆甲鼎泰诚工程项目管理有限公司</w:t>
      </w:r>
      <w:r>
        <w:rPr>
          <w:rFonts w:hint="eastAsia" w:ascii="宋体" w:hAnsi="宋体" w:eastAsia="宋体" w:cs="宋体"/>
          <w:b w:val="0"/>
          <w:bCs/>
          <w:color w:val="auto"/>
          <w:sz w:val="28"/>
          <w:szCs w:val="28"/>
          <w:u w:val="none"/>
        </w:rPr>
        <w:t xml:space="preserve">  </w:t>
      </w: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联   系   人： </w:t>
      </w:r>
      <w:r>
        <w:rPr>
          <w:rFonts w:hint="eastAsia" w:ascii="宋体" w:hAnsi="宋体" w:cs="宋体"/>
          <w:b w:val="0"/>
          <w:bCs/>
          <w:color w:val="auto"/>
          <w:sz w:val="28"/>
          <w:szCs w:val="28"/>
          <w:u w:val="none"/>
          <w:lang w:val="en-US" w:eastAsia="zh-CN"/>
        </w:rPr>
        <w:t>庞珺</w:t>
      </w:r>
      <w:r>
        <w:rPr>
          <w:rFonts w:hint="eastAsia" w:ascii="宋体" w:hAnsi="宋体" w:eastAsia="宋体" w:cs="宋体"/>
          <w:b w:val="0"/>
          <w:bCs/>
          <w:color w:val="auto"/>
          <w:sz w:val="28"/>
          <w:szCs w:val="28"/>
          <w:u w:val="none"/>
        </w:rPr>
        <w:t xml:space="preserve">                   </w:t>
      </w: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联 系 电 话 ： </w:t>
      </w:r>
      <w:r>
        <w:rPr>
          <w:rFonts w:hint="eastAsia" w:ascii="宋体" w:hAnsi="宋体" w:cs="宋体"/>
          <w:b w:val="0"/>
          <w:bCs/>
          <w:color w:val="auto"/>
          <w:sz w:val="28"/>
          <w:szCs w:val="28"/>
          <w:u w:val="none"/>
          <w:lang w:val="en-US" w:eastAsia="zh-CN"/>
        </w:rPr>
        <w:t>13999092110</w:t>
      </w:r>
      <w:r>
        <w:rPr>
          <w:rFonts w:hint="eastAsia" w:ascii="宋体" w:hAnsi="宋体" w:eastAsia="宋体" w:cs="宋体"/>
          <w:b w:val="0"/>
          <w:bCs/>
          <w:color w:val="auto"/>
          <w:sz w:val="28"/>
          <w:szCs w:val="28"/>
          <w:u w:val="none"/>
        </w:rPr>
        <w:t xml:space="preserve">             </w:t>
      </w:r>
    </w:p>
    <w:p>
      <w:pPr>
        <w:pStyle w:val="2"/>
        <w:rPr>
          <w:rFonts w:hint="eastAsia" w:ascii="宋体" w:hAnsi="宋体" w:eastAsia="宋体" w:cs="宋体"/>
          <w:b w:val="0"/>
          <w:bCs/>
          <w:color w:val="auto"/>
        </w:rPr>
      </w:pPr>
    </w:p>
    <w:p>
      <w:pPr>
        <w:spacing w:line="240" w:lineRule="atLeast"/>
        <w:ind w:firstLine="4200" w:firstLineChars="1500"/>
        <w:rPr>
          <w:rFonts w:hint="eastAsia" w:ascii="宋体" w:hAnsi="宋体" w:eastAsia="宋体" w:cs="宋体"/>
          <w:b w:val="0"/>
          <w:bCs/>
          <w:color w:val="auto"/>
          <w:sz w:val="28"/>
          <w:szCs w:val="28"/>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r>
        <w:rPr>
          <w:rFonts w:hint="eastAsia" w:ascii="宋体" w:hAnsi="宋体" w:eastAsia="宋体" w:cs="宋体"/>
          <w:b w:val="0"/>
          <w:bCs/>
          <w:color w:val="auto"/>
          <w:sz w:val="28"/>
          <w:szCs w:val="28"/>
        </w:rPr>
        <w:t>日期：202</w:t>
      </w: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rPr>
        <w:t xml:space="preserve"> 年</w:t>
      </w:r>
      <w:r>
        <w:rPr>
          <w:rFonts w:hint="eastAsia" w:ascii="宋体" w:hAnsi="宋体" w:cs="宋体"/>
          <w:b w:val="0"/>
          <w:bCs/>
          <w:color w:val="auto"/>
          <w:sz w:val="28"/>
          <w:szCs w:val="28"/>
          <w:lang w:val="en-US" w:eastAsia="zh-CN"/>
        </w:rPr>
        <w:t>9</w:t>
      </w:r>
      <w:r>
        <w:rPr>
          <w:rFonts w:hint="eastAsia" w:ascii="宋体" w:hAnsi="宋体" w:eastAsia="宋体" w:cs="宋体"/>
          <w:b w:val="0"/>
          <w:bCs/>
          <w:color w:val="auto"/>
          <w:sz w:val="28"/>
          <w:szCs w:val="28"/>
        </w:rPr>
        <w:t>月</w:t>
      </w:r>
    </w:p>
    <w:p>
      <w:pPr>
        <w:pageBreakBefore w:val="0"/>
        <w:widowControl w:val="0"/>
        <w:kinsoku/>
        <w:wordWrap/>
        <w:overflowPunct/>
        <w:topLinePunct w:val="0"/>
        <w:bidi w:val="0"/>
        <w:snapToGrid/>
        <w:spacing w:line="400" w:lineRule="exact"/>
        <w:ind w:left="1080" w:leftChars="257" w:hanging="540"/>
        <w:jc w:val="center"/>
        <w:textAlignment w:val="auto"/>
        <w:rPr>
          <w:rFonts w:hint="eastAsia" w:ascii="宋体" w:hAnsi="宋体" w:eastAsia="宋体" w:cs="宋体"/>
          <w:b w:val="0"/>
          <w:bCs/>
          <w:color w:val="auto"/>
          <w:sz w:val="40"/>
          <w:szCs w:val="40"/>
        </w:rPr>
      </w:pPr>
      <w:r>
        <w:rPr>
          <w:rFonts w:hint="eastAsia" w:ascii="宋体" w:hAnsi="宋体" w:eastAsia="宋体" w:cs="宋体"/>
          <w:b w:val="0"/>
          <w:bCs/>
          <w:color w:val="auto"/>
          <w:sz w:val="40"/>
          <w:szCs w:val="40"/>
        </w:rPr>
        <w:t>目  录</w:t>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 w:val="24"/>
        </w:rPr>
        <w:fldChar w:fldCharType="begin"/>
      </w:r>
      <w:r>
        <w:rPr>
          <w:rFonts w:hint="eastAsia" w:ascii="宋体" w:hAnsi="宋体" w:eastAsia="宋体" w:cs="宋体"/>
          <w:b w:val="0"/>
          <w:bCs/>
          <w:color w:val="auto"/>
          <w:kern w:val="0"/>
          <w:sz w:val="24"/>
        </w:rPr>
        <w:instrText xml:space="preserve"> TOC \o "1-3" \h \z \u </w:instrText>
      </w:r>
      <w:r>
        <w:rPr>
          <w:rFonts w:hint="eastAsia" w:ascii="宋体" w:hAnsi="宋体" w:eastAsia="宋体" w:cs="宋体"/>
          <w:b w:val="0"/>
          <w:bCs/>
          <w:color w:val="auto"/>
          <w:kern w:val="0"/>
          <w:sz w:val="24"/>
        </w:rPr>
        <w:fldChar w:fldCharType="separate"/>
      </w:r>
      <w:r>
        <w:rPr>
          <w:rFonts w:hint="eastAsia" w:ascii="宋体" w:hAnsi="宋体" w:eastAsia="宋体" w:cs="宋体"/>
          <w:b w:val="0"/>
          <w:bCs/>
          <w:color w:val="auto"/>
          <w:kern w:val="0"/>
        </w:rPr>
        <w:fldChar w:fldCharType="begin"/>
      </w:r>
      <w:r>
        <w:rPr>
          <w:rFonts w:hint="eastAsia" w:ascii="宋体" w:hAnsi="宋体" w:eastAsia="宋体" w:cs="宋体"/>
          <w:b w:val="0"/>
          <w:bCs/>
          <w:kern w:val="0"/>
        </w:rPr>
        <w:instrText xml:space="preserve"> HYPERLINK \l _Toc30145 </w:instrText>
      </w:r>
      <w:r>
        <w:rPr>
          <w:rFonts w:hint="eastAsia" w:ascii="宋体" w:hAnsi="宋体" w:eastAsia="宋体" w:cs="宋体"/>
          <w:b w:val="0"/>
          <w:bCs/>
          <w:kern w:val="0"/>
        </w:rPr>
        <w:fldChar w:fldCharType="separate"/>
      </w:r>
      <w:r>
        <w:rPr>
          <w:rFonts w:hint="eastAsia" w:ascii="宋体" w:hAnsi="宋体" w:eastAsia="宋体" w:cs="宋体"/>
          <w:b w:val="0"/>
          <w:bCs/>
          <w:kern w:val="0"/>
          <w:szCs w:val="24"/>
          <w:lang w:val="en-US" w:eastAsia="zh-CN"/>
        </w:rPr>
        <w:t xml:space="preserve">第1章  </w:t>
      </w:r>
      <w:r>
        <w:rPr>
          <w:rFonts w:hint="eastAsia" w:ascii="宋体" w:hAnsi="宋体" w:cs="宋体"/>
          <w:b w:val="0"/>
          <w:bCs/>
          <w:szCs w:val="32"/>
          <w:lang w:eastAsia="zh-CN"/>
        </w:rPr>
        <w:t>供应商</w:t>
      </w:r>
      <w:r>
        <w:rPr>
          <w:rFonts w:hint="eastAsia" w:ascii="宋体" w:hAnsi="宋体" w:eastAsia="宋体" w:cs="宋体"/>
          <w:b w:val="0"/>
          <w:bCs/>
          <w:szCs w:val="32"/>
        </w:rPr>
        <w:t>须知</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_Toc30145 </w:instrText>
      </w:r>
      <w:r>
        <w:rPr>
          <w:rFonts w:hint="eastAsia" w:ascii="宋体" w:hAnsi="宋体" w:eastAsia="宋体" w:cs="宋体"/>
          <w:b w:val="0"/>
          <w:bCs/>
        </w:rPr>
        <w:fldChar w:fldCharType="separate"/>
      </w:r>
      <w:r>
        <w:rPr>
          <w:rFonts w:hint="eastAsia" w:ascii="宋体" w:hAnsi="宋体" w:eastAsia="宋体" w:cs="宋体"/>
          <w:b w:val="0"/>
          <w:bCs/>
        </w:rPr>
        <w:t>1</w:t>
      </w:r>
      <w:r>
        <w:rPr>
          <w:rFonts w:hint="eastAsia" w:ascii="宋体" w:hAnsi="宋体" w:eastAsia="宋体" w:cs="宋体"/>
          <w:b w:val="0"/>
          <w:bCs/>
        </w:rPr>
        <w:fldChar w:fldCharType="end"/>
      </w:r>
      <w:r>
        <w:rPr>
          <w:rFonts w:hint="eastAsia" w:ascii="宋体" w:hAnsi="宋体" w:eastAsia="宋体" w:cs="宋体"/>
          <w:b w:val="0"/>
          <w:bCs/>
          <w:color w:val="auto"/>
          <w:kern w:val="0"/>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_Toc26896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一   总 则</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_Toc26896 </w:instrText>
      </w:r>
      <w:r>
        <w:rPr>
          <w:rFonts w:hint="eastAsia" w:ascii="宋体" w:hAnsi="宋体" w:eastAsia="宋体" w:cs="宋体"/>
          <w:b w:val="0"/>
          <w:bCs/>
        </w:rPr>
        <w:fldChar w:fldCharType="separate"/>
      </w:r>
      <w:r>
        <w:rPr>
          <w:rFonts w:hint="eastAsia" w:ascii="宋体" w:hAnsi="宋体" w:eastAsia="宋体" w:cs="宋体"/>
          <w:b w:val="0"/>
          <w:bCs/>
        </w:rPr>
        <w:t>1</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_Toc2853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1.</w:t>
      </w:r>
      <w:r>
        <w:rPr>
          <w:rFonts w:hint="eastAsia" w:ascii="宋体" w:hAnsi="宋体" w:cs="宋体"/>
          <w:b w:val="0"/>
          <w:bCs/>
          <w:szCs w:val="24"/>
          <w:lang w:eastAsia="zh-CN"/>
        </w:rPr>
        <w:t>采购人</w:t>
      </w:r>
      <w:r>
        <w:rPr>
          <w:rFonts w:hint="eastAsia" w:ascii="宋体" w:hAnsi="宋体" w:eastAsia="宋体" w:cs="宋体"/>
          <w:b w:val="0"/>
          <w:bCs/>
          <w:szCs w:val="24"/>
        </w:rPr>
        <w:t>、</w:t>
      </w:r>
      <w:r>
        <w:rPr>
          <w:rFonts w:hint="eastAsia" w:ascii="宋体" w:hAnsi="宋体" w:cs="宋体"/>
          <w:b w:val="0"/>
          <w:bCs/>
          <w:szCs w:val="24"/>
          <w:lang w:eastAsia="zh-CN"/>
        </w:rPr>
        <w:t>采购代理机构</w:t>
      </w:r>
      <w:r>
        <w:rPr>
          <w:rFonts w:hint="eastAsia" w:ascii="宋体" w:hAnsi="宋体" w:eastAsia="宋体" w:cs="宋体"/>
          <w:b w:val="0"/>
          <w:bCs/>
          <w:szCs w:val="24"/>
        </w:rPr>
        <w:t>及</w:t>
      </w:r>
      <w:r>
        <w:rPr>
          <w:rFonts w:hint="eastAsia" w:ascii="宋体" w:hAnsi="宋体" w:cs="宋体"/>
          <w:b w:val="0"/>
          <w:bCs/>
          <w:szCs w:val="24"/>
          <w:lang w:eastAsia="zh-CN"/>
        </w:rPr>
        <w:t>供应商</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_Toc2853 </w:instrText>
      </w:r>
      <w:r>
        <w:rPr>
          <w:rFonts w:hint="eastAsia" w:ascii="宋体" w:hAnsi="宋体" w:eastAsia="宋体" w:cs="宋体"/>
          <w:b w:val="0"/>
          <w:bCs/>
        </w:rPr>
        <w:fldChar w:fldCharType="separate"/>
      </w:r>
      <w:r>
        <w:rPr>
          <w:rFonts w:hint="eastAsia" w:ascii="宋体" w:hAnsi="宋体" w:eastAsia="宋体" w:cs="宋体"/>
          <w:b w:val="0"/>
          <w:bCs/>
        </w:rPr>
        <w:t>1</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_Toc526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2.资金来源</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_Toc7522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3.磋商费用</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_Toc14503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4.适用法律</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_Toc8540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二   磋商文件</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_Toc26397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5.磋商文件构成</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_Toc18409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6.磋商文件的澄清与修改</w:t>
      </w:r>
      <w:r>
        <w:rPr>
          <w:rFonts w:hint="eastAsia" w:ascii="宋体" w:hAnsi="宋体" w:eastAsia="宋体" w:cs="宋体"/>
          <w:b w:val="0"/>
          <w:bCs/>
        </w:rPr>
        <w:tab/>
      </w:r>
      <w:r>
        <w:rPr>
          <w:rFonts w:hint="eastAsia" w:ascii="宋体" w:hAnsi="宋体" w:cs="宋体"/>
          <w:b w:val="0"/>
          <w:bCs/>
          <w:lang w:val="en-US" w:eastAsia="zh-CN"/>
        </w:rPr>
        <w:t>3</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_Toc14924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7.磋商截止时间的顺延</w:t>
      </w:r>
      <w:r>
        <w:rPr>
          <w:rFonts w:hint="eastAsia" w:ascii="宋体" w:hAnsi="宋体" w:eastAsia="宋体" w:cs="宋体"/>
          <w:b w:val="0"/>
          <w:bCs/>
        </w:rPr>
        <w:tab/>
      </w:r>
      <w:r>
        <w:rPr>
          <w:rFonts w:hint="eastAsia" w:ascii="宋体" w:hAnsi="宋体" w:cs="宋体"/>
          <w:b w:val="0"/>
          <w:bCs/>
          <w:lang w:val="en-US" w:eastAsia="zh-CN"/>
        </w:rPr>
        <w:t>3</w:t>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_Toc25600 </w:instrText>
      </w:r>
      <w:r>
        <w:rPr>
          <w:rFonts w:hint="eastAsia" w:ascii="宋体" w:hAnsi="宋体" w:eastAsia="宋体" w:cs="宋体"/>
          <w:b w:val="0"/>
          <w:bCs/>
          <w:kern w:val="0"/>
          <w:szCs w:val="24"/>
        </w:rPr>
        <w:fldChar w:fldCharType="separate"/>
      </w:r>
      <w:r>
        <w:rPr>
          <w:rFonts w:hint="eastAsia" w:ascii="宋体" w:hAnsi="宋体" w:eastAsia="宋体" w:cs="宋体"/>
          <w:b w:val="0"/>
          <w:bCs/>
        </w:rPr>
        <w:t>三   响应文件的编制</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_Toc25600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pos="3600"/>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_Toc26300 </w:instrText>
      </w:r>
      <w:r>
        <w:rPr>
          <w:rFonts w:hint="eastAsia" w:ascii="宋体" w:hAnsi="宋体" w:eastAsia="宋体" w:cs="宋体"/>
          <w:b w:val="0"/>
          <w:bCs/>
          <w:kern w:val="0"/>
          <w:szCs w:val="24"/>
        </w:rPr>
        <w:fldChar w:fldCharType="separate"/>
      </w:r>
      <w:r>
        <w:rPr>
          <w:rFonts w:hint="eastAsia" w:ascii="宋体" w:hAnsi="宋体" w:eastAsia="宋体" w:cs="宋体"/>
          <w:b w:val="0"/>
          <w:bCs/>
        </w:rPr>
        <w:t>8.</w:t>
      </w:r>
      <w:r>
        <w:rPr>
          <w:rFonts w:hint="eastAsia" w:ascii="宋体" w:hAnsi="宋体" w:eastAsia="宋体" w:cs="宋体"/>
          <w:b w:val="0"/>
          <w:bCs/>
        </w:rPr>
        <w:tab/>
      </w:r>
      <w:r>
        <w:rPr>
          <w:rFonts w:hint="eastAsia" w:ascii="宋体" w:hAnsi="宋体" w:eastAsia="宋体" w:cs="宋体"/>
          <w:b w:val="0"/>
          <w:bCs/>
        </w:rPr>
        <w:t>磋商范围及响应文件成交准和计量单位的使用</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_Toc26300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_Toc6067 </w:instrText>
      </w:r>
      <w:r>
        <w:rPr>
          <w:rFonts w:hint="eastAsia" w:ascii="宋体" w:hAnsi="宋体" w:eastAsia="宋体" w:cs="宋体"/>
          <w:b w:val="0"/>
          <w:bCs/>
          <w:kern w:val="0"/>
          <w:szCs w:val="24"/>
        </w:rPr>
        <w:fldChar w:fldCharType="separate"/>
      </w:r>
      <w:r>
        <w:rPr>
          <w:rFonts w:hint="eastAsia" w:ascii="宋体" w:hAnsi="宋体" w:eastAsia="宋体" w:cs="宋体"/>
          <w:b w:val="0"/>
          <w:bCs/>
        </w:rPr>
        <w:t>9.响应文件构成</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_Toc6067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pos="3600"/>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_Toc28472 </w:instrText>
      </w:r>
      <w:r>
        <w:rPr>
          <w:rFonts w:hint="eastAsia" w:ascii="宋体" w:hAnsi="宋体" w:eastAsia="宋体" w:cs="宋体"/>
          <w:b w:val="0"/>
          <w:bCs/>
          <w:kern w:val="0"/>
          <w:szCs w:val="24"/>
        </w:rPr>
        <w:fldChar w:fldCharType="separate"/>
      </w:r>
      <w:r>
        <w:rPr>
          <w:rFonts w:hint="eastAsia" w:ascii="宋体" w:hAnsi="宋体" w:eastAsia="宋体" w:cs="宋体"/>
          <w:b w:val="0"/>
          <w:bCs/>
        </w:rPr>
        <w:t>10.</w:t>
      </w:r>
      <w:r>
        <w:rPr>
          <w:rFonts w:hint="eastAsia" w:ascii="宋体" w:hAnsi="宋体" w:eastAsia="宋体" w:cs="宋体"/>
          <w:b w:val="0"/>
          <w:bCs/>
        </w:rPr>
        <w:tab/>
      </w:r>
      <w:r>
        <w:rPr>
          <w:rFonts w:hint="eastAsia" w:ascii="宋体" w:hAnsi="宋体" w:eastAsia="宋体" w:cs="宋体"/>
          <w:b w:val="0"/>
          <w:bCs/>
        </w:rPr>
        <w:t>证明磋商标的的合格性和符合磋商文件规定的技术文件</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_Toc28472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_Toc10141 </w:instrText>
      </w:r>
      <w:r>
        <w:rPr>
          <w:rFonts w:hint="eastAsia" w:ascii="宋体" w:hAnsi="宋体" w:eastAsia="宋体" w:cs="宋体"/>
          <w:b w:val="0"/>
          <w:bCs/>
          <w:kern w:val="0"/>
          <w:szCs w:val="24"/>
        </w:rPr>
        <w:fldChar w:fldCharType="separate"/>
      </w:r>
      <w:r>
        <w:rPr>
          <w:rFonts w:hint="eastAsia" w:ascii="宋体" w:hAnsi="宋体" w:eastAsia="宋体" w:cs="宋体"/>
          <w:b w:val="0"/>
          <w:bCs/>
        </w:rPr>
        <w:t>11.磋商报价</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_Toc10141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_Toc1798 </w:instrText>
      </w:r>
      <w:r>
        <w:rPr>
          <w:rFonts w:hint="eastAsia" w:ascii="宋体" w:hAnsi="宋体" w:eastAsia="宋体" w:cs="宋体"/>
          <w:b w:val="0"/>
          <w:bCs/>
          <w:kern w:val="0"/>
          <w:szCs w:val="24"/>
        </w:rPr>
        <w:fldChar w:fldCharType="separate"/>
      </w:r>
      <w:r>
        <w:rPr>
          <w:rFonts w:hint="eastAsia" w:ascii="宋体" w:hAnsi="宋体" w:eastAsia="宋体" w:cs="宋体"/>
          <w:b w:val="0"/>
          <w:bCs/>
        </w:rPr>
        <w:t>12.磋商保证金</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_Toc1798 </w:instrText>
      </w:r>
      <w:r>
        <w:rPr>
          <w:rFonts w:hint="eastAsia" w:ascii="宋体" w:hAnsi="宋体" w:eastAsia="宋体" w:cs="宋体"/>
          <w:b w:val="0"/>
          <w:bCs/>
        </w:rPr>
        <w:fldChar w:fldCharType="separate"/>
      </w:r>
      <w:r>
        <w:rPr>
          <w:rFonts w:hint="eastAsia" w:ascii="宋体" w:hAnsi="宋体" w:eastAsia="宋体" w:cs="宋体"/>
          <w:b w:val="0"/>
          <w:bCs/>
        </w:rPr>
        <w:t>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_Toc16050 </w:instrText>
      </w:r>
      <w:r>
        <w:rPr>
          <w:rFonts w:hint="eastAsia" w:ascii="宋体" w:hAnsi="宋体" w:eastAsia="宋体" w:cs="宋体"/>
          <w:b w:val="0"/>
          <w:bCs/>
          <w:kern w:val="0"/>
          <w:szCs w:val="24"/>
        </w:rPr>
        <w:fldChar w:fldCharType="separate"/>
      </w:r>
      <w:r>
        <w:rPr>
          <w:rFonts w:hint="eastAsia" w:ascii="宋体" w:hAnsi="宋体" w:eastAsia="宋体" w:cs="宋体"/>
          <w:b w:val="0"/>
          <w:bCs/>
        </w:rPr>
        <w:t>13.磋商有效期</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_Toc16050 </w:instrText>
      </w:r>
      <w:r>
        <w:rPr>
          <w:rFonts w:hint="eastAsia" w:ascii="宋体" w:hAnsi="宋体" w:eastAsia="宋体" w:cs="宋体"/>
          <w:b w:val="0"/>
          <w:bCs/>
        </w:rPr>
        <w:fldChar w:fldCharType="separate"/>
      </w:r>
      <w:r>
        <w:rPr>
          <w:rFonts w:hint="eastAsia" w:ascii="宋体" w:hAnsi="宋体" w:eastAsia="宋体" w:cs="宋体"/>
          <w:b w:val="0"/>
          <w:bCs/>
        </w:rPr>
        <w:t>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_Toc1766 </w:instrText>
      </w:r>
      <w:r>
        <w:rPr>
          <w:rFonts w:hint="eastAsia" w:ascii="宋体" w:hAnsi="宋体" w:eastAsia="宋体" w:cs="宋体"/>
          <w:b w:val="0"/>
          <w:bCs/>
          <w:kern w:val="0"/>
          <w:szCs w:val="24"/>
        </w:rPr>
        <w:fldChar w:fldCharType="separate"/>
      </w:r>
      <w:r>
        <w:rPr>
          <w:rFonts w:hint="eastAsia" w:ascii="宋体" w:hAnsi="宋体" w:eastAsia="宋体" w:cs="宋体"/>
          <w:b w:val="0"/>
          <w:bCs/>
        </w:rPr>
        <w:t>14.响应文件的签署及规定</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_Toc1766 </w:instrText>
      </w:r>
      <w:r>
        <w:rPr>
          <w:rFonts w:hint="eastAsia" w:ascii="宋体" w:hAnsi="宋体" w:eastAsia="宋体" w:cs="宋体"/>
          <w:b w:val="0"/>
          <w:bCs/>
        </w:rPr>
        <w:fldChar w:fldCharType="separate"/>
      </w:r>
      <w:r>
        <w:rPr>
          <w:rFonts w:hint="eastAsia" w:ascii="宋体" w:hAnsi="宋体" w:eastAsia="宋体" w:cs="宋体"/>
          <w:b w:val="0"/>
          <w:bCs/>
        </w:rPr>
        <w:t>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_Toc19918 </w:instrText>
      </w:r>
      <w:r>
        <w:rPr>
          <w:rFonts w:hint="eastAsia" w:ascii="宋体" w:hAnsi="宋体" w:eastAsia="宋体" w:cs="宋体"/>
          <w:b w:val="0"/>
          <w:bCs/>
          <w:kern w:val="0"/>
          <w:szCs w:val="24"/>
        </w:rPr>
        <w:fldChar w:fldCharType="separate"/>
      </w:r>
      <w:r>
        <w:rPr>
          <w:rFonts w:hint="eastAsia" w:ascii="宋体" w:hAnsi="宋体" w:eastAsia="宋体" w:cs="宋体"/>
          <w:b w:val="0"/>
          <w:bCs/>
        </w:rPr>
        <w:t>四   响应文件的递交</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_Toc19918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_Toc4861 </w:instrText>
      </w:r>
      <w:r>
        <w:rPr>
          <w:rFonts w:hint="eastAsia" w:ascii="宋体" w:hAnsi="宋体" w:eastAsia="宋体" w:cs="宋体"/>
          <w:b w:val="0"/>
          <w:bCs/>
          <w:kern w:val="0"/>
          <w:szCs w:val="24"/>
        </w:rPr>
        <w:fldChar w:fldCharType="separate"/>
      </w:r>
      <w:r>
        <w:rPr>
          <w:rFonts w:hint="eastAsia" w:ascii="宋体" w:hAnsi="宋体" w:eastAsia="宋体" w:cs="宋体"/>
          <w:b w:val="0"/>
          <w:bCs/>
        </w:rPr>
        <w:t>15.响应文件的密封和标记</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_Toc4861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_Toc19565 </w:instrText>
      </w:r>
      <w:r>
        <w:rPr>
          <w:rFonts w:hint="eastAsia" w:ascii="宋体" w:hAnsi="宋体" w:eastAsia="宋体" w:cs="宋体"/>
          <w:b w:val="0"/>
          <w:bCs/>
          <w:kern w:val="0"/>
          <w:szCs w:val="24"/>
        </w:rPr>
        <w:fldChar w:fldCharType="separate"/>
      </w:r>
      <w:r>
        <w:rPr>
          <w:rFonts w:hint="eastAsia" w:ascii="宋体" w:hAnsi="宋体" w:eastAsia="宋体" w:cs="宋体"/>
          <w:b w:val="0"/>
          <w:bCs/>
        </w:rPr>
        <w:t>16.磋商截止</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_Toc19565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_Toc16658 </w:instrText>
      </w:r>
      <w:r>
        <w:rPr>
          <w:rFonts w:hint="eastAsia" w:ascii="宋体" w:hAnsi="宋体" w:eastAsia="宋体" w:cs="宋体"/>
          <w:b w:val="0"/>
          <w:bCs/>
          <w:kern w:val="0"/>
          <w:szCs w:val="24"/>
        </w:rPr>
        <w:fldChar w:fldCharType="separate"/>
      </w:r>
      <w:r>
        <w:rPr>
          <w:rFonts w:hint="eastAsia" w:ascii="宋体" w:hAnsi="宋体" w:eastAsia="宋体" w:cs="宋体"/>
          <w:b w:val="0"/>
          <w:bCs/>
        </w:rPr>
        <w:t>17.响应文件的接收、修改与撤回</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_Toc16658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_Toc3188 </w:instrText>
      </w:r>
      <w:r>
        <w:rPr>
          <w:rFonts w:hint="eastAsia" w:ascii="宋体" w:hAnsi="宋体" w:eastAsia="宋体" w:cs="宋体"/>
          <w:b w:val="0"/>
          <w:bCs/>
          <w:kern w:val="0"/>
          <w:szCs w:val="24"/>
        </w:rPr>
        <w:fldChar w:fldCharType="separate"/>
      </w:r>
      <w:r>
        <w:rPr>
          <w:rFonts w:hint="eastAsia" w:ascii="宋体" w:hAnsi="宋体" w:eastAsia="宋体" w:cs="宋体"/>
          <w:b w:val="0"/>
          <w:bCs/>
        </w:rPr>
        <w:t>五   开标及评标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_Toc3188 </w:instrText>
      </w:r>
      <w:r>
        <w:rPr>
          <w:rFonts w:hint="eastAsia" w:ascii="宋体" w:hAnsi="宋体" w:eastAsia="宋体" w:cs="宋体"/>
          <w:b w:val="0"/>
          <w:bCs/>
        </w:rPr>
        <w:fldChar w:fldCharType="separate"/>
      </w:r>
      <w:r>
        <w:rPr>
          <w:rFonts w:hint="eastAsia" w:ascii="宋体" w:hAnsi="宋体" w:eastAsia="宋体" w:cs="宋体"/>
          <w:b w:val="0"/>
          <w:bCs/>
        </w:rPr>
        <w:t>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_Toc18892 </w:instrText>
      </w:r>
      <w:r>
        <w:rPr>
          <w:rFonts w:hint="eastAsia" w:ascii="宋体" w:hAnsi="宋体" w:eastAsia="宋体" w:cs="宋体"/>
          <w:b w:val="0"/>
          <w:bCs/>
          <w:kern w:val="0"/>
          <w:szCs w:val="24"/>
        </w:rPr>
        <w:fldChar w:fldCharType="separate"/>
      </w:r>
      <w:r>
        <w:rPr>
          <w:rFonts w:hint="eastAsia" w:ascii="宋体" w:hAnsi="宋体" w:eastAsia="宋体" w:cs="宋体"/>
          <w:b w:val="0"/>
          <w:bCs/>
        </w:rPr>
        <w:t>18. 开标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_Toc18892 </w:instrText>
      </w:r>
      <w:r>
        <w:rPr>
          <w:rFonts w:hint="eastAsia" w:ascii="宋体" w:hAnsi="宋体" w:eastAsia="宋体" w:cs="宋体"/>
          <w:b w:val="0"/>
          <w:bCs/>
        </w:rPr>
        <w:fldChar w:fldCharType="separate"/>
      </w:r>
      <w:r>
        <w:rPr>
          <w:rFonts w:hint="eastAsia" w:ascii="宋体" w:hAnsi="宋体" w:eastAsia="宋体" w:cs="宋体"/>
          <w:b w:val="0"/>
          <w:bCs/>
        </w:rPr>
        <w:t>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_Toc8438 </w:instrText>
      </w:r>
      <w:r>
        <w:rPr>
          <w:rFonts w:hint="eastAsia" w:ascii="宋体" w:hAnsi="宋体" w:eastAsia="宋体" w:cs="宋体"/>
          <w:b w:val="0"/>
          <w:bCs/>
          <w:kern w:val="0"/>
          <w:szCs w:val="24"/>
        </w:rPr>
        <w:fldChar w:fldCharType="separate"/>
      </w:r>
      <w:r>
        <w:rPr>
          <w:rFonts w:hint="eastAsia" w:ascii="宋体" w:hAnsi="宋体" w:eastAsia="宋体" w:cs="宋体"/>
          <w:b w:val="0"/>
          <w:bCs/>
        </w:rPr>
        <w:t>19.资格审查及组建磋商小组</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_Toc8438 </w:instrText>
      </w:r>
      <w:r>
        <w:rPr>
          <w:rFonts w:hint="eastAsia" w:ascii="宋体" w:hAnsi="宋体" w:eastAsia="宋体" w:cs="宋体"/>
          <w:b w:val="0"/>
          <w:bCs/>
        </w:rPr>
        <w:fldChar w:fldCharType="separate"/>
      </w:r>
      <w:r>
        <w:rPr>
          <w:rFonts w:hint="eastAsia" w:ascii="宋体" w:hAnsi="宋体" w:eastAsia="宋体" w:cs="宋体"/>
          <w:b w:val="0"/>
          <w:bCs/>
        </w:rPr>
        <w:t>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_Toc25814 </w:instrText>
      </w:r>
      <w:r>
        <w:rPr>
          <w:rFonts w:hint="eastAsia" w:ascii="宋体" w:hAnsi="宋体" w:eastAsia="宋体" w:cs="宋体"/>
          <w:b w:val="0"/>
          <w:bCs/>
          <w:kern w:val="0"/>
          <w:szCs w:val="24"/>
        </w:rPr>
        <w:fldChar w:fldCharType="separate"/>
      </w:r>
      <w:r>
        <w:rPr>
          <w:rFonts w:hint="eastAsia" w:ascii="宋体" w:hAnsi="宋体" w:eastAsia="宋体" w:cs="宋体"/>
          <w:b w:val="0"/>
          <w:bCs/>
        </w:rPr>
        <w:t>20.响应文件符合性审查与澄清</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_Toc25814 </w:instrText>
      </w:r>
      <w:r>
        <w:rPr>
          <w:rFonts w:hint="eastAsia" w:ascii="宋体" w:hAnsi="宋体" w:eastAsia="宋体" w:cs="宋体"/>
          <w:b w:val="0"/>
          <w:bCs/>
        </w:rPr>
        <w:fldChar w:fldCharType="separate"/>
      </w:r>
      <w:r>
        <w:rPr>
          <w:rFonts w:hint="eastAsia" w:ascii="宋体" w:hAnsi="宋体" w:eastAsia="宋体" w:cs="宋体"/>
          <w:b w:val="0"/>
          <w:bCs/>
        </w:rPr>
        <w:t>7</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_Toc6223 </w:instrText>
      </w:r>
      <w:r>
        <w:rPr>
          <w:rFonts w:hint="eastAsia" w:ascii="宋体" w:hAnsi="宋体" w:eastAsia="宋体" w:cs="宋体"/>
          <w:b w:val="0"/>
          <w:bCs/>
          <w:kern w:val="0"/>
          <w:szCs w:val="24"/>
        </w:rPr>
        <w:fldChar w:fldCharType="separate"/>
      </w:r>
      <w:r>
        <w:rPr>
          <w:rFonts w:hint="eastAsia" w:ascii="宋体" w:hAnsi="宋体" w:eastAsia="宋体" w:cs="宋体"/>
          <w:b w:val="0"/>
          <w:bCs/>
        </w:rPr>
        <w:t>21.磋商偏离</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_Toc6223 </w:instrText>
      </w:r>
      <w:r>
        <w:rPr>
          <w:rFonts w:hint="eastAsia" w:ascii="宋体" w:hAnsi="宋体" w:eastAsia="宋体" w:cs="宋体"/>
          <w:b w:val="0"/>
          <w:bCs/>
        </w:rPr>
        <w:fldChar w:fldCharType="separate"/>
      </w:r>
      <w:r>
        <w:rPr>
          <w:rFonts w:hint="eastAsia" w:ascii="宋体" w:hAnsi="宋体" w:eastAsia="宋体" w:cs="宋体"/>
          <w:b w:val="0"/>
          <w:bCs/>
        </w:rPr>
        <w:t>8</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_Toc12041 </w:instrText>
      </w:r>
      <w:r>
        <w:rPr>
          <w:rFonts w:hint="eastAsia" w:ascii="宋体" w:hAnsi="宋体" w:eastAsia="宋体" w:cs="宋体"/>
          <w:b w:val="0"/>
          <w:bCs/>
          <w:kern w:val="0"/>
          <w:szCs w:val="24"/>
        </w:rPr>
        <w:fldChar w:fldCharType="separate"/>
      </w:r>
      <w:r>
        <w:rPr>
          <w:rFonts w:hint="eastAsia" w:ascii="宋体" w:hAnsi="宋体" w:eastAsia="宋体" w:cs="宋体"/>
          <w:b w:val="0"/>
          <w:bCs/>
        </w:rPr>
        <w:t>22.磋商无效</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_Toc12041 </w:instrText>
      </w:r>
      <w:r>
        <w:rPr>
          <w:rFonts w:hint="eastAsia" w:ascii="宋体" w:hAnsi="宋体" w:eastAsia="宋体" w:cs="宋体"/>
          <w:b w:val="0"/>
          <w:bCs/>
        </w:rPr>
        <w:fldChar w:fldCharType="separate"/>
      </w:r>
      <w:r>
        <w:rPr>
          <w:rFonts w:hint="eastAsia" w:ascii="宋体" w:hAnsi="宋体" w:eastAsia="宋体" w:cs="宋体"/>
          <w:b w:val="0"/>
          <w:bCs/>
        </w:rPr>
        <w:t>8</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_Toc3100 </w:instrText>
      </w:r>
      <w:r>
        <w:rPr>
          <w:rFonts w:hint="eastAsia" w:ascii="宋体" w:hAnsi="宋体" w:eastAsia="宋体" w:cs="宋体"/>
          <w:b w:val="0"/>
          <w:bCs/>
          <w:kern w:val="0"/>
          <w:szCs w:val="24"/>
        </w:rPr>
        <w:fldChar w:fldCharType="separate"/>
      </w:r>
      <w:r>
        <w:rPr>
          <w:rFonts w:hint="eastAsia" w:ascii="宋体" w:hAnsi="宋体" w:eastAsia="宋体" w:cs="宋体"/>
          <w:b w:val="0"/>
          <w:bCs/>
        </w:rPr>
        <w:t>23.比较与评价</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_Toc3100 </w:instrText>
      </w:r>
      <w:r>
        <w:rPr>
          <w:rFonts w:hint="eastAsia" w:ascii="宋体" w:hAnsi="宋体" w:eastAsia="宋体" w:cs="宋体"/>
          <w:b w:val="0"/>
          <w:bCs/>
        </w:rPr>
        <w:fldChar w:fldCharType="separate"/>
      </w:r>
      <w:r>
        <w:rPr>
          <w:rFonts w:hint="eastAsia" w:ascii="宋体" w:hAnsi="宋体" w:eastAsia="宋体" w:cs="宋体"/>
          <w:b w:val="0"/>
          <w:bCs/>
        </w:rPr>
        <w:t>8</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_Toc13075 </w:instrText>
      </w:r>
      <w:r>
        <w:rPr>
          <w:rFonts w:hint="eastAsia" w:ascii="宋体" w:hAnsi="宋体" w:eastAsia="宋体" w:cs="宋体"/>
          <w:b w:val="0"/>
          <w:bCs/>
          <w:kern w:val="0"/>
          <w:szCs w:val="24"/>
        </w:rPr>
        <w:fldChar w:fldCharType="separate"/>
      </w:r>
      <w:r>
        <w:rPr>
          <w:rFonts w:hint="eastAsia" w:ascii="宋体" w:hAnsi="宋体" w:eastAsia="宋体" w:cs="宋体"/>
          <w:b w:val="0"/>
          <w:bCs/>
        </w:rPr>
        <w:t>24.废标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_Toc13075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_Toc24012 </w:instrText>
      </w:r>
      <w:r>
        <w:rPr>
          <w:rFonts w:hint="eastAsia" w:ascii="宋体" w:hAnsi="宋体" w:eastAsia="宋体" w:cs="宋体"/>
          <w:b w:val="0"/>
          <w:bCs/>
          <w:kern w:val="0"/>
          <w:szCs w:val="24"/>
        </w:rPr>
        <w:fldChar w:fldCharType="separate"/>
      </w:r>
      <w:r>
        <w:rPr>
          <w:rFonts w:hint="eastAsia" w:ascii="宋体" w:hAnsi="宋体" w:eastAsia="宋体" w:cs="宋体"/>
          <w:b w:val="0"/>
          <w:bCs/>
        </w:rPr>
        <w:t>25.保密原则</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_Toc24012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_Toc12343 </w:instrText>
      </w:r>
      <w:r>
        <w:rPr>
          <w:rFonts w:hint="eastAsia" w:ascii="宋体" w:hAnsi="宋体" w:eastAsia="宋体" w:cs="宋体"/>
          <w:b w:val="0"/>
          <w:bCs/>
          <w:kern w:val="0"/>
          <w:szCs w:val="24"/>
        </w:rPr>
        <w:fldChar w:fldCharType="separate"/>
      </w:r>
      <w:r>
        <w:rPr>
          <w:rFonts w:hint="eastAsia" w:ascii="宋体" w:hAnsi="宋体" w:eastAsia="宋体" w:cs="宋体"/>
          <w:b w:val="0"/>
          <w:bCs/>
        </w:rPr>
        <w:t>六   确定成交</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_Toc12343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_Toc27873 </w:instrText>
      </w:r>
      <w:r>
        <w:rPr>
          <w:rFonts w:hint="eastAsia" w:ascii="宋体" w:hAnsi="宋体" w:eastAsia="宋体" w:cs="宋体"/>
          <w:b w:val="0"/>
          <w:bCs/>
          <w:kern w:val="0"/>
          <w:szCs w:val="24"/>
        </w:rPr>
        <w:fldChar w:fldCharType="separate"/>
      </w:r>
      <w:r>
        <w:rPr>
          <w:rFonts w:hint="eastAsia" w:ascii="宋体" w:hAnsi="宋体" w:eastAsia="宋体" w:cs="宋体"/>
          <w:b w:val="0"/>
          <w:bCs/>
        </w:rPr>
        <w:t>26.成交候选人的确定原则及标准</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_Toc27873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_Toc22546 </w:instrText>
      </w:r>
      <w:r>
        <w:rPr>
          <w:rFonts w:hint="eastAsia" w:ascii="宋体" w:hAnsi="宋体" w:eastAsia="宋体" w:cs="宋体"/>
          <w:b w:val="0"/>
          <w:bCs/>
          <w:kern w:val="0"/>
          <w:szCs w:val="24"/>
        </w:rPr>
        <w:fldChar w:fldCharType="separate"/>
      </w:r>
      <w:r>
        <w:rPr>
          <w:rFonts w:hint="eastAsia" w:ascii="宋体" w:hAnsi="宋体" w:eastAsia="宋体" w:cs="宋体"/>
          <w:b w:val="0"/>
          <w:bCs/>
        </w:rPr>
        <w:t>27.确定成交候选人和成交人</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_Toc22546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_Toc15390 </w:instrText>
      </w:r>
      <w:r>
        <w:rPr>
          <w:rFonts w:hint="eastAsia" w:ascii="宋体" w:hAnsi="宋体" w:eastAsia="宋体" w:cs="宋体"/>
          <w:b w:val="0"/>
          <w:bCs/>
          <w:kern w:val="0"/>
          <w:szCs w:val="24"/>
        </w:rPr>
        <w:fldChar w:fldCharType="separate"/>
      </w:r>
      <w:r>
        <w:rPr>
          <w:rFonts w:hint="eastAsia" w:ascii="宋体" w:hAnsi="宋体" w:eastAsia="宋体" w:cs="宋体"/>
          <w:b w:val="0"/>
          <w:bCs/>
        </w:rPr>
        <w:t>28.采购任务取消</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_Toc15390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_Toc17295 </w:instrText>
      </w:r>
      <w:r>
        <w:rPr>
          <w:rFonts w:hint="eastAsia" w:ascii="宋体" w:hAnsi="宋体" w:eastAsia="宋体" w:cs="宋体"/>
          <w:b w:val="0"/>
          <w:bCs/>
          <w:kern w:val="0"/>
          <w:szCs w:val="24"/>
        </w:rPr>
        <w:fldChar w:fldCharType="separate"/>
      </w:r>
      <w:r>
        <w:rPr>
          <w:rFonts w:hint="eastAsia" w:ascii="宋体" w:hAnsi="宋体" w:eastAsia="宋体" w:cs="宋体"/>
          <w:b w:val="0"/>
          <w:bCs/>
        </w:rPr>
        <w:t>29.成交通知书和招标结果通知书</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_Toc17295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lang w:val="en-US" w:eastAsia="zh-CN"/>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_Toc25903 </w:instrText>
      </w:r>
      <w:r>
        <w:rPr>
          <w:rFonts w:hint="eastAsia" w:ascii="宋体" w:hAnsi="宋体" w:eastAsia="宋体" w:cs="宋体"/>
          <w:b w:val="0"/>
          <w:bCs/>
          <w:kern w:val="0"/>
          <w:szCs w:val="24"/>
        </w:rPr>
        <w:fldChar w:fldCharType="separate"/>
      </w:r>
      <w:r>
        <w:rPr>
          <w:rFonts w:hint="eastAsia" w:ascii="宋体" w:hAnsi="宋体" w:eastAsia="宋体" w:cs="宋体"/>
          <w:b w:val="0"/>
          <w:bCs/>
        </w:rPr>
        <w:t>30.签订合同</w:t>
      </w:r>
      <w:r>
        <w:rPr>
          <w:rFonts w:hint="eastAsia" w:ascii="宋体" w:hAnsi="宋体" w:eastAsia="宋体" w:cs="宋体"/>
          <w:b w:val="0"/>
          <w:bCs/>
        </w:rPr>
        <w:tab/>
      </w:r>
      <w:r>
        <w:rPr>
          <w:rFonts w:hint="eastAsia" w:ascii="宋体" w:hAnsi="宋体" w:cs="宋体"/>
          <w:b w:val="0"/>
          <w:bCs/>
          <w:lang w:val="en-US" w:eastAsia="zh-CN"/>
        </w:rPr>
        <w:t>1</w:t>
      </w:r>
      <w:r>
        <w:rPr>
          <w:rFonts w:hint="eastAsia" w:ascii="宋体" w:hAnsi="宋体" w:eastAsia="宋体" w:cs="宋体"/>
          <w:b w:val="0"/>
          <w:bCs/>
          <w:color w:val="auto"/>
          <w:kern w:val="0"/>
          <w:szCs w:val="24"/>
        </w:rPr>
        <w:fldChar w:fldCharType="end"/>
      </w:r>
      <w:r>
        <w:rPr>
          <w:rFonts w:hint="eastAsia" w:ascii="宋体" w:hAnsi="宋体" w:cs="宋体"/>
          <w:b w:val="0"/>
          <w:bCs/>
          <w:color w:val="auto"/>
          <w:kern w:val="0"/>
          <w:szCs w:val="24"/>
          <w:lang w:val="en-US" w:eastAsia="zh-CN"/>
        </w:rPr>
        <w:t>0</w:t>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_Toc8299 </w:instrText>
      </w:r>
      <w:r>
        <w:rPr>
          <w:rFonts w:hint="eastAsia" w:ascii="宋体" w:hAnsi="宋体" w:eastAsia="宋体" w:cs="宋体"/>
          <w:b w:val="0"/>
          <w:bCs/>
          <w:kern w:val="0"/>
          <w:szCs w:val="24"/>
        </w:rPr>
        <w:fldChar w:fldCharType="separate"/>
      </w:r>
      <w:r>
        <w:rPr>
          <w:rFonts w:hint="eastAsia" w:ascii="宋体" w:hAnsi="宋体" w:eastAsia="宋体" w:cs="宋体"/>
          <w:b w:val="0"/>
          <w:bCs/>
        </w:rPr>
        <w:t>31.履约保证金</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_Toc8299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_Toc30352 </w:instrText>
      </w:r>
      <w:r>
        <w:rPr>
          <w:rFonts w:hint="eastAsia" w:ascii="宋体" w:hAnsi="宋体" w:eastAsia="宋体" w:cs="宋体"/>
          <w:b w:val="0"/>
          <w:bCs/>
          <w:kern w:val="0"/>
          <w:szCs w:val="24"/>
        </w:rPr>
        <w:fldChar w:fldCharType="separate"/>
      </w:r>
      <w:r>
        <w:rPr>
          <w:rFonts w:hint="eastAsia" w:ascii="宋体" w:hAnsi="宋体" w:eastAsia="宋体" w:cs="宋体"/>
          <w:b w:val="0"/>
          <w:bCs/>
        </w:rPr>
        <w:t>32.成交</w:t>
      </w:r>
      <w:r>
        <w:rPr>
          <w:rFonts w:hint="eastAsia" w:ascii="宋体" w:hAnsi="宋体" w:eastAsia="宋体" w:cs="宋体"/>
          <w:b w:val="0"/>
          <w:bCs/>
          <w:lang w:val="en-US" w:eastAsia="zh-CN"/>
        </w:rPr>
        <w:t>服务</w:t>
      </w:r>
      <w:r>
        <w:rPr>
          <w:rFonts w:hint="eastAsia" w:ascii="宋体" w:hAnsi="宋体" w:eastAsia="宋体" w:cs="宋体"/>
          <w:b w:val="0"/>
          <w:bCs/>
        </w:rPr>
        <w:t>费</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_Toc30352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_Toc30150 </w:instrText>
      </w:r>
      <w:r>
        <w:rPr>
          <w:rFonts w:hint="eastAsia" w:ascii="宋体" w:hAnsi="宋体" w:eastAsia="宋体" w:cs="宋体"/>
          <w:b w:val="0"/>
          <w:bCs/>
          <w:kern w:val="0"/>
          <w:szCs w:val="24"/>
        </w:rPr>
        <w:fldChar w:fldCharType="separate"/>
      </w:r>
      <w:r>
        <w:rPr>
          <w:rFonts w:hint="eastAsia" w:ascii="宋体" w:hAnsi="宋体" w:eastAsia="宋体" w:cs="宋体"/>
          <w:b w:val="0"/>
          <w:bCs/>
        </w:rPr>
        <w:t>33.政府采购信用担保</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_Toc30150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_Toc29990 </w:instrText>
      </w:r>
      <w:r>
        <w:rPr>
          <w:rFonts w:hint="eastAsia" w:ascii="宋体" w:hAnsi="宋体" w:eastAsia="宋体" w:cs="宋体"/>
          <w:b w:val="0"/>
          <w:bCs/>
          <w:kern w:val="0"/>
          <w:szCs w:val="24"/>
        </w:rPr>
        <w:fldChar w:fldCharType="separate"/>
      </w:r>
      <w:r>
        <w:rPr>
          <w:rFonts w:hint="eastAsia" w:ascii="宋体" w:hAnsi="宋体" w:eastAsia="宋体" w:cs="宋体"/>
          <w:b w:val="0"/>
          <w:bCs/>
        </w:rPr>
        <w:t>34.廉洁自律规定</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_Toc29990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_Toc20506 </w:instrText>
      </w:r>
      <w:r>
        <w:rPr>
          <w:rFonts w:hint="eastAsia" w:ascii="宋体" w:hAnsi="宋体" w:eastAsia="宋体" w:cs="宋体"/>
          <w:b w:val="0"/>
          <w:bCs/>
          <w:kern w:val="0"/>
          <w:szCs w:val="24"/>
        </w:rPr>
        <w:fldChar w:fldCharType="separate"/>
      </w:r>
      <w:r>
        <w:rPr>
          <w:rFonts w:hint="eastAsia" w:ascii="宋体" w:hAnsi="宋体" w:eastAsia="宋体" w:cs="宋体"/>
          <w:b w:val="0"/>
          <w:bCs/>
        </w:rPr>
        <w:t>35.人员回避</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_Toc20506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_Toc3700 </w:instrText>
      </w:r>
      <w:r>
        <w:rPr>
          <w:rFonts w:hint="eastAsia" w:ascii="宋体" w:hAnsi="宋体" w:eastAsia="宋体" w:cs="宋体"/>
          <w:b w:val="0"/>
          <w:bCs/>
          <w:kern w:val="0"/>
          <w:szCs w:val="24"/>
        </w:rPr>
        <w:fldChar w:fldCharType="separate"/>
      </w:r>
      <w:r>
        <w:rPr>
          <w:rFonts w:hint="eastAsia" w:ascii="宋体" w:hAnsi="宋体" w:eastAsia="宋体" w:cs="宋体"/>
          <w:b w:val="0"/>
          <w:bCs/>
        </w:rPr>
        <w:t>36.质疑与接收</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_Toc3700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_Toc25377 </w:instrText>
      </w:r>
      <w:r>
        <w:rPr>
          <w:rFonts w:hint="eastAsia" w:ascii="宋体" w:hAnsi="宋体" w:eastAsia="宋体" w:cs="宋体"/>
          <w:b w:val="0"/>
          <w:bCs/>
          <w:kern w:val="0"/>
          <w:szCs w:val="24"/>
        </w:rPr>
        <w:fldChar w:fldCharType="separate"/>
      </w:r>
      <w:r>
        <w:rPr>
          <w:rFonts w:hint="eastAsia" w:ascii="宋体" w:hAnsi="宋体" w:eastAsia="宋体" w:cs="宋体"/>
          <w:b w:val="0"/>
          <w:bCs/>
        </w:rPr>
        <w:t>质疑函范本</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_Toc25377 </w:instrText>
      </w:r>
      <w:r>
        <w:rPr>
          <w:rFonts w:hint="eastAsia" w:ascii="宋体" w:hAnsi="宋体" w:eastAsia="宋体" w:cs="宋体"/>
          <w:b w:val="0"/>
          <w:bCs/>
        </w:rPr>
        <w:fldChar w:fldCharType="separate"/>
      </w:r>
      <w:r>
        <w:rPr>
          <w:rFonts w:hint="eastAsia" w:ascii="宋体" w:hAnsi="宋体" w:eastAsia="宋体" w:cs="宋体"/>
          <w:b w:val="0"/>
          <w:bCs/>
        </w:rPr>
        <w:t>12</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_Toc1330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第2章 响应文件格式</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_Toc1330 </w:instrText>
      </w:r>
      <w:r>
        <w:rPr>
          <w:rFonts w:hint="eastAsia" w:ascii="宋体" w:hAnsi="宋体" w:eastAsia="宋体" w:cs="宋体"/>
          <w:b w:val="0"/>
          <w:bCs/>
        </w:rPr>
        <w:fldChar w:fldCharType="separate"/>
      </w:r>
      <w:r>
        <w:rPr>
          <w:rFonts w:hint="eastAsia" w:ascii="宋体" w:hAnsi="宋体" w:eastAsia="宋体" w:cs="宋体"/>
          <w:b w:val="0"/>
          <w:bCs/>
        </w:rPr>
        <w:t>14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_Toc32155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32"/>
        </w:rPr>
        <w:t xml:space="preserve">第4章 </w:t>
      </w:r>
      <w:r>
        <w:rPr>
          <w:rFonts w:hint="eastAsia" w:ascii="宋体" w:hAnsi="宋体" w:cs="宋体"/>
          <w:b w:val="0"/>
          <w:bCs/>
          <w:szCs w:val="32"/>
          <w:lang w:eastAsia="zh-CN"/>
        </w:rPr>
        <w:t>供应商</w:t>
      </w:r>
      <w:r>
        <w:rPr>
          <w:rFonts w:hint="eastAsia" w:ascii="宋体" w:hAnsi="宋体" w:eastAsia="宋体" w:cs="宋体"/>
          <w:b w:val="0"/>
          <w:bCs/>
          <w:szCs w:val="32"/>
        </w:rPr>
        <w:t>须知资料表</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_Toc32155 </w:instrText>
      </w:r>
      <w:r>
        <w:rPr>
          <w:rFonts w:hint="eastAsia" w:ascii="宋体" w:hAnsi="宋体" w:eastAsia="宋体" w:cs="宋体"/>
          <w:b w:val="0"/>
          <w:bCs/>
        </w:rPr>
        <w:fldChar w:fldCharType="separate"/>
      </w:r>
      <w:r>
        <w:rPr>
          <w:rFonts w:hint="eastAsia" w:ascii="宋体" w:hAnsi="宋体" w:eastAsia="宋体" w:cs="宋体"/>
          <w:b w:val="0"/>
          <w:bCs/>
        </w:rPr>
        <w:t>36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lang w:val="en-US" w:eastAsia="zh-CN"/>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_Toc27612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8"/>
        </w:rPr>
        <w:t xml:space="preserve">第5章 </w:t>
      </w:r>
      <w:r>
        <w:rPr>
          <w:rFonts w:hint="eastAsia" w:ascii="宋体" w:hAnsi="宋体" w:cs="宋体"/>
          <w:b w:val="0"/>
          <w:bCs/>
          <w:szCs w:val="28"/>
          <w:lang w:val="en-US" w:eastAsia="zh-CN"/>
        </w:rPr>
        <w:t>参数</w:t>
      </w:r>
      <w:r>
        <w:rPr>
          <w:rFonts w:hint="eastAsia" w:ascii="宋体" w:hAnsi="宋体" w:eastAsia="宋体" w:cs="宋体"/>
          <w:b w:val="0"/>
          <w:bCs/>
          <w:szCs w:val="28"/>
          <w:lang w:val="en-US" w:eastAsia="zh-CN"/>
        </w:rPr>
        <w:t>需求一览表及技术规格</w:t>
      </w:r>
      <w:r>
        <w:rPr>
          <w:rFonts w:hint="eastAsia" w:ascii="宋体" w:hAnsi="宋体" w:eastAsia="宋体" w:cs="宋体"/>
          <w:b w:val="0"/>
          <w:bCs/>
        </w:rPr>
        <w:tab/>
      </w:r>
      <w:r>
        <w:rPr>
          <w:rFonts w:hint="eastAsia" w:ascii="宋体" w:hAnsi="宋体" w:cs="宋体"/>
          <w:b w:val="0"/>
          <w:bCs/>
          <w:lang w:val="en-US" w:eastAsia="zh-CN"/>
        </w:rPr>
        <w:t>3</w:t>
      </w:r>
      <w:r>
        <w:rPr>
          <w:rFonts w:hint="eastAsia" w:ascii="宋体" w:hAnsi="宋体" w:eastAsia="宋体" w:cs="宋体"/>
          <w:b w:val="0"/>
          <w:bCs/>
          <w:color w:val="auto"/>
          <w:kern w:val="0"/>
          <w:szCs w:val="24"/>
        </w:rPr>
        <w:fldChar w:fldCharType="end"/>
      </w:r>
      <w:r>
        <w:rPr>
          <w:rFonts w:hint="eastAsia" w:ascii="宋体" w:hAnsi="宋体" w:cs="宋体"/>
          <w:b w:val="0"/>
          <w:bCs/>
          <w:color w:val="auto"/>
          <w:kern w:val="0"/>
          <w:szCs w:val="24"/>
          <w:lang w:val="en-US" w:eastAsia="zh-CN"/>
        </w:rPr>
        <w:t>8</w:t>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_Toc12463 </w:instrText>
      </w:r>
      <w:r>
        <w:rPr>
          <w:rFonts w:hint="eastAsia" w:ascii="宋体" w:hAnsi="宋体" w:eastAsia="宋体" w:cs="宋体"/>
          <w:b w:val="0"/>
          <w:bCs/>
          <w:kern w:val="0"/>
          <w:szCs w:val="24"/>
        </w:rPr>
        <w:fldChar w:fldCharType="separate"/>
      </w:r>
      <w:r>
        <w:rPr>
          <w:rFonts w:hint="eastAsia" w:ascii="宋体" w:hAnsi="宋体" w:eastAsia="宋体" w:cs="宋体"/>
          <w:b w:val="0"/>
          <w:bCs/>
        </w:rPr>
        <w:t>第6章 评审方法和标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_Toc12463 </w:instrText>
      </w:r>
      <w:r>
        <w:rPr>
          <w:rFonts w:hint="eastAsia" w:ascii="宋体" w:hAnsi="宋体" w:eastAsia="宋体" w:cs="宋体"/>
          <w:b w:val="0"/>
          <w:bCs/>
        </w:rPr>
        <w:fldChar w:fldCharType="separate"/>
      </w:r>
      <w:r>
        <w:rPr>
          <w:rFonts w:hint="eastAsia" w:ascii="宋体" w:hAnsi="宋体" w:eastAsia="宋体" w:cs="宋体"/>
          <w:b w:val="0"/>
          <w:bCs/>
        </w:rPr>
        <w:t>59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color w:val="auto"/>
          <w:kern w:val="0"/>
          <w:szCs w:val="24"/>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_Toc15562 </w:instrText>
      </w:r>
      <w:r>
        <w:rPr>
          <w:rFonts w:hint="eastAsia" w:ascii="宋体" w:hAnsi="宋体" w:eastAsia="宋体" w:cs="宋体"/>
          <w:b w:val="0"/>
          <w:bCs/>
          <w:kern w:val="0"/>
          <w:szCs w:val="24"/>
        </w:rPr>
        <w:fldChar w:fldCharType="separate"/>
      </w:r>
      <w:r>
        <w:rPr>
          <w:rFonts w:hint="eastAsia" w:ascii="宋体" w:hAnsi="宋体" w:eastAsia="宋体" w:cs="宋体"/>
          <w:b w:val="0"/>
          <w:bCs/>
        </w:rPr>
        <w:t>第7章</w:t>
      </w:r>
      <w:r>
        <w:rPr>
          <w:rFonts w:hint="eastAsia" w:ascii="宋体" w:hAnsi="宋体" w:eastAsia="宋体" w:cs="宋体"/>
          <w:b w:val="0"/>
          <w:bCs/>
          <w:lang w:val="en-US" w:eastAsia="zh-CN"/>
        </w:rPr>
        <w:t xml:space="preserve"> </w:t>
      </w:r>
      <w:r>
        <w:rPr>
          <w:rFonts w:hint="eastAsia" w:ascii="宋体" w:hAnsi="宋体" w:eastAsia="宋体" w:cs="宋体"/>
          <w:b w:val="0"/>
          <w:bCs/>
        </w:rPr>
        <w:t>政府采购合同</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_Toc15562 </w:instrText>
      </w:r>
      <w:r>
        <w:rPr>
          <w:rFonts w:hint="eastAsia" w:ascii="宋体" w:hAnsi="宋体" w:eastAsia="宋体" w:cs="宋体"/>
          <w:b w:val="0"/>
          <w:bCs/>
        </w:rPr>
        <w:fldChar w:fldCharType="separate"/>
      </w:r>
      <w:r>
        <w:rPr>
          <w:rFonts w:hint="eastAsia" w:ascii="宋体" w:hAnsi="宋体" w:eastAsia="宋体" w:cs="宋体"/>
          <w:b w:val="0"/>
          <w:bCs/>
        </w:rPr>
        <w:t>65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tabs>
          <w:tab w:val="left" w:pos="7533"/>
        </w:tabs>
        <w:rPr>
          <w:rFonts w:hint="eastAsia" w:ascii="宋体" w:hAnsi="宋体" w:eastAsia="宋体" w:cs="宋体"/>
          <w:b w:val="0"/>
          <w:bCs/>
          <w:color w:val="auto"/>
          <w:kern w:val="0"/>
          <w:szCs w:val="24"/>
          <w:lang w:eastAsia="zh-CN"/>
        </w:rPr>
      </w:pPr>
      <w:r>
        <w:rPr>
          <w:rFonts w:hint="eastAsia" w:ascii="宋体" w:hAnsi="宋体" w:eastAsia="宋体" w:cs="宋体"/>
          <w:b w:val="0"/>
          <w:bCs/>
          <w:color w:val="auto"/>
          <w:kern w:val="0"/>
          <w:szCs w:val="24"/>
          <w:lang w:eastAsia="zh-CN"/>
        </w:rPr>
        <w:tab/>
      </w: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3"/>
        <w:pageBreakBefore w:val="0"/>
        <w:widowControl w:val="0"/>
        <w:numPr>
          <w:ilvl w:val="0"/>
          <w:numId w:val="0"/>
        </w:numPr>
        <w:tabs>
          <w:tab w:val="left" w:pos="0"/>
        </w:tabs>
        <w:kinsoku/>
        <w:wordWrap/>
        <w:overflowPunct/>
        <w:topLinePunct w:val="0"/>
        <w:bidi w:val="0"/>
        <w:snapToGrid/>
        <w:spacing w:before="0" w:after="0" w:line="400" w:lineRule="exact"/>
        <w:ind w:left="0" w:leftChars="0"/>
        <w:jc w:val="center"/>
        <w:textAlignment w:val="auto"/>
        <w:rPr>
          <w:rFonts w:hint="eastAsia" w:ascii="宋体" w:hAnsi="宋体" w:eastAsia="宋体" w:cs="宋体"/>
          <w:b w:val="0"/>
          <w:bCs/>
          <w:color w:val="auto"/>
          <w:kern w:val="0"/>
          <w:szCs w:val="24"/>
        </w:rPr>
        <w:sectPr>
          <w:headerReference r:id="rId5" w:type="default"/>
          <w:footerReference r:id="rId6" w:type="default"/>
          <w:pgSz w:w="11906" w:h="16838"/>
          <w:pgMar w:top="1440" w:right="1797" w:bottom="1440" w:left="1797" w:header="851" w:footer="992" w:gutter="0"/>
          <w:pgNumType w:start="1"/>
          <w:cols w:space="720" w:num="1"/>
          <w:docGrid w:linePitch="312" w:charSpace="0"/>
        </w:sectPr>
      </w:pPr>
    </w:p>
    <w:p>
      <w:pPr>
        <w:pStyle w:val="3"/>
        <w:pageBreakBefore w:val="0"/>
        <w:widowControl w:val="0"/>
        <w:numPr>
          <w:ilvl w:val="0"/>
          <w:numId w:val="0"/>
        </w:numPr>
        <w:tabs>
          <w:tab w:val="left" w:pos="0"/>
        </w:tabs>
        <w:kinsoku/>
        <w:wordWrap/>
        <w:overflowPunct/>
        <w:topLinePunct w:val="0"/>
        <w:bidi w:val="0"/>
        <w:snapToGrid/>
        <w:spacing w:before="0" w:after="0" w:line="400" w:lineRule="exact"/>
        <w:ind w:left="0" w:leftChars="0"/>
        <w:jc w:val="center"/>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kern w:val="0"/>
          <w:szCs w:val="24"/>
        </w:rPr>
        <w:fldChar w:fldCharType="end"/>
      </w:r>
      <w:bookmarkStart w:id="0" w:name="_Toc1462"/>
      <w:bookmarkStart w:id="1" w:name="_Toc518923059"/>
      <w:bookmarkStart w:id="2" w:name="_Toc10715352"/>
      <w:bookmarkStart w:id="3" w:name="_Toc30145"/>
      <w:r>
        <w:rPr>
          <w:rFonts w:hint="eastAsia" w:ascii="宋体" w:hAnsi="宋体" w:eastAsia="宋体" w:cs="宋体"/>
          <w:b w:val="0"/>
          <w:bCs/>
          <w:color w:val="auto"/>
          <w:kern w:val="0"/>
          <w:sz w:val="28"/>
          <w:szCs w:val="28"/>
          <w:lang w:val="en-US" w:eastAsia="zh-CN"/>
        </w:rPr>
        <w:t xml:space="preserve">第1章  </w:t>
      </w:r>
      <w:r>
        <w:rPr>
          <w:rFonts w:hint="eastAsia" w:hAnsi="宋体" w:cs="宋体"/>
          <w:b w:val="0"/>
          <w:bCs/>
          <w:color w:val="auto"/>
          <w:sz w:val="28"/>
          <w:szCs w:val="28"/>
          <w:lang w:eastAsia="zh-CN"/>
        </w:rPr>
        <w:t>供应商</w:t>
      </w:r>
      <w:r>
        <w:rPr>
          <w:rFonts w:hint="eastAsia" w:ascii="宋体" w:hAnsi="宋体" w:eastAsia="宋体" w:cs="宋体"/>
          <w:b w:val="0"/>
          <w:bCs/>
          <w:color w:val="auto"/>
          <w:sz w:val="28"/>
          <w:szCs w:val="28"/>
        </w:rPr>
        <w:t>须知</w:t>
      </w:r>
      <w:bookmarkEnd w:id="0"/>
      <w:bookmarkEnd w:id="1"/>
      <w:bookmarkEnd w:id="2"/>
      <w:bookmarkEnd w:id="3"/>
    </w:p>
    <w:p>
      <w:pPr>
        <w:rPr>
          <w:rFonts w:hint="eastAsia" w:ascii="宋体" w:hAnsi="宋体" w:eastAsia="宋体" w:cs="宋体"/>
          <w:b w:val="0"/>
          <w:bCs/>
          <w:color w:val="auto"/>
          <w:sz w:val="24"/>
        </w:rPr>
      </w:pPr>
    </w:p>
    <w:p>
      <w:pPr>
        <w:pStyle w:val="4"/>
        <w:spacing w:before="0" w:line="240" w:lineRule="atLeast"/>
        <w:jc w:val="center"/>
        <w:rPr>
          <w:rFonts w:hint="eastAsia" w:ascii="宋体" w:hAnsi="宋体" w:eastAsia="宋体" w:cs="宋体"/>
          <w:b w:val="0"/>
          <w:bCs/>
          <w:color w:val="auto"/>
          <w:sz w:val="24"/>
          <w:szCs w:val="24"/>
        </w:rPr>
      </w:pPr>
      <w:bookmarkStart w:id="4" w:name="_Toc515647757"/>
      <w:bookmarkStart w:id="5" w:name="_Toc216582805"/>
      <w:bookmarkStart w:id="6" w:name="_Toc520356143"/>
      <w:bookmarkStart w:id="7" w:name="_Toc21015"/>
      <w:bookmarkStart w:id="8" w:name="_Toc21215"/>
      <w:bookmarkStart w:id="9" w:name="_Toc26896"/>
      <w:r>
        <w:rPr>
          <w:rFonts w:hint="eastAsia" w:ascii="宋体" w:hAnsi="宋体" w:eastAsia="宋体" w:cs="宋体"/>
          <w:b w:val="0"/>
          <w:bCs/>
          <w:color w:val="auto"/>
          <w:sz w:val="24"/>
          <w:szCs w:val="24"/>
        </w:rPr>
        <w:t xml:space="preserve">一   </w:t>
      </w:r>
      <w:bookmarkEnd w:id="4"/>
      <w:bookmarkEnd w:id="5"/>
      <w:bookmarkEnd w:id="6"/>
      <w:r>
        <w:rPr>
          <w:rFonts w:hint="eastAsia" w:ascii="宋体" w:hAnsi="宋体" w:eastAsia="宋体" w:cs="宋体"/>
          <w:b w:val="0"/>
          <w:bCs/>
          <w:color w:val="auto"/>
          <w:sz w:val="24"/>
          <w:szCs w:val="24"/>
        </w:rPr>
        <w:t>总 则</w:t>
      </w:r>
      <w:bookmarkEnd w:id="7"/>
      <w:bookmarkEnd w:id="8"/>
      <w:bookmarkEnd w:id="9"/>
    </w:p>
    <w:p>
      <w:pPr>
        <w:pStyle w:val="5"/>
        <w:pageBreakBefore w:val="0"/>
        <w:widowControl w:val="0"/>
        <w:kinsoku/>
        <w:wordWrap/>
        <w:overflowPunct/>
        <w:topLinePunct w:val="0"/>
        <w:bidi w:val="0"/>
        <w:snapToGrid/>
        <w:spacing w:before="0" w:after="0" w:line="340" w:lineRule="exact"/>
        <w:textAlignment w:val="auto"/>
        <w:rPr>
          <w:rFonts w:hint="eastAsia" w:ascii="宋体" w:hAnsi="宋体" w:eastAsia="宋体" w:cs="宋体"/>
          <w:b w:val="0"/>
          <w:bCs/>
          <w:color w:val="auto"/>
          <w:sz w:val="21"/>
          <w:szCs w:val="21"/>
          <w:u w:val="none"/>
          <w:lang w:eastAsia="zh-CN"/>
        </w:rPr>
      </w:pPr>
      <w:bookmarkStart w:id="10" w:name="_Toc32189"/>
      <w:bookmarkStart w:id="11" w:name="_Toc2853"/>
      <w:bookmarkStart w:id="12" w:name="_Toc515647758"/>
      <w:bookmarkStart w:id="13" w:name="_Toc520356144"/>
      <w:bookmarkStart w:id="14" w:name="_Toc32623"/>
      <w:r>
        <w:rPr>
          <w:rFonts w:hint="eastAsia" w:ascii="宋体" w:hAnsi="宋体" w:eastAsia="宋体" w:cs="宋体"/>
          <w:b w:val="0"/>
          <w:bCs/>
          <w:color w:val="auto"/>
          <w:sz w:val="21"/>
          <w:szCs w:val="21"/>
          <w:u w:val="none"/>
        </w:rPr>
        <w:t>1.</w:t>
      </w:r>
      <w:r>
        <w:rPr>
          <w:rFonts w:hint="eastAsia" w:hAnsi="宋体" w:cs="宋体"/>
          <w:b/>
          <w:bCs w:val="0"/>
          <w:color w:val="auto"/>
          <w:sz w:val="21"/>
          <w:szCs w:val="21"/>
          <w:u w:val="none"/>
          <w:lang w:eastAsia="zh-CN"/>
        </w:rPr>
        <w:t>采购人</w:t>
      </w:r>
      <w:r>
        <w:rPr>
          <w:rFonts w:hint="eastAsia" w:ascii="宋体" w:hAnsi="宋体" w:eastAsia="宋体" w:cs="宋体"/>
          <w:b/>
          <w:bCs w:val="0"/>
          <w:color w:val="auto"/>
          <w:sz w:val="21"/>
          <w:szCs w:val="21"/>
          <w:u w:val="none"/>
        </w:rPr>
        <w:t>、</w:t>
      </w:r>
      <w:r>
        <w:rPr>
          <w:rFonts w:hint="eastAsia" w:hAnsi="宋体" w:cs="宋体"/>
          <w:b/>
          <w:bCs w:val="0"/>
          <w:color w:val="auto"/>
          <w:sz w:val="21"/>
          <w:szCs w:val="21"/>
          <w:u w:val="none"/>
          <w:lang w:eastAsia="zh-CN"/>
        </w:rPr>
        <w:t>采购代理机构</w:t>
      </w:r>
      <w:r>
        <w:rPr>
          <w:rFonts w:hint="eastAsia" w:ascii="宋体" w:hAnsi="宋体" w:eastAsia="宋体" w:cs="宋体"/>
          <w:b/>
          <w:bCs w:val="0"/>
          <w:color w:val="auto"/>
          <w:sz w:val="21"/>
          <w:szCs w:val="21"/>
          <w:u w:val="none"/>
        </w:rPr>
        <w:t>及</w:t>
      </w:r>
      <w:bookmarkEnd w:id="10"/>
      <w:bookmarkEnd w:id="11"/>
      <w:bookmarkEnd w:id="12"/>
      <w:bookmarkEnd w:id="13"/>
      <w:bookmarkEnd w:id="14"/>
      <w:r>
        <w:rPr>
          <w:rFonts w:hint="eastAsia" w:hAnsi="宋体" w:cs="宋体"/>
          <w:b/>
          <w:bCs w:val="0"/>
          <w:color w:val="auto"/>
          <w:sz w:val="21"/>
          <w:szCs w:val="21"/>
          <w:u w:val="none"/>
          <w:lang w:eastAsia="zh-CN"/>
        </w:rPr>
        <w:t>供应商</w:t>
      </w:r>
    </w:p>
    <w:p>
      <w:pPr>
        <w:keepNext w:val="0"/>
        <w:keepLines w:val="0"/>
        <w:pageBreakBefore w:val="0"/>
        <w:widowControl w:val="0"/>
        <w:numPr>
          <w:ilvl w:val="1"/>
          <w:numId w:val="2"/>
        </w:numPr>
        <w:tabs>
          <w:tab w:val="left" w:pos="0"/>
          <w:tab w:val="clear" w:pos="900"/>
        </w:tabs>
        <w:kinsoku/>
        <w:wordWrap/>
        <w:overflowPunct/>
        <w:topLinePunct w:val="0"/>
        <w:autoSpaceDE/>
        <w:autoSpaceDN/>
        <w:bidi w:val="0"/>
        <w:adjustRightInd/>
        <w:snapToGrid/>
        <w:spacing w:line="340" w:lineRule="exact"/>
        <w:ind w:left="0" w:firstLine="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：是指依法开展政府采购活动的国家机关、事业单位、团体组织。</w:t>
      </w:r>
    </w:p>
    <w:p>
      <w:pPr>
        <w:pageBreakBefore w:val="0"/>
        <w:widowControl w:val="0"/>
        <w:tabs>
          <w:tab w:val="left" w:pos="0"/>
        </w:tabs>
        <w:kinsoku/>
        <w:wordWrap/>
        <w:overflowPunct/>
        <w:topLinePunct w:val="0"/>
        <w:bidi w:val="0"/>
        <w:snapToGrid/>
        <w:spacing w:line="340" w:lineRule="exact"/>
        <w:ind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keepNext w:val="0"/>
        <w:keepLines w:val="0"/>
        <w:pageBreakBefore w:val="0"/>
        <w:widowControl w:val="0"/>
        <w:numPr>
          <w:ilvl w:val="1"/>
          <w:numId w:val="2"/>
        </w:numPr>
        <w:tabs>
          <w:tab w:val="left" w:pos="0"/>
          <w:tab w:val="clear" w:pos="900"/>
        </w:tabs>
        <w:kinsoku/>
        <w:wordWrap/>
        <w:overflowPunct/>
        <w:topLinePunct w:val="0"/>
        <w:autoSpaceDE/>
        <w:autoSpaceDN/>
        <w:bidi w:val="0"/>
        <w:adjustRightInd/>
        <w:snapToGrid/>
        <w:spacing w:line="340" w:lineRule="exact"/>
        <w:ind w:left="896" w:hanging="896"/>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：是指在集中采购机构或从事采购代理业务的社会中介机构。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40" w:lineRule="exact"/>
        <w:ind w:left="0" w:leftChars="0"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本项目的</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pageBreakBefore w:val="0"/>
        <w:widowControl w:val="0"/>
        <w:numPr>
          <w:ilvl w:val="1"/>
          <w:numId w:val="2"/>
        </w:numPr>
        <w:tabs>
          <w:tab w:val="left" w:pos="840"/>
          <w:tab w:val="clear" w:pos="900"/>
        </w:tabs>
        <w:kinsoku/>
        <w:wordWrap/>
        <w:overflowPunct/>
        <w:topLinePunct w:val="0"/>
        <w:bidi w:val="0"/>
        <w:snapToGrid/>
        <w:spacing w:line="340" w:lineRule="exact"/>
        <w:ind w:hangingChars="375"/>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：是指向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提供</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、工程或者</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的法人、非法人组织或者自然人。本项目的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及其磋商</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须满足以下条件：</w:t>
      </w:r>
    </w:p>
    <w:p>
      <w:pPr>
        <w:pageBreakBefore w:val="0"/>
        <w:widowControl w:val="0"/>
        <w:numPr>
          <w:ilvl w:val="2"/>
          <w:numId w:val="2"/>
        </w:numPr>
        <w:kinsoku/>
        <w:wordWrap/>
        <w:overflowPunct/>
        <w:topLinePunct w:val="0"/>
        <w:bidi w:val="0"/>
        <w:snapToGrid/>
        <w:spacing w:line="340" w:lineRule="exact"/>
        <w:ind w:left="900" w:leftChars="0" w:hanging="90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在中华人民共和国境内注册，能够独立承担民事责任，有生产或供应能力的本国</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w:t>
      </w:r>
    </w:p>
    <w:p>
      <w:pPr>
        <w:pageBreakBefore w:val="0"/>
        <w:widowControl w:val="0"/>
        <w:kinsoku/>
        <w:wordWrap/>
        <w:overflowPunct/>
        <w:topLinePunct w:val="0"/>
        <w:bidi w:val="0"/>
        <w:snapToGrid/>
        <w:spacing w:line="340" w:lineRule="exact"/>
        <w:ind w:left="900" w:hanging="787" w:hangingChars="3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1.3.2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具备《中华人民共和国政府采购法》第二十二条关于</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条件的规定，遵守本项目</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本级和上级财政部门政府采购的有关规定。</w:t>
      </w:r>
    </w:p>
    <w:p>
      <w:pPr>
        <w:keepNext w:val="0"/>
        <w:keepLines w:val="0"/>
        <w:pageBreakBefore w:val="0"/>
        <w:widowControl w:val="0"/>
        <w:kinsoku/>
        <w:wordWrap/>
        <w:overflowPunct/>
        <w:topLinePunct w:val="0"/>
        <w:autoSpaceDE/>
        <w:autoSpaceDN/>
        <w:bidi w:val="0"/>
        <w:adjustRightInd/>
        <w:snapToGrid/>
        <w:spacing w:line="340" w:lineRule="exact"/>
        <w:ind w:left="453" w:leftChars="0" w:hanging="453" w:hangingChars="216"/>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1.3.3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以</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认可的方式获得了本项目的磋商文件。</w:t>
      </w:r>
    </w:p>
    <w:p>
      <w:pPr>
        <w:pageBreakBefore w:val="0"/>
        <w:widowControl w:val="0"/>
        <w:kinsoku/>
        <w:wordWrap/>
        <w:overflowPunct/>
        <w:topLinePunct w:val="0"/>
        <w:bidi w:val="0"/>
        <w:snapToGrid/>
        <w:spacing w:line="340" w:lineRule="exact"/>
        <w:ind w:left="900" w:hanging="787" w:hangingChars="3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1.3.4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符合</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中规定的其他要求。</w:t>
      </w:r>
    </w:p>
    <w:p>
      <w:pPr>
        <w:pageBreakBefore w:val="0"/>
        <w:kinsoku/>
        <w:wordWrap/>
        <w:overflowPunct/>
        <w:topLinePunct w:val="0"/>
        <w:bidi w:val="0"/>
        <w:spacing w:line="340" w:lineRule="exact"/>
        <w:ind w:left="840" w:hanging="735" w:hangingChars="35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1.3.5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若</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中写明专门面向中小企业采购的，如</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为非中小企业且所投产品为非中小企业产品，其磋商将被认定为磋商无效。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    如</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中允许联合体磋商，对联合体规定如下：</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1.4.1  两个以上</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可以组成一个磋商联合体，以一个</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的身份磋商。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1.4.2  联合体各方均应符合《中华人民共和国政府采购法》第二十二条规定的条件。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1.4.3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根据采购项目对</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的特殊要求，联合体中至少应当有一方符合相关规定。</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1.4.4  联合体各方应签订共同磋商协议，明确约定联合体各方承担的工作和相应的责任，并将共同磋商协议连同作为磋商文件第一部分的内容提交。</w:t>
      </w:r>
    </w:p>
    <w:p>
      <w:pPr>
        <w:pageBreakBefore w:val="0"/>
        <w:kinsoku/>
        <w:wordWrap/>
        <w:overflowPunct/>
        <w:topLinePunct w:val="0"/>
        <w:bidi w:val="0"/>
        <w:spacing w:line="340" w:lineRule="exact"/>
        <w:ind w:left="900" w:hanging="787" w:hangingChars="375"/>
        <w:rPr>
          <w:rFonts w:hint="eastAsia" w:ascii="宋体" w:hAnsi="宋体" w:eastAsia="宋体" w:cs="宋体"/>
          <w:sz w:val="21"/>
          <w:szCs w:val="21"/>
        </w:rPr>
      </w:pPr>
      <w:r>
        <w:rPr>
          <w:rFonts w:hint="eastAsia" w:ascii="宋体" w:hAnsi="宋体" w:eastAsia="宋体" w:cs="宋体"/>
          <w:b w:val="0"/>
          <w:bCs/>
          <w:color w:val="auto"/>
          <w:sz w:val="21"/>
          <w:szCs w:val="21"/>
        </w:rPr>
        <w:t>1.4.5  大中型企业、其他自然人、法人或者非法人组织与小型、微型企业组成联合体共同参加磋商，共同磋商协议中应写明小型、微型企业的协议合同金额占到共同磋商协议磋商总金额的比例。</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1.4.6  联合体中有同类资质的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按照联合体分工承担相同工作的，按照较低的资质等级确定联合体的资质等级。</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1.4.7  以联合体形式参加政府采购活动的，联合体各方不得再单独参加或者与其他</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另外组成联合体参加本项目磋商，否则相关磋商将被认定为磋商无效。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1.4.8  对联合体磋商的其他资格要求见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40" w:lineRule="exact"/>
        <w:ind w:left="1020" w:hanging="892" w:hangingChars="42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   单位负责人为同一人或者存在直接控股、管理关系的不同</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，相关磋商将被认</w:t>
      </w:r>
    </w:p>
    <w:p>
      <w:pPr>
        <w:keepNext w:val="0"/>
        <w:keepLines w:val="0"/>
        <w:pageBreakBefore w:val="0"/>
        <w:widowControl w:val="0"/>
        <w:kinsoku/>
        <w:wordWrap/>
        <w:overflowPunct/>
        <w:topLinePunct w:val="0"/>
        <w:autoSpaceDE/>
        <w:autoSpaceDN/>
        <w:bidi w:val="0"/>
        <w:adjustRightInd/>
        <w:snapToGrid/>
        <w:spacing w:line="340" w:lineRule="exac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   为本项目提供过整体设计、规范编制或者项目管理、监理、检测等</w:t>
      </w:r>
      <w:r>
        <w:rPr>
          <w:rFonts w:hint="eastAsia" w:ascii="宋体" w:hAnsi="宋体" w:eastAsia="宋体" w:cs="宋体"/>
          <w:b w:val="0"/>
          <w:bCs/>
          <w:color w:val="auto"/>
          <w:sz w:val="21"/>
          <w:szCs w:val="21"/>
          <w:lang w:val="en-US" w:eastAsia="zh-CN"/>
        </w:rPr>
        <w:t>要求</w:t>
      </w:r>
      <w:r>
        <w:rPr>
          <w:rFonts w:hint="eastAsia" w:ascii="宋体" w:hAnsi="宋体" w:eastAsia="宋体" w:cs="宋体"/>
          <w:b w:val="0"/>
          <w:bCs/>
          <w:color w:val="auto"/>
          <w:sz w:val="21"/>
          <w:szCs w:val="21"/>
        </w:rPr>
        <w:t>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不得再参加本项目上述</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以外的其他采购活动。否则其磋商将被认定为磋商无效。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在磋商过程中不得向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提供、给予任何有价值的物品，影响其正常决策</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行为。一经发现，其将被认定为磋商无效。</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2.资金来源</w:t>
      </w:r>
    </w:p>
    <w:p>
      <w:pPr>
        <w:pageBreakBefore w:val="0"/>
        <w:kinsoku/>
        <w:wordWrap/>
        <w:overflowPunct/>
        <w:topLinePunct w:val="0"/>
        <w:bidi w:val="0"/>
        <w:spacing w:line="340" w:lineRule="exact"/>
        <w:ind w:left="558" w:leftChars="0" w:hanging="558" w:hangingChars="26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本项目的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2.2  </w:t>
      </w:r>
      <w:r>
        <w:rPr>
          <w:rFonts w:hint="eastAsia" w:ascii="宋体" w:hAnsi="宋体" w:cs="宋体"/>
          <w:b w:val="0"/>
          <w:bCs/>
          <w:color w:val="auto"/>
          <w:sz w:val="21"/>
          <w:szCs w:val="21"/>
          <w:lang w:val="en-US" w:eastAsia="zh-CN"/>
        </w:rPr>
        <w:t xml:space="preserve"> 项目预算金额见</w:t>
      </w:r>
      <w:r>
        <w:rPr>
          <w:rFonts w:hint="eastAsia" w:ascii="宋体" w:hAnsi="宋体" w:cs="宋体"/>
          <w:b w:val="0"/>
          <w:bCs/>
          <w:color w:val="auto"/>
          <w:sz w:val="21"/>
          <w:szCs w:val="21"/>
          <w:u w:val="single"/>
          <w:lang w:val="en-US" w:eastAsia="zh-CN"/>
        </w:rPr>
        <w:t>供应商须知资料表</w:t>
      </w:r>
      <w:r>
        <w:rPr>
          <w:rFonts w:hint="eastAsia" w:ascii="宋体" w:hAnsi="宋体" w:eastAsia="宋体" w:cs="宋体"/>
          <w:b w:val="0"/>
          <w:bCs/>
          <w:color w:val="auto"/>
          <w:sz w:val="21"/>
          <w:szCs w:val="21"/>
        </w:rPr>
        <w:t>。</w:t>
      </w:r>
    </w:p>
    <w:p>
      <w:pPr>
        <w:pStyle w:val="2"/>
        <w:pageBreakBefore w:val="0"/>
        <w:kinsoku/>
        <w:wordWrap/>
        <w:overflowPunct/>
        <w:topLinePunct w:val="0"/>
        <w:bidi w:val="0"/>
        <w:spacing w:line="340" w:lineRule="exact"/>
        <w:ind w:left="0" w:leftChars="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2.3  </w:t>
      </w:r>
      <w:r>
        <w:rPr>
          <w:rFonts w:hint="eastAsia" w:hAnsi="宋体" w:cs="宋体"/>
          <w:b w:val="0"/>
          <w:bCs/>
          <w:color w:val="auto"/>
          <w:sz w:val="21"/>
          <w:szCs w:val="21"/>
          <w:lang w:val="en-US" w:eastAsia="zh-CN"/>
        </w:rPr>
        <w:t xml:space="preserve"> 供应商报价超过磋商文件规定的预算金额，其报价将被认定为无效</w:t>
      </w:r>
      <w:r>
        <w:rPr>
          <w:rFonts w:hint="eastAsia" w:ascii="宋体" w:hAnsi="宋体" w:eastAsia="宋体" w:cs="宋体"/>
          <w:b w:val="0"/>
          <w:bCs/>
          <w:color w:val="auto"/>
          <w:sz w:val="21"/>
          <w:szCs w:val="21"/>
        </w:rPr>
        <w:t>。</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3.磋商费用</w:t>
      </w:r>
    </w:p>
    <w:p>
      <w:pPr>
        <w:keepNext w:val="0"/>
        <w:keepLines w:val="0"/>
        <w:pageBreakBefore w:val="0"/>
        <w:widowControl w:val="0"/>
        <w:kinsoku/>
        <w:wordWrap/>
        <w:overflowPunct/>
        <w:topLinePunct w:val="0"/>
        <w:autoSpaceDE/>
        <w:autoSpaceDN/>
        <w:bidi w:val="0"/>
        <w:adjustRightInd/>
        <w:snapToGrid/>
        <w:spacing w:line="340" w:lineRule="exact"/>
        <w:ind w:left="660" w:hanging="577" w:hangingChars="2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不论磋商的结果如何，</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应承担所有与准备和参加磋商有关的费用。</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4.适用法律</w:t>
      </w:r>
    </w:p>
    <w:p>
      <w:pPr>
        <w:keepNext w:val="0"/>
        <w:keepLines w:val="0"/>
        <w:pageBreakBefore w:val="0"/>
        <w:widowControl w:val="0"/>
        <w:kinsoku/>
        <w:wordWrap/>
        <w:overflowPunct/>
        <w:topLinePunct w:val="0"/>
        <w:autoSpaceDE/>
        <w:autoSpaceDN/>
        <w:bidi w:val="0"/>
        <w:adjustRightInd/>
        <w:snapToGrid/>
        <w:spacing w:line="340" w:lineRule="exact"/>
        <w:ind w:left="660" w:hanging="577" w:hangingChars="2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本项目</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、评审委员会的相关行为均受《中华人民共和国政府采购法》、《中华人民共和国政府采购法实施条例》及本项目本级和上级财政部门政府采购有关规定的约束，其权利受到上述法律法规的保护。</w:t>
      </w:r>
    </w:p>
    <w:p>
      <w:pPr>
        <w:pStyle w:val="2"/>
        <w:ind w:left="0" w:leftChars="0" w:firstLine="0" w:firstLineChars="0"/>
        <w:rPr>
          <w:rFonts w:hint="eastAsia" w:ascii="宋体" w:hAnsi="宋体" w:eastAsia="宋体" w:cs="宋体"/>
          <w:sz w:val="21"/>
          <w:szCs w:val="21"/>
        </w:rPr>
      </w:pPr>
    </w:p>
    <w:p>
      <w:pPr>
        <w:pStyle w:val="4"/>
        <w:pageBreakBefore w:val="0"/>
        <w:kinsoku/>
        <w:wordWrap/>
        <w:overflowPunct/>
        <w:topLinePunct w:val="0"/>
        <w:bidi w:val="0"/>
        <w:spacing w:before="0" w:line="340" w:lineRule="exact"/>
        <w:ind w:left="1080" w:leftChars="257" w:hanging="540"/>
        <w:rPr>
          <w:rFonts w:hint="eastAsia"/>
        </w:rPr>
      </w:pPr>
      <w:r>
        <w:rPr>
          <w:rFonts w:hint="eastAsia" w:ascii="宋体" w:hAnsi="宋体" w:eastAsia="宋体" w:cs="宋体"/>
          <w:b w:val="0"/>
          <w:bCs/>
          <w:color w:val="auto"/>
          <w:sz w:val="21"/>
          <w:szCs w:val="21"/>
        </w:rPr>
        <w:t>二   磋商文件</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5.磋商文件构成</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磋商文件分为三册共7章，内容如下：</w:t>
      </w:r>
    </w:p>
    <w:p>
      <w:pPr>
        <w:pageBreakBefore w:val="0"/>
        <w:kinsoku/>
        <w:wordWrap/>
        <w:overflowPunct/>
        <w:topLinePunct w:val="0"/>
        <w:bidi w:val="0"/>
        <w:spacing w:line="340" w:lineRule="exact"/>
        <w:ind w:firstLine="630" w:firstLineChars="300"/>
        <w:rPr>
          <w:rFonts w:hint="eastAsia" w:ascii="宋体" w:hAnsi="宋体" w:eastAsia="宋体" w:cs="宋体"/>
          <w:sz w:val="21"/>
          <w:szCs w:val="21"/>
        </w:rPr>
      </w:pPr>
      <w:r>
        <w:rPr>
          <w:rFonts w:hint="eastAsia" w:ascii="宋体" w:hAnsi="宋体" w:eastAsia="宋体" w:cs="宋体"/>
          <w:b w:val="0"/>
          <w:bCs/>
          <w:color w:val="auto"/>
          <w:sz w:val="21"/>
          <w:szCs w:val="21"/>
        </w:rPr>
        <w:t>第一册</w:t>
      </w:r>
    </w:p>
    <w:p>
      <w:pPr>
        <w:pageBreakBefore w:val="0"/>
        <w:numPr>
          <w:ilvl w:val="0"/>
          <w:numId w:val="0"/>
        </w:numPr>
        <w:tabs>
          <w:tab w:val="left" w:pos="0"/>
        </w:tabs>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第1章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须知</w:t>
      </w:r>
    </w:p>
    <w:p>
      <w:pPr>
        <w:pageBreakBefore w:val="0"/>
        <w:numPr>
          <w:ilvl w:val="0"/>
          <w:numId w:val="0"/>
        </w:numPr>
        <w:kinsoku/>
        <w:wordWrap/>
        <w:overflowPunct/>
        <w:topLinePunct w:val="0"/>
        <w:bidi w:val="0"/>
        <w:spacing w:line="340" w:lineRule="exact"/>
        <w:ind w:firstLine="630" w:firstLineChars="300"/>
        <w:rPr>
          <w:rFonts w:hint="eastAsia"/>
        </w:rPr>
      </w:pPr>
      <w:r>
        <w:rPr>
          <w:rFonts w:hint="eastAsia" w:ascii="宋体" w:hAnsi="宋体" w:eastAsia="宋体" w:cs="宋体"/>
          <w:b w:val="0"/>
          <w:bCs/>
          <w:color w:val="auto"/>
          <w:sz w:val="21"/>
          <w:szCs w:val="21"/>
          <w:lang w:val="en-US" w:eastAsia="zh-CN"/>
        </w:rPr>
        <w:t>第2章</w:t>
      </w:r>
      <w:r>
        <w:rPr>
          <w:rFonts w:hint="eastAsia" w:ascii="宋体" w:hAnsi="宋体" w:eastAsia="宋体" w:cs="宋体"/>
          <w:b w:val="0"/>
          <w:bCs/>
          <w:color w:val="auto"/>
          <w:sz w:val="21"/>
          <w:szCs w:val="21"/>
        </w:rPr>
        <w:t xml:space="preserve"> 响应文件格式</w:t>
      </w:r>
    </w:p>
    <w:p>
      <w:pPr>
        <w:pageBreakBefore w:val="0"/>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第二册</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第3章</w:t>
      </w:r>
      <w:r>
        <w:rPr>
          <w:rFonts w:hint="eastAsia" w:ascii="宋体" w:hAnsi="宋体" w:eastAsia="宋体" w:cs="宋体"/>
          <w:b w:val="0"/>
          <w:bCs/>
          <w:color w:val="auto"/>
          <w:sz w:val="21"/>
          <w:szCs w:val="21"/>
        </w:rPr>
        <w:t xml:space="preserve"> 磋商邀请</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第4章</w:t>
      </w: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须知资料表</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第5章</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需求一览表及</w:t>
      </w:r>
      <w:r>
        <w:rPr>
          <w:rFonts w:hint="eastAsia" w:ascii="宋体" w:hAnsi="宋体" w:eastAsia="宋体" w:cs="宋体"/>
          <w:b w:val="0"/>
          <w:bCs/>
          <w:color w:val="auto"/>
          <w:sz w:val="21"/>
          <w:szCs w:val="21"/>
          <w:lang w:val="en-US" w:eastAsia="zh-CN"/>
        </w:rPr>
        <w:t>项目要求</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sz w:val="21"/>
          <w:szCs w:val="21"/>
        </w:rPr>
      </w:pPr>
      <w:r>
        <w:rPr>
          <w:rFonts w:hint="eastAsia" w:ascii="宋体" w:hAnsi="宋体" w:eastAsia="宋体" w:cs="宋体"/>
          <w:b w:val="0"/>
          <w:bCs/>
          <w:color w:val="auto"/>
          <w:sz w:val="21"/>
          <w:szCs w:val="21"/>
          <w:lang w:val="en-US" w:eastAsia="zh-CN"/>
        </w:rPr>
        <w:t xml:space="preserve">第6章 </w:t>
      </w:r>
      <w:r>
        <w:rPr>
          <w:rFonts w:hint="eastAsia" w:ascii="宋体" w:hAnsi="宋体" w:eastAsia="宋体" w:cs="宋体"/>
          <w:b w:val="0"/>
          <w:bCs/>
          <w:color w:val="auto"/>
          <w:sz w:val="21"/>
          <w:szCs w:val="21"/>
        </w:rPr>
        <w:t>评审方法和标准</w:t>
      </w:r>
    </w:p>
    <w:p>
      <w:pPr>
        <w:pageBreakBefore w:val="0"/>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第三册</w:t>
      </w:r>
    </w:p>
    <w:p>
      <w:pPr>
        <w:pageBreakBefore w:val="0"/>
        <w:numPr>
          <w:ilvl w:val="0"/>
          <w:numId w:val="0"/>
        </w:numPr>
        <w:kinsoku/>
        <w:wordWrap/>
        <w:overflowPunct/>
        <w:topLinePunct w:val="0"/>
        <w:bidi w:val="0"/>
        <w:spacing w:line="340" w:lineRule="exact"/>
        <w:ind w:firstLine="630" w:firstLineChars="300"/>
        <w:rPr>
          <w:rFonts w:hint="eastAsia"/>
        </w:rPr>
      </w:pPr>
      <w:r>
        <w:rPr>
          <w:rFonts w:hint="eastAsia" w:ascii="宋体" w:hAnsi="宋体" w:eastAsia="宋体" w:cs="宋体"/>
          <w:b w:val="0"/>
          <w:bCs/>
          <w:color w:val="auto"/>
          <w:sz w:val="21"/>
          <w:szCs w:val="21"/>
          <w:lang w:val="en-US" w:eastAsia="zh-CN"/>
        </w:rPr>
        <w:t xml:space="preserve">第7章 </w:t>
      </w:r>
      <w:r>
        <w:rPr>
          <w:rFonts w:hint="eastAsia" w:ascii="宋体" w:hAnsi="宋体" w:eastAsia="宋体" w:cs="宋体"/>
          <w:b w:val="0"/>
          <w:bCs/>
          <w:color w:val="auto"/>
          <w:sz w:val="21"/>
          <w:szCs w:val="21"/>
        </w:rPr>
        <w:t>政府采购合同格式</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如本文件的前后内容不一致，以最后描述为准。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5.3  </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应认真阅读磋商文件所有的事项、格式、条款和技术规范等。如</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没</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有按照磋商文件要求提交全部资料，或者磋商文件没有对磋商文件在各方面都做出实</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质性响应，可能导致其磋商将被认定为磋商无效。</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6.磋商文件的澄清与修改</w:t>
      </w:r>
    </w:p>
    <w:p>
      <w:pPr>
        <w:pStyle w:val="2"/>
        <w:pageBreakBefore w:val="0"/>
        <w:kinsoku/>
        <w:wordWrap/>
        <w:overflowPunct/>
        <w:topLinePunct w:val="0"/>
        <w:bidi w:val="0"/>
        <w:spacing w:line="340" w:lineRule="exact"/>
        <w:ind w:left="558" w:leftChars="0" w:hanging="558" w:hangingChars="26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6.1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为了保证对磋商文件的澄清和修改满足法律的时限要求，任何要求对磋商文件进行澄清的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，均应在磋商截止期十日前，以书面形式将澄清要求通知</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40" w:lineRule="exact"/>
        <w:ind w:left="630" w:hanging="630" w:hangingChars="300"/>
        <w:textAlignment w:val="auto"/>
        <w:rPr>
          <w:rFonts w:hint="eastAsia" w:ascii="宋体" w:hAnsi="宋体" w:eastAsia="宋体" w:cs="宋体"/>
          <w:b w:val="0"/>
          <w:bCs/>
          <w:color w:val="auto"/>
          <w:kern w:val="0"/>
          <w:sz w:val="21"/>
          <w:szCs w:val="21"/>
          <w:lang w:val="en-US" w:eastAsia="zh-CN" w:bidi="ar-SA"/>
        </w:rPr>
      </w:pPr>
      <w:r>
        <w:rPr>
          <w:rFonts w:hint="eastAsia"/>
        </w:rPr>
        <w:t>6.2</w:t>
      </w:r>
      <w:r>
        <w:rPr>
          <w:rFonts w:hint="eastAsia"/>
          <w:lang w:val="en-US" w:eastAsia="zh-CN"/>
        </w:rPr>
        <w:t xml:space="preserve">  </w:t>
      </w:r>
      <w:r>
        <w:rPr>
          <w:rFonts w:hint="eastAsia" w:ascii="宋体" w:hAnsi="宋体" w:eastAsia="宋体" w:cs="宋体"/>
          <w:b w:val="0"/>
          <w:bCs/>
          <w:color w:val="auto"/>
          <w:kern w:val="0"/>
          <w:sz w:val="21"/>
          <w:szCs w:val="21"/>
          <w:lang w:val="en-US" w:eastAsia="zh-CN" w:bidi="ar-SA"/>
        </w:rPr>
        <w:t xml:space="preserve"> </w:t>
      </w:r>
      <w:r>
        <w:rPr>
          <w:rFonts w:hint="eastAsia" w:ascii="宋体" w:hAnsi="宋体" w:cs="宋体"/>
          <w:b w:val="0"/>
          <w:bCs/>
          <w:color w:val="auto"/>
          <w:kern w:val="0"/>
          <w:sz w:val="21"/>
          <w:szCs w:val="21"/>
          <w:lang w:val="en-US" w:eastAsia="zh-CN" w:bidi="ar-SA"/>
        </w:rPr>
        <w:t>采购人</w:t>
      </w:r>
      <w:r>
        <w:rPr>
          <w:rFonts w:hint="eastAsia" w:ascii="宋体" w:hAnsi="宋体" w:eastAsia="宋体" w:cs="宋体"/>
          <w:b w:val="0"/>
          <w:bCs/>
          <w:color w:val="auto"/>
          <w:kern w:val="0"/>
          <w:sz w:val="21"/>
          <w:szCs w:val="21"/>
          <w:lang w:val="en-US" w:eastAsia="zh-CN" w:bidi="ar-SA"/>
        </w:rPr>
        <w:t>可主动地或在解答</w:t>
      </w:r>
      <w:r>
        <w:rPr>
          <w:rFonts w:hint="eastAsia" w:ascii="宋体" w:hAnsi="宋体" w:cs="宋体"/>
          <w:b w:val="0"/>
          <w:bCs/>
          <w:color w:val="auto"/>
          <w:kern w:val="0"/>
          <w:sz w:val="21"/>
          <w:szCs w:val="21"/>
          <w:lang w:val="en-US" w:eastAsia="zh-CN" w:bidi="ar-SA"/>
        </w:rPr>
        <w:t>供应商</w:t>
      </w:r>
      <w:r>
        <w:rPr>
          <w:rFonts w:hint="eastAsia" w:ascii="宋体" w:hAnsi="宋体" w:eastAsia="宋体" w:cs="宋体"/>
          <w:b w:val="0"/>
          <w:bCs/>
          <w:color w:val="auto"/>
          <w:kern w:val="0"/>
          <w:sz w:val="21"/>
          <w:szCs w:val="21"/>
          <w:lang w:val="en-US" w:eastAsia="zh-CN" w:bidi="ar-SA"/>
        </w:rPr>
        <w:t>提出的澄清问题时对磋商文件进行澄清或修改。</w:t>
      </w:r>
      <w:r>
        <w:rPr>
          <w:rFonts w:hint="eastAsia" w:ascii="宋体" w:hAnsi="宋体" w:cs="宋体"/>
          <w:b w:val="0"/>
          <w:bCs/>
          <w:color w:val="auto"/>
          <w:kern w:val="0"/>
          <w:sz w:val="21"/>
          <w:szCs w:val="21"/>
          <w:lang w:val="en-US" w:eastAsia="zh-CN" w:bidi="ar-SA"/>
        </w:rPr>
        <w:t>采购代理机构</w:t>
      </w:r>
      <w:r>
        <w:rPr>
          <w:rFonts w:hint="eastAsia" w:ascii="宋体" w:hAnsi="宋体" w:eastAsia="宋体" w:cs="宋体"/>
          <w:b w:val="0"/>
          <w:bCs/>
          <w:color w:val="auto"/>
          <w:kern w:val="0"/>
          <w:sz w:val="21"/>
          <w:szCs w:val="21"/>
          <w:lang w:val="en-US" w:eastAsia="zh-CN" w:bidi="ar-SA"/>
        </w:rPr>
        <w:t>将以发布澄清（更正）公告的方式，澄清或修改磋商文件，澄清或修改内容作为磋商文件的组成部分。</w:t>
      </w:r>
    </w:p>
    <w:p>
      <w:pPr>
        <w:pStyle w:val="2"/>
        <w:pageBreakBefore w:val="0"/>
        <w:kinsoku/>
        <w:wordWrap/>
        <w:overflowPunct/>
        <w:topLinePunct w:val="0"/>
        <w:bidi w:val="0"/>
        <w:spacing w:line="340" w:lineRule="exact"/>
        <w:ind w:left="630" w:leftChars="0" w:hanging="630" w:hangingChars="300"/>
        <w:rPr>
          <w:rFonts w:hint="eastAsia" w:eastAsia="宋体"/>
          <w:lang w:val="en-US" w:eastAsia="zh-CN"/>
        </w:rPr>
      </w:pPr>
      <w:r>
        <w:rPr>
          <w:rFonts w:hint="eastAsia" w:ascii="宋体" w:hAnsi="宋体" w:eastAsia="宋体" w:cs="宋体"/>
          <w:b w:val="0"/>
          <w:bCs/>
          <w:color w:val="auto"/>
          <w:sz w:val="21"/>
          <w:szCs w:val="21"/>
        </w:rPr>
        <w:t>6.3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澄清或者修改的内容可能影响磋商文件编制的，</w:t>
      </w:r>
      <w:r>
        <w:rPr>
          <w:rFonts w:hint="eastAsia" w:cs="宋体"/>
          <w:b w:val="0"/>
          <w:bCs/>
          <w:color w:val="auto"/>
          <w:sz w:val="21"/>
          <w:szCs w:val="21"/>
          <w:lang w:eastAsia="zh-CN"/>
        </w:rPr>
        <w:t>采购代理机构</w:t>
      </w:r>
      <w:r>
        <w:rPr>
          <w:rFonts w:hint="eastAsia" w:ascii="宋体" w:hAnsi="宋体" w:eastAsia="宋体" w:cs="宋体"/>
          <w:b w:val="0"/>
          <w:bCs/>
          <w:color w:val="auto"/>
          <w:sz w:val="21"/>
          <w:szCs w:val="21"/>
        </w:rPr>
        <w:t>将以书面形式通知所有</w:t>
      </w:r>
      <w:r>
        <w:rPr>
          <w:rFonts w:hint="eastAsia" w:cs="宋体"/>
          <w:b w:val="0"/>
          <w:bCs/>
          <w:color w:val="auto"/>
          <w:sz w:val="21"/>
          <w:szCs w:val="21"/>
          <w:lang w:val="en-US" w:eastAsia="zh-CN"/>
        </w:rPr>
        <w:t>领取</w:t>
      </w:r>
      <w:r>
        <w:rPr>
          <w:rFonts w:hint="eastAsia" w:ascii="宋体" w:hAnsi="宋体" w:eastAsia="宋体" w:cs="宋体"/>
          <w:b w:val="0"/>
          <w:bCs/>
          <w:color w:val="auto"/>
          <w:sz w:val="21"/>
          <w:szCs w:val="21"/>
        </w:rPr>
        <w:t>磋商文件的潜在</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，并对其具有约束力。</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在收到上述通知后，应及时向</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回函确认。</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7.磋商截止时间的顺延</w:t>
      </w:r>
    </w:p>
    <w:p>
      <w:pPr>
        <w:pageBreakBefore w:val="0"/>
        <w:kinsoku/>
        <w:wordWrap/>
        <w:overflowPunct/>
        <w:topLinePunct w:val="0"/>
        <w:bidi w:val="0"/>
        <w:spacing w:line="340" w:lineRule="exact"/>
        <w:ind w:left="875" w:leftChars="342"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为使</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准备磋商时有足够的时间对磋商文件的澄清或者修改部分进行研究，</w:t>
      </w:r>
    </w:p>
    <w:p>
      <w:pPr>
        <w:pageBreakBefore w:val="0"/>
        <w:kinsoku/>
        <w:wordWrap/>
        <w:overflowPunct/>
        <w:topLinePunct w:val="0"/>
        <w:bidi w:val="0"/>
        <w:spacing w:line="340" w:lineRule="exact"/>
        <w:ind w:left="875" w:leftChars="342" w:hanging="157" w:hangingChars="75"/>
        <w:rPr>
          <w:rFonts w:hint="eastAsia"/>
        </w:rPr>
        <w:sectPr>
          <w:footerReference r:id="rId7" w:type="default"/>
          <w:pgSz w:w="11906" w:h="16838"/>
          <w:pgMar w:top="1440" w:right="1797" w:bottom="1440" w:left="1797" w:header="851" w:footer="992" w:gutter="0"/>
          <w:pgNumType w:fmt="decimal" w:start="1"/>
          <w:cols w:space="720" w:num="1"/>
          <w:docGrid w:linePitch="312" w:charSpace="0"/>
        </w:sectPr>
      </w:pP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将依法决定是否顺延磋商截止时间。</w:t>
      </w:r>
    </w:p>
    <w:p>
      <w:pPr>
        <w:pStyle w:val="4"/>
        <w:pageBreakBefore w:val="0"/>
        <w:tabs>
          <w:tab w:val="left" w:pos="900"/>
        </w:tabs>
        <w:kinsoku/>
        <w:wordWrap/>
        <w:overflowPunct/>
        <w:topLinePunct w:val="0"/>
        <w:bidi w:val="0"/>
        <w:spacing w:before="0" w:line="340" w:lineRule="exact"/>
        <w:jc w:val="center"/>
        <w:rPr>
          <w:rFonts w:hint="eastAsia" w:ascii="宋体" w:hAnsi="宋体" w:eastAsia="宋体" w:cs="宋体"/>
          <w:b w:val="0"/>
          <w:bCs/>
          <w:color w:val="auto"/>
          <w:sz w:val="21"/>
          <w:szCs w:val="21"/>
        </w:rPr>
      </w:pPr>
      <w:bookmarkStart w:id="15" w:name="_Toc516367020"/>
      <w:bookmarkStart w:id="16" w:name="_Toc25600"/>
      <w:bookmarkStart w:id="17" w:name="_Toc30808"/>
      <w:bookmarkStart w:id="18" w:name="_Toc515647766"/>
      <w:bookmarkStart w:id="19" w:name="_Toc7636"/>
      <w:bookmarkStart w:id="20" w:name="_Toc216582807"/>
      <w:bookmarkStart w:id="21" w:name="_Toc520356150"/>
      <w:bookmarkStart w:id="22" w:name="_Toc18070"/>
      <w:r>
        <w:rPr>
          <w:rFonts w:hint="eastAsia" w:ascii="宋体" w:hAnsi="宋体" w:eastAsia="宋体" w:cs="宋体"/>
          <w:b w:val="0"/>
          <w:bCs/>
          <w:color w:val="auto"/>
          <w:sz w:val="21"/>
          <w:szCs w:val="21"/>
        </w:rPr>
        <w:t xml:space="preserve">三   </w:t>
      </w:r>
      <w:bookmarkEnd w:id="15"/>
      <w:r>
        <w:rPr>
          <w:rFonts w:hint="eastAsia" w:ascii="宋体" w:hAnsi="宋体" w:eastAsia="宋体" w:cs="宋体"/>
          <w:b w:val="0"/>
          <w:bCs/>
          <w:color w:val="auto"/>
          <w:sz w:val="21"/>
          <w:szCs w:val="21"/>
        </w:rPr>
        <w:t>响应文件的编制</w:t>
      </w:r>
      <w:bookmarkEnd w:id="16"/>
      <w:bookmarkEnd w:id="17"/>
      <w:bookmarkEnd w:id="18"/>
      <w:bookmarkEnd w:id="19"/>
      <w:bookmarkEnd w:id="20"/>
      <w:bookmarkEnd w:id="21"/>
      <w:bookmarkEnd w:id="22"/>
    </w:p>
    <w:p>
      <w:pPr>
        <w:pStyle w:val="5"/>
        <w:pageBreakBefore w:val="0"/>
        <w:numPr>
          <w:ilvl w:val="0"/>
          <w:numId w:val="0"/>
        </w:numPr>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3" w:name="_Toc21065"/>
      <w:bookmarkStart w:id="24" w:name="_Toc520356151"/>
      <w:bookmarkStart w:id="25" w:name="_Toc7786"/>
      <w:bookmarkStart w:id="26" w:name="_Toc26300"/>
      <w:bookmarkStart w:id="27" w:name="_Toc516367021"/>
      <w:bookmarkStart w:id="28" w:name="_Toc3553"/>
      <w:bookmarkStart w:id="29" w:name="_Toc515647767"/>
      <w:r>
        <w:rPr>
          <w:rFonts w:hint="eastAsia" w:hAnsi="宋体" w:cs="宋体"/>
          <w:b/>
          <w:bCs w:val="0"/>
          <w:color w:val="auto"/>
          <w:sz w:val="21"/>
          <w:szCs w:val="21"/>
          <w:u w:val="none"/>
          <w:lang w:val="en-US" w:eastAsia="zh-CN"/>
        </w:rPr>
        <w:t>8.</w:t>
      </w:r>
      <w:r>
        <w:rPr>
          <w:rFonts w:hint="eastAsia" w:ascii="宋体" w:hAnsi="宋体" w:eastAsia="宋体" w:cs="宋体"/>
          <w:b/>
          <w:bCs w:val="0"/>
          <w:color w:val="auto"/>
          <w:sz w:val="21"/>
          <w:szCs w:val="21"/>
          <w:u w:val="none"/>
        </w:rPr>
        <w:t>磋商范围及响应文件成交准和计量单位的使用</w:t>
      </w:r>
      <w:bookmarkEnd w:id="23"/>
      <w:bookmarkEnd w:id="24"/>
      <w:bookmarkEnd w:id="25"/>
      <w:bookmarkEnd w:id="26"/>
      <w:bookmarkEnd w:id="27"/>
      <w:bookmarkEnd w:id="28"/>
      <w:bookmarkEnd w:id="29"/>
    </w:p>
    <w:p>
      <w:pPr>
        <w:pageBreakBefore w:val="0"/>
        <w:numPr>
          <w:ilvl w:val="1"/>
          <w:numId w:val="3"/>
        </w:numPr>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项目有分包的，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可对磋商文件其中某一个或几个分包</w:t>
      </w:r>
      <w:r>
        <w:rPr>
          <w:rFonts w:hint="eastAsia" w:ascii="宋体" w:hAnsi="宋体" w:eastAsia="宋体" w:cs="宋体"/>
          <w:b w:val="0"/>
          <w:bCs/>
          <w:color w:val="auto"/>
          <w:sz w:val="21"/>
          <w:szCs w:val="21"/>
          <w:lang w:val="en-US" w:eastAsia="zh-CN"/>
        </w:rPr>
        <w:t>服务内容</w:t>
      </w:r>
      <w:r>
        <w:rPr>
          <w:rFonts w:hint="eastAsia" w:ascii="宋体" w:hAnsi="宋体" w:eastAsia="宋体" w:cs="宋体"/>
          <w:b w:val="0"/>
          <w:bCs/>
          <w:color w:val="auto"/>
          <w:sz w:val="21"/>
          <w:szCs w:val="21"/>
        </w:rPr>
        <w:t>进行磋商，除</w:t>
      </w:r>
    </w:p>
    <w:p>
      <w:pPr>
        <w:pageBreakBefore w:val="0"/>
        <w:numPr>
          <w:ilvl w:val="0"/>
          <w:numId w:val="0"/>
        </w:numPr>
        <w:kinsoku/>
        <w:wordWrap/>
        <w:overflowPunct/>
        <w:topLinePunct w:val="0"/>
        <w:bidi w:val="0"/>
        <w:spacing w:line="340" w:lineRule="exact"/>
        <w:ind w:leftChars="-375" w:firstLine="1470" w:firstLineChars="7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非在</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中另有规定。</w:t>
      </w:r>
    </w:p>
    <w:p>
      <w:pPr>
        <w:pageBreakBefore w:val="0"/>
        <w:numPr>
          <w:ilvl w:val="1"/>
          <w:numId w:val="3"/>
        </w:numPr>
        <w:kinsoku/>
        <w:wordWrap/>
        <w:overflowPunct/>
        <w:topLinePunct w:val="0"/>
        <w:bidi w:val="0"/>
        <w:spacing w:line="340" w:lineRule="exact"/>
        <w:ind w:left="787" w:leftChars="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应当对所投分包磋商文件中“</w:t>
      </w:r>
      <w:r>
        <w:rPr>
          <w:rFonts w:hint="eastAsia" w:ascii="宋体" w:hAnsi="宋体" w:eastAsia="宋体" w:cs="宋体"/>
          <w:b w:val="0"/>
          <w:bCs/>
          <w:color w:val="auto"/>
          <w:sz w:val="21"/>
          <w:szCs w:val="21"/>
          <w:lang w:val="en-US" w:eastAsia="zh-CN"/>
        </w:rPr>
        <w:t>参数需求一览表及技术规格</w:t>
      </w:r>
      <w:r>
        <w:rPr>
          <w:rFonts w:hint="eastAsia" w:ascii="宋体" w:hAnsi="宋体" w:eastAsia="宋体" w:cs="宋体"/>
          <w:b w:val="0"/>
          <w:bCs/>
          <w:color w:val="auto"/>
          <w:sz w:val="21"/>
          <w:szCs w:val="21"/>
        </w:rPr>
        <w:t>”所列的所有内容进</w:t>
      </w:r>
    </w:p>
    <w:p>
      <w:pPr>
        <w:pageBreakBefore w:val="0"/>
        <w:numPr>
          <w:ilvl w:val="0"/>
          <w:numId w:val="0"/>
        </w:numPr>
        <w:kinsoku/>
        <w:wordWrap/>
        <w:overflowPunct/>
        <w:topLinePunct w:val="0"/>
        <w:bidi w:val="0"/>
        <w:spacing w:line="340" w:lineRule="exact"/>
        <w:ind w:leftChars="-375" w:firstLine="1470" w:firstLineChars="7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行磋商，如仅响应某一包中的部分内容，其该包磋商将被认定为磋商无效。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ind w:left="660" w:hanging="577" w:hangingChars="2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8.3   无论磋商文件第5章</w:t>
      </w:r>
      <w:r>
        <w:rPr>
          <w:rFonts w:hint="eastAsia" w:ascii="宋体" w:hAnsi="宋体" w:cs="宋体"/>
          <w:b w:val="0"/>
          <w:bCs/>
          <w:color w:val="auto"/>
          <w:sz w:val="21"/>
          <w:szCs w:val="21"/>
          <w:lang w:val="en-US" w:eastAsia="zh-CN"/>
        </w:rPr>
        <w:t>参数需求一览表及技术规格</w:t>
      </w:r>
      <w:r>
        <w:rPr>
          <w:rFonts w:hint="eastAsia" w:ascii="宋体" w:hAnsi="宋体" w:eastAsia="宋体" w:cs="宋体"/>
          <w:b w:val="0"/>
          <w:bCs/>
          <w:color w:val="auto"/>
          <w:sz w:val="21"/>
          <w:szCs w:val="21"/>
        </w:rPr>
        <w:t>中是否要求，</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所投</w:t>
      </w:r>
      <w:r>
        <w:rPr>
          <w:rFonts w:hint="eastAsia" w:ascii="宋体" w:hAnsi="宋体" w:eastAsia="宋体" w:cs="宋体"/>
          <w:b w:val="0"/>
          <w:bCs/>
          <w:color w:val="auto"/>
          <w:sz w:val="21"/>
          <w:szCs w:val="21"/>
          <w:lang w:val="en-US" w:eastAsia="zh-CN"/>
        </w:rPr>
        <w:t>服务要求</w:t>
      </w:r>
      <w:r>
        <w:rPr>
          <w:rFonts w:hint="eastAsia" w:ascii="宋体" w:hAnsi="宋体" w:eastAsia="宋体" w:cs="宋体"/>
          <w:b w:val="0"/>
          <w:bCs/>
          <w:color w:val="auto"/>
          <w:sz w:val="21"/>
          <w:szCs w:val="21"/>
        </w:rPr>
        <w:t>均应符合国家强制性标准。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8.4   除磋商文件中有特殊要求外，响应文件中所使用的计量单位，应采用中华人民共和国</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法定计量单位。</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30" w:name="_Ref467306195"/>
      <w:bookmarkStart w:id="31" w:name="_Ref467306676"/>
      <w:bookmarkStart w:id="32" w:name="_Toc516367022"/>
      <w:bookmarkStart w:id="33" w:name="_Toc515647768"/>
      <w:bookmarkStart w:id="34" w:name="_Toc10364"/>
      <w:bookmarkStart w:id="35" w:name="_Toc520356152"/>
      <w:bookmarkStart w:id="36" w:name="_Toc28670"/>
      <w:bookmarkStart w:id="37" w:name="_Toc28307"/>
      <w:bookmarkStart w:id="38" w:name="_Toc6067"/>
      <w:r>
        <w:rPr>
          <w:rFonts w:hint="eastAsia" w:ascii="宋体" w:hAnsi="宋体" w:eastAsia="宋体" w:cs="宋体"/>
          <w:b/>
          <w:bCs w:val="0"/>
          <w:color w:val="auto"/>
          <w:sz w:val="21"/>
          <w:szCs w:val="21"/>
          <w:u w:val="none"/>
        </w:rPr>
        <w:t>9.</w:t>
      </w:r>
      <w:bookmarkEnd w:id="30"/>
      <w:bookmarkEnd w:id="31"/>
      <w:bookmarkEnd w:id="32"/>
      <w:r>
        <w:rPr>
          <w:rFonts w:hint="eastAsia" w:ascii="宋体" w:hAnsi="宋体" w:eastAsia="宋体" w:cs="宋体"/>
          <w:b/>
          <w:bCs w:val="0"/>
          <w:color w:val="auto"/>
          <w:sz w:val="21"/>
          <w:szCs w:val="21"/>
          <w:u w:val="none"/>
        </w:rPr>
        <w:t>响应文件构成</w:t>
      </w:r>
      <w:bookmarkEnd w:id="33"/>
      <w:bookmarkEnd w:id="34"/>
      <w:bookmarkEnd w:id="35"/>
      <w:bookmarkEnd w:id="36"/>
      <w:bookmarkEnd w:id="37"/>
      <w:bookmarkEnd w:id="38"/>
    </w:p>
    <w:p>
      <w:pPr>
        <w:pageBreakBefore w:val="0"/>
        <w:tabs>
          <w:tab w:val="left" w:pos="900"/>
          <w:tab w:val="left" w:pos="5580"/>
        </w:tabs>
        <w:kinsoku/>
        <w:wordWrap/>
        <w:overflowPunct/>
        <w:topLinePunct w:val="0"/>
        <w:bidi w:val="0"/>
        <w:spacing w:line="340" w:lineRule="exact"/>
        <w:ind w:left="960" w:hanging="840" w:hangingChars="400"/>
        <w:jc w:val="left"/>
        <w:rPr>
          <w:rFonts w:hint="eastAsia" w:ascii="宋体" w:hAnsi="宋体" w:eastAsia="宋体" w:cs="宋体"/>
          <w:b w:val="0"/>
          <w:bCs/>
          <w:color w:val="FF0000"/>
          <w:sz w:val="21"/>
          <w:szCs w:val="21"/>
          <w:u w:val="single"/>
        </w:rPr>
      </w:pPr>
      <w:bookmarkStart w:id="39" w:name="_Ref467052588"/>
      <w:r>
        <w:rPr>
          <w:rFonts w:hint="eastAsia" w:ascii="宋体" w:hAnsi="宋体" w:eastAsia="宋体" w:cs="宋体"/>
          <w:b w:val="0"/>
          <w:bCs/>
          <w:color w:val="auto"/>
          <w:sz w:val="21"/>
          <w:szCs w:val="21"/>
        </w:rPr>
        <w:t xml:space="preserve">9.1  </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FF0000"/>
          <w:sz w:val="21"/>
          <w:szCs w:val="21"/>
          <w:u w:val="single"/>
          <w:lang w:eastAsia="zh-CN"/>
        </w:rPr>
        <w:t>供应商</w:t>
      </w:r>
      <w:r>
        <w:rPr>
          <w:rFonts w:hint="eastAsia" w:ascii="宋体" w:hAnsi="宋体" w:eastAsia="宋体" w:cs="宋体"/>
          <w:b w:val="0"/>
          <w:bCs/>
          <w:color w:val="FF0000"/>
          <w:sz w:val="21"/>
          <w:szCs w:val="21"/>
          <w:u w:val="single"/>
        </w:rPr>
        <w:t>应完整地按磋商文件提供的响应文件格式及要求</w:t>
      </w:r>
      <w:r>
        <w:rPr>
          <w:rFonts w:hint="eastAsia" w:ascii="宋体" w:hAnsi="宋体" w:eastAsia="宋体" w:cs="宋体"/>
          <w:b w:val="0"/>
          <w:bCs/>
          <w:color w:val="FF0000"/>
          <w:sz w:val="21"/>
          <w:szCs w:val="21"/>
          <w:u w:val="single"/>
          <w:lang w:eastAsia="zh-Hans"/>
        </w:rPr>
        <w:t>编写</w:t>
      </w:r>
      <w:r>
        <w:rPr>
          <w:rFonts w:hint="eastAsia" w:ascii="宋体" w:hAnsi="宋体" w:eastAsia="宋体" w:cs="宋体"/>
          <w:b w:val="0"/>
          <w:bCs/>
          <w:color w:val="FF0000"/>
          <w:sz w:val="21"/>
          <w:szCs w:val="21"/>
          <w:u w:val="single"/>
        </w:rPr>
        <w:t>响应文件，响应文件应</w:t>
      </w:r>
    </w:p>
    <w:p>
      <w:pPr>
        <w:pageBreakBefore w:val="0"/>
        <w:tabs>
          <w:tab w:val="left" w:pos="900"/>
          <w:tab w:val="left" w:pos="5580"/>
        </w:tabs>
        <w:kinsoku/>
        <w:wordWrap/>
        <w:overflowPunct/>
        <w:topLinePunct w:val="0"/>
        <w:bidi w:val="0"/>
        <w:spacing w:line="340" w:lineRule="exact"/>
        <w:ind w:left="840" w:leftChars="300" w:hanging="210" w:hangingChars="100"/>
        <w:jc w:val="left"/>
        <w:rPr>
          <w:rFonts w:hint="eastAsia" w:ascii="宋体" w:hAnsi="宋体" w:eastAsia="宋体" w:cs="宋体"/>
          <w:b w:val="0"/>
          <w:bCs/>
          <w:color w:val="FF0000"/>
          <w:sz w:val="21"/>
          <w:szCs w:val="21"/>
          <w:u w:val="single"/>
        </w:rPr>
      </w:pPr>
      <w:r>
        <w:rPr>
          <w:rFonts w:hint="eastAsia" w:ascii="宋体" w:hAnsi="宋体" w:eastAsia="宋体" w:cs="宋体"/>
          <w:b w:val="0"/>
          <w:bCs/>
          <w:color w:val="FF0000"/>
          <w:sz w:val="21"/>
          <w:szCs w:val="21"/>
          <w:u w:val="single"/>
        </w:rPr>
        <w:t>包括“磋商报价表及资格证明文件”和“商务及技术文件”两部分。两部分合订成一</w:t>
      </w:r>
    </w:p>
    <w:p>
      <w:pPr>
        <w:pageBreakBefore w:val="0"/>
        <w:tabs>
          <w:tab w:val="left" w:pos="900"/>
          <w:tab w:val="left" w:pos="5580"/>
        </w:tabs>
        <w:kinsoku/>
        <w:wordWrap/>
        <w:overflowPunct/>
        <w:topLinePunct w:val="0"/>
        <w:bidi w:val="0"/>
        <w:spacing w:line="340" w:lineRule="exact"/>
        <w:ind w:left="840" w:leftChars="300" w:hanging="210" w:hangingChars="100"/>
        <w:jc w:val="left"/>
        <w:rPr>
          <w:rFonts w:hint="eastAsia" w:ascii="宋体" w:hAnsi="宋体" w:eastAsia="宋体" w:cs="宋体"/>
          <w:b w:val="0"/>
          <w:bCs/>
          <w:color w:val="auto"/>
          <w:sz w:val="21"/>
          <w:szCs w:val="21"/>
          <w:u w:val="single"/>
        </w:rPr>
      </w:pPr>
      <w:r>
        <w:rPr>
          <w:rFonts w:hint="eastAsia" w:ascii="宋体" w:hAnsi="宋体" w:eastAsia="宋体" w:cs="宋体"/>
          <w:b w:val="0"/>
          <w:bCs/>
          <w:color w:val="FF0000"/>
          <w:sz w:val="21"/>
          <w:szCs w:val="21"/>
          <w:u w:val="single"/>
        </w:rPr>
        <w:t>册，密封递交。</w:t>
      </w:r>
      <w:r>
        <w:rPr>
          <w:rFonts w:hint="eastAsia" w:ascii="宋体" w:hAnsi="宋体" w:cs="宋体"/>
          <w:b w:val="0"/>
          <w:bCs/>
          <w:color w:val="FF0000"/>
          <w:sz w:val="21"/>
          <w:szCs w:val="21"/>
          <w:u w:val="single"/>
          <w:lang w:eastAsia="zh-CN"/>
        </w:rPr>
        <w:t>供应商</w:t>
      </w:r>
      <w:r>
        <w:rPr>
          <w:rFonts w:hint="eastAsia" w:ascii="宋体" w:hAnsi="宋体" w:eastAsia="宋体" w:cs="宋体"/>
          <w:b w:val="0"/>
          <w:bCs/>
          <w:color w:val="FF0000"/>
          <w:sz w:val="21"/>
          <w:szCs w:val="21"/>
          <w:u w:val="single"/>
        </w:rPr>
        <w:t>应承担封装失误产生的任何后果。</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9.2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上述文件应按照磋商文件规定的格式填写、签署和盖章。</w:t>
      </w:r>
      <w:bookmarkEnd w:id="39"/>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val="0"/>
          <w:bCs/>
          <w:color w:val="auto"/>
          <w:sz w:val="21"/>
          <w:szCs w:val="21"/>
          <w:u w:val="none"/>
        </w:rPr>
      </w:pPr>
      <w:bookmarkStart w:id="40" w:name="_Toc4601"/>
      <w:bookmarkStart w:id="41" w:name="_Toc516367023"/>
      <w:bookmarkStart w:id="42" w:name="_Toc520356153"/>
      <w:bookmarkStart w:id="43" w:name="_Toc10379"/>
      <w:bookmarkStart w:id="44" w:name="_Toc5860"/>
      <w:bookmarkStart w:id="45" w:name="_Toc28472"/>
      <w:bookmarkStart w:id="46" w:name="_Toc515647769"/>
      <w:r>
        <w:rPr>
          <w:rFonts w:hint="eastAsia" w:ascii="宋体" w:hAnsi="宋体" w:eastAsia="宋体" w:cs="宋体"/>
          <w:b/>
          <w:bCs w:val="0"/>
          <w:color w:val="auto"/>
          <w:sz w:val="21"/>
          <w:szCs w:val="21"/>
          <w:u w:val="none"/>
        </w:rPr>
        <w:t>10.证明磋商标的的合格性和符合磋商文件规定的技术文件</w:t>
      </w:r>
      <w:bookmarkEnd w:id="40"/>
      <w:bookmarkEnd w:id="41"/>
      <w:bookmarkEnd w:id="42"/>
      <w:bookmarkEnd w:id="43"/>
      <w:bookmarkEnd w:id="44"/>
      <w:bookmarkEnd w:id="45"/>
      <w:bookmarkEnd w:id="46"/>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10.1</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应提交证明文件，证明其磋商内容符合磋商文件规定。该证明文件是响应文件的一部分。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bookmarkStart w:id="47" w:name="_Ref467306244"/>
      <w:r>
        <w:rPr>
          <w:rFonts w:hint="eastAsia" w:ascii="宋体" w:hAnsi="宋体" w:eastAsia="宋体" w:cs="宋体"/>
          <w:b w:val="0"/>
          <w:bCs/>
          <w:color w:val="auto"/>
          <w:sz w:val="21"/>
          <w:szCs w:val="21"/>
        </w:rPr>
        <w:t>10.2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上款所述的证明文件，可以是文字资料、图纸和数据，</w:t>
      </w:r>
      <w:bookmarkEnd w:id="47"/>
      <w:r>
        <w:rPr>
          <w:rFonts w:hint="eastAsia" w:ascii="宋体" w:hAnsi="宋体" w:eastAsia="宋体" w:cs="宋体"/>
          <w:b w:val="0"/>
          <w:bCs/>
          <w:color w:val="auto"/>
          <w:sz w:val="21"/>
          <w:szCs w:val="21"/>
        </w:rPr>
        <w:t>它包括：</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10.2.1</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val="en-US" w:eastAsia="zh-CN"/>
        </w:rPr>
        <w:t>参数</w:t>
      </w:r>
      <w:r>
        <w:rPr>
          <w:rFonts w:hint="eastAsia" w:ascii="宋体" w:hAnsi="宋体" w:eastAsia="宋体" w:cs="宋体"/>
          <w:b w:val="0"/>
          <w:bCs/>
          <w:color w:val="auto"/>
          <w:sz w:val="21"/>
          <w:szCs w:val="21"/>
          <w:lang w:val="en-US" w:eastAsia="zh-CN"/>
        </w:rPr>
        <w:t>需求</w:t>
      </w:r>
      <w:r>
        <w:rPr>
          <w:rFonts w:hint="eastAsia" w:ascii="宋体" w:hAnsi="宋体" w:eastAsia="宋体" w:cs="宋体"/>
          <w:b w:val="0"/>
          <w:bCs/>
          <w:color w:val="auto"/>
          <w:sz w:val="21"/>
          <w:szCs w:val="21"/>
        </w:rPr>
        <w:t>的详细说明；</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10.2.</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对照磋商文件</w:t>
      </w:r>
      <w:r>
        <w:rPr>
          <w:rFonts w:hint="eastAsia" w:ascii="宋体" w:hAnsi="宋体" w:cs="宋体"/>
          <w:b w:val="0"/>
          <w:bCs/>
          <w:color w:val="auto"/>
          <w:sz w:val="21"/>
          <w:szCs w:val="21"/>
          <w:lang w:val="en-US" w:eastAsia="zh-CN"/>
        </w:rPr>
        <w:t>参数</w:t>
      </w:r>
      <w:r>
        <w:rPr>
          <w:rFonts w:hint="eastAsia" w:ascii="宋体" w:hAnsi="宋体" w:eastAsia="宋体" w:cs="宋体"/>
          <w:b w:val="0"/>
          <w:bCs/>
          <w:color w:val="auto"/>
          <w:sz w:val="21"/>
          <w:szCs w:val="21"/>
          <w:lang w:val="en-US" w:eastAsia="zh-CN"/>
        </w:rPr>
        <w:t>需求</w:t>
      </w:r>
      <w:r>
        <w:rPr>
          <w:rFonts w:hint="eastAsia" w:ascii="宋体" w:hAnsi="宋体" w:eastAsia="宋体" w:cs="宋体"/>
          <w:b w:val="0"/>
          <w:bCs/>
          <w:color w:val="auto"/>
          <w:sz w:val="21"/>
          <w:szCs w:val="21"/>
        </w:rPr>
        <w:t>，逐条说明所提供工程和</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已对磋商文件的技术规格做出了实质性的响应，或申明与</w:t>
      </w:r>
      <w:r>
        <w:rPr>
          <w:rFonts w:hint="eastAsia" w:ascii="宋体" w:hAnsi="宋体" w:eastAsia="宋体" w:cs="宋体"/>
          <w:b w:val="0"/>
          <w:bCs/>
          <w:color w:val="auto"/>
          <w:sz w:val="21"/>
          <w:szCs w:val="21"/>
          <w:lang w:val="en-US" w:eastAsia="zh-CN"/>
        </w:rPr>
        <w:t>服务需求</w:t>
      </w:r>
      <w:r>
        <w:rPr>
          <w:rFonts w:hint="eastAsia" w:ascii="宋体" w:hAnsi="宋体" w:eastAsia="宋体" w:cs="宋体"/>
          <w:b w:val="0"/>
          <w:bCs/>
          <w:color w:val="auto"/>
          <w:sz w:val="21"/>
          <w:szCs w:val="21"/>
        </w:rPr>
        <w:t>条文的偏差和例外。</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48" w:name="_Toc2248"/>
      <w:bookmarkStart w:id="49" w:name="_Toc520356155"/>
      <w:bookmarkStart w:id="50" w:name="_Toc23231"/>
      <w:bookmarkStart w:id="51" w:name="_Toc6864"/>
      <w:bookmarkStart w:id="52" w:name="_Toc10141"/>
      <w:bookmarkStart w:id="53" w:name="_Toc515647770"/>
      <w:r>
        <w:rPr>
          <w:rFonts w:hint="eastAsia" w:ascii="宋体" w:hAnsi="宋体" w:eastAsia="宋体" w:cs="宋体"/>
          <w:b/>
          <w:bCs w:val="0"/>
          <w:color w:val="auto"/>
          <w:sz w:val="21"/>
          <w:szCs w:val="21"/>
          <w:u w:val="none"/>
        </w:rPr>
        <w:t>11.磋商报价</w:t>
      </w:r>
      <w:bookmarkEnd w:id="48"/>
      <w:bookmarkEnd w:id="49"/>
      <w:bookmarkEnd w:id="50"/>
      <w:bookmarkEnd w:id="51"/>
      <w:bookmarkEnd w:id="52"/>
      <w:bookmarkEnd w:id="53"/>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所有磋商均以人民币报价。</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的磋商报价应遵守《中华人民共和国价格法》。同时，根据《中华人民共和国政府采购法》第二条的规定，为保证公平竞争，如有</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主体部分的赠与行为，其磋商将被认定为磋商无效。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应在磋商分项报价表上标明磋商</w:t>
      </w:r>
      <w:r>
        <w:rPr>
          <w:rFonts w:hint="eastAsia" w:ascii="宋体" w:hAnsi="宋体" w:eastAsia="宋体" w:cs="宋体"/>
          <w:b w:val="0"/>
          <w:bCs/>
          <w:color w:val="auto"/>
          <w:sz w:val="21"/>
          <w:szCs w:val="21"/>
          <w:lang w:val="en-US" w:eastAsia="zh-CN"/>
        </w:rPr>
        <w:t>服务内容</w:t>
      </w:r>
      <w:r>
        <w:rPr>
          <w:rFonts w:hint="eastAsia" w:ascii="宋体" w:hAnsi="宋体" w:eastAsia="宋体" w:cs="宋体"/>
          <w:b w:val="0"/>
          <w:bCs/>
          <w:color w:val="auto"/>
          <w:sz w:val="21"/>
          <w:szCs w:val="21"/>
        </w:rPr>
        <w:t>及相关</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的单价（如适用）和总价，并由法定代表人或其授权代表签署。</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0070C0"/>
          <w:sz w:val="21"/>
          <w:szCs w:val="21"/>
        </w:rPr>
      </w:pPr>
      <w:r>
        <w:rPr>
          <w:rFonts w:hint="eastAsia" w:ascii="宋体" w:hAnsi="宋体" w:eastAsia="宋体" w:cs="宋体"/>
          <w:b w:val="0"/>
          <w:bCs/>
          <w:color w:val="auto"/>
          <w:sz w:val="21"/>
          <w:szCs w:val="21"/>
        </w:rPr>
        <w:t>11.3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采购人不接受具有附加条件的报价。</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11.4</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所报的各分项磋商单价在合同履行过程中是固定不变的，不得以任何理由予以变更。任何包含价格调整要求的磋商，其磋商将被认定为磋商无效。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bCs w:val="0"/>
          <w:color w:val="auto"/>
          <w:sz w:val="21"/>
          <w:szCs w:val="21"/>
          <w:u w:val="single"/>
          <w:lang w:val="en-US" w:eastAsia="zh-CN"/>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宋体" w:hAnsi="宋体" w:eastAsia="宋体" w:cs="宋体"/>
          <w:b/>
          <w:bCs w:val="0"/>
          <w:color w:val="auto"/>
          <w:sz w:val="21"/>
          <w:szCs w:val="21"/>
          <w:u w:val="single"/>
          <w:lang w:eastAsia="zh-CN"/>
        </w:rPr>
        <w:t>。</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54" w:name="_Toc1798"/>
      <w:bookmarkStart w:id="55" w:name="_Toc11514"/>
      <w:bookmarkStart w:id="56" w:name="_Toc520356156"/>
      <w:bookmarkStart w:id="57" w:name="_Toc515647771"/>
      <w:bookmarkStart w:id="58" w:name="_Toc31526"/>
      <w:bookmarkStart w:id="59" w:name="_Toc17788"/>
      <w:bookmarkStart w:id="60" w:name="_Ref467306513"/>
      <w:r>
        <w:rPr>
          <w:rFonts w:hint="eastAsia" w:ascii="宋体" w:hAnsi="宋体" w:eastAsia="宋体" w:cs="宋体"/>
          <w:b/>
          <w:bCs w:val="0"/>
          <w:color w:val="auto"/>
          <w:sz w:val="21"/>
          <w:szCs w:val="21"/>
          <w:u w:val="none"/>
        </w:rPr>
        <w:t>12.磋商保证金</w:t>
      </w:r>
      <w:bookmarkEnd w:id="54"/>
      <w:bookmarkEnd w:id="55"/>
      <w:bookmarkEnd w:id="56"/>
      <w:bookmarkEnd w:id="57"/>
      <w:bookmarkEnd w:id="58"/>
      <w:bookmarkEnd w:id="59"/>
      <w:bookmarkEnd w:id="60"/>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bookmarkStart w:id="61" w:name="_Ref467306302"/>
      <w:r>
        <w:rPr>
          <w:rFonts w:hint="eastAsia" w:ascii="宋体" w:hAnsi="宋体" w:eastAsia="宋体" w:cs="宋体"/>
          <w:b w:val="0"/>
          <w:bCs/>
          <w:color w:val="auto"/>
          <w:sz w:val="21"/>
          <w:szCs w:val="21"/>
        </w:rPr>
        <w:t>12.1</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应提交</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中规定的磋商保证金</w:t>
      </w:r>
      <w:bookmarkEnd w:id="61"/>
      <w:r>
        <w:rPr>
          <w:rFonts w:hint="eastAsia" w:ascii="宋体" w:hAnsi="宋体" w:eastAsia="宋体" w:cs="宋体"/>
          <w:b w:val="0"/>
          <w:bCs/>
          <w:color w:val="auto"/>
          <w:sz w:val="21"/>
          <w:szCs w:val="21"/>
        </w:rPr>
        <w:t>，并作为其磋商的一部分。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存在下列情形的，磋商保证金不予退还：</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（1）在磋商有效期内，撤销磋商的；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（2）成交后不按本须知第30条的规定与</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签订合同的；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（3）成交后不按本须知第31条的规定提交履约保证金的；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（4）成交后不按本须知第32条的规定缴纳成交</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费的；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（5）存在其他违法违规行为的。</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bookmarkStart w:id="62" w:name="_Ref467306336"/>
      <w:r>
        <w:rPr>
          <w:rFonts w:hint="eastAsia" w:ascii="宋体" w:hAnsi="宋体" w:eastAsia="宋体" w:cs="宋体"/>
          <w:b w:val="0"/>
          <w:bCs/>
          <w:color w:val="auto"/>
          <w:sz w:val="21"/>
          <w:szCs w:val="21"/>
        </w:rPr>
        <w:t>12.3</w:t>
      </w:r>
      <w:r>
        <w:rPr>
          <w:rFonts w:hint="eastAsia" w:ascii="宋体" w:hAnsi="宋体" w:eastAsia="宋体" w:cs="宋体"/>
          <w:b w:val="0"/>
          <w:bCs/>
          <w:color w:val="auto"/>
          <w:sz w:val="21"/>
          <w:szCs w:val="21"/>
        </w:rPr>
        <w:tab/>
      </w:r>
      <w:bookmarkEnd w:id="62"/>
      <w:r>
        <w:rPr>
          <w:rFonts w:hint="eastAsia" w:ascii="宋体" w:hAnsi="宋体" w:eastAsia="宋体" w:cs="宋体"/>
          <w:b w:val="0"/>
          <w:bCs/>
          <w:color w:val="auto"/>
          <w:sz w:val="21"/>
          <w:szCs w:val="21"/>
        </w:rPr>
        <w:t>政府采购信用担保试点范围内的项目，接受符合财政部门规定的政府采购磋商担保函原件。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12.4</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未按本须知第12.1和12.3条规定提交磋商保证金的，其磋商将被认定为磋商无效。</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12.4.1  采用电汇形式的，一般可以实时入账。</w:t>
      </w:r>
    </w:p>
    <w:p>
      <w:pPr>
        <w:pageBreakBefore w:val="0"/>
        <w:kinsoku/>
        <w:wordWrap/>
        <w:overflowPunct/>
        <w:topLinePunct w:val="0"/>
        <w:bidi w:val="0"/>
        <w:spacing w:line="340" w:lineRule="exact"/>
        <w:ind w:left="960" w:hanging="840" w:hangingChars="4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12.5   联合体磋商的，可以由联合体中的一方或者共同提交磋商保证金。以一方名义提交磋商保证金的，对联合体各方均具有约束力。</w:t>
      </w:r>
    </w:p>
    <w:p>
      <w:pPr>
        <w:pageBreakBefore w:val="0"/>
        <w:kinsoku/>
        <w:wordWrap/>
        <w:overflowPunct/>
        <w:topLinePunct w:val="0"/>
        <w:bidi w:val="0"/>
        <w:spacing w:line="340" w:lineRule="exact"/>
        <w:ind w:left="900" w:hanging="791" w:hangingChars="375"/>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12.6磋商保证金的退还</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12.6.1  成交人应在与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签订合同之日起5个工作日内，及时联系保证金收受机构办理磋商保证金无息退还手续。</w:t>
      </w:r>
    </w:p>
    <w:p>
      <w:pPr>
        <w:pageBreakBefore w:val="0"/>
        <w:kinsoku/>
        <w:wordWrap/>
        <w:overflowPunct/>
        <w:topLinePunct w:val="0"/>
        <w:bidi w:val="0"/>
        <w:spacing w:line="340" w:lineRule="exact"/>
        <w:ind w:left="960" w:hanging="840" w:hanging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12.6.2  未成交</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的磋商保证金将在成交通知书发出之日暨成交结果公告公布之日起5个工作日内无息退还。</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应及时联系保证金收受机构办理退还磋商保证金手续。</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12.6.3  政府采购磋商担保函不予退回。</w:t>
      </w:r>
    </w:p>
    <w:p>
      <w:pPr>
        <w:pageBreakBefore w:val="0"/>
        <w:kinsoku/>
        <w:wordWrap/>
        <w:overflowPunct/>
        <w:topLinePunct w:val="0"/>
        <w:bidi w:val="0"/>
        <w:spacing w:line="340" w:lineRule="exact"/>
        <w:ind w:left="960" w:hanging="840" w:hanging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12.7    因</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自身原因导致无法及时退还的，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将不承担相应责任。</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63" w:name="_Toc515647772"/>
      <w:bookmarkStart w:id="64" w:name="_Toc23590"/>
      <w:bookmarkStart w:id="65" w:name="_Toc520356157"/>
      <w:bookmarkStart w:id="66" w:name="_Toc16050"/>
      <w:bookmarkStart w:id="67" w:name="_Toc32569"/>
      <w:bookmarkStart w:id="68" w:name="_Toc21509"/>
      <w:r>
        <w:rPr>
          <w:rFonts w:hint="eastAsia" w:ascii="宋体" w:hAnsi="宋体" w:eastAsia="宋体" w:cs="宋体"/>
          <w:b/>
          <w:bCs w:val="0"/>
          <w:color w:val="auto"/>
          <w:sz w:val="21"/>
          <w:szCs w:val="21"/>
          <w:u w:val="none"/>
        </w:rPr>
        <w:t>13.磋商有效期</w:t>
      </w:r>
      <w:bookmarkEnd w:id="63"/>
      <w:bookmarkEnd w:id="64"/>
      <w:bookmarkEnd w:id="65"/>
      <w:bookmarkEnd w:id="66"/>
      <w:bookmarkEnd w:id="67"/>
      <w:bookmarkEnd w:id="68"/>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磋商应在</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中规定时间内保持有效。磋商有效期不满足要求的磋商，其磋商将被认定为磋商无效。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69" w:name="_Toc520356158"/>
      <w:bookmarkStart w:id="70" w:name="_Toc515647773"/>
      <w:bookmarkStart w:id="71" w:name="_Toc493"/>
      <w:bookmarkStart w:id="72" w:name="_Toc1766"/>
      <w:bookmarkStart w:id="73" w:name="_Toc17074"/>
      <w:bookmarkStart w:id="74" w:name="_Toc24880"/>
      <w:r>
        <w:rPr>
          <w:rFonts w:hint="eastAsia" w:ascii="宋体" w:hAnsi="宋体" w:eastAsia="宋体" w:cs="宋体"/>
          <w:b/>
          <w:bCs w:val="0"/>
          <w:color w:val="auto"/>
          <w:sz w:val="21"/>
          <w:szCs w:val="21"/>
          <w:u w:val="none"/>
        </w:rPr>
        <w:t>14.响应文件的签署</w:t>
      </w:r>
      <w:bookmarkEnd w:id="69"/>
      <w:r>
        <w:rPr>
          <w:rFonts w:hint="eastAsia" w:ascii="宋体" w:hAnsi="宋体" w:eastAsia="宋体" w:cs="宋体"/>
          <w:b/>
          <w:bCs w:val="0"/>
          <w:color w:val="auto"/>
          <w:sz w:val="21"/>
          <w:szCs w:val="21"/>
          <w:u w:val="none"/>
        </w:rPr>
        <w:t>及规定</w:t>
      </w:r>
      <w:bookmarkEnd w:id="70"/>
      <w:bookmarkEnd w:id="71"/>
      <w:bookmarkEnd w:id="72"/>
      <w:bookmarkEnd w:id="73"/>
      <w:bookmarkEnd w:id="74"/>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供应商应按供应商须知资料表中的规定，准备和递交响应文件正本、副本、开标一览表和电子文档，每份响应文件封皮须清楚地标明“正本”或“副本”。若正本和副本不符，以正本为准。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响应文件的正本需打印或用不褪色墨水书写，并由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经其正式委托代理人按磋商文件规定在响应文件上签字并加盖单位印章。委托代理人须持有书面的“法定代表人授权委托书”（响应文件格式二），并将其附在响应文件中。如对响应文件进行了修改，则应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的法定代表人或其委托代理人在每一修改处签字。响应文件的副本可采用正本的复印件。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14.3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所有响应文件采用不可拆装的胶订方式装订，否则其磋商将被认定为磋商无效。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响应文件因字迹潦草、表达不清或装订不当所引起的后果由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负责。</w:t>
      </w:r>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bookmarkStart w:id="75" w:name="_Toc11179"/>
      <w:bookmarkStart w:id="76" w:name="_Toc216582808"/>
      <w:bookmarkStart w:id="77" w:name="_Toc19918"/>
      <w:bookmarkStart w:id="78" w:name="_Toc16865"/>
      <w:bookmarkStart w:id="79" w:name="_Toc8711"/>
      <w:bookmarkStart w:id="80" w:name="_Toc515647774"/>
      <w:bookmarkStart w:id="81" w:name="_Toc520356159"/>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   响应文件的递交</w:t>
      </w:r>
      <w:bookmarkEnd w:id="75"/>
      <w:bookmarkEnd w:id="76"/>
      <w:bookmarkEnd w:id="77"/>
      <w:bookmarkEnd w:id="78"/>
      <w:bookmarkEnd w:id="79"/>
      <w:bookmarkEnd w:id="80"/>
      <w:bookmarkEnd w:id="81"/>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82" w:name="_Toc22380"/>
      <w:bookmarkStart w:id="83" w:name="_Toc32337"/>
      <w:bookmarkStart w:id="84" w:name="_Toc520356160"/>
      <w:bookmarkStart w:id="85" w:name="_Toc21645"/>
      <w:bookmarkStart w:id="86" w:name="_Toc515647775"/>
      <w:bookmarkStart w:id="87" w:name="_Toc4861"/>
      <w:r>
        <w:rPr>
          <w:rFonts w:hint="eastAsia" w:ascii="宋体" w:hAnsi="宋体" w:eastAsia="宋体" w:cs="宋体"/>
          <w:b/>
          <w:bCs w:val="0"/>
          <w:color w:val="auto"/>
          <w:sz w:val="21"/>
          <w:szCs w:val="21"/>
          <w:u w:val="none"/>
        </w:rPr>
        <w:t>15.响应文件的密封和标记</w:t>
      </w:r>
      <w:bookmarkEnd w:id="82"/>
      <w:bookmarkEnd w:id="83"/>
      <w:bookmarkEnd w:id="84"/>
      <w:bookmarkEnd w:id="85"/>
      <w:bookmarkEnd w:id="86"/>
      <w:bookmarkEnd w:id="87"/>
    </w:p>
    <w:p>
      <w:pPr>
        <w:pStyle w:val="5"/>
        <w:pageBreakBefore w:val="0"/>
        <w:kinsoku/>
        <w:wordWrap/>
        <w:overflowPunct/>
        <w:topLinePunct w:val="0"/>
        <w:bidi w:val="0"/>
        <w:spacing w:before="0" w:after="0" w:line="340" w:lineRule="exact"/>
        <w:ind w:left="632" w:hanging="630" w:hangingChars="300"/>
        <w:rPr>
          <w:rFonts w:hint="eastAsia" w:ascii="宋体" w:hAnsi="宋体" w:eastAsia="宋体" w:cs="宋体"/>
          <w:b w:val="0"/>
          <w:bCs/>
          <w:color w:val="auto"/>
          <w:sz w:val="21"/>
          <w:szCs w:val="21"/>
          <w:u w:val="none"/>
        </w:rPr>
      </w:pPr>
      <w:bookmarkStart w:id="88" w:name="_Toc19565"/>
      <w:bookmarkStart w:id="89" w:name="_Toc515647776"/>
      <w:bookmarkStart w:id="90" w:name="_Toc520356161"/>
      <w:bookmarkStart w:id="91" w:name="_Toc9840"/>
      <w:bookmarkStart w:id="92" w:name="_Toc31921"/>
      <w:bookmarkStart w:id="93" w:name="_Toc12751"/>
      <w:r>
        <w:rPr>
          <w:rFonts w:hint="eastAsia" w:ascii="宋体" w:hAnsi="宋体" w:eastAsia="宋体" w:cs="宋体"/>
          <w:b w:val="0"/>
          <w:bCs/>
          <w:color w:val="auto"/>
          <w:sz w:val="21"/>
          <w:szCs w:val="21"/>
          <w:u w:val="none"/>
        </w:rPr>
        <w:t>15.1   为方便磋商开启及进行资格审查，供应商应将响应文件第一部分和第二部分合订成册密封提交，并在封皮正面标明“响应文件”字样，正副本分开密封提交。</w:t>
      </w:r>
    </w:p>
    <w:p>
      <w:pPr>
        <w:pStyle w:val="5"/>
        <w:pageBreakBefore w:val="0"/>
        <w:kinsoku/>
        <w:wordWrap/>
        <w:overflowPunct/>
        <w:topLinePunct w:val="0"/>
        <w:bidi w:val="0"/>
        <w:spacing w:before="0" w:after="0" w:line="340" w:lineRule="exact"/>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15.2   所有包装封皮和信封上均应：</w:t>
      </w:r>
    </w:p>
    <w:p>
      <w:pPr>
        <w:pStyle w:val="5"/>
        <w:pageBreakBefore w:val="0"/>
        <w:kinsoku/>
        <w:wordWrap/>
        <w:overflowPunct/>
        <w:topLinePunct w:val="0"/>
        <w:bidi w:val="0"/>
        <w:spacing w:before="0" w:after="0" w:line="340" w:lineRule="exact"/>
        <w:ind w:left="630" w:leftChars="300" w:firstLine="0" w:firstLineChars="0"/>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（1） 注明采购公告或谈判邀请书中指明的项目名称、</w:t>
      </w:r>
      <w:r>
        <w:rPr>
          <w:rFonts w:hint="eastAsia" w:ascii="宋体" w:hAnsi="宋体" w:eastAsia="宋体" w:cs="宋体"/>
          <w:b w:val="0"/>
          <w:bCs/>
          <w:color w:val="auto"/>
          <w:sz w:val="21"/>
          <w:szCs w:val="21"/>
          <w:u w:val="none"/>
          <w:lang w:eastAsia="zh-CN"/>
        </w:rPr>
        <w:t>项目编号</w:t>
      </w:r>
      <w:r>
        <w:rPr>
          <w:rFonts w:hint="eastAsia" w:ascii="宋体" w:hAnsi="宋体" w:eastAsia="宋体" w:cs="宋体"/>
          <w:b w:val="0"/>
          <w:bCs/>
          <w:color w:val="auto"/>
          <w:sz w:val="21"/>
          <w:szCs w:val="21"/>
          <w:u w:val="none"/>
        </w:rPr>
        <w:t>、供应商名称和“在（磋商报价开启时间）之前不得启封”的字样。</w:t>
      </w:r>
    </w:p>
    <w:p>
      <w:pPr>
        <w:pStyle w:val="5"/>
        <w:pageBreakBefore w:val="0"/>
        <w:kinsoku/>
        <w:wordWrap/>
        <w:overflowPunct/>
        <w:topLinePunct w:val="0"/>
        <w:bidi w:val="0"/>
        <w:spacing w:before="0" w:after="0" w:line="340" w:lineRule="exact"/>
        <w:ind w:firstLine="630" w:firstLineChars="300"/>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（2） 在封口处加盖供应商单位公章</w:t>
      </w:r>
    </w:p>
    <w:p>
      <w:pPr>
        <w:pStyle w:val="5"/>
        <w:pageBreakBefore w:val="0"/>
        <w:kinsoku/>
        <w:wordWrap/>
        <w:overflowPunct/>
        <w:topLinePunct w:val="0"/>
        <w:bidi w:val="0"/>
        <w:spacing w:before="0" w:after="0" w:line="340" w:lineRule="exact"/>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15.3   如果供应商未按上述要求密封标记的，将承担相应的后果。</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16.磋商截止</w:t>
      </w:r>
      <w:bookmarkEnd w:id="88"/>
      <w:bookmarkEnd w:id="89"/>
      <w:bookmarkEnd w:id="90"/>
      <w:bookmarkEnd w:id="91"/>
      <w:bookmarkEnd w:id="92"/>
      <w:bookmarkEnd w:id="93"/>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16.1</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应在</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须知资料表中</w:t>
      </w:r>
      <w:r>
        <w:rPr>
          <w:rFonts w:hint="eastAsia" w:ascii="宋体" w:hAnsi="宋体" w:eastAsia="宋体" w:cs="宋体"/>
          <w:b w:val="0"/>
          <w:bCs/>
          <w:color w:val="auto"/>
          <w:sz w:val="21"/>
          <w:szCs w:val="21"/>
        </w:rPr>
        <w:t>规定的截止时间前，将响应文件递交到招标公告中规定的地点。</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有权按本须知的规定，延迟磋商截止时间。在此情况下，</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受磋商截止时间制约的所有权利和义务均应延长至新的截止时间。</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94" w:name="_Toc515647777"/>
      <w:bookmarkStart w:id="95" w:name="_Toc16658"/>
      <w:bookmarkStart w:id="96" w:name="_Toc29943"/>
      <w:bookmarkStart w:id="97" w:name="_Toc18537"/>
      <w:bookmarkStart w:id="98" w:name="_Toc520356162"/>
      <w:bookmarkStart w:id="99" w:name="_Toc24275"/>
      <w:r>
        <w:rPr>
          <w:rFonts w:hint="eastAsia" w:ascii="宋体" w:hAnsi="宋体" w:eastAsia="宋体" w:cs="宋体"/>
          <w:b/>
          <w:bCs w:val="0"/>
          <w:color w:val="auto"/>
          <w:sz w:val="21"/>
          <w:szCs w:val="21"/>
          <w:u w:val="none"/>
        </w:rPr>
        <w:t>17.响应文件的接收、修改与撤回</w:t>
      </w:r>
      <w:bookmarkEnd w:id="94"/>
      <w:bookmarkEnd w:id="95"/>
      <w:bookmarkEnd w:id="96"/>
      <w:bookmarkEnd w:id="97"/>
      <w:bookmarkEnd w:id="98"/>
      <w:bookmarkEnd w:id="99"/>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在磋商截止时间后送达的响应文件的，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将拒绝接收。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收到响应文件后，应当如实记载响应文件的送达时间和密封情况，并向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出具以下签收回执。</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p>
    <w:tbl>
      <w:tblPr>
        <w:tblStyle w:val="37"/>
        <w:tblW w:w="7087" w:type="dxa"/>
        <w:tblInd w:w="1101" w:type="dxa"/>
        <w:tblLayout w:type="fixed"/>
        <w:tblCellMar>
          <w:top w:w="0" w:type="dxa"/>
          <w:left w:w="108" w:type="dxa"/>
          <w:bottom w:w="0" w:type="dxa"/>
          <w:right w:w="108" w:type="dxa"/>
        </w:tblCellMar>
      </w:tblPr>
      <w:tblGrid>
        <w:gridCol w:w="1851"/>
        <w:gridCol w:w="1551"/>
        <w:gridCol w:w="2229"/>
        <w:gridCol w:w="1456"/>
      </w:tblGrid>
      <w:tr>
        <w:tblPrEx>
          <w:tblCellMar>
            <w:top w:w="0" w:type="dxa"/>
            <w:left w:w="108" w:type="dxa"/>
            <w:bottom w:w="0" w:type="dxa"/>
            <w:right w:w="108" w:type="dxa"/>
          </w:tblCellMar>
        </w:tblPrEx>
        <w:trPr>
          <w:trHeight w:val="520" w:hRule="atLeast"/>
        </w:trPr>
        <w:tc>
          <w:tcPr>
            <w:tcW w:w="7087" w:type="dxa"/>
            <w:gridSpan w:val="4"/>
            <w:tcBorders>
              <w:top w:val="nil"/>
              <w:left w:val="nil"/>
              <w:bottom w:val="single" w:color="auto" w:sz="4" w:space="0"/>
              <w:right w:val="nil"/>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接收响应文件回执单        </w:t>
            </w:r>
          </w:p>
        </w:tc>
      </w:tr>
      <w:tr>
        <w:tblPrEx>
          <w:tblCellMar>
            <w:top w:w="0" w:type="dxa"/>
            <w:left w:w="108" w:type="dxa"/>
            <w:bottom w:w="0" w:type="dxa"/>
            <w:right w:w="108" w:type="dxa"/>
          </w:tblCellMar>
        </w:tblPrEx>
        <w:trPr>
          <w:trHeight w:val="315"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项目编号</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277"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项目名称</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13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名称</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rPr>
          <w:trHeight w:val="29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递交时间</w:t>
            </w:r>
          </w:p>
        </w:tc>
        <w:tc>
          <w:tcPr>
            <w:tcW w:w="1551"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c>
          <w:tcPr>
            <w:tcW w:w="222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响应文件密封情况</w:t>
            </w:r>
          </w:p>
        </w:tc>
        <w:tc>
          <w:tcPr>
            <w:tcW w:w="145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rPr>
          <w:trHeight w:val="27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接收单位</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p>
        </w:tc>
      </w:tr>
      <w:tr>
        <w:trPr>
          <w:trHeight w:val="26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接收人签字：</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bl>
    <w:p>
      <w:pPr>
        <w:pageBreakBefore w:val="0"/>
        <w:kinsoku/>
        <w:wordWrap/>
        <w:overflowPunct/>
        <w:topLinePunct w:val="0"/>
        <w:bidi w:val="0"/>
        <w:spacing w:line="340" w:lineRule="exact"/>
        <w:rPr>
          <w:rFonts w:hint="eastAsia" w:ascii="宋体" w:hAnsi="宋体" w:eastAsia="宋体" w:cs="宋体"/>
          <w:b w:val="0"/>
          <w:bCs/>
          <w:color w:val="auto"/>
          <w:sz w:val="21"/>
          <w:szCs w:val="21"/>
        </w:rPr>
      </w:pPr>
    </w:p>
    <w:p>
      <w:pPr>
        <w:pageBreakBefore w:val="0"/>
        <w:kinsoku/>
        <w:wordWrap/>
        <w:overflowPunct/>
        <w:topLinePunct w:val="0"/>
        <w:bidi w:val="0"/>
        <w:spacing w:line="340" w:lineRule="exact"/>
        <w:ind w:left="840" w:hanging="735" w:hangingChars="35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递交响应文件以后，如果</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要进行修改或撤回磋商，须提出书面申请并在磋商截止时间前送达开标地点，</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对响应文件的修改或撤回通知应按本须知规定编制、密封、标记。</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将予以接收，并视为响应文件的组成部分。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在磋商截止期之后，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不接受</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主动对其响应文件做任何修改。</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17.5</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对所接收响应文件概不退回。</w:t>
      </w:r>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bookmarkStart w:id="100" w:name="_Toc216582809"/>
      <w:bookmarkStart w:id="101" w:name="_Toc3188"/>
      <w:bookmarkStart w:id="102" w:name="_Toc515647778"/>
      <w:bookmarkStart w:id="103" w:name="_Toc520356163"/>
      <w:bookmarkStart w:id="104" w:name="_Toc28398"/>
      <w:bookmarkStart w:id="105" w:name="_Toc12436"/>
      <w:bookmarkStart w:id="106" w:name="_Toc27283"/>
    </w:p>
    <w:p>
      <w:pPr>
        <w:pageBreakBefore w:val="0"/>
        <w:numPr>
          <w:ilvl w:val="0"/>
          <w:numId w:val="0"/>
        </w:numPr>
        <w:kinsoku/>
        <w:wordWrap/>
        <w:overflowPunct/>
        <w:topLinePunct w:val="0"/>
        <w:bidi w:val="0"/>
        <w:spacing w:line="340" w:lineRule="exact"/>
        <w:ind w:leftChars="-375"/>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五   </w:t>
      </w:r>
      <w:bookmarkEnd w:id="100"/>
      <w:bookmarkEnd w:id="101"/>
      <w:bookmarkEnd w:id="102"/>
      <w:bookmarkEnd w:id="103"/>
      <w:bookmarkEnd w:id="104"/>
      <w:bookmarkEnd w:id="105"/>
      <w:bookmarkEnd w:id="106"/>
      <w:r>
        <w:rPr>
          <w:rFonts w:hint="eastAsia" w:ascii="宋体" w:hAnsi="宋体" w:eastAsia="宋体" w:cs="宋体"/>
          <w:b w:val="0"/>
          <w:bCs/>
          <w:color w:val="auto"/>
          <w:sz w:val="21"/>
          <w:szCs w:val="21"/>
        </w:rPr>
        <w:t>磋商开启及评审</w:t>
      </w:r>
    </w:p>
    <w:p>
      <w:pPr>
        <w:pageBreakBefore w:val="0"/>
        <w:numPr>
          <w:ilvl w:val="0"/>
          <w:numId w:val="0"/>
        </w:numPr>
        <w:kinsoku/>
        <w:wordWrap/>
        <w:overflowPunct/>
        <w:topLinePunct w:val="0"/>
        <w:bidi w:val="0"/>
        <w:spacing w:line="340" w:lineRule="exact"/>
        <w:rPr>
          <w:rFonts w:hint="eastAsia" w:ascii="宋体" w:hAnsi="宋体" w:eastAsia="宋体" w:cs="宋体"/>
          <w:b/>
          <w:bCs w:val="0"/>
          <w:color w:val="auto"/>
          <w:sz w:val="21"/>
          <w:szCs w:val="21"/>
        </w:rPr>
      </w:pPr>
      <w:bookmarkStart w:id="107" w:name="_Toc520356164"/>
      <w:bookmarkStart w:id="108" w:name="_Toc515647779"/>
      <w:bookmarkStart w:id="109" w:name="_Toc25345"/>
      <w:bookmarkStart w:id="110" w:name="_Toc18892"/>
      <w:bookmarkStart w:id="111" w:name="_Toc27235"/>
      <w:bookmarkStart w:id="112" w:name="_Toc7186"/>
      <w:r>
        <w:rPr>
          <w:rFonts w:hint="eastAsia" w:ascii="宋体" w:hAnsi="宋体" w:cs="宋体"/>
          <w:b/>
          <w:bCs w:val="0"/>
          <w:color w:val="auto"/>
          <w:sz w:val="21"/>
          <w:szCs w:val="21"/>
          <w:lang w:val="en-US" w:eastAsia="zh-CN"/>
        </w:rPr>
        <w:t>18.</w:t>
      </w:r>
      <w:bookmarkEnd w:id="107"/>
      <w:bookmarkEnd w:id="108"/>
      <w:bookmarkEnd w:id="109"/>
      <w:bookmarkEnd w:id="110"/>
      <w:bookmarkEnd w:id="111"/>
      <w:bookmarkEnd w:id="112"/>
      <w:r>
        <w:rPr>
          <w:rFonts w:hint="eastAsia" w:ascii="宋体" w:hAnsi="宋体" w:cs="宋体"/>
          <w:b/>
          <w:bCs w:val="0"/>
          <w:color w:val="auto"/>
          <w:sz w:val="21"/>
          <w:szCs w:val="21"/>
          <w:lang w:val="en-US" w:eastAsia="zh-CN"/>
        </w:rPr>
        <w:t>磋商开启</w:t>
      </w:r>
    </w:p>
    <w:p>
      <w:pPr>
        <w:pageBreakBefore w:val="0"/>
        <w:numPr>
          <w:ilvl w:val="1"/>
          <w:numId w:val="4"/>
        </w:numPr>
        <w:kinsoku/>
        <w:wordWrap/>
        <w:overflowPunct/>
        <w:topLinePunct w:val="0"/>
        <w:bidi w:val="0"/>
        <w:spacing w:line="340" w:lineRule="exact"/>
        <w:ind w:left="787" w:leftChars="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采购人和采购代理机构将按</w:t>
      </w:r>
      <w:r>
        <w:rPr>
          <w:rFonts w:hint="eastAsia" w:ascii="宋体" w:hAnsi="宋体" w:eastAsia="宋体" w:cs="宋体"/>
          <w:b w:val="0"/>
          <w:bCs/>
          <w:color w:val="auto"/>
          <w:sz w:val="21"/>
          <w:szCs w:val="21"/>
          <w:u w:val="single"/>
        </w:rPr>
        <w:t>供应商须知资料表</w:t>
      </w:r>
      <w:r>
        <w:rPr>
          <w:rFonts w:hint="eastAsia" w:ascii="宋体" w:hAnsi="宋体" w:eastAsia="宋体" w:cs="宋体"/>
          <w:b w:val="0"/>
          <w:bCs/>
          <w:color w:val="auto"/>
          <w:sz w:val="21"/>
          <w:szCs w:val="21"/>
        </w:rPr>
        <w:t>中规定的磋商开启时间和地点组织公开磋商开启并邀请所有供应商代表参加。</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不足3家的，不得开标。</w:t>
      </w:r>
    </w:p>
    <w:p>
      <w:pPr>
        <w:pageBreakBefore w:val="0"/>
        <w:kinsoku/>
        <w:wordWrap/>
        <w:overflowPunct/>
        <w:topLinePunct w:val="0"/>
        <w:bidi w:val="0"/>
        <w:spacing w:line="340" w:lineRule="exact"/>
        <w:ind w:left="840" w:hanging="840" w:hangingChars="400"/>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 xml:space="preserve">18.2   </w:t>
      </w:r>
      <w:r>
        <w:rPr>
          <w:rFonts w:hint="eastAsia" w:ascii="宋体" w:hAnsi="宋体" w:eastAsia="宋体" w:cs="宋体"/>
          <w:b w:val="0"/>
          <w:bCs/>
          <w:color w:val="auto"/>
          <w:sz w:val="21"/>
          <w:szCs w:val="21"/>
        </w:rPr>
        <w:t>磋商开启时，由供应商或其推选的代表检查自己或所代表的响应文件的密封情况，经记录后，由采购人或采购代理机构当众拆封响应文件第一部分，宣读供应商名称、磋商开启报价一览表价格及磋商文件规定的内容。对于供应商在响应文件递交截止期前递交的磋商声明，在磋商开启时当众宣读，评审时有效。未宣读磋商价格、价格折扣等实质内容，评审时不予承认。</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18.3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将对开标过程进行记录</w:t>
      </w:r>
      <w:bookmarkStart w:id="113" w:name="_Toc520356165"/>
      <w:r>
        <w:rPr>
          <w:rFonts w:hint="eastAsia" w:ascii="宋体" w:hAnsi="宋体" w:eastAsia="宋体" w:cs="宋体"/>
          <w:b w:val="0"/>
          <w:bCs/>
          <w:color w:val="auto"/>
          <w:sz w:val="21"/>
          <w:szCs w:val="21"/>
        </w:rPr>
        <w:t>，由参加开标的各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代表和相关工作人员签字确认，并存档备查。</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18.4    供应商代表对磋商开启过程和磋商开启记录有疑义，以及认为采购人、采购代理机构相关工作人员有需要回避的情形的，应当场提出询问或者回避申请。</w:t>
      </w:r>
    </w:p>
    <w:p>
      <w:pPr>
        <w:pStyle w:val="5"/>
        <w:pageBreakBefore w:val="0"/>
        <w:kinsoku/>
        <w:wordWrap/>
        <w:overflowPunct/>
        <w:topLinePunct w:val="0"/>
        <w:bidi w:val="0"/>
        <w:spacing w:before="0" w:after="0" w:line="340" w:lineRule="exact"/>
        <w:rPr>
          <w:rFonts w:hint="eastAsia" w:ascii="宋体" w:hAnsi="宋体" w:eastAsia="宋体" w:cs="宋体"/>
          <w:b w:val="0"/>
          <w:bCs/>
          <w:color w:val="auto"/>
          <w:sz w:val="21"/>
          <w:szCs w:val="21"/>
          <w:u w:val="none"/>
        </w:rPr>
      </w:pPr>
      <w:bookmarkStart w:id="114" w:name="_Toc19296"/>
      <w:bookmarkStart w:id="115" w:name="_Toc21372"/>
      <w:bookmarkStart w:id="116" w:name="_Toc5428"/>
      <w:bookmarkStart w:id="117" w:name="_Toc515647780"/>
      <w:bookmarkStart w:id="118" w:name="_Toc8438"/>
      <w:r>
        <w:rPr>
          <w:rFonts w:hint="eastAsia" w:ascii="宋体" w:hAnsi="宋体" w:eastAsia="宋体" w:cs="宋体"/>
          <w:b w:val="0"/>
          <w:bCs/>
          <w:color w:val="auto"/>
          <w:sz w:val="21"/>
          <w:szCs w:val="21"/>
          <w:u w:val="none"/>
        </w:rPr>
        <w:t>19.</w:t>
      </w:r>
      <w:bookmarkEnd w:id="113"/>
      <w:r>
        <w:rPr>
          <w:rFonts w:hint="eastAsia" w:ascii="宋体" w:hAnsi="宋体" w:eastAsia="宋体" w:cs="宋体"/>
          <w:b/>
          <w:bCs w:val="0"/>
          <w:color w:val="auto"/>
          <w:sz w:val="21"/>
          <w:szCs w:val="21"/>
          <w:u w:val="none"/>
        </w:rPr>
        <w:t>资格审查及组建</w:t>
      </w:r>
      <w:bookmarkEnd w:id="114"/>
      <w:bookmarkEnd w:id="115"/>
      <w:bookmarkEnd w:id="116"/>
      <w:bookmarkEnd w:id="117"/>
      <w:r>
        <w:rPr>
          <w:rFonts w:hint="eastAsia" w:ascii="宋体" w:hAnsi="宋体" w:eastAsia="宋体" w:cs="宋体"/>
          <w:b/>
          <w:bCs w:val="0"/>
          <w:color w:val="auto"/>
          <w:sz w:val="21"/>
          <w:szCs w:val="21"/>
          <w:u w:val="none"/>
        </w:rPr>
        <w:t>磋商小组</w:t>
      </w:r>
      <w:bookmarkEnd w:id="118"/>
    </w:p>
    <w:p>
      <w:pPr>
        <w:keepNext w:val="0"/>
        <w:keepLines w:val="0"/>
        <w:pageBreakBefore w:val="0"/>
        <w:kinsoku/>
        <w:wordWrap/>
        <w:overflowPunct/>
        <w:topLinePunct w:val="0"/>
        <w:bidi w:val="0"/>
        <w:snapToGrid/>
        <w:spacing w:line="340" w:lineRule="exact"/>
        <w:ind w:left="960" w:hanging="840" w:hanging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19.1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依据法律法规和磋商文件中规定的内容，对</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及其</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的资格进行审查，未通过资格审查的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不进入评标。</w:t>
      </w:r>
    </w:p>
    <w:p>
      <w:pPr>
        <w:pageBreakBefore w:val="0"/>
        <w:widowControl/>
        <w:kinsoku/>
        <w:wordWrap/>
        <w:overflowPunct/>
        <w:topLinePunct w:val="0"/>
        <w:bidi w:val="0"/>
        <w:snapToGrid w:val="0"/>
        <w:spacing w:before="0" w:beforeAutospacing="0" w:after="0" w:afterAutospacing="0" w:line="340" w:lineRule="exact"/>
        <w:ind w:left="0" w:leftChars="0" w:firstLine="843" w:firstLineChars="400"/>
        <w:jc w:val="left"/>
        <w:textAlignment w:val="baseline"/>
        <w:rPr>
          <w:rFonts w:hint="eastAsia" w:ascii="宋体" w:hAnsi="宋体" w:eastAsia="宋体" w:cs="宋体"/>
          <w:b/>
          <w:bCs w:val="0"/>
          <w:i w:val="0"/>
          <w:caps w:val="0"/>
          <w:color w:val="auto"/>
          <w:spacing w:val="0"/>
          <w:w w:val="100"/>
          <w:sz w:val="21"/>
          <w:szCs w:val="21"/>
        </w:rPr>
      </w:pPr>
      <w:r>
        <w:rPr>
          <w:rFonts w:hint="eastAsia" w:ascii="宋体" w:hAnsi="宋体" w:eastAsia="宋体" w:cs="宋体"/>
          <w:b/>
          <w:bCs w:val="0"/>
          <w:i w:val="0"/>
          <w:caps w:val="0"/>
          <w:color w:val="auto"/>
          <w:spacing w:val="0"/>
          <w:w w:val="100"/>
          <w:sz w:val="21"/>
          <w:szCs w:val="21"/>
        </w:rPr>
        <w:t>本项目审查内容如下：</w:t>
      </w:r>
      <w:r>
        <w:rPr>
          <w:rFonts w:hint="eastAsia" w:ascii="宋体" w:hAnsi="宋体" w:cs="宋体"/>
          <w:b/>
          <w:bCs w:val="0"/>
          <w:i w:val="0"/>
          <w:caps w:val="0"/>
          <w:color w:val="auto"/>
          <w:spacing w:val="0"/>
          <w:w w:val="100"/>
          <w:sz w:val="21"/>
          <w:szCs w:val="21"/>
          <w:lang w:val="en-US" w:eastAsia="zh-CN"/>
        </w:rPr>
        <w:t>供应商</w:t>
      </w:r>
      <w:r>
        <w:rPr>
          <w:rFonts w:hint="eastAsia" w:ascii="宋体" w:hAnsi="宋体" w:eastAsia="宋体" w:cs="宋体"/>
          <w:b/>
          <w:bCs w:val="0"/>
          <w:i w:val="0"/>
          <w:caps w:val="0"/>
          <w:color w:val="auto"/>
          <w:spacing w:val="0"/>
          <w:w w:val="100"/>
          <w:sz w:val="21"/>
          <w:szCs w:val="21"/>
        </w:rPr>
        <w:t>的资格要求（磋商时须携带以下资格证明材料）</w:t>
      </w:r>
    </w:p>
    <w:p>
      <w:pPr>
        <w:pStyle w:val="2"/>
        <w:keepNext w:val="0"/>
        <w:keepLines w:val="0"/>
        <w:pageBreakBefore w:val="0"/>
        <w:widowControl w:val="0"/>
        <w:kinsoku/>
        <w:wordWrap/>
        <w:overflowPunct/>
        <w:topLinePunct w:val="0"/>
        <w:bidi w:val="0"/>
        <w:snapToGrid/>
        <w:spacing w:line="300" w:lineRule="exact"/>
        <w:ind w:left="0" w:leftChars="0"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1.满足《中华人民共和国政府采购法》第二十二条规定；</w:t>
      </w:r>
    </w:p>
    <w:p>
      <w:pPr>
        <w:pStyle w:val="2"/>
        <w:keepNext w:val="0"/>
        <w:keepLines w:val="0"/>
        <w:pageBreakBefore w:val="0"/>
        <w:widowControl w:val="0"/>
        <w:kinsoku/>
        <w:wordWrap/>
        <w:overflowPunct/>
        <w:topLinePunct w:val="0"/>
        <w:bidi w:val="0"/>
        <w:snapToGrid/>
        <w:spacing w:line="300" w:lineRule="exact"/>
        <w:ind w:left="0" w:leftChars="0"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2.具有有效的独立法人营业执照；</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3.投标人须具备[施工总承包建筑工程三级](含)以上资质，企业安全生产许可证，项目负责人须具备[建筑工程二级](含)以上注册建造师执业资格，具备有效的安全生产考核合格证书；</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4.法人代表资格证明书及授权书、被授权人身份证(法人投标需提供法人身份证及法人代表资格证明书)；</w:t>
      </w:r>
    </w:p>
    <w:p>
      <w:pPr>
        <w:pStyle w:val="2"/>
        <w:keepNext w:val="0"/>
        <w:keepLines w:val="0"/>
        <w:pageBreakBefore w:val="0"/>
        <w:widowControl w:val="0"/>
        <w:kinsoku/>
        <w:wordWrap/>
        <w:overflowPunct/>
        <w:topLinePunct w:val="0"/>
        <w:bidi w:val="0"/>
        <w:snapToGrid/>
        <w:spacing w:line="300" w:lineRule="exact"/>
        <w:ind w:left="1051" w:leftChars="400" w:hanging="211" w:hangingChars="1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5.</w:t>
      </w:r>
      <w:r>
        <w:rPr>
          <w:rFonts w:hint="eastAsia" w:hAnsi="宋体" w:cs="宋体"/>
          <w:b/>
          <w:bCs w:val="0"/>
          <w:color w:val="auto"/>
          <w:kern w:val="2"/>
          <w:sz w:val="21"/>
          <w:szCs w:val="21"/>
          <w:lang w:val="en-US" w:eastAsia="zh-CN" w:bidi="ar-SA"/>
        </w:rPr>
        <w:t>供应商</w:t>
      </w:r>
      <w:r>
        <w:rPr>
          <w:rFonts w:hint="eastAsia" w:ascii="宋体" w:hAnsi="宋体" w:eastAsia="宋体" w:cs="宋体"/>
          <w:b/>
          <w:bCs w:val="0"/>
          <w:color w:val="auto"/>
          <w:kern w:val="2"/>
          <w:sz w:val="21"/>
          <w:szCs w:val="21"/>
          <w:lang w:val="en-US" w:eastAsia="zh-CN" w:bidi="ar-SA"/>
        </w:rPr>
        <w:t>提供本单位依法缴纳近三个月的社会保险缴费凭证；</w:t>
      </w:r>
    </w:p>
    <w:p>
      <w:pPr>
        <w:pStyle w:val="2"/>
        <w:keepNext w:val="0"/>
        <w:keepLines w:val="0"/>
        <w:pageBreakBefore w:val="0"/>
        <w:widowControl w:val="0"/>
        <w:kinsoku/>
        <w:wordWrap/>
        <w:overflowPunct/>
        <w:topLinePunct w:val="0"/>
        <w:bidi w:val="0"/>
        <w:snapToGrid/>
        <w:spacing w:line="300" w:lineRule="exact"/>
        <w:ind w:firstLine="843" w:firstLineChars="400"/>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6.提供税务部门出具上一季度的完税证明；</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7.提供近一年2020年度的财务审计报告（新成立公司需提供银行资信证明）；</w:t>
      </w:r>
    </w:p>
    <w:p>
      <w:pPr>
        <w:pStyle w:val="2"/>
        <w:keepNext w:val="0"/>
        <w:keepLines w:val="0"/>
        <w:pageBreakBefore w:val="0"/>
        <w:widowControl w:val="0"/>
        <w:kinsoku/>
        <w:wordWrap/>
        <w:overflowPunct/>
        <w:topLinePunct w:val="0"/>
        <w:bidi w:val="0"/>
        <w:snapToGrid/>
        <w:spacing w:line="300" w:lineRule="exact"/>
        <w:ind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8.提供针对本次项目《反商业贿赂承诺书》；</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9.参与政府采购活动前3年内未被列入失信、重大税收违法案件、财政部门禁止参加政府采购活动的承诺书；</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10.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11.缴纳磋商保证金收据</w:t>
      </w:r>
      <w:r>
        <w:rPr>
          <w:rFonts w:hint="eastAsia" w:hAnsi="宋体" w:cs="宋体"/>
          <w:b/>
          <w:bCs w:val="0"/>
          <w:color w:val="auto"/>
          <w:kern w:val="2"/>
          <w:sz w:val="21"/>
          <w:szCs w:val="21"/>
          <w:lang w:val="en-US" w:eastAsia="zh-CN" w:bidi="ar-SA"/>
        </w:rPr>
        <w:t>原</w:t>
      </w:r>
      <w:r>
        <w:rPr>
          <w:rFonts w:hint="eastAsia" w:ascii="宋体" w:hAnsi="宋体" w:eastAsia="宋体" w:cs="宋体"/>
          <w:b/>
          <w:bCs w:val="0"/>
          <w:color w:val="auto"/>
          <w:kern w:val="2"/>
          <w:sz w:val="21"/>
          <w:szCs w:val="21"/>
          <w:lang w:val="en-US" w:eastAsia="zh-CN" w:bidi="ar-SA"/>
        </w:rPr>
        <w:t>件。</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未通过资格审查的</w:t>
      </w:r>
      <w:r>
        <w:rPr>
          <w:rFonts w:hint="eastAsia" w:hAnsi="宋体" w:cs="宋体"/>
          <w:b/>
          <w:bCs w:val="0"/>
          <w:color w:val="auto"/>
          <w:kern w:val="2"/>
          <w:sz w:val="21"/>
          <w:szCs w:val="21"/>
          <w:lang w:val="en-US" w:eastAsia="zh-CN" w:bidi="ar-SA"/>
        </w:rPr>
        <w:t>供应商</w:t>
      </w:r>
      <w:r>
        <w:rPr>
          <w:rFonts w:hint="eastAsia" w:ascii="宋体" w:hAnsi="宋体" w:eastAsia="宋体" w:cs="宋体"/>
          <w:b/>
          <w:bCs w:val="0"/>
          <w:color w:val="auto"/>
          <w:kern w:val="2"/>
          <w:sz w:val="21"/>
          <w:szCs w:val="21"/>
          <w:lang w:val="en-US" w:eastAsia="zh-CN" w:bidi="ar-SA"/>
        </w:rPr>
        <w:t>不进入评审。</w:t>
      </w:r>
    </w:p>
    <w:p>
      <w:pPr>
        <w:keepNext w:val="0"/>
        <w:keepLines w:val="0"/>
        <w:pageBreakBefore w:val="0"/>
        <w:kinsoku/>
        <w:wordWrap/>
        <w:overflowPunct/>
        <w:topLinePunct w:val="0"/>
        <w:bidi w:val="0"/>
        <w:snapToGrid/>
        <w:spacing w:line="340" w:lineRule="exact"/>
        <w:ind w:left="857" w:leftChars="2" w:hanging="853"/>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19.2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将在开标前1个工作日至磋商截止后1小时的期间内查询</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的信用记录。</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存在不良信用记录的，其磋商将被认定为磋商无效。</w:t>
      </w:r>
    </w:p>
    <w:p>
      <w:pPr>
        <w:keepNext w:val="0"/>
        <w:keepLines w:val="0"/>
        <w:pageBreakBefore w:val="0"/>
        <w:kinsoku/>
        <w:wordWrap/>
        <w:overflowPunct/>
        <w:topLinePunct w:val="0"/>
        <w:bidi w:val="0"/>
        <w:snapToGrid/>
        <w:spacing w:line="340" w:lineRule="exact"/>
        <w:ind w:left="840" w:hanging="840" w:hanging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19.2.1  不良信用记录指：</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在中国政府采购网（www.ccgp.gov.cn）被列入政府采购严重违法失信行为记录名单，或在“信用中国”网站（www.creditchina.gov.cn）被列入失信被执行人、重大税收违法案件当事人名单，</w:t>
      </w:r>
      <w:r>
        <w:rPr>
          <w:rFonts w:hint="eastAsia" w:ascii="宋体" w:hAnsi="宋体" w:eastAsia="宋体" w:cs="宋体"/>
          <w:b w:val="0"/>
          <w:bCs/>
          <w:color w:val="auto"/>
          <w:sz w:val="21"/>
          <w:szCs w:val="21"/>
          <w:lang w:val="en-US" w:eastAsia="zh-CN"/>
        </w:rPr>
        <w:t>裁判文书网（wenshu.court.gov.cn）查询在合同纠纷裁决中不得参加本项目招标，国家企业公示信息系统（www.gsxt.gov.cn）查询诚信记录如有行政处罚信息、异常名录信息不得参加本项目，</w:t>
      </w:r>
      <w:r>
        <w:rPr>
          <w:rFonts w:hint="eastAsia" w:ascii="宋体" w:hAnsi="宋体" w:eastAsia="宋体" w:cs="宋体"/>
          <w:b w:val="0"/>
          <w:bCs/>
          <w:color w:val="auto"/>
          <w:sz w:val="21"/>
          <w:szCs w:val="21"/>
        </w:rPr>
        <w:t>以及存在《中华人民共和国政府采购法实施条例》第十九条规定的行政处罚记录。以联合体形式参加磋商的，联合体任何成员存在以上不良信用记录的，联合体磋商将被认定为磋商无效。</w:t>
      </w:r>
    </w:p>
    <w:p>
      <w:pPr>
        <w:pStyle w:val="2"/>
        <w:keepNext w:val="0"/>
        <w:keepLines w:val="0"/>
        <w:pageBreakBefore w:val="0"/>
        <w:kinsoku/>
        <w:wordWrap/>
        <w:overflowPunct/>
        <w:topLinePunct w:val="0"/>
        <w:bidi w:val="0"/>
        <w:snapToGrid/>
        <w:spacing w:line="340" w:lineRule="exact"/>
        <w:ind w:left="951" w:hanging="951" w:hangingChars="453"/>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 xml:space="preserve">19.2.2 </w:t>
      </w:r>
      <w:r>
        <w:rPr>
          <w:rFonts w:hint="eastAsia"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查询及记录方式：</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经办人将查询网页打印、签字并存档备查。</w:t>
      </w:r>
      <w:r>
        <w:rPr>
          <w:rFonts w:hint="eastAsia" w:ascii="宋体" w:hAnsi="宋体" w:eastAsia="宋体" w:cs="宋体"/>
          <w:b w:val="0"/>
          <w:bCs/>
          <w:color w:val="auto"/>
          <w:sz w:val="21"/>
          <w:szCs w:val="21"/>
          <w:lang w:eastAsia="zh-CN"/>
        </w:rPr>
        <w:t>投</w:t>
      </w:r>
    </w:p>
    <w:p>
      <w:pPr>
        <w:pStyle w:val="2"/>
        <w:keepNext w:val="0"/>
        <w:keepLines w:val="0"/>
        <w:pageBreakBefore w:val="0"/>
        <w:kinsoku/>
        <w:wordWrap/>
        <w:overflowPunct/>
        <w:topLinePunct w:val="0"/>
        <w:bidi w:val="0"/>
        <w:snapToGrid/>
        <w:spacing w:line="340" w:lineRule="exact"/>
        <w:ind w:left="943" w:leftChars="399" w:hanging="105" w:hangingChars="5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标单位</w:t>
      </w:r>
      <w:r>
        <w:rPr>
          <w:rFonts w:hint="eastAsia" w:ascii="宋体" w:hAnsi="宋体" w:eastAsia="宋体" w:cs="宋体"/>
          <w:b w:val="0"/>
          <w:bCs/>
          <w:color w:val="auto"/>
          <w:sz w:val="21"/>
          <w:szCs w:val="21"/>
        </w:rPr>
        <w:t>不良信用记录以</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查询结果为准。在本磋商文件规定的查询时间之后，网站信息发生的任何变更均不再作为评标依据。</w:t>
      </w:r>
    </w:p>
    <w:p>
      <w:pPr>
        <w:pStyle w:val="2"/>
        <w:keepNext w:val="0"/>
        <w:keepLines w:val="0"/>
        <w:pageBreakBefore w:val="0"/>
        <w:kinsoku/>
        <w:wordWrap/>
        <w:overflowPunct/>
        <w:topLinePunct w:val="0"/>
        <w:bidi w:val="0"/>
        <w:snapToGrid/>
        <w:spacing w:line="340" w:lineRule="exact"/>
        <w:ind w:left="850" w:leftChars="405" w:firstLine="0"/>
        <w:jc w:val="both"/>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自行提供的与网站信息不一致的其他证明材料亦不作为资格审查依据。</w:t>
      </w:r>
    </w:p>
    <w:p>
      <w:pPr>
        <w:keepNext w:val="0"/>
        <w:keepLines w:val="0"/>
        <w:pageBreakBefore w:val="0"/>
        <w:kinsoku/>
        <w:wordWrap/>
        <w:overflowPunct/>
        <w:topLinePunct w:val="0"/>
        <w:bidi w:val="0"/>
        <w:snapToGrid/>
        <w:spacing w:line="340" w:lineRule="exact"/>
        <w:ind w:left="850" w:hanging="743" w:hangingChars="354"/>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19.3  </w:t>
      </w:r>
      <w:r>
        <w:rPr>
          <w:rFonts w:hint="eastAsia" w:ascii="宋体" w:hAnsi="宋体" w:eastAsia="宋体" w:cs="宋体"/>
          <w:b/>
          <w:bCs w:val="0"/>
          <w:color w:val="auto"/>
          <w:sz w:val="21"/>
          <w:szCs w:val="21"/>
        </w:rPr>
        <w:t xml:space="preserve"> 按照《中华人民共和国政府采购法》、《中华人民共和国政府采购法实施条例》</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政府采购竞争性磋商采购方式管理暂行办法</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及本项目本级和上级财政部门的有关规定依法组建磋商小组</w:t>
      </w:r>
      <w:r>
        <w:rPr>
          <w:rFonts w:hint="eastAsia" w:ascii="宋体" w:hAnsi="宋体" w:eastAsia="宋体" w:cs="宋体"/>
          <w:b/>
          <w:bCs w:val="0"/>
          <w:color w:val="auto"/>
          <w:sz w:val="21"/>
          <w:szCs w:val="21"/>
          <w:lang w:eastAsia="zh-CN"/>
        </w:rPr>
        <w:t>，磋商小组人数为</w:t>
      </w:r>
      <w:r>
        <w:rPr>
          <w:rFonts w:hint="eastAsia" w:ascii="宋体" w:hAnsi="宋体" w:eastAsia="宋体" w:cs="宋体"/>
          <w:b/>
          <w:bCs w:val="0"/>
          <w:color w:val="auto"/>
          <w:sz w:val="21"/>
          <w:szCs w:val="21"/>
          <w:lang w:val="en-US" w:eastAsia="zh-CN"/>
        </w:rPr>
        <w:t>3人，</w:t>
      </w:r>
      <w:r>
        <w:rPr>
          <w:rFonts w:hint="eastAsia" w:ascii="宋体" w:hAnsi="宋体" w:eastAsia="宋体" w:cs="宋体"/>
          <w:b/>
          <w:bCs w:val="0"/>
          <w:color w:val="auto"/>
          <w:sz w:val="21"/>
          <w:szCs w:val="21"/>
          <w:lang w:eastAsia="zh-CN"/>
        </w:rPr>
        <w:t>小组</w:t>
      </w:r>
      <w:r>
        <w:rPr>
          <w:rFonts w:hint="eastAsia" w:ascii="宋体" w:hAnsi="宋体" w:eastAsia="宋体" w:cs="宋体"/>
          <w:b/>
          <w:bCs w:val="0"/>
          <w:color w:val="auto"/>
          <w:sz w:val="21"/>
          <w:szCs w:val="21"/>
          <w:lang w:val="en-US" w:eastAsia="zh-CN"/>
        </w:rPr>
        <w:t>成员由1名</w:t>
      </w:r>
      <w:r>
        <w:rPr>
          <w:rFonts w:hint="eastAsia" w:ascii="宋体" w:hAnsi="宋体" w:cs="宋体"/>
          <w:b/>
          <w:bCs w:val="0"/>
          <w:color w:val="auto"/>
          <w:sz w:val="21"/>
          <w:szCs w:val="21"/>
          <w:lang w:val="en-US" w:eastAsia="zh-CN"/>
        </w:rPr>
        <w:t>采购代表</w:t>
      </w:r>
      <w:r>
        <w:rPr>
          <w:rFonts w:hint="eastAsia" w:ascii="宋体" w:hAnsi="宋体" w:eastAsia="宋体" w:cs="宋体"/>
          <w:b/>
          <w:bCs w:val="0"/>
          <w:color w:val="auto"/>
          <w:sz w:val="21"/>
          <w:szCs w:val="21"/>
          <w:lang w:val="en-US" w:eastAsia="zh-CN"/>
        </w:rPr>
        <w:t>、专家库随机抽取2名</w:t>
      </w:r>
      <w:r>
        <w:rPr>
          <w:rFonts w:hint="eastAsia" w:ascii="宋体" w:hAnsi="宋体" w:eastAsia="宋体" w:cs="宋体"/>
          <w:b/>
          <w:bCs w:val="0"/>
          <w:color w:val="auto"/>
          <w:sz w:val="21"/>
          <w:szCs w:val="21"/>
        </w:rPr>
        <w:t>，负责本项目评审工作。</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bdr w:val="single" w:color="auto" w:sz="4" w:space="0"/>
        </w:rPr>
      </w:pPr>
      <w:bookmarkStart w:id="119" w:name="_Toc520356166"/>
      <w:bookmarkStart w:id="120" w:name="_Toc515647781"/>
      <w:bookmarkStart w:id="121" w:name="_Toc19949"/>
      <w:bookmarkStart w:id="122" w:name="_Toc28479"/>
      <w:bookmarkStart w:id="123" w:name="_Toc29043"/>
      <w:bookmarkStart w:id="124" w:name="_Toc25814"/>
      <w:r>
        <w:rPr>
          <w:rFonts w:hint="eastAsia" w:ascii="宋体" w:hAnsi="宋体" w:eastAsia="宋体" w:cs="宋体"/>
          <w:b/>
          <w:bCs w:val="0"/>
          <w:color w:val="auto"/>
          <w:sz w:val="21"/>
          <w:szCs w:val="21"/>
          <w:u w:val="none"/>
        </w:rPr>
        <w:t>20.</w:t>
      </w:r>
      <w:bookmarkEnd w:id="119"/>
      <w:r>
        <w:rPr>
          <w:rFonts w:hint="eastAsia" w:ascii="宋体" w:hAnsi="宋体" w:eastAsia="宋体" w:cs="宋体"/>
          <w:b/>
          <w:bCs w:val="0"/>
          <w:color w:val="auto"/>
          <w:sz w:val="21"/>
          <w:szCs w:val="21"/>
          <w:u w:val="none"/>
        </w:rPr>
        <w:t>响应文件符合性审查与澄清</w:t>
      </w:r>
      <w:bookmarkEnd w:id="120"/>
      <w:bookmarkEnd w:id="121"/>
      <w:bookmarkEnd w:id="122"/>
      <w:bookmarkEnd w:id="123"/>
      <w:bookmarkEnd w:id="124"/>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20.1   符合性审查是指依据磋商文件的规定，从响应文件的有效性和完整性对磋商文件的响应程度进行审查，以确定是否对磋商文件的实质性要求做出响应。</w:t>
      </w:r>
      <w:bookmarkStart w:id="125" w:name="_Hlt522424701"/>
      <w:bookmarkEnd w:id="125"/>
      <w:bookmarkStart w:id="126" w:name="_Toc520356167"/>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20.2</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响应文件的澄清</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20.2.2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的的澄清、说明或补正将作为响应文件的一部分。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20.3  响应文件报价出现前后不一致的，按照下列规定修正：</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（一）响应文件中磋商开启报价一览表（报价表）内容与响应文件中相应内容不一致</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的，以磋商开启报价一览表（报价表）为准；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（二）大写金额和小写金额不一致的，以大写金额为准；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（三）单价金额小数点或者百分比有明显错位的，以磋商开启报价一览表的总价为准，</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并修改单价；</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（四）总价金额与按单价汇总金额不一致的，以单价金额计算结果为准。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同时出现两种以上不一致的，按照前款规定的顺序修正。修正后的报价按照第20.2</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条的规定经供应商确认后产生约束力，供应商不确认的，将被认定为磋商无效。对不</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同文字文本响应文件的解释发生异议的，以中文文本为准。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27" w:name="_Toc515647782"/>
      <w:bookmarkStart w:id="128" w:name="_Toc6223"/>
      <w:bookmarkStart w:id="129" w:name="_Toc6364"/>
      <w:bookmarkStart w:id="130" w:name="_Toc9469"/>
      <w:bookmarkStart w:id="131" w:name="_Toc29782"/>
      <w:r>
        <w:rPr>
          <w:rFonts w:hint="eastAsia" w:ascii="宋体" w:hAnsi="宋体" w:eastAsia="宋体" w:cs="宋体"/>
          <w:b/>
          <w:bCs w:val="0"/>
          <w:color w:val="auto"/>
          <w:sz w:val="21"/>
          <w:szCs w:val="21"/>
          <w:u w:val="none"/>
        </w:rPr>
        <w:t>21.磋商偏离</w:t>
      </w:r>
      <w:bookmarkEnd w:id="127"/>
      <w:bookmarkEnd w:id="128"/>
      <w:bookmarkEnd w:id="129"/>
      <w:bookmarkEnd w:id="130"/>
      <w:bookmarkEnd w:id="131"/>
    </w:p>
    <w:p>
      <w:pPr>
        <w:pageBreakBefore w:val="0"/>
        <w:kinsoku/>
        <w:wordWrap/>
        <w:overflowPunct/>
        <w:topLinePunct w:val="0"/>
        <w:bidi w:val="0"/>
        <w:spacing w:line="340" w:lineRule="exact"/>
        <w:ind w:left="768" w:leftChars="99" w:hanging="560" w:hangingChars="267"/>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磋商小组可以接受响应文件中不构成实质性偏离的不正规或不一致。</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32" w:name="_Toc515647783"/>
      <w:bookmarkStart w:id="133" w:name="_Toc4950"/>
      <w:bookmarkStart w:id="134" w:name="_Toc12041"/>
      <w:bookmarkStart w:id="135" w:name="_Toc23480"/>
      <w:bookmarkStart w:id="136" w:name="_Toc6092"/>
      <w:r>
        <w:rPr>
          <w:rFonts w:hint="eastAsia" w:ascii="宋体" w:hAnsi="宋体" w:eastAsia="宋体" w:cs="宋体"/>
          <w:b/>
          <w:bCs w:val="0"/>
          <w:color w:val="auto"/>
          <w:sz w:val="21"/>
          <w:szCs w:val="21"/>
          <w:u w:val="none"/>
        </w:rPr>
        <w:t>22.</w:t>
      </w:r>
      <w:bookmarkEnd w:id="132"/>
      <w:r>
        <w:rPr>
          <w:rFonts w:hint="eastAsia" w:ascii="宋体" w:hAnsi="宋体" w:eastAsia="宋体" w:cs="宋体"/>
          <w:b/>
          <w:bCs w:val="0"/>
          <w:color w:val="auto"/>
          <w:sz w:val="21"/>
          <w:szCs w:val="21"/>
          <w:u w:val="none"/>
        </w:rPr>
        <w:t>磋商无效</w:t>
      </w:r>
      <w:bookmarkEnd w:id="133"/>
      <w:bookmarkEnd w:id="134"/>
      <w:bookmarkEnd w:id="135"/>
      <w:bookmarkEnd w:id="136"/>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磋商小组决定磋商的响应性只根据磋商文件要求、响应文件内容及财政主管部门指定相关信息发布媒体。</w:t>
      </w:r>
    </w:p>
    <w:p>
      <w:pPr>
        <w:pageBreakBefore w:val="0"/>
        <w:kinsoku/>
        <w:wordWrap/>
        <w:overflowPunct/>
        <w:topLinePunct w:val="0"/>
        <w:bidi w:val="0"/>
        <w:spacing w:line="340" w:lineRule="exact"/>
        <w:ind w:left="900" w:hanging="787" w:hangingChars="375"/>
        <w:rPr>
          <w:rFonts w:hint="eastAsia" w:ascii="宋体" w:hAnsi="宋体" w:eastAsia="宋体" w:cs="宋体"/>
          <w:b/>
          <w:bCs w:val="0"/>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rPr>
        <w:tab/>
      </w:r>
      <w:r>
        <w:rPr>
          <w:rFonts w:hint="eastAsia" w:ascii="宋体" w:hAnsi="宋体" w:eastAsia="宋体" w:cs="宋体"/>
          <w:b/>
          <w:bCs w:val="0"/>
          <w:color w:val="auto"/>
          <w:sz w:val="21"/>
          <w:szCs w:val="21"/>
        </w:rPr>
        <w:t>如发现下列情况之一的，其磋商将被认定为磋商无效：（以下情形应当在磋商文件中规定，并以醒目的方式标明）</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未按磋商文件规定的形式和金额提交磋商保证金的；</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未按照磋商文件规定要求签署、盖章的；</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未满足磋商文件中技术条款的实质性要求；</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与其他</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串通磋商，或者与</w:t>
      </w:r>
      <w:r>
        <w:rPr>
          <w:rFonts w:hint="eastAsia" w:ascii="宋体" w:hAnsi="宋体" w:cs="宋体"/>
          <w:b/>
          <w:bCs w:val="0"/>
          <w:color w:val="auto"/>
          <w:sz w:val="21"/>
          <w:szCs w:val="21"/>
          <w:lang w:eastAsia="zh-CN"/>
        </w:rPr>
        <w:t>采购人</w:t>
      </w:r>
      <w:r>
        <w:rPr>
          <w:rFonts w:hint="eastAsia" w:ascii="宋体" w:hAnsi="宋体" w:eastAsia="宋体" w:cs="宋体"/>
          <w:b/>
          <w:bCs w:val="0"/>
          <w:color w:val="auto"/>
          <w:sz w:val="21"/>
          <w:szCs w:val="21"/>
        </w:rPr>
        <w:t>串通磋商；</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属于磋商文件规定的其他磋商无效情形；</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磋商小组认为</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的报价明显低于其他通过符合性检查</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的报价，有可能影响履约的，且</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未按照规定证明其报价合理性的；</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响应文件含有</w:t>
      </w:r>
      <w:r>
        <w:rPr>
          <w:rFonts w:hint="eastAsia" w:ascii="宋体" w:hAnsi="宋体" w:cs="宋体"/>
          <w:b/>
          <w:bCs w:val="0"/>
          <w:color w:val="auto"/>
          <w:sz w:val="21"/>
          <w:szCs w:val="21"/>
          <w:lang w:eastAsia="zh-CN"/>
        </w:rPr>
        <w:t>采购人</w:t>
      </w:r>
      <w:r>
        <w:rPr>
          <w:rFonts w:hint="eastAsia" w:ascii="宋体" w:hAnsi="宋体" w:eastAsia="宋体" w:cs="宋体"/>
          <w:b/>
          <w:bCs w:val="0"/>
          <w:color w:val="auto"/>
          <w:sz w:val="21"/>
          <w:szCs w:val="21"/>
        </w:rPr>
        <w:t>不能接受的附加条件的；</w:t>
      </w:r>
    </w:p>
    <w:p>
      <w:pPr>
        <w:pageBreakBefore w:val="0"/>
        <w:numPr>
          <w:ilvl w:val="0"/>
          <w:numId w:val="5"/>
        </w:numPr>
        <w:tabs>
          <w:tab w:val="left" w:pos="0"/>
        </w:tabs>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不符合法规和磋商文件中规定的其他实质性要求的。</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37" w:name="_Toc13652"/>
      <w:bookmarkStart w:id="138" w:name="_Toc515647784"/>
      <w:bookmarkStart w:id="139" w:name="_Toc22941"/>
      <w:bookmarkStart w:id="140" w:name="_Toc28827"/>
      <w:bookmarkStart w:id="141" w:name="_Toc3100"/>
      <w:r>
        <w:rPr>
          <w:rFonts w:hint="eastAsia" w:ascii="宋体" w:hAnsi="宋体" w:eastAsia="宋体" w:cs="宋体"/>
          <w:b/>
          <w:bCs w:val="0"/>
          <w:color w:val="auto"/>
          <w:sz w:val="21"/>
          <w:szCs w:val="21"/>
          <w:u w:val="none"/>
        </w:rPr>
        <w:t>23.</w:t>
      </w:r>
      <w:bookmarkEnd w:id="126"/>
      <w:r>
        <w:rPr>
          <w:rFonts w:hint="eastAsia" w:ascii="宋体" w:hAnsi="宋体" w:eastAsia="宋体" w:cs="宋体"/>
          <w:b/>
          <w:bCs w:val="0"/>
          <w:color w:val="auto"/>
          <w:sz w:val="21"/>
          <w:szCs w:val="21"/>
          <w:u w:val="none"/>
        </w:rPr>
        <w:t>比较与评价</w:t>
      </w:r>
      <w:bookmarkEnd w:id="137"/>
      <w:bookmarkEnd w:id="138"/>
      <w:bookmarkEnd w:id="139"/>
      <w:bookmarkEnd w:id="140"/>
      <w:bookmarkEnd w:id="141"/>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经符合性审查合格的响应文件，磋商小组将根据磋商文件确定的评标方法和标准，对其技术部分和商务部分作进一步的比较和评价。</w:t>
      </w:r>
    </w:p>
    <w:p>
      <w:pPr>
        <w:pageBreakBefore w:val="0"/>
        <w:kinsoku/>
        <w:wordWrap/>
        <w:overflowPunct/>
        <w:topLinePunct w:val="0"/>
        <w:bidi w:val="0"/>
        <w:spacing w:line="340" w:lineRule="exact"/>
        <w:ind w:left="840" w:leftChars="400" w:firstLine="0" w:firstLineChars="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竞争性磋商共有两次报价，二次报价为最终报价，磋商小组所有成员集中与单一</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分别进行磋商，并给予所有参加磋商的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平等的磋商机会， 磋商小组要求所有实质性响应的</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在规定时间内提交最后报价，最后报价是</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响应文件的有效组成部分，经磋商确定最终采购需求和提交最后报价的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后，由磋商小组采用综合评分法对提交最后报价的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的响应文件和最后报价进行综合评分。磋商小组各成员应当独立对每个有效响应的文件进行评价打分，汇总每个</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每项评分因素的得分。磋商小组应当从质量和服务均能满足采购文件实质性响应要求的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中，按照综合评分由高到低的顺序提出成交候选人，并编写评审报告，将结果通知所有参加磋商的未成交的</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w:t>
      </w:r>
    </w:p>
    <w:p>
      <w:pPr>
        <w:pStyle w:val="16"/>
        <w:pageBreakBefore w:val="0"/>
        <w:kinsoku/>
        <w:wordWrap/>
        <w:overflowPunct/>
        <w:topLinePunct w:val="0"/>
        <w:bidi w:val="0"/>
        <w:snapToGrid w:val="0"/>
        <w:spacing w:before="0" w:beforeAutospacing="0" w:after="0" w:afterAutospacing="0" w:line="340" w:lineRule="exact"/>
        <w:ind w:hangingChars="375"/>
        <w:jc w:val="both"/>
        <w:textAlignment w:val="baseline"/>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23.2  </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评审严格按照磋商文件的要求和条件进行。根据实际情况，在</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须知资料表中规定采用下列一种评审方法，详细评审标准见磋商文件第六章：</w:t>
      </w:r>
    </w:p>
    <w:p>
      <w:pPr>
        <w:pStyle w:val="16"/>
        <w:pageBreakBefore w:val="0"/>
        <w:kinsoku/>
        <w:wordWrap/>
        <w:overflowPunct/>
        <w:topLinePunct w:val="0"/>
        <w:bidi w:val="0"/>
        <w:snapToGrid w:val="0"/>
        <w:spacing w:before="0" w:beforeAutospacing="0" w:after="0" w:afterAutospacing="0" w:line="340" w:lineRule="exact"/>
        <w:ind w:left="838" w:leftChars="399" w:firstLine="52" w:firstLineChars="25"/>
        <w:jc w:val="both"/>
        <w:textAlignment w:val="baseline"/>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综合评分法，是指响应文件满足磋商文件全部实质性要求，且按照评审因素的量化指标评审得分最高的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为成交候选人的评审方法。</w:t>
      </w:r>
    </w:p>
    <w:p>
      <w:pPr>
        <w:pStyle w:val="16"/>
        <w:pageBreakBefore w:val="0"/>
        <w:kinsoku/>
        <w:wordWrap/>
        <w:overflowPunct/>
        <w:topLinePunct w:val="0"/>
        <w:bidi w:val="0"/>
        <w:snapToGrid w:val="0"/>
        <w:spacing w:before="0" w:beforeAutospacing="0" w:after="0" w:afterAutospacing="0" w:line="340" w:lineRule="exact"/>
        <w:ind w:left="838" w:leftChars="399" w:firstLine="53" w:firstLineChars="25"/>
        <w:jc w:val="both"/>
        <w:textAlignment w:val="baseline"/>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本项目采用采购方式：竞争性磋商</w:t>
      </w:r>
    </w:p>
    <w:p>
      <w:pPr>
        <w:pStyle w:val="16"/>
        <w:pageBreakBefore w:val="0"/>
        <w:kinsoku/>
        <w:wordWrap/>
        <w:overflowPunct/>
        <w:topLinePunct w:val="0"/>
        <w:bidi w:val="0"/>
        <w:snapToGrid w:val="0"/>
        <w:spacing w:before="0" w:beforeAutospacing="0" w:after="0" w:afterAutospacing="0" w:line="340" w:lineRule="exact"/>
        <w:ind w:left="838" w:leftChars="399" w:firstLine="53" w:firstLineChars="25"/>
        <w:jc w:val="both"/>
        <w:textAlignment w:val="baseline"/>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评分方法：综合评分</w:t>
      </w:r>
    </w:p>
    <w:p>
      <w:pPr>
        <w:pStyle w:val="16"/>
        <w:pageBreakBefore w:val="0"/>
        <w:kinsoku/>
        <w:wordWrap/>
        <w:overflowPunct/>
        <w:topLinePunct w:val="0"/>
        <w:bidi w:val="0"/>
        <w:snapToGrid w:val="0"/>
        <w:spacing w:before="0" w:beforeAutospacing="0" w:after="0" w:afterAutospacing="0" w:line="340" w:lineRule="exact"/>
        <w:ind w:hangingChars="3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color w:val="auto"/>
          <w:sz w:val="21"/>
          <w:szCs w:val="21"/>
        </w:rPr>
        <w:t xml:space="preserve">23.3  </w:t>
      </w:r>
      <w:r>
        <w:rPr>
          <w:rFonts w:hint="eastAsia" w:ascii="宋体" w:hAnsi="宋体" w:eastAsia="宋体" w:cs="宋体"/>
          <w:b w:val="0"/>
          <w:bCs/>
          <w:i w:val="0"/>
          <w:caps w:val="0"/>
          <w:color w:val="auto"/>
          <w:spacing w:val="0"/>
          <w:w w:val="100"/>
          <w:sz w:val="21"/>
          <w:szCs w:val="21"/>
        </w:rPr>
        <w:t xml:space="preserve"> 根据《政府采购促进中小企业发展管理办法》（财库[20</w:t>
      </w:r>
      <w:r>
        <w:rPr>
          <w:rFonts w:hint="eastAsia" w:ascii="宋体" w:hAnsi="宋体" w:eastAsia="宋体" w:cs="宋体"/>
          <w:b w:val="0"/>
          <w:bCs/>
          <w:i w:val="0"/>
          <w:caps w:val="0"/>
          <w:color w:val="auto"/>
          <w:spacing w:val="0"/>
          <w:w w:val="100"/>
          <w:sz w:val="21"/>
          <w:szCs w:val="21"/>
          <w:lang w:val="en-US" w:eastAsia="zh-CN"/>
        </w:rPr>
        <w:t>20</w:t>
      </w:r>
      <w:r>
        <w:rPr>
          <w:rFonts w:hint="eastAsia" w:ascii="宋体" w:hAnsi="宋体" w:eastAsia="宋体" w:cs="宋体"/>
          <w:b w:val="0"/>
          <w:bCs/>
          <w:i w:val="0"/>
          <w:caps w:val="0"/>
          <w:color w:val="auto"/>
          <w:spacing w:val="0"/>
          <w:w w:val="100"/>
          <w:sz w:val="21"/>
          <w:szCs w:val="21"/>
        </w:rPr>
        <w:t>]</w:t>
      </w:r>
      <w:r>
        <w:rPr>
          <w:rFonts w:hint="eastAsia" w:ascii="宋体" w:hAnsi="宋体" w:eastAsia="宋体" w:cs="宋体"/>
          <w:b w:val="0"/>
          <w:bCs/>
          <w:i w:val="0"/>
          <w:caps w:val="0"/>
          <w:color w:val="auto"/>
          <w:spacing w:val="0"/>
          <w:w w:val="100"/>
          <w:sz w:val="21"/>
          <w:szCs w:val="21"/>
          <w:lang w:val="en-US" w:eastAsia="zh-CN"/>
        </w:rPr>
        <w:t>46</w:t>
      </w:r>
      <w:r>
        <w:rPr>
          <w:rFonts w:hint="eastAsia" w:ascii="宋体" w:hAnsi="宋体" w:eastAsia="宋体" w:cs="宋体"/>
          <w:b w:val="0"/>
          <w:bCs/>
          <w:i w:val="0"/>
          <w:caps w:val="0"/>
          <w:color w:val="auto"/>
          <w:spacing w:val="0"/>
          <w:w w:val="100"/>
          <w:sz w:val="21"/>
          <w:szCs w:val="21"/>
        </w:rPr>
        <w:t>号）、</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i w:val="0"/>
          <w:caps w:val="0"/>
          <w:color w:val="auto"/>
          <w:spacing w:val="0"/>
          <w:w w:val="100"/>
          <w:sz w:val="21"/>
          <w:szCs w:val="21"/>
        </w:rPr>
        <w:t>《财政部司法部关于政府采购支持监狱企业发展有关问题的通知》（财库〔2014〕68号）和</w:t>
      </w:r>
      <w:r>
        <w:rPr>
          <w:rFonts w:hint="eastAsia" w:hAnsi="宋体" w:cs="宋体"/>
          <w:b w:val="0"/>
          <w:bCs/>
          <w:i w:val="0"/>
          <w:caps w:val="0"/>
          <w:color w:val="auto"/>
          <w:spacing w:val="0"/>
          <w:w w:val="100"/>
          <w:sz w:val="21"/>
          <w:szCs w:val="21"/>
          <w:lang w:val="en-US" w:eastAsia="zh-CN"/>
        </w:rPr>
        <w:t xml:space="preserve"> </w:t>
      </w:r>
      <w:r>
        <w:rPr>
          <w:rFonts w:hint="eastAsia" w:ascii="宋体" w:hAnsi="宋体" w:eastAsia="宋体" w:cs="宋体"/>
          <w:b w:val="0"/>
          <w:bCs/>
          <w:i w:val="0"/>
          <w:caps w:val="0"/>
          <w:color w:val="auto"/>
          <w:spacing w:val="0"/>
          <w:w w:val="100"/>
          <w:sz w:val="21"/>
          <w:szCs w:val="21"/>
        </w:rPr>
        <w:t>《三部门联合发布关于促进残疾人就业政府采购政策的通知》（</w:t>
      </w:r>
      <w:bookmarkStart w:id="142" w:name="sendNo"/>
      <w:r>
        <w:rPr>
          <w:rFonts w:hint="eastAsia" w:ascii="宋体" w:hAnsi="宋体" w:eastAsia="宋体" w:cs="宋体"/>
          <w:b w:val="0"/>
          <w:bCs/>
          <w:i w:val="0"/>
          <w:caps w:val="0"/>
          <w:color w:val="auto"/>
          <w:spacing w:val="0"/>
          <w:w w:val="100"/>
          <w:sz w:val="21"/>
          <w:szCs w:val="21"/>
        </w:rPr>
        <w:t>财库</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i w:val="0"/>
          <w:caps w:val="0"/>
          <w:color w:val="auto"/>
          <w:spacing w:val="0"/>
          <w:w w:val="100"/>
          <w:sz w:val="21"/>
          <w:szCs w:val="21"/>
        </w:rPr>
        <w:t>〔</w:t>
      </w:r>
      <w:bookmarkEnd w:id="142"/>
      <w:r>
        <w:rPr>
          <w:rFonts w:hint="eastAsia" w:ascii="宋体" w:hAnsi="宋体" w:eastAsia="宋体" w:cs="宋体"/>
          <w:b w:val="0"/>
          <w:bCs/>
          <w:i w:val="0"/>
          <w:caps w:val="0"/>
          <w:color w:val="auto"/>
          <w:spacing w:val="0"/>
          <w:w w:val="100"/>
          <w:sz w:val="21"/>
          <w:szCs w:val="21"/>
        </w:rPr>
        <w:t>2017〕141号）的规定，对满足价格扣除条件且在响应文件中提交了《</w:t>
      </w:r>
      <w:r>
        <w:rPr>
          <w:rFonts w:hint="eastAsia" w:hAnsi="宋体" w:cs="宋体"/>
          <w:b w:val="0"/>
          <w:bCs/>
          <w:i w:val="0"/>
          <w:caps w:val="0"/>
          <w:color w:val="auto"/>
          <w:spacing w:val="0"/>
          <w:w w:val="100"/>
          <w:sz w:val="21"/>
          <w:szCs w:val="21"/>
          <w:lang w:eastAsia="zh-CN"/>
        </w:rPr>
        <w:t>供应商</w:t>
      </w:r>
      <w:r>
        <w:rPr>
          <w:rFonts w:hint="eastAsia" w:ascii="宋体" w:hAnsi="宋体" w:eastAsia="宋体" w:cs="宋体"/>
          <w:b w:val="0"/>
          <w:bCs/>
          <w:i w:val="0"/>
          <w:caps w:val="0"/>
          <w:color w:val="auto"/>
          <w:spacing w:val="0"/>
          <w:w w:val="100"/>
          <w:sz w:val="21"/>
          <w:szCs w:val="21"/>
        </w:rPr>
        <w:t>企</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i w:val="0"/>
          <w:caps w:val="0"/>
          <w:color w:val="auto"/>
          <w:spacing w:val="0"/>
          <w:w w:val="100"/>
          <w:sz w:val="21"/>
          <w:szCs w:val="21"/>
        </w:rPr>
        <w:t>业类型声明函》或省级以上监狱管理局、戒毒管理局（含新疆生产建设兵团）出具</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color w:val="auto"/>
          <w:sz w:val="21"/>
          <w:szCs w:val="21"/>
        </w:rPr>
      </w:pPr>
      <w:r>
        <w:rPr>
          <w:rFonts w:hint="eastAsia" w:ascii="宋体" w:hAnsi="宋体" w:eastAsia="宋体" w:cs="宋体"/>
          <w:b w:val="0"/>
          <w:bCs/>
          <w:i w:val="0"/>
          <w:caps w:val="0"/>
          <w:color w:val="auto"/>
          <w:spacing w:val="0"/>
          <w:w w:val="100"/>
          <w:sz w:val="21"/>
          <w:szCs w:val="21"/>
        </w:rPr>
        <w:t>的属于监狱企业的证明文件的</w:t>
      </w:r>
      <w:r>
        <w:rPr>
          <w:rFonts w:hint="eastAsia" w:hAnsi="宋体" w:cs="宋体"/>
          <w:b w:val="0"/>
          <w:bCs/>
          <w:i w:val="0"/>
          <w:caps w:val="0"/>
          <w:color w:val="auto"/>
          <w:spacing w:val="0"/>
          <w:w w:val="100"/>
          <w:sz w:val="21"/>
          <w:szCs w:val="21"/>
          <w:lang w:eastAsia="zh-CN"/>
        </w:rPr>
        <w:t>供应商</w:t>
      </w:r>
      <w:r>
        <w:rPr>
          <w:rFonts w:hint="eastAsia" w:ascii="宋体" w:hAnsi="宋体" w:eastAsia="宋体" w:cs="宋体"/>
          <w:b w:val="0"/>
          <w:bCs/>
          <w:i w:val="0"/>
          <w:caps w:val="0"/>
          <w:color w:val="auto"/>
          <w:spacing w:val="0"/>
          <w:w w:val="100"/>
          <w:sz w:val="21"/>
          <w:szCs w:val="21"/>
        </w:rPr>
        <w:t>，其磋商报价扣除6%后参与评审。</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43" w:name="_Toc520356168"/>
      <w:bookmarkStart w:id="144" w:name="_Toc20227"/>
      <w:bookmarkStart w:id="145" w:name="_Toc515647785"/>
      <w:bookmarkStart w:id="146" w:name="_Toc9378"/>
      <w:bookmarkStart w:id="147" w:name="_Toc13075"/>
      <w:bookmarkStart w:id="148" w:name="_Toc16201"/>
      <w:r>
        <w:rPr>
          <w:rFonts w:hint="eastAsia" w:ascii="宋体" w:hAnsi="宋体" w:eastAsia="宋体" w:cs="宋体"/>
          <w:b w:val="0"/>
          <w:bCs/>
          <w:color w:val="auto"/>
          <w:sz w:val="21"/>
          <w:szCs w:val="21"/>
          <w:u w:val="none"/>
        </w:rPr>
        <w:t>24</w:t>
      </w:r>
      <w:bookmarkEnd w:id="143"/>
      <w:r>
        <w:rPr>
          <w:rFonts w:hint="eastAsia" w:ascii="宋体" w:hAnsi="宋体" w:eastAsia="宋体" w:cs="宋体"/>
          <w:b w:val="0"/>
          <w:bCs/>
          <w:color w:val="auto"/>
          <w:sz w:val="21"/>
          <w:szCs w:val="21"/>
          <w:u w:val="none"/>
        </w:rPr>
        <w:t>.</w:t>
      </w:r>
      <w:r>
        <w:rPr>
          <w:rFonts w:hint="eastAsia" w:ascii="宋体" w:hAnsi="宋体" w:eastAsia="宋体" w:cs="宋体"/>
          <w:b/>
          <w:bCs w:val="0"/>
          <w:color w:val="auto"/>
          <w:sz w:val="21"/>
          <w:szCs w:val="21"/>
          <w:u w:val="none"/>
        </w:rPr>
        <w:t>废标</w:t>
      </w:r>
      <w:bookmarkEnd w:id="144"/>
      <w:bookmarkEnd w:id="145"/>
      <w:bookmarkEnd w:id="146"/>
      <w:bookmarkEnd w:id="147"/>
      <w:bookmarkEnd w:id="148"/>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 xml:space="preserve">出现下列情形之一，将导致项目废标： </w:t>
      </w:r>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（1）符合专业条件的供应商或者对磋商文件做实质性响应的供应商不足三家；</w:t>
      </w:r>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（2）出现影响采购公正的违法、违规行为的；</w:t>
      </w:r>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（3）供应商的报价均超过了采购预算，采购人不能支付的；</w:t>
      </w:r>
    </w:p>
    <w:p>
      <w:pPr>
        <w:pageBreakBefore w:val="0"/>
        <w:kinsoku/>
        <w:wordWrap/>
        <w:overflowPunct/>
        <w:topLinePunct w:val="0"/>
        <w:bidi w:val="0"/>
        <w:spacing w:line="340" w:lineRule="exact"/>
        <w:ind w:firstLine="738" w:firstLineChars="350"/>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 xml:space="preserve">（4）因重大变故，采购任务取消的。 </w:t>
      </w:r>
      <w:r>
        <w:rPr>
          <w:rFonts w:hint="eastAsia" w:ascii="宋体" w:hAnsi="宋体" w:eastAsia="宋体" w:cs="宋体"/>
          <w:b w:val="0"/>
          <w:bCs/>
          <w:color w:val="auto"/>
          <w:sz w:val="21"/>
          <w:szCs w:val="21"/>
        </w:rPr>
        <w:t xml:space="preserve">   </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49" w:name="_Toc8176"/>
      <w:bookmarkStart w:id="150" w:name="_Toc24012"/>
      <w:bookmarkStart w:id="151" w:name="_Toc515647786"/>
      <w:bookmarkStart w:id="152" w:name="_Toc31289"/>
      <w:bookmarkStart w:id="153" w:name="_Toc24972"/>
      <w:bookmarkStart w:id="154" w:name="_Toc520356169"/>
      <w:r>
        <w:rPr>
          <w:rFonts w:hint="eastAsia" w:ascii="宋体" w:hAnsi="宋体" w:eastAsia="宋体" w:cs="宋体"/>
          <w:b/>
          <w:bCs w:val="0"/>
          <w:color w:val="auto"/>
          <w:sz w:val="21"/>
          <w:szCs w:val="21"/>
          <w:u w:val="none"/>
        </w:rPr>
        <w:t>25.保密原则</w:t>
      </w:r>
      <w:bookmarkEnd w:id="149"/>
      <w:bookmarkEnd w:id="150"/>
      <w:bookmarkEnd w:id="151"/>
      <w:bookmarkEnd w:id="152"/>
      <w:bookmarkEnd w:id="153"/>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评标将在严格保密的情况下进行。</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政府采购评审专家应当遵守评审工作纪律，不得泄露评审文件、评审情况和评审中获悉的商业秘密。</w:t>
      </w:r>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bookmarkStart w:id="155" w:name="_Toc31195"/>
      <w:bookmarkStart w:id="156" w:name="_Toc23904"/>
      <w:bookmarkStart w:id="157" w:name="_Toc12143"/>
      <w:bookmarkStart w:id="158" w:name="_Toc515647787"/>
      <w:bookmarkStart w:id="159" w:name="_Toc216582810"/>
      <w:bookmarkStart w:id="160" w:name="_Toc12343"/>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六   </w:t>
      </w:r>
      <w:bookmarkEnd w:id="154"/>
      <w:r>
        <w:rPr>
          <w:rFonts w:hint="eastAsia" w:ascii="宋体" w:hAnsi="宋体" w:eastAsia="宋体" w:cs="宋体"/>
          <w:b w:val="0"/>
          <w:bCs/>
          <w:color w:val="auto"/>
          <w:sz w:val="21"/>
          <w:szCs w:val="21"/>
        </w:rPr>
        <w:t>确定</w:t>
      </w:r>
      <w:bookmarkEnd w:id="155"/>
      <w:bookmarkEnd w:id="156"/>
      <w:bookmarkEnd w:id="157"/>
      <w:bookmarkEnd w:id="158"/>
      <w:bookmarkEnd w:id="159"/>
      <w:r>
        <w:rPr>
          <w:rFonts w:hint="eastAsia" w:ascii="宋体" w:hAnsi="宋体" w:eastAsia="宋体" w:cs="宋体"/>
          <w:b w:val="0"/>
          <w:bCs/>
          <w:color w:val="auto"/>
          <w:sz w:val="21"/>
          <w:szCs w:val="21"/>
        </w:rPr>
        <w:t>成交</w:t>
      </w:r>
      <w:bookmarkEnd w:id="160"/>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61" w:name="_Toc4774"/>
      <w:bookmarkStart w:id="162" w:name="_Toc520356170"/>
      <w:bookmarkStart w:id="163" w:name="_Toc23762"/>
      <w:bookmarkStart w:id="164" w:name="_Ref467307010"/>
      <w:bookmarkStart w:id="165" w:name="_Toc515647788"/>
      <w:bookmarkStart w:id="166" w:name="_Toc23617"/>
      <w:bookmarkStart w:id="167" w:name="_Toc27873"/>
      <w:r>
        <w:rPr>
          <w:rFonts w:hint="eastAsia" w:ascii="宋体" w:hAnsi="宋体" w:eastAsia="宋体" w:cs="宋体"/>
          <w:b/>
          <w:bCs w:val="0"/>
          <w:color w:val="auto"/>
          <w:sz w:val="21"/>
          <w:szCs w:val="21"/>
          <w:u w:val="none"/>
        </w:rPr>
        <w:t>26.成交候选人的确定原则及标准</w:t>
      </w:r>
      <w:bookmarkEnd w:id="161"/>
      <w:bookmarkEnd w:id="162"/>
      <w:bookmarkEnd w:id="163"/>
      <w:bookmarkEnd w:id="164"/>
      <w:bookmarkEnd w:id="165"/>
      <w:bookmarkEnd w:id="166"/>
      <w:bookmarkEnd w:id="167"/>
    </w:p>
    <w:p>
      <w:pPr>
        <w:pStyle w:val="5"/>
        <w:pageBreakBefore w:val="0"/>
        <w:tabs>
          <w:tab w:val="left" w:pos="900"/>
        </w:tabs>
        <w:kinsoku/>
        <w:wordWrap/>
        <w:overflowPunct/>
        <w:topLinePunct w:val="0"/>
        <w:bidi w:val="0"/>
        <w:spacing w:before="0" w:after="0" w:line="340" w:lineRule="exact"/>
        <w:ind w:left="840" w:leftChars="300" w:hanging="210" w:hangingChars="100"/>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ab/>
      </w:r>
      <w:bookmarkStart w:id="168" w:name="_Toc520356171"/>
      <w:bookmarkStart w:id="169" w:name="_Toc17933"/>
      <w:bookmarkStart w:id="170" w:name="_Toc9653"/>
      <w:bookmarkStart w:id="171" w:name="_Toc23951"/>
      <w:bookmarkStart w:id="172" w:name="_Toc515647789"/>
      <w:bookmarkStart w:id="173" w:name="_Toc22546"/>
      <w:r>
        <w:rPr>
          <w:rFonts w:hint="eastAsia" w:ascii="宋体" w:hAnsi="宋体" w:eastAsia="宋体" w:cs="宋体"/>
          <w:b w:val="0"/>
          <w:bCs/>
          <w:color w:val="auto"/>
          <w:sz w:val="21"/>
          <w:szCs w:val="21"/>
          <w:u w:val="none"/>
        </w:rPr>
        <w:t>除第28条规定外，对实质上响应磋商文件的供应商按下列方法进行排序，确定成交候选人：</w:t>
      </w:r>
    </w:p>
    <w:p>
      <w:pPr>
        <w:pStyle w:val="5"/>
        <w:pageBreakBefore w:val="0"/>
        <w:tabs>
          <w:tab w:val="left" w:pos="900"/>
        </w:tabs>
        <w:kinsoku/>
        <w:wordWrap/>
        <w:overflowPunct/>
        <w:topLinePunct w:val="0"/>
        <w:bidi w:val="0"/>
        <w:spacing w:before="0" w:after="0" w:line="340" w:lineRule="exact"/>
        <w:ind w:left="840" w:leftChars="400" w:firstLine="0" w:firstLineChars="0"/>
        <w:rPr>
          <w:rFonts w:hint="eastAsia" w:ascii="宋体" w:hAnsi="宋体" w:eastAsia="宋体" w:cs="宋体"/>
          <w:b w:val="0"/>
          <w:bCs/>
          <w:color w:val="auto"/>
          <w:sz w:val="21"/>
          <w:szCs w:val="21"/>
          <w:u w:val="none"/>
        </w:rPr>
      </w:pPr>
      <w:r>
        <w:rPr>
          <w:rFonts w:hint="eastAsia" w:ascii="宋体" w:hAnsi="宋体" w:eastAsia="宋体" w:cs="宋体"/>
          <w:b/>
          <w:bCs w:val="0"/>
          <w:color w:val="auto"/>
          <w:sz w:val="21"/>
          <w:szCs w:val="21"/>
          <w:u w:val="none"/>
        </w:rPr>
        <w:t>采用综合评分法</w:t>
      </w:r>
      <w:r>
        <w:rPr>
          <w:rFonts w:hint="eastAsia" w:ascii="宋体" w:hAnsi="宋体" w:eastAsia="宋体" w:cs="宋体"/>
          <w:b/>
          <w:bCs w:val="0"/>
          <w:color w:val="auto"/>
          <w:sz w:val="21"/>
          <w:szCs w:val="21"/>
          <w:u w:val="none"/>
          <w:lang w:eastAsia="zh-CN"/>
        </w:rPr>
        <w:t>：</w:t>
      </w:r>
      <w:r>
        <w:rPr>
          <w:rFonts w:hint="eastAsia" w:ascii="宋体" w:hAnsi="宋体" w:eastAsia="宋体" w:cs="宋体"/>
          <w:b w:val="0"/>
          <w:bCs/>
          <w:color w:val="auto"/>
          <w:sz w:val="21"/>
          <w:szCs w:val="21"/>
          <w:u w:val="none"/>
        </w:rPr>
        <w:t>评标结果按评审后得分由高到低顺序排列。得分相同的，按修正和扣除后的</w:t>
      </w:r>
      <w:r>
        <w:rPr>
          <w:rFonts w:hint="eastAsia" w:ascii="宋体" w:hAnsi="宋体" w:eastAsia="宋体" w:cs="宋体"/>
          <w:b w:val="0"/>
          <w:bCs/>
          <w:color w:val="auto"/>
          <w:sz w:val="21"/>
          <w:szCs w:val="21"/>
          <w:u w:val="none"/>
          <w:lang w:eastAsia="zh-CN"/>
        </w:rPr>
        <w:t>磋商报价</w:t>
      </w:r>
      <w:r>
        <w:rPr>
          <w:rFonts w:hint="eastAsia" w:ascii="宋体" w:hAnsi="宋体" w:eastAsia="宋体" w:cs="宋体"/>
          <w:b w:val="0"/>
          <w:bCs/>
          <w:color w:val="auto"/>
          <w:sz w:val="21"/>
          <w:szCs w:val="21"/>
          <w:u w:val="none"/>
        </w:rPr>
        <w:t>由低到高顺序排列。得分与</w:t>
      </w:r>
      <w:r>
        <w:rPr>
          <w:rFonts w:hint="eastAsia" w:ascii="宋体" w:hAnsi="宋体" w:eastAsia="宋体" w:cs="宋体"/>
          <w:b w:val="0"/>
          <w:bCs/>
          <w:color w:val="auto"/>
          <w:sz w:val="21"/>
          <w:szCs w:val="21"/>
          <w:u w:val="none"/>
          <w:lang w:eastAsia="zh-CN"/>
        </w:rPr>
        <w:t>磋商报价</w:t>
      </w:r>
      <w:r>
        <w:rPr>
          <w:rFonts w:hint="eastAsia" w:ascii="宋体" w:hAnsi="宋体" w:eastAsia="宋体" w:cs="宋体"/>
          <w:b w:val="0"/>
          <w:bCs/>
          <w:color w:val="auto"/>
          <w:sz w:val="21"/>
          <w:szCs w:val="21"/>
          <w:u w:val="none"/>
        </w:rPr>
        <w:t>均相同的处理方式详见</w:t>
      </w:r>
      <w:r>
        <w:rPr>
          <w:rFonts w:hint="eastAsia" w:ascii="宋体" w:hAnsi="宋体" w:eastAsia="宋体" w:cs="宋体"/>
          <w:b w:val="0"/>
          <w:bCs/>
          <w:color w:val="auto"/>
          <w:sz w:val="21"/>
          <w:szCs w:val="21"/>
          <w:u w:val="none"/>
          <w:lang w:eastAsia="zh-CN"/>
        </w:rPr>
        <w:t>磋商文件</w:t>
      </w:r>
      <w:r>
        <w:rPr>
          <w:rFonts w:hint="eastAsia" w:ascii="宋体" w:hAnsi="宋体" w:eastAsia="宋体" w:cs="宋体"/>
          <w:b w:val="0"/>
          <w:bCs/>
          <w:color w:val="auto"/>
          <w:sz w:val="21"/>
          <w:szCs w:val="21"/>
          <w:u w:val="none"/>
        </w:rPr>
        <w:t>第6章。</w:t>
      </w:r>
    </w:p>
    <w:p>
      <w:pPr>
        <w:pStyle w:val="5"/>
        <w:pageBreakBefore w:val="0"/>
        <w:tabs>
          <w:tab w:val="left" w:pos="900"/>
        </w:tabs>
        <w:kinsoku/>
        <w:wordWrap/>
        <w:overflowPunct/>
        <w:topLinePunct w:val="0"/>
        <w:bidi w:val="0"/>
        <w:spacing w:before="0" w:after="0" w:line="340" w:lineRule="exact"/>
        <w:ind w:firstLine="843" w:firstLineChars="400"/>
        <w:rPr>
          <w:rFonts w:hint="eastAsia" w:ascii="宋体" w:hAnsi="宋体" w:eastAsia="宋体" w:cs="宋体"/>
          <w:b/>
          <w:bCs w:val="0"/>
          <w:color w:val="auto"/>
          <w:sz w:val="21"/>
          <w:szCs w:val="21"/>
          <w:u w:val="none"/>
          <w:lang w:val="en-US" w:eastAsia="zh-CN"/>
        </w:rPr>
      </w:pPr>
      <w:r>
        <w:rPr>
          <w:rFonts w:hint="eastAsia" w:ascii="宋体" w:hAnsi="宋体" w:eastAsia="宋体" w:cs="宋体"/>
          <w:b/>
          <w:bCs w:val="0"/>
          <w:color w:val="auto"/>
          <w:sz w:val="21"/>
          <w:szCs w:val="21"/>
          <w:u w:val="none"/>
          <w:lang w:val="en-US" w:eastAsia="zh-CN"/>
        </w:rPr>
        <w:t>本项目采用综合评分法，其中价格占30%，技术、商务占70%。</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27</w:t>
      </w:r>
      <w:bookmarkEnd w:id="168"/>
      <w:r>
        <w:rPr>
          <w:rFonts w:hint="eastAsia" w:ascii="宋体" w:hAnsi="宋体" w:eastAsia="宋体" w:cs="宋体"/>
          <w:b/>
          <w:bCs w:val="0"/>
          <w:color w:val="auto"/>
          <w:sz w:val="21"/>
          <w:szCs w:val="21"/>
          <w:u w:val="none"/>
        </w:rPr>
        <w:t>.确定成交候选人和</w:t>
      </w:r>
      <w:bookmarkEnd w:id="169"/>
      <w:bookmarkEnd w:id="170"/>
      <w:bookmarkEnd w:id="171"/>
      <w:bookmarkEnd w:id="172"/>
      <w:r>
        <w:rPr>
          <w:rFonts w:hint="eastAsia" w:ascii="宋体" w:hAnsi="宋体" w:eastAsia="宋体" w:cs="宋体"/>
          <w:b/>
          <w:bCs w:val="0"/>
          <w:color w:val="auto"/>
          <w:sz w:val="21"/>
          <w:szCs w:val="21"/>
          <w:u w:val="none"/>
        </w:rPr>
        <w:t>成交人</w:t>
      </w:r>
      <w:bookmarkEnd w:id="173"/>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磋商小组将根据评审标准，按</w:t>
      </w:r>
      <w:r>
        <w:rPr>
          <w:rFonts w:hint="eastAsia" w:ascii="宋体" w:hAnsi="宋体" w:cs="宋体"/>
          <w:b w:val="0"/>
          <w:bCs/>
          <w:color w:val="auto"/>
          <w:sz w:val="21"/>
          <w:szCs w:val="21"/>
          <w:u w:val="single"/>
          <w:lang w:val="en-US" w:eastAsia="zh-CN"/>
        </w:rPr>
        <w:t>供应商</w:t>
      </w:r>
      <w:r>
        <w:rPr>
          <w:rFonts w:hint="eastAsia" w:ascii="宋体" w:hAnsi="宋体" w:eastAsia="宋体" w:cs="宋体"/>
          <w:b w:val="0"/>
          <w:bCs/>
          <w:color w:val="auto"/>
          <w:sz w:val="21"/>
          <w:szCs w:val="21"/>
          <w:u w:val="single"/>
        </w:rPr>
        <w:t>须知资料表中</w:t>
      </w:r>
      <w:r>
        <w:rPr>
          <w:rFonts w:hint="eastAsia" w:ascii="宋体" w:hAnsi="宋体" w:eastAsia="宋体" w:cs="宋体"/>
          <w:b w:val="0"/>
          <w:bCs/>
          <w:color w:val="auto"/>
          <w:sz w:val="21"/>
          <w:szCs w:val="21"/>
        </w:rPr>
        <w:t>规定数量推荐成交候选人；</w:t>
      </w:r>
      <w:r>
        <w:rPr>
          <w:rFonts w:hint="eastAsia" w:ascii="宋体" w:hAnsi="宋体" w:eastAsia="宋体" w:cs="宋体"/>
          <w:b/>
          <w:bCs w:val="0"/>
          <w:color w:val="auto"/>
          <w:sz w:val="21"/>
          <w:szCs w:val="21"/>
          <w:u w:val="single"/>
        </w:rPr>
        <w:t>磋商小组应当根据综合评分情况，按照评审得分由高到低顺序推荐成交候选</w:t>
      </w:r>
      <w:r>
        <w:rPr>
          <w:rFonts w:hint="eastAsia" w:ascii="宋体" w:hAnsi="宋体" w:cs="宋体"/>
          <w:b/>
          <w:bCs w:val="0"/>
          <w:color w:val="auto"/>
          <w:sz w:val="21"/>
          <w:szCs w:val="21"/>
          <w:u w:val="single"/>
          <w:lang w:val="en-US" w:eastAsia="zh-CN"/>
        </w:rPr>
        <w:t>供应商</w:t>
      </w:r>
      <w:r>
        <w:rPr>
          <w:rFonts w:hint="eastAsia" w:ascii="宋体" w:hAnsi="宋体" w:eastAsia="宋体" w:cs="宋体"/>
          <w:b w:val="0"/>
          <w:bCs/>
          <w:color w:val="auto"/>
          <w:sz w:val="21"/>
          <w:szCs w:val="21"/>
        </w:rPr>
        <w:t>或根据采购人的委托，直接确定成交人。</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74" w:name="_Ref467306874"/>
      <w:bookmarkStart w:id="175" w:name="_Toc520356173"/>
      <w:bookmarkStart w:id="176" w:name="_Toc8389"/>
      <w:bookmarkStart w:id="177" w:name="_Toc28562"/>
      <w:bookmarkStart w:id="178" w:name="_Toc7729"/>
      <w:bookmarkStart w:id="179" w:name="_Toc515647790"/>
      <w:bookmarkStart w:id="180" w:name="_Toc15390"/>
      <w:r>
        <w:rPr>
          <w:rFonts w:hint="eastAsia" w:ascii="宋体" w:hAnsi="宋体" w:eastAsia="宋体" w:cs="宋体"/>
          <w:b/>
          <w:bCs w:val="0"/>
          <w:color w:val="auto"/>
          <w:sz w:val="21"/>
          <w:szCs w:val="21"/>
          <w:u w:val="none"/>
        </w:rPr>
        <w:t>28.</w:t>
      </w:r>
      <w:bookmarkEnd w:id="174"/>
      <w:bookmarkEnd w:id="175"/>
      <w:r>
        <w:rPr>
          <w:rFonts w:hint="eastAsia" w:ascii="宋体" w:hAnsi="宋体" w:eastAsia="宋体" w:cs="宋体"/>
          <w:b/>
          <w:bCs w:val="0"/>
          <w:color w:val="auto"/>
          <w:sz w:val="21"/>
          <w:szCs w:val="21"/>
          <w:u w:val="none"/>
        </w:rPr>
        <w:t>采购任务取消</w:t>
      </w:r>
      <w:bookmarkEnd w:id="176"/>
      <w:bookmarkEnd w:id="177"/>
      <w:bookmarkEnd w:id="178"/>
      <w:bookmarkEnd w:id="179"/>
      <w:bookmarkEnd w:id="180"/>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因重大变故采购任务取消时，</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有权拒绝任何</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成交，且对受影响的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不承担任何责任。</w:t>
      </w:r>
      <w:bookmarkStart w:id="181" w:name="_Toc520356174"/>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82" w:name="_Toc31099"/>
      <w:bookmarkStart w:id="183" w:name="_Toc30170"/>
      <w:bookmarkStart w:id="184" w:name="_Toc17295"/>
      <w:bookmarkStart w:id="185" w:name="_Toc515647791"/>
      <w:bookmarkStart w:id="186" w:name="_Toc15270"/>
      <w:r>
        <w:rPr>
          <w:rFonts w:hint="eastAsia" w:ascii="宋体" w:hAnsi="宋体" w:eastAsia="宋体" w:cs="宋体"/>
          <w:b/>
          <w:bCs w:val="0"/>
          <w:color w:val="auto"/>
          <w:sz w:val="21"/>
          <w:szCs w:val="21"/>
          <w:u w:val="none"/>
        </w:rPr>
        <w:t>29.</w:t>
      </w:r>
      <w:bookmarkEnd w:id="181"/>
      <w:r>
        <w:rPr>
          <w:rFonts w:hint="eastAsia" w:ascii="宋体" w:hAnsi="宋体" w:eastAsia="宋体" w:cs="宋体"/>
          <w:b/>
          <w:bCs w:val="0"/>
          <w:color w:val="auto"/>
          <w:sz w:val="21"/>
          <w:szCs w:val="21"/>
          <w:u w:val="none"/>
        </w:rPr>
        <w:t>成交通知书和招标结果通知书</w:t>
      </w:r>
      <w:bookmarkEnd w:id="182"/>
      <w:bookmarkEnd w:id="183"/>
      <w:bookmarkEnd w:id="184"/>
      <w:bookmarkEnd w:id="185"/>
      <w:bookmarkEnd w:id="186"/>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在磋商有效期内，成交人确定后，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发布成交公告，同时以书面形式向成交人发出成交通知书。</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成交通知书是合同的组成部分。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29.3    招标结果通知书和成交通知书同时发出。招标结果通知书中将告知未通过资格审查的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未通过的原因；采用综合评分法评审的，还将告知未成交人本人的评审得分和排序。</w:t>
      </w:r>
    </w:p>
    <w:p>
      <w:pPr>
        <w:pageBreakBefore w:val="0"/>
        <w:kinsoku/>
        <w:wordWrap/>
        <w:overflowPunct/>
        <w:topLinePunct w:val="0"/>
        <w:bidi w:val="0"/>
        <w:spacing w:line="340" w:lineRule="exact"/>
        <w:ind w:left="900" w:hanging="791" w:hangingChars="375"/>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30.签订合同</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成交人应当自发出成交通知书之日起30日内，与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签订合同。</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30.2</w:t>
      </w:r>
      <w:r>
        <w:rPr>
          <w:rFonts w:hint="eastAsia" w:ascii="宋体" w:hAnsi="宋体" w:eastAsia="宋体" w:cs="宋体"/>
          <w:b w:val="0"/>
          <w:bCs/>
          <w:color w:val="auto"/>
          <w:sz w:val="21"/>
          <w:szCs w:val="21"/>
        </w:rPr>
        <w:tab/>
      </w:r>
      <w:bookmarkStart w:id="187" w:name="_Ref467307090"/>
      <w:bookmarkStart w:id="188" w:name="_Ref467306425"/>
      <w:bookmarkStart w:id="189" w:name="_Toc520356176"/>
      <w:r>
        <w:rPr>
          <w:rFonts w:hint="eastAsia" w:ascii="宋体" w:hAnsi="宋体" w:eastAsia="宋体" w:cs="宋体"/>
          <w:b w:val="0"/>
          <w:bCs/>
          <w:color w:val="auto"/>
          <w:sz w:val="21"/>
          <w:szCs w:val="21"/>
        </w:rPr>
        <w:t>磋商文件、成交人的响应文件及其澄清文件等，均为签订合同的依据。</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30.3   成交人拒绝与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签订合同的，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可以按照评审报告推荐的成交候选人名单排序，确定下一成交候选人为成交人，也可以重新开展政府采购活动。</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30.4   当出现法规规定的</w:t>
      </w:r>
      <w:r>
        <w:rPr>
          <w:rFonts w:hint="eastAsia" w:ascii="宋体" w:hAnsi="宋体" w:eastAsia="宋体" w:cs="宋体"/>
          <w:b/>
          <w:bCs w:val="0"/>
          <w:color w:val="auto"/>
          <w:sz w:val="21"/>
          <w:szCs w:val="21"/>
        </w:rPr>
        <w:t>成交无效或成交结果无效</w:t>
      </w:r>
      <w:r>
        <w:rPr>
          <w:rFonts w:hint="eastAsia" w:ascii="宋体" w:hAnsi="宋体" w:eastAsia="宋体" w:cs="宋体"/>
          <w:b w:val="0"/>
          <w:bCs/>
          <w:color w:val="auto"/>
          <w:sz w:val="21"/>
          <w:szCs w:val="21"/>
        </w:rPr>
        <w:t>情形时，</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可与排名下一位的成交候选人另行签订合同，或依法重新开展采购活动。</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90" w:name="_Toc8299"/>
      <w:bookmarkStart w:id="191" w:name="_Toc6921"/>
      <w:bookmarkStart w:id="192" w:name="_Toc14080"/>
      <w:bookmarkStart w:id="193" w:name="_Toc22555"/>
      <w:bookmarkStart w:id="194" w:name="_Toc515647793"/>
      <w:r>
        <w:rPr>
          <w:rFonts w:hint="eastAsia" w:ascii="宋体" w:hAnsi="宋体" w:eastAsia="宋体" w:cs="宋体"/>
          <w:b/>
          <w:bCs w:val="0"/>
          <w:color w:val="auto"/>
          <w:sz w:val="21"/>
          <w:szCs w:val="21"/>
          <w:u w:val="none"/>
        </w:rPr>
        <w:t>31.履约保证金</w:t>
      </w:r>
      <w:bookmarkEnd w:id="187"/>
      <w:bookmarkEnd w:id="188"/>
      <w:bookmarkEnd w:id="189"/>
      <w:bookmarkEnd w:id="190"/>
      <w:bookmarkEnd w:id="191"/>
      <w:bookmarkEnd w:id="192"/>
      <w:bookmarkEnd w:id="193"/>
      <w:bookmarkEnd w:id="194"/>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成交人应按照</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规定向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缴纳履约保证金（如采用保函形式，格式见本章附件1）。</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政府采购利用担保试点范围内的项目，除31.1规定的情形外，成交人也可以按照财政部门的规定，向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提供合格的履约担保函（格式见本章附件2）。</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31.3   如果成交人没有按照上述履约保证金的规定执行，将视为放弃成交资格，成交人的磋商保证金将不予退还。在此情况下，</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可确定下一候选人为成交人，也可以重新开展采购活动。</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95" w:name="_Toc515647794"/>
      <w:bookmarkStart w:id="196" w:name="_Toc29652"/>
      <w:bookmarkStart w:id="197" w:name="_Toc29408"/>
      <w:bookmarkStart w:id="198" w:name="_Toc30352"/>
      <w:bookmarkStart w:id="199" w:name="_Toc3090"/>
      <w:r>
        <w:rPr>
          <w:rFonts w:hint="eastAsia" w:ascii="宋体" w:hAnsi="宋体" w:eastAsia="宋体" w:cs="宋体"/>
          <w:b/>
          <w:bCs w:val="0"/>
          <w:color w:val="auto"/>
          <w:sz w:val="21"/>
          <w:szCs w:val="21"/>
          <w:u w:val="none"/>
        </w:rPr>
        <w:t>32.成交</w:t>
      </w:r>
      <w:r>
        <w:rPr>
          <w:rFonts w:hint="eastAsia" w:ascii="宋体" w:hAnsi="宋体" w:eastAsia="宋体" w:cs="宋体"/>
          <w:b/>
          <w:bCs w:val="0"/>
          <w:color w:val="auto"/>
          <w:sz w:val="21"/>
          <w:szCs w:val="21"/>
          <w:u w:val="none"/>
          <w:lang w:val="en-US" w:eastAsia="zh-CN"/>
        </w:rPr>
        <w:t>服务</w:t>
      </w:r>
      <w:r>
        <w:rPr>
          <w:rFonts w:hint="eastAsia" w:ascii="宋体" w:hAnsi="宋体" w:eastAsia="宋体" w:cs="宋体"/>
          <w:b/>
          <w:bCs w:val="0"/>
          <w:color w:val="auto"/>
          <w:sz w:val="21"/>
          <w:szCs w:val="21"/>
          <w:u w:val="none"/>
        </w:rPr>
        <w:t>费</w:t>
      </w:r>
      <w:bookmarkEnd w:id="195"/>
      <w:bookmarkEnd w:id="196"/>
      <w:bookmarkEnd w:id="197"/>
      <w:bookmarkEnd w:id="198"/>
      <w:bookmarkEnd w:id="199"/>
    </w:p>
    <w:p>
      <w:pPr>
        <w:pageBreakBefore w:val="0"/>
        <w:kinsoku/>
        <w:wordWrap/>
        <w:overflowPunct/>
        <w:topLinePunct w:val="0"/>
        <w:bidi w:val="0"/>
        <w:spacing w:line="340" w:lineRule="exact"/>
        <w:ind w:left="787" w:leftChars="200" w:hanging="367" w:hangingChars="1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成交人须按照</w:t>
      </w:r>
      <w:r>
        <w:rPr>
          <w:rFonts w:hint="eastAsia" w:ascii="宋体" w:hAnsi="宋体" w:eastAsia="宋体" w:cs="宋体"/>
          <w:b w:val="0"/>
          <w:bCs/>
          <w:color w:val="auto"/>
          <w:sz w:val="21"/>
          <w:szCs w:val="21"/>
          <w:u w:val="single"/>
        </w:rPr>
        <w:t>磋商须知资料表</w:t>
      </w:r>
      <w:r>
        <w:rPr>
          <w:rFonts w:hint="eastAsia" w:ascii="宋体" w:hAnsi="宋体" w:eastAsia="宋体" w:cs="宋体"/>
          <w:b w:val="0"/>
          <w:bCs/>
          <w:color w:val="auto"/>
          <w:sz w:val="21"/>
          <w:szCs w:val="21"/>
        </w:rPr>
        <w:t>规定，向</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支付成交</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费。</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00" w:name="_Toc7049"/>
      <w:bookmarkStart w:id="201" w:name="_Toc30150"/>
      <w:bookmarkStart w:id="202" w:name="_Toc6923"/>
      <w:bookmarkStart w:id="203" w:name="_Toc515647795"/>
      <w:bookmarkStart w:id="204" w:name="_Toc1343"/>
      <w:r>
        <w:rPr>
          <w:rFonts w:hint="eastAsia" w:ascii="宋体" w:hAnsi="宋体" w:eastAsia="宋体" w:cs="宋体"/>
          <w:b/>
          <w:bCs w:val="0"/>
          <w:color w:val="auto"/>
          <w:sz w:val="21"/>
          <w:szCs w:val="21"/>
          <w:u w:val="none"/>
        </w:rPr>
        <w:t>33.政府采购信用担保</w:t>
      </w:r>
      <w:bookmarkEnd w:id="200"/>
      <w:bookmarkEnd w:id="201"/>
      <w:bookmarkEnd w:id="202"/>
      <w:bookmarkEnd w:id="203"/>
      <w:bookmarkEnd w:id="204"/>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33.1   本项目是否属于信用担保试点范围见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pageBreakBefore w:val="0"/>
        <w:kinsoku/>
        <w:wordWrap/>
        <w:overflowPunct/>
        <w:topLinePunct w:val="0"/>
        <w:bidi w:val="0"/>
        <w:spacing w:line="340" w:lineRule="exact"/>
        <w:ind w:left="850" w:hanging="743" w:hangingChars="354"/>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33.2   如属于政府采购信用担保试点范围内，中小型企业</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可以自由按照财政部门的规定，采用磋商担保、履约担保和融资担保。</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33.2.1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递交的磋商担保函和履约担保函应符合本磋商文件的规定。</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33.2.</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 xml:space="preserve"> 合格的政府采购专业信用担保机构名单见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05" w:name="_Toc29990"/>
      <w:bookmarkStart w:id="206" w:name="_Toc2133"/>
      <w:bookmarkStart w:id="207" w:name="_Toc9673"/>
      <w:bookmarkStart w:id="208" w:name="_Toc23999"/>
      <w:bookmarkStart w:id="209" w:name="_Toc515647796"/>
      <w:r>
        <w:rPr>
          <w:rFonts w:hint="eastAsia" w:ascii="宋体" w:hAnsi="宋体" w:eastAsia="宋体" w:cs="宋体"/>
          <w:b/>
          <w:bCs w:val="0"/>
          <w:color w:val="auto"/>
          <w:sz w:val="21"/>
          <w:szCs w:val="21"/>
          <w:u w:val="none"/>
        </w:rPr>
        <w:t>34.廉洁自律规定</w:t>
      </w:r>
      <w:bookmarkEnd w:id="205"/>
      <w:bookmarkEnd w:id="206"/>
      <w:bookmarkEnd w:id="207"/>
      <w:bookmarkEnd w:id="208"/>
      <w:bookmarkEnd w:id="209"/>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34.1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工作人员不得以不正当手段获取政府采购代理业务，不得与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恶意串通操纵政府采购活动。</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34.2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工作人员不得接受</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组织的宴请、旅游、娱乐，不得收受礼品、现金、有价证券等，不得向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报销应当由个人承担的费用。</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34.3   为强化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内部监督机制，</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可按</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须知资料表中的</w:t>
      </w:r>
      <w:r>
        <w:rPr>
          <w:rFonts w:hint="eastAsia" w:ascii="宋体" w:hAnsi="宋体" w:eastAsia="宋体" w:cs="宋体"/>
          <w:b w:val="0"/>
          <w:bCs/>
          <w:color w:val="auto"/>
          <w:sz w:val="21"/>
          <w:szCs w:val="21"/>
        </w:rPr>
        <w:t>监督电话和邮箱，反映</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的廉洁自律等问题。</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10" w:name="_Toc11586"/>
      <w:bookmarkStart w:id="211" w:name="_Toc20506"/>
      <w:bookmarkStart w:id="212" w:name="_Toc515647797"/>
      <w:bookmarkStart w:id="213" w:name="_Toc25480"/>
      <w:bookmarkStart w:id="214" w:name="_Toc3386"/>
      <w:r>
        <w:rPr>
          <w:rFonts w:hint="eastAsia" w:ascii="宋体" w:hAnsi="宋体" w:eastAsia="宋体" w:cs="宋体"/>
          <w:b/>
          <w:bCs w:val="0"/>
          <w:color w:val="auto"/>
          <w:sz w:val="21"/>
          <w:szCs w:val="21"/>
          <w:u w:val="none"/>
        </w:rPr>
        <w:t>35.人员回避</w:t>
      </w:r>
      <w:bookmarkEnd w:id="210"/>
      <w:bookmarkEnd w:id="211"/>
      <w:bookmarkEnd w:id="212"/>
      <w:bookmarkEnd w:id="213"/>
      <w:bookmarkEnd w:id="214"/>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认为</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员及其相关人员有法律法规所列与其他</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有利害关系的，可以向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书面提出回避申请，并说明理由。</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15" w:name="_Toc11115"/>
      <w:bookmarkStart w:id="216" w:name="_Toc515647798"/>
      <w:bookmarkStart w:id="217" w:name="_Toc3700"/>
      <w:bookmarkStart w:id="218" w:name="_Toc25962"/>
      <w:bookmarkStart w:id="219" w:name="_Toc1148"/>
      <w:r>
        <w:rPr>
          <w:rFonts w:hint="eastAsia" w:ascii="宋体" w:hAnsi="宋体" w:eastAsia="宋体" w:cs="宋体"/>
          <w:b/>
          <w:bCs w:val="0"/>
          <w:color w:val="auto"/>
          <w:sz w:val="21"/>
          <w:szCs w:val="21"/>
          <w:u w:val="none"/>
        </w:rPr>
        <w:t>36.质疑与接收</w:t>
      </w:r>
      <w:bookmarkEnd w:id="215"/>
      <w:bookmarkEnd w:id="216"/>
      <w:bookmarkEnd w:id="217"/>
      <w:bookmarkEnd w:id="218"/>
      <w:bookmarkEnd w:id="219"/>
    </w:p>
    <w:p>
      <w:pPr>
        <w:pageBreakBefore w:val="0"/>
        <w:kinsoku/>
        <w:wordWrap/>
        <w:overflowPunct/>
        <w:topLinePunct w:val="0"/>
        <w:bidi w:val="0"/>
        <w:spacing w:line="340" w:lineRule="exact"/>
        <w:ind w:left="630" w:hanging="630" w:hanging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340" w:lineRule="exact"/>
        <w:ind w:left="630" w:hanging="630" w:hanging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36.3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质疑函接收部门、联系电话和通讯地址, 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.4</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质疑的提出</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.5   本采购文件中所称质疑及答复，是指参加本次采购活动的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对政府采购活动中</w:t>
      </w:r>
    </w:p>
    <w:p>
      <w:pPr>
        <w:pageBreakBefore w:val="0"/>
        <w:kinsoku/>
        <w:wordWrap/>
        <w:overflowPunct/>
        <w:topLinePunct w:val="0"/>
        <w:bidi w:val="0"/>
        <w:spacing w:line="340" w:lineRule="exact"/>
        <w:ind w:firstLine="840" w:firstLineChars="4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的采购文件、采购过程和成交结果向采购方提出质疑，采购方答复质疑的行为。</w:t>
      </w:r>
    </w:p>
    <w:p>
      <w:pPr>
        <w:pageBreakBefore w:val="0"/>
        <w:kinsoku/>
        <w:wordWrap/>
        <w:overflowPunct/>
        <w:topLinePunct w:val="0"/>
        <w:bidi w:val="0"/>
        <w:spacing w:line="340" w:lineRule="exact"/>
        <w:ind w:left="630" w:hanging="630" w:hangingChars="3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.6  供应商认为采购文件、采购过程和成交结果使自己的权益受到损害的，可以在知道或者应知其权益受到损害之日起7个工作日内，以书面形式向采购方提出质疑。供应商应知其权益受到损害之日，是指：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340" w:lineRule="exact"/>
        <w:ind w:left="630" w:leftChars="300" w:firstLine="0" w:firstLine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（一）对可以质疑的采购文件提出质疑的，为收到采购文件之日或者采购文件公告期限届满之日；</w:t>
      </w:r>
    </w:p>
    <w:p>
      <w:pPr>
        <w:pageBreakBefore w:val="0"/>
        <w:kinsoku/>
        <w:wordWrap/>
        <w:overflowPunct/>
        <w:topLinePunct w:val="0"/>
        <w:bidi w:val="0"/>
        <w:spacing w:line="340" w:lineRule="exact"/>
        <w:ind w:firstLine="630" w:firstLineChars="3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（二）对采购过程提出质疑的，为各采购程序环节结束之日；</w:t>
      </w:r>
    </w:p>
    <w:p>
      <w:pPr>
        <w:pageBreakBefore w:val="0"/>
        <w:kinsoku/>
        <w:wordWrap/>
        <w:overflowPunct/>
        <w:topLinePunct w:val="0"/>
        <w:bidi w:val="0"/>
        <w:spacing w:line="340" w:lineRule="exact"/>
        <w:ind w:firstLine="630" w:firstLineChars="3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（三）对成交结果提出质疑的，为成交结果公告期限届满之日。</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.9   提出质疑应当符合下列条件：</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（一）质疑主体应当符合有关规定；</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（二）在质疑法定期限内提出；</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（三）属于可以提出质疑的政府采购事项受理范围和本项目</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的管辖权范围；</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（四）政府采购法律、法规、规章规定的其他条件。</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.11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.12  质疑人提出质疑时应当提交质疑函。质疑函包括下列内容：</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（一）提出质疑的质疑人的名称、地址、邮编、联系人及联系电话等；</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（二）质疑项目的名称、编号；</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（三）质疑事项；</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（四）事实依据和证明材料；</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（五）法律依据；</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（六）提出质疑的日期。</w:t>
      </w:r>
    </w:p>
    <w:p>
      <w:pPr>
        <w:pageBreakBefore w:val="0"/>
        <w:kinsoku/>
        <w:wordWrap/>
        <w:overflowPunct/>
        <w:topLinePunct w:val="0"/>
        <w:bidi w:val="0"/>
        <w:spacing w:line="340" w:lineRule="exact"/>
        <w:ind w:left="840" w:leftChars="400" w:firstLine="0" w:firstLine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.13  质疑人可以委托代理人进行质疑。代理人应当提交授权委托书。授权委托书应当载明委托代理的具体权限、期限和相关事项。</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.14  质疑的审查和受理</w:t>
      </w:r>
    </w:p>
    <w:p>
      <w:pPr>
        <w:pageBreakBefore w:val="0"/>
        <w:kinsoku/>
        <w:wordWrap/>
        <w:overflowPunct/>
        <w:topLinePunct w:val="0"/>
        <w:bidi w:val="0"/>
        <w:spacing w:line="340" w:lineRule="exact"/>
        <w:ind w:left="840" w:leftChars="4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采购方在收到质疑函后应当及时审查是否符合质疑受理条件，对符合质疑受理条件的，及时予以受理。</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.15  对不符合质疑受理条件的，分别按照下列不同情形予以处理：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（二）质疑主体不符合有关规定的，告知质疑人不予受理；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（三）超过质疑法定期限提出质疑的，告知质疑人不予受理；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（四）对不属于可以提出质疑的政府采购事项提出质疑的，告知质疑人不予受理；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（五）质疑不属于本项目采购方管辖的，告知质疑人向有管辖权的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提出质疑；</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（六）质疑不符合其他条件的，告知质疑人不予受理。</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.16  质疑的处理和答复</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17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.18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.19  对评审过程、成交结果提出质疑的，采购方可以组织原评审委员会协助答复质疑。</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.20  质疑处理过程中，质疑人书面申请撤回质疑的，将终止质疑处理程序。</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.21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.22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.23  采购方将在正式受理质疑后7个工作日内作出答复。</w:t>
      </w:r>
    </w:p>
    <w:p>
      <w:pPr>
        <w:pStyle w:val="52"/>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.24  质疑答复应当包括下列内容：</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（一）质疑人的姓名或者名称；</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（二）收到质疑函的日期、质疑项目名称及编号；</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（三）质疑事项、质疑答复的具体内容、事实依据和法律依据；</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（四）告知质疑</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依法投诉的权利；</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（五）质疑答复人名称；</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（六）答复质疑的日期。</w:t>
      </w:r>
    </w:p>
    <w:p>
      <w:pPr>
        <w:spacing w:line="400" w:lineRule="exact"/>
        <w:outlineLvl w:val="2"/>
        <w:rPr>
          <w:rFonts w:hint="eastAsia" w:ascii="宋体" w:hAnsi="宋体" w:eastAsia="宋体" w:cs="宋体"/>
          <w:b w:val="0"/>
          <w:bCs/>
          <w:color w:val="auto"/>
          <w:sz w:val="21"/>
          <w:szCs w:val="21"/>
        </w:rPr>
      </w:pPr>
      <w:bookmarkStart w:id="220" w:name="_Toc24577"/>
      <w:bookmarkStart w:id="221" w:name="_Toc25377"/>
    </w:p>
    <w:p>
      <w:pPr>
        <w:spacing w:line="400" w:lineRule="exact"/>
        <w:jc w:val="center"/>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质疑函范本</w:t>
      </w:r>
      <w:bookmarkEnd w:id="220"/>
      <w:bookmarkEnd w:id="221"/>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基本信息</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地址：</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邮编：</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联系人：</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联系电话：</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授权代表：</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联系电话：</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地址： </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邮编：</w:t>
      </w:r>
      <w:r>
        <w:rPr>
          <w:rFonts w:hint="eastAsia" w:ascii="宋体" w:hAnsi="宋体" w:eastAsia="宋体" w:cs="宋体"/>
          <w:b w:val="0"/>
          <w:bCs/>
          <w:color w:val="auto"/>
          <w:sz w:val="21"/>
          <w:szCs w:val="21"/>
          <w:u w:val="dotted"/>
        </w:rPr>
        <w:t xml:space="preserve">                                                </w:t>
      </w:r>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二、质疑项目基本情况</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质疑项目的名称：</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质疑项目的编号：</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包号：</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名称：</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采购文件获取日期：</w:t>
      </w:r>
      <w:r>
        <w:rPr>
          <w:rFonts w:hint="eastAsia" w:ascii="宋体" w:hAnsi="宋体" w:eastAsia="宋体" w:cs="宋体"/>
          <w:b w:val="0"/>
          <w:bCs/>
          <w:color w:val="auto"/>
          <w:sz w:val="21"/>
          <w:szCs w:val="21"/>
          <w:u w:val="dotted"/>
        </w:rPr>
        <w:t xml:space="preserve">                                           </w:t>
      </w:r>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三、质疑事项具体内容</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质疑事项1：</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事实依据：</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法律依据：</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质疑事项2</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四、与质疑事项相关的质疑请求</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请求：</w:t>
      </w:r>
      <w:r>
        <w:rPr>
          <w:rFonts w:hint="eastAsia" w:ascii="宋体" w:hAnsi="宋体" w:eastAsia="宋体" w:cs="宋体"/>
          <w:b w:val="0"/>
          <w:bCs/>
          <w:color w:val="auto"/>
          <w:sz w:val="21"/>
          <w:szCs w:val="21"/>
          <w:u w:val="dotted"/>
        </w:rPr>
        <w:t xml:space="preserve">                                               </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签字(签章)：                   公章：                      </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日期：    </w:t>
      </w:r>
    </w:p>
    <w:p>
      <w:pPr>
        <w:spacing w:line="400" w:lineRule="exact"/>
        <w:rPr>
          <w:rFonts w:hint="eastAsia" w:ascii="宋体" w:hAnsi="宋体" w:eastAsia="宋体" w:cs="宋体"/>
          <w:b w:val="0"/>
          <w:bCs/>
          <w:color w:val="auto"/>
          <w:sz w:val="24"/>
        </w:rPr>
      </w:pPr>
    </w:p>
    <w:p>
      <w:pPr>
        <w:spacing w:line="400" w:lineRule="exac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质疑函制作说明：</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提出质疑时，应提交质疑函和必要的证明材料。</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若委托代理人进行质疑的，质疑函应按要求列明“授权代表”的有关内容，并在附件中提交由质疑</w:t>
      </w:r>
      <w:r>
        <w:rPr>
          <w:rFonts w:hint="eastAsia" w:ascii="宋体" w:hAnsi="宋体" w:cs="宋体"/>
          <w:b w:val="0"/>
          <w:bCs/>
          <w:color w:val="auto"/>
          <w:kern w:val="0"/>
          <w:sz w:val="21"/>
          <w:szCs w:val="21"/>
          <w:lang w:eastAsia="zh-CN"/>
        </w:rPr>
        <w:t>供应商</w:t>
      </w:r>
      <w:r>
        <w:rPr>
          <w:rFonts w:hint="eastAsia" w:ascii="宋体" w:hAnsi="宋体" w:eastAsia="宋体" w:cs="宋体"/>
          <w:b w:val="0"/>
          <w:bCs/>
          <w:color w:val="auto"/>
          <w:kern w:val="0"/>
          <w:sz w:val="21"/>
          <w:szCs w:val="21"/>
        </w:rPr>
        <w:t>签署的授权委托书。授权委托书应载明代理人的姓名或者名称、代理事项、具体权限、期限和相关事项。</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若对项目的某一分包进行质疑，质疑函中应列明具体分包号。</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4.质疑函的质疑事项应具体、明确，并有必要的事实依据和法律依据。</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5.质疑函的质疑请求应与质疑事项相关。</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为自然人的，质疑函应由本人签字；质疑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为法人或者其他组织的，质疑函应由法定代表人、主要负责人，或者其授权代表签字或者盖章，并加盖公章。</w:t>
      </w:r>
    </w:p>
    <w:p>
      <w:pPr>
        <w:pStyle w:val="26"/>
        <w:rPr>
          <w:rFonts w:hint="eastAsia" w:ascii="宋体" w:hAnsi="宋体" w:eastAsia="宋体" w:cs="宋体"/>
          <w:b w:val="0"/>
          <w:bCs/>
          <w:color w:val="auto"/>
          <w:sz w:val="24"/>
        </w:rPr>
      </w:pPr>
    </w:p>
    <w:p>
      <w:pPr>
        <w:pStyle w:val="26"/>
        <w:rPr>
          <w:rFonts w:hint="eastAsia" w:ascii="宋体" w:hAnsi="宋体" w:eastAsia="宋体" w:cs="宋体"/>
          <w:b w:val="0"/>
          <w:bCs/>
          <w:color w:val="auto"/>
          <w:sz w:val="24"/>
        </w:rPr>
      </w:pPr>
    </w:p>
    <w:p>
      <w:pPr>
        <w:pStyle w:val="3"/>
        <w:spacing w:before="0" w:after="0" w:line="240" w:lineRule="atLeast"/>
        <w:jc w:val="both"/>
        <w:rPr>
          <w:rFonts w:hint="eastAsia" w:ascii="宋体" w:hAnsi="宋体" w:eastAsia="宋体" w:cs="宋体"/>
          <w:b w:val="0"/>
          <w:bCs/>
          <w:color w:val="auto"/>
          <w:sz w:val="24"/>
          <w:szCs w:val="24"/>
        </w:rPr>
      </w:pPr>
      <w:bookmarkStart w:id="222" w:name="_Toc728"/>
      <w:bookmarkStart w:id="223" w:name="_Toc216582812"/>
      <w:bookmarkStart w:id="224" w:name="_Toc515647802"/>
      <w:bookmarkStart w:id="225" w:name="_Toc702"/>
      <w:bookmarkStart w:id="226" w:name="_Toc1330"/>
    </w:p>
    <w:bookmarkEnd w:id="222"/>
    <w:bookmarkEnd w:id="223"/>
    <w:bookmarkEnd w:id="224"/>
    <w:bookmarkEnd w:id="225"/>
    <w:bookmarkEnd w:id="226"/>
    <w:p>
      <w:pPr>
        <w:spacing w:line="460" w:lineRule="exact"/>
        <w:ind w:firstLine="440" w:firstLineChars="200"/>
        <w:rPr>
          <w:rFonts w:hint="eastAsia" w:ascii="宋体" w:hAnsi="宋体" w:eastAsia="宋体" w:cs="宋体"/>
          <w:b w:val="0"/>
          <w:bCs/>
          <w:color w:val="auto"/>
          <w:kern w:val="0"/>
          <w:sz w:val="22"/>
          <w:szCs w:val="22"/>
          <w:lang w:val="en-US" w:eastAsia="zh-CN"/>
        </w:rPr>
      </w:pPr>
    </w:p>
    <w:p>
      <w:pPr>
        <w:pStyle w:val="3"/>
        <w:spacing w:before="0" w:after="0" w:line="240" w:lineRule="atLeast"/>
        <w:jc w:val="center"/>
        <w:rPr>
          <w:rFonts w:hint="eastAsia" w:ascii="宋体" w:hAnsi="宋体" w:eastAsia="宋体" w:cs="宋体"/>
          <w:b w:val="0"/>
          <w:bCs/>
          <w:color w:val="auto"/>
          <w:sz w:val="28"/>
          <w:szCs w:val="28"/>
        </w:rPr>
      </w:pPr>
    </w:p>
    <w:p>
      <w:pPr>
        <w:pStyle w:val="3"/>
        <w:spacing w:before="0" w:after="0" w:line="240" w:lineRule="atLeast"/>
        <w:jc w:val="center"/>
        <w:rPr>
          <w:rFonts w:hint="eastAsia" w:ascii="宋体" w:hAnsi="宋体" w:eastAsia="宋体" w:cs="宋体"/>
          <w:b w:val="0"/>
          <w:bCs/>
          <w:color w:val="auto"/>
          <w:sz w:val="28"/>
          <w:szCs w:val="21"/>
        </w:rPr>
      </w:pPr>
      <w:r>
        <w:rPr>
          <w:rFonts w:hint="eastAsia" w:ascii="宋体" w:hAnsi="宋体" w:eastAsia="宋体" w:cs="宋体"/>
          <w:b w:val="0"/>
          <w:bCs/>
          <w:color w:val="auto"/>
          <w:sz w:val="28"/>
          <w:szCs w:val="28"/>
        </w:rPr>
        <w:t>第2章 响应文件格式</w:t>
      </w:r>
    </w:p>
    <w:p>
      <w:pPr>
        <w:pStyle w:val="4"/>
        <w:spacing w:before="0" w:line="240" w:lineRule="atLeast"/>
        <w:ind w:left="1080" w:leftChars="257" w:hanging="540"/>
        <w:rPr>
          <w:rFonts w:hint="eastAsia" w:ascii="宋体" w:hAnsi="宋体" w:eastAsia="宋体" w:cs="宋体"/>
          <w:b w:val="0"/>
          <w:bCs/>
          <w:color w:val="auto"/>
          <w:sz w:val="24"/>
          <w:szCs w:val="24"/>
        </w:rPr>
      </w:pPr>
    </w:p>
    <w:p>
      <w:pPr>
        <w:pStyle w:val="4"/>
        <w:numPr>
          <w:ilvl w:val="0"/>
          <w:numId w:val="6"/>
        </w:numPr>
        <w:spacing w:before="0" w:line="240" w:lineRule="atLeast"/>
        <w:ind w:left="1080" w:leftChars="257" w:hanging="54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磋商开启一览表及资格证明文件</w:t>
      </w:r>
    </w:p>
    <w:p>
      <w:pPr>
        <w:rPr>
          <w:rFonts w:hint="eastAsia"/>
        </w:rPr>
      </w:pPr>
    </w:p>
    <w:p>
      <w:pPr>
        <w:pStyle w:val="4"/>
        <w:numPr>
          <w:ilvl w:val="0"/>
          <w:numId w:val="0"/>
        </w:numPr>
        <w:spacing w:before="0" w:line="240" w:lineRule="atLeast"/>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rPr>
        <w:t>磋商报价一览表;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2.满足《中华人民共和国政府采购法》第二十二条规定；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3.具有有效的独立法人营业执照；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4.投标人须具备[施工总承包建筑工程三级](含)以上资质，企业安全生产许可证，项目负责人须具备[建筑工程二级](含)以上注册建造师执业资格，具备有效的安全生产考核合格证书；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5.法人代表资格证明书及授权书、被授权人身份证(法人投标需提供法人身份证及法人代表资格证明书)；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6.供应商提供本单位依法缴纳近三个月的社会保险缴费凭证；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7.提供税务部门出具上一季度的完税证明；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8.提供近一年2020年度的财务审计报告（新成立公司需提供银行资信证明）；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9.提供针对本次项目《反商业贿赂承诺书》；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10.参与政府采购活动前3年内未被列入失信、重大税收违法案件、财政部门禁止参加政府采购活动的承诺书；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11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12.缴纳磋商保证金收据；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w:t>
      </w:r>
      <w:r>
        <w:rPr>
          <w:rFonts w:hint="eastAsia" w:ascii="宋体" w:hAnsi="宋体" w:cs="宋体"/>
          <w:b w:val="0"/>
          <w:bCs/>
          <w:color w:val="auto"/>
          <w:kern w:val="2"/>
          <w:sz w:val="21"/>
          <w:szCs w:val="21"/>
          <w:lang w:val="en-US" w:eastAsia="zh-CN" w:bidi="ar-SA"/>
        </w:rPr>
        <w:t>3</w:t>
      </w:r>
      <w:r>
        <w:rPr>
          <w:rFonts w:hint="eastAsia" w:ascii="宋体" w:hAnsi="宋体" w:eastAsia="宋体" w:cs="宋体"/>
          <w:b w:val="0"/>
          <w:bCs/>
          <w:color w:val="auto"/>
          <w:kern w:val="2"/>
          <w:sz w:val="21"/>
          <w:szCs w:val="21"/>
          <w:lang w:val="en-US" w:eastAsia="zh-CN" w:bidi="ar-SA"/>
        </w:rPr>
        <w:t>.银行开户许可证复印件或银行基本账户信息(包含：银行账号及开户行名称）；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w:t>
      </w:r>
      <w:r>
        <w:rPr>
          <w:rFonts w:hint="eastAsia" w:ascii="宋体" w:hAnsi="宋体" w:cs="宋体"/>
          <w:b w:val="0"/>
          <w:bCs/>
          <w:color w:val="auto"/>
          <w:kern w:val="2"/>
          <w:sz w:val="21"/>
          <w:szCs w:val="21"/>
          <w:lang w:val="en-US" w:eastAsia="zh-CN" w:bidi="ar-SA"/>
        </w:rPr>
        <w:t>4</w:t>
      </w:r>
      <w:r>
        <w:rPr>
          <w:rFonts w:hint="eastAsia" w:ascii="宋体" w:hAnsi="宋体" w:eastAsia="宋体" w:cs="宋体"/>
          <w:b w:val="0"/>
          <w:bCs/>
          <w:color w:val="auto"/>
          <w:kern w:val="2"/>
          <w:sz w:val="21"/>
          <w:szCs w:val="21"/>
          <w:lang w:val="en-US" w:eastAsia="zh-CN" w:bidi="ar-SA"/>
        </w:rPr>
        <w:t>.提供有利于磋商的其他证明材料</w:t>
      </w:r>
      <w:r>
        <w:rPr>
          <w:rFonts w:hint="eastAsia" w:ascii="宋体" w:hAnsi="宋体" w:cs="宋体"/>
          <w:b w:val="0"/>
          <w:bCs/>
          <w:color w:val="auto"/>
          <w:kern w:val="2"/>
          <w:sz w:val="21"/>
          <w:szCs w:val="21"/>
          <w:lang w:val="en-US" w:eastAsia="zh-CN" w:bidi="ar-SA"/>
        </w:rPr>
        <w:t>。</w:t>
      </w: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tabs>
          <w:tab w:val="left" w:pos="5580"/>
        </w:tabs>
        <w:spacing w:line="360" w:lineRule="exact"/>
        <w:ind w:left="1" w:firstLine="564" w:firstLineChars="235"/>
        <w:jc w:val="left"/>
        <w:rPr>
          <w:rFonts w:hint="eastAsia" w:ascii="宋体" w:hAnsi="宋体" w:eastAsia="宋体" w:cs="宋体"/>
          <w:b w:val="0"/>
          <w:bCs/>
          <w:color w:val="auto"/>
          <w:sz w:val="24"/>
        </w:rPr>
      </w:pPr>
    </w:p>
    <w:p>
      <w:pPr>
        <w:pStyle w:val="4"/>
        <w:spacing w:before="0" w:line="240" w:lineRule="atLeast"/>
        <w:jc w:val="both"/>
        <w:rPr>
          <w:rFonts w:hint="eastAsia" w:ascii="宋体" w:hAnsi="宋体" w:eastAsia="宋体" w:cs="宋体"/>
          <w:b w:val="0"/>
          <w:bCs/>
          <w:color w:val="auto"/>
          <w:sz w:val="24"/>
          <w:szCs w:val="24"/>
        </w:rPr>
      </w:pPr>
      <w:bookmarkStart w:id="227" w:name="_Toc16568"/>
      <w:bookmarkStart w:id="228" w:name="_Toc14118"/>
      <w:bookmarkStart w:id="229" w:name="_Toc3620"/>
      <w:bookmarkStart w:id="230" w:name="_Toc22539"/>
      <w:bookmarkStart w:id="231" w:name="_Toc18477"/>
      <w:bookmarkStart w:id="232" w:name="_Toc26846"/>
      <w:bookmarkStart w:id="233" w:name="_Toc30524"/>
      <w:bookmarkStart w:id="234" w:name="_Toc11138"/>
      <w:bookmarkStart w:id="235" w:name="_Toc515647804"/>
      <w:bookmarkStart w:id="236" w:name="_Toc30630"/>
      <w:bookmarkStart w:id="237" w:name="_Toc7834"/>
      <w:bookmarkStart w:id="238" w:name="_Toc16750"/>
      <w:bookmarkStart w:id="239" w:name="_Toc21484"/>
      <w:bookmarkStart w:id="240" w:name="_Toc31089"/>
      <w:bookmarkStart w:id="241" w:name="_Toc4431"/>
      <w:bookmarkStart w:id="242" w:name="_Toc17198"/>
      <w:bookmarkStart w:id="243" w:name="_Toc21614"/>
      <w:bookmarkStart w:id="244" w:name="_Ref467988698"/>
      <w:bookmarkStart w:id="245" w:name="_Toc480942349"/>
      <w:bookmarkStart w:id="246" w:name="_Toc520356217"/>
      <w:bookmarkStart w:id="247" w:name="_Toc216582813"/>
    </w:p>
    <w:p>
      <w:pPr>
        <w:rPr>
          <w:rFonts w:hint="eastAsia"/>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磋商报价一览表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pStyle w:val="2"/>
        <w:tabs>
          <w:tab w:val="left" w:pos="5580"/>
        </w:tabs>
        <w:spacing w:line="240" w:lineRule="atLeast"/>
        <w:ind w:left="1080" w:leftChars="257" w:hanging="540"/>
        <w:jc w:val="center"/>
        <w:rPr>
          <w:rFonts w:hint="eastAsia" w:ascii="宋体" w:hAnsi="宋体" w:eastAsia="宋体" w:cs="宋体"/>
          <w:b w:val="0"/>
          <w:bCs/>
          <w:color w:val="auto"/>
          <w:szCs w:val="24"/>
        </w:rPr>
      </w:pPr>
      <w:bookmarkStart w:id="248" w:name="_Hlt520356241"/>
      <w:bookmarkEnd w:id="248"/>
      <w:bookmarkStart w:id="249" w:name="_Toc494296984"/>
    </w:p>
    <w:p>
      <w:pPr>
        <w:pStyle w:val="2"/>
        <w:tabs>
          <w:tab w:val="left" w:pos="5580"/>
        </w:tabs>
        <w:spacing w:line="240" w:lineRule="atLeast"/>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磋商报价一览表</w:t>
      </w:r>
    </w:p>
    <w:p>
      <w:pPr>
        <w:rPr>
          <w:rFonts w:hint="eastAsia"/>
          <w:sz w:val="21"/>
          <w:szCs w:val="21"/>
        </w:rPr>
      </w:pPr>
    </w:p>
    <w:p>
      <w:pPr>
        <w:rPr>
          <w:rFonts w:hint="eastAsia"/>
          <w:sz w:val="21"/>
          <w:szCs w:val="21"/>
        </w:rPr>
      </w:pPr>
    </w:p>
    <w:p>
      <w:pPr>
        <w:tabs>
          <w:tab w:val="left" w:pos="1800"/>
          <w:tab w:val="left" w:pos="5580"/>
        </w:tabs>
        <w:spacing w:line="240" w:lineRule="atLeast"/>
        <w:ind w:right="-867" w:rightChars="-413"/>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项目名称：　                  </w:t>
      </w:r>
      <w:r>
        <w:rPr>
          <w:rFonts w:hint="eastAsia" w:ascii="宋体" w:hAnsi="宋体" w:eastAsia="宋体" w:cs="宋体"/>
          <w:b w:val="0"/>
          <w:bCs/>
          <w:color w:val="auto"/>
          <w:sz w:val="21"/>
          <w:szCs w:val="21"/>
          <w:lang w:val="en-US" w:eastAsia="zh-CN"/>
        </w:rPr>
        <w:t>项目</w:t>
      </w:r>
      <w:r>
        <w:rPr>
          <w:rFonts w:hint="eastAsia" w:ascii="宋体" w:hAnsi="宋体" w:eastAsia="宋体" w:cs="宋体"/>
          <w:b w:val="0"/>
          <w:bCs/>
          <w:color w:val="auto"/>
          <w:sz w:val="21"/>
          <w:szCs w:val="21"/>
        </w:rPr>
        <w:t xml:space="preserve">编号：                 包号：         </w:t>
      </w:r>
    </w:p>
    <w:p>
      <w:pPr>
        <w:tabs>
          <w:tab w:val="left" w:pos="1800"/>
          <w:tab w:val="left" w:pos="5580"/>
        </w:tabs>
        <w:spacing w:line="240" w:lineRule="atLeast"/>
        <w:ind w:right="-867" w:rightChars="-413"/>
        <w:rPr>
          <w:rFonts w:hint="eastAsia" w:ascii="宋体" w:hAnsi="宋体" w:eastAsia="宋体" w:cs="宋体"/>
          <w:b w:val="0"/>
          <w:bCs/>
          <w:color w:val="auto"/>
          <w:sz w:val="21"/>
          <w:szCs w:val="21"/>
        </w:rPr>
      </w:pPr>
    </w:p>
    <w:p>
      <w:pPr>
        <w:tabs>
          <w:tab w:val="left" w:pos="1800"/>
          <w:tab w:val="left" w:pos="5580"/>
        </w:tabs>
        <w:spacing w:line="240" w:lineRule="atLeast"/>
        <w:ind w:right="-867" w:rightChars="-413"/>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报价单位：人民币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元</w:t>
      </w:r>
    </w:p>
    <w:tbl>
      <w:tblPr>
        <w:tblStyle w:val="37"/>
        <w:tblW w:w="8497" w:type="dxa"/>
        <w:tblInd w:w="-61" w:type="dxa"/>
        <w:tblLayout w:type="fixed"/>
        <w:tblCellMar>
          <w:top w:w="0" w:type="dxa"/>
          <w:left w:w="0" w:type="dxa"/>
          <w:bottom w:w="0" w:type="dxa"/>
          <w:right w:w="0" w:type="dxa"/>
        </w:tblCellMar>
      </w:tblPr>
      <w:tblGrid>
        <w:gridCol w:w="1420"/>
        <w:gridCol w:w="2340"/>
        <w:gridCol w:w="1805"/>
        <w:gridCol w:w="1825"/>
        <w:gridCol w:w="1107"/>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宋体" w:hAnsi="宋体" w:eastAsia="宋体" w:cs="宋体"/>
                <w:b w:val="0"/>
                <w:bCs/>
                <w:sz w:val="21"/>
                <w:szCs w:val="21"/>
              </w:rPr>
            </w:pPr>
            <w:r>
              <w:rPr>
                <w:rFonts w:hint="eastAsia" w:ascii="宋体" w:hAnsi="宋体" w:eastAsia="宋体" w:cs="宋体"/>
                <w:b w:val="0"/>
                <w:bCs/>
                <w:sz w:val="21"/>
                <w:szCs w:val="21"/>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b w:val="0"/>
                <w:bCs/>
                <w:sz w:val="21"/>
                <w:szCs w:val="21"/>
              </w:rPr>
            </w:pPr>
            <w:r>
              <w:rPr>
                <w:rFonts w:hint="eastAsia" w:ascii="宋体" w:hAnsi="宋体" w:eastAsia="宋体" w:cs="宋体"/>
                <w:b w:val="0"/>
                <w:bCs/>
                <w:sz w:val="21"/>
                <w:szCs w:val="21"/>
              </w:rPr>
              <w:t>磋商总报价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b w:val="0"/>
                <w:bCs/>
                <w:sz w:val="21"/>
                <w:szCs w:val="21"/>
              </w:rPr>
            </w:pPr>
            <w:r>
              <w:rPr>
                <w:rFonts w:hint="eastAsia" w:ascii="宋体" w:hAnsi="宋体" w:eastAsia="宋体" w:cs="宋体"/>
                <w:b w:val="0"/>
                <w:bCs/>
                <w:sz w:val="21"/>
                <w:szCs w:val="21"/>
              </w:rPr>
              <w:t>磋商保证金</w:t>
            </w:r>
          </w:p>
        </w:tc>
        <w:tc>
          <w:tcPr>
            <w:tcW w:w="182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工期</w:t>
            </w:r>
          </w:p>
        </w:tc>
        <w:tc>
          <w:tcPr>
            <w:tcW w:w="110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宋体" w:hAnsi="宋体" w:eastAsia="宋体" w:cs="宋体"/>
                <w:b w:val="0"/>
                <w:bCs/>
                <w:sz w:val="21"/>
                <w:szCs w:val="21"/>
              </w:rPr>
            </w:pPr>
            <w:r>
              <w:rPr>
                <w:rFonts w:hint="eastAsia" w:ascii="宋体" w:hAnsi="宋体" w:eastAsia="宋体" w:cs="宋体"/>
                <w:b w:val="0"/>
                <w:bCs/>
                <w:sz w:val="21"/>
                <w:szCs w:val="21"/>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firstLine="210" w:firstLineChars="100"/>
              <w:rPr>
                <w:rFonts w:hint="eastAsia" w:ascii="宋体" w:hAnsi="宋体" w:eastAsia="宋体" w:cs="宋体"/>
                <w:b w:val="0"/>
                <w:bCs/>
                <w:sz w:val="21"/>
                <w:szCs w:val="21"/>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小写：</w:t>
            </w:r>
          </w:p>
          <w:p>
            <w:pPr>
              <w:tabs>
                <w:tab w:val="left" w:pos="5580"/>
              </w:tabs>
              <w:spacing w:line="240" w:lineRule="atLeast"/>
              <w:jc w:val="left"/>
              <w:rPr>
                <w:rFonts w:hint="eastAsia" w:asciiTheme="majorEastAsia" w:hAnsiTheme="majorEastAsia" w:eastAsiaTheme="majorEastAsia" w:cstheme="majorEastAsia"/>
                <w:b w:val="0"/>
                <w:bCs/>
                <w:sz w:val="21"/>
                <w:szCs w:val="21"/>
                <w:lang w:val="en-US" w:eastAsia="zh-CN"/>
              </w:rPr>
            </w:pPr>
          </w:p>
          <w:p>
            <w:pPr>
              <w:tabs>
                <w:tab w:val="left" w:pos="5580"/>
              </w:tabs>
              <w:spacing w:line="240" w:lineRule="atLeast"/>
              <w:jc w:val="left"/>
              <w:rPr>
                <w:rFonts w:hint="eastAsia" w:ascii="宋体" w:hAnsi="宋体" w:eastAsia="宋体" w:cs="宋体"/>
                <w:b w:val="0"/>
                <w:bCs/>
                <w:sz w:val="21"/>
                <w:szCs w:val="21"/>
              </w:rPr>
            </w:pPr>
            <w:r>
              <w:rPr>
                <w:rFonts w:hint="eastAsia" w:asciiTheme="majorEastAsia" w:hAnsiTheme="majorEastAsia" w:eastAsiaTheme="majorEastAsia" w:cstheme="majorEastAsia"/>
                <w:b w:val="0"/>
                <w:bCs/>
                <w:sz w:val="21"/>
                <w:szCs w:val="21"/>
                <w:lang w:val="en-US" w:eastAsia="zh-CN"/>
              </w:rPr>
              <w:t>大写：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宋体" w:hAnsi="宋体" w:eastAsia="宋体" w:cs="宋体"/>
                <w:b w:val="0"/>
                <w:bCs/>
                <w:sz w:val="21"/>
                <w:szCs w:val="21"/>
              </w:rPr>
            </w:pPr>
          </w:p>
        </w:tc>
        <w:tc>
          <w:tcPr>
            <w:tcW w:w="182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rPr>
                <w:rFonts w:hint="eastAsia" w:ascii="宋体" w:hAnsi="宋体" w:eastAsia="宋体" w:cs="宋体"/>
                <w:b w:val="0"/>
                <w:bCs/>
                <w:sz w:val="21"/>
                <w:szCs w:val="21"/>
              </w:rPr>
            </w:pPr>
          </w:p>
        </w:tc>
        <w:tc>
          <w:tcPr>
            <w:tcW w:w="1107"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hint="eastAsia" w:ascii="宋体" w:hAnsi="宋体" w:eastAsia="宋体" w:cs="宋体"/>
                <w:b w:val="0"/>
                <w:bCs/>
                <w:sz w:val="21"/>
                <w:szCs w:val="21"/>
              </w:rPr>
            </w:pPr>
          </w:p>
        </w:tc>
      </w:tr>
    </w:tbl>
    <w:p>
      <w:pPr>
        <w:pStyle w:val="16"/>
        <w:tabs>
          <w:tab w:val="left" w:pos="5580"/>
        </w:tabs>
        <w:spacing w:line="240" w:lineRule="atLeast"/>
        <w:rPr>
          <w:rFonts w:hint="eastAsia" w:ascii="宋体" w:hAnsi="宋体" w:eastAsia="宋体" w:cs="宋体"/>
          <w:b w:val="0"/>
          <w:bCs/>
          <w:color w:val="auto"/>
          <w:sz w:val="21"/>
          <w:szCs w:val="21"/>
          <w:u w:val="single"/>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atLeast"/>
        <w:ind w:left="1079" w:leftChars="257" w:hanging="539"/>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名称（公章）：</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atLeast"/>
        <w:ind w:left="1079" w:leftChars="257" w:hanging="539"/>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法定代表人或委托代理(签字):</w:t>
      </w:r>
      <w:r>
        <w:rPr>
          <w:rFonts w:hint="eastAsia" w:ascii="宋体" w:hAnsi="宋体" w:eastAsia="宋体" w:cs="宋体"/>
          <w:b w:val="0"/>
          <w:bCs/>
          <w:color w:val="auto"/>
          <w:sz w:val="21"/>
          <w:szCs w:val="21"/>
          <w:u w:val="single"/>
        </w:rPr>
        <w:tab/>
      </w: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注: 1、此表应按</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须知的规定装订密封。</w:t>
      </w:r>
    </w:p>
    <w:p>
      <w:pPr>
        <w:pStyle w:val="16"/>
        <w:keepNext w:val="0"/>
        <w:keepLines w:val="0"/>
        <w:pageBreakBefore w:val="0"/>
        <w:widowControl w:val="0"/>
        <w:numPr>
          <w:ilvl w:val="0"/>
          <w:numId w:val="7"/>
        </w:numPr>
        <w:tabs>
          <w:tab w:val="left" w:pos="5580"/>
        </w:tabs>
        <w:kinsoku/>
        <w:wordWrap/>
        <w:overflowPunct/>
        <w:topLinePunct w:val="0"/>
        <w:autoSpaceDE/>
        <w:autoSpaceDN/>
        <w:bidi w:val="0"/>
        <w:adjustRightInd/>
        <w:snapToGrid/>
        <w:spacing w:line="340" w:lineRule="atLeast"/>
        <w:ind w:left="1056" w:leftChars="428" w:hanging="157" w:hangingChars="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此表中，磋商总价应和磋商分项报价表的总价相一致。</w:t>
      </w:r>
    </w:p>
    <w:p>
      <w:pPr>
        <w:pStyle w:val="16"/>
        <w:keepNext w:val="0"/>
        <w:keepLines w:val="0"/>
        <w:pageBreakBefore w:val="0"/>
        <w:widowControl w:val="0"/>
        <w:numPr>
          <w:ilvl w:val="0"/>
          <w:numId w:val="7"/>
        </w:numPr>
        <w:tabs>
          <w:tab w:val="left" w:pos="5580"/>
        </w:tabs>
        <w:kinsoku/>
        <w:wordWrap/>
        <w:overflowPunct/>
        <w:topLinePunct w:val="0"/>
        <w:autoSpaceDE/>
        <w:autoSpaceDN/>
        <w:bidi w:val="0"/>
        <w:adjustRightInd/>
        <w:snapToGrid/>
        <w:spacing w:line="340" w:lineRule="atLeast"/>
        <w:ind w:left="1056" w:leftChars="428" w:hanging="157" w:hangingChars="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磋商商报价时包含税费等一切与本次项目相关的费用。</w:t>
      </w:r>
    </w:p>
    <w:bookmarkEnd w:id="249"/>
    <w:p>
      <w:pPr>
        <w:pStyle w:val="26"/>
        <w:rPr>
          <w:rFonts w:hint="eastAsia" w:ascii="宋体" w:hAnsi="宋体" w:eastAsia="宋体" w:cs="宋体"/>
          <w:b w:val="0"/>
          <w:bCs/>
          <w:color w:val="auto"/>
          <w:sz w:val="21"/>
          <w:szCs w:val="21"/>
        </w:rPr>
      </w:pPr>
      <w:bookmarkStart w:id="250" w:name="_Toc16516"/>
      <w:bookmarkStart w:id="251" w:name="_Toc22089"/>
      <w:bookmarkStart w:id="252" w:name="_Toc16088"/>
      <w:bookmarkStart w:id="253" w:name="_Toc8241"/>
    </w:p>
    <w:p>
      <w:pPr>
        <w:pStyle w:val="26"/>
        <w:rPr>
          <w:rFonts w:hint="eastAsia" w:ascii="宋体" w:hAnsi="宋体" w:eastAsia="宋体" w:cs="宋体"/>
          <w:b w:val="0"/>
          <w:bCs/>
          <w:color w:val="auto"/>
        </w:rPr>
      </w:pPr>
    </w:p>
    <w:p>
      <w:pPr>
        <w:pStyle w:val="26"/>
        <w:rPr>
          <w:rFonts w:hint="eastAsia" w:ascii="宋体" w:hAnsi="宋体" w:eastAsia="宋体" w:cs="宋体"/>
          <w:b w:val="0"/>
          <w:bCs/>
          <w:color w:val="auto"/>
        </w:rPr>
      </w:pPr>
    </w:p>
    <w:p>
      <w:pPr>
        <w:spacing w:line="460" w:lineRule="exact"/>
        <w:outlineLvl w:val="1"/>
        <w:rPr>
          <w:rFonts w:hint="eastAsia" w:ascii="宋体" w:hAnsi="宋体" w:eastAsia="宋体" w:cs="宋体"/>
          <w:b w:val="0"/>
          <w:bCs/>
          <w:color w:val="auto"/>
          <w:kern w:val="0"/>
          <w:sz w:val="24"/>
        </w:rPr>
      </w:pPr>
      <w:bookmarkStart w:id="254" w:name="_Toc12721"/>
    </w:p>
    <w:p>
      <w:pPr>
        <w:spacing w:line="460" w:lineRule="exact"/>
        <w:outlineLvl w:val="1"/>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rPr>
        <w:t>2</w:t>
      </w:r>
      <w:bookmarkEnd w:id="250"/>
      <w:bookmarkEnd w:id="251"/>
      <w:bookmarkEnd w:id="252"/>
      <w:bookmarkEnd w:id="253"/>
      <w:r>
        <w:rPr>
          <w:rFonts w:hint="eastAsia" w:ascii="宋体" w:hAnsi="宋体" w:eastAsia="宋体" w:cs="宋体"/>
          <w:b/>
          <w:bCs w:val="0"/>
          <w:color w:val="auto"/>
          <w:kern w:val="0"/>
          <w:sz w:val="24"/>
          <w:szCs w:val="24"/>
          <w:lang w:eastAsia="zh-CN"/>
        </w:rPr>
        <w:t>、</w:t>
      </w:r>
      <w:r>
        <w:rPr>
          <w:rFonts w:hint="eastAsia" w:ascii="宋体" w:hAnsi="宋体" w:eastAsia="宋体" w:cs="宋体"/>
          <w:b/>
          <w:bCs w:val="0"/>
          <w:color w:val="auto"/>
          <w:kern w:val="0"/>
          <w:sz w:val="24"/>
          <w:szCs w:val="24"/>
          <w:lang w:val="en-US" w:eastAsia="zh-CN"/>
        </w:rPr>
        <w:t>具有有效的独立法人营业执照</w:t>
      </w:r>
      <w:r>
        <w:rPr>
          <w:rFonts w:hint="eastAsia" w:ascii="宋体" w:hAnsi="宋体" w:cs="宋体"/>
          <w:b/>
          <w:bCs w:val="0"/>
          <w:color w:val="auto"/>
          <w:kern w:val="0"/>
          <w:sz w:val="24"/>
          <w:szCs w:val="24"/>
          <w:lang w:val="en-US" w:eastAsia="zh-CN"/>
        </w:rPr>
        <w:t>；</w:t>
      </w: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16"/>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color w:val="auto"/>
          <w:kern w:val="0"/>
          <w:sz w:val="24"/>
          <w:szCs w:val="24"/>
          <w:lang w:val="en-US" w:eastAsia="zh-CN"/>
        </w:rPr>
      </w:pP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rPr>
        <w:t>3、投标人须具备[施工总承包建筑工程三级](含)以上资质，企业安全生产许可证，项目负责人须具备[建筑工程二级](含)以上注册建造师执业资格，具备有效的安全生产考核合格证书</w:t>
      </w:r>
      <w:r>
        <w:rPr>
          <w:rFonts w:hint="eastAsia" w:hAnsi="宋体" w:cs="宋体"/>
          <w:b/>
          <w:bCs w:val="0"/>
          <w:color w:val="auto"/>
          <w:kern w:val="2"/>
          <w:sz w:val="24"/>
          <w:szCs w:val="24"/>
          <w:lang w:val="en-US" w:eastAsia="zh-CN" w:bidi="ar-SA"/>
        </w:rPr>
        <w:t>；</w:t>
      </w:r>
    </w:p>
    <w:bookmarkEnd w:id="254"/>
    <w:p>
      <w:pPr>
        <w:pStyle w:val="9"/>
        <w:rPr>
          <w:rFonts w:hint="eastAsia" w:ascii="宋体" w:hAnsi="宋体" w:eastAsia="宋体" w:cs="宋体"/>
          <w:b w:val="0"/>
          <w:bCs/>
          <w:color w:val="auto"/>
        </w:rPr>
      </w:pPr>
    </w:p>
    <w:p>
      <w:pPr>
        <w:rPr>
          <w:rFonts w:hint="eastAsia" w:ascii="宋体" w:hAnsi="宋体" w:eastAsia="宋体" w:cs="宋体"/>
          <w:b w:val="0"/>
          <w:bCs/>
          <w:color w:val="auto"/>
        </w:rPr>
      </w:pPr>
    </w:p>
    <w:p>
      <w:pPr>
        <w:pStyle w:val="36"/>
        <w:rPr>
          <w:rFonts w:hint="eastAsia" w:ascii="宋体" w:hAnsi="宋体" w:eastAsia="宋体" w:cs="宋体"/>
          <w:b w:val="0"/>
          <w:bCs/>
          <w:color w:val="auto"/>
        </w:rPr>
      </w:pPr>
    </w:p>
    <w:p>
      <w:pPr>
        <w:pStyle w:val="36"/>
        <w:rPr>
          <w:rFonts w:hint="eastAsia" w:ascii="宋体" w:hAnsi="宋体" w:eastAsia="宋体" w:cs="宋体"/>
          <w:b w:val="0"/>
          <w:bCs/>
          <w:color w:val="auto"/>
        </w:rPr>
      </w:pPr>
    </w:p>
    <w:p>
      <w:pPr>
        <w:pStyle w:val="9"/>
        <w:outlineLvl w:val="1"/>
        <w:rPr>
          <w:rFonts w:hint="eastAsia" w:ascii="宋体" w:hAnsi="宋体" w:eastAsia="宋体" w:cs="宋体"/>
          <w:b w:val="0"/>
          <w:bCs/>
          <w:color w:val="auto"/>
          <w:lang w:val="en-US" w:eastAsia="zh-CN"/>
        </w:rPr>
      </w:pPr>
      <w:bookmarkStart w:id="255" w:name="_Toc22351"/>
    </w:p>
    <w:p>
      <w:pPr>
        <w:pStyle w:val="9"/>
        <w:outlineLvl w:val="1"/>
        <w:rPr>
          <w:rFonts w:hint="eastAsia" w:ascii="宋体" w:hAnsi="宋体" w:eastAsia="宋体" w:cs="宋体"/>
          <w:b w:val="0"/>
          <w:bCs/>
          <w:color w:val="auto"/>
          <w:sz w:val="21"/>
          <w:szCs w:val="21"/>
          <w:lang w:val="en-US" w:eastAsia="zh-CN"/>
        </w:rPr>
      </w:pPr>
    </w:p>
    <w:p>
      <w:pPr>
        <w:pStyle w:val="9"/>
        <w:outlineLvl w:val="1"/>
        <w:rPr>
          <w:rFonts w:hint="eastAsia" w:ascii="宋体" w:hAnsi="宋体" w:eastAsia="宋体" w:cs="宋体"/>
          <w:b w:val="0"/>
          <w:bCs/>
          <w:color w:val="auto"/>
          <w:sz w:val="21"/>
          <w:szCs w:val="21"/>
          <w:lang w:val="en-US" w:eastAsia="zh-CN"/>
        </w:rPr>
      </w:pPr>
    </w:p>
    <w:p>
      <w:pPr>
        <w:pStyle w:val="9"/>
        <w:outlineLvl w:val="1"/>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lang w:eastAsia="zh-CN"/>
        </w:rPr>
        <w:t>、</w:t>
      </w:r>
      <w:bookmarkEnd w:id="255"/>
      <w:r>
        <w:rPr>
          <w:rFonts w:hint="eastAsia" w:ascii="宋体" w:hAnsi="宋体" w:cs="宋体"/>
          <w:b/>
          <w:bCs w:val="0"/>
          <w:color w:val="auto"/>
          <w:kern w:val="2"/>
          <w:sz w:val="21"/>
          <w:szCs w:val="21"/>
          <w:lang w:val="en-US" w:eastAsia="zh-CN" w:bidi="ar-SA"/>
        </w:rPr>
        <w:t>法人代表资格证明书及授权书、被授权人身份证(法人投标需提供法人身份证及法人代表资格证明书)</w:t>
      </w:r>
    </w:p>
    <w:p>
      <w:pPr>
        <w:adjustRightInd w:val="0"/>
        <w:snapToGrid w:val="0"/>
        <w:spacing w:before="240" w:beforeLines="100" w:after="240" w:afterLines="10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法定代表人身份证明</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同志，现任我单位          职务，为法定代表人，特此证明。</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签发日期：                  单位：         </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附：代表人性别：            年龄：           身份证号码：</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联系电话：</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营业执照号码：              经济性质：</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说明：</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1、法定代表人为企业事业单位、国家机关、社会团体的主要行政负责人。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2、内容必须填写真实、清楚、涂改无效，不得转让。</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3、将此证明书原件提交</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作为谈判响应文件附件。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(为避免废标，请</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务必提供本附件)</w:t>
      </w:r>
    </w:p>
    <w:p>
      <w:pPr>
        <w:pStyle w:val="2"/>
        <w:rPr>
          <w:rFonts w:hint="eastAsia"/>
        </w:rPr>
      </w:pPr>
    </w:p>
    <w:p>
      <w:pPr>
        <w:ind w:firstLine="210" w:firstLineChars="100"/>
        <w:rPr>
          <w:rFonts w:hint="eastAsia" w:ascii="宋体" w:hAnsi="宋体" w:cs="宋体"/>
          <w:b w:val="0"/>
          <w:bCs/>
          <w:color w:val="auto"/>
          <w:sz w:val="21"/>
          <w:szCs w:val="21"/>
          <w:lang w:val="en-US" w:eastAsia="zh-CN"/>
        </w:rPr>
      </w:pPr>
    </w:p>
    <w:p>
      <w:pPr>
        <w:ind w:firstLine="210" w:firstLineChars="100"/>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附：法定代表人身份证复印件正反面</w:t>
      </w:r>
    </w:p>
    <w:p>
      <w:pPr>
        <w:rPr>
          <w:rFonts w:hint="eastAsia" w:ascii="宋体" w:hAnsi="宋体" w:eastAsia="宋体" w:cs="宋体"/>
          <w:b w:val="0"/>
          <w:bCs/>
          <w:color w:val="auto"/>
          <w:sz w:val="21"/>
          <w:szCs w:val="21"/>
        </w:rPr>
      </w:pPr>
    </w:p>
    <w:p>
      <w:pPr>
        <w:rPr>
          <w:rFonts w:hint="eastAsia" w:ascii="宋体" w:hAnsi="宋体" w:eastAsia="宋体" w:cs="宋体"/>
          <w:b w:val="0"/>
          <w:bCs/>
          <w:color w:val="auto"/>
          <w:sz w:val="21"/>
          <w:szCs w:val="21"/>
        </w:rPr>
      </w:pPr>
    </w:p>
    <w:p>
      <w:pPr>
        <w:pStyle w:val="16"/>
        <w:tabs>
          <w:tab w:val="left" w:pos="5370"/>
        </w:tabs>
        <w:spacing w:line="240" w:lineRule="atLeast"/>
        <w:ind w:left="1108" w:leftChars="371" w:hanging="329" w:hangingChars="157"/>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u w:val="none"/>
        </w:rPr>
        <w:tab/>
      </w:r>
      <w:r>
        <w:rPr>
          <w:rFonts w:hint="eastAsia" w:ascii="宋体" w:hAnsi="宋体" w:eastAsia="宋体" w:cs="宋体"/>
          <w:b w:val="0"/>
          <w:bCs/>
          <w:color w:val="auto"/>
          <w:sz w:val="21"/>
          <w:szCs w:val="21"/>
        </w:rPr>
        <w:t xml:space="preserve"> </w:t>
      </w:r>
    </w:p>
    <w:p>
      <w:pPr>
        <w:adjustRightInd w:val="0"/>
        <w:snapToGrid w:val="0"/>
        <w:ind w:firstLine="686" w:firstLineChars="327"/>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75" w:leftChars="356" w:hanging="327" w:hangingChars="156"/>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名称（公章）：</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75" w:leftChars="356" w:hanging="327" w:hangingChars="156"/>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法定代表人或委托代理(签字):</w:t>
      </w:r>
      <w:r>
        <w:rPr>
          <w:rFonts w:hint="eastAsia" w:ascii="宋体" w:hAnsi="宋体" w:eastAsia="宋体" w:cs="宋体"/>
          <w:b w:val="0"/>
          <w:bCs/>
          <w:color w:val="auto"/>
          <w:sz w:val="21"/>
          <w:szCs w:val="21"/>
          <w:u w:val="single"/>
        </w:rPr>
        <w:tab/>
      </w:r>
    </w:p>
    <w:p>
      <w:pPr>
        <w:keepNext w:val="0"/>
        <w:keepLines w:val="0"/>
        <w:pageBreakBefore w:val="0"/>
        <w:widowControl w:val="0"/>
        <w:kinsoku/>
        <w:wordWrap/>
        <w:overflowPunct/>
        <w:topLinePunct w:val="0"/>
        <w:autoSpaceDE/>
        <w:autoSpaceDN/>
        <w:bidi w:val="0"/>
        <w:adjustRightInd w:val="0"/>
        <w:snapToGrid w:val="0"/>
        <w:spacing w:line="340" w:lineRule="exact"/>
        <w:ind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期：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说明：</w:t>
      </w:r>
      <w:r>
        <w:rPr>
          <w:rFonts w:hint="eastAsia"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1.提供有效的营业执照等证明文件复印件，复印件上应加盖本单位章。</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2.</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为自然人的，应提供身份证明的复印件。</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3.联合体磋商应提供联合体各方满足以上要求的证明文件。</w:t>
      </w:r>
      <w:bookmarkStart w:id="256" w:name="_Toc515647807"/>
      <w:bookmarkStart w:id="257" w:name="_Toc16640"/>
      <w:bookmarkStart w:id="258" w:name="_Toc5436"/>
      <w:bookmarkStart w:id="259" w:name="_Toc6829"/>
      <w:bookmarkStart w:id="260" w:name="_Toc1083"/>
      <w:bookmarkStart w:id="261" w:name="_Toc22472"/>
      <w:bookmarkStart w:id="262" w:name="_Toc21867"/>
      <w:bookmarkStart w:id="263" w:name="_Toc13107"/>
    </w:p>
    <w:p>
      <w:pPr>
        <w:spacing w:before="0" w:line="240" w:lineRule="atLeast"/>
        <w:ind w:left="1080" w:leftChars="257" w:hanging="540"/>
        <w:jc w:val="left"/>
        <w:outlineLvl w:val="9"/>
        <w:rPr>
          <w:rFonts w:hint="eastAsia" w:ascii="宋体" w:hAnsi="宋体" w:eastAsia="宋体" w:cs="宋体"/>
          <w:b w:val="0"/>
          <w:bCs/>
          <w:color w:val="auto"/>
          <w:sz w:val="21"/>
          <w:szCs w:val="21"/>
        </w:rPr>
      </w:pPr>
    </w:p>
    <w:p>
      <w:pPr>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ind w:left="0" w:leftChars="0" w:firstLine="0" w:firstLineChars="0"/>
        <w:rPr>
          <w:rFonts w:hint="eastAsia" w:ascii="宋体" w:hAnsi="宋体" w:eastAsia="宋体" w:cs="宋体"/>
          <w:b w:val="0"/>
          <w:bCs/>
          <w:color w:val="auto"/>
          <w:sz w:val="24"/>
          <w:szCs w:val="24"/>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bookmarkStart w:id="264" w:name="_Toc8491"/>
      <w:bookmarkStart w:id="265" w:name="_Toc4926"/>
      <w:bookmarkStart w:id="266" w:name="_Toc14483"/>
      <w:bookmarkStart w:id="267" w:name="_Toc4531"/>
      <w:bookmarkStart w:id="268" w:name="_Toc7748"/>
      <w:bookmarkStart w:id="269" w:name="_Toc4082"/>
      <w:bookmarkStart w:id="270" w:name="_Toc27943"/>
      <w:bookmarkStart w:id="271" w:name="_Toc16635"/>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p>
    <w:p>
      <w:pPr>
        <w:rPr>
          <w:rFonts w:hint="eastAsia" w:ascii="宋体" w:hAnsi="宋体" w:eastAsia="宋体" w:cs="宋体"/>
          <w:b w:val="0"/>
          <w:bCs/>
          <w:color w:val="auto"/>
          <w:sz w:val="24"/>
          <w:szCs w:val="24"/>
        </w:rPr>
      </w:pPr>
    </w:p>
    <w:p>
      <w:pPr>
        <w:pStyle w:val="11"/>
        <w:rPr>
          <w:rFonts w:hint="eastAsia"/>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法定代表人授权委托书</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 w:val="21"/>
          <w:szCs w:val="21"/>
        </w:rPr>
      </w:pPr>
      <w:bookmarkStart w:id="272" w:name="_Toc32520"/>
      <w:bookmarkStart w:id="273" w:name="_Toc515647808"/>
      <w:bookmarkStart w:id="274" w:name="_Toc7039"/>
      <w:r>
        <w:rPr>
          <w:rFonts w:hint="eastAsia" w:ascii="宋体" w:hAnsi="宋体" w:eastAsia="宋体" w:cs="宋体"/>
          <w:b w:val="0"/>
          <w:bCs/>
          <w:color w:val="auto"/>
          <w:sz w:val="21"/>
          <w:szCs w:val="21"/>
        </w:rPr>
        <w:t xml:space="preserve">    本授权书声明：注册于（国家或地区的名称）的（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）的在下面签字的（法人代表姓名、职务）代表我单位授权（单位名称）的在下面签字的（被授权人的姓名、职务）为我单位的合法代理人，就（项目名称）的磋商，以我单位名义处理一切与之有关的事务。　　</w:t>
      </w:r>
    </w:p>
    <w:p>
      <w:pPr>
        <w:pStyle w:val="16"/>
        <w:keepNext w:val="0"/>
        <w:keepLines w:val="0"/>
        <w:pageBreakBefore w:val="0"/>
        <w:widowControl w:val="0"/>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本授权书于           年     月     日签字生效,特此声明。</w:t>
      </w: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附：法定代表人身份证复印件正反面</w:t>
      </w:r>
    </w:p>
    <w:p>
      <w:pPr>
        <w:pStyle w:val="16"/>
        <w:keepNext w:val="0"/>
        <w:keepLines w:val="0"/>
        <w:pageBreakBefore w:val="0"/>
        <w:widowControl w:val="0"/>
        <w:tabs>
          <w:tab w:val="left" w:pos="5580"/>
        </w:tabs>
        <w:kinsoku/>
        <w:wordWrap/>
        <w:overflowPunct/>
        <w:topLinePunct w:val="0"/>
        <w:autoSpaceDE/>
        <w:autoSpaceDN/>
        <w:bidi w:val="0"/>
        <w:adjustRightInd/>
        <w:snapToGrid/>
        <w:spacing w:line="380" w:lineRule="exact"/>
        <w:ind w:left="1080" w:leftChars="257" w:hanging="540"/>
        <w:textAlignment w:val="auto"/>
        <w:rPr>
          <w:rFonts w:hint="eastAsia" w:ascii="宋体" w:hAnsi="宋体" w:eastAsia="宋体" w:cs="宋体"/>
          <w:b w:val="0"/>
          <w:bCs/>
          <w:color w:val="auto"/>
          <w:sz w:val="21"/>
          <w:szCs w:val="21"/>
          <w:lang w:val="en-US" w:eastAsia="zh-CN"/>
        </w:rPr>
      </w:pPr>
      <w:r>
        <w:rPr>
          <w:rFonts w:hint="eastAsia" w:hAnsi="宋体" w:cs="宋体"/>
          <w:b w:val="0"/>
          <w:bCs/>
          <w:color w:val="auto"/>
          <w:sz w:val="21"/>
          <w:szCs w:val="21"/>
          <w:lang w:val="en-US" w:eastAsia="zh-CN"/>
        </w:rPr>
        <w:t xml:space="preserve"> </w:t>
      </w:r>
      <w:r>
        <w:rPr>
          <w:rFonts w:hint="eastAsia" w:hAnsi="宋体"/>
        </w:rPr>
        <w:t>授权委托人身份证</w:t>
      </w:r>
      <w:r>
        <w:rPr>
          <w:rFonts w:hint="eastAsia" w:ascii="宋体" w:hAnsi="宋体" w:cs="宋体"/>
          <w:b w:val="0"/>
          <w:bCs/>
          <w:color w:val="auto"/>
          <w:sz w:val="21"/>
          <w:szCs w:val="21"/>
          <w:lang w:val="en-US" w:eastAsia="zh-CN"/>
        </w:rPr>
        <w:t>复印件正反面</w:t>
      </w: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keepNext w:val="0"/>
        <w:keepLines w:val="0"/>
        <w:pageBreakBefore w:val="0"/>
        <w:widowControl w:val="0"/>
        <w:tabs>
          <w:tab w:val="left" w:pos="537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(公章):</w:t>
      </w:r>
      <w:r>
        <w:rPr>
          <w:rFonts w:hint="eastAsia" w:ascii="宋体" w:hAnsi="宋体" w:eastAsia="宋体" w:cs="宋体"/>
          <w:b w:val="0"/>
          <w:bCs/>
          <w:color w:val="auto"/>
          <w:sz w:val="21"/>
          <w:szCs w:val="21"/>
          <w:u w:val="none"/>
        </w:rPr>
        <w:tab/>
      </w:r>
      <w:r>
        <w:rPr>
          <w:rFonts w:hint="eastAsia" w:ascii="宋体" w:hAnsi="宋体" w:eastAsia="宋体" w:cs="宋体"/>
          <w:b w:val="0"/>
          <w:bCs/>
          <w:color w:val="auto"/>
          <w:sz w:val="21"/>
          <w:szCs w:val="21"/>
          <w:u w:val="non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法定代表人（签/章）：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身份证号码：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委托代理人（签/章）：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身份证号码：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详细通讯地址：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邮 政 编 码 ：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传　　　　真：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rPr>
        <w:t xml:space="preserve">电　　　　话：                               </w:t>
      </w:r>
      <w:r>
        <w:rPr>
          <w:rFonts w:hint="eastAsia" w:ascii="宋体" w:hAnsi="宋体" w:eastAsia="宋体" w:cs="宋体"/>
          <w:b w:val="0"/>
          <w:bCs/>
          <w:color w:val="auto"/>
          <w:sz w:val="24"/>
          <w:szCs w:val="24"/>
        </w:rPr>
        <w:t xml:space="preserve">  </w:t>
      </w:r>
      <w:bookmarkEnd w:id="272"/>
      <w:bookmarkEnd w:id="273"/>
      <w:bookmarkEnd w:id="274"/>
      <w:bookmarkStart w:id="275" w:name="_Toc515647809"/>
      <w:bookmarkStart w:id="276" w:name="_Toc10290"/>
      <w:bookmarkStart w:id="277" w:name="_Toc28445"/>
      <w:bookmarkStart w:id="278" w:name="_Toc8410"/>
      <w:bookmarkStart w:id="279" w:name="_Toc11047"/>
      <w:bookmarkStart w:id="280" w:name="_Toc15480"/>
      <w:bookmarkStart w:id="281" w:name="_Toc22138"/>
      <w:bookmarkStart w:id="282" w:name="_Toc4923"/>
    </w:p>
    <w:p>
      <w:pPr>
        <w:pStyle w:val="16"/>
        <w:tabs>
          <w:tab w:val="left" w:pos="5580"/>
        </w:tabs>
        <w:spacing w:line="240" w:lineRule="atLeast"/>
        <w:rPr>
          <w:rFonts w:hint="eastAsia" w:ascii="宋体" w:hAnsi="宋体" w:eastAsia="宋体" w:cs="宋体"/>
          <w:b w:val="0"/>
          <w:bCs/>
          <w:color w:val="auto"/>
          <w:sz w:val="24"/>
          <w:szCs w:val="24"/>
        </w:rPr>
      </w:pPr>
    </w:p>
    <w:p>
      <w:pPr>
        <w:pStyle w:val="16"/>
        <w:tabs>
          <w:tab w:val="left" w:pos="5580"/>
        </w:tabs>
        <w:spacing w:line="240" w:lineRule="atLeast"/>
        <w:rPr>
          <w:rFonts w:hint="eastAsia" w:ascii="宋体" w:hAnsi="宋体" w:eastAsia="宋体" w:cs="宋体"/>
          <w:b w:val="0"/>
          <w:bCs/>
          <w:color w:val="auto"/>
          <w:sz w:val="24"/>
          <w:szCs w:val="24"/>
        </w:rPr>
      </w:pPr>
    </w:p>
    <w:p>
      <w:pPr>
        <w:pStyle w:val="16"/>
        <w:tabs>
          <w:tab w:val="left" w:pos="5580"/>
        </w:tabs>
        <w:spacing w:line="240" w:lineRule="atLeast"/>
        <w:rPr>
          <w:rFonts w:hint="eastAsia" w:ascii="宋体" w:hAnsi="宋体" w:eastAsia="宋体" w:cs="宋体"/>
          <w:b w:val="0"/>
          <w:bCs/>
          <w:color w:val="auto"/>
          <w:sz w:val="24"/>
          <w:szCs w:val="24"/>
        </w:rPr>
      </w:pPr>
    </w:p>
    <w:p>
      <w:pPr>
        <w:tabs>
          <w:tab w:val="left" w:pos="5580"/>
        </w:tabs>
        <w:spacing w:line="400" w:lineRule="atLeast"/>
        <w:outlineLvl w:val="1"/>
        <w:rPr>
          <w:rFonts w:hint="eastAsia" w:ascii="宋体" w:hAnsi="宋体" w:cs="宋体"/>
          <w:b w:val="0"/>
          <w:bCs/>
          <w:color w:val="auto"/>
          <w:kern w:val="0"/>
          <w:sz w:val="24"/>
          <w:szCs w:val="24"/>
          <w:lang w:val="en-US" w:eastAsia="zh-CN" w:bidi="ar-SA"/>
        </w:rPr>
      </w:pPr>
    </w:p>
    <w:p>
      <w:pPr>
        <w:tabs>
          <w:tab w:val="left" w:pos="5580"/>
        </w:tabs>
        <w:spacing w:line="400" w:lineRule="atLeast"/>
        <w:outlineLvl w:val="1"/>
        <w:rPr>
          <w:rFonts w:hint="eastAsia" w:ascii="宋体" w:hAnsi="宋体" w:cs="宋体"/>
          <w:b w:val="0"/>
          <w:bCs/>
          <w:color w:val="auto"/>
          <w:kern w:val="0"/>
          <w:sz w:val="24"/>
          <w:szCs w:val="24"/>
          <w:lang w:val="en-US" w:eastAsia="zh-CN" w:bidi="ar-SA"/>
        </w:rPr>
      </w:pPr>
    </w:p>
    <w:p>
      <w:pPr>
        <w:tabs>
          <w:tab w:val="left" w:pos="5580"/>
        </w:tabs>
        <w:spacing w:line="400" w:lineRule="atLeast"/>
        <w:outlineLvl w:val="1"/>
        <w:rPr>
          <w:rFonts w:hint="eastAsia" w:ascii="宋体" w:hAnsi="宋体" w:cs="宋体"/>
          <w:b w:val="0"/>
          <w:bCs/>
          <w:color w:val="auto"/>
          <w:kern w:val="0"/>
          <w:sz w:val="24"/>
          <w:szCs w:val="24"/>
          <w:lang w:val="en-US" w:eastAsia="zh-CN" w:bidi="ar-SA"/>
        </w:rPr>
      </w:pPr>
    </w:p>
    <w:p>
      <w:pPr>
        <w:tabs>
          <w:tab w:val="left" w:pos="5580"/>
        </w:tabs>
        <w:spacing w:line="400" w:lineRule="atLeast"/>
        <w:outlineLvl w:val="1"/>
        <w:rPr>
          <w:rFonts w:hint="eastAsia" w:ascii="宋体" w:hAnsi="宋体" w:eastAsia="宋体" w:cs="宋体"/>
          <w:b w:val="0"/>
          <w:bCs/>
          <w:color w:val="auto"/>
          <w:kern w:val="0"/>
          <w:sz w:val="24"/>
          <w:szCs w:val="24"/>
          <w:lang w:val="en-US" w:eastAsia="zh-CN" w:bidi="ar-SA"/>
        </w:rPr>
      </w:pPr>
      <w:r>
        <w:rPr>
          <w:rFonts w:hint="eastAsia" w:ascii="宋体" w:hAnsi="宋体" w:cs="宋体"/>
          <w:b/>
          <w:bCs w:val="0"/>
          <w:color w:val="auto"/>
          <w:kern w:val="0"/>
          <w:sz w:val="24"/>
          <w:szCs w:val="24"/>
          <w:lang w:val="en-US" w:eastAsia="zh-CN" w:bidi="ar-SA"/>
        </w:rPr>
        <w:t>5、供应商提供本单位依法缴纳近三个月的社会保险缴费凭证</w:t>
      </w:r>
      <w:r>
        <w:rPr>
          <w:rFonts w:hint="eastAsia" w:ascii="宋体" w:hAnsi="宋体" w:eastAsia="宋体" w:cs="宋体"/>
          <w:b w:val="0"/>
          <w:bCs/>
          <w:color w:val="auto"/>
          <w:kern w:val="0"/>
          <w:sz w:val="24"/>
          <w:szCs w:val="24"/>
          <w:lang w:val="en-US" w:eastAsia="zh-CN" w:bidi="ar-SA"/>
        </w:rPr>
        <w:t>；</w:t>
      </w:r>
    </w:p>
    <w:p>
      <w:pPr>
        <w:pStyle w:val="36"/>
        <w:ind w:left="0" w:leftChars="0" w:firstLine="0" w:firstLineChars="0"/>
        <w:rPr>
          <w:rFonts w:hint="eastAsia" w:ascii="宋体" w:hAnsi="宋体" w:eastAsia="宋体" w:cs="宋体"/>
          <w:b w:val="0"/>
          <w:bCs/>
          <w:color w:val="auto"/>
          <w:kern w:val="0"/>
          <w:sz w:val="24"/>
          <w:szCs w:val="24"/>
          <w:lang w:eastAsia="zh-CN"/>
        </w:rPr>
      </w:pPr>
    </w:p>
    <w:p>
      <w:pPr>
        <w:pStyle w:val="36"/>
        <w:ind w:left="0" w:leftChars="0" w:firstLine="0" w:firstLineChars="0"/>
        <w:rPr>
          <w:rFonts w:hint="eastAsia" w:ascii="宋体" w:hAnsi="宋体" w:eastAsia="宋体" w:cs="宋体"/>
          <w:b w:val="0"/>
          <w:bCs/>
          <w:color w:val="auto"/>
          <w:kern w:val="0"/>
          <w:sz w:val="24"/>
          <w:szCs w:val="24"/>
          <w:lang w:eastAsia="zh-CN"/>
        </w:rPr>
      </w:pPr>
    </w:p>
    <w:p>
      <w:pPr>
        <w:tabs>
          <w:tab w:val="left" w:pos="5580"/>
        </w:tabs>
        <w:spacing w:line="400" w:lineRule="atLeast"/>
        <w:outlineLvl w:val="1"/>
        <w:rPr>
          <w:rFonts w:hint="eastAsia" w:ascii="宋体" w:hAnsi="宋体" w:cs="宋体"/>
          <w:b w:val="0"/>
          <w:bCs/>
          <w:color w:val="auto"/>
          <w:kern w:val="2"/>
          <w:sz w:val="24"/>
          <w:szCs w:val="24"/>
          <w:lang w:val="en-US" w:eastAsia="zh-CN" w:bidi="ar-SA"/>
        </w:rPr>
      </w:pPr>
      <w:bookmarkStart w:id="283" w:name="_Toc21605"/>
    </w:p>
    <w:p>
      <w:pPr>
        <w:tabs>
          <w:tab w:val="left" w:pos="5580"/>
        </w:tabs>
        <w:spacing w:line="400" w:lineRule="atLeast"/>
        <w:outlineLvl w:val="1"/>
        <w:rPr>
          <w:rFonts w:hint="eastAsia" w:ascii="宋体" w:hAnsi="宋体" w:cs="宋体"/>
          <w:b w:val="0"/>
          <w:bCs/>
          <w:color w:val="auto"/>
          <w:kern w:val="2"/>
          <w:sz w:val="24"/>
          <w:szCs w:val="24"/>
          <w:lang w:val="en-US" w:eastAsia="zh-CN" w:bidi="ar-SA"/>
        </w:rPr>
      </w:pPr>
    </w:p>
    <w:p>
      <w:pPr>
        <w:tabs>
          <w:tab w:val="left" w:pos="5580"/>
        </w:tabs>
        <w:spacing w:line="400" w:lineRule="atLeast"/>
        <w:outlineLvl w:val="1"/>
        <w:rPr>
          <w:rFonts w:hint="eastAsia" w:ascii="宋体" w:hAnsi="宋体" w:cs="宋体"/>
          <w:b w:val="0"/>
          <w:bCs/>
          <w:color w:val="auto"/>
          <w:kern w:val="2"/>
          <w:sz w:val="24"/>
          <w:szCs w:val="24"/>
          <w:lang w:val="en-US" w:eastAsia="zh-CN" w:bidi="ar-SA"/>
        </w:rPr>
      </w:pPr>
    </w:p>
    <w:p>
      <w:pPr>
        <w:tabs>
          <w:tab w:val="left" w:pos="5580"/>
        </w:tabs>
        <w:spacing w:line="400" w:lineRule="atLeast"/>
        <w:outlineLvl w:val="1"/>
        <w:rPr>
          <w:rFonts w:hint="eastAsia" w:ascii="宋体" w:hAnsi="宋体" w:cs="宋体"/>
          <w:b w:val="0"/>
          <w:bCs/>
          <w:color w:val="auto"/>
          <w:kern w:val="2"/>
          <w:sz w:val="24"/>
          <w:szCs w:val="24"/>
          <w:lang w:val="en-US" w:eastAsia="zh-CN" w:bidi="ar-SA"/>
        </w:rPr>
      </w:pPr>
    </w:p>
    <w:p>
      <w:pPr>
        <w:tabs>
          <w:tab w:val="left" w:pos="5580"/>
        </w:tabs>
        <w:spacing w:line="400" w:lineRule="atLeast"/>
        <w:outlineLvl w:val="1"/>
        <w:rPr>
          <w:rFonts w:hint="eastAsia" w:ascii="宋体" w:hAnsi="宋体" w:eastAsia="宋体" w:cs="宋体"/>
          <w:b/>
          <w:bCs w:val="0"/>
          <w:color w:val="auto"/>
          <w:kern w:val="0"/>
          <w:sz w:val="24"/>
          <w:szCs w:val="24"/>
          <w:lang w:val="en-US" w:eastAsia="zh-CN" w:bidi="ar-SA"/>
        </w:rPr>
      </w:pPr>
      <w:r>
        <w:rPr>
          <w:rFonts w:hint="eastAsia" w:ascii="宋体" w:hAnsi="宋体" w:cs="宋体"/>
          <w:b/>
          <w:bCs w:val="0"/>
          <w:color w:val="auto"/>
          <w:kern w:val="2"/>
          <w:sz w:val="24"/>
          <w:szCs w:val="24"/>
          <w:lang w:val="en-US" w:eastAsia="zh-CN" w:bidi="ar-SA"/>
        </w:rPr>
        <w:t>6、提供税务部门出具上一季度的完税证明</w:t>
      </w:r>
      <w:r>
        <w:rPr>
          <w:rFonts w:hint="eastAsia" w:ascii="宋体" w:hAnsi="宋体" w:eastAsia="宋体" w:cs="宋体"/>
          <w:b/>
          <w:bCs w:val="0"/>
          <w:color w:val="auto"/>
          <w:kern w:val="0"/>
          <w:sz w:val="24"/>
          <w:szCs w:val="24"/>
          <w:lang w:val="en-US" w:eastAsia="zh-CN" w:bidi="ar-SA"/>
        </w:rPr>
        <w:t>；</w:t>
      </w:r>
      <w:bookmarkEnd w:id="283"/>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auto"/>
          <w:kern w:val="0"/>
          <w:sz w:val="24"/>
          <w:szCs w:val="24"/>
          <w:lang w:val="en-US" w:eastAsia="zh-CN" w:bidi="ar-SA"/>
        </w:rPr>
      </w:pPr>
      <w:bookmarkStart w:id="284" w:name="_Toc3691"/>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auto"/>
          <w:kern w:val="0"/>
          <w:sz w:val="24"/>
          <w:szCs w:val="24"/>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kern w:val="0"/>
          <w:sz w:val="24"/>
          <w:szCs w:val="24"/>
          <w:lang w:val="en-US" w:eastAsia="zh-CN" w:bidi="ar-SA"/>
        </w:rPr>
      </w:pPr>
      <w:r>
        <w:rPr>
          <w:rFonts w:hint="eastAsia" w:ascii="宋体" w:hAnsi="宋体" w:cs="宋体"/>
          <w:b/>
          <w:bCs w:val="0"/>
          <w:color w:val="auto"/>
          <w:kern w:val="0"/>
          <w:sz w:val="24"/>
          <w:szCs w:val="24"/>
          <w:lang w:val="en-US" w:eastAsia="zh-CN" w:bidi="ar-SA"/>
        </w:rPr>
        <w:t>7</w:t>
      </w:r>
      <w:r>
        <w:rPr>
          <w:rFonts w:hint="eastAsia" w:hAnsi="宋体" w:cs="宋体"/>
          <w:b/>
          <w:bCs w:val="0"/>
          <w:color w:val="auto"/>
          <w:kern w:val="0"/>
          <w:sz w:val="24"/>
          <w:szCs w:val="24"/>
          <w:lang w:val="en-US" w:eastAsia="zh-CN" w:bidi="ar-SA"/>
        </w:rPr>
        <w:t>、提供近一年2020年度的财务审计报告（新成立公司需提供银行资信证明）</w:t>
      </w:r>
      <w:r>
        <w:rPr>
          <w:rFonts w:hint="eastAsia" w:ascii="宋体" w:hAnsi="宋体" w:eastAsia="宋体" w:cs="宋体"/>
          <w:b/>
          <w:bCs w:val="0"/>
          <w:color w:val="auto"/>
          <w:kern w:val="0"/>
          <w:sz w:val="24"/>
          <w:szCs w:val="24"/>
          <w:lang w:val="en-US" w:eastAsia="zh-CN" w:bidi="ar-SA"/>
        </w:rPr>
        <w:t>；</w:t>
      </w:r>
      <w:bookmarkEnd w:id="284"/>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2"/>
        <w:ind w:left="0" w:leftChars="0" w:firstLine="0" w:firstLineChars="0"/>
        <w:outlineLvl w:val="1"/>
        <w:rPr>
          <w:rFonts w:hint="eastAsia" w:ascii="宋体" w:hAnsi="宋体" w:eastAsia="宋体" w:cs="宋体"/>
          <w:b w:val="0"/>
          <w:bCs/>
          <w:color w:val="auto"/>
          <w:kern w:val="0"/>
          <w:sz w:val="24"/>
          <w:szCs w:val="24"/>
          <w:lang w:val="en-US" w:eastAsia="zh-CN"/>
        </w:rPr>
      </w:pPr>
      <w:bookmarkStart w:id="285" w:name="_Toc1255"/>
    </w:p>
    <w:p>
      <w:pPr>
        <w:pStyle w:val="2"/>
        <w:ind w:left="0" w:leftChars="0" w:firstLine="0" w:firstLineChars="0"/>
        <w:outlineLvl w:val="1"/>
        <w:rPr>
          <w:rFonts w:hint="eastAsia" w:ascii="宋体" w:hAnsi="宋体" w:eastAsia="宋体" w:cs="宋体"/>
          <w:b w:val="0"/>
          <w:bCs/>
          <w:color w:val="auto"/>
          <w:kern w:val="0"/>
          <w:sz w:val="24"/>
          <w:szCs w:val="24"/>
          <w:lang w:val="en-US" w:eastAsia="zh-CN"/>
        </w:rPr>
      </w:pPr>
    </w:p>
    <w:p>
      <w:pPr>
        <w:pStyle w:val="2"/>
        <w:ind w:left="0" w:leftChars="0" w:firstLine="0" w:firstLineChars="0"/>
        <w:outlineLvl w:val="1"/>
        <w:rPr>
          <w:rFonts w:hint="eastAsia" w:hAnsi="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rPr>
        <w:t>8、</w:t>
      </w:r>
      <w:bookmarkEnd w:id="285"/>
      <w:r>
        <w:rPr>
          <w:rFonts w:hint="eastAsia" w:ascii="宋体" w:hAnsi="宋体" w:eastAsia="宋体" w:cs="宋体"/>
          <w:b/>
          <w:bCs w:val="0"/>
          <w:color w:val="auto"/>
          <w:kern w:val="0"/>
          <w:sz w:val="24"/>
          <w:szCs w:val="24"/>
          <w:lang w:val="en-US" w:eastAsia="zh-CN"/>
        </w:rPr>
        <w:t>提供针对本次项目《反商业贿赂承诺书》</w:t>
      </w:r>
      <w:r>
        <w:rPr>
          <w:rFonts w:hint="eastAsia" w:hAnsi="宋体" w:cs="宋体"/>
          <w:b/>
          <w:bCs w:val="0"/>
          <w:color w:val="auto"/>
          <w:kern w:val="0"/>
          <w:sz w:val="24"/>
          <w:szCs w:val="24"/>
          <w:lang w:val="en-US" w:eastAsia="zh-CN" w:bidi="ar-SA"/>
        </w:rPr>
        <w:t>；</w:t>
      </w:r>
    </w:p>
    <w:p>
      <w:pPr>
        <w:pStyle w:val="16"/>
        <w:numPr>
          <w:ilvl w:val="0"/>
          <w:numId w:val="0"/>
        </w:numPr>
        <w:tabs>
          <w:tab w:val="left" w:pos="5580"/>
        </w:tabs>
        <w:spacing w:line="240" w:lineRule="atLeast"/>
        <w:outlineLvl w:val="1"/>
        <w:rPr>
          <w:rFonts w:hint="eastAsia" w:ascii="宋体" w:hAnsi="宋体" w:eastAsia="宋体" w:cs="宋体"/>
          <w:b w:val="0"/>
          <w:bCs/>
          <w:color w:val="auto"/>
          <w:kern w:val="0"/>
          <w:sz w:val="24"/>
          <w:szCs w:val="24"/>
          <w:lang w:eastAsia="zh-CN"/>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lang w:val="en-US" w:eastAsia="zh-CN"/>
        </w:rPr>
      </w:pPr>
    </w:p>
    <w:p>
      <w:pPr>
        <w:pStyle w:val="16"/>
        <w:tabs>
          <w:tab w:val="left" w:pos="5580"/>
        </w:tabs>
        <w:spacing w:line="240" w:lineRule="atLeast"/>
        <w:rPr>
          <w:rFonts w:hint="eastAsia" w:ascii="宋体" w:hAnsi="宋体" w:eastAsia="宋体" w:cs="宋体"/>
          <w:b w:val="0"/>
          <w:bCs/>
          <w:color w:val="auto"/>
          <w:kern w:val="0"/>
          <w:sz w:val="24"/>
          <w:szCs w:val="24"/>
          <w:lang w:val="en-US" w:eastAsia="zh-CN"/>
        </w:rPr>
      </w:pPr>
    </w:p>
    <w:p>
      <w:pPr>
        <w:pStyle w:val="16"/>
        <w:tabs>
          <w:tab w:val="left" w:pos="5580"/>
        </w:tabs>
        <w:spacing w:line="240" w:lineRule="atLeast"/>
        <w:rPr>
          <w:rFonts w:hint="eastAsia" w:ascii="宋体" w:hAnsi="宋体" w:eastAsia="宋体" w:cs="宋体"/>
          <w:b/>
          <w:bCs w:val="0"/>
          <w:strike/>
          <w:dstrike w:val="0"/>
          <w:color w:val="auto"/>
          <w:kern w:val="0"/>
          <w:sz w:val="24"/>
          <w:szCs w:val="24"/>
          <w:highlight w:val="red"/>
          <w:lang w:val="en-US" w:eastAsia="zh-CN"/>
        </w:rPr>
      </w:pPr>
      <w:r>
        <w:rPr>
          <w:rFonts w:hint="eastAsia" w:ascii="宋体" w:hAnsi="宋体" w:eastAsia="宋体" w:cs="宋体"/>
          <w:b/>
          <w:bCs w:val="0"/>
          <w:color w:val="auto"/>
          <w:kern w:val="0"/>
          <w:sz w:val="24"/>
          <w:szCs w:val="24"/>
          <w:lang w:val="en-US" w:eastAsia="zh-CN"/>
        </w:rPr>
        <w:t>9、参与政府采购活动前3年内未被列入失信、重大税收违法案件、财政部门禁止参加政府采购活动的承诺书</w:t>
      </w:r>
      <w:r>
        <w:rPr>
          <w:rFonts w:hint="eastAsia" w:ascii="宋体" w:hAnsi="宋体" w:eastAsia="宋体" w:cs="宋体"/>
          <w:b/>
          <w:bCs w:val="0"/>
          <w:color w:val="auto"/>
          <w:kern w:val="2"/>
          <w:sz w:val="24"/>
          <w:szCs w:val="24"/>
          <w:lang w:val="en-US" w:eastAsia="zh-CN" w:bidi="ar-SA"/>
        </w:rPr>
        <w:t>；</w:t>
      </w:r>
    </w:p>
    <w:p>
      <w:pPr>
        <w:pStyle w:val="16"/>
        <w:tabs>
          <w:tab w:val="left" w:pos="5580"/>
        </w:tabs>
        <w:spacing w:line="240" w:lineRule="atLeast"/>
        <w:rPr>
          <w:rFonts w:hint="eastAsia" w:ascii="宋体" w:hAnsi="宋体" w:eastAsia="宋体" w:cs="宋体"/>
          <w:b w:val="0"/>
          <w:bCs/>
          <w:color w:val="auto"/>
          <w:kern w:val="0"/>
          <w:sz w:val="24"/>
          <w:szCs w:val="24"/>
          <w:lang w:val="en-US" w:eastAsia="zh-CN"/>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kern w:val="0"/>
          <w:sz w:val="24"/>
          <w:szCs w:val="24"/>
          <w:lang w:val="en-US" w:eastAsia="zh-CN" w:bidi="ar-SA"/>
        </w:rPr>
      </w:pPr>
      <w:r>
        <w:rPr>
          <w:rFonts w:hint="eastAsia" w:hAnsi="宋体" w:cs="宋体"/>
          <w:b/>
          <w:bCs w:val="0"/>
          <w:color w:val="auto"/>
          <w:kern w:val="2"/>
          <w:sz w:val="24"/>
          <w:szCs w:val="24"/>
          <w:lang w:val="en-US" w:eastAsia="zh-CN" w:bidi="ar-SA"/>
        </w:rPr>
        <w:t>10、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r>
        <w:rPr>
          <w:rFonts w:hint="eastAsia" w:ascii="宋体" w:hAnsi="宋体" w:eastAsia="宋体" w:cs="宋体"/>
          <w:b/>
          <w:bCs w:val="0"/>
          <w:color w:val="auto"/>
          <w:kern w:val="0"/>
          <w:sz w:val="24"/>
          <w:szCs w:val="24"/>
          <w:lang w:val="en-US" w:eastAsia="zh-CN" w:bidi="ar-SA"/>
        </w:rPr>
        <w:t>；</w:t>
      </w: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bookmarkEnd w:id="275"/>
    <w:bookmarkEnd w:id="276"/>
    <w:bookmarkEnd w:id="277"/>
    <w:bookmarkEnd w:id="278"/>
    <w:bookmarkEnd w:id="279"/>
    <w:bookmarkEnd w:id="280"/>
    <w:bookmarkEnd w:id="281"/>
    <w:bookmarkEnd w:id="282"/>
    <w:p>
      <w:pPr>
        <w:spacing w:line="360" w:lineRule="exact"/>
        <w:outlineLvl w:val="1"/>
        <w:rPr>
          <w:rFonts w:hint="eastAsia" w:ascii="宋体" w:hAnsi="宋体" w:eastAsia="宋体" w:cs="宋体"/>
          <w:b w:val="0"/>
          <w:bCs/>
          <w:color w:val="auto"/>
          <w:kern w:val="0"/>
          <w:sz w:val="24"/>
          <w:lang w:val="en-US" w:eastAsia="zh-CN"/>
        </w:rPr>
      </w:pPr>
      <w:bookmarkStart w:id="286" w:name="_Toc494296665"/>
      <w:bookmarkStart w:id="287" w:name="_Toc20720"/>
      <w:bookmarkStart w:id="288" w:name="_Toc16326"/>
      <w:bookmarkStart w:id="289" w:name="_Toc494296991"/>
      <w:bookmarkStart w:id="290" w:name="_Toc8805"/>
      <w:bookmarkStart w:id="291" w:name="_Toc16480"/>
      <w:bookmarkStart w:id="292" w:name="_Toc28525"/>
      <w:bookmarkStart w:id="293" w:name="_Toc10102"/>
    </w:p>
    <w:p>
      <w:pPr>
        <w:numPr>
          <w:ilvl w:val="0"/>
          <w:numId w:val="0"/>
        </w:numPr>
        <w:spacing w:line="360" w:lineRule="exact"/>
        <w:outlineLvl w:val="1"/>
        <w:rPr>
          <w:rFonts w:hint="eastAsia" w:ascii="宋体" w:hAnsi="宋体" w:cs="宋体"/>
          <w:b w:val="0"/>
          <w:bCs/>
          <w:color w:val="auto"/>
          <w:kern w:val="0"/>
          <w:sz w:val="24"/>
          <w:lang w:val="en-US" w:eastAsia="zh-CN"/>
        </w:rPr>
      </w:pPr>
    </w:p>
    <w:p>
      <w:pPr>
        <w:numPr>
          <w:ilvl w:val="0"/>
          <w:numId w:val="0"/>
        </w:numPr>
        <w:spacing w:line="360" w:lineRule="exact"/>
        <w:outlineLvl w:val="1"/>
        <w:rPr>
          <w:rFonts w:hint="eastAsia" w:ascii="宋体" w:hAnsi="宋体" w:eastAsia="宋体" w:cs="宋体"/>
          <w:b/>
          <w:bCs w:val="0"/>
          <w:color w:val="auto"/>
          <w:szCs w:val="21"/>
          <w:lang w:eastAsia="zh-CN"/>
        </w:rPr>
      </w:pPr>
      <w:r>
        <w:rPr>
          <w:rFonts w:hint="eastAsia" w:ascii="宋体" w:hAnsi="宋体" w:cs="宋体"/>
          <w:b/>
          <w:bCs w:val="0"/>
          <w:color w:val="auto"/>
          <w:kern w:val="0"/>
          <w:sz w:val="24"/>
          <w:lang w:val="en-US" w:eastAsia="zh-CN"/>
        </w:rPr>
        <w:t>11、</w:t>
      </w:r>
      <w:bookmarkEnd w:id="286"/>
      <w:bookmarkEnd w:id="287"/>
      <w:bookmarkEnd w:id="288"/>
      <w:bookmarkEnd w:id="289"/>
      <w:bookmarkEnd w:id="290"/>
      <w:bookmarkEnd w:id="291"/>
      <w:bookmarkEnd w:id="292"/>
      <w:bookmarkEnd w:id="293"/>
      <w:r>
        <w:rPr>
          <w:rFonts w:hint="eastAsia" w:ascii="宋体" w:hAnsi="宋体" w:cs="宋体"/>
          <w:b/>
          <w:bCs w:val="0"/>
          <w:color w:val="auto"/>
          <w:kern w:val="2"/>
          <w:sz w:val="24"/>
          <w:szCs w:val="24"/>
          <w:lang w:val="en-US" w:eastAsia="zh-CN" w:bidi="ar-SA"/>
        </w:rPr>
        <w:t>缴纳磋商保证金收据</w:t>
      </w:r>
      <w:r>
        <w:rPr>
          <w:rFonts w:hint="eastAsia" w:ascii="宋体" w:hAnsi="宋体" w:cs="宋体"/>
          <w:b/>
          <w:bCs w:val="0"/>
          <w:color w:val="auto"/>
          <w:sz w:val="24"/>
          <w:szCs w:val="24"/>
          <w:lang w:eastAsia="zh-CN"/>
        </w:rPr>
        <w:t>；</w:t>
      </w:r>
    </w:p>
    <w:p>
      <w:pPr>
        <w:pStyle w:val="2"/>
        <w:numPr>
          <w:ilvl w:val="0"/>
          <w:numId w:val="0"/>
        </w:numPr>
        <w:rPr>
          <w:rFonts w:hint="eastAsia"/>
          <w:b/>
          <w:bCs w:val="0"/>
        </w:rPr>
      </w:pPr>
    </w:p>
    <w:p>
      <w:pPr>
        <w:ind w:firstLine="964" w:firstLineChars="4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注：本项目以投标保证</w:t>
      </w:r>
      <w:r>
        <w:rPr>
          <w:rFonts w:hint="eastAsia" w:ascii="宋体" w:hAnsi="宋体" w:cs="宋体"/>
          <w:b/>
          <w:bCs w:val="0"/>
          <w:color w:val="auto"/>
          <w:sz w:val="24"/>
          <w:szCs w:val="24"/>
          <w:lang w:val="en-US" w:eastAsia="zh-CN"/>
        </w:rPr>
        <w:t>收据</w:t>
      </w:r>
      <w:r>
        <w:rPr>
          <w:rFonts w:hint="eastAsia" w:ascii="宋体" w:hAnsi="宋体" w:eastAsia="宋体" w:cs="宋体"/>
          <w:b/>
          <w:bCs w:val="0"/>
          <w:color w:val="auto"/>
          <w:sz w:val="24"/>
          <w:szCs w:val="24"/>
        </w:rPr>
        <w:t>复印件盖公章为准。</w:t>
      </w:r>
    </w:p>
    <w:p>
      <w:pPr>
        <w:rPr>
          <w:rFonts w:hint="eastAsia"/>
        </w:rPr>
      </w:pPr>
    </w:p>
    <w:p>
      <w:pPr>
        <w:jc w:val="center"/>
        <w:rPr>
          <w:rFonts w:hint="eastAsia" w:ascii="宋体" w:hAnsi="宋体" w:eastAsia="宋体" w:cs="宋体"/>
          <w:b w:val="0"/>
          <w:bCs/>
          <w:color w:val="auto"/>
          <w:sz w:val="24"/>
        </w:rPr>
      </w:pPr>
    </w:p>
    <w:p>
      <w:pPr>
        <w:pStyle w:val="2"/>
        <w:rPr>
          <w:rFonts w:hint="eastAsia" w:ascii="宋体" w:hAnsi="宋体" w:eastAsia="宋体" w:cs="宋体"/>
          <w:b w:val="0"/>
          <w:bCs/>
          <w:color w:val="auto"/>
        </w:rPr>
      </w:pPr>
      <w:bookmarkStart w:id="294" w:name="_Toc5710"/>
      <w:bookmarkStart w:id="295" w:name="_Toc515647810"/>
      <w:bookmarkStart w:id="296" w:name="_Toc18754"/>
    </w:p>
    <w:p>
      <w:pPr>
        <w:rPr>
          <w:rFonts w:hint="eastAsia" w:ascii="宋体" w:hAnsi="宋体" w:eastAsia="宋体" w:cs="宋体"/>
          <w:b w:val="0"/>
          <w:bCs/>
        </w:rPr>
      </w:pPr>
    </w:p>
    <w:bookmarkEnd w:id="294"/>
    <w:bookmarkEnd w:id="295"/>
    <w:bookmarkEnd w:id="296"/>
    <w:p>
      <w:pPr>
        <w:tabs>
          <w:tab w:val="left" w:pos="5580"/>
        </w:tabs>
        <w:spacing w:line="400" w:lineRule="atLeast"/>
        <w:outlineLvl w:val="1"/>
        <w:rPr>
          <w:rFonts w:hint="eastAsia" w:ascii="宋体" w:hAnsi="宋体" w:eastAsia="宋体" w:cs="宋体"/>
          <w:b w:val="0"/>
          <w:bCs/>
          <w:color w:val="auto"/>
          <w:kern w:val="0"/>
          <w:sz w:val="24"/>
          <w:szCs w:val="20"/>
          <w:lang w:val="en-US" w:eastAsia="zh-CN" w:bidi="ar-SA"/>
        </w:rPr>
      </w:pPr>
      <w:bookmarkStart w:id="297" w:name="_Toc3945"/>
      <w:bookmarkStart w:id="298" w:name="_Toc5102"/>
      <w:bookmarkStart w:id="299" w:name="_Toc26653"/>
      <w:bookmarkStart w:id="300" w:name="_Toc26673"/>
      <w:bookmarkStart w:id="301" w:name="_Toc27586"/>
      <w:bookmarkStart w:id="302" w:name="_Toc27251"/>
      <w:bookmarkStart w:id="303" w:name="_Toc4137"/>
      <w:bookmarkStart w:id="304" w:name="_Toc10181"/>
      <w:bookmarkStart w:id="305" w:name="_Toc660"/>
      <w:bookmarkStart w:id="306" w:name="_Toc27874"/>
      <w:bookmarkStart w:id="307" w:name="_Toc30691"/>
      <w:bookmarkStart w:id="308" w:name="_Toc1821"/>
      <w:bookmarkStart w:id="309" w:name="_Toc16724"/>
      <w:bookmarkStart w:id="310" w:name="_Toc14251"/>
      <w:bookmarkStart w:id="311" w:name="_Toc11668"/>
      <w:bookmarkStart w:id="312" w:name="_Toc12305"/>
      <w:bookmarkStart w:id="313" w:name="_Toc16476"/>
    </w:p>
    <w:p>
      <w:pPr>
        <w:tabs>
          <w:tab w:val="left" w:pos="5580"/>
        </w:tabs>
        <w:spacing w:line="400" w:lineRule="atLeast"/>
        <w:outlineLvl w:val="1"/>
        <w:rPr>
          <w:rFonts w:hint="eastAsia" w:ascii="宋体" w:hAnsi="宋体" w:eastAsia="宋体" w:cs="宋体"/>
          <w:b/>
          <w:bCs w:val="0"/>
          <w:color w:val="auto"/>
          <w:kern w:val="0"/>
          <w:sz w:val="24"/>
          <w:szCs w:val="20"/>
          <w:lang w:val="en-US" w:eastAsia="zh-CN" w:bidi="ar-SA"/>
        </w:rPr>
      </w:pPr>
      <w:r>
        <w:rPr>
          <w:rFonts w:hint="eastAsia" w:ascii="宋体" w:hAnsi="宋体" w:eastAsia="宋体" w:cs="宋体"/>
          <w:b/>
          <w:bCs w:val="0"/>
          <w:color w:val="auto"/>
          <w:kern w:val="0"/>
          <w:sz w:val="24"/>
          <w:szCs w:val="20"/>
          <w:lang w:val="en-US" w:eastAsia="zh-CN" w:bidi="ar-SA"/>
        </w:rPr>
        <w:t>1</w:t>
      </w:r>
      <w:r>
        <w:rPr>
          <w:rFonts w:hint="eastAsia" w:ascii="宋体" w:hAnsi="宋体" w:cs="宋体"/>
          <w:b/>
          <w:bCs w:val="0"/>
          <w:color w:val="auto"/>
          <w:kern w:val="0"/>
          <w:sz w:val="24"/>
          <w:szCs w:val="20"/>
          <w:lang w:val="en-US" w:eastAsia="zh-CN" w:bidi="ar-SA"/>
        </w:rPr>
        <w:t>2、银行开户许可证复印件或银行基本账户信息(包含：银行账号及开户行名称）</w:t>
      </w:r>
      <w:r>
        <w:rPr>
          <w:rFonts w:hint="eastAsia" w:ascii="宋体" w:hAnsi="宋体" w:eastAsia="宋体" w:cs="宋体"/>
          <w:b/>
          <w:bCs w:val="0"/>
          <w:color w:val="auto"/>
          <w:kern w:val="0"/>
          <w:sz w:val="24"/>
          <w:szCs w:val="20"/>
          <w:lang w:val="en-US" w:eastAsia="zh-CN" w:bidi="ar-SA"/>
        </w:rPr>
        <w:t>；</w:t>
      </w:r>
      <w:bookmarkEnd w:id="297"/>
    </w:p>
    <w:bookmarkEnd w:id="298"/>
    <w:p>
      <w:pPr>
        <w:pStyle w:val="4"/>
        <w:numPr>
          <w:ilvl w:val="0"/>
          <w:numId w:val="0"/>
        </w:numPr>
        <w:spacing w:before="0" w:line="360" w:lineRule="exact"/>
        <w:jc w:val="both"/>
        <w:rPr>
          <w:rFonts w:hint="eastAsia" w:ascii="宋体" w:hAnsi="宋体" w:eastAsia="宋体" w:cs="宋体"/>
          <w:b w:val="0"/>
          <w:bCs/>
          <w:color w:val="auto"/>
          <w:sz w:val="24"/>
          <w:szCs w:val="24"/>
          <w:lang w:eastAsia="zh-CN"/>
        </w:rPr>
      </w:pPr>
    </w:p>
    <w:p>
      <w:pPr>
        <w:numPr>
          <w:ilvl w:val="0"/>
          <w:numId w:val="0"/>
        </w:numPr>
        <w:spacing w:before="0" w:line="360" w:lineRule="exact"/>
        <w:jc w:val="both"/>
        <w:outlineLvl w:val="9"/>
        <w:rPr>
          <w:rFonts w:hint="eastAsia" w:ascii="宋体" w:hAnsi="宋体" w:eastAsia="宋体" w:cs="宋体"/>
          <w:b w:val="0"/>
          <w:bCs/>
          <w:color w:val="auto"/>
          <w:sz w:val="24"/>
          <w:szCs w:val="24"/>
        </w:rPr>
      </w:pPr>
    </w:p>
    <w:p>
      <w:pPr>
        <w:rPr>
          <w:rFonts w:hint="eastAsia" w:ascii="宋体" w:hAnsi="宋体" w:eastAsia="宋体" w:cs="宋体"/>
          <w:b w:val="0"/>
          <w:bCs/>
        </w:rPr>
      </w:pPr>
    </w:p>
    <w:p>
      <w:pPr>
        <w:pStyle w:val="2"/>
        <w:rPr>
          <w:rFonts w:hint="eastAsia" w:ascii="宋体" w:hAnsi="宋体" w:eastAsia="宋体" w:cs="宋体"/>
          <w:b w:val="0"/>
          <w:bCs/>
        </w:rPr>
      </w:pPr>
    </w:p>
    <w:p>
      <w:pPr>
        <w:rPr>
          <w:rFonts w:hint="eastAsia" w:ascii="宋体" w:hAnsi="宋体" w:eastAsia="宋体" w:cs="宋体"/>
          <w:b w:val="0"/>
          <w:bCs/>
        </w:rPr>
      </w:pPr>
    </w:p>
    <w:p>
      <w:pPr>
        <w:pStyle w:val="44"/>
        <w:rPr>
          <w:rFonts w:hint="eastAsia" w:ascii="宋体" w:hAnsi="宋体" w:eastAsia="宋体" w:cs="宋体"/>
          <w:b w:val="0"/>
          <w:bCs/>
        </w:rPr>
      </w:pPr>
    </w:p>
    <w:p>
      <w:pPr>
        <w:pStyle w:val="44"/>
        <w:rPr>
          <w:rFonts w:hint="eastAsia" w:ascii="宋体" w:hAnsi="宋体" w:eastAsia="宋体" w:cs="宋体"/>
          <w:b w:val="0"/>
          <w:bCs/>
        </w:rPr>
      </w:pPr>
    </w:p>
    <w:p>
      <w:pPr>
        <w:pStyle w:val="4"/>
        <w:numPr>
          <w:ilvl w:val="0"/>
          <w:numId w:val="0"/>
        </w:numPr>
        <w:spacing w:before="0" w:line="360" w:lineRule="exact"/>
        <w:jc w:val="both"/>
        <w:rPr>
          <w:rFonts w:hint="eastAsia" w:ascii="宋体" w:hAnsi="宋体" w:eastAsia="宋体" w:cs="宋体"/>
          <w:b w:val="0"/>
          <w:bCs/>
          <w:color w:val="auto"/>
          <w:sz w:val="24"/>
          <w:szCs w:val="24"/>
          <w:lang w:val="en-US" w:eastAsia="zh-CN"/>
        </w:rPr>
      </w:pPr>
      <w:bookmarkStart w:id="314" w:name="_Toc3575"/>
    </w:p>
    <w:p>
      <w:pPr>
        <w:pStyle w:val="4"/>
        <w:numPr>
          <w:ilvl w:val="0"/>
          <w:numId w:val="0"/>
        </w:numPr>
        <w:spacing w:before="0" w:line="360" w:lineRule="exac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13、</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rFonts w:hint="eastAsia" w:ascii="宋体" w:hAnsi="宋体" w:eastAsia="宋体" w:cs="宋体"/>
          <w:b/>
          <w:bCs w:val="0"/>
          <w:color w:val="auto"/>
          <w:kern w:val="2"/>
          <w:sz w:val="21"/>
          <w:szCs w:val="21"/>
          <w:lang w:val="en-US" w:eastAsia="zh-CN" w:bidi="ar-SA"/>
        </w:rPr>
        <w:t>提供有利于磋商的其他证明材料</w:t>
      </w:r>
      <w:r>
        <w:rPr>
          <w:rFonts w:hint="eastAsia" w:ascii="宋体" w:hAnsi="宋体" w:cs="宋体"/>
          <w:b/>
          <w:bCs w:val="0"/>
          <w:color w:val="auto"/>
          <w:kern w:val="2"/>
          <w:sz w:val="21"/>
          <w:szCs w:val="21"/>
          <w:lang w:val="en-US" w:eastAsia="zh-CN" w:bidi="ar-SA"/>
        </w:rPr>
        <w:t>。</w:t>
      </w: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4"/>
        <w:spacing w:before="0" w:line="240" w:lineRule="atLeast"/>
        <w:jc w:val="center"/>
        <w:rPr>
          <w:rFonts w:hint="eastAsia" w:ascii="宋体" w:hAnsi="宋体" w:eastAsia="宋体" w:cs="宋体"/>
          <w:b w:val="0"/>
          <w:bCs/>
          <w:color w:val="auto"/>
          <w:sz w:val="24"/>
          <w:szCs w:val="24"/>
        </w:rPr>
      </w:pPr>
      <w:bookmarkStart w:id="315" w:name="_Toc515647816"/>
      <w:bookmarkStart w:id="316" w:name="_Toc12440"/>
      <w:bookmarkStart w:id="317" w:name="_Toc22967"/>
      <w:bookmarkStart w:id="318" w:name="_Toc11180"/>
      <w:bookmarkStart w:id="319" w:name="_Toc28123"/>
      <w:bookmarkStart w:id="320" w:name="_Toc3552"/>
      <w:bookmarkStart w:id="321" w:name="_Toc25827"/>
      <w:bookmarkStart w:id="322" w:name="_Toc11956"/>
      <w:r>
        <w:rPr>
          <w:rFonts w:hint="eastAsia" w:ascii="宋体" w:hAnsi="宋体" w:eastAsia="宋体" w:cs="宋体"/>
          <w:b w:val="0"/>
          <w:bCs/>
          <w:color w:val="auto"/>
          <w:sz w:val="24"/>
          <w:szCs w:val="24"/>
        </w:rPr>
        <w:t>第二部分  商务及技术文件</w:t>
      </w:r>
      <w:bookmarkEnd w:id="315"/>
      <w:bookmarkEnd w:id="316"/>
      <w:bookmarkEnd w:id="317"/>
      <w:bookmarkEnd w:id="318"/>
      <w:bookmarkEnd w:id="319"/>
      <w:bookmarkEnd w:id="320"/>
      <w:bookmarkEnd w:id="321"/>
      <w:bookmarkEnd w:id="322"/>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eastAsia="zh-CN"/>
        </w:rPr>
        <w:t>.磋商</w:t>
      </w:r>
      <w:r>
        <w:rPr>
          <w:rFonts w:hint="eastAsia" w:hAnsi="宋体" w:cs="宋体"/>
          <w:b w:val="0"/>
          <w:bCs/>
          <w:color w:val="auto"/>
          <w:sz w:val="24"/>
          <w:szCs w:val="24"/>
          <w:lang w:val="en-US" w:eastAsia="zh-CN"/>
        </w:rPr>
        <w:t>函</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eastAsia="zh-CN"/>
        </w:rPr>
        <w:t>.分项报价表</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商务偏离表</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"_Toc37247713" </w:instrText>
      </w:r>
      <w:r>
        <w:rPr>
          <w:rFonts w:hint="eastAsia" w:ascii="宋体" w:hAnsi="宋体" w:eastAsia="宋体" w:cs="宋体"/>
          <w:b w:val="0"/>
          <w:bCs/>
          <w:color w:val="auto"/>
          <w:sz w:val="24"/>
          <w:szCs w:val="24"/>
        </w:rPr>
        <w:fldChar w:fldCharType="separate"/>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 xml:space="preserve">  供应商企业（单位）类型声明函</w:t>
      </w:r>
      <w:r>
        <w:rPr>
          <w:rFonts w:hint="eastAsia" w:ascii="宋体" w:hAnsi="宋体" w:eastAsia="宋体" w:cs="宋体"/>
          <w:b w:val="0"/>
          <w:bCs/>
          <w:color w:val="auto"/>
          <w:sz w:val="24"/>
          <w:szCs w:val="24"/>
        </w:rPr>
        <w:fldChar w:fldCharType="end"/>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"_Toc37247715" </w:instrText>
      </w:r>
      <w:r>
        <w:rPr>
          <w:rFonts w:hint="eastAsia" w:ascii="宋体" w:hAnsi="宋体" w:eastAsia="宋体" w:cs="宋体"/>
          <w:b w:val="0"/>
          <w:bCs/>
          <w:color w:val="auto"/>
          <w:sz w:val="24"/>
          <w:szCs w:val="24"/>
        </w:rPr>
        <w:fldChar w:fldCharType="separate"/>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rPr>
        <w:t>《残疾人福利性单位声明函》</w:t>
      </w:r>
      <w:r>
        <w:rPr>
          <w:rFonts w:hint="eastAsia" w:ascii="宋体" w:hAnsi="宋体" w:eastAsia="宋体" w:cs="宋体"/>
          <w:b w:val="0"/>
          <w:bCs/>
          <w:color w:val="auto"/>
          <w:sz w:val="24"/>
          <w:szCs w:val="24"/>
        </w:rPr>
        <w:fldChar w:fldCharType="end"/>
      </w: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"_Toc37247716" </w:instrText>
      </w:r>
      <w:r>
        <w:rPr>
          <w:rFonts w:hint="eastAsia" w:ascii="宋体" w:hAnsi="宋体" w:eastAsia="宋体" w:cs="宋体"/>
          <w:b w:val="0"/>
          <w:bCs/>
          <w:color w:val="auto"/>
          <w:sz w:val="24"/>
          <w:szCs w:val="24"/>
        </w:rPr>
        <w:fldChar w:fldCharType="separate"/>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5.供应商关联单位的说明</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.近年发生的诉讼和仲裁情况（企业自行承诺）</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.近两年有无拖欠农民工工资情况（企业自行承诺）</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.劳动用工承诺函</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9.项目管理人员</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10.投标人类似项目业绩</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11.施工方案</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11.1</w:t>
      </w:r>
      <w:r>
        <w:rPr>
          <w:rFonts w:hint="eastAsia" w:ascii="宋体" w:hAnsi="宋体" w:eastAsia="宋体" w:cs="宋体"/>
          <w:b w:val="0"/>
          <w:bCs/>
          <w:color w:val="auto"/>
          <w:sz w:val="24"/>
        </w:rPr>
        <w:t>施工方案与技术措施；</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质量保证措施和创优计划；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3</w:t>
      </w:r>
      <w:r>
        <w:rPr>
          <w:rFonts w:hint="eastAsia" w:ascii="宋体" w:hAnsi="宋体" w:eastAsia="宋体" w:cs="宋体"/>
          <w:b w:val="0"/>
          <w:bCs/>
          <w:color w:val="auto"/>
          <w:sz w:val="24"/>
        </w:rPr>
        <w:t>施工总进度计划及保证措施；</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4</w:t>
      </w:r>
      <w:r>
        <w:rPr>
          <w:rFonts w:hint="eastAsia" w:ascii="宋体" w:hAnsi="宋体" w:eastAsia="宋体" w:cs="宋体"/>
          <w:b w:val="0"/>
          <w:bCs/>
          <w:color w:val="auto"/>
          <w:sz w:val="24"/>
        </w:rPr>
        <w:t>施工安全措施计划；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5</w:t>
      </w:r>
      <w:r>
        <w:rPr>
          <w:rFonts w:hint="eastAsia" w:ascii="宋体" w:hAnsi="宋体" w:eastAsia="宋体" w:cs="宋体"/>
          <w:b w:val="0"/>
          <w:bCs/>
          <w:color w:val="auto"/>
          <w:sz w:val="24"/>
        </w:rPr>
        <w:t>文明施工措施计划；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11.6</w:t>
      </w:r>
      <w:r>
        <w:rPr>
          <w:rFonts w:hint="eastAsia" w:ascii="宋体" w:hAnsi="宋体" w:eastAsia="宋体" w:cs="宋体"/>
          <w:b w:val="0"/>
          <w:bCs/>
          <w:color w:val="auto"/>
          <w:sz w:val="24"/>
        </w:rPr>
        <w:t>施工场地治安保卫管理计划；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11.7</w:t>
      </w:r>
      <w:r>
        <w:rPr>
          <w:rFonts w:hint="eastAsia" w:ascii="宋体" w:hAnsi="宋体" w:eastAsia="宋体" w:cs="宋体"/>
          <w:b w:val="0"/>
          <w:bCs/>
          <w:color w:val="auto"/>
          <w:sz w:val="24"/>
        </w:rPr>
        <w:t>施工环保措施计划；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11.8</w:t>
      </w:r>
      <w:r>
        <w:rPr>
          <w:rFonts w:hint="eastAsia" w:ascii="宋体" w:hAnsi="宋体" w:eastAsia="宋体" w:cs="宋体"/>
          <w:b w:val="0"/>
          <w:bCs/>
          <w:color w:val="auto"/>
          <w:sz w:val="24"/>
        </w:rPr>
        <w:t>项目组织管理机构；</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11.9</w:t>
      </w:r>
      <w:r>
        <w:rPr>
          <w:rFonts w:hint="eastAsia" w:ascii="宋体" w:hAnsi="宋体" w:eastAsia="宋体" w:cs="宋体"/>
          <w:b w:val="0"/>
          <w:bCs/>
          <w:color w:val="auto"/>
          <w:sz w:val="24"/>
        </w:rPr>
        <w:t>成品保护和工程保修工作的管理和承诺；</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11</w:t>
      </w:r>
      <w:r>
        <w:rPr>
          <w:rFonts w:hint="eastAsia" w:ascii="宋体" w:hAnsi="宋体" w:eastAsia="宋体" w:cs="宋体"/>
          <w:b w:val="0"/>
          <w:bCs/>
          <w:color w:val="auto"/>
          <w:sz w:val="24"/>
          <w:lang w:val="en-US" w:eastAsia="zh-CN"/>
        </w:rPr>
        <w:t>.10</w:t>
      </w:r>
      <w:r>
        <w:rPr>
          <w:rFonts w:hint="eastAsia" w:ascii="宋体" w:hAnsi="宋体" w:eastAsia="宋体" w:cs="宋体"/>
          <w:b w:val="0"/>
          <w:bCs/>
          <w:color w:val="auto"/>
          <w:sz w:val="24"/>
        </w:rPr>
        <w:t>任何可能的紧急情况的处理措施、预案以及抵抗风险的措施；</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lang w:val="en-US" w:eastAsia="zh-CN"/>
        </w:rPr>
        <w:t>11.11</w:t>
      </w:r>
      <w:r>
        <w:rPr>
          <w:rFonts w:hint="eastAsia" w:ascii="宋体" w:hAnsi="宋体" w:eastAsia="宋体" w:cs="宋体"/>
          <w:b w:val="0"/>
          <w:bCs/>
          <w:color w:val="auto"/>
          <w:sz w:val="24"/>
        </w:rPr>
        <w:t>对总包管理的认识以及对专业分包工程的配合、协调、管理、服务方案</w:t>
      </w:r>
      <w:r>
        <w:rPr>
          <w:rFonts w:hint="eastAsia" w:ascii="宋体" w:hAnsi="宋体" w:eastAsia="宋体" w:cs="宋体"/>
          <w:b w:val="0"/>
          <w:bCs/>
          <w:color w:val="auto"/>
          <w:sz w:val="24"/>
          <w:lang w:eastAsia="zh-CN"/>
        </w:rPr>
        <w:t>；</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rPr>
        <w:t>提供有利于磋商的其他证明材料</w:t>
      </w:r>
      <w:r>
        <w:rPr>
          <w:rFonts w:hint="eastAsia" w:ascii="宋体" w:hAnsi="宋体" w:eastAsia="宋体" w:cs="宋体"/>
          <w:b w:val="0"/>
          <w:bCs/>
          <w:color w:val="auto"/>
          <w:sz w:val="24"/>
          <w:szCs w:val="24"/>
        </w:rPr>
        <w:fldChar w:fldCharType="end"/>
      </w:r>
      <w:r>
        <w:rPr>
          <w:rFonts w:hint="eastAsia" w:hAnsi="宋体" w:cs="宋体"/>
          <w:b w:val="0"/>
          <w:bCs/>
          <w:color w:val="auto"/>
          <w:sz w:val="24"/>
          <w:szCs w:val="24"/>
          <w:lang w:eastAsia="zh-CN"/>
        </w:rPr>
        <w:t>；</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rPr>
        <w:t>磋商文件格式范本</w:t>
      </w:r>
      <w:r>
        <w:rPr>
          <w:rFonts w:hint="eastAsia" w:hAnsi="宋体" w:cs="宋体"/>
          <w:b w:val="0"/>
          <w:bCs/>
          <w:color w:val="auto"/>
          <w:sz w:val="24"/>
          <w:lang w:eastAsia="zh-CN"/>
        </w:rPr>
        <w:t>。</w:t>
      </w:r>
    </w:p>
    <w:p>
      <w:pPr>
        <w:pStyle w:val="16"/>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bookmarkStart w:id="323" w:name="_Toc2041"/>
      <w:bookmarkStart w:id="324" w:name="_Toc14915"/>
      <w:bookmarkStart w:id="325" w:name="_Toc18506"/>
      <w:bookmarkStart w:id="326" w:name="_Toc515647817"/>
      <w:bookmarkStart w:id="327" w:name="_Toc14858"/>
      <w:bookmarkStart w:id="328" w:name="_Toc12852"/>
      <w:bookmarkStart w:id="329" w:name="_Toc18614"/>
      <w:bookmarkStart w:id="330" w:name="_Toc8940"/>
      <w:bookmarkStart w:id="331" w:name="_Toc30307"/>
      <w:bookmarkStart w:id="332" w:name="_Toc11475"/>
      <w:bookmarkStart w:id="333" w:name="_Toc22432"/>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rPr>
      </w:pPr>
      <w:r>
        <w:rPr>
          <w:rFonts w:hint="eastAsia" w:ascii="宋体" w:hAnsi="宋体" w:eastAsia="宋体" w:cs="宋体"/>
          <w:b/>
          <w:bCs w:val="0"/>
          <w:color w:val="auto"/>
          <w:sz w:val="24"/>
          <w:szCs w:val="24"/>
        </w:rPr>
        <w:t>1</w:t>
      </w:r>
      <w:bookmarkEnd w:id="244"/>
      <w:bookmarkEnd w:id="245"/>
      <w:bookmarkStart w:id="334" w:name="_Hlt520355504"/>
      <w:bookmarkEnd w:id="334"/>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磋商</w:t>
      </w:r>
      <w:bookmarkEnd w:id="246"/>
      <w:bookmarkEnd w:id="247"/>
      <w:bookmarkEnd w:id="323"/>
      <w:bookmarkEnd w:id="324"/>
      <w:bookmarkEnd w:id="325"/>
      <w:bookmarkEnd w:id="326"/>
      <w:bookmarkEnd w:id="327"/>
      <w:bookmarkEnd w:id="328"/>
      <w:bookmarkEnd w:id="329"/>
      <w:bookmarkEnd w:id="330"/>
      <w:bookmarkEnd w:id="331"/>
      <w:bookmarkEnd w:id="332"/>
      <w:bookmarkEnd w:id="333"/>
      <w:r>
        <w:rPr>
          <w:rFonts w:hint="eastAsia" w:asciiTheme="minorEastAsia" w:hAnsiTheme="minorEastAsia" w:eastAsiaTheme="minorEastAsia" w:cstheme="minorEastAsia"/>
          <w:b/>
          <w:bCs w:val="0"/>
          <w:color w:val="auto"/>
          <w:sz w:val="24"/>
          <w:szCs w:val="24"/>
          <w:lang w:val="en-US" w:eastAsia="zh-CN"/>
        </w:rPr>
        <w:t>函</w:t>
      </w:r>
    </w:p>
    <w:p>
      <w:pPr>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hanging="1080"/>
        <w:textAlignment w:val="auto"/>
        <w:rPr>
          <w:rFonts w:hint="eastAsia" w:ascii="宋体" w:hAnsi="宋体" w:eastAsia="宋体" w:cs="宋体"/>
          <w:b w:val="0"/>
          <w:bCs/>
          <w:color w:val="auto"/>
          <w:sz w:val="24"/>
          <w:szCs w:val="24"/>
        </w:rPr>
      </w:pPr>
    </w:p>
    <w:p>
      <w:pPr>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hanging="1080"/>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4"/>
          <w:szCs w:val="24"/>
        </w:rPr>
        <w:t>磋商</w:t>
      </w:r>
      <w:r>
        <w:rPr>
          <w:rFonts w:hint="eastAsia" w:ascii="宋体" w:hAnsi="宋体" w:cs="宋体"/>
          <w:b w:val="0"/>
          <w:bCs/>
          <w:color w:val="auto"/>
          <w:sz w:val="24"/>
          <w:szCs w:val="24"/>
          <w:lang w:val="en-US" w:eastAsia="zh-CN"/>
        </w:rPr>
        <w:t>函</w:t>
      </w:r>
    </w:p>
    <w:p>
      <w:pPr>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hanging="108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致：</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2" w:leftChars="1"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根据贵方(</w:t>
      </w:r>
      <w:r>
        <w:rPr>
          <w:rFonts w:hint="eastAsia" w:ascii="宋体" w:hAnsi="宋体" w:eastAsia="宋体" w:cs="宋体"/>
          <w:b w:val="0"/>
          <w:bCs/>
          <w:i/>
          <w:color w:val="auto"/>
          <w:sz w:val="21"/>
          <w:szCs w:val="21"/>
          <w:u w:val="single"/>
        </w:rPr>
        <w:t>项目名称</w:t>
      </w:r>
      <w:r>
        <w:rPr>
          <w:rFonts w:hint="eastAsia" w:ascii="宋体" w:hAnsi="宋体" w:eastAsia="宋体" w:cs="宋体"/>
          <w:b w:val="0"/>
          <w:bCs/>
          <w:color w:val="auto"/>
          <w:sz w:val="21"/>
          <w:szCs w:val="21"/>
        </w:rPr>
        <w:t>)项目的磋商邀请(</w:t>
      </w:r>
      <w:r>
        <w:rPr>
          <w:rFonts w:hint="eastAsia" w:ascii="宋体" w:hAnsi="宋体" w:eastAsia="宋体" w:cs="宋体"/>
          <w:b w:val="0"/>
          <w:bCs/>
          <w:i/>
          <w:color w:val="auto"/>
          <w:sz w:val="21"/>
          <w:szCs w:val="21"/>
          <w:u w:val="single"/>
          <w:lang w:eastAsia="zh-CN"/>
        </w:rPr>
        <w:t>项目编号</w:t>
      </w:r>
      <w:r>
        <w:rPr>
          <w:rFonts w:hint="eastAsia" w:ascii="宋体" w:hAnsi="宋体" w:eastAsia="宋体" w:cs="宋体"/>
          <w:b w:val="0"/>
          <w:bCs/>
          <w:color w:val="auto"/>
          <w:sz w:val="21"/>
          <w:szCs w:val="21"/>
        </w:rPr>
        <w:t>),签字代表(</w:t>
      </w:r>
      <w:r>
        <w:rPr>
          <w:rFonts w:hint="eastAsia" w:ascii="宋体" w:hAnsi="宋体" w:eastAsia="宋体" w:cs="宋体"/>
          <w:b w:val="0"/>
          <w:bCs/>
          <w:i/>
          <w:color w:val="auto"/>
          <w:sz w:val="21"/>
          <w:szCs w:val="21"/>
          <w:u w:val="single"/>
        </w:rPr>
        <w:t>姓名、职务</w:t>
      </w:r>
      <w:r>
        <w:rPr>
          <w:rFonts w:hint="eastAsia" w:ascii="宋体" w:hAnsi="宋体" w:eastAsia="宋体" w:cs="宋体"/>
          <w:b w:val="0"/>
          <w:bCs/>
          <w:color w:val="auto"/>
          <w:sz w:val="21"/>
          <w:szCs w:val="21"/>
        </w:rPr>
        <w:t>)经正式授权并代表</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w:t>
      </w:r>
      <w:r>
        <w:rPr>
          <w:rFonts w:hint="eastAsia" w:ascii="宋体" w:hAnsi="宋体" w:eastAsia="宋体" w:cs="宋体"/>
          <w:b w:val="0"/>
          <w:bCs/>
          <w:i/>
          <w:color w:val="auto"/>
          <w:sz w:val="21"/>
          <w:szCs w:val="21"/>
          <w:u w:val="single"/>
        </w:rPr>
        <w:t>名称、地址</w:t>
      </w:r>
      <w:r>
        <w:rPr>
          <w:rFonts w:hint="eastAsia" w:ascii="宋体" w:hAnsi="宋体" w:eastAsia="宋体" w:cs="宋体"/>
          <w:b w:val="0"/>
          <w:bCs/>
          <w:color w:val="auto"/>
          <w:sz w:val="21"/>
          <w:szCs w:val="21"/>
        </w:rPr>
        <w:t>）提交下述文件正本</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份、副本</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份及电子文档</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份，并以</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形式出具的金额为人民币</w:t>
      </w:r>
      <w:r>
        <w:rPr>
          <w:rFonts w:hint="eastAsia" w:ascii="宋体" w:hAnsi="宋体" w:eastAsia="宋体" w:cs="宋体"/>
          <w:b w:val="0"/>
          <w:bCs/>
          <w:color w:val="auto"/>
          <w:sz w:val="21"/>
          <w:szCs w:val="21"/>
          <w:u w:val="single"/>
        </w:rPr>
        <w:t>　　　　</w:t>
      </w:r>
      <w:r>
        <w:rPr>
          <w:rFonts w:hint="eastAsia" w:ascii="宋体" w:hAnsi="宋体" w:eastAsia="宋体" w:cs="宋体"/>
          <w:b w:val="0"/>
          <w:bCs/>
          <w:color w:val="auto"/>
          <w:sz w:val="21"/>
          <w:szCs w:val="21"/>
        </w:rPr>
        <w:t>元的磋商保证金。</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据此，签字代表宣布同意如下：</w:t>
      </w:r>
    </w:p>
    <w:p>
      <w:pPr>
        <w:pStyle w:val="16"/>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atLeast"/>
        <w:ind w:left="769" w:leftChars="257" w:hanging="229"/>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（1）附磋商价格表中规定的应提供</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的磋商总价详见磋商开启一览表，</w:t>
      </w:r>
      <w:r>
        <w:rPr>
          <w:rFonts w:hint="eastAsia" w:ascii="宋体" w:hAnsi="宋体" w:eastAsia="宋体" w:cs="宋体"/>
          <w:b w:val="0"/>
          <w:bCs/>
          <w:color w:val="auto"/>
          <w:sz w:val="21"/>
          <w:szCs w:val="21"/>
          <w:u w:val="single"/>
        </w:rPr>
        <w:t>其中由小型和</w:t>
      </w:r>
      <w:r>
        <w:rPr>
          <w:rFonts w:hint="eastAsia" w:ascii="宋体" w:hAnsi="宋体" w:eastAsia="宋体" w:cs="宋体"/>
          <w:b w:val="0"/>
          <w:bCs/>
          <w:color w:val="auto"/>
          <w:sz w:val="21"/>
          <w:szCs w:val="21"/>
        </w:rPr>
        <w:t>微型企业制造产品的价格为</w:t>
      </w:r>
      <w:r>
        <w:rPr>
          <w:rFonts w:hint="eastAsia" w:ascii="宋体" w:hAnsi="宋体" w:eastAsia="宋体" w:cs="宋体"/>
          <w:b w:val="0"/>
          <w:bCs/>
          <w:color w:val="auto"/>
          <w:sz w:val="21"/>
          <w:szCs w:val="21"/>
          <w:u w:val="single"/>
        </w:rPr>
        <w:t>　　  （用文字和数字表示），占磋商总价   %</w:t>
      </w:r>
      <w:r>
        <w:rPr>
          <w:rFonts w:hint="eastAsia" w:ascii="宋体" w:hAnsi="宋体" w:eastAsia="宋体" w:cs="宋体"/>
          <w:b w:val="0"/>
          <w:bCs/>
          <w:color w:val="auto"/>
          <w:sz w:val="21"/>
          <w:szCs w:val="21"/>
        </w:rPr>
        <w:t>。</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（2）本磋商有效期为自磋商截止之日起</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个日历日。</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（3）联合体中的大中型企业和其他自然人、法人或者非法人组织，与联合体中的小型、微型企业之间</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存在、不存在）投资关系（如果是联合体的话）。</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（4）已详细审查全部磋商文件，包括所有补充通知（如果有的话），完全理解并同意放弃对这方面有不明、误解和质疑的权力。</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（5）在规定的磋商开启时间后，遵守磋商文件中有关保证金的规定。</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（6）我方不是为本项目提供整体设计、规范编制或者项目管理、监理、检测等</w:t>
      </w:r>
      <w:r>
        <w:rPr>
          <w:rFonts w:hint="eastAsia" w:ascii="宋体" w:hAnsi="宋体" w:eastAsia="宋体" w:cs="宋体"/>
          <w:b w:val="0"/>
          <w:bCs/>
          <w:color w:val="auto"/>
          <w:sz w:val="21"/>
          <w:szCs w:val="21"/>
          <w:lang w:val="en-US" w:eastAsia="zh-CN"/>
        </w:rPr>
        <w:t>要求</w:t>
      </w:r>
      <w:r>
        <w:rPr>
          <w:rFonts w:hint="eastAsia" w:ascii="宋体" w:hAnsi="宋体" w:eastAsia="宋体" w:cs="宋体"/>
          <w:b w:val="0"/>
          <w:bCs/>
          <w:color w:val="auto"/>
          <w:sz w:val="21"/>
          <w:szCs w:val="21"/>
        </w:rPr>
        <w:t>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，我方不是</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的附属机构。</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（7）在领取成交通知书的同时按磋商文件规定的形式，向贵方一次性支付成交</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费。</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（8）按照贵方可能要求，提供与其磋商有关的一切数据或资料，完全理解贵方不一定接受最低价的磋商或收到的任何磋商。</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（9）按照磋商文件的规定履行合同责任和义务。</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332" w:leftChars="68" w:hanging="189" w:hangingChars="9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与本磋商有关的一切正式往来信函请寄：</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地址</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     传真</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电话</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     电子函件</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法定代表人或其委托代理人（签/章）</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名称（全称）</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开户银行（全称）</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银行帐号</w:t>
      </w:r>
      <w:r>
        <w:rPr>
          <w:rFonts w:hint="eastAsia" w:ascii="宋体" w:hAnsi="宋体" w:eastAsia="宋体" w:cs="宋体"/>
          <w:b w:val="0"/>
          <w:bCs/>
          <w:color w:val="auto"/>
          <w:sz w:val="21"/>
          <w:szCs w:val="21"/>
          <w:u w:val="single"/>
        </w:rPr>
        <w:t>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u w:val="single"/>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（公章）</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日期</w:t>
      </w:r>
      <w:r>
        <w:rPr>
          <w:rFonts w:hint="eastAsia" w:ascii="宋体" w:hAnsi="宋体" w:eastAsia="宋体" w:cs="宋体"/>
          <w:b w:val="0"/>
          <w:bCs/>
          <w:color w:val="auto"/>
          <w:sz w:val="21"/>
          <w:szCs w:val="21"/>
          <w:u w:val="single"/>
        </w:rPr>
        <w:t>　　　　　　</w:t>
      </w:r>
      <w:bookmarkStart w:id="335" w:name="_Toc216582815"/>
      <w:bookmarkStart w:id="336" w:name="_Toc1881"/>
      <w:bookmarkStart w:id="337" w:name="_Toc515647818"/>
      <w:bookmarkStart w:id="338" w:name="_Toc20897"/>
    </w:p>
    <w:p>
      <w:pPr>
        <w:pStyle w:val="4"/>
        <w:spacing w:before="0" w:line="240" w:lineRule="atLeast"/>
        <w:ind w:left="1080" w:leftChars="257" w:hanging="540"/>
        <w:rPr>
          <w:rFonts w:hint="eastAsia" w:ascii="宋体" w:hAnsi="宋体" w:eastAsia="宋体" w:cs="宋体"/>
          <w:b w:val="0"/>
          <w:bCs/>
          <w:color w:val="auto"/>
          <w:sz w:val="24"/>
          <w:szCs w:val="24"/>
        </w:rPr>
      </w:pPr>
      <w:bookmarkStart w:id="339" w:name="_Toc28064"/>
      <w:bookmarkStart w:id="340" w:name="_Toc22674"/>
      <w:bookmarkStart w:id="341" w:name="_Toc23321"/>
      <w:bookmarkStart w:id="342" w:name="_Toc18221"/>
      <w:bookmarkStart w:id="343" w:name="_Toc12874"/>
      <w:bookmarkStart w:id="344" w:name="_Toc23248"/>
      <w:bookmarkStart w:id="345" w:name="_Toc29155"/>
      <w:bookmarkStart w:id="346" w:name="_Toc16705"/>
    </w:p>
    <w:p>
      <w:pPr>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w:t>
      </w:r>
      <w:r>
        <w:rPr>
          <w:rFonts w:hint="eastAsia" w:ascii="宋体" w:hAnsi="宋体" w:eastAsia="宋体" w:cs="宋体"/>
          <w:b/>
          <w:bCs w:val="0"/>
          <w:color w:val="auto"/>
          <w:sz w:val="24"/>
          <w:szCs w:val="24"/>
          <w:lang w:eastAsia="zh-CN"/>
        </w:rPr>
        <w:t>、</w:t>
      </w:r>
      <w:bookmarkEnd w:id="335"/>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b/>
          <w:bCs w:val="0"/>
          <w:color w:val="auto"/>
          <w:sz w:val="24"/>
          <w:szCs w:val="24"/>
          <w:lang w:eastAsia="zh-CN"/>
        </w:rPr>
        <w:t>分项报价表</w:t>
      </w:r>
    </w:p>
    <w:p>
      <w:pPr>
        <w:pStyle w:val="16"/>
        <w:spacing w:line="240" w:lineRule="atLeast"/>
        <w:ind w:left="1080" w:leftChars="257" w:hanging="540"/>
        <w:rPr>
          <w:rFonts w:hint="eastAsia" w:ascii="宋体" w:hAnsi="宋体" w:eastAsia="宋体" w:cs="宋体"/>
          <w:b w:val="0"/>
          <w:bCs/>
          <w:color w:val="auto"/>
          <w:sz w:val="24"/>
          <w:szCs w:val="24"/>
        </w:rPr>
      </w:pPr>
    </w:p>
    <w:tbl>
      <w:tblPr>
        <w:tblStyle w:val="37"/>
        <w:tblpPr w:leftFromText="180" w:rightFromText="180" w:vertAnchor="text" w:horzAnchor="page" w:tblpX="1900" w:tblpY="313"/>
        <w:tblOverlap w:val="never"/>
        <w:tblW w:w="8400" w:type="dxa"/>
        <w:tblInd w:w="0" w:type="dxa"/>
        <w:tblLayout w:type="fixed"/>
        <w:tblCellMar>
          <w:top w:w="0" w:type="dxa"/>
          <w:left w:w="108" w:type="dxa"/>
          <w:bottom w:w="0" w:type="dxa"/>
          <w:right w:w="108" w:type="dxa"/>
        </w:tblCellMar>
      </w:tblPr>
      <w:tblGrid>
        <w:gridCol w:w="1726"/>
        <w:gridCol w:w="620"/>
        <w:gridCol w:w="900"/>
        <w:gridCol w:w="3380"/>
        <w:gridCol w:w="1774"/>
      </w:tblGrid>
      <w:tr>
        <w:tblPrEx>
          <w:tblCellMar>
            <w:top w:w="0" w:type="dxa"/>
            <w:left w:w="108" w:type="dxa"/>
            <w:bottom w:w="0" w:type="dxa"/>
            <w:right w:w="108" w:type="dxa"/>
          </w:tblCellMar>
        </w:tblPrEx>
        <w:trPr>
          <w:trHeight w:val="1095" w:hRule="atLeast"/>
        </w:trPr>
        <w:tc>
          <w:tcPr>
            <w:tcW w:w="3246" w:type="dxa"/>
            <w:gridSpan w:val="3"/>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3380" w:type="dxa"/>
            <w:shd w:val="clear" w:color="auto" w:fill="FFFFFF"/>
            <w:noWrap w:val="0"/>
            <w:vAlign w:val="bottom"/>
          </w:tcPr>
          <w:p>
            <w:pPr>
              <w:ind w:right="-19" w:rightChars="-9"/>
              <w:jc w:val="center"/>
              <w:rPr>
                <w:rFonts w:hint="eastAsia" w:ascii="宋体" w:hAnsi="宋体" w:eastAsia="宋体" w:cs="宋体"/>
                <w:b w:val="0"/>
                <w:bCs/>
                <w:color w:val="auto"/>
                <w:sz w:val="36"/>
                <w:szCs w:val="36"/>
              </w:rPr>
            </w:pPr>
            <w:r>
              <w:rPr>
                <w:rFonts w:hint="eastAsia" w:ascii="宋体" w:hAnsi="宋体" w:eastAsia="宋体" w:cs="宋体"/>
                <w:b w:val="0"/>
                <w:bCs/>
                <w:color w:val="auto"/>
                <w:sz w:val="28"/>
                <w:szCs w:val="28"/>
              </w:rPr>
              <w:t>投  标  总  价</w:t>
            </w:r>
          </w:p>
        </w:tc>
        <w:tc>
          <w:tcPr>
            <w:tcW w:w="1774" w:type="dxa"/>
            <w:shd w:val="clear" w:color="auto" w:fill="FFFFFF"/>
            <w:noWrap w:val="0"/>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trHeight w:val="84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招     标    人：</w:t>
            </w: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819"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  程   名  称：</w:t>
            </w:r>
          </w:p>
        </w:tc>
        <w:tc>
          <w:tcPr>
            <w:tcW w:w="6054" w:type="dxa"/>
            <w:gridSpan w:val="3"/>
            <w:tcBorders>
              <w:top w:val="single" w:color="000000" w:sz="4" w:space="0"/>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114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投标总价（小写）：</w:t>
            </w:r>
          </w:p>
        </w:tc>
        <w:tc>
          <w:tcPr>
            <w:tcW w:w="6054" w:type="dxa"/>
            <w:gridSpan w:val="3"/>
            <w:tcBorders>
              <w:top w:val="single" w:color="000000" w:sz="4" w:space="0"/>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57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（大写）：</w:t>
            </w:r>
          </w:p>
        </w:tc>
        <w:tc>
          <w:tcPr>
            <w:tcW w:w="6054" w:type="dxa"/>
            <w:gridSpan w:val="3"/>
            <w:tcBorders>
              <w:top w:val="single" w:color="000000" w:sz="4" w:space="0"/>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855"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20"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481"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投  标  人：</w:t>
            </w:r>
          </w:p>
        </w:tc>
        <w:tc>
          <w:tcPr>
            <w:tcW w:w="620" w:type="dxa"/>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360"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20"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(单位盖章)</w:t>
            </w:r>
          </w:p>
        </w:tc>
      </w:tr>
      <w:tr>
        <w:tblPrEx>
          <w:tblCellMar>
            <w:top w:w="0" w:type="dxa"/>
            <w:left w:w="108" w:type="dxa"/>
            <w:bottom w:w="0" w:type="dxa"/>
            <w:right w:w="108" w:type="dxa"/>
          </w:tblCellMar>
        </w:tblPrEx>
        <w:trPr>
          <w:trHeight w:val="1176"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或其授权人：</w:t>
            </w:r>
          </w:p>
        </w:tc>
        <w:tc>
          <w:tcPr>
            <w:tcW w:w="620" w:type="dxa"/>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36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(签字或盖章)</w:t>
            </w:r>
          </w:p>
        </w:tc>
      </w:tr>
      <w:tr>
        <w:tblPrEx>
          <w:tblCellMar>
            <w:top w:w="0" w:type="dxa"/>
            <w:left w:w="108" w:type="dxa"/>
            <w:bottom w:w="0" w:type="dxa"/>
            <w:right w:w="108" w:type="dxa"/>
          </w:tblCellMar>
        </w:tblPrEx>
        <w:trPr>
          <w:trHeight w:val="1305"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编  制  人：</w:t>
            </w:r>
          </w:p>
        </w:tc>
        <w:tc>
          <w:tcPr>
            <w:tcW w:w="620" w:type="dxa"/>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375"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(造价人员签字盖专用章)</w:t>
            </w:r>
          </w:p>
        </w:tc>
      </w:tr>
      <w:tr>
        <w:tblPrEx>
          <w:tblCellMar>
            <w:top w:w="0" w:type="dxa"/>
            <w:left w:w="108" w:type="dxa"/>
            <w:bottom w:w="0" w:type="dxa"/>
            <w:right w:w="108" w:type="dxa"/>
          </w:tblCellMar>
        </w:tblPrEx>
        <w:trPr>
          <w:trHeight w:val="1500"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时      间：</w:t>
            </w:r>
          </w:p>
        </w:tc>
        <w:tc>
          <w:tcPr>
            <w:tcW w:w="620"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年    月    日</w:t>
            </w:r>
          </w:p>
        </w:tc>
      </w:tr>
      <w:tr>
        <w:tblPrEx>
          <w:tblCellMar>
            <w:top w:w="0" w:type="dxa"/>
            <w:left w:w="108" w:type="dxa"/>
            <w:bottom w:w="0" w:type="dxa"/>
            <w:right w:w="108" w:type="dxa"/>
          </w:tblCellMar>
        </w:tblPrEx>
        <w:trPr>
          <w:trHeight w:val="285" w:hRule="atLeast"/>
        </w:trPr>
        <w:tc>
          <w:tcPr>
            <w:tcW w:w="3246" w:type="dxa"/>
            <w:gridSpan w:val="3"/>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3380" w:type="dxa"/>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1774" w:type="dxa"/>
            <w:shd w:val="clear" w:color="auto" w:fill="FFFFFF"/>
            <w:noWrap w:val="0"/>
            <w:vAlign w:val="center"/>
          </w:tcPr>
          <w:p>
            <w:pPr>
              <w:ind w:right="-19" w:rightChars="-9"/>
              <w:jc w:val="right"/>
              <w:rPr>
                <w:rFonts w:hint="eastAsia" w:ascii="宋体" w:hAnsi="宋体" w:eastAsia="宋体" w:cs="宋体"/>
                <w:b w:val="0"/>
                <w:bCs/>
                <w:color w:val="auto"/>
                <w:sz w:val="18"/>
                <w:szCs w:val="18"/>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rPr>
          <w:rFonts w:hint="eastAsia" w:ascii="宋体" w:hAnsi="宋体" w:eastAsia="宋体" w:cs="宋体"/>
          <w:b w:val="0"/>
          <w:bCs/>
          <w:color w:val="auto"/>
          <w:sz w:val="24"/>
        </w:rPr>
      </w:pPr>
    </w:p>
    <w:p>
      <w:pPr>
        <w:pStyle w:val="5"/>
        <w:rPr>
          <w:rFonts w:hint="eastAsia"/>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center"/>
        <w:textAlignment w:val="center"/>
        <w:rPr>
          <w:rFonts w:hint="eastAsia" w:ascii="宋体" w:hAnsi="宋体" w:eastAsia="宋体" w:cs="宋体"/>
          <w:b w:val="0"/>
          <w:bCs/>
          <w:color w:val="auto"/>
          <w:sz w:val="24"/>
          <w:szCs w:val="24"/>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center"/>
        <w:textAlignment w:val="center"/>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建设项目投标报价汇总表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rPr>
          <w:rFonts w:hint="eastAsia" w:ascii="宋体" w:hAnsi="宋体" w:eastAsia="宋体" w:cs="宋体"/>
          <w:b w:val="0"/>
          <w:bCs/>
          <w:color w:val="auto"/>
          <w:sz w:val="24"/>
          <w:lang w:val="zh-CN"/>
        </w:rPr>
      </w:pPr>
      <w:r>
        <w:rPr>
          <w:rFonts w:hint="eastAsia" w:ascii="宋体" w:hAnsi="宋体" w:eastAsia="宋体" w:cs="宋体"/>
          <w:b w:val="0"/>
          <w:bCs/>
          <w:color w:val="auto"/>
          <w:sz w:val="21"/>
          <w:szCs w:val="21"/>
          <w:lang w:val="zh-CN"/>
        </w:rPr>
        <w:t>项目名称：</w:t>
      </w:r>
      <w:r>
        <w:rPr>
          <w:rFonts w:hint="eastAsia" w:ascii="宋体" w:hAnsi="宋体" w:eastAsia="宋体" w:cs="宋体"/>
          <w:b w:val="0"/>
          <w:bCs/>
          <w:color w:val="auto"/>
          <w:sz w:val="24"/>
          <w:lang w:val="zh-CN"/>
        </w:rPr>
        <w:t xml:space="preserve">                                               </w:t>
      </w:r>
    </w:p>
    <w:tbl>
      <w:tblPr>
        <w:tblStyle w:val="37"/>
        <w:tblW w:w="8483" w:type="dxa"/>
        <w:tblInd w:w="-108" w:type="dxa"/>
        <w:tblLayout w:type="fixed"/>
        <w:tblCellMar>
          <w:top w:w="0" w:type="dxa"/>
          <w:left w:w="10" w:type="dxa"/>
          <w:bottom w:w="0" w:type="dxa"/>
          <w:right w:w="10" w:type="dxa"/>
        </w:tblCellMar>
      </w:tblPr>
      <w:tblGrid>
        <w:gridCol w:w="738"/>
        <w:gridCol w:w="2900"/>
        <w:gridCol w:w="1275"/>
        <w:gridCol w:w="1275"/>
        <w:gridCol w:w="1395"/>
        <w:gridCol w:w="900"/>
      </w:tblGrid>
      <w:tr>
        <w:tblPrEx>
          <w:tblCellMar>
            <w:top w:w="0" w:type="dxa"/>
            <w:left w:w="10" w:type="dxa"/>
            <w:bottom w:w="0" w:type="dxa"/>
            <w:right w:w="10" w:type="dxa"/>
          </w:tblCellMar>
        </w:tblPrEx>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序号</w:t>
            </w:r>
          </w:p>
        </w:tc>
        <w:tc>
          <w:tcPr>
            <w:tcW w:w="29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单项项目名称</w:t>
            </w:r>
          </w:p>
        </w:tc>
        <w:tc>
          <w:tcPr>
            <w:tcW w:w="127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金额（元）</w:t>
            </w:r>
          </w:p>
        </w:tc>
        <w:tc>
          <w:tcPr>
            <w:tcW w:w="3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其中</w:t>
            </w:r>
          </w:p>
        </w:tc>
      </w:tr>
      <w:tr>
        <w:tblPrEx>
          <w:tblCellMar>
            <w:top w:w="0" w:type="dxa"/>
            <w:left w:w="10" w:type="dxa"/>
            <w:bottom w:w="0" w:type="dxa"/>
            <w:right w:w="10" w:type="dxa"/>
          </w:tblCellMar>
        </w:tblPrEx>
        <w:trPr>
          <w:cantSplit/>
          <w:trHeight w:val="90"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290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27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暂估价（元）</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安全文明</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施工费（元）</w:t>
            </w:r>
          </w:p>
        </w:tc>
        <w:tc>
          <w:tcPr>
            <w:tcW w:w="9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规费</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（元）</w:t>
            </w:r>
          </w:p>
        </w:tc>
      </w:tr>
      <w:tr>
        <w:tblPrEx>
          <w:tblCellMar>
            <w:top w:w="0" w:type="dxa"/>
            <w:left w:w="10" w:type="dxa"/>
            <w:bottom w:w="0" w:type="dxa"/>
            <w:right w:w="10" w:type="dxa"/>
          </w:tblCellMar>
        </w:tblPrEx>
        <w:trPr>
          <w:trHeight w:val="420" w:hRule="atLeast"/>
        </w:trPr>
        <w:tc>
          <w:tcPr>
            <w:tcW w:w="73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p>
        </w:tc>
        <w:tc>
          <w:tcPr>
            <w:tcW w:w="29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400" w:hRule="atLeast"/>
        </w:trPr>
        <w:tc>
          <w:tcPr>
            <w:tcW w:w="73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p>
        </w:tc>
        <w:tc>
          <w:tcPr>
            <w:tcW w:w="2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450" w:hRule="atLeast"/>
        </w:trPr>
        <w:tc>
          <w:tcPr>
            <w:tcW w:w="73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p>
        </w:tc>
        <w:tc>
          <w:tcPr>
            <w:tcW w:w="2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c>
          <w:tcPr>
            <w:tcW w:w="36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合计</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jc w:val="both"/>
        <w:rPr>
          <w:rFonts w:hint="eastAsia" w:ascii="宋体" w:hAnsi="宋体" w:eastAsia="宋体" w:cs="宋体"/>
          <w:b w:val="0"/>
          <w:bCs/>
          <w:color w:val="auto"/>
          <w:sz w:val="24"/>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jc w:val="center"/>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单项工程投标报价汇总表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rPr>
          <w:rFonts w:hint="eastAsia" w:ascii="宋体" w:hAnsi="宋体" w:eastAsia="宋体" w:cs="宋体"/>
          <w:b w:val="0"/>
          <w:bCs/>
          <w:color w:val="auto"/>
          <w:sz w:val="24"/>
          <w:lang w:val="zh-CN"/>
        </w:rPr>
      </w:pPr>
      <w:r>
        <w:rPr>
          <w:rFonts w:hint="eastAsia" w:ascii="宋体" w:hAnsi="宋体" w:eastAsia="宋体" w:cs="宋体"/>
          <w:b w:val="0"/>
          <w:bCs/>
          <w:color w:val="auto"/>
          <w:sz w:val="21"/>
          <w:szCs w:val="21"/>
          <w:lang w:val="zh-CN"/>
        </w:rPr>
        <w:t>项目名称：</w:t>
      </w:r>
      <w:r>
        <w:rPr>
          <w:rFonts w:hint="eastAsia" w:ascii="宋体" w:hAnsi="宋体" w:eastAsia="宋体" w:cs="宋体"/>
          <w:b w:val="0"/>
          <w:bCs/>
          <w:color w:val="auto"/>
          <w:sz w:val="24"/>
          <w:lang w:val="zh-CN"/>
        </w:rPr>
        <w:t xml:space="preserve">                                               </w:t>
      </w:r>
    </w:p>
    <w:tbl>
      <w:tblPr>
        <w:tblStyle w:val="37"/>
        <w:tblW w:w="8588" w:type="dxa"/>
        <w:tblInd w:w="-108" w:type="dxa"/>
        <w:tblLayout w:type="fixed"/>
        <w:tblCellMar>
          <w:top w:w="0" w:type="dxa"/>
          <w:left w:w="10" w:type="dxa"/>
          <w:bottom w:w="0" w:type="dxa"/>
          <w:right w:w="10" w:type="dxa"/>
        </w:tblCellMar>
      </w:tblPr>
      <w:tblGrid>
        <w:gridCol w:w="738"/>
        <w:gridCol w:w="2705"/>
        <w:gridCol w:w="1305"/>
        <w:gridCol w:w="1290"/>
        <w:gridCol w:w="1605"/>
        <w:gridCol w:w="945"/>
      </w:tblGrid>
      <w:tr>
        <w:tblPrEx>
          <w:tblCellMar>
            <w:top w:w="0" w:type="dxa"/>
            <w:left w:w="10" w:type="dxa"/>
            <w:bottom w:w="0" w:type="dxa"/>
            <w:right w:w="10" w:type="dxa"/>
          </w:tblCellMar>
        </w:tblPrEx>
        <w:trPr>
          <w:cantSplit/>
          <w:trHeight w:val="395"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序号</w:t>
            </w:r>
          </w:p>
        </w:tc>
        <w:tc>
          <w:tcPr>
            <w:tcW w:w="270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单位项目名称</w:t>
            </w:r>
          </w:p>
        </w:tc>
        <w:tc>
          <w:tcPr>
            <w:tcW w:w="130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金额（元）</w:t>
            </w:r>
          </w:p>
        </w:tc>
        <w:tc>
          <w:tcPr>
            <w:tcW w:w="38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其中</w:t>
            </w:r>
          </w:p>
        </w:tc>
      </w:tr>
      <w:tr>
        <w:tblPrEx>
          <w:tblCellMar>
            <w:top w:w="0" w:type="dxa"/>
            <w:left w:w="10" w:type="dxa"/>
            <w:bottom w:w="0" w:type="dxa"/>
            <w:right w:w="10" w:type="dxa"/>
          </w:tblCellMar>
        </w:tblPrEx>
        <w:trPr>
          <w:cantSplit/>
          <w:trHeight w:val="59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270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30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暂估价（元）</w:t>
            </w:r>
          </w:p>
        </w:tc>
        <w:tc>
          <w:tcPr>
            <w:tcW w:w="16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安全文明</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施工费（元）</w:t>
            </w:r>
          </w:p>
        </w:tc>
        <w:tc>
          <w:tcPr>
            <w:tcW w:w="9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规费</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（元）</w:t>
            </w:r>
          </w:p>
        </w:tc>
      </w:tr>
      <w:tr>
        <w:tblPrEx>
          <w:tblCellMar>
            <w:top w:w="0" w:type="dxa"/>
            <w:left w:w="10" w:type="dxa"/>
            <w:bottom w:w="0" w:type="dxa"/>
            <w:right w:w="10" w:type="dxa"/>
          </w:tblCellMar>
        </w:tblPrEx>
        <w:trPr>
          <w:trHeight w:val="275" w:hRule="atLeast"/>
        </w:trPr>
        <w:tc>
          <w:tcPr>
            <w:tcW w:w="73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p>
        </w:tc>
        <w:tc>
          <w:tcPr>
            <w:tcW w:w="27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9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6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4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320" w:hRule="atLeast"/>
        </w:trPr>
        <w:tc>
          <w:tcPr>
            <w:tcW w:w="738"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p>
        </w:tc>
        <w:tc>
          <w:tcPr>
            <w:tcW w:w="270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30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9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60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4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c>
          <w:tcPr>
            <w:tcW w:w="344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合计</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6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textAlignment w:val="top"/>
        <w:rPr>
          <w:rFonts w:hint="eastAsia" w:ascii="宋体" w:hAnsi="宋体" w:eastAsia="宋体" w:cs="宋体"/>
          <w:b w:val="0"/>
          <w:bCs/>
          <w:color w:val="auto"/>
          <w:sz w:val="24"/>
        </w:rPr>
      </w:pPr>
      <w:r>
        <w:rPr>
          <w:rFonts w:hint="eastAsia" w:ascii="宋体" w:hAnsi="宋体" w:eastAsia="宋体" w:cs="宋体"/>
          <w:b w:val="0"/>
          <w:bCs/>
          <w:color w:val="auto"/>
          <w:sz w:val="24"/>
        </w:rPr>
        <w:t xml:space="preserve"> </w:t>
      </w:r>
      <w:r>
        <w:rPr>
          <w:rFonts w:hint="eastAsia" w:ascii="宋体" w:hAnsi="宋体" w:eastAsia="宋体" w:cs="宋体"/>
          <w:b w:val="0"/>
          <w:bCs/>
          <w:color w:val="auto"/>
          <w:sz w:val="18"/>
          <w:szCs w:val="18"/>
        </w:rPr>
        <w:t xml:space="preserve"> 注：本表适用于单项工程招标控制价或投标报价的汇总。暂估价包括分部分项工程中的暂估价和专业工程暂估价。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both"/>
        <w:textAlignment w:val="center"/>
        <w:rPr>
          <w:rFonts w:hint="eastAsia" w:ascii="宋体" w:hAnsi="宋体" w:eastAsia="宋体" w:cs="宋体"/>
          <w:b w:val="0"/>
          <w:bCs/>
          <w:color w:val="auto"/>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center"/>
        <w:textAlignment w:val="center"/>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rPr>
        <w:t>单位工程投标报价汇总表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rPr>
          <w:rFonts w:hint="eastAsia" w:ascii="宋体" w:hAnsi="宋体" w:eastAsia="宋体" w:cs="宋体"/>
          <w:b w:val="0"/>
          <w:bCs/>
          <w:color w:val="auto"/>
          <w:sz w:val="24"/>
          <w:lang w:val="zh-CN"/>
        </w:rPr>
      </w:pPr>
      <w:r>
        <w:rPr>
          <w:rFonts w:hint="eastAsia" w:ascii="宋体" w:hAnsi="宋体" w:eastAsia="宋体" w:cs="宋体"/>
          <w:b w:val="0"/>
          <w:bCs/>
          <w:color w:val="auto"/>
          <w:sz w:val="21"/>
          <w:szCs w:val="21"/>
          <w:lang w:val="zh-CN"/>
        </w:rPr>
        <w:t>项目名称：</w:t>
      </w:r>
      <w:r>
        <w:rPr>
          <w:rFonts w:hint="eastAsia" w:ascii="宋体" w:hAnsi="宋体" w:eastAsia="宋体" w:cs="宋体"/>
          <w:b w:val="0"/>
          <w:bCs/>
          <w:color w:val="auto"/>
          <w:sz w:val="24"/>
          <w:lang w:val="zh-CN"/>
        </w:rPr>
        <w:t xml:space="preserve"> </w:t>
      </w:r>
    </w:p>
    <w:tbl>
      <w:tblPr>
        <w:tblStyle w:val="37"/>
        <w:tblW w:w="8498" w:type="dxa"/>
        <w:tblInd w:w="-108" w:type="dxa"/>
        <w:tblLayout w:type="fixed"/>
        <w:tblCellMar>
          <w:top w:w="0" w:type="dxa"/>
          <w:left w:w="10" w:type="dxa"/>
          <w:bottom w:w="0" w:type="dxa"/>
          <w:right w:w="10" w:type="dxa"/>
        </w:tblCellMar>
      </w:tblPr>
      <w:tblGrid>
        <w:gridCol w:w="103"/>
        <w:gridCol w:w="545"/>
        <w:gridCol w:w="94"/>
        <w:gridCol w:w="1178"/>
        <w:gridCol w:w="1118"/>
        <w:gridCol w:w="716"/>
        <w:gridCol w:w="724"/>
        <w:gridCol w:w="855"/>
        <w:gridCol w:w="394"/>
        <w:gridCol w:w="416"/>
        <w:gridCol w:w="690"/>
        <w:gridCol w:w="14"/>
        <w:gridCol w:w="226"/>
        <w:gridCol w:w="660"/>
        <w:gridCol w:w="765"/>
      </w:tblGrid>
      <w:tr>
        <w:tblPrEx>
          <w:tblCellMar>
            <w:top w:w="0" w:type="dxa"/>
            <w:left w:w="10" w:type="dxa"/>
            <w:bottom w:w="0" w:type="dxa"/>
            <w:right w:w="10" w:type="dxa"/>
          </w:tblCellMar>
        </w:tblPrEx>
        <w:trPr>
          <w:trHeight w:val="45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序号</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项目名称</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金额（元）</w:t>
            </w: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both"/>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其中：暂估价（元）</w:t>
            </w:r>
          </w:p>
        </w:tc>
      </w:tr>
      <w:tr>
        <w:tblPrEx>
          <w:tblCellMar>
            <w:top w:w="0" w:type="dxa"/>
            <w:left w:w="10" w:type="dxa"/>
            <w:bottom w:w="0" w:type="dxa"/>
            <w:right w:w="10" w:type="dxa"/>
          </w:tblCellMar>
        </w:tblPrEx>
        <w:trPr>
          <w:trHeight w:val="28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1</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分部分项工程</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28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2</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措施项目</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1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2.1</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安全文明施工费</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1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其他项目</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24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3.1</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暂列金额</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6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3.2</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专业工程暂估价</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27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3.3</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计日工</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6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3.4</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总承包服务费</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24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4</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规费</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1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5</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增值税销项税额</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274" w:hRule="atLeast"/>
        </w:trPr>
        <w:tc>
          <w:tcPr>
            <w:tcW w:w="5727"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投标报价合计=1+2+3+4+5</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567" w:hRule="atLeast"/>
        </w:trPr>
        <w:tc>
          <w:tcPr>
            <w:tcW w:w="8498" w:type="dxa"/>
            <w:gridSpan w:val="15"/>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注：本表适用于单位工程招标控制价或投标报价的汇总，如无单位工程划分，单项工程也使用本表汇总</w:t>
            </w:r>
          </w:p>
          <w:p>
            <w:pPr>
              <w:ind w:right="-19" w:rightChars="-9"/>
              <w:jc w:val="center"/>
              <w:textAlignment w:val="center"/>
              <w:rPr>
                <w:rFonts w:hint="eastAsia" w:ascii="宋体" w:hAnsi="宋体" w:eastAsia="宋体" w:cs="宋体"/>
                <w:b w:val="0"/>
                <w:bCs/>
                <w:color w:val="auto"/>
                <w:sz w:val="18"/>
                <w:szCs w:val="18"/>
              </w:rPr>
            </w:pPr>
          </w:p>
          <w:p>
            <w:pPr>
              <w:ind w:right="-19" w:rightChars="-9"/>
              <w:jc w:val="center"/>
              <w:textAlignment w:val="center"/>
              <w:rPr>
                <w:rFonts w:hint="eastAsia" w:ascii="宋体" w:hAnsi="宋体" w:eastAsia="宋体" w:cs="宋体"/>
                <w:b w:val="0"/>
                <w:bCs/>
                <w:color w:val="auto"/>
                <w:sz w:val="18"/>
                <w:szCs w:val="18"/>
              </w:rPr>
            </w:pPr>
          </w:p>
          <w:p>
            <w:pPr>
              <w:ind w:right="-19" w:rightChars="-9"/>
              <w:jc w:val="center"/>
              <w:textAlignment w:val="center"/>
              <w:rPr>
                <w:rFonts w:hint="eastAsia" w:ascii="宋体" w:hAnsi="宋体" w:eastAsia="宋体" w:cs="宋体"/>
                <w:b w:val="0"/>
                <w:bCs/>
                <w:color w:val="auto"/>
                <w:sz w:val="18"/>
                <w:szCs w:val="18"/>
              </w:rPr>
            </w:pPr>
          </w:p>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24"/>
                <w:szCs w:val="24"/>
              </w:rPr>
              <w:t>分部分项工程和单价措施项目清单与计价表</w:t>
            </w:r>
          </w:p>
        </w:tc>
      </w:tr>
      <w:tr>
        <w:tblPrEx>
          <w:tblCellMar>
            <w:top w:w="0" w:type="dxa"/>
            <w:left w:w="10" w:type="dxa"/>
            <w:bottom w:w="0" w:type="dxa"/>
            <w:right w:w="10" w:type="dxa"/>
          </w:tblCellMar>
        </w:tblPrEx>
        <w:trPr>
          <w:gridBefore w:val="1"/>
          <w:wBefore w:w="103" w:type="dxa"/>
          <w:trHeight w:val="435" w:hRule="atLeast"/>
        </w:trPr>
        <w:tc>
          <w:tcPr>
            <w:tcW w:w="3651" w:type="dxa"/>
            <w:gridSpan w:val="5"/>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项目名称</w:t>
            </w:r>
            <w:r>
              <w:rPr>
                <w:rFonts w:hint="eastAsia" w:ascii="宋体" w:hAnsi="宋体" w:eastAsia="宋体" w:cs="宋体"/>
                <w:b w:val="0"/>
                <w:bCs/>
                <w:color w:val="auto"/>
                <w:sz w:val="18"/>
                <w:szCs w:val="18"/>
              </w:rPr>
              <w:t>：</w:t>
            </w:r>
          </w:p>
        </w:tc>
        <w:tc>
          <w:tcPr>
            <w:tcW w:w="3093" w:type="dxa"/>
            <w:gridSpan w:val="6"/>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p>
        </w:tc>
        <w:tc>
          <w:tcPr>
            <w:tcW w:w="1651" w:type="dxa"/>
            <w:gridSpan w:val="3"/>
            <w:shd w:val="clear" w:color="auto" w:fill="FFFFFF"/>
            <w:noWrap w:val="0"/>
            <w:tcMar>
              <w:top w:w="15" w:type="dxa"/>
              <w:left w:w="15" w:type="dxa"/>
              <w:bottom w:w="15" w:type="dxa"/>
              <w:right w:w="15" w:type="dxa"/>
            </w:tcMar>
            <w:vAlign w:val="center"/>
          </w:tcPr>
          <w:p>
            <w:pPr>
              <w:ind w:right="-19" w:rightChars="-9"/>
              <w:jc w:val="both"/>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第 1 页  共1 页</w:t>
            </w:r>
          </w:p>
        </w:tc>
      </w:tr>
      <w:tr>
        <w:tblPrEx>
          <w:tblCellMar>
            <w:top w:w="0" w:type="dxa"/>
            <w:left w:w="10" w:type="dxa"/>
            <w:bottom w:w="0" w:type="dxa"/>
            <w:right w:w="10" w:type="dxa"/>
          </w:tblCellMar>
        </w:tblPrEx>
        <w:trPr>
          <w:gridBefore w:val="1"/>
          <w:wBefore w:w="103" w:type="dxa"/>
          <w:trHeight w:val="335" w:hRule="atLeast"/>
        </w:trPr>
        <w:tc>
          <w:tcPr>
            <w:tcW w:w="545" w:type="dxa"/>
            <w:vMerge w:val="restart"/>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序号</w:t>
            </w:r>
          </w:p>
        </w:tc>
        <w:tc>
          <w:tcPr>
            <w:tcW w:w="1272" w:type="dxa"/>
            <w:gridSpan w:val="2"/>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编码</w:t>
            </w:r>
          </w:p>
        </w:tc>
        <w:tc>
          <w:tcPr>
            <w:tcW w:w="1118"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名称</w:t>
            </w:r>
          </w:p>
        </w:tc>
        <w:tc>
          <w:tcPr>
            <w:tcW w:w="1440" w:type="dxa"/>
            <w:gridSpan w:val="2"/>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项目特征描述</w:t>
            </w:r>
          </w:p>
        </w:tc>
        <w:tc>
          <w:tcPr>
            <w:tcW w:w="855"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计量单位</w:t>
            </w:r>
          </w:p>
        </w:tc>
        <w:tc>
          <w:tcPr>
            <w:tcW w:w="810" w:type="dxa"/>
            <w:gridSpan w:val="2"/>
            <w:vMerge w:val="restart"/>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工程量</w:t>
            </w:r>
          </w:p>
        </w:tc>
        <w:tc>
          <w:tcPr>
            <w:tcW w:w="2355" w:type="dxa"/>
            <w:gridSpan w:val="5"/>
            <w:tcBorders>
              <w:top w:val="single" w:color="000000" w:sz="12"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金额（元）</w:t>
            </w:r>
          </w:p>
        </w:tc>
      </w:tr>
      <w:tr>
        <w:tblPrEx>
          <w:tblCellMar>
            <w:top w:w="0" w:type="dxa"/>
            <w:left w:w="10" w:type="dxa"/>
            <w:bottom w:w="0" w:type="dxa"/>
            <w:right w:w="10" w:type="dxa"/>
          </w:tblCellMar>
        </w:tblPrEx>
        <w:trPr>
          <w:gridBefore w:val="1"/>
          <w:wBefore w:w="103" w:type="dxa"/>
          <w:trHeight w:val="375" w:hRule="atLeast"/>
        </w:trPr>
        <w:tc>
          <w:tcPr>
            <w:tcW w:w="545" w:type="dxa"/>
            <w:vMerge w:val="continue"/>
            <w:tcBorders>
              <w:top w:val="single" w:color="000000" w:sz="12" w:space="0"/>
              <w:left w:val="single" w:color="000000" w:sz="12"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27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118"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44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55"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1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综合单价</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合价</w:t>
            </w: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其中</w:t>
            </w:r>
          </w:p>
        </w:tc>
      </w:tr>
      <w:tr>
        <w:tblPrEx>
          <w:tblCellMar>
            <w:top w:w="0" w:type="dxa"/>
            <w:left w:w="10" w:type="dxa"/>
            <w:bottom w:w="0" w:type="dxa"/>
            <w:right w:w="10" w:type="dxa"/>
          </w:tblCellMar>
        </w:tblPrEx>
        <w:trPr>
          <w:gridBefore w:val="1"/>
          <w:wBefore w:w="103" w:type="dxa"/>
          <w:trHeight w:val="335" w:hRule="atLeast"/>
        </w:trPr>
        <w:tc>
          <w:tcPr>
            <w:tcW w:w="545" w:type="dxa"/>
            <w:vMerge w:val="continue"/>
            <w:tcBorders>
              <w:top w:val="single" w:color="000000" w:sz="12" w:space="0"/>
              <w:left w:val="single" w:color="000000" w:sz="12"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27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118"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44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55"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1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暂估价</w:t>
            </w:r>
          </w:p>
        </w:tc>
      </w:tr>
      <w:tr>
        <w:tblPrEx>
          <w:tblCellMar>
            <w:top w:w="0" w:type="dxa"/>
            <w:left w:w="10" w:type="dxa"/>
            <w:bottom w:w="0" w:type="dxa"/>
            <w:right w:w="10" w:type="dxa"/>
          </w:tblCellMar>
        </w:tblPrEx>
        <w:trPr>
          <w:gridBefore w:val="1"/>
          <w:wBefore w:w="103" w:type="dxa"/>
          <w:trHeight w:val="309"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分部小计</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textAlignment w:val="center"/>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38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措施项目</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right"/>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369" w:hRule="atLeast"/>
        </w:trPr>
        <w:tc>
          <w:tcPr>
            <w:tcW w:w="6970" w:type="dxa"/>
            <w:gridSpan w:val="1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本页小计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454" w:hRule="atLeast"/>
        </w:trPr>
        <w:tc>
          <w:tcPr>
            <w:tcW w:w="6970" w:type="dxa"/>
            <w:gridSpan w:val="1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合计</w:t>
            </w:r>
          </w:p>
        </w:tc>
        <w:tc>
          <w:tcPr>
            <w:tcW w:w="660" w:type="dxa"/>
            <w:tcBorders>
              <w:top w:val="single" w:color="000000" w:sz="4" w:space="0"/>
              <w:left w:val="single" w:color="000000" w:sz="4" w:space="0"/>
              <w:bottom w:val="single" w:color="000000" w:sz="12"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12"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540" w:hRule="atLeast"/>
        </w:trPr>
        <w:tc>
          <w:tcPr>
            <w:tcW w:w="8395" w:type="dxa"/>
            <w:gridSpan w:val="14"/>
            <w:shd w:val="clear" w:color="auto" w:fill="FFFFFF"/>
            <w:noWrap w:val="0"/>
            <w:tcMar>
              <w:top w:w="15" w:type="dxa"/>
              <w:left w:w="15" w:type="dxa"/>
              <w:bottom w:w="15" w:type="dxa"/>
              <w:right w:w="15" w:type="dxa"/>
            </w:tcMar>
            <w:vAlign w:val="bottom"/>
          </w:tcPr>
          <w:p>
            <w:pPr>
              <w:ind w:right="-19" w:rightChars="-9"/>
              <w:textAlignment w:val="bottom"/>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注：为计取规费等的使用，可在表中增设其中：“定额人工费”。</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tbl>
      <w:tblPr>
        <w:tblStyle w:val="37"/>
        <w:tblW w:w="8593" w:type="dxa"/>
        <w:tblInd w:w="-108" w:type="dxa"/>
        <w:tblLayout w:type="fixed"/>
        <w:tblCellMar>
          <w:top w:w="0" w:type="dxa"/>
          <w:left w:w="10" w:type="dxa"/>
          <w:bottom w:w="0" w:type="dxa"/>
          <w:right w:w="10" w:type="dxa"/>
        </w:tblCellMar>
      </w:tblPr>
      <w:tblGrid>
        <w:gridCol w:w="103"/>
        <w:gridCol w:w="545"/>
        <w:gridCol w:w="1272"/>
        <w:gridCol w:w="1305"/>
        <w:gridCol w:w="529"/>
        <w:gridCol w:w="444"/>
        <w:gridCol w:w="1035"/>
        <w:gridCol w:w="975"/>
        <w:gridCol w:w="494"/>
        <w:gridCol w:w="286"/>
        <w:gridCol w:w="1005"/>
        <w:gridCol w:w="600"/>
      </w:tblGrid>
      <w:tr>
        <w:tblPrEx>
          <w:tblCellMar>
            <w:top w:w="0" w:type="dxa"/>
            <w:left w:w="10" w:type="dxa"/>
            <w:bottom w:w="0" w:type="dxa"/>
            <w:right w:w="10" w:type="dxa"/>
          </w:tblCellMar>
        </w:tblPrEx>
        <w:trPr>
          <w:trHeight w:val="567" w:hRule="atLeast"/>
        </w:trPr>
        <w:tc>
          <w:tcPr>
            <w:tcW w:w="8593" w:type="dxa"/>
            <w:gridSpan w:val="12"/>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36"/>
                <w:szCs w:val="36"/>
              </w:rPr>
            </w:pPr>
            <w:r>
              <w:rPr>
                <w:rFonts w:hint="eastAsia" w:ascii="宋体" w:hAnsi="宋体" w:eastAsia="宋体" w:cs="宋体"/>
                <w:b w:val="0"/>
                <w:bCs/>
                <w:color w:val="auto"/>
                <w:sz w:val="24"/>
                <w:szCs w:val="24"/>
              </w:rPr>
              <w:t>总价措施项目清单与计价表</w:t>
            </w:r>
          </w:p>
        </w:tc>
      </w:tr>
      <w:tr>
        <w:tblPrEx>
          <w:tblCellMar>
            <w:top w:w="0" w:type="dxa"/>
            <w:left w:w="10" w:type="dxa"/>
            <w:bottom w:w="0" w:type="dxa"/>
            <w:right w:w="10" w:type="dxa"/>
          </w:tblCellMar>
        </w:tblPrEx>
        <w:trPr>
          <w:gridBefore w:val="1"/>
          <w:wBefore w:w="103" w:type="dxa"/>
          <w:trHeight w:val="435" w:hRule="atLeast"/>
        </w:trPr>
        <w:tc>
          <w:tcPr>
            <w:tcW w:w="3651" w:type="dxa"/>
            <w:gridSpan w:val="4"/>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项目名称</w:t>
            </w:r>
            <w:r>
              <w:rPr>
                <w:rFonts w:hint="eastAsia" w:ascii="宋体" w:hAnsi="宋体" w:eastAsia="宋体" w:cs="宋体"/>
                <w:b w:val="0"/>
                <w:bCs/>
                <w:color w:val="auto"/>
                <w:sz w:val="18"/>
                <w:szCs w:val="18"/>
              </w:rPr>
              <w:t>：</w:t>
            </w:r>
          </w:p>
        </w:tc>
        <w:tc>
          <w:tcPr>
            <w:tcW w:w="2948" w:type="dxa"/>
            <w:gridSpan w:val="4"/>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p>
        </w:tc>
        <w:tc>
          <w:tcPr>
            <w:tcW w:w="1891" w:type="dxa"/>
            <w:gridSpan w:val="3"/>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第  1  页  共  1  页</w:t>
            </w:r>
          </w:p>
        </w:tc>
      </w:tr>
      <w:tr>
        <w:tblPrEx>
          <w:tblCellMar>
            <w:top w:w="0" w:type="dxa"/>
            <w:left w:w="10" w:type="dxa"/>
            <w:bottom w:w="0" w:type="dxa"/>
            <w:right w:w="10" w:type="dxa"/>
          </w:tblCellMar>
        </w:tblPrEx>
        <w:trPr>
          <w:gridBefore w:val="1"/>
          <w:wBefore w:w="103" w:type="dxa"/>
          <w:trHeight w:val="375" w:hRule="atLeast"/>
        </w:trPr>
        <w:tc>
          <w:tcPr>
            <w:tcW w:w="545" w:type="dxa"/>
            <w:tcBorders>
              <w:top w:val="single" w:color="000000" w:sz="12" w:space="0"/>
              <w:left w:val="single" w:color="000000" w:sz="12"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序号</w:t>
            </w:r>
          </w:p>
        </w:tc>
        <w:tc>
          <w:tcPr>
            <w:tcW w:w="127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项目编码</w:t>
            </w:r>
          </w:p>
        </w:tc>
        <w:tc>
          <w:tcPr>
            <w:tcW w:w="1305"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项目名称</w:t>
            </w:r>
          </w:p>
        </w:tc>
        <w:tc>
          <w:tcPr>
            <w:tcW w:w="973" w:type="dxa"/>
            <w:gridSpan w:val="2"/>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计算基础</w:t>
            </w:r>
          </w:p>
        </w:tc>
        <w:tc>
          <w:tcPr>
            <w:tcW w:w="1035"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费率(%)</w:t>
            </w:r>
          </w:p>
        </w:tc>
        <w:tc>
          <w:tcPr>
            <w:tcW w:w="975"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金额(元)</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调整费率(%)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调整后金额(元)</w:t>
            </w: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备注</w:t>
            </w:r>
          </w:p>
        </w:tc>
      </w:tr>
      <w:tr>
        <w:tblPrEx>
          <w:tblCellMar>
            <w:top w:w="0" w:type="dxa"/>
            <w:left w:w="10" w:type="dxa"/>
            <w:bottom w:w="0" w:type="dxa"/>
            <w:right w:w="10" w:type="dxa"/>
          </w:tblCellMar>
        </w:tblPrEx>
        <w:trPr>
          <w:gridBefore w:val="1"/>
          <w:wBefore w:w="103" w:type="dxa"/>
          <w:trHeight w:val="309"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973"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973"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textAlignment w:val="center"/>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38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973"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right"/>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454" w:hRule="atLeast"/>
        </w:trPr>
        <w:tc>
          <w:tcPr>
            <w:tcW w:w="5130" w:type="dxa"/>
            <w:gridSpan w:val="6"/>
            <w:tcBorders>
              <w:top w:val="single" w:color="000000" w:sz="4" w:space="0"/>
              <w:left w:val="single" w:color="000000" w:sz="12" w:space="0"/>
              <w:bottom w:val="single" w:color="000000" w:sz="12" w:space="0"/>
              <w:right w:val="single" w:color="auto"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合计</w:t>
            </w:r>
          </w:p>
        </w:tc>
        <w:tc>
          <w:tcPr>
            <w:tcW w:w="975" w:type="dxa"/>
            <w:tcBorders>
              <w:top w:val="single" w:color="000000" w:sz="4" w:space="0"/>
              <w:left w:val="single" w:color="auto" w:sz="4" w:space="0"/>
              <w:bottom w:val="single" w:color="000000" w:sz="12" w:space="0"/>
              <w:right w:val="single" w:color="auto"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p>
        </w:tc>
        <w:tc>
          <w:tcPr>
            <w:tcW w:w="780"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12"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12"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540" w:hRule="atLeast"/>
        </w:trPr>
        <w:tc>
          <w:tcPr>
            <w:tcW w:w="8490" w:type="dxa"/>
            <w:gridSpan w:val="11"/>
            <w:shd w:val="clear" w:color="auto" w:fill="FFFFFF"/>
            <w:noWrap w:val="0"/>
            <w:tcMar>
              <w:top w:w="15" w:type="dxa"/>
              <w:left w:w="15" w:type="dxa"/>
              <w:bottom w:w="15" w:type="dxa"/>
              <w:right w:w="15" w:type="dxa"/>
            </w:tcMar>
            <w:vAlign w:val="bottom"/>
          </w:tcPr>
          <w:p>
            <w:pPr>
              <w:ind w:right="-19" w:rightChars="-9"/>
              <w:textAlignment w:val="bottom"/>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注：1.“计算基础”中安全文明施工费可为“定额基价”、“定额人工费”或“定额人工费+定额机械费”，其他项目可为“定额人工费”或“定额人工费+定额机械费”。</w:t>
            </w:r>
          </w:p>
          <w:p>
            <w:pPr>
              <w:ind w:right="-19" w:rightChars="-9"/>
              <w:textAlignment w:val="bottom"/>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    2.按施工方案计算的措施费，若无“计算基础”和“费率”的数值，也可只填“金额”数值，但应在备注栏说明施工方案出处或计算方法。</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line="500" w:lineRule="exact"/>
        <w:ind w:right="-19" w:rightChars="-9"/>
        <w:rPr>
          <w:rFonts w:hint="eastAsia" w:ascii="宋体" w:hAnsi="宋体" w:eastAsia="宋体" w:cs="宋体"/>
          <w:b w:val="0"/>
          <w:bCs/>
          <w:color w:val="auto"/>
          <w:sz w:val="24"/>
        </w:rPr>
      </w:pPr>
    </w:p>
    <w:p>
      <w:pPr>
        <w:pStyle w:val="5"/>
        <w:rPr>
          <w:rFonts w:hint="eastAsia" w:ascii="宋体" w:hAnsi="宋体" w:eastAsia="宋体" w:cs="宋体"/>
          <w:b w:val="0"/>
          <w:bCs/>
          <w:color w:val="auto"/>
          <w:sz w:val="24"/>
        </w:rPr>
      </w:pPr>
    </w:p>
    <w:p>
      <w:pPr>
        <w:rPr>
          <w:rFonts w:hint="eastAsia" w:ascii="宋体" w:hAnsi="宋体" w:eastAsia="宋体" w:cs="宋体"/>
          <w:b w:val="0"/>
          <w:bCs/>
          <w:color w:val="auto"/>
          <w:sz w:val="24"/>
        </w:rPr>
      </w:pPr>
    </w:p>
    <w:p>
      <w:pPr>
        <w:pStyle w:val="5"/>
        <w:jc w:val="center"/>
        <w:rPr>
          <w:rFonts w:hint="eastAsia" w:ascii="宋体" w:hAnsi="宋体" w:eastAsia="宋体" w:cs="宋体"/>
          <w:b w:val="0"/>
          <w:bCs/>
          <w:color w:val="auto"/>
          <w:sz w:val="24"/>
          <w:szCs w:val="24"/>
          <w:u w:val="none"/>
        </w:rPr>
      </w:pPr>
    </w:p>
    <w:p>
      <w:pPr>
        <w:pStyle w:val="5"/>
        <w:jc w:val="center"/>
        <w:rPr>
          <w:rFonts w:hint="eastAsia"/>
          <w:sz w:val="24"/>
          <w:szCs w:val="24"/>
          <w:u w:val="none"/>
        </w:rPr>
      </w:pPr>
      <w:r>
        <w:rPr>
          <w:rFonts w:hint="eastAsia" w:ascii="宋体" w:hAnsi="宋体" w:eastAsia="宋体" w:cs="宋体"/>
          <w:b w:val="0"/>
          <w:bCs/>
          <w:color w:val="auto"/>
          <w:sz w:val="24"/>
          <w:szCs w:val="24"/>
          <w:u w:val="none"/>
        </w:rPr>
        <w:t>规费、税金项目计价表</w:t>
      </w:r>
    </w:p>
    <w:tbl>
      <w:tblPr>
        <w:tblStyle w:val="37"/>
        <w:tblW w:w="14699" w:type="dxa"/>
        <w:tblInd w:w="0" w:type="dxa"/>
        <w:tblLayout w:type="fixed"/>
        <w:tblCellMar>
          <w:top w:w="0" w:type="dxa"/>
          <w:left w:w="108" w:type="dxa"/>
          <w:bottom w:w="0" w:type="dxa"/>
          <w:right w:w="108" w:type="dxa"/>
        </w:tblCellMar>
      </w:tblPr>
      <w:tblGrid>
        <w:gridCol w:w="630"/>
        <w:gridCol w:w="1569"/>
        <w:gridCol w:w="627"/>
        <w:gridCol w:w="3225"/>
        <w:gridCol w:w="1125"/>
        <w:gridCol w:w="15"/>
        <w:gridCol w:w="645"/>
        <w:gridCol w:w="1069"/>
        <w:gridCol w:w="514"/>
        <w:gridCol w:w="3720"/>
        <w:gridCol w:w="1560"/>
      </w:tblGrid>
      <w:tr>
        <w:tblPrEx>
          <w:tblCellMar>
            <w:top w:w="0" w:type="dxa"/>
            <w:left w:w="108" w:type="dxa"/>
            <w:bottom w:w="0" w:type="dxa"/>
            <w:right w:w="108" w:type="dxa"/>
          </w:tblCellMar>
        </w:tblPrEx>
        <w:trPr>
          <w:trHeight w:val="615" w:hRule="atLeast"/>
        </w:trPr>
        <w:tc>
          <w:tcPr>
            <w:tcW w:w="2199"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项目名称</w:t>
            </w:r>
            <w:r>
              <w:rPr>
                <w:rFonts w:hint="eastAsia" w:ascii="宋体" w:hAnsi="宋体" w:eastAsia="宋体" w:cs="宋体"/>
                <w:b w:val="0"/>
                <w:bCs/>
                <w:color w:val="auto"/>
                <w:sz w:val="21"/>
                <w:szCs w:val="21"/>
              </w:rPr>
              <w:t>：</w:t>
            </w:r>
          </w:p>
        </w:tc>
        <w:tc>
          <w:tcPr>
            <w:tcW w:w="3852"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p>
        </w:tc>
        <w:tc>
          <w:tcPr>
            <w:tcW w:w="8648" w:type="dxa"/>
            <w:gridSpan w:val="7"/>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第  1  页  共  1  页</w:t>
            </w:r>
          </w:p>
        </w:tc>
      </w:tr>
      <w:tr>
        <w:tblPrEx>
          <w:tblCellMar>
            <w:top w:w="0" w:type="dxa"/>
            <w:left w:w="108" w:type="dxa"/>
            <w:bottom w:w="0" w:type="dxa"/>
            <w:right w:w="108" w:type="dxa"/>
          </w:tblCellMar>
        </w:tblPrEx>
        <w:trPr>
          <w:gridAfter w:val="3"/>
          <w:wAfter w:w="5794" w:type="dxa"/>
          <w:trHeight w:val="510" w:hRule="atLeast"/>
        </w:trPr>
        <w:tc>
          <w:tcPr>
            <w:tcW w:w="630"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序号</w:t>
            </w:r>
          </w:p>
        </w:tc>
        <w:tc>
          <w:tcPr>
            <w:tcW w:w="2196" w:type="dxa"/>
            <w:gridSpan w:val="2"/>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项目名称</w:t>
            </w:r>
          </w:p>
        </w:tc>
        <w:tc>
          <w:tcPr>
            <w:tcW w:w="3225" w:type="dxa"/>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计算基础</w:t>
            </w:r>
          </w:p>
        </w:tc>
        <w:tc>
          <w:tcPr>
            <w:tcW w:w="1140" w:type="dxa"/>
            <w:gridSpan w:val="2"/>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计算基数</w:t>
            </w:r>
          </w:p>
        </w:tc>
        <w:tc>
          <w:tcPr>
            <w:tcW w:w="645" w:type="dxa"/>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计算费率(%)</w:t>
            </w:r>
          </w:p>
        </w:tc>
        <w:tc>
          <w:tcPr>
            <w:tcW w:w="1069" w:type="dxa"/>
            <w:tcBorders>
              <w:top w:val="single" w:color="000000" w:sz="12"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金额（元）</w:t>
            </w: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规费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工程排污费+社会保险费+住房公积金+危险作业意外伤害保险金+大型机械检测检验费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1.1</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工程排污费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textAlignment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社会保险费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养老保险费+失业保险费+医疗保险费+生育保险费+工伤保险费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1.21</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养老保险费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1.22</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失业保险费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1.23</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医疗保险费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1.24</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生育保险费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1.25</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工伤保险费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1.3</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住房公积金</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1.4</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危险作业意外伤害保险金</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1.5</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大型机械检测检验费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大型机械检测检验费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增值税销项税额</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分部分项工程费+措施工程费+其他项目费+规费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rPr>
                <w:rFonts w:hint="eastAsia" w:ascii="宋体" w:hAnsi="宋体" w:eastAsia="宋体" w:cs="宋体"/>
                <w:b w:val="0"/>
                <w:bCs/>
                <w:color w:val="auto"/>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rPr>
                <w:rFonts w:hint="eastAsia" w:ascii="宋体" w:hAnsi="宋体" w:eastAsia="宋体" w:cs="宋体"/>
                <w:b w:val="0"/>
                <w:bCs/>
                <w:color w:val="auto"/>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rPr>
                <w:rFonts w:hint="eastAsia" w:ascii="宋体" w:hAnsi="宋体" w:eastAsia="宋体" w:cs="宋体"/>
                <w:b w:val="0"/>
                <w:bCs/>
                <w:color w:val="auto"/>
                <w:sz w:val="18"/>
                <w:szCs w:val="18"/>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trHeight w:val="454" w:hRule="atLeast"/>
        </w:trPr>
        <w:tc>
          <w:tcPr>
            <w:tcW w:w="7176" w:type="dxa"/>
            <w:gridSpan w:val="5"/>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4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合计</w:t>
            </w:r>
          </w:p>
        </w:tc>
        <w:tc>
          <w:tcPr>
            <w:tcW w:w="660"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40" w:lineRule="exact"/>
              <w:ind w:right="-19" w:rightChars="-9"/>
              <w:jc w:val="center"/>
              <w:textAlignment w:val="center"/>
              <w:rPr>
                <w:rFonts w:hint="eastAsia" w:ascii="宋体" w:hAnsi="宋体" w:eastAsia="宋体" w:cs="宋体"/>
                <w:b w:val="0"/>
                <w:bCs/>
                <w:color w:val="auto"/>
                <w:sz w:val="18"/>
                <w:szCs w:val="18"/>
              </w:rPr>
            </w:pPr>
          </w:p>
        </w:tc>
        <w:tc>
          <w:tcPr>
            <w:tcW w:w="106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40" w:lineRule="exact"/>
              <w:ind w:right="-19" w:rightChars="-9"/>
              <w:jc w:val="center"/>
              <w:textAlignment w:val="center"/>
              <w:rPr>
                <w:rFonts w:hint="eastAsia" w:ascii="宋体" w:hAnsi="宋体" w:eastAsia="宋体" w:cs="宋体"/>
                <w:b w:val="0"/>
                <w:bCs/>
                <w:color w:val="auto"/>
                <w:sz w:val="18"/>
                <w:szCs w:val="18"/>
              </w:rPr>
            </w:pPr>
          </w:p>
        </w:tc>
        <w:tc>
          <w:tcPr>
            <w:tcW w:w="4234" w:type="dxa"/>
            <w:gridSpan w:val="2"/>
            <w:tcBorders>
              <w:top w:val="nil"/>
              <w:left w:val="single" w:color="auto" w:sz="4" w:space="0"/>
              <w:bottom w:val="nil"/>
              <w:right w:val="nil"/>
            </w:tcBorders>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p>
        </w:tc>
        <w:tc>
          <w:tcPr>
            <w:tcW w:w="1560" w:type="dxa"/>
            <w:shd w:val="clear" w:color="auto" w:fill="FFFFFF"/>
            <w:noWrap w:val="0"/>
            <w:tcMar>
              <w:top w:w="15" w:type="dxa"/>
              <w:left w:w="15" w:type="dxa"/>
              <w:bottom w:w="15" w:type="dxa"/>
              <w:right w:w="15" w:type="dxa"/>
            </w:tcMar>
            <w:vAlign w:val="center"/>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285" w:hRule="atLeast"/>
        </w:trPr>
        <w:tc>
          <w:tcPr>
            <w:tcW w:w="2199"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编制人（造价人员）：</w:t>
            </w:r>
          </w:p>
        </w:tc>
        <w:tc>
          <w:tcPr>
            <w:tcW w:w="7220" w:type="dxa"/>
            <w:gridSpan w:val="7"/>
            <w:shd w:val="clear" w:color="auto" w:fill="FFFFFF"/>
            <w:noWrap w:val="0"/>
            <w:tcMar>
              <w:top w:w="15" w:type="dxa"/>
              <w:left w:w="15" w:type="dxa"/>
              <w:bottom w:w="15" w:type="dxa"/>
              <w:right w:w="15" w:type="dxa"/>
            </w:tcMar>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复核人（造价工程师）</w:t>
            </w:r>
          </w:p>
        </w:tc>
        <w:tc>
          <w:tcPr>
            <w:tcW w:w="5280"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p>
        </w:tc>
      </w:tr>
    </w:tbl>
    <w:p>
      <w:pPr>
        <w:pStyle w:val="16"/>
        <w:spacing w:line="240" w:lineRule="atLeast"/>
        <w:rPr>
          <w:rFonts w:hint="eastAsia" w:ascii="宋体" w:hAnsi="宋体" w:eastAsia="宋体" w:cs="宋体"/>
          <w:b w:val="0"/>
          <w:bCs/>
          <w:color w:val="auto"/>
          <w:sz w:val="21"/>
          <w:szCs w:val="21"/>
        </w:rPr>
      </w:pPr>
    </w:p>
    <w:p>
      <w:pPr>
        <w:pStyle w:val="16"/>
        <w:spacing w:line="240" w:lineRule="atLeast"/>
        <w:ind w:left="1080" w:leftChars="257" w:hanging="540"/>
        <w:rPr>
          <w:rFonts w:hint="eastAsia" w:ascii="宋体" w:hAnsi="宋体" w:eastAsia="宋体" w:cs="宋体"/>
          <w:b w:val="0"/>
          <w:bCs/>
          <w:color w:val="auto"/>
          <w:sz w:val="24"/>
          <w:szCs w:val="24"/>
        </w:rPr>
      </w:pPr>
    </w:p>
    <w:p>
      <w:pPr>
        <w:bidi w:val="0"/>
        <w:rPr>
          <w:rFonts w:hint="eastAsia" w:ascii="宋体" w:hAnsi="宋体" w:eastAsia="宋体" w:cs="宋体"/>
          <w:b w:val="0"/>
          <w:bCs/>
          <w:lang w:val="en-US" w:eastAsia="zh-CN"/>
        </w:rPr>
      </w:pPr>
      <w:bookmarkStart w:id="347" w:name="_Toc23"/>
      <w:bookmarkStart w:id="348" w:name="_Toc3060"/>
      <w:bookmarkStart w:id="349" w:name="_Toc515647821"/>
      <w:bookmarkStart w:id="350" w:name="_Toc1980"/>
      <w:bookmarkStart w:id="351" w:name="_Toc4467"/>
      <w:bookmarkStart w:id="352" w:name="_Toc13810"/>
      <w:bookmarkStart w:id="353" w:name="_Toc24350"/>
      <w:bookmarkStart w:id="354" w:name="_Toc22541"/>
      <w:bookmarkStart w:id="355" w:name="_Toc3484"/>
      <w:bookmarkStart w:id="356" w:name="_Toc15724"/>
      <w:bookmarkStart w:id="357" w:name="_Toc216582818"/>
      <w:bookmarkStart w:id="358" w:name="_Toc3332"/>
    </w:p>
    <w:p>
      <w:pPr>
        <w:pStyle w:val="4"/>
        <w:numPr>
          <w:ilvl w:val="0"/>
          <w:numId w:val="0"/>
        </w:numPr>
        <w:spacing w:before="0" w:line="240" w:lineRule="atLeast"/>
        <w:jc w:val="both"/>
        <w:rPr>
          <w:rFonts w:hint="eastAsia" w:ascii="宋体" w:hAnsi="宋体" w:eastAsia="宋体" w:cs="宋体"/>
          <w:b w:val="0"/>
          <w:bCs/>
          <w:color w:val="auto"/>
          <w:sz w:val="24"/>
          <w:szCs w:val="24"/>
          <w:lang w:val="en-US" w:eastAsia="zh-CN"/>
        </w:rPr>
      </w:pPr>
    </w:p>
    <w:p>
      <w:pPr>
        <w:pStyle w:val="4"/>
        <w:numPr>
          <w:ilvl w:val="0"/>
          <w:numId w:val="0"/>
        </w:numPr>
        <w:spacing w:before="0" w:line="240" w:lineRule="atLeast"/>
        <w:jc w:val="both"/>
        <w:rPr>
          <w:rFonts w:hint="eastAsia" w:ascii="宋体" w:hAnsi="宋体" w:eastAsia="宋体" w:cs="宋体"/>
          <w:b w:val="0"/>
          <w:bCs/>
          <w:color w:val="auto"/>
          <w:sz w:val="24"/>
          <w:szCs w:val="24"/>
          <w:lang w:val="en-US" w:eastAsia="zh-CN"/>
        </w:rPr>
      </w:pPr>
    </w:p>
    <w:p>
      <w:pPr>
        <w:pStyle w:val="4"/>
        <w:numPr>
          <w:ilvl w:val="0"/>
          <w:numId w:val="0"/>
        </w:numPr>
        <w:spacing w:before="0" w:line="240" w:lineRule="atLeast"/>
        <w:jc w:val="both"/>
        <w:rPr>
          <w:rFonts w:hint="eastAsia" w:ascii="宋体" w:hAnsi="宋体" w:eastAsia="宋体" w:cs="宋体"/>
          <w:b w:val="0"/>
          <w:bCs/>
          <w:color w:val="auto"/>
          <w:sz w:val="24"/>
          <w:szCs w:val="24"/>
          <w:lang w:val="en-US" w:eastAsia="zh-CN"/>
        </w:rPr>
      </w:pPr>
    </w:p>
    <w:p>
      <w:pPr>
        <w:pStyle w:val="4"/>
        <w:numPr>
          <w:ilvl w:val="0"/>
          <w:numId w:val="0"/>
        </w:numPr>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商务条款偏离表</w:t>
      </w:r>
      <w:bookmarkEnd w:id="347"/>
      <w:bookmarkEnd w:id="348"/>
      <w:bookmarkEnd w:id="349"/>
      <w:bookmarkEnd w:id="350"/>
      <w:bookmarkEnd w:id="351"/>
      <w:bookmarkEnd w:id="352"/>
      <w:bookmarkEnd w:id="353"/>
      <w:bookmarkEnd w:id="354"/>
      <w:bookmarkEnd w:id="355"/>
      <w:bookmarkEnd w:id="356"/>
      <w:bookmarkEnd w:id="357"/>
      <w:bookmarkEnd w:id="358"/>
    </w:p>
    <w:p>
      <w:pPr>
        <w:pStyle w:val="16"/>
        <w:spacing w:line="240" w:lineRule="atLeast"/>
        <w:rPr>
          <w:rFonts w:hint="eastAsia" w:ascii="宋体" w:hAnsi="宋体" w:eastAsia="宋体" w:cs="宋体"/>
          <w:b w:val="0"/>
          <w:bCs/>
          <w:color w:val="auto"/>
          <w:sz w:val="24"/>
          <w:szCs w:val="24"/>
        </w:rPr>
      </w:pPr>
    </w:p>
    <w:p>
      <w:pPr>
        <w:pStyle w:val="16"/>
        <w:spacing w:line="240" w:lineRule="atLeas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项目名称: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eastAsia="zh-CN"/>
        </w:rPr>
        <w:t>项目编号</w:t>
      </w:r>
      <w:r>
        <w:rPr>
          <w:rFonts w:hint="eastAsia" w:ascii="宋体" w:hAnsi="宋体" w:eastAsia="宋体" w:cs="宋体"/>
          <w:b w:val="0"/>
          <w:bCs/>
          <w:color w:val="auto"/>
          <w:sz w:val="21"/>
          <w:szCs w:val="21"/>
        </w:rPr>
        <w:t>:                  包号:</w:t>
      </w:r>
    </w:p>
    <w:tbl>
      <w:tblPr>
        <w:tblStyle w:val="37"/>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50"/>
        <w:gridCol w:w="2355"/>
        <w:gridCol w:w="2366"/>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950"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磋商文件条款号</w:t>
            </w:r>
          </w:p>
        </w:tc>
        <w:tc>
          <w:tcPr>
            <w:tcW w:w="2355"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磋商文件的商务条款</w:t>
            </w:r>
          </w:p>
        </w:tc>
        <w:tc>
          <w:tcPr>
            <w:tcW w:w="2366"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磋商文件的商务条款</w:t>
            </w:r>
          </w:p>
        </w:tc>
        <w:tc>
          <w:tcPr>
            <w:tcW w:w="870"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jc w:val="center"/>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jc w:val="center"/>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bl>
    <w:p>
      <w:pPr>
        <w:pStyle w:val="16"/>
        <w:spacing w:line="240" w:lineRule="atLeast"/>
        <w:ind w:left="1080" w:leftChars="257" w:hanging="540"/>
        <w:rPr>
          <w:rFonts w:hint="eastAsia" w:ascii="宋体" w:hAnsi="宋体" w:eastAsia="宋体" w:cs="宋体"/>
          <w:b w:val="0"/>
          <w:bCs/>
          <w:color w:val="auto"/>
          <w:sz w:val="24"/>
          <w:szCs w:val="24"/>
        </w:rPr>
      </w:pPr>
    </w:p>
    <w:p>
      <w:pPr>
        <w:pStyle w:val="16"/>
        <w:spacing w:line="240" w:lineRule="atLeast"/>
        <w:ind w:left="1080" w:leftChars="257" w:hanging="540"/>
        <w:rPr>
          <w:rFonts w:hint="eastAsia" w:ascii="宋体" w:hAnsi="宋体" w:eastAsia="宋体" w:cs="宋体"/>
          <w:b w:val="0"/>
          <w:bCs/>
          <w:color w:val="auto"/>
          <w:sz w:val="24"/>
          <w:szCs w:val="24"/>
        </w:rPr>
      </w:pPr>
    </w:p>
    <w:p>
      <w:pPr>
        <w:pStyle w:val="16"/>
        <w:keepNext w:val="0"/>
        <w:keepLines w:val="0"/>
        <w:pageBreakBefore w:val="0"/>
        <w:widowControl w:val="0"/>
        <w:kinsoku/>
        <w:wordWrap/>
        <w:overflowPunct/>
        <w:topLinePunct w:val="0"/>
        <w:autoSpaceDE/>
        <w:autoSpaceDN/>
        <w:bidi w:val="0"/>
        <w:adjustRightInd/>
        <w:snapToGrid/>
        <w:spacing w:line="400" w:lineRule="atLeast"/>
        <w:ind w:left="0" w:leftChars="0" w:firstLine="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法定代表人或其委托代理（签/章）:</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rPr>
        <w:tab/>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370"/>
        </w:tabs>
        <w:kinsoku/>
        <w:wordWrap/>
        <w:overflowPunct/>
        <w:topLinePunct w:val="0"/>
        <w:autoSpaceDE/>
        <w:autoSpaceDN/>
        <w:bidi w:val="0"/>
        <w:adjustRightInd/>
        <w:snapToGrid/>
        <w:spacing w:line="400" w:lineRule="atLeast"/>
        <w:ind w:left="0" w:leftChars="0" w:firstLine="0"/>
        <w:textAlignment w:val="auto"/>
        <w:rPr>
          <w:rFonts w:hint="eastAsia" w:hAnsi="宋体" w:cs="宋体"/>
          <w:b w:val="0"/>
          <w:bCs/>
          <w:color w:val="auto"/>
          <w:sz w:val="21"/>
          <w:szCs w:val="21"/>
          <w:lang w:eastAsia="zh-CN"/>
        </w:rPr>
      </w:pPr>
    </w:p>
    <w:p>
      <w:pPr>
        <w:pStyle w:val="16"/>
        <w:keepNext w:val="0"/>
        <w:keepLines w:val="0"/>
        <w:pageBreakBefore w:val="0"/>
        <w:widowControl w:val="0"/>
        <w:tabs>
          <w:tab w:val="left" w:pos="5370"/>
        </w:tabs>
        <w:kinsoku/>
        <w:wordWrap/>
        <w:overflowPunct/>
        <w:topLinePunct w:val="0"/>
        <w:autoSpaceDE/>
        <w:autoSpaceDN/>
        <w:bidi w:val="0"/>
        <w:adjustRightInd/>
        <w:snapToGrid/>
        <w:spacing w:line="400" w:lineRule="atLeast"/>
        <w:ind w:left="0" w:leftChars="0" w:firstLine="0"/>
        <w:textAlignment w:val="auto"/>
        <w:rPr>
          <w:rFonts w:hint="eastAsia" w:ascii="宋体" w:hAnsi="宋体" w:eastAsia="宋体" w:cs="宋体"/>
          <w:b w:val="0"/>
          <w:bCs/>
          <w:color w:val="auto"/>
          <w:sz w:val="21"/>
          <w:szCs w:val="21"/>
          <w:u w:val="single"/>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(公章):</w:t>
      </w:r>
      <w:r>
        <w:rPr>
          <w:rFonts w:hint="eastAsia" w:ascii="宋体" w:hAnsi="宋体" w:eastAsia="宋体" w:cs="宋体"/>
          <w:b w:val="0"/>
          <w:bCs/>
          <w:color w:val="auto"/>
          <w:sz w:val="21"/>
          <w:szCs w:val="21"/>
          <w:u w:val="single"/>
        </w:rPr>
        <w:tab/>
      </w:r>
    </w:p>
    <w:p>
      <w:pPr>
        <w:pStyle w:val="16"/>
        <w:spacing w:line="240" w:lineRule="atLeast"/>
        <w:rPr>
          <w:rFonts w:hint="eastAsia" w:ascii="宋体" w:hAnsi="宋体" w:eastAsia="宋体" w:cs="宋体"/>
          <w:b w:val="0"/>
          <w:bCs/>
          <w:color w:val="auto"/>
          <w:sz w:val="24"/>
          <w:szCs w:val="24"/>
        </w:rPr>
      </w:pPr>
    </w:p>
    <w:p>
      <w:pPr>
        <w:pStyle w:val="16"/>
        <w:spacing w:line="240" w:lineRule="atLeast"/>
        <w:rPr>
          <w:rFonts w:hint="eastAsia" w:ascii="宋体" w:hAnsi="宋体" w:eastAsia="宋体" w:cs="宋体"/>
          <w:b w:val="0"/>
          <w:bCs/>
          <w:color w:val="auto"/>
          <w:sz w:val="24"/>
          <w:szCs w:val="24"/>
        </w:rPr>
      </w:pPr>
    </w:p>
    <w:p>
      <w:pPr>
        <w:pStyle w:val="16"/>
        <w:spacing w:line="240" w:lineRule="atLeast"/>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lang w:val="en-US" w:eastAsia="zh-CN"/>
        </w:rPr>
      </w:pPr>
      <w:bookmarkStart w:id="359" w:name="_Hlt520274393"/>
      <w:bookmarkEnd w:id="359"/>
      <w:bookmarkStart w:id="360" w:name="_Hlt520274911"/>
      <w:bookmarkEnd w:id="360"/>
      <w:bookmarkStart w:id="361" w:name="_Hlt520274065"/>
      <w:bookmarkEnd w:id="361"/>
      <w:bookmarkStart w:id="362" w:name="_Hlt520343392"/>
      <w:bookmarkEnd w:id="362"/>
      <w:bookmarkStart w:id="363" w:name="_Hlt520273973"/>
      <w:bookmarkEnd w:id="363"/>
      <w:bookmarkStart w:id="364" w:name="_Hlt520274407"/>
      <w:bookmarkEnd w:id="364"/>
      <w:bookmarkStart w:id="365" w:name="_Hlt520273711"/>
      <w:bookmarkEnd w:id="365"/>
      <w:bookmarkStart w:id="366" w:name="_Hlt520271212"/>
      <w:bookmarkEnd w:id="366"/>
      <w:bookmarkStart w:id="367" w:name="_Hlt520350957"/>
      <w:bookmarkEnd w:id="367"/>
      <w:bookmarkStart w:id="368" w:name="_Hlt520343000"/>
      <w:bookmarkEnd w:id="368"/>
      <w:bookmarkStart w:id="369" w:name="_Hlt520350918"/>
      <w:bookmarkEnd w:id="369"/>
      <w:bookmarkStart w:id="370" w:name="_Toc29837"/>
      <w:bookmarkStart w:id="371" w:name="_Toc6055"/>
      <w:bookmarkStart w:id="372" w:name="_Toc515647823"/>
      <w:bookmarkStart w:id="373" w:name="_Toc30789"/>
      <w:bookmarkStart w:id="374" w:name="_Toc32368"/>
      <w:bookmarkStart w:id="375" w:name="_Toc22578"/>
      <w:bookmarkStart w:id="376" w:name="_Toc388"/>
      <w:bookmarkStart w:id="377" w:name="_Toc15566"/>
      <w:bookmarkStart w:id="378" w:name="_Toc10444"/>
      <w:bookmarkStart w:id="379" w:name="_Toc21312"/>
      <w:bookmarkStart w:id="380" w:name="_Toc10725"/>
    </w:p>
    <w:p>
      <w:pPr>
        <w:pStyle w:val="4"/>
        <w:spacing w:before="0" w:line="240" w:lineRule="atLeast"/>
        <w:jc w:val="both"/>
        <w:rPr>
          <w:rFonts w:hint="eastAsia" w:ascii="宋体" w:hAnsi="宋体" w:eastAsia="宋体" w:cs="宋体"/>
          <w:b w:val="0"/>
          <w:bCs/>
          <w:color w:val="auto"/>
          <w:sz w:val="24"/>
          <w:szCs w:val="24"/>
          <w:lang w:val="en-US" w:eastAsia="zh-CN"/>
        </w:rPr>
      </w:pPr>
    </w:p>
    <w:p>
      <w:pPr>
        <w:pStyle w:val="4"/>
        <w:spacing w:before="0" w:line="240" w:lineRule="atLeast"/>
        <w:jc w:val="both"/>
        <w:rPr>
          <w:rFonts w:hint="eastAsia" w:ascii="宋体" w:hAnsi="宋体" w:eastAsia="宋体" w:cs="宋体"/>
          <w:b w:val="0"/>
          <w:bCs/>
          <w:color w:val="auto"/>
          <w:sz w:val="24"/>
          <w:szCs w:val="24"/>
          <w:lang w:val="en-US" w:eastAsia="zh-CN"/>
        </w:rPr>
      </w:pPr>
    </w:p>
    <w:p>
      <w:pPr>
        <w:pStyle w:val="4"/>
        <w:spacing w:before="0" w:line="240" w:lineRule="atLeast"/>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eastAsia="zh-CN"/>
        </w:rPr>
        <w:t>、</w:t>
      </w:r>
      <w:bookmarkEnd w:id="370"/>
      <w:bookmarkEnd w:id="371"/>
      <w:bookmarkEnd w:id="372"/>
      <w:bookmarkEnd w:id="373"/>
      <w:bookmarkEnd w:id="374"/>
      <w:bookmarkEnd w:id="375"/>
      <w:bookmarkEnd w:id="376"/>
      <w:bookmarkEnd w:id="377"/>
      <w:bookmarkEnd w:id="378"/>
      <w:bookmarkEnd w:id="379"/>
      <w:bookmarkEnd w:id="380"/>
      <w:r>
        <w:rPr>
          <w:rFonts w:hint="eastAsia" w:ascii="宋体" w:hAnsi="宋体" w:eastAsia="宋体" w:cs="宋体"/>
          <w:b/>
          <w:bCs w:val="0"/>
          <w:color w:val="auto"/>
          <w:sz w:val="24"/>
          <w:szCs w:val="24"/>
          <w:lang w:eastAsia="zh-CN"/>
        </w:rPr>
        <w:t>供应商企业（单位）类型声明函</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本企业（单位）郑重声明下列事项（按照实际情况勾选或填空）：</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1、□本企业（单位）为直接供应商，提供本企业（单位）服务。</w:t>
      </w:r>
    </w:p>
    <w:p>
      <w:pPr>
        <w:pStyle w:val="83"/>
        <w:numPr>
          <w:ilvl w:val="0"/>
          <w:numId w:val="0"/>
        </w:numPr>
        <w:tabs>
          <w:tab w:val="left" w:pos="1243"/>
        </w:tabs>
        <w:spacing w:before="0" w:after="0" w:line="402" w:lineRule="exact"/>
        <w:ind w:leftChars="200" w:right="0" w:rightChars="0" w:firstLine="240" w:firstLineChars="10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（1）根据《工业和信息化部、国家统计局、国家发展和改革委员会、财政部关于印发中小企业划型标准规定的通知》（工信部联企业[2011]300号）规定的划分标准，本企业为</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（请填写：中型、小型、微型）企业。</w:t>
      </w:r>
    </w:p>
    <w:p>
      <w:pPr>
        <w:pStyle w:val="83"/>
        <w:numPr>
          <w:ilvl w:val="0"/>
          <w:numId w:val="0"/>
        </w:numPr>
        <w:tabs>
          <w:tab w:val="left" w:pos="1243"/>
        </w:tabs>
        <w:spacing w:before="0" w:after="0" w:line="402" w:lineRule="exact"/>
        <w:ind w:leftChars="200" w:right="0" w:rightChars="0" w:firstLine="240" w:firstLineChars="10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（2）本企业</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（请填写：是、不是）监狱企业。后附省级以上监狱管理局、戒毒管理局（含新疆生产建设兵团）出具的属于监狱企业的证明文件。</w:t>
      </w:r>
    </w:p>
    <w:p>
      <w:pPr>
        <w:pStyle w:val="83"/>
        <w:numPr>
          <w:ilvl w:val="0"/>
          <w:numId w:val="0"/>
        </w:numPr>
        <w:tabs>
          <w:tab w:val="left" w:pos="1243"/>
        </w:tabs>
        <w:spacing w:before="0" w:after="0" w:line="402" w:lineRule="exact"/>
        <w:ind w:leftChars="200" w:right="0" w:rightChars="0" w:firstLine="240" w:firstLineChars="10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 xml:space="preserve">（3）根据《关于促进残疾人就业政府采购政策的通知》（财库〔2017〕141号）。本单位 </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（请填写：是、不是）残疾人福利性单位。</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2、□本项目提供伴随货物，由其他</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（请填写：中型、小型、微型）企业、监狱企业或残疾人福利性单位制造。本条所称货物不包括使用大型企业注册商标的货物。（后附制造商企业（单位）类型声明函）</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3、□本企业（单位）为联合体一方，提供本企业（单位）制造的货物，由本企业（单位）提供服务。本企业（单位）提供协议合同金额占到共同磋商协议合同总金额的比例为</w:t>
      </w:r>
      <w:r>
        <w:rPr>
          <w:rFonts w:hint="eastAsia" w:ascii="宋体" w:hAnsi="宋体" w:cs="宋体"/>
          <w:b w:val="0"/>
          <w:bCs/>
          <w:color w:val="auto"/>
          <w:sz w:val="24"/>
          <w:szCs w:val="24"/>
          <w:lang w:val="en-US" w:eastAsia="zh-CN"/>
        </w:rPr>
        <w:t xml:space="preserve"> </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 xml:space="preserve"> 。</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　　本企业（单位）对上述声明的真实性负责。如有虚假，将依法承担相应责任。</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　　　</w:t>
      </w:r>
    </w:p>
    <w:p>
      <w:pPr>
        <w:pStyle w:val="83"/>
        <w:numPr>
          <w:ilvl w:val="0"/>
          <w:numId w:val="0"/>
        </w:numPr>
        <w:tabs>
          <w:tab w:val="left" w:pos="1243"/>
        </w:tabs>
        <w:spacing w:before="0" w:after="0" w:line="402" w:lineRule="exact"/>
        <w:ind w:leftChars="200" w:right="0" w:rightChars="0"/>
        <w:jc w:val="center"/>
        <w:rPr>
          <w:rFonts w:hint="default"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eastAsia="zh-CN"/>
        </w:rPr>
        <w:t>供应商名称（公章）：</w:t>
      </w:r>
      <w:r>
        <w:rPr>
          <w:rFonts w:hint="eastAsia" w:ascii="宋体" w:hAnsi="宋体" w:cs="宋体"/>
          <w:b w:val="0"/>
          <w:bCs/>
          <w:color w:val="auto"/>
          <w:sz w:val="24"/>
          <w:szCs w:val="24"/>
          <w:u w:val="single"/>
          <w:lang w:val="en-US" w:eastAsia="zh-CN"/>
        </w:rPr>
        <w:t xml:space="preserve">                 </w:t>
      </w:r>
    </w:p>
    <w:p>
      <w:pPr>
        <w:pStyle w:val="83"/>
        <w:numPr>
          <w:ilvl w:val="0"/>
          <w:numId w:val="0"/>
        </w:numPr>
        <w:tabs>
          <w:tab w:val="left" w:pos="1243"/>
        </w:tabs>
        <w:spacing w:before="0" w:after="0" w:line="402" w:lineRule="exact"/>
        <w:ind w:leftChars="200" w:right="0" w:rightChars="0"/>
        <w:jc w:val="center"/>
        <w:rPr>
          <w:rFonts w:hint="eastAsia" w:ascii="宋体" w:hAnsi="宋体" w:eastAsia="宋体" w:cs="宋体"/>
          <w:b w:val="0"/>
          <w:bCs/>
          <w:color w:val="auto"/>
          <w:sz w:val="24"/>
          <w:szCs w:val="24"/>
          <w:lang w:eastAsia="zh-CN"/>
        </w:rPr>
      </w:pPr>
    </w:p>
    <w:p>
      <w:pPr>
        <w:pStyle w:val="83"/>
        <w:numPr>
          <w:ilvl w:val="0"/>
          <w:numId w:val="0"/>
        </w:numPr>
        <w:tabs>
          <w:tab w:val="left" w:pos="1243"/>
        </w:tabs>
        <w:spacing w:before="0" w:after="0" w:line="402" w:lineRule="exact"/>
        <w:ind w:leftChars="200" w:right="0" w:rightChars="0" w:firstLine="2880" w:firstLineChars="1200"/>
        <w:jc w:val="both"/>
        <w:rPr>
          <w:rFonts w:hint="default"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eastAsia="zh-CN"/>
        </w:rPr>
        <w:t>日　期：</w:t>
      </w:r>
      <w:r>
        <w:rPr>
          <w:rFonts w:hint="eastAsia" w:ascii="宋体" w:hAnsi="宋体" w:cs="宋体"/>
          <w:b w:val="0"/>
          <w:bCs/>
          <w:color w:val="auto"/>
          <w:sz w:val="24"/>
          <w:szCs w:val="24"/>
          <w:u w:val="single"/>
          <w:lang w:val="en-US" w:eastAsia="zh-CN"/>
        </w:rPr>
        <w:t xml:space="preserve">                         </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kern w:val="0"/>
          <w:sz w:val="21"/>
          <w:szCs w:val="21"/>
          <w:u w:val="none"/>
          <w:lang w:val="en-US" w:eastAsia="zh-CN" w:bidi="ar-SA"/>
        </w:rPr>
      </w:pPr>
    </w:p>
    <w:p>
      <w:pPr>
        <w:widowControl/>
        <w:spacing w:before="100" w:beforeAutospacing="1" w:after="100" w:afterAutospacing="1" w:line="330" w:lineRule="atLeast"/>
        <w:ind w:firstLine="3120" w:firstLineChars="1300"/>
        <w:jc w:val="left"/>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w:t>
      </w:r>
    </w:p>
    <w:p>
      <w:pPr>
        <w:widowControl/>
        <w:spacing w:before="100" w:beforeAutospacing="1" w:after="100" w:afterAutospacing="1" w:line="330" w:lineRule="atLeast"/>
        <w:ind w:firstLine="420"/>
        <w:jc w:val="left"/>
        <w:rPr>
          <w:rFonts w:hint="eastAsia" w:ascii="宋体" w:hAnsi="宋体" w:eastAsia="宋体" w:cs="宋体"/>
          <w:b w:val="0"/>
          <w:bCs/>
          <w:color w:val="auto"/>
          <w:kern w:val="0"/>
          <w:sz w:val="24"/>
        </w:rPr>
      </w:pPr>
    </w:p>
    <w:p>
      <w:pPr>
        <w:pStyle w:val="4"/>
        <w:spacing w:before="0" w:line="240" w:lineRule="atLeast"/>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bookmarkStart w:id="381" w:name="_Toc515647824"/>
      <w:bookmarkStart w:id="382" w:name="_Toc24122"/>
      <w:bookmarkStart w:id="383" w:name="_Toc4255"/>
      <w:bookmarkStart w:id="384" w:name="_Toc1721"/>
      <w:bookmarkStart w:id="385" w:name="_Toc11803"/>
      <w:bookmarkStart w:id="386" w:name="_Toc10958"/>
      <w:bookmarkStart w:id="387" w:name="_Toc17987"/>
      <w:bookmarkStart w:id="388" w:name="_Toc10977"/>
      <w:bookmarkStart w:id="389" w:name="_Toc31112"/>
      <w:bookmarkStart w:id="390" w:name="_Toc10872"/>
      <w:bookmarkStart w:id="391" w:name="_Toc23760"/>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szCs w:val="24"/>
          <w:lang w:val="en-US" w:eastAsia="zh-CN"/>
        </w:rPr>
      </w:pPr>
    </w:p>
    <w:p>
      <w:pPr>
        <w:pStyle w:val="4"/>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-2</w:t>
      </w:r>
      <w:bookmarkEnd w:id="381"/>
      <w:bookmarkEnd w:id="382"/>
      <w:bookmarkEnd w:id="383"/>
      <w:bookmarkEnd w:id="384"/>
      <w:bookmarkEnd w:id="385"/>
      <w:bookmarkEnd w:id="386"/>
      <w:bookmarkEnd w:id="387"/>
      <w:bookmarkEnd w:id="388"/>
      <w:bookmarkEnd w:id="389"/>
      <w:bookmarkEnd w:id="390"/>
      <w:bookmarkStart w:id="392" w:name="_Toc15209"/>
      <w:bookmarkStart w:id="393" w:name="_Toc23068"/>
      <w:bookmarkStart w:id="394" w:name="_Toc30321"/>
      <w:bookmarkStart w:id="395" w:name="_Toc14068"/>
      <w:bookmarkStart w:id="396" w:name="OLE_LINK14"/>
      <w:bookmarkStart w:id="397" w:name="_Toc26116"/>
      <w:bookmarkStart w:id="398" w:name="_Toc10900"/>
      <w:bookmarkStart w:id="399" w:name="_Toc515647825"/>
      <w:bookmarkStart w:id="400" w:name="_Toc5825"/>
      <w:bookmarkStart w:id="401" w:name="_Toc19284"/>
      <w:bookmarkStart w:id="402" w:name="OLE_LINK13"/>
      <w:bookmarkStart w:id="403" w:name="_Toc13191"/>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残疾人福利性单位声明函</w:t>
      </w:r>
      <w:bookmarkEnd w:id="391"/>
      <w:bookmarkEnd w:id="392"/>
      <w:bookmarkEnd w:id="393"/>
      <w:bookmarkEnd w:id="394"/>
      <w:bookmarkEnd w:id="395"/>
      <w:bookmarkEnd w:id="396"/>
      <w:bookmarkEnd w:id="397"/>
      <w:bookmarkEnd w:id="398"/>
      <w:bookmarkEnd w:id="399"/>
      <w:bookmarkEnd w:id="400"/>
      <w:bookmarkEnd w:id="401"/>
      <w:bookmarkEnd w:id="402"/>
      <w:bookmarkEnd w:id="403"/>
    </w:p>
    <w:p>
      <w:pPr>
        <w:spacing w:line="240" w:lineRule="atLeast"/>
        <w:ind w:left="1080" w:leftChars="257" w:hanging="540"/>
        <w:jc w:val="center"/>
        <w:rPr>
          <w:rFonts w:hint="eastAsia" w:ascii="宋体" w:hAnsi="宋体" w:eastAsia="宋体" w:cs="宋体"/>
          <w:b w:val="0"/>
          <w:bCs/>
          <w:color w:val="auto"/>
          <w:kern w:val="0"/>
          <w:sz w:val="24"/>
        </w:rPr>
      </w:pPr>
    </w:p>
    <w:p>
      <w:pPr>
        <w:keepNext w:val="0"/>
        <w:keepLines w:val="0"/>
        <w:pageBreakBefore w:val="0"/>
        <w:widowControl w:val="0"/>
        <w:kinsoku/>
        <w:wordWrap/>
        <w:overflowPunct/>
        <w:topLinePunct w:val="0"/>
        <w:autoSpaceDE/>
        <w:autoSpaceDN/>
        <w:bidi w:val="0"/>
        <w:adjustRightInd/>
        <w:snapToGrid/>
        <w:spacing w:line="420" w:lineRule="atLeast"/>
        <w:ind w:firstLine="567"/>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宋体" w:hAnsi="宋体" w:eastAsia="宋体" w:cs="宋体"/>
          <w:b w:val="0"/>
          <w:bCs/>
          <w:color w:val="auto"/>
          <w:kern w:val="0"/>
          <w:sz w:val="21"/>
          <w:szCs w:val="21"/>
          <w:lang w:val="en-US" w:eastAsia="zh-CN"/>
        </w:rPr>
        <w:t>服务</w:t>
      </w:r>
      <w:r>
        <w:rPr>
          <w:rFonts w:hint="eastAsia" w:ascii="宋体" w:hAnsi="宋体" w:eastAsia="宋体" w:cs="宋体"/>
          <w:b w:val="0"/>
          <w:bCs/>
          <w:color w:val="auto"/>
          <w:kern w:val="0"/>
          <w:sz w:val="21"/>
          <w:szCs w:val="21"/>
        </w:rPr>
        <w:t>，或者提供其他残疾人福利性单位</w:t>
      </w:r>
      <w:r>
        <w:rPr>
          <w:rFonts w:hint="eastAsia" w:ascii="宋体" w:hAnsi="宋体" w:eastAsia="宋体" w:cs="宋体"/>
          <w:b w:val="0"/>
          <w:bCs/>
          <w:color w:val="auto"/>
          <w:kern w:val="0"/>
          <w:sz w:val="21"/>
          <w:szCs w:val="21"/>
          <w:lang w:val="en-US" w:eastAsia="zh-CN"/>
        </w:rPr>
        <w:t>的服务</w:t>
      </w:r>
      <w:r>
        <w:rPr>
          <w:rFonts w:hint="eastAsia" w:ascii="宋体" w:hAnsi="宋体" w:eastAsia="宋体" w:cs="宋体"/>
          <w:b w:val="0"/>
          <w:bCs/>
          <w:color w:val="auto"/>
          <w:kern w:val="0"/>
          <w:sz w:val="21"/>
          <w:szCs w:val="21"/>
        </w:rPr>
        <w:t>。</w:t>
      </w:r>
    </w:p>
    <w:p>
      <w:pPr>
        <w:keepNext w:val="0"/>
        <w:keepLines w:val="0"/>
        <w:pageBreakBefore w:val="0"/>
        <w:widowControl w:val="0"/>
        <w:kinsoku/>
        <w:wordWrap/>
        <w:overflowPunct/>
        <w:topLinePunct w:val="0"/>
        <w:autoSpaceDE/>
        <w:autoSpaceDN/>
        <w:bidi w:val="0"/>
        <w:adjustRightInd/>
        <w:snapToGrid/>
        <w:spacing w:line="420" w:lineRule="atLeast"/>
        <w:ind w:left="1080" w:leftChars="257" w:hanging="540"/>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本单位对上述声明的真实性负责。如有虚假，将依法承担相应责任。</w:t>
      </w:r>
    </w:p>
    <w:p>
      <w:pPr>
        <w:spacing w:line="240" w:lineRule="atLeast"/>
        <w:ind w:left="1080" w:leftChars="257" w:hanging="540"/>
        <w:jc w:val="center"/>
        <w:rPr>
          <w:rFonts w:hint="eastAsia" w:ascii="宋体" w:hAnsi="宋体" w:eastAsia="宋体" w:cs="宋体"/>
          <w:b w:val="0"/>
          <w:bCs/>
          <w:color w:val="auto"/>
          <w:kern w:val="0"/>
          <w:sz w:val="24"/>
        </w:rPr>
      </w:pPr>
    </w:p>
    <w:p>
      <w:pPr>
        <w:spacing w:line="240" w:lineRule="atLeast"/>
        <w:ind w:left="1080" w:leftChars="257" w:hanging="540"/>
        <w:jc w:val="center"/>
        <w:rPr>
          <w:rFonts w:hint="eastAsia" w:ascii="宋体" w:hAnsi="宋体" w:eastAsia="宋体" w:cs="宋体"/>
          <w:b w:val="0"/>
          <w:bCs/>
          <w:color w:val="auto"/>
          <w:kern w:val="0"/>
          <w:sz w:val="24"/>
        </w:rPr>
      </w:pPr>
    </w:p>
    <w:p>
      <w:pPr>
        <w:keepNext w:val="0"/>
        <w:keepLines w:val="0"/>
        <w:pageBreakBefore w:val="0"/>
        <w:widowControl w:val="0"/>
        <w:kinsoku/>
        <w:wordWrap/>
        <w:overflowPunct/>
        <w:topLinePunct w:val="0"/>
        <w:autoSpaceDE/>
        <w:autoSpaceDN/>
        <w:bidi w:val="0"/>
        <w:adjustRightInd/>
        <w:snapToGrid/>
        <w:spacing w:line="440" w:lineRule="atLeast"/>
        <w:ind w:left="0" w:leftChars="0" w:firstLine="0"/>
        <w:jc w:val="center"/>
        <w:textAlignment w:val="auto"/>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残疾人福利性单位名称（公章）：______________</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0"/>
        <w:jc w:val="center"/>
        <w:textAlignment w:val="auto"/>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日  期：_____________________________________</w:t>
      </w:r>
    </w:p>
    <w:p>
      <w:pPr>
        <w:spacing w:line="240" w:lineRule="atLeast"/>
        <w:ind w:left="1080" w:leftChars="257" w:hanging="540"/>
        <w:jc w:val="center"/>
        <w:rPr>
          <w:rFonts w:hint="eastAsia" w:ascii="宋体" w:hAnsi="宋体" w:eastAsia="宋体" w:cs="宋体"/>
          <w:b w:val="0"/>
          <w:bCs/>
          <w:color w:val="auto"/>
          <w:kern w:val="0"/>
          <w:sz w:val="24"/>
        </w:rPr>
      </w:pPr>
    </w:p>
    <w:p>
      <w:pPr>
        <w:pStyle w:val="36"/>
        <w:ind w:left="0" w:leftChars="0" w:firstLine="0" w:firstLineChars="0"/>
        <w:rPr>
          <w:rFonts w:hint="eastAsia" w:ascii="宋体" w:hAnsi="宋体" w:eastAsia="宋体" w:cs="宋体"/>
          <w:b w:val="0"/>
          <w:bCs/>
          <w:color w:val="auto"/>
        </w:rPr>
      </w:pPr>
    </w:p>
    <w:p>
      <w:pPr>
        <w:spacing w:line="240" w:lineRule="atLeast"/>
        <w:rPr>
          <w:rFonts w:hint="eastAsia" w:ascii="宋体" w:hAnsi="宋体" w:eastAsia="宋体" w:cs="宋体"/>
          <w:b w:val="0"/>
          <w:bCs/>
          <w:color w:val="auto"/>
          <w:kern w:val="0"/>
          <w:sz w:val="24"/>
        </w:rPr>
      </w:pP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hAnsi="宋体" w:cs="宋体"/>
          <w:b/>
          <w:bCs w:val="0"/>
          <w:color w:val="auto"/>
          <w:szCs w:val="24"/>
          <w:lang w:val="en-US" w:eastAsia="zh-CN"/>
        </w:rPr>
      </w:pPr>
      <w:r>
        <w:rPr>
          <w:rFonts w:hint="eastAsia" w:hAnsi="宋体" w:cs="宋体"/>
          <w:b/>
          <w:bCs w:val="0"/>
          <w:color w:val="auto"/>
          <w:szCs w:val="24"/>
          <w:lang w:val="en-US" w:eastAsia="zh-CN"/>
        </w:rPr>
        <w:t>5、供应商关联单位的说明</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4"/>
          <w:szCs w:val="24"/>
        </w:rPr>
        <w:t>标人声明</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本公司就参加------------投标工作，作出郑重声明：</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一、本公司保证投标登记及其后提供的一切材料都是真实的。如我司成为本项目中标候选人，我公司同意并授权</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将我公司投标文件商务部分的人员、业绩、奖项等资料进行公开。</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二、本公司保证在本项目投标中不与其他单位围标、串标，不出让投标资格，不向</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或评标委员会成员行贿。</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三、本公司不存在下列情形之一：</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（1）为</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不具有独立法人资格的附属机构（单位）；</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（2）为本标段前期准备提供设计或咨询服务或者与本项目设计人或提供咨询服务的机构存在附属关系的；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（3）为本项目监理人或者与本项目监理人存在隶属关系或者其他利害关系；</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（4）为本标段的代建人；</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（5）为本标段提供招标代理服务的；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（6）与本标段的监理人或代建人或招标</w:t>
      </w:r>
      <w:r>
        <w:rPr>
          <w:rFonts w:hint="eastAsia" w:ascii="宋体" w:hAnsi="宋体" w:cs="宋体"/>
          <w:b w:val="0"/>
          <w:bCs/>
          <w:color w:val="auto"/>
          <w:kern w:val="0"/>
          <w:sz w:val="21"/>
          <w:szCs w:val="21"/>
          <w:lang w:eastAsia="zh-CN"/>
        </w:rPr>
        <w:t>采购代理机构</w:t>
      </w:r>
      <w:r>
        <w:rPr>
          <w:rFonts w:hint="eastAsia" w:ascii="宋体" w:hAnsi="宋体" w:eastAsia="宋体" w:cs="宋体"/>
          <w:b w:val="0"/>
          <w:bCs/>
          <w:color w:val="auto"/>
          <w:kern w:val="0"/>
          <w:sz w:val="21"/>
          <w:szCs w:val="21"/>
        </w:rPr>
        <w:t>同为一个法定代表人的；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（7）与本标段的监理人或代建人或招标</w:t>
      </w:r>
      <w:r>
        <w:rPr>
          <w:rFonts w:hint="eastAsia" w:ascii="宋体" w:hAnsi="宋体" w:cs="宋体"/>
          <w:b w:val="0"/>
          <w:bCs/>
          <w:color w:val="auto"/>
          <w:kern w:val="0"/>
          <w:sz w:val="21"/>
          <w:szCs w:val="21"/>
          <w:lang w:eastAsia="zh-CN"/>
        </w:rPr>
        <w:t>采购代理机构</w:t>
      </w:r>
      <w:r>
        <w:rPr>
          <w:rFonts w:hint="eastAsia" w:ascii="宋体" w:hAnsi="宋体" w:eastAsia="宋体" w:cs="宋体"/>
          <w:b w:val="0"/>
          <w:bCs/>
          <w:color w:val="auto"/>
          <w:kern w:val="0"/>
          <w:sz w:val="21"/>
          <w:szCs w:val="21"/>
        </w:rPr>
        <w:t>互相控股或参股的；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（8）与本标段的监理人或代建人或招标</w:t>
      </w:r>
      <w:r>
        <w:rPr>
          <w:rFonts w:hint="eastAsia" w:ascii="宋体" w:hAnsi="宋体" w:cs="宋体"/>
          <w:b w:val="0"/>
          <w:bCs/>
          <w:color w:val="auto"/>
          <w:kern w:val="0"/>
          <w:sz w:val="21"/>
          <w:szCs w:val="21"/>
          <w:lang w:eastAsia="zh-CN"/>
        </w:rPr>
        <w:t>采购代理机构</w:t>
      </w:r>
      <w:r>
        <w:rPr>
          <w:rFonts w:hint="eastAsia" w:ascii="宋体" w:hAnsi="宋体" w:eastAsia="宋体" w:cs="宋体"/>
          <w:b w:val="0"/>
          <w:bCs/>
          <w:color w:val="auto"/>
          <w:kern w:val="0"/>
          <w:sz w:val="21"/>
          <w:szCs w:val="21"/>
        </w:rPr>
        <w:t>相互任职或工作的；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（9）与本标段的检测机构有隶属关系或者其他利害关系；</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（10）与</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 xml:space="preserve">存在利害关系且可能影响招标公正性；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xml:space="preserve">（11）与本标段的其他投标人为同一个单位负责人；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xml:space="preserve">（12）与本标段的其他投标人存在控股、管理关系；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xml:space="preserve">（13）被依法暂停或取消投标资格的；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（14）被责令停产停业、暂扣或者吊销许可证、暂扣或者吊销执照的；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（15）进入清算程序，或被宣布破产，或其他丧失履约能力的情形；</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（16）在最近一年内有骗取中标或严重违约或重大工程质量问题的；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（17）被工商行政管理机关在全国企业信用信息公示系统中列入严重违法失信企业名单；</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（18）被最高人民法院在“信用中国”网站（www.creditchina.gov.cn）或国家各级信用信息共享平台中列入失信被执行人名单；</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（19）法律法规规定的其他情形。</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四、本公司保证本项目拟派的项目负责人没有在其他在建项目中任职。</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六、与本公司单位负责人为同一人或者与本公司存在控股、管理关系的其他单位包括：        。（注：本条由投标人如实填写，如有，应列出相关单位的名称；如无，则填写“无”。）</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七、本公司违反上述保证，或本声明陈述与事实不符，经查实，本公司愿意接受公开通报，承担由此带来的法律后果，并愿意停止参加</w:t>
      </w:r>
      <w:r>
        <w:rPr>
          <w:rFonts w:hint="eastAsia" w:ascii="宋体" w:hAnsi="宋体" w:cs="宋体"/>
          <w:b w:val="0"/>
          <w:bCs/>
          <w:color w:val="auto"/>
          <w:kern w:val="0"/>
          <w:sz w:val="21"/>
          <w:szCs w:val="21"/>
          <w:lang w:val="en-US" w:eastAsia="zh-CN"/>
        </w:rPr>
        <w:t>项目所在领域</w:t>
      </w:r>
      <w:r>
        <w:rPr>
          <w:rFonts w:hint="eastAsia" w:ascii="宋体" w:hAnsi="宋体" w:eastAsia="宋体" w:cs="宋体"/>
          <w:b w:val="0"/>
          <w:bCs/>
          <w:color w:val="auto"/>
          <w:kern w:val="0"/>
          <w:sz w:val="21"/>
          <w:szCs w:val="21"/>
        </w:rPr>
        <w:t>的招标投标活动六个月。其中，本声明陈述与事实不符的，属于弄虚作假骗取中标，将依法接受监管部门的处罚。</w:t>
      </w:r>
    </w:p>
    <w:p>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特此声明</w:t>
      </w:r>
    </w:p>
    <w:p>
      <w:pPr>
        <w:widowControl/>
        <w:shd w:val="clear" w:color="auto" w:fill="FFFFFF"/>
        <w:spacing w:line="288" w:lineRule="auto"/>
        <w:ind w:firstLine="2730" w:firstLineChars="1300"/>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声明企业：</w:t>
      </w:r>
    </w:p>
    <w:p>
      <w:pPr>
        <w:widowControl/>
        <w:shd w:val="clear" w:color="auto" w:fill="FFFFFF"/>
        <w:spacing w:line="288" w:lineRule="auto"/>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法定代表人签字：</w:t>
      </w:r>
    </w:p>
    <w:p>
      <w:pPr>
        <w:widowControl/>
        <w:shd w:val="clear" w:color="auto" w:fill="FFFFFF"/>
        <w:spacing w:line="288" w:lineRule="auto"/>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项目负责人签字:</w:t>
      </w:r>
    </w:p>
    <w:p>
      <w:pPr>
        <w:widowControl/>
        <w:shd w:val="clear" w:color="auto" w:fill="FFFFFF"/>
        <w:spacing w:line="288" w:lineRule="auto"/>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技术负责人签字：</w:t>
      </w:r>
    </w:p>
    <w:p>
      <w:pPr>
        <w:pStyle w:val="2"/>
        <w:ind w:left="0" w:leftChars="0" w:firstLine="0" w:firstLineChars="0"/>
        <w:rPr>
          <w:rFonts w:hint="eastAsia" w:hAnsi="宋体" w:cs="宋体"/>
          <w:b w:val="0"/>
          <w:bCs/>
          <w:color w:val="auto"/>
          <w:szCs w:val="24"/>
          <w:lang w:val="en-US" w:eastAsia="zh-CN"/>
        </w:rPr>
      </w:pPr>
    </w:p>
    <w:p>
      <w:pPr>
        <w:pStyle w:val="2"/>
        <w:ind w:left="0" w:leftChars="0" w:firstLine="480" w:firstLineChars="200"/>
        <w:rPr>
          <w:rFonts w:hint="eastAsia" w:hAnsi="宋体" w:cs="宋体"/>
          <w:b w:val="0"/>
          <w:bCs/>
          <w:color w:val="auto"/>
          <w:szCs w:val="24"/>
          <w:lang w:val="en-US" w:eastAsia="zh-CN"/>
        </w:rPr>
      </w:pPr>
    </w:p>
    <w:p>
      <w:pPr>
        <w:pStyle w:val="2"/>
        <w:ind w:left="0" w:leftChars="0" w:firstLine="482" w:firstLineChars="200"/>
        <w:rPr>
          <w:rFonts w:hint="eastAsia" w:hAnsi="宋体" w:cs="宋体"/>
          <w:b/>
          <w:bCs w:val="0"/>
          <w:color w:val="auto"/>
          <w:szCs w:val="24"/>
          <w:lang w:val="en-US" w:eastAsia="zh-CN"/>
        </w:rPr>
      </w:pPr>
      <w:r>
        <w:rPr>
          <w:rFonts w:hint="eastAsia" w:hAnsi="宋体" w:cs="宋体"/>
          <w:b/>
          <w:bCs w:val="0"/>
          <w:color w:val="auto"/>
          <w:szCs w:val="24"/>
          <w:lang w:val="en-US" w:eastAsia="zh-CN"/>
        </w:rPr>
        <w:t>说明：供应商应当如实披露与本单位存在下列关联关系的单位名称：</w:t>
      </w:r>
    </w:p>
    <w:p>
      <w:pPr>
        <w:pStyle w:val="2"/>
        <w:ind w:left="0" w:leftChars="0" w:firstLine="1205" w:firstLineChars="500"/>
        <w:rPr>
          <w:rFonts w:hint="eastAsia" w:hAnsi="宋体" w:cs="宋体"/>
          <w:b/>
          <w:bCs w:val="0"/>
          <w:color w:val="auto"/>
          <w:szCs w:val="24"/>
          <w:lang w:val="en-US" w:eastAsia="zh-CN"/>
        </w:rPr>
      </w:pPr>
      <w:r>
        <w:rPr>
          <w:rFonts w:hint="eastAsia" w:hAnsi="宋体" w:cs="宋体"/>
          <w:b/>
          <w:bCs w:val="0"/>
          <w:color w:val="auto"/>
          <w:szCs w:val="24"/>
          <w:lang w:val="en-US" w:eastAsia="zh-CN"/>
        </w:rPr>
        <w:t>（1）与供应商单位负责人为同一人的其他单位；</w:t>
      </w:r>
    </w:p>
    <w:p>
      <w:pPr>
        <w:pStyle w:val="2"/>
        <w:ind w:left="0" w:leftChars="0" w:firstLine="0" w:firstLineChars="0"/>
        <w:rPr>
          <w:rFonts w:hint="eastAsia" w:hAnsi="宋体" w:cs="宋体"/>
          <w:b/>
          <w:bCs w:val="0"/>
          <w:color w:val="auto"/>
          <w:szCs w:val="24"/>
          <w:lang w:val="en-US" w:eastAsia="zh-CN"/>
        </w:rPr>
      </w:pPr>
      <w:r>
        <w:rPr>
          <w:rFonts w:hint="eastAsia" w:hAnsi="宋体" w:cs="宋体"/>
          <w:b/>
          <w:bCs w:val="0"/>
          <w:color w:val="auto"/>
          <w:szCs w:val="24"/>
          <w:lang w:val="en-US" w:eastAsia="zh-CN"/>
        </w:rPr>
        <w:t xml:space="preserve">          （2）与供应商存在直接控股、管理关系的其他单位。</w:t>
      </w: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hAnsi="宋体" w:cs="宋体"/>
          <w:b w:val="0"/>
          <w:bCs/>
          <w:color w:val="auto"/>
          <w:szCs w:val="24"/>
          <w:lang w:val="en-US" w:eastAsia="zh-CN"/>
        </w:rPr>
      </w:pPr>
    </w:p>
    <w:p>
      <w:pPr>
        <w:pStyle w:val="2"/>
        <w:ind w:left="0" w:leftChars="0" w:firstLine="0" w:firstLineChars="0"/>
        <w:rPr>
          <w:rFonts w:hint="eastAsia" w:hAnsi="宋体" w:cs="宋体"/>
          <w:b w:val="0"/>
          <w:bCs/>
          <w:color w:val="auto"/>
          <w:szCs w:val="24"/>
          <w:lang w:val="en-US" w:eastAsia="zh-CN"/>
        </w:rPr>
      </w:pP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ascii="宋体" w:hAnsi="宋体" w:eastAsia="宋体" w:cs="宋体"/>
          <w:b/>
          <w:bCs w:val="0"/>
          <w:color w:val="auto"/>
          <w:sz w:val="24"/>
          <w:szCs w:val="24"/>
          <w:lang w:val="en-US" w:eastAsia="zh-CN"/>
        </w:rPr>
      </w:pPr>
      <w:r>
        <w:rPr>
          <w:rFonts w:hint="eastAsia" w:hAnsi="宋体" w:cs="宋体"/>
          <w:b/>
          <w:bCs w:val="0"/>
          <w:color w:val="auto"/>
          <w:szCs w:val="24"/>
          <w:lang w:val="en-US" w:eastAsia="zh-CN"/>
        </w:rPr>
        <w:t>6、</w:t>
      </w:r>
      <w:r>
        <w:rPr>
          <w:rFonts w:hint="eastAsia" w:ascii="宋体" w:hAnsi="宋体" w:eastAsia="宋体" w:cs="宋体"/>
          <w:b/>
          <w:bCs w:val="0"/>
          <w:color w:val="auto"/>
          <w:sz w:val="24"/>
          <w:szCs w:val="24"/>
          <w:lang w:val="en-US" w:eastAsia="zh-CN"/>
        </w:rPr>
        <w:t>近年发生的诉讼和仲裁情况（企业自行承诺）</w:t>
      </w:r>
    </w:p>
    <w:p>
      <w:pPr>
        <w:rPr>
          <w:rFonts w:hint="eastAsia"/>
          <w:lang w:val="en-US" w:eastAsia="zh-CN"/>
        </w:rPr>
      </w:pP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spacing w:line="240" w:lineRule="atLeast"/>
        <w:jc w:val="left"/>
        <w:rPr>
          <w:rFonts w:hint="eastAsia" w:ascii="宋体" w:hAnsi="宋体" w:cs="宋体"/>
          <w:b/>
          <w:bCs w:val="0"/>
          <w:color w:val="auto"/>
          <w:sz w:val="24"/>
          <w:szCs w:val="24"/>
          <w:lang w:val="en-US" w:eastAsia="zh-CN"/>
        </w:rPr>
      </w:pPr>
    </w:p>
    <w:p>
      <w:pPr>
        <w:spacing w:line="240" w:lineRule="atLeast"/>
        <w:jc w:val="left"/>
        <w:rPr>
          <w:rFonts w:hint="eastAsia" w:ascii="宋体" w:hAnsi="宋体" w:cs="宋体"/>
          <w:b/>
          <w:bCs w:val="0"/>
          <w:color w:val="auto"/>
          <w:sz w:val="24"/>
          <w:szCs w:val="24"/>
          <w:lang w:val="en-US" w:eastAsia="zh-CN"/>
        </w:rPr>
      </w:pPr>
    </w:p>
    <w:p>
      <w:pPr>
        <w:spacing w:line="240" w:lineRule="atLeast"/>
        <w:jc w:val="left"/>
        <w:rPr>
          <w:rFonts w:hint="eastAsia" w:ascii="宋体" w:hAnsi="宋体" w:cs="宋体"/>
          <w:b/>
          <w:bCs w:val="0"/>
          <w:color w:val="auto"/>
          <w:sz w:val="24"/>
          <w:szCs w:val="24"/>
          <w:lang w:val="en-US" w:eastAsia="zh-CN"/>
        </w:rPr>
      </w:pPr>
    </w:p>
    <w:p>
      <w:pPr>
        <w:spacing w:line="240" w:lineRule="atLeast"/>
        <w:jc w:val="left"/>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7、</w:t>
      </w:r>
      <w:r>
        <w:rPr>
          <w:rFonts w:hint="eastAsia" w:ascii="宋体" w:hAnsi="宋体" w:eastAsia="宋体" w:cs="宋体"/>
          <w:b/>
          <w:bCs w:val="0"/>
          <w:color w:val="auto"/>
          <w:sz w:val="24"/>
          <w:szCs w:val="24"/>
          <w:lang w:val="en-US" w:eastAsia="zh-CN"/>
        </w:rPr>
        <w:t>近两年有无拖欠农民工工资情况（企业自行承诺）</w:t>
      </w: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b/>
          <w:bCs/>
          <w:color w:val="auto"/>
          <w:sz w:val="21"/>
          <w:szCs w:val="21"/>
        </w:rPr>
      </w:pPr>
      <w:r>
        <w:rPr>
          <w:rFonts w:hint="eastAsia" w:ascii="宋体" w:hAnsi="宋体" w:cs="宋体"/>
          <w:b/>
          <w:bCs/>
          <w:sz w:val="24"/>
          <w:lang w:val="en-US" w:eastAsia="zh-CN"/>
        </w:rPr>
        <w:t>8.</w:t>
      </w:r>
      <w:r>
        <w:rPr>
          <w:rFonts w:hint="eastAsia" w:ascii="宋体" w:hAnsi="宋体" w:eastAsia="宋体" w:cs="宋体"/>
          <w:b/>
          <w:bCs/>
          <w:sz w:val="24"/>
          <w:lang w:val="en-US" w:eastAsia="zh-CN"/>
        </w:rPr>
        <w:t>劳动用工承诺函</w:t>
      </w:r>
    </w:p>
    <w:p>
      <w:pPr>
        <w:topLinePunct/>
        <w:spacing w:line="560" w:lineRule="exact"/>
        <w:ind w:firstLine="420" w:firstLineChars="200"/>
        <w:jc w:val="center"/>
        <w:rPr>
          <w:rFonts w:ascii="宋体" w:hAnsi="宋体"/>
          <w:color w:val="auto"/>
          <w:sz w:val="21"/>
          <w:szCs w:val="21"/>
        </w:rPr>
      </w:pPr>
      <w:r>
        <w:rPr>
          <w:rFonts w:hint="eastAsia" w:ascii="宋体" w:hAnsi="宋体"/>
          <w:color w:val="auto"/>
          <w:sz w:val="21"/>
          <w:szCs w:val="21"/>
        </w:rPr>
        <w:t>劳动用工</w:t>
      </w:r>
      <w:r>
        <w:rPr>
          <w:rFonts w:ascii="宋体" w:hAnsi="宋体"/>
          <w:color w:val="auto"/>
          <w:sz w:val="21"/>
          <w:szCs w:val="21"/>
        </w:rPr>
        <w:t>承诺</w:t>
      </w:r>
    </w:p>
    <w:p>
      <w:pPr>
        <w:keepNext w:val="0"/>
        <w:keepLines w:val="0"/>
        <w:pageBreakBefore w:val="0"/>
        <w:widowControl w:val="0"/>
        <w:kinsoku/>
        <w:wordWrap/>
        <w:overflowPunct/>
        <w:topLinePunct/>
        <w:autoSpaceDE/>
        <w:autoSpaceDN/>
        <w:bidi w:val="0"/>
        <w:adjustRightInd/>
        <w:snapToGrid/>
        <w:spacing w:line="340" w:lineRule="exact"/>
        <w:ind w:firstLine="840" w:firstLineChars="400"/>
        <w:textAlignment w:val="auto"/>
        <w:rPr>
          <w:rFonts w:ascii="宋体" w:hAnsi="宋体"/>
          <w:b w:val="0"/>
          <w:bCs w:val="0"/>
          <w:color w:val="auto"/>
          <w:sz w:val="21"/>
          <w:szCs w:val="21"/>
        </w:rPr>
      </w:pPr>
      <w:r>
        <w:rPr>
          <w:rFonts w:ascii="宋体" w:hAnsi="宋体"/>
          <w:b w:val="0"/>
          <w:bCs w:val="0"/>
          <w:color w:val="auto"/>
          <w:sz w:val="21"/>
          <w:szCs w:val="21"/>
        </w:rPr>
        <w:t>我公司于</w:t>
      </w:r>
      <w:r>
        <w:rPr>
          <w:rFonts w:ascii="宋体" w:hAnsi="宋体"/>
          <w:b w:val="0"/>
          <w:bCs w:val="0"/>
          <w:color w:val="auto"/>
          <w:sz w:val="21"/>
          <w:szCs w:val="21"/>
          <w:u w:val="single"/>
        </w:rPr>
        <w:t xml:space="preserve">      </w:t>
      </w:r>
      <w:r>
        <w:rPr>
          <w:rFonts w:ascii="宋体" w:hAnsi="宋体"/>
          <w:b w:val="0"/>
          <w:bCs w:val="0"/>
          <w:color w:val="auto"/>
          <w:sz w:val="21"/>
          <w:szCs w:val="21"/>
        </w:rPr>
        <w:t>年</w:t>
      </w:r>
      <w:r>
        <w:rPr>
          <w:rFonts w:ascii="宋体" w:hAnsi="宋体"/>
          <w:b w:val="0"/>
          <w:bCs w:val="0"/>
          <w:color w:val="auto"/>
          <w:sz w:val="21"/>
          <w:szCs w:val="21"/>
          <w:u w:val="single"/>
        </w:rPr>
        <w:t xml:space="preserve">     </w:t>
      </w:r>
      <w:r>
        <w:rPr>
          <w:rFonts w:ascii="宋体" w:hAnsi="宋体"/>
          <w:b w:val="0"/>
          <w:bCs w:val="0"/>
          <w:color w:val="auto"/>
          <w:sz w:val="21"/>
          <w:szCs w:val="21"/>
        </w:rPr>
        <w:t>月</w:t>
      </w:r>
      <w:r>
        <w:rPr>
          <w:rFonts w:ascii="宋体" w:hAnsi="宋体"/>
          <w:b w:val="0"/>
          <w:bCs w:val="0"/>
          <w:color w:val="auto"/>
          <w:sz w:val="21"/>
          <w:szCs w:val="21"/>
          <w:u w:val="single"/>
        </w:rPr>
        <w:t xml:space="preserve">     </w:t>
      </w:r>
      <w:r>
        <w:rPr>
          <w:rFonts w:ascii="宋体" w:hAnsi="宋体"/>
          <w:b w:val="0"/>
          <w:bCs w:val="0"/>
          <w:color w:val="auto"/>
          <w:sz w:val="21"/>
          <w:szCs w:val="21"/>
        </w:rPr>
        <w:t>日参与投标的项目：</w:t>
      </w:r>
      <w:r>
        <w:rPr>
          <w:rFonts w:ascii="宋体" w:hAnsi="宋体"/>
          <w:b w:val="0"/>
          <w:bCs w:val="0"/>
          <w:color w:val="auto"/>
          <w:sz w:val="21"/>
          <w:szCs w:val="21"/>
          <w:u w:val="single"/>
        </w:rPr>
        <w:t xml:space="preserve">                 </w:t>
      </w:r>
      <w:r>
        <w:rPr>
          <w:rFonts w:ascii="宋体" w:hAnsi="宋体"/>
          <w:b w:val="0"/>
          <w:bCs w:val="0"/>
          <w:color w:val="auto"/>
          <w:sz w:val="21"/>
          <w:szCs w:val="21"/>
        </w:rPr>
        <w:t xml:space="preserve"> ，如中标后，</w:t>
      </w:r>
    </w:p>
    <w:p>
      <w:pPr>
        <w:keepNext w:val="0"/>
        <w:keepLines w:val="0"/>
        <w:pageBreakBefore w:val="0"/>
        <w:widowControl w:val="0"/>
        <w:kinsoku/>
        <w:wordWrap/>
        <w:overflowPunct/>
        <w:topLinePunct/>
        <w:autoSpaceDE/>
        <w:autoSpaceDN/>
        <w:bidi w:val="0"/>
        <w:adjustRightInd/>
        <w:snapToGrid/>
        <w:spacing w:line="340" w:lineRule="exact"/>
        <w:ind w:firstLine="420" w:firstLineChars="200"/>
        <w:textAlignment w:val="auto"/>
        <w:rPr>
          <w:rFonts w:hint="eastAsia" w:ascii="宋体" w:hAnsi="宋体" w:cs="宋体"/>
          <w:b w:val="0"/>
          <w:bCs w:val="0"/>
          <w:color w:val="auto"/>
          <w:sz w:val="21"/>
          <w:szCs w:val="21"/>
        </w:rPr>
      </w:pPr>
      <w:r>
        <w:rPr>
          <w:rFonts w:ascii="宋体" w:hAnsi="宋体"/>
          <w:b w:val="0"/>
          <w:bCs w:val="0"/>
          <w:color w:val="auto"/>
          <w:sz w:val="21"/>
          <w:szCs w:val="21"/>
        </w:rPr>
        <w:t>我公司愿与</w:t>
      </w:r>
      <w:r>
        <w:rPr>
          <w:rFonts w:hint="eastAsia" w:ascii="宋体" w:hAnsi="宋体"/>
          <w:b w:val="0"/>
          <w:bCs w:val="0"/>
          <w:color w:val="auto"/>
          <w:sz w:val="21"/>
          <w:szCs w:val="21"/>
        </w:rPr>
        <w:t>按照要求使用当地农民工</w:t>
      </w:r>
      <w:r>
        <w:rPr>
          <w:rFonts w:ascii="宋体" w:hAnsi="宋体"/>
          <w:b w:val="0"/>
          <w:bCs w:val="0"/>
          <w:color w:val="auto"/>
          <w:sz w:val="21"/>
          <w:szCs w:val="21"/>
        </w:rPr>
        <w:t>，</w:t>
      </w:r>
      <w:r>
        <w:rPr>
          <w:rFonts w:hint="eastAsia" w:ascii="宋体" w:hAnsi="宋体" w:cs="宋体"/>
          <w:b w:val="0"/>
          <w:bCs w:val="0"/>
          <w:color w:val="auto"/>
          <w:sz w:val="21"/>
          <w:szCs w:val="21"/>
        </w:rPr>
        <w:t>并按照规定按时支付农民工工资，如未按规定执</w:t>
      </w:r>
    </w:p>
    <w:p>
      <w:pPr>
        <w:keepNext w:val="0"/>
        <w:keepLines w:val="0"/>
        <w:pageBreakBefore w:val="0"/>
        <w:widowControl w:val="0"/>
        <w:kinsoku/>
        <w:wordWrap/>
        <w:overflowPunct/>
        <w:topLinePunct/>
        <w:autoSpaceDE/>
        <w:autoSpaceDN/>
        <w:bidi w:val="0"/>
        <w:adjustRightInd/>
        <w:snapToGrid/>
        <w:spacing w:line="340" w:lineRule="exact"/>
        <w:textAlignment w:val="auto"/>
        <w:rPr>
          <w:rFonts w:ascii="宋体" w:hAnsi="宋体"/>
          <w:b w:val="0"/>
          <w:bCs w:val="0"/>
          <w:color w:val="auto"/>
          <w:sz w:val="21"/>
          <w:szCs w:val="21"/>
        </w:rPr>
      </w:pPr>
      <w:r>
        <w:rPr>
          <w:rFonts w:hint="eastAsia" w:ascii="宋体" w:hAnsi="宋体" w:cs="宋体"/>
          <w:b w:val="0"/>
          <w:bCs w:val="0"/>
          <w:color w:val="auto"/>
          <w:sz w:val="21"/>
          <w:szCs w:val="21"/>
        </w:rPr>
        <w:t>行，</w:t>
      </w:r>
      <w:r>
        <w:rPr>
          <w:rFonts w:ascii="宋体" w:hAnsi="宋体"/>
          <w:b w:val="0"/>
          <w:bCs w:val="0"/>
          <w:color w:val="auto"/>
          <w:sz w:val="21"/>
          <w:szCs w:val="21"/>
        </w:rPr>
        <w:t>愿接受相关处理。</w:t>
      </w:r>
    </w:p>
    <w:p>
      <w:pPr>
        <w:topLinePunct/>
        <w:spacing w:line="560" w:lineRule="exact"/>
        <w:ind w:firstLine="420" w:firstLineChars="200"/>
        <w:jc w:val="center"/>
        <w:rPr>
          <w:rFonts w:ascii="宋体" w:hAnsi="宋体"/>
          <w:color w:val="auto"/>
          <w:sz w:val="21"/>
          <w:szCs w:val="21"/>
        </w:rPr>
      </w:pPr>
      <w:r>
        <w:rPr>
          <w:rFonts w:hint="eastAsia" w:ascii="宋体" w:hAnsi="宋体"/>
          <w:color w:val="auto"/>
          <w:sz w:val="21"/>
          <w:szCs w:val="21"/>
          <w:lang w:val="en-US" w:eastAsia="zh-CN"/>
        </w:rPr>
        <w:t xml:space="preserve">       </w:t>
      </w:r>
      <w:r>
        <w:rPr>
          <w:rFonts w:ascii="宋体" w:hAnsi="宋体"/>
          <w:color w:val="auto"/>
          <w:sz w:val="21"/>
          <w:szCs w:val="21"/>
        </w:rPr>
        <w:t>投标人：（盖章）</w:t>
      </w:r>
    </w:p>
    <w:p>
      <w:pPr>
        <w:topLinePunct/>
        <w:spacing w:line="560" w:lineRule="exact"/>
        <w:ind w:firstLine="420" w:firstLineChars="20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法定代表人或投标授权代理人：（签字或盖章）</w:t>
      </w: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eastAsia="宋体" w:cs="宋体"/>
          <w:b/>
          <w:bCs/>
          <w:sz w:val="24"/>
          <w:lang w:val="en-US" w:eastAsia="zh-CN"/>
        </w:rPr>
      </w:pPr>
      <w:r>
        <w:rPr>
          <w:rFonts w:hint="eastAsia" w:ascii="宋体" w:hAnsi="宋体" w:cs="宋体"/>
          <w:b/>
          <w:bCs/>
          <w:sz w:val="24"/>
          <w:lang w:val="en-US" w:eastAsia="zh-CN"/>
        </w:rPr>
        <w:t>9、</w:t>
      </w:r>
      <w:r>
        <w:rPr>
          <w:rFonts w:hint="eastAsia" w:ascii="宋体" w:hAnsi="宋体" w:eastAsia="宋体" w:cs="宋体"/>
          <w:b/>
          <w:bCs/>
          <w:sz w:val="24"/>
          <w:lang w:val="en-US" w:eastAsia="zh-CN"/>
        </w:rPr>
        <w:t>项目管理人员</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项目管理人员</w:t>
      </w:r>
    </w:p>
    <w:p>
      <w:pPr>
        <w:pStyle w:val="84"/>
        <w:numPr>
          <w:ilvl w:val="0"/>
          <w:numId w:val="0"/>
        </w:numPr>
        <w:ind w:firstLine="630" w:firstLineChars="300"/>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(一）</w:t>
      </w:r>
      <w:r>
        <w:rPr>
          <w:rFonts w:hint="eastAsia" w:ascii="宋体" w:hAnsi="宋体" w:eastAsia="宋体" w:cs="宋体"/>
          <w:b w:val="0"/>
          <w:bCs w:val="0"/>
          <w:sz w:val="21"/>
          <w:szCs w:val="21"/>
          <w:u w:val="none"/>
        </w:rPr>
        <w:t>项目管理机构组成表</w:t>
      </w:r>
    </w:p>
    <w:p>
      <w:pPr>
        <w:pStyle w:val="84"/>
        <w:rPr>
          <w:rFonts w:hint="eastAsia" w:ascii="宋体" w:hAnsi="宋体" w:eastAsia="宋体" w:cs="宋体"/>
          <w:b w:val="0"/>
          <w:bCs w:val="0"/>
          <w:sz w:val="21"/>
          <w:szCs w:val="21"/>
          <w:u w:val="none"/>
        </w:rPr>
      </w:pPr>
      <w:r>
        <w:rPr>
          <w:rFonts w:hint="eastAsia" w:hAnsi="宋体" w:eastAsia="宋体" w:cs="宋体"/>
          <w:b w:val="0"/>
          <w:bCs w:val="0"/>
          <w:sz w:val="21"/>
          <w:szCs w:val="21"/>
          <w:u w:val="none"/>
          <w:lang w:eastAsia="zh-CN"/>
        </w:rPr>
        <w:t>项目名称</w:t>
      </w:r>
      <w:r>
        <w:rPr>
          <w:rFonts w:hint="eastAsia" w:ascii="宋体" w:hAnsi="宋体" w:eastAsia="宋体" w:cs="宋体"/>
          <w:b w:val="0"/>
          <w:bCs w:val="0"/>
          <w:sz w:val="21"/>
          <w:szCs w:val="21"/>
          <w:u w:val="none"/>
        </w:rPr>
        <w:t>：</w:t>
      </w:r>
    </w:p>
    <w:tbl>
      <w:tblPr>
        <w:tblStyle w:val="37"/>
        <w:tblW w:w="8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735"/>
        <w:gridCol w:w="810"/>
        <w:gridCol w:w="915"/>
        <w:gridCol w:w="885"/>
        <w:gridCol w:w="900"/>
        <w:gridCol w:w="930"/>
        <w:gridCol w:w="94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职务</w:t>
            </w:r>
          </w:p>
        </w:tc>
        <w:tc>
          <w:tcPr>
            <w:tcW w:w="735" w:type="dxa"/>
            <w:vMerge w:val="restart"/>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姓名</w:t>
            </w:r>
          </w:p>
        </w:tc>
        <w:tc>
          <w:tcPr>
            <w:tcW w:w="810" w:type="dxa"/>
            <w:vMerge w:val="restart"/>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职称</w:t>
            </w:r>
          </w:p>
        </w:tc>
        <w:tc>
          <w:tcPr>
            <w:tcW w:w="4575" w:type="dxa"/>
            <w:gridSpan w:val="5"/>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执业或职业资格证明</w:t>
            </w:r>
          </w:p>
        </w:tc>
        <w:tc>
          <w:tcPr>
            <w:tcW w:w="705" w:type="dxa"/>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7" w:type="dxa"/>
            <w:vMerge w:val="continue"/>
            <w:noWrap w:val="0"/>
            <w:vAlign w:val="center"/>
          </w:tcPr>
          <w:p>
            <w:pPr>
              <w:spacing w:line="440" w:lineRule="exact"/>
              <w:jc w:val="center"/>
              <w:rPr>
                <w:rFonts w:hint="eastAsia" w:ascii="宋体" w:hAnsi="宋体" w:eastAsia="宋体" w:cs="宋体"/>
                <w:b w:val="0"/>
                <w:bCs w:val="0"/>
                <w:sz w:val="18"/>
                <w:szCs w:val="18"/>
              </w:rPr>
            </w:pPr>
          </w:p>
        </w:tc>
        <w:tc>
          <w:tcPr>
            <w:tcW w:w="735" w:type="dxa"/>
            <w:vMerge w:val="continue"/>
            <w:noWrap w:val="0"/>
            <w:vAlign w:val="center"/>
          </w:tcPr>
          <w:p>
            <w:pPr>
              <w:spacing w:line="440" w:lineRule="exact"/>
              <w:jc w:val="center"/>
              <w:rPr>
                <w:rFonts w:hint="eastAsia" w:ascii="宋体" w:hAnsi="宋体" w:eastAsia="宋体" w:cs="宋体"/>
                <w:b w:val="0"/>
                <w:bCs w:val="0"/>
                <w:sz w:val="18"/>
                <w:szCs w:val="18"/>
              </w:rPr>
            </w:pPr>
          </w:p>
        </w:tc>
        <w:tc>
          <w:tcPr>
            <w:tcW w:w="810" w:type="dxa"/>
            <w:vMerge w:val="continue"/>
            <w:noWrap w:val="0"/>
            <w:vAlign w:val="center"/>
          </w:tcPr>
          <w:p>
            <w:pPr>
              <w:spacing w:line="440" w:lineRule="exact"/>
              <w:jc w:val="center"/>
              <w:rPr>
                <w:rFonts w:hint="eastAsia" w:ascii="宋体" w:hAnsi="宋体" w:eastAsia="宋体" w:cs="宋体"/>
                <w:b w:val="0"/>
                <w:bCs w:val="0"/>
                <w:sz w:val="18"/>
                <w:szCs w:val="18"/>
              </w:rPr>
            </w:pP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证书</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名称</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级别</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证号</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专业</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养老</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保险</w:t>
            </w:r>
          </w:p>
        </w:tc>
        <w:tc>
          <w:tcPr>
            <w:tcW w:w="705" w:type="dxa"/>
            <w:noWrap w:val="0"/>
            <w:vAlign w:val="center"/>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07" w:type="dxa"/>
            <w:noWrap w:val="0"/>
            <w:vAlign w:val="center"/>
          </w:tcPr>
          <w:p>
            <w:pPr>
              <w:spacing w:line="440" w:lineRule="exact"/>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项目经理</w:t>
            </w:r>
          </w:p>
        </w:tc>
        <w:tc>
          <w:tcPr>
            <w:tcW w:w="735" w:type="dxa"/>
            <w:noWrap w:val="0"/>
            <w:vAlign w:val="center"/>
          </w:tcPr>
          <w:p>
            <w:pPr>
              <w:spacing w:line="440" w:lineRule="exact"/>
              <w:jc w:val="center"/>
              <w:rPr>
                <w:rFonts w:hint="eastAsia" w:ascii="宋体" w:hAnsi="宋体" w:eastAsia="宋体" w:cs="宋体"/>
                <w:b w:val="0"/>
                <w:bCs w:val="0"/>
                <w:sz w:val="18"/>
                <w:szCs w:val="18"/>
              </w:rPr>
            </w:pPr>
          </w:p>
        </w:tc>
        <w:tc>
          <w:tcPr>
            <w:tcW w:w="810" w:type="dxa"/>
            <w:noWrap w:val="0"/>
            <w:vAlign w:val="center"/>
          </w:tcPr>
          <w:p>
            <w:pPr>
              <w:spacing w:line="440" w:lineRule="exact"/>
              <w:jc w:val="center"/>
              <w:rPr>
                <w:rFonts w:hint="eastAsia" w:ascii="宋体" w:hAnsi="宋体" w:eastAsia="宋体" w:cs="宋体"/>
                <w:b w:val="0"/>
                <w:bCs w:val="0"/>
                <w:sz w:val="18"/>
                <w:szCs w:val="18"/>
              </w:rPr>
            </w:pPr>
          </w:p>
        </w:tc>
        <w:tc>
          <w:tcPr>
            <w:tcW w:w="915" w:type="dxa"/>
            <w:noWrap w:val="0"/>
            <w:vAlign w:val="center"/>
          </w:tcPr>
          <w:p>
            <w:pPr>
              <w:spacing w:line="440" w:lineRule="exact"/>
              <w:jc w:val="center"/>
              <w:rPr>
                <w:rFonts w:hint="eastAsia" w:ascii="宋体" w:hAnsi="宋体" w:eastAsia="宋体" w:cs="宋体"/>
                <w:b w:val="0"/>
                <w:bCs w:val="0"/>
                <w:sz w:val="18"/>
                <w:szCs w:val="18"/>
              </w:rPr>
            </w:pPr>
          </w:p>
        </w:tc>
        <w:tc>
          <w:tcPr>
            <w:tcW w:w="885" w:type="dxa"/>
            <w:noWrap w:val="0"/>
            <w:vAlign w:val="center"/>
          </w:tcPr>
          <w:p>
            <w:pPr>
              <w:spacing w:line="440" w:lineRule="exact"/>
              <w:jc w:val="center"/>
              <w:rPr>
                <w:rFonts w:hint="eastAsia" w:ascii="宋体" w:hAnsi="宋体" w:eastAsia="宋体" w:cs="宋体"/>
                <w:b w:val="0"/>
                <w:bCs w:val="0"/>
                <w:sz w:val="18"/>
                <w:szCs w:val="18"/>
              </w:rPr>
            </w:pPr>
          </w:p>
        </w:tc>
        <w:tc>
          <w:tcPr>
            <w:tcW w:w="900" w:type="dxa"/>
            <w:noWrap w:val="0"/>
            <w:vAlign w:val="center"/>
          </w:tcPr>
          <w:p>
            <w:pPr>
              <w:spacing w:line="440" w:lineRule="exact"/>
              <w:jc w:val="center"/>
              <w:rPr>
                <w:rFonts w:hint="eastAsia" w:ascii="宋体" w:hAnsi="宋体" w:eastAsia="宋体" w:cs="宋体"/>
                <w:b w:val="0"/>
                <w:bCs w:val="0"/>
                <w:sz w:val="18"/>
                <w:szCs w:val="18"/>
              </w:rPr>
            </w:pPr>
          </w:p>
        </w:tc>
        <w:tc>
          <w:tcPr>
            <w:tcW w:w="930" w:type="dxa"/>
            <w:noWrap w:val="0"/>
            <w:vAlign w:val="center"/>
          </w:tcPr>
          <w:p>
            <w:pPr>
              <w:spacing w:line="440" w:lineRule="exact"/>
              <w:jc w:val="center"/>
              <w:rPr>
                <w:rFonts w:hint="eastAsia" w:ascii="宋体" w:hAnsi="宋体" w:eastAsia="宋体" w:cs="宋体"/>
                <w:b w:val="0"/>
                <w:bCs w:val="0"/>
                <w:sz w:val="18"/>
                <w:szCs w:val="18"/>
              </w:rPr>
            </w:pPr>
          </w:p>
        </w:tc>
        <w:tc>
          <w:tcPr>
            <w:tcW w:w="945" w:type="dxa"/>
            <w:noWrap w:val="0"/>
            <w:vAlign w:val="center"/>
          </w:tcPr>
          <w:p>
            <w:pPr>
              <w:spacing w:line="440" w:lineRule="exact"/>
              <w:jc w:val="center"/>
              <w:rPr>
                <w:rFonts w:hint="eastAsia" w:ascii="宋体" w:hAnsi="宋体" w:eastAsia="宋体" w:cs="宋体"/>
                <w:b w:val="0"/>
                <w:bCs w:val="0"/>
                <w:sz w:val="18"/>
                <w:szCs w:val="18"/>
              </w:rPr>
            </w:pPr>
          </w:p>
        </w:tc>
        <w:tc>
          <w:tcPr>
            <w:tcW w:w="705" w:type="dxa"/>
            <w:noWrap w:val="0"/>
            <w:vAlign w:val="center"/>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7" w:type="dxa"/>
            <w:noWrap w:val="0"/>
            <w:vAlign w:val="center"/>
          </w:tcPr>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项目技术</w:t>
            </w:r>
            <w:r>
              <w:rPr>
                <w:rFonts w:hint="eastAsia" w:ascii="宋体" w:hAnsi="宋体" w:eastAsia="宋体" w:cs="宋体"/>
                <w:b w:val="0"/>
                <w:bCs/>
                <w:color w:val="auto"/>
                <w:sz w:val="18"/>
                <w:szCs w:val="18"/>
                <w:lang w:val="en-US" w:eastAsia="zh-CN"/>
              </w:rPr>
              <w:t xml:space="preserve">                   </w:t>
            </w:r>
            <w:r>
              <w:rPr>
                <w:rFonts w:hint="eastAsia" w:ascii="宋体" w:hAnsi="宋体" w:eastAsia="宋体" w:cs="宋体"/>
                <w:b w:val="0"/>
                <w:bCs/>
                <w:color w:val="auto"/>
                <w:sz w:val="18"/>
                <w:szCs w:val="18"/>
              </w:rPr>
              <w:t>负责人</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07" w:type="dxa"/>
            <w:noWrap w:val="0"/>
            <w:vAlign w:val="center"/>
          </w:tcPr>
          <w:p>
            <w:pPr>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土建</w:t>
            </w:r>
          </w:p>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工程师</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7" w:type="dxa"/>
            <w:noWrap w:val="0"/>
            <w:vAlign w:val="center"/>
          </w:tcPr>
          <w:p>
            <w:pPr>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专职</w:t>
            </w:r>
          </w:p>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质检员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7" w:type="dxa"/>
            <w:noWrap w:val="0"/>
            <w:vAlign w:val="center"/>
          </w:tcPr>
          <w:p>
            <w:pPr>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专职</w:t>
            </w:r>
          </w:p>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安全员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center"/>
          </w:tcPr>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试验员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材料员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预算员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其他人员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jc w:val="center"/>
              <w:rPr>
                <w:rFonts w:hint="eastAsia" w:ascii="宋体" w:hAnsi="宋体" w:eastAsia="宋体" w:cs="宋体"/>
                <w:b w:val="0"/>
                <w:bCs w:val="0"/>
                <w:sz w:val="18"/>
                <w:szCs w:val="18"/>
              </w:rPr>
            </w:pP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exact"/>
        <w:ind w:left="210" w:leftChars="100"/>
        <w:textAlignment w:val="auto"/>
        <w:rPr>
          <w:rFonts w:hint="eastAsia" w:ascii="宋体" w:hAnsi="宋体" w:eastAsia="宋体" w:cs="宋体"/>
          <w:b w:val="0"/>
          <w:bCs w:val="0"/>
          <w:szCs w:val="21"/>
        </w:rPr>
      </w:pPr>
      <w:r>
        <w:rPr>
          <w:rFonts w:hint="eastAsia" w:ascii="宋体" w:hAnsi="宋体" w:eastAsia="宋体" w:cs="宋体"/>
          <w:b w:val="0"/>
          <w:bCs w:val="0"/>
          <w:szCs w:val="21"/>
        </w:rPr>
        <w:t>注：1、本工程一旦我单位中标，将配备上述项目管理人员。上述填报内容真实，如不真实，将按照有关规定接受处理。</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420" w:firstLineChars="200"/>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rPr>
        <w:t>2、承包人若需要更换本工程投标文件中原有人员时须经发包人同意。未经发包人同意，承包人更换人员，承包人应承担违约责任。</w:t>
      </w:r>
    </w:p>
    <w:p>
      <w:pPr>
        <w:spacing w:line="240" w:lineRule="atLeast"/>
        <w:jc w:val="left"/>
        <w:outlineLvl w:val="1"/>
        <w:rPr>
          <w:rFonts w:hint="eastAsia" w:ascii="宋体" w:hAnsi="宋体" w:eastAsia="宋体" w:cs="宋体"/>
          <w:b w:val="0"/>
          <w:bCs/>
          <w:color w:val="auto"/>
          <w:kern w:val="0"/>
          <w:sz w:val="24"/>
          <w:szCs w:val="20"/>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480" w:firstLineChars="200"/>
        <w:textAlignment w:val="auto"/>
        <w:rPr>
          <w:rFonts w:hint="eastAsia" w:ascii="宋体" w:hAnsi="宋体" w:eastAsia="宋体" w:cs="宋体"/>
          <w:b w:val="0"/>
          <w:bCs w:val="0"/>
          <w:kern w:val="0"/>
          <w:szCs w:val="21"/>
        </w:rPr>
      </w:pPr>
      <w:r>
        <w:rPr>
          <w:rFonts w:hint="eastAsia" w:ascii="宋体" w:hAnsi="宋体" w:eastAsia="宋体" w:cs="宋体"/>
          <w:b w:val="0"/>
          <w:bCs/>
          <w:color w:val="auto"/>
          <w:sz w:val="24"/>
        </w:rPr>
        <w:br w:type="page"/>
      </w:r>
      <w:bookmarkStart w:id="404" w:name="_Toc13385"/>
      <w:bookmarkStart w:id="405" w:name="_Toc29345"/>
      <w:bookmarkStart w:id="406" w:name="_Toc29160"/>
      <w:bookmarkStart w:id="407" w:name="_Toc8073"/>
      <w:bookmarkStart w:id="408" w:name="_Toc24705"/>
      <w:bookmarkStart w:id="409" w:name="_Toc2099"/>
      <w:bookmarkStart w:id="410" w:name="_Toc25307"/>
      <w:bookmarkStart w:id="411" w:name="_Toc20471"/>
    </w:p>
    <w:p>
      <w:pPr>
        <w:spacing w:line="240" w:lineRule="atLeast"/>
        <w:jc w:val="left"/>
        <w:outlineLvl w:val="1"/>
        <w:rPr>
          <w:rFonts w:hint="eastAsia" w:ascii="宋体" w:hAnsi="宋体" w:eastAsia="宋体" w:cs="宋体"/>
          <w:b w:val="0"/>
          <w:bCs/>
          <w:color w:val="auto"/>
          <w:kern w:val="0"/>
          <w:sz w:val="24"/>
          <w:szCs w:val="20"/>
          <w:lang w:val="en-US" w:eastAsia="zh-CN"/>
        </w:rPr>
      </w:pPr>
    </w:p>
    <w:p>
      <w:pPr>
        <w:spacing w:line="42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（二）主要人员简历表</w:t>
      </w:r>
    </w:p>
    <w:p>
      <w:pPr>
        <w:spacing w:line="420" w:lineRule="exact"/>
        <w:rPr>
          <w:rFonts w:hint="eastAsia" w:ascii="宋体" w:hAnsi="宋体" w:eastAsia="宋体" w:cs="宋体"/>
          <w:b w:val="0"/>
          <w:bCs w:val="0"/>
          <w:szCs w:val="21"/>
        </w:rPr>
      </w:pPr>
      <w:r>
        <w:rPr>
          <w:rFonts w:hint="eastAsia" w:ascii="宋体" w:hAnsi="宋体" w:eastAsia="宋体" w:cs="宋体"/>
          <w:b w:val="0"/>
          <w:bCs w:val="0"/>
          <w:szCs w:val="21"/>
        </w:rPr>
        <w:t>附1：项目经理简历表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Cs w:val="21"/>
        </w:rPr>
      </w:pPr>
      <w:r>
        <w:rPr>
          <w:rFonts w:hint="eastAsia" w:ascii="宋体" w:hAnsi="宋体" w:eastAsia="宋体" w:cs="宋体"/>
          <w:b w:val="0"/>
          <w:bCs w:val="0"/>
          <w:szCs w:val="21"/>
        </w:rPr>
        <w:t xml:space="preserve">    项目经理应附建造师执业资格证书、注册证书、身份证、职称证、学历证复印件及未担任其他在施建设工程项目项目经理的承诺书，管理过的项目业绩须附中标通知书、合同协议书复印件。类似项目限于以项目经理身份参与的项目。</w:t>
      </w:r>
    </w:p>
    <w:tbl>
      <w:tblPr>
        <w:tblStyle w:val="37"/>
        <w:tblW w:w="8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368"/>
        <w:gridCol w:w="1750"/>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姓  名</w:t>
            </w: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年  龄</w:t>
            </w: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学历</w:t>
            </w:r>
          </w:p>
        </w:tc>
        <w:tc>
          <w:tcPr>
            <w:tcW w:w="2061" w:type="dxa"/>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职  称</w:t>
            </w: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职  务</w:t>
            </w: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拟在本工程任职</w:t>
            </w:r>
          </w:p>
        </w:tc>
        <w:tc>
          <w:tcPr>
            <w:tcW w:w="2061"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注册建造师执业资格等级</w:t>
            </w:r>
          </w:p>
        </w:tc>
        <w:tc>
          <w:tcPr>
            <w:tcW w:w="1368"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级</w:t>
            </w: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建造师专业</w:t>
            </w:r>
          </w:p>
        </w:tc>
        <w:tc>
          <w:tcPr>
            <w:tcW w:w="2061" w:type="dxa"/>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安全生产考核合格证书</w:t>
            </w:r>
          </w:p>
        </w:tc>
        <w:tc>
          <w:tcPr>
            <w:tcW w:w="5179" w:type="dxa"/>
            <w:gridSpan w:val="3"/>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毕业学校</w:t>
            </w:r>
          </w:p>
        </w:tc>
        <w:tc>
          <w:tcPr>
            <w:tcW w:w="7348" w:type="dxa"/>
            <w:gridSpan w:val="5"/>
            <w:noWrap w:val="0"/>
            <w:vAlign w:val="center"/>
          </w:tcPr>
          <w:p>
            <w:pPr>
              <w:ind w:firstLine="840" w:firstLineChars="400"/>
              <w:rPr>
                <w:rFonts w:hint="eastAsia" w:ascii="宋体" w:hAnsi="宋体" w:eastAsia="宋体" w:cs="宋体"/>
                <w:b w:val="0"/>
                <w:bCs w:val="0"/>
                <w:sz w:val="21"/>
                <w:szCs w:val="21"/>
              </w:rPr>
            </w:pPr>
            <w:r>
              <w:rPr>
                <w:rFonts w:hint="eastAsia" w:ascii="宋体" w:hAnsi="宋体" w:eastAsia="宋体" w:cs="宋体"/>
                <w:b w:val="0"/>
                <w:bCs w:val="0"/>
                <w:sz w:val="21"/>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0" w:type="dxa"/>
            <w:gridSpan w:val="6"/>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时  间</w:t>
            </w:r>
          </w:p>
        </w:tc>
        <w:tc>
          <w:tcPr>
            <w:tcW w:w="3537" w:type="dxa"/>
            <w:gridSpan w:val="3"/>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参加过的类似项目名称</w:t>
            </w: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工程概况说明</w:t>
            </w:r>
          </w:p>
        </w:tc>
        <w:tc>
          <w:tcPr>
            <w:tcW w:w="2061"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92" w:type="dxa"/>
            <w:noWrap w:val="0"/>
            <w:vAlign w:val="center"/>
          </w:tcPr>
          <w:p>
            <w:pPr>
              <w:jc w:val="center"/>
              <w:rPr>
                <w:rFonts w:hint="eastAsia" w:ascii="宋体" w:hAnsi="宋体" w:eastAsia="宋体" w:cs="宋体"/>
                <w:b w:val="0"/>
                <w:bCs w:val="0"/>
                <w:sz w:val="21"/>
                <w:szCs w:val="21"/>
              </w:rPr>
            </w:pP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p>
        </w:tc>
        <w:tc>
          <w:tcPr>
            <w:tcW w:w="2061" w:type="dxa"/>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92" w:type="dxa"/>
            <w:noWrap w:val="0"/>
            <w:vAlign w:val="center"/>
          </w:tcPr>
          <w:p>
            <w:pPr>
              <w:jc w:val="center"/>
              <w:rPr>
                <w:rFonts w:hint="eastAsia" w:ascii="宋体" w:hAnsi="宋体" w:eastAsia="宋体" w:cs="宋体"/>
                <w:b w:val="0"/>
                <w:bCs w:val="0"/>
                <w:sz w:val="21"/>
                <w:szCs w:val="21"/>
              </w:rPr>
            </w:pP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p>
        </w:tc>
        <w:tc>
          <w:tcPr>
            <w:tcW w:w="2061" w:type="dxa"/>
            <w:noWrap w:val="0"/>
            <w:vAlign w:val="center"/>
          </w:tcPr>
          <w:p>
            <w:pPr>
              <w:jc w:val="center"/>
              <w:rPr>
                <w:rFonts w:hint="eastAsia" w:ascii="宋体" w:hAnsi="宋体" w:eastAsia="宋体" w:cs="宋体"/>
                <w:b w:val="0"/>
                <w:bCs w:val="0"/>
                <w:sz w:val="21"/>
                <w:szCs w:val="21"/>
              </w:rPr>
            </w:pPr>
          </w:p>
        </w:tc>
      </w:tr>
    </w:tbl>
    <w:p>
      <w:pPr>
        <w:pStyle w:val="19"/>
        <w:spacing w:line="240" w:lineRule="auto"/>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注： </w:t>
      </w:r>
      <w:r>
        <w:rPr>
          <w:rFonts w:hint="eastAsia" w:ascii="宋体" w:hAnsi="宋体" w:eastAsia="宋体" w:cs="宋体"/>
          <w:b w:val="0"/>
          <w:bCs w:val="0"/>
          <w:kern w:val="0"/>
          <w:sz w:val="21"/>
          <w:szCs w:val="21"/>
        </w:rPr>
        <w:t>承包人若需要更换本工程投标文件中原有建造师及人员时须经发包人同意。未经发包人同意，承包人更换人员，承包人应承担违约责任。</w:t>
      </w:r>
    </w:p>
    <w:p>
      <w:pPr>
        <w:keepNext w:val="0"/>
        <w:keepLines w:val="0"/>
        <w:pageBreakBefore w:val="0"/>
        <w:widowControl w:val="0"/>
        <w:kinsoku/>
        <w:wordWrap/>
        <w:overflowPunct/>
        <w:topLinePunct w:val="0"/>
        <w:autoSpaceDE/>
        <w:autoSpaceDN/>
        <w:bidi w:val="0"/>
        <w:adjustRightInd/>
        <w:snapToGrid/>
        <w:spacing w:line="320" w:lineRule="exact"/>
        <w:ind w:right="-19" w:rightChars="-9"/>
        <w:textAlignment w:val="auto"/>
        <w:rPr>
          <w:rFonts w:hint="eastAsia" w:ascii="宋体" w:hAnsi="宋体" w:eastAsia="宋体" w:cs="宋体"/>
          <w:b w:val="0"/>
          <w:bCs/>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right="-19" w:rightChars="-9"/>
        <w:textAlignment w:val="auto"/>
        <w:rPr>
          <w:rFonts w:hint="eastAsia" w:ascii="宋体" w:hAnsi="宋体" w:eastAsia="宋体" w:cs="宋体"/>
          <w:b w:val="0"/>
          <w:bCs/>
          <w:color w:val="auto"/>
          <w:sz w:val="21"/>
          <w:szCs w:val="21"/>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 xml:space="preserve"> </w:t>
      </w:r>
      <w:r>
        <w:rPr>
          <w:rFonts w:hint="eastAsia" w:ascii="宋体" w:hAnsi="宋体" w:eastAsia="宋体" w:cs="宋体"/>
          <w:b w:val="0"/>
          <w:bCs/>
          <w:color w:val="auto"/>
          <w:sz w:val="21"/>
          <w:szCs w:val="21"/>
        </w:rPr>
        <w:t>主要项目管理人员简历表</w:t>
      </w:r>
    </w:p>
    <w:p>
      <w:pPr>
        <w:keepNext w:val="0"/>
        <w:keepLines w:val="0"/>
        <w:pageBreakBefore w:val="0"/>
        <w:widowControl w:val="0"/>
        <w:kinsoku/>
        <w:wordWrap/>
        <w:overflowPunct/>
        <w:topLinePunct w:val="0"/>
        <w:autoSpaceDE/>
        <w:autoSpaceDN/>
        <w:bidi w:val="0"/>
        <w:adjustRightInd/>
        <w:snapToGrid/>
        <w:spacing w:line="320" w:lineRule="exact"/>
        <w:ind w:right="-19" w:rightChars="-9"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主要项目管理人员指项目副经理、技术负责人、专职安全生产管理人员等岗位人员。应附注册资格证书、身份证、养老保险复印件，专职安全生产管理人员应附安全生产考核合格证书，主要业绩须附合同协议书。</w:t>
      </w:r>
    </w:p>
    <w:tbl>
      <w:tblPr>
        <w:tblStyle w:val="3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36"/>
        <w:gridCol w:w="3030"/>
        <w:gridCol w:w="1651"/>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0" w:type="dxa"/>
            <w:gridSpan w:val="5"/>
            <w:noWrap w:val="0"/>
            <w:vAlign w:val="center"/>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center"/>
          </w:tcPr>
          <w:p>
            <w:pPr>
              <w:spacing w:line="440" w:lineRule="exact"/>
              <w:ind w:right="-19" w:rightChars="-9"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姓  名</w:t>
            </w:r>
          </w:p>
        </w:tc>
        <w:tc>
          <w:tcPr>
            <w:tcW w:w="3030" w:type="dxa"/>
            <w:noWrap w:val="0"/>
            <w:vAlign w:val="center"/>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center"/>
          </w:tcPr>
          <w:p>
            <w:pPr>
              <w:spacing w:line="440" w:lineRule="exact"/>
              <w:ind w:right="-19" w:rightChars="-9"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年 龄</w:t>
            </w:r>
          </w:p>
        </w:tc>
        <w:tc>
          <w:tcPr>
            <w:tcW w:w="1693" w:type="dxa"/>
            <w:noWrap w:val="0"/>
            <w:vAlign w:val="center"/>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top"/>
          </w:tcPr>
          <w:p>
            <w:pPr>
              <w:spacing w:line="440" w:lineRule="exact"/>
              <w:ind w:right="-19" w:rightChars="-9"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性  别</w:t>
            </w:r>
          </w:p>
        </w:tc>
        <w:tc>
          <w:tcPr>
            <w:tcW w:w="3030" w:type="dxa"/>
            <w:noWrap w:val="0"/>
            <w:vAlign w:val="top"/>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毕业学校</w:t>
            </w:r>
          </w:p>
        </w:tc>
        <w:tc>
          <w:tcPr>
            <w:tcW w:w="1693" w:type="dxa"/>
            <w:noWrap w:val="0"/>
            <w:vAlign w:val="top"/>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学历和专业</w:t>
            </w:r>
          </w:p>
        </w:tc>
        <w:tc>
          <w:tcPr>
            <w:tcW w:w="3030" w:type="dxa"/>
            <w:noWrap w:val="0"/>
            <w:vAlign w:val="top"/>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毕业时间</w:t>
            </w:r>
          </w:p>
        </w:tc>
        <w:tc>
          <w:tcPr>
            <w:tcW w:w="1693" w:type="dxa"/>
            <w:noWrap w:val="0"/>
            <w:vAlign w:val="top"/>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拥有的执业资格</w:t>
            </w:r>
          </w:p>
        </w:tc>
        <w:tc>
          <w:tcPr>
            <w:tcW w:w="3030" w:type="dxa"/>
            <w:noWrap w:val="0"/>
            <w:vAlign w:val="top"/>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专业职称</w:t>
            </w:r>
          </w:p>
        </w:tc>
        <w:tc>
          <w:tcPr>
            <w:tcW w:w="1693" w:type="dxa"/>
            <w:noWrap w:val="0"/>
            <w:vAlign w:val="top"/>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center"/>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执业资格证书编号</w:t>
            </w:r>
          </w:p>
        </w:tc>
        <w:tc>
          <w:tcPr>
            <w:tcW w:w="3030" w:type="dxa"/>
            <w:noWrap w:val="0"/>
            <w:vAlign w:val="center"/>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center"/>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工作年限</w:t>
            </w:r>
          </w:p>
        </w:tc>
        <w:tc>
          <w:tcPr>
            <w:tcW w:w="1693" w:type="dxa"/>
            <w:noWrap w:val="0"/>
            <w:vAlign w:val="center"/>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主要工作</w:t>
            </w:r>
          </w:p>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业绩及担</w:t>
            </w:r>
          </w:p>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任的主要</w:t>
            </w:r>
          </w:p>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w:t>
            </w:r>
          </w:p>
        </w:tc>
        <w:tc>
          <w:tcPr>
            <w:tcW w:w="7210" w:type="dxa"/>
            <w:gridSpan w:val="4"/>
            <w:noWrap w:val="0"/>
            <w:vAlign w:val="center"/>
          </w:tcPr>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spacing w:line="440" w:lineRule="exact"/>
              <w:ind w:right="-19" w:rightChars="-9"/>
              <w:rPr>
                <w:rFonts w:hint="eastAsia" w:ascii="宋体" w:hAnsi="宋体" w:eastAsia="宋体" w:cs="宋体"/>
                <w:b w:val="0"/>
                <w:bCs/>
                <w:color w:val="auto"/>
                <w:sz w:val="21"/>
                <w:szCs w:val="21"/>
              </w:rPr>
            </w:pPr>
          </w:p>
        </w:tc>
      </w:tr>
    </w:tbl>
    <w:p>
      <w:pPr>
        <w:pStyle w:val="23"/>
        <w:tabs>
          <w:tab w:val="left" w:pos="1260"/>
          <w:tab w:val="right" w:leader="dot" w:pos="8302"/>
        </w:tabs>
        <w:ind w:firstLine="240" w:firstLineChars="100"/>
        <w:rPr>
          <w:rFonts w:hint="eastAsia" w:ascii="宋体" w:hAnsi="宋体" w:cs="宋体"/>
          <w:sz w:val="24"/>
          <w:lang w:val="en-US" w:eastAsia="zh-CN"/>
        </w:rPr>
      </w:pPr>
    </w:p>
    <w:p>
      <w:pPr>
        <w:pStyle w:val="23"/>
        <w:tabs>
          <w:tab w:val="left" w:pos="1260"/>
          <w:tab w:val="right" w:leader="dot" w:pos="8302"/>
        </w:tabs>
        <w:ind w:firstLine="240" w:firstLineChars="100"/>
        <w:rPr>
          <w:rFonts w:hint="eastAsia" w:ascii="宋体" w:hAnsi="宋体" w:cs="宋体"/>
          <w:sz w:val="24"/>
          <w:lang w:val="en-US" w:eastAsia="zh-CN"/>
        </w:rPr>
      </w:pPr>
    </w:p>
    <w:p>
      <w:pPr>
        <w:pStyle w:val="23"/>
        <w:numPr>
          <w:ilvl w:val="0"/>
          <w:numId w:val="0"/>
        </w:numPr>
        <w:tabs>
          <w:tab w:val="left" w:pos="1260"/>
          <w:tab w:val="right" w:leader="dot" w:pos="8302"/>
        </w:tabs>
        <w:rPr>
          <w:rFonts w:hint="eastAsia" w:ascii="宋体" w:hAnsi="宋体" w:cs="宋体"/>
          <w:sz w:val="24"/>
          <w:lang w:val="en-US" w:eastAsia="zh-CN"/>
        </w:rPr>
      </w:pPr>
    </w:p>
    <w:p>
      <w:pPr>
        <w:pStyle w:val="23"/>
        <w:numPr>
          <w:ilvl w:val="0"/>
          <w:numId w:val="0"/>
        </w:numPr>
        <w:tabs>
          <w:tab w:val="left" w:pos="1260"/>
          <w:tab w:val="right" w:leader="dot" w:pos="8302"/>
        </w:tabs>
        <w:rPr>
          <w:rFonts w:hint="eastAsia" w:ascii="宋体" w:hAnsi="宋体" w:cs="宋体"/>
          <w:b/>
          <w:bCs/>
          <w:sz w:val="24"/>
          <w:lang w:val="en-US" w:eastAsia="zh-CN"/>
        </w:rPr>
      </w:pPr>
    </w:p>
    <w:p>
      <w:pPr>
        <w:pStyle w:val="23"/>
        <w:numPr>
          <w:ilvl w:val="0"/>
          <w:numId w:val="0"/>
        </w:numPr>
        <w:tabs>
          <w:tab w:val="left" w:pos="1260"/>
          <w:tab w:val="right" w:leader="dot" w:pos="8302"/>
        </w:tabs>
        <w:rPr>
          <w:rFonts w:hint="eastAsia" w:ascii="宋体" w:hAnsi="宋体" w:eastAsia="宋体" w:cs="宋体"/>
          <w:b/>
          <w:bCs/>
          <w:sz w:val="24"/>
          <w:lang w:val="en-US" w:eastAsia="zh-CN"/>
        </w:rPr>
      </w:pPr>
      <w:r>
        <w:rPr>
          <w:rFonts w:hint="eastAsia" w:ascii="宋体" w:hAnsi="宋体" w:cs="宋体"/>
          <w:b/>
          <w:bCs/>
          <w:sz w:val="24"/>
          <w:lang w:val="en-US" w:eastAsia="zh-CN"/>
        </w:rPr>
        <w:t>10.</w:t>
      </w:r>
      <w:r>
        <w:rPr>
          <w:rFonts w:hint="eastAsia" w:ascii="宋体" w:hAnsi="宋体" w:eastAsia="宋体" w:cs="宋体"/>
          <w:b/>
          <w:bCs/>
          <w:sz w:val="24"/>
          <w:lang w:val="en-US" w:eastAsia="zh-CN"/>
        </w:rPr>
        <w:t>投标人类似项目业绩</w:t>
      </w:r>
    </w:p>
    <w:p>
      <w:pPr>
        <w:pStyle w:val="35"/>
        <w:jc w:val="center"/>
        <w:rPr>
          <w:rFonts w:hint="eastAsia"/>
          <w:b w:val="0"/>
          <w:bCs/>
          <w:sz w:val="24"/>
          <w:szCs w:val="24"/>
        </w:rPr>
      </w:pPr>
      <w:r>
        <w:rPr>
          <w:rFonts w:hint="eastAsia" w:ascii="宋体" w:hAnsi="宋体" w:eastAsia="宋体" w:cs="宋体"/>
          <w:b w:val="0"/>
          <w:bCs/>
          <w:color w:val="auto"/>
          <w:sz w:val="24"/>
          <w:szCs w:val="24"/>
          <w:lang w:val="en-US" w:eastAsia="zh-CN"/>
        </w:rPr>
        <w:t>投标人类似项目业绩</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项目名称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项目所在地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发包人名称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发包人地址</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发包人联系人及电话</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合同价格</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开工日期</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竣工日期</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承担的工作</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工程质量</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项目</w:t>
            </w:r>
            <w:r>
              <w:rPr>
                <w:rFonts w:hint="eastAsia" w:ascii="宋体" w:hAnsi="宋体" w:eastAsia="宋体" w:cs="宋体"/>
                <w:b w:val="0"/>
                <w:bCs/>
                <w:color w:val="auto"/>
                <w:sz w:val="21"/>
                <w:szCs w:val="21"/>
                <w:lang w:eastAsia="zh-CN"/>
              </w:rPr>
              <w:t>负责人</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技术负责人</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总监理工程师及电话</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项目描述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备注</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bl>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备注：1、类似项目指</w:t>
      </w:r>
      <w:r>
        <w:rPr>
          <w:rFonts w:hint="eastAsia" w:ascii="宋体" w:hAnsi="宋体" w:eastAsia="宋体" w:cs="宋体"/>
          <w:b w:val="0"/>
          <w:bCs/>
          <w:color w:val="auto"/>
          <w:sz w:val="21"/>
          <w:szCs w:val="21"/>
          <w:u w:val="single"/>
        </w:rPr>
        <w:t xml:space="preserve">   建设规模、结构类型、使用功能相似     </w:t>
      </w:r>
      <w:r>
        <w:rPr>
          <w:rFonts w:hint="eastAsia" w:ascii="宋体" w:hAnsi="宋体" w:eastAsia="宋体" w:cs="宋体"/>
          <w:b w:val="0"/>
          <w:bCs/>
          <w:color w:val="auto"/>
          <w:sz w:val="21"/>
          <w:szCs w:val="21"/>
        </w:rPr>
        <w:t>工程。</w:t>
      </w:r>
    </w:p>
    <w:p>
      <w:pPr>
        <w:spacing w:line="440" w:lineRule="exact"/>
        <w:ind w:right="-19" w:rightChars="-9"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2、本表后附中标通知书、合同、五方单位竣工验收意见表的复印件，具体年份要求见投标人须知前附表。每张表格只填写一个项目，并标明序号。</w:t>
      </w:r>
    </w:p>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rPr>
        <w:t xml:space="preserve">                                 </w:t>
      </w: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投标人：（盖章）</w:t>
      </w:r>
    </w:p>
    <w:p>
      <w:pPr>
        <w:spacing w:line="440" w:lineRule="exact"/>
        <w:ind w:right="-19" w:rightChars="-9" w:firstLine="3885" w:firstLineChars="185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法定代表人或投标授权代理人：（签字或盖章）</w:t>
      </w:r>
    </w:p>
    <w:p>
      <w:pPr>
        <w:ind w:right="-19" w:rightChars="-9" w:firstLine="1365" w:firstLineChars="65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w:t>
      </w:r>
    </w:p>
    <w:p>
      <w:pPr>
        <w:ind w:right="-19" w:rightChars="-9" w:firstLine="1365" w:firstLineChars="650"/>
        <w:jc w:val="righ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日</w:t>
      </w:r>
    </w:p>
    <w:p>
      <w:pPr>
        <w:spacing w:line="240" w:lineRule="atLeast"/>
        <w:jc w:val="left"/>
        <w:outlineLvl w:val="1"/>
        <w:rPr>
          <w:rFonts w:hint="eastAsia" w:ascii="宋体" w:hAnsi="宋体" w:eastAsia="宋体" w:cs="宋体"/>
          <w:b w:val="0"/>
          <w:bCs/>
          <w:color w:val="auto"/>
          <w:kern w:val="0"/>
          <w:sz w:val="24"/>
          <w:szCs w:val="20"/>
          <w:lang w:val="en-US" w:eastAsia="zh-CN"/>
        </w:rPr>
      </w:pPr>
    </w:p>
    <w:p>
      <w:pPr>
        <w:spacing w:line="240" w:lineRule="atLeast"/>
        <w:jc w:val="left"/>
        <w:outlineLvl w:val="1"/>
        <w:rPr>
          <w:rFonts w:hint="eastAsia" w:ascii="宋体" w:hAnsi="宋体" w:eastAsia="宋体" w:cs="宋体"/>
          <w:b w:val="0"/>
          <w:bCs/>
          <w:color w:val="auto"/>
          <w:kern w:val="0"/>
          <w:sz w:val="24"/>
          <w:szCs w:val="20"/>
          <w:lang w:val="en-US" w:eastAsia="zh-CN"/>
        </w:rPr>
      </w:pPr>
    </w:p>
    <w:p>
      <w:pPr>
        <w:spacing w:line="240" w:lineRule="atLeast"/>
        <w:jc w:val="left"/>
        <w:outlineLvl w:val="1"/>
        <w:rPr>
          <w:rFonts w:hint="eastAsia" w:ascii="宋体" w:hAnsi="宋体" w:eastAsia="宋体" w:cs="宋体"/>
          <w:b/>
          <w:bCs w:val="0"/>
          <w:color w:val="auto"/>
          <w:sz w:val="24"/>
          <w:szCs w:val="24"/>
          <w:lang w:val="en-US" w:eastAsia="zh-CN"/>
        </w:rPr>
      </w:pPr>
    </w:p>
    <w:p>
      <w:pPr>
        <w:spacing w:line="240" w:lineRule="atLeast"/>
        <w:jc w:val="left"/>
        <w:outlineLvl w:val="1"/>
        <w:rPr>
          <w:rFonts w:hint="eastAsia" w:ascii="宋体" w:hAnsi="宋体" w:eastAsia="宋体" w:cs="宋体"/>
          <w:b/>
          <w:bCs w:val="0"/>
          <w:color w:val="auto"/>
          <w:sz w:val="24"/>
          <w:szCs w:val="24"/>
          <w:lang w:val="en-US" w:eastAsia="zh-CN"/>
        </w:rPr>
      </w:pPr>
    </w:p>
    <w:p>
      <w:pPr>
        <w:spacing w:line="240" w:lineRule="atLeast"/>
        <w:jc w:val="left"/>
        <w:outlineLvl w:val="1"/>
        <w:rPr>
          <w:rFonts w:hint="eastAsia" w:ascii="宋体" w:hAnsi="宋体" w:eastAsia="宋体" w:cs="宋体"/>
          <w:b/>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实施</w:t>
      </w:r>
      <w:r>
        <w:rPr>
          <w:rFonts w:hint="eastAsia" w:ascii="宋体" w:hAnsi="宋体" w:eastAsia="宋体" w:cs="宋体"/>
          <w:b/>
          <w:bCs w:val="0"/>
          <w:color w:val="auto"/>
          <w:sz w:val="24"/>
          <w:lang w:val="en-US" w:eastAsia="zh-CN"/>
        </w:rPr>
        <w:t>方案</w:t>
      </w:r>
    </w:p>
    <w:p>
      <w:pPr>
        <w:keepNext w:val="0"/>
        <w:keepLines w:val="0"/>
        <w:pageBreakBefore w:val="0"/>
        <w:widowControl w:val="0"/>
        <w:kinsoku/>
        <w:wordWrap/>
        <w:overflowPunct/>
        <w:topLinePunct w:val="0"/>
        <w:autoSpaceDE/>
        <w:autoSpaceDN/>
        <w:bidi w:val="0"/>
        <w:adjustRightInd/>
        <w:snapToGrid/>
        <w:spacing w:line="32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11.1</w:t>
      </w:r>
      <w:r>
        <w:rPr>
          <w:rFonts w:hint="eastAsia" w:ascii="宋体" w:hAnsi="宋体" w:eastAsia="宋体" w:cs="宋体"/>
          <w:b/>
          <w:bCs w:val="0"/>
          <w:color w:val="auto"/>
          <w:sz w:val="24"/>
        </w:rPr>
        <w:t>施工方案与技术措施；</w:t>
      </w:r>
    </w:p>
    <w:p>
      <w:pPr>
        <w:pStyle w:val="4"/>
        <w:pageBreakBefore w:val="0"/>
        <w:widowControl w:val="0"/>
        <w:kinsoku/>
        <w:wordWrap/>
        <w:overflowPunct/>
        <w:topLinePunct w:val="0"/>
        <w:bidi w:val="0"/>
        <w:snapToGrid/>
        <w:spacing w:line="32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施工总体构思的体现，应包含本工程的工程概况，施工平面布置及依据，有利于为完成本招标文件的工程内容和工期、质量、安全等要求，体现实现技术目标的可行性、先进性、协调性等总体的情况部署方案及技术措施等。</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2</w:t>
      </w:r>
      <w:r>
        <w:rPr>
          <w:rFonts w:hint="eastAsia" w:ascii="宋体" w:hAnsi="宋体" w:eastAsia="宋体" w:cs="宋体"/>
          <w:b/>
          <w:bCs w:val="0"/>
          <w:color w:val="auto"/>
          <w:sz w:val="24"/>
        </w:rPr>
        <w:t>质量保证措施和创优计划；</w:t>
      </w:r>
    </w:p>
    <w:p>
      <w:pPr>
        <w:keepNext w:val="0"/>
        <w:keepLines w:val="0"/>
        <w:pageBreakBefore w:val="0"/>
        <w:widowControl w:val="0"/>
        <w:kinsoku/>
        <w:wordWrap/>
        <w:overflowPunct/>
        <w:topLinePunct w:val="0"/>
        <w:autoSpaceDE/>
        <w:autoSpaceDN/>
        <w:bidi w:val="0"/>
        <w:adjustRightInd/>
        <w:snapToGrid/>
        <w:spacing w:line="340" w:lineRule="exact"/>
        <w:ind w:right="-19" w:rightChars="-9"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施工的合理性，工的质量、安全、环境管理体系与措施，资源配备计划，设备及劳动力配置等框架结构施工所涉及的所有技术及管理内容，并保证按期、优质、经济的完成本工程施工。</w:t>
      </w:r>
    </w:p>
    <w:p>
      <w:pPr>
        <w:keepNext w:val="0"/>
        <w:keepLines w:val="0"/>
        <w:pageBreakBefore w:val="0"/>
        <w:widowControl w:val="0"/>
        <w:kinsoku/>
        <w:wordWrap/>
        <w:overflowPunct/>
        <w:topLinePunct w:val="0"/>
        <w:autoSpaceDE/>
        <w:autoSpaceDN/>
        <w:bidi w:val="0"/>
        <w:adjustRightInd/>
        <w:snapToGrid/>
        <w:spacing w:line="30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3</w:t>
      </w:r>
      <w:r>
        <w:rPr>
          <w:rFonts w:hint="eastAsia" w:ascii="宋体" w:hAnsi="宋体" w:eastAsia="宋体" w:cs="宋体"/>
          <w:b/>
          <w:bCs w:val="0"/>
          <w:color w:val="auto"/>
          <w:sz w:val="24"/>
        </w:rPr>
        <w:t>施工总进度计划及保证措施；</w:t>
      </w:r>
    </w:p>
    <w:p>
      <w:pPr>
        <w:pStyle w:val="4"/>
        <w:pageBreakBefore w:val="0"/>
        <w:widowControl w:val="0"/>
        <w:kinsoku/>
        <w:wordWrap/>
        <w:overflowPunct/>
        <w:topLinePunct w:val="0"/>
        <w:bidi w:val="0"/>
        <w:snapToGrid/>
        <w:spacing w:line="300" w:lineRule="exact"/>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施工进度安排，工期安排的指导思想、依据、保证管理措施、实施方案及工期要素的影响。</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4</w:t>
      </w:r>
      <w:r>
        <w:rPr>
          <w:rFonts w:hint="eastAsia" w:ascii="宋体" w:hAnsi="宋体" w:eastAsia="宋体" w:cs="宋体"/>
          <w:b/>
          <w:bCs w:val="0"/>
          <w:color w:val="auto"/>
          <w:sz w:val="24"/>
        </w:rPr>
        <w:t>施工安全措施计划；</w:t>
      </w:r>
    </w:p>
    <w:p>
      <w:pPr>
        <w:pStyle w:val="25"/>
        <w:pageBreakBefore w:val="0"/>
        <w:widowControl w:val="0"/>
        <w:kinsoku/>
        <w:wordWrap/>
        <w:overflowPunct/>
        <w:topLinePunct w:val="0"/>
        <w:bidi w:val="0"/>
        <w:snapToGrid/>
        <w:spacing w:line="340" w:lineRule="exact"/>
        <w:ind w:left="0" w:leftChars="0" w:firstLine="0" w:firstLineChars="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val="0"/>
          <w:color w:val="auto"/>
          <w:sz w:val="21"/>
          <w:szCs w:val="21"/>
          <w:lang w:eastAsia="zh-CN"/>
        </w:rPr>
        <w:t>其内容应包括施工安全机构的设置、专职安全人员的配备，以及防洪、防火、防毒、防噪声、防爆破烟尘、救护、警报、治安和炸药管理等。施工安全措施的项目和范围，还应符合国家颁发的《安全技术措施计划的项目总名称表》。</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5</w:t>
      </w:r>
      <w:r>
        <w:rPr>
          <w:rFonts w:hint="eastAsia" w:ascii="宋体" w:hAnsi="宋体" w:eastAsia="宋体" w:cs="宋体"/>
          <w:b/>
          <w:bCs w:val="0"/>
          <w:color w:val="auto"/>
          <w:sz w:val="24"/>
        </w:rPr>
        <w:t>文明施工措施计划；</w:t>
      </w:r>
    </w:p>
    <w:p>
      <w:pPr>
        <w:keepNext w:val="0"/>
        <w:keepLines w:val="0"/>
        <w:pageBreakBefore w:val="0"/>
        <w:widowControl w:val="0"/>
        <w:tabs>
          <w:tab w:val="left" w:pos="4965"/>
        </w:tabs>
        <w:kinsoku/>
        <w:wordWrap/>
        <w:overflowPunct/>
        <w:topLinePunct w:val="0"/>
        <w:bidi w:val="0"/>
        <w:adjustRightInd w:val="0"/>
        <w:snapToGrid/>
        <w:spacing w:line="340" w:lineRule="exact"/>
        <w:ind w:firstLine="420" w:firstLineChars="200"/>
        <w:textAlignment w:val="auto"/>
        <w:rPr>
          <w:rFonts w:hint="eastAsia" w:ascii="宋体" w:hAnsi="宋体" w:cs="Times New Roman"/>
          <w:b w:val="0"/>
          <w:bCs/>
          <w:color w:val="auto"/>
          <w:sz w:val="21"/>
          <w:szCs w:val="21"/>
          <w:lang w:val="en-US" w:eastAsia="zh-CN"/>
        </w:rPr>
      </w:pPr>
      <w:r>
        <w:rPr>
          <w:rFonts w:hint="eastAsia" w:ascii="宋体" w:hAnsi="宋体" w:cs="Times New Roman"/>
          <w:b w:val="0"/>
          <w:bCs/>
          <w:color w:val="auto"/>
          <w:sz w:val="21"/>
          <w:szCs w:val="21"/>
          <w:lang w:val="en-US" w:eastAsia="zh-CN"/>
        </w:rPr>
        <w:t>遵守法律及有关安全、质量、环境保护、文明施工等规定，为了加强施工安全管理、维护人身和财产的安全，在施工中必须严格执行有关文明施工安全标准化现场管理规定。</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11.6</w:t>
      </w:r>
      <w:r>
        <w:rPr>
          <w:rFonts w:hint="eastAsia" w:ascii="宋体" w:hAnsi="宋体" w:eastAsia="宋体" w:cs="宋体"/>
          <w:b/>
          <w:bCs w:val="0"/>
          <w:color w:val="auto"/>
          <w:sz w:val="24"/>
        </w:rPr>
        <w:t>施工场地治安保卫管理计划；</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治安保卫措施、治安保卫制度</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11.7施工环保措施计划；</w:t>
      </w:r>
    </w:p>
    <w:p>
      <w:pPr>
        <w:pStyle w:val="4"/>
        <w:pageBreakBefore w:val="0"/>
        <w:widowControl w:val="0"/>
        <w:kinsoku/>
        <w:wordWrap/>
        <w:overflowPunct/>
        <w:topLinePunct w:val="0"/>
        <w:bidi w:val="0"/>
        <w:snapToGrid/>
        <w:spacing w:line="340" w:lineRule="exact"/>
        <w:ind w:firstLine="420" w:firstLineChars="200"/>
        <w:jc w:val="left"/>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应包含施工环境保护措施、生态环境保护、水土保持计划、环境清理等保障工程施工顺利进行。</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11.8项目组织管理机构；</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项目组织管理机构设置及职能划分，如</w:t>
      </w:r>
      <w:r>
        <w:rPr>
          <w:rFonts w:hint="eastAsia" w:ascii="宋体" w:hAnsi="宋体" w:eastAsia="宋体" w:cs="宋体"/>
          <w:b w:val="0"/>
          <w:bCs/>
          <w:color w:val="auto"/>
          <w:sz w:val="21"/>
          <w:szCs w:val="21"/>
          <w:lang w:eastAsia="zh-CN"/>
        </w:rPr>
        <w:t>质量管理职责、各工序的协调措施、工程财务的管理、项目经理部人员组成</w:t>
      </w:r>
      <w:r>
        <w:rPr>
          <w:rFonts w:hint="eastAsia" w:ascii="宋体" w:hAnsi="宋体" w:eastAsia="宋体" w:cs="宋体"/>
          <w:b w:val="0"/>
          <w:bCs/>
          <w:color w:val="auto"/>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9</w:t>
      </w:r>
      <w:r>
        <w:rPr>
          <w:rFonts w:hint="eastAsia" w:ascii="宋体" w:hAnsi="宋体" w:eastAsia="宋体" w:cs="宋体"/>
          <w:b/>
          <w:bCs w:val="0"/>
          <w:color w:val="auto"/>
          <w:sz w:val="24"/>
        </w:rPr>
        <w:t>成品保护和工程保修工作的管理和承诺；</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1"/>
          <w:szCs w:val="21"/>
          <w:lang w:val="en-US" w:eastAsia="zh-CN"/>
        </w:rPr>
        <w:t>成品保护的目的和原则、主要管理措施、工程保修服务承诺等；</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11</w:t>
      </w:r>
      <w:r>
        <w:rPr>
          <w:rFonts w:hint="eastAsia" w:ascii="宋体" w:hAnsi="宋体" w:eastAsia="宋体" w:cs="宋体"/>
          <w:b/>
          <w:bCs w:val="0"/>
          <w:color w:val="auto"/>
          <w:sz w:val="24"/>
          <w:lang w:val="en-US" w:eastAsia="zh-CN"/>
        </w:rPr>
        <w:t>.1</w:t>
      </w:r>
      <w:r>
        <w:rPr>
          <w:rFonts w:hint="eastAsia" w:ascii="宋体" w:hAnsi="宋体" w:cs="宋体"/>
          <w:b/>
          <w:bCs w:val="0"/>
          <w:color w:val="auto"/>
          <w:sz w:val="24"/>
          <w:lang w:val="en-US" w:eastAsia="zh-CN"/>
        </w:rPr>
        <w:t>0</w:t>
      </w:r>
      <w:r>
        <w:rPr>
          <w:rFonts w:hint="eastAsia" w:ascii="宋体" w:hAnsi="宋体" w:eastAsia="宋体" w:cs="宋体"/>
          <w:b/>
          <w:bCs w:val="0"/>
          <w:color w:val="auto"/>
          <w:sz w:val="24"/>
        </w:rPr>
        <w:t>任何可能的紧急情况的处理措施、预案以及抵抗风险的措施；</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可能发生的紧急情况及预案（常见问题及其他紧急情况措施）、预防各种风险的防范和相应的措施。</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lang w:val="en-US" w:eastAsia="zh-CN"/>
        </w:rPr>
        <w:t>11.1</w:t>
      </w:r>
      <w:r>
        <w:rPr>
          <w:rFonts w:hint="eastAsia" w:hAnsi="宋体" w:cs="宋体"/>
          <w:b/>
          <w:bCs w:val="0"/>
          <w:color w:val="auto"/>
          <w:sz w:val="24"/>
          <w:lang w:val="en-US" w:eastAsia="zh-CN"/>
        </w:rPr>
        <w:t>1</w:t>
      </w:r>
      <w:r>
        <w:rPr>
          <w:rFonts w:hint="eastAsia" w:ascii="宋体" w:hAnsi="宋体" w:eastAsia="宋体" w:cs="宋体"/>
          <w:b/>
          <w:bCs w:val="0"/>
          <w:color w:val="auto"/>
          <w:sz w:val="24"/>
        </w:rPr>
        <w:t>对总包管理的认识以及对工程的配合、协调、管理、服务方案。</w:t>
      </w:r>
    </w:p>
    <w:p>
      <w:pPr>
        <w:pageBreakBefore w:val="0"/>
        <w:widowControl w:val="0"/>
        <w:kinsoku/>
        <w:wordWrap/>
        <w:overflowPunct/>
        <w:topLinePunct w:val="0"/>
        <w:bidi w:val="0"/>
        <w:snapToGrid/>
        <w:spacing w:line="340" w:lineRule="exact"/>
        <w:ind w:firstLine="480" w:firstLineChars="200"/>
        <w:jc w:val="left"/>
        <w:textAlignment w:val="auto"/>
        <w:outlineLvl w:val="1"/>
        <w:rPr>
          <w:rFonts w:hint="default" w:ascii="宋体" w:hAnsi="宋体" w:eastAsia="宋体" w:cs="宋体"/>
          <w:b/>
          <w:bCs w:val="0"/>
          <w:color w:val="auto"/>
          <w:sz w:val="24"/>
          <w:szCs w:val="24"/>
          <w:lang w:val="en-US" w:eastAsia="zh-CN"/>
        </w:rPr>
      </w:pPr>
      <w:r>
        <w:rPr>
          <w:rFonts w:hint="eastAsia" w:ascii="宋体" w:hAnsi="宋体" w:cs="宋体"/>
          <w:b w:val="0"/>
          <w:bCs/>
          <w:color w:val="auto"/>
          <w:sz w:val="24"/>
          <w:szCs w:val="24"/>
          <w:lang w:val="en-US" w:eastAsia="zh-CN"/>
        </w:rPr>
        <w:t>施工总包管理的原则、对施工总承包的理解；与业主的配合与协调措施；服务方案等。</w:t>
      </w:r>
    </w:p>
    <w:p>
      <w:pPr>
        <w:spacing w:line="240" w:lineRule="atLeast"/>
        <w:jc w:val="left"/>
        <w:outlineLvl w:val="1"/>
        <w:rPr>
          <w:rFonts w:hint="eastAsia" w:ascii="宋体" w:hAnsi="宋体" w:eastAsia="宋体" w:cs="宋体"/>
          <w:b/>
          <w:bCs w:val="0"/>
          <w:color w:val="auto"/>
          <w:sz w:val="24"/>
          <w:szCs w:val="24"/>
          <w:lang w:val="en-US" w:eastAsia="zh-CN"/>
        </w:rPr>
      </w:pPr>
    </w:p>
    <w:p>
      <w:pPr>
        <w:spacing w:line="240" w:lineRule="atLeast"/>
        <w:jc w:val="left"/>
        <w:outlineLvl w:val="1"/>
        <w:rPr>
          <w:rFonts w:hint="eastAsia" w:ascii="宋体" w:hAnsi="宋体" w:eastAsia="宋体" w:cs="宋体"/>
          <w:b/>
          <w:bCs w:val="0"/>
          <w:color w:val="auto"/>
          <w:sz w:val="24"/>
          <w:szCs w:val="24"/>
          <w:lang w:val="en-US" w:eastAsia="zh-CN"/>
        </w:rPr>
      </w:pPr>
    </w:p>
    <w:p>
      <w:pPr>
        <w:spacing w:line="240" w:lineRule="atLeast"/>
        <w:jc w:val="left"/>
        <w:outlineLvl w:val="1"/>
        <w:rPr>
          <w:rFonts w:hint="eastAsia" w:ascii="宋体" w:hAnsi="宋体" w:eastAsia="宋体" w:cs="宋体"/>
          <w:b/>
          <w:bCs w:val="0"/>
          <w:color w:val="auto"/>
          <w:kern w:val="0"/>
          <w:sz w:val="24"/>
          <w:szCs w:val="20"/>
          <w:lang w:val="en-US" w:eastAsia="zh-CN"/>
        </w:rPr>
      </w:pPr>
      <w:r>
        <w:rPr>
          <w:rFonts w:hint="eastAsia" w:ascii="宋体" w:hAnsi="宋体" w:eastAsia="宋体" w:cs="宋体"/>
          <w:b/>
          <w:bCs w:val="0"/>
          <w:color w:val="auto"/>
          <w:sz w:val="24"/>
          <w:szCs w:val="24"/>
          <w:lang w:val="en-US" w:eastAsia="zh-CN"/>
        </w:rPr>
        <w:t>1</w:t>
      </w: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rPr>
        <w:t>提供有利于磋商的其他证明材料</w:t>
      </w:r>
    </w:p>
    <w:p>
      <w:pPr>
        <w:spacing w:line="240" w:lineRule="atLeast"/>
        <w:jc w:val="left"/>
        <w:outlineLvl w:val="1"/>
        <w:rPr>
          <w:rFonts w:hint="eastAsia" w:ascii="宋体" w:hAnsi="宋体" w:eastAsia="宋体" w:cs="宋体"/>
          <w:b w:val="0"/>
          <w:bCs/>
          <w:color w:val="auto"/>
          <w:kern w:val="0"/>
          <w:sz w:val="24"/>
          <w:szCs w:val="20"/>
          <w:lang w:val="en-US" w:eastAsia="zh-CN"/>
        </w:rPr>
      </w:pPr>
    </w:p>
    <w:bookmarkEnd w:id="404"/>
    <w:bookmarkEnd w:id="405"/>
    <w:bookmarkEnd w:id="406"/>
    <w:bookmarkEnd w:id="407"/>
    <w:bookmarkEnd w:id="408"/>
    <w:bookmarkEnd w:id="409"/>
    <w:bookmarkEnd w:id="410"/>
    <w:bookmarkEnd w:id="411"/>
    <w:p>
      <w:pPr>
        <w:pStyle w:val="16"/>
        <w:keepNext w:val="0"/>
        <w:keepLines w:val="0"/>
        <w:pageBreakBefore w:val="0"/>
        <w:widowControl w:val="0"/>
        <w:tabs>
          <w:tab w:val="left" w:pos="5580"/>
        </w:tabs>
        <w:kinsoku/>
        <w:wordWrap/>
        <w:overflowPunct/>
        <w:topLinePunct w:val="0"/>
        <w:autoSpaceDE/>
        <w:autoSpaceDN/>
        <w:bidi w:val="0"/>
        <w:adjustRightInd/>
        <w:snapToGrid/>
        <w:spacing w:line="500" w:lineRule="exact"/>
        <w:textAlignment w:val="auto"/>
        <w:rPr>
          <w:rFonts w:hint="default" w:ascii="宋体" w:hAnsi="宋体" w:eastAsia="宋体" w:cs="宋体"/>
          <w:b w:val="0"/>
          <w:bCs/>
          <w:color w:val="auto"/>
          <w:sz w:val="24"/>
          <w:szCs w:val="24"/>
          <w:lang w:val="en-US" w:eastAsia="zh-CN"/>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1</w:t>
      </w:r>
      <w:r>
        <w:rPr>
          <w:rFonts w:hint="eastAsia" w:hAnsi="宋体" w:cs="宋体"/>
          <w:b/>
          <w:bCs w:val="0"/>
          <w:color w:val="auto"/>
          <w:sz w:val="24"/>
          <w:szCs w:val="24"/>
          <w:lang w:val="en-US" w:eastAsia="zh-CN"/>
        </w:rPr>
        <w:t>3</w:t>
      </w:r>
      <w:r>
        <w:rPr>
          <w:rFonts w:hint="eastAsia" w:hAnsi="宋体" w:cs="宋体"/>
          <w:b/>
          <w:bCs w:val="0"/>
          <w:color w:val="auto"/>
          <w:sz w:val="24"/>
          <w:szCs w:val="24"/>
          <w:lang w:eastAsia="zh-CN"/>
        </w:rPr>
        <w:t>、</w:t>
      </w:r>
      <w:r>
        <w:rPr>
          <w:rFonts w:hint="eastAsia" w:ascii="宋体" w:hAnsi="宋体" w:eastAsia="宋体" w:cs="宋体"/>
          <w:b/>
          <w:bCs w:val="0"/>
          <w:color w:val="auto"/>
          <w:sz w:val="24"/>
        </w:rPr>
        <w:t>磋商文件格式范本</w:t>
      </w:r>
    </w:p>
    <w:p>
      <w:pPr>
        <w:spacing w:line="240" w:lineRule="atLeast"/>
        <w:jc w:val="left"/>
        <w:outlineLvl w:val="1"/>
        <w:rPr>
          <w:rFonts w:hint="eastAsia" w:ascii="宋体" w:hAnsi="宋体" w:eastAsia="宋体" w:cs="宋体"/>
          <w:b w:val="0"/>
          <w:bCs/>
          <w:color w:val="auto"/>
          <w:kern w:val="0"/>
          <w:sz w:val="24"/>
          <w:szCs w:val="20"/>
        </w:rPr>
      </w:pPr>
    </w:p>
    <w:tbl>
      <w:tblPr>
        <w:tblStyle w:val="37"/>
        <w:tblpPr w:leftFromText="180" w:rightFromText="180" w:vertAnchor="text" w:horzAnchor="page" w:tblpX="2125" w:tblpY="440"/>
        <w:tblOverlap w:val="never"/>
        <w:tblW w:w="789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789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0436" w:hRule="atLeast"/>
        </w:trPr>
        <w:tc>
          <w:tcPr>
            <w:tcW w:w="7890" w:type="dxa"/>
            <w:shd w:val="clear" w:color="auto" w:fill="FCFEEA"/>
          </w:tcPr>
          <w:p>
            <w:pPr>
              <w:pStyle w:val="11"/>
              <w:jc w:val="center"/>
              <w:rPr>
                <w:rFonts w:hint="eastAsia" w:cs="宋体"/>
                <w:b w:val="0"/>
                <w:bCs/>
                <w:color w:val="auto"/>
                <w:sz w:val="21"/>
                <w:szCs w:val="21"/>
                <w:lang w:val="en-US" w:eastAsia="zh-CN"/>
              </w:rPr>
            </w:pPr>
            <w:r>
              <w:rPr>
                <w:rFonts w:hint="eastAsia" w:ascii="宋体" w:hAnsi="宋体" w:eastAsia="宋体" w:cs="宋体"/>
                <w:b w:val="0"/>
                <w:bCs/>
                <w:color w:val="auto"/>
                <w:sz w:val="21"/>
                <w:szCs w:val="21"/>
              </w:rPr>
              <w:t xml:space="preserve">                                           </w:t>
            </w:r>
            <w:r>
              <w:rPr>
                <w:rFonts w:hint="eastAsia" w:cs="宋体"/>
                <w:b w:val="0"/>
                <w:bCs/>
                <w:color w:val="auto"/>
                <w:sz w:val="21"/>
                <w:szCs w:val="21"/>
                <w:lang w:val="en-US" w:eastAsia="zh-CN"/>
              </w:rPr>
              <w:t xml:space="preserve">          </w:t>
            </w:r>
          </w:p>
          <w:p>
            <w:pPr>
              <w:pStyle w:val="11"/>
              <w:jc w:val="center"/>
              <w:rPr>
                <w:rFonts w:hint="eastAsia" w:cs="宋体"/>
                <w:b w:val="0"/>
                <w:bCs/>
                <w:color w:val="auto"/>
                <w:sz w:val="21"/>
                <w:szCs w:val="21"/>
                <w:lang w:val="en-US" w:eastAsia="zh-CN"/>
              </w:rPr>
            </w:pPr>
          </w:p>
          <w:p>
            <w:pPr>
              <w:pStyle w:val="11"/>
              <w:jc w:val="righ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（正本/副本）</w:t>
            </w:r>
          </w:p>
          <w:p>
            <w:pPr>
              <w:pStyle w:val="11"/>
              <w:ind w:firstLine="3150" w:firstLineChars="1500"/>
              <w:rPr>
                <w:rFonts w:hint="eastAsia" w:ascii="宋体" w:hAnsi="宋体" w:eastAsia="宋体" w:cs="宋体"/>
                <w:b w:val="0"/>
                <w:bCs/>
                <w:color w:val="auto"/>
                <w:sz w:val="21"/>
                <w:szCs w:val="21"/>
              </w:rPr>
            </w:pPr>
          </w:p>
          <w:p>
            <w:pPr>
              <w:pStyle w:val="11"/>
              <w:ind w:firstLine="3150" w:firstLineChars="1500"/>
              <w:rPr>
                <w:rFonts w:hint="eastAsia" w:ascii="宋体" w:hAnsi="宋体" w:eastAsia="宋体" w:cs="宋体"/>
                <w:b w:val="0"/>
                <w:bCs/>
                <w:color w:val="auto"/>
                <w:sz w:val="21"/>
                <w:szCs w:val="21"/>
              </w:rPr>
            </w:pPr>
          </w:p>
          <w:p>
            <w:pPr>
              <w:pStyle w:val="11"/>
              <w:rPr>
                <w:rFonts w:hint="eastAsia" w:ascii="宋体" w:hAnsi="宋体" w:eastAsia="宋体" w:cs="宋体"/>
                <w:b w:val="0"/>
                <w:bCs/>
                <w:color w:val="auto"/>
                <w:sz w:val="21"/>
                <w:szCs w:val="21"/>
              </w:rPr>
            </w:pPr>
          </w:p>
          <w:p>
            <w:pPr>
              <w:pStyle w:val="11"/>
              <w:ind w:firstLine="1890" w:firstLineChars="9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 *** *** ***   项目***</w:t>
            </w:r>
          </w:p>
          <w:p>
            <w:pPr>
              <w:pStyle w:val="11"/>
              <w:jc w:val="center"/>
              <w:rPr>
                <w:rFonts w:hint="eastAsia" w:ascii="宋体" w:hAnsi="宋体" w:eastAsia="宋体" w:cs="宋体"/>
                <w:b w:val="0"/>
                <w:bCs/>
                <w:color w:val="auto"/>
                <w:sz w:val="21"/>
                <w:szCs w:val="21"/>
              </w:rPr>
            </w:pPr>
          </w:p>
          <w:p>
            <w:pPr>
              <w:pStyle w:val="11"/>
              <w:ind w:firstLine="3150" w:firstLineChars="15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编号 ＊＊＊</w:t>
            </w:r>
          </w:p>
          <w:p>
            <w:pPr>
              <w:pStyle w:val="11"/>
              <w:jc w:val="center"/>
              <w:rPr>
                <w:rFonts w:hint="eastAsia" w:ascii="宋体" w:hAnsi="宋体" w:eastAsia="宋体" w:cs="宋体"/>
                <w:b w:val="0"/>
                <w:bCs/>
                <w:color w:val="auto"/>
                <w:sz w:val="21"/>
                <w:szCs w:val="21"/>
              </w:rPr>
            </w:pPr>
          </w:p>
          <w:p>
            <w:pPr>
              <w:pStyle w:val="11"/>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 应 文 件</w:t>
            </w:r>
          </w:p>
          <w:p>
            <w:pPr>
              <w:jc w:val="center"/>
              <w:rPr>
                <w:rFonts w:hint="eastAsia" w:ascii="宋体" w:hAnsi="宋体" w:eastAsia="宋体" w:cs="宋体"/>
                <w:b w:val="0"/>
                <w:bCs/>
                <w:color w:val="auto"/>
                <w:sz w:val="21"/>
                <w:szCs w:val="21"/>
              </w:rPr>
            </w:pPr>
          </w:p>
          <w:p>
            <w:pPr>
              <w:pStyle w:val="2"/>
              <w:ind w:firstLine="0"/>
              <w:rPr>
                <w:rFonts w:hint="eastAsia" w:ascii="宋体" w:hAnsi="宋体" w:eastAsia="宋体" w:cs="宋体"/>
                <w:b w:val="0"/>
                <w:bCs/>
                <w:color w:val="auto"/>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磋商单位：</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（公章）</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项目名称：</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项目编号：</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联 系 人：</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    话：</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地    址：</w:t>
            </w:r>
            <w:r>
              <w:rPr>
                <w:rFonts w:hint="eastAsia" w:ascii="宋体" w:hAnsi="宋体" w:eastAsia="宋体" w:cs="宋体"/>
                <w:b w:val="0"/>
                <w:bCs/>
                <w:color w:val="auto"/>
                <w:sz w:val="21"/>
                <w:szCs w:val="21"/>
                <w:u w:val="single"/>
              </w:rPr>
              <w:t xml:space="preserve">                                   </w:t>
            </w:r>
            <w:r>
              <w:rPr>
                <w:rFonts w:hint="eastAsia" w:ascii="宋体" w:hAnsi="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u w:val="single"/>
              </w:rPr>
              <w:t xml:space="preserve">   </w:t>
            </w:r>
          </w:p>
          <w:p>
            <w:pPr>
              <w:jc w:val="both"/>
              <w:rPr>
                <w:rFonts w:hint="eastAsia" w:ascii="宋体" w:hAnsi="宋体" w:eastAsia="宋体" w:cs="宋体"/>
                <w:b w:val="0"/>
                <w:bCs/>
                <w:color w:val="auto"/>
                <w:sz w:val="21"/>
                <w:szCs w:val="21"/>
              </w:rPr>
            </w:pPr>
          </w:p>
          <w:p>
            <w:pPr>
              <w:jc w:val="center"/>
              <w:rPr>
                <w:rFonts w:hint="eastAsia" w:ascii="宋体" w:hAnsi="宋体" w:eastAsia="宋体" w:cs="宋体"/>
                <w:b w:val="0"/>
                <w:bCs/>
                <w:color w:val="auto"/>
                <w:sz w:val="21"/>
                <w:szCs w:val="21"/>
                <w:lang w:val="en-US" w:eastAsia="zh-CN"/>
              </w:rPr>
            </w:pPr>
          </w:p>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注：   在20XX年   月  日 </w:t>
            </w:r>
            <w:r>
              <w:rPr>
                <w:rFonts w:hint="eastAsia" w:ascii="宋体" w:hAnsi="宋体" w:eastAsia="宋体" w:cs="宋体"/>
                <w:b w:val="0"/>
                <w:bCs/>
                <w:color w:val="auto"/>
                <w:sz w:val="21"/>
                <w:szCs w:val="21"/>
                <w:lang w:val="en-US" w:eastAsia="zh-CN"/>
              </w:rPr>
              <w:t>X</w:t>
            </w:r>
            <w:r>
              <w:rPr>
                <w:rFonts w:hint="eastAsia" w:ascii="宋体" w:hAnsi="宋体" w:eastAsia="宋体" w:cs="宋体"/>
                <w:b w:val="0"/>
                <w:bCs/>
                <w:color w:val="auto"/>
                <w:sz w:val="21"/>
                <w:szCs w:val="21"/>
              </w:rPr>
              <w:t>午</w:t>
            </w:r>
            <w:r>
              <w:rPr>
                <w:rFonts w:hint="eastAsia" w:ascii="宋体" w:hAnsi="宋体" w:eastAsia="宋体" w:cs="宋体"/>
                <w:b w:val="0"/>
                <w:bCs/>
                <w:color w:val="auto"/>
                <w:kern w:val="0"/>
                <w:sz w:val="21"/>
                <w:szCs w:val="21"/>
                <w:lang w:bidi="ar"/>
              </w:rPr>
              <w:t>XX</w:t>
            </w:r>
            <w:r>
              <w:rPr>
                <w:rFonts w:hint="eastAsia" w:ascii="宋体" w:hAnsi="宋体" w:eastAsia="宋体" w:cs="宋体"/>
                <w:b w:val="0"/>
                <w:bCs/>
                <w:color w:val="auto"/>
                <w:sz w:val="21"/>
                <w:szCs w:val="21"/>
              </w:rPr>
              <w:t>之前不得启封</w:t>
            </w:r>
          </w:p>
          <w:p>
            <w:pPr>
              <w:jc w:val="center"/>
              <w:rPr>
                <w:rFonts w:hint="eastAsia" w:ascii="宋体" w:hAnsi="宋体" w:eastAsia="宋体" w:cs="宋体"/>
                <w:b w:val="0"/>
                <w:bCs/>
                <w:color w:val="auto"/>
                <w:sz w:val="21"/>
                <w:szCs w:val="21"/>
              </w:rPr>
            </w:pPr>
          </w:p>
        </w:tc>
      </w:tr>
    </w:tbl>
    <w:p>
      <w:pPr>
        <w:spacing w:line="240" w:lineRule="atLeast"/>
        <w:rPr>
          <w:rFonts w:hint="eastAsia" w:ascii="宋体" w:hAnsi="宋体" w:eastAsia="宋体" w:cs="宋体"/>
          <w:b w:val="0"/>
          <w:bCs/>
          <w:color w:val="auto"/>
          <w:sz w:val="30"/>
          <w:szCs w:val="30"/>
        </w:rPr>
      </w:pPr>
      <w:r>
        <w:rPr>
          <w:rFonts w:hint="eastAsia" w:ascii="宋体" w:hAnsi="宋体" w:eastAsia="宋体" w:cs="宋体"/>
          <w:b w:val="0"/>
          <w:bCs/>
          <w:color w:val="auto"/>
          <w:sz w:val="24"/>
        </w:rPr>
        <w:br w:type="page"/>
      </w:r>
    </w:p>
    <w:p>
      <w:pPr>
        <w:spacing w:line="240" w:lineRule="atLeast"/>
        <w:jc w:val="center"/>
        <w:rPr>
          <w:rFonts w:hint="eastAsia" w:ascii="宋体" w:hAnsi="宋体" w:eastAsia="宋体" w:cs="宋体"/>
          <w:b w:val="0"/>
          <w:bCs/>
          <w:color w:val="auto"/>
          <w:sz w:val="44"/>
          <w:szCs w:val="44"/>
        </w:rPr>
      </w:pPr>
    </w:p>
    <w:p>
      <w:pPr>
        <w:pStyle w:val="36"/>
        <w:ind w:firstLine="0" w:firstLineChars="0"/>
        <w:rPr>
          <w:rFonts w:hint="eastAsia" w:ascii="宋体" w:hAnsi="宋体" w:eastAsia="宋体" w:cs="宋体"/>
          <w:b w:val="0"/>
          <w:bCs/>
          <w:color w:val="auto"/>
          <w:sz w:val="44"/>
          <w:szCs w:val="44"/>
        </w:rPr>
      </w:pPr>
    </w:p>
    <w:p>
      <w:pPr>
        <w:pStyle w:val="36"/>
        <w:ind w:firstLine="0" w:firstLineChars="0"/>
        <w:rPr>
          <w:rFonts w:hint="eastAsia" w:ascii="宋体" w:hAnsi="宋体" w:eastAsia="宋体" w:cs="宋体"/>
          <w:b w:val="0"/>
          <w:bCs/>
          <w:color w:val="auto"/>
          <w:sz w:val="44"/>
          <w:szCs w:val="44"/>
        </w:rPr>
      </w:pPr>
    </w:p>
    <w:p>
      <w:pPr>
        <w:spacing w:line="240" w:lineRule="atLeast"/>
        <w:jc w:val="center"/>
        <w:rPr>
          <w:rFonts w:hint="eastAsia" w:ascii="宋体" w:hAnsi="宋体" w:eastAsia="宋体" w:cs="宋体"/>
          <w:b w:val="0"/>
          <w:bCs/>
          <w:color w:val="auto"/>
          <w:sz w:val="44"/>
          <w:szCs w:val="44"/>
        </w:rPr>
      </w:pP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52"/>
          <w:szCs w:val="52"/>
          <w:lang w:val="en-US" w:eastAsia="zh-CN"/>
        </w:rPr>
        <w:t>竞争性</w:t>
      </w:r>
      <w:r>
        <w:rPr>
          <w:rFonts w:hint="eastAsia" w:ascii="宋体" w:hAnsi="宋体" w:eastAsia="宋体" w:cs="宋体"/>
          <w:b w:val="0"/>
          <w:bCs/>
          <w:color w:val="auto"/>
          <w:sz w:val="52"/>
          <w:szCs w:val="52"/>
        </w:rPr>
        <w:t>磋商文件</w:t>
      </w:r>
    </w:p>
    <w:p>
      <w:pPr>
        <w:pStyle w:val="36"/>
        <w:ind w:firstLine="480"/>
        <w:rPr>
          <w:rFonts w:hint="eastAsia" w:ascii="宋体" w:hAnsi="宋体" w:eastAsia="宋体" w:cs="宋体"/>
          <w:b w:val="0"/>
          <w:bCs/>
          <w:color w:val="auto"/>
        </w:rPr>
      </w:pPr>
    </w:p>
    <w:p>
      <w:pPr>
        <w:spacing w:line="240" w:lineRule="atLeast"/>
        <w:jc w:val="center"/>
        <w:rPr>
          <w:rFonts w:hint="eastAsia" w:ascii="宋体" w:hAnsi="宋体" w:eastAsia="宋体" w:cs="宋体"/>
          <w:b w:val="0"/>
          <w:bCs/>
          <w:color w:val="auto"/>
          <w:sz w:val="40"/>
          <w:szCs w:val="40"/>
          <w:lang w:eastAsia="zh-CN"/>
        </w:rPr>
      </w:pPr>
      <w:r>
        <w:rPr>
          <w:rFonts w:hint="eastAsia" w:ascii="宋体" w:hAnsi="宋体" w:eastAsia="宋体" w:cs="宋体"/>
          <w:b w:val="0"/>
          <w:bCs/>
          <w:color w:val="auto"/>
          <w:sz w:val="40"/>
          <w:szCs w:val="40"/>
        </w:rPr>
        <w:t>项目编号：</w:t>
      </w:r>
      <w:r>
        <w:rPr>
          <w:rFonts w:hint="eastAsia" w:ascii="宋体" w:hAnsi="宋体" w:eastAsia="宋体" w:cs="宋体"/>
          <w:b w:val="0"/>
          <w:bCs/>
          <w:color w:val="auto"/>
          <w:sz w:val="40"/>
          <w:szCs w:val="40"/>
          <w:lang w:val="en-US" w:eastAsia="zh-CN"/>
        </w:rPr>
        <w:t>JDTCK-2021-01</w:t>
      </w:r>
      <w:r>
        <w:rPr>
          <w:rFonts w:hint="eastAsia" w:ascii="宋体" w:hAnsi="宋体" w:cs="宋体"/>
          <w:b w:val="0"/>
          <w:bCs/>
          <w:color w:val="auto"/>
          <w:sz w:val="40"/>
          <w:szCs w:val="40"/>
          <w:lang w:val="en-US" w:eastAsia="zh-CN"/>
        </w:rPr>
        <w:t>7</w:t>
      </w:r>
      <w:r>
        <w:rPr>
          <w:rFonts w:hint="eastAsia" w:ascii="宋体" w:hAnsi="宋体" w:eastAsia="宋体" w:cs="宋体"/>
          <w:b w:val="0"/>
          <w:bCs/>
          <w:color w:val="auto"/>
          <w:sz w:val="40"/>
          <w:szCs w:val="40"/>
          <w:lang w:val="en-US" w:eastAsia="zh-CN"/>
        </w:rPr>
        <w:t>-CG</w:t>
      </w:r>
    </w:p>
    <w:p>
      <w:pPr>
        <w:spacing w:line="240" w:lineRule="atLeast"/>
        <w:rPr>
          <w:rFonts w:hint="eastAsia" w:ascii="宋体" w:hAnsi="宋体" w:eastAsia="宋体" w:cs="宋体"/>
          <w:b w:val="0"/>
          <w:bCs/>
          <w:color w:val="auto"/>
          <w:sz w:val="52"/>
        </w:rPr>
      </w:pPr>
    </w:p>
    <w:p>
      <w:pPr>
        <w:spacing w:line="240" w:lineRule="atLeast"/>
        <w:ind w:left="1080" w:leftChars="257" w:hanging="540"/>
        <w:rPr>
          <w:rFonts w:hint="eastAsia" w:ascii="宋体" w:hAnsi="宋体" w:eastAsia="宋体" w:cs="宋体"/>
          <w:b w:val="0"/>
          <w:bCs/>
          <w:color w:val="auto"/>
          <w:sz w:val="28"/>
        </w:rPr>
      </w:pPr>
    </w:p>
    <w:p>
      <w:pPr>
        <w:spacing w:line="240" w:lineRule="atLeast"/>
        <w:ind w:left="1976" w:leftChars="941" w:firstLine="1641" w:firstLineChars="342"/>
        <w:rPr>
          <w:rFonts w:hint="eastAsia" w:ascii="宋体" w:hAnsi="宋体" w:eastAsia="宋体" w:cs="宋体"/>
          <w:b w:val="0"/>
          <w:bCs/>
          <w:color w:val="auto"/>
          <w:sz w:val="48"/>
          <w:szCs w:val="48"/>
        </w:rPr>
      </w:pPr>
      <w:r>
        <w:rPr>
          <w:rFonts w:hint="eastAsia" w:ascii="宋体" w:hAnsi="宋体" w:eastAsia="宋体" w:cs="宋体"/>
          <w:b w:val="0"/>
          <w:bCs/>
          <w:color w:val="auto"/>
          <w:sz w:val="48"/>
          <w:szCs w:val="48"/>
        </w:rPr>
        <w:t>第二册</w:t>
      </w:r>
    </w:p>
    <w:p>
      <w:pPr>
        <w:spacing w:line="240" w:lineRule="atLeast"/>
        <w:ind w:left="1080" w:leftChars="257" w:hanging="540"/>
        <w:rPr>
          <w:rFonts w:hint="eastAsia" w:ascii="宋体" w:hAnsi="宋体" w:eastAsia="宋体" w:cs="宋体"/>
          <w:b w:val="0"/>
          <w:bCs/>
          <w:color w:val="auto"/>
          <w:sz w:val="28"/>
        </w:rPr>
      </w:pPr>
    </w:p>
    <w:p>
      <w:pPr>
        <w:spacing w:line="240" w:lineRule="atLeast"/>
        <w:ind w:left="1080" w:leftChars="257" w:hanging="540"/>
        <w:rPr>
          <w:rFonts w:hint="eastAsia" w:ascii="宋体" w:hAnsi="宋体" w:eastAsia="宋体" w:cs="宋体"/>
          <w:b w:val="0"/>
          <w:bCs/>
          <w:color w:val="auto"/>
          <w:sz w:val="28"/>
        </w:rPr>
      </w:pPr>
    </w:p>
    <w:p>
      <w:pPr>
        <w:spacing w:line="240" w:lineRule="atLeast"/>
        <w:ind w:left="1080" w:leftChars="257" w:hanging="540"/>
        <w:rPr>
          <w:rFonts w:hint="eastAsia" w:ascii="宋体" w:hAnsi="宋体" w:eastAsia="宋体" w:cs="宋体"/>
          <w:b w:val="0"/>
          <w:bCs/>
          <w:color w:val="auto"/>
          <w:sz w:val="28"/>
        </w:rPr>
      </w:pPr>
    </w:p>
    <w:p>
      <w:pPr>
        <w:pStyle w:val="36"/>
        <w:ind w:firstLine="560"/>
        <w:rPr>
          <w:rFonts w:hint="eastAsia" w:ascii="宋体" w:hAnsi="宋体" w:eastAsia="宋体" w:cs="宋体"/>
          <w:b w:val="0"/>
          <w:bCs/>
          <w:color w:val="auto"/>
          <w:sz w:val="28"/>
        </w:rPr>
      </w:pPr>
    </w:p>
    <w:p>
      <w:pPr>
        <w:pStyle w:val="36"/>
        <w:ind w:firstLine="560"/>
        <w:rPr>
          <w:rFonts w:hint="eastAsia" w:ascii="宋体" w:hAnsi="宋体" w:eastAsia="宋体" w:cs="宋体"/>
          <w:b w:val="0"/>
          <w:bCs/>
          <w:color w:val="auto"/>
          <w:sz w:val="28"/>
        </w:rPr>
      </w:pPr>
    </w:p>
    <w:p>
      <w:pPr>
        <w:pStyle w:val="36"/>
        <w:ind w:firstLine="560"/>
        <w:rPr>
          <w:rFonts w:hint="eastAsia" w:ascii="宋体" w:hAnsi="宋体" w:eastAsia="宋体" w:cs="宋体"/>
          <w:b w:val="0"/>
          <w:bCs/>
          <w:color w:val="auto"/>
          <w:sz w:val="28"/>
        </w:rPr>
      </w:pPr>
    </w:p>
    <w:p>
      <w:pPr>
        <w:spacing w:line="240" w:lineRule="atLeast"/>
        <w:ind w:left="1080" w:leftChars="257" w:hanging="540"/>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rPr>
      </w:pPr>
    </w:p>
    <w:p>
      <w:pPr>
        <w:pStyle w:val="2"/>
        <w:ind w:firstLine="0"/>
        <w:rPr>
          <w:rFonts w:hint="eastAsia" w:ascii="宋体" w:hAnsi="宋体" w:eastAsia="宋体" w:cs="宋体"/>
          <w:b w:val="0"/>
          <w:bCs/>
          <w:color w:val="auto"/>
          <w:sz w:val="52"/>
        </w:rPr>
      </w:pPr>
    </w:p>
    <w:p>
      <w:pPr>
        <w:pStyle w:val="3"/>
        <w:tabs>
          <w:tab w:val="left" w:pos="0"/>
        </w:tabs>
        <w:spacing w:before="0" w:after="0" w:line="240" w:lineRule="atLeast"/>
        <w:rPr>
          <w:rFonts w:hint="eastAsia" w:ascii="宋体" w:hAnsi="宋体" w:eastAsia="宋体" w:cs="宋体"/>
          <w:b w:val="0"/>
          <w:bCs/>
          <w:color w:val="auto"/>
        </w:rPr>
      </w:pPr>
      <w:bookmarkStart w:id="412" w:name="_Toc28765"/>
      <w:bookmarkStart w:id="413" w:name="_Toc515647829"/>
      <w:bookmarkStart w:id="414" w:name="_Toc216582822"/>
      <w:bookmarkStart w:id="415" w:name="_Toc4279"/>
      <w:bookmarkStart w:id="416" w:name="_Toc218935350"/>
      <w:bookmarkStart w:id="417" w:name="_Toc219175634"/>
      <w:bookmarkStart w:id="418" w:name="_Toc16370"/>
      <w:bookmarkStart w:id="419" w:name="_Toc507399902"/>
      <w:r>
        <w:rPr>
          <w:rFonts w:hint="eastAsia" w:ascii="宋体" w:hAnsi="宋体" w:eastAsia="宋体" w:cs="宋体"/>
          <w:b w:val="0"/>
          <w:bCs/>
          <w:color w:val="auto"/>
        </w:rPr>
        <w:t>第3章 磋商邀请</w:t>
      </w:r>
      <w:bookmarkEnd w:id="412"/>
      <w:bookmarkEnd w:id="413"/>
      <w:bookmarkEnd w:id="414"/>
      <w:bookmarkEnd w:id="415"/>
      <w:bookmarkEnd w:id="416"/>
      <w:bookmarkEnd w:id="417"/>
      <w:bookmarkEnd w:id="418"/>
      <w:bookmarkEnd w:id="419"/>
    </w:p>
    <w:p>
      <w:pPr>
        <w:jc w:val="center"/>
        <w:rPr>
          <w:rFonts w:hint="eastAsia" w:asciiTheme="majorEastAsia" w:hAnsiTheme="majorEastAsia" w:eastAsiaTheme="majorEastAsia" w:cstheme="majorEastAsia"/>
          <w:color w:val="auto"/>
          <w:sz w:val="24"/>
          <w:szCs w:val="24"/>
          <w:lang w:eastAsia="zh-CN"/>
        </w:rPr>
      </w:pPr>
      <w:bookmarkStart w:id="420" w:name="_Toc216582823"/>
      <w:bookmarkStart w:id="421" w:name="_Toc10488"/>
      <w:bookmarkStart w:id="422" w:name="_Toc512937850"/>
      <w:bookmarkStart w:id="423" w:name="_Toc32155"/>
      <w:bookmarkStart w:id="424" w:name="_Toc31583"/>
      <w:bookmarkStart w:id="425" w:name="_Toc507399903"/>
      <w:bookmarkStart w:id="426" w:name="_Toc515647830"/>
      <w:r>
        <w:rPr>
          <w:rFonts w:hint="eastAsia" w:asciiTheme="majorEastAsia" w:hAnsiTheme="majorEastAsia" w:eastAsiaTheme="majorEastAsia" w:cstheme="majorEastAsia"/>
          <w:color w:val="auto"/>
          <w:sz w:val="24"/>
          <w:szCs w:val="24"/>
          <w:lang w:eastAsia="zh-CN"/>
        </w:rPr>
        <w:t>新疆维吾尔自治区人民检察院喀什分院-两房屋顶改造项目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竞争性磋商公告</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color w:val="auto"/>
          <w:sz w:val="24"/>
          <w:szCs w:val="24"/>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60960</wp:posOffset>
                </wp:positionV>
                <wp:extent cx="5409565" cy="831215"/>
                <wp:effectExtent l="4445" t="4445" r="15240" b="21590"/>
                <wp:wrapNone/>
                <wp:docPr id="1" name="矩形 1"/>
                <wp:cNvGraphicFramePr/>
                <a:graphic xmlns:a="http://schemas.openxmlformats.org/drawingml/2006/main">
                  <a:graphicData uri="http://schemas.microsoft.com/office/word/2010/wordprocessingShape">
                    <wps:wsp>
                      <wps:cNvSpPr/>
                      <wps:spPr>
                        <a:xfrm>
                          <a:off x="1156335" y="1191895"/>
                          <a:ext cx="5409565" cy="83121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pt;margin-top:4.8pt;height:65.45pt;width:425.95pt;z-index:251659264;v-text-anchor:middle;mso-width-relative:page;mso-height-relative:page;" filled="f" stroked="t" coordsize="21600,21600" o:gfxdata="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PaZ0nXAAAACAEAAA8AAAAAAAAAAQAgAAAAIgAAAGRycy9kb3ducmV2LnhtbFBLAQIU&#10;ABQAAAAIAIdO4kA4rnaTZgIAAL8EAAAOAAAAAAAAAAEAIAAAACYBAABkcnMvZTJvRG9jLnhtbFBL&#10;BQYAAAAABgAGAFkBAAD+BQAAAAA=&#10;">
                <v:fill on="f" focussize="0,0"/>
                <v:stroke weight="0.25pt" color="#000000 [3213]" joinstyle="round"/>
                <v:imagedata o:title=""/>
                <o:lock v:ext="edit" aspectratio="f"/>
              </v:rect>
            </w:pict>
          </mc:Fallback>
        </mc:AlternateContent>
      </w:r>
      <w:r>
        <w:rPr>
          <w:rFonts w:hint="eastAsia" w:asciiTheme="majorEastAsia" w:hAnsiTheme="majorEastAsia" w:eastAsiaTheme="majorEastAsia" w:cstheme="majorEastAsia"/>
          <w:color w:val="auto"/>
          <w:sz w:val="24"/>
          <w:szCs w:val="24"/>
        </w:rPr>
        <w:t>项目概况</w:t>
      </w:r>
    </w:p>
    <w:p>
      <w:pPr>
        <w:jc w:val="both"/>
        <w:rPr>
          <w:rFonts w:hint="eastAsia" w:ascii="宋体" w:hAnsi="宋体" w:eastAsia="宋体" w:cs="宋体"/>
          <w:b w:val="0"/>
          <w:bCs/>
          <w:color w:val="auto"/>
          <w:kern w:val="44"/>
          <w:sz w:val="24"/>
          <w:szCs w:val="24"/>
          <w:lang w:eastAsia="zh-CN"/>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lang w:eastAsia="zh-CN"/>
        </w:rPr>
        <w:t>新疆维吾尔自治区人民检察院喀什分院-两房屋顶改造项目</w:t>
      </w:r>
      <w:r>
        <w:rPr>
          <w:rFonts w:hint="eastAsia" w:asciiTheme="majorEastAsia" w:hAnsiTheme="majorEastAsia" w:eastAsiaTheme="majorEastAsia" w:cstheme="majorEastAsia"/>
          <w:color w:val="auto"/>
          <w:sz w:val="24"/>
          <w:szCs w:val="24"/>
        </w:rPr>
        <w:t>的潜在投标人应在政采云平台（https://www.zcygov.cn）获取招标文件，并于</w:t>
      </w:r>
      <w:r>
        <w:rPr>
          <w:rFonts w:hint="eastAsia" w:asciiTheme="majorEastAsia" w:hAnsiTheme="majorEastAsia" w:eastAsiaTheme="majorEastAsia" w:cstheme="majorEastAsia"/>
          <w:color w:val="FF0000"/>
          <w:sz w:val="24"/>
          <w:szCs w:val="24"/>
        </w:rPr>
        <w:t>2021年</w:t>
      </w:r>
      <w:r>
        <w:rPr>
          <w:rFonts w:hint="eastAsia" w:asciiTheme="majorEastAsia" w:hAnsiTheme="majorEastAsia" w:eastAsiaTheme="majorEastAsia" w:cstheme="majorEastAsia"/>
          <w:color w:val="FF0000"/>
          <w:sz w:val="24"/>
          <w:szCs w:val="24"/>
          <w:lang w:val="en-US" w:eastAsia="zh-CN"/>
        </w:rPr>
        <w:t>10</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14</w:t>
      </w:r>
      <w:r>
        <w:rPr>
          <w:rFonts w:hint="eastAsia" w:asciiTheme="majorEastAsia" w:hAnsiTheme="majorEastAsia" w:eastAsiaTheme="majorEastAsia" w:cstheme="majorEastAsia"/>
          <w:color w:val="FF0000"/>
          <w:sz w:val="24"/>
          <w:szCs w:val="24"/>
        </w:rPr>
        <w:t>日1</w:t>
      </w:r>
      <w:r>
        <w:rPr>
          <w:rFonts w:hint="eastAsia" w:asciiTheme="majorEastAsia" w:hAnsiTheme="majorEastAsia" w:eastAsiaTheme="majorEastAsia" w:cstheme="majorEastAsia"/>
          <w:color w:val="FF0000"/>
          <w:sz w:val="24"/>
          <w:szCs w:val="24"/>
          <w:lang w:val="en-US" w:eastAsia="zh-CN"/>
        </w:rPr>
        <w:t>1</w:t>
      </w:r>
      <w:r>
        <w:rPr>
          <w:rFonts w:hint="eastAsia" w:asciiTheme="majorEastAsia" w:hAnsiTheme="majorEastAsia" w:eastAsiaTheme="majorEastAsia" w:cstheme="majorEastAsia"/>
          <w:color w:val="FF0000"/>
          <w:sz w:val="24"/>
          <w:szCs w:val="24"/>
        </w:rPr>
        <w:t>:</w:t>
      </w:r>
      <w:r>
        <w:rPr>
          <w:rFonts w:hint="eastAsia" w:asciiTheme="majorEastAsia" w:hAnsiTheme="majorEastAsia" w:eastAsiaTheme="majorEastAsia" w:cstheme="majorEastAsia"/>
          <w:color w:val="FF0000"/>
          <w:sz w:val="24"/>
          <w:szCs w:val="24"/>
          <w:lang w:val="en-US" w:eastAsia="zh-CN"/>
        </w:rPr>
        <w:t>0</w:t>
      </w:r>
      <w:r>
        <w:rPr>
          <w:rFonts w:hint="eastAsia" w:asciiTheme="majorEastAsia" w:hAnsiTheme="majorEastAsia" w:eastAsiaTheme="majorEastAsia" w:cstheme="majorEastAsia"/>
          <w:color w:val="FF0000"/>
          <w:sz w:val="24"/>
          <w:szCs w:val="24"/>
        </w:rPr>
        <w:t>0</w:t>
      </w:r>
      <w:r>
        <w:rPr>
          <w:rFonts w:hint="eastAsia" w:asciiTheme="majorEastAsia" w:hAnsiTheme="majorEastAsia" w:eastAsiaTheme="majorEastAsia" w:cstheme="majorEastAsia"/>
          <w:color w:val="auto"/>
          <w:sz w:val="24"/>
          <w:szCs w:val="24"/>
        </w:rPr>
        <w:t>（北京时间）前递交投标文件。</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sz w:val="24"/>
          <w:szCs w:val="24"/>
        </w:rPr>
      </w:pPr>
      <w:bookmarkStart w:id="427" w:name="_Toc28359089"/>
      <w:bookmarkStart w:id="428" w:name="_Toc7800"/>
      <w:bookmarkStart w:id="429" w:name="_Toc35393629"/>
      <w:bookmarkStart w:id="430" w:name="_Toc28359012"/>
      <w:bookmarkStart w:id="431" w:name="_Toc35393798"/>
      <w:r>
        <w:rPr>
          <w:rFonts w:hint="eastAsia" w:ascii="宋体" w:hAnsi="宋体" w:eastAsia="宋体" w:cs="宋体"/>
          <w:b w:val="0"/>
          <w:bCs/>
          <w:color w:val="auto"/>
          <w:kern w:val="0"/>
          <w:sz w:val="24"/>
          <w:szCs w:val="24"/>
        </w:rPr>
        <w:t>一、项目基本情况</w:t>
      </w:r>
      <w:bookmarkEnd w:id="427"/>
      <w:bookmarkEnd w:id="428"/>
      <w:bookmarkEnd w:id="429"/>
      <w:bookmarkEnd w:id="430"/>
      <w:bookmarkEnd w:id="431"/>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rPr>
        <w:t>项目编号：</w:t>
      </w:r>
      <w:r>
        <w:rPr>
          <w:rFonts w:hint="eastAsia" w:ascii="宋体" w:hAnsi="宋体" w:eastAsia="宋体" w:cs="宋体"/>
          <w:b w:val="0"/>
          <w:bCs/>
          <w:color w:val="auto"/>
          <w:kern w:val="0"/>
          <w:sz w:val="24"/>
          <w:szCs w:val="24"/>
          <w:lang w:val="en-US" w:eastAsia="zh-CN"/>
        </w:rPr>
        <w:t>JDTCK-2021-01</w:t>
      </w:r>
      <w:r>
        <w:rPr>
          <w:rFonts w:hint="eastAsia" w:ascii="宋体" w:hAnsi="宋体" w:cs="宋体"/>
          <w:b w:val="0"/>
          <w:bCs/>
          <w:color w:val="auto"/>
          <w:kern w:val="0"/>
          <w:sz w:val="24"/>
          <w:szCs w:val="24"/>
          <w:lang w:val="en-US" w:eastAsia="zh-CN"/>
        </w:rPr>
        <w:t>7</w:t>
      </w:r>
      <w:r>
        <w:rPr>
          <w:rFonts w:hint="eastAsia" w:ascii="宋体" w:hAnsi="宋体" w:eastAsia="宋体" w:cs="宋体"/>
          <w:b w:val="0"/>
          <w:bCs/>
          <w:color w:val="auto"/>
          <w:kern w:val="0"/>
          <w:sz w:val="24"/>
          <w:szCs w:val="24"/>
          <w:lang w:val="en-US" w:eastAsia="zh-CN"/>
        </w:rPr>
        <w:t>-CG</w:t>
      </w:r>
    </w:p>
    <w:p>
      <w:pPr>
        <w:jc w:val="center"/>
        <w:rPr>
          <w:rFonts w:hint="eastAsia" w:asciiTheme="majorEastAsia" w:hAnsiTheme="majorEastAsia" w:eastAsiaTheme="majorEastAsia" w:cstheme="majorEastAsia"/>
          <w:color w:val="auto"/>
          <w:sz w:val="24"/>
          <w:szCs w:val="24"/>
          <w:lang w:eastAsia="zh-CN"/>
        </w:rPr>
      </w:pPr>
      <w:r>
        <w:rPr>
          <w:rFonts w:hint="eastAsia" w:ascii="宋体" w:hAnsi="宋体" w:eastAsia="宋体" w:cs="宋体"/>
          <w:b w:val="0"/>
          <w:bCs/>
          <w:color w:val="auto"/>
          <w:kern w:val="0"/>
          <w:sz w:val="24"/>
          <w:szCs w:val="24"/>
        </w:rPr>
        <w:t>项目名称：</w:t>
      </w:r>
      <w:r>
        <w:rPr>
          <w:rFonts w:hint="eastAsia" w:asciiTheme="majorEastAsia" w:hAnsiTheme="majorEastAsia" w:eastAsiaTheme="majorEastAsia" w:cstheme="majorEastAsia"/>
          <w:color w:val="auto"/>
          <w:sz w:val="24"/>
          <w:szCs w:val="24"/>
          <w:lang w:eastAsia="zh-CN"/>
        </w:rPr>
        <w:t>新疆维吾尔自治区人民检察院喀什分院-两房屋顶改造项目</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 xml:space="preserve">采购方式：□竞争性谈判 </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 xml:space="preserve">竞争性磋商 </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询价</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预算金额：</w:t>
      </w:r>
      <w:r>
        <w:rPr>
          <w:rFonts w:hint="eastAsia" w:ascii="宋体" w:hAnsi="宋体" w:cs="宋体"/>
          <w:b w:val="0"/>
          <w:bCs/>
          <w:color w:val="auto"/>
          <w:kern w:val="0"/>
          <w:sz w:val="24"/>
          <w:szCs w:val="24"/>
          <w:lang w:val="en-US" w:eastAsia="zh-CN"/>
        </w:rPr>
        <w:t>700000.00</w:t>
      </w:r>
      <w:r>
        <w:rPr>
          <w:rFonts w:hint="eastAsia" w:ascii="宋体" w:hAnsi="宋体" w:eastAsia="宋体" w:cs="宋体"/>
          <w:b w:val="0"/>
          <w:bCs/>
          <w:color w:val="auto"/>
          <w:kern w:val="0"/>
          <w:sz w:val="24"/>
          <w:szCs w:val="24"/>
          <w:lang w:val="en-US" w:eastAsia="zh-CN"/>
        </w:rPr>
        <w:t>元</w:t>
      </w:r>
    </w:p>
    <w:p>
      <w:pPr>
        <w:pageBreakBefore w:val="0"/>
        <w:widowControl w:val="0"/>
        <w:kinsoku/>
        <w:wordWrap/>
        <w:overflowPunct/>
        <w:topLinePunct w:val="0"/>
        <w:bidi w:val="0"/>
        <w:snapToGrid/>
        <w:spacing w:line="380" w:lineRule="exact"/>
        <w:ind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b w:val="0"/>
          <w:bCs/>
          <w:color w:val="auto"/>
          <w:kern w:val="0"/>
          <w:sz w:val="24"/>
          <w:szCs w:val="24"/>
        </w:rPr>
        <w:t>采购需求</w:t>
      </w:r>
      <w:r>
        <w:rPr>
          <w:rFonts w:hint="eastAsia" w:ascii="宋体" w:hAnsi="宋体" w:eastAsia="宋体" w:cs="宋体"/>
          <w:b w:val="0"/>
          <w:bCs/>
          <w:color w:val="auto"/>
          <w:kern w:val="0"/>
          <w:sz w:val="24"/>
          <w:szCs w:val="24"/>
          <w:lang w:eastAsia="zh-CN"/>
        </w:rPr>
        <w:t>：</w:t>
      </w:r>
      <w:r>
        <w:rPr>
          <w:rFonts w:hint="eastAsia" w:asciiTheme="majorEastAsia" w:hAnsiTheme="majorEastAsia" w:eastAsiaTheme="majorEastAsia" w:cstheme="majorEastAsia"/>
          <w:color w:val="auto"/>
          <w:sz w:val="24"/>
          <w:szCs w:val="24"/>
          <w:lang w:val="en-US" w:eastAsia="zh-CN"/>
        </w:rPr>
        <w:t xml:space="preserve">建筑工程（钢架阳光板结构，进行封闭改造，自流坪楼地面）电器设备安装工程，给排水工程。 </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本项目</w:t>
      </w:r>
      <w:r>
        <w:rPr>
          <w:rFonts w:hint="eastAsia" w:ascii="宋体" w:hAnsi="宋体" w:eastAsia="宋体" w:cs="宋体"/>
          <w:b w:val="0"/>
          <w:bCs/>
          <w:color w:val="auto"/>
          <w:kern w:val="0"/>
          <w:sz w:val="24"/>
          <w:szCs w:val="24"/>
          <w:lang w:val="en-US" w:eastAsia="zh-CN"/>
        </w:rPr>
        <w:t>不</w:t>
      </w:r>
      <w:r>
        <w:rPr>
          <w:rFonts w:hint="eastAsia" w:ascii="宋体" w:hAnsi="宋体" w:eastAsia="宋体" w:cs="宋体"/>
          <w:b w:val="0"/>
          <w:bCs/>
          <w:color w:val="auto"/>
          <w:kern w:val="0"/>
          <w:sz w:val="24"/>
          <w:szCs w:val="24"/>
        </w:rPr>
        <w:t>接受联合体。</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32" w:name="_Toc28359090"/>
      <w:bookmarkStart w:id="433" w:name="_Toc35393799"/>
      <w:bookmarkStart w:id="434" w:name="_Toc20369"/>
      <w:bookmarkStart w:id="435" w:name="_Toc28359013"/>
      <w:bookmarkStart w:id="436" w:name="_Toc35393630"/>
      <w:r>
        <w:rPr>
          <w:rFonts w:hint="eastAsia" w:ascii="宋体" w:hAnsi="宋体" w:eastAsia="宋体" w:cs="宋体"/>
          <w:b w:val="0"/>
          <w:bCs/>
          <w:color w:val="auto"/>
          <w:kern w:val="0"/>
          <w:sz w:val="24"/>
          <w:szCs w:val="24"/>
        </w:rPr>
        <w:t>二、申请人的资格要求：</w:t>
      </w:r>
      <w:bookmarkEnd w:id="432"/>
      <w:bookmarkEnd w:id="433"/>
      <w:bookmarkEnd w:id="434"/>
      <w:bookmarkEnd w:id="435"/>
      <w:bookmarkEnd w:id="436"/>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bookmarkStart w:id="437" w:name="_Toc28359091"/>
      <w:bookmarkStart w:id="438" w:name="_Toc35393800"/>
      <w:bookmarkStart w:id="439" w:name="_Toc18586"/>
      <w:bookmarkStart w:id="440" w:name="_Toc28359014"/>
      <w:bookmarkStart w:id="441" w:name="_Toc35393631"/>
      <w:r>
        <w:rPr>
          <w:rFonts w:hint="eastAsia" w:ascii="宋体" w:hAnsi="宋体" w:eastAsia="宋体" w:cs="宋体"/>
          <w:b w:val="0"/>
          <w:bCs/>
          <w:color w:val="auto"/>
          <w:kern w:val="2"/>
          <w:sz w:val="24"/>
          <w:szCs w:val="24"/>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2.具有有效的独立法人营业执照；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投标人须具备[施工总承包建筑工程三级](含)以上资质，企业安全生产许可证、并在人员、设备、资金等方面具有相应的能力，项目负责人须具备[建筑工程二级](含)以上注册建造师执业资格，具备有效的安全生产考核合格证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4.法人代表资格证明书及授权书、被授权人身份证(法人投标需提供法人身份证及法人代表资格证明书)；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5.供应商提供本单位依法缴纳近三个月的社会保险缴费凭证；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6.提供税务部门出具上一季度的完税证明；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7.提供近一年2020年度的财务审计报告（新成立公司需提供银行资信证明）；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9.参与政府采购活动前3年内未被列入失信、重大税收违法案件、财政部门禁止参加政府采购活动的承诺书；</w:t>
      </w:r>
    </w:p>
    <w:p>
      <w:pPr>
        <w:pStyle w:val="11"/>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cs="宋体"/>
          <w:b w:val="0"/>
          <w:bCs/>
          <w:color w:val="auto"/>
          <w:kern w:val="2"/>
          <w:sz w:val="24"/>
          <w:szCs w:val="24"/>
          <w:lang w:val="en-US" w:eastAsia="zh-CN" w:bidi="ar-SA"/>
        </w:rPr>
        <w:t>0</w:t>
      </w:r>
      <w:r>
        <w:rPr>
          <w:rFonts w:hint="eastAsia" w:ascii="宋体" w:hAnsi="宋体" w:eastAsia="宋体" w:cs="宋体"/>
          <w:b w:val="0"/>
          <w:bCs/>
          <w:color w:val="auto"/>
          <w:kern w:val="2"/>
          <w:sz w:val="24"/>
          <w:szCs w:val="24"/>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p>
    <w:bookmarkEnd w:id="437"/>
    <w:bookmarkEnd w:id="438"/>
    <w:bookmarkEnd w:id="439"/>
    <w:bookmarkEnd w:id="440"/>
    <w:bookmarkEnd w:id="441"/>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三、获取采购文件</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时间：</w:t>
      </w: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09</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30</w:t>
      </w:r>
      <w:r>
        <w:rPr>
          <w:rFonts w:hint="eastAsia" w:ascii="宋体" w:hAnsi="宋体" w:eastAsia="宋体" w:cs="宋体"/>
          <w:b w:val="0"/>
          <w:bCs/>
          <w:color w:val="FF0000"/>
          <w:kern w:val="0"/>
          <w:sz w:val="24"/>
          <w:szCs w:val="24"/>
        </w:rPr>
        <w:t>日至202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10</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13</w:t>
      </w:r>
      <w:r>
        <w:rPr>
          <w:rFonts w:hint="eastAsia" w:ascii="宋体" w:hAnsi="宋体" w:eastAsia="宋体" w:cs="宋体"/>
          <w:b w:val="0"/>
          <w:bCs/>
          <w:color w:val="FF0000"/>
          <w:kern w:val="0"/>
          <w:sz w:val="24"/>
          <w:szCs w:val="24"/>
        </w:rPr>
        <w:t>日</w:t>
      </w:r>
      <w:r>
        <w:rPr>
          <w:rFonts w:hint="eastAsia" w:ascii="宋体" w:hAnsi="宋体" w:eastAsia="宋体" w:cs="宋体"/>
          <w:b w:val="0"/>
          <w:bCs/>
          <w:color w:val="auto"/>
          <w:kern w:val="0"/>
          <w:sz w:val="24"/>
          <w:szCs w:val="24"/>
        </w:rPr>
        <w:t>（上午10:00-14:00，下午16:00-19:30）</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地址：政采云平台（</w:t>
      </w:r>
      <w:r>
        <w:rPr>
          <w:rFonts w:hint="eastAsia" w:ascii="宋体" w:hAnsi="宋体" w:eastAsia="宋体" w:cs="宋体"/>
          <w:b w:val="0"/>
          <w:bCs/>
          <w:color w:val="auto"/>
          <w:kern w:val="0"/>
          <w:sz w:val="24"/>
          <w:szCs w:val="24"/>
          <w:lang w:val="en-US" w:eastAsia="zh-CN"/>
        </w:rPr>
        <w:fldChar w:fldCharType="begin"/>
      </w:r>
      <w:r>
        <w:rPr>
          <w:rFonts w:hint="eastAsia" w:ascii="宋体" w:hAnsi="宋体" w:eastAsia="宋体" w:cs="宋体"/>
          <w:b w:val="0"/>
          <w:bCs/>
          <w:color w:val="auto"/>
          <w:kern w:val="0"/>
          <w:sz w:val="24"/>
          <w:szCs w:val="24"/>
          <w:lang w:val="en-US" w:eastAsia="zh-CN"/>
        </w:rPr>
        <w:instrText xml:space="preserve"> HYPERLINK "https://www.zcygov.cn" </w:instrText>
      </w:r>
      <w:r>
        <w:rPr>
          <w:rFonts w:hint="eastAsia" w:ascii="宋体" w:hAnsi="宋体" w:eastAsia="宋体" w:cs="宋体"/>
          <w:b w:val="0"/>
          <w:bCs/>
          <w:color w:val="auto"/>
          <w:kern w:val="0"/>
          <w:sz w:val="24"/>
          <w:szCs w:val="24"/>
          <w:lang w:val="en-US" w:eastAsia="zh-CN"/>
        </w:rPr>
        <w:fldChar w:fldCharType="separate"/>
      </w:r>
      <w:r>
        <w:rPr>
          <w:rFonts w:hint="eastAsia" w:ascii="宋体" w:hAnsi="宋体" w:eastAsia="宋体" w:cs="宋体"/>
          <w:b w:val="0"/>
          <w:bCs/>
          <w:color w:val="auto"/>
          <w:kern w:val="0"/>
          <w:sz w:val="24"/>
          <w:szCs w:val="24"/>
          <w:lang w:val="en-US" w:eastAsia="zh-CN"/>
        </w:rPr>
        <w:t>https://www.zcygov.cn</w:t>
      </w:r>
      <w:r>
        <w:rPr>
          <w:rFonts w:hint="eastAsia" w:ascii="宋体" w:hAnsi="宋体" w:eastAsia="宋体" w:cs="宋体"/>
          <w:b w:val="0"/>
          <w:bCs/>
          <w:color w:val="auto"/>
          <w:kern w:val="0"/>
          <w:sz w:val="24"/>
          <w:szCs w:val="24"/>
          <w:lang w:val="en-US" w:eastAsia="zh-CN"/>
        </w:rPr>
        <w:fldChar w:fldCharType="end"/>
      </w:r>
      <w:r>
        <w:rPr>
          <w:rFonts w:hint="eastAsia" w:ascii="宋体" w:hAnsi="宋体" w:eastAsia="宋体" w:cs="宋体"/>
          <w:b w:val="0"/>
          <w:bCs/>
          <w:color w:val="auto"/>
          <w:kern w:val="0"/>
          <w:sz w:val="24"/>
          <w:szCs w:val="24"/>
          <w:lang w:val="en-US" w:eastAsia="zh-CN"/>
        </w:rPr>
        <w:t>）</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rPr>
        <w:t>方式：</w:t>
      </w:r>
      <w:r>
        <w:rPr>
          <w:rFonts w:hint="eastAsia" w:ascii="宋体" w:hAnsi="宋体" w:eastAsia="宋体" w:cs="宋体"/>
          <w:b w:val="0"/>
          <w:bCs/>
          <w:color w:val="auto"/>
          <w:kern w:val="0"/>
          <w:sz w:val="24"/>
          <w:szCs w:val="24"/>
          <w:lang w:val="en-US" w:eastAsia="zh-CN"/>
        </w:rPr>
        <w:t>网上自行下载（有意投标的</w:t>
      </w:r>
      <w:r>
        <w:rPr>
          <w:rFonts w:hint="eastAsia" w:ascii="宋体" w:hAnsi="宋体" w:cs="宋体"/>
          <w:b w:val="0"/>
          <w:bCs/>
          <w:color w:val="auto"/>
          <w:kern w:val="0"/>
          <w:sz w:val="24"/>
          <w:szCs w:val="24"/>
          <w:lang w:val="en-US" w:eastAsia="zh-CN"/>
        </w:rPr>
        <w:t>投标单位</w:t>
      </w:r>
      <w:r>
        <w:rPr>
          <w:rFonts w:hint="eastAsia" w:ascii="宋体" w:hAnsi="宋体" w:eastAsia="宋体" w:cs="宋体"/>
          <w:b w:val="0"/>
          <w:bCs/>
          <w:color w:val="auto"/>
          <w:kern w:val="0"/>
          <w:sz w:val="24"/>
          <w:szCs w:val="24"/>
          <w:lang w:val="en-US" w:eastAsia="zh-CN"/>
        </w:rPr>
        <w:t>，在下载招标文件后，需提供以下信息至</w:t>
      </w:r>
      <w:r>
        <w:rPr>
          <w:rFonts w:hint="eastAsia" w:ascii="宋体" w:hAnsi="宋体" w:cs="宋体"/>
          <w:b w:val="0"/>
          <w:bCs/>
          <w:color w:val="auto"/>
          <w:kern w:val="0"/>
          <w:sz w:val="24"/>
          <w:szCs w:val="24"/>
          <w:lang w:val="en-US" w:eastAsia="zh-CN"/>
        </w:rPr>
        <w:t>421181713</w:t>
      </w:r>
      <w:r>
        <w:rPr>
          <w:rFonts w:hint="eastAsia" w:ascii="宋体" w:hAnsi="宋体" w:eastAsia="宋体" w:cs="宋体"/>
          <w:b w:val="0"/>
          <w:bCs/>
          <w:color w:val="auto"/>
          <w:kern w:val="0"/>
          <w:sz w:val="24"/>
          <w:szCs w:val="24"/>
          <w:lang w:val="en-US" w:eastAsia="zh-CN"/>
        </w:rPr>
        <w:t>@qq.com:①公司名称；②项目名称；③项目编号；④联系人；⑤联系电话；⑥邮箱号；）</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42" w:name="_Toc32246"/>
      <w:r>
        <w:rPr>
          <w:rFonts w:hint="eastAsia" w:ascii="宋体" w:hAnsi="宋体" w:eastAsia="宋体" w:cs="宋体"/>
          <w:b w:val="0"/>
          <w:bCs/>
          <w:color w:val="auto"/>
          <w:kern w:val="0"/>
          <w:sz w:val="24"/>
          <w:szCs w:val="24"/>
        </w:rPr>
        <w:t>四、</w:t>
      </w:r>
      <w:bookmarkStart w:id="443" w:name="_Toc28359015"/>
      <w:bookmarkStart w:id="444" w:name="_Toc35393632"/>
      <w:bookmarkStart w:id="445" w:name="_Toc35393801"/>
      <w:bookmarkStart w:id="446" w:name="_Toc28359092"/>
      <w:r>
        <w:rPr>
          <w:rFonts w:hint="eastAsia" w:ascii="宋体" w:hAnsi="宋体" w:eastAsia="宋体" w:cs="宋体"/>
          <w:b w:val="0"/>
          <w:bCs/>
          <w:color w:val="auto"/>
          <w:kern w:val="0"/>
          <w:sz w:val="24"/>
          <w:szCs w:val="24"/>
        </w:rPr>
        <w:t>响应文件提交</w:t>
      </w:r>
      <w:bookmarkEnd w:id="442"/>
      <w:bookmarkEnd w:id="443"/>
      <w:bookmarkEnd w:id="444"/>
      <w:bookmarkEnd w:id="445"/>
      <w:bookmarkEnd w:id="446"/>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bookmarkStart w:id="447" w:name="_Toc28359093"/>
      <w:bookmarkStart w:id="448" w:name="_Toc28359016"/>
      <w:bookmarkStart w:id="449" w:name="_Toc35393802"/>
      <w:bookmarkStart w:id="450" w:name="_Toc35393633"/>
      <w:r>
        <w:rPr>
          <w:rFonts w:hint="eastAsia" w:ascii="宋体" w:hAnsi="宋体" w:eastAsia="宋体" w:cs="宋体"/>
          <w:b w:val="0"/>
          <w:bCs/>
          <w:color w:val="auto"/>
          <w:kern w:val="0"/>
          <w:sz w:val="24"/>
          <w:szCs w:val="24"/>
        </w:rPr>
        <w:t>时间：</w:t>
      </w: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10</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14</w:t>
      </w:r>
      <w:r>
        <w:rPr>
          <w:rFonts w:hint="eastAsia" w:ascii="宋体" w:hAnsi="宋体" w:eastAsia="宋体" w:cs="宋体"/>
          <w:b w:val="0"/>
          <w:bCs/>
          <w:color w:val="FF0000"/>
          <w:kern w:val="0"/>
          <w:sz w:val="24"/>
          <w:szCs w:val="24"/>
        </w:rPr>
        <w:t>日</w:t>
      </w:r>
      <w:r>
        <w:rPr>
          <w:rFonts w:hint="eastAsia" w:ascii="宋体" w:hAnsi="宋体" w:eastAsia="宋体" w:cs="宋体"/>
          <w:b w:val="0"/>
          <w:bCs/>
          <w:color w:val="FF0000"/>
          <w:kern w:val="0"/>
          <w:sz w:val="24"/>
          <w:szCs w:val="24"/>
          <w:lang w:val="en-US" w:eastAsia="zh-CN"/>
        </w:rPr>
        <w:t>1</w:t>
      </w:r>
      <w:r>
        <w:rPr>
          <w:rFonts w:hint="eastAsia" w:ascii="宋体" w:hAnsi="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点</w:t>
      </w:r>
      <w:r>
        <w:rPr>
          <w:rFonts w:hint="eastAsia" w:ascii="宋体" w:hAnsi="宋体" w:cs="宋体"/>
          <w:b w:val="0"/>
          <w:bCs/>
          <w:color w:val="FF0000"/>
          <w:kern w:val="0"/>
          <w:sz w:val="24"/>
          <w:szCs w:val="24"/>
          <w:lang w:val="en-US" w:eastAsia="zh-CN"/>
        </w:rPr>
        <w:t>00</w:t>
      </w:r>
      <w:r>
        <w:rPr>
          <w:rFonts w:hint="eastAsia" w:ascii="宋体" w:hAnsi="宋体" w:eastAsia="宋体" w:cs="宋体"/>
          <w:b w:val="0"/>
          <w:bCs/>
          <w:color w:val="FF0000"/>
          <w:kern w:val="0"/>
          <w:sz w:val="24"/>
          <w:szCs w:val="24"/>
        </w:rPr>
        <w:t>分</w:t>
      </w:r>
      <w:r>
        <w:rPr>
          <w:rFonts w:hint="eastAsia" w:ascii="宋体" w:hAnsi="宋体" w:eastAsia="宋体" w:cs="宋体"/>
          <w:b w:val="0"/>
          <w:bCs/>
          <w:color w:val="auto"/>
          <w:kern w:val="0"/>
          <w:sz w:val="24"/>
          <w:szCs w:val="24"/>
        </w:rPr>
        <w:t>（北京时间）</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rPr>
      </w:pPr>
      <w:r>
        <w:rPr>
          <w:rFonts w:hint="eastAsia" w:ascii="宋体" w:hAnsi="宋体" w:eastAsia="宋体" w:cs="宋体"/>
          <w:b w:val="0"/>
          <w:bCs/>
          <w:color w:val="auto"/>
          <w:kern w:val="0"/>
          <w:sz w:val="24"/>
          <w:szCs w:val="24"/>
        </w:rPr>
        <w:t>地点：喀什</w:t>
      </w:r>
      <w:r>
        <w:rPr>
          <w:rFonts w:hint="eastAsia" w:ascii="宋体" w:hAnsi="宋体" w:eastAsia="宋体" w:cs="宋体"/>
          <w:b w:val="0"/>
          <w:bCs/>
          <w:color w:val="auto"/>
          <w:kern w:val="0"/>
          <w:sz w:val="24"/>
          <w:szCs w:val="24"/>
          <w:lang w:val="en-US" w:eastAsia="zh-CN"/>
        </w:rPr>
        <w:t>市吐曼路1号财富大厦</w:t>
      </w:r>
      <w:r>
        <w:rPr>
          <w:rFonts w:hint="eastAsia" w:ascii="宋体" w:hAnsi="宋体" w:cs="宋体"/>
          <w:b w:val="0"/>
          <w:bCs/>
          <w:color w:val="auto"/>
          <w:kern w:val="0"/>
          <w:sz w:val="24"/>
          <w:szCs w:val="24"/>
          <w:lang w:val="en-US" w:eastAsia="zh-CN"/>
        </w:rPr>
        <w:t>3</w:t>
      </w:r>
      <w:r>
        <w:rPr>
          <w:rFonts w:hint="eastAsia" w:ascii="宋体" w:hAnsi="宋体" w:eastAsia="宋体" w:cs="宋体"/>
          <w:b w:val="0"/>
          <w:bCs/>
          <w:color w:val="auto"/>
          <w:kern w:val="0"/>
          <w:sz w:val="24"/>
          <w:szCs w:val="24"/>
          <w:lang w:val="en-US" w:eastAsia="zh-CN"/>
        </w:rPr>
        <w:t>楼</w:t>
      </w:r>
      <w:r>
        <w:rPr>
          <w:rFonts w:hint="eastAsia" w:ascii="宋体" w:hAnsi="宋体" w:cs="宋体"/>
          <w:b w:val="0"/>
          <w:bCs/>
          <w:color w:val="auto"/>
          <w:kern w:val="0"/>
          <w:sz w:val="24"/>
          <w:szCs w:val="24"/>
          <w:lang w:val="en-US" w:eastAsia="zh-CN"/>
        </w:rPr>
        <w:t>307</w:t>
      </w:r>
      <w:r>
        <w:rPr>
          <w:rFonts w:hint="eastAsia" w:ascii="宋体" w:hAnsi="宋体" w:eastAsia="宋体" w:cs="宋体"/>
          <w:b w:val="0"/>
          <w:bCs/>
          <w:color w:val="auto"/>
          <w:kern w:val="0"/>
          <w:sz w:val="24"/>
          <w:szCs w:val="24"/>
          <w:lang w:val="en-US" w:eastAsia="zh-CN"/>
        </w:rPr>
        <w:t>室</w:t>
      </w:r>
      <w:r>
        <w:rPr>
          <w:rFonts w:hint="eastAsia" w:ascii="宋体" w:hAnsi="宋体" w:eastAsia="宋体" w:cs="宋体"/>
          <w:b w:val="0"/>
          <w:bCs/>
          <w:color w:val="auto"/>
          <w:sz w:val="24"/>
          <w:szCs w:val="24"/>
        </w:rPr>
        <w:t> </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51" w:name="_Toc27690"/>
      <w:r>
        <w:rPr>
          <w:rFonts w:hint="eastAsia" w:ascii="宋体" w:hAnsi="宋体" w:eastAsia="宋体" w:cs="宋体"/>
          <w:b w:val="0"/>
          <w:bCs/>
          <w:color w:val="auto"/>
          <w:kern w:val="0"/>
          <w:sz w:val="24"/>
          <w:szCs w:val="24"/>
        </w:rPr>
        <w:t>五、开启</w:t>
      </w:r>
      <w:bookmarkEnd w:id="447"/>
      <w:bookmarkEnd w:id="448"/>
      <w:bookmarkEnd w:id="449"/>
      <w:bookmarkEnd w:id="450"/>
      <w:bookmarkEnd w:id="451"/>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时间：</w:t>
      </w: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10</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14</w:t>
      </w:r>
      <w:r>
        <w:rPr>
          <w:rFonts w:hint="eastAsia" w:ascii="宋体" w:hAnsi="宋体" w:eastAsia="宋体" w:cs="宋体"/>
          <w:b w:val="0"/>
          <w:bCs/>
          <w:color w:val="FF0000"/>
          <w:kern w:val="0"/>
          <w:sz w:val="24"/>
          <w:szCs w:val="24"/>
        </w:rPr>
        <w:t>日</w:t>
      </w:r>
      <w:r>
        <w:rPr>
          <w:rFonts w:hint="eastAsia" w:ascii="宋体" w:hAnsi="宋体" w:eastAsia="宋体" w:cs="宋体"/>
          <w:b w:val="0"/>
          <w:bCs/>
          <w:color w:val="FF0000"/>
          <w:kern w:val="0"/>
          <w:sz w:val="24"/>
          <w:szCs w:val="24"/>
          <w:lang w:val="en-US" w:eastAsia="zh-CN"/>
        </w:rPr>
        <w:t>1</w:t>
      </w:r>
      <w:r>
        <w:rPr>
          <w:rFonts w:hint="eastAsia" w:ascii="宋体" w:hAnsi="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点</w:t>
      </w:r>
      <w:r>
        <w:rPr>
          <w:rFonts w:hint="eastAsia" w:ascii="宋体" w:hAnsi="宋体" w:cs="宋体"/>
          <w:b w:val="0"/>
          <w:bCs/>
          <w:color w:val="FF0000"/>
          <w:kern w:val="0"/>
          <w:sz w:val="24"/>
          <w:szCs w:val="24"/>
          <w:lang w:val="en-US" w:eastAsia="zh-CN"/>
        </w:rPr>
        <w:t>0</w:t>
      </w:r>
      <w:r>
        <w:rPr>
          <w:rFonts w:hint="eastAsia" w:ascii="宋体" w:hAnsi="宋体" w:eastAsia="宋体" w:cs="宋体"/>
          <w:b w:val="0"/>
          <w:bCs/>
          <w:color w:val="FF0000"/>
          <w:kern w:val="0"/>
          <w:sz w:val="24"/>
          <w:szCs w:val="24"/>
        </w:rPr>
        <w:t>0分</w:t>
      </w:r>
      <w:r>
        <w:rPr>
          <w:rFonts w:hint="eastAsia" w:ascii="宋体" w:hAnsi="宋体" w:eastAsia="宋体" w:cs="宋体"/>
          <w:b w:val="0"/>
          <w:bCs/>
          <w:color w:val="auto"/>
          <w:kern w:val="0"/>
          <w:sz w:val="24"/>
          <w:szCs w:val="24"/>
        </w:rPr>
        <w:t>（北京时间）</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地点：</w:t>
      </w:r>
      <w:r>
        <w:rPr>
          <w:rFonts w:hint="eastAsia" w:asciiTheme="majorEastAsia" w:hAnsiTheme="majorEastAsia" w:eastAsiaTheme="majorEastAsia" w:cstheme="majorEastAsia"/>
          <w:sz w:val="24"/>
          <w:szCs w:val="24"/>
        </w:rPr>
        <w:t>喀什市吐曼路1号财富大厦</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楼</w:t>
      </w:r>
      <w:r>
        <w:rPr>
          <w:rFonts w:hint="eastAsia" w:asciiTheme="majorEastAsia" w:hAnsiTheme="majorEastAsia" w:eastAsiaTheme="majorEastAsia" w:cstheme="majorEastAsia"/>
          <w:sz w:val="24"/>
          <w:szCs w:val="24"/>
          <w:lang w:val="en-US" w:eastAsia="zh-CN"/>
        </w:rPr>
        <w:t>307</w:t>
      </w:r>
      <w:r>
        <w:rPr>
          <w:rFonts w:hint="eastAsia" w:asciiTheme="majorEastAsia" w:hAnsiTheme="majorEastAsia" w:eastAsiaTheme="majorEastAsia" w:cstheme="majorEastAsia"/>
          <w:sz w:val="24"/>
          <w:szCs w:val="24"/>
        </w:rPr>
        <w:t>室</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52" w:name="_Toc28359017"/>
      <w:bookmarkStart w:id="453" w:name="_Toc26534"/>
      <w:bookmarkStart w:id="454" w:name="_Toc35393803"/>
      <w:bookmarkStart w:id="455" w:name="_Toc28359094"/>
      <w:bookmarkStart w:id="456" w:name="_Toc35393634"/>
      <w:r>
        <w:rPr>
          <w:rFonts w:hint="eastAsia" w:ascii="宋体" w:hAnsi="宋体" w:eastAsia="宋体" w:cs="宋体"/>
          <w:b w:val="0"/>
          <w:bCs/>
          <w:color w:val="auto"/>
          <w:kern w:val="0"/>
          <w:sz w:val="24"/>
          <w:szCs w:val="24"/>
        </w:rPr>
        <w:t>六、公告期限</w:t>
      </w:r>
      <w:bookmarkEnd w:id="452"/>
      <w:bookmarkEnd w:id="453"/>
      <w:bookmarkEnd w:id="454"/>
      <w:bookmarkEnd w:id="455"/>
      <w:bookmarkEnd w:id="456"/>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自本公告发布之日起5个工作日。</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57" w:name="_Toc35393635"/>
      <w:bookmarkStart w:id="458" w:name="_Toc35393804"/>
      <w:bookmarkStart w:id="459" w:name="_Toc4119"/>
      <w:r>
        <w:rPr>
          <w:rFonts w:hint="eastAsia" w:ascii="宋体" w:hAnsi="宋体" w:eastAsia="宋体" w:cs="宋体"/>
          <w:b w:val="0"/>
          <w:bCs/>
          <w:color w:val="auto"/>
          <w:kern w:val="0"/>
          <w:sz w:val="24"/>
          <w:szCs w:val="24"/>
        </w:rPr>
        <w:t>七、</w:t>
      </w:r>
      <w:bookmarkEnd w:id="457"/>
      <w:bookmarkEnd w:id="458"/>
      <w:bookmarkStart w:id="460" w:name="_Toc35393805"/>
      <w:bookmarkStart w:id="461" w:name="_Toc28359018"/>
      <w:bookmarkStart w:id="462" w:name="_Toc35393636"/>
      <w:bookmarkStart w:id="463" w:name="_Toc28359095"/>
      <w:r>
        <w:rPr>
          <w:rFonts w:hint="eastAsia" w:ascii="宋体" w:hAnsi="宋体" w:eastAsia="宋体" w:cs="宋体"/>
          <w:b w:val="0"/>
          <w:bCs/>
          <w:color w:val="auto"/>
          <w:kern w:val="0"/>
          <w:sz w:val="24"/>
          <w:szCs w:val="24"/>
        </w:rPr>
        <w:t>凡对本次采购提出询问，请按以下方式联系。</w:t>
      </w:r>
      <w:bookmarkEnd w:id="459"/>
      <w:bookmarkEnd w:id="460"/>
      <w:bookmarkEnd w:id="461"/>
      <w:bookmarkEnd w:id="462"/>
      <w:bookmarkEnd w:id="463"/>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招标人</w:t>
      </w:r>
      <w:r>
        <w:rPr>
          <w:rFonts w:hint="eastAsia" w:asciiTheme="majorEastAsia" w:hAnsiTheme="majorEastAsia" w:eastAsiaTheme="majorEastAsia" w:cstheme="majorEastAsia"/>
          <w:sz w:val="24"/>
          <w:szCs w:val="24"/>
        </w:rPr>
        <w:t>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w:t>
      </w:r>
      <w:r>
        <w:rPr>
          <w:rFonts w:hint="eastAsia" w:asciiTheme="majorEastAsia" w:hAnsiTheme="majorEastAsia" w:eastAsiaTheme="majorEastAsia" w:cstheme="majorEastAsia"/>
          <w:sz w:val="24"/>
          <w:szCs w:val="24"/>
          <w:lang w:eastAsia="zh-CN"/>
        </w:rPr>
        <w:t>新疆维吾尔自治区人民检察院喀什分院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址：喀什市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w:t>
      </w:r>
      <w:r>
        <w:rPr>
          <w:rFonts w:hint="eastAsia" w:asciiTheme="majorEastAsia" w:hAnsiTheme="majorEastAsia" w:eastAsiaTheme="majorEastAsia" w:cstheme="majorEastAsia"/>
          <w:sz w:val="24"/>
          <w:szCs w:val="24"/>
          <w:lang w:val="en-US" w:eastAsia="zh-CN"/>
        </w:rPr>
        <w:t>王宁平</w:t>
      </w: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联系电话：17709980688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代理机构</w:t>
      </w:r>
      <w:r>
        <w:rPr>
          <w:rFonts w:hint="eastAsia" w:asciiTheme="majorEastAsia" w:hAnsiTheme="majorEastAsia" w:eastAsiaTheme="majorEastAsia" w:cstheme="majorEastAsia"/>
          <w:sz w:val="24"/>
          <w:szCs w:val="24"/>
        </w:rPr>
        <w:t>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w:t>
      </w:r>
      <w:r>
        <w:rPr>
          <w:rFonts w:hint="eastAsia" w:asciiTheme="majorEastAsia" w:hAnsiTheme="majorEastAsia" w:eastAsiaTheme="majorEastAsia" w:cstheme="majorEastAsia"/>
          <w:sz w:val="24"/>
          <w:szCs w:val="24"/>
          <w:lang w:val="en-US" w:eastAsia="zh-CN"/>
        </w:rPr>
        <w:t>新疆甲鼎泰诚工程项目管理有限公司</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址：喀什市吐曼路1号财富大厦</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楼</w:t>
      </w:r>
      <w:r>
        <w:rPr>
          <w:rFonts w:hint="eastAsia" w:asciiTheme="majorEastAsia" w:hAnsiTheme="majorEastAsia" w:eastAsiaTheme="majorEastAsia" w:cstheme="majorEastAsia"/>
          <w:sz w:val="24"/>
          <w:szCs w:val="24"/>
          <w:lang w:val="en-US" w:eastAsia="zh-CN"/>
        </w:rPr>
        <w:t>307</w:t>
      </w:r>
      <w:r>
        <w:rPr>
          <w:rFonts w:hint="eastAsia" w:asciiTheme="majorEastAsia" w:hAnsiTheme="majorEastAsia" w:eastAsiaTheme="majorEastAsia" w:cstheme="majorEastAsia"/>
          <w:sz w:val="24"/>
          <w:szCs w:val="24"/>
        </w:rPr>
        <w:t>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w:t>
      </w:r>
      <w:r>
        <w:rPr>
          <w:rFonts w:hint="eastAsia" w:asciiTheme="majorEastAsia" w:hAnsiTheme="majorEastAsia" w:eastAsiaTheme="majorEastAsia" w:cstheme="majorEastAsia"/>
          <w:sz w:val="24"/>
          <w:szCs w:val="24"/>
          <w:lang w:val="en-US" w:eastAsia="zh-CN"/>
        </w:rPr>
        <w:t>庞珺</w:t>
      </w: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联系电话：</w:t>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3999092110</w:t>
      </w:r>
    </w:p>
    <w:p>
      <w:pPr>
        <w:spacing w:line="460" w:lineRule="exact"/>
        <w:ind w:firstLine="480" w:firstLineChars="200"/>
        <w:jc w:val="right"/>
        <w:rPr>
          <w:rFonts w:hint="eastAsia" w:ascii="宋体" w:hAnsi="宋体" w:eastAsia="宋体" w:cs="宋体"/>
          <w:b w:val="0"/>
          <w:bCs/>
          <w:color w:val="auto"/>
          <w:kern w:val="0"/>
          <w:sz w:val="24"/>
          <w:szCs w:val="24"/>
        </w:rPr>
      </w:pPr>
    </w:p>
    <w:p>
      <w:pPr>
        <w:spacing w:line="460" w:lineRule="exact"/>
        <w:ind w:firstLine="480" w:firstLineChars="200"/>
        <w:jc w:val="right"/>
        <w:rPr>
          <w:rFonts w:hint="eastAsia" w:ascii="宋体" w:hAnsi="宋体" w:cs="宋体"/>
          <w:b w:val="0"/>
          <w:bCs/>
          <w:color w:val="auto"/>
          <w:kern w:val="0"/>
          <w:sz w:val="24"/>
          <w:szCs w:val="24"/>
          <w:lang w:val="en-US" w:eastAsia="zh-CN"/>
        </w:rPr>
      </w:pPr>
    </w:p>
    <w:p>
      <w:pPr>
        <w:spacing w:line="460" w:lineRule="exact"/>
        <w:ind w:firstLine="480" w:firstLineChars="200"/>
        <w:jc w:val="right"/>
        <w:rPr>
          <w:rFonts w:hint="eastAsia" w:ascii="宋体" w:hAnsi="宋体" w:cs="宋体"/>
          <w:b w:val="0"/>
          <w:bCs/>
          <w:color w:val="auto"/>
          <w:kern w:val="0"/>
          <w:sz w:val="24"/>
          <w:szCs w:val="24"/>
          <w:lang w:val="en-US" w:eastAsia="zh-CN"/>
        </w:rPr>
      </w:pPr>
    </w:p>
    <w:p>
      <w:pPr>
        <w:spacing w:line="460" w:lineRule="exact"/>
        <w:ind w:firstLine="480" w:firstLineChars="200"/>
        <w:jc w:val="right"/>
        <w:rPr>
          <w:rFonts w:hint="eastAsia" w:ascii="宋体" w:hAnsi="宋体" w:eastAsia="宋体" w:cs="宋体"/>
          <w:b w:val="0"/>
          <w:bCs/>
          <w:color w:val="auto"/>
          <w:kern w:val="0"/>
          <w:sz w:val="24"/>
          <w:szCs w:val="24"/>
        </w:rPr>
      </w:pPr>
      <w:r>
        <w:rPr>
          <w:rFonts w:hint="eastAsia" w:ascii="宋体" w:hAnsi="宋体" w:cs="宋体"/>
          <w:b w:val="0"/>
          <w:bCs/>
          <w:color w:val="auto"/>
          <w:kern w:val="0"/>
          <w:sz w:val="24"/>
          <w:szCs w:val="24"/>
          <w:lang w:val="en-US" w:eastAsia="zh-CN"/>
        </w:rPr>
        <w:t>新疆甲鼎泰诚工程项目管理</w:t>
      </w:r>
      <w:r>
        <w:rPr>
          <w:rFonts w:hint="eastAsia" w:ascii="宋体" w:hAnsi="宋体" w:eastAsia="宋体" w:cs="宋体"/>
          <w:b w:val="0"/>
          <w:bCs/>
          <w:color w:val="auto"/>
          <w:kern w:val="0"/>
          <w:sz w:val="24"/>
          <w:szCs w:val="24"/>
        </w:rPr>
        <w:t>有限公司</w:t>
      </w:r>
    </w:p>
    <w:p>
      <w:pPr>
        <w:ind w:firstLine="6000" w:firstLineChars="2500"/>
        <w:rPr>
          <w:rFonts w:hint="eastAsia" w:ascii="宋体" w:hAnsi="宋体" w:eastAsia="宋体" w:cs="宋体"/>
          <w:b w:val="0"/>
          <w:bCs/>
          <w:color w:val="FF0000"/>
        </w:rPr>
      </w:pP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09</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30</w:t>
      </w:r>
      <w:r>
        <w:rPr>
          <w:rFonts w:hint="eastAsia" w:ascii="宋体" w:hAnsi="宋体" w:eastAsia="宋体" w:cs="宋体"/>
          <w:b w:val="0"/>
          <w:bCs/>
          <w:color w:val="FF0000"/>
          <w:kern w:val="0"/>
          <w:sz w:val="24"/>
          <w:szCs w:val="24"/>
        </w:rPr>
        <w:t>日</w:t>
      </w:r>
    </w:p>
    <w:p>
      <w:pPr>
        <w:pStyle w:val="3"/>
        <w:tabs>
          <w:tab w:val="left" w:pos="0"/>
        </w:tabs>
        <w:spacing w:before="0" w:after="0" w:line="240" w:lineRule="atLeast"/>
        <w:jc w:val="center"/>
        <w:rPr>
          <w:rFonts w:hint="eastAsia" w:ascii="宋体" w:hAnsi="宋体" w:eastAsia="宋体" w:cs="宋体"/>
          <w:b w:val="0"/>
          <w:bCs/>
          <w:color w:val="auto"/>
          <w:sz w:val="28"/>
          <w:szCs w:val="28"/>
        </w:rPr>
      </w:pPr>
    </w:p>
    <w:p>
      <w:pPr>
        <w:pStyle w:val="3"/>
        <w:tabs>
          <w:tab w:val="left" w:pos="0"/>
        </w:tabs>
        <w:spacing w:before="0" w:after="0" w:line="240" w:lineRule="atLeast"/>
        <w:jc w:val="both"/>
        <w:rPr>
          <w:rFonts w:hint="eastAsia" w:ascii="宋体" w:hAnsi="宋体" w:eastAsia="宋体" w:cs="宋体"/>
          <w:b w:val="0"/>
          <w:bCs/>
          <w:color w:val="auto"/>
          <w:sz w:val="28"/>
          <w:szCs w:val="28"/>
        </w:rPr>
      </w:pPr>
    </w:p>
    <w:bookmarkEnd w:id="420"/>
    <w:bookmarkEnd w:id="421"/>
    <w:bookmarkEnd w:id="422"/>
    <w:bookmarkEnd w:id="423"/>
    <w:bookmarkEnd w:id="424"/>
    <w:bookmarkEnd w:id="425"/>
    <w:bookmarkEnd w:id="426"/>
    <w:p>
      <w:pPr>
        <w:spacing w:line="240" w:lineRule="atLeast"/>
        <w:ind w:firstLine="360" w:firstLineChars="150"/>
        <w:rPr>
          <w:rFonts w:hint="eastAsia" w:ascii="宋体" w:hAnsi="宋体" w:eastAsia="宋体" w:cs="宋体"/>
          <w:b w:val="0"/>
          <w:bCs/>
          <w:color w:val="auto"/>
          <w:sz w:val="24"/>
        </w:rPr>
      </w:pPr>
    </w:p>
    <w:p>
      <w:pPr>
        <w:pStyle w:val="3"/>
        <w:tabs>
          <w:tab w:val="left" w:pos="0"/>
        </w:tabs>
        <w:spacing w:before="0" w:after="0" w:line="240" w:lineRule="atLeast"/>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 xml:space="preserve">第4章 </w:t>
      </w:r>
      <w:r>
        <w:rPr>
          <w:rFonts w:hint="eastAsia" w:hAnsi="宋体" w:cs="宋体"/>
          <w:b w:val="0"/>
          <w:bCs/>
          <w:color w:val="auto"/>
          <w:sz w:val="28"/>
          <w:szCs w:val="28"/>
          <w:lang w:eastAsia="zh-CN"/>
        </w:rPr>
        <w:t>供应商</w:t>
      </w:r>
      <w:r>
        <w:rPr>
          <w:rFonts w:hint="eastAsia" w:ascii="宋体" w:hAnsi="宋体" w:eastAsia="宋体" w:cs="宋体"/>
          <w:b w:val="0"/>
          <w:bCs/>
          <w:color w:val="auto"/>
          <w:sz w:val="28"/>
          <w:szCs w:val="28"/>
        </w:rPr>
        <w:t>须知资料表</w:t>
      </w:r>
    </w:p>
    <w:p>
      <w:pPr>
        <w:spacing w:line="240" w:lineRule="atLeast"/>
        <w:ind w:firstLine="360" w:firstLineChars="150"/>
        <w:rPr>
          <w:rFonts w:hint="eastAsia" w:ascii="宋体" w:hAnsi="宋体" w:eastAsia="宋体" w:cs="宋体"/>
          <w:b w:val="0"/>
          <w:bCs/>
          <w:color w:val="auto"/>
          <w:sz w:val="24"/>
        </w:rPr>
      </w:pPr>
      <w:r>
        <w:rPr>
          <w:rFonts w:hint="eastAsia" w:ascii="宋体" w:hAnsi="宋体" w:eastAsia="宋体" w:cs="宋体"/>
          <w:b w:val="0"/>
          <w:bCs/>
          <w:color w:val="auto"/>
          <w:sz w:val="24"/>
        </w:rPr>
        <w:t>本表是本招标项目的具体资料，是对</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须知的具体补充和修改，如有矛盾，应以本资料表为准。</w:t>
      </w:r>
    </w:p>
    <w:tbl>
      <w:tblPr>
        <w:tblStyle w:val="37"/>
        <w:tblW w:w="94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8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条款号</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lang w:val="en-US" w:eastAsia="zh-CN"/>
              </w:rPr>
            </w:pPr>
            <w:r>
              <w:rPr>
                <w:rFonts w:hint="eastAsia" w:ascii="宋体" w:hAnsi="宋体" w:cs="宋体"/>
                <w:b w:val="0"/>
                <w:bCs/>
                <w:color w:val="auto"/>
                <w:sz w:val="21"/>
                <w:szCs w:val="21"/>
                <w:u w:val="none"/>
                <w:lang w:val="en-US" w:eastAsia="zh-CN"/>
              </w:rPr>
              <w:t>采购人</w:t>
            </w:r>
            <w:r>
              <w:rPr>
                <w:rFonts w:hint="eastAsia" w:ascii="宋体" w:hAnsi="宋体" w:eastAsia="宋体" w:cs="宋体"/>
                <w:b w:val="0"/>
                <w:bCs/>
                <w:color w:val="auto"/>
                <w:sz w:val="21"/>
                <w:szCs w:val="21"/>
                <w:u w:val="none"/>
                <w:lang w:val="en-US" w:eastAsia="zh-CN"/>
              </w:rPr>
              <w:t>：新疆维吾尔自治区人民检察院喀什分院</w:t>
            </w:r>
          </w:p>
          <w:p>
            <w:pPr>
              <w:pStyle w:val="32"/>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u w:val="none"/>
                <w:lang w:val="en-US" w:eastAsia="zh-CN"/>
              </w:rPr>
              <w:t xml:space="preserve">联系人：王宁平     </w:t>
            </w:r>
            <w:r>
              <w:rPr>
                <w:rFonts w:hint="eastAsia" w:ascii="宋体" w:hAnsi="宋体" w:eastAsia="宋体" w:cs="宋体"/>
                <w:b w:val="0"/>
                <w:bCs/>
                <w:color w:val="auto"/>
                <w:sz w:val="21"/>
                <w:szCs w:val="21"/>
                <w:u w:val="none"/>
              </w:rPr>
              <w:t xml:space="preserve">  联系电话：</w:t>
            </w:r>
            <w:r>
              <w:rPr>
                <w:rFonts w:hint="eastAsia" w:ascii="宋体" w:hAnsi="宋体" w:eastAsia="宋体" w:cs="宋体"/>
                <w:b w:val="0"/>
                <w:bCs/>
                <w:color w:val="auto"/>
                <w:sz w:val="21"/>
                <w:szCs w:val="21"/>
                <w:u w:val="none"/>
                <w:lang w:val="en-US" w:eastAsia="zh-CN"/>
              </w:rPr>
              <w:t>17709980688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cs="宋体"/>
                <w:b w:val="0"/>
                <w:bCs/>
                <w:color w:val="auto"/>
                <w:sz w:val="21"/>
                <w:szCs w:val="21"/>
                <w:u w:val="none"/>
                <w:lang w:eastAsia="zh-CN"/>
              </w:rPr>
              <w:t>采购代理机构</w:t>
            </w:r>
            <w:r>
              <w:rPr>
                <w:rFonts w:hint="eastAsia" w:ascii="宋体" w:hAnsi="宋体" w:eastAsia="宋体" w:cs="宋体"/>
                <w:b w:val="0"/>
                <w:bCs/>
                <w:color w:val="auto"/>
                <w:sz w:val="21"/>
                <w:szCs w:val="21"/>
                <w:u w:val="none"/>
              </w:rPr>
              <w:t>：</w:t>
            </w:r>
            <w:r>
              <w:rPr>
                <w:rFonts w:hint="eastAsia" w:ascii="宋体" w:hAnsi="宋体" w:eastAsia="宋体" w:cs="宋体"/>
                <w:b w:val="0"/>
                <w:bCs/>
                <w:color w:val="auto"/>
                <w:sz w:val="21"/>
                <w:szCs w:val="21"/>
                <w:u w:val="none"/>
                <w:lang w:val="en-US" w:eastAsia="zh-CN"/>
              </w:rPr>
              <w:t>新疆甲鼎泰诚工程项目管理有限公司</w:t>
            </w:r>
            <w:r>
              <w:rPr>
                <w:rFonts w:hint="eastAsia" w:ascii="宋体" w:hAnsi="宋体" w:eastAsia="宋体" w:cs="宋体"/>
                <w:b w:val="0"/>
                <w:bCs/>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地址：喀什市吐曼路1号财富大厦</w:t>
            </w:r>
            <w:r>
              <w:rPr>
                <w:rFonts w:hint="eastAsia" w:ascii="宋体" w:hAnsi="宋体" w:eastAsia="宋体" w:cs="宋体"/>
                <w:b w:val="0"/>
                <w:bCs/>
                <w:color w:val="auto"/>
                <w:sz w:val="21"/>
                <w:szCs w:val="21"/>
                <w:u w:val="none"/>
                <w:lang w:val="en-US" w:eastAsia="zh-CN"/>
              </w:rPr>
              <w:t>3</w:t>
            </w:r>
            <w:r>
              <w:rPr>
                <w:rFonts w:hint="eastAsia" w:ascii="宋体" w:hAnsi="宋体" w:eastAsia="宋体" w:cs="宋体"/>
                <w:b w:val="0"/>
                <w:bCs/>
                <w:color w:val="auto"/>
                <w:sz w:val="21"/>
                <w:szCs w:val="21"/>
                <w:u w:val="none"/>
              </w:rPr>
              <w:t>楼</w:t>
            </w:r>
            <w:r>
              <w:rPr>
                <w:rFonts w:hint="eastAsia" w:ascii="宋体" w:hAnsi="宋体" w:eastAsia="宋体" w:cs="宋体"/>
                <w:b w:val="0"/>
                <w:bCs/>
                <w:color w:val="auto"/>
                <w:sz w:val="21"/>
                <w:szCs w:val="21"/>
                <w:u w:val="none"/>
                <w:lang w:val="en-US" w:eastAsia="zh-CN"/>
              </w:rPr>
              <w:t>307</w:t>
            </w:r>
            <w:r>
              <w:rPr>
                <w:rFonts w:hint="eastAsia" w:ascii="宋体" w:hAnsi="宋体" w:eastAsia="宋体" w:cs="宋体"/>
                <w:b w:val="0"/>
                <w:bCs/>
                <w:color w:val="auto"/>
                <w:sz w:val="21"/>
                <w:szCs w:val="21"/>
                <w:u w:val="none"/>
              </w:rPr>
              <w:t xml:space="preserve">室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u w:val="none"/>
              </w:rPr>
              <w:t>业务联系人：</w:t>
            </w:r>
            <w:r>
              <w:rPr>
                <w:rFonts w:hint="eastAsia" w:ascii="宋体" w:hAnsi="宋体" w:eastAsia="宋体" w:cs="宋体"/>
                <w:b w:val="0"/>
                <w:bCs/>
                <w:color w:val="auto"/>
                <w:sz w:val="21"/>
                <w:szCs w:val="21"/>
                <w:u w:val="none"/>
                <w:lang w:val="en-US" w:eastAsia="zh-CN"/>
              </w:rPr>
              <w:t>庞珺</w:t>
            </w:r>
            <w:r>
              <w:rPr>
                <w:rFonts w:hint="eastAsia" w:ascii="宋体" w:hAnsi="宋体" w:eastAsia="宋体" w:cs="宋体"/>
                <w:b w:val="0"/>
                <w:bCs/>
                <w:color w:val="auto"/>
                <w:sz w:val="21"/>
                <w:szCs w:val="21"/>
                <w:u w:val="none"/>
              </w:rPr>
              <w:t>　   联系电话：</w:t>
            </w:r>
            <w:r>
              <w:rPr>
                <w:rFonts w:hint="eastAsia" w:ascii="宋体" w:hAnsi="宋体" w:eastAsia="宋体" w:cs="宋体"/>
                <w:b w:val="0"/>
                <w:bCs/>
                <w:color w:val="auto"/>
                <w:sz w:val="21"/>
                <w:szCs w:val="21"/>
                <w:u w:val="none"/>
                <w:lang w:val="en-US" w:eastAsia="zh-CN"/>
              </w:rPr>
              <w:t>13999092110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ind w:left="0" w:leftChars="0" w:hanging="54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1.3.4</w:t>
            </w:r>
          </w:p>
        </w:tc>
        <w:tc>
          <w:tcPr>
            <w:tcW w:w="8512" w:type="dxa"/>
            <w:vAlign w:val="center"/>
          </w:tcPr>
          <w:p>
            <w:pPr>
              <w:keepNext w:val="0"/>
              <w:keepLines w:val="0"/>
              <w:pageBreakBefore w:val="0"/>
              <w:kinsoku/>
              <w:wordWrap/>
              <w:overflowPunct/>
              <w:topLinePunct w:val="0"/>
              <w:autoSpaceDE/>
              <w:autoSpaceDN/>
              <w:bidi w:val="0"/>
              <w:adjustRightInd/>
              <w:snapToGrid/>
              <w:spacing w:line="340" w:lineRule="exact"/>
              <w:ind w:left="0" w:leftChars="0"/>
              <w:textAlignment w:val="auto"/>
              <w:rPr>
                <w:rFonts w:hint="eastAsia" w:ascii="宋体" w:hAnsi="宋体" w:eastAsia="宋体" w:cs="宋体"/>
                <w:b w:val="0"/>
                <w:bCs/>
                <w:color w:val="0000FF"/>
                <w:kern w:val="0"/>
                <w:sz w:val="21"/>
                <w:szCs w:val="21"/>
                <w:lang w:eastAsia="zh-CN"/>
              </w:rPr>
            </w:pPr>
            <w:r>
              <w:rPr>
                <w:rFonts w:hint="eastAsia" w:ascii="宋体" w:hAnsi="宋体" w:eastAsia="宋体" w:cs="宋体"/>
                <w:b w:val="0"/>
                <w:bCs/>
                <w:color w:val="auto"/>
                <w:kern w:val="0"/>
                <w:sz w:val="21"/>
                <w:szCs w:val="21"/>
              </w:rPr>
              <w:t>合格</w:t>
            </w:r>
            <w:r>
              <w:rPr>
                <w:rFonts w:hint="eastAsia" w:ascii="宋体" w:hAnsi="宋体" w:cs="宋体"/>
                <w:b w:val="0"/>
                <w:bCs/>
                <w:color w:val="auto"/>
                <w:kern w:val="0"/>
                <w:sz w:val="21"/>
                <w:szCs w:val="21"/>
                <w:lang w:eastAsia="zh-CN"/>
              </w:rPr>
              <w:t>供应商</w:t>
            </w:r>
            <w:r>
              <w:rPr>
                <w:rFonts w:hint="eastAsia" w:ascii="宋体" w:hAnsi="宋体" w:eastAsia="宋体" w:cs="宋体"/>
                <w:b w:val="0"/>
                <w:bCs/>
                <w:color w:val="auto"/>
                <w:kern w:val="0"/>
                <w:sz w:val="21"/>
                <w:szCs w:val="21"/>
              </w:rPr>
              <w:t>的其他资格要求：（</w:t>
            </w:r>
            <w:r>
              <w:rPr>
                <w:rFonts w:hint="eastAsia" w:ascii="宋体" w:hAnsi="宋体" w:eastAsia="宋体" w:cs="宋体"/>
                <w:b w:val="0"/>
                <w:bCs/>
                <w:color w:val="auto"/>
                <w:kern w:val="0"/>
                <w:sz w:val="21"/>
                <w:szCs w:val="21"/>
                <w:lang w:val="en-US" w:eastAsia="zh-CN"/>
              </w:rPr>
              <w:t>开标时须携带以下资格证明材料原件</w:t>
            </w:r>
            <w:r>
              <w:rPr>
                <w:rFonts w:hint="eastAsia" w:ascii="宋体" w:hAnsi="宋体" w:eastAsia="宋体" w:cs="宋体"/>
                <w:b w:val="0"/>
                <w:bCs/>
                <w:color w:val="auto"/>
                <w:kern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2.具有有效的独立法人营业执照；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3.投标人须具备[施工总承包建筑工程三级](含)以上资质，企业安全生产许可证，项目负责人须具备[建筑工程二级](含)以上注册建造师执业资格，具备有效的安全生产考核合格证书；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4.法人代表资格证明书及授权书、被授权人身份证(法人投标需提供法人身份证及法人代表资格证明书)；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5.供应商提供本单位依法缴纳近三个月的社会保险缴费凭证；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6.提供税务部门出具上一季度的完税证明；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7.提供近一年2020年度的财务审计报告（新成立公司需提供银行资信证明）；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9.参与政府采购活动前3年内未被列入失信、重大税收违法案件、财政部门禁止参加政府采购活动的承诺书；</w:t>
            </w:r>
          </w:p>
          <w:p>
            <w:pPr>
              <w:pStyle w:val="11"/>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1</w:t>
            </w:r>
            <w:r>
              <w:rPr>
                <w:rFonts w:hint="eastAsia" w:cs="宋体"/>
                <w:b w:val="0"/>
                <w:bCs/>
                <w:color w:val="auto"/>
                <w:kern w:val="2"/>
                <w:sz w:val="21"/>
                <w:szCs w:val="21"/>
                <w:lang w:val="en-US" w:eastAsia="zh-CN" w:bidi="ar-SA"/>
              </w:rPr>
              <w:t>0</w:t>
            </w:r>
            <w:r>
              <w:rPr>
                <w:rFonts w:hint="eastAsia" w:ascii="宋体" w:hAnsi="宋体" w:eastAsia="宋体" w:cs="宋体"/>
                <w:b w:val="0"/>
                <w:bCs/>
                <w:color w:val="auto"/>
                <w:kern w:val="2"/>
                <w:sz w:val="21"/>
                <w:szCs w:val="21"/>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r>
              <w:rPr>
                <w:rFonts w:hint="eastAsia" w:ascii="宋体" w:hAnsi="宋体" w:eastAsia="宋体" w:cs="宋体"/>
                <w:b w:val="0"/>
                <w:bCs/>
                <w:color w:val="auto"/>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11.缴纳磋商保证金收据</w:t>
            </w:r>
            <w:r>
              <w:rPr>
                <w:rFonts w:hint="eastAsia" w:ascii="宋体" w:hAnsi="宋体" w:cs="宋体"/>
                <w:b w:val="0"/>
                <w:bCs/>
                <w:color w:val="auto"/>
                <w:sz w:val="21"/>
                <w:szCs w:val="21"/>
                <w:lang w:val="en-US" w:eastAsia="zh-CN"/>
              </w:rPr>
              <w:t>原</w:t>
            </w:r>
            <w:r>
              <w:rPr>
                <w:rFonts w:hint="eastAsia" w:ascii="宋体" w:hAnsi="宋体" w:eastAsia="宋体" w:cs="宋体"/>
                <w:b w:val="0"/>
                <w:bCs/>
                <w:color w:val="auto"/>
                <w:sz w:val="21"/>
                <w:szCs w:val="21"/>
                <w:lang w:val="en-US" w:eastAsia="zh-CN"/>
              </w:rPr>
              <w:t>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1.3.5</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是否允许采购进口产品：</w:t>
            </w:r>
            <w:r>
              <w:rPr>
                <w:rFonts w:hint="eastAsia" w:ascii="宋体" w:hAnsi="宋体" w:eastAsia="宋体" w:cs="宋体"/>
                <w:b w:val="0"/>
                <w:bCs/>
                <w:color w:val="auto"/>
                <w:sz w:val="21"/>
                <w:szCs w:val="21"/>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1.3.6</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是否为专门面向中小企业采购：</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eastAsia="zh-CN"/>
              </w:rPr>
              <w:t>否</w:t>
            </w:r>
            <w:r>
              <w:rPr>
                <w:rFonts w:hint="eastAsia" w:ascii="宋体" w:hAnsi="宋体" w:eastAsia="宋体" w:cs="宋体"/>
                <w:b w:val="0"/>
                <w:bCs/>
                <w:color w:val="auto"/>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是否允许联合体磋商：</w:t>
            </w:r>
            <w:r>
              <w:rPr>
                <w:rFonts w:hint="eastAsia" w:ascii="宋体" w:hAnsi="宋体" w:eastAsia="宋体" w:cs="宋体"/>
                <w:b w:val="0"/>
                <w:bCs/>
                <w:color w:val="auto"/>
                <w:sz w:val="21"/>
                <w:szCs w:val="21"/>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1.4.8</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rPr>
              <w:t>项目预算金额：</w:t>
            </w:r>
            <w:r>
              <w:rPr>
                <w:rFonts w:hint="eastAsia" w:ascii="宋体" w:hAnsi="宋体" w:cs="宋体"/>
                <w:b w:val="0"/>
                <w:bCs/>
                <w:color w:val="auto"/>
                <w:kern w:val="2"/>
                <w:sz w:val="21"/>
                <w:szCs w:val="21"/>
                <w:lang w:val="en-US" w:eastAsia="zh-CN"/>
              </w:rPr>
              <w:t>700000.00</w:t>
            </w:r>
            <w:r>
              <w:rPr>
                <w:rFonts w:hint="eastAsia" w:ascii="宋体" w:hAnsi="宋体" w:eastAsia="宋体" w:cs="宋体"/>
                <w:b w:val="0"/>
                <w:bCs/>
                <w:color w:val="auto"/>
                <w:kern w:val="2"/>
                <w:sz w:val="21"/>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12.1</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rPr>
            </w:pPr>
            <w:r>
              <w:rPr>
                <w:rFonts w:hint="eastAsia" w:ascii="宋体" w:hAnsi="宋体" w:eastAsia="宋体" w:cs="宋体"/>
                <w:b w:val="0"/>
                <w:bCs/>
                <w:iCs/>
                <w:color w:val="auto"/>
                <w:sz w:val="21"/>
                <w:szCs w:val="21"/>
              </w:rPr>
              <w:t xml:space="preserve">投标保证金形式：□保函  □电汇  □支票   ☑对公转账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lang w:eastAsia="zh-CN"/>
              </w:rPr>
            </w:pPr>
            <w:r>
              <w:rPr>
                <w:rFonts w:hint="eastAsia" w:ascii="宋体" w:hAnsi="宋体" w:eastAsia="宋体" w:cs="宋体"/>
                <w:b w:val="0"/>
                <w:bCs/>
                <w:iCs/>
                <w:color w:val="FF0000"/>
                <w:sz w:val="21"/>
                <w:szCs w:val="21"/>
                <w:lang w:val="en-US" w:eastAsia="zh-CN"/>
              </w:rPr>
              <w:t>投标</w:t>
            </w:r>
            <w:r>
              <w:rPr>
                <w:rFonts w:hint="eastAsia" w:ascii="宋体" w:hAnsi="宋体" w:eastAsia="宋体" w:cs="宋体"/>
                <w:b w:val="0"/>
                <w:bCs/>
                <w:iCs/>
                <w:color w:val="FF0000"/>
                <w:sz w:val="21"/>
                <w:szCs w:val="21"/>
              </w:rPr>
              <w:t>保证金金额：小写：¥</w:t>
            </w:r>
            <w:r>
              <w:rPr>
                <w:rFonts w:hint="eastAsia" w:ascii="宋体" w:hAnsi="宋体" w:cs="宋体"/>
                <w:b w:val="0"/>
                <w:bCs/>
                <w:iCs/>
                <w:color w:val="FF0000"/>
                <w:sz w:val="21"/>
                <w:szCs w:val="21"/>
                <w:lang w:val="en-US" w:eastAsia="zh-CN"/>
              </w:rPr>
              <w:t>10000</w:t>
            </w:r>
            <w:r>
              <w:rPr>
                <w:rFonts w:hint="eastAsia" w:ascii="宋体" w:hAnsi="宋体" w:eastAsia="宋体" w:cs="宋体"/>
                <w:b w:val="0"/>
                <w:bCs/>
                <w:iCs/>
                <w:color w:val="FF0000"/>
                <w:sz w:val="21"/>
                <w:szCs w:val="21"/>
                <w:lang w:val="en-US" w:eastAsia="zh-CN"/>
              </w:rPr>
              <w:t>.00</w:t>
            </w:r>
            <w:r>
              <w:rPr>
                <w:rFonts w:hint="eastAsia" w:ascii="宋体" w:hAnsi="宋体" w:eastAsia="宋体" w:cs="宋体"/>
                <w:b w:val="0"/>
                <w:bCs/>
                <w:iCs/>
                <w:color w:val="FF0000"/>
                <w:sz w:val="21"/>
                <w:szCs w:val="21"/>
              </w:rPr>
              <w:t>元（人民币</w:t>
            </w:r>
            <w:r>
              <w:rPr>
                <w:rFonts w:hint="eastAsia" w:ascii="宋体" w:hAnsi="宋体" w:cs="宋体"/>
                <w:b w:val="0"/>
                <w:bCs/>
                <w:iCs/>
                <w:color w:val="FF0000"/>
                <w:sz w:val="21"/>
                <w:szCs w:val="21"/>
                <w:lang w:val="en-US" w:eastAsia="zh-CN"/>
              </w:rPr>
              <w:t>壹万元整</w:t>
            </w:r>
            <w:r>
              <w:rPr>
                <w:rFonts w:hint="eastAsia" w:ascii="宋体" w:hAnsi="宋体" w:eastAsia="宋体" w:cs="宋体"/>
                <w:b w:val="0"/>
                <w:bCs/>
                <w:iCs/>
                <w:color w:val="FF0000"/>
                <w:sz w:val="21"/>
                <w:szCs w:val="21"/>
              </w:rPr>
              <w:t>）</w:t>
            </w:r>
            <w:r>
              <w:rPr>
                <w:rFonts w:hint="eastAsia" w:ascii="宋体" w:hAnsi="宋体" w:eastAsia="宋体" w:cs="宋体"/>
                <w:b w:val="0"/>
                <w:bCs/>
                <w:i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rPr>
            </w:pPr>
            <w:r>
              <w:rPr>
                <w:rFonts w:hint="eastAsia" w:ascii="宋体" w:hAnsi="宋体" w:eastAsia="宋体" w:cs="宋体"/>
                <w:b w:val="0"/>
                <w:bCs/>
                <w:iCs/>
                <w:color w:val="auto"/>
                <w:sz w:val="21"/>
                <w:szCs w:val="21"/>
              </w:rPr>
              <w:t>（按照控制金额2%以内的整数计算）</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w:t>
            </w:r>
            <w:r>
              <w:rPr>
                <w:rFonts w:hint="eastAsia" w:ascii="宋体" w:hAnsi="宋体" w:eastAsia="宋体" w:cs="宋体"/>
                <w:b w:val="0"/>
                <w:bCs/>
                <w:color w:val="auto"/>
                <w:sz w:val="21"/>
                <w:szCs w:val="21"/>
                <w:highlight w:val="none"/>
                <w:u w:val="none"/>
                <w:lang w:val="en-US" w:eastAsia="zh-CN"/>
              </w:rPr>
              <w:t>新疆甲鼎泰诚工程项目管理有限公司喀什分公司</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 户 行：</w:t>
            </w:r>
            <w:r>
              <w:rPr>
                <w:rFonts w:hint="eastAsia" w:ascii="宋体" w:hAnsi="宋体" w:eastAsia="宋体" w:cs="宋体"/>
                <w:b w:val="0"/>
                <w:bCs/>
                <w:color w:val="auto"/>
                <w:sz w:val="21"/>
                <w:szCs w:val="21"/>
                <w:highlight w:val="none"/>
                <w:u w:val="none"/>
                <w:lang w:eastAsia="zh-CN"/>
              </w:rPr>
              <w:t>中国</w:t>
            </w:r>
            <w:r>
              <w:rPr>
                <w:rFonts w:hint="eastAsia" w:ascii="宋体" w:hAnsi="宋体" w:eastAsia="宋体" w:cs="宋体"/>
                <w:b w:val="0"/>
                <w:bCs/>
                <w:color w:val="auto"/>
                <w:sz w:val="21"/>
                <w:szCs w:val="21"/>
                <w:highlight w:val="none"/>
                <w:u w:val="none"/>
                <w:lang w:val="en-US" w:eastAsia="zh-CN"/>
              </w:rPr>
              <w:t>农业银行喀什地区分行营业部营业室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rPr>
            </w:pPr>
            <w:r>
              <w:rPr>
                <w:rFonts w:hint="eastAsia" w:ascii="宋体" w:hAnsi="宋体" w:eastAsia="宋体" w:cs="宋体"/>
                <w:b w:val="0"/>
                <w:bCs/>
                <w:color w:val="auto"/>
                <w:sz w:val="21"/>
                <w:szCs w:val="21"/>
              </w:rPr>
              <w:t>账    号：</w:t>
            </w:r>
            <w:r>
              <w:rPr>
                <w:rFonts w:hint="eastAsia" w:ascii="宋体" w:hAnsi="宋体" w:eastAsia="宋体" w:cs="宋体"/>
                <w:b w:val="0"/>
                <w:bCs/>
                <w:color w:val="auto"/>
                <w:sz w:val="21"/>
                <w:szCs w:val="21"/>
                <w:lang w:val="en-US" w:eastAsia="zh-CN"/>
              </w:rPr>
              <w:t>30475101040016687</w:t>
            </w:r>
            <w:r>
              <w:rPr>
                <w:rFonts w:hint="eastAsia" w:ascii="宋体" w:hAnsi="宋体" w:eastAsia="宋体" w:cs="宋体"/>
                <w:b w:val="0"/>
                <w:bCs/>
                <w:color w:val="auto"/>
                <w:sz w:val="21"/>
                <w:szCs w:val="21"/>
              </w:rPr>
              <w:t>（电汇时请在汇款备注栏注明项目名称及编号、包号（如有），并注明是投标保证金）</w:t>
            </w:r>
            <w:r>
              <w:rPr>
                <w:rFonts w:hint="eastAsia" w:ascii="宋体" w:hAnsi="宋体" w:eastAsia="宋体" w:cs="宋体"/>
                <w:b w:val="0"/>
                <w:bCs/>
                <w:iCs/>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highlight w:val="none"/>
                <w:u w:val="none"/>
                <w:lang w:eastAsia="zh-CN"/>
              </w:rPr>
              <w:t>投标保证金在</w:t>
            </w:r>
            <w:r>
              <w:rPr>
                <w:rFonts w:hint="eastAsia" w:ascii="宋体" w:hAnsi="宋体" w:eastAsia="宋体" w:cs="宋体"/>
                <w:b w:val="0"/>
                <w:bCs/>
                <w:color w:val="FF0000"/>
                <w:sz w:val="21"/>
                <w:szCs w:val="21"/>
                <w:highlight w:val="none"/>
                <w:u w:val="none"/>
                <w:lang w:eastAsia="zh-CN"/>
              </w:rPr>
              <w:t>202</w:t>
            </w:r>
            <w:r>
              <w:rPr>
                <w:rFonts w:hint="eastAsia" w:ascii="宋体" w:hAnsi="宋体" w:eastAsia="宋体" w:cs="宋体"/>
                <w:b w:val="0"/>
                <w:bCs/>
                <w:color w:val="FF0000"/>
                <w:sz w:val="21"/>
                <w:szCs w:val="21"/>
                <w:highlight w:val="none"/>
                <w:u w:val="none"/>
                <w:lang w:val="en-US" w:eastAsia="zh-CN"/>
              </w:rPr>
              <w:t>1</w:t>
            </w:r>
            <w:r>
              <w:rPr>
                <w:rFonts w:hint="eastAsia" w:ascii="宋体" w:hAnsi="宋体" w:eastAsia="宋体" w:cs="宋体"/>
                <w:b w:val="0"/>
                <w:bCs/>
                <w:color w:val="FF0000"/>
                <w:sz w:val="21"/>
                <w:szCs w:val="21"/>
                <w:highlight w:val="none"/>
                <w:u w:val="none"/>
                <w:lang w:eastAsia="zh-CN"/>
              </w:rPr>
              <w:t>年</w:t>
            </w:r>
            <w:r>
              <w:rPr>
                <w:rFonts w:hint="eastAsia" w:ascii="宋体" w:hAnsi="宋体" w:cs="宋体"/>
                <w:b w:val="0"/>
                <w:bCs/>
                <w:color w:val="FF0000"/>
                <w:sz w:val="21"/>
                <w:szCs w:val="21"/>
                <w:highlight w:val="none"/>
                <w:u w:val="none"/>
                <w:lang w:val="en-US" w:eastAsia="zh-CN"/>
              </w:rPr>
              <w:t>10</w:t>
            </w:r>
            <w:r>
              <w:rPr>
                <w:rFonts w:hint="eastAsia" w:ascii="宋体" w:hAnsi="宋体" w:eastAsia="宋体" w:cs="宋体"/>
                <w:b w:val="0"/>
                <w:bCs/>
                <w:color w:val="FF0000"/>
                <w:sz w:val="21"/>
                <w:szCs w:val="21"/>
                <w:highlight w:val="none"/>
                <w:u w:val="none"/>
                <w:lang w:eastAsia="zh-CN"/>
              </w:rPr>
              <w:t>月</w:t>
            </w:r>
            <w:r>
              <w:rPr>
                <w:rFonts w:hint="eastAsia" w:ascii="宋体" w:hAnsi="宋体" w:cs="宋体"/>
                <w:b w:val="0"/>
                <w:bCs/>
                <w:color w:val="FF0000"/>
                <w:sz w:val="21"/>
                <w:szCs w:val="21"/>
                <w:highlight w:val="none"/>
                <w:u w:val="none"/>
                <w:lang w:val="en-US" w:eastAsia="zh-CN"/>
              </w:rPr>
              <w:t>13</w:t>
            </w:r>
            <w:r>
              <w:rPr>
                <w:rFonts w:hint="eastAsia" w:ascii="宋体" w:hAnsi="宋体" w:eastAsia="宋体" w:cs="宋体"/>
                <w:b w:val="0"/>
                <w:bCs/>
                <w:color w:val="FF0000"/>
                <w:sz w:val="21"/>
                <w:szCs w:val="21"/>
                <w:highlight w:val="none"/>
                <w:u w:val="none"/>
                <w:lang w:eastAsia="zh-CN"/>
              </w:rPr>
              <w:t>日1</w:t>
            </w:r>
            <w:r>
              <w:rPr>
                <w:rFonts w:hint="eastAsia" w:ascii="宋体" w:hAnsi="宋体" w:eastAsia="宋体" w:cs="宋体"/>
                <w:b w:val="0"/>
                <w:bCs/>
                <w:color w:val="FF0000"/>
                <w:sz w:val="21"/>
                <w:szCs w:val="21"/>
                <w:highlight w:val="none"/>
                <w:u w:val="none"/>
                <w:lang w:val="en-US" w:eastAsia="zh-CN"/>
              </w:rPr>
              <w:t>8</w:t>
            </w:r>
            <w:r>
              <w:rPr>
                <w:rFonts w:hint="eastAsia" w:ascii="宋体" w:hAnsi="宋体" w:eastAsia="宋体" w:cs="宋体"/>
                <w:b w:val="0"/>
                <w:bCs/>
                <w:color w:val="FF0000"/>
                <w:sz w:val="21"/>
                <w:szCs w:val="21"/>
                <w:highlight w:val="none"/>
                <w:u w:val="none"/>
                <w:lang w:eastAsia="zh-CN"/>
              </w:rPr>
              <w:t>：</w:t>
            </w:r>
            <w:r>
              <w:rPr>
                <w:rFonts w:hint="eastAsia" w:ascii="宋体" w:hAnsi="宋体" w:eastAsia="宋体" w:cs="宋体"/>
                <w:b w:val="0"/>
                <w:bCs/>
                <w:color w:val="FF0000"/>
                <w:sz w:val="21"/>
                <w:szCs w:val="21"/>
                <w:highlight w:val="none"/>
                <w:u w:val="none"/>
                <w:lang w:val="en-US" w:eastAsia="zh-CN"/>
              </w:rPr>
              <w:t>0</w:t>
            </w:r>
            <w:r>
              <w:rPr>
                <w:rFonts w:hint="eastAsia" w:ascii="宋体" w:hAnsi="宋体" w:eastAsia="宋体" w:cs="宋体"/>
                <w:b w:val="0"/>
                <w:bCs/>
                <w:color w:val="FF0000"/>
                <w:sz w:val="21"/>
                <w:szCs w:val="21"/>
                <w:highlight w:val="none"/>
                <w:u w:val="none"/>
                <w:lang w:eastAsia="zh-CN"/>
              </w:rPr>
              <w:t>0时（北京时间）</w:t>
            </w:r>
            <w:r>
              <w:rPr>
                <w:rFonts w:hint="eastAsia" w:ascii="宋体" w:hAnsi="宋体" w:eastAsia="宋体" w:cs="宋体"/>
                <w:b w:val="0"/>
                <w:bCs/>
                <w:color w:val="auto"/>
                <w:sz w:val="21"/>
                <w:szCs w:val="21"/>
                <w:highlight w:val="none"/>
                <w:u w:val="none"/>
                <w:lang w:eastAsia="zh-CN"/>
              </w:rPr>
              <w:t>之前以公司的基本账户一次性汇入指定账户，</w:t>
            </w:r>
            <w:r>
              <w:rPr>
                <w:rFonts w:hint="eastAsia" w:ascii="宋体" w:hAnsi="宋体" w:eastAsia="宋体" w:cs="宋体"/>
                <w:b w:val="0"/>
                <w:bCs/>
                <w:color w:val="auto"/>
                <w:sz w:val="21"/>
                <w:szCs w:val="21"/>
                <w:highlight w:val="none"/>
                <w:u w:val="none"/>
                <w:lang w:val="en-US" w:eastAsia="zh-CN"/>
              </w:rPr>
              <w:t>投</w:t>
            </w:r>
            <w:r>
              <w:rPr>
                <w:rFonts w:hint="eastAsia" w:ascii="宋体" w:hAnsi="宋体" w:eastAsia="宋体" w:cs="宋体"/>
                <w:b w:val="0"/>
                <w:bCs/>
                <w:color w:val="auto"/>
                <w:sz w:val="21"/>
                <w:szCs w:val="21"/>
                <w:highlight w:val="none"/>
                <w:u w:val="none"/>
                <w:lang w:eastAsia="zh-CN"/>
              </w:rPr>
              <w:t>标人按上述要求递交投标保证金后，请携带基本户开户许可证、银行电汇凭据到</w:t>
            </w:r>
            <w:r>
              <w:rPr>
                <w:rFonts w:hint="eastAsia" w:ascii="宋体" w:hAnsi="宋体" w:eastAsia="宋体" w:cs="宋体"/>
                <w:b w:val="0"/>
                <w:bCs/>
                <w:color w:val="auto"/>
                <w:sz w:val="21"/>
                <w:szCs w:val="21"/>
                <w:highlight w:val="none"/>
                <w:u w:val="none"/>
                <w:lang w:val="en-US" w:eastAsia="zh-CN"/>
              </w:rPr>
              <w:t>新疆甲鼎泰诚工程项目管理有限公司</w:t>
            </w:r>
            <w:r>
              <w:rPr>
                <w:rFonts w:hint="eastAsia" w:ascii="宋体" w:hAnsi="宋体" w:eastAsia="宋体" w:cs="宋体"/>
                <w:b w:val="0"/>
                <w:bCs/>
                <w:color w:val="auto"/>
                <w:sz w:val="21"/>
                <w:szCs w:val="21"/>
                <w:highlight w:val="none"/>
                <w:u w:val="none"/>
                <w:lang w:eastAsia="zh-CN"/>
              </w:rPr>
              <w:t>（喀什市吐曼路1号财富大厦</w:t>
            </w:r>
            <w:r>
              <w:rPr>
                <w:rFonts w:hint="eastAsia" w:ascii="宋体" w:hAnsi="宋体" w:eastAsia="宋体" w:cs="宋体"/>
                <w:b w:val="0"/>
                <w:bCs/>
                <w:color w:val="auto"/>
                <w:sz w:val="21"/>
                <w:szCs w:val="21"/>
                <w:highlight w:val="none"/>
                <w:u w:val="none"/>
                <w:lang w:val="en-US" w:eastAsia="zh-CN"/>
              </w:rPr>
              <w:t>3</w:t>
            </w:r>
            <w:r>
              <w:rPr>
                <w:rFonts w:hint="eastAsia" w:ascii="宋体" w:hAnsi="宋体" w:eastAsia="宋体" w:cs="宋体"/>
                <w:b w:val="0"/>
                <w:bCs/>
                <w:color w:val="auto"/>
                <w:sz w:val="21"/>
                <w:szCs w:val="21"/>
                <w:highlight w:val="none"/>
                <w:u w:val="none"/>
                <w:lang w:eastAsia="zh-CN"/>
              </w:rPr>
              <w:t>楼</w:t>
            </w:r>
            <w:r>
              <w:rPr>
                <w:rFonts w:hint="eastAsia" w:ascii="宋体" w:hAnsi="宋体" w:eastAsia="宋体" w:cs="宋体"/>
                <w:b w:val="0"/>
                <w:bCs/>
                <w:color w:val="auto"/>
                <w:sz w:val="21"/>
                <w:szCs w:val="21"/>
                <w:highlight w:val="none"/>
                <w:u w:val="none"/>
                <w:lang w:val="en-US" w:eastAsia="zh-CN"/>
              </w:rPr>
              <w:t>307</w:t>
            </w:r>
            <w:r>
              <w:rPr>
                <w:rFonts w:hint="eastAsia" w:ascii="宋体" w:hAnsi="宋体" w:eastAsia="宋体" w:cs="宋体"/>
                <w:b w:val="0"/>
                <w:bCs/>
                <w:color w:val="auto"/>
                <w:sz w:val="21"/>
                <w:szCs w:val="21"/>
                <w:highlight w:val="none"/>
                <w:u w:val="none"/>
                <w:lang w:eastAsia="zh-CN"/>
              </w:rPr>
              <w:t>室）领取招标</w:t>
            </w:r>
            <w:r>
              <w:rPr>
                <w:rFonts w:hint="eastAsia" w:ascii="宋体" w:hAnsi="宋体" w:cs="宋体"/>
                <w:b w:val="0"/>
                <w:bCs/>
                <w:color w:val="auto"/>
                <w:sz w:val="21"/>
                <w:szCs w:val="21"/>
                <w:highlight w:val="none"/>
                <w:u w:val="none"/>
                <w:lang w:eastAsia="zh-CN"/>
              </w:rPr>
              <w:t>采购代理机构</w:t>
            </w:r>
            <w:r>
              <w:rPr>
                <w:rFonts w:hint="eastAsia" w:ascii="宋体" w:hAnsi="宋体" w:eastAsia="宋体" w:cs="宋体"/>
                <w:b w:val="0"/>
                <w:bCs/>
                <w:color w:val="auto"/>
                <w:sz w:val="21"/>
                <w:szCs w:val="21"/>
                <w:highlight w:val="none"/>
                <w:u w:val="none"/>
                <w:lang w:eastAsia="zh-CN"/>
              </w:rPr>
              <w:t>开具的投标保证金收款收据</w:t>
            </w:r>
            <w:r>
              <w:rPr>
                <w:rFonts w:hint="eastAsia" w:ascii="宋体" w:hAnsi="宋体" w:eastAsia="宋体" w:cs="宋体"/>
                <w:b w:val="0"/>
                <w:bCs/>
                <w:color w:val="auto"/>
                <w:sz w:val="21"/>
                <w:szCs w:val="21"/>
                <w:highlight w:val="none"/>
                <w:u w:val="none"/>
                <w:lang w:val="en-US" w:eastAsia="zh-CN"/>
              </w:rPr>
              <w:t>，</w:t>
            </w:r>
            <w:r>
              <w:rPr>
                <w:rFonts w:hint="eastAsia" w:ascii="宋体" w:hAnsi="宋体" w:eastAsia="宋体" w:cs="宋体"/>
                <w:b w:val="0"/>
                <w:bCs/>
                <w:color w:val="auto"/>
                <w:sz w:val="21"/>
                <w:szCs w:val="21"/>
                <w:highlight w:val="none"/>
                <w:u w:val="none"/>
                <w:lang w:eastAsia="zh-CN"/>
              </w:rPr>
              <w:t>投标保证金收据复印件必须放到投标文件中，否则按废标处理。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中标单位投标保证金在与采购单位签订合同后，把合同扫描件和投标保证金银行转账回执单发到接收招标文件邮箱</w:t>
            </w:r>
            <w:r>
              <w:rPr>
                <w:rFonts w:hint="eastAsia" w:ascii="宋体" w:hAnsi="宋体" w:eastAsia="宋体" w:cs="宋体"/>
                <w:b w:val="0"/>
                <w:bCs/>
                <w:color w:val="auto"/>
                <w:sz w:val="21"/>
                <w:szCs w:val="21"/>
                <w:lang w:val="en-US" w:eastAsia="zh-CN"/>
              </w:rPr>
              <w:t>421181713@qq.com</w:t>
            </w:r>
            <w:r>
              <w:rPr>
                <w:rFonts w:hint="eastAsia" w:ascii="宋体" w:hAnsi="宋体" w:eastAsia="宋体" w:cs="宋体"/>
                <w:b w:val="0"/>
                <w:bCs/>
                <w:color w:val="auto"/>
                <w:sz w:val="21"/>
                <w:szCs w:val="21"/>
              </w:rPr>
              <w:t>后，退回原账户。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磋商有效期：</w:t>
            </w:r>
            <w:r>
              <w:rPr>
                <w:rFonts w:hint="eastAsia" w:ascii="宋体" w:hAnsi="宋体" w:eastAsia="宋体" w:cs="宋体"/>
                <w:b w:val="0"/>
                <w:bCs/>
                <w:color w:val="auto"/>
                <w:sz w:val="21"/>
                <w:szCs w:val="21"/>
                <w:u w:val="single"/>
              </w:rPr>
              <w:t>　60　</w:t>
            </w:r>
            <w:r>
              <w:rPr>
                <w:rFonts w:hint="eastAsia" w:ascii="宋体" w:hAnsi="宋体" w:eastAsia="宋体" w:cs="宋体"/>
                <w:b w:val="0"/>
                <w:bCs/>
                <w:color w:val="auto"/>
                <w:sz w:val="21"/>
                <w:szCs w:val="21"/>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14.1</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响应文件包括“磋商报价表及资格证明文件”和“商务及技术文件”两部分，两部分合订成一册密封递交。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w:t>
            </w:r>
            <w:r>
              <w:rPr>
                <w:rFonts w:hint="eastAsia" w:ascii="宋体" w:hAnsi="宋体" w:eastAsia="宋体" w:cs="宋体"/>
                <w:b w:val="0"/>
                <w:bCs/>
                <w:color w:val="FF0000"/>
                <w:sz w:val="21"/>
                <w:szCs w:val="21"/>
              </w:rPr>
              <w:t>正本：壹份、副本：贰份；</w:t>
            </w:r>
            <w:r>
              <w:rPr>
                <w:rFonts w:hint="eastAsia" w:ascii="宋体" w:hAnsi="宋体" w:eastAsia="宋体" w:cs="宋体"/>
                <w:b w:val="0"/>
                <w:bCs/>
                <w:color w:val="auto"/>
                <w:sz w:val="21"/>
                <w:szCs w:val="21"/>
              </w:rPr>
              <w:t>（正、副本分别单独密封提交，密封袋封面右上角标明“正本”和“副本”字样）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必须制作“磋商报价表”并单独密封提交，并在密封袋上标明“磋商报价表”的字样。不按要求标注或不单独提交磋商报价表，其磋商将被拒绝。</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除上述文件外，还须密封递交响应文件电子文档1份。</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必须制作“电子版U盘”并单独密封提交。电子版U盘必须是与正本完全一致PDF格式文本及Word文档两个格式。并在密封袋上标明“电子版U盘”字样。不按要求提交电子版U盘，其磋商无效。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响应文件使用A4，胶装，每册装订应牢固、不易拆散和换页，不得采用活页装订。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磋商文件的签署及规定：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应按</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须知资料表中的规定，准备和递交响应文件正本、副本、开标一览表和电子文档，每份响应文件封皮须清楚地标明“正本”或“副本”。若正本和副本不符，以正本为准。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磋商文件的正本需打印或用不褪色墨水书写，并由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的法定代表人或经其正式委托代理人按磋商文件规定在磋商文件上签字并加盖单位印章。委托代理人须持有书面的“法定代表人授权委托书”，并将其附在磋商文件中。如对磋商文件进行了修改，则应由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的法定代表人或其委托代理人在每一修改处签字。磋商文件的副本可采用正本的复印件。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所有包装封皮和信封上均应：</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注明招标公告或磋商邀请书中指明的项目名称、招标编号、</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名称和“在（开标时间）之前不得启封”的字样。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在封口处加盖</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磋商截止时间：</w:t>
            </w:r>
            <w:r>
              <w:rPr>
                <w:rFonts w:hint="eastAsia" w:ascii="宋体" w:hAnsi="宋体" w:eastAsia="宋体" w:cs="宋体"/>
                <w:b w:val="0"/>
                <w:bCs/>
                <w:color w:val="FF0000"/>
                <w:kern w:val="0"/>
                <w:sz w:val="21"/>
                <w:szCs w:val="21"/>
              </w:rPr>
              <w:t>202</w:t>
            </w:r>
            <w:r>
              <w:rPr>
                <w:rFonts w:hint="eastAsia" w:ascii="宋体" w:hAnsi="宋体" w:eastAsia="宋体" w:cs="宋体"/>
                <w:b w:val="0"/>
                <w:bCs/>
                <w:color w:val="FF0000"/>
                <w:kern w:val="0"/>
                <w:sz w:val="21"/>
                <w:szCs w:val="21"/>
                <w:lang w:val="en-US" w:eastAsia="zh-CN"/>
              </w:rPr>
              <w:t>1</w:t>
            </w:r>
            <w:r>
              <w:rPr>
                <w:rFonts w:hint="eastAsia" w:ascii="宋体" w:hAnsi="宋体" w:eastAsia="宋体" w:cs="宋体"/>
                <w:b w:val="0"/>
                <w:bCs/>
                <w:color w:val="FF0000"/>
                <w:kern w:val="0"/>
                <w:sz w:val="21"/>
                <w:szCs w:val="21"/>
              </w:rPr>
              <w:t>年</w:t>
            </w:r>
            <w:r>
              <w:rPr>
                <w:rFonts w:hint="eastAsia" w:ascii="宋体" w:hAnsi="宋体" w:cs="宋体"/>
                <w:b w:val="0"/>
                <w:bCs/>
                <w:color w:val="FF0000"/>
                <w:kern w:val="0"/>
                <w:sz w:val="21"/>
                <w:szCs w:val="21"/>
                <w:lang w:val="en-US" w:eastAsia="zh-CN"/>
              </w:rPr>
              <w:t>10</w:t>
            </w:r>
            <w:r>
              <w:rPr>
                <w:rFonts w:hint="eastAsia" w:ascii="宋体" w:hAnsi="宋体" w:eastAsia="宋体" w:cs="宋体"/>
                <w:b w:val="0"/>
                <w:bCs/>
                <w:color w:val="FF0000"/>
                <w:kern w:val="0"/>
                <w:sz w:val="21"/>
                <w:szCs w:val="21"/>
              </w:rPr>
              <w:t>月</w:t>
            </w:r>
            <w:r>
              <w:rPr>
                <w:rFonts w:hint="eastAsia" w:ascii="宋体" w:hAnsi="宋体" w:cs="宋体"/>
                <w:b w:val="0"/>
                <w:bCs/>
                <w:color w:val="FF0000"/>
                <w:kern w:val="0"/>
                <w:sz w:val="21"/>
                <w:szCs w:val="21"/>
                <w:lang w:val="en-US" w:eastAsia="zh-CN"/>
              </w:rPr>
              <w:t>14</w:t>
            </w:r>
            <w:r>
              <w:rPr>
                <w:rFonts w:hint="eastAsia" w:ascii="宋体" w:hAnsi="宋体" w:eastAsia="宋体" w:cs="宋体"/>
                <w:b w:val="0"/>
                <w:bCs/>
                <w:color w:val="FF0000"/>
                <w:kern w:val="0"/>
                <w:sz w:val="21"/>
                <w:szCs w:val="21"/>
              </w:rPr>
              <w:t>日</w:t>
            </w:r>
            <w:r>
              <w:rPr>
                <w:rFonts w:hint="eastAsia" w:ascii="宋体" w:hAnsi="宋体" w:eastAsia="宋体" w:cs="宋体"/>
                <w:b w:val="0"/>
                <w:bCs/>
                <w:color w:val="FF0000"/>
                <w:kern w:val="0"/>
                <w:sz w:val="21"/>
                <w:szCs w:val="21"/>
                <w:lang w:val="en-US" w:eastAsia="zh-CN"/>
              </w:rPr>
              <w:t>1</w:t>
            </w:r>
            <w:r>
              <w:rPr>
                <w:rFonts w:hint="eastAsia" w:ascii="宋体" w:hAnsi="宋体" w:cs="宋体"/>
                <w:b w:val="0"/>
                <w:bCs/>
                <w:color w:val="FF0000"/>
                <w:kern w:val="0"/>
                <w:sz w:val="21"/>
                <w:szCs w:val="21"/>
                <w:lang w:val="en-US" w:eastAsia="zh-CN"/>
              </w:rPr>
              <w:t>1</w:t>
            </w:r>
            <w:r>
              <w:rPr>
                <w:rFonts w:hint="eastAsia" w:ascii="宋体" w:hAnsi="宋体" w:eastAsia="宋体" w:cs="宋体"/>
                <w:b w:val="0"/>
                <w:bCs/>
                <w:color w:val="FF0000"/>
                <w:kern w:val="0"/>
                <w:sz w:val="21"/>
                <w:szCs w:val="21"/>
              </w:rPr>
              <w:t>点</w:t>
            </w:r>
            <w:r>
              <w:rPr>
                <w:rFonts w:hint="eastAsia" w:ascii="宋体" w:hAnsi="宋体" w:cs="宋体"/>
                <w:b w:val="0"/>
                <w:bCs/>
                <w:color w:val="FF0000"/>
                <w:kern w:val="0"/>
                <w:sz w:val="21"/>
                <w:szCs w:val="21"/>
                <w:lang w:val="en-US" w:eastAsia="zh-CN"/>
              </w:rPr>
              <w:t>0</w:t>
            </w:r>
            <w:r>
              <w:rPr>
                <w:rFonts w:hint="eastAsia" w:ascii="宋体" w:hAnsi="宋体" w:eastAsia="宋体" w:cs="宋体"/>
                <w:b w:val="0"/>
                <w:bCs/>
                <w:color w:val="FF0000"/>
                <w:kern w:val="0"/>
                <w:sz w:val="21"/>
                <w:szCs w:val="21"/>
              </w:rPr>
              <w:t>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18.1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磋商</w:t>
            </w:r>
            <w:r>
              <w:rPr>
                <w:rFonts w:hint="eastAsia" w:ascii="宋体" w:hAnsi="宋体" w:eastAsia="宋体" w:cs="宋体"/>
                <w:b w:val="0"/>
                <w:bCs/>
                <w:color w:val="auto"/>
                <w:kern w:val="0"/>
                <w:sz w:val="21"/>
                <w:szCs w:val="21"/>
              </w:rPr>
              <w:t>时间：</w:t>
            </w:r>
            <w:r>
              <w:rPr>
                <w:rFonts w:hint="eastAsia" w:ascii="宋体" w:hAnsi="宋体" w:eastAsia="宋体" w:cs="宋体"/>
                <w:b w:val="0"/>
                <w:bCs/>
                <w:color w:val="FF0000"/>
                <w:kern w:val="0"/>
                <w:sz w:val="21"/>
                <w:szCs w:val="21"/>
              </w:rPr>
              <w:t>202</w:t>
            </w:r>
            <w:r>
              <w:rPr>
                <w:rFonts w:hint="eastAsia" w:ascii="宋体" w:hAnsi="宋体" w:eastAsia="宋体" w:cs="宋体"/>
                <w:b w:val="0"/>
                <w:bCs/>
                <w:color w:val="FF0000"/>
                <w:kern w:val="0"/>
                <w:sz w:val="21"/>
                <w:szCs w:val="21"/>
                <w:lang w:val="en-US" w:eastAsia="zh-CN"/>
              </w:rPr>
              <w:t>1</w:t>
            </w:r>
            <w:r>
              <w:rPr>
                <w:rFonts w:hint="eastAsia" w:ascii="宋体" w:hAnsi="宋体" w:eastAsia="宋体" w:cs="宋体"/>
                <w:b w:val="0"/>
                <w:bCs/>
                <w:color w:val="FF0000"/>
                <w:kern w:val="0"/>
                <w:sz w:val="21"/>
                <w:szCs w:val="21"/>
              </w:rPr>
              <w:t>年</w:t>
            </w:r>
            <w:r>
              <w:rPr>
                <w:rFonts w:hint="eastAsia" w:ascii="宋体" w:hAnsi="宋体" w:cs="宋体"/>
                <w:b w:val="0"/>
                <w:bCs/>
                <w:color w:val="FF0000"/>
                <w:kern w:val="0"/>
                <w:sz w:val="21"/>
                <w:szCs w:val="21"/>
                <w:lang w:val="en-US" w:eastAsia="zh-CN"/>
              </w:rPr>
              <w:t>10</w:t>
            </w:r>
            <w:r>
              <w:rPr>
                <w:rFonts w:hint="eastAsia" w:ascii="宋体" w:hAnsi="宋体" w:eastAsia="宋体" w:cs="宋体"/>
                <w:b w:val="0"/>
                <w:bCs/>
                <w:color w:val="FF0000"/>
                <w:kern w:val="0"/>
                <w:sz w:val="21"/>
                <w:szCs w:val="21"/>
              </w:rPr>
              <w:t>月</w:t>
            </w:r>
            <w:r>
              <w:rPr>
                <w:rFonts w:hint="eastAsia" w:ascii="宋体" w:hAnsi="宋体" w:cs="宋体"/>
                <w:b w:val="0"/>
                <w:bCs/>
                <w:color w:val="FF0000"/>
                <w:kern w:val="0"/>
                <w:sz w:val="21"/>
                <w:szCs w:val="21"/>
                <w:lang w:val="en-US" w:eastAsia="zh-CN"/>
              </w:rPr>
              <w:t xml:space="preserve">14 </w:t>
            </w:r>
            <w:r>
              <w:rPr>
                <w:rFonts w:hint="eastAsia" w:ascii="宋体" w:hAnsi="宋体" w:eastAsia="宋体" w:cs="宋体"/>
                <w:b w:val="0"/>
                <w:bCs/>
                <w:color w:val="FF0000"/>
                <w:kern w:val="0"/>
                <w:sz w:val="21"/>
                <w:szCs w:val="21"/>
              </w:rPr>
              <w:t>日</w:t>
            </w:r>
            <w:bookmarkStart w:id="958" w:name="_GoBack"/>
            <w:bookmarkEnd w:id="958"/>
            <w:r>
              <w:rPr>
                <w:rFonts w:hint="eastAsia" w:ascii="宋体" w:hAnsi="宋体" w:cs="宋体"/>
                <w:b w:val="0"/>
                <w:bCs/>
                <w:color w:val="FF0000"/>
                <w:kern w:val="0"/>
                <w:sz w:val="21"/>
                <w:szCs w:val="21"/>
                <w:lang w:val="en-US" w:eastAsia="zh-CN"/>
              </w:rPr>
              <w:t>11</w:t>
            </w:r>
            <w:r>
              <w:rPr>
                <w:rFonts w:hint="eastAsia" w:ascii="宋体" w:hAnsi="宋体" w:eastAsia="宋体" w:cs="宋体"/>
                <w:b w:val="0"/>
                <w:bCs/>
                <w:color w:val="FF0000"/>
                <w:kern w:val="0"/>
                <w:sz w:val="21"/>
                <w:szCs w:val="21"/>
              </w:rPr>
              <w:t>点</w:t>
            </w:r>
            <w:r>
              <w:rPr>
                <w:rFonts w:hint="eastAsia" w:ascii="宋体" w:hAnsi="宋体" w:cs="宋体"/>
                <w:b w:val="0"/>
                <w:bCs/>
                <w:color w:val="FF0000"/>
                <w:kern w:val="0"/>
                <w:sz w:val="21"/>
                <w:szCs w:val="21"/>
                <w:lang w:val="en-US" w:eastAsia="zh-CN"/>
              </w:rPr>
              <w:t>00</w:t>
            </w:r>
            <w:r>
              <w:rPr>
                <w:rFonts w:hint="eastAsia" w:ascii="宋体" w:hAnsi="宋体" w:eastAsia="宋体" w:cs="宋体"/>
                <w:b w:val="0"/>
                <w:bCs/>
                <w:color w:val="FF0000"/>
                <w:kern w:val="0"/>
                <w:sz w:val="21"/>
                <w:szCs w:val="21"/>
              </w:rPr>
              <w:t>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磋商地点：</w:t>
            </w:r>
            <w:r>
              <w:rPr>
                <w:rFonts w:hint="eastAsia" w:ascii="宋体" w:hAnsi="宋体" w:eastAsia="宋体" w:cs="宋体"/>
                <w:b w:val="0"/>
                <w:bCs/>
                <w:sz w:val="21"/>
                <w:szCs w:val="21"/>
                <w:u w:val="none"/>
                <w:lang w:val="zh-CN" w:eastAsia="zh-CN"/>
              </w:rPr>
              <w:t>喀什市吐曼路1号财富大厦3楼307室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23.2</w:t>
            </w:r>
          </w:p>
        </w:tc>
        <w:tc>
          <w:tcPr>
            <w:tcW w:w="851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i/>
                <w:color w:val="auto"/>
                <w:sz w:val="21"/>
                <w:szCs w:val="21"/>
                <w:u w:val="none"/>
              </w:rPr>
            </w:pPr>
            <w:r>
              <w:rPr>
                <w:rFonts w:hint="eastAsia" w:ascii="宋体" w:hAnsi="宋体" w:eastAsia="宋体" w:cs="宋体"/>
                <w:b w:val="0"/>
                <w:bCs/>
                <w:color w:val="auto"/>
                <w:sz w:val="21"/>
                <w:szCs w:val="21"/>
                <w:u w:val="none"/>
              </w:rPr>
              <w:t>评审方法：　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w:t>
            </w:r>
          </w:p>
        </w:tc>
        <w:tc>
          <w:tcPr>
            <w:tcW w:w="851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推荐成交候选</w:t>
            </w:r>
            <w:r>
              <w:rPr>
                <w:rFonts w:hint="eastAsia" w:ascii="宋体" w:hAnsi="宋体" w:cs="宋体"/>
                <w:b w:val="0"/>
                <w:bCs/>
                <w:color w:val="auto"/>
                <w:sz w:val="21"/>
                <w:szCs w:val="21"/>
                <w:u w:val="none"/>
                <w:lang w:eastAsia="zh-CN"/>
              </w:rPr>
              <w:t>供应商</w:t>
            </w:r>
            <w:r>
              <w:rPr>
                <w:rFonts w:hint="eastAsia" w:ascii="宋体" w:hAnsi="宋体" w:eastAsia="宋体" w:cs="宋体"/>
                <w:b w:val="0"/>
                <w:bCs/>
                <w:color w:val="auto"/>
                <w:sz w:val="21"/>
                <w:szCs w:val="21"/>
                <w:u w:val="none"/>
              </w:rPr>
              <w:t xml:space="preserve">的数量：　  </w:t>
            </w:r>
            <w:r>
              <w:rPr>
                <w:rFonts w:hint="eastAsia" w:ascii="宋体" w:hAnsi="宋体" w:eastAsia="宋体" w:cs="宋体"/>
                <w:b w:val="0"/>
                <w:bCs/>
                <w:color w:val="auto"/>
                <w:sz w:val="21"/>
                <w:szCs w:val="21"/>
                <w:highlight w:val="none"/>
                <w:u w:val="none"/>
                <w:lang w:val="en-US" w:eastAsia="zh-CN"/>
              </w:rPr>
              <w:t>3家或以上</w:t>
            </w:r>
            <w:r>
              <w:rPr>
                <w:rFonts w:hint="eastAsia" w:ascii="宋体" w:hAnsi="宋体" w:eastAsia="宋体" w:cs="宋体"/>
                <w:b w:val="0"/>
                <w:bCs/>
                <w:color w:val="auto"/>
                <w:sz w:val="21"/>
                <w:szCs w:val="21"/>
                <w:u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w:t>
            </w:r>
          </w:p>
        </w:tc>
        <w:tc>
          <w:tcPr>
            <w:tcW w:w="851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cs="宋体"/>
                <w:b w:val="0"/>
                <w:bCs/>
                <w:color w:val="auto"/>
                <w:sz w:val="21"/>
                <w:szCs w:val="21"/>
                <w:u w:val="none"/>
                <w:lang w:eastAsia="zh-CN"/>
              </w:rPr>
              <w:t>采购人</w:t>
            </w:r>
            <w:r>
              <w:rPr>
                <w:rFonts w:hint="eastAsia" w:ascii="宋体" w:hAnsi="宋体" w:eastAsia="宋体" w:cs="宋体"/>
                <w:b w:val="0"/>
                <w:bCs/>
                <w:color w:val="auto"/>
                <w:sz w:val="21"/>
                <w:szCs w:val="21"/>
                <w:u w:val="none"/>
              </w:rPr>
              <w:t xml:space="preserve">是否委托评审委员会直接确定成交人：  </w:t>
            </w:r>
            <w:r>
              <w:rPr>
                <w:rFonts w:hint="eastAsia" w:ascii="宋体" w:hAnsi="宋体" w:eastAsia="宋体" w:cs="宋体"/>
                <w:b w:val="0"/>
                <w:bCs/>
                <w:color w:val="auto"/>
                <w:sz w:val="21"/>
                <w:szCs w:val="21"/>
                <w:highlight w:val="none"/>
                <w:u w:val="none"/>
                <w:lang w:val="en-US" w:eastAsia="zh-CN"/>
              </w:rPr>
              <w:t>是</w:t>
            </w:r>
            <w:r>
              <w:rPr>
                <w:rFonts w:hint="eastAsia" w:ascii="宋体" w:hAnsi="宋体" w:eastAsia="宋体" w:cs="宋体"/>
                <w:b w:val="0"/>
                <w:bCs/>
                <w:color w:val="auto"/>
                <w:sz w:val="21"/>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i/>
                <w:color w:val="FF0000"/>
                <w:sz w:val="21"/>
                <w:szCs w:val="21"/>
                <w:u w:val="none"/>
                <w:lang w:eastAsia="zh-CN"/>
              </w:rPr>
            </w:pPr>
            <w:r>
              <w:rPr>
                <w:rFonts w:hint="eastAsia" w:ascii="宋体" w:hAnsi="宋体" w:eastAsia="宋体" w:cs="宋体"/>
                <w:b w:val="0"/>
                <w:bCs/>
                <w:color w:val="FF0000"/>
                <w:sz w:val="21"/>
                <w:szCs w:val="21"/>
                <w:u w:val="none"/>
              </w:rPr>
              <w:t>履约保证金金额：合同总价的　</w:t>
            </w:r>
            <w:r>
              <w:rPr>
                <w:rFonts w:hint="eastAsia" w:ascii="宋体" w:hAnsi="宋体" w:cs="宋体"/>
                <w:b w:val="0"/>
                <w:bCs/>
                <w:color w:val="FF0000"/>
                <w:sz w:val="21"/>
                <w:szCs w:val="21"/>
                <w:u w:val="none"/>
                <w:lang w:val="en-US" w:eastAsia="zh-CN"/>
              </w:rPr>
              <w:t>3</w:t>
            </w:r>
            <w:r>
              <w:rPr>
                <w:rFonts w:hint="eastAsia" w:ascii="宋体" w:hAnsi="宋体" w:eastAsia="宋体" w:cs="宋体"/>
                <w:b w:val="0"/>
                <w:bCs/>
                <w:color w:val="FF0000"/>
                <w:sz w:val="21"/>
                <w:szCs w:val="21"/>
                <w:u w:val="none"/>
              </w:rPr>
              <w:t>%　</w:t>
            </w:r>
            <w:r>
              <w:rPr>
                <w:rFonts w:hint="eastAsia" w:ascii="宋体" w:hAnsi="宋体" w:eastAsia="宋体" w:cs="宋体"/>
                <w:b w:val="0"/>
                <w:bCs/>
                <w:color w:val="FF0000"/>
                <w:sz w:val="21"/>
                <w:szCs w:val="21"/>
                <w:u w:val="none"/>
                <w:lang w:eastAsia="zh-CN"/>
              </w:rPr>
              <w:t>（</w:t>
            </w:r>
            <w:r>
              <w:rPr>
                <w:rFonts w:hint="eastAsia" w:ascii="宋体" w:hAnsi="宋体" w:eastAsia="宋体" w:cs="宋体"/>
                <w:b w:val="0"/>
                <w:bCs/>
                <w:color w:val="FF0000"/>
                <w:sz w:val="21"/>
                <w:szCs w:val="21"/>
                <w:u w:val="none"/>
                <w:lang w:val="en-US" w:eastAsia="zh-CN"/>
              </w:rPr>
              <w:t>打入</w:t>
            </w:r>
            <w:r>
              <w:rPr>
                <w:rFonts w:hint="eastAsia" w:ascii="宋体" w:hAnsi="宋体" w:cs="宋体"/>
                <w:b w:val="0"/>
                <w:bCs/>
                <w:color w:val="FF0000"/>
                <w:sz w:val="21"/>
                <w:szCs w:val="21"/>
                <w:u w:val="none"/>
                <w:lang w:val="en-US" w:eastAsia="zh-CN"/>
              </w:rPr>
              <w:t>采购人指定</w:t>
            </w:r>
            <w:r>
              <w:rPr>
                <w:rFonts w:hint="eastAsia" w:ascii="宋体" w:hAnsi="宋体" w:eastAsia="宋体" w:cs="宋体"/>
                <w:b w:val="0"/>
                <w:bCs/>
                <w:color w:val="FF0000"/>
                <w:sz w:val="21"/>
                <w:szCs w:val="21"/>
                <w:u w:val="none"/>
                <w:lang w:val="en-US" w:eastAsia="zh-CN"/>
              </w:rPr>
              <w:t>账号</w:t>
            </w:r>
            <w:r>
              <w:rPr>
                <w:rFonts w:hint="eastAsia" w:ascii="宋体" w:hAnsi="宋体" w:eastAsia="宋体" w:cs="宋体"/>
                <w:b w:val="0"/>
                <w:bCs/>
                <w:color w:val="FF0000"/>
                <w:sz w:val="21"/>
                <w:szCs w:val="21"/>
                <w:u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履约保证金形式：合同约定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rPr>
              <w:t>提交履约保证金的时间：签订合同前</w:t>
            </w:r>
            <w:r>
              <w:rPr>
                <w:rFonts w:hint="eastAsia" w:ascii="宋体" w:hAnsi="宋体" w:eastAsia="宋体" w:cs="宋体"/>
                <w:b w:val="0"/>
                <w:bCs/>
                <w:color w:val="auto"/>
                <w:sz w:val="21"/>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sz w:val="21"/>
                <w:szCs w:val="21"/>
                <w:u w:val="none"/>
              </w:rPr>
              <w:t>成交</w:t>
            </w:r>
            <w:r>
              <w:rPr>
                <w:rFonts w:hint="eastAsia" w:ascii="宋体" w:hAnsi="宋体" w:eastAsia="宋体" w:cs="宋体"/>
                <w:b w:val="0"/>
                <w:bCs/>
                <w:color w:val="auto"/>
                <w:sz w:val="21"/>
                <w:szCs w:val="21"/>
                <w:u w:val="none"/>
                <w:lang w:val="en-US" w:eastAsia="zh-CN"/>
              </w:rPr>
              <w:t>服务</w:t>
            </w:r>
            <w:r>
              <w:rPr>
                <w:rFonts w:hint="eastAsia" w:ascii="宋体" w:hAnsi="宋体" w:eastAsia="宋体" w:cs="宋体"/>
                <w:b w:val="0"/>
                <w:bCs/>
                <w:color w:val="auto"/>
                <w:sz w:val="21"/>
                <w:szCs w:val="21"/>
                <w:u w:val="none"/>
              </w:rPr>
              <w:t>费：</w:t>
            </w:r>
            <w:r>
              <w:rPr>
                <w:rFonts w:hint="eastAsia" w:ascii="宋体" w:hAnsi="宋体" w:eastAsia="宋体" w:cs="宋体"/>
                <w:b w:val="0"/>
                <w:bCs/>
                <w:color w:val="auto"/>
                <w:sz w:val="21"/>
                <w:szCs w:val="21"/>
                <w:u w:val="none"/>
                <w:lang w:val="en-US" w:eastAsia="zh-CN"/>
              </w:rPr>
              <w:t>根据发改委价格[2015]299文件：经采购单位与采购代理公司协商确定代理服务费按照成交价的1.</w:t>
            </w:r>
            <w:r>
              <w:rPr>
                <w:rFonts w:hint="eastAsia" w:ascii="宋体" w:hAnsi="宋体" w:cs="宋体"/>
                <w:b w:val="0"/>
                <w:bCs/>
                <w:color w:val="auto"/>
                <w:sz w:val="21"/>
                <w:szCs w:val="21"/>
                <w:u w:val="none"/>
                <w:lang w:val="en-US" w:eastAsia="zh-CN"/>
              </w:rPr>
              <w:t>5</w:t>
            </w:r>
            <w:r>
              <w:rPr>
                <w:rFonts w:hint="eastAsia" w:ascii="宋体" w:hAnsi="宋体" w:eastAsia="宋体" w:cs="宋体"/>
                <w:b w:val="0"/>
                <w:bCs/>
                <w:color w:val="auto"/>
                <w:sz w:val="21"/>
                <w:szCs w:val="21"/>
                <w:u w:val="none"/>
                <w:lang w:val="en-US" w:eastAsia="zh-CN"/>
              </w:rPr>
              <w:t>%收取</w:t>
            </w:r>
            <w:r>
              <w:rPr>
                <w:rFonts w:hint="eastAsia" w:ascii="宋体" w:hAnsi="宋体" w:eastAsia="宋体" w:cs="宋体"/>
                <w:b w:val="0"/>
                <w:bCs/>
                <w:color w:val="auto"/>
                <w:sz w:val="21"/>
                <w:szCs w:val="21"/>
                <w:u w:val="none"/>
              </w:rPr>
              <w:t>。</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color w:val="auto"/>
                <w:sz w:val="21"/>
                <w:szCs w:val="21"/>
                <w:u w:val="none"/>
                <w:lang w:val="en-US" w:eastAsia="zh-CN"/>
              </w:rPr>
              <w:t>由成交</w:t>
            </w:r>
            <w:r>
              <w:rPr>
                <w:rFonts w:hint="eastAsia" w:ascii="宋体" w:hAnsi="宋体" w:cs="宋体"/>
                <w:b w:val="0"/>
                <w:bCs/>
                <w:color w:val="auto"/>
                <w:sz w:val="21"/>
                <w:szCs w:val="21"/>
                <w:u w:val="none"/>
                <w:lang w:val="en-US" w:eastAsia="zh-CN"/>
              </w:rPr>
              <w:t>供应商</w:t>
            </w:r>
            <w:r>
              <w:rPr>
                <w:rFonts w:hint="eastAsia" w:ascii="宋体" w:hAnsi="宋体" w:eastAsia="宋体" w:cs="宋体"/>
                <w:b w:val="0"/>
                <w:bCs/>
                <w:color w:val="auto"/>
                <w:sz w:val="21"/>
                <w:szCs w:val="21"/>
                <w:u w:val="none"/>
                <w:lang w:val="en-US" w:eastAsia="zh-CN"/>
              </w:rPr>
              <w:t>支付</w:t>
            </w:r>
            <w:r>
              <w:rPr>
                <w:rFonts w:hint="eastAsia" w:ascii="宋体" w:hAnsi="宋体" w:eastAsia="宋体" w:cs="宋体"/>
                <w:b w:val="0"/>
                <w:bCs/>
                <w:color w:val="auto"/>
                <w:sz w:val="21"/>
                <w:szCs w:val="21"/>
                <w:u w:val="none"/>
                <w:lang w:eastAsia="zh-CN"/>
              </w:rPr>
              <w:t>）</w:t>
            </w:r>
          </w:p>
          <w:p>
            <w:pPr>
              <w:keepNext w:val="0"/>
              <w:keepLines w:val="0"/>
              <w:pageBreakBefore w:val="0"/>
              <w:kinsoku/>
              <w:wordWrap/>
              <w:overflowPunct/>
              <w:topLinePunct w:val="0"/>
              <w:autoSpaceDE/>
              <w:autoSpaceDN/>
              <w:bidi w:val="0"/>
              <w:adjustRightInd/>
              <w:snapToGrid/>
              <w:spacing w:line="360" w:lineRule="exact"/>
              <w:ind w:left="900" w:hanging="787" w:hangingChars="375"/>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支付形式： 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支付时间：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本项目是否属于信用担保试点范围：  否  </w:t>
            </w:r>
          </w:p>
        </w:tc>
      </w:tr>
    </w:tbl>
    <w:p>
      <w:pPr>
        <w:spacing w:line="240" w:lineRule="atLeast"/>
        <w:ind w:left="1080" w:leftChars="257" w:hanging="540"/>
        <w:rPr>
          <w:rFonts w:hint="eastAsia" w:ascii="宋体" w:hAnsi="宋体" w:eastAsia="宋体" w:cs="宋体"/>
          <w:b w:val="0"/>
          <w:bCs/>
          <w:color w:val="auto"/>
          <w:sz w:val="24"/>
        </w:rPr>
        <w:sectPr>
          <w:headerReference r:id="rId8" w:type="default"/>
          <w:footerReference r:id="rId10" w:type="default"/>
          <w:headerReference r:id="rId9" w:type="even"/>
          <w:footerReference r:id="rId11" w:type="even"/>
          <w:pgSz w:w="11906" w:h="16838"/>
          <w:pgMar w:top="1440" w:right="1797" w:bottom="1440" w:left="1797" w:header="851" w:footer="992" w:gutter="0"/>
          <w:pgNumType w:fmt="decimal"/>
          <w:cols w:space="720" w:num="1"/>
          <w:docGrid w:linePitch="312" w:charSpace="0"/>
        </w:sectPr>
      </w:pPr>
    </w:p>
    <w:tbl>
      <w:tblPr>
        <w:tblStyle w:val="37"/>
        <w:tblW w:w="14612" w:type="dxa"/>
        <w:tblInd w:w="-176" w:type="dxa"/>
        <w:tblLayout w:type="fixed"/>
        <w:tblCellMar>
          <w:top w:w="0" w:type="dxa"/>
          <w:left w:w="108" w:type="dxa"/>
          <w:bottom w:w="0" w:type="dxa"/>
          <w:right w:w="108" w:type="dxa"/>
        </w:tblCellMar>
      </w:tblPr>
      <w:tblGrid>
        <w:gridCol w:w="657"/>
        <w:gridCol w:w="1425"/>
        <w:gridCol w:w="1515"/>
        <w:gridCol w:w="1335"/>
        <w:gridCol w:w="1395"/>
        <w:gridCol w:w="3674"/>
        <w:gridCol w:w="691"/>
        <w:gridCol w:w="975"/>
        <w:gridCol w:w="690"/>
        <w:gridCol w:w="1170"/>
        <w:gridCol w:w="525"/>
        <w:gridCol w:w="560"/>
      </w:tblGrid>
      <w:tr>
        <w:tblPrEx>
          <w:tblCellMar>
            <w:top w:w="0" w:type="dxa"/>
            <w:left w:w="108" w:type="dxa"/>
            <w:bottom w:w="0" w:type="dxa"/>
            <w:right w:w="108" w:type="dxa"/>
          </w:tblCellMar>
        </w:tblPrEx>
        <w:trPr>
          <w:trHeight w:val="563" w:hRule="atLeast"/>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3395"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5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结论</w:t>
            </w:r>
          </w:p>
        </w:tc>
      </w:tr>
      <w:tr>
        <w:tblPrEx>
          <w:tblCellMar>
            <w:top w:w="0" w:type="dxa"/>
            <w:left w:w="108" w:type="dxa"/>
            <w:bottom w:w="0" w:type="dxa"/>
            <w:right w:w="108" w:type="dxa"/>
          </w:tblCellMar>
        </w:tblPrEx>
        <w:trPr>
          <w:trHeight w:val="1811" w:hRule="atLeast"/>
        </w:trPr>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42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lang w:val="en-US" w:eastAsia="zh-CN"/>
              </w:rPr>
              <w:t>具有有效的独立法人营业执照、</w:t>
            </w:r>
            <w:r>
              <w:rPr>
                <w:rFonts w:hint="eastAsia" w:ascii="宋体" w:hAnsi="宋体" w:eastAsia="宋体" w:cs="宋体"/>
                <w:b w:val="0"/>
                <w:bCs/>
                <w:color w:val="auto"/>
                <w:kern w:val="2"/>
                <w:sz w:val="21"/>
                <w:szCs w:val="21"/>
                <w:lang w:val="en-US" w:eastAsia="zh-CN" w:bidi="ar-SA"/>
              </w:rPr>
              <w:t>投标人须具备[施工总承包建筑工程三级](含)以上资质，企业安全生产许可证</w:t>
            </w:r>
          </w:p>
        </w:tc>
        <w:tc>
          <w:tcPr>
            <w:tcW w:w="15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eastAsia="宋体" w:cs="宋体"/>
                <w:b w:val="0"/>
                <w:bCs/>
                <w:color w:val="auto"/>
                <w:kern w:val="2"/>
                <w:sz w:val="21"/>
                <w:szCs w:val="21"/>
                <w:lang w:val="en-US" w:eastAsia="zh-CN" w:bidi="ar-SA"/>
              </w:rPr>
              <w:t>项目负责人须具备[建筑工程二级](含)以上注册建造师执业资格，具备有效的安全生产考核合格证书</w:t>
            </w:r>
          </w:p>
        </w:tc>
        <w:tc>
          <w:tcPr>
            <w:tcW w:w="13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yellow"/>
              </w:rPr>
            </w:pPr>
            <w:r>
              <w:rPr>
                <w:rFonts w:hint="eastAsia" w:ascii="宋体" w:hAnsi="宋体" w:eastAsia="宋体" w:cs="宋体"/>
                <w:color w:val="auto"/>
                <w:kern w:val="0"/>
                <w:sz w:val="22"/>
                <w:szCs w:val="22"/>
                <w:highlight w:val="none"/>
                <w:lang w:val="en-US" w:eastAsia="zh-CN"/>
              </w:rPr>
              <w:t>法人代表资格证明书及授权书、被授权人身份证(法人投标需提供法人身份证及法人代表资格证明书)</w:t>
            </w:r>
          </w:p>
        </w:tc>
        <w:tc>
          <w:tcPr>
            <w:tcW w:w="139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2"/>
                <w:szCs w:val="22"/>
                <w:highlight w:val="yellow"/>
                <w:lang w:val="en-US" w:eastAsia="zh-CN"/>
              </w:rPr>
            </w:pPr>
            <w:r>
              <w:rPr>
                <w:rFonts w:hint="eastAsia" w:ascii="宋体" w:hAnsi="宋体" w:eastAsia="宋体" w:cs="宋体"/>
                <w:b w:val="0"/>
                <w:bCs/>
                <w:color w:val="auto"/>
                <w:kern w:val="2"/>
                <w:sz w:val="21"/>
                <w:szCs w:val="21"/>
                <w:lang w:val="en-US" w:eastAsia="zh-CN" w:bidi="ar-SA"/>
              </w:rPr>
              <w:t>供应商提供本单位依法缴纳近三个月的社会保险缴费凭证</w:t>
            </w:r>
          </w:p>
        </w:tc>
        <w:tc>
          <w:tcPr>
            <w:tcW w:w="367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b w:val="0"/>
                <w:bCs/>
                <w:color w:val="auto"/>
                <w:kern w:val="2"/>
                <w:sz w:val="21"/>
                <w:szCs w:val="21"/>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tc>
        <w:tc>
          <w:tcPr>
            <w:tcW w:w="69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b w:val="0"/>
                <w:bCs/>
                <w:color w:val="auto"/>
                <w:kern w:val="2"/>
                <w:sz w:val="21"/>
                <w:szCs w:val="21"/>
                <w:lang w:val="en-US" w:eastAsia="zh-CN" w:bidi="ar-SA"/>
              </w:rPr>
              <w:t>提供税务部门出具上一季度的完税证明</w:t>
            </w:r>
          </w:p>
        </w:tc>
        <w:tc>
          <w:tcPr>
            <w:tcW w:w="97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2"/>
                <w:szCs w:val="22"/>
                <w:highlight w:val="none"/>
                <w:lang w:val="en-US"/>
              </w:rPr>
            </w:pPr>
            <w:r>
              <w:rPr>
                <w:rFonts w:hint="eastAsia" w:ascii="宋体" w:hAnsi="宋体" w:eastAsia="宋体" w:cs="宋体"/>
                <w:b w:val="0"/>
                <w:bCs/>
                <w:color w:val="auto"/>
                <w:kern w:val="2"/>
                <w:sz w:val="21"/>
                <w:szCs w:val="21"/>
                <w:lang w:val="en-US" w:eastAsia="zh-CN" w:bidi="ar-SA"/>
              </w:rPr>
              <w:t>提供近一年2020年度的财务审计报告（新成立公司需提供银行资信证明）</w:t>
            </w:r>
          </w:p>
        </w:tc>
        <w:tc>
          <w:tcPr>
            <w:tcW w:w="6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r>
              <w:rPr>
                <w:rFonts w:hint="eastAsia" w:ascii="宋体" w:hAnsi="宋体" w:eastAsia="宋体" w:cs="宋体"/>
                <w:b w:val="0"/>
                <w:bCs/>
                <w:color w:val="auto"/>
                <w:kern w:val="2"/>
                <w:sz w:val="21"/>
                <w:szCs w:val="21"/>
                <w:lang w:val="en-US" w:eastAsia="zh-CN" w:bidi="ar-SA"/>
              </w:rPr>
              <w:t>提供针对本次项目《反商业贿赂承诺书》</w:t>
            </w:r>
          </w:p>
        </w:tc>
        <w:tc>
          <w:tcPr>
            <w:tcW w:w="11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lang w:val="en-US" w:eastAsia="zh-CN"/>
              </w:rPr>
            </w:pPr>
            <w:r>
              <w:rPr>
                <w:rFonts w:hint="eastAsia" w:ascii="宋体" w:hAnsi="宋体" w:eastAsia="宋体" w:cs="宋体"/>
                <w:b w:val="0"/>
                <w:bCs/>
                <w:color w:val="auto"/>
                <w:kern w:val="2"/>
                <w:sz w:val="21"/>
                <w:szCs w:val="21"/>
                <w:lang w:val="en-US" w:eastAsia="zh-CN" w:bidi="ar-SA"/>
              </w:rPr>
              <w:t>参与政府采购活动前3年内未被列入失信、重大税收违法案件、财政部门禁止参加政府采购活动的承诺书</w:t>
            </w:r>
          </w:p>
        </w:tc>
        <w:tc>
          <w:tcPr>
            <w:tcW w:w="5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i/>
                <w:iCs/>
                <w:kern w:val="0"/>
                <w:sz w:val="22"/>
                <w:szCs w:val="22"/>
              </w:rPr>
            </w:pPr>
            <w:r>
              <w:rPr>
                <w:rFonts w:hint="eastAsia" w:ascii="宋体" w:hAnsi="宋体" w:eastAsia="宋体" w:cs="宋体"/>
                <w:sz w:val="22"/>
                <w:szCs w:val="22"/>
                <w:lang w:val="en-US"/>
              </w:rPr>
              <w:t>保证金收据原件</w:t>
            </w:r>
          </w:p>
        </w:tc>
        <w:tc>
          <w:tcPr>
            <w:tcW w:w="5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i/>
                <w:iCs/>
                <w:kern w:val="0"/>
                <w:sz w:val="22"/>
                <w:szCs w:val="22"/>
              </w:rPr>
            </w:pPr>
          </w:p>
        </w:tc>
      </w:tr>
      <w:tr>
        <w:tblPrEx>
          <w:tblCellMar>
            <w:top w:w="0" w:type="dxa"/>
            <w:left w:w="108" w:type="dxa"/>
            <w:bottom w:w="0" w:type="dxa"/>
            <w:right w:w="108" w:type="dxa"/>
          </w:tblCellMar>
        </w:tblPrEx>
        <w:trPr>
          <w:trHeight w:val="806" w:hRule="atLeast"/>
        </w:trPr>
        <w:tc>
          <w:tcPr>
            <w:tcW w:w="65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42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5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33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3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69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97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7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p>
            <w:pPr>
              <w:widowControl/>
              <w:jc w:val="left"/>
              <w:rPr>
                <w:rFonts w:hint="eastAsia" w:ascii="宋体" w:hAnsi="宋体" w:cs="宋体"/>
                <w:kern w:val="0"/>
                <w:sz w:val="22"/>
                <w:szCs w:val="22"/>
              </w:rPr>
            </w:pPr>
            <w:r>
              <w:rPr>
                <w:rFonts w:hint="eastAsia" w:ascii="宋体" w:hAnsi="宋体" w:cs="宋体"/>
                <w:kern w:val="0"/>
                <w:sz w:val="22"/>
                <w:szCs w:val="22"/>
              </w:rPr>
              <w:t>　</w:t>
            </w:r>
          </w:p>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5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4"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704"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704"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11"/>
        <w:rPr>
          <w:rFonts w:hint="eastAsia"/>
        </w:rPr>
        <w:sectPr>
          <w:pgSz w:w="16838" w:h="11906" w:orient="landscape"/>
          <w:pgMar w:top="1797" w:right="1440" w:bottom="1797" w:left="1440" w:header="851" w:footer="992" w:gutter="0"/>
          <w:pgNumType w:fmt="decimal"/>
          <w:cols w:space="720" w:num="1"/>
          <w:docGrid w:linePitch="312" w:charSpace="0"/>
        </w:sectPr>
      </w:pPr>
    </w:p>
    <w:p>
      <w:pPr>
        <w:pStyle w:val="2"/>
        <w:numPr>
          <w:ilvl w:val="0"/>
          <w:numId w:val="0"/>
        </w:numPr>
        <w:ind w:leftChars="0"/>
        <w:jc w:val="center"/>
        <w:outlineLvl w:val="0"/>
        <w:rPr>
          <w:rFonts w:hint="default" w:ascii="宋体" w:hAnsi="宋体" w:eastAsia="宋体" w:cs="宋体"/>
          <w:b w:val="0"/>
          <w:bCs/>
          <w:color w:val="auto"/>
          <w:kern w:val="44"/>
          <w:sz w:val="28"/>
          <w:szCs w:val="28"/>
          <w:lang w:val="en-US" w:eastAsia="zh-CN" w:bidi="ar-SA"/>
        </w:rPr>
      </w:pPr>
      <w:bookmarkStart w:id="464" w:name="_Toc219175639"/>
      <w:bookmarkStart w:id="465" w:name="_Toc218935355"/>
      <w:bookmarkStart w:id="466" w:name="_Toc216582826"/>
      <w:r>
        <w:rPr>
          <w:rFonts w:hint="eastAsia" w:ascii="宋体" w:hAnsi="宋体" w:eastAsia="宋体" w:cs="宋体"/>
          <w:b w:val="0"/>
          <w:bCs/>
          <w:color w:val="auto"/>
          <w:kern w:val="44"/>
          <w:sz w:val="28"/>
          <w:szCs w:val="28"/>
          <w:lang w:val="en-US" w:eastAsia="zh-CN" w:bidi="ar-SA"/>
        </w:rPr>
        <w:t>第5章 参数需求一览表及技术规格</w:t>
      </w:r>
    </w:p>
    <w:p>
      <w:pPr>
        <w:pStyle w:val="35"/>
        <w:widowControl w:val="0"/>
        <w:numPr>
          <w:ilvl w:val="0"/>
          <w:numId w:val="0"/>
        </w:numPr>
        <w:spacing w:after="120" w:afterLines="0"/>
        <w:jc w:val="both"/>
        <w:rPr>
          <w:rFonts w:hint="default"/>
          <w:lang w:val="en-US" w:eastAsia="zh-CN"/>
        </w:rPr>
      </w:pPr>
    </w:p>
    <w:tbl>
      <w:tblPr>
        <w:tblStyle w:val="37"/>
        <w:tblpPr w:leftFromText="180" w:rightFromText="180" w:vertAnchor="text" w:horzAnchor="page" w:tblpX="2065" w:tblpY="281"/>
        <w:tblOverlap w:val="never"/>
        <w:tblW w:w="0" w:type="auto"/>
        <w:tblInd w:w="0" w:type="dxa"/>
        <w:tblBorders>
          <w:top w:val="none" w:color="auto" w:sz="0" w:space="0"/>
          <w:left w:val="none" w:color="auto" w:sz="0" w:space="0"/>
          <w:bottom w:val="none" w:color="auto" w:sz="0"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1689"/>
        <w:gridCol w:w="551"/>
        <w:gridCol w:w="800"/>
        <w:gridCol w:w="3004"/>
        <w:gridCol w:w="2034"/>
      </w:tblGrid>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6" w:hRule="atLeast"/>
        </w:trPr>
        <w:tc>
          <w:tcPr>
            <w:tcW w:w="3040" w:type="dxa"/>
            <w:gridSpan w:val="3"/>
            <w:tcBorders>
              <w:bottom w:val="nil"/>
              <w:right w:val="nil"/>
            </w:tcBorders>
            <w:shd w:val="clear" w:color="FFFFFF" w:fill="FFFFFF"/>
            <w:noWrap w:val="0"/>
            <w:vAlign w:val="center"/>
          </w:tcPr>
          <w:p>
            <w:pPr>
              <w:rPr>
                <w:rFonts w:hint="eastAsia" w:ascii="宋体" w:hAnsi="宋体" w:eastAsia="宋体" w:cs="宋体"/>
                <w:b w:val="0"/>
                <w:bCs w:val="0"/>
                <w:sz w:val="18"/>
                <w:szCs w:val="18"/>
              </w:rPr>
            </w:pPr>
          </w:p>
        </w:tc>
        <w:tc>
          <w:tcPr>
            <w:tcW w:w="3004" w:type="dxa"/>
            <w:tcBorders>
              <w:left w:val="nil"/>
              <w:bottom w:val="nil"/>
              <w:right w:val="nil"/>
            </w:tcBorders>
            <w:shd w:val="clear" w:color="FFFFFF" w:fill="FFFFFF"/>
            <w:noWrap w:val="0"/>
            <w:vAlign w:val="bottom"/>
          </w:tcPr>
          <w:p>
            <w:pPr>
              <w:jc w:val="center"/>
              <w:rPr>
                <w:rFonts w:hint="eastAsia" w:ascii="宋体" w:hAnsi="宋体" w:eastAsia="宋体" w:cs="宋体"/>
                <w:b w:val="0"/>
                <w:bCs w:val="0"/>
                <w:sz w:val="36"/>
                <w:szCs w:val="36"/>
              </w:rPr>
            </w:pPr>
            <w:r>
              <w:rPr>
                <w:rFonts w:hint="eastAsia" w:ascii="宋体" w:hAnsi="宋体" w:eastAsia="宋体" w:cs="宋体"/>
                <w:b w:val="0"/>
                <w:bCs w:val="0"/>
                <w:sz w:val="36"/>
                <w:szCs w:val="36"/>
              </w:rPr>
              <w:t>投  标  总  价</w:t>
            </w:r>
          </w:p>
        </w:tc>
        <w:tc>
          <w:tcPr>
            <w:tcW w:w="2034" w:type="dxa"/>
            <w:tcBorders>
              <w:left w:val="nil"/>
              <w:bottom w:val="nil"/>
            </w:tcBorders>
            <w:shd w:val="clear" w:color="FFFFFF" w:fill="FFFFFF"/>
            <w:noWrap w:val="0"/>
            <w:vAlign w:val="center"/>
          </w:tcPr>
          <w:p>
            <w:pPr>
              <w:jc w:val="right"/>
              <w:rPr>
                <w:rFonts w:hint="eastAsia" w:ascii="宋体" w:hAnsi="宋体" w:eastAsia="宋体" w:cs="宋体"/>
                <w:b w:val="0"/>
                <w:bCs w:val="0"/>
                <w:sz w:val="18"/>
                <w:szCs w:val="18"/>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139"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招     标    人：</w:t>
            </w: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828"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工  程   名  称：</w:t>
            </w:r>
          </w:p>
        </w:tc>
        <w:tc>
          <w:tcPr>
            <w:tcW w:w="5838" w:type="dxa"/>
            <w:gridSpan w:val="3"/>
            <w:tcBorders>
              <w:top w:val="single" w:color="000000" w:sz="4" w:space="0"/>
              <w:left w:val="nil"/>
              <w:bottom w:val="single" w:color="000000" w:sz="4" w:space="0"/>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149"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投标总价（小写）：</w:t>
            </w:r>
          </w:p>
        </w:tc>
        <w:tc>
          <w:tcPr>
            <w:tcW w:w="5838" w:type="dxa"/>
            <w:gridSpan w:val="3"/>
            <w:tcBorders>
              <w:top w:val="single" w:color="000000" w:sz="4" w:space="0"/>
              <w:left w:val="nil"/>
              <w:bottom w:val="single" w:color="000000" w:sz="4" w:space="0"/>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580"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xml:space="preserve">        （大写）：</w:t>
            </w:r>
          </w:p>
        </w:tc>
        <w:tc>
          <w:tcPr>
            <w:tcW w:w="5838" w:type="dxa"/>
            <w:gridSpan w:val="3"/>
            <w:tcBorders>
              <w:top w:val="single" w:color="000000" w:sz="4" w:space="0"/>
              <w:left w:val="nil"/>
              <w:bottom w:val="single" w:color="000000" w:sz="4" w:space="0"/>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864"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51" w:type="dxa"/>
            <w:tcBorders>
              <w:top w:val="nil"/>
              <w:left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81"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投  标  人：</w:t>
            </w:r>
          </w:p>
        </w:tc>
        <w:tc>
          <w:tcPr>
            <w:tcW w:w="551" w:type="dxa"/>
            <w:tcBorders>
              <w:top w:val="nil"/>
              <w:left w:val="nil"/>
              <w:bottom w:val="single" w:color="000000" w:sz="4" w:space="0"/>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51" w:type="dxa"/>
            <w:tcBorders>
              <w:top w:val="nil"/>
              <w:left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center"/>
          </w:tcPr>
          <w:p>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(单位盖章)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175"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法定代表人</w:t>
            </w:r>
            <w:r>
              <w:rPr>
                <w:rFonts w:hint="eastAsia" w:ascii="宋体" w:hAnsi="宋体" w:eastAsia="宋体" w:cs="宋体"/>
                <w:b w:val="0"/>
                <w:bCs w:val="0"/>
                <w:sz w:val="24"/>
              </w:rPr>
              <w:br w:type="textWrapping"/>
            </w:r>
            <w:r>
              <w:rPr>
                <w:rFonts w:hint="eastAsia" w:ascii="宋体" w:hAnsi="宋体" w:eastAsia="宋体" w:cs="宋体"/>
                <w:b w:val="0"/>
                <w:bCs w:val="0"/>
                <w:sz w:val="24"/>
              </w:rPr>
              <w:t>或其授权人：</w:t>
            </w:r>
          </w:p>
        </w:tc>
        <w:tc>
          <w:tcPr>
            <w:tcW w:w="551" w:type="dxa"/>
            <w:tcBorders>
              <w:top w:val="nil"/>
              <w:left w:val="nil"/>
              <w:bottom w:val="single" w:color="000000" w:sz="4" w:space="0"/>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center"/>
          </w:tcPr>
          <w:p>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(签字或盖章)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498"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编  制  人：</w:t>
            </w:r>
          </w:p>
        </w:tc>
        <w:tc>
          <w:tcPr>
            <w:tcW w:w="551" w:type="dxa"/>
            <w:tcBorders>
              <w:top w:val="nil"/>
              <w:left w:val="nil"/>
              <w:bottom w:val="single" w:color="000000" w:sz="4" w:space="0"/>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85"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center"/>
          </w:tcPr>
          <w:p>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(造价人员签字盖专用章)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498"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时      间：</w:t>
            </w:r>
          </w:p>
        </w:tc>
        <w:tc>
          <w:tcPr>
            <w:tcW w:w="551" w:type="dxa"/>
            <w:tcBorders>
              <w:top w:val="nil"/>
              <w:left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xml:space="preserve">   年    月    日</w:t>
            </w:r>
          </w:p>
        </w:tc>
      </w:tr>
    </w:tbl>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tbl>
      <w:tblPr>
        <w:tblStyle w:val="37"/>
        <w:tblW w:w="8240" w:type="dxa"/>
        <w:tblInd w:w="93" w:type="dxa"/>
        <w:tblLayout w:type="fixed"/>
        <w:tblCellMar>
          <w:top w:w="0" w:type="dxa"/>
          <w:left w:w="108" w:type="dxa"/>
          <w:bottom w:w="0" w:type="dxa"/>
          <w:right w:w="108" w:type="dxa"/>
        </w:tblCellMar>
      </w:tblPr>
      <w:tblGrid>
        <w:gridCol w:w="764"/>
        <w:gridCol w:w="3053"/>
        <w:gridCol w:w="885"/>
        <w:gridCol w:w="813"/>
        <w:gridCol w:w="87"/>
        <w:gridCol w:w="1065"/>
        <w:gridCol w:w="1573"/>
      </w:tblGrid>
      <w:tr>
        <w:tblPrEx>
          <w:tblCellMar>
            <w:top w:w="0" w:type="dxa"/>
            <w:left w:w="108" w:type="dxa"/>
            <w:bottom w:w="0" w:type="dxa"/>
            <w:right w:w="108" w:type="dxa"/>
          </w:tblCellMar>
        </w:tblPrEx>
        <w:trPr>
          <w:trHeight w:val="609" w:hRule="atLeast"/>
        </w:trPr>
        <w:tc>
          <w:tcPr>
            <w:tcW w:w="8240" w:type="dxa"/>
            <w:gridSpan w:val="7"/>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val="0"/>
                <w:bCs w:val="0"/>
                <w:i w:val="0"/>
                <w:iCs w:val="0"/>
                <w:color w:val="000000"/>
                <w:kern w:val="0"/>
                <w:sz w:val="28"/>
                <w:szCs w:val="28"/>
                <w:u w:val="none"/>
                <w:lang w:val="en-US" w:eastAsia="zh-CN" w:bidi="ar"/>
              </w:rPr>
              <w:t>单项工程招标控制价汇总表</w:t>
            </w:r>
          </w:p>
        </w:tc>
      </w:tr>
      <w:tr>
        <w:tblPrEx>
          <w:tblCellMar>
            <w:top w:w="0" w:type="dxa"/>
            <w:left w:w="108" w:type="dxa"/>
            <w:bottom w:w="0" w:type="dxa"/>
            <w:right w:w="108" w:type="dxa"/>
          </w:tblCellMar>
        </w:tblPrEx>
        <w:trPr>
          <w:trHeight w:val="767" w:hRule="atLeast"/>
        </w:trPr>
        <w:tc>
          <w:tcPr>
            <w:tcW w:w="3817" w:type="dxa"/>
            <w:gridSpan w:val="2"/>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：新疆维吾尔自治区人民检察院喀什分院-两房屋顶改造项目</w:t>
            </w:r>
          </w:p>
        </w:tc>
        <w:tc>
          <w:tcPr>
            <w:tcW w:w="1698" w:type="dxa"/>
            <w:gridSpan w:val="2"/>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725" w:type="dxa"/>
            <w:gridSpan w:val="3"/>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324" w:hRule="atLeast"/>
        </w:trPr>
        <w:tc>
          <w:tcPr>
            <w:tcW w:w="76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5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hint="eastAsia" w:ascii="宋体" w:hAnsi="宋体" w:cs="宋体"/>
                <w:i w:val="0"/>
                <w:iCs w:val="0"/>
                <w:color w:val="000000"/>
                <w:kern w:val="0"/>
                <w:sz w:val="18"/>
                <w:szCs w:val="18"/>
                <w:u w:val="none"/>
                <w:lang w:val="en-US" w:eastAsia="zh-CN" w:bidi="ar"/>
              </w:rPr>
              <w:t>项目名称</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538"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 (元)</w:t>
            </w:r>
          </w:p>
        </w:tc>
      </w:tr>
      <w:tr>
        <w:tblPrEx>
          <w:tblCellMar>
            <w:top w:w="0" w:type="dxa"/>
            <w:left w:w="108" w:type="dxa"/>
            <w:bottom w:w="0" w:type="dxa"/>
            <w:right w:w="108" w:type="dxa"/>
          </w:tblCellMar>
        </w:tblPrEx>
        <w:trPr>
          <w:trHeight w:val="708" w:hRule="atLeast"/>
        </w:trPr>
        <w:tc>
          <w:tcPr>
            <w:tcW w:w="76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  施工费</w:t>
            </w: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r>
      <w:tr>
        <w:tblPrEx>
          <w:tblCellMar>
            <w:top w:w="0" w:type="dxa"/>
            <w:left w:w="108" w:type="dxa"/>
            <w:bottom w:w="0" w:type="dxa"/>
            <w:right w:w="108" w:type="dxa"/>
          </w:tblCellMar>
        </w:tblPrEx>
        <w:trPr>
          <w:trHeight w:val="601"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新疆维吾尔自治区人民检察院喀什分院-两房屋顶改造项目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3817"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8" w:hRule="atLeast"/>
        </w:trPr>
        <w:tc>
          <w:tcPr>
            <w:tcW w:w="8240" w:type="dxa"/>
            <w:gridSpan w:val="7"/>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tbl>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tbl>
      <w:tblPr>
        <w:tblStyle w:val="37"/>
        <w:tblW w:w="8138" w:type="dxa"/>
        <w:tblInd w:w="93" w:type="dxa"/>
        <w:shd w:val="clear" w:color="auto" w:fill="auto"/>
        <w:tblLayout w:type="autofit"/>
        <w:tblCellMar>
          <w:top w:w="0" w:type="dxa"/>
          <w:left w:w="108" w:type="dxa"/>
          <w:bottom w:w="0" w:type="dxa"/>
          <w:right w:w="108" w:type="dxa"/>
        </w:tblCellMar>
      </w:tblPr>
      <w:tblGrid>
        <w:gridCol w:w="930"/>
        <w:gridCol w:w="2520"/>
        <w:gridCol w:w="128"/>
        <w:gridCol w:w="1215"/>
        <w:gridCol w:w="772"/>
        <w:gridCol w:w="128"/>
        <w:gridCol w:w="1575"/>
        <w:gridCol w:w="870"/>
      </w:tblGrid>
      <w:tr>
        <w:tblPrEx>
          <w:shd w:val="clear" w:color="auto" w:fill="auto"/>
          <w:tblCellMar>
            <w:top w:w="0" w:type="dxa"/>
            <w:left w:w="108" w:type="dxa"/>
            <w:bottom w:w="0" w:type="dxa"/>
            <w:right w:w="108" w:type="dxa"/>
          </w:tblCellMar>
        </w:tblPrEx>
        <w:trPr>
          <w:trHeight w:val="525" w:hRule="atLeast"/>
        </w:trPr>
        <w:tc>
          <w:tcPr>
            <w:tcW w:w="8138"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bookmarkStart w:id="467" w:name="_Toc17693"/>
            <w:bookmarkStart w:id="468" w:name="_Toc30413"/>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val="0"/>
                <w:bCs w:val="0"/>
                <w:i w:val="0"/>
                <w:iCs w:val="0"/>
                <w:color w:val="000000"/>
                <w:kern w:val="0"/>
                <w:sz w:val="28"/>
                <w:szCs w:val="28"/>
                <w:u w:val="none"/>
                <w:lang w:val="en-US" w:eastAsia="zh-CN" w:bidi="ar"/>
              </w:rPr>
              <w:t>建设项目投标报价汇总表</w:t>
            </w:r>
          </w:p>
        </w:tc>
      </w:tr>
      <w:tr>
        <w:tblPrEx>
          <w:tblCellMar>
            <w:top w:w="0" w:type="dxa"/>
            <w:left w:w="108" w:type="dxa"/>
            <w:bottom w:w="0" w:type="dxa"/>
            <w:right w:w="108" w:type="dxa"/>
          </w:tblCellMar>
        </w:tblPrEx>
        <w:trPr>
          <w:trHeight w:val="510" w:hRule="atLeast"/>
        </w:trPr>
        <w:tc>
          <w:tcPr>
            <w:tcW w:w="345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工程名称：新疆维吾尔自治区人民检察院喀什分院-两房屋顶改造项目</w:t>
            </w:r>
          </w:p>
        </w:tc>
        <w:tc>
          <w:tcPr>
            <w:tcW w:w="2115"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73"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rPr>
          <w:trHeight w:val="450" w:hRule="atLeast"/>
        </w:trPr>
        <w:tc>
          <w:tcPr>
            <w:tcW w:w="93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64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12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3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 （元）</w:t>
            </w:r>
          </w:p>
        </w:tc>
      </w:tr>
      <w:tr>
        <w:tblPrEx>
          <w:tblCellMar>
            <w:top w:w="0" w:type="dxa"/>
            <w:left w:w="108" w:type="dxa"/>
            <w:bottom w:w="0" w:type="dxa"/>
            <w:right w:w="108" w:type="dxa"/>
          </w:tblCellMar>
        </w:tblPrEx>
        <w:trPr>
          <w:trHeight w:val="450" w:hRule="atLeast"/>
        </w:trPr>
        <w:tc>
          <w:tcPr>
            <w:tcW w:w="93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电气设备安装工程</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给排水工程</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3578"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5" w:hRule="atLeast"/>
        </w:trPr>
        <w:tc>
          <w:tcPr>
            <w:tcW w:w="8138" w:type="dxa"/>
            <w:gridSpan w:val="8"/>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注：本表适用于建设项目招标控制价或投标报价的汇总。</w:t>
            </w:r>
          </w:p>
        </w:tc>
      </w:tr>
    </w:tbl>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tbl>
      <w:tblPr>
        <w:tblStyle w:val="37"/>
        <w:tblW w:w="8115" w:type="dxa"/>
        <w:tblInd w:w="93" w:type="dxa"/>
        <w:shd w:val="clear" w:color="auto" w:fill="auto"/>
        <w:tblLayout w:type="autofit"/>
        <w:tblCellMar>
          <w:top w:w="0" w:type="dxa"/>
          <w:left w:w="108" w:type="dxa"/>
          <w:bottom w:w="0" w:type="dxa"/>
          <w:right w:w="108" w:type="dxa"/>
        </w:tblCellMar>
      </w:tblPr>
      <w:tblGrid>
        <w:gridCol w:w="1320"/>
        <w:gridCol w:w="2145"/>
        <w:gridCol w:w="435"/>
        <w:gridCol w:w="2415"/>
        <w:gridCol w:w="90"/>
        <w:gridCol w:w="1710"/>
      </w:tblGrid>
      <w:tr>
        <w:tblPrEx>
          <w:shd w:val="clear" w:color="auto" w:fill="auto"/>
          <w:tblCellMar>
            <w:top w:w="0" w:type="dxa"/>
            <w:left w:w="108" w:type="dxa"/>
            <w:bottom w:w="0" w:type="dxa"/>
            <w:right w:w="108" w:type="dxa"/>
          </w:tblCellMar>
        </w:tblPrEx>
        <w:trPr>
          <w:trHeight w:val="585" w:hRule="atLeast"/>
        </w:trPr>
        <w:tc>
          <w:tcPr>
            <w:tcW w:w="811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单位工程投标报价汇总表</w:t>
            </w:r>
          </w:p>
        </w:tc>
      </w:tr>
      <w:tr>
        <w:tblPrEx>
          <w:tblCellMar>
            <w:top w:w="0" w:type="dxa"/>
            <w:left w:w="108" w:type="dxa"/>
            <w:bottom w:w="0" w:type="dxa"/>
            <w:right w:w="108" w:type="dxa"/>
          </w:tblCellMar>
        </w:tblPrEx>
        <w:trPr>
          <w:trHeight w:val="510" w:hRule="atLeast"/>
        </w:trPr>
        <w:tc>
          <w:tcPr>
            <w:tcW w:w="3465"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工程名称：建筑工程</w:t>
            </w:r>
          </w:p>
        </w:tc>
        <w:tc>
          <w:tcPr>
            <w:tcW w:w="285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800"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rPr>
          <w:trHeight w:val="450" w:hRule="atLeast"/>
        </w:trPr>
        <w:tc>
          <w:tcPr>
            <w:tcW w:w="13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5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汇总内容</w:t>
            </w:r>
          </w:p>
        </w:tc>
        <w:tc>
          <w:tcPr>
            <w:tcW w:w="25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71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其中：暂估价(元)</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措施工程费</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其中：安全文明施工费</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390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投标报价合计=一+二+三+四+五</w:t>
            </w:r>
          </w:p>
        </w:tc>
        <w:tc>
          <w:tcPr>
            <w:tcW w:w="250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0" w:hRule="atLeast"/>
        </w:trPr>
        <w:tc>
          <w:tcPr>
            <w:tcW w:w="8115"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35"/>
        <w:widowControl w:val="0"/>
        <w:numPr>
          <w:ilvl w:val="0"/>
          <w:numId w:val="0"/>
        </w:numPr>
        <w:spacing w:after="120" w:afterLines="0"/>
        <w:jc w:val="both"/>
        <w:rPr>
          <w:rFonts w:hint="default"/>
          <w:lang w:val="en-US" w:eastAsia="zh-CN"/>
        </w:rPr>
      </w:pPr>
    </w:p>
    <w:tbl>
      <w:tblPr>
        <w:tblStyle w:val="37"/>
        <w:tblW w:w="8662" w:type="dxa"/>
        <w:tblInd w:w="93" w:type="dxa"/>
        <w:shd w:val="clear" w:color="auto" w:fill="auto"/>
        <w:tblLayout w:type="fixed"/>
        <w:tblCellMar>
          <w:top w:w="0" w:type="dxa"/>
          <w:left w:w="108" w:type="dxa"/>
          <w:bottom w:w="0" w:type="dxa"/>
          <w:right w:w="108" w:type="dxa"/>
        </w:tblCellMar>
      </w:tblPr>
      <w:tblGrid>
        <w:gridCol w:w="413"/>
        <w:gridCol w:w="1417"/>
        <w:gridCol w:w="6"/>
        <w:gridCol w:w="1409"/>
        <w:gridCol w:w="385"/>
        <w:gridCol w:w="5"/>
        <w:gridCol w:w="1593"/>
        <w:gridCol w:w="60"/>
        <w:gridCol w:w="675"/>
        <w:gridCol w:w="120"/>
        <w:gridCol w:w="667"/>
        <w:gridCol w:w="113"/>
        <w:gridCol w:w="524"/>
        <w:gridCol w:w="166"/>
        <w:gridCol w:w="344"/>
        <w:gridCol w:w="765"/>
      </w:tblGrid>
      <w:tr>
        <w:tblPrEx>
          <w:shd w:val="clear" w:color="auto" w:fill="auto"/>
          <w:tblCellMar>
            <w:top w:w="0" w:type="dxa"/>
            <w:left w:w="108" w:type="dxa"/>
            <w:bottom w:w="0" w:type="dxa"/>
            <w:right w:w="108" w:type="dxa"/>
          </w:tblCellMar>
        </w:tblPrEx>
        <w:trPr>
          <w:trHeight w:val="585" w:hRule="atLeast"/>
        </w:trPr>
        <w:tc>
          <w:tcPr>
            <w:tcW w:w="8662" w:type="dxa"/>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工程量做法及工程量确认单</w:t>
            </w:r>
          </w:p>
        </w:tc>
      </w:tr>
      <w:tr>
        <w:tblPrEx>
          <w:tblCellMar>
            <w:top w:w="0" w:type="dxa"/>
            <w:left w:w="108" w:type="dxa"/>
            <w:bottom w:w="0" w:type="dxa"/>
            <w:right w:w="108" w:type="dxa"/>
          </w:tblCellMar>
        </w:tblPrEx>
        <w:trPr>
          <w:trHeight w:val="375" w:hRule="atLeast"/>
        </w:trPr>
        <w:tc>
          <w:tcPr>
            <w:tcW w:w="3635" w:type="dxa"/>
            <w:gridSpan w:val="6"/>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工程名称：建筑工程</w:t>
            </w:r>
          </w:p>
        </w:tc>
        <w:tc>
          <w:tcPr>
            <w:tcW w:w="3228" w:type="dxa"/>
            <w:gridSpan w:val="6"/>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1799"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rPr>
          <w:trHeight w:val="360" w:hRule="atLeast"/>
        </w:trPr>
        <w:tc>
          <w:tcPr>
            <w:tcW w:w="41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4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43"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8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60" w:hRule="atLeast"/>
        </w:trPr>
        <w:tc>
          <w:tcPr>
            <w:tcW w:w="41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43"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4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195" w:hRule="atLeast"/>
        </w:trPr>
        <w:tc>
          <w:tcPr>
            <w:tcW w:w="41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43"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4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52"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35"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010602001001</w:t>
            </w:r>
          </w:p>
        </w:tc>
        <w:tc>
          <w:tcPr>
            <w:tcW w:w="14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钢屋架</w:t>
            </w:r>
          </w:p>
        </w:tc>
        <w:tc>
          <w:tcPr>
            <w:tcW w:w="204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1.钢材品种、规格:Q235-B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2.屋架跨度、安装高度:3.45米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3.除锈:喷砂除锈达到国标Sa2.5级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4.油漆品种、刷漆遍数:灰防锈漆，涂层分底漆、中间漆和面漆，漆膜厚度150μm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5.防火等级要求:二级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6.涂料品种、喷刷遍数:厚涂型防火涂料，涂料厚度40mm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4.036</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14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204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1.名称:钢系杆XG、钢系杆XG-1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2.钢材品种、规格:Q235-B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3.除锈:喷砂除锈达到国标Sa2.5级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4.油漆品种、刷漆遍数:灰防锈漆，涂层分底漆、中间漆和面漆，漆膜厚度150μm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5.防火等级要求:二级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6.涂料品种、喷刷遍数:薄涂型防火涂料</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15.199</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60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4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204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1.钢材品种、规格:Q235-B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2.构件类型:檩条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3.除锈:喷砂除锈达到国标Sa2.5级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4.油漆品种、刷漆遍数:灰防锈漆，涂层分底漆、中间漆和面漆，漆膜厚度150μm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5.防火等级要求:二级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6.涂料品种、喷刷遍数:薄涂型防火涂料</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7.351</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5"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010901003001</w:t>
            </w:r>
          </w:p>
        </w:tc>
        <w:tc>
          <w:tcPr>
            <w:tcW w:w="14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p>
        </w:tc>
        <w:tc>
          <w:tcPr>
            <w:tcW w:w="204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1.阳光板品种、规格:四层多色透明中空阳光板</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528.05</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0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010902001001</w:t>
            </w:r>
          </w:p>
        </w:tc>
        <w:tc>
          <w:tcPr>
            <w:tcW w:w="14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204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1.防水层数:3厚SBS防水卷材(一道)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2.找坡层:30厚C20细石混凝土找平层起始最薄处</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7553" w:type="dxa"/>
            <w:gridSpan w:val="1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4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85" w:hRule="atLeast"/>
        </w:trPr>
        <w:tc>
          <w:tcPr>
            <w:tcW w:w="8662" w:type="dxa"/>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工程量做法及工程量确认单</w:t>
            </w:r>
          </w:p>
        </w:tc>
      </w:tr>
      <w:tr>
        <w:tblPrEx>
          <w:tblCellMar>
            <w:top w:w="0" w:type="dxa"/>
            <w:left w:w="108" w:type="dxa"/>
            <w:bottom w:w="0" w:type="dxa"/>
            <w:right w:w="108" w:type="dxa"/>
          </w:tblCellMar>
        </w:tblPrEx>
        <w:trPr>
          <w:trHeight w:val="375" w:hRule="atLeast"/>
        </w:trPr>
        <w:tc>
          <w:tcPr>
            <w:tcW w:w="363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工程名称：建筑工程</w:t>
            </w:r>
          </w:p>
        </w:tc>
        <w:tc>
          <w:tcPr>
            <w:tcW w:w="3120" w:type="dxa"/>
            <w:gridSpan w:val="6"/>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1912" w:type="dxa"/>
            <w:gridSpan w:val="5"/>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rPr>
          <w:trHeight w:val="360" w:hRule="atLeast"/>
        </w:trPr>
        <w:tc>
          <w:tcPr>
            <w:tcW w:w="41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4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98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8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912"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270" w:hRule="atLeast"/>
        </w:trPr>
        <w:tc>
          <w:tcPr>
            <w:tcW w:w="41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8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3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5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55" w:hRule="atLeast"/>
        </w:trPr>
        <w:tc>
          <w:tcPr>
            <w:tcW w:w="41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8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3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107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010902001002</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1.防水层数:3厚SBS防水卷材(两道)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2.找坡层:30厚C20细石混凝土找平层起始最薄处</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5"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1.排水管品种、规格:（50*200mm）铁皮管、外墙安装</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8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011604002001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立面抹灰层拆除</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2.抹灰层种类:20mm水泥砂浆清洗墙面</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595.85</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8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1.涂饰面层涂料（透明）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2.涂饰底涂料</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595.85</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55"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1.13厚1:0.3：2.5水泥砂浆罩面压实赶光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2.7厚1:6水泥石灰膏砂浆打底扫毛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3.刷界面剂一道</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595.85</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5"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011101005001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自流坪楼地面</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1.面漆材料种类、厚度:3mm环保漆自流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2.垫层：C30细石混凝土50mm</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2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011105001001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水泥砂浆踢脚线</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2.底层厚度、砂浆配合比:8mm 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3.面层厚度、砂浆配合比:12mm 1:2.5水泥砂浆</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1.框、扇材质:断桥铝合金窗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2.玻璃品种、厚度:中空玻璃（4+9A+4）</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5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010802004001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1.门代号及洞口尺寸:FDM1521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2.门框或扇外围尺寸:1500*2100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3.门框、扇材质:防盗门</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开洞</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1.开DN80洞</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01B002</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人工地面开槽及修补</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1.地面开槽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2.宽200mm，深100mm</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trPr>
        <w:tc>
          <w:tcPr>
            <w:tcW w:w="41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1.废弃料品种:建筑垃圾人工清运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2.运距:运至指定地点20km以内</w:t>
            </w:r>
          </w:p>
        </w:tc>
        <w:tc>
          <w:tcPr>
            <w:tcW w:w="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7387" w:type="dxa"/>
            <w:gridSpan w:val="1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5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bl>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tbl>
      <w:tblPr>
        <w:tblStyle w:val="37"/>
        <w:tblW w:w="8722" w:type="dxa"/>
        <w:tblInd w:w="93" w:type="dxa"/>
        <w:shd w:val="clear" w:color="auto" w:fill="auto"/>
        <w:tblLayout w:type="autofit"/>
        <w:tblCellMar>
          <w:top w:w="0" w:type="dxa"/>
          <w:left w:w="108" w:type="dxa"/>
          <w:bottom w:w="0" w:type="dxa"/>
          <w:right w:w="108" w:type="dxa"/>
        </w:tblCellMar>
      </w:tblPr>
      <w:tblGrid>
        <w:gridCol w:w="537"/>
        <w:gridCol w:w="1386"/>
        <w:gridCol w:w="1388"/>
        <w:gridCol w:w="385"/>
        <w:gridCol w:w="1387"/>
        <w:gridCol w:w="727"/>
        <w:gridCol w:w="788"/>
        <w:gridCol w:w="179"/>
        <w:gridCol w:w="622"/>
        <w:gridCol w:w="438"/>
        <w:gridCol w:w="885"/>
      </w:tblGrid>
      <w:tr>
        <w:tblPrEx>
          <w:shd w:val="clear" w:color="auto" w:fill="auto"/>
          <w:tblCellMar>
            <w:top w:w="0" w:type="dxa"/>
            <w:left w:w="108" w:type="dxa"/>
            <w:bottom w:w="0" w:type="dxa"/>
            <w:right w:w="108" w:type="dxa"/>
          </w:tblCellMar>
        </w:tblPrEx>
        <w:trPr>
          <w:trHeight w:val="585" w:hRule="atLeast"/>
        </w:trPr>
        <w:tc>
          <w:tcPr>
            <w:tcW w:w="8722"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工程量做法及工程量确认单</w:t>
            </w:r>
          </w:p>
        </w:tc>
      </w:tr>
      <w:tr>
        <w:tblPrEx>
          <w:tblCellMar>
            <w:top w:w="0" w:type="dxa"/>
            <w:left w:w="108" w:type="dxa"/>
            <w:bottom w:w="0" w:type="dxa"/>
            <w:right w:w="108" w:type="dxa"/>
          </w:tblCellMar>
        </w:tblPrEx>
        <w:trPr>
          <w:trHeight w:val="375" w:hRule="atLeast"/>
        </w:trPr>
        <w:tc>
          <w:tcPr>
            <w:tcW w:w="3696"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工程名称：建筑工程</w:t>
            </w:r>
          </w:p>
        </w:tc>
        <w:tc>
          <w:tcPr>
            <w:tcW w:w="3081" w:type="dxa"/>
            <w:gridSpan w:val="4"/>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1945"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5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3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7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12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15" w:hRule="atLeast"/>
        </w:trPr>
        <w:tc>
          <w:tcPr>
            <w:tcW w:w="5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0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330" w:hRule="atLeast"/>
        </w:trPr>
        <w:tc>
          <w:tcPr>
            <w:tcW w:w="5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70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X011701012001</w:t>
            </w: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装饰装修脚手架</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2.搭、拆脚手架、斜道、上料平台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3.安全网的铺设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4.拆除脚手架后材料的堆放</w:t>
            </w: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1.机械设备名称:轮胎式起重机</w:t>
            </w: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5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739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739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宋体" w:hAnsi="宋体" w:eastAsia="宋体" w:cs="宋体"/>
          <w:b w:val="0"/>
          <w:bCs/>
          <w:color w:val="auto"/>
          <w:sz w:val="32"/>
          <w:szCs w:val="32"/>
          <w:lang w:val="en-US" w:eastAsia="zh-CN"/>
        </w:rPr>
      </w:pPr>
    </w:p>
    <w:tbl>
      <w:tblPr>
        <w:tblStyle w:val="37"/>
        <w:tblW w:w="9450" w:type="dxa"/>
        <w:tblInd w:w="93" w:type="dxa"/>
        <w:shd w:val="clear" w:color="auto" w:fill="auto"/>
        <w:tblLayout w:type="fixed"/>
        <w:tblCellMar>
          <w:top w:w="0" w:type="dxa"/>
          <w:left w:w="108" w:type="dxa"/>
          <w:bottom w:w="0" w:type="dxa"/>
          <w:right w:w="108" w:type="dxa"/>
        </w:tblCellMar>
      </w:tblPr>
      <w:tblGrid>
        <w:gridCol w:w="428"/>
        <w:gridCol w:w="1440"/>
        <w:gridCol w:w="1860"/>
        <w:gridCol w:w="2220"/>
        <w:gridCol w:w="690"/>
        <w:gridCol w:w="688"/>
        <w:gridCol w:w="658"/>
        <w:gridCol w:w="838"/>
        <w:gridCol w:w="628"/>
      </w:tblGrid>
      <w:tr>
        <w:tblPrEx>
          <w:shd w:val="clear" w:color="auto" w:fill="auto"/>
          <w:tblCellMar>
            <w:top w:w="0" w:type="dxa"/>
            <w:left w:w="108" w:type="dxa"/>
            <w:bottom w:w="0" w:type="dxa"/>
            <w:right w:w="108" w:type="dxa"/>
          </w:tblCellMar>
        </w:tblPrEx>
        <w:trPr>
          <w:trHeight w:val="585" w:hRule="atLeast"/>
        </w:trPr>
        <w:tc>
          <w:tcPr>
            <w:tcW w:w="945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总价措施项目清单与计价表</w:t>
            </w:r>
          </w:p>
        </w:tc>
      </w:tr>
      <w:tr>
        <w:tblPrEx>
          <w:tblCellMar>
            <w:top w:w="0" w:type="dxa"/>
            <w:left w:w="108" w:type="dxa"/>
            <w:bottom w:w="0" w:type="dxa"/>
            <w:right w:w="108" w:type="dxa"/>
          </w:tblCellMar>
        </w:tblPrEx>
        <w:trPr>
          <w:trHeight w:val="735" w:hRule="atLeast"/>
        </w:trPr>
        <w:tc>
          <w:tcPr>
            <w:tcW w:w="3728"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工程名称：建筑工程</w:t>
            </w:r>
          </w:p>
        </w:tc>
        <w:tc>
          <w:tcPr>
            <w:tcW w:w="3598"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124"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510" w:hRule="atLeast"/>
        </w:trPr>
        <w:tc>
          <w:tcPr>
            <w:tcW w:w="42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2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68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6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调整费率(%)</w:t>
            </w:r>
          </w:p>
        </w:tc>
        <w:tc>
          <w:tcPr>
            <w:tcW w:w="8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调整后金额(元)</w:t>
            </w:r>
          </w:p>
        </w:tc>
        <w:tc>
          <w:tcPr>
            <w:tcW w:w="62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31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0"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其中：环境保护费、文明施工费、安全防护费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其中：临时设施费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10" w:lineRule="exac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011707003001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非夜间施工照明</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10" w:lineRule="exac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011707004001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70"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011707005001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011707006001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地上、地下设施、建筑物的临时保护设施</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10" w:lineRule="exac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10"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011707007001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工程定位复测、点交清理费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生产工具用具使用费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1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X011707010001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检验试验费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8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X011707011001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特殊地区增加费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10" w:lineRule="exac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4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2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638"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8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3728"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598"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CellMar>
            <w:top w:w="0" w:type="dxa"/>
            <w:left w:w="108" w:type="dxa"/>
            <w:bottom w:w="0" w:type="dxa"/>
            <w:right w:w="108" w:type="dxa"/>
          </w:tblCellMar>
        </w:tblPrEx>
        <w:trPr>
          <w:trHeight w:val="960" w:hRule="atLeast"/>
        </w:trPr>
        <w:tc>
          <w:tcPr>
            <w:tcW w:w="9450"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8460" w:type="dxa"/>
        <w:tblInd w:w="93" w:type="dxa"/>
        <w:shd w:val="clear" w:color="auto" w:fill="auto"/>
        <w:tblLayout w:type="fixed"/>
        <w:tblCellMar>
          <w:top w:w="0" w:type="dxa"/>
          <w:left w:w="108" w:type="dxa"/>
          <w:bottom w:w="0" w:type="dxa"/>
          <w:right w:w="108" w:type="dxa"/>
        </w:tblCellMar>
      </w:tblPr>
      <w:tblGrid>
        <w:gridCol w:w="638"/>
        <w:gridCol w:w="1920"/>
        <w:gridCol w:w="3315"/>
        <w:gridCol w:w="690"/>
        <w:gridCol w:w="922"/>
        <w:gridCol w:w="975"/>
      </w:tblGrid>
      <w:tr>
        <w:tblPrEx>
          <w:shd w:val="clear" w:color="auto" w:fill="auto"/>
          <w:tblCellMar>
            <w:top w:w="0" w:type="dxa"/>
            <w:left w:w="108" w:type="dxa"/>
            <w:bottom w:w="0" w:type="dxa"/>
            <w:right w:w="108" w:type="dxa"/>
          </w:tblCellMar>
        </w:tblPrEx>
        <w:trPr>
          <w:trHeight w:val="585" w:hRule="atLeast"/>
        </w:trPr>
        <w:tc>
          <w:tcPr>
            <w:tcW w:w="84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规费、税金项目计价表</w:t>
            </w:r>
          </w:p>
        </w:tc>
      </w:tr>
      <w:tr>
        <w:tblPrEx>
          <w:tblCellMar>
            <w:top w:w="0" w:type="dxa"/>
            <w:left w:w="108" w:type="dxa"/>
            <w:bottom w:w="0" w:type="dxa"/>
            <w:right w:w="108" w:type="dxa"/>
          </w:tblCellMar>
        </w:tblPrEx>
        <w:trPr>
          <w:trHeight w:val="735" w:hRule="atLeast"/>
        </w:trPr>
        <w:tc>
          <w:tcPr>
            <w:tcW w:w="2558"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工程名称：建筑工程</w:t>
            </w:r>
          </w:p>
        </w:tc>
        <w:tc>
          <w:tcPr>
            <w:tcW w:w="4005"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897" w:type="dxa"/>
            <w:gridSpan w:val="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rPr>
          <w:trHeight w:val="330" w:hRule="atLeast"/>
        </w:trPr>
        <w:tc>
          <w:tcPr>
            <w:tcW w:w="63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3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  基数</w:t>
            </w:r>
          </w:p>
        </w:tc>
        <w:tc>
          <w:tcPr>
            <w:tcW w:w="9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p>
        </w:tc>
        <w:tc>
          <w:tcPr>
            <w:tcW w:w="9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工程排污费+社会保险费+住房公积金+大型机械检测检验费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9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养老保险费+失业保险费+医疗保险费+生育保险费+工伤保险费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生育保险费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大型机械检测检验费</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大型机械检测检验费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分部分项工程费+措施工程费+其他项目费+规费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7485"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2558"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00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97"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7875" w:type="dxa"/>
        <w:tblInd w:w="93" w:type="dxa"/>
        <w:shd w:val="clear" w:color="auto" w:fill="auto"/>
        <w:tblLayout w:type="autofit"/>
        <w:tblCellMar>
          <w:top w:w="0" w:type="dxa"/>
          <w:left w:w="108" w:type="dxa"/>
          <w:bottom w:w="0" w:type="dxa"/>
          <w:right w:w="108" w:type="dxa"/>
        </w:tblCellMar>
      </w:tblPr>
      <w:tblGrid>
        <w:gridCol w:w="833"/>
        <w:gridCol w:w="2392"/>
        <w:gridCol w:w="2010"/>
        <w:gridCol w:w="930"/>
        <w:gridCol w:w="1710"/>
      </w:tblGrid>
      <w:tr>
        <w:tblPrEx>
          <w:shd w:val="clear" w:color="auto" w:fill="auto"/>
          <w:tblCellMar>
            <w:top w:w="0" w:type="dxa"/>
            <w:left w:w="108" w:type="dxa"/>
            <w:bottom w:w="0" w:type="dxa"/>
            <w:right w:w="108" w:type="dxa"/>
          </w:tblCellMar>
        </w:tblPrEx>
        <w:trPr>
          <w:trHeight w:val="585" w:hRule="atLeast"/>
        </w:trPr>
        <w:tc>
          <w:tcPr>
            <w:tcW w:w="7875"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单位工程投标报价汇总表</w:t>
            </w:r>
          </w:p>
        </w:tc>
      </w:tr>
      <w:tr>
        <w:tblPrEx>
          <w:tblCellMar>
            <w:top w:w="0" w:type="dxa"/>
            <w:left w:w="108" w:type="dxa"/>
            <w:bottom w:w="0" w:type="dxa"/>
            <w:right w:w="108" w:type="dxa"/>
          </w:tblCellMar>
        </w:tblPrEx>
        <w:trPr>
          <w:trHeight w:val="510" w:hRule="atLeast"/>
        </w:trPr>
        <w:tc>
          <w:tcPr>
            <w:tcW w:w="3225"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工程名称：电气设备安装工程</w:t>
            </w:r>
          </w:p>
        </w:tc>
        <w:tc>
          <w:tcPr>
            <w:tcW w:w="294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10"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450" w:hRule="atLeast"/>
        </w:trPr>
        <w:tc>
          <w:tcPr>
            <w:tcW w:w="83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40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汇总内容</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71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其中：暂估价(元)</w:t>
            </w: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措施工程费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其中：安全文明施工费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5235"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投标报价合计=一+二+三+四+五</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0" w:hRule="atLeast"/>
        </w:trPr>
        <w:tc>
          <w:tcPr>
            <w:tcW w:w="7875"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8685" w:type="dxa"/>
        <w:tblInd w:w="93" w:type="dxa"/>
        <w:shd w:val="clear" w:color="auto" w:fill="auto"/>
        <w:tblLayout w:type="fixed"/>
        <w:tblCellMar>
          <w:top w:w="0" w:type="dxa"/>
          <w:left w:w="108" w:type="dxa"/>
          <w:bottom w:w="0" w:type="dxa"/>
          <w:right w:w="108" w:type="dxa"/>
        </w:tblCellMar>
      </w:tblPr>
      <w:tblGrid>
        <w:gridCol w:w="450"/>
        <w:gridCol w:w="1343"/>
        <w:gridCol w:w="1485"/>
        <w:gridCol w:w="652"/>
        <w:gridCol w:w="1598"/>
        <w:gridCol w:w="420"/>
        <w:gridCol w:w="847"/>
        <w:gridCol w:w="180"/>
        <w:gridCol w:w="450"/>
        <w:gridCol w:w="383"/>
        <w:gridCol w:w="877"/>
      </w:tblGrid>
      <w:tr>
        <w:tblPrEx>
          <w:shd w:val="clear" w:color="auto" w:fill="auto"/>
          <w:tblCellMar>
            <w:top w:w="0" w:type="dxa"/>
            <w:left w:w="108" w:type="dxa"/>
            <w:bottom w:w="0" w:type="dxa"/>
            <w:right w:w="108" w:type="dxa"/>
          </w:tblCellMar>
        </w:tblPrEx>
        <w:trPr>
          <w:trHeight w:val="585" w:hRule="atLeast"/>
        </w:trPr>
        <w:tc>
          <w:tcPr>
            <w:tcW w:w="868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工程量做法及工程量确认单</w:t>
            </w:r>
          </w:p>
        </w:tc>
      </w:tr>
      <w:tr>
        <w:tblPrEx>
          <w:tblCellMar>
            <w:top w:w="0" w:type="dxa"/>
            <w:left w:w="108" w:type="dxa"/>
            <w:bottom w:w="0" w:type="dxa"/>
            <w:right w:w="108" w:type="dxa"/>
          </w:tblCellMar>
        </w:tblPrEx>
        <w:trPr>
          <w:trHeight w:val="375" w:hRule="atLeast"/>
        </w:trPr>
        <w:tc>
          <w:tcPr>
            <w:tcW w:w="3930"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工程名称：电气设备安装工程</w:t>
            </w:r>
          </w:p>
        </w:tc>
        <w:tc>
          <w:tcPr>
            <w:tcW w:w="3045" w:type="dxa"/>
            <w:gridSpan w:val="4"/>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1710"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45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2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8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89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255" w:hRule="atLeast"/>
        </w:trPr>
        <w:tc>
          <w:tcPr>
            <w:tcW w:w="4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85" w:hRule="atLeast"/>
        </w:trPr>
        <w:tc>
          <w:tcPr>
            <w:tcW w:w="4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2.材质:DN32PVC管</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4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2.材质:DN20PVC管</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4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2.材质:DN16PVC管</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1.规格:开槽DN20</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1.规格:开槽DN32</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2.型号:BV-6.0</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794.75</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2.型号:BV-4.0</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347.8</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1.名称:电力电缆带凯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2.型号:3*35+1电缆线</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低压成套配电箱</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1.名称:配电箱</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9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2.规格:KG31/1/2B 250V,16A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3.安装方式:装高底距地1.4m，距门边0.2m</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1.名称:空调专用插座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2.安装方式:装高底距地1.4m，距门边0.2m</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0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1.名称:安全型二三极双联暗插座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2.规格:KG426/10USL 250V,16A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3.安装方式:距地0.4米</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7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1.名称:厂房灯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2.型号:铁罩LED灯200瓦</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5"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1.名称:送配电装置系统</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80" w:hRule="atLeast"/>
        </w:trPr>
        <w:tc>
          <w:tcPr>
            <w:tcW w:w="4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3.拆除脚手架后材料堆放</w:t>
            </w:r>
          </w:p>
        </w:tc>
        <w:tc>
          <w:tcPr>
            <w:tcW w:w="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742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8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8962" w:type="dxa"/>
        <w:tblInd w:w="93" w:type="dxa"/>
        <w:shd w:val="clear" w:color="auto" w:fill="auto"/>
        <w:tblLayout w:type="autofit"/>
        <w:tblCellMar>
          <w:top w:w="0" w:type="dxa"/>
          <w:left w:w="108" w:type="dxa"/>
          <w:bottom w:w="0" w:type="dxa"/>
          <w:right w:w="108" w:type="dxa"/>
        </w:tblCellMar>
      </w:tblPr>
      <w:tblGrid>
        <w:gridCol w:w="554"/>
        <w:gridCol w:w="1386"/>
        <w:gridCol w:w="1655"/>
        <w:gridCol w:w="268"/>
        <w:gridCol w:w="1862"/>
        <w:gridCol w:w="763"/>
        <w:gridCol w:w="585"/>
        <w:gridCol w:w="584"/>
        <w:gridCol w:w="780"/>
        <w:gridCol w:w="525"/>
      </w:tblGrid>
      <w:tr>
        <w:tblPrEx>
          <w:shd w:val="clear" w:color="auto" w:fill="auto"/>
          <w:tblCellMar>
            <w:top w:w="0" w:type="dxa"/>
            <w:left w:w="108" w:type="dxa"/>
            <w:bottom w:w="0" w:type="dxa"/>
            <w:right w:w="108" w:type="dxa"/>
          </w:tblCellMar>
        </w:tblPrEx>
        <w:trPr>
          <w:trHeight w:val="585" w:hRule="atLeast"/>
        </w:trPr>
        <w:tc>
          <w:tcPr>
            <w:tcW w:w="8962"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总价措施项目清单与计价表</w:t>
            </w:r>
          </w:p>
        </w:tc>
      </w:tr>
      <w:tr>
        <w:tblPrEx>
          <w:tblCellMar>
            <w:top w:w="0" w:type="dxa"/>
            <w:left w:w="108" w:type="dxa"/>
            <w:bottom w:w="0" w:type="dxa"/>
            <w:right w:w="108" w:type="dxa"/>
          </w:tblCellMar>
        </w:tblPrEx>
        <w:trPr>
          <w:trHeight w:val="735" w:hRule="atLeast"/>
        </w:trPr>
        <w:tc>
          <w:tcPr>
            <w:tcW w:w="359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工程名称：电气设备安装工程</w:t>
            </w:r>
          </w:p>
        </w:tc>
        <w:tc>
          <w:tcPr>
            <w:tcW w:w="3478"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889" w:type="dxa"/>
            <w:gridSpan w:val="3"/>
            <w:tcBorders>
              <w:top w:val="nil"/>
              <w:left w:val="nil"/>
              <w:bottom w:val="nil"/>
              <w:right w:val="nil"/>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510" w:hRule="atLeast"/>
        </w:trPr>
        <w:tc>
          <w:tcPr>
            <w:tcW w:w="55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9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8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7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5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58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调整费率(%)</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调整后金额(元)</w:t>
            </w:r>
          </w:p>
        </w:tc>
        <w:tc>
          <w:tcPr>
            <w:tcW w:w="52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031302001001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其中：临时设施费</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031302002001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031302003001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非夜间施工增加</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031302004001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031302006001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X031302008001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工程定位复测、点交清理费</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X031302009001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生产工具用具使用费</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X031302010001</w:t>
            </w: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检验试验费</w:t>
            </w: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88"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58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359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478" w:type="dxa"/>
            <w:gridSpan w:val="4"/>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8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CellMar>
            <w:top w:w="0" w:type="dxa"/>
            <w:left w:w="108" w:type="dxa"/>
            <w:bottom w:w="0" w:type="dxa"/>
            <w:right w:w="108" w:type="dxa"/>
          </w:tblCellMar>
        </w:tblPrEx>
        <w:trPr>
          <w:trHeight w:val="960" w:hRule="atLeast"/>
        </w:trPr>
        <w:tc>
          <w:tcPr>
            <w:tcW w:w="8962"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8820" w:type="dxa"/>
        <w:tblInd w:w="93" w:type="dxa"/>
        <w:shd w:val="clear" w:color="auto" w:fill="auto"/>
        <w:tblLayout w:type="autofit"/>
        <w:tblCellMar>
          <w:top w:w="0" w:type="dxa"/>
          <w:left w:w="108" w:type="dxa"/>
          <w:bottom w:w="0" w:type="dxa"/>
          <w:right w:w="108" w:type="dxa"/>
        </w:tblCellMar>
      </w:tblPr>
      <w:tblGrid>
        <w:gridCol w:w="645"/>
        <w:gridCol w:w="2055"/>
        <w:gridCol w:w="3143"/>
        <w:gridCol w:w="847"/>
        <w:gridCol w:w="15"/>
        <w:gridCol w:w="1080"/>
        <w:gridCol w:w="1035"/>
      </w:tblGrid>
      <w:tr>
        <w:tblPrEx>
          <w:shd w:val="clear" w:color="auto" w:fill="auto"/>
          <w:tblCellMar>
            <w:top w:w="0" w:type="dxa"/>
            <w:left w:w="108" w:type="dxa"/>
            <w:bottom w:w="0" w:type="dxa"/>
            <w:right w:w="108" w:type="dxa"/>
          </w:tblCellMar>
        </w:tblPrEx>
        <w:trPr>
          <w:trHeight w:val="585" w:hRule="atLeast"/>
        </w:trPr>
        <w:tc>
          <w:tcPr>
            <w:tcW w:w="88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规费、税金项目计价表</w:t>
            </w:r>
          </w:p>
        </w:tc>
      </w:tr>
      <w:tr>
        <w:tblPrEx>
          <w:tblCellMar>
            <w:top w:w="0" w:type="dxa"/>
            <w:left w:w="108" w:type="dxa"/>
            <w:bottom w:w="0" w:type="dxa"/>
            <w:right w:w="108" w:type="dxa"/>
          </w:tblCellMar>
        </w:tblPrEx>
        <w:trPr>
          <w:trHeight w:val="735" w:hRule="atLeast"/>
        </w:trPr>
        <w:tc>
          <w:tcPr>
            <w:tcW w:w="270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工程名称：电气设备安装工程</w:t>
            </w:r>
          </w:p>
        </w:tc>
        <w:tc>
          <w:tcPr>
            <w:tcW w:w="399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13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330" w:hRule="atLeast"/>
        </w:trPr>
        <w:tc>
          <w:tcPr>
            <w:tcW w:w="6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4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86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  基数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p>
        </w:tc>
        <w:tc>
          <w:tcPr>
            <w:tcW w:w="10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51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工程排污费+社会保险费+住房公积金+大型机械检测检验费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养老保险费+失业保险费+医疗保险费+生育保险费+工伤保险费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生育保险费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大型机械检测检验费</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分部分项工程费+措施工程费+其他项目费+规费</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7785"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270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99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30"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8340" w:type="dxa"/>
        <w:tblInd w:w="93" w:type="dxa"/>
        <w:shd w:val="clear" w:color="auto" w:fill="auto"/>
        <w:tblLayout w:type="autofit"/>
        <w:tblCellMar>
          <w:top w:w="0" w:type="dxa"/>
          <w:left w:w="108" w:type="dxa"/>
          <w:bottom w:w="0" w:type="dxa"/>
          <w:right w:w="108" w:type="dxa"/>
        </w:tblCellMar>
      </w:tblPr>
      <w:tblGrid>
        <w:gridCol w:w="1170"/>
        <w:gridCol w:w="2292"/>
        <w:gridCol w:w="149"/>
        <w:gridCol w:w="2579"/>
        <w:gridCol w:w="156"/>
        <w:gridCol w:w="1994"/>
      </w:tblGrid>
      <w:tr>
        <w:tblPrEx>
          <w:shd w:val="clear" w:color="auto" w:fill="auto"/>
          <w:tblCellMar>
            <w:top w:w="0" w:type="dxa"/>
            <w:left w:w="108" w:type="dxa"/>
            <w:bottom w:w="0" w:type="dxa"/>
            <w:right w:w="108" w:type="dxa"/>
          </w:tblCellMar>
        </w:tblPrEx>
        <w:trPr>
          <w:trHeight w:val="585" w:hRule="atLeast"/>
        </w:trPr>
        <w:tc>
          <w:tcPr>
            <w:tcW w:w="83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单位工程投标报价汇总表</w:t>
            </w:r>
          </w:p>
        </w:tc>
      </w:tr>
      <w:tr>
        <w:tblPrEx>
          <w:tblCellMar>
            <w:top w:w="0" w:type="dxa"/>
            <w:left w:w="108" w:type="dxa"/>
            <w:bottom w:w="0" w:type="dxa"/>
            <w:right w:w="108" w:type="dxa"/>
          </w:tblCellMar>
        </w:tblPrEx>
        <w:trPr>
          <w:trHeight w:val="510" w:hRule="atLeast"/>
        </w:trPr>
        <w:tc>
          <w:tcPr>
            <w:tcW w:w="3462"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工程名称：给排水工程</w:t>
            </w:r>
          </w:p>
        </w:tc>
        <w:tc>
          <w:tcPr>
            <w:tcW w:w="2728"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150"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450" w:hRule="atLeast"/>
        </w:trPr>
        <w:tc>
          <w:tcPr>
            <w:tcW w:w="117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4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汇总内容</w:t>
            </w:r>
          </w:p>
        </w:tc>
        <w:tc>
          <w:tcPr>
            <w:tcW w:w="27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99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其中：暂估价(元)</w:t>
            </w: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措施工程费</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其中：安全文明施工费</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3611"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投标报价合计=一+二+三+四+五</w:t>
            </w:r>
          </w:p>
        </w:tc>
        <w:tc>
          <w:tcPr>
            <w:tcW w:w="27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0" w:hRule="atLeast"/>
        </w:trPr>
        <w:tc>
          <w:tcPr>
            <w:tcW w:w="834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8888" w:type="dxa"/>
        <w:tblInd w:w="93" w:type="dxa"/>
        <w:shd w:val="clear" w:color="auto" w:fill="auto"/>
        <w:tblLayout w:type="autofit"/>
        <w:tblCellMar>
          <w:top w:w="0" w:type="dxa"/>
          <w:left w:w="108" w:type="dxa"/>
          <w:bottom w:w="0" w:type="dxa"/>
          <w:right w:w="108" w:type="dxa"/>
        </w:tblCellMar>
      </w:tblPr>
      <w:tblGrid>
        <w:gridCol w:w="628"/>
        <w:gridCol w:w="1296"/>
        <w:gridCol w:w="1508"/>
        <w:gridCol w:w="454"/>
        <w:gridCol w:w="1597"/>
        <w:gridCol w:w="854"/>
        <w:gridCol w:w="673"/>
        <w:gridCol w:w="210"/>
        <w:gridCol w:w="393"/>
        <w:gridCol w:w="435"/>
        <w:gridCol w:w="840"/>
      </w:tblGrid>
      <w:tr>
        <w:tblPrEx>
          <w:shd w:val="clear" w:color="auto" w:fill="auto"/>
          <w:tblCellMar>
            <w:top w:w="0" w:type="dxa"/>
            <w:left w:w="108" w:type="dxa"/>
            <w:bottom w:w="0" w:type="dxa"/>
            <w:right w:w="108" w:type="dxa"/>
          </w:tblCellMar>
        </w:tblPrEx>
        <w:trPr>
          <w:trHeight w:val="585" w:hRule="atLeast"/>
        </w:trPr>
        <w:tc>
          <w:tcPr>
            <w:tcW w:w="8888"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工程量做法及工程量确认单</w:t>
            </w:r>
          </w:p>
        </w:tc>
      </w:tr>
      <w:tr>
        <w:tblPrEx>
          <w:tblCellMar>
            <w:top w:w="0" w:type="dxa"/>
            <w:left w:w="108" w:type="dxa"/>
            <w:bottom w:w="0" w:type="dxa"/>
            <w:right w:w="108" w:type="dxa"/>
          </w:tblCellMar>
        </w:tblPrEx>
        <w:trPr>
          <w:trHeight w:val="375" w:hRule="atLeast"/>
        </w:trPr>
        <w:tc>
          <w:tcPr>
            <w:tcW w:w="3886"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工程名称：给排水工程</w:t>
            </w:r>
          </w:p>
        </w:tc>
        <w:tc>
          <w:tcPr>
            <w:tcW w:w="3334" w:type="dxa"/>
            <w:gridSpan w:val="4"/>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1668"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rPr>
          <w:trHeight w:val="360" w:hRule="atLeast"/>
        </w:trPr>
        <w:tc>
          <w:tcPr>
            <w:tcW w:w="62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5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5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8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87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60"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360"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031004014001</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1.类型:雨水斗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03B001</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下水口封堵</w:t>
            </w: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1.下水口封堵</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031001006001</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1.拆除DN32 PPR管</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2.材质、规格:PPR32管</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85"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3.拆除脚手架后材料堆放</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7613"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761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9353" w:type="dxa"/>
        <w:tblInd w:w="93" w:type="dxa"/>
        <w:shd w:val="clear" w:color="auto" w:fill="auto"/>
        <w:tblLayout w:type="autofit"/>
        <w:tblCellMar>
          <w:top w:w="0" w:type="dxa"/>
          <w:left w:w="108" w:type="dxa"/>
          <w:bottom w:w="0" w:type="dxa"/>
          <w:right w:w="108" w:type="dxa"/>
        </w:tblCellMar>
      </w:tblPr>
      <w:tblGrid>
        <w:gridCol w:w="578"/>
        <w:gridCol w:w="1515"/>
        <w:gridCol w:w="1845"/>
        <w:gridCol w:w="281"/>
        <w:gridCol w:w="1489"/>
        <w:gridCol w:w="735"/>
        <w:gridCol w:w="705"/>
        <w:gridCol w:w="810"/>
        <w:gridCol w:w="900"/>
        <w:gridCol w:w="495"/>
      </w:tblGrid>
      <w:tr>
        <w:tblPrEx>
          <w:shd w:val="clear" w:color="auto" w:fill="auto"/>
          <w:tblCellMar>
            <w:top w:w="0" w:type="dxa"/>
            <w:left w:w="108" w:type="dxa"/>
            <w:bottom w:w="0" w:type="dxa"/>
            <w:right w:w="108" w:type="dxa"/>
          </w:tblCellMar>
        </w:tblPrEx>
        <w:trPr>
          <w:trHeight w:val="585" w:hRule="atLeast"/>
        </w:trPr>
        <w:tc>
          <w:tcPr>
            <w:tcW w:w="9353"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总价措施项目清单与计价表</w:t>
            </w:r>
          </w:p>
        </w:tc>
      </w:tr>
      <w:tr>
        <w:tblPrEx>
          <w:tblCellMar>
            <w:top w:w="0" w:type="dxa"/>
            <w:left w:w="108" w:type="dxa"/>
            <w:bottom w:w="0" w:type="dxa"/>
            <w:right w:w="108" w:type="dxa"/>
          </w:tblCellMar>
        </w:tblPrEx>
        <w:trPr>
          <w:trHeight w:val="735" w:hRule="atLeast"/>
        </w:trPr>
        <w:tc>
          <w:tcPr>
            <w:tcW w:w="4219"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工程名称：给排水工程</w:t>
            </w:r>
          </w:p>
        </w:tc>
        <w:tc>
          <w:tcPr>
            <w:tcW w:w="292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510" w:hRule="atLeast"/>
        </w:trPr>
        <w:tc>
          <w:tcPr>
            <w:tcW w:w="57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77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7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7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8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调整费率(%)</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调整后金额(元)</w:t>
            </w:r>
          </w:p>
        </w:tc>
        <w:tc>
          <w:tcPr>
            <w:tcW w:w="4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031302001001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其中：临时设施费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031302002001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031302003001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非夜间施工增加</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031302004001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031302006001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X031302008001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工程定位复测、点交清理费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X031302009001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生产工具用具使用费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X031302010001</w:t>
            </w: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检验试验费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5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6443"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4219"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929"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0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CellMar>
            <w:top w:w="0" w:type="dxa"/>
            <w:left w:w="108" w:type="dxa"/>
            <w:bottom w:w="0" w:type="dxa"/>
            <w:right w:w="108" w:type="dxa"/>
          </w:tblCellMar>
        </w:tblPrEx>
        <w:trPr>
          <w:trHeight w:val="960" w:hRule="atLeast"/>
        </w:trPr>
        <w:tc>
          <w:tcPr>
            <w:tcW w:w="935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tabs>
          <w:tab w:val="left" w:pos="4965"/>
        </w:tabs>
        <w:adjustRightInd w:val="0"/>
        <w:spacing w:line="360" w:lineRule="auto"/>
        <w:jc w:val="center"/>
        <w:rPr>
          <w:rFonts w:hint="eastAsia" w:ascii="宋体" w:hAnsi="宋体" w:cs="宋体"/>
          <w:b w:val="0"/>
          <w:bCs/>
          <w:color w:val="auto"/>
          <w:sz w:val="24"/>
          <w:szCs w:val="24"/>
          <w:lang w:val="en-US" w:eastAsia="zh-CN"/>
        </w:rPr>
      </w:pPr>
    </w:p>
    <w:p>
      <w:pPr>
        <w:tabs>
          <w:tab w:val="left" w:pos="4965"/>
        </w:tabs>
        <w:adjustRightInd w:val="0"/>
        <w:spacing w:line="360" w:lineRule="auto"/>
        <w:jc w:val="center"/>
        <w:rPr>
          <w:rFonts w:hint="eastAsia" w:ascii="宋体" w:hAnsi="宋体" w:cs="宋体"/>
          <w:b w:val="0"/>
          <w:bCs/>
          <w:color w:val="auto"/>
          <w:sz w:val="24"/>
          <w:szCs w:val="24"/>
          <w:lang w:val="en-US" w:eastAsia="zh-CN"/>
        </w:rPr>
      </w:pPr>
    </w:p>
    <w:tbl>
      <w:tblPr>
        <w:tblStyle w:val="37"/>
        <w:tblW w:w="9353" w:type="dxa"/>
        <w:tblInd w:w="93" w:type="dxa"/>
        <w:shd w:val="clear" w:color="auto" w:fill="auto"/>
        <w:tblLayout w:type="autofit"/>
        <w:tblCellMar>
          <w:top w:w="0" w:type="dxa"/>
          <w:left w:w="108" w:type="dxa"/>
          <w:bottom w:w="0" w:type="dxa"/>
          <w:right w:w="108" w:type="dxa"/>
        </w:tblCellMar>
      </w:tblPr>
      <w:tblGrid>
        <w:gridCol w:w="751"/>
        <w:gridCol w:w="1979"/>
        <w:gridCol w:w="3447"/>
        <w:gridCol w:w="956"/>
        <w:gridCol w:w="139"/>
        <w:gridCol w:w="1076"/>
        <w:gridCol w:w="1005"/>
      </w:tblGrid>
      <w:tr>
        <w:tblPrEx>
          <w:shd w:val="clear" w:color="auto" w:fill="auto"/>
          <w:tblCellMar>
            <w:top w:w="0" w:type="dxa"/>
            <w:left w:w="108" w:type="dxa"/>
            <w:bottom w:w="0" w:type="dxa"/>
            <w:right w:w="108" w:type="dxa"/>
          </w:tblCellMar>
        </w:tblPrEx>
        <w:trPr>
          <w:trHeight w:val="585" w:hRule="atLeast"/>
        </w:trPr>
        <w:tc>
          <w:tcPr>
            <w:tcW w:w="9353"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8"/>
                <w:szCs w:val="28"/>
                <w:u w:val="none"/>
                <w:lang w:val="en-US" w:eastAsia="zh-CN" w:bidi="ar"/>
              </w:rPr>
              <w:t>规费、税金项目计价表</w:t>
            </w:r>
          </w:p>
        </w:tc>
      </w:tr>
      <w:tr>
        <w:tblPrEx>
          <w:tblCellMar>
            <w:top w:w="0" w:type="dxa"/>
            <w:left w:w="108" w:type="dxa"/>
            <w:bottom w:w="0" w:type="dxa"/>
            <w:right w:w="108" w:type="dxa"/>
          </w:tblCellMar>
        </w:tblPrEx>
        <w:trPr>
          <w:trHeight w:val="600" w:hRule="atLeast"/>
        </w:trPr>
        <w:tc>
          <w:tcPr>
            <w:tcW w:w="273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工程名称：给排水工程</w:t>
            </w:r>
          </w:p>
        </w:tc>
        <w:tc>
          <w:tcPr>
            <w:tcW w:w="4542"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081"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330" w:hRule="atLeast"/>
        </w:trPr>
        <w:tc>
          <w:tcPr>
            <w:tcW w:w="7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4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95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计算基数</w:t>
            </w:r>
          </w:p>
        </w:tc>
        <w:tc>
          <w:tcPr>
            <w:tcW w:w="12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p>
        </w:tc>
        <w:tc>
          <w:tcPr>
            <w:tcW w:w="100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510"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工程排污费+社会保险费+住房公积金+大型机械检测检验费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养老保险费+失业保险费+医疗保险费+生育保险费+工伤保险费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生育保险费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大型机械检测检验费</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分部分项工程费+措施工程费+其他项目费+规费</w:t>
            </w: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2730"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542"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81" w:type="dxa"/>
            <w:gridSpan w:val="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pStyle w:val="26"/>
        <w:widowControl w:val="0"/>
        <w:numPr>
          <w:ilvl w:val="0"/>
          <w:numId w:val="0"/>
        </w:numPr>
        <w:snapToGrid w:val="0"/>
        <w:jc w:val="left"/>
        <w:rPr>
          <w:rFonts w:hint="eastAsia" w:ascii="宋体" w:hAnsi="宋体" w:eastAsia="宋体" w:cs="宋体"/>
          <w:b w:val="0"/>
          <w:bCs/>
          <w:lang w:val="en-US" w:eastAsia="zh-CN"/>
        </w:rPr>
      </w:pPr>
    </w:p>
    <w:p>
      <w:pPr>
        <w:keepNext w:val="0"/>
        <w:keepLines w:val="0"/>
        <w:pageBreakBefore w:val="0"/>
        <w:widowControl w:val="0"/>
        <w:tabs>
          <w:tab w:val="left" w:pos="4965"/>
        </w:tabs>
        <w:kinsoku/>
        <w:wordWrap/>
        <w:overflowPunct/>
        <w:topLinePunct w:val="0"/>
        <w:bidi w:val="0"/>
        <w:adjustRightInd w:val="0"/>
        <w:snapToGrid/>
        <w:spacing w:line="340" w:lineRule="exact"/>
        <w:jc w:val="center"/>
        <w:textAlignment w:val="auto"/>
        <w:rPr>
          <w:rFonts w:hint="eastAsia" w:ascii="宋体" w:hAnsi="宋体"/>
          <w:b w:val="0"/>
          <w:bCs/>
          <w:sz w:val="24"/>
          <w:szCs w:val="24"/>
          <w:lang w:val="en-US" w:eastAsia="zh-CN"/>
        </w:rPr>
      </w:pPr>
    </w:p>
    <w:p>
      <w:pPr>
        <w:keepNext w:val="0"/>
        <w:keepLines w:val="0"/>
        <w:pageBreakBefore w:val="0"/>
        <w:widowControl w:val="0"/>
        <w:tabs>
          <w:tab w:val="left" w:pos="4965"/>
        </w:tabs>
        <w:kinsoku/>
        <w:wordWrap/>
        <w:overflowPunct/>
        <w:topLinePunct w:val="0"/>
        <w:bidi w:val="0"/>
        <w:adjustRightInd w:val="0"/>
        <w:snapToGrid/>
        <w:spacing w:line="340" w:lineRule="exact"/>
        <w:jc w:val="center"/>
        <w:textAlignment w:val="auto"/>
        <w:rPr>
          <w:rFonts w:hint="eastAsia" w:ascii="宋体" w:hAnsi="宋体"/>
          <w:b w:val="0"/>
          <w:bCs/>
          <w:sz w:val="21"/>
          <w:szCs w:val="21"/>
          <w:lang w:val="en-US" w:eastAsia="zh-CN"/>
        </w:rPr>
      </w:pPr>
      <w:r>
        <w:rPr>
          <w:rFonts w:hint="eastAsia" w:ascii="宋体" w:hAnsi="宋体"/>
          <w:b w:val="0"/>
          <w:bCs/>
          <w:sz w:val="24"/>
          <w:szCs w:val="24"/>
          <w:lang w:val="en-US" w:eastAsia="zh-CN"/>
        </w:rPr>
        <w:t>项目其他要求</w:t>
      </w:r>
      <w:bookmarkEnd w:id="467"/>
      <w:bookmarkEnd w:id="468"/>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default" w:ascii="宋体" w:hAnsi="宋体"/>
          <w:b w:val="0"/>
          <w:bCs/>
          <w:sz w:val="18"/>
          <w:szCs w:val="18"/>
          <w:lang w:val="en-US" w:eastAsia="zh-CN"/>
        </w:rPr>
      </w:pPr>
      <w:r>
        <w:rPr>
          <w:rFonts w:hint="eastAsia" w:ascii="宋体" w:hAnsi="宋体"/>
          <w:b w:val="0"/>
          <w:bCs/>
          <w:sz w:val="18"/>
          <w:szCs w:val="18"/>
          <w:lang w:val="en-US" w:eastAsia="zh-CN"/>
        </w:rPr>
        <w:t>一、</w:t>
      </w:r>
      <w:r>
        <w:rPr>
          <w:rFonts w:hint="eastAsia" w:ascii="宋体" w:hAnsi="宋体"/>
          <w:b w:val="0"/>
          <w:bCs/>
          <w:sz w:val="18"/>
          <w:szCs w:val="18"/>
          <w:lang w:eastAsia="zh-CN"/>
        </w:rPr>
        <w:t>项目名称</w:t>
      </w:r>
      <w:r>
        <w:rPr>
          <w:rFonts w:hint="eastAsia" w:ascii="宋体" w:hAnsi="宋体"/>
          <w:b w:val="0"/>
          <w:bCs/>
          <w:sz w:val="18"/>
          <w:szCs w:val="18"/>
          <w:lang w:val="en-US" w:eastAsia="zh-CN"/>
        </w:rPr>
        <w:t>:新疆维吾尔自治区人民检察院喀什分院-两房屋顶改造项目</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b w:val="0"/>
          <w:bCs/>
          <w:sz w:val="18"/>
          <w:szCs w:val="18"/>
          <w:lang w:val="en-US" w:eastAsia="zh-CN"/>
        </w:rPr>
      </w:pPr>
      <w:r>
        <w:rPr>
          <w:rFonts w:hint="eastAsia" w:ascii="宋体" w:hAnsi="宋体"/>
          <w:b w:val="0"/>
          <w:bCs/>
          <w:sz w:val="18"/>
          <w:szCs w:val="18"/>
          <w:lang w:val="en-US" w:eastAsia="zh-CN"/>
        </w:rPr>
        <w:t>二、建设地点：喀什市</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cs="Times New Roman"/>
          <w:b w:val="0"/>
          <w:bCs/>
          <w:sz w:val="18"/>
          <w:szCs w:val="18"/>
          <w:lang w:val="en-US" w:eastAsia="zh-CN"/>
        </w:rPr>
      </w:pPr>
      <w:r>
        <w:rPr>
          <w:rFonts w:hint="eastAsia" w:ascii="宋体" w:hAnsi="宋体" w:cs="Times New Roman"/>
          <w:b w:val="0"/>
          <w:bCs/>
          <w:sz w:val="18"/>
          <w:szCs w:val="18"/>
          <w:lang w:val="en-US" w:eastAsia="zh-CN"/>
        </w:rPr>
        <w:t>三、建设内容：建筑工程（钢架阳光板机构，进行封闭改造，自流坪楼地面）电器设备安装工程，给排水工程。</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cs="Times New Roman"/>
          <w:b w:val="0"/>
          <w:bCs/>
          <w:sz w:val="18"/>
          <w:szCs w:val="18"/>
          <w:lang w:val="en-US" w:eastAsia="zh-CN"/>
        </w:rPr>
      </w:pPr>
      <w:r>
        <w:rPr>
          <w:rFonts w:hint="eastAsia" w:ascii="宋体" w:hAnsi="宋体" w:cs="Times New Roman"/>
          <w:b w:val="0"/>
          <w:bCs/>
          <w:sz w:val="18"/>
          <w:szCs w:val="18"/>
          <w:lang w:val="en-US" w:eastAsia="zh-CN"/>
        </w:rPr>
        <w:t>四、计划工期：40天（日历天）</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ind w:firstLine="360" w:firstLineChars="200"/>
        <w:textAlignment w:val="auto"/>
        <w:rPr>
          <w:rFonts w:hint="eastAsia" w:ascii="宋体" w:hAnsi="宋体" w:cs="Times New Roman"/>
          <w:b w:val="0"/>
          <w:bCs/>
          <w:color w:val="FF0000"/>
          <w:sz w:val="18"/>
          <w:szCs w:val="18"/>
          <w:lang w:val="en-US" w:eastAsia="zh-CN"/>
        </w:rPr>
      </w:pPr>
      <w:r>
        <w:rPr>
          <w:rFonts w:hint="eastAsia" w:ascii="宋体" w:hAnsi="宋体" w:cs="Times New Roman"/>
          <w:b w:val="0"/>
          <w:bCs/>
          <w:sz w:val="18"/>
          <w:szCs w:val="18"/>
          <w:lang w:val="en-US" w:eastAsia="zh-CN"/>
        </w:rPr>
        <w:t>计划开工日期：</w:t>
      </w:r>
      <w:r>
        <w:rPr>
          <w:rFonts w:hint="eastAsia" w:ascii="宋体" w:hAnsi="宋体" w:cs="Times New Roman"/>
          <w:b w:val="0"/>
          <w:bCs/>
          <w:color w:val="FF0000"/>
          <w:sz w:val="18"/>
          <w:szCs w:val="18"/>
          <w:lang w:val="en-US" w:eastAsia="zh-CN"/>
        </w:rPr>
        <w:t>2021年10月17日；</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ind w:firstLine="360" w:firstLineChars="200"/>
        <w:textAlignment w:val="auto"/>
        <w:rPr>
          <w:rFonts w:hint="eastAsia" w:ascii="宋体" w:hAnsi="宋体" w:cs="Times New Roman"/>
          <w:b w:val="0"/>
          <w:bCs/>
          <w:color w:val="FF0000"/>
          <w:sz w:val="18"/>
          <w:szCs w:val="18"/>
          <w:lang w:val="en-US" w:eastAsia="zh-CN"/>
        </w:rPr>
      </w:pPr>
      <w:r>
        <w:rPr>
          <w:rFonts w:hint="eastAsia" w:ascii="宋体" w:hAnsi="宋体" w:cs="Times New Roman"/>
          <w:b w:val="0"/>
          <w:bCs/>
          <w:color w:val="auto"/>
          <w:sz w:val="18"/>
          <w:szCs w:val="18"/>
          <w:lang w:val="en-US" w:eastAsia="zh-CN"/>
        </w:rPr>
        <w:t>计划竣工日期：</w:t>
      </w:r>
      <w:r>
        <w:rPr>
          <w:rFonts w:hint="eastAsia" w:ascii="宋体" w:hAnsi="宋体" w:cs="Times New Roman"/>
          <w:b w:val="0"/>
          <w:bCs/>
          <w:color w:val="FF0000"/>
          <w:sz w:val="18"/>
          <w:szCs w:val="18"/>
          <w:lang w:val="en-US" w:eastAsia="zh-CN"/>
        </w:rPr>
        <w:t>2021年11月25日；</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ind w:firstLine="360" w:firstLineChars="200"/>
        <w:textAlignment w:val="auto"/>
        <w:rPr>
          <w:rFonts w:hint="eastAsia" w:ascii="宋体" w:hAnsi="宋体"/>
          <w:b w:val="0"/>
          <w:bCs/>
          <w:sz w:val="18"/>
          <w:szCs w:val="18"/>
        </w:rPr>
      </w:pPr>
      <w:r>
        <w:rPr>
          <w:rFonts w:hint="eastAsia" w:ascii="宋体" w:hAnsi="宋体" w:cs="Times New Roman"/>
          <w:b w:val="0"/>
          <w:bCs/>
          <w:sz w:val="18"/>
          <w:szCs w:val="18"/>
          <w:lang w:val="en-US" w:eastAsia="zh-CN"/>
        </w:rPr>
        <w:t>（具体开竣工日期以签订施工合同为准）。</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cs="Times New Roman"/>
          <w:b w:val="0"/>
          <w:bCs/>
          <w:sz w:val="18"/>
          <w:szCs w:val="18"/>
        </w:rPr>
      </w:pPr>
      <w:r>
        <w:rPr>
          <w:rFonts w:hint="eastAsia" w:ascii="宋体" w:hAnsi="宋体"/>
          <w:b w:val="0"/>
          <w:bCs/>
          <w:sz w:val="18"/>
          <w:szCs w:val="18"/>
          <w:lang w:val="en-US" w:eastAsia="zh-CN"/>
        </w:rPr>
        <w:t>五、</w:t>
      </w:r>
      <w:r>
        <w:rPr>
          <w:rFonts w:hint="eastAsia" w:ascii="宋体" w:hAnsi="宋体"/>
          <w:b w:val="0"/>
          <w:bCs/>
          <w:sz w:val="18"/>
          <w:szCs w:val="18"/>
          <w:lang w:eastAsia="zh-CN"/>
        </w:rPr>
        <w:t>采购人</w:t>
      </w:r>
      <w:r>
        <w:rPr>
          <w:rFonts w:hint="eastAsia" w:ascii="宋体" w:hAnsi="宋体"/>
          <w:b w:val="0"/>
          <w:bCs/>
          <w:sz w:val="18"/>
          <w:szCs w:val="18"/>
        </w:rPr>
        <w:t>提供的工程量清单，是投标人投标报价的基础，</w:t>
      </w:r>
      <w:r>
        <w:rPr>
          <w:rFonts w:hint="eastAsia" w:ascii="宋体" w:hAnsi="宋体"/>
          <w:b w:val="0"/>
          <w:bCs/>
          <w:sz w:val="18"/>
          <w:szCs w:val="18"/>
          <w:lang w:val="en-US" w:eastAsia="zh-CN"/>
        </w:rPr>
        <w:t>投标单位</w:t>
      </w:r>
      <w:r>
        <w:rPr>
          <w:rFonts w:hint="eastAsia" w:ascii="宋体" w:hAnsi="宋体"/>
          <w:b w:val="0"/>
          <w:bCs/>
          <w:sz w:val="18"/>
          <w:szCs w:val="18"/>
        </w:rPr>
        <w:t>所填写的工程量清单中的综合单价作为签订合同、拨付工程进度款和工程结算的依据。中标人由于自身原因造成工程量的增加，均不予以调增；清单中的项目名称、项目特征所描述内容为主要内容，</w:t>
      </w:r>
      <w:r>
        <w:rPr>
          <w:rFonts w:hint="eastAsia" w:ascii="宋体" w:hAnsi="宋体"/>
          <w:b w:val="0"/>
          <w:bCs/>
          <w:sz w:val="18"/>
          <w:szCs w:val="18"/>
          <w:lang w:val="en-US" w:eastAsia="zh-CN"/>
        </w:rPr>
        <w:t>投标单位</w:t>
      </w:r>
      <w:r>
        <w:rPr>
          <w:rFonts w:hint="eastAsia" w:ascii="宋体" w:hAnsi="宋体"/>
          <w:b w:val="0"/>
          <w:bCs/>
          <w:sz w:val="18"/>
          <w:szCs w:val="18"/>
        </w:rPr>
        <w:t>投标报价时应详细阅读施工图纸及根据有关规范的要求等，综合单价为完成该项目的全部工作内容。如有疑</w:t>
      </w:r>
      <w:r>
        <w:rPr>
          <w:rFonts w:hint="eastAsia" w:ascii="宋体" w:hAnsi="宋体" w:cs="Times New Roman"/>
          <w:b w:val="0"/>
          <w:bCs/>
          <w:sz w:val="18"/>
          <w:szCs w:val="18"/>
        </w:rPr>
        <w:t>问，应及时提出，并与清单编制单位核对。若未提出疑问或不与清单编制单位核对，视为接受，结算时一律不予调整。</w:t>
      </w:r>
    </w:p>
    <w:p>
      <w:pPr>
        <w:pStyle w:val="26"/>
        <w:widowControl w:val="0"/>
        <w:numPr>
          <w:ilvl w:val="0"/>
          <w:numId w:val="0"/>
        </w:numPr>
        <w:snapToGrid w:val="0"/>
        <w:jc w:val="center"/>
        <w:rPr>
          <w:rFonts w:hint="eastAsia" w:ascii="宋体" w:hAnsi="宋体" w:eastAsia="宋体" w:cs="宋体"/>
          <w:b w:val="0"/>
          <w:bCs/>
          <w:color w:val="auto"/>
          <w:sz w:val="24"/>
          <w:szCs w:val="24"/>
        </w:rPr>
      </w:pPr>
      <w:bookmarkStart w:id="469" w:name="_Toc12463"/>
    </w:p>
    <w:p>
      <w:pPr>
        <w:pStyle w:val="26"/>
        <w:widowControl w:val="0"/>
        <w:numPr>
          <w:ilvl w:val="0"/>
          <w:numId w:val="0"/>
        </w:numPr>
        <w:snapToGrid w:val="0"/>
        <w:jc w:val="center"/>
        <w:rPr>
          <w:rFonts w:hint="eastAsia" w:ascii="宋体" w:hAnsi="宋体" w:eastAsia="宋体" w:cs="宋体"/>
          <w:b w:val="0"/>
          <w:bCs/>
          <w:color w:val="auto"/>
          <w:sz w:val="24"/>
          <w:szCs w:val="24"/>
        </w:rPr>
      </w:pPr>
    </w:p>
    <w:p>
      <w:pPr>
        <w:pStyle w:val="26"/>
        <w:widowControl w:val="0"/>
        <w:numPr>
          <w:ilvl w:val="0"/>
          <w:numId w:val="0"/>
        </w:numPr>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 xml:space="preserve">第6章 </w:t>
      </w:r>
      <w:bookmarkStart w:id="470" w:name="_Toc7971"/>
      <w:bookmarkStart w:id="471" w:name="_Toc32647"/>
      <w:bookmarkStart w:id="472" w:name="_Toc515647832"/>
      <w:bookmarkStart w:id="473" w:name="_Toc507399907"/>
      <w:r>
        <w:rPr>
          <w:rFonts w:hint="eastAsia" w:ascii="宋体" w:hAnsi="宋体" w:eastAsia="宋体" w:cs="宋体"/>
          <w:b w:val="0"/>
          <w:bCs/>
          <w:color w:val="auto"/>
          <w:sz w:val="24"/>
          <w:szCs w:val="24"/>
        </w:rPr>
        <w:t>评审方法和</w:t>
      </w:r>
      <w:bookmarkEnd w:id="464"/>
      <w:bookmarkEnd w:id="465"/>
      <w:bookmarkEnd w:id="466"/>
      <w:bookmarkEnd w:id="469"/>
      <w:bookmarkEnd w:id="470"/>
      <w:bookmarkEnd w:id="471"/>
      <w:bookmarkEnd w:id="472"/>
      <w:bookmarkEnd w:id="473"/>
      <w:r>
        <w:rPr>
          <w:rFonts w:hint="eastAsia" w:hAnsi="宋体" w:cs="宋体"/>
          <w:b w:val="0"/>
          <w:bCs/>
          <w:color w:val="auto"/>
          <w:sz w:val="24"/>
          <w:szCs w:val="24"/>
          <w:lang w:val="en-US" w:eastAsia="zh-CN"/>
        </w:rPr>
        <w:t>标准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bookmarkStart w:id="474" w:name="_Toc18284"/>
      <w:bookmarkStart w:id="475" w:name="_Toc4262"/>
      <w:bookmarkStart w:id="476" w:name="_Toc5480"/>
      <w:bookmarkStart w:id="477" w:name="_Toc7317"/>
      <w:bookmarkStart w:id="478" w:name="_Toc9048"/>
      <w:r>
        <w:rPr>
          <w:rFonts w:hint="eastAsia" w:ascii="宋体" w:hAnsi="宋体" w:cs="宋体"/>
          <w:b w:val="0"/>
          <w:bCs/>
          <w:color w:val="auto"/>
          <w:sz w:val="24"/>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本项目将按照</w:t>
      </w:r>
      <w:r>
        <w:rPr>
          <w:rFonts w:hint="eastAsia" w:ascii="宋体" w:hAnsi="宋体" w:eastAsia="宋体" w:cs="宋体"/>
          <w:b w:val="0"/>
          <w:bCs/>
          <w:color w:val="auto"/>
          <w:sz w:val="21"/>
          <w:szCs w:val="21"/>
          <w:lang w:eastAsia="zh-CN"/>
        </w:rPr>
        <w:t>磋商文件</w:t>
      </w:r>
      <w:r>
        <w:rPr>
          <w:rFonts w:hint="eastAsia" w:ascii="宋体" w:hAnsi="宋体" w:eastAsia="宋体" w:cs="宋体"/>
          <w:b w:val="0"/>
          <w:bCs/>
          <w:color w:val="auto"/>
          <w:sz w:val="21"/>
          <w:szCs w:val="21"/>
        </w:rPr>
        <w:t>第一章</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须知中“五 磋商开启及评审”、“六 确</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定成交”及本章的规定</w:t>
      </w:r>
      <w:r>
        <w:rPr>
          <w:rFonts w:hint="eastAsia" w:ascii="宋体" w:hAnsi="宋体" w:eastAsia="宋体" w:cs="宋体"/>
          <w:b w:val="0"/>
          <w:bCs/>
          <w:color w:val="auto"/>
          <w:sz w:val="21"/>
          <w:szCs w:val="21"/>
          <w:lang w:eastAsia="zh-CN"/>
        </w:rPr>
        <w:t>评审</w:t>
      </w:r>
      <w:r>
        <w:rPr>
          <w:rFonts w:hint="eastAsia" w:ascii="宋体" w:hAnsi="宋体" w:eastAsia="宋体" w:cs="宋体"/>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rPr>
      </w:pPr>
      <w:r>
        <w:rPr>
          <w:rFonts w:hint="eastAsia" w:ascii="宋体" w:hAnsi="宋体" w:eastAsia="宋体" w:cs="宋体"/>
          <w:b w:val="0"/>
          <w:bCs/>
          <w:color w:val="auto"/>
          <w:sz w:val="21"/>
          <w:szCs w:val="21"/>
        </w:rPr>
        <w:t>注：</w:t>
      </w:r>
      <w:r>
        <w:rPr>
          <w:rFonts w:hint="eastAsia" w:ascii="宋体" w:hAnsi="宋体" w:eastAsia="宋体" w:cs="宋体"/>
          <w:b/>
          <w:bCs w:val="0"/>
          <w:color w:val="auto"/>
          <w:sz w:val="21"/>
          <w:szCs w:val="21"/>
        </w:rPr>
        <w:t>1.磋商无效的情形：</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单位负责人为同一人或者存在直接控股、管理关系的不同供应商，其相关磋商将被认定为磋商无效。</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leftChars="0" w:firstLine="0" w:firstLine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若供应商须知资料表中未写明允许采购进口产品，如供应商所投产品为进口产品，其磋商将被认定为磋商无效。</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为本项目提供过整体设计、规范编制或者项目管理、监理、检测等服务的供应商，不得再参加本项目上述服务以外的其他采购活动。否则其磋商将被认定为磋商无效。供应商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在磋商过程中不得向采购人提供、给予任何有价值的物品，影响其正常决策行为。一经发现，其将被认定为磋商无效。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（4）供应商报价超过磋商文件规定的预算金额的，其磋商将被认定为磋商无效。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（5）供应商应认真阅读磋商文件所有的事项、格式、条款和技术规范等。如供应商没有按</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照磋商文件要求提交全部资料，或者响应文件没有对磋商文件在各方面都做出实质性响应，可能导致其磋商将被认定为磋商无效。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供应商应当对所投磋商文件中“</w:t>
      </w:r>
      <w:r>
        <w:rPr>
          <w:rFonts w:hint="eastAsia" w:ascii="宋体" w:hAnsi="宋体" w:eastAsia="宋体" w:cs="宋体"/>
          <w:b w:val="0"/>
          <w:bCs/>
          <w:color w:val="auto"/>
          <w:sz w:val="21"/>
          <w:szCs w:val="21"/>
          <w:lang w:eastAsia="zh-CN"/>
        </w:rPr>
        <w:t>货物需求一览表及技术规格</w:t>
      </w:r>
      <w:r>
        <w:rPr>
          <w:rFonts w:hint="eastAsia" w:ascii="宋体" w:hAnsi="宋体" w:eastAsia="宋体" w:cs="宋体"/>
          <w:b w:val="0"/>
          <w:bCs/>
          <w:color w:val="auto"/>
          <w:sz w:val="21"/>
          <w:szCs w:val="21"/>
        </w:rPr>
        <w:t>”所列的所有内容进行磋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商，如仅响应某一部分内容，其该磋商将被认定为磋商无效。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供应商未按本须知第12.1和12.3条规定提交磋商保证金的，其磋商资格将被认定为</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所有磋商均以人民币报价。供应商的磋商报价应遵守《中华人民共和国价格法》。同时，根据《中华人民共和国政府采购法》第二条的规定，为保证公平竞争，如有服务主体</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部分的赠与行为，其磋商将被认定为磋商无效。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供应商所报的各分项磋商单价在合同履行过程中是固定不变的，不得以任何理由予以</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变更。任何包含价格调整要求的磋商，其磋商将被认定为磋商无效。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磋商应在供应商须知资料表中规定时间内保持有效。磋商有效期不满足要求的磋商，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（11）所有响应文件采用不可拆装的胶订方式装订，否则其磋商将被认定为磋商无效。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（12）采购人或采购代理机构将在开标前1个工作日至磋商截止后1小时的期间内查询供</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应商的信用记录。供应商存在不良信用记录的，其磋商将被认定为磋商无效。</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总价金额与按单价汇总金额不一致的，以单价金额计算结果为准。同时出现两种以上不一致的，按照前款规定的顺序修正。修正后的报价按照第20.2条的规定经供应商确认</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后产生约束力，供应商不确认的，其磋商将被认定为磋商无效。</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在比较与评价之前，根据本须知的规定，磋商小组要审查每份响应文件是否实质上响应了磋商文件的要求。实质上响应的磋商应该是与磋商文件要求的全部条款、条件和规</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格相符，没有重大偏离的磋商。对关键条款的偏离，将被认定为磋商无效。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（15）如发现下列情况之一的，其磋商将被认定为磋商无效：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未按磋商文件规定的形式和金额提交磋商保证金的；未按照磋商文件规定要求签署、盖章的；未满足磋商文件中技术条款的实质性要求；与其他供应商串通磋商，或者与采购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他实质性要求的。</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磋商报价扣除 6 %后参与评审。对于同时属于小微企业、监狱企业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或残疾人福利性单位的，不重复进行磋商报价扣除。</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环保认证证书复印件加盖公章）。</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如采购人所采购产品为政府强制采购的节能产品，供应商所投产品的品牌及型号必须为</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清单中有效期内产品并提供证明文件，否则其投标将被认定为投标无效。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5.对创新产品或创新性企业的优惠措施为：    /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6.同品牌处理办法：</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磋商文件规定的方式确定一个供应商获得中标人推荐资格，磋商文件未规定的采取随机抽取方式确定，其他同</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品牌供应商不作为成交候选人。</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7.成交候选人并列式时的处理方式：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如采用综合评标法，则： 评标结果按评审后得分由高到低顺序排列。得分相同的，按磋商报价由低到高顺序排列。得分且磋商报价相同的并列。投标文件满足磋商文件全部实质性</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要求，且按照评审因素的量化指标评审得分最高的供应商为排名第一的成交候选人。</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8、详细的评标标准：（具体内容详见综合评分表）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（1）价格分占30%，完全满足磋商文件参数的磋商报价中的最低价为评标基准价，按照下列公式计算每个供应商的投标价格得分。磋商报价得分＝（基准价/磋商报价）×价格权重</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×100。（详见综合评分表）</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（2）技术、商务占70%（详见综合评分表）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（4）竞争性磋商共有两次报价，二次报价为最终报价，磋商小组所有成员集中与单一供应商分别进行磋商，并给予所有参加磋商的供应商平等的磋商机会，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并编写评审报告，将结果通知所有参加磋商的未成交的供应商。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 xml:space="preserve">（5）磋商小组推荐成交候选供应商的数量：3。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（6）招标人委托评审委员会直接确定成交人。</w:t>
      </w:r>
    </w:p>
    <w:bookmarkEnd w:id="474"/>
    <w:bookmarkEnd w:id="475"/>
    <w:bookmarkEnd w:id="476"/>
    <w:bookmarkEnd w:id="477"/>
    <w:bookmarkEnd w:id="478"/>
    <w:p>
      <w:pPr>
        <w:jc w:val="both"/>
        <w:rPr>
          <w:rFonts w:hint="eastAsia"/>
          <w:sz w:val="24"/>
          <w:szCs w:val="24"/>
          <w:lang w:val="en-US" w:eastAsia="zh-CN"/>
        </w:rPr>
      </w:pPr>
    </w:p>
    <w:p>
      <w:pPr>
        <w:jc w:val="both"/>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初步评审--资格性审查表</w:t>
      </w:r>
    </w:p>
    <w:p>
      <w:pPr>
        <w:pStyle w:val="11"/>
        <w:keepNext w:val="0"/>
        <w:keepLines w:val="0"/>
        <w:pageBreakBefore w:val="0"/>
        <w:widowControl w:val="0"/>
        <w:kinsoku/>
        <w:wordWrap/>
        <w:overflowPunct/>
        <w:topLinePunct w:val="0"/>
        <w:autoSpaceDE/>
        <w:autoSpaceDN/>
        <w:bidi w:val="0"/>
        <w:adjustRightInd/>
        <w:snapToGrid/>
        <w:spacing w:before="0" w:line="340" w:lineRule="exact"/>
        <w:textAlignment w:val="auto"/>
        <w:rPr>
          <w:rFonts w:hint="eastAsia"/>
          <w:sz w:val="21"/>
          <w:szCs w:val="21"/>
          <w:lang w:val="en-US" w:eastAsia="zh-CN"/>
        </w:rPr>
      </w:pPr>
      <w:r>
        <w:rPr>
          <w:rFonts w:hint="eastAsia"/>
          <w:sz w:val="21"/>
          <w:szCs w:val="21"/>
          <w:lang w:val="en-US" w:eastAsia="zh-CN"/>
        </w:rPr>
        <w:t>磋商文件的初审分为资格性检查和符合性检查。</w:t>
      </w:r>
    </w:p>
    <w:p>
      <w:pPr>
        <w:pStyle w:val="11"/>
        <w:keepNext w:val="0"/>
        <w:keepLines w:val="0"/>
        <w:pageBreakBefore w:val="0"/>
        <w:widowControl w:val="0"/>
        <w:kinsoku/>
        <w:wordWrap/>
        <w:overflowPunct/>
        <w:topLinePunct w:val="0"/>
        <w:autoSpaceDE/>
        <w:autoSpaceDN/>
        <w:bidi w:val="0"/>
        <w:adjustRightInd/>
        <w:snapToGrid/>
        <w:spacing w:before="0" w:line="340" w:lineRule="exact"/>
        <w:textAlignment w:val="auto"/>
        <w:rPr>
          <w:rFonts w:hint="eastAsia"/>
          <w:sz w:val="21"/>
          <w:szCs w:val="21"/>
          <w:lang w:val="en-US" w:eastAsia="zh-CN"/>
        </w:rPr>
      </w:pPr>
      <w:r>
        <w:rPr>
          <w:rFonts w:hint="eastAsia"/>
          <w:sz w:val="21"/>
          <w:szCs w:val="21"/>
          <w:lang w:val="en-US" w:eastAsia="zh-CN"/>
        </w:rPr>
        <w:t>（一）、资格性检查是指磋商小组依据法律法规和磋商文件的规定，对磋商文件中的资格证明、投标保证金等进行审查，以确定投标投标人是否具备投标资格。</w:t>
      </w:r>
    </w:p>
    <w:p>
      <w:pPr>
        <w:pStyle w:val="11"/>
        <w:keepNext w:val="0"/>
        <w:keepLines w:val="0"/>
        <w:pageBreakBefore w:val="0"/>
        <w:widowControl w:val="0"/>
        <w:kinsoku/>
        <w:wordWrap/>
        <w:overflowPunct/>
        <w:topLinePunct w:val="0"/>
        <w:autoSpaceDE/>
        <w:autoSpaceDN/>
        <w:bidi w:val="0"/>
        <w:adjustRightInd/>
        <w:snapToGrid/>
        <w:spacing w:before="0" w:line="340" w:lineRule="exact"/>
        <w:textAlignment w:val="auto"/>
        <w:rPr>
          <w:rFonts w:hint="eastAsia"/>
          <w:sz w:val="21"/>
          <w:szCs w:val="21"/>
          <w:lang w:val="en-US" w:eastAsia="zh-CN"/>
        </w:rPr>
      </w:pPr>
      <w:r>
        <w:rPr>
          <w:rFonts w:hint="eastAsia"/>
          <w:sz w:val="21"/>
          <w:szCs w:val="21"/>
          <w:lang w:val="en-US" w:eastAsia="zh-CN"/>
        </w:rPr>
        <w:t>资格性检查包含如下内容：</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4905"/>
        <w:gridCol w:w="995"/>
        <w:gridCol w:w="102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81" w:type="dxa"/>
            <w:vMerge w:val="restart"/>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序号</w:t>
            </w:r>
          </w:p>
        </w:tc>
        <w:tc>
          <w:tcPr>
            <w:tcW w:w="4905" w:type="dxa"/>
            <w:vMerge w:val="restart"/>
            <w:noWrap w:val="0"/>
            <w:vAlign w:val="center"/>
          </w:tcPr>
          <w:p>
            <w:pPr>
              <w:pStyle w:val="35"/>
              <w:jc w:val="center"/>
              <w:rPr>
                <w:rFonts w:hint="default"/>
                <w:sz w:val="18"/>
                <w:szCs w:val="18"/>
                <w:vertAlign w:val="baseline"/>
                <w:lang w:val="en-US" w:eastAsia="zh-CN"/>
              </w:rPr>
            </w:pPr>
            <w:r>
              <w:rPr>
                <w:rFonts w:hint="eastAsia"/>
                <w:sz w:val="18"/>
                <w:szCs w:val="18"/>
                <w:vertAlign w:val="baseline"/>
                <w:lang w:val="en-US" w:eastAsia="zh-CN"/>
              </w:rPr>
              <w:t>评审内容</w:t>
            </w:r>
          </w:p>
        </w:tc>
        <w:tc>
          <w:tcPr>
            <w:tcW w:w="3041" w:type="dxa"/>
            <w:gridSpan w:val="3"/>
            <w:noWrap w:val="0"/>
            <w:vAlign w:val="top"/>
          </w:tcPr>
          <w:p>
            <w:pPr>
              <w:pStyle w:val="35"/>
              <w:jc w:val="center"/>
              <w:rPr>
                <w:rFonts w:hint="default"/>
                <w:sz w:val="18"/>
                <w:szCs w:val="18"/>
                <w:vertAlign w:val="baseline"/>
                <w:lang w:val="en-US" w:eastAsia="zh-CN"/>
              </w:rPr>
            </w:pPr>
            <w:r>
              <w:rPr>
                <w:rFonts w:hint="eastAsia"/>
                <w:sz w:val="18"/>
                <w:szCs w:val="18"/>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81" w:type="dxa"/>
            <w:vMerge w:val="continue"/>
            <w:noWrap w:val="0"/>
            <w:vAlign w:val="top"/>
          </w:tcPr>
          <w:p>
            <w:pPr>
              <w:pStyle w:val="35"/>
              <w:jc w:val="center"/>
              <w:rPr>
                <w:rFonts w:hint="default"/>
                <w:sz w:val="18"/>
                <w:szCs w:val="18"/>
                <w:vertAlign w:val="baseline"/>
                <w:lang w:val="en-US" w:eastAsia="zh-CN"/>
              </w:rPr>
            </w:pPr>
          </w:p>
        </w:tc>
        <w:tc>
          <w:tcPr>
            <w:tcW w:w="4905" w:type="dxa"/>
            <w:vMerge w:val="continue"/>
            <w:noWrap w:val="0"/>
            <w:vAlign w:val="top"/>
          </w:tcPr>
          <w:p>
            <w:pPr>
              <w:pStyle w:val="35"/>
              <w:rPr>
                <w:rFonts w:hint="default"/>
                <w:sz w:val="18"/>
                <w:szCs w:val="18"/>
                <w:vertAlign w:val="baseline"/>
                <w:lang w:val="en-US" w:eastAsia="zh-CN"/>
              </w:rPr>
            </w:pPr>
          </w:p>
        </w:tc>
        <w:tc>
          <w:tcPr>
            <w:tcW w:w="995"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是否合格</w:t>
            </w:r>
          </w:p>
        </w:tc>
        <w:tc>
          <w:tcPr>
            <w:tcW w:w="1023"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是否合格</w:t>
            </w:r>
          </w:p>
        </w:tc>
        <w:tc>
          <w:tcPr>
            <w:tcW w:w="1023"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81"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有效的独立法人营业执照，投标人须具备[施工总承包建筑工程三级](含)以上资质，企业安全生产许可证；</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1"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2</w:t>
            </w:r>
          </w:p>
        </w:tc>
        <w:tc>
          <w:tcPr>
            <w:tcW w:w="4905" w:type="dxa"/>
            <w:noWrap w:val="0"/>
            <w:vAlign w:val="top"/>
          </w:tcPr>
          <w:p>
            <w:pPr>
              <w:pStyle w:val="35"/>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项目负责人须具备[建筑工程二级](含)以上注册建造师执业资格，具备有效的安全生产考核合格证书；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1"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法人代表资格证明书及授权书、被授权人身份证(法人投标需提供法人身份证及法人代表资格证明书)；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4</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供应商提供本单位依法缴纳近三个月的社会保险缴费凭证；</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5</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提供税务部门出具上一季度的完税证明；</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6</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提供近一年2020年度的财务审计报告（新成立公司需提供银行资信证明）；</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7</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提供针对本次项目《反商业贿赂承诺书》；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8</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参与政府采购活动前3年内未被列入失信、重大税收违法案件、财政部门禁止参加政府采购活动的承诺书；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9</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9</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color w:val="auto"/>
                <w:sz w:val="18"/>
                <w:szCs w:val="18"/>
                <w:vertAlign w:val="baseline"/>
                <w:lang w:val="en-US" w:eastAsia="zh-CN"/>
              </w:rPr>
              <w:t>投标保证金加盖公章的复印件。</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81" w:type="dxa"/>
            <w:noWrap w:val="0"/>
            <w:vAlign w:val="center"/>
          </w:tcPr>
          <w:p>
            <w:pPr>
              <w:pStyle w:val="35"/>
              <w:jc w:val="center"/>
              <w:rPr>
                <w:rFonts w:hint="eastAsia"/>
                <w:sz w:val="18"/>
                <w:szCs w:val="18"/>
                <w:vertAlign w:val="baseline"/>
                <w:lang w:val="en-US" w:eastAsia="zh-CN"/>
              </w:rPr>
            </w:pP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结论</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bl>
    <w:p>
      <w:pPr>
        <w:pStyle w:val="3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说明：</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（1）上述各项中用“√”表示通过，“×”表示不通过；</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（2）上述各项中如有一项为“×”，则结论为“×”，表示该投标文件中存在重大偏差，不能通过初步评审；评委对某一分项评审认为不合格时，必须要写明原因。</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（3）磋商文件最终合格与否，以所有评委的评审意见中少数服从多数为原则定论。</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ascii="宋体" w:hAnsi="宋体" w:eastAsia="宋体" w:cs="宋体"/>
          <w:b w:val="0"/>
          <w:bCs/>
          <w:color w:val="auto"/>
          <w:sz w:val="28"/>
          <w:szCs w:val="28"/>
        </w:rPr>
      </w:pPr>
      <w:r>
        <w:rPr>
          <w:rFonts w:hint="eastAsia" w:cs="Times New Roman"/>
          <w:sz w:val="18"/>
          <w:szCs w:val="18"/>
          <w:vertAlign w:val="baseline"/>
          <w:lang w:val="en-US" w:eastAsia="zh-CN"/>
        </w:rPr>
        <w:t>备注：如果磋商文件中有一项未通过上述审查标准，评审委员会将认定整个磋商文件未响应磋商文件而予以废标处理。</w:t>
      </w:r>
      <w:bookmarkStart w:id="479" w:name="_Toc19552"/>
      <w:bookmarkStart w:id="480" w:name="_Toc22896"/>
    </w:p>
    <w:bookmarkEnd w:id="479"/>
    <w:bookmarkEnd w:id="480"/>
    <w:p>
      <w:pPr>
        <w:jc w:val="both"/>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初步评审--符合性审查表</w:t>
      </w:r>
    </w:p>
    <w:tbl>
      <w:tblPr>
        <w:tblStyle w:val="38"/>
        <w:tblpPr w:leftFromText="180" w:rightFromText="180" w:vertAnchor="text" w:horzAnchor="page" w:tblpX="1786"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4575"/>
        <w:gridCol w:w="1125"/>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27" w:type="dxa"/>
            <w:vMerge w:val="restart"/>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序号</w:t>
            </w:r>
          </w:p>
        </w:tc>
        <w:tc>
          <w:tcPr>
            <w:tcW w:w="4575" w:type="dxa"/>
            <w:vMerge w:val="restart"/>
            <w:noWrap w:val="0"/>
            <w:vAlign w:val="center"/>
          </w:tcPr>
          <w:p>
            <w:pPr>
              <w:pStyle w:val="35"/>
              <w:jc w:val="center"/>
              <w:rPr>
                <w:rFonts w:hint="default"/>
                <w:sz w:val="18"/>
                <w:szCs w:val="18"/>
                <w:vertAlign w:val="baseline"/>
                <w:lang w:val="en-US" w:eastAsia="zh-CN"/>
              </w:rPr>
            </w:pPr>
            <w:r>
              <w:rPr>
                <w:rFonts w:hint="eastAsia"/>
                <w:sz w:val="18"/>
                <w:szCs w:val="18"/>
                <w:vertAlign w:val="baseline"/>
                <w:lang w:val="en-US" w:eastAsia="zh-CN"/>
              </w:rPr>
              <w:t>评审内容</w:t>
            </w:r>
          </w:p>
        </w:tc>
        <w:tc>
          <w:tcPr>
            <w:tcW w:w="3195" w:type="dxa"/>
            <w:gridSpan w:val="3"/>
            <w:noWrap w:val="0"/>
            <w:vAlign w:val="top"/>
          </w:tcPr>
          <w:p>
            <w:pPr>
              <w:pStyle w:val="35"/>
              <w:jc w:val="center"/>
              <w:rPr>
                <w:rFonts w:hint="default"/>
                <w:sz w:val="18"/>
                <w:szCs w:val="18"/>
                <w:vertAlign w:val="baseline"/>
                <w:lang w:val="en-US" w:eastAsia="zh-CN"/>
              </w:rPr>
            </w:pPr>
            <w:r>
              <w:rPr>
                <w:rFonts w:hint="eastAsia"/>
                <w:sz w:val="18"/>
                <w:szCs w:val="18"/>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27" w:type="dxa"/>
            <w:vMerge w:val="continue"/>
            <w:noWrap w:val="0"/>
            <w:vAlign w:val="top"/>
          </w:tcPr>
          <w:p>
            <w:pPr>
              <w:pStyle w:val="35"/>
              <w:jc w:val="center"/>
              <w:rPr>
                <w:rFonts w:hint="default"/>
                <w:sz w:val="18"/>
                <w:szCs w:val="18"/>
                <w:vertAlign w:val="baseline"/>
                <w:lang w:val="en-US" w:eastAsia="zh-CN"/>
              </w:rPr>
            </w:pPr>
          </w:p>
        </w:tc>
        <w:tc>
          <w:tcPr>
            <w:tcW w:w="4575" w:type="dxa"/>
            <w:vMerge w:val="continue"/>
            <w:noWrap w:val="0"/>
            <w:vAlign w:val="top"/>
          </w:tcPr>
          <w:p>
            <w:pPr>
              <w:pStyle w:val="35"/>
              <w:rPr>
                <w:rFonts w:hint="default"/>
                <w:sz w:val="18"/>
                <w:szCs w:val="18"/>
                <w:vertAlign w:val="baseline"/>
                <w:lang w:val="en-US" w:eastAsia="zh-CN"/>
              </w:rPr>
            </w:pPr>
          </w:p>
        </w:tc>
        <w:tc>
          <w:tcPr>
            <w:tcW w:w="1125"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   合格</w:t>
            </w:r>
          </w:p>
        </w:tc>
        <w:tc>
          <w:tcPr>
            <w:tcW w:w="1035"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  合格</w:t>
            </w:r>
          </w:p>
        </w:tc>
        <w:tc>
          <w:tcPr>
            <w:tcW w:w="1035"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各供应商投标报价未高于预算金额；</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2</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评标委员会认为供应商的报价无明显低于其他通过资格性审查供应商报价的；供应商的报价不存在异常一致并成规律性的，其报价合理；</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w:t>
            </w:r>
          </w:p>
        </w:tc>
        <w:tc>
          <w:tcPr>
            <w:tcW w:w="4575" w:type="dxa"/>
            <w:noWrap w:val="0"/>
            <w:vAlign w:val="center"/>
          </w:tcPr>
          <w:p>
            <w:pPr>
              <w:pStyle w:val="35"/>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供应商按招标文件规定提交投标文件份数；</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投标文件按照文件的规定编制、标记及签署盖章的，法定代表人或其授权代表签字（章）和加盖供应商公章的（投标文件正本的印章和签字不能为复印件）；</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按照招标文件规定的格式填写，内容全或关键字迹清晰、数量等齐全的；</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符合招标文件中规定的实质性要求（工期）；</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符合招标文件中参数要求；</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没有采购人不能接收的附加条件的；</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9</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不同供应商的投标文件没有错漏一致的情况；</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7" w:type="dxa"/>
            <w:noWrap w:val="0"/>
            <w:vAlign w:val="center"/>
          </w:tcPr>
          <w:p>
            <w:pPr>
              <w:pStyle w:val="35"/>
              <w:ind w:left="0" w:leftChars="0" w:firstLine="0" w:firstLineChars="0"/>
              <w:jc w:val="center"/>
              <w:rPr>
                <w:rFonts w:hint="eastAsia" w:ascii="宋体" w:hAnsi="宋体" w:eastAsia="宋体" w:cs="Times New Roman"/>
                <w:kern w:val="0"/>
                <w:sz w:val="18"/>
                <w:szCs w:val="18"/>
                <w:vertAlign w:val="baseline"/>
                <w:lang w:val="en-US" w:eastAsia="zh-CN" w:bidi="ar-SA"/>
              </w:rPr>
            </w:pPr>
            <w:r>
              <w:rPr>
                <w:rFonts w:hint="eastAsia"/>
                <w:sz w:val="18"/>
                <w:szCs w:val="18"/>
                <w:vertAlign w:val="baseline"/>
                <w:lang w:val="en-US" w:eastAsia="zh-CN"/>
              </w:rPr>
              <w:t>10</w:t>
            </w:r>
          </w:p>
        </w:tc>
        <w:tc>
          <w:tcPr>
            <w:tcW w:w="4575" w:type="dxa"/>
            <w:noWrap w:val="0"/>
            <w:vAlign w:val="top"/>
          </w:tcPr>
          <w:p>
            <w:pPr>
              <w:pStyle w:val="35"/>
              <w:ind w:left="0" w:leftChars="0" w:firstLine="0" w:firstLineChars="0"/>
              <w:rPr>
                <w:rFonts w:hint="eastAsia" w:ascii="宋体" w:hAnsi="宋体" w:eastAsia="宋体" w:cs="Times New Roman"/>
                <w:kern w:val="0"/>
                <w:sz w:val="18"/>
                <w:szCs w:val="18"/>
                <w:vertAlign w:val="baseline"/>
                <w:lang w:val="en-US" w:eastAsia="zh-CN" w:bidi="ar-SA"/>
              </w:rPr>
            </w:pPr>
            <w:r>
              <w:rPr>
                <w:rFonts w:hint="eastAsia"/>
                <w:sz w:val="18"/>
                <w:szCs w:val="18"/>
                <w:vertAlign w:val="baseline"/>
                <w:lang w:val="en-US" w:eastAsia="zh-CN"/>
              </w:rPr>
              <w:t>供应商附有详细地址、联系人、电话表明的；</w:t>
            </w:r>
          </w:p>
        </w:tc>
        <w:tc>
          <w:tcPr>
            <w:tcW w:w="1125" w:type="dxa"/>
            <w:noWrap w:val="0"/>
            <w:vAlign w:val="top"/>
          </w:tcPr>
          <w:p>
            <w:pPr>
              <w:pStyle w:val="35"/>
              <w:ind w:firstLine="420" w:firstLineChars="0"/>
              <w:rPr>
                <w:rFonts w:hint="default" w:ascii="宋体" w:hAnsi="宋体" w:eastAsia="宋体" w:cs="Times New Roman"/>
                <w:kern w:val="0"/>
                <w:sz w:val="18"/>
                <w:szCs w:val="18"/>
                <w:vertAlign w:val="baseline"/>
                <w:lang w:val="en-US" w:eastAsia="zh-CN" w:bidi="ar-SA"/>
              </w:rPr>
            </w:pPr>
          </w:p>
        </w:tc>
        <w:tc>
          <w:tcPr>
            <w:tcW w:w="1035" w:type="dxa"/>
            <w:noWrap w:val="0"/>
            <w:vAlign w:val="top"/>
          </w:tcPr>
          <w:p>
            <w:pPr>
              <w:pStyle w:val="35"/>
              <w:ind w:firstLine="420" w:firstLineChars="0"/>
              <w:rPr>
                <w:rFonts w:hint="default" w:ascii="宋体" w:hAnsi="宋体" w:eastAsia="宋体" w:cs="Times New Roman"/>
                <w:kern w:val="0"/>
                <w:sz w:val="18"/>
                <w:szCs w:val="18"/>
                <w:vertAlign w:val="baseline"/>
                <w:lang w:val="en-US" w:eastAsia="zh-CN" w:bidi="ar-SA"/>
              </w:rPr>
            </w:pPr>
          </w:p>
        </w:tc>
        <w:tc>
          <w:tcPr>
            <w:tcW w:w="1035" w:type="dxa"/>
            <w:noWrap w:val="0"/>
            <w:vAlign w:val="top"/>
          </w:tcPr>
          <w:p>
            <w:pPr>
              <w:pStyle w:val="35"/>
              <w:ind w:firstLine="420" w:firstLineChars="0"/>
              <w:rPr>
                <w:rFonts w:hint="default" w:ascii="宋体" w:hAnsi="宋体" w:eastAsia="宋体" w:cs="Times New Roman"/>
                <w:kern w:val="0"/>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11</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投标文件没有散页、活页、未胶装的。</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2" w:type="dxa"/>
            <w:gridSpan w:val="2"/>
            <w:noWrap w:val="0"/>
            <w:vAlign w:val="center"/>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结论：通过评审打</w:t>
            </w:r>
            <w:r>
              <w:rPr>
                <w:rFonts w:hint="eastAsia"/>
                <w:sz w:val="18"/>
                <w:szCs w:val="18"/>
                <w:lang w:val="en-US" w:eastAsia="zh-CN"/>
              </w:rPr>
              <w:t>“</w:t>
            </w:r>
            <w:r>
              <w:rPr>
                <w:rFonts w:hint="default" w:ascii="Arial" w:hAnsi="Arial" w:cs="Arial"/>
                <w:sz w:val="18"/>
                <w:szCs w:val="18"/>
                <w:lang w:val="en-US" w:eastAsia="zh-CN"/>
              </w:rPr>
              <w:t>√</w:t>
            </w:r>
            <w:r>
              <w:rPr>
                <w:rFonts w:hint="eastAsia"/>
                <w:sz w:val="18"/>
                <w:szCs w:val="18"/>
                <w:lang w:val="en-US" w:eastAsia="zh-CN"/>
              </w:rPr>
              <w:t>”，未通过评审打“</w:t>
            </w:r>
            <w:r>
              <w:rPr>
                <w:rFonts w:hint="default" w:ascii="Arial" w:hAnsi="Arial" w:cs="Arial"/>
                <w:sz w:val="18"/>
                <w:szCs w:val="18"/>
                <w:lang w:val="en-US" w:eastAsia="zh-CN"/>
              </w:rPr>
              <w:t>×</w:t>
            </w:r>
            <w:r>
              <w:rPr>
                <w:rFonts w:hint="eastAsia"/>
                <w:sz w:val="18"/>
                <w:szCs w:val="18"/>
                <w:lang w:val="en-US" w:eastAsia="zh-CN"/>
              </w:rPr>
              <w:t>”</w:t>
            </w:r>
          </w:p>
        </w:tc>
        <w:tc>
          <w:tcPr>
            <w:tcW w:w="112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c>
          <w:tcPr>
            <w:tcW w:w="1035" w:type="dxa"/>
            <w:noWrap w:val="0"/>
            <w:vAlign w:val="top"/>
          </w:tcPr>
          <w:p>
            <w:pPr>
              <w:pStyle w:val="35"/>
              <w:rPr>
                <w:rFonts w:hint="default"/>
                <w:sz w:val="18"/>
                <w:szCs w:val="18"/>
                <w:vertAlign w:val="baseline"/>
                <w:lang w:val="en-US" w:eastAsia="zh-CN"/>
              </w:rPr>
            </w:pPr>
          </w:p>
        </w:tc>
      </w:tr>
    </w:tbl>
    <w:p>
      <w:pPr>
        <w:pStyle w:val="35"/>
        <w:rPr>
          <w:rFonts w:hint="eastAsia"/>
          <w:lang w:val="en-US" w:eastAsia="zh-CN"/>
        </w:rPr>
      </w:pPr>
    </w:p>
    <w:p>
      <w:pPr>
        <w:pStyle w:val="3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sz w:val="18"/>
          <w:szCs w:val="18"/>
          <w:lang w:val="en-US" w:eastAsia="zh-CN"/>
        </w:rPr>
      </w:pPr>
      <w:r>
        <w:rPr>
          <w:rFonts w:hint="eastAsia"/>
          <w:sz w:val="18"/>
          <w:szCs w:val="18"/>
          <w:lang w:val="en-US" w:eastAsia="zh-CN"/>
        </w:rPr>
        <w:t>说明：</w:t>
      </w:r>
    </w:p>
    <w:p>
      <w:pPr>
        <w:pStyle w:val="3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18"/>
          <w:szCs w:val="18"/>
          <w:lang w:val="en-US" w:eastAsia="zh-CN"/>
        </w:rPr>
      </w:pPr>
      <w:r>
        <w:rPr>
          <w:rFonts w:hint="eastAsia"/>
          <w:sz w:val="18"/>
          <w:szCs w:val="18"/>
          <w:lang w:val="en-US" w:eastAsia="zh-CN"/>
        </w:rPr>
        <w:t>（1）上述各项中“</w:t>
      </w:r>
      <w:r>
        <w:rPr>
          <w:rFonts w:hint="default" w:ascii="Arial" w:hAnsi="Arial" w:cs="Arial"/>
          <w:sz w:val="18"/>
          <w:szCs w:val="18"/>
          <w:lang w:val="en-US" w:eastAsia="zh-CN"/>
        </w:rPr>
        <w:t>√</w:t>
      </w:r>
      <w:r>
        <w:rPr>
          <w:rFonts w:hint="eastAsia"/>
          <w:sz w:val="18"/>
          <w:szCs w:val="18"/>
          <w:lang w:val="en-US" w:eastAsia="zh-CN"/>
        </w:rPr>
        <w:t>”表示合格，“</w:t>
      </w:r>
      <w:r>
        <w:rPr>
          <w:rFonts w:hint="default" w:ascii="Arial" w:hAnsi="Arial" w:cs="Arial"/>
          <w:sz w:val="18"/>
          <w:szCs w:val="18"/>
          <w:lang w:val="en-US" w:eastAsia="zh-CN"/>
        </w:rPr>
        <w:t>×</w:t>
      </w:r>
      <w:r>
        <w:rPr>
          <w:rFonts w:hint="eastAsia"/>
          <w:sz w:val="18"/>
          <w:szCs w:val="18"/>
          <w:lang w:val="en-US" w:eastAsia="zh-CN"/>
        </w:rPr>
        <w:t>”表示不合格；</w:t>
      </w:r>
    </w:p>
    <w:p>
      <w:pPr>
        <w:pStyle w:val="3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18"/>
          <w:szCs w:val="18"/>
          <w:lang w:val="en-US" w:eastAsia="zh-CN"/>
        </w:rPr>
      </w:pPr>
      <w:r>
        <w:rPr>
          <w:rFonts w:hint="eastAsia"/>
          <w:sz w:val="18"/>
          <w:szCs w:val="18"/>
          <w:lang w:val="en-US" w:eastAsia="zh-CN"/>
        </w:rPr>
        <w:t>（2）上述各项中如有一项为“</w:t>
      </w:r>
      <w:r>
        <w:rPr>
          <w:rFonts w:hint="default" w:ascii="Arial" w:hAnsi="Arial" w:cs="Arial"/>
          <w:sz w:val="18"/>
          <w:szCs w:val="18"/>
          <w:lang w:val="en-US" w:eastAsia="zh-CN"/>
        </w:rPr>
        <w:t>×</w:t>
      </w:r>
      <w:r>
        <w:rPr>
          <w:rFonts w:hint="eastAsia"/>
          <w:sz w:val="18"/>
          <w:szCs w:val="18"/>
          <w:lang w:val="en-US" w:eastAsia="zh-CN"/>
        </w:rPr>
        <w:t>”，则结论为“</w:t>
      </w:r>
      <w:r>
        <w:rPr>
          <w:rFonts w:hint="default" w:ascii="Arial" w:hAnsi="Arial" w:cs="Arial"/>
          <w:sz w:val="18"/>
          <w:szCs w:val="18"/>
          <w:lang w:val="en-US" w:eastAsia="zh-CN"/>
        </w:rPr>
        <w:t>×</w:t>
      </w:r>
      <w:r>
        <w:rPr>
          <w:rFonts w:hint="eastAsia"/>
          <w:sz w:val="18"/>
          <w:szCs w:val="18"/>
          <w:lang w:val="en-US" w:eastAsia="zh-CN"/>
        </w:rPr>
        <w:t>”，表示该投标文件中存在重大偏差，不能通过初步评审，评委对某一分项评审认为不合格时，必须要写明原因。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380" w:lineRule="exact"/>
        <w:ind w:firstLine="180" w:firstLineChars="10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（3）磋商文件最终合格与否，以所有评委的评审意见中少数服从多数为原则定论。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380" w:lineRule="exact"/>
        <w:ind w:firstLine="360" w:firstLineChars="20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备注：如果磋商文件中有一项未通过上述审查标准，评审委员会将认定整个磋商文件未响应磋商文件而予以废标处理。</w:t>
      </w:r>
      <w:bookmarkStart w:id="481" w:name="_Toc20930"/>
      <w:bookmarkStart w:id="482" w:name="_Toc25310"/>
      <w:bookmarkStart w:id="483" w:name="_Toc507399904"/>
    </w:p>
    <w:p>
      <w:pPr>
        <w:pStyle w:val="2"/>
        <w:rPr>
          <w:rFonts w:hint="eastAsia" w:ascii="宋体" w:hAnsi="宋体" w:eastAsia="宋体" w:cs="宋体"/>
          <w:b w:val="0"/>
          <w:bCs/>
          <w:color w:val="auto"/>
          <w:sz w:val="24"/>
        </w:rPr>
      </w:pPr>
    </w:p>
    <w:p>
      <w:pPr>
        <w:rPr>
          <w:rFonts w:hint="eastAsia" w:ascii="宋体" w:hAnsi="宋体" w:eastAsia="宋体" w:cs="宋体"/>
          <w:b w:val="0"/>
          <w:bCs/>
          <w:color w:val="auto"/>
          <w:sz w:val="24"/>
        </w:rPr>
      </w:pPr>
    </w:p>
    <w:p>
      <w:pPr>
        <w:pStyle w:val="2"/>
        <w:rPr>
          <w:rFonts w:hint="eastAsia" w:ascii="宋体" w:hAnsi="宋体" w:eastAsia="宋体" w:cs="宋体"/>
          <w:b w:val="0"/>
          <w:bCs/>
          <w:color w:val="auto"/>
          <w:sz w:val="24"/>
        </w:rPr>
      </w:pPr>
    </w:p>
    <w:p>
      <w:pPr>
        <w:rPr>
          <w:rFonts w:hint="eastAsia" w:ascii="宋体" w:hAnsi="宋体" w:eastAsia="宋体" w:cs="宋体"/>
          <w:b w:val="0"/>
          <w:bCs/>
          <w:color w:val="auto"/>
          <w:sz w:val="24"/>
        </w:rPr>
      </w:pPr>
    </w:p>
    <w:p>
      <w:pPr>
        <w:pStyle w:val="11"/>
        <w:tabs>
          <w:tab w:val="clear" w:pos="567"/>
        </w:tabs>
        <w:spacing w:before="0" w:line="360" w:lineRule="exact"/>
        <w:rPr>
          <w:rFonts w:hint="eastAsia" w:ascii="宋体" w:hAnsi="宋体" w:eastAsia="宋体" w:cs="宋体"/>
          <w:b w:val="0"/>
          <w:bCs/>
          <w:i/>
          <w:color w:val="auto"/>
        </w:rPr>
      </w:pPr>
    </w:p>
    <w:p>
      <w:pPr>
        <w:pStyle w:val="31"/>
        <w:rPr>
          <w:rFonts w:hint="eastAsia"/>
        </w:rPr>
      </w:pPr>
    </w:p>
    <w:tbl>
      <w:tblPr>
        <w:tblStyle w:val="37"/>
        <w:tblW w:w="9090" w:type="dxa"/>
        <w:tblInd w:w="-649" w:type="dxa"/>
        <w:tblLayout w:type="fixed"/>
        <w:tblCellMar>
          <w:top w:w="0" w:type="dxa"/>
          <w:left w:w="108" w:type="dxa"/>
          <w:bottom w:w="0" w:type="dxa"/>
          <w:right w:w="108" w:type="dxa"/>
        </w:tblCellMar>
      </w:tblPr>
      <w:tblGrid>
        <w:gridCol w:w="2790"/>
        <w:gridCol w:w="4095"/>
        <w:gridCol w:w="600"/>
        <w:gridCol w:w="780"/>
        <w:gridCol w:w="825"/>
      </w:tblGrid>
      <w:tr>
        <w:tblPrEx>
          <w:tblCellMar>
            <w:top w:w="0" w:type="dxa"/>
            <w:left w:w="108" w:type="dxa"/>
            <w:bottom w:w="0" w:type="dxa"/>
            <w:right w:w="108" w:type="dxa"/>
          </w:tblCellMar>
        </w:tblPrEx>
        <w:trPr>
          <w:trHeight w:val="585" w:hRule="atLeast"/>
        </w:trPr>
        <w:tc>
          <w:tcPr>
            <w:tcW w:w="909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商务符合性审查表</w:t>
            </w:r>
          </w:p>
        </w:tc>
      </w:tr>
      <w:tr>
        <w:tblPrEx>
          <w:tblCellMar>
            <w:top w:w="0" w:type="dxa"/>
            <w:left w:w="108" w:type="dxa"/>
            <w:bottom w:w="0" w:type="dxa"/>
            <w:right w:w="108" w:type="dxa"/>
          </w:tblCellMar>
        </w:tblPrEx>
        <w:trPr>
          <w:trHeight w:val="639" w:hRule="atLeast"/>
        </w:trPr>
        <w:tc>
          <w:tcPr>
            <w:tcW w:w="6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审查事项</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名称及审查</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lang w:eastAsia="zh-CN"/>
              </w:rPr>
              <w:t>磋商文件</w:t>
            </w:r>
            <w:r>
              <w:rPr>
                <w:rFonts w:hint="eastAsia" w:ascii="宋体" w:hAnsi="宋体" w:eastAsia="宋体" w:cs="宋体"/>
                <w:b w:val="0"/>
                <w:bCs/>
                <w:color w:val="auto"/>
                <w:kern w:val="0"/>
                <w:sz w:val="18"/>
                <w:szCs w:val="18"/>
              </w:rPr>
              <w:t>条款（</w:t>
            </w: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须知、</w:t>
            </w: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须知资料表条款号）</w:t>
            </w:r>
          </w:p>
        </w:tc>
        <w:tc>
          <w:tcPr>
            <w:tcW w:w="4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本项目要求</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中小企业投标要求（1.3.6）</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本项目</w:t>
            </w:r>
            <w:r>
              <w:rPr>
                <w:rFonts w:hint="eastAsia" w:ascii="宋体" w:hAnsi="宋体" w:eastAsia="宋体" w:cs="宋体"/>
                <w:b w:val="0"/>
                <w:bCs/>
                <w:i/>
                <w:iCs/>
                <w:color w:val="auto"/>
                <w:kern w:val="0"/>
                <w:sz w:val="18"/>
                <w:szCs w:val="18"/>
                <w:u w:val="single"/>
              </w:rPr>
              <w:t>适用</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联合体投标规定</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（1.4）</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本项目</w:t>
            </w:r>
            <w:r>
              <w:rPr>
                <w:rFonts w:hint="eastAsia" w:ascii="宋体" w:hAnsi="宋体" w:eastAsia="宋体" w:cs="宋体"/>
                <w:b w:val="0"/>
                <w:bCs/>
                <w:i/>
                <w:iCs/>
                <w:color w:val="auto"/>
                <w:kern w:val="0"/>
                <w:sz w:val="18"/>
                <w:szCs w:val="18"/>
                <w:u w:val="single"/>
              </w:rPr>
              <w:t>不接受</w:t>
            </w:r>
            <w:r>
              <w:rPr>
                <w:rFonts w:hint="eastAsia" w:ascii="宋体" w:hAnsi="宋体" w:eastAsia="宋体" w:cs="宋体"/>
                <w:b w:val="0"/>
                <w:bCs/>
                <w:color w:val="auto"/>
                <w:kern w:val="0"/>
                <w:sz w:val="18"/>
                <w:szCs w:val="18"/>
              </w:rPr>
              <w:t>联合体投标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的关联性</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（1.5）</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在同一标包内，单位负责人为非同一人或者不存在直接控股、管理关系的不同</w:t>
            </w: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未发现影响</w:t>
            </w:r>
            <w:r>
              <w:rPr>
                <w:rFonts w:hint="eastAsia" w:ascii="宋体" w:hAnsi="宋体" w:cs="宋体"/>
                <w:b w:val="0"/>
                <w:bCs/>
                <w:color w:val="auto"/>
                <w:kern w:val="0"/>
                <w:sz w:val="18"/>
                <w:szCs w:val="18"/>
                <w:lang w:eastAsia="zh-CN"/>
              </w:rPr>
              <w:t>采购人</w:t>
            </w:r>
            <w:r>
              <w:rPr>
                <w:rFonts w:hint="eastAsia" w:ascii="宋体" w:hAnsi="宋体" w:eastAsia="宋体" w:cs="宋体"/>
                <w:b w:val="0"/>
                <w:bCs/>
                <w:color w:val="auto"/>
                <w:kern w:val="0"/>
                <w:sz w:val="18"/>
                <w:szCs w:val="18"/>
              </w:rPr>
              <w:t>决策行为（1.5）</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在投标过程中未向</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提供、给予任何有价值的物品，影响其正常决策行为。</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满足投标范围的完整性要求（8.1）</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对所投分包</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中所列的所有内容进行投标。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未包含价格调整要求（11.4）</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所报的各分项投标报价在合同履行过程中是固定不变的，不得以任何理由予以变更。</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475"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投标保证金（12.1）</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符合</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要求</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4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投标有效期满足要求（13.1）</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自提交投标文件截止之日起</w:t>
            </w:r>
            <w:r>
              <w:rPr>
                <w:rFonts w:hint="eastAsia" w:ascii="宋体" w:hAnsi="宋体" w:eastAsia="宋体" w:cs="宋体"/>
                <w:b w:val="0"/>
                <w:bCs/>
                <w:color w:val="auto"/>
                <w:sz w:val="18"/>
                <w:szCs w:val="18"/>
                <w:u w:val="single"/>
              </w:rPr>
              <w:t>60 日</w:t>
            </w:r>
            <w:r>
              <w:rPr>
                <w:rFonts w:hint="eastAsia" w:ascii="宋体" w:hAnsi="宋体" w:eastAsia="宋体" w:cs="宋体"/>
                <w:b w:val="0"/>
                <w:bCs/>
                <w:color w:val="auto"/>
                <w:sz w:val="18"/>
                <w:szCs w:val="18"/>
              </w:rPr>
              <w:t>历日</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4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投标文件的装订方式（14.3）</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所有投标文件采用不可拆装的胶订方式装订</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投标文件的签署和盖章符合要求</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（14.2、14.4）</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规定要求签署、盖章。</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接受价格的算术修正（20.3）</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投标文件报价出现前后不一致的，应按照</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规定的顺序修正。修正后的报价经</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确认后产生约束力。</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未发现串通投标（22.2）</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未与其他</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串通投标，或者与</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串通投标。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报价说明可以接受（22.2）</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的报价明显低于其他通过符合性检查</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的报价，有可能影响履约的，</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能按照规定证明其报价合理性。</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无</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不能接受的附加</w:t>
            </w:r>
            <w:r>
              <w:rPr>
                <w:rFonts w:hint="eastAsia" w:ascii="宋体" w:hAnsi="宋体" w:cs="宋体"/>
                <w:b w:val="0"/>
                <w:bCs/>
                <w:color w:val="auto"/>
                <w:sz w:val="18"/>
                <w:szCs w:val="18"/>
                <w:lang w:val="en-US" w:eastAsia="zh-CN"/>
              </w:rPr>
              <w:t xml:space="preserve">     </w:t>
            </w:r>
            <w:r>
              <w:rPr>
                <w:rFonts w:hint="eastAsia" w:ascii="宋体" w:hAnsi="宋体" w:eastAsia="宋体" w:cs="宋体"/>
                <w:b w:val="0"/>
                <w:bCs/>
                <w:color w:val="auto"/>
                <w:sz w:val="18"/>
                <w:szCs w:val="18"/>
              </w:rPr>
              <w:t>条件（22.2）</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投标文件未含有</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不能接受的附加条件。</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249" w:hRule="atLeast"/>
        </w:trPr>
        <w:tc>
          <w:tcPr>
            <w:tcW w:w="6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结论（通过/不通过）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p>
        </w:tc>
      </w:tr>
    </w:tbl>
    <w:p>
      <w:pPr>
        <w:pStyle w:val="35"/>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sz w:val="18"/>
          <w:szCs w:val="18"/>
          <w:lang w:val="en-US" w:eastAsia="zh-CN"/>
        </w:rPr>
      </w:pPr>
      <w:r>
        <w:rPr>
          <w:rFonts w:hint="eastAsia"/>
          <w:sz w:val="18"/>
          <w:szCs w:val="18"/>
          <w:lang w:val="en-US" w:eastAsia="zh-CN"/>
        </w:rPr>
        <w:t>说明：</w:t>
      </w:r>
    </w:p>
    <w:p>
      <w:pPr>
        <w:pStyle w:val="35"/>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lang w:val="en-US" w:eastAsia="zh-CN"/>
        </w:rPr>
      </w:pPr>
      <w:r>
        <w:rPr>
          <w:rFonts w:hint="eastAsia"/>
          <w:sz w:val="18"/>
          <w:szCs w:val="18"/>
          <w:lang w:val="en-US" w:eastAsia="zh-CN"/>
        </w:rPr>
        <w:t>（1）上述各项中“</w:t>
      </w:r>
      <w:r>
        <w:rPr>
          <w:rFonts w:hint="default" w:ascii="Arial" w:hAnsi="Arial" w:cs="Arial"/>
          <w:sz w:val="18"/>
          <w:szCs w:val="18"/>
          <w:lang w:val="en-US" w:eastAsia="zh-CN"/>
        </w:rPr>
        <w:t>√</w:t>
      </w:r>
      <w:r>
        <w:rPr>
          <w:rFonts w:hint="eastAsia"/>
          <w:sz w:val="18"/>
          <w:szCs w:val="18"/>
          <w:lang w:val="en-US" w:eastAsia="zh-CN"/>
        </w:rPr>
        <w:t>”表示合格，“</w:t>
      </w:r>
      <w:r>
        <w:rPr>
          <w:rFonts w:hint="default" w:ascii="Arial" w:hAnsi="Arial" w:cs="Arial"/>
          <w:sz w:val="18"/>
          <w:szCs w:val="18"/>
          <w:lang w:val="en-US" w:eastAsia="zh-CN"/>
        </w:rPr>
        <w:t>×</w:t>
      </w:r>
      <w:r>
        <w:rPr>
          <w:rFonts w:hint="eastAsia"/>
          <w:sz w:val="18"/>
          <w:szCs w:val="18"/>
          <w:lang w:val="en-US" w:eastAsia="zh-CN"/>
        </w:rPr>
        <w:t>”表示不合格；</w:t>
      </w:r>
    </w:p>
    <w:p>
      <w:pPr>
        <w:pStyle w:val="35"/>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lang w:val="en-US" w:eastAsia="zh-CN"/>
        </w:rPr>
      </w:pPr>
      <w:r>
        <w:rPr>
          <w:rFonts w:hint="eastAsia"/>
          <w:sz w:val="18"/>
          <w:szCs w:val="18"/>
          <w:lang w:val="en-US" w:eastAsia="zh-CN"/>
        </w:rPr>
        <w:t>（2）上述各项中如有一项为“</w:t>
      </w:r>
      <w:r>
        <w:rPr>
          <w:rFonts w:hint="default" w:ascii="Arial" w:hAnsi="Arial" w:cs="Arial"/>
          <w:sz w:val="18"/>
          <w:szCs w:val="18"/>
          <w:lang w:val="en-US" w:eastAsia="zh-CN"/>
        </w:rPr>
        <w:t>×</w:t>
      </w:r>
      <w:r>
        <w:rPr>
          <w:rFonts w:hint="eastAsia"/>
          <w:sz w:val="18"/>
          <w:szCs w:val="18"/>
          <w:lang w:val="en-US" w:eastAsia="zh-CN"/>
        </w:rPr>
        <w:t>”，则结论为“</w:t>
      </w:r>
      <w:r>
        <w:rPr>
          <w:rFonts w:hint="default" w:ascii="Arial" w:hAnsi="Arial" w:cs="Arial"/>
          <w:sz w:val="18"/>
          <w:szCs w:val="18"/>
          <w:lang w:val="en-US" w:eastAsia="zh-CN"/>
        </w:rPr>
        <w:t>×</w:t>
      </w:r>
      <w:r>
        <w:rPr>
          <w:rFonts w:hint="eastAsia"/>
          <w:sz w:val="18"/>
          <w:szCs w:val="18"/>
          <w:lang w:val="en-US" w:eastAsia="zh-CN"/>
        </w:rPr>
        <w:t>”，表示该投标文件中存在重大偏差，不能通过初步评审，评委对某一分项评审认为不合格时，必须要写明原因。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260" w:lineRule="exact"/>
        <w:ind w:firstLine="180" w:firstLineChars="10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（3）磋商文件最终合格与否，以所有评委的评审意见中少数服从多数为原则定论。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260" w:lineRule="exact"/>
        <w:ind w:firstLine="361" w:firstLineChars="20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rPr>
        <w:t>备注：如果磋商文件中有一项未通过上述审查标准，评审委员会将认定整个磋商文件未响应磋商文件而予以废标处理。</w:t>
      </w:r>
    </w:p>
    <w:p>
      <w:pPr>
        <w:pStyle w:val="11"/>
        <w:keepNext w:val="0"/>
        <w:keepLines w:val="0"/>
        <w:pageBreakBefore w:val="0"/>
        <w:widowControl w:val="0"/>
        <w:tabs>
          <w:tab w:val="clear" w:pos="567"/>
        </w:tabs>
        <w:kinsoku/>
        <w:wordWrap/>
        <w:overflowPunct/>
        <w:topLinePunct w:val="0"/>
        <w:autoSpaceDE/>
        <w:autoSpaceDN/>
        <w:bidi w:val="0"/>
        <w:adjustRightInd/>
        <w:snapToGrid/>
        <w:spacing w:before="0" w:line="260" w:lineRule="exact"/>
        <w:ind w:left="-181" w:leftChars="-86" w:firstLine="660" w:firstLineChars="275"/>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rPr>
        <w:br w:type="page"/>
      </w:r>
    </w:p>
    <w:p>
      <w:pPr>
        <w:pStyle w:val="36"/>
        <w:ind w:left="0" w:leftChars="0" w:firstLine="0" w:firstLineChars="0"/>
        <w:rPr>
          <w:rFonts w:hint="eastAsia" w:ascii="宋体" w:hAnsi="宋体" w:eastAsia="宋体" w:cs="宋体"/>
          <w:b w:val="0"/>
          <w:bCs/>
          <w:color w:val="auto"/>
          <w:sz w:val="28"/>
          <w:szCs w:val="28"/>
        </w:rPr>
      </w:pPr>
    </w:p>
    <w:bookmarkEnd w:id="481"/>
    <w:bookmarkEnd w:id="482"/>
    <w:p>
      <w:pPr>
        <w:pStyle w:val="2"/>
        <w:ind w:firstLine="0"/>
        <w:jc w:val="center"/>
        <w:outlineLvl w:val="1"/>
        <w:rPr>
          <w:rFonts w:hint="eastAsia" w:ascii="宋体" w:hAnsi="宋体" w:eastAsia="宋体" w:cs="宋体"/>
          <w:b w:val="0"/>
          <w:bCs/>
          <w:color w:val="auto"/>
          <w:sz w:val="21"/>
          <w:szCs w:val="21"/>
        </w:rPr>
      </w:pPr>
      <w:bookmarkStart w:id="484" w:name="_Toc8966"/>
      <w:bookmarkStart w:id="485" w:name="_Toc29006"/>
      <w:bookmarkStart w:id="486" w:name="_Toc21350"/>
      <w:bookmarkStart w:id="487" w:name="_Toc359"/>
      <w:bookmarkStart w:id="488" w:name="_Toc20505"/>
      <w:bookmarkStart w:id="489" w:name="_Toc21392"/>
      <w:bookmarkStart w:id="490" w:name="_Toc5375"/>
      <w:bookmarkStart w:id="491" w:name="_Toc31737"/>
      <w:bookmarkStart w:id="492" w:name="_Toc11449"/>
      <w:bookmarkStart w:id="493" w:name="_Toc4034"/>
      <w:bookmarkStart w:id="494" w:name="_Toc11123"/>
      <w:bookmarkStart w:id="495" w:name="_Toc17586"/>
      <w:bookmarkStart w:id="496" w:name="_Toc3812"/>
      <w:bookmarkStart w:id="497" w:name="_Toc19967"/>
      <w:bookmarkStart w:id="498" w:name="_Toc29025"/>
      <w:r>
        <w:rPr>
          <w:rFonts w:hint="eastAsia" w:ascii="宋体" w:hAnsi="宋体" w:eastAsia="宋体" w:cs="宋体"/>
          <w:b w:val="0"/>
          <w:bCs/>
          <w:color w:val="auto"/>
          <w:sz w:val="32"/>
        </w:rPr>
        <w:t>综合评分表</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tbl>
      <w:tblPr>
        <w:tblStyle w:val="38"/>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42"/>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69" w:type="dxa"/>
            <w:vAlign w:val="center"/>
          </w:tcPr>
          <w:p>
            <w:pPr>
              <w:keepNext w:val="0"/>
              <w:keepLines w:val="0"/>
              <w:pageBreakBefore w:val="0"/>
              <w:widowControl/>
              <w:kinsoku/>
              <w:wordWrap/>
              <w:overflowPunct/>
              <w:topLinePunct w:val="0"/>
              <w:bidi w:val="0"/>
              <w:spacing w:line="380" w:lineRule="exact"/>
              <w:jc w:val="center"/>
              <w:textAlignment w:val="auto"/>
              <w:rPr>
                <w:rFonts w:hint="eastAsia" w:ascii="宋体" w:hAnsi="宋体" w:eastAsia="宋体" w:cs="宋体"/>
                <w:b w:val="0"/>
                <w:bCs/>
                <w:color w:val="auto"/>
                <w:kern w:val="0"/>
                <w:sz w:val="18"/>
                <w:szCs w:val="18"/>
                <w:highlight w:val="yellow"/>
                <w:lang w:eastAsia="zh-CN"/>
              </w:rPr>
            </w:pPr>
            <w:r>
              <w:rPr>
                <w:rFonts w:hint="eastAsia" w:ascii="宋体" w:hAnsi="宋体" w:eastAsia="宋体" w:cs="宋体"/>
                <w:b w:val="0"/>
                <w:bCs/>
                <w:color w:val="auto"/>
                <w:kern w:val="0"/>
                <w:sz w:val="18"/>
                <w:szCs w:val="18"/>
                <w:lang w:val="en-US" w:eastAsia="zh-CN"/>
              </w:rPr>
              <w:t>评标因素</w:t>
            </w:r>
          </w:p>
        </w:tc>
        <w:tc>
          <w:tcPr>
            <w:tcW w:w="7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color w:val="auto"/>
                <w:kern w:val="0"/>
                <w:sz w:val="18"/>
                <w:szCs w:val="18"/>
                <w:highlight w:val="yellow"/>
                <w:lang w:val="en-US" w:eastAsia="zh-CN"/>
              </w:rPr>
            </w:pPr>
            <w:r>
              <w:rPr>
                <w:rFonts w:hint="eastAsia" w:ascii="宋体" w:hAnsi="宋体" w:eastAsia="宋体" w:cs="宋体"/>
                <w:b w:val="0"/>
                <w:bCs/>
                <w:color w:val="auto"/>
                <w:kern w:val="0"/>
                <w:sz w:val="18"/>
                <w:szCs w:val="18"/>
              </w:rPr>
              <w:t>分值</w:t>
            </w:r>
            <w:r>
              <w:rPr>
                <w:rFonts w:hint="eastAsia" w:ascii="宋体" w:hAnsi="宋体" w:cs="宋体"/>
                <w:b w:val="0"/>
                <w:bCs/>
                <w:color w:val="auto"/>
                <w:kern w:val="0"/>
                <w:sz w:val="18"/>
                <w:szCs w:val="18"/>
                <w:lang w:val="en-US" w:eastAsia="zh-CN"/>
              </w:rPr>
              <w:t>(分）</w:t>
            </w:r>
          </w:p>
        </w:tc>
        <w:tc>
          <w:tcPr>
            <w:tcW w:w="6158" w:type="dxa"/>
            <w:vAlign w:val="center"/>
          </w:tcPr>
          <w:p>
            <w:pPr>
              <w:keepNext w:val="0"/>
              <w:keepLines w:val="0"/>
              <w:pageBreakBefore w:val="0"/>
              <w:widowControl/>
              <w:kinsoku/>
              <w:wordWrap/>
              <w:overflowPunct/>
              <w:topLinePunct w:val="0"/>
              <w:bidi w:val="0"/>
              <w:spacing w:line="38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0"/>
                <w:sz w:val="18"/>
                <w:szCs w:val="18"/>
              </w:rPr>
              <w:t>评分</w:t>
            </w:r>
            <w:r>
              <w:rPr>
                <w:rFonts w:hint="eastAsia" w:ascii="宋体" w:hAnsi="宋体" w:cs="宋体"/>
                <w:b w:val="0"/>
                <w:bCs/>
                <w:color w:val="auto"/>
                <w:kern w:val="0"/>
                <w:sz w:val="18"/>
                <w:szCs w:val="18"/>
                <w:lang w:val="en-US" w:eastAsia="zh-CN"/>
              </w:rPr>
              <w:t>说明</w:t>
            </w:r>
            <w:r>
              <w:rPr>
                <w:rFonts w:hint="eastAsia" w:ascii="宋体" w:hAnsi="宋体" w:eastAsia="宋体" w:cs="宋体"/>
                <w:b w:val="0"/>
                <w:bCs/>
                <w:color w:val="auto"/>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269" w:type="dxa"/>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rPr>
              <w:t>投标报价</w:t>
            </w:r>
            <w:r>
              <w:rPr>
                <w:rFonts w:hint="eastAsia" w:ascii="宋体" w:hAnsi="宋体" w:cs="宋体"/>
                <w:b w:val="0"/>
                <w:bCs/>
                <w:color w:val="auto"/>
                <w:kern w:val="0"/>
                <w:sz w:val="18"/>
                <w:szCs w:val="18"/>
                <w:highlight w:val="none"/>
                <w:lang w:val="en-US" w:eastAsia="zh-CN"/>
              </w:rPr>
              <w:t xml:space="preserve">  </w:t>
            </w:r>
            <w:r>
              <w:rPr>
                <w:rFonts w:hint="eastAsia" w:ascii="宋体" w:hAnsi="宋体" w:eastAsia="宋体" w:cs="宋体"/>
                <w:b w:val="0"/>
                <w:bCs/>
                <w:color w:val="auto"/>
                <w:kern w:val="0"/>
                <w:sz w:val="18"/>
                <w:szCs w:val="18"/>
                <w:highlight w:val="none"/>
              </w:rPr>
              <w:t>得分</w:t>
            </w:r>
          </w:p>
        </w:tc>
        <w:tc>
          <w:tcPr>
            <w:tcW w:w="742" w:type="dxa"/>
            <w:vAlign w:val="center"/>
          </w:tcPr>
          <w:p>
            <w:pPr>
              <w:keepNext w:val="0"/>
              <w:keepLines w:val="0"/>
              <w:pageBreakBefore w:val="0"/>
              <w:widowControl/>
              <w:kinsoku/>
              <w:wordWrap/>
              <w:overflowPunct/>
              <w:topLinePunct w:val="0"/>
              <w:bidi w:val="0"/>
              <w:spacing w:line="380" w:lineRule="exact"/>
              <w:jc w:val="center"/>
              <w:textAlignment w:val="auto"/>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30</w:t>
            </w:r>
          </w:p>
        </w:tc>
        <w:tc>
          <w:tcPr>
            <w:tcW w:w="6158" w:type="dxa"/>
            <w:vAlign w:val="center"/>
          </w:tcPr>
          <w:p>
            <w:pPr>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综合评分法中的价格分统一采用低价优先法计算，即满足招标文件各项商务及技术要求的前提下，投标价格最低的投标报价为评标基准价，其价格分为满分。其他投标人的价格分统一按照下列公式计算：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9"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技术</w:t>
            </w:r>
            <w:r>
              <w:rPr>
                <w:rFonts w:hint="eastAsia" w:ascii="宋体" w:hAnsi="宋体" w:eastAsia="宋体" w:cs="宋体"/>
                <w:b w:val="0"/>
                <w:bCs/>
                <w:color w:val="auto"/>
                <w:sz w:val="18"/>
                <w:szCs w:val="18"/>
                <w:lang w:eastAsia="zh-CN"/>
              </w:rPr>
              <w:t>、</w:t>
            </w:r>
            <w:r>
              <w:rPr>
                <w:rFonts w:hint="eastAsia" w:ascii="宋体" w:hAnsi="宋体" w:cs="宋体"/>
                <w:b w:val="0"/>
                <w:bCs/>
                <w:color w:val="auto"/>
                <w:sz w:val="18"/>
                <w:szCs w:val="18"/>
                <w:lang w:val="en-US" w:eastAsia="zh-CN"/>
              </w:rPr>
              <w:t xml:space="preserve"> </w:t>
            </w:r>
            <w:r>
              <w:rPr>
                <w:rFonts w:hint="eastAsia" w:ascii="宋体" w:hAnsi="宋体" w:eastAsia="宋体" w:cs="宋体"/>
                <w:b w:val="0"/>
                <w:bCs/>
                <w:color w:val="auto"/>
                <w:sz w:val="18"/>
                <w:szCs w:val="18"/>
                <w:lang w:eastAsia="zh-CN"/>
              </w:rPr>
              <w:t>商务</w:t>
            </w:r>
            <w:r>
              <w:rPr>
                <w:rFonts w:hint="eastAsia" w:ascii="宋体" w:hAnsi="宋体" w:eastAsia="宋体" w:cs="宋体"/>
                <w:b w:val="0"/>
                <w:bCs/>
                <w:color w:val="auto"/>
                <w:sz w:val="18"/>
                <w:szCs w:val="18"/>
              </w:rPr>
              <w:t>部分</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70</w:t>
            </w:r>
          </w:p>
        </w:tc>
        <w:tc>
          <w:tcPr>
            <w:tcW w:w="6158" w:type="dxa"/>
            <w:vAlign w:val="center"/>
          </w:tcPr>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参数</w:t>
            </w:r>
            <w:r>
              <w:rPr>
                <w:rFonts w:hint="eastAsia" w:ascii="宋体" w:hAnsi="宋体" w:cs="宋体"/>
                <w:b w:val="0"/>
                <w:bCs/>
                <w:color w:val="auto"/>
                <w:sz w:val="18"/>
                <w:szCs w:val="18"/>
                <w:lang w:val="en-US" w:eastAsia="zh-CN"/>
              </w:rPr>
              <w:t>工程量</w:t>
            </w:r>
            <w:r>
              <w:rPr>
                <w:rFonts w:hint="eastAsia" w:ascii="宋体" w:hAnsi="宋体" w:eastAsia="宋体" w:cs="宋体"/>
                <w:b w:val="0"/>
                <w:bCs/>
                <w:color w:val="auto"/>
                <w:sz w:val="18"/>
                <w:szCs w:val="18"/>
              </w:rPr>
              <w:t>响应情况</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10</w:t>
            </w:r>
          </w:p>
        </w:tc>
        <w:tc>
          <w:tcPr>
            <w:tcW w:w="6158" w:type="dxa"/>
            <w:vAlign w:val="center"/>
          </w:tcPr>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rPr>
              <w:t>根据</w:t>
            </w:r>
            <w:r>
              <w:rPr>
                <w:rFonts w:hint="eastAsia" w:ascii="宋体" w:hAnsi="宋体" w:cs="宋体"/>
                <w:b w:val="0"/>
                <w:bCs/>
                <w:color w:val="auto"/>
                <w:sz w:val="18"/>
                <w:szCs w:val="18"/>
                <w:lang w:val="en-US" w:eastAsia="zh-CN"/>
              </w:rPr>
              <w:t>参数工程量完整程度</w:t>
            </w:r>
            <w:r>
              <w:rPr>
                <w:rFonts w:hint="eastAsia" w:ascii="宋体" w:hAnsi="宋体" w:eastAsia="宋体" w:cs="宋体"/>
                <w:b w:val="0"/>
                <w:bCs/>
                <w:color w:val="auto"/>
                <w:sz w:val="18"/>
                <w:szCs w:val="18"/>
                <w:lang w:val="en-US"/>
              </w:rPr>
              <w:t>，</w:t>
            </w:r>
            <w:r>
              <w:rPr>
                <w:rFonts w:hint="eastAsia" w:ascii="宋体" w:hAnsi="宋体" w:eastAsia="宋体" w:cs="宋体"/>
                <w:b w:val="0"/>
                <w:bCs/>
                <w:color w:val="auto"/>
                <w:kern w:val="2"/>
                <w:sz w:val="18"/>
                <w:szCs w:val="18"/>
                <w:highlight w:val="none"/>
                <w:lang w:val="en-US" w:eastAsia="zh-CN" w:bidi="ar-SA"/>
              </w:rPr>
              <w:t>完整填报得</w:t>
            </w:r>
            <w:r>
              <w:rPr>
                <w:rFonts w:hint="eastAsia" w:ascii="宋体" w:hAnsi="宋体" w:cs="宋体"/>
                <w:b w:val="0"/>
                <w:bCs/>
                <w:color w:val="auto"/>
                <w:kern w:val="2"/>
                <w:sz w:val="18"/>
                <w:szCs w:val="18"/>
                <w:highlight w:val="none"/>
                <w:lang w:val="en-US" w:eastAsia="zh-CN" w:bidi="ar-SA"/>
              </w:rPr>
              <w:t>5</w:t>
            </w:r>
            <w:r>
              <w:rPr>
                <w:rFonts w:hint="eastAsia" w:ascii="宋体" w:hAnsi="宋体" w:eastAsia="宋体" w:cs="宋体"/>
                <w:b w:val="0"/>
                <w:bCs/>
                <w:color w:val="auto"/>
                <w:kern w:val="2"/>
                <w:sz w:val="18"/>
                <w:szCs w:val="18"/>
                <w:highlight w:val="none"/>
                <w:lang w:val="en-US" w:eastAsia="zh-CN" w:bidi="ar-SA"/>
              </w:rPr>
              <w:t>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没有格式上错误得</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没有漏项、增项各得</w:t>
            </w: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分</w:t>
            </w:r>
            <w:r>
              <w:rPr>
                <w:rFonts w:hint="eastAsia" w:ascii="宋体" w:hAnsi="宋体" w:cs="宋体"/>
                <w:b w:val="0"/>
                <w:bCs/>
                <w:color w:val="auto"/>
                <w:kern w:val="2"/>
                <w:sz w:val="18"/>
                <w:szCs w:val="1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kern w:val="2"/>
                <w:sz w:val="18"/>
                <w:szCs w:val="18"/>
                <w:highlight w:val="yellow"/>
                <w:lang w:val="en-US" w:eastAsia="zh-CN" w:bidi="ar-SA"/>
              </w:rPr>
            </w:pPr>
            <w:r>
              <w:rPr>
                <w:rFonts w:hint="eastAsia" w:ascii="宋体" w:hAnsi="宋体" w:eastAsia="宋体" w:cs="宋体"/>
                <w:b w:val="0"/>
                <w:bCs/>
                <w:color w:val="auto"/>
                <w:sz w:val="18"/>
                <w:szCs w:val="18"/>
                <w:highlight w:val="none"/>
              </w:rPr>
              <w:t>项目管理</w:t>
            </w:r>
            <w:r>
              <w:rPr>
                <w:rFonts w:hint="eastAsia" w:ascii="宋体" w:hAnsi="宋体" w:cs="宋体"/>
                <w:b w:val="0"/>
                <w:bCs/>
                <w:color w:val="auto"/>
                <w:sz w:val="18"/>
                <w:szCs w:val="18"/>
                <w:highlight w:val="none"/>
                <w:lang w:val="en-US" w:eastAsia="zh-CN"/>
              </w:rPr>
              <w:t xml:space="preserve">   </w:t>
            </w:r>
            <w:r>
              <w:rPr>
                <w:rFonts w:hint="eastAsia" w:ascii="宋体" w:hAnsi="宋体" w:eastAsia="宋体" w:cs="宋体"/>
                <w:b w:val="0"/>
                <w:bCs/>
                <w:color w:val="auto"/>
                <w:sz w:val="18"/>
                <w:szCs w:val="18"/>
                <w:highlight w:val="none"/>
              </w:rPr>
              <w:t>人员</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5</w:t>
            </w:r>
          </w:p>
        </w:tc>
        <w:tc>
          <w:tcPr>
            <w:tcW w:w="6158" w:type="dxa"/>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项目经理、项目技术负责人、</w:t>
            </w:r>
            <w:r>
              <w:rPr>
                <w:rFonts w:hint="eastAsia" w:ascii="宋体" w:hAnsi="宋体" w:cs="宋体"/>
                <w:b w:val="0"/>
                <w:bCs/>
                <w:color w:val="auto"/>
                <w:sz w:val="18"/>
                <w:szCs w:val="18"/>
                <w:highlight w:val="none"/>
                <w:lang w:val="en-US" w:eastAsia="zh-CN"/>
              </w:rPr>
              <w:t>质检员</w:t>
            </w:r>
            <w:r>
              <w:rPr>
                <w:rFonts w:hint="eastAsia" w:ascii="宋体" w:hAnsi="宋体" w:eastAsia="宋体" w:cs="宋体"/>
                <w:b w:val="0"/>
                <w:bCs/>
                <w:color w:val="auto"/>
                <w:sz w:val="18"/>
                <w:szCs w:val="18"/>
                <w:highlight w:val="none"/>
                <w:lang w:val="en-US" w:eastAsia="zh-CN"/>
              </w:rPr>
              <w:t>、安全员、试验员</w:t>
            </w:r>
            <w:r>
              <w:rPr>
                <w:rFonts w:hint="eastAsia" w:ascii="宋体" w:hAnsi="宋体" w:cs="宋体"/>
                <w:b w:val="0"/>
                <w:bCs/>
                <w:color w:val="auto"/>
                <w:sz w:val="18"/>
                <w:szCs w:val="18"/>
                <w:highlight w:val="none"/>
                <w:lang w:val="en-US" w:eastAsia="zh-CN"/>
              </w:rPr>
              <w:t>、</w:t>
            </w:r>
            <w:r>
              <w:rPr>
                <w:rFonts w:hint="eastAsia" w:ascii="宋体" w:hAnsi="宋体" w:eastAsia="宋体" w:cs="宋体"/>
                <w:b w:val="0"/>
                <w:bCs/>
                <w:color w:val="auto"/>
                <w:sz w:val="18"/>
                <w:szCs w:val="18"/>
                <w:highlight w:val="none"/>
                <w:lang w:val="en-US" w:eastAsia="zh-CN"/>
              </w:rPr>
              <w:t>材料员、预算员配备齐全，人员需有上岗证复印件附上，全部提供得</w:t>
            </w:r>
            <w:r>
              <w:rPr>
                <w:rFonts w:hint="eastAsia" w:ascii="宋体" w:hAnsi="宋体" w:cs="宋体"/>
                <w:b w:val="0"/>
                <w:bCs/>
                <w:color w:val="auto"/>
                <w:sz w:val="18"/>
                <w:szCs w:val="18"/>
                <w:highlight w:val="none"/>
                <w:lang w:val="en-US" w:eastAsia="zh-CN"/>
              </w:rPr>
              <w:t>5</w:t>
            </w:r>
            <w:r>
              <w:rPr>
                <w:rFonts w:hint="eastAsia" w:ascii="宋体" w:hAnsi="宋体" w:eastAsia="宋体" w:cs="宋体"/>
                <w:b w:val="0"/>
                <w:bCs/>
                <w:color w:val="auto"/>
                <w:sz w:val="18"/>
                <w:szCs w:val="18"/>
                <w:highlight w:val="none"/>
                <w:lang w:val="en-US" w:eastAsia="zh-CN"/>
              </w:rPr>
              <w:t>分</w:t>
            </w:r>
            <w:r>
              <w:rPr>
                <w:rFonts w:hint="eastAsia" w:ascii="宋体" w:hAnsi="宋体" w:cs="宋体"/>
                <w:b w:val="0"/>
                <w:bCs/>
                <w:color w:val="auto"/>
                <w:sz w:val="18"/>
                <w:szCs w:val="18"/>
                <w:highlight w:val="none"/>
                <w:lang w:val="en-US" w:eastAsia="zh-CN"/>
              </w:rPr>
              <w:t>，否则0分</w:t>
            </w:r>
            <w:r>
              <w:rPr>
                <w:rFonts w:hint="eastAsia" w:ascii="宋体" w:hAnsi="宋体" w:eastAsia="宋体" w:cs="宋体"/>
                <w:b w:val="0"/>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269"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业绩</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5</w:t>
            </w:r>
          </w:p>
        </w:tc>
        <w:tc>
          <w:tcPr>
            <w:tcW w:w="6158" w:type="dxa"/>
            <w:vAlign w:val="center"/>
          </w:tcPr>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提供近</w:t>
            </w:r>
            <w:r>
              <w:rPr>
                <w:rFonts w:hint="eastAsia" w:ascii="宋体" w:hAnsi="宋体" w:cs="宋体"/>
                <w:b w:val="0"/>
                <w:bCs/>
                <w:color w:val="auto"/>
                <w:sz w:val="18"/>
                <w:szCs w:val="18"/>
                <w:lang w:val="en-US" w:eastAsia="zh-CN"/>
              </w:rPr>
              <w:t>二</w:t>
            </w:r>
            <w:r>
              <w:rPr>
                <w:rFonts w:hint="eastAsia" w:ascii="宋体" w:hAnsi="宋体" w:eastAsia="宋体" w:cs="宋体"/>
                <w:b w:val="0"/>
                <w:bCs/>
                <w:color w:val="auto"/>
                <w:sz w:val="18"/>
                <w:szCs w:val="18"/>
              </w:rPr>
              <w:t>年内建设规模、结构类型、使用功能相似业绩</w:t>
            </w:r>
            <w:r>
              <w:rPr>
                <w:rFonts w:hint="eastAsia" w:ascii="宋体" w:hAnsi="宋体" w:cs="宋体"/>
                <w:b w:val="0"/>
                <w:bCs/>
                <w:color w:val="auto"/>
                <w:sz w:val="18"/>
                <w:szCs w:val="18"/>
                <w:lang w:val="en-US" w:eastAsia="zh-CN"/>
              </w:rPr>
              <w:t>不低于本工程项目金额的</w:t>
            </w:r>
            <w:r>
              <w:rPr>
                <w:rFonts w:hint="eastAsia" w:ascii="宋体" w:hAnsi="宋体" w:eastAsia="宋体" w:cs="宋体"/>
                <w:b w:val="0"/>
                <w:bCs/>
                <w:color w:val="auto"/>
                <w:sz w:val="18"/>
                <w:szCs w:val="18"/>
              </w:rPr>
              <w:t>证明材料</w:t>
            </w:r>
            <w:r>
              <w:rPr>
                <w:rFonts w:hint="eastAsia" w:ascii="宋体" w:hAnsi="宋体" w:cs="宋体"/>
                <w:b w:val="0"/>
                <w:bCs/>
                <w:color w:val="auto"/>
                <w:sz w:val="18"/>
                <w:szCs w:val="18"/>
                <w:lang w:eastAsia="zh-CN"/>
              </w:rPr>
              <w:t>，</w:t>
            </w:r>
            <w:r>
              <w:rPr>
                <w:rFonts w:hint="eastAsia" w:ascii="宋体" w:hAnsi="宋体" w:eastAsia="宋体" w:cs="宋体"/>
                <w:b w:val="0"/>
                <w:bCs/>
                <w:color w:val="auto"/>
                <w:sz w:val="18"/>
                <w:szCs w:val="18"/>
              </w:rPr>
              <w:t>后附中标通知书、合同、五方单位竣工验收意见表截图，每提供一个得</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分，共</w:t>
            </w: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rPr>
              <w:t>分。以提供的后附中标通知书、合同、五方单位竣工验收意见表截图为准</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（三者需同时具备且提供的资料须能体现</w:t>
            </w:r>
            <w:r>
              <w:rPr>
                <w:rFonts w:hint="eastAsia" w:ascii="宋体" w:hAnsi="宋体" w:eastAsia="宋体" w:cs="宋体"/>
                <w:b w:val="0"/>
                <w:bCs/>
                <w:color w:val="auto"/>
                <w:sz w:val="18"/>
                <w:szCs w:val="18"/>
                <w:lang w:val="en-US" w:eastAsia="zh-CN"/>
              </w:rPr>
              <w:t>建设</w:t>
            </w:r>
            <w:r>
              <w:rPr>
                <w:rFonts w:hint="eastAsia" w:ascii="宋体" w:hAnsi="宋体" w:eastAsia="宋体" w:cs="宋体"/>
                <w:b w:val="0"/>
                <w:bCs/>
                <w:color w:val="auto"/>
                <w:sz w:val="18"/>
                <w:szCs w:val="18"/>
              </w:rPr>
              <w:t>内容，否则属于无效资料</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如有提供虚假</w:t>
            </w:r>
            <w:r>
              <w:rPr>
                <w:rFonts w:hint="eastAsia" w:ascii="宋体" w:hAnsi="宋体" w:eastAsia="宋体" w:cs="宋体"/>
                <w:b w:val="0"/>
                <w:bCs/>
                <w:color w:val="auto"/>
                <w:sz w:val="18"/>
                <w:szCs w:val="18"/>
                <w:lang w:val="en-US" w:eastAsia="zh-CN"/>
              </w:rPr>
              <w:t>资料</w:t>
            </w:r>
            <w:r>
              <w:rPr>
                <w:rFonts w:hint="eastAsia" w:ascii="宋体" w:hAnsi="宋体" w:eastAsia="宋体" w:cs="宋体"/>
                <w:b w:val="0"/>
                <w:bCs/>
                <w:color w:val="auto"/>
                <w:sz w:val="18"/>
                <w:szCs w:val="18"/>
              </w:rPr>
              <w:t>，中标后取消中标资格。）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全面性</w:t>
            </w:r>
          </w:p>
        </w:tc>
        <w:tc>
          <w:tcPr>
            <w:tcW w:w="742" w:type="dxa"/>
            <w:vAlign w:val="center"/>
          </w:tcPr>
          <w:p>
            <w:pPr>
              <w:widowControl/>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在确保工程质量前提下，有降低成本、缩短工期、减轻劳动强度提高进度提案者得</w:t>
            </w:r>
            <w:r>
              <w:rPr>
                <w:rFonts w:hint="eastAsia" w:ascii="宋体" w:hAnsi="宋体" w:cs="宋体"/>
                <w:b w:val="0"/>
                <w:bCs/>
                <w:color w:val="auto"/>
                <w:sz w:val="18"/>
                <w:szCs w:val="18"/>
                <w:lang w:val="en-US" w:eastAsia="zh-CN"/>
              </w:rPr>
              <w:t>7</w:t>
            </w:r>
            <w:r>
              <w:rPr>
                <w:rFonts w:hint="eastAsia" w:ascii="宋体" w:hAnsi="宋体" w:eastAsia="宋体" w:cs="宋体"/>
                <w:b w:val="0"/>
                <w:bCs/>
                <w:color w:val="auto"/>
                <w:sz w:val="18"/>
                <w:szCs w:val="18"/>
                <w:lang w:val="en-US" w:eastAsia="zh-CN"/>
              </w:rPr>
              <w:t>分，方案尚可得5分，一般得2分，否则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cs="宋体"/>
                <w:b w:val="0"/>
                <w:bCs/>
                <w:color w:val="auto"/>
                <w:sz w:val="18"/>
                <w:szCs w:val="18"/>
                <w:lang w:val="en-US" w:eastAsia="zh-CN"/>
              </w:rPr>
              <w:t>；</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.涉及主要内容齐全措施计划详尽得</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分，一般得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eastAsia="宋体" w:cs="宋体"/>
                <w:b w:val="0"/>
                <w:bCs/>
                <w:color w:val="auto"/>
                <w:sz w:val="18"/>
                <w:szCs w:val="18"/>
                <w:lang w:eastAsia="zh-CN"/>
              </w:rPr>
              <w:t>；</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确保工程质量、工期、安全措施得力得3分，否则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文明施工措施可信度高得3分，否则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rPr>
              <w:t>分</w:t>
            </w:r>
            <w:r>
              <w:rPr>
                <w:rFonts w:hint="eastAsia" w:ascii="宋体" w:hAnsi="宋体" w:eastAsia="宋体" w:cs="宋体"/>
                <w:b w:val="0"/>
                <w:bCs/>
                <w:color w:val="auto"/>
                <w:sz w:val="18"/>
                <w:szCs w:val="18"/>
                <w:lang w:eastAsia="zh-CN"/>
              </w:rPr>
              <w:t>；</w:t>
            </w:r>
          </w:p>
          <w:p>
            <w:pPr>
              <w:keepNext w:val="0"/>
              <w:keepLines w:val="0"/>
              <w:pageBreakBefore w:val="0"/>
              <w:kinsoku/>
              <w:wordWrap/>
              <w:overflowPunct/>
              <w:topLinePunct w:val="0"/>
              <w:bidi w:val="0"/>
              <w:snapToGrid/>
              <w:spacing w:line="320" w:lineRule="exact"/>
              <w:jc w:val="left"/>
              <w:textAlignment w:val="auto"/>
              <w:rPr>
                <w:rFonts w:hint="eastAsia" w:eastAsia="宋体"/>
                <w:lang w:val="en-US" w:eastAsia="zh-CN"/>
              </w:rPr>
            </w:pP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施工总进度计划合理得3分，否则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rPr>
              <w:t>分</w:t>
            </w:r>
            <w:r>
              <w:rPr>
                <w:rFonts w:hint="eastAsia" w:ascii="宋体" w:hAnsi="宋体" w:cs="宋体"/>
                <w:b w:val="0"/>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强制性</w:t>
            </w:r>
          </w:p>
        </w:tc>
        <w:tc>
          <w:tcPr>
            <w:tcW w:w="742" w:type="dxa"/>
            <w:vAlign w:val="center"/>
          </w:tcPr>
          <w:p>
            <w:pPr>
              <w:widowControl/>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1.制定了质量通病的防治措施、措施可行各得2分，否则0分；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2.执行国家强制性条文、有切实可行的保证措施得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分，否则0分；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lang w:eastAsia="zh-CN"/>
              </w:rPr>
            </w:pPr>
            <w:r>
              <w:rPr>
                <w:rFonts w:hint="eastAsia" w:ascii="宋体" w:hAnsi="宋体" w:eastAsia="宋体" w:cs="宋体"/>
                <w:b w:val="0"/>
                <w:bCs/>
                <w:color w:val="auto"/>
                <w:sz w:val="18"/>
                <w:szCs w:val="18"/>
                <w:lang w:val="en-US" w:eastAsia="zh-CN"/>
              </w:rPr>
              <w:t>3.执行国家强制性条文得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分、有切实可行的保证措施各得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分，否则0分</w:t>
            </w:r>
            <w:r>
              <w:rPr>
                <w:rFonts w:hint="eastAsia" w:ascii="宋体" w:hAnsi="宋体" w:cs="宋体"/>
                <w:b w:val="0"/>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针对性</w:t>
            </w:r>
          </w:p>
        </w:tc>
        <w:tc>
          <w:tcPr>
            <w:tcW w:w="742" w:type="dxa"/>
            <w:vAlign w:val="center"/>
          </w:tcPr>
          <w:p>
            <w:pPr>
              <w:widowControl/>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1.工程项目的质保体系健全得</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2.工程的安全措施得力3分，一般得1分，否则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eastAsia="宋体"/>
                <w:lang w:val="en-US" w:eastAsia="zh-CN"/>
              </w:rPr>
            </w:pPr>
            <w:r>
              <w:rPr>
                <w:rFonts w:hint="eastAsia" w:ascii="宋体" w:hAnsi="宋体" w:eastAsia="宋体" w:cs="宋体"/>
                <w:b w:val="0"/>
                <w:bCs/>
                <w:color w:val="auto"/>
                <w:sz w:val="18"/>
                <w:szCs w:val="18"/>
                <w:lang w:val="en-US" w:eastAsia="zh-CN"/>
              </w:rPr>
              <w:t>3.文明施工措施得力得3分，否则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承诺</w:t>
            </w:r>
          </w:p>
        </w:tc>
        <w:tc>
          <w:tcPr>
            <w:tcW w:w="742" w:type="dxa"/>
            <w:vAlign w:val="center"/>
          </w:tcPr>
          <w:p>
            <w:pPr>
              <w:widowControl/>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保修有承诺、有违约经济处罚且措施可行各得2分，否则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cs="宋体"/>
                <w:b w:val="0"/>
                <w:bCs/>
                <w:color w:val="auto"/>
                <w:sz w:val="18"/>
                <w:szCs w:val="18"/>
                <w:lang w:val="en-US" w:eastAsia="zh-CN"/>
              </w:rPr>
              <w:t>；</w:t>
            </w:r>
          </w:p>
          <w:p>
            <w:pPr>
              <w:keepNext w:val="0"/>
              <w:keepLines w:val="0"/>
              <w:pageBreakBefore w:val="0"/>
              <w:numPr>
                <w:ilvl w:val="0"/>
                <w:numId w:val="0"/>
              </w:numPr>
              <w:kinsoku/>
              <w:wordWrap/>
              <w:overflowPunct/>
              <w:topLinePunct w:val="0"/>
              <w:bidi w:val="0"/>
              <w:snapToGrid/>
              <w:spacing w:line="320" w:lineRule="exact"/>
              <w:jc w:val="left"/>
              <w:textAlignment w:val="auto"/>
              <w:rPr>
                <w:rFonts w:hint="default"/>
                <w:lang w:val="en-US"/>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承诺达到优质质量标准、并有切实可行质量保证措施得3分，否则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分；达不到有违约经济处罚的得1分，否则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cs="宋体"/>
                <w:b w:val="0"/>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26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b w:val="0"/>
                <w:bCs/>
                <w:color w:val="auto"/>
                <w:kern w:val="0"/>
                <w:sz w:val="18"/>
                <w:szCs w:val="18"/>
                <w:lang w:val="en-US" w:eastAsia="zh-CN"/>
              </w:rPr>
              <w:t>标书制作</w:t>
            </w:r>
          </w:p>
        </w:tc>
        <w:tc>
          <w:tcPr>
            <w:tcW w:w="742" w:type="dxa"/>
            <w:vAlign w:val="center"/>
          </w:tcPr>
          <w:p>
            <w:pPr>
              <w:widowControl/>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default"/>
                <w:lang w:val="en-US"/>
              </w:rPr>
            </w:pPr>
            <w:r>
              <w:rPr>
                <w:rFonts w:hint="eastAsia" w:ascii="宋体" w:hAnsi="宋体" w:eastAsia="宋体" w:cs="宋体"/>
                <w:b w:val="0"/>
                <w:bCs/>
                <w:color w:val="auto"/>
                <w:kern w:val="0"/>
                <w:sz w:val="18"/>
                <w:szCs w:val="18"/>
                <w:lang w:val="en-US" w:eastAsia="zh-CN"/>
              </w:rPr>
              <w:t>投标文件目录清晰、页码连续、目录与页码对应准确，评审内容便于查找得2分，否则</w:t>
            </w:r>
            <w:r>
              <w:rPr>
                <w:rFonts w:hint="eastAsia" w:ascii="宋体" w:hAnsi="宋体" w:cs="宋体"/>
                <w:b w:val="0"/>
                <w:bCs/>
                <w:color w:val="auto"/>
                <w:kern w:val="0"/>
                <w:sz w:val="18"/>
                <w:szCs w:val="18"/>
                <w:lang w:val="en-US" w:eastAsia="zh-CN"/>
              </w:rPr>
              <w:t>0</w:t>
            </w:r>
            <w:r>
              <w:rPr>
                <w:rFonts w:hint="eastAsia" w:ascii="宋体" w:hAnsi="宋体" w:eastAsia="宋体" w:cs="宋体"/>
                <w:b w:val="0"/>
                <w:bCs/>
                <w:color w:val="auto"/>
                <w:kern w:val="0"/>
                <w:sz w:val="18"/>
                <w:szCs w:val="18"/>
                <w:lang w:val="en-US" w:eastAsia="zh-CN"/>
              </w:rPr>
              <w:t>分</w:t>
            </w:r>
            <w:r>
              <w:rPr>
                <w:rFonts w:hint="eastAsia" w:ascii="宋体" w:hAnsi="宋体" w:cs="宋体"/>
                <w:b w:val="0"/>
                <w:bCs/>
                <w:color w:val="auto"/>
                <w:sz w:val="18"/>
                <w:szCs w:val="18"/>
                <w:lang w:val="en-US" w:eastAsia="zh-CN"/>
              </w:rPr>
              <w:t>。</w:t>
            </w:r>
          </w:p>
        </w:tc>
      </w:tr>
    </w:tbl>
    <w:p>
      <w:pPr>
        <w:pStyle w:val="36"/>
        <w:ind w:left="0" w:leftChars="0" w:firstLine="0" w:firstLineChars="0"/>
        <w:rPr>
          <w:rFonts w:hint="eastAsia" w:ascii="宋体" w:hAnsi="宋体" w:eastAsia="宋体" w:cs="宋体"/>
          <w:b w:val="0"/>
          <w:bCs/>
          <w:color w:val="auto"/>
        </w:rPr>
      </w:pPr>
    </w:p>
    <w:p>
      <w:pPr>
        <w:spacing w:line="240" w:lineRule="atLeast"/>
        <w:jc w:val="both"/>
        <w:rPr>
          <w:rFonts w:hint="eastAsia" w:ascii="宋体" w:hAnsi="宋体" w:eastAsia="宋体" w:cs="宋体"/>
          <w:b w:val="0"/>
          <w:bCs/>
          <w:color w:val="auto"/>
          <w:sz w:val="48"/>
          <w:szCs w:val="48"/>
        </w:rPr>
      </w:pPr>
    </w:p>
    <w:p>
      <w:pPr>
        <w:spacing w:line="240" w:lineRule="atLeast"/>
        <w:jc w:val="center"/>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竞争性磋商文件</w:t>
      </w: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编号：</w:t>
      </w:r>
      <w:r>
        <w:rPr>
          <w:rFonts w:hint="eastAsia" w:ascii="宋体" w:hAnsi="宋体" w:eastAsia="宋体" w:cs="宋体"/>
          <w:b w:val="0"/>
          <w:bCs/>
          <w:color w:val="auto"/>
          <w:sz w:val="36"/>
          <w:szCs w:val="36"/>
          <w:lang w:val="en-US" w:eastAsia="zh-CN"/>
        </w:rPr>
        <w:t>JDTCK-2021-01</w:t>
      </w:r>
      <w:r>
        <w:rPr>
          <w:rFonts w:hint="eastAsia" w:ascii="宋体" w:hAnsi="宋体" w:cs="宋体"/>
          <w:b w:val="0"/>
          <w:bCs/>
          <w:color w:val="auto"/>
          <w:sz w:val="36"/>
          <w:szCs w:val="36"/>
          <w:lang w:val="en-US" w:eastAsia="zh-CN"/>
        </w:rPr>
        <w:t>7</w:t>
      </w:r>
      <w:r>
        <w:rPr>
          <w:rFonts w:hint="eastAsia" w:ascii="宋体" w:hAnsi="宋体" w:eastAsia="宋体" w:cs="宋体"/>
          <w:b w:val="0"/>
          <w:bCs/>
          <w:color w:val="auto"/>
          <w:sz w:val="36"/>
          <w:szCs w:val="36"/>
          <w:lang w:val="en-US" w:eastAsia="zh-CN"/>
        </w:rPr>
        <w:t>-CG</w:t>
      </w:r>
    </w:p>
    <w:p>
      <w:pPr>
        <w:spacing w:line="240" w:lineRule="atLeast"/>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第三册</w:t>
      </w:r>
    </w:p>
    <w:p>
      <w:pPr>
        <w:spacing w:line="240" w:lineRule="atLeast"/>
        <w:jc w:val="both"/>
        <w:rPr>
          <w:rFonts w:hint="eastAsia" w:ascii="宋体" w:hAnsi="宋体" w:eastAsia="宋体" w:cs="宋体"/>
          <w:b w:val="0"/>
          <w:bCs/>
          <w:color w:val="auto"/>
          <w:sz w:val="52"/>
        </w:rPr>
      </w:pPr>
    </w:p>
    <w:p>
      <w:pPr>
        <w:pStyle w:val="3"/>
        <w:tabs>
          <w:tab w:val="left" w:pos="0"/>
        </w:tabs>
        <w:spacing w:before="0" w:after="0" w:line="240" w:lineRule="atLeast"/>
        <w:ind w:left="-15"/>
        <w:rPr>
          <w:rFonts w:hint="eastAsia" w:ascii="宋体" w:hAnsi="宋体" w:eastAsia="宋体" w:cs="宋体"/>
          <w:b w:val="0"/>
          <w:bCs/>
          <w:color w:val="auto"/>
        </w:rPr>
      </w:pPr>
      <w:bookmarkStart w:id="499" w:name="_Toc4796"/>
      <w:bookmarkStart w:id="500" w:name="_Toc6865"/>
      <w:bookmarkStart w:id="501" w:name="_Toc515647833"/>
      <w:bookmarkStart w:id="502" w:name="_Toc15562"/>
      <w:r>
        <w:rPr>
          <w:rFonts w:hint="eastAsia" w:ascii="宋体" w:hAnsi="宋体" w:eastAsia="宋体" w:cs="宋体"/>
          <w:b w:val="0"/>
          <w:bCs/>
          <w:color w:val="auto"/>
        </w:rPr>
        <w:t>第7章</w:t>
      </w:r>
      <w:r>
        <w:rPr>
          <w:rFonts w:hint="eastAsia" w:ascii="宋体" w:hAnsi="宋体" w:eastAsia="宋体" w:cs="宋体"/>
          <w:b w:val="0"/>
          <w:bCs/>
          <w:color w:val="auto"/>
          <w:lang w:val="en-US" w:eastAsia="zh-CN"/>
        </w:rPr>
        <w:t xml:space="preserve"> </w:t>
      </w:r>
      <w:r>
        <w:rPr>
          <w:rFonts w:hint="eastAsia" w:ascii="宋体" w:hAnsi="宋体" w:eastAsia="宋体" w:cs="宋体"/>
          <w:b w:val="0"/>
          <w:bCs/>
          <w:color w:val="auto"/>
        </w:rPr>
        <w:t>政府采购合同</w:t>
      </w:r>
      <w:bookmarkEnd w:id="483"/>
      <w:bookmarkEnd w:id="499"/>
      <w:bookmarkEnd w:id="500"/>
      <w:bookmarkEnd w:id="501"/>
      <w:bookmarkEnd w:id="502"/>
      <w:bookmarkStart w:id="503" w:name="_Toc216513788"/>
      <w:bookmarkEnd w:id="503"/>
      <w:bookmarkStart w:id="504" w:name="_Toc487900382"/>
      <w:bookmarkEnd w:id="504"/>
      <w:bookmarkStart w:id="505" w:name="_Hlt487972895"/>
      <w:bookmarkEnd w:id="505"/>
    </w:p>
    <w:p>
      <w:pPr>
        <w:spacing w:line="400" w:lineRule="exact"/>
        <w:rPr>
          <w:rFonts w:hint="eastAsia" w:ascii="宋体" w:hAnsi="宋体" w:eastAsia="宋体" w:cs="宋体"/>
          <w:b w:val="0"/>
          <w:bCs/>
          <w:color w:val="auto"/>
          <w:sz w:val="24"/>
          <w:u w:val="single"/>
        </w:rPr>
      </w:pPr>
      <w:r>
        <w:rPr>
          <w:rFonts w:hint="eastAsia" w:ascii="宋体" w:hAnsi="宋体" w:eastAsia="宋体" w:cs="宋体"/>
          <w:b w:val="0"/>
          <w:bCs/>
          <w:color w:val="auto"/>
          <w:sz w:val="24"/>
        </w:rPr>
        <w:t>合同编号：</w:t>
      </w:r>
      <w:r>
        <w:rPr>
          <w:rFonts w:hint="eastAsia" w:ascii="宋体" w:hAnsi="宋体" w:eastAsia="宋体" w:cs="宋体"/>
          <w:b w:val="0"/>
          <w:bCs/>
          <w:color w:val="auto"/>
          <w:sz w:val="24"/>
          <w:u w:val="single"/>
        </w:rPr>
        <w:t xml:space="preserve">           </w:t>
      </w:r>
    </w:p>
    <w:p>
      <w:pPr>
        <w:spacing w:line="400" w:lineRule="exact"/>
        <w:jc w:val="center"/>
        <w:rPr>
          <w:rFonts w:hint="eastAsia" w:ascii="宋体" w:hAnsi="宋体" w:eastAsia="宋体" w:cs="宋体"/>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政府采购合同参考范本</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Cs w:val="24"/>
        </w:rPr>
      </w:pPr>
      <w:r>
        <w:rPr>
          <w:rFonts w:hint="eastAsia" w:ascii="宋体" w:hAnsi="宋体" w:eastAsia="宋体" w:cs="宋体"/>
          <w:b w:val="0"/>
          <w:bCs/>
          <w:color w:val="auto"/>
          <w:sz w:val="24"/>
        </w:rPr>
        <w:t>（服务类）</w:t>
      </w:r>
    </w:p>
    <w:p>
      <w:pPr>
        <w:pStyle w:val="57"/>
        <w:spacing w:line="400" w:lineRule="exact"/>
        <w:ind w:firstLine="0"/>
        <w:rPr>
          <w:rFonts w:hint="eastAsia" w:ascii="宋体" w:hAnsi="宋体" w:eastAsia="宋体" w:cs="宋体"/>
          <w:b w:val="0"/>
          <w:bCs/>
          <w:color w:val="auto"/>
          <w:szCs w:val="24"/>
        </w:rPr>
      </w:pPr>
    </w:p>
    <w:p>
      <w:pPr>
        <w:pStyle w:val="57"/>
        <w:spacing w:line="400" w:lineRule="exact"/>
        <w:ind w:firstLine="0"/>
        <w:jc w:val="center"/>
        <w:rPr>
          <w:rFonts w:hint="eastAsia" w:ascii="宋体" w:hAnsi="宋体" w:eastAsia="宋体" w:cs="宋体"/>
          <w:b w:val="0"/>
          <w:bCs/>
          <w:color w:val="auto"/>
          <w:szCs w:val="24"/>
        </w:rPr>
      </w:pPr>
      <w:r>
        <w:rPr>
          <w:rFonts w:hint="eastAsia" w:ascii="宋体" w:hAnsi="宋体" w:eastAsia="宋体" w:cs="宋体"/>
          <w:b w:val="0"/>
          <w:bCs/>
          <w:color w:val="auto"/>
          <w:szCs w:val="24"/>
        </w:rPr>
        <w:t>第一部分 合同书</w:t>
      </w:r>
    </w:p>
    <w:p>
      <w:pPr>
        <w:spacing w:before="120" w:line="400" w:lineRule="exact"/>
        <w:rPr>
          <w:rFonts w:hint="eastAsia" w:ascii="宋体" w:hAnsi="宋体" w:eastAsia="宋体" w:cs="宋体"/>
          <w:b w:val="0"/>
          <w:bCs/>
          <w:color w:val="auto"/>
          <w:sz w:val="24"/>
        </w:rPr>
      </w:pPr>
    </w:p>
    <w:p>
      <w:pPr>
        <w:spacing w:before="120" w:line="400" w:lineRule="exact"/>
        <w:ind w:left="960"/>
        <w:rPr>
          <w:rFonts w:hint="eastAsia" w:ascii="宋体" w:hAnsi="宋体" w:eastAsia="宋体" w:cs="宋体"/>
          <w:b w:val="0"/>
          <w:bCs/>
          <w:color w:val="auto"/>
          <w:sz w:val="24"/>
        </w:rPr>
      </w:pPr>
      <w:r>
        <w:rPr>
          <w:rFonts w:hint="eastAsia" w:ascii="宋体" w:hAnsi="宋体" w:eastAsia="宋体" w:cs="宋体"/>
          <w:b w:val="0"/>
          <w:bCs/>
          <w:color w:val="auto"/>
          <w:sz w:val="24"/>
        </w:rPr>
        <w:t>项目名称：</w:t>
      </w:r>
      <w:r>
        <w:rPr>
          <w:rFonts w:hint="eastAsia" w:ascii="宋体" w:hAnsi="宋体" w:eastAsia="宋体" w:cs="宋体"/>
          <w:b w:val="0"/>
          <w:bCs/>
          <w:color w:val="auto"/>
          <w:sz w:val="24"/>
          <w:u w:val="single"/>
        </w:rPr>
        <w:t xml:space="preserve">                                   </w:t>
      </w:r>
    </w:p>
    <w:p>
      <w:pPr>
        <w:pStyle w:val="45"/>
        <w:spacing w:before="120" w:line="400" w:lineRule="exact"/>
        <w:rPr>
          <w:rFonts w:hint="eastAsia" w:ascii="宋体" w:hAnsi="宋体" w:eastAsia="宋体" w:cs="宋体"/>
          <w:b w:val="0"/>
          <w:bCs/>
          <w:color w:val="auto"/>
          <w:szCs w:val="24"/>
        </w:rPr>
      </w:pPr>
    </w:p>
    <w:p>
      <w:pPr>
        <w:spacing w:line="400" w:lineRule="exact"/>
        <w:rPr>
          <w:rFonts w:hint="eastAsia" w:ascii="宋体" w:hAnsi="宋体" w:eastAsia="宋体" w:cs="宋体"/>
          <w:b w:val="0"/>
          <w:bCs/>
          <w:color w:val="auto"/>
        </w:rPr>
      </w:pPr>
    </w:p>
    <w:p>
      <w:pPr>
        <w:spacing w:before="120" w:line="400" w:lineRule="exact"/>
        <w:ind w:left="960"/>
        <w:rPr>
          <w:rFonts w:hint="eastAsia" w:ascii="宋体" w:hAnsi="宋体" w:eastAsia="宋体" w:cs="宋体"/>
          <w:b w:val="0"/>
          <w:bCs/>
          <w:color w:val="auto"/>
          <w:sz w:val="24"/>
          <w:u w:val="single"/>
        </w:rPr>
      </w:pPr>
      <w:r>
        <w:rPr>
          <w:rFonts w:hint="eastAsia" w:ascii="宋体" w:hAnsi="宋体" w:eastAsia="宋体" w:cs="宋体"/>
          <w:b w:val="0"/>
          <w:bCs/>
          <w:color w:val="auto"/>
          <w:sz w:val="24"/>
        </w:rPr>
        <w:t>甲方：</w:t>
      </w:r>
      <w:r>
        <w:rPr>
          <w:rFonts w:hint="eastAsia" w:ascii="宋体" w:hAnsi="宋体" w:eastAsia="宋体" w:cs="宋体"/>
          <w:b w:val="0"/>
          <w:bCs/>
          <w:color w:val="auto"/>
          <w:sz w:val="24"/>
          <w:u w:val="single"/>
        </w:rPr>
        <w:t xml:space="preserve">                                       </w:t>
      </w:r>
    </w:p>
    <w:p>
      <w:pPr>
        <w:spacing w:before="120" w:line="400" w:lineRule="exact"/>
        <w:rPr>
          <w:rFonts w:hint="eastAsia" w:ascii="宋体" w:hAnsi="宋体" w:eastAsia="宋体" w:cs="宋体"/>
          <w:b w:val="0"/>
          <w:bCs/>
          <w:color w:val="auto"/>
          <w:sz w:val="24"/>
        </w:rPr>
      </w:pPr>
    </w:p>
    <w:p>
      <w:pPr>
        <w:spacing w:before="120" w:line="400" w:lineRule="exact"/>
        <w:ind w:left="960"/>
        <w:rPr>
          <w:rFonts w:hint="eastAsia" w:ascii="宋体" w:hAnsi="宋体" w:eastAsia="宋体" w:cs="宋体"/>
          <w:b w:val="0"/>
          <w:bCs/>
          <w:color w:val="auto"/>
          <w:sz w:val="24"/>
          <w:u w:val="single"/>
        </w:rPr>
      </w:pPr>
      <w:r>
        <w:rPr>
          <w:rFonts w:hint="eastAsia" w:ascii="宋体" w:hAnsi="宋体" w:eastAsia="宋体" w:cs="宋体"/>
          <w:b w:val="0"/>
          <w:bCs/>
          <w:color w:val="auto"/>
          <w:sz w:val="24"/>
        </w:rPr>
        <w:t>乙方：</w:t>
      </w:r>
      <w:r>
        <w:rPr>
          <w:rFonts w:hint="eastAsia" w:ascii="宋体" w:hAnsi="宋体" w:eastAsia="宋体" w:cs="宋体"/>
          <w:b w:val="0"/>
          <w:bCs/>
          <w:color w:val="auto"/>
          <w:sz w:val="24"/>
          <w:u w:val="single"/>
        </w:rPr>
        <w:t xml:space="preserve">                                       </w:t>
      </w:r>
    </w:p>
    <w:p>
      <w:pPr>
        <w:spacing w:before="120" w:line="400" w:lineRule="exact"/>
        <w:rPr>
          <w:rFonts w:hint="eastAsia" w:ascii="宋体" w:hAnsi="宋体" w:eastAsia="宋体" w:cs="宋体"/>
          <w:b w:val="0"/>
          <w:bCs/>
          <w:color w:val="auto"/>
          <w:sz w:val="24"/>
        </w:rPr>
      </w:pPr>
    </w:p>
    <w:p>
      <w:pPr>
        <w:spacing w:before="120" w:line="400" w:lineRule="exact"/>
        <w:ind w:firstLine="960" w:firstLineChars="400"/>
        <w:rPr>
          <w:rFonts w:hint="eastAsia" w:ascii="宋体" w:hAnsi="宋体" w:eastAsia="宋体" w:cs="宋体"/>
          <w:b w:val="0"/>
          <w:bCs/>
          <w:color w:val="auto"/>
          <w:sz w:val="24"/>
          <w:u w:val="single"/>
        </w:rPr>
      </w:pPr>
      <w:r>
        <w:rPr>
          <w:rFonts w:hint="eastAsia" w:ascii="宋体" w:hAnsi="宋体" w:eastAsia="宋体" w:cs="宋体"/>
          <w:b w:val="0"/>
          <w:bCs/>
          <w:color w:val="auto"/>
          <w:sz w:val="24"/>
        </w:rPr>
        <w:t>签订地：</w:t>
      </w:r>
      <w:r>
        <w:rPr>
          <w:rFonts w:hint="eastAsia" w:ascii="宋体" w:hAnsi="宋体" w:eastAsia="宋体" w:cs="宋体"/>
          <w:b w:val="0"/>
          <w:bCs/>
          <w:color w:val="auto"/>
          <w:sz w:val="24"/>
          <w:u w:val="single"/>
        </w:rPr>
        <w:t xml:space="preserve">                                     </w:t>
      </w:r>
    </w:p>
    <w:p>
      <w:pPr>
        <w:spacing w:before="120" w:line="400" w:lineRule="exact"/>
        <w:rPr>
          <w:rFonts w:hint="eastAsia" w:ascii="宋体" w:hAnsi="宋体" w:eastAsia="宋体" w:cs="宋体"/>
          <w:b w:val="0"/>
          <w:bCs/>
          <w:color w:val="auto"/>
          <w:sz w:val="24"/>
        </w:rPr>
      </w:pPr>
    </w:p>
    <w:p>
      <w:pPr>
        <w:spacing w:before="120" w:line="400" w:lineRule="exact"/>
        <w:ind w:firstLine="960" w:firstLineChars="400"/>
        <w:rPr>
          <w:rFonts w:hint="eastAsia" w:ascii="宋体" w:hAnsi="宋体" w:eastAsia="宋体" w:cs="宋体"/>
          <w:b w:val="0"/>
          <w:bCs/>
          <w:color w:val="auto"/>
          <w:sz w:val="24"/>
          <w:u w:val="single"/>
        </w:rPr>
      </w:pPr>
      <w:r>
        <w:rPr>
          <w:rFonts w:hint="eastAsia" w:ascii="宋体" w:hAnsi="宋体" w:eastAsia="宋体" w:cs="宋体"/>
          <w:b w:val="0"/>
          <w:bCs/>
          <w:color w:val="auto"/>
          <w:sz w:val="24"/>
        </w:rPr>
        <w:t>签订日期：</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年</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月</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日</w:t>
      </w:r>
    </w:p>
    <w:p>
      <w:pPr>
        <w:autoSpaceDE w:val="0"/>
        <w:autoSpaceDN w:val="0"/>
        <w:adjustRightInd w:val="0"/>
        <w:spacing w:line="400" w:lineRule="exact"/>
        <w:ind w:firstLine="640"/>
        <w:jc w:val="center"/>
        <w:rPr>
          <w:rFonts w:hint="eastAsia" w:ascii="宋体" w:hAnsi="宋体" w:eastAsia="宋体" w:cs="宋体"/>
          <w:b w:val="0"/>
          <w:bCs/>
          <w:color w:val="auto"/>
          <w:sz w:val="24"/>
        </w:rPr>
        <w:sectPr>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u w:val="single"/>
          <w:lang w:val="zh-CN"/>
        </w:rPr>
        <w:t xml:space="preserve">        </w:t>
      </w:r>
      <w:r>
        <w:rPr>
          <w:rFonts w:hint="eastAsia" w:ascii="宋体" w:hAnsi="宋体" w:eastAsia="宋体" w:cs="宋体"/>
          <w:b w:val="0"/>
          <w:bCs/>
          <w:color w:val="auto"/>
          <w:sz w:val="24"/>
          <w:lang w:val="zh-CN"/>
        </w:rPr>
        <w:t>年</w:t>
      </w:r>
      <w:r>
        <w:rPr>
          <w:rFonts w:hint="eastAsia" w:ascii="宋体" w:hAnsi="宋体" w:eastAsia="宋体" w:cs="宋体"/>
          <w:b w:val="0"/>
          <w:bCs/>
          <w:color w:val="auto"/>
          <w:sz w:val="24"/>
          <w:u w:val="single"/>
          <w:lang w:val="zh-CN"/>
        </w:rPr>
        <w:t xml:space="preserve">    </w:t>
      </w:r>
      <w:r>
        <w:rPr>
          <w:rFonts w:hint="eastAsia" w:ascii="宋体" w:hAnsi="宋体" w:eastAsia="宋体" w:cs="宋体"/>
          <w:b w:val="0"/>
          <w:bCs/>
          <w:color w:val="auto"/>
          <w:sz w:val="24"/>
          <w:lang w:val="zh-CN"/>
        </w:rPr>
        <w:t>月</w:t>
      </w:r>
      <w:r>
        <w:rPr>
          <w:rFonts w:hint="eastAsia" w:ascii="宋体" w:hAnsi="宋体" w:eastAsia="宋体" w:cs="宋体"/>
          <w:b w:val="0"/>
          <w:bCs/>
          <w:color w:val="auto"/>
          <w:sz w:val="24"/>
          <w:u w:val="single"/>
          <w:lang w:val="zh-CN"/>
        </w:rPr>
        <w:t xml:space="preserve">    </w:t>
      </w:r>
      <w:r>
        <w:rPr>
          <w:rFonts w:hint="eastAsia" w:ascii="宋体" w:hAnsi="宋体" w:eastAsia="宋体" w:cs="宋体"/>
          <w:b w:val="0"/>
          <w:bCs/>
          <w:color w:val="auto"/>
          <w:sz w:val="24"/>
          <w:lang w:val="zh-CN"/>
        </w:rPr>
        <w:t>日</w:t>
      </w:r>
      <w:r>
        <w:rPr>
          <w:rFonts w:hint="eastAsia" w:ascii="宋体" w:hAnsi="宋体" w:eastAsia="宋体" w:cs="宋体"/>
          <w:b w:val="0"/>
          <w:bCs/>
          <w:color w:val="auto"/>
          <w:sz w:val="24"/>
        </w:rPr>
        <w:t>，</w:t>
      </w:r>
      <w:r>
        <w:rPr>
          <w:rFonts w:hint="eastAsia" w:ascii="宋体" w:hAnsi="宋体" w:eastAsia="宋体" w:cs="宋体"/>
          <w:b w:val="0"/>
          <w:bCs/>
          <w:color w:val="auto"/>
          <w:sz w:val="24"/>
          <w:u w:val="single"/>
        </w:rPr>
        <w:t xml:space="preserve">   （</w:t>
      </w:r>
      <w:r>
        <w:rPr>
          <w:rFonts w:hint="eastAsia" w:ascii="宋体" w:hAnsi="宋体" w:cs="宋体"/>
          <w:b w:val="0"/>
          <w:bCs/>
          <w:color w:val="auto"/>
          <w:sz w:val="24"/>
          <w:u w:val="single"/>
          <w:lang w:eastAsia="zh-CN"/>
        </w:rPr>
        <w:t>采购人</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rPr>
        <w:t>以</w:t>
      </w:r>
      <w:r>
        <w:rPr>
          <w:rFonts w:hint="eastAsia" w:ascii="宋体" w:hAnsi="宋体" w:eastAsia="宋体" w:cs="宋体"/>
          <w:b w:val="0"/>
          <w:bCs/>
          <w:color w:val="auto"/>
          <w:sz w:val="24"/>
          <w:u w:val="single"/>
        </w:rPr>
        <w:t xml:space="preserve">   （政府采购方式）  </w:t>
      </w:r>
      <w:r>
        <w:rPr>
          <w:rFonts w:hint="eastAsia" w:ascii="宋体" w:hAnsi="宋体" w:eastAsia="宋体" w:cs="宋体"/>
          <w:b w:val="0"/>
          <w:bCs/>
          <w:color w:val="auto"/>
          <w:sz w:val="24"/>
        </w:rPr>
        <w:t>对</w:t>
      </w:r>
      <w:r>
        <w:rPr>
          <w:rFonts w:hint="eastAsia" w:ascii="宋体" w:hAnsi="宋体" w:eastAsia="宋体" w:cs="宋体"/>
          <w:b w:val="0"/>
          <w:bCs/>
          <w:color w:val="auto"/>
          <w:sz w:val="24"/>
          <w:u w:val="single"/>
        </w:rPr>
        <w:t xml:space="preserve">   （同前页项目名称）   </w:t>
      </w:r>
      <w:r>
        <w:rPr>
          <w:rFonts w:hint="eastAsia" w:ascii="宋体" w:hAnsi="宋体" w:eastAsia="宋体" w:cs="宋体"/>
          <w:b w:val="0"/>
          <w:bCs/>
          <w:color w:val="auto"/>
          <w:sz w:val="24"/>
        </w:rPr>
        <w:t>项目进行了采购。经</w:t>
      </w:r>
      <w:r>
        <w:rPr>
          <w:rFonts w:hint="eastAsia" w:ascii="宋体" w:hAnsi="宋体" w:eastAsia="宋体" w:cs="宋体"/>
          <w:b w:val="0"/>
          <w:bCs/>
          <w:color w:val="auto"/>
          <w:sz w:val="24"/>
          <w:u w:val="single"/>
        </w:rPr>
        <w:t xml:space="preserve">   （相关评定主体名称）   </w:t>
      </w:r>
      <w:r>
        <w:rPr>
          <w:rFonts w:hint="eastAsia" w:ascii="宋体" w:hAnsi="宋体" w:eastAsia="宋体" w:cs="宋体"/>
          <w:b w:val="0"/>
          <w:bCs/>
          <w:color w:val="auto"/>
          <w:sz w:val="24"/>
        </w:rPr>
        <w:t>评定，</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eastAsia="zh-CN"/>
        </w:rPr>
        <w:t>成交</w:t>
      </w:r>
      <w:r>
        <w:rPr>
          <w:rFonts w:hint="eastAsia" w:ascii="宋体" w:hAnsi="宋体" w:cs="宋体"/>
          <w:b w:val="0"/>
          <w:bCs/>
          <w:color w:val="auto"/>
          <w:sz w:val="24"/>
          <w:u w:val="single"/>
          <w:lang w:eastAsia="zh-CN"/>
        </w:rPr>
        <w:t>供应商</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rPr>
        <w:t>为该项目</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。现于</w:t>
      </w:r>
      <w:r>
        <w:rPr>
          <w:rFonts w:hint="eastAsia" w:ascii="宋体" w:hAnsi="宋体" w:eastAsia="宋体" w:cs="宋体"/>
          <w:b w:val="0"/>
          <w:bCs/>
          <w:color w:val="auto"/>
          <w:sz w:val="24"/>
          <w:lang w:eastAsia="zh-CN"/>
        </w:rPr>
        <w:t>成交</w:t>
      </w:r>
      <w:r>
        <w:rPr>
          <w:rFonts w:hint="eastAsia" w:ascii="宋体" w:hAnsi="宋体" w:eastAsia="宋体" w:cs="宋体"/>
          <w:b w:val="0"/>
          <w:bCs/>
          <w:color w:val="auto"/>
          <w:sz w:val="24"/>
        </w:rPr>
        <w:t>通知书发出之日起三十日内，按照采购文件确定的事项签订本合同。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lang w:val="zh-CN"/>
        </w:rPr>
        <w:t>根据《中华人民共和国合同法》、《中华人民共和国政府采购法》等相关法律法规之规定，按照平等、自愿、公平和诚实信用的原则，经</w:t>
      </w:r>
      <w:r>
        <w:rPr>
          <w:rFonts w:hint="eastAsia" w:ascii="宋体" w:hAnsi="宋体" w:eastAsia="宋体" w:cs="宋体"/>
          <w:b w:val="0"/>
          <w:bCs/>
          <w:color w:val="auto"/>
          <w:sz w:val="24"/>
          <w:u w:val="single"/>
        </w:rPr>
        <w:t xml:space="preserve">   （</w:t>
      </w:r>
      <w:r>
        <w:rPr>
          <w:rFonts w:hint="eastAsia" w:ascii="宋体" w:hAnsi="宋体" w:cs="宋体"/>
          <w:b w:val="0"/>
          <w:bCs/>
          <w:color w:val="auto"/>
          <w:sz w:val="24"/>
          <w:u w:val="single"/>
          <w:lang w:eastAsia="zh-CN"/>
        </w:rPr>
        <w:t>采购人</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lang w:val="zh-CN"/>
        </w:rPr>
        <w:t>(以下简称：甲方)和</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eastAsia="zh-CN"/>
        </w:rPr>
        <w:t>成交</w:t>
      </w:r>
      <w:r>
        <w:rPr>
          <w:rFonts w:hint="eastAsia" w:ascii="宋体" w:hAnsi="宋体" w:cs="宋体"/>
          <w:b w:val="0"/>
          <w:bCs/>
          <w:color w:val="auto"/>
          <w:sz w:val="24"/>
          <w:u w:val="single"/>
          <w:lang w:eastAsia="zh-CN"/>
        </w:rPr>
        <w:t>供应商</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lang w:val="zh-CN"/>
        </w:rPr>
        <w:t>(以下简称：乙方)协商一致，约定以下合同</w:t>
      </w:r>
      <w:r>
        <w:rPr>
          <w:rFonts w:hint="eastAsia" w:ascii="宋体" w:hAnsi="宋体" w:eastAsia="宋体" w:cs="宋体"/>
          <w:b w:val="0"/>
          <w:bCs/>
          <w:color w:val="auto"/>
          <w:sz w:val="24"/>
        </w:rPr>
        <w:t>条款，以兹共同遵守、全面履行。</w:t>
      </w:r>
    </w:p>
    <w:p>
      <w:pPr>
        <w:spacing w:line="400" w:lineRule="exact"/>
        <w:ind w:firstLine="480" w:firstLineChars="200"/>
        <w:outlineLvl w:val="0"/>
        <w:rPr>
          <w:rFonts w:hint="eastAsia" w:ascii="宋体" w:hAnsi="宋体" w:eastAsia="宋体" w:cs="宋体"/>
          <w:b w:val="0"/>
          <w:bCs/>
          <w:color w:val="auto"/>
          <w:sz w:val="24"/>
        </w:rPr>
      </w:pPr>
      <w:bookmarkStart w:id="506" w:name="_Toc15367"/>
      <w:bookmarkStart w:id="507" w:name="_Toc19273"/>
      <w:bookmarkStart w:id="508" w:name="_Toc28855"/>
      <w:bookmarkStart w:id="509" w:name="_Toc14542"/>
      <w:bookmarkStart w:id="510" w:name="_Toc18383"/>
      <w:bookmarkStart w:id="511" w:name="_Toc8106"/>
      <w:bookmarkStart w:id="512" w:name="_Toc20041"/>
      <w:bookmarkStart w:id="513" w:name="_Toc13594"/>
      <w:bookmarkStart w:id="514" w:name="_Toc23100"/>
      <w:bookmarkStart w:id="515" w:name="_Toc1256"/>
      <w:bookmarkStart w:id="516" w:name="_Toc20566"/>
      <w:bookmarkStart w:id="517" w:name="_Toc32571"/>
      <w:bookmarkStart w:id="518" w:name="_Toc3665"/>
      <w:bookmarkStart w:id="519" w:name="_Toc5753"/>
      <w:bookmarkStart w:id="520" w:name="_Toc20421"/>
      <w:r>
        <w:rPr>
          <w:rFonts w:hint="eastAsia" w:ascii="宋体" w:hAnsi="宋体" w:eastAsia="宋体" w:cs="宋体"/>
          <w:b w:val="0"/>
          <w:bCs/>
          <w:color w:val="auto"/>
          <w:sz w:val="24"/>
        </w:rPr>
        <w:t>1.1 合同组成部分</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1.1.1 本合同及其补充合同、变更协议；</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1.1.2 </w:t>
      </w:r>
      <w:r>
        <w:rPr>
          <w:rFonts w:hint="eastAsia" w:ascii="宋体" w:hAnsi="宋体" w:eastAsia="宋体" w:cs="宋体"/>
          <w:b w:val="0"/>
          <w:bCs/>
          <w:color w:val="auto"/>
          <w:sz w:val="24"/>
          <w:lang w:eastAsia="zh-CN"/>
        </w:rPr>
        <w:t>成交</w:t>
      </w:r>
      <w:r>
        <w:rPr>
          <w:rFonts w:hint="eastAsia" w:ascii="宋体" w:hAnsi="宋体" w:eastAsia="宋体" w:cs="宋体"/>
          <w:b w:val="0"/>
          <w:bCs/>
          <w:color w:val="auto"/>
          <w:sz w:val="24"/>
        </w:rPr>
        <w:t>通知书；</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1.1.3 </w:t>
      </w:r>
      <w:r>
        <w:rPr>
          <w:rFonts w:hint="eastAsia" w:ascii="宋体" w:hAnsi="宋体" w:eastAsia="宋体" w:cs="宋体"/>
          <w:b w:val="0"/>
          <w:bCs/>
          <w:color w:val="auto"/>
          <w:sz w:val="24"/>
          <w:lang w:eastAsia="zh-CN"/>
        </w:rPr>
        <w:t>磋商</w:t>
      </w:r>
      <w:r>
        <w:rPr>
          <w:rFonts w:hint="eastAsia" w:ascii="宋体" w:hAnsi="宋体" w:eastAsia="宋体" w:cs="宋体"/>
          <w:b w:val="0"/>
          <w:bCs/>
          <w:color w:val="auto"/>
          <w:sz w:val="24"/>
        </w:rPr>
        <w:t>文件（含澄清或者说明文件）；</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1.1.4 </w:t>
      </w:r>
      <w:r>
        <w:rPr>
          <w:rFonts w:hint="eastAsia" w:ascii="宋体" w:hAnsi="宋体" w:eastAsia="宋体" w:cs="宋体"/>
          <w:b w:val="0"/>
          <w:bCs/>
          <w:color w:val="auto"/>
          <w:sz w:val="24"/>
          <w:lang w:eastAsia="zh-CN"/>
        </w:rPr>
        <w:t>磋商文件</w:t>
      </w:r>
      <w:r>
        <w:rPr>
          <w:rFonts w:hint="eastAsia" w:ascii="宋体" w:hAnsi="宋体" w:eastAsia="宋体" w:cs="宋体"/>
          <w:b w:val="0"/>
          <w:bCs/>
          <w:color w:val="auto"/>
          <w:sz w:val="24"/>
        </w:rPr>
        <w:t>（含澄清或者修改文件）；</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1.1.5 其他相关采购文件。</w:t>
      </w:r>
    </w:p>
    <w:p>
      <w:pPr>
        <w:spacing w:line="400" w:lineRule="exact"/>
        <w:ind w:firstLine="480" w:firstLineChars="200"/>
        <w:outlineLvl w:val="0"/>
        <w:rPr>
          <w:rFonts w:hint="eastAsia" w:ascii="宋体" w:hAnsi="宋体" w:eastAsia="宋体" w:cs="宋体"/>
          <w:b w:val="0"/>
          <w:bCs/>
          <w:color w:val="auto"/>
          <w:sz w:val="24"/>
        </w:rPr>
      </w:pPr>
      <w:bookmarkStart w:id="521" w:name="_Toc538"/>
      <w:bookmarkStart w:id="522" w:name="_Toc22185"/>
      <w:bookmarkStart w:id="523" w:name="_Toc31498"/>
      <w:bookmarkStart w:id="524" w:name="_Toc1090"/>
      <w:bookmarkStart w:id="525" w:name="_Toc2918"/>
      <w:bookmarkStart w:id="526" w:name="_Toc15369"/>
      <w:bookmarkStart w:id="527" w:name="_Toc6313"/>
      <w:bookmarkStart w:id="528" w:name="_Toc6773"/>
      <w:bookmarkStart w:id="529" w:name="_Toc10814"/>
      <w:bookmarkStart w:id="530" w:name="_Toc23275"/>
      <w:bookmarkStart w:id="531" w:name="_Toc18585"/>
      <w:bookmarkStart w:id="532" w:name="_Toc18571"/>
      <w:bookmarkStart w:id="533" w:name="_Toc24493"/>
      <w:bookmarkStart w:id="534" w:name="_Toc6311"/>
      <w:bookmarkStart w:id="535" w:name="_Toc15104"/>
      <w:bookmarkStart w:id="536" w:name="_Toc27911"/>
      <w:r>
        <w:rPr>
          <w:rFonts w:hint="eastAsia" w:ascii="宋体" w:hAnsi="宋体" w:eastAsia="宋体" w:cs="宋体"/>
          <w:b w:val="0"/>
          <w:bCs/>
          <w:color w:val="auto"/>
          <w:sz w:val="24"/>
        </w:rPr>
        <w:t>1.2 标的</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1.2.1 标的名称：</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1.2.2 标的数量：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1.2.3 标的质量：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rPr>
      </w:pPr>
      <w:bookmarkStart w:id="537" w:name="_Toc13918"/>
      <w:bookmarkStart w:id="538" w:name="_Toc2888"/>
      <w:bookmarkStart w:id="539" w:name="_Toc23906"/>
      <w:bookmarkStart w:id="540" w:name="_Toc13512"/>
      <w:bookmarkStart w:id="541" w:name="_Toc10671"/>
      <w:bookmarkStart w:id="542" w:name="_Toc32314"/>
      <w:bookmarkStart w:id="543" w:name="_Toc27077"/>
      <w:bookmarkStart w:id="544" w:name="_Toc5635"/>
      <w:bookmarkStart w:id="545" w:name="_Toc21124"/>
      <w:bookmarkStart w:id="546" w:name="_Toc4929"/>
      <w:bookmarkStart w:id="547" w:name="_Toc13554"/>
      <w:bookmarkStart w:id="548" w:name="_Toc17541"/>
      <w:bookmarkStart w:id="549" w:name="_Toc23026"/>
      <w:bookmarkStart w:id="550" w:name="_Toc4932"/>
      <w:bookmarkStart w:id="551" w:name="_Toc811"/>
      <w:bookmarkStart w:id="552" w:name="_Toc1386"/>
      <w:r>
        <w:rPr>
          <w:rFonts w:hint="eastAsia" w:ascii="宋体" w:hAnsi="宋体" w:eastAsia="宋体" w:cs="宋体"/>
          <w:b w:val="0"/>
          <w:bCs/>
          <w:color w:val="auto"/>
          <w:sz w:val="24"/>
        </w:rPr>
        <w:t>1.3 价款</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本合同总价为：￥</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元（大写：</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元人民币）。</w:t>
      </w:r>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序号</w:t>
            </w: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分项名称</w:t>
            </w:r>
          </w:p>
        </w:tc>
        <w:tc>
          <w:tcPr>
            <w:tcW w:w="2552" w:type="dxa"/>
            <w:noWrap w:val="0"/>
            <w:vAlign w:val="center"/>
          </w:tcPr>
          <w:p>
            <w:pPr>
              <w:pStyle w:val="55"/>
              <w:spacing w:line="400" w:lineRule="exact"/>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总价</w:t>
            </w: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bl>
    <w:p>
      <w:pPr>
        <w:spacing w:line="400" w:lineRule="exact"/>
        <w:ind w:firstLine="480" w:firstLineChars="200"/>
        <w:outlineLvl w:val="0"/>
        <w:rPr>
          <w:rFonts w:hint="eastAsia" w:ascii="宋体" w:hAnsi="宋体" w:eastAsia="宋体" w:cs="宋体"/>
          <w:b w:val="0"/>
          <w:bCs/>
          <w:color w:val="auto"/>
          <w:sz w:val="24"/>
        </w:rPr>
      </w:pPr>
      <w:bookmarkStart w:id="553" w:name="_Toc7832"/>
      <w:bookmarkStart w:id="554" w:name="_Toc19221"/>
      <w:bookmarkStart w:id="555" w:name="_Toc8041"/>
      <w:bookmarkStart w:id="556" w:name="_Toc17855"/>
      <w:bookmarkStart w:id="557" w:name="_Toc3654"/>
      <w:bookmarkStart w:id="558" w:name="_Toc25910"/>
      <w:bookmarkStart w:id="559" w:name="_Toc32305"/>
      <w:bookmarkStart w:id="560" w:name="_Toc26916"/>
      <w:bookmarkStart w:id="561" w:name="_Toc6044"/>
      <w:bookmarkStart w:id="562" w:name="_Toc19143"/>
      <w:bookmarkStart w:id="563" w:name="_Toc23173"/>
      <w:bookmarkStart w:id="564" w:name="_Toc30158"/>
      <w:bookmarkStart w:id="565" w:name="_Toc6998"/>
      <w:bookmarkStart w:id="566" w:name="_Toc30506"/>
      <w:bookmarkStart w:id="567" w:name="_Toc14993"/>
      <w:bookmarkStart w:id="568" w:name="_Toc21059"/>
      <w:bookmarkStart w:id="569" w:name="_Toc8772"/>
      <w:bookmarkStart w:id="570" w:name="_Toc12261"/>
      <w:bookmarkStart w:id="571" w:name="_Toc19734"/>
      <w:bookmarkStart w:id="572" w:name="_Toc21606"/>
      <w:bookmarkStart w:id="573" w:name="_Toc17889"/>
      <w:bookmarkStart w:id="574" w:name="_Toc4301"/>
      <w:bookmarkStart w:id="575" w:name="_Toc4760"/>
      <w:bookmarkStart w:id="576" w:name="_Toc3251"/>
      <w:bookmarkStart w:id="577" w:name="_Toc31421"/>
      <w:bookmarkStart w:id="578" w:name="_Toc3625"/>
      <w:bookmarkStart w:id="579" w:name="_Toc23903"/>
      <w:bookmarkStart w:id="580" w:name="_Toc11108"/>
      <w:bookmarkStart w:id="581" w:name="_Toc3007"/>
      <w:bookmarkStart w:id="582" w:name="_Toc24233"/>
      <w:bookmarkStart w:id="583" w:name="_Toc28212"/>
      <w:bookmarkStart w:id="584" w:name="_Toc32135"/>
      <w:r>
        <w:rPr>
          <w:rFonts w:hint="eastAsia" w:ascii="宋体" w:hAnsi="宋体" w:eastAsia="宋体" w:cs="宋体"/>
          <w:b w:val="0"/>
          <w:bCs/>
          <w:color w:val="auto"/>
          <w:sz w:val="24"/>
        </w:rPr>
        <w:t>1.4 付款方式和发票开具方式</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1.4.1付款方式：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1.4.2 发票开具方式：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rPr>
      </w:pPr>
      <w:r>
        <w:rPr>
          <w:rFonts w:hint="eastAsia" w:ascii="宋体" w:hAnsi="宋体" w:eastAsia="宋体" w:cs="宋体"/>
          <w:b w:val="0"/>
          <w:bCs/>
          <w:color w:val="auto"/>
          <w:sz w:val="24"/>
        </w:rPr>
        <w:t>1.5 履行期限、地点和方式</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1.5.1 履行期限：</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1.5.2 履行地点：</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1.5.3 履行方式：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u w:val="single"/>
        </w:rPr>
      </w:pPr>
      <w:bookmarkStart w:id="585" w:name="_Toc5418"/>
      <w:bookmarkStart w:id="586" w:name="_Toc10490"/>
      <w:bookmarkStart w:id="587" w:name="_Toc3079"/>
      <w:bookmarkStart w:id="588" w:name="_Toc2375"/>
      <w:bookmarkStart w:id="589" w:name="_Toc5698"/>
      <w:bookmarkStart w:id="590" w:name="_Toc12514"/>
      <w:bookmarkStart w:id="591" w:name="_Toc18326"/>
      <w:bookmarkStart w:id="592" w:name="_Toc18474"/>
      <w:bookmarkStart w:id="593" w:name="_Toc24662"/>
      <w:bookmarkStart w:id="594" w:name="_Toc16708"/>
      <w:bookmarkStart w:id="595" w:name="_Toc8268"/>
      <w:bookmarkStart w:id="596" w:name="_Toc8586"/>
      <w:bookmarkStart w:id="597" w:name="_Toc27990"/>
      <w:bookmarkStart w:id="598" w:name="_Toc5863"/>
      <w:bookmarkStart w:id="599" w:name="_Toc3290"/>
      <w:r>
        <w:rPr>
          <w:rFonts w:hint="eastAsia" w:ascii="宋体" w:hAnsi="宋体" w:eastAsia="宋体" w:cs="宋体"/>
          <w:b w:val="0"/>
          <w:bCs/>
          <w:color w:val="auto"/>
          <w:sz w:val="24"/>
        </w:rPr>
        <w:t>1.6 违约责任</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%计算，最高限额为本合同总价的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%计算，最高限额为本合同总价的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1.6.6 如果出现政府采购监督管理部门在处理投诉事项期间，书面通知甲方暂停采购活动的情形，或者询问或质疑事项可能影响</w:t>
      </w:r>
      <w:r>
        <w:rPr>
          <w:rFonts w:hint="eastAsia" w:ascii="宋体" w:hAnsi="宋体" w:eastAsia="宋体" w:cs="宋体"/>
          <w:b w:val="0"/>
          <w:bCs/>
          <w:color w:val="auto"/>
          <w:sz w:val="24"/>
          <w:lang w:eastAsia="zh-CN"/>
        </w:rPr>
        <w:t>成交</w:t>
      </w:r>
      <w:r>
        <w:rPr>
          <w:rFonts w:hint="eastAsia" w:ascii="宋体" w:hAnsi="宋体" w:eastAsia="宋体" w:cs="宋体"/>
          <w:b w:val="0"/>
          <w:bCs/>
          <w:color w:val="auto"/>
          <w:sz w:val="24"/>
        </w:rPr>
        <w:t>结果的，导致甲方中止履行合同的情形，均不视为甲方违约。</w:t>
      </w:r>
    </w:p>
    <w:p>
      <w:pPr>
        <w:spacing w:line="400" w:lineRule="exact"/>
        <w:ind w:firstLine="480" w:firstLineChars="200"/>
        <w:outlineLvl w:val="0"/>
        <w:rPr>
          <w:rFonts w:hint="eastAsia" w:ascii="宋体" w:hAnsi="宋体" w:eastAsia="宋体" w:cs="宋体"/>
          <w:b w:val="0"/>
          <w:bCs/>
          <w:color w:val="auto"/>
          <w:sz w:val="24"/>
        </w:rPr>
      </w:pPr>
      <w:bookmarkStart w:id="600" w:name="_Toc9497"/>
      <w:bookmarkStart w:id="601" w:name="_Toc32454"/>
      <w:bookmarkStart w:id="602" w:name="_Toc13358"/>
      <w:bookmarkStart w:id="603" w:name="_Toc13634"/>
      <w:bookmarkStart w:id="604" w:name="_Toc18683"/>
      <w:bookmarkStart w:id="605" w:name="_Toc4448"/>
      <w:bookmarkStart w:id="606" w:name="_Toc26807"/>
      <w:bookmarkStart w:id="607" w:name="_Toc3964"/>
      <w:bookmarkStart w:id="608" w:name="_Toc9782"/>
      <w:bookmarkStart w:id="609" w:name="_Toc20344"/>
      <w:bookmarkStart w:id="610" w:name="_Toc23069"/>
      <w:bookmarkStart w:id="611" w:name="_Toc30329"/>
      <w:bookmarkStart w:id="612" w:name="_Toc14940"/>
      <w:bookmarkStart w:id="613" w:name="_Toc21818"/>
      <w:bookmarkStart w:id="614" w:name="_Toc4563"/>
      <w:bookmarkStart w:id="615" w:name="_Toc12954"/>
      <w:r>
        <w:rPr>
          <w:rFonts w:hint="eastAsia" w:ascii="宋体" w:hAnsi="宋体" w:eastAsia="宋体" w:cs="宋体"/>
          <w:b w:val="0"/>
          <w:bCs/>
          <w:color w:val="auto"/>
          <w:sz w:val="24"/>
        </w:rPr>
        <w:t>1.7 合同争议的解决</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种方式解决：</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1.7.1 将争议提交</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仲裁委员会依申请仲裁时其现行有效的仲裁规则裁决；</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1.7.2 向</w:t>
      </w:r>
      <w:r>
        <w:rPr>
          <w:rFonts w:hint="eastAsia" w:ascii="宋体" w:hAnsi="宋体" w:eastAsia="宋体" w:cs="宋体"/>
          <w:b w:val="0"/>
          <w:bCs/>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b w:val="0"/>
          <w:bCs/>
          <w:color w:val="auto"/>
          <w:sz w:val="24"/>
        </w:rPr>
        <w:t>人民法院起诉。</w:t>
      </w:r>
    </w:p>
    <w:p>
      <w:pPr>
        <w:spacing w:line="400" w:lineRule="exact"/>
        <w:ind w:firstLine="480" w:firstLineChars="200"/>
        <w:outlineLvl w:val="0"/>
        <w:rPr>
          <w:rFonts w:hint="eastAsia" w:ascii="宋体" w:hAnsi="宋体" w:eastAsia="宋体" w:cs="宋体"/>
          <w:b w:val="0"/>
          <w:bCs/>
          <w:color w:val="auto"/>
          <w:sz w:val="24"/>
        </w:rPr>
      </w:pPr>
      <w:bookmarkStart w:id="616" w:name="_Toc20156"/>
      <w:bookmarkStart w:id="617" w:name="_Toc18071"/>
      <w:bookmarkStart w:id="618" w:name="_Toc32664"/>
      <w:bookmarkStart w:id="619" w:name="_Toc26227"/>
      <w:bookmarkStart w:id="620" w:name="_Toc13186"/>
      <w:bookmarkStart w:id="621" w:name="_Toc6707"/>
      <w:bookmarkStart w:id="622" w:name="_Toc6048"/>
      <w:bookmarkStart w:id="623" w:name="_Toc1048"/>
      <w:bookmarkStart w:id="624" w:name="_Toc1472"/>
      <w:bookmarkStart w:id="625" w:name="_Toc17508"/>
      <w:bookmarkStart w:id="626" w:name="_Toc4540"/>
      <w:bookmarkStart w:id="627" w:name="_Toc13173"/>
      <w:bookmarkStart w:id="628" w:name="_Toc23784"/>
      <w:bookmarkStart w:id="629" w:name="_Toc16417"/>
      <w:bookmarkStart w:id="630" w:name="_Toc15827"/>
      <w:bookmarkStart w:id="631" w:name="_Toc12273"/>
      <w:r>
        <w:rPr>
          <w:rFonts w:hint="eastAsia" w:ascii="宋体" w:hAnsi="宋体" w:eastAsia="宋体" w:cs="宋体"/>
          <w:b w:val="0"/>
          <w:bCs/>
          <w:color w:val="auto"/>
          <w:sz w:val="24"/>
        </w:rPr>
        <w:t>1.8 合同生效</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本合同自双方当事人盖章或者签字时生效。</w:t>
      </w:r>
    </w:p>
    <w:p>
      <w:pPr>
        <w:autoSpaceDE w:val="0"/>
        <w:autoSpaceDN w:val="0"/>
        <w:adjustRightInd w:val="0"/>
        <w:spacing w:line="400" w:lineRule="exact"/>
        <w:rPr>
          <w:rFonts w:hint="eastAsia" w:ascii="宋体" w:hAnsi="宋体" w:eastAsia="宋体" w:cs="宋体"/>
          <w:b w:val="0"/>
          <w:bCs/>
          <w:color w:val="auto"/>
          <w:sz w:val="24"/>
          <w:lang w:val="zh-CN"/>
        </w:rPr>
      </w:pP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甲方：                                   乙方：</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b w:val="0"/>
          <w:bCs/>
          <w:color w:val="auto"/>
          <w:sz w:val="24"/>
          <w:lang w:val="zh-CN"/>
        </w:rPr>
      </w:pP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住所：                                   住所：</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法定代表人或                             法定代表人</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 xml:space="preserve">授权代表（签字）：                        或授权代表（签字）: </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联系人：                                 联系人：</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约定送达地址：                           约定送达地址：</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邮政编码：                               邮政编码：</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 xml:space="preserve">电话:                                    电话: </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传真:                                    传真:</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lang w:val="zh-CN"/>
        </w:rPr>
        <w:t>电子邮箱：                               电子邮箱：</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rPr>
        <w:t xml:space="preserve">开户银行：                               开户银行： </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rPr>
        <w:t xml:space="preserve">开户名称：                               开户名称： </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rPr>
        <w:t>开户账号：</w:t>
      </w:r>
      <w:r>
        <w:rPr>
          <w:rFonts w:hint="eastAsia" w:ascii="宋体" w:hAnsi="宋体" w:eastAsia="宋体" w:cs="宋体"/>
          <w:b w:val="0"/>
          <w:bCs/>
          <w:color w:val="auto"/>
          <w:sz w:val="24"/>
          <w:lang w:val="zh-CN"/>
        </w:rPr>
        <w:t xml:space="preserve">                               </w:t>
      </w:r>
      <w:r>
        <w:rPr>
          <w:rFonts w:hint="eastAsia" w:ascii="宋体" w:hAnsi="宋体" w:eastAsia="宋体" w:cs="宋体"/>
          <w:b w:val="0"/>
          <w:bCs/>
          <w:color w:val="auto"/>
          <w:sz w:val="24"/>
        </w:rPr>
        <w:t>开户账号：</w:t>
      </w:r>
    </w:p>
    <w:p>
      <w:pPr>
        <w:widowControl/>
        <w:spacing w:line="400" w:lineRule="exact"/>
        <w:jc w:val="left"/>
        <w:rPr>
          <w:rFonts w:hint="eastAsia" w:ascii="宋体" w:hAnsi="宋体" w:eastAsia="宋体" w:cs="宋体"/>
          <w:b w:val="0"/>
          <w:bCs/>
          <w:color w:val="auto"/>
        </w:rPr>
      </w:pPr>
      <w:bookmarkStart w:id="632" w:name="_Toc331685783"/>
    </w:p>
    <w:p>
      <w:pPr>
        <w:widowControl/>
        <w:spacing w:line="400" w:lineRule="exact"/>
        <w:jc w:val="left"/>
        <w:rPr>
          <w:rFonts w:hint="eastAsia" w:ascii="宋体" w:hAnsi="宋体" w:eastAsia="宋体" w:cs="宋体"/>
          <w:b w:val="0"/>
          <w:bCs/>
          <w:color w:val="auto"/>
        </w:rPr>
      </w:pPr>
    </w:p>
    <w:p>
      <w:pPr>
        <w:widowControl/>
        <w:spacing w:line="400" w:lineRule="exact"/>
        <w:jc w:val="left"/>
        <w:rPr>
          <w:rFonts w:hint="eastAsia" w:ascii="宋体" w:hAnsi="宋体" w:eastAsia="宋体" w:cs="宋体"/>
          <w:b w:val="0"/>
          <w:bCs/>
          <w:color w:val="auto"/>
          <w:kern w:val="0"/>
          <w:sz w:val="24"/>
        </w:rPr>
      </w:pPr>
    </w:p>
    <w:p>
      <w:pPr>
        <w:widowControl/>
        <w:spacing w:line="400" w:lineRule="exact"/>
        <w:jc w:val="left"/>
        <w:rPr>
          <w:rFonts w:hint="eastAsia" w:ascii="宋体" w:hAnsi="宋体" w:eastAsia="宋体" w:cs="宋体"/>
          <w:b w:val="0"/>
          <w:bCs/>
          <w:color w:val="auto"/>
          <w:kern w:val="0"/>
          <w:sz w:val="24"/>
        </w:rPr>
      </w:pPr>
    </w:p>
    <w:p>
      <w:pPr>
        <w:widowControl/>
        <w:spacing w:line="400" w:lineRule="exact"/>
        <w:jc w:val="left"/>
        <w:rPr>
          <w:rFonts w:hint="eastAsia" w:ascii="宋体" w:hAnsi="宋体" w:eastAsia="宋体" w:cs="宋体"/>
          <w:b w:val="0"/>
          <w:bCs/>
          <w:color w:val="auto"/>
          <w:kern w:val="0"/>
          <w:sz w:val="24"/>
        </w:rPr>
      </w:pPr>
    </w:p>
    <w:p>
      <w:pPr>
        <w:pStyle w:val="2"/>
        <w:rPr>
          <w:rFonts w:hint="eastAsia" w:ascii="宋体" w:hAnsi="宋体" w:eastAsia="宋体" w:cs="宋体"/>
          <w:b w:val="0"/>
          <w:bCs/>
          <w:color w:val="auto"/>
          <w:kern w:val="0"/>
          <w:sz w:val="24"/>
        </w:rPr>
      </w:pPr>
    </w:p>
    <w:p>
      <w:pPr>
        <w:rPr>
          <w:rFonts w:hint="eastAsia"/>
        </w:rPr>
      </w:pPr>
    </w:p>
    <w:p>
      <w:pPr>
        <w:widowControl/>
        <w:spacing w:line="400" w:lineRule="exact"/>
        <w:jc w:val="left"/>
        <w:rPr>
          <w:rFonts w:hint="eastAsia" w:ascii="宋体" w:hAnsi="宋体" w:eastAsia="宋体" w:cs="宋体"/>
          <w:b w:val="0"/>
          <w:bCs/>
          <w:color w:val="auto"/>
          <w:kern w:val="0"/>
          <w:sz w:val="24"/>
        </w:rPr>
      </w:pPr>
    </w:p>
    <w:p>
      <w:pPr>
        <w:pStyle w:val="57"/>
        <w:spacing w:line="400" w:lineRule="exact"/>
        <w:ind w:left="0" w:leftChars="0" w:firstLine="0" w:firstLineChars="0"/>
        <w:jc w:val="center"/>
        <w:rPr>
          <w:rFonts w:hint="eastAsia" w:ascii="宋体" w:hAnsi="宋体" w:eastAsia="宋体" w:cs="宋体"/>
          <w:b w:val="0"/>
          <w:bCs/>
          <w:color w:val="auto"/>
          <w:szCs w:val="24"/>
        </w:rPr>
      </w:pPr>
    </w:p>
    <w:p>
      <w:pPr>
        <w:pStyle w:val="57"/>
        <w:spacing w:line="400" w:lineRule="exact"/>
        <w:ind w:left="0" w:leftChars="0" w:firstLine="0" w:firstLineChars="0"/>
        <w:jc w:val="center"/>
        <w:rPr>
          <w:rFonts w:hint="eastAsia" w:ascii="宋体" w:hAnsi="宋体" w:eastAsia="宋体" w:cs="宋体"/>
          <w:b w:val="0"/>
          <w:bCs/>
          <w:color w:val="auto"/>
          <w:szCs w:val="24"/>
        </w:rPr>
      </w:pPr>
      <w:r>
        <w:rPr>
          <w:rFonts w:hint="eastAsia" w:ascii="宋体" w:hAnsi="宋体" w:eastAsia="宋体" w:cs="宋体"/>
          <w:b w:val="0"/>
          <w:bCs/>
          <w:color w:val="auto"/>
          <w:szCs w:val="24"/>
        </w:rPr>
        <w:t>第二部分 合同一般条款</w:t>
      </w:r>
      <w:bookmarkEnd w:id="632"/>
    </w:p>
    <w:p>
      <w:pPr>
        <w:spacing w:line="400" w:lineRule="exact"/>
        <w:ind w:firstLine="480" w:firstLineChars="200"/>
        <w:outlineLvl w:val="0"/>
        <w:rPr>
          <w:rFonts w:hint="eastAsia" w:ascii="宋体" w:hAnsi="宋体" w:eastAsia="宋体" w:cs="宋体"/>
          <w:b w:val="0"/>
          <w:bCs/>
          <w:color w:val="auto"/>
          <w:sz w:val="24"/>
        </w:rPr>
      </w:pPr>
      <w:bookmarkStart w:id="633" w:name="_Ref467379214"/>
      <w:bookmarkStart w:id="634" w:name="_Ref467379094"/>
      <w:bookmarkStart w:id="635" w:name="_Toc16934"/>
      <w:bookmarkStart w:id="636" w:name="_Toc31297"/>
      <w:bookmarkStart w:id="637" w:name="_Ref467379225"/>
      <w:bookmarkStart w:id="638" w:name="_Toc17704"/>
      <w:bookmarkStart w:id="639" w:name="_Ref467379205"/>
      <w:bookmarkStart w:id="640" w:name="_Toc259093669"/>
      <w:bookmarkStart w:id="641" w:name="_Toc279701240"/>
      <w:bookmarkStart w:id="642" w:name="_Toc25079"/>
      <w:bookmarkStart w:id="643" w:name="_Toc14021"/>
      <w:bookmarkStart w:id="644" w:name="_Toc5228"/>
      <w:bookmarkStart w:id="645" w:name="_Toc9585"/>
      <w:bookmarkStart w:id="646" w:name="_Toc21058"/>
      <w:bookmarkStart w:id="647" w:name="_Toc487900349"/>
      <w:bookmarkStart w:id="648" w:name="_Ref467378404"/>
      <w:bookmarkStart w:id="649" w:name="_Ref467378463"/>
      <w:bookmarkStart w:id="650" w:name="_Toc29074"/>
      <w:bookmarkStart w:id="651" w:name="_Toc29024"/>
      <w:bookmarkStart w:id="652" w:name="_Toc10827"/>
      <w:bookmarkStart w:id="653" w:name="_Toc19680"/>
      <w:bookmarkStart w:id="654" w:name="_Ref467378499"/>
      <w:bookmarkStart w:id="655" w:name="_Toc28701"/>
      <w:bookmarkStart w:id="656" w:name="_Ref467379109"/>
      <w:bookmarkStart w:id="657" w:name="_Toc5117"/>
      <w:bookmarkStart w:id="658" w:name="_Toc13941"/>
      <w:bookmarkStart w:id="659" w:name="_Ref467379195"/>
      <w:bookmarkStart w:id="660" w:name="_Toc15621"/>
      <w:bookmarkStart w:id="661" w:name="_Ref467379101"/>
      <w:r>
        <w:rPr>
          <w:rFonts w:hint="eastAsia" w:ascii="宋体" w:hAnsi="宋体" w:eastAsia="宋体" w:cs="宋体"/>
          <w:b w:val="0"/>
          <w:bCs/>
          <w:color w:val="auto"/>
          <w:sz w:val="24"/>
        </w:rPr>
        <w:t>2.1 定义</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本合同中的下列词语应按以下内容进行解释：</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 “合同”系指</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和</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签订的载明双方当事人所达成的协议，并包括所有的附件、附录和构成合同的其他文件。</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2.1.2 “合同价”系指根据合同约定，</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在完全履行合同义务后，</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应支付给</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的价格。</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2.1.3 “服务”系指</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根据合同约定应向</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履行的除货物和工程以外的其他政府采购对象，包括</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自身需要的服务和向社会公众提供的公共服务。</w:t>
      </w:r>
    </w:p>
    <w:p>
      <w:pPr>
        <w:spacing w:line="400" w:lineRule="exact"/>
        <w:ind w:firstLine="480" w:firstLineChars="200"/>
        <w:rPr>
          <w:rFonts w:hint="eastAsia" w:ascii="宋体" w:hAnsi="宋体" w:eastAsia="宋体" w:cs="宋体"/>
          <w:b w:val="0"/>
          <w:bCs/>
          <w:color w:val="auto"/>
          <w:sz w:val="24"/>
        </w:rPr>
      </w:pPr>
      <w:bookmarkStart w:id="662" w:name="_Ref467378840"/>
      <w:r>
        <w:rPr>
          <w:rFonts w:hint="eastAsia" w:ascii="宋体" w:hAnsi="宋体" w:eastAsia="宋体" w:cs="宋体"/>
          <w:b w:val="0"/>
          <w:bCs/>
          <w:color w:val="auto"/>
          <w:sz w:val="24"/>
        </w:rPr>
        <w:t>2.1.4 “甲方”系指与</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签署合同的</w:t>
      </w:r>
      <w:bookmarkEnd w:id="662"/>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委托</w:t>
      </w:r>
      <w:r>
        <w:rPr>
          <w:rFonts w:hint="eastAsia" w:ascii="宋体" w:hAnsi="宋体" w:cs="宋体"/>
          <w:b w:val="0"/>
          <w:bCs/>
          <w:color w:val="auto"/>
          <w:sz w:val="24"/>
          <w:lang w:eastAsia="zh-CN"/>
        </w:rPr>
        <w:t>采购代理机构</w:t>
      </w:r>
      <w:r>
        <w:rPr>
          <w:rFonts w:hint="eastAsia" w:ascii="宋体" w:hAnsi="宋体" w:eastAsia="宋体" w:cs="宋体"/>
          <w:b w:val="0"/>
          <w:bCs/>
          <w:color w:val="auto"/>
          <w:sz w:val="24"/>
        </w:rPr>
        <w:t>代表其与乙方签订合同的，</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的授权委托书作为合同附件。</w:t>
      </w:r>
    </w:p>
    <w:p>
      <w:pPr>
        <w:spacing w:line="400" w:lineRule="exact"/>
        <w:ind w:firstLine="480" w:firstLineChars="200"/>
        <w:rPr>
          <w:rFonts w:hint="eastAsia" w:ascii="宋体" w:hAnsi="宋体" w:eastAsia="宋体" w:cs="宋体"/>
          <w:b w:val="0"/>
          <w:bCs/>
          <w:color w:val="auto"/>
          <w:sz w:val="24"/>
        </w:rPr>
      </w:pPr>
      <w:bookmarkStart w:id="663" w:name="_Ref467379400"/>
      <w:r>
        <w:rPr>
          <w:rFonts w:hint="eastAsia" w:ascii="宋体" w:hAnsi="宋体" w:eastAsia="宋体" w:cs="宋体"/>
          <w:b w:val="0"/>
          <w:bCs/>
          <w:color w:val="auto"/>
          <w:sz w:val="24"/>
        </w:rPr>
        <w:t>2.1.5 “乙方”系指根据合同约定提供服务的</w:t>
      </w:r>
      <w:r>
        <w:rPr>
          <w:rFonts w:hint="eastAsia" w:ascii="宋体" w:hAnsi="宋体" w:eastAsia="宋体" w:cs="宋体"/>
          <w:b w:val="0"/>
          <w:bCs/>
          <w:color w:val="auto"/>
          <w:sz w:val="24"/>
          <w:lang w:eastAsia="zh-CN"/>
        </w:rPr>
        <w:t>成交</w:t>
      </w:r>
      <w:bookmarkEnd w:id="663"/>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；两个以上的自然人、法人或者其他组织组成一个联合体，以一个</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b w:val="0"/>
          <w:bCs/>
          <w:color w:val="auto"/>
          <w:sz w:val="24"/>
        </w:rPr>
      </w:pPr>
      <w:bookmarkStart w:id="664" w:name="_Ref467379436"/>
      <w:r>
        <w:rPr>
          <w:rFonts w:hint="eastAsia" w:ascii="宋体" w:hAnsi="宋体" w:eastAsia="宋体" w:cs="宋体"/>
          <w:b w:val="0"/>
          <w:bCs/>
          <w:color w:val="auto"/>
          <w:sz w:val="24"/>
        </w:rPr>
        <w:t>2.1.6 “现场”系指合同约定提供服务的地点。</w:t>
      </w:r>
      <w:bookmarkEnd w:id="664"/>
    </w:p>
    <w:p>
      <w:pPr>
        <w:spacing w:line="400" w:lineRule="exact"/>
        <w:ind w:firstLine="480" w:firstLineChars="200"/>
        <w:outlineLvl w:val="0"/>
        <w:rPr>
          <w:rFonts w:hint="eastAsia" w:ascii="宋体" w:hAnsi="宋体" w:eastAsia="宋体" w:cs="宋体"/>
          <w:b w:val="0"/>
          <w:bCs/>
          <w:color w:val="auto"/>
          <w:sz w:val="24"/>
        </w:rPr>
      </w:pPr>
      <w:bookmarkStart w:id="665" w:name="_Toc22493"/>
      <w:bookmarkStart w:id="666" w:name="_Toc21068"/>
      <w:bookmarkStart w:id="667" w:name="_Toc19539"/>
      <w:bookmarkStart w:id="668" w:name="_Toc15686"/>
      <w:bookmarkStart w:id="669" w:name="_Toc8861"/>
      <w:bookmarkStart w:id="670" w:name="_Toc159"/>
      <w:bookmarkStart w:id="671" w:name="_Toc31402"/>
      <w:bookmarkStart w:id="672" w:name="_Toc28811"/>
      <w:bookmarkStart w:id="673" w:name="_Toc279701241"/>
      <w:bookmarkStart w:id="674" w:name="_Toc487900350"/>
      <w:bookmarkStart w:id="675" w:name="_Toc10249"/>
      <w:bookmarkStart w:id="676" w:name="_Toc16752"/>
      <w:bookmarkStart w:id="677" w:name="_Toc7411"/>
      <w:bookmarkStart w:id="678" w:name="_Toc259093670"/>
      <w:bookmarkStart w:id="679" w:name="_Toc24501"/>
      <w:bookmarkStart w:id="680" w:name="_Toc6001"/>
      <w:bookmarkStart w:id="681" w:name="_Toc3769"/>
      <w:bookmarkStart w:id="682" w:name="_Toc23289"/>
      <w:bookmarkStart w:id="683" w:name="_Toc25980"/>
      <w:r>
        <w:rPr>
          <w:rFonts w:hint="eastAsia" w:ascii="宋体" w:hAnsi="宋体" w:eastAsia="宋体" w:cs="宋体"/>
          <w:b w:val="0"/>
          <w:bCs/>
          <w:color w:val="auto"/>
          <w:sz w:val="24"/>
        </w:rPr>
        <w:t>2.2 技术规范</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0" w:firstLineChars="200"/>
        <w:outlineLvl w:val="0"/>
        <w:rPr>
          <w:rFonts w:hint="eastAsia" w:ascii="宋体" w:hAnsi="宋体" w:eastAsia="宋体" w:cs="宋体"/>
          <w:b w:val="0"/>
          <w:bCs/>
          <w:color w:val="auto"/>
          <w:sz w:val="24"/>
        </w:rPr>
      </w:pPr>
      <w:bookmarkStart w:id="684" w:name="_Toc12881"/>
      <w:bookmarkStart w:id="685" w:name="_Toc13673"/>
      <w:bookmarkStart w:id="686" w:name="_Toc24660"/>
      <w:bookmarkStart w:id="687" w:name="_Toc487900351"/>
      <w:bookmarkStart w:id="688" w:name="_Toc4133"/>
      <w:bookmarkStart w:id="689" w:name="_Toc9161"/>
      <w:bookmarkStart w:id="690" w:name="_Toc30138"/>
      <w:bookmarkStart w:id="691" w:name="_Toc259093671"/>
      <w:bookmarkStart w:id="692" w:name="_Toc32402"/>
      <w:bookmarkStart w:id="693" w:name="_Toc9578"/>
      <w:bookmarkStart w:id="694" w:name="_Toc1059"/>
      <w:bookmarkStart w:id="695" w:name="_Toc12727"/>
      <w:bookmarkStart w:id="696" w:name="_Toc22416"/>
      <w:bookmarkStart w:id="697" w:name="_Toc27945"/>
      <w:bookmarkStart w:id="698" w:name="_Toc21086"/>
      <w:bookmarkStart w:id="699" w:name="_Toc12412"/>
      <w:bookmarkStart w:id="700" w:name="_Toc7280"/>
      <w:bookmarkStart w:id="701" w:name="_Toc8378"/>
      <w:bookmarkStart w:id="702" w:name="_Toc279701242"/>
      <w:r>
        <w:rPr>
          <w:rFonts w:hint="eastAsia" w:ascii="宋体" w:hAnsi="宋体" w:eastAsia="宋体" w:cs="宋体"/>
          <w:b w:val="0"/>
          <w:bCs/>
          <w:color w:val="auto"/>
          <w:sz w:val="24"/>
        </w:rPr>
        <w:t>2.3 知识产权</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2.3.2 合同涉及技术成果的归属和收益的分成办法的，详见</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2.4 履约检查和问题反馈</w:t>
      </w:r>
    </w:p>
    <w:p>
      <w:pPr>
        <w:spacing w:line="400" w:lineRule="exact"/>
        <w:ind w:firstLine="480" w:firstLineChars="200"/>
        <w:rPr>
          <w:rFonts w:hint="eastAsia" w:ascii="宋体" w:hAnsi="宋体" w:eastAsia="宋体" w:cs="宋体"/>
          <w:b w:val="0"/>
          <w:bCs/>
          <w:color w:val="auto"/>
          <w:sz w:val="24"/>
        </w:rPr>
      </w:pPr>
      <w:bookmarkStart w:id="703" w:name="_Ref467379657"/>
      <w:r>
        <w:rPr>
          <w:rFonts w:hint="eastAsia" w:ascii="宋体" w:hAnsi="宋体" w:eastAsia="宋体" w:cs="宋体"/>
          <w:b w:val="0"/>
          <w:bCs/>
          <w:color w:val="auto"/>
          <w:sz w:val="24"/>
        </w:rPr>
        <w:t>2.4.1</w:t>
      </w:r>
      <w:bookmarkEnd w:id="703"/>
      <w:bookmarkStart w:id="704" w:name="_Toc186431854"/>
      <w:bookmarkStart w:id="705" w:name="_Toc487900357"/>
      <w:bookmarkStart w:id="706" w:name="_Toc259093676"/>
      <w:bookmarkStart w:id="707" w:name="_Toc279701247"/>
      <w:bookmarkStart w:id="708" w:name="_Ref467379793"/>
      <w:bookmarkStart w:id="709" w:name="_Ref467379807"/>
      <w:r>
        <w:rPr>
          <w:rFonts w:hint="eastAsia" w:ascii="宋体" w:hAnsi="宋体" w:eastAsia="宋体" w:cs="宋体"/>
          <w:b w:val="0"/>
          <w:bCs/>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2.4.2 合同履行期间，甲方有权将履行过程中出现的问题反馈给乙方，双方当事人应以书面形式约定需要完善和改进的内容</w:t>
      </w:r>
      <w:bookmarkEnd w:id="704"/>
      <w:bookmarkStart w:id="710" w:name="_Toc186431855"/>
      <w:r>
        <w:rPr>
          <w:rFonts w:hint="eastAsia" w:ascii="宋体" w:hAnsi="宋体" w:eastAsia="宋体" w:cs="宋体"/>
          <w:b w:val="0"/>
          <w:bCs/>
          <w:color w:val="auto"/>
          <w:sz w:val="24"/>
        </w:rPr>
        <w:t>。</w:t>
      </w:r>
    </w:p>
    <w:bookmarkEnd w:id="710"/>
    <w:p>
      <w:pPr>
        <w:spacing w:line="400" w:lineRule="exact"/>
        <w:ind w:firstLine="480" w:firstLineChars="200"/>
        <w:outlineLvl w:val="0"/>
        <w:rPr>
          <w:rFonts w:hint="eastAsia" w:ascii="宋体" w:hAnsi="宋体" w:eastAsia="宋体" w:cs="宋体"/>
          <w:b w:val="0"/>
          <w:bCs/>
          <w:color w:val="auto"/>
          <w:sz w:val="24"/>
        </w:rPr>
      </w:pPr>
      <w:bookmarkStart w:id="711" w:name="_Toc26555"/>
      <w:bookmarkStart w:id="712" w:name="_Toc21474"/>
      <w:bookmarkStart w:id="713" w:name="_Toc28361"/>
      <w:bookmarkStart w:id="714" w:name="_Toc32670"/>
      <w:bookmarkStart w:id="715" w:name="_Toc20061"/>
      <w:bookmarkStart w:id="716" w:name="_Toc32043"/>
      <w:bookmarkStart w:id="717" w:name="_Toc16045"/>
      <w:bookmarkStart w:id="718" w:name="_Toc15447"/>
      <w:bookmarkStart w:id="719" w:name="_Toc15567"/>
      <w:bookmarkStart w:id="720" w:name="_Toc4237"/>
      <w:bookmarkStart w:id="721" w:name="_Toc6504"/>
      <w:bookmarkStart w:id="722" w:name="_Toc171"/>
      <w:bookmarkStart w:id="723" w:name="_Toc12450"/>
      <w:bookmarkStart w:id="724" w:name="_Toc31494"/>
      <w:bookmarkStart w:id="725" w:name="_Toc22011"/>
      <w:bookmarkStart w:id="726" w:name="_Toc31233"/>
      <w:r>
        <w:rPr>
          <w:rFonts w:hint="eastAsia" w:ascii="宋体" w:hAnsi="宋体" w:eastAsia="宋体" w:cs="宋体"/>
          <w:b w:val="0"/>
          <w:bCs/>
          <w:color w:val="auto"/>
          <w:sz w:val="24"/>
        </w:rPr>
        <w:t>2.5 结算方式和付款条件</w:t>
      </w:r>
      <w:bookmarkEnd w:id="705"/>
      <w:bookmarkEnd w:id="706"/>
      <w:bookmarkEnd w:id="707"/>
      <w:bookmarkEnd w:id="708"/>
      <w:bookmarkEnd w:id="709"/>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详见</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rPr>
      </w:pPr>
      <w:bookmarkStart w:id="727" w:name="_Toc487900358"/>
      <w:bookmarkStart w:id="728" w:name="_Ref467379923"/>
      <w:bookmarkStart w:id="729" w:name="_Toc279701248"/>
      <w:bookmarkStart w:id="730" w:name="_Ref467379863"/>
      <w:bookmarkStart w:id="731" w:name="_Ref467379852"/>
      <w:bookmarkStart w:id="732" w:name="_Toc259093677"/>
      <w:bookmarkStart w:id="733" w:name="_Toc23530"/>
      <w:bookmarkStart w:id="734" w:name="_Toc13154"/>
      <w:bookmarkStart w:id="735" w:name="_Toc29402"/>
      <w:bookmarkStart w:id="736" w:name="_Toc23122"/>
      <w:bookmarkStart w:id="737" w:name="_Toc20627"/>
      <w:bookmarkStart w:id="738" w:name="_Toc3982"/>
      <w:bookmarkStart w:id="739" w:name="_Toc24470"/>
      <w:bookmarkStart w:id="740" w:name="_Toc31145"/>
      <w:bookmarkStart w:id="741" w:name="_Toc9514"/>
      <w:bookmarkStart w:id="742" w:name="_Toc18186"/>
      <w:bookmarkStart w:id="743" w:name="_Toc16163"/>
      <w:bookmarkStart w:id="744" w:name="_Toc30507"/>
      <w:bookmarkStart w:id="745" w:name="_Toc13467"/>
      <w:bookmarkStart w:id="746" w:name="_Toc25982"/>
      <w:bookmarkStart w:id="747" w:name="_Toc18990"/>
      <w:bookmarkStart w:id="748" w:name="_Toc19435"/>
      <w:r>
        <w:rPr>
          <w:rFonts w:hint="eastAsia" w:ascii="宋体" w:hAnsi="宋体" w:eastAsia="宋体" w:cs="宋体"/>
          <w:b w:val="0"/>
          <w:bCs/>
          <w:color w:val="auto"/>
          <w:sz w:val="24"/>
        </w:rPr>
        <w:t>2.6 技术资料</w:t>
      </w:r>
      <w:bookmarkEnd w:id="727"/>
      <w:bookmarkEnd w:id="728"/>
      <w:bookmarkEnd w:id="729"/>
      <w:bookmarkEnd w:id="730"/>
      <w:bookmarkEnd w:id="731"/>
      <w:bookmarkEnd w:id="732"/>
      <w:r>
        <w:rPr>
          <w:rFonts w:hint="eastAsia" w:ascii="宋体" w:hAnsi="宋体" w:eastAsia="宋体" w:cs="宋体"/>
          <w:b w:val="0"/>
          <w:bCs/>
          <w:color w:val="auto"/>
          <w:sz w:val="24"/>
        </w:rPr>
        <w:t>和保密义务</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2.6.2 乙方有义务妥善保管和保护由甲方提供的前款信息和资料等；</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0" w:firstLineChars="200"/>
        <w:outlineLvl w:val="0"/>
        <w:rPr>
          <w:rFonts w:hint="eastAsia" w:ascii="宋体" w:hAnsi="宋体" w:eastAsia="宋体" w:cs="宋体"/>
          <w:b w:val="0"/>
          <w:bCs/>
          <w:color w:val="auto"/>
          <w:sz w:val="24"/>
        </w:rPr>
      </w:pPr>
      <w:bookmarkStart w:id="749" w:name="_Toc18372"/>
      <w:bookmarkStart w:id="750" w:name="_Toc22614"/>
      <w:bookmarkStart w:id="751" w:name="_Toc15010"/>
      <w:bookmarkStart w:id="752" w:name="_Toc13112"/>
      <w:bookmarkStart w:id="753" w:name="_Toc20114"/>
      <w:bookmarkStart w:id="754" w:name="_Toc19069"/>
      <w:bookmarkStart w:id="755" w:name="_Toc1851"/>
      <w:bookmarkStart w:id="756" w:name="_Toc24552"/>
      <w:bookmarkStart w:id="757" w:name="_Toc30162"/>
      <w:bookmarkStart w:id="758" w:name="_Toc1948"/>
      <w:bookmarkStart w:id="759" w:name="_Toc339"/>
      <w:bookmarkStart w:id="760" w:name="_Toc18449"/>
      <w:bookmarkStart w:id="761" w:name="_Toc259093681"/>
      <w:bookmarkStart w:id="762" w:name="_Toc279701252"/>
      <w:bookmarkStart w:id="763" w:name="_Toc487900362"/>
      <w:r>
        <w:rPr>
          <w:rFonts w:hint="eastAsia" w:ascii="宋体" w:hAnsi="宋体" w:eastAsia="宋体" w:cs="宋体"/>
          <w:b w:val="0"/>
          <w:bCs/>
          <w:color w:val="auto"/>
          <w:sz w:val="24"/>
        </w:rPr>
        <w:t>2.7 质量保证</w:t>
      </w:r>
      <w:bookmarkEnd w:id="749"/>
      <w:bookmarkEnd w:id="750"/>
      <w:bookmarkEnd w:id="751"/>
      <w:bookmarkEnd w:id="752"/>
      <w:bookmarkEnd w:id="753"/>
      <w:bookmarkEnd w:id="754"/>
      <w:bookmarkEnd w:id="755"/>
      <w:bookmarkEnd w:id="756"/>
      <w:bookmarkEnd w:id="757"/>
      <w:bookmarkEnd w:id="758"/>
      <w:bookmarkEnd w:id="759"/>
      <w:bookmarkEnd w:id="760"/>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2.7.2 乙方应保证履行合同的人员数量和素质、软件和硬件设备的配置、场地、环境和设施等满足全面履行合同的要求，并应接受甲方的监督检查。</w:t>
      </w:r>
    </w:p>
    <w:p>
      <w:pPr>
        <w:spacing w:line="400" w:lineRule="exact"/>
        <w:ind w:firstLine="480" w:firstLineChars="200"/>
        <w:outlineLvl w:val="0"/>
        <w:rPr>
          <w:rFonts w:hint="eastAsia" w:ascii="宋体" w:hAnsi="宋体" w:eastAsia="宋体" w:cs="宋体"/>
          <w:b w:val="0"/>
          <w:bCs/>
          <w:color w:val="auto"/>
          <w:sz w:val="24"/>
        </w:rPr>
      </w:pPr>
      <w:bookmarkStart w:id="764" w:name="_Toc22267"/>
      <w:bookmarkStart w:id="765" w:name="_Toc22198"/>
      <w:bookmarkStart w:id="766" w:name="_Toc32424"/>
      <w:bookmarkStart w:id="767" w:name="_Toc10063"/>
      <w:bookmarkStart w:id="768" w:name="_Toc10485"/>
      <w:bookmarkStart w:id="769" w:name="_Toc8481"/>
      <w:bookmarkStart w:id="770" w:name="_Toc28170"/>
      <w:bookmarkStart w:id="771" w:name="_Toc1263"/>
      <w:bookmarkStart w:id="772" w:name="_Toc11272"/>
      <w:bookmarkStart w:id="773" w:name="_Toc11034"/>
      <w:bookmarkStart w:id="774" w:name="_Toc30424"/>
      <w:bookmarkStart w:id="775" w:name="_Toc7710"/>
      <w:r>
        <w:rPr>
          <w:rFonts w:hint="eastAsia" w:ascii="宋体" w:hAnsi="宋体" w:eastAsia="宋体" w:cs="宋体"/>
          <w:b w:val="0"/>
          <w:bCs/>
          <w:color w:val="auto"/>
          <w:sz w:val="24"/>
        </w:rPr>
        <w:t>2.8 延迟</w:t>
      </w:r>
      <w:bookmarkEnd w:id="761"/>
      <w:bookmarkEnd w:id="762"/>
      <w:bookmarkEnd w:id="763"/>
      <w:r>
        <w:rPr>
          <w:rFonts w:hint="eastAsia" w:ascii="宋体" w:hAnsi="宋体" w:eastAsia="宋体" w:cs="宋体"/>
          <w:b w:val="0"/>
          <w:bCs/>
          <w:color w:val="auto"/>
          <w:sz w:val="24"/>
        </w:rPr>
        <w:t>履行</w:t>
      </w:r>
      <w:bookmarkEnd w:id="764"/>
      <w:bookmarkEnd w:id="765"/>
      <w:bookmarkEnd w:id="766"/>
      <w:bookmarkEnd w:id="767"/>
      <w:bookmarkEnd w:id="768"/>
      <w:bookmarkEnd w:id="769"/>
      <w:bookmarkEnd w:id="770"/>
      <w:bookmarkEnd w:id="771"/>
      <w:bookmarkEnd w:id="772"/>
      <w:bookmarkEnd w:id="773"/>
      <w:bookmarkEnd w:id="774"/>
      <w:bookmarkEnd w:id="775"/>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0" w:firstLineChars="200"/>
        <w:outlineLvl w:val="0"/>
        <w:rPr>
          <w:rFonts w:hint="eastAsia" w:ascii="宋体" w:hAnsi="宋体" w:eastAsia="宋体" w:cs="宋体"/>
          <w:b w:val="0"/>
          <w:bCs/>
          <w:color w:val="auto"/>
          <w:sz w:val="24"/>
        </w:rPr>
      </w:pPr>
      <w:bookmarkStart w:id="776" w:name="_Toc25613"/>
      <w:bookmarkStart w:id="777" w:name="_Toc27101"/>
      <w:bookmarkStart w:id="778" w:name="_Toc28758"/>
      <w:bookmarkStart w:id="779" w:name="_Toc3810"/>
      <w:bookmarkStart w:id="780" w:name="_Toc10611"/>
      <w:bookmarkStart w:id="781" w:name="_Toc2571"/>
      <w:bookmarkStart w:id="782" w:name="_Toc20254"/>
      <w:bookmarkStart w:id="783" w:name="_Toc10750"/>
      <w:bookmarkStart w:id="784" w:name="_Toc12112"/>
      <w:bookmarkStart w:id="785" w:name="_Toc12190"/>
      <w:bookmarkStart w:id="786" w:name="_Toc3758"/>
      <w:bookmarkStart w:id="787" w:name="_Toc13769"/>
      <w:bookmarkStart w:id="788" w:name="_Ref467378121"/>
      <w:bookmarkStart w:id="789" w:name="_Toc259093683"/>
      <w:bookmarkStart w:id="790" w:name="_Toc279701254"/>
      <w:bookmarkStart w:id="791" w:name="_Toc487900364"/>
      <w:r>
        <w:rPr>
          <w:rFonts w:hint="eastAsia" w:ascii="宋体" w:hAnsi="宋体" w:eastAsia="宋体" w:cs="宋体"/>
          <w:b w:val="0"/>
          <w:bCs/>
          <w:color w:val="auto"/>
          <w:sz w:val="24"/>
        </w:rPr>
        <w:t>2.9 合同变更</w:t>
      </w:r>
      <w:bookmarkEnd w:id="776"/>
      <w:bookmarkEnd w:id="777"/>
      <w:bookmarkEnd w:id="778"/>
      <w:bookmarkEnd w:id="779"/>
      <w:bookmarkEnd w:id="780"/>
      <w:bookmarkEnd w:id="781"/>
      <w:bookmarkEnd w:id="782"/>
      <w:bookmarkEnd w:id="783"/>
      <w:bookmarkEnd w:id="784"/>
      <w:bookmarkEnd w:id="785"/>
      <w:bookmarkEnd w:id="786"/>
      <w:bookmarkEnd w:id="787"/>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2.9.2 合同继续履行将损害国家利益和社会公共利益的，双方当事人应当以书面形式变更合同。有过错的一方应当承担赔偿责任，双方当事人都有过错的，各自承担相应的责任。</w:t>
      </w:r>
      <w:bookmarkStart w:id="792" w:name="_Toc279701259"/>
      <w:bookmarkStart w:id="793" w:name="_Toc259093688"/>
      <w:bookmarkStart w:id="794" w:name="_Toc487900369"/>
    </w:p>
    <w:p>
      <w:pPr>
        <w:spacing w:line="400" w:lineRule="exact"/>
        <w:ind w:firstLine="480" w:firstLineChars="200"/>
        <w:outlineLvl w:val="0"/>
        <w:rPr>
          <w:rFonts w:hint="eastAsia" w:ascii="宋体" w:hAnsi="宋体" w:eastAsia="宋体" w:cs="宋体"/>
          <w:b w:val="0"/>
          <w:bCs/>
          <w:color w:val="auto"/>
          <w:sz w:val="24"/>
        </w:rPr>
      </w:pPr>
      <w:bookmarkStart w:id="795" w:name="_Toc18298"/>
      <w:bookmarkStart w:id="796" w:name="_Toc6424"/>
      <w:bookmarkStart w:id="797" w:name="_Toc10663"/>
      <w:bookmarkStart w:id="798" w:name="_Toc42"/>
      <w:bookmarkStart w:id="799" w:name="_Toc4195"/>
      <w:bookmarkStart w:id="800" w:name="_Toc17116"/>
      <w:bookmarkStart w:id="801" w:name="_Toc21830"/>
      <w:bookmarkStart w:id="802" w:name="_Toc10572"/>
      <w:bookmarkStart w:id="803" w:name="_Toc28640"/>
      <w:bookmarkStart w:id="804" w:name="_Toc14972"/>
      <w:bookmarkStart w:id="805" w:name="_Toc24271"/>
      <w:bookmarkStart w:id="806" w:name="_Toc8222"/>
      <w:bookmarkStart w:id="807" w:name="_Toc6143"/>
      <w:bookmarkStart w:id="808" w:name="_Toc23368"/>
      <w:bookmarkStart w:id="809" w:name="_Toc26689"/>
      <w:bookmarkStart w:id="810" w:name="_Toc30446"/>
      <w:r>
        <w:rPr>
          <w:rFonts w:hint="eastAsia" w:ascii="宋体" w:hAnsi="宋体" w:eastAsia="宋体" w:cs="宋体"/>
          <w:b w:val="0"/>
          <w:bCs/>
          <w:color w:val="auto"/>
          <w:sz w:val="24"/>
        </w:rPr>
        <w:t>2.10 合同转让</w:t>
      </w:r>
      <w:bookmarkEnd w:id="792"/>
      <w:bookmarkEnd w:id="793"/>
      <w:bookmarkEnd w:id="794"/>
      <w:r>
        <w:rPr>
          <w:rFonts w:hint="eastAsia" w:ascii="宋体" w:hAnsi="宋体" w:eastAsia="宋体" w:cs="宋体"/>
          <w:b w:val="0"/>
          <w:bCs/>
          <w:color w:val="auto"/>
          <w:sz w:val="24"/>
        </w:rPr>
        <w:t>和分包</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就分包项目向甲方承担连带责任。</w:t>
      </w:r>
    </w:p>
    <w:p>
      <w:pPr>
        <w:spacing w:line="400" w:lineRule="exact"/>
        <w:ind w:firstLine="480" w:firstLineChars="200"/>
        <w:outlineLvl w:val="0"/>
        <w:rPr>
          <w:rFonts w:hint="eastAsia" w:ascii="宋体" w:hAnsi="宋体" w:eastAsia="宋体" w:cs="宋体"/>
          <w:b w:val="0"/>
          <w:bCs/>
          <w:color w:val="auto"/>
          <w:sz w:val="24"/>
        </w:rPr>
      </w:pPr>
      <w:bookmarkStart w:id="811" w:name="_Toc24708"/>
      <w:bookmarkStart w:id="812" w:name="_Toc8431"/>
      <w:bookmarkStart w:id="813" w:name="_Toc14371"/>
      <w:bookmarkStart w:id="814" w:name="_Toc26633"/>
      <w:bookmarkStart w:id="815" w:name="_Toc23209"/>
      <w:bookmarkStart w:id="816" w:name="_Toc10203"/>
      <w:bookmarkStart w:id="817" w:name="_Toc23855"/>
      <w:bookmarkStart w:id="818" w:name="_Toc32622"/>
      <w:bookmarkStart w:id="819" w:name="_Toc4720"/>
      <w:bookmarkStart w:id="820" w:name="_Toc30847"/>
      <w:bookmarkStart w:id="821" w:name="_Toc31065"/>
      <w:bookmarkStart w:id="822" w:name="_Toc9705"/>
      <w:bookmarkStart w:id="823" w:name="_Toc32494"/>
      <w:bookmarkStart w:id="824" w:name="_Toc9462"/>
      <w:bookmarkStart w:id="825" w:name="_Toc25571"/>
      <w:bookmarkStart w:id="826" w:name="_Toc15171"/>
      <w:r>
        <w:rPr>
          <w:rFonts w:hint="eastAsia" w:ascii="宋体" w:hAnsi="宋体" w:eastAsia="宋体" w:cs="宋体"/>
          <w:b w:val="0"/>
          <w:bCs/>
          <w:color w:val="auto"/>
          <w:sz w:val="24"/>
        </w:rPr>
        <w:t>2.11 不可抗力</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2.11.2 因不可抗力致使不能实现合同目的的，当事人可以解除合同；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2.11.3 因不可抗力致使合同有变更必要的，双方当事人应在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约定时间内以书面形式变更合同；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2.11.4受不可抗力影响的一方在不可抗力发生后，应在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约定时间内以书面形式通知对方当事人，并在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约定时间内，将有关部门出具的证明文件送达对方当事人。</w:t>
      </w:r>
    </w:p>
    <w:p>
      <w:pPr>
        <w:spacing w:line="400" w:lineRule="exact"/>
        <w:ind w:firstLine="480" w:firstLineChars="200"/>
        <w:outlineLvl w:val="0"/>
        <w:rPr>
          <w:rFonts w:hint="eastAsia" w:ascii="宋体" w:hAnsi="宋体" w:eastAsia="宋体" w:cs="宋体"/>
          <w:b w:val="0"/>
          <w:bCs/>
          <w:color w:val="auto"/>
          <w:sz w:val="24"/>
        </w:rPr>
      </w:pPr>
      <w:bookmarkStart w:id="827" w:name="_Toc3106"/>
      <w:bookmarkStart w:id="828" w:name="_Toc3156"/>
      <w:bookmarkStart w:id="829" w:name="_Toc1959"/>
      <w:bookmarkStart w:id="830" w:name="_Toc279701255"/>
      <w:bookmarkStart w:id="831" w:name="_Toc3638"/>
      <w:bookmarkStart w:id="832" w:name="_Toc12690"/>
      <w:bookmarkStart w:id="833" w:name="_Toc219"/>
      <w:bookmarkStart w:id="834" w:name="_Toc11275"/>
      <w:bookmarkStart w:id="835" w:name="_Toc25783"/>
      <w:bookmarkStart w:id="836" w:name="_Toc32181"/>
      <w:bookmarkStart w:id="837" w:name="_Toc6743"/>
      <w:bookmarkStart w:id="838" w:name="_Toc17127"/>
      <w:bookmarkStart w:id="839" w:name="_Toc14115"/>
      <w:bookmarkStart w:id="840" w:name="_Toc23854"/>
      <w:bookmarkStart w:id="841" w:name="_Toc14370"/>
      <w:bookmarkStart w:id="842" w:name="_Toc24465"/>
      <w:bookmarkStart w:id="843" w:name="_Toc487900365"/>
      <w:bookmarkStart w:id="844" w:name="_Toc23373"/>
      <w:bookmarkStart w:id="845" w:name="_Toc259093684"/>
      <w:r>
        <w:rPr>
          <w:rFonts w:hint="eastAsia" w:ascii="宋体" w:hAnsi="宋体" w:eastAsia="宋体" w:cs="宋体"/>
          <w:b w:val="0"/>
          <w:bCs/>
          <w:color w:val="auto"/>
          <w:sz w:val="24"/>
        </w:rPr>
        <w:t>2.12 税费</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与合同有关的一切税费，均按照中华人民共和国法律的相关规定缴纳。</w:t>
      </w:r>
    </w:p>
    <w:p>
      <w:pPr>
        <w:spacing w:line="400" w:lineRule="exact"/>
        <w:ind w:firstLine="480" w:firstLineChars="200"/>
        <w:outlineLvl w:val="0"/>
        <w:rPr>
          <w:rFonts w:hint="eastAsia" w:ascii="宋体" w:hAnsi="宋体" w:eastAsia="宋体" w:cs="宋体"/>
          <w:b w:val="0"/>
          <w:bCs/>
          <w:color w:val="auto"/>
          <w:sz w:val="24"/>
        </w:rPr>
      </w:pPr>
      <w:bookmarkStart w:id="846" w:name="_Toc14494"/>
      <w:bookmarkStart w:id="847" w:name="_Toc4896"/>
      <w:bookmarkStart w:id="848" w:name="_Toc26883"/>
      <w:bookmarkStart w:id="849" w:name="_Toc19880"/>
      <w:bookmarkStart w:id="850" w:name="_Toc12415"/>
      <w:bookmarkStart w:id="851" w:name="_Toc25525"/>
      <w:bookmarkStart w:id="852" w:name="_Toc279701258"/>
      <w:bookmarkStart w:id="853" w:name="_Toc14814"/>
      <w:bookmarkStart w:id="854" w:name="_Toc259093687"/>
      <w:bookmarkStart w:id="855" w:name="_Toc487900368"/>
      <w:bookmarkStart w:id="856" w:name="_Toc31237"/>
      <w:bookmarkStart w:id="857" w:name="_Toc30105"/>
      <w:bookmarkStart w:id="858" w:name="_Toc3640"/>
      <w:bookmarkStart w:id="859" w:name="_Toc15966"/>
      <w:bookmarkStart w:id="860" w:name="_Toc24809"/>
      <w:bookmarkStart w:id="861" w:name="_Toc3759"/>
      <w:bookmarkStart w:id="862" w:name="_Toc7315"/>
      <w:bookmarkStart w:id="863" w:name="_Toc27492"/>
      <w:bookmarkStart w:id="864" w:name="_Toc10398"/>
      <w:r>
        <w:rPr>
          <w:rFonts w:hint="eastAsia" w:ascii="宋体" w:hAnsi="宋体" w:eastAsia="宋体" w:cs="宋体"/>
          <w:b w:val="0"/>
          <w:bCs/>
          <w:color w:val="auto"/>
          <w:sz w:val="24"/>
        </w:rPr>
        <w:t>2.13 乙方破产</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0" w:firstLineChars="200"/>
        <w:outlineLvl w:val="0"/>
        <w:rPr>
          <w:rFonts w:hint="eastAsia" w:ascii="宋体" w:hAnsi="宋体" w:eastAsia="宋体" w:cs="宋体"/>
          <w:b w:val="0"/>
          <w:bCs/>
          <w:color w:val="auto"/>
          <w:sz w:val="24"/>
        </w:rPr>
      </w:pPr>
      <w:bookmarkStart w:id="865" w:name="_Toc1675"/>
      <w:bookmarkStart w:id="866" w:name="_Toc6032"/>
      <w:bookmarkStart w:id="867" w:name="_Toc4845"/>
      <w:bookmarkStart w:id="868" w:name="_Toc23323"/>
      <w:bookmarkStart w:id="869" w:name="_Toc26320"/>
      <w:bookmarkStart w:id="870" w:name="_Toc18650"/>
      <w:bookmarkStart w:id="871" w:name="_Toc1123"/>
      <w:bookmarkStart w:id="872" w:name="_Toc2016"/>
      <w:bookmarkStart w:id="873" w:name="_Toc13023"/>
      <w:bookmarkStart w:id="874" w:name="_Toc8069"/>
      <w:bookmarkStart w:id="875" w:name="_Toc25092"/>
      <w:bookmarkStart w:id="876" w:name="_Toc20198"/>
      <w:bookmarkStart w:id="877" w:name="_Toc15650"/>
      <w:bookmarkStart w:id="878" w:name="_Toc31298"/>
      <w:r>
        <w:rPr>
          <w:rFonts w:hint="eastAsia" w:ascii="宋体" w:hAnsi="宋体" w:eastAsia="宋体" w:cs="宋体"/>
          <w:b w:val="0"/>
          <w:bCs/>
          <w:color w:val="auto"/>
          <w:sz w:val="24"/>
        </w:rPr>
        <w:t>2.14 合同中止、终止</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2.14.1 双方当事人不得擅自中止或者终止合同；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0" w:firstLineChars="200"/>
        <w:outlineLvl w:val="0"/>
        <w:rPr>
          <w:rFonts w:hint="eastAsia" w:ascii="宋体" w:hAnsi="宋体" w:eastAsia="宋体" w:cs="宋体"/>
          <w:b w:val="0"/>
          <w:bCs/>
          <w:color w:val="auto"/>
          <w:sz w:val="24"/>
        </w:rPr>
      </w:pPr>
      <w:bookmarkStart w:id="879" w:name="_Toc1969"/>
      <w:bookmarkStart w:id="880" w:name="_Toc14525"/>
      <w:bookmarkStart w:id="881" w:name="_Toc17363"/>
      <w:bookmarkStart w:id="882" w:name="_Toc22716"/>
      <w:bookmarkStart w:id="883" w:name="_Toc22355"/>
      <w:bookmarkStart w:id="884" w:name="_Toc12473"/>
      <w:bookmarkStart w:id="885" w:name="_Toc295"/>
      <w:bookmarkStart w:id="886" w:name="_Toc30002"/>
      <w:bookmarkStart w:id="887" w:name="_Toc31348"/>
      <w:bookmarkStart w:id="888" w:name="_Toc25753"/>
      <w:bookmarkStart w:id="889" w:name="_Toc25815"/>
      <w:bookmarkStart w:id="890" w:name="_Toc22475"/>
      <w:bookmarkStart w:id="891" w:name="_Toc14653"/>
      <w:bookmarkStart w:id="892" w:name="_Toc12981"/>
      <w:r>
        <w:rPr>
          <w:rFonts w:hint="eastAsia" w:ascii="宋体" w:hAnsi="宋体" w:eastAsia="宋体" w:cs="宋体"/>
          <w:b w:val="0"/>
          <w:bCs/>
          <w:color w:val="auto"/>
          <w:sz w:val="24"/>
        </w:rPr>
        <w:t>2.15 检验和验收</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pPr>
        <w:tabs>
          <w:tab w:val="left" w:pos="360"/>
          <w:tab w:val="left" w:pos="540"/>
          <w:tab w:val="left" w:pos="1080"/>
        </w:tabs>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2.15.1 乙方按照</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的约定，定期提交服务报告，甲方按照</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2.15.3 检验和验收标准、程序等具体内容以及前述验收书的效力详见</w:t>
      </w:r>
      <w:r>
        <w:rPr>
          <w:rFonts w:hint="eastAsia" w:ascii="宋体" w:hAnsi="宋体" w:eastAsia="宋体" w:cs="宋体"/>
          <w:b w:val="0"/>
          <w:bCs/>
          <w:i/>
          <w:color w:val="auto"/>
          <w:sz w:val="24"/>
          <w:u w:val="single"/>
        </w:rPr>
        <w:t>合同专用条款</w:t>
      </w:r>
      <w:r>
        <w:rPr>
          <w:rFonts w:hint="eastAsia" w:ascii="宋体" w:hAnsi="宋体" w:eastAsia="宋体" w:cs="宋体"/>
          <w:b w:val="0"/>
          <w:bCs/>
          <w:i/>
          <w:color w:val="auto"/>
          <w:sz w:val="24"/>
        </w:rPr>
        <w:t>。</w:t>
      </w:r>
    </w:p>
    <w:bookmarkEnd w:id="788"/>
    <w:bookmarkEnd w:id="789"/>
    <w:bookmarkEnd w:id="790"/>
    <w:bookmarkEnd w:id="791"/>
    <w:p>
      <w:pPr>
        <w:spacing w:line="400" w:lineRule="exact"/>
        <w:ind w:firstLine="480" w:firstLineChars="200"/>
        <w:outlineLvl w:val="0"/>
        <w:rPr>
          <w:rFonts w:hint="eastAsia" w:ascii="宋体" w:hAnsi="宋体" w:eastAsia="宋体" w:cs="宋体"/>
          <w:b w:val="0"/>
          <w:bCs/>
          <w:color w:val="auto"/>
          <w:sz w:val="24"/>
        </w:rPr>
      </w:pPr>
      <w:bookmarkStart w:id="893" w:name="_Toc279701261"/>
      <w:bookmarkStart w:id="894" w:name="_Toc259093690"/>
      <w:bookmarkStart w:id="895" w:name="_Toc487900371"/>
      <w:bookmarkStart w:id="896" w:name="_Toc26095"/>
      <w:bookmarkStart w:id="897" w:name="_Toc31892"/>
      <w:bookmarkStart w:id="898" w:name="_Toc2308"/>
      <w:bookmarkStart w:id="899" w:name="_Toc13544"/>
      <w:bookmarkStart w:id="900" w:name="_Toc10525"/>
      <w:bookmarkStart w:id="901" w:name="_Toc22987"/>
      <w:bookmarkStart w:id="902" w:name="_Toc6307"/>
      <w:bookmarkStart w:id="903" w:name="_Toc12666"/>
      <w:bookmarkStart w:id="904" w:name="_Toc1691"/>
      <w:bookmarkStart w:id="905" w:name="_Toc9808"/>
      <w:bookmarkStart w:id="906" w:name="_Toc13709"/>
      <w:bookmarkStart w:id="907" w:name="_Toc25198"/>
      <w:bookmarkStart w:id="908" w:name="_Toc3309"/>
      <w:bookmarkStart w:id="909" w:name="_Toc10819"/>
      <w:bookmarkStart w:id="910" w:name="_Toc13486"/>
      <w:bookmarkStart w:id="911" w:name="_Toc29667"/>
      <w:r>
        <w:rPr>
          <w:rFonts w:hint="eastAsia" w:ascii="宋体" w:hAnsi="宋体" w:eastAsia="宋体" w:cs="宋体"/>
          <w:b w:val="0"/>
          <w:bCs/>
          <w:color w:val="auto"/>
          <w:sz w:val="24"/>
        </w:rPr>
        <w:t>2.16 通知</w:t>
      </w:r>
      <w:bookmarkEnd w:id="893"/>
      <w:bookmarkEnd w:id="894"/>
      <w:bookmarkEnd w:id="895"/>
      <w:r>
        <w:rPr>
          <w:rFonts w:hint="eastAsia" w:ascii="宋体" w:hAnsi="宋体" w:eastAsia="宋体" w:cs="宋体"/>
          <w:b w:val="0"/>
          <w:bCs/>
          <w:color w:val="auto"/>
          <w:sz w:val="24"/>
        </w:rPr>
        <w:t>和送达</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pPr>
        <w:spacing w:line="400" w:lineRule="exact"/>
        <w:ind w:firstLine="480" w:firstLineChars="200"/>
        <w:rPr>
          <w:rFonts w:hint="eastAsia" w:ascii="宋体" w:hAnsi="宋体" w:eastAsia="宋体" w:cs="宋体"/>
          <w:b w:val="0"/>
          <w:bCs/>
          <w:color w:val="auto"/>
          <w:sz w:val="24"/>
        </w:rPr>
      </w:pPr>
      <w:bookmarkStart w:id="912" w:name="_Toc7073"/>
      <w:bookmarkStart w:id="913" w:name="_Toc29220"/>
      <w:bookmarkStart w:id="914" w:name="_Toc259093691"/>
      <w:bookmarkStart w:id="915" w:name="_Toc279701262"/>
      <w:bookmarkStart w:id="916" w:name="_Toc487900372"/>
      <w:r>
        <w:rPr>
          <w:rFonts w:hint="eastAsia" w:ascii="宋体" w:hAnsi="宋体" w:eastAsia="宋体" w:cs="宋体"/>
          <w:b w:val="0"/>
          <w:bCs/>
          <w:color w:val="auto"/>
          <w:sz w:val="24"/>
        </w:rPr>
        <w:t>2.16.1 任何一方因履行合同而以合同第一部分尾部所列明的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发出的所有通知、文件、材料，均视为已向对方当事人送达；任何一方变更上述送达方式或者地址的，应于</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个工作日内书面通知对方当事人，在对方当事人收到有关变更通知之前，变更前的约定送达方式或者地址仍视为有效。</w:t>
      </w:r>
      <w:bookmarkEnd w:id="912"/>
      <w:bookmarkEnd w:id="913"/>
    </w:p>
    <w:p>
      <w:pPr>
        <w:spacing w:line="400" w:lineRule="exact"/>
        <w:ind w:firstLine="480" w:firstLineChars="200"/>
        <w:rPr>
          <w:rFonts w:hint="eastAsia" w:ascii="宋体" w:hAnsi="宋体" w:eastAsia="宋体" w:cs="宋体"/>
          <w:b w:val="0"/>
          <w:bCs/>
          <w:color w:val="auto"/>
          <w:sz w:val="24"/>
        </w:rPr>
      </w:pPr>
      <w:bookmarkStart w:id="917" w:name="_Toc18401"/>
      <w:bookmarkStart w:id="918" w:name="_Toc27674"/>
      <w:r>
        <w:rPr>
          <w:rFonts w:hint="eastAsia" w:ascii="宋体" w:hAnsi="宋体" w:eastAsia="宋体" w:cs="宋体"/>
          <w:b w:val="0"/>
          <w:bCs/>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17"/>
      <w:bookmarkEnd w:id="918"/>
    </w:p>
    <w:bookmarkEnd w:id="914"/>
    <w:bookmarkEnd w:id="915"/>
    <w:bookmarkEnd w:id="916"/>
    <w:p>
      <w:pPr>
        <w:spacing w:line="400" w:lineRule="exact"/>
        <w:ind w:firstLine="480" w:firstLineChars="200"/>
        <w:outlineLvl w:val="0"/>
        <w:rPr>
          <w:rFonts w:hint="eastAsia" w:ascii="宋体" w:hAnsi="宋体" w:eastAsia="宋体" w:cs="宋体"/>
          <w:b w:val="0"/>
          <w:bCs/>
          <w:color w:val="auto"/>
          <w:sz w:val="24"/>
        </w:rPr>
      </w:pPr>
      <w:bookmarkStart w:id="919" w:name="_Toc31615"/>
      <w:bookmarkStart w:id="920" w:name="_Toc5063"/>
      <w:bookmarkStart w:id="921" w:name="_Toc259093692"/>
      <w:bookmarkStart w:id="922" w:name="_Toc10103"/>
      <w:bookmarkStart w:id="923" w:name="_Toc13433"/>
      <w:bookmarkStart w:id="924" w:name="_Toc28906"/>
      <w:bookmarkStart w:id="925" w:name="_Toc16009"/>
      <w:bookmarkStart w:id="926" w:name="_Toc22093"/>
      <w:bookmarkStart w:id="927" w:name="_Toc556"/>
      <w:bookmarkStart w:id="928" w:name="_Toc4407"/>
      <w:bookmarkStart w:id="929" w:name="_Toc18708"/>
      <w:bookmarkStart w:id="930" w:name="_Toc487900373"/>
      <w:bookmarkStart w:id="931" w:name="_Toc1846"/>
      <w:bookmarkStart w:id="932" w:name="_Toc18929"/>
      <w:bookmarkStart w:id="933" w:name="_Toc20808"/>
      <w:bookmarkStart w:id="934" w:name="_Toc12254"/>
      <w:bookmarkStart w:id="935" w:name="_Toc18906"/>
      <w:bookmarkStart w:id="936" w:name="_Toc27644"/>
      <w:bookmarkStart w:id="937" w:name="_Toc279701263"/>
      <w:r>
        <w:rPr>
          <w:rFonts w:hint="eastAsia" w:ascii="宋体" w:hAnsi="宋体" w:eastAsia="宋体" w:cs="宋体"/>
          <w:b w:val="0"/>
          <w:bCs/>
          <w:color w:val="auto"/>
          <w:sz w:val="24"/>
        </w:rPr>
        <w:t>2.17 合同使用的文字和适用的法律</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2.17.1 合同使用汉语书就、变更和解释；</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2.17.2 合同适用中华人民共和国法律。</w:t>
      </w:r>
    </w:p>
    <w:p>
      <w:pPr>
        <w:spacing w:line="400" w:lineRule="exact"/>
        <w:ind w:firstLine="480" w:firstLineChars="200"/>
        <w:outlineLvl w:val="0"/>
        <w:rPr>
          <w:rFonts w:hint="eastAsia" w:ascii="宋体" w:hAnsi="宋体" w:eastAsia="宋体" w:cs="宋体"/>
          <w:b w:val="0"/>
          <w:bCs/>
          <w:color w:val="auto"/>
          <w:sz w:val="24"/>
        </w:rPr>
      </w:pPr>
      <w:bookmarkStart w:id="938" w:name="_Toc22266"/>
      <w:bookmarkStart w:id="939" w:name="_Toc20559"/>
      <w:bookmarkStart w:id="940" w:name="_Toc279701264"/>
      <w:bookmarkStart w:id="941" w:name="_Toc31884"/>
      <w:bookmarkStart w:id="942" w:name="_Toc32540"/>
      <w:bookmarkStart w:id="943" w:name="_Toc27127"/>
      <w:bookmarkStart w:id="944" w:name="_Toc30312"/>
      <w:bookmarkStart w:id="945" w:name="_Toc15033"/>
      <w:bookmarkStart w:id="946" w:name="_Toc26691"/>
      <w:bookmarkStart w:id="947" w:name="_Toc18902"/>
      <w:bookmarkStart w:id="948" w:name="_Toc259093693"/>
      <w:bookmarkStart w:id="949" w:name="_Toc27403"/>
      <w:bookmarkStart w:id="950" w:name="_Toc32512"/>
      <w:bookmarkStart w:id="951" w:name="_Toc30096"/>
      <w:bookmarkStart w:id="952" w:name="_Toc1492"/>
      <w:bookmarkStart w:id="953" w:name="_Toc20271"/>
      <w:bookmarkStart w:id="954" w:name="_Toc7323"/>
      <w:bookmarkStart w:id="955" w:name="_Toc7136"/>
      <w:bookmarkStart w:id="956" w:name="_Toc487900374"/>
      <w:r>
        <w:rPr>
          <w:rFonts w:hint="eastAsia" w:ascii="宋体" w:hAnsi="宋体" w:eastAsia="宋体" w:cs="宋体"/>
          <w:b w:val="0"/>
          <w:bCs/>
          <w:color w:val="auto"/>
          <w:sz w:val="24"/>
        </w:rPr>
        <w:t>2.18 履约保证金</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2.18.1 采购文件要求乙方提交履约保证金的，乙方应按</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2.18.2 履约保证金在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约定期间内不予退还或者应完全有效，前述约定期间届满之日起</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个工作日内，甲方应将履约保证金退还乙方；</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56"/>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2.19 合同份数</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合同份数按</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规定，每份均具有同等法律效力。</w:t>
      </w:r>
      <w:bookmarkStart w:id="957" w:name="_Toc331685784"/>
    </w:p>
    <w:p>
      <w:pPr>
        <w:spacing w:line="400" w:lineRule="exact"/>
        <w:ind w:firstLine="420" w:firstLineChars="200"/>
        <w:rPr>
          <w:rFonts w:hint="eastAsia" w:ascii="宋体" w:hAnsi="宋体" w:eastAsia="宋体" w:cs="宋体"/>
          <w:b w:val="0"/>
          <w:bCs/>
          <w:color w:val="auto"/>
          <w:szCs w:val="24"/>
        </w:rPr>
      </w:pPr>
      <w:r>
        <w:rPr>
          <w:rFonts w:hint="eastAsia" w:ascii="宋体" w:hAnsi="宋体" w:eastAsia="宋体" w:cs="宋体"/>
          <w:b w:val="0"/>
          <w:bCs/>
          <w:color w:val="auto"/>
          <w:szCs w:val="24"/>
        </w:rPr>
        <w:t>第三部分  合同专用条款</w:t>
      </w:r>
      <w:bookmarkEnd w:id="957"/>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400" w:lineRule="exact"/>
              <w:jc w:val="center"/>
              <w:rPr>
                <w:rFonts w:hint="eastAsia" w:ascii="宋体" w:hAnsi="宋体" w:eastAsia="宋体" w:cs="宋体"/>
                <w:b w:val="0"/>
                <w:bCs/>
                <w:color w:val="auto"/>
                <w:sz w:val="24"/>
              </w:rPr>
            </w:pPr>
            <w:r>
              <w:rPr>
                <w:rFonts w:hint="eastAsia" w:ascii="宋体" w:hAnsi="宋体" w:eastAsia="宋体" w:cs="宋体"/>
                <w:b w:val="0"/>
                <w:bCs/>
                <w:color w:val="auto"/>
                <w:sz w:val="24"/>
              </w:rPr>
              <w:t>条款号</w:t>
            </w:r>
          </w:p>
        </w:tc>
        <w:tc>
          <w:tcPr>
            <w:tcW w:w="7633" w:type="dxa"/>
            <w:noWrap w:val="0"/>
            <w:vAlign w:val="center"/>
          </w:tcPr>
          <w:p>
            <w:pPr>
              <w:spacing w:line="400" w:lineRule="exact"/>
              <w:jc w:val="center"/>
              <w:rPr>
                <w:rFonts w:hint="eastAsia" w:ascii="宋体" w:hAnsi="宋体" w:eastAsia="宋体" w:cs="宋体"/>
                <w:b w:val="0"/>
                <w:bCs/>
                <w:color w:val="auto"/>
                <w:sz w:val="24"/>
              </w:rPr>
            </w:pPr>
            <w:r>
              <w:rPr>
                <w:rFonts w:hint="eastAsia" w:ascii="宋体" w:hAnsi="宋体" w:eastAsia="宋体" w:cs="宋体"/>
                <w:b w:val="0"/>
                <w:bCs/>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u w:val="single"/>
              </w:rPr>
            </w:pPr>
          </w:p>
        </w:tc>
      </w:tr>
    </w:tbl>
    <w:p>
      <w:pPr>
        <w:pStyle w:val="2"/>
        <w:spacing w:line="240" w:lineRule="atLeast"/>
        <w:ind w:firstLine="0"/>
        <w:rPr>
          <w:rFonts w:hint="eastAsia" w:ascii="宋体" w:hAnsi="宋体" w:eastAsia="宋体" w:cs="宋体"/>
          <w:b w:val="0"/>
          <w:bCs/>
          <w:color w:val="auto"/>
          <w:sz w:val="24"/>
          <w:szCs w:val="18"/>
        </w:rPr>
      </w:pPr>
    </w:p>
    <w:p>
      <w:pPr>
        <w:pStyle w:val="2"/>
        <w:spacing w:line="240" w:lineRule="atLeast"/>
        <w:ind w:firstLine="0"/>
        <w:rPr>
          <w:rFonts w:hint="eastAsia" w:ascii="宋体" w:hAnsi="宋体" w:eastAsia="宋体" w:cs="宋体"/>
          <w:b/>
          <w:bCs w:val="0"/>
          <w:color w:val="auto"/>
          <w:sz w:val="24"/>
          <w:szCs w:val="18"/>
        </w:rPr>
      </w:pPr>
      <w:r>
        <w:rPr>
          <w:rFonts w:hint="eastAsia" w:ascii="宋体" w:hAnsi="宋体" w:eastAsia="宋体" w:cs="宋体"/>
          <w:b/>
          <w:bCs w:val="0"/>
          <w:color w:val="auto"/>
          <w:sz w:val="24"/>
          <w:szCs w:val="18"/>
        </w:rPr>
        <w:t>注： 合同仅供参考（以采购人最终认定的统一格式为准）</w:t>
      </w:r>
    </w:p>
    <w:p>
      <w:pPr>
        <w:pStyle w:val="2"/>
        <w:spacing w:line="240" w:lineRule="atLeast"/>
        <w:ind w:firstLine="0"/>
        <w:rPr>
          <w:rFonts w:hint="eastAsia" w:ascii="宋体" w:hAnsi="宋体" w:eastAsia="宋体" w:cs="宋体"/>
          <w:b w:val="0"/>
          <w:bCs/>
          <w:color w:val="auto"/>
          <w:sz w:val="24"/>
          <w:szCs w:val="18"/>
        </w:rPr>
      </w:pPr>
    </w:p>
    <w:sectPr>
      <w:headerReference r:id="rId12" w:type="default"/>
      <w:footerReference r:id="rId13"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rFonts w:hint="eastAsia" w:eastAsia="宋体"/>
        <w:color w:val="FF000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rFonts w:hint="default" w:eastAsia="宋体"/>
        <w:color w:val="auto"/>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rFonts w:hint="eastAsia" w:eastAsia="宋体"/>
        <w:color w:val="FF0000"/>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1"/>
      </w:rPr>
    </w:pPr>
    <w:r>
      <w:fldChar w:fldCharType="begin"/>
    </w:r>
    <w:r>
      <w:rPr>
        <w:rStyle w:val="41"/>
      </w:rPr>
      <w:instrText xml:space="preserve">PAGE  </w:instrText>
    </w:r>
    <w:r>
      <w:fldChar w:fldCharType="end"/>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ascii="Cambria" w:hAnsi="Cambria"/>
        <w:sz w:val="32"/>
        <w:szCs w:val="32"/>
      </w:rPr>
    </w:pPr>
    <w:r>
      <w:rPr>
        <w:rFonts w:ascii="Cambria" w:hAnsi="Cambria"/>
        <w:vanish/>
        <w:sz w:val="32"/>
        <w:szCs w:val="32"/>
        <w:highlight w:val="yellow"/>
      </w:rPr>
      <w:t>&lt;</w:t>
    </w:r>
  </w:p>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374AC"/>
    <w:multiLevelType w:val="singleLevel"/>
    <w:tmpl w:val="C46374AC"/>
    <w:lvl w:ilvl="0" w:tentative="0">
      <w:start w:val="1"/>
      <w:numFmt w:val="chineseCounting"/>
      <w:suff w:val="space"/>
      <w:lvlText w:val="第%1部分"/>
      <w:lvlJc w:val="left"/>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D9920926"/>
    <w:multiLevelType w:val="singleLevel"/>
    <w:tmpl w:val="D9920926"/>
    <w:lvl w:ilvl="0" w:tentative="0">
      <w:start w:val="2"/>
      <w:numFmt w:val="decimal"/>
      <w:lvlText w:val="%1."/>
      <w:lvlJc w:val="left"/>
      <w:pPr>
        <w:tabs>
          <w:tab w:val="left" w:pos="312"/>
        </w:tabs>
      </w:p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0A2D7EBE"/>
    <w:multiLevelType w:val="singleLevel"/>
    <w:tmpl w:val="0A2D7EBE"/>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912E291"/>
    <w:multiLevelType w:val="singleLevel"/>
    <w:tmpl w:val="1912E291"/>
    <w:lvl w:ilvl="0" w:tentative="0">
      <w:start w:val="6"/>
      <w:numFmt w:val="decimal"/>
      <w:suff w:val="nothing"/>
      <w:lvlText w:val="（%1）"/>
      <w:lvlJc w:val="left"/>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9">
    <w:nsid w:val="4EA2D499"/>
    <w:multiLevelType w:val="singleLevel"/>
    <w:tmpl w:val="4EA2D499"/>
    <w:lvl w:ilvl="0" w:tentative="0">
      <w:start w:val="13"/>
      <w:numFmt w:val="decimal"/>
      <w:suff w:val="nothing"/>
      <w:lvlText w:val="（%1）"/>
      <w:lvlJc w:val="left"/>
    </w:lvl>
  </w:abstractNum>
  <w:abstractNum w:abstractNumId="10">
    <w:nsid w:val="6348B22F"/>
    <w:multiLevelType w:val="multilevel"/>
    <w:tmpl w:val="6348B22F"/>
    <w:lvl w:ilvl="0" w:tentative="0">
      <w:start w:val="8"/>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8"/>
  </w:num>
  <w:num w:numId="2">
    <w:abstractNumId w:val="7"/>
  </w:num>
  <w:num w:numId="3">
    <w:abstractNumId w:val="10"/>
  </w:num>
  <w:num w:numId="4">
    <w:abstractNumId w:val="1"/>
  </w:num>
  <w:num w:numId="5">
    <w:abstractNumId w:val="5"/>
  </w:num>
  <w:num w:numId="6">
    <w:abstractNumId w:val="0"/>
  </w:num>
  <w:num w:numId="7">
    <w:abstractNumId w:val="3"/>
  </w:num>
  <w:num w:numId="8">
    <w:abstractNumId w:val="4"/>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5142E"/>
    <w:rsid w:val="001541BE"/>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37CEA"/>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30E0"/>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2EEF"/>
    <w:rsid w:val="00713024"/>
    <w:rsid w:val="00713EA1"/>
    <w:rsid w:val="00715D6B"/>
    <w:rsid w:val="00717F6B"/>
    <w:rsid w:val="007212F0"/>
    <w:rsid w:val="00722EC6"/>
    <w:rsid w:val="00723FF6"/>
    <w:rsid w:val="0072460B"/>
    <w:rsid w:val="00725ADF"/>
    <w:rsid w:val="00726876"/>
    <w:rsid w:val="007269B1"/>
    <w:rsid w:val="00730DF7"/>
    <w:rsid w:val="0073123A"/>
    <w:rsid w:val="007331F6"/>
    <w:rsid w:val="0073362F"/>
    <w:rsid w:val="00733A3E"/>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DF6"/>
    <w:rsid w:val="00823CCC"/>
    <w:rsid w:val="00827179"/>
    <w:rsid w:val="0083029A"/>
    <w:rsid w:val="00830426"/>
    <w:rsid w:val="00830E02"/>
    <w:rsid w:val="00831C83"/>
    <w:rsid w:val="00831E0A"/>
    <w:rsid w:val="008343C4"/>
    <w:rsid w:val="00835847"/>
    <w:rsid w:val="00835C6F"/>
    <w:rsid w:val="00837429"/>
    <w:rsid w:val="0083745B"/>
    <w:rsid w:val="008375D4"/>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6BD"/>
    <w:rsid w:val="008D17A7"/>
    <w:rsid w:val="008D2E91"/>
    <w:rsid w:val="008D58E2"/>
    <w:rsid w:val="008D6283"/>
    <w:rsid w:val="008D7FB0"/>
    <w:rsid w:val="008E050B"/>
    <w:rsid w:val="008E1010"/>
    <w:rsid w:val="008E1F8D"/>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45274"/>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219D"/>
    <w:rsid w:val="00C923D5"/>
    <w:rsid w:val="00C94E84"/>
    <w:rsid w:val="00CA0D9F"/>
    <w:rsid w:val="00CA18FB"/>
    <w:rsid w:val="00CA1BD1"/>
    <w:rsid w:val="00CA1CEF"/>
    <w:rsid w:val="00CA71C7"/>
    <w:rsid w:val="00CB030A"/>
    <w:rsid w:val="00CB125C"/>
    <w:rsid w:val="00CB455B"/>
    <w:rsid w:val="00CB4D87"/>
    <w:rsid w:val="00CB6FEB"/>
    <w:rsid w:val="00CC4E6E"/>
    <w:rsid w:val="00CC6E0A"/>
    <w:rsid w:val="00CC7617"/>
    <w:rsid w:val="00CC7935"/>
    <w:rsid w:val="00CD17D1"/>
    <w:rsid w:val="00CD20F9"/>
    <w:rsid w:val="00CD66FB"/>
    <w:rsid w:val="00CD67D5"/>
    <w:rsid w:val="00CE6475"/>
    <w:rsid w:val="00CE696A"/>
    <w:rsid w:val="00CE6D2A"/>
    <w:rsid w:val="00CE70E4"/>
    <w:rsid w:val="00CF0889"/>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605"/>
    <w:rsid w:val="00E65AFF"/>
    <w:rsid w:val="00E66F2C"/>
    <w:rsid w:val="00E6767D"/>
    <w:rsid w:val="00E71BF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92CB9"/>
    <w:rsid w:val="011646D9"/>
    <w:rsid w:val="012D349F"/>
    <w:rsid w:val="01592D24"/>
    <w:rsid w:val="01775986"/>
    <w:rsid w:val="017F4CCA"/>
    <w:rsid w:val="018D26DE"/>
    <w:rsid w:val="018E7ABF"/>
    <w:rsid w:val="0198796C"/>
    <w:rsid w:val="01C133B8"/>
    <w:rsid w:val="01DB685C"/>
    <w:rsid w:val="02043DE5"/>
    <w:rsid w:val="020F2171"/>
    <w:rsid w:val="02357470"/>
    <w:rsid w:val="023B1C99"/>
    <w:rsid w:val="02600B79"/>
    <w:rsid w:val="02780976"/>
    <w:rsid w:val="027A2A64"/>
    <w:rsid w:val="028D2F42"/>
    <w:rsid w:val="02A3645B"/>
    <w:rsid w:val="02B12526"/>
    <w:rsid w:val="02E0258E"/>
    <w:rsid w:val="02E027AD"/>
    <w:rsid w:val="02F778BD"/>
    <w:rsid w:val="02FE7248"/>
    <w:rsid w:val="03121468"/>
    <w:rsid w:val="031258FD"/>
    <w:rsid w:val="035E14D6"/>
    <w:rsid w:val="036D30B1"/>
    <w:rsid w:val="03822C68"/>
    <w:rsid w:val="038D0EC5"/>
    <w:rsid w:val="039B4CE5"/>
    <w:rsid w:val="039F2BBC"/>
    <w:rsid w:val="03D96AC5"/>
    <w:rsid w:val="03EA4660"/>
    <w:rsid w:val="04536006"/>
    <w:rsid w:val="045F7993"/>
    <w:rsid w:val="04857E10"/>
    <w:rsid w:val="0496655E"/>
    <w:rsid w:val="04C4573F"/>
    <w:rsid w:val="04D96C61"/>
    <w:rsid w:val="05071955"/>
    <w:rsid w:val="050A2662"/>
    <w:rsid w:val="050B36B6"/>
    <w:rsid w:val="05166B25"/>
    <w:rsid w:val="05186DA8"/>
    <w:rsid w:val="051E3875"/>
    <w:rsid w:val="05272FFB"/>
    <w:rsid w:val="0533125B"/>
    <w:rsid w:val="05476B7D"/>
    <w:rsid w:val="054F4EE9"/>
    <w:rsid w:val="055222CD"/>
    <w:rsid w:val="0580596C"/>
    <w:rsid w:val="059B176D"/>
    <w:rsid w:val="05A4721B"/>
    <w:rsid w:val="05A618A8"/>
    <w:rsid w:val="05D469AE"/>
    <w:rsid w:val="05DB1C34"/>
    <w:rsid w:val="06315470"/>
    <w:rsid w:val="0638273C"/>
    <w:rsid w:val="0647513E"/>
    <w:rsid w:val="064E36F5"/>
    <w:rsid w:val="06694732"/>
    <w:rsid w:val="06AB5586"/>
    <w:rsid w:val="06BB3727"/>
    <w:rsid w:val="06BF4752"/>
    <w:rsid w:val="06C67566"/>
    <w:rsid w:val="06CB44B7"/>
    <w:rsid w:val="06E3514E"/>
    <w:rsid w:val="06E94152"/>
    <w:rsid w:val="06EE20B1"/>
    <w:rsid w:val="072168AE"/>
    <w:rsid w:val="073E0891"/>
    <w:rsid w:val="07483CE9"/>
    <w:rsid w:val="075B63E2"/>
    <w:rsid w:val="07932DFB"/>
    <w:rsid w:val="079426EA"/>
    <w:rsid w:val="079E0D1A"/>
    <w:rsid w:val="07B1625B"/>
    <w:rsid w:val="07D96E9C"/>
    <w:rsid w:val="07E374A9"/>
    <w:rsid w:val="082B45BE"/>
    <w:rsid w:val="08375609"/>
    <w:rsid w:val="08534B88"/>
    <w:rsid w:val="086A5080"/>
    <w:rsid w:val="086E5A46"/>
    <w:rsid w:val="0884649D"/>
    <w:rsid w:val="08A3495F"/>
    <w:rsid w:val="08A925C4"/>
    <w:rsid w:val="08C3297E"/>
    <w:rsid w:val="08CC7A11"/>
    <w:rsid w:val="08CF313D"/>
    <w:rsid w:val="08EA378F"/>
    <w:rsid w:val="08F062C2"/>
    <w:rsid w:val="09080B3B"/>
    <w:rsid w:val="090B19E1"/>
    <w:rsid w:val="0910646C"/>
    <w:rsid w:val="093365F6"/>
    <w:rsid w:val="094B3B3B"/>
    <w:rsid w:val="09503008"/>
    <w:rsid w:val="095608E3"/>
    <w:rsid w:val="096008BB"/>
    <w:rsid w:val="09915912"/>
    <w:rsid w:val="099245AB"/>
    <w:rsid w:val="09A35C82"/>
    <w:rsid w:val="09AC6517"/>
    <w:rsid w:val="09B36680"/>
    <w:rsid w:val="09B6127A"/>
    <w:rsid w:val="09D169F6"/>
    <w:rsid w:val="09E15530"/>
    <w:rsid w:val="09E7396D"/>
    <w:rsid w:val="09F22C0C"/>
    <w:rsid w:val="0A081258"/>
    <w:rsid w:val="0A0D2581"/>
    <w:rsid w:val="0A1B3392"/>
    <w:rsid w:val="0A1B58FF"/>
    <w:rsid w:val="0A6A0544"/>
    <w:rsid w:val="0A6D7B49"/>
    <w:rsid w:val="0A712F20"/>
    <w:rsid w:val="0A7742A8"/>
    <w:rsid w:val="0A8C64DD"/>
    <w:rsid w:val="0A9F2F08"/>
    <w:rsid w:val="0ABB55F8"/>
    <w:rsid w:val="0AD11D45"/>
    <w:rsid w:val="0AE903B8"/>
    <w:rsid w:val="0AFD4DAF"/>
    <w:rsid w:val="0B0472D9"/>
    <w:rsid w:val="0B0C1C85"/>
    <w:rsid w:val="0B1873A5"/>
    <w:rsid w:val="0B2F7131"/>
    <w:rsid w:val="0B7462A1"/>
    <w:rsid w:val="0B844B98"/>
    <w:rsid w:val="0BA14B06"/>
    <w:rsid w:val="0BA16641"/>
    <w:rsid w:val="0BAC6380"/>
    <w:rsid w:val="0BC646E8"/>
    <w:rsid w:val="0BC7407E"/>
    <w:rsid w:val="0BDA2C95"/>
    <w:rsid w:val="0BED10E0"/>
    <w:rsid w:val="0C0759AC"/>
    <w:rsid w:val="0C210327"/>
    <w:rsid w:val="0C2825BF"/>
    <w:rsid w:val="0C2C3BDF"/>
    <w:rsid w:val="0C3472AC"/>
    <w:rsid w:val="0C6A22AC"/>
    <w:rsid w:val="0C7844C2"/>
    <w:rsid w:val="0C935378"/>
    <w:rsid w:val="0CA57BDD"/>
    <w:rsid w:val="0CAC6BB6"/>
    <w:rsid w:val="0CC34F37"/>
    <w:rsid w:val="0CD2214A"/>
    <w:rsid w:val="0CE23077"/>
    <w:rsid w:val="0CE36639"/>
    <w:rsid w:val="0CE65557"/>
    <w:rsid w:val="0CEA1C84"/>
    <w:rsid w:val="0D021AE7"/>
    <w:rsid w:val="0D0C585B"/>
    <w:rsid w:val="0D211E0C"/>
    <w:rsid w:val="0D3419BA"/>
    <w:rsid w:val="0D363F3D"/>
    <w:rsid w:val="0D671166"/>
    <w:rsid w:val="0D864353"/>
    <w:rsid w:val="0D9D6002"/>
    <w:rsid w:val="0DA1297A"/>
    <w:rsid w:val="0DA51BBD"/>
    <w:rsid w:val="0DD4291F"/>
    <w:rsid w:val="0DD505F0"/>
    <w:rsid w:val="0DEA5E6A"/>
    <w:rsid w:val="0DF34311"/>
    <w:rsid w:val="0DFC36FB"/>
    <w:rsid w:val="0E013467"/>
    <w:rsid w:val="0E07207E"/>
    <w:rsid w:val="0E194089"/>
    <w:rsid w:val="0E201C8C"/>
    <w:rsid w:val="0E257491"/>
    <w:rsid w:val="0E282D21"/>
    <w:rsid w:val="0E2B3BFC"/>
    <w:rsid w:val="0E2B728E"/>
    <w:rsid w:val="0E5B7B97"/>
    <w:rsid w:val="0E5E541E"/>
    <w:rsid w:val="0E6A4AAF"/>
    <w:rsid w:val="0E8A0AC8"/>
    <w:rsid w:val="0E8B45FA"/>
    <w:rsid w:val="0EA17271"/>
    <w:rsid w:val="0EB37705"/>
    <w:rsid w:val="0ECE0F6B"/>
    <w:rsid w:val="0ED058ED"/>
    <w:rsid w:val="0ED31185"/>
    <w:rsid w:val="0EE513E5"/>
    <w:rsid w:val="0F0A130E"/>
    <w:rsid w:val="0F0D26CC"/>
    <w:rsid w:val="0F184ADA"/>
    <w:rsid w:val="0F20177B"/>
    <w:rsid w:val="0F4F7698"/>
    <w:rsid w:val="0F675283"/>
    <w:rsid w:val="0F6E21C6"/>
    <w:rsid w:val="0F71660E"/>
    <w:rsid w:val="0F756F40"/>
    <w:rsid w:val="0F877377"/>
    <w:rsid w:val="0FA1669B"/>
    <w:rsid w:val="0FB80806"/>
    <w:rsid w:val="0FC409C2"/>
    <w:rsid w:val="0FEC40F3"/>
    <w:rsid w:val="10050318"/>
    <w:rsid w:val="10124DD1"/>
    <w:rsid w:val="10165BCE"/>
    <w:rsid w:val="105709F5"/>
    <w:rsid w:val="105C13BB"/>
    <w:rsid w:val="1063065A"/>
    <w:rsid w:val="1069763A"/>
    <w:rsid w:val="10742924"/>
    <w:rsid w:val="108718E6"/>
    <w:rsid w:val="108D51D8"/>
    <w:rsid w:val="10D64091"/>
    <w:rsid w:val="10EA6943"/>
    <w:rsid w:val="10EE57D3"/>
    <w:rsid w:val="10EF538B"/>
    <w:rsid w:val="10F42E68"/>
    <w:rsid w:val="10F438EC"/>
    <w:rsid w:val="11312DC0"/>
    <w:rsid w:val="1137391B"/>
    <w:rsid w:val="11377E18"/>
    <w:rsid w:val="11381381"/>
    <w:rsid w:val="114701EB"/>
    <w:rsid w:val="11777F1E"/>
    <w:rsid w:val="118848CF"/>
    <w:rsid w:val="11943150"/>
    <w:rsid w:val="119913B2"/>
    <w:rsid w:val="119B055A"/>
    <w:rsid w:val="11C11380"/>
    <w:rsid w:val="11C27CB8"/>
    <w:rsid w:val="11DE2DE4"/>
    <w:rsid w:val="11DF7737"/>
    <w:rsid w:val="11F82B6D"/>
    <w:rsid w:val="12092462"/>
    <w:rsid w:val="120F2891"/>
    <w:rsid w:val="121D403F"/>
    <w:rsid w:val="121E5620"/>
    <w:rsid w:val="12313373"/>
    <w:rsid w:val="1236431D"/>
    <w:rsid w:val="12434EA1"/>
    <w:rsid w:val="12471464"/>
    <w:rsid w:val="129F7C67"/>
    <w:rsid w:val="12F76EF5"/>
    <w:rsid w:val="13367AFF"/>
    <w:rsid w:val="13380DD8"/>
    <w:rsid w:val="13396903"/>
    <w:rsid w:val="1344521A"/>
    <w:rsid w:val="13645ACB"/>
    <w:rsid w:val="13BC5FCF"/>
    <w:rsid w:val="13BF6C59"/>
    <w:rsid w:val="13E11404"/>
    <w:rsid w:val="13E43C44"/>
    <w:rsid w:val="13E957B5"/>
    <w:rsid w:val="13F54664"/>
    <w:rsid w:val="13F90CAA"/>
    <w:rsid w:val="141637CB"/>
    <w:rsid w:val="14276A18"/>
    <w:rsid w:val="1429480A"/>
    <w:rsid w:val="14412BB2"/>
    <w:rsid w:val="146F0E3A"/>
    <w:rsid w:val="146F2D0E"/>
    <w:rsid w:val="14804B9B"/>
    <w:rsid w:val="14806E0C"/>
    <w:rsid w:val="1489780E"/>
    <w:rsid w:val="149A3102"/>
    <w:rsid w:val="14A13B2B"/>
    <w:rsid w:val="14CE0CF1"/>
    <w:rsid w:val="14D31E97"/>
    <w:rsid w:val="14E12ED9"/>
    <w:rsid w:val="14E84975"/>
    <w:rsid w:val="14EE13D7"/>
    <w:rsid w:val="155E113E"/>
    <w:rsid w:val="15666A49"/>
    <w:rsid w:val="157C3B4A"/>
    <w:rsid w:val="159866FA"/>
    <w:rsid w:val="15A078BC"/>
    <w:rsid w:val="15A25241"/>
    <w:rsid w:val="15A33217"/>
    <w:rsid w:val="15A56745"/>
    <w:rsid w:val="15AC2682"/>
    <w:rsid w:val="15AE733A"/>
    <w:rsid w:val="15BF5201"/>
    <w:rsid w:val="15C240E3"/>
    <w:rsid w:val="15C4464D"/>
    <w:rsid w:val="15FB195D"/>
    <w:rsid w:val="15FC06DC"/>
    <w:rsid w:val="15FD69EB"/>
    <w:rsid w:val="16071FB4"/>
    <w:rsid w:val="160A0B46"/>
    <w:rsid w:val="161B706E"/>
    <w:rsid w:val="162322EC"/>
    <w:rsid w:val="164B3128"/>
    <w:rsid w:val="165017C7"/>
    <w:rsid w:val="165C3807"/>
    <w:rsid w:val="168B48D3"/>
    <w:rsid w:val="16AF6BE8"/>
    <w:rsid w:val="16D576AD"/>
    <w:rsid w:val="16D73D88"/>
    <w:rsid w:val="16E00741"/>
    <w:rsid w:val="16E57078"/>
    <w:rsid w:val="16EB2EC2"/>
    <w:rsid w:val="16F93153"/>
    <w:rsid w:val="170A538D"/>
    <w:rsid w:val="17137F6C"/>
    <w:rsid w:val="1715638D"/>
    <w:rsid w:val="171D7D03"/>
    <w:rsid w:val="172A1253"/>
    <w:rsid w:val="17655E6A"/>
    <w:rsid w:val="176E7ACE"/>
    <w:rsid w:val="1778433F"/>
    <w:rsid w:val="177D423D"/>
    <w:rsid w:val="17DA7214"/>
    <w:rsid w:val="17E43A9D"/>
    <w:rsid w:val="17E65700"/>
    <w:rsid w:val="17FE4F25"/>
    <w:rsid w:val="18321C31"/>
    <w:rsid w:val="185429A1"/>
    <w:rsid w:val="185F0F31"/>
    <w:rsid w:val="18904498"/>
    <w:rsid w:val="18930B18"/>
    <w:rsid w:val="18A3471E"/>
    <w:rsid w:val="18B45564"/>
    <w:rsid w:val="18BA7627"/>
    <w:rsid w:val="18C03F47"/>
    <w:rsid w:val="18E407AA"/>
    <w:rsid w:val="18EB768D"/>
    <w:rsid w:val="18EC3461"/>
    <w:rsid w:val="190813F6"/>
    <w:rsid w:val="19185142"/>
    <w:rsid w:val="191D6034"/>
    <w:rsid w:val="19216C1C"/>
    <w:rsid w:val="192B4DF7"/>
    <w:rsid w:val="194140C6"/>
    <w:rsid w:val="194E0681"/>
    <w:rsid w:val="19533940"/>
    <w:rsid w:val="196F7742"/>
    <w:rsid w:val="19857CBC"/>
    <w:rsid w:val="19867CE7"/>
    <w:rsid w:val="19B616C6"/>
    <w:rsid w:val="19BA6371"/>
    <w:rsid w:val="19C74CAB"/>
    <w:rsid w:val="19DC0589"/>
    <w:rsid w:val="19EE69B7"/>
    <w:rsid w:val="19F90D7B"/>
    <w:rsid w:val="1A014BA0"/>
    <w:rsid w:val="1A187B61"/>
    <w:rsid w:val="1A300E92"/>
    <w:rsid w:val="1A410339"/>
    <w:rsid w:val="1A46621D"/>
    <w:rsid w:val="1A4964D8"/>
    <w:rsid w:val="1A532F89"/>
    <w:rsid w:val="1A6616C5"/>
    <w:rsid w:val="1A731DE8"/>
    <w:rsid w:val="1AD13304"/>
    <w:rsid w:val="1ADC4D59"/>
    <w:rsid w:val="1AF6583C"/>
    <w:rsid w:val="1B4E449B"/>
    <w:rsid w:val="1B6A2246"/>
    <w:rsid w:val="1B702CEB"/>
    <w:rsid w:val="1B774671"/>
    <w:rsid w:val="1B7B66B5"/>
    <w:rsid w:val="1B894665"/>
    <w:rsid w:val="1B8B7185"/>
    <w:rsid w:val="1B9920A8"/>
    <w:rsid w:val="1BAD0E20"/>
    <w:rsid w:val="1BB75643"/>
    <w:rsid w:val="1BDC39D9"/>
    <w:rsid w:val="1C020151"/>
    <w:rsid w:val="1C1D3147"/>
    <w:rsid w:val="1C225F98"/>
    <w:rsid w:val="1C25283A"/>
    <w:rsid w:val="1C272EF4"/>
    <w:rsid w:val="1C367405"/>
    <w:rsid w:val="1C4B17F6"/>
    <w:rsid w:val="1C5606E1"/>
    <w:rsid w:val="1C5A3488"/>
    <w:rsid w:val="1C6E607A"/>
    <w:rsid w:val="1C74135E"/>
    <w:rsid w:val="1C8A06A8"/>
    <w:rsid w:val="1C8A64E9"/>
    <w:rsid w:val="1C8B0372"/>
    <w:rsid w:val="1CAE425A"/>
    <w:rsid w:val="1CDA5F18"/>
    <w:rsid w:val="1CF915CA"/>
    <w:rsid w:val="1CF96C89"/>
    <w:rsid w:val="1CFB5503"/>
    <w:rsid w:val="1D19626B"/>
    <w:rsid w:val="1D2D549C"/>
    <w:rsid w:val="1D320A97"/>
    <w:rsid w:val="1D3541D9"/>
    <w:rsid w:val="1D3E6FE0"/>
    <w:rsid w:val="1D4C5DBB"/>
    <w:rsid w:val="1D4F2685"/>
    <w:rsid w:val="1D502B01"/>
    <w:rsid w:val="1D6A1093"/>
    <w:rsid w:val="1D71209B"/>
    <w:rsid w:val="1D7F32DC"/>
    <w:rsid w:val="1DA10F7B"/>
    <w:rsid w:val="1DA35D4F"/>
    <w:rsid w:val="1DF405BD"/>
    <w:rsid w:val="1E173E5B"/>
    <w:rsid w:val="1E3E2D25"/>
    <w:rsid w:val="1E4507E4"/>
    <w:rsid w:val="1E4A2E19"/>
    <w:rsid w:val="1E555FBB"/>
    <w:rsid w:val="1E6070EC"/>
    <w:rsid w:val="1E6210B8"/>
    <w:rsid w:val="1E8A5E6A"/>
    <w:rsid w:val="1E9E4E20"/>
    <w:rsid w:val="1EAB17EF"/>
    <w:rsid w:val="1EC014EF"/>
    <w:rsid w:val="1EC664F8"/>
    <w:rsid w:val="1EDA6951"/>
    <w:rsid w:val="1EE553C1"/>
    <w:rsid w:val="1EF05929"/>
    <w:rsid w:val="1EF62661"/>
    <w:rsid w:val="1F243F8F"/>
    <w:rsid w:val="1FA305E8"/>
    <w:rsid w:val="1FA642F4"/>
    <w:rsid w:val="1FDB0160"/>
    <w:rsid w:val="1FE6001A"/>
    <w:rsid w:val="1FF764DF"/>
    <w:rsid w:val="1FF91559"/>
    <w:rsid w:val="200B0B00"/>
    <w:rsid w:val="20265B2F"/>
    <w:rsid w:val="202F2315"/>
    <w:rsid w:val="20465798"/>
    <w:rsid w:val="20506338"/>
    <w:rsid w:val="20555606"/>
    <w:rsid w:val="207750BF"/>
    <w:rsid w:val="207F61E1"/>
    <w:rsid w:val="208A7C12"/>
    <w:rsid w:val="209F4849"/>
    <w:rsid w:val="20A23E4A"/>
    <w:rsid w:val="20AD78E5"/>
    <w:rsid w:val="20C917B4"/>
    <w:rsid w:val="20D315FD"/>
    <w:rsid w:val="20EC190C"/>
    <w:rsid w:val="20F66755"/>
    <w:rsid w:val="20FD33CA"/>
    <w:rsid w:val="21104261"/>
    <w:rsid w:val="211D24F8"/>
    <w:rsid w:val="211F1834"/>
    <w:rsid w:val="212E224E"/>
    <w:rsid w:val="2138715A"/>
    <w:rsid w:val="214F0A03"/>
    <w:rsid w:val="215A4C74"/>
    <w:rsid w:val="215F591C"/>
    <w:rsid w:val="216B09F7"/>
    <w:rsid w:val="216D2DB1"/>
    <w:rsid w:val="217D4188"/>
    <w:rsid w:val="218A4E00"/>
    <w:rsid w:val="21A3266E"/>
    <w:rsid w:val="21A66A43"/>
    <w:rsid w:val="21AF2311"/>
    <w:rsid w:val="21D71101"/>
    <w:rsid w:val="21E55778"/>
    <w:rsid w:val="21EE4828"/>
    <w:rsid w:val="220F6EB2"/>
    <w:rsid w:val="22155EFF"/>
    <w:rsid w:val="222C2F6F"/>
    <w:rsid w:val="22345C7D"/>
    <w:rsid w:val="223F479B"/>
    <w:rsid w:val="22427AC0"/>
    <w:rsid w:val="22442DDA"/>
    <w:rsid w:val="224A1B49"/>
    <w:rsid w:val="224F4690"/>
    <w:rsid w:val="225721C3"/>
    <w:rsid w:val="226006F6"/>
    <w:rsid w:val="22666E49"/>
    <w:rsid w:val="227833BC"/>
    <w:rsid w:val="228B52E3"/>
    <w:rsid w:val="229145BB"/>
    <w:rsid w:val="22977D88"/>
    <w:rsid w:val="229B4702"/>
    <w:rsid w:val="22B42BC9"/>
    <w:rsid w:val="22F112C3"/>
    <w:rsid w:val="22F33FCF"/>
    <w:rsid w:val="230A1732"/>
    <w:rsid w:val="231B40DB"/>
    <w:rsid w:val="23207452"/>
    <w:rsid w:val="234B5E1C"/>
    <w:rsid w:val="23602498"/>
    <w:rsid w:val="2364528E"/>
    <w:rsid w:val="236518B9"/>
    <w:rsid w:val="236B6428"/>
    <w:rsid w:val="237B7F6D"/>
    <w:rsid w:val="2395665B"/>
    <w:rsid w:val="23A2667D"/>
    <w:rsid w:val="23A736D9"/>
    <w:rsid w:val="23AF4B8A"/>
    <w:rsid w:val="23BA0460"/>
    <w:rsid w:val="23D516AE"/>
    <w:rsid w:val="23F126A9"/>
    <w:rsid w:val="23F56B46"/>
    <w:rsid w:val="241616E5"/>
    <w:rsid w:val="24284854"/>
    <w:rsid w:val="24363828"/>
    <w:rsid w:val="243F1C0C"/>
    <w:rsid w:val="24A3655C"/>
    <w:rsid w:val="24B73377"/>
    <w:rsid w:val="24C93F21"/>
    <w:rsid w:val="24F36825"/>
    <w:rsid w:val="25096690"/>
    <w:rsid w:val="250D7E56"/>
    <w:rsid w:val="251206CC"/>
    <w:rsid w:val="251B0AA1"/>
    <w:rsid w:val="251D3939"/>
    <w:rsid w:val="253521D3"/>
    <w:rsid w:val="25445D9E"/>
    <w:rsid w:val="254A3C8C"/>
    <w:rsid w:val="254E0830"/>
    <w:rsid w:val="2556786A"/>
    <w:rsid w:val="25A76671"/>
    <w:rsid w:val="25B05B92"/>
    <w:rsid w:val="25B675FF"/>
    <w:rsid w:val="25D77947"/>
    <w:rsid w:val="25D85549"/>
    <w:rsid w:val="25EE2DAE"/>
    <w:rsid w:val="26113A73"/>
    <w:rsid w:val="26275C7A"/>
    <w:rsid w:val="263D4A6F"/>
    <w:rsid w:val="2641044F"/>
    <w:rsid w:val="265F079B"/>
    <w:rsid w:val="26737A8D"/>
    <w:rsid w:val="26877659"/>
    <w:rsid w:val="26930FFE"/>
    <w:rsid w:val="269A19B7"/>
    <w:rsid w:val="26AA6BCB"/>
    <w:rsid w:val="26B12F74"/>
    <w:rsid w:val="26BB1747"/>
    <w:rsid w:val="26C90A2D"/>
    <w:rsid w:val="26CF57CC"/>
    <w:rsid w:val="26D34254"/>
    <w:rsid w:val="26DF0F0C"/>
    <w:rsid w:val="27022042"/>
    <w:rsid w:val="2715510C"/>
    <w:rsid w:val="271B5046"/>
    <w:rsid w:val="272849F1"/>
    <w:rsid w:val="273537ED"/>
    <w:rsid w:val="27556D07"/>
    <w:rsid w:val="275A73E3"/>
    <w:rsid w:val="275E5DA9"/>
    <w:rsid w:val="27636F98"/>
    <w:rsid w:val="276C29FF"/>
    <w:rsid w:val="2771575A"/>
    <w:rsid w:val="277D2A21"/>
    <w:rsid w:val="27886C8E"/>
    <w:rsid w:val="279E208F"/>
    <w:rsid w:val="27B13177"/>
    <w:rsid w:val="27B71BCC"/>
    <w:rsid w:val="27B764B0"/>
    <w:rsid w:val="27CB5449"/>
    <w:rsid w:val="27E56F1D"/>
    <w:rsid w:val="27F30B8E"/>
    <w:rsid w:val="27FA0C6E"/>
    <w:rsid w:val="280A2B9C"/>
    <w:rsid w:val="280B2AE2"/>
    <w:rsid w:val="281B6DE1"/>
    <w:rsid w:val="283160A6"/>
    <w:rsid w:val="283269A5"/>
    <w:rsid w:val="283D7A8D"/>
    <w:rsid w:val="284177E2"/>
    <w:rsid w:val="28464A8F"/>
    <w:rsid w:val="286A6D03"/>
    <w:rsid w:val="286B35FC"/>
    <w:rsid w:val="28794FC9"/>
    <w:rsid w:val="28801D31"/>
    <w:rsid w:val="28855A7D"/>
    <w:rsid w:val="28931AE5"/>
    <w:rsid w:val="28935FD4"/>
    <w:rsid w:val="28A47EE5"/>
    <w:rsid w:val="28B7787E"/>
    <w:rsid w:val="28B830C8"/>
    <w:rsid w:val="28CF5CE8"/>
    <w:rsid w:val="28D152F1"/>
    <w:rsid w:val="29056A17"/>
    <w:rsid w:val="290C42DE"/>
    <w:rsid w:val="29146C49"/>
    <w:rsid w:val="292607B1"/>
    <w:rsid w:val="29325E46"/>
    <w:rsid w:val="293347E6"/>
    <w:rsid w:val="29346AD3"/>
    <w:rsid w:val="293B62A8"/>
    <w:rsid w:val="29411B73"/>
    <w:rsid w:val="29482A8D"/>
    <w:rsid w:val="29A82311"/>
    <w:rsid w:val="29B05E87"/>
    <w:rsid w:val="29C839B7"/>
    <w:rsid w:val="29CA769E"/>
    <w:rsid w:val="29DB16DF"/>
    <w:rsid w:val="29E32E5B"/>
    <w:rsid w:val="29E7064B"/>
    <w:rsid w:val="29EB624B"/>
    <w:rsid w:val="2A31569E"/>
    <w:rsid w:val="2A43500D"/>
    <w:rsid w:val="2A472991"/>
    <w:rsid w:val="2A517FAE"/>
    <w:rsid w:val="2A604FB6"/>
    <w:rsid w:val="2A6642B5"/>
    <w:rsid w:val="2A7D5F3C"/>
    <w:rsid w:val="2A7F51B7"/>
    <w:rsid w:val="2A7F6BCF"/>
    <w:rsid w:val="2A8A01D6"/>
    <w:rsid w:val="2AA917FA"/>
    <w:rsid w:val="2ABF25ED"/>
    <w:rsid w:val="2AC71A04"/>
    <w:rsid w:val="2AC73417"/>
    <w:rsid w:val="2AC83B9D"/>
    <w:rsid w:val="2AC869C9"/>
    <w:rsid w:val="2ACA12D6"/>
    <w:rsid w:val="2AD86AD0"/>
    <w:rsid w:val="2B167DDF"/>
    <w:rsid w:val="2B22427B"/>
    <w:rsid w:val="2B2A3917"/>
    <w:rsid w:val="2B347F25"/>
    <w:rsid w:val="2B7330C5"/>
    <w:rsid w:val="2B9E1E90"/>
    <w:rsid w:val="2BD10FDE"/>
    <w:rsid w:val="2BE95450"/>
    <w:rsid w:val="2C0440A1"/>
    <w:rsid w:val="2C0E4250"/>
    <w:rsid w:val="2C1E4A89"/>
    <w:rsid w:val="2C2548D0"/>
    <w:rsid w:val="2C2643AF"/>
    <w:rsid w:val="2C273BFF"/>
    <w:rsid w:val="2C2A4C4F"/>
    <w:rsid w:val="2C4C599A"/>
    <w:rsid w:val="2C4E1464"/>
    <w:rsid w:val="2C5A5369"/>
    <w:rsid w:val="2C837261"/>
    <w:rsid w:val="2C870324"/>
    <w:rsid w:val="2C8E5555"/>
    <w:rsid w:val="2CB019CA"/>
    <w:rsid w:val="2CC76232"/>
    <w:rsid w:val="2CE735D1"/>
    <w:rsid w:val="2CF271A5"/>
    <w:rsid w:val="2CF313EA"/>
    <w:rsid w:val="2D0844A8"/>
    <w:rsid w:val="2D36443C"/>
    <w:rsid w:val="2D395076"/>
    <w:rsid w:val="2D3B44E9"/>
    <w:rsid w:val="2D426A09"/>
    <w:rsid w:val="2D522CAA"/>
    <w:rsid w:val="2D69305E"/>
    <w:rsid w:val="2D8400D7"/>
    <w:rsid w:val="2D84371B"/>
    <w:rsid w:val="2D851331"/>
    <w:rsid w:val="2D851D9A"/>
    <w:rsid w:val="2D8D35D0"/>
    <w:rsid w:val="2D9030D5"/>
    <w:rsid w:val="2D995BC6"/>
    <w:rsid w:val="2D9C50C8"/>
    <w:rsid w:val="2DA6261D"/>
    <w:rsid w:val="2DF75F70"/>
    <w:rsid w:val="2E057633"/>
    <w:rsid w:val="2E0A2BA1"/>
    <w:rsid w:val="2E5C45EE"/>
    <w:rsid w:val="2E5F6B11"/>
    <w:rsid w:val="2E6518E6"/>
    <w:rsid w:val="2E743365"/>
    <w:rsid w:val="2E7A18D5"/>
    <w:rsid w:val="2EA35766"/>
    <w:rsid w:val="2EB96E4B"/>
    <w:rsid w:val="2EC25DB7"/>
    <w:rsid w:val="2ECD2173"/>
    <w:rsid w:val="2ED53F05"/>
    <w:rsid w:val="2EDE0726"/>
    <w:rsid w:val="2EF7146D"/>
    <w:rsid w:val="2EFB33B6"/>
    <w:rsid w:val="2F254788"/>
    <w:rsid w:val="2F3236B6"/>
    <w:rsid w:val="2F383FE4"/>
    <w:rsid w:val="2F3C5D2F"/>
    <w:rsid w:val="2F402A0F"/>
    <w:rsid w:val="2F403956"/>
    <w:rsid w:val="2F450AC0"/>
    <w:rsid w:val="2F4C2C5B"/>
    <w:rsid w:val="2F4F3734"/>
    <w:rsid w:val="2F7B10A8"/>
    <w:rsid w:val="2FA80522"/>
    <w:rsid w:val="2FBA7536"/>
    <w:rsid w:val="2FE626B7"/>
    <w:rsid w:val="2FE7396B"/>
    <w:rsid w:val="2FFB579C"/>
    <w:rsid w:val="300A1BE5"/>
    <w:rsid w:val="300C07F8"/>
    <w:rsid w:val="300D7D4A"/>
    <w:rsid w:val="301256A9"/>
    <w:rsid w:val="3024031E"/>
    <w:rsid w:val="304740B7"/>
    <w:rsid w:val="30547604"/>
    <w:rsid w:val="305E509B"/>
    <w:rsid w:val="30836B34"/>
    <w:rsid w:val="30846844"/>
    <w:rsid w:val="308E3A16"/>
    <w:rsid w:val="30962085"/>
    <w:rsid w:val="30A947A7"/>
    <w:rsid w:val="30B23946"/>
    <w:rsid w:val="30C24CD7"/>
    <w:rsid w:val="30D00409"/>
    <w:rsid w:val="30D15D32"/>
    <w:rsid w:val="30D371FC"/>
    <w:rsid w:val="30FA3F52"/>
    <w:rsid w:val="310476A5"/>
    <w:rsid w:val="31094AEC"/>
    <w:rsid w:val="31151DF1"/>
    <w:rsid w:val="31226F5B"/>
    <w:rsid w:val="315138CA"/>
    <w:rsid w:val="31592CB0"/>
    <w:rsid w:val="315D3A23"/>
    <w:rsid w:val="315D6865"/>
    <w:rsid w:val="315E491C"/>
    <w:rsid w:val="31704D22"/>
    <w:rsid w:val="317B24D7"/>
    <w:rsid w:val="317E3CA7"/>
    <w:rsid w:val="318175AE"/>
    <w:rsid w:val="318D4030"/>
    <w:rsid w:val="319E4F0D"/>
    <w:rsid w:val="31C85233"/>
    <w:rsid w:val="31D27977"/>
    <w:rsid w:val="31FE7C49"/>
    <w:rsid w:val="322E270D"/>
    <w:rsid w:val="324463DD"/>
    <w:rsid w:val="327808B6"/>
    <w:rsid w:val="327E5AAA"/>
    <w:rsid w:val="328256EA"/>
    <w:rsid w:val="328B2E16"/>
    <w:rsid w:val="32C63344"/>
    <w:rsid w:val="32E46CD4"/>
    <w:rsid w:val="331B77D4"/>
    <w:rsid w:val="332C67E1"/>
    <w:rsid w:val="335B366F"/>
    <w:rsid w:val="33681CFE"/>
    <w:rsid w:val="3384028E"/>
    <w:rsid w:val="338A3FAF"/>
    <w:rsid w:val="338B370B"/>
    <w:rsid w:val="33997814"/>
    <w:rsid w:val="33B2334F"/>
    <w:rsid w:val="33CD1299"/>
    <w:rsid w:val="342946A6"/>
    <w:rsid w:val="343002B5"/>
    <w:rsid w:val="344F4A69"/>
    <w:rsid w:val="346644D8"/>
    <w:rsid w:val="346C5D96"/>
    <w:rsid w:val="34782B79"/>
    <w:rsid w:val="34815D00"/>
    <w:rsid w:val="34906EBC"/>
    <w:rsid w:val="34A635BF"/>
    <w:rsid w:val="34AF1410"/>
    <w:rsid w:val="34B66074"/>
    <w:rsid w:val="34BE5ABB"/>
    <w:rsid w:val="34C658FC"/>
    <w:rsid w:val="34C6696F"/>
    <w:rsid w:val="34D84DA0"/>
    <w:rsid w:val="34EB4A38"/>
    <w:rsid w:val="34EC12FA"/>
    <w:rsid w:val="34ED3B35"/>
    <w:rsid w:val="34ED3C88"/>
    <w:rsid w:val="34F069E7"/>
    <w:rsid w:val="34FD11D4"/>
    <w:rsid w:val="34FE1204"/>
    <w:rsid w:val="351C3A6C"/>
    <w:rsid w:val="35216379"/>
    <w:rsid w:val="356976B5"/>
    <w:rsid w:val="35705E7D"/>
    <w:rsid w:val="358E55C9"/>
    <w:rsid w:val="35A572B2"/>
    <w:rsid w:val="35B60E65"/>
    <w:rsid w:val="35B6520A"/>
    <w:rsid w:val="35DF78D2"/>
    <w:rsid w:val="35F805BF"/>
    <w:rsid w:val="35FE078B"/>
    <w:rsid w:val="360607D9"/>
    <w:rsid w:val="360778AD"/>
    <w:rsid w:val="36190C5C"/>
    <w:rsid w:val="361A5E43"/>
    <w:rsid w:val="361C240E"/>
    <w:rsid w:val="363D616D"/>
    <w:rsid w:val="365673FE"/>
    <w:rsid w:val="367418DA"/>
    <w:rsid w:val="3680580C"/>
    <w:rsid w:val="36C43AD6"/>
    <w:rsid w:val="36C47EB2"/>
    <w:rsid w:val="36C774C5"/>
    <w:rsid w:val="36D40252"/>
    <w:rsid w:val="36E21ED3"/>
    <w:rsid w:val="36EA1274"/>
    <w:rsid w:val="36F5556E"/>
    <w:rsid w:val="3708229C"/>
    <w:rsid w:val="37407194"/>
    <w:rsid w:val="374E40B8"/>
    <w:rsid w:val="3780554B"/>
    <w:rsid w:val="37A159D8"/>
    <w:rsid w:val="37A72D87"/>
    <w:rsid w:val="37AA5072"/>
    <w:rsid w:val="37E352AA"/>
    <w:rsid w:val="381D2F68"/>
    <w:rsid w:val="383232C9"/>
    <w:rsid w:val="38351B7B"/>
    <w:rsid w:val="383F4CA5"/>
    <w:rsid w:val="38456527"/>
    <w:rsid w:val="385054B4"/>
    <w:rsid w:val="38573E66"/>
    <w:rsid w:val="385A07E5"/>
    <w:rsid w:val="386A4F97"/>
    <w:rsid w:val="389302D9"/>
    <w:rsid w:val="38974E77"/>
    <w:rsid w:val="389E008F"/>
    <w:rsid w:val="38A144B2"/>
    <w:rsid w:val="38A94C99"/>
    <w:rsid w:val="38B6777D"/>
    <w:rsid w:val="38B925DF"/>
    <w:rsid w:val="38D6246F"/>
    <w:rsid w:val="38F00189"/>
    <w:rsid w:val="38F5276B"/>
    <w:rsid w:val="39153194"/>
    <w:rsid w:val="39190452"/>
    <w:rsid w:val="391B35CB"/>
    <w:rsid w:val="393F3129"/>
    <w:rsid w:val="396A5167"/>
    <w:rsid w:val="39735B54"/>
    <w:rsid w:val="39D30D2A"/>
    <w:rsid w:val="39D77A81"/>
    <w:rsid w:val="39D919EA"/>
    <w:rsid w:val="39FD4E5E"/>
    <w:rsid w:val="3A026761"/>
    <w:rsid w:val="3A097DC3"/>
    <w:rsid w:val="3A192DA4"/>
    <w:rsid w:val="3A264483"/>
    <w:rsid w:val="3A3C70DA"/>
    <w:rsid w:val="3A5A2E61"/>
    <w:rsid w:val="3A690856"/>
    <w:rsid w:val="3A77322B"/>
    <w:rsid w:val="3A7C67B4"/>
    <w:rsid w:val="3A8E5D10"/>
    <w:rsid w:val="3A9A2363"/>
    <w:rsid w:val="3AA81A62"/>
    <w:rsid w:val="3AB23D28"/>
    <w:rsid w:val="3AB45C85"/>
    <w:rsid w:val="3ACC0CED"/>
    <w:rsid w:val="3AE11A4E"/>
    <w:rsid w:val="3B10495E"/>
    <w:rsid w:val="3B2003FD"/>
    <w:rsid w:val="3B26063C"/>
    <w:rsid w:val="3B2A4FB6"/>
    <w:rsid w:val="3B347657"/>
    <w:rsid w:val="3B483C74"/>
    <w:rsid w:val="3B55695D"/>
    <w:rsid w:val="3B751366"/>
    <w:rsid w:val="3B932D9C"/>
    <w:rsid w:val="3BAC7D2B"/>
    <w:rsid w:val="3BBD6D16"/>
    <w:rsid w:val="3BCD60A0"/>
    <w:rsid w:val="3BD26834"/>
    <w:rsid w:val="3BE844BE"/>
    <w:rsid w:val="3C030AB7"/>
    <w:rsid w:val="3C19288C"/>
    <w:rsid w:val="3C280DDB"/>
    <w:rsid w:val="3C330486"/>
    <w:rsid w:val="3C452D6E"/>
    <w:rsid w:val="3C4915D8"/>
    <w:rsid w:val="3C4F7218"/>
    <w:rsid w:val="3C5638B8"/>
    <w:rsid w:val="3C5830E2"/>
    <w:rsid w:val="3C617F82"/>
    <w:rsid w:val="3C7660DA"/>
    <w:rsid w:val="3C84000A"/>
    <w:rsid w:val="3CA57A13"/>
    <w:rsid w:val="3CAA2E00"/>
    <w:rsid w:val="3CBA43FC"/>
    <w:rsid w:val="3CC37480"/>
    <w:rsid w:val="3CCA3148"/>
    <w:rsid w:val="3CCE5FE8"/>
    <w:rsid w:val="3D014AD8"/>
    <w:rsid w:val="3D42493C"/>
    <w:rsid w:val="3D434ACF"/>
    <w:rsid w:val="3D573AAE"/>
    <w:rsid w:val="3D707903"/>
    <w:rsid w:val="3D7A2FA2"/>
    <w:rsid w:val="3D96052C"/>
    <w:rsid w:val="3DA23953"/>
    <w:rsid w:val="3DA948D2"/>
    <w:rsid w:val="3DB00BC8"/>
    <w:rsid w:val="3DC9207F"/>
    <w:rsid w:val="3DCF3F1B"/>
    <w:rsid w:val="3DDC6AF7"/>
    <w:rsid w:val="3DF82A24"/>
    <w:rsid w:val="3E5F1E94"/>
    <w:rsid w:val="3E6709FD"/>
    <w:rsid w:val="3E677DEB"/>
    <w:rsid w:val="3E750572"/>
    <w:rsid w:val="3E7C4BCD"/>
    <w:rsid w:val="3EF75B01"/>
    <w:rsid w:val="3EF76C18"/>
    <w:rsid w:val="3EF9248F"/>
    <w:rsid w:val="3EFD393A"/>
    <w:rsid w:val="3EFE0737"/>
    <w:rsid w:val="3F022944"/>
    <w:rsid w:val="3F077200"/>
    <w:rsid w:val="3F125943"/>
    <w:rsid w:val="3F182A6D"/>
    <w:rsid w:val="3F1B2335"/>
    <w:rsid w:val="3F1E56A2"/>
    <w:rsid w:val="3F222480"/>
    <w:rsid w:val="3F2E4F0F"/>
    <w:rsid w:val="3F573CC7"/>
    <w:rsid w:val="3F697AFE"/>
    <w:rsid w:val="3F732FFB"/>
    <w:rsid w:val="3F763756"/>
    <w:rsid w:val="3F781FB5"/>
    <w:rsid w:val="3F817D6A"/>
    <w:rsid w:val="3F9F0DD0"/>
    <w:rsid w:val="3FAF4912"/>
    <w:rsid w:val="3FB223E2"/>
    <w:rsid w:val="3FBC2A73"/>
    <w:rsid w:val="3FBE0741"/>
    <w:rsid w:val="3FC15626"/>
    <w:rsid w:val="3FC421A7"/>
    <w:rsid w:val="3FE30B36"/>
    <w:rsid w:val="401D1D3D"/>
    <w:rsid w:val="40426DB9"/>
    <w:rsid w:val="40611F9D"/>
    <w:rsid w:val="406A72FF"/>
    <w:rsid w:val="408E4E41"/>
    <w:rsid w:val="409D66F8"/>
    <w:rsid w:val="40A035F6"/>
    <w:rsid w:val="40A56480"/>
    <w:rsid w:val="40AD7EA8"/>
    <w:rsid w:val="40BC6B1F"/>
    <w:rsid w:val="40CB1477"/>
    <w:rsid w:val="40CD787E"/>
    <w:rsid w:val="40D66DCB"/>
    <w:rsid w:val="40F506B7"/>
    <w:rsid w:val="411C1212"/>
    <w:rsid w:val="413663C2"/>
    <w:rsid w:val="41633AEB"/>
    <w:rsid w:val="4173422C"/>
    <w:rsid w:val="41947419"/>
    <w:rsid w:val="419C494B"/>
    <w:rsid w:val="41BA4DB5"/>
    <w:rsid w:val="41CA0E2C"/>
    <w:rsid w:val="41DE62BE"/>
    <w:rsid w:val="42033B56"/>
    <w:rsid w:val="421B7832"/>
    <w:rsid w:val="421E0D71"/>
    <w:rsid w:val="42254A34"/>
    <w:rsid w:val="425C552A"/>
    <w:rsid w:val="426F727D"/>
    <w:rsid w:val="428233C3"/>
    <w:rsid w:val="429462ED"/>
    <w:rsid w:val="42BC7DDF"/>
    <w:rsid w:val="42CB6E04"/>
    <w:rsid w:val="42DD3122"/>
    <w:rsid w:val="42DE2E5A"/>
    <w:rsid w:val="42EA52D9"/>
    <w:rsid w:val="42EA5453"/>
    <w:rsid w:val="42FF14E4"/>
    <w:rsid w:val="43076C51"/>
    <w:rsid w:val="43206703"/>
    <w:rsid w:val="43365940"/>
    <w:rsid w:val="43497ABA"/>
    <w:rsid w:val="434E5A5F"/>
    <w:rsid w:val="4353208A"/>
    <w:rsid w:val="437E2698"/>
    <w:rsid w:val="437F275F"/>
    <w:rsid w:val="43930EDD"/>
    <w:rsid w:val="43A33317"/>
    <w:rsid w:val="43AD43B9"/>
    <w:rsid w:val="43B12414"/>
    <w:rsid w:val="43E119FE"/>
    <w:rsid w:val="43E45E4E"/>
    <w:rsid w:val="43E50BF3"/>
    <w:rsid w:val="43FB43D3"/>
    <w:rsid w:val="44140268"/>
    <w:rsid w:val="44201AAB"/>
    <w:rsid w:val="442D5B37"/>
    <w:rsid w:val="442E5395"/>
    <w:rsid w:val="44345DAC"/>
    <w:rsid w:val="443B46C4"/>
    <w:rsid w:val="443F2A4E"/>
    <w:rsid w:val="44614E00"/>
    <w:rsid w:val="447C4780"/>
    <w:rsid w:val="448A72D9"/>
    <w:rsid w:val="449F7E26"/>
    <w:rsid w:val="44A66B56"/>
    <w:rsid w:val="44BB2959"/>
    <w:rsid w:val="44E501E1"/>
    <w:rsid w:val="44EF1B82"/>
    <w:rsid w:val="4506059B"/>
    <w:rsid w:val="4514163A"/>
    <w:rsid w:val="451B3248"/>
    <w:rsid w:val="453D3D7F"/>
    <w:rsid w:val="454A175A"/>
    <w:rsid w:val="455C43E8"/>
    <w:rsid w:val="45617A2D"/>
    <w:rsid w:val="45754735"/>
    <w:rsid w:val="45797C51"/>
    <w:rsid w:val="45841395"/>
    <w:rsid w:val="45A02D45"/>
    <w:rsid w:val="45A168B6"/>
    <w:rsid w:val="45AB5674"/>
    <w:rsid w:val="45B70EDA"/>
    <w:rsid w:val="45BA0292"/>
    <w:rsid w:val="45E23D3B"/>
    <w:rsid w:val="45EE4E64"/>
    <w:rsid w:val="461B2714"/>
    <w:rsid w:val="461B535F"/>
    <w:rsid w:val="46242B43"/>
    <w:rsid w:val="4630503A"/>
    <w:rsid w:val="46345A60"/>
    <w:rsid w:val="463D01C8"/>
    <w:rsid w:val="4641069E"/>
    <w:rsid w:val="46476C25"/>
    <w:rsid w:val="465A2995"/>
    <w:rsid w:val="465C0A70"/>
    <w:rsid w:val="46694589"/>
    <w:rsid w:val="46864F2A"/>
    <w:rsid w:val="46A75F6F"/>
    <w:rsid w:val="46AB5C21"/>
    <w:rsid w:val="46C7427A"/>
    <w:rsid w:val="46C909B2"/>
    <w:rsid w:val="46CF5EC3"/>
    <w:rsid w:val="46D078B4"/>
    <w:rsid w:val="46D4319E"/>
    <w:rsid w:val="46E60E0B"/>
    <w:rsid w:val="46F41301"/>
    <w:rsid w:val="46FC6C97"/>
    <w:rsid w:val="47056C9D"/>
    <w:rsid w:val="473B1E18"/>
    <w:rsid w:val="473D2DF8"/>
    <w:rsid w:val="474012C9"/>
    <w:rsid w:val="474A6941"/>
    <w:rsid w:val="47551D86"/>
    <w:rsid w:val="47A32B59"/>
    <w:rsid w:val="47BF33D5"/>
    <w:rsid w:val="47CE0246"/>
    <w:rsid w:val="47E43A10"/>
    <w:rsid w:val="47E94783"/>
    <w:rsid w:val="47EF1848"/>
    <w:rsid w:val="47F66832"/>
    <w:rsid w:val="48027FD5"/>
    <w:rsid w:val="4812105C"/>
    <w:rsid w:val="48161DCD"/>
    <w:rsid w:val="481B6936"/>
    <w:rsid w:val="48353CE9"/>
    <w:rsid w:val="4841419B"/>
    <w:rsid w:val="48450BAD"/>
    <w:rsid w:val="4855079E"/>
    <w:rsid w:val="48591AB8"/>
    <w:rsid w:val="485C3776"/>
    <w:rsid w:val="48633690"/>
    <w:rsid w:val="48891E5D"/>
    <w:rsid w:val="48C41A98"/>
    <w:rsid w:val="49294530"/>
    <w:rsid w:val="494A2A5D"/>
    <w:rsid w:val="495D5C0C"/>
    <w:rsid w:val="496B084E"/>
    <w:rsid w:val="49852D39"/>
    <w:rsid w:val="499C6261"/>
    <w:rsid w:val="499D4260"/>
    <w:rsid w:val="49B451D1"/>
    <w:rsid w:val="49B83A6B"/>
    <w:rsid w:val="49C64EE4"/>
    <w:rsid w:val="49D25BD6"/>
    <w:rsid w:val="49DE6C06"/>
    <w:rsid w:val="49EF4D9C"/>
    <w:rsid w:val="4A0E4C66"/>
    <w:rsid w:val="4A29514D"/>
    <w:rsid w:val="4A820327"/>
    <w:rsid w:val="4A8A32B1"/>
    <w:rsid w:val="4A9F6F7E"/>
    <w:rsid w:val="4AAB7BDB"/>
    <w:rsid w:val="4ADD5C70"/>
    <w:rsid w:val="4B150642"/>
    <w:rsid w:val="4B35529A"/>
    <w:rsid w:val="4B4115F6"/>
    <w:rsid w:val="4B807D59"/>
    <w:rsid w:val="4B874946"/>
    <w:rsid w:val="4B8F5AC8"/>
    <w:rsid w:val="4BA72EF2"/>
    <w:rsid w:val="4BBB4121"/>
    <w:rsid w:val="4BC930A1"/>
    <w:rsid w:val="4BDB06E3"/>
    <w:rsid w:val="4BEC0DCA"/>
    <w:rsid w:val="4BFA7AE8"/>
    <w:rsid w:val="4BFF3DB2"/>
    <w:rsid w:val="4C1120BF"/>
    <w:rsid w:val="4C1C2AE1"/>
    <w:rsid w:val="4C2C143E"/>
    <w:rsid w:val="4C3E203F"/>
    <w:rsid w:val="4C4623ED"/>
    <w:rsid w:val="4C4A2448"/>
    <w:rsid w:val="4C937EF2"/>
    <w:rsid w:val="4C9A7A0B"/>
    <w:rsid w:val="4CB65608"/>
    <w:rsid w:val="4CB744CB"/>
    <w:rsid w:val="4CBB100D"/>
    <w:rsid w:val="4CBE3EAB"/>
    <w:rsid w:val="4CBE6A7F"/>
    <w:rsid w:val="4CF6285E"/>
    <w:rsid w:val="4D2B7746"/>
    <w:rsid w:val="4D3155F1"/>
    <w:rsid w:val="4D496E20"/>
    <w:rsid w:val="4D50798E"/>
    <w:rsid w:val="4D546F0F"/>
    <w:rsid w:val="4D587225"/>
    <w:rsid w:val="4D5A08E7"/>
    <w:rsid w:val="4D5E37C5"/>
    <w:rsid w:val="4D68697E"/>
    <w:rsid w:val="4D7918C2"/>
    <w:rsid w:val="4D915DB6"/>
    <w:rsid w:val="4DA43A84"/>
    <w:rsid w:val="4DB11D90"/>
    <w:rsid w:val="4DCC7756"/>
    <w:rsid w:val="4DE33752"/>
    <w:rsid w:val="4DE836B6"/>
    <w:rsid w:val="4DED52D5"/>
    <w:rsid w:val="4E303A4A"/>
    <w:rsid w:val="4E3B2540"/>
    <w:rsid w:val="4E402764"/>
    <w:rsid w:val="4E4164E6"/>
    <w:rsid w:val="4E6D3952"/>
    <w:rsid w:val="4E7611CD"/>
    <w:rsid w:val="4E792864"/>
    <w:rsid w:val="4E90612B"/>
    <w:rsid w:val="4ECF17A1"/>
    <w:rsid w:val="4EE049A4"/>
    <w:rsid w:val="4EFD31C2"/>
    <w:rsid w:val="4F010E72"/>
    <w:rsid w:val="4F0D4D7F"/>
    <w:rsid w:val="4F401164"/>
    <w:rsid w:val="4F73779A"/>
    <w:rsid w:val="4F9E4659"/>
    <w:rsid w:val="4FA520C6"/>
    <w:rsid w:val="4FB7442E"/>
    <w:rsid w:val="4FB97DFA"/>
    <w:rsid w:val="4FD7749A"/>
    <w:rsid w:val="4FE43CE0"/>
    <w:rsid w:val="4FE80362"/>
    <w:rsid w:val="4FED3138"/>
    <w:rsid w:val="500B00E9"/>
    <w:rsid w:val="500C5C47"/>
    <w:rsid w:val="501316B4"/>
    <w:rsid w:val="505C2484"/>
    <w:rsid w:val="50626AF4"/>
    <w:rsid w:val="506C5077"/>
    <w:rsid w:val="50847045"/>
    <w:rsid w:val="50902684"/>
    <w:rsid w:val="50912456"/>
    <w:rsid w:val="509B0AEA"/>
    <w:rsid w:val="50A64B45"/>
    <w:rsid w:val="50CF6F90"/>
    <w:rsid w:val="50DF56DA"/>
    <w:rsid w:val="510500B3"/>
    <w:rsid w:val="510B6A40"/>
    <w:rsid w:val="512C595E"/>
    <w:rsid w:val="512E1119"/>
    <w:rsid w:val="514B5CB9"/>
    <w:rsid w:val="516A1F01"/>
    <w:rsid w:val="5191137E"/>
    <w:rsid w:val="519E0C3C"/>
    <w:rsid w:val="51AB21AC"/>
    <w:rsid w:val="51CA5022"/>
    <w:rsid w:val="51D47608"/>
    <w:rsid w:val="51D733A6"/>
    <w:rsid w:val="51D93EF5"/>
    <w:rsid w:val="51DC7471"/>
    <w:rsid w:val="51E45838"/>
    <w:rsid w:val="51EC34F8"/>
    <w:rsid w:val="52161A18"/>
    <w:rsid w:val="52272456"/>
    <w:rsid w:val="52432980"/>
    <w:rsid w:val="525B7138"/>
    <w:rsid w:val="52693681"/>
    <w:rsid w:val="526A48ED"/>
    <w:rsid w:val="526D0F92"/>
    <w:rsid w:val="527103FC"/>
    <w:rsid w:val="5291538D"/>
    <w:rsid w:val="529A792F"/>
    <w:rsid w:val="52A4759B"/>
    <w:rsid w:val="52A5231C"/>
    <w:rsid w:val="52B35629"/>
    <w:rsid w:val="52D24617"/>
    <w:rsid w:val="52D32AFD"/>
    <w:rsid w:val="5336125E"/>
    <w:rsid w:val="53372C02"/>
    <w:rsid w:val="53481136"/>
    <w:rsid w:val="53784748"/>
    <w:rsid w:val="537B518E"/>
    <w:rsid w:val="537C043B"/>
    <w:rsid w:val="53807939"/>
    <w:rsid w:val="538F5039"/>
    <w:rsid w:val="539F3171"/>
    <w:rsid w:val="539F60F0"/>
    <w:rsid w:val="53BB4B14"/>
    <w:rsid w:val="53D8003B"/>
    <w:rsid w:val="53FD01B2"/>
    <w:rsid w:val="54047EEE"/>
    <w:rsid w:val="542929A6"/>
    <w:rsid w:val="543F791D"/>
    <w:rsid w:val="5466258B"/>
    <w:rsid w:val="546908F1"/>
    <w:rsid w:val="546F5F53"/>
    <w:rsid w:val="54745A77"/>
    <w:rsid w:val="547B74BE"/>
    <w:rsid w:val="54AB37FC"/>
    <w:rsid w:val="54B558D2"/>
    <w:rsid w:val="54BB4801"/>
    <w:rsid w:val="54F230F9"/>
    <w:rsid w:val="54F50D0D"/>
    <w:rsid w:val="55150159"/>
    <w:rsid w:val="552F209E"/>
    <w:rsid w:val="55343708"/>
    <w:rsid w:val="554C347C"/>
    <w:rsid w:val="554E1E48"/>
    <w:rsid w:val="5550425F"/>
    <w:rsid w:val="558161E2"/>
    <w:rsid w:val="558E3E65"/>
    <w:rsid w:val="55992337"/>
    <w:rsid w:val="55A76703"/>
    <w:rsid w:val="55AD1EB5"/>
    <w:rsid w:val="55BB41F3"/>
    <w:rsid w:val="55D002DE"/>
    <w:rsid w:val="55D06FBF"/>
    <w:rsid w:val="55F23010"/>
    <w:rsid w:val="56005556"/>
    <w:rsid w:val="56024C66"/>
    <w:rsid w:val="561D431F"/>
    <w:rsid w:val="561F1F50"/>
    <w:rsid w:val="56262AA1"/>
    <w:rsid w:val="562E2336"/>
    <w:rsid w:val="564730C1"/>
    <w:rsid w:val="56571DD2"/>
    <w:rsid w:val="565A6C07"/>
    <w:rsid w:val="565F1615"/>
    <w:rsid w:val="56604D7E"/>
    <w:rsid w:val="56653E4C"/>
    <w:rsid w:val="567A725D"/>
    <w:rsid w:val="56871B43"/>
    <w:rsid w:val="569122C1"/>
    <w:rsid w:val="56914230"/>
    <w:rsid w:val="56A8141C"/>
    <w:rsid w:val="56AC5C52"/>
    <w:rsid w:val="56B24AC3"/>
    <w:rsid w:val="56DA5593"/>
    <w:rsid w:val="570A7A26"/>
    <w:rsid w:val="572E38BA"/>
    <w:rsid w:val="57363FAA"/>
    <w:rsid w:val="5744522A"/>
    <w:rsid w:val="57472060"/>
    <w:rsid w:val="57830285"/>
    <w:rsid w:val="57A20300"/>
    <w:rsid w:val="57A62B27"/>
    <w:rsid w:val="57D40566"/>
    <w:rsid w:val="57E74100"/>
    <w:rsid w:val="57F136EC"/>
    <w:rsid w:val="580B7524"/>
    <w:rsid w:val="582523FC"/>
    <w:rsid w:val="583A47AF"/>
    <w:rsid w:val="584C0BBF"/>
    <w:rsid w:val="584E797B"/>
    <w:rsid w:val="5859041B"/>
    <w:rsid w:val="58672BB4"/>
    <w:rsid w:val="5873292C"/>
    <w:rsid w:val="5873652B"/>
    <w:rsid w:val="58931E54"/>
    <w:rsid w:val="58DF6CF4"/>
    <w:rsid w:val="58E03968"/>
    <w:rsid w:val="58E8648D"/>
    <w:rsid w:val="5904132B"/>
    <w:rsid w:val="590E0C2E"/>
    <w:rsid w:val="59140D7B"/>
    <w:rsid w:val="59157827"/>
    <w:rsid w:val="594400A5"/>
    <w:rsid w:val="59460EC7"/>
    <w:rsid w:val="59607984"/>
    <w:rsid w:val="59690229"/>
    <w:rsid w:val="59C90336"/>
    <w:rsid w:val="59C90F05"/>
    <w:rsid w:val="59FE713F"/>
    <w:rsid w:val="5A253D84"/>
    <w:rsid w:val="5A373203"/>
    <w:rsid w:val="5A5067F1"/>
    <w:rsid w:val="5A627911"/>
    <w:rsid w:val="5A714508"/>
    <w:rsid w:val="5A9410D3"/>
    <w:rsid w:val="5AB23A35"/>
    <w:rsid w:val="5ABE7F94"/>
    <w:rsid w:val="5ACB0186"/>
    <w:rsid w:val="5AF413B3"/>
    <w:rsid w:val="5B4F7AA0"/>
    <w:rsid w:val="5B626C4D"/>
    <w:rsid w:val="5BAF7D8F"/>
    <w:rsid w:val="5BB138F1"/>
    <w:rsid w:val="5BC70493"/>
    <w:rsid w:val="5BFE0C9C"/>
    <w:rsid w:val="5C0A42B8"/>
    <w:rsid w:val="5C1217C2"/>
    <w:rsid w:val="5C2A1A4D"/>
    <w:rsid w:val="5C3914B8"/>
    <w:rsid w:val="5C3D5CC4"/>
    <w:rsid w:val="5C4E54B1"/>
    <w:rsid w:val="5C6D0018"/>
    <w:rsid w:val="5C6D68F5"/>
    <w:rsid w:val="5C742D4E"/>
    <w:rsid w:val="5C745D60"/>
    <w:rsid w:val="5C85755D"/>
    <w:rsid w:val="5C92580C"/>
    <w:rsid w:val="5CB6092F"/>
    <w:rsid w:val="5CC15027"/>
    <w:rsid w:val="5CC31C52"/>
    <w:rsid w:val="5CDF74D3"/>
    <w:rsid w:val="5CF11A9B"/>
    <w:rsid w:val="5D0C33C2"/>
    <w:rsid w:val="5D0E0ECC"/>
    <w:rsid w:val="5D2D6E4A"/>
    <w:rsid w:val="5D5E2D63"/>
    <w:rsid w:val="5D7647EC"/>
    <w:rsid w:val="5D8B40D2"/>
    <w:rsid w:val="5DBA1FF8"/>
    <w:rsid w:val="5DDA134A"/>
    <w:rsid w:val="5DF82171"/>
    <w:rsid w:val="5DF86BCD"/>
    <w:rsid w:val="5E10717F"/>
    <w:rsid w:val="5E1D3725"/>
    <w:rsid w:val="5E237736"/>
    <w:rsid w:val="5E2F6DB1"/>
    <w:rsid w:val="5E37668B"/>
    <w:rsid w:val="5E376CEF"/>
    <w:rsid w:val="5E5D3F88"/>
    <w:rsid w:val="5E72278A"/>
    <w:rsid w:val="5E8A597E"/>
    <w:rsid w:val="5E934598"/>
    <w:rsid w:val="5E9831FA"/>
    <w:rsid w:val="5E9C51FA"/>
    <w:rsid w:val="5EA92E3C"/>
    <w:rsid w:val="5EAD2CA1"/>
    <w:rsid w:val="5EB05373"/>
    <w:rsid w:val="5EC42D73"/>
    <w:rsid w:val="5EC83734"/>
    <w:rsid w:val="5ED54C52"/>
    <w:rsid w:val="5EDB68D8"/>
    <w:rsid w:val="5EEA3619"/>
    <w:rsid w:val="5EEB67F5"/>
    <w:rsid w:val="5F1A0E03"/>
    <w:rsid w:val="5F673996"/>
    <w:rsid w:val="5F6C7E07"/>
    <w:rsid w:val="5F8D694D"/>
    <w:rsid w:val="5F92436A"/>
    <w:rsid w:val="5FA460C1"/>
    <w:rsid w:val="5FD6156C"/>
    <w:rsid w:val="5FF03171"/>
    <w:rsid w:val="5FFB6D6D"/>
    <w:rsid w:val="5FFD6810"/>
    <w:rsid w:val="602639EB"/>
    <w:rsid w:val="605B7944"/>
    <w:rsid w:val="6083613C"/>
    <w:rsid w:val="608B7F4C"/>
    <w:rsid w:val="60AA7134"/>
    <w:rsid w:val="60B53C44"/>
    <w:rsid w:val="60C15DA6"/>
    <w:rsid w:val="60C346C6"/>
    <w:rsid w:val="60C73328"/>
    <w:rsid w:val="60DE20BE"/>
    <w:rsid w:val="6114072B"/>
    <w:rsid w:val="61141727"/>
    <w:rsid w:val="611B34F2"/>
    <w:rsid w:val="61772D97"/>
    <w:rsid w:val="618B5FF0"/>
    <w:rsid w:val="61AE54DF"/>
    <w:rsid w:val="61CA25E5"/>
    <w:rsid w:val="61D41829"/>
    <w:rsid w:val="61F44112"/>
    <w:rsid w:val="621252F9"/>
    <w:rsid w:val="62135B16"/>
    <w:rsid w:val="621B07EB"/>
    <w:rsid w:val="622F2694"/>
    <w:rsid w:val="623C05D3"/>
    <w:rsid w:val="624C6C85"/>
    <w:rsid w:val="625E1FC6"/>
    <w:rsid w:val="627929C4"/>
    <w:rsid w:val="62BF011F"/>
    <w:rsid w:val="62C5385C"/>
    <w:rsid w:val="62D85787"/>
    <w:rsid w:val="62E321F7"/>
    <w:rsid w:val="630048F7"/>
    <w:rsid w:val="63073F31"/>
    <w:rsid w:val="631E2930"/>
    <w:rsid w:val="63215DB8"/>
    <w:rsid w:val="632757F0"/>
    <w:rsid w:val="63336BC0"/>
    <w:rsid w:val="63547409"/>
    <w:rsid w:val="638D5D5E"/>
    <w:rsid w:val="63A70DBC"/>
    <w:rsid w:val="63AC4DA8"/>
    <w:rsid w:val="63AF32C8"/>
    <w:rsid w:val="63B77B8E"/>
    <w:rsid w:val="63D56C3E"/>
    <w:rsid w:val="63ED11F8"/>
    <w:rsid w:val="63ED6B3F"/>
    <w:rsid w:val="63FF7DC2"/>
    <w:rsid w:val="643F33B0"/>
    <w:rsid w:val="645079A9"/>
    <w:rsid w:val="646B3905"/>
    <w:rsid w:val="648E77F2"/>
    <w:rsid w:val="64AC27F4"/>
    <w:rsid w:val="64B73319"/>
    <w:rsid w:val="64BE130D"/>
    <w:rsid w:val="64CD1D3D"/>
    <w:rsid w:val="64D2164A"/>
    <w:rsid w:val="64D7639E"/>
    <w:rsid w:val="64E2322E"/>
    <w:rsid w:val="64F31C39"/>
    <w:rsid w:val="650A4AEB"/>
    <w:rsid w:val="65345327"/>
    <w:rsid w:val="655468AC"/>
    <w:rsid w:val="657A15ED"/>
    <w:rsid w:val="65805A36"/>
    <w:rsid w:val="65A97907"/>
    <w:rsid w:val="65B253BE"/>
    <w:rsid w:val="65BA0E94"/>
    <w:rsid w:val="65CA4FC0"/>
    <w:rsid w:val="65CD1FFB"/>
    <w:rsid w:val="66201F65"/>
    <w:rsid w:val="66245CA6"/>
    <w:rsid w:val="662957AB"/>
    <w:rsid w:val="66337F02"/>
    <w:rsid w:val="664A40EA"/>
    <w:rsid w:val="665F6012"/>
    <w:rsid w:val="666E595E"/>
    <w:rsid w:val="66805BFE"/>
    <w:rsid w:val="668F7750"/>
    <w:rsid w:val="669E173D"/>
    <w:rsid w:val="66AF6415"/>
    <w:rsid w:val="66BB152A"/>
    <w:rsid w:val="66E57CF1"/>
    <w:rsid w:val="66F70374"/>
    <w:rsid w:val="66F76678"/>
    <w:rsid w:val="67372FC6"/>
    <w:rsid w:val="673B133C"/>
    <w:rsid w:val="674003AF"/>
    <w:rsid w:val="67524CAD"/>
    <w:rsid w:val="679E4E5F"/>
    <w:rsid w:val="67C96E71"/>
    <w:rsid w:val="67D300C8"/>
    <w:rsid w:val="67D7562A"/>
    <w:rsid w:val="67E23207"/>
    <w:rsid w:val="67FA2386"/>
    <w:rsid w:val="67FE0233"/>
    <w:rsid w:val="68000823"/>
    <w:rsid w:val="681D6E95"/>
    <w:rsid w:val="682F61EE"/>
    <w:rsid w:val="68375D1F"/>
    <w:rsid w:val="683B79AA"/>
    <w:rsid w:val="68473B97"/>
    <w:rsid w:val="68562FF8"/>
    <w:rsid w:val="685F3FB9"/>
    <w:rsid w:val="686A16ED"/>
    <w:rsid w:val="686A66D5"/>
    <w:rsid w:val="6878082B"/>
    <w:rsid w:val="68846E47"/>
    <w:rsid w:val="68B612EC"/>
    <w:rsid w:val="68E66D01"/>
    <w:rsid w:val="68ED0667"/>
    <w:rsid w:val="68F10571"/>
    <w:rsid w:val="68F91A48"/>
    <w:rsid w:val="690C67EE"/>
    <w:rsid w:val="692B0CE1"/>
    <w:rsid w:val="693C1BAD"/>
    <w:rsid w:val="6940506E"/>
    <w:rsid w:val="696B4C9B"/>
    <w:rsid w:val="69736867"/>
    <w:rsid w:val="6976424E"/>
    <w:rsid w:val="69817E23"/>
    <w:rsid w:val="698A6DB7"/>
    <w:rsid w:val="69A82A1A"/>
    <w:rsid w:val="69D01D88"/>
    <w:rsid w:val="69D4639F"/>
    <w:rsid w:val="69D6003B"/>
    <w:rsid w:val="69E03B31"/>
    <w:rsid w:val="69F8671F"/>
    <w:rsid w:val="6A1560B0"/>
    <w:rsid w:val="6A160FCF"/>
    <w:rsid w:val="6A296146"/>
    <w:rsid w:val="6A4A372D"/>
    <w:rsid w:val="6A672BA9"/>
    <w:rsid w:val="6A6B5CA5"/>
    <w:rsid w:val="6A8F72B9"/>
    <w:rsid w:val="6AAB7F50"/>
    <w:rsid w:val="6ADF4302"/>
    <w:rsid w:val="6AF20FCD"/>
    <w:rsid w:val="6B1E05E1"/>
    <w:rsid w:val="6B2B6D43"/>
    <w:rsid w:val="6B4D2D1E"/>
    <w:rsid w:val="6B616392"/>
    <w:rsid w:val="6B680CE2"/>
    <w:rsid w:val="6B7328FB"/>
    <w:rsid w:val="6B8B5E49"/>
    <w:rsid w:val="6BAB51D2"/>
    <w:rsid w:val="6BAC241B"/>
    <w:rsid w:val="6BB46349"/>
    <w:rsid w:val="6BCB23F3"/>
    <w:rsid w:val="6BD34375"/>
    <w:rsid w:val="6BE11D5A"/>
    <w:rsid w:val="6BE95496"/>
    <w:rsid w:val="6C0C13AB"/>
    <w:rsid w:val="6C265126"/>
    <w:rsid w:val="6C310293"/>
    <w:rsid w:val="6C36790B"/>
    <w:rsid w:val="6C4B3866"/>
    <w:rsid w:val="6C4D78EB"/>
    <w:rsid w:val="6C56631C"/>
    <w:rsid w:val="6C5D7FE5"/>
    <w:rsid w:val="6C605B1A"/>
    <w:rsid w:val="6C6A638C"/>
    <w:rsid w:val="6C6F668D"/>
    <w:rsid w:val="6CC90D79"/>
    <w:rsid w:val="6CF16C16"/>
    <w:rsid w:val="6CFB1EF1"/>
    <w:rsid w:val="6D2946C3"/>
    <w:rsid w:val="6D2F163C"/>
    <w:rsid w:val="6D476E8B"/>
    <w:rsid w:val="6D6C728C"/>
    <w:rsid w:val="6D8E1555"/>
    <w:rsid w:val="6D9956BA"/>
    <w:rsid w:val="6DBE07CC"/>
    <w:rsid w:val="6DEF6367"/>
    <w:rsid w:val="6DFC351E"/>
    <w:rsid w:val="6E11786B"/>
    <w:rsid w:val="6E3B25BF"/>
    <w:rsid w:val="6E591893"/>
    <w:rsid w:val="6E625129"/>
    <w:rsid w:val="6E673517"/>
    <w:rsid w:val="6E797B45"/>
    <w:rsid w:val="6E861323"/>
    <w:rsid w:val="6EA16987"/>
    <w:rsid w:val="6EB46F69"/>
    <w:rsid w:val="6EBB4060"/>
    <w:rsid w:val="6ED8510E"/>
    <w:rsid w:val="6EE75D65"/>
    <w:rsid w:val="6EE97B42"/>
    <w:rsid w:val="6F15644C"/>
    <w:rsid w:val="6F39582E"/>
    <w:rsid w:val="6F3A6A92"/>
    <w:rsid w:val="6F3C3B7C"/>
    <w:rsid w:val="6F484143"/>
    <w:rsid w:val="6F574271"/>
    <w:rsid w:val="6F646EB9"/>
    <w:rsid w:val="6F6928C9"/>
    <w:rsid w:val="6F750F26"/>
    <w:rsid w:val="6F7B72E9"/>
    <w:rsid w:val="6F8445D4"/>
    <w:rsid w:val="6F8D5C1A"/>
    <w:rsid w:val="6F8E342E"/>
    <w:rsid w:val="6F961648"/>
    <w:rsid w:val="6F9F7B1B"/>
    <w:rsid w:val="6FA77CDB"/>
    <w:rsid w:val="6FA8133A"/>
    <w:rsid w:val="6FAE4177"/>
    <w:rsid w:val="6FD27139"/>
    <w:rsid w:val="6FD81DDF"/>
    <w:rsid w:val="6FE61C8B"/>
    <w:rsid w:val="6FE74965"/>
    <w:rsid w:val="70080E80"/>
    <w:rsid w:val="70134CBF"/>
    <w:rsid w:val="70285FE2"/>
    <w:rsid w:val="702A7B0E"/>
    <w:rsid w:val="70452F15"/>
    <w:rsid w:val="70476D69"/>
    <w:rsid w:val="708D0DF8"/>
    <w:rsid w:val="709C52BB"/>
    <w:rsid w:val="70A93F1E"/>
    <w:rsid w:val="70AF6013"/>
    <w:rsid w:val="70CD029B"/>
    <w:rsid w:val="70CD2B48"/>
    <w:rsid w:val="70E90B8E"/>
    <w:rsid w:val="71020B5A"/>
    <w:rsid w:val="71126EE7"/>
    <w:rsid w:val="715375BE"/>
    <w:rsid w:val="715C67EB"/>
    <w:rsid w:val="715F49B2"/>
    <w:rsid w:val="71654E27"/>
    <w:rsid w:val="71810CC4"/>
    <w:rsid w:val="719E73CE"/>
    <w:rsid w:val="71A51FDD"/>
    <w:rsid w:val="71CD74AD"/>
    <w:rsid w:val="71DB5896"/>
    <w:rsid w:val="71EB29BB"/>
    <w:rsid w:val="71F374CF"/>
    <w:rsid w:val="71F4386B"/>
    <w:rsid w:val="71F6500C"/>
    <w:rsid w:val="722D47DE"/>
    <w:rsid w:val="728A6DA0"/>
    <w:rsid w:val="72AB1549"/>
    <w:rsid w:val="72BB70AC"/>
    <w:rsid w:val="72BD78D0"/>
    <w:rsid w:val="72D4750A"/>
    <w:rsid w:val="72E635FD"/>
    <w:rsid w:val="72EA15D0"/>
    <w:rsid w:val="72FD2EE5"/>
    <w:rsid w:val="734642F2"/>
    <w:rsid w:val="73711D4E"/>
    <w:rsid w:val="73726E8C"/>
    <w:rsid w:val="737E24ED"/>
    <w:rsid w:val="738E0060"/>
    <w:rsid w:val="73A86E9D"/>
    <w:rsid w:val="73BC6E43"/>
    <w:rsid w:val="73C321E9"/>
    <w:rsid w:val="73E50248"/>
    <w:rsid w:val="73EA59BF"/>
    <w:rsid w:val="73F11310"/>
    <w:rsid w:val="73F73D92"/>
    <w:rsid w:val="73F91DCB"/>
    <w:rsid w:val="740404D7"/>
    <w:rsid w:val="740B510B"/>
    <w:rsid w:val="740C644E"/>
    <w:rsid w:val="74203020"/>
    <w:rsid w:val="742D239C"/>
    <w:rsid w:val="7453743F"/>
    <w:rsid w:val="74553541"/>
    <w:rsid w:val="745820EF"/>
    <w:rsid w:val="746E0B9D"/>
    <w:rsid w:val="7498670A"/>
    <w:rsid w:val="74BB5AAD"/>
    <w:rsid w:val="74D245D5"/>
    <w:rsid w:val="74E22636"/>
    <w:rsid w:val="74ED3C54"/>
    <w:rsid w:val="74EE3F86"/>
    <w:rsid w:val="75117886"/>
    <w:rsid w:val="75123A60"/>
    <w:rsid w:val="753005DD"/>
    <w:rsid w:val="75323B0D"/>
    <w:rsid w:val="757249B5"/>
    <w:rsid w:val="757C043C"/>
    <w:rsid w:val="757C6686"/>
    <w:rsid w:val="758E41A2"/>
    <w:rsid w:val="759662D4"/>
    <w:rsid w:val="759B0154"/>
    <w:rsid w:val="75A546BA"/>
    <w:rsid w:val="75B3517B"/>
    <w:rsid w:val="75CD0477"/>
    <w:rsid w:val="75D21B75"/>
    <w:rsid w:val="76134845"/>
    <w:rsid w:val="761D6823"/>
    <w:rsid w:val="76250430"/>
    <w:rsid w:val="763079A3"/>
    <w:rsid w:val="763922F4"/>
    <w:rsid w:val="765C03DD"/>
    <w:rsid w:val="76612204"/>
    <w:rsid w:val="76707EB7"/>
    <w:rsid w:val="76984F8A"/>
    <w:rsid w:val="76B45A88"/>
    <w:rsid w:val="76F611C4"/>
    <w:rsid w:val="76F8399D"/>
    <w:rsid w:val="77022A79"/>
    <w:rsid w:val="770515F7"/>
    <w:rsid w:val="772B7670"/>
    <w:rsid w:val="77456278"/>
    <w:rsid w:val="77464D68"/>
    <w:rsid w:val="774B075C"/>
    <w:rsid w:val="7758241E"/>
    <w:rsid w:val="77896DD2"/>
    <w:rsid w:val="77DBFCAF"/>
    <w:rsid w:val="77E258C0"/>
    <w:rsid w:val="782A7F03"/>
    <w:rsid w:val="782B2AD6"/>
    <w:rsid w:val="786C53A0"/>
    <w:rsid w:val="78864E9F"/>
    <w:rsid w:val="788A655B"/>
    <w:rsid w:val="789E77EF"/>
    <w:rsid w:val="78D95F92"/>
    <w:rsid w:val="78EB0EF7"/>
    <w:rsid w:val="7915488B"/>
    <w:rsid w:val="7915744F"/>
    <w:rsid w:val="794E4E6A"/>
    <w:rsid w:val="795B5726"/>
    <w:rsid w:val="79616DC4"/>
    <w:rsid w:val="798A6BA5"/>
    <w:rsid w:val="79A556AC"/>
    <w:rsid w:val="79AD56ED"/>
    <w:rsid w:val="79D85821"/>
    <w:rsid w:val="79E820BE"/>
    <w:rsid w:val="79E86ADE"/>
    <w:rsid w:val="7A00183D"/>
    <w:rsid w:val="7A2F2AFC"/>
    <w:rsid w:val="7A350CD5"/>
    <w:rsid w:val="7A6F0054"/>
    <w:rsid w:val="7A8077B5"/>
    <w:rsid w:val="7A862644"/>
    <w:rsid w:val="7AAC706E"/>
    <w:rsid w:val="7AB11447"/>
    <w:rsid w:val="7ACA2693"/>
    <w:rsid w:val="7AD24BE3"/>
    <w:rsid w:val="7AD63356"/>
    <w:rsid w:val="7B050FC0"/>
    <w:rsid w:val="7B312E12"/>
    <w:rsid w:val="7B331A90"/>
    <w:rsid w:val="7B4128F5"/>
    <w:rsid w:val="7B465735"/>
    <w:rsid w:val="7B4941F8"/>
    <w:rsid w:val="7B4A6DF8"/>
    <w:rsid w:val="7B58415C"/>
    <w:rsid w:val="7B681A01"/>
    <w:rsid w:val="7B86410F"/>
    <w:rsid w:val="7BBA5FD0"/>
    <w:rsid w:val="7BBB5C6C"/>
    <w:rsid w:val="7BD3539E"/>
    <w:rsid w:val="7BED32DA"/>
    <w:rsid w:val="7C05253D"/>
    <w:rsid w:val="7C084C50"/>
    <w:rsid w:val="7C47478B"/>
    <w:rsid w:val="7C4A5490"/>
    <w:rsid w:val="7C5B4776"/>
    <w:rsid w:val="7C8C2616"/>
    <w:rsid w:val="7CAB2C74"/>
    <w:rsid w:val="7CB42860"/>
    <w:rsid w:val="7CD952B1"/>
    <w:rsid w:val="7CDA532F"/>
    <w:rsid w:val="7CE3443B"/>
    <w:rsid w:val="7D021F92"/>
    <w:rsid w:val="7D212F91"/>
    <w:rsid w:val="7D37215D"/>
    <w:rsid w:val="7D5C0643"/>
    <w:rsid w:val="7D6E6A68"/>
    <w:rsid w:val="7D88677C"/>
    <w:rsid w:val="7D903623"/>
    <w:rsid w:val="7D9A1723"/>
    <w:rsid w:val="7DAD12DF"/>
    <w:rsid w:val="7DB84766"/>
    <w:rsid w:val="7DD915D5"/>
    <w:rsid w:val="7DEC38E8"/>
    <w:rsid w:val="7DF40E0E"/>
    <w:rsid w:val="7E0E5A2A"/>
    <w:rsid w:val="7E6E2E4D"/>
    <w:rsid w:val="7E7A235B"/>
    <w:rsid w:val="7E7F4BEA"/>
    <w:rsid w:val="7E856CF5"/>
    <w:rsid w:val="7E8752B0"/>
    <w:rsid w:val="7E910CD8"/>
    <w:rsid w:val="7E9967EA"/>
    <w:rsid w:val="7EAB03F1"/>
    <w:rsid w:val="7EBA4C74"/>
    <w:rsid w:val="7EBE6F11"/>
    <w:rsid w:val="7EC40A46"/>
    <w:rsid w:val="7EC85D6B"/>
    <w:rsid w:val="7EC95833"/>
    <w:rsid w:val="7ECF2DCE"/>
    <w:rsid w:val="7ED42BA3"/>
    <w:rsid w:val="7ED50F55"/>
    <w:rsid w:val="7EDF4CAE"/>
    <w:rsid w:val="7EE30DF1"/>
    <w:rsid w:val="7EFB6855"/>
    <w:rsid w:val="7F0F24D4"/>
    <w:rsid w:val="7F0F3D01"/>
    <w:rsid w:val="7F340A37"/>
    <w:rsid w:val="7F3E07E0"/>
    <w:rsid w:val="7F3E7420"/>
    <w:rsid w:val="7F614BA1"/>
    <w:rsid w:val="7F833D8D"/>
    <w:rsid w:val="7F893606"/>
    <w:rsid w:val="7F95080F"/>
    <w:rsid w:val="7F9F5E54"/>
    <w:rsid w:val="7FAC6814"/>
    <w:rsid w:val="7FBB5F7E"/>
    <w:rsid w:val="7FD05443"/>
    <w:rsid w:val="7FD07896"/>
    <w:rsid w:val="7FE02A32"/>
    <w:rsid w:val="7FF312E8"/>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8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Document Map"/>
    <w:basedOn w:val="1"/>
    <w:link w:val="73"/>
    <w:qFormat/>
    <w:uiPriority w:val="0"/>
    <w:rPr>
      <w:rFonts w:ascii="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79"/>
    <w:qFormat/>
    <w:uiPriority w:val="99"/>
    <w:pPr>
      <w:jc w:val="left"/>
    </w:pPr>
  </w:style>
  <w:style w:type="paragraph" w:styleId="11">
    <w:name w:val="Body Text"/>
    <w:basedOn w:val="1"/>
    <w:next w:val="1"/>
    <w:link w:val="78"/>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7"/>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4"/>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70"/>
    <w:qFormat/>
    <w:uiPriority w:val="0"/>
    <w:rPr>
      <w:sz w:val="18"/>
      <w:szCs w:val="18"/>
    </w:rPr>
  </w:style>
  <w:style w:type="paragraph" w:styleId="21">
    <w:name w:val="footer"/>
    <w:basedOn w:val="1"/>
    <w:link w:val="6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99"/>
    <w:pPr>
      <w:ind w:left="200" w:hanging="200" w:hangingChars="200"/>
      <w:jc w:val="both"/>
    </w:pPr>
    <w:rPr>
      <w:rFonts w:ascii="Times New Roman" w:hAnsi="Times New Roman"/>
      <w:kern w:val="2"/>
      <w:sz w:val="21"/>
      <w:szCs w:val="20"/>
      <w:lang w:eastAsia="zh-CN"/>
    </w:rPr>
  </w:style>
  <w:style w:type="paragraph" w:styleId="26">
    <w:name w:val="footnote text"/>
    <w:basedOn w:val="1"/>
    <w:qFormat/>
    <w:uiPriority w:val="0"/>
    <w:pPr>
      <w:snapToGrid w:val="0"/>
      <w:jc w:val="left"/>
    </w:pPr>
    <w:rPr>
      <w:sz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unhideWhenUsed/>
    <w:qFormat/>
    <w:uiPriority w:val="99"/>
    <w:rPr>
      <w:sz w:val="24"/>
    </w:rPr>
  </w:style>
  <w:style w:type="paragraph" w:styleId="33">
    <w:name w:val="index 1"/>
    <w:basedOn w:val="1"/>
    <w:next w:val="1"/>
    <w:semiHidden/>
    <w:qFormat/>
    <w:uiPriority w:val="0"/>
    <w:rPr>
      <w:szCs w:val="20"/>
    </w:rPr>
  </w:style>
  <w:style w:type="paragraph" w:styleId="34">
    <w:name w:val="annotation subject"/>
    <w:basedOn w:val="10"/>
    <w:next w:val="10"/>
    <w:link w:val="80"/>
    <w:qFormat/>
    <w:uiPriority w:val="0"/>
    <w:rPr>
      <w:b/>
      <w:bCs/>
    </w:rPr>
  </w:style>
  <w:style w:type="paragraph" w:styleId="35">
    <w:name w:val="Body Text First Indent"/>
    <w:basedOn w:val="11"/>
    <w:next w:val="1"/>
    <w:qFormat/>
    <w:uiPriority w:val="0"/>
    <w:pPr>
      <w:ind w:firstLine="420" w:firstLineChars="100"/>
    </w:pPr>
  </w:style>
  <w:style w:type="paragraph" w:styleId="36">
    <w:name w:val="Body Text First Indent 2"/>
    <w:basedOn w:val="12"/>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列出段落1"/>
    <w:basedOn w:val="1"/>
    <w:qFormat/>
    <w:uiPriority w:val="34"/>
    <w:pPr>
      <w:widowControl/>
      <w:ind w:firstLine="420" w:firstLineChars="200"/>
      <w:jc w:val="left"/>
    </w:pPr>
    <w:rPr>
      <w:kern w:val="0"/>
      <w:sz w:val="24"/>
    </w:rPr>
  </w:style>
  <w:style w:type="paragraph" w:customStyle="1" w:styleId="47">
    <w:name w:val="列出段落11"/>
    <w:basedOn w:val="1"/>
    <w:next w:val="46"/>
    <w:qFormat/>
    <w:uiPriority w:val="34"/>
    <w:pPr>
      <w:widowControl/>
      <w:ind w:firstLine="420" w:firstLineChars="200"/>
      <w:jc w:val="left"/>
    </w:pPr>
    <w:rPr>
      <w:rFonts w:ascii="宋体" w:hAnsi="宋体" w:cs="宋体"/>
      <w:kern w:val="0"/>
      <w:sz w:val="24"/>
    </w:rPr>
  </w:style>
  <w:style w:type="paragraph" w:customStyle="1" w:styleId="48">
    <w:name w:val="List Paragraph1"/>
    <w:basedOn w:val="1"/>
    <w:qFormat/>
    <w:uiPriority w:val="34"/>
    <w:pPr>
      <w:ind w:firstLine="420" w:firstLineChars="200"/>
    </w:pPr>
  </w:style>
  <w:style w:type="paragraph" w:customStyle="1" w:styleId="49">
    <w:name w:val="Table Paragraph"/>
    <w:basedOn w:val="1"/>
    <w:qFormat/>
    <w:uiPriority w:val="1"/>
    <w:pPr>
      <w:widowControl/>
      <w:jc w:val="left"/>
    </w:pPr>
    <w:rPr>
      <w:rFonts w:ascii="宋体" w:hAnsi="宋体" w:cs="宋体"/>
      <w:kern w:val="0"/>
      <w:szCs w:val="20"/>
      <w:lang w:val="zh-CN" w:bidi="zh-CN"/>
    </w:rPr>
  </w:style>
  <w:style w:type="paragraph" w:customStyle="1" w:styleId="50">
    <w:name w:val="p0"/>
    <w:basedOn w:val="1"/>
    <w:qFormat/>
    <w:uiPriority w:val="0"/>
    <w:pPr>
      <w:widowControl/>
    </w:pPr>
    <w:rPr>
      <w:kern w:val="0"/>
      <w:szCs w:val="21"/>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3">
    <w:name w:val="正文段"/>
    <w:basedOn w:val="1"/>
    <w:qFormat/>
    <w:uiPriority w:val="0"/>
    <w:pPr>
      <w:widowControl/>
      <w:snapToGrid w:val="0"/>
      <w:spacing w:afterLines="50"/>
      <w:ind w:firstLine="200" w:firstLineChars="200"/>
    </w:pPr>
    <w:rPr>
      <w:kern w:val="0"/>
      <w:sz w:val="24"/>
    </w:rPr>
  </w:style>
  <w:style w:type="paragraph" w:customStyle="1" w:styleId="54">
    <w:name w:val="首行缩进"/>
    <w:basedOn w:val="1"/>
    <w:qFormat/>
    <w:uiPriority w:val="0"/>
    <w:pPr>
      <w:ind w:firstLine="480" w:firstLineChars="200"/>
    </w:pPr>
    <w:rPr>
      <w:lang w:val="zh-CN"/>
    </w:rPr>
  </w:style>
  <w:style w:type="paragraph" w:customStyle="1" w:styleId="55">
    <w:name w:val="纯文本1"/>
    <w:basedOn w:val="1"/>
    <w:link w:val="71"/>
    <w:qFormat/>
    <w:uiPriority w:val="0"/>
    <w:rPr>
      <w:rFonts w:ascii="宋体" w:hAnsi="Courier New"/>
      <w:kern w:val="0"/>
      <w:sz w:val="20"/>
      <w:szCs w:val="20"/>
    </w:rPr>
  </w:style>
  <w:style w:type="paragraph" w:customStyle="1" w:styleId="56">
    <w:name w:val="Char"/>
    <w:basedOn w:val="1"/>
    <w:qFormat/>
    <w:uiPriority w:val="0"/>
    <w:pPr>
      <w:tabs>
        <w:tab w:val="left" w:pos="360"/>
      </w:tabs>
    </w:pPr>
    <w:rPr>
      <w:sz w:val="24"/>
    </w:rPr>
  </w:style>
  <w:style w:type="paragraph" w:customStyle="1" w:styleId="57">
    <w:name w:val="正文缩进1"/>
    <w:basedOn w:val="1"/>
    <w:link w:val="60"/>
    <w:qFormat/>
    <w:uiPriority w:val="0"/>
    <w:pPr>
      <w:autoSpaceDE w:val="0"/>
      <w:autoSpaceDN w:val="0"/>
      <w:adjustRightInd w:val="0"/>
      <w:ind w:firstLine="420"/>
      <w:jc w:val="left"/>
    </w:pPr>
    <w:rPr>
      <w:rFonts w:ascii="宋体"/>
      <w:kern w:val="0"/>
      <w:sz w:val="24"/>
      <w:szCs w:val="20"/>
    </w:rPr>
  </w:style>
  <w:style w:type="paragraph" w:customStyle="1" w:styleId="5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9">
    <w:name w:val="font91"/>
    <w:basedOn w:val="39"/>
    <w:qFormat/>
    <w:uiPriority w:val="0"/>
    <w:rPr>
      <w:rFonts w:hint="eastAsia" w:ascii="宋体" w:hAnsi="宋体" w:eastAsia="宋体" w:cs="宋体"/>
      <w:color w:val="000000"/>
      <w:sz w:val="20"/>
      <w:szCs w:val="20"/>
      <w:u w:val="none"/>
      <w:vertAlign w:val="subscript"/>
    </w:rPr>
  </w:style>
  <w:style w:type="character" w:customStyle="1" w:styleId="60">
    <w:name w:val="正文缩进 Char1"/>
    <w:link w:val="57"/>
    <w:qFormat/>
    <w:uiPriority w:val="0"/>
    <w:rPr>
      <w:rFonts w:ascii="宋体"/>
      <w:sz w:val="24"/>
    </w:rPr>
  </w:style>
  <w:style w:type="character" w:customStyle="1" w:styleId="61">
    <w:name w:val="批注主题 Char1"/>
    <w:semiHidden/>
    <w:qFormat/>
    <w:uiPriority w:val="99"/>
    <w:rPr>
      <w:b/>
      <w:bCs/>
      <w:kern w:val="2"/>
      <w:sz w:val="21"/>
      <w:szCs w:val="24"/>
    </w:rPr>
  </w:style>
  <w:style w:type="character" w:customStyle="1" w:styleId="62">
    <w:name w:val="font31"/>
    <w:basedOn w:val="39"/>
    <w:qFormat/>
    <w:uiPriority w:val="0"/>
    <w:rPr>
      <w:rFonts w:hint="eastAsia" w:ascii="宋体" w:hAnsi="宋体" w:eastAsia="宋体" w:cs="宋体"/>
      <w:color w:val="404040"/>
      <w:sz w:val="20"/>
      <w:szCs w:val="20"/>
      <w:u w:val="none"/>
    </w:rPr>
  </w:style>
  <w:style w:type="character" w:customStyle="1" w:styleId="63">
    <w:name w:val="font61"/>
    <w:basedOn w:val="39"/>
    <w:qFormat/>
    <w:uiPriority w:val="0"/>
    <w:rPr>
      <w:rFonts w:hint="eastAsia" w:ascii="宋体" w:hAnsi="宋体" w:eastAsia="宋体" w:cs="宋体"/>
      <w:color w:val="333333"/>
      <w:sz w:val="20"/>
      <w:szCs w:val="20"/>
      <w:u w:val="none"/>
    </w:rPr>
  </w:style>
  <w:style w:type="character" w:customStyle="1" w:styleId="64">
    <w:name w:val="页眉 Char"/>
    <w:link w:val="22"/>
    <w:qFormat/>
    <w:uiPriority w:val="99"/>
    <w:rPr>
      <w:kern w:val="2"/>
      <w:sz w:val="18"/>
      <w:szCs w:val="18"/>
    </w:rPr>
  </w:style>
  <w:style w:type="character" w:customStyle="1" w:styleId="65">
    <w:name w:val="批注文字 Char1"/>
    <w:semiHidden/>
    <w:qFormat/>
    <w:uiPriority w:val="99"/>
    <w:rPr>
      <w:kern w:val="2"/>
      <w:sz w:val="21"/>
      <w:szCs w:val="24"/>
    </w:rPr>
  </w:style>
  <w:style w:type="character" w:customStyle="1" w:styleId="66">
    <w:name w:val="font41"/>
    <w:basedOn w:val="39"/>
    <w:qFormat/>
    <w:uiPriority w:val="0"/>
    <w:rPr>
      <w:rFonts w:hint="eastAsia" w:ascii="宋体" w:hAnsi="宋体" w:eastAsia="宋体" w:cs="宋体"/>
      <w:color w:val="000000"/>
      <w:sz w:val="20"/>
      <w:szCs w:val="20"/>
      <w:u w:val="none"/>
    </w:rPr>
  </w:style>
  <w:style w:type="character" w:customStyle="1" w:styleId="67">
    <w:name w:val="页脚 Char"/>
    <w:link w:val="21"/>
    <w:qFormat/>
    <w:uiPriority w:val="99"/>
    <w:rPr>
      <w:rFonts w:ascii="宋体"/>
      <w:sz w:val="18"/>
    </w:rPr>
  </w:style>
  <w:style w:type="character" w:customStyle="1" w:styleId="68">
    <w:name w:val="font101"/>
    <w:basedOn w:val="39"/>
    <w:qFormat/>
    <w:uiPriority w:val="0"/>
    <w:rPr>
      <w:rFonts w:hint="eastAsia" w:ascii="宋体" w:hAnsi="宋体" w:eastAsia="宋体" w:cs="宋体"/>
      <w:color w:val="000000"/>
      <w:sz w:val="20"/>
      <w:szCs w:val="20"/>
      <w:u w:val="none"/>
    </w:rPr>
  </w:style>
  <w:style w:type="character" w:customStyle="1" w:styleId="69">
    <w:name w:val="标题 2 Char"/>
    <w:link w:val="4"/>
    <w:qFormat/>
    <w:uiPriority w:val="0"/>
    <w:rPr>
      <w:rFonts w:ascii="Arial" w:hAnsi="Arial" w:eastAsia="黑体"/>
      <w:b/>
      <w:sz w:val="30"/>
    </w:rPr>
  </w:style>
  <w:style w:type="character" w:customStyle="1" w:styleId="70">
    <w:name w:val="批注框文本 Char"/>
    <w:link w:val="20"/>
    <w:qFormat/>
    <w:uiPriority w:val="0"/>
    <w:rPr>
      <w:kern w:val="2"/>
      <w:sz w:val="18"/>
      <w:szCs w:val="18"/>
    </w:rPr>
  </w:style>
  <w:style w:type="character" w:customStyle="1" w:styleId="71">
    <w:name w:val="纯文本 Char1"/>
    <w:link w:val="55"/>
    <w:qFormat/>
    <w:uiPriority w:val="0"/>
    <w:rPr>
      <w:rFonts w:ascii="宋体" w:hAnsi="Courier New"/>
    </w:rPr>
  </w:style>
  <w:style w:type="character" w:customStyle="1" w:styleId="72">
    <w:name w:val="font81"/>
    <w:basedOn w:val="39"/>
    <w:qFormat/>
    <w:uiPriority w:val="0"/>
    <w:rPr>
      <w:rFonts w:hint="eastAsia" w:ascii="宋体" w:hAnsi="宋体" w:eastAsia="宋体" w:cs="宋体"/>
      <w:color w:val="404040"/>
      <w:sz w:val="20"/>
      <w:szCs w:val="20"/>
      <w:u w:val="none"/>
    </w:rPr>
  </w:style>
  <w:style w:type="character" w:customStyle="1" w:styleId="73">
    <w:name w:val="文档结构图 Char"/>
    <w:basedOn w:val="39"/>
    <w:link w:val="8"/>
    <w:qFormat/>
    <w:uiPriority w:val="0"/>
    <w:rPr>
      <w:rFonts w:ascii="宋体"/>
      <w:kern w:val="2"/>
      <w:sz w:val="18"/>
      <w:szCs w:val="18"/>
    </w:rPr>
  </w:style>
  <w:style w:type="character" w:customStyle="1" w:styleId="74">
    <w:name w:val="日期 Char"/>
    <w:link w:val="18"/>
    <w:qFormat/>
    <w:uiPriority w:val="0"/>
    <w:rPr>
      <w:rFonts w:ascii="仿宋_GB2312" w:hAnsi="宋体" w:eastAsia="仿宋_GB2312"/>
      <w:color w:val="000000"/>
      <w:kern w:val="2"/>
      <w:sz w:val="24"/>
      <w:szCs w:val="24"/>
    </w:rPr>
  </w:style>
  <w:style w:type="character" w:customStyle="1" w:styleId="75">
    <w:name w:val="页眉 Char1"/>
    <w:semiHidden/>
    <w:qFormat/>
    <w:uiPriority w:val="99"/>
    <w:rPr>
      <w:kern w:val="2"/>
      <w:sz w:val="18"/>
      <w:szCs w:val="18"/>
    </w:rPr>
  </w:style>
  <w:style w:type="character" w:customStyle="1" w:styleId="76">
    <w:name w:val="批注框文本 Char1"/>
    <w:semiHidden/>
    <w:qFormat/>
    <w:uiPriority w:val="99"/>
    <w:rPr>
      <w:kern w:val="2"/>
      <w:sz w:val="18"/>
      <w:szCs w:val="18"/>
    </w:rPr>
  </w:style>
  <w:style w:type="character" w:customStyle="1" w:styleId="77">
    <w:name w:val="纯文本 Char"/>
    <w:link w:val="16"/>
    <w:qFormat/>
    <w:uiPriority w:val="0"/>
    <w:rPr>
      <w:rFonts w:ascii="宋体" w:hAnsi="Courier New"/>
      <w:kern w:val="2"/>
      <w:sz w:val="21"/>
    </w:rPr>
  </w:style>
  <w:style w:type="character" w:customStyle="1" w:styleId="78">
    <w:name w:val="正文文本 Char"/>
    <w:link w:val="11"/>
    <w:qFormat/>
    <w:uiPriority w:val="0"/>
    <w:rPr>
      <w:rFonts w:ascii="宋体" w:hAnsi="宋体"/>
      <w:kern w:val="2"/>
      <w:sz w:val="24"/>
      <w:szCs w:val="24"/>
    </w:rPr>
  </w:style>
  <w:style w:type="character" w:customStyle="1" w:styleId="79">
    <w:name w:val="批注文字 Char"/>
    <w:link w:val="10"/>
    <w:qFormat/>
    <w:uiPriority w:val="99"/>
    <w:rPr>
      <w:kern w:val="2"/>
      <w:sz w:val="21"/>
      <w:szCs w:val="24"/>
    </w:rPr>
  </w:style>
  <w:style w:type="character" w:customStyle="1" w:styleId="80">
    <w:name w:val="批注主题 Char"/>
    <w:link w:val="34"/>
    <w:qFormat/>
    <w:uiPriority w:val="0"/>
    <w:rPr>
      <w:b/>
      <w:bCs/>
      <w:kern w:val="2"/>
      <w:sz w:val="21"/>
      <w:szCs w:val="24"/>
    </w:rPr>
  </w:style>
  <w:style w:type="character" w:customStyle="1" w:styleId="81">
    <w:name w:val="标题 3 Char"/>
    <w:link w:val="5"/>
    <w:qFormat/>
    <w:uiPriority w:val="0"/>
    <w:rPr>
      <w:rFonts w:ascii="宋体"/>
      <w:b/>
      <w:sz w:val="24"/>
      <w:u w:val="single"/>
    </w:rPr>
  </w:style>
  <w:style w:type="character" w:customStyle="1" w:styleId="82">
    <w:name w:val="标题 1 Char"/>
    <w:link w:val="3"/>
    <w:qFormat/>
    <w:uiPriority w:val="0"/>
    <w:rPr>
      <w:rFonts w:ascii="宋体"/>
      <w:b/>
      <w:kern w:val="44"/>
      <w:sz w:val="32"/>
    </w:rPr>
  </w:style>
  <w:style w:type="paragraph" w:styleId="83">
    <w:name w:val="List Paragraph"/>
    <w:basedOn w:val="1"/>
    <w:qFormat/>
    <w:uiPriority w:val="34"/>
    <w:pPr>
      <w:ind w:firstLine="420" w:firstLineChars="200"/>
    </w:pPr>
    <w:rPr>
      <w:rFonts w:ascii="Calibri" w:hAnsi="Calibri"/>
      <w:szCs w:val="22"/>
    </w:rPr>
  </w:style>
  <w:style w:type="paragraph" w:customStyle="1" w:styleId="8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40635</Words>
  <Characters>44464</Characters>
  <Lines>314</Lines>
  <Paragraphs>88</Paragraphs>
  <TotalTime>7</TotalTime>
  <ScaleCrop>false</ScaleCrop>
  <LinksUpToDate>false</LinksUpToDate>
  <CharactersWithSpaces>49342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无可奉告遠離就好</cp:lastModifiedBy>
  <cp:lastPrinted>2021-09-28T04:40:00Z</cp:lastPrinted>
  <dcterms:modified xsi:type="dcterms:W3CDTF">2021-09-30T10:46:10Z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94752F21B84048E5B41B95B0D955DE79</vt:lpwstr>
  </property>
</Properties>
</file>