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napToGrid w:val="0"/>
        <w:spacing w:line="360" w:lineRule="auto"/>
        <w:jc w:val="cente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t>哈巴河县政法委边境管控工作用车采购项目</w:t>
      </w:r>
    </w:p>
    <w:p>
      <w:pPr>
        <w:pStyle w:val="11"/>
        <w:adjustRightInd w:val="0"/>
        <w:snapToGrid w:val="0"/>
        <w:spacing w:line="360" w:lineRule="auto"/>
        <w:jc w:val="center"/>
        <w:rPr>
          <w:rFonts w:hint="eastAsia" w:ascii="仿宋" w:hAnsi="仿宋" w:eastAsia="仿宋" w:cs="仿宋"/>
          <w:b/>
          <w:color w:val="000000" w:themeColor="text1"/>
          <w:sz w:val="48"/>
          <w:szCs w:val="48"/>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项目编号：</w:t>
      </w:r>
      <w:r>
        <w:rPr>
          <w:rFonts w:hint="eastAsia" w:ascii="仿宋" w:hAnsi="仿宋" w:eastAsia="仿宋" w:cs="仿宋"/>
          <w:b/>
          <w:bCs/>
          <w:sz w:val="32"/>
          <w:szCs w:val="32"/>
          <w:u w:val="single"/>
          <w:lang w:val="en-US" w:eastAsia="zh-CN"/>
        </w:rPr>
        <w:t>车采审【2021】1号</w:t>
      </w:r>
    </w:p>
    <w:p>
      <w:pPr>
        <w:pStyle w:val="11"/>
        <w:adjustRightInd w:val="0"/>
        <w:snapToGrid w:val="0"/>
        <w:spacing w:line="360" w:lineRule="auto"/>
        <w:jc w:val="center"/>
        <w:rPr>
          <w:rFonts w:hint="eastAsia" w:ascii="仿宋" w:hAnsi="仿宋" w:eastAsia="仿宋" w:cs="仿宋"/>
          <w:b/>
          <w:color w:val="000000" w:themeColor="text1"/>
          <w:sz w:val="48"/>
          <w:szCs w:val="48"/>
          <w:highlight w:val="none"/>
          <w:lang w:eastAsia="zh-CN"/>
          <w14:textFill>
            <w14:solidFill>
              <w14:schemeClr w14:val="tx1"/>
            </w14:solidFill>
          </w14:textFill>
        </w:rPr>
      </w:pPr>
    </w:p>
    <w:p>
      <w:pPr>
        <w:pStyle w:val="11"/>
        <w:adjustRightInd w:val="0"/>
        <w:snapToGrid w:val="0"/>
        <w:spacing w:line="360" w:lineRule="auto"/>
        <w:jc w:val="center"/>
        <w:rPr>
          <w:rFonts w:hint="eastAsia" w:ascii="仿宋" w:hAnsi="仿宋" w:eastAsia="仿宋" w:cs="仿宋"/>
          <w:b/>
          <w:color w:val="000000" w:themeColor="text1"/>
          <w:sz w:val="48"/>
          <w:szCs w:val="48"/>
          <w:highlight w:val="none"/>
          <w:lang w:eastAsia="zh-CN"/>
          <w14:textFill>
            <w14:solidFill>
              <w14:schemeClr w14:val="tx1"/>
            </w14:solidFill>
          </w14:textFill>
        </w:rPr>
      </w:pPr>
      <w:r>
        <w:rPr>
          <w:rFonts w:hint="eastAsia" w:ascii="仿宋" w:hAnsi="仿宋" w:eastAsia="仿宋" w:cs="仿宋"/>
          <w:b/>
          <w:color w:val="000000" w:themeColor="text1"/>
          <w:sz w:val="48"/>
          <w:szCs w:val="48"/>
          <w:highlight w:val="none"/>
          <w:lang w:eastAsia="zh-CN"/>
          <w14:textFill>
            <w14:solidFill>
              <w14:schemeClr w14:val="tx1"/>
            </w14:solidFill>
          </w14:textFill>
        </w:rPr>
        <w:t>竞</w:t>
      </w:r>
    </w:p>
    <w:p>
      <w:pPr>
        <w:pStyle w:val="11"/>
        <w:adjustRightInd w:val="0"/>
        <w:snapToGrid w:val="0"/>
        <w:spacing w:line="360" w:lineRule="auto"/>
        <w:jc w:val="center"/>
        <w:rPr>
          <w:rFonts w:hint="eastAsia" w:ascii="仿宋" w:hAnsi="仿宋" w:eastAsia="仿宋" w:cs="仿宋"/>
          <w:b/>
          <w:color w:val="000000" w:themeColor="text1"/>
          <w:sz w:val="48"/>
          <w:szCs w:val="48"/>
          <w:highlight w:val="none"/>
          <w:lang w:eastAsia="zh-CN"/>
          <w14:textFill>
            <w14:solidFill>
              <w14:schemeClr w14:val="tx1"/>
            </w14:solidFill>
          </w14:textFill>
        </w:rPr>
      </w:pPr>
      <w:r>
        <w:rPr>
          <w:rFonts w:hint="eastAsia" w:ascii="仿宋" w:hAnsi="仿宋" w:eastAsia="仿宋" w:cs="仿宋"/>
          <w:b/>
          <w:color w:val="000000" w:themeColor="text1"/>
          <w:sz w:val="48"/>
          <w:szCs w:val="48"/>
          <w:highlight w:val="none"/>
          <w:lang w:eastAsia="zh-CN"/>
          <w14:textFill>
            <w14:solidFill>
              <w14:schemeClr w14:val="tx1"/>
            </w14:solidFill>
          </w14:textFill>
        </w:rPr>
        <w:t>争</w:t>
      </w:r>
    </w:p>
    <w:p>
      <w:pPr>
        <w:pStyle w:val="11"/>
        <w:adjustRightInd w:val="0"/>
        <w:snapToGrid w:val="0"/>
        <w:spacing w:line="360" w:lineRule="auto"/>
        <w:jc w:val="center"/>
        <w:rPr>
          <w:rFonts w:hint="eastAsia" w:ascii="仿宋" w:hAnsi="仿宋" w:eastAsia="仿宋" w:cs="仿宋"/>
          <w:b/>
          <w:color w:val="000000" w:themeColor="text1"/>
          <w:sz w:val="48"/>
          <w:szCs w:val="48"/>
          <w:highlight w:val="none"/>
          <w:lang w:eastAsia="zh-CN"/>
          <w14:textFill>
            <w14:solidFill>
              <w14:schemeClr w14:val="tx1"/>
            </w14:solidFill>
          </w14:textFill>
        </w:rPr>
      </w:pPr>
      <w:r>
        <w:rPr>
          <w:rFonts w:hint="eastAsia" w:ascii="仿宋" w:hAnsi="仿宋" w:eastAsia="仿宋" w:cs="仿宋"/>
          <w:b/>
          <w:color w:val="000000" w:themeColor="text1"/>
          <w:sz w:val="48"/>
          <w:szCs w:val="48"/>
          <w:highlight w:val="none"/>
          <w:lang w:eastAsia="zh-CN"/>
          <w14:textFill>
            <w14:solidFill>
              <w14:schemeClr w14:val="tx1"/>
            </w14:solidFill>
          </w14:textFill>
        </w:rPr>
        <w:t>性</w:t>
      </w:r>
    </w:p>
    <w:p>
      <w:pPr>
        <w:pStyle w:val="11"/>
        <w:adjustRightInd w:val="0"/>
        <w:snapToGrid w:val="0"/>
        <w:spacing w:line="360" w:lineRule="auto"/>
        <w:jc w:val="center"/>
        <w:rPr>
          <w:rFonts w:hint="eastAsia" w:ascii="仿宋" w:hAnsi="仿宋" w:eastAsia="仿宋" w:cs="仿宋"/>
          <w:b/>
          <w:color w:val="000000" w:themeColor="text1"/>
          <w:sz w:val="48"/>
          <w:szCs w:val="48"/>
          <w:highlight w:val="none"/>
          <w:lang w:eastAsia="zh-CN"/>
          <w14:textFill>
            <w14:solidFill>
              <w14:schemeClr w14:val="tx1"/>
            </w14:solidFill>
          </w14:textFill>
        </w:rPr>
      </w:pPr>
      <w:r>
        <w:rPr>
          <w:rFonts w:hint="eastAsia" w:ascii="仿宋" w:hAnsi="仿宋" w:eastAsia="仿宋" w:cs="仿宋"/>
          <w:b/>
          <w:color w:val="000000" w:themeColor="text1"/>
          <w:sz w:val="48"/>
          <w:szCs w:val="48"/>
          <w:highlight w:val="none"/>
          <w:lang w:eastAsia="zh-CN"/>
          <w14:textFill>
            <w14:solidFill>
              <w14:schemeClr w14:val="tx1"/>
            </w14:solidFill>
          </w14:textFill>
        </w:rPr>
        <w:t>谈</w:t>
      </w:r>
    </w:p>
    <w:p>
      <w:pPr>
        <w:pStyle w:val="11"/>
        <w:adjustRightInd w:val="0"/>
        <w:snapToGrid w:val="0"/>
        <w:spacing w:line="360" w:lineRule="auto"/>
        <w:jc w:val="center"/>
        <w:rPr>
          <w:rFonts w:hint="eastAsia" w:ascii="仿宋" w:hAnsi="仿宋" w:eastAsia="仿宋" w:cs="仿宋"/>
          <w:b/>
          <w:color w:val="000000" w:themeColor="text1"/>
          <w:sz w:val="48"/>
          <w:szCs w:val="48"/>
          <w:highlight w:val="none"/>
          <w:lang w:eastAsia="zh-CN"/>
          <w14:textFill>
            <w14:solidFill>
              <w14:schemeClr w14:val="tx1"/>
            </w14:solidFill>
          </w14:textFill>
        </w:rPr>
      </w:pPr>
      <w:r>
        <w:rPr>
          <w:rFonts w:hint="eastAsia" w:ascii="仿宋" w:hAnsi="仿宋" w:eastAsia="仿宋" w:cs="仿宋"/>
          <w:b/>
          <w:color w:val="000000" w:themeColor="text1"/>
          <w:sz w:val="48"/>
          <w:szCs w:val="48"/>
          <w:highlight w:val="none"/>
          <w:lang w:eastAsia="zh-CN"/>
          <w14:textFill>
            <w14:solidFill>
              <w14:schemeClr w14:val="tx1"/>
            </w14:solidFill>
          </w14:textFill>
        </w:rPr>
        <w:t>判</w:t>
      </w:r>
    </w:p>
    <w:p>
      <w:pPr>
        <w:pStyle w:val="11"/>
        <w:adjustRightInd w:val="0"/>
        <w:snapToGrid w:val="0"/>
        <w:spacing w:line="360" w:lineRule="auto"/>
        <w:jc w:val="center"/>
        <w:rPr>
          <w:rFonts w:hint="eastAsia" w:ascii="仿宋" w:hAnsi="仿宋" w:eastAsia="仿宋" w:cs="仿宋"/>
          <w:b/>
          <w:color w:val="000000" w:themeColor="text1"/>
          <w:sz w:val="48"/>
          <w:szCs w:val="48"/>
          <w:highlight w:val="none"/>
          <w:lang w:eastAsia="zh-CN"/>
          <w14:textFill>
            <w14:solidFill>
              <w14:schemeClr w14:val="tx1"/>
            </w14:solidFill>
          </w14:textFill>
        </w:rPr>
      </w:pPr>
      <w:r>
        <w:rPr>
          <w:rFonts w:hint="eastAsia" w:ascii="仿宋" w:hAnsi="仿宋" w:eastAsia="仿宋" w:cs="仿宋"/>
          <w:b/>
          <w:color w:val="000000" w:themeColor="text1"/>
          <w:sz w:val="48"/>
          <w:szCs w:val="48"/>
          <w:highlight w:val="none"/>
          <w:lang w:eastAsia="zh-CN"/>
          <w14:textFill>
            <w14:solidFill>
              <w14:schemeClr w14:val="tx1"/>
            </w14:solidFill>
          </w14:textFill>
        </w:rPr>
        <w:t>文</w:t>
      </w:r>
    </w:p>
    <w:p>
      <w:pPr>
        <w:pStyle w:val="11"/>
        <w:adjustRightInd w:val="0"/>
        <w:snapToGrid w:val="0"/>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48"/>
          <w:szCs w:val="48"/>
          <w:highlight w:val="none"/>
          <w:lang w:eastAsia="zh-CN"/>
          <w14:textFill>
            <w14:solidFill>
              <w14:schemeClr w14:val="tx1"/>
            </w14:solidFill>
          </w14:textFill>
        </w:rPr>
        <w:t>件</w:t>
      </w:r>
    </w:p>
    <w:p>
      <w:pPr>
        <w:jc w:val="both"/>
        <w:rPr>
          <w:rFonts w:hint="eastAsia" w:ascii="仿宋" w:hAnsi="仿宋" w:eastAsia="仿宋" w:cs="仿宋"/>
          <w:b/>
          <w:bCs/>
          <w:sz w:val="30"/>
          <w:szCs w:val="30"/>
          <w:u w:val="single"/>
          <w:lang w:eastAsia="zh-CN"/>
        </w:rPr>
      </w:pPr>
      <w:r>
        <w:rPr>
          <w:rFonts w:hint="eastAsia" w:ascii="仿宋" w:hAnsi="仿宋" w:eastAsia="仿宋" w:cs="仿宋"/>
          <w:b/>
          <w:bCs/>
          <w:sz w:val="30"/>
          <w:szCs w:val="30"/>
        </w:rPr>
        <w:t>采购项目名称:</w:t>
      </w:r>
      <w:r>
        <w:rPr>
          <w:rFonts w:hint="eastAsia" w:ascii="仿宋" w:hAnsi="仿宋" w:eastAsia="仿宋" w:cs="仿宋"/>
          <w:b/>
          <w:bCs/>
          <w:sz w:val="30"/>
          <w:szCs w:val="30"/>
          <w:u w:val="single"/>
          <w:lang w:eastAsia="zh-CN"/>
        </w:rPr>
        <w:t xml:space="preserve"> </w:t>
      </w:r>
      <w:r>
        <w:rPr>
          <w:rFonts w:hint="eastAsia" w:ascii="仿宋" w:hAnsi="仿宋" w:eastAsia="仿宋" w:cs="仿宋"/>
          <w:b/>
          <w:bCs/>
          <w:sz w:val="32"/>
          <w:szCs w:val="32"/>
          <w:u w:val="single"/>
          <w:lang w:val="en-US" w:eastAsia="zh-CN"/>
        </w:rPr>
        <w:t>哈巴河县政法委边境管控工作用车采购项目</w:t>
      </w:r>
    </w:p>
    <w:p>
      <w:pPr>
        <w:widowControl/>
        <w:spacing w:line="360" w:lineRule="auto"/>
        <w:jc w:val="left"/>
        <w:rPr>
          <w:rFonts w:hint="eastAsia" w:ascii="仿宋" w:hAnsi="仿宋" w:eastAsia="仿宋" w:cs="仿宋"/>
          <w:kern w:val="0"/>
          <w:sz w:val="28"/>
          <w:szCs w:val="28"/>
        </w:rPr>
      </w:pPr>
      <w:r>
        <w:rPr>
          <w:rFonts w:hint="eastAsia" w:ascii="仿宋" w:hAnsi="仿宋" w:eastAsia="仿宋" w:cs="仿宋"/>
          <w:b/>
          <w:bCs/>
          <w:sz w:val="30"/>
          <w:szCs w:val="30"/>
        </w:rPr>
        <w:t>编号:</w:t>
      </w:r>
      <w:r>
        <w:rPr>
          <w:rFonts w:hint="eastAsia" w:ascii="仿宋" w:hAnsi="仿宋" w:eastAsia="仿宋" w:cs="仿宋"/>
          <w:b/>
          <w:bCs/>
          <w:sz w:val="30"/>
          <w:szCs w:val="30"/>
          <w:u w:val="single"/>
        </w:rPr>
        <w:t xml:space="preserve"> </w:t>
      </w:r>
      <w:r>
        <w:rPr>
          <w:rFonts w:hint="eastAsia" w:ascii="仿宋" w:hAnsi="仿宋" w:eastAsia="仿宋" w:cs="仿宋"/>
          <w:b/>
          <w:bCs/>
          <w:sz w:val="32"/>
          <w:szCs w:val="32"/>
          <w:u w:val="single"/>
          <w:lang w:val="en-US" w:eastAsia="zh-CN"/>
        </w:rPr>
        <w:t>车采审【2021】1号</w:t>
      </w:r>
      <w:r>
        <w:rPr>
          <w:rFonts w:hint="eastAsia" w:ascii="仿宋" w:hAnsi="仿宋" w:eastAsia="仿宋" w:cs="仿宋"/>
          <w:b/>
          <w:bCs/>
          <w:sz w:val="30"/>
          <w:szCs w:val="30"/>
          <w:u w:val="single"/>
          <w:lang w:eastAsia="zh-CN"/>
        </w:rPr>
        <w:t xml:space="preserve"> </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u w:val="single"/>
        </w:rPr>
        <w:t xml:space="preserve">                     </w:t>
      </w:r>
    </w:p>
    <w:p>
      <w:pPr>
        <w:widowControl/>
        <w:spacing w:line="360" w:lineRule="auto"/>
        <w:jc w:val="left"/>
        <w:rPr>
          <w:rFonts w:hint="default" w:ascii="仿宋" w:hAnsi="仿宋" w:eastAsia="仿宋" w:cs="仿宋"/>
          <w:b/>
          <w:bCs/>
          <w:sz w:val="30"/>
          <w:szCs w:val="30"/>
          <w:lang w:val="en-US" w:eastAsia="zh-CN"/>
        </w:rPr>
      </w:pPr>
      <w:r>
        <w:rPr>
          <w:rFonts w:hint="eastAsia" w:ascii="仿宋" w:hAnsi="仿宋" w:eastAsia="仿宋" w:cs="仿宋"/>
          <w:b/>
          <w:bCs/>
          <w:sz w:val="30"/>
          <w:szCs w:val="30"/>
        </w:rPr>
        <w:t>招标人：</w:t>
      </w:r>
      <w:r>
        <w:rPr>
          <w:rFonts w:hint="eastAsia" w:ascii="仿宋" w:hAnsi="仿宋" w:eastAsia="仿宋" w:cs="仿宋"/>
          <w:b/>
          <w:bCs/>
          <w:sz w:val="30"/>
          <w:szCs w:val="30"/>
          <w:u w:val="single"/>
          <w:lang w:eastAsia="zh-CN"/>
        </w:rPr>
        <w:t>哈巴河县委政法委</w:t>
      </w:r>
      <w:r>
        <w:rPr>
          <w:rFonts w:hint="eastAsia" w:ascii="仿宋" w:hAnsi="仿宋" w:eastAsia="仿宋" w:cs="仿宋"/>
          <w:b/>
          <w:bCs/>
          <w:sz w:val="30"/>
          <w:szCs w:val="30"/>
          <w:u w:val="single"/>
        </w:rPr>
        <w:t>（盖单位章）</w:t>
      </w:r>
      <w:r>
        <w:rPr>
          <w:rFonts w:hint="eastAsia" w:ascii="仿宋" w:hAnsi="仿宋" w:eastAsia="仿宋" w:cs="仿宋"/>
          <w:b/>
          <w:bCs/>
          <w:sz w:val="30"/>
          <w:szCs w:val="30"/>
          <w:u w:val="single"/>
          <w:lang w:val="en-US" w:eastAsia="zh-CN"/>
        </w:rPr>
        <w:t xml:space="preserve">                 </w:t>
      </w:r>
    </w:p>
    <w:p>
      <w:pPr>
        <w:widowControl/>
        <w:spacing w:line="360" w:lineRule="auto"/>
        <w:jc w:val="left"/>
        <w:rPr>
          <w:rFonts w:hint="eastAsia" w:ascii="仿宋" w:hAnsi="仿宋" w:eastAsia="仿宋" w:cs="仿宋"/>
          <w:sz w:val="32"/>
          <w:lang w:val="zh-CN"/>
        </w:rPr>
      </w:pPr>
      <w:r>
        <w:rPr>
          <w:rFonts w:hint="eastAsia" w:ascii="仿宋" w:hAnsi="仿宋" w:eastAsia="仿宋" w:cs="仿宋"/>
          <w:b/>
          <w:bCs/>
          <w:sz w:val="30"/>
          <w:szCs w:val="30"/>
        </w:rPr>
        <w:t>代理机构：</w:t>
      </w:r>
      <w:r>
        <w:rPr>
          <w:rFonts w:hint="eastAsia" w:ascii="仿宋" w:hAnsi="仿宋" w:eastAsia="仿宋" w:cs="仿宋"/>
          <w:b/>
          <w:bCs/>
          <w:sz w:val="30"/>
          <w:szCs w:val="30"/>
          <w:u w:val="single"/>
          <w:lang w:val="en-US" w:eastAsia="zh-CN"/>
        </w:rPr>
        <w:t>哈巴河县政府采购中心</w:t>
      </w:r>
      <w:r>
        <w:rPr>
          <w:rFonts w:hint="eastAsia" w:ascii="仿宋" w:hAnsi="仿宋" w:eastAsia="仿宋" w:cs="仿宋"/>
          <w:b/>
          <w:bCs/>
          <w:sz w:val="30"/>
          <w:szCs w:val="30"/>
          <w:u w:val="single"/>
        </w:rPr>
        <w:t xml:space="preserve"> （盖单位章）</w:t>
      </w:r>
      <w:r>
        <w:rPr>
          <w:rFonts w:hint="eastAsia" w:ascii="仿宋" w:hAnsi="仿宋" w:eastAsia="仿宋" w:cs="仿宋"/>
          <w:b/>
          <w:bCs/>
          <w:sz w:val="30"/>
          <w:szCs w:val="30"/>
          <w:u w:val="single"/>
          <w:lang w:val="en-US" w:eastAsia="zh-CN"/>
        </w:rPr>
        <w:t xml:space="preserve">           </w:t>
      </w:r>
    </w:p>
    <w:p>
      <w:pPr>
        <w:pStyle w:val="11"/>
        <w:adjustRightInd w:val="0"/>
        <w:snapToGrid w:val="0"/>
        <w:spacing w:line="360" w:lineRule="auto"/>
        <w:jc w:val="center"/>
        <w:rPr>
          <w:rFonts w:hint="eastAsia" w:ascii="仿宋" w:hAnsi="仿宋" w:eastAsia="仿宋" w:cs="仿宋"/>
          <w:b/>
          <w:color w:val="auto"/>
          <w:sz w:val="32"/>
          <w:szCs w:val="32"/>
        </w:rPr>
      </w:pPr>
      <w:r>
        <w:rPr>
          <w:rFonts w:hint="eastAsia" w:ascii="仿宋" w:hAnsi="仿宋" w:eastAsia="仿宋" w:cs="仿宋"/>
          <w:sz w:val="32"/>
          <w:lang w:val="zh-CN"/>
        </w:rPr>
        <w:t>二</w:t>
      </w:r>
      <w:r>
        <w:rPr>
          <w:rFonts w:hint="eastAsia" w:ascii="仿宋" w:hAnsi="仿宋" w:eastAsia="仿宋" w:cs="仿宋"/>
          <w:sz w:val="32"/>
        </w:rPr>
        <w:t>〇二</w:t>
      </w:r>
      <w:r>
        <w:rPr>
          <w:rFonts w:hint="eastAsia" w:ascii="仿宋" w:hAnsi="仿宋" w:eastAsia="仿宋" w:cs="仿宋"/>
          <w:sz w:val="32"/>
          <w:lang w:eastAsia="zh-CN"/>
        </w:rPr>
        <w:t>一</w:t>
      </w:r>
      <w:r>
        <w:rPr>
          <w:rFonts w:hint="eastAsia" w:ascii="仿宋" w:hAnsi="仿宋" w:eastAsia="仿宋" w:cs="仿宋"/>
          <w:sz w:val="32"/>
        </w:rPr>
        <w:t>年</w:t>
      </w:r>
      <w:r>
        <w:rPr>
          <w:rFonts w:hint="eastAsia" w:ascii="仿宋" w:hAnsi="仿宋" w:eastAsia="仿宋" w:cs="仿宋"/>
          <w:sz w:val="32"/>
          <w:lang w:val="en-US" w:eastAsia="zh-CN"/>
        </w:rPr>
        <w:t>十</w:t>
      </w:r>
      <w:r>
        <w:rPr>
          <w:rFonts w:hint="eastAsia" w:ascii="仿宋" w:hAnsi="仿宋" w:eastAsia="仿宋" w:cs="仿宋"/>
          <w:sz w:val="32"/>
        </w:rPr>
        <w:t>月</w:t>
      </w:r>
    </w:p>
    <w:p>
      <w:pPr>
        <w:autoSpaceDE w:val="0"/>
        <w:autoSpaceDN w:val="0"/>
        <w:adjustRightInd w:val="0"/>
        <w:jc w:val="center"/>
        <w:rPr>
          <w:rFonts w:hint="eastAsia" w:ascii="仿宋" w:hAnsi="仿宋" w:eastAsia="仿宋" w:cs="仿宋"/>
          <w:bCs/>
          <w:color w:val="000000" w:themeColor="text1"/>
          <w:kern w:val="0"/>
          <w:sz w:val="36"/>
          <w:szCs w:val="36"/>
          <w:highlight w:val="none"/>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14:textFill>
            <w14:solidFill>
              <w14:schemeClr w14:val="tx1"/>
            </w14:solidFill>
          </w14:textFill>
        </w:rPr>
      </w:pPr>
    </w:p>
    <w:p>
      <w:pPr>
        <w:autoSpaceDE w:val="0"/>
        <w:autoSpaceDN w:val="0"/>
        <w:adjustRightInd w:val="0"/>
        <w:jc w:val="center"/>
        <w:rPr>
          <w:rFonts w:hint="eastAsia" w:ascii="仿宋" w:hAnsi="仿宋" w:eastAsia="仿宋" w:cs="仿宋"/>
          <w:bCs/>
          <w:color w:val="000000" w:themeColor="text1"/>
          <w:kern w:val="0"/>
          <w:sz w:val="36"/>
          <w:szCs w:val="36"/>
          <w:highlight w:val="none"/>
          <w:lang w:eastAsia="zh-CN"/>
          <w14:textFill>
            <w14:solidFill>
              <w14:schemeClr w14:val="tx1"/>
            </w14:solidFill>
          </w14:textFill>
        </w:rPr>
      </w:pPr>
      <w:r>
        <w:rPr>
          <w:rFonts w:hint="eastAsia" w:ascii="仿宋" w:hAnsi="仿宋" w:eastAsia="仿宋" w:cs="仿宋"/>
          <w:bCs/>
          <w:color w:val="000000" w:themeColor="text1"/>
          <w:kern w:val="0"/>
          <w:sz w:val="36"/>
          <w:szCs w:val="36"/>
          <w:highlight w:val="none"/>
          <w14:textFill>
            <w14:solidFill>
              <w14:schemeClr w14:val="tx1"/>
            </w14:solidFill>
          </w14:textFill>
        </w:rPr>
        <w:t>招标文件</w:t>
      </w:r>
      <w:r>
        <w:rPr>
          <w:rFonts w:hint="eastAsia" w:ascii="仿宋" w:hAnsi="仿宋" w:eastAsia="仿宋" w:cs="仿宋"/>
          <w:bCs/>
          <w:color w:val="000000" w:themeColor="text1"/>
          <w:kern w:val="0"/>
          <w:sz w:val="36"/>
          <w:szCs w:val="36"/>
          <w:highlight w:val="none"/>
          <w:lang w:eastAsia="zh-CN"/>
          <w14:textFill>
            <w14:solidFill>
              <w14:schemeClr w14:val="tx1"/>
            </w14:solidFill>
          </w14:textFill>
        </w:rPr>
        <w:t>（竞争性谈判）</w:t>
      </w:r>
    </w:p>
    <w:p>
      <w:pPr>
        <w:ind w:firstLine="420" w:firstLineChars="150"/>
        <w:rPr>
          <w:rFonts w:hint="eastAsia" w:ascii="仿宋" w:hAnsi="仿宋" w:eastAsia="仿宋" w:cs="仿宋"/>
          <w:bCs/>
          <w:color w:val="000000" w:themeColor="text1"/>
          <w:sz w:val="28"/>
          <w:szCs w:val="28"/>
          <w:highlight w:val="none"/>
          <w:lang w:val="zh-CN"/>
          <w14:textFill>
            <w14:solidFill>
              <w14:schemeClr w14:val="tx1"/>
            </w14:solidFill>
          </w14:textFill>
        </w:rPr>
      </w:pPr>
      <w:r>
        <w:rPr>
          <w:rFonts w:hint="eastAsia" w:ascii="仿宋" w:hAnsi="仿宋" w:eastAsia="仿宋" w:cs="仿宋"/>
          <w:bCs/>
          <w:color w:val="000000" w:themeColor="text1"/>
          <w:sz w:val="28"/>
          <w:szCs w:val="28"/>
          <w:highlight w:val="none"/>
          <w:lang w:val="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snapToGrid/>
        <w:spacing w:line="540" w:lineRule="exact"/>
        <w:jc w:val="left"/>
        <w:textAlignment w:val="auto"/>
        <w:rPr>
          <w:rFonts w:hint="eastAsia" w:ascii="仿宋" w:hAnsi="仿宋" w:eastAsia="仿宋" w:cs="仿宋"/>
          <w:kern w:val="0"/>
          <w:sz w:val="28"/>
          <w:szCs w:val="28"/>
          <w:lang w:val="en-US" w:eastAsia="zh-CN"/>
        </w:rPr>
      </w:pPr>
      <w:r>
        <w:rPr>
          <w:rFonts w:hint="eastAsia" w:ascii="仿宋" w:hAnsi="仿宋" w:eastAsia="仿宋" w:cs="仿宋"/>
          <w:bCs/>
          <w:color w:val="000000" w:themeColor="text1"/>
          <w:sz w:val="24"/>
          <w:szCs w:val="24"/>
          <w:highlight w:val="none"/>
          <w:lang w:val="zh-CN"/>
          <w14:textFill>
            <w14:solidFill>
              <w14:schemeClr w14:val="tx1"/>
            </w14:solidFill>
          </w14:textFill>
        </w:rPr>
        <w:t>项目名称</w:t>
      </w:r>
      <w:r>
        <w:rPr>
          <w:rFonts w:hint="eastAsia" w:ascii="仿宋" w:hAnsi="仿宋" w:eastAsia="仿宋" w:cs="仿宋"/>
          <w:kern w:val="0"/>
          <w:sz w:val="28"/>
          <w:szCs w:val="28"/>
          <w:lang w:val="zh-CN" w:eastAsia="zh-CN"/>
        </w:rPr>
        <w:t>：</w:t>
      </w:r>
      <w:r>
        <w:rPr>
          <w:rFonts w:hint="eastAsia" w:ascii="仿宋" w:hAnsi="仿宋" w:eastAsia="仿宋" w:cs="仿宋"/>
          <w:kern w:val="0"/>
          <w:sz w:val="28"/>
          <w:szCs w:val="28"/>
          <w:lang w:val="en-US" w:eastAsia="zh-CN"/>
        </w:rPr>
        <w:t xml:space="preserve"> 哈巴河县政法委边境管控工作用车采购项目</w:t>
      </w:r>
    </w:p>
    <w:p>
      <w:pPr>
        <w:keepNext w:val="0"/>
        <w:keepLines w:val="0"/>
        <w:pageBreakBefore w:val="0"/>
        <w:widowControl/>
        <w:kinsoku/>
        <w:wordWrap/>
        <w:overflowPunct/>
        <w:topLinePunct w:val="0"/>
        <w:autoSpaceDE/>
        <w:autoSpaceDN/>
        <w:bidi w:val="0"/>
        <w:snapToGrid/>
        <w:spacing w:line="540" w:lineRule="exact"/>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zh-CN" w:eastAsia="zh-CN"/>
        </w:rPr>
        <w:t>采购单位：</w:t>
      </w:r>
      <w:r>
        <w:rPr>
          <w:rFonts w:hint="eastAsia" w:ascii="仿宋" w:hAnsi="仿宋" w:eastAsia="仿宋" w:cs="仿宋"/>
          <w:kern w:val="0"/>
          <w:sz w:val="28"/>
          <w:szCs w:val="28"/>
          <w:lang w:val="en-US" w:eastAsia="zh-CN"/>
        </w:rPr>
        <w:t xml:space="preserve">哈巴河县委政法委（盖单位章） </w:t>
      </w:r>
    </w:p>
    <w:p>
      <w:pPr>
        <w:keepNext w:val="0"/>
        <w:keepLines w:val="0"/>
        <w:pageBreakBefore w:val="0"/>
        <w:widowControl/>
        <w:kinsoku/>
        <w:wordWrap/>
        <w:overflowPunct/>
        <w:topLinePunct w:val="0"/>
        <w:autoSpaceDE/>
        <w:autoSpaceDN/>
        <w:bidi w:val="0"/>
        <w:snapToGrid/>
        <w:spacing w:line="540" w:lineRule="exact"/>
        <w:textAlignment w:val="auto"/>
        <w:rPr>
          <w:rFonts w:hint="eastAsia" w:ascii="仿宋" w:hAnsi="仿宋" w:eastAsia="仿宋" w:cs="仿宋"/>
          <w:kern w:val="0"/>
          <w:sz w:val="28"/>
          <w:szCs w:val="28"/>
        </w:rPr>
      </w:pPr>
      <w:r>
        <w:rPr>
          <w:rFonts w:hint="eastAsia" w:ascii="仿宋" w:hAnsi="仿宋" w:eastAsia="仿宋" w:cs="仿宋"/>
          <w:bCs/>
          <w:color w:val="000000" w:themeColor="text1"/>
          <w:sz w:val="24"/>
          <w:szCs w:val="24"/>
          <w:highlight w:val="none"/>
          <w:lang w:val="zh-CN"/>
          <w14:textFill>
            <w14:solidFill>
              <w14:schemeClr w14:val="tx1"/>
            </w14:solidFill>
          </w14:textFill>
        </w:rPr>
        <w:t>联 系 人：</w:t>
      </w:r>
      <w:r>
        <w:rPr>
          <w:rFonts w:hint="eastAsia" w:ascii="宋体" w:hAnsi="宋体" w:eastAsia="宋体" w:cs="宋体"/>
          <w:i w:val="0"/>
          <w:color w:val="000000"/>
          <w:kern w:val="0"/>
          <w:sz w:val="22"/>
          <w:szCs w:val="22"/>
          <w:u w:val="none"/>
          <w:lang w:val="en-US" w:eastAsia="zh-CN" w:bidi="ar"/>
        </w:rPr>
        <w:t>赵春筱</w:t>
      </w:r>
      <w:r>
        <w:rPr>
          <w:rFonts w:hint="eastAsia" w:ascii="仿宋" w:hAnsi="仿宋" w:eastAsia="仿宋" w:cs="仿宋"/>
          <w:kern w:val="0"/>
          <w:sz w:val="28"/>
          <w:szCs w:val="28"/>
        </w:rPr>
        <w:t xml:space="preserve">    </w:t>
      </w:r>
    </w:p>
    <w:p>
      <w:pPr>
        <w:keepNext w:val="0"/>
        <w:keepLines w:val="0"/>
        <w:pageBreakBefore w:val="0"/>
        <w:widowControl/>
        <w:kinsoku/>
        <w:wordWrap/>
        <w:overflowPunct/>
        <w:topLinePunct w:val="0"/>
        <w:autoSpaceDE/>
        <w:autoSpaceDN/>
        <w:bidi w:val="0"/>
        <w:snapToGrid/>
        <w:spacing w:line="540" w:lineRule="exact"/>
        <w:textAlignment w:val="auto"/>
        <w:rPr>
          <w:rFonts w:hint="eastAsia" w:ascii="仿宋" w:hAnsi="仿宋" w:eastAsia="仿宋" w:cs="仿宋"/>
          <w:kern w:val="0"/>
          <w:sz w:val="28"/>
          <w:szCs w:val="28"/>
          <w:highlight w:val="red"/>
          <w:lang w:val="en-US" w:eastAsia="zh-CN"/>
        </w:rPr>
      </w:pPr>
      <w:r>
        <w:rPr>
          <w:rFonts w:hint="eastAsia" w:ascii="仿宋" w:hAnsi="仿宋" w:eastAsia="仿宋" w:cs="仿宋"/>
          <w:bCs/>
          <w:color w:val="000000" w:themeColor="text1"/>
          <w:sz w:val="24"/>
          <w:szCs w:val="24"/>
          <w:highlight w:val="none"/>
          <w:lang w:val="zh-CN"/>
          <w14:textFill>
            <w14:solidFill>
              <w14:schemeClr w14:val="tx1"/>
            </w14:solidFill>
          </w14:textFill>
        </w:rPr>
        <w:t>电    话：</w:t>
      </w:r>
      <w:r>
        <w:rPr>
          <w:rFonts w:hint="eastAsia" w:ascii="宋体" w:hAnsi="宋体" w:eastAsia="宋体" w:cs="宋体"/>
          <w:i w:val="0"/>
          <w:color w:val="000000"/>
          <w:sz w:val="22"/>
          <w:szCs w:val="22"/>
          <w:u w:val="none"/>
          <w:lang w:val="en-US" w:eastAsia="zh-CN"/>
        </w:rPr>
        <w:t>15009068982</w:t>
      </w:r>
    </w:p>
    <w:p>
      <w:pPr>
        <w:autoSpaceDE w:val="0"/>
        <w:autoSpaceDN w:val="0"/>
        <w:adjustRightInd w:val="0"/>
        <w:spacing w:line="680" w:lineRule="exact"/>
        <w:jc w:val="both"/>
        <w:rPr>
          <w:rFonts w:hint="eastAsia" w:ascii="仿宋" w:hAnsi="仿宋" w:eastAsia="仿宋" w:cs="仿宋"/>
          <w:bCs/>
          <w:color w:val="000000" w:themeColor="text1"/>
          <w:sz w:val="24"/>
          <w:szCs w:val="24"/>
          <w:highlight w:val="none"/>
          <w:lang w:val="en-US" w:eastAsia="zh-CN"/>
          <w14:textFill>
            <w14:solidFill>
              <w14:schemeClr w14:val="tx1"/>
            </w14:solidFill>
          </w14:textFill>
        </w:rPr>
      </w:pPr>
    </w:p>
    <w:p>
      <w:pPr>
        <w:autoSpaceDE w:val="0"/>
        <w:autoSpaceDN w:val="0"/>
        <w:adjustRightInd w:val="0"/>
        <w:spacing w:line="680" w:lineRule="exact"/>
        <w:rPr>
          <w:rFonts w:hint="eastAsia" w:ascii="仿宋" w:hAnsi="仿宋" w:eastAsia="仿宋" w:cs="仿宋"/>
          <w:bCs/>
          <w:color w:val="000000" w:themeColor="text1"/>
          <w:sz w:val="22"/>
          <w:szCs w:val="22"/>
          <w:highlight w:val="none"/>
          <w:lang w:val="zh-CN"/>
          <w14:textFill>
            <w14:solidFill>
              <w14:schemeClr w14:val="tx1"/>
            </w14:solidFill>
          </w14:textFill>
        </w:rPr>
      </w:pPr>
    </w:p>
    <w:p>
      <w:pPr>
        <w:autoSpaceDE w:val="0"/>
        <w:autoSpaceDN w:val="0"/>
        <w:adjustRightInd w:val="0"/>
        <w:spacing w:line="680" w:lineRule="exact"/>
        <w:rPr>
          <w:rFonts w:hint="eastAsia" w:ascii="仿宋" w:hAnsi="仿宋" w:eastAsia="仿宋" w:cs="仿宋"/>
          <w:bCs/>
          <w:color w:val="000000" w:themeColor="text1"/>
          <w:sz w:val="22"/>
          <w:szCs w:val="22"/>
          <w:highlight w:val="none"/>
          <w:lang w:val="zh-CN"/>
          <w14:textFill>
            <w14:solidFill>
              <w14:schemeClr w14:val="tx1"/>
            </w14:solidFill>
          </w14:textFill>
        </w:rPr>
      </w:pPr>
      <w:r>
        <w:rPr>
          <w:rFonts w:hint="eastAsia" w:ascii="仿宋" w:hAnsi="仿宋" w:eastAsia="仿宋" w:cs="仿宋"/>
          <w:bCs/>
          <w:color w:val="000000" w:themeColor="text1"/>
          <w:sz w:val="22"/>
          <w:szCs w:val="22"/>
          <w:highlight w:val="none"/>
          <w:lang w:val="zh-CN"/>
          <w14:textFill>
            <w14:solidFill>
              <w14:schemeClr w14:val="tx1"/>
            </w14:solidFill>
          </w14:textFill>
        </w:rPr>
        <w:t xml:space="preserve"> </w:t>
      </w:r>
      <w:r>
        <w:rPr>
          <w:rFonts w:hint="eastAsia" w:ascii="仿宋" w:hAnsi="仿宋" w:eastAsia="仿宋" w:cs="仿宋"/>
          <w:bCs/>
          <w:color w:val="000000" w:themeColor="text1"/>
          <w:sz w:val="22"/>
          <w:szCs w:val="22"/>
          <w:highlight w:val="none"/>
          <w14:textFill>
            <w14:solidFill>
              <w14:schemeClr w14:val="tx1"/>
            </w14:solidFill>
          </w14:textFill>
        </w:rPr>
        <w:t xml:space="preserve">   </w:t>
      </w:r>
    </w:p>
    <w:p>
      <w:pPr>
        <w:autoSpaceDE w:val="0"/>
        <w:autoSpaceDN w:val="0"/>
        <w:adjustRightInd w:val="0"/>
        <w:spacing w:line="680" w:lineRule="exact"/>
        <w:rPr>
          <w:rFonts w:hint="eastAsia" w:ascii="仿宋" w:hAnsi="仿宋" w:eastAsia="仿宋" w:cs="仿宋"/>
          <w:bCs/>
          <w:color w:val="000000" w:themeColor="text1"/>
          <w:sz w:val="24"/>
          <w:szCs w:val="28"/>
          <w:highlight w:val="none"/>
          <w14:textFill>
            <w14:solidFill>
              <w14:schemeClr w14:val="tx1"/>
            </w14:solidFill>
          </w14:textFill>
        </w:rPr>
      </w:pPr>
      <w:r>
        <w:rPr>
          <w:rFonts w:hint="eastAsia" w:ascii="仿宋" w:hAnsi="仿宋" w:eastAsia="仿宋" w:cs="仿宋"/>
          <w:bCs/>
          <w:color w:val="000000" w:themeColor="text1"/>
          <w:sz w:val="24"/>
          <w:szCs w:val="28"/>
          <w:highlight w:val="none"/>
          <w14:textFill>
            <w14:solidFill>
              <w14:schemeClr w14:val="tx1"/>
            </w14:solidFill>
          </w14:textFill>
        </w:rPr>
        <w:t xml:space="preserve">     ----------------------------------------------------------- </w:t>
      </w:r>
    </w:p>
    <w:p>
      <w:pPr>
        <w:autoSpaceDE w:val="0"/>
        <w:autoSpaceDN w:val="0"/>
        <w:adjustRightInd w:val="0"/>
        <w:spacing w:line="680" w:lineRule="exact"/>
        <w:ind w:left="1231" w:leftChars="513"/>
        <w:rPr>
          <w:rFonts w:hint="eastAsia" w:ascii="仿宋" w:hAnsi="仿宋" w:eastAsia="仿宋" w:cs="仿宋"/>
          <w:bCs/>
          <w:color w:val="000000" w:themeColor="text1"/>
          <w:sz w:val="24"/>
          <w:szCs w:val="28"/>
          <w:highlight w:val="none"/>
          <w:lang w:val="zh-CN"/>
          <w14:textFill>
            <w14:solidFill>
              <w14:schemeClr w14:val="tx1"/>
            </w14:solidFill>
          </w14:textFill>
        </w:rPr>
      </w:pPr>
    </w:p>
    <w:p>
      <w:pPr>
        <w:pStyle w:val="20"/>
        <w:rPr>
          <w:rFonts w:hint="eastAsia" w:ascii="仿宋" w:hAnsi="仿宋" w:eastAsia="仿宋" w:cs="仿宋"/>
          <w:color w:val="000000" w:themeColor="text1"/>
          <w:sz w:val="22"/>
          <w:szCs w:val="22"/>
          <w:highlight w:val="none"/>
          <w:lang w:val="zh-CN"/>
          <w14:textFill>
            <w14:solidFill>
              <w14:schemeClr w14:val="tx1"/>
            </w14:solidFill>
          </w14:textFill>
        </w:rPr>
      </w:pPr>
    </w:p>
    <w:p>
      <w:pPr>
        <w:pStyle w:val="20"/>
        <w:rPr>
          <w:rFonts w:hint="eastAsia" w:ascii="仿宋" w:hAnsi="仿宋" w:eastAsia="仿宋" w:cs="仿宋"/>
          <w:color w:val="000000" w:themeColor="text1"/>
          <w:sz w:val="22"/>
          <w:szCs w:val="22"/>
          <w:highlight w:val="none"/>
          <w:lang w:val="zh-CN"/>
          <w14:textFill>
            <w14:solidFill>
              <w14:schemeClr w14:val="tx1"/>
            </w14:solidFill>
          </w14:textFill>
        </w:rPr>
      </w:pPr>
    </w:p>
    <w:p>
      <w:pPr>
        <w:pStyle w:val="20"/>
        <w:rPr>
          <w:rFonts w:hint="eastAsia" w:ascii="仿宋" w:hAnsi="仿宋" w:eastAsia="仿宋" w:cs="仿宋"/>
          <w:color w:val="000000" w:themeColor="text1"/>
          <w:sz w:val="22"/>
          <w:szCs w:val="22"/>
          <w:highlight w:val="none"/>
          <w:lang w:val="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540" w:lineRule="exact"/>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招标代理机构：</w:t>
      </w:r>
      <w:r>
        <w:rPr>
          <w:rFonts w:hint="eastAsia" w:ascii="仿宋" w:hAnsi="仿宋" w:eastAsia="仿宋" w:cs="仿宋"/>
          <w:kern w:val="0"/>
          <w:sz w:val="28"/>
          <w:szCs w:val="28"/>
          <w:lang w:val="en-US" w:eastAsia="zh-CN"/>
        </w:rPr>
        <w:t>哈巴河县政府采购中心</w:t>
      </w:r>
    </w:p>
    <w:p>
      <w:pPr>
        <w:keepNext w:val="0"/>
        <w:keepLines w:val="0"/>
        <w:pageBreakBefore w:val="0"/>
        <w:widowControl/>
        <w:kinsoku/>
        <w:wordWrap/>
        <w:overflowPunct/>
        <w:topLinePunct w:val="0"/>
        <w:autoSpaceDE/>
        <w:autoSpaceDN/>
        <w:bidi w:val="0"/>
        <w:snapToGrid/>
        <w:spacing w:line="540" w:lineRule="exac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联系人：</w:t>
      </w:r>
      <w:r>
        <w:rPr>
          <w:rFonts w:hint="eastAsia" w:ascii="仿宋" w:hAnsi="仿宋" w:eastAsia="仿宋" w:cs="仿宋"/>
          <w:kern w:val="0"/>
          <w:sz w:val="28"/>
          <w:szCs w:val="28"/>
          <w:lang w:val="en-US" w:eastAsia="zh-CN"/>
        </w:rPr>
        <w:t>赵春彦</w:t>
      </w:r>
      <w:r>
        <w:rPr>
          <w:rFonts w:hint="eastAsia" w:ascii="仿宋" w:hAnsi="仿宋" w:eastAsia="仿宋" w:cs="仿宋"/>
          <w:kern w:val="0"/>
          <w:sz w:val="28"/>
          <w:szCs w:val="28"/>
        </w:rPr>
        <w:t xml:space="preserve">  </w:t>
      </w:r>
    </w:p>
    <w:p>
      <w:pPr>
        <w:keepNext w:val="0"/>
        <w:keepLines w:val="0"/>
        <w:pageBreakBefore w:val="0"/>
        <w:widowControl/>
        <w:kinsoku/>
        <w:wordWrap/>
        <w:overflowPunct/>
        <w:topLinePunct w:val="0"/>
        <w:autoSpaceDE/>
        <w:autoSpaceDN/>
        <w:bidi w:val="0"/>
        <w:snapToGrid/>
        <w:spacing w:line="540" w:lineRule="exact"/>
        <w:jc w:val="left"/>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联系电话：</w:t>
      </w:r>
      <w:r>
        <w:rPr>
          <w:rFonts w:hint="eastAsia" w:ascii="仿宋" w:hAnsi="仿宋" w:eastAsia="仿宋" w:cs="仿宋"/>
          <w:kern w:val="0"/>
          <w:sz w:val="28"/>
          <w:szCs w:val="28"/>
          <w:lang w:val="en-US" w:eastAsia="zh-CN"/>
        </w:rPr>
        <w:t>09066626937</w:t>
      </w:r>
    </w:p>
    <w:p>
      <w:pPr>
        <w:autoSpaceDE w:val="0"/>
        <w:autoSpaceDN w:val="0"/>
        <w:adjustRightInd w:val="0"/>
        <w:spacing w:line="680" w:lineRule="exact"/>
        <w:jc w:val="left"/>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详细地址：新疆哈巴河县人民路</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52号</w:t>
      </w:r>
    </w:p>
    <w:p>
      <w:pPr>
        <w:spacing w:before="0" w:beforeLines="0" w:after="0" w:afterLines="0" w:line="360" w:lineRule="auto"/>
        <w:ind w:left="0" w:leftChars="0" w:right="0" w:rightChars="0" w:firstLine="0" w:firstLineChars="0"/>
        <w:jc w:val="cente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360" w:lineRule="auto"/>
        <w:ind w:left="0" w:leftChars="0" w:right="0" w:rightChars="0" w:firstLine="0" w:firstLineChars="0"/>
        <w:jc w:val="cente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360" w:lineRule="auto"/>
        <w:ind w:left="0" w:leftChars="0" w:right="0" w:rightChars="0" w:firstLine="0" w:firstLineChars="0"/>
        <w:jc w:val="cente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p>
    <w:p>
      <w:pPr>
        <w:spacing w:before="0" w:beforeLines="0" w:after="0" w:afterLines="0" w:line="360" w:lineRule="auto"/>
        <w:ind w:left="0" w:leftChars="0" w:right="0" w:rightChars="0" w:firstLine="0" w:firstLineChars="0"/>
        <w:jc w:val="cente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sectPr>
          <w:headerReference r:id="rId3" w:type="default"/>
          <w:footerReference r:id="rId4" w:type="default"/>
          <w:type w:val="continuous"/>
          <w:pgSz w:w="11907" w:h="16840"/>
          <w:pgMar w:top="1440" w:right="1247" w:bottom="1361" w:left="1247" w:header="851" w:footer="850" w:gutter="0"/>
          <w:pgBorders>
            <w:top w:val="none" w:sz="0" w:space="0"/>
            <w:left w:val="none" w:sz="0" w:space="0"/>
            <w:bottom w:val="none" w:sz="0" w:space="0"/>
            <w:right w:val="none" w:sz="0" w:space="0"/>
          </w:pgBorders>
          <w:pgNumType w:fmt="decimal" w:start="1"/>
          <w:cols w:space="720" w:num="1"/>
          <w:rtlGutter w:val="0"/>
          <w:docGrid w:linePitch="462" w:charSpace="0"/>
        </w:sectPr>
      </w:pPr>
    </w:p>
    <w:p>
      <w:pPr>
        <w:spacing w:before="0" w:beforeLines="0" w:after="0" w:afterLines="0" w:line="360" w:lineRule="auto"/>
        <w:ind w:left="0" w:leftChars="0" w:right="0" w:rightChars="0" w:firstLine="0" w:firstLineChars="0"/>
        <w:jc w:val="both"/>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p>
    <w:sdt>
      <w:sdtP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id w:val="147469218"/>
        <w15:color w:val="DBDBDB"/>
        <w:docPartObj>
          <w:docPartGallery w:val="Table of Contents"/>
          <w:docPartUnique/>
        </w:docPartObj>
      </w:sdtPr>
      <w:sdtEndPr>
        <w:rPr>
          <w:rFonts w:hint="eastAsia" w:ascii="仿宋" w:hAnsi="仿宋" w:eastAsia="仿宋" w:cs="仿宋"/>
          <w:b/>
          <w:bCs/>
          <w:color w:val="000000" w:themeColor="text1"/>
          <w:kern w:val="2"/>
          <w:sz w:val="24"/>
          <w:szCs w:val="32"/>
          <w:highlight w:val="none"/>
          <w:lang w:val="en-US" w:eastAsia="zh-CN" w:bidi="ar-SA"/>
          <w14:textFill>
            <w14:solidFill>
              <w14:schemeClr w14:val="tx1"/>
            </w14:solidFill>
          </w14:textFill>
        </w:rPr>
      </w:sdtEndPr>
      <w:sdtContent>
        <w:p>
          <w:pPr>
            <w:pStyle w:val="11"/>
            <w:adjustRightInd w:val="0"/>
            <w:snapToGrid w:val="0"/>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bookmarkStart w:id="0" w:name="_Toc7164"/>
          <w:bookmarkStart w:id="1" w:name="_Toc35393797"/>
          <w:bookmarkStart w:id="2" w:name="_Toc28359011"/>
          <w:bookmarkStart w:id="3" w:name="_Toc10298"/>
          <w:r>
            <w:rPr>
              <w:rFonts w:hint="eastAsia" w:ascii="仿宋" w:hAnsi="仿宋" w:eastAsia="仿宋" w:cs="仿宋"/>
              <w:b/>
              <w:color w:val="000000" w:themeColor="text1"/>
              <w:spacing w:val="160"/>
              <w:sz w:val="36"/>
              <w:szCs w:val="36"/>
              <w:highlight w:val="none"/>
              <w14:textFill>
                <w14:solidFill>
                  <w14:schemeClr w14:val="tx1"/>
                </w14:solidFill>
              </w14:textFill>
            </w:rPr>
            <w:t>目录</w:t>
          </w:r>
        </w:p>
        <w:p>
          <w:pPr>
            <w:pStyle w:val="15"/>
            <w:tabs>
              <w:tab w:val="right" w:pos="8306"/>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TOC \o "1-3" \n  \h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_Toc2370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 xml:space="preserve">第一章  </w:t>
          </w:r>
          <w:r>
            <w:rPr>
              <w:rFonts w:hint="eastAsia" w:ascii="仿宋" w:hAnsi="仿宋" w:eastAsia="仿宋" w:cs="仿宋"/>
              <w:color w:val="000000" w:themeColor="text1"/>
              <w:sz w:val="28"/>
              <w:szCs w:val="28"/>
              <w:highlight w:val="none"/>
              <w:lang w:eastAsia="zh-CN"/>
              <w14:textFill>
                <w14:solidFill>
                  <w14:schemeClr w14:val="tx1"/>
                </w14:solidFill>
              </w14:textFill>
            </w:rPr>
            <w:t>招标</w:t>
          </w:r>
          <w:r>
            <w:rPr>
              <w:rFonts w:hint="eastAsia" w:ascii="仿宋" w:hAnsi="仿宋" w:eastAsia="仿宋" w:cs="仿宋"/>
              <w:color w:val="000000" w:themeColor="text1"/>
              <w:sz w:val="28"/>
              <w:szCs w:val="28"/>
              <w:highlight w:val="none"/>
              <w14:textFill>
                <w14:solidFill>
                  <w14:schemeClr w14:val="tx1"/>
                </w14:solidFill>
              </w14:textFill>
            </w:rPr>
            <w:t>公告</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5"/>
            <w:tabs>
              <w:tab w:val="right" w:pos="8306"/>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_Toc25577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 xml:space="preserve">第二章 </w:t>
          </w:r>
          <w:r>
            <w:rPr>
              <w:rFonts w:hint="eastAsia" w:ascii="仿宋" w:hAnsi="仿宋" w:eastAsia="仿宋" w:cs="仿宋"/>
              <w:color w:val="000000" w:themeColor="text1"/>
              <w:sz w:val="28"/>
              <w:szCs w:val="28"/>
              <w:highlight w:val="none"/>
              <w:lang w:eastAsia="zh-CN"/>
              <w14:textFill>
                <w14:solidFill>
                  <w14:schemeClr w14:val="tx1"/>
                </w14:solidFill>
              </w14:textFill>
            </w:rPr>
            <w:t>投标</w:t>
          </w:r>
          <w:r>
            <w:rPr>
              <w:rFonts w:hint="eastAsia" w:ascii="仿宋" w:hAnsi="仿宋" w:eastAsia="仿宋" w:cs="仿宋"/>
              <w:color w:val="000000" w:themeColor="text1"/>
              <w:sz w:val="28"/>
              <w:szCs w:val="28"/>
              <w:highlight w:val="none"/>
              <w14:textFill>
                <w14:solidFill>
                  <w14:schemeClr w14:val="tx1"/>
                </w14:solidFill>
              </w14:textFill>
            </w:rPr>
            <w:t>须知</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5"/>
            <w:tabs>
              <w:tab w:val="right" w:pos="8306"/>
            </w:tabs>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第三章</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合同条款</w:t>
          </w:r>
        </w:p>
        <w:p>
          <w:pPr>
            <w:pStyle w:val="15"/>
            <w:tabs>
              <w:tab w:val="right" w:pos="8306"/>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_Toc4941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第四章 采购需求</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5"/>
            <w:tabs>
              <w:tab w:val="right" w:pos="8306"/>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_Toc9218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第五章 质疑及处理</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5"/>
            <w:tabs>
              <w:tab w:val="right" w:pos="8306"/>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_Toc1980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eastAsia="zh-CN"/>
              <w14:textFill>
                <w14:solidFill>
                  <w14:schemeClr w14:val="tx1"/>
                </w14:solidFill>
              </w14:textFill>
            </w:rPr>
            <w:t>第六章</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14:textFill>
                <w14:solidFill>
                  <w14:schemeClr w14:val="tx1"/>
                </w14:solidFill>
              </w14:textFill>
            </w:rPr>
            <w:t>格式</w:t>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5"/>
            <w:tabs>
              <w:tab w:val="right" w:pos="8306"/>
            </w:tabs>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pStyle w:val="3"/>
            <w:tabs>
              <w:tab w:val="left" w:pos="0"/>
            </w:tabs>
            <w:autoSpaceDE w:val="0"/>
            <w:autoSpaceDN w:val="0"/>
            <w:adjustRightInd w:val="0"/>
            <w:spacing w:before="0" w:after="0" w:line="360" w:lineRule="auto"/>
            <w:outlineLvl w:val="9"/>
            <w:rPr>
              <w:rFonts w:hint="eastAsia" w:ascii="仿宋" w:hAnsi="仿宋" w:eastAsia="仿宋" w:cs="仿宋"/>
              <w:b/>
              <w:bCs/>
              <w:color w:val="000000" w:themeColor="text1"/>
              <w:kern w:val="2"/>
              <w:sz w:val="24"/>
              <w:szCs w:val="32"/>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end"/>
          </w:r>
        </w:p>
      </w:sdtContent>
    </w:sdt>
    <w:p>
      <w:pPr>
        <w:rPr>
          <w:rFonts w:hint="eastAsia" w:ascii="仿宋" w:hAnsi="仿宋" w:eastAsia="仿宋" w:cs="仿宋"/>
          <w:b/>
          <w:bCs/>
          <w:color w:val="000000" w:themeColor="text1"/>
          <w:kern w:val="2"/>
          <w:sz w:val="24"/>
          <w:szCs w:val="32"/>
          <w:highlight w:val="none"/>
          <w:lang w:val="en-US" w:eastAsia="zh-CN" w:bidi="ar-SA"/>
          <w14:textFill>
            <w14:solidFill>
              <w14:schemeClr w14:val="tx1"/>
            </w14:solidFill>
          </w14:textFill>
        </w:rPr>
      </w:pPr>
    </w:p>
    <w:p>
      <w:pPr>
        <w:pStyle w:val="5"/>
        <w:outlineLvl w:val="9"/>
        <w:rPr>
          <w:rFonts w:hint="eastAsia" w:ascii="仿宋" w:hAnsi="仿宋" w:eastAsia="仿宋" w:cs="仿宋"/>
          <w:b/>
          <w:bCs/>
          <w:color w:val="000000" w:themeColor="text1"/>
          <w:kern w:val="2"/>
          <w:sz w:val="24"/>
          <w:szCs w:val="32"/>
          <w:highlight w:val="none"/>
          <w:lang w:val="en-US" w:eastAsia="zh-CN" w:bidi="ar-SA"/>
          <w14:textFill>
            <w14:solidFill>
              <w14:schemeClr w14:val="tx1"/>
            </w14:solidFill>
          </w14:textFill>
        </w:rPr>
      </w:pPr>
    </w:p>
    <w:p>
      <w:pPr>
        <w:rPr>
          <w:rFonts w:hint="eastAsia" w:ascii="仿宋" w:hAnsi="仿宋" w:eastAsia="仿宋" w:cs="仿宋"/>
          <w:b/>
          <w:bCs/>
          <w:color w:val="000000" w:themeColor="text1"/>
          <w:kern w:val="2"/>
          <w:sz w:val="24"/>
          <w:szCs w:val="32"/>
          <w:highlight w:val="none"/>
          <w:lang w:val="en-US" w:eastAsia="zh-CN" w:bidi="ar-SA"/>
          <w14:textFill>
            <w14:solidFill>
              <w14:schemeClr w14:val="tx1"/>
            </w14:solidFill>
          </w14:textFill>
        </w:rPr>
      </w:pPr>
    </w:p>
    <w:bookmarkEnd w:id="0"/>
    <w:bookmarkEnd w:id="1"/>
    <w:bookmarkEnd w:id="2"/>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000000" w:themeColor="text1"/>
          <w:highlight w:val="none"/>
          <w:lang w:eastAsia="zh-CN"/>
          <w14:textFill>
            <w14:solidFill>
              <w14:schemeClr w14:val="tx1"/>
            </w14:solidFill>
          </w14:textFill>
        </w:rPr>
      </w:pPr>
      <w:bookmarkStart w:id="4" w:name="_Toc31013"/>
      <w:bookmarkStart w:id="5" w:name="_Toc23939"/>
    </w:p>
    <w:p>
      <w:pPr>
        <w:rPr>
          <w:rFonts w:hint="eastAsia" w:ascii="仿宋" w:hAnsi="仿宋" w:eastAsia="仿宋" w:cs="仿宋"/>
          <w:color w:val="000000" w:themeColor="text1"/>
          <w:highlight w:val="none"/>
          <w:lang w:eastAsia="zh-CN"/>
          <w14:textFill>
            <w14:solidFill>
              <w14:schemeClr w14:val="tx1"/>
            </w14:solidFill>
          </w14:textFill>
        </w:rPr>
      </w:pPr>
    </w:p>
    <w:p>
      <w:pPr>
        <w:rPr>
          <w:rFonts w:hint="eastAsia" w:ascii="仿宋" w:hAnsi="仿宋" w:eastAsia="仿宋" w:cs="仿宋"/>
          <w:color w:val="000000" w:themeColor="text1"/>
          <w:highlight w:val="none"/>
          <w:lang w:eastAsia="zh-CN"/>
          <w14:textFill>
            <w14:solidFill>
              <w14:schemeClr w14:val="tx1"/>
            </w14:solidFill>
          </w14:textFill>
        </w:rPr>
      </w:pPr>
    </w:p>
    <w:p>
      <w:pPr>
        <w:pStyle w:val="20"/>
        <w:rPr>
          <w:rFonts w:hint="eastAsia" w:ascii="仿宋" w:hAnsi="仿宋" w:eastAsia="仿宋" w:cs="仿宋"/>
          <w:color w:val="000000" w:themeColor="text1"/>
          <w:highlight w:val="none"/>
          <w:lang w:eastAsia="zh-CN"/>
          <w14:textFill>
            <w14:solidFill>
              <w14:schemeClr w14:val="tx1"/>
            </w14:solidFill>
          </w14:textFill>
        </w:rPr>
      </w:pPr>
    </w:p>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000000" w:themeColor="text1"/>
          <w:highlight w:val="none"/>
          <w:lang w:eastAsia="zh-CN"/>
          <w14:textFill>
            <w14:solidFill>
              <w14:schemeClr w14:val="tx1"/>
            </w14:solidFill>
          </w14:textFill>
        </w:rPr>
      </w:pPr>
    </w:p>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000000" w:themeColor="text1"/>
          <w:highlight w:val="none"/>
          <w:lang w:eastAsia="zh-CN"/>
          <w14:textFill>
            <w14:solidFill>
              <w14:schemeClr w14:val="tx1"/>
            </w14:solidFill>
          </w14:textFill>
        </w:rPr>
      </w:pPr>
    </w:p>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jc w:val="both"/>
        <w:textAlignment w:val="auto"/>
        <w:rPr>
          <w:rFonts w:hint="eastAsia" w:ascii="仿宋" w:hAnsi="仿宋" w:eastAsia="仿宋" w:cs="仿宋"/>
          <w:color w:val="000000" w:themeColor="text1"/>
          <w:highlight w:val="none"/>
          <w:lang w:eastAsia="zh-CN"/>
          <w14:textFill>
            <w14:solidFill>
              <w14:schemeClr w14:val="tx1"/>
            </w14:solidFill>
          </w14:textFill>
        </w:rPr>
      </w:pPr>
    </w:p>
    <w:p>
      <w:pPr>
        <w:rPr>
          <w:rFonts w:hint="eastAsia" w:ascii="仿宋" w:hAnsi="仿宋" w:eastAsia="仿宋" w:cs="仿宋"/>
          <w:color w:val="000000" w:themeColor="text1"/>
          <w:highlight w:val="none"/>
          <w:lang w:eastAsia="zh-CN"/>
          <w14:textFill>
            <w14:solidFill>
              <w14:schemeClr w14:val="tx1"/>
            </w14:solidFill>
          </w14:textFill>
        </w:rPr>
      </w:pPr>
    </w:p>
    <w:p>
      <w:pPr>
        <w:pStyle w:val="20"/>
        <w:rPr>
          <w:rFonts w:hint="eastAsia" w:ascii="仿宋" w:hAnsi="仿宋" w:eastAsia="仿宋" w:cs="仿宋"/>
          <w:color w:val="000000" w:themeColor="text1"/>
          <w:highlight w:val="none"/>
          <w:lang w:eastAsia="zh-CN"/>
          <w14:textFill>
            <w14:solidFill>
              <w14:schemeClr w14:val="tx1"/>
            </w14:solidFill>
          </w14:textFill>
        </w:rPr>
      </w:pPr>
    </w:p>
    <w:p>
      <w:pPr>
        <w:pStyle w:val="20"/>
        <w:rPr>
          <w:rFonts w:hint="eastAsia" w:ascii="仿宋" w:hAnsi="仿宋" w:eastAsia="仿宋" w:cs="仿宋"/>
          <w:color w:val="000000" w:themeColor="text1"/>
          <w:highlight w:val="none"/>
          <w:lang w:eastAsia="zh-CN"/>
          <w14:textFill>
            <w14:solidFill>
              <w14:schemeClr w14:val="tx1"/>
            </w14:solidFill>
          </w14:textFill>
        </w:rPr>
      </w:pPr>
    </w:p>
    <w:p>
      <w:pPr>
        <w:pStyle w:val="20"/>
        <w:rPr>
          <w:rFonts w:hint="eastAsia" w:ascii="仿宋" w:hAnsi="仿宋" w:eastAsia="仿宋" w:cs="仿宋"/>
          <w:color w:val="000000" w:themeColor="text1"/>
          <w:highlight w:val="none"/>
          <w:lang w:eastAsia="zh-CN"/>
          <w14:textFill>
            <w14:solidFill>
              <w14:schemeClr w14:val="tx1"/>
            </w14:solidFill>
          </w14:textFill>
        </w:rPr>
      </w:pPr>
    </w:p>
    <w:p>
      <w:pPr>
        <w:pStyle w:val="20"/>
        <w:rPr>
          <w:rFonts w:hint="eastAsia" w:ascii="仿宋" w:hAnsi="仿宋" w:eastAsia="仿宋" w:cs="仿宋"/>
          <w:color w:val="000000" w:themeColor="text1"/>
          <w:highlight w:val="none"/>
          <w:lang w:eastAsia="zh-CN"/>
          <w14:textFill>
            <w14:solidFill>
              <w14:schemeClr w14:val="tx1"/>
            </w14:solidFill>
          </w14:textFill>
        </w:rPr>
      </w:pPr>
    </w:p>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jc w:val="both"/>
        <w:textAlignment w:val="auto"/>
        <w:rPr>
          <w:rFonts w:hint="eastAsia" w:ascii="仿宋" w:hAnsi="仿宋" w:eastAsia="仿宋" w:cs="仿宋"/>
          <w:color w:val="000000" w:themeColor="text1"/>
          <w:highlight w:val="none"/>
          <w:lang w:eastAsia="zh-CN"/>
          <w14:textFill>
            <w14:solidFill>
              <w14:schemeClr w14:val="tx1"/>
            </w14:solidFill>
          </w14:textFill>
        </w:rPr>
      </w:pPr>
    </w:p>
    <w:p>
      <w:pPr>
        <w:rPr>
          <w:rFonts w:hint="eastAsia" w:ascii="仿宋" w:hAnsi="仿宋" w:eastAsia="仿宋" w:cs="仿宋"/>
          <w:color w:val="000000" w:themeColor="text1"/>
          <w:highlight w:val="none"/>
          <w:lang w:eastAsia="zh-CN"/>
          <w14:textFill>
            <w14:solidFill>
              <w14:schemeClr w14:val="tx1"/>
            </w14:solidFill>
          </w14:textFill>
        </w:rPr>
      </w:pPr>
    </w:p>
    <w:p>
      <w:pPr>
        <w:rPr>
          <w:rFonts w:hint="eastAsia" w:ascii="仿宋" w:hAnsi="仿宋" w:eastAsia="仿宋" w:cs="仿宋"/>
          <w:color w:val="000000" w:themeColor="text1"/>
          <w:highlight w:val="none"/>
          <w:lang w:eastAsia="zh-CN"/>
          <w14:textFill>
            <w14:solidFill>
              <w14:schemeClr w14:val="tx1"/>
            </w14:solidFill>
          </w14:textFill>
        </w:rPr>
      </w:pPr>
    </w:p>
    <w:p>
      <w:pPr>
        <w:pStyle w:val="20"/>
        <w:rPr>
          <w:rFonts w:hint="eastAsia" w:ascii="仿宋" w:hAnsi="仿宋" w:eastAsia="仿宋" w:cs="仿宋"/>
          <w:color w:val="000000" w:themeColor="text1"/>
          <w:highlight w:val="none"/>
          <w:lang w:eastAsia="zh-CN"/>
          <w14:textFill>
            <w14:solidFill>
              <w14:schemeClr w14:val="tx1"/>
            </w14:solidFill>
          </w14:textFill>
        </w:rPr>
      </w:pPr>
    </w:p>
    <w:bookmarkEnd w:id="4"/>
    <w:bookmarkEnd w:id="5"/>
    <w:p>
      <w:pPr>
        <w:jc w:val="both"/>
        <w:rPr>
          <w:rFonts w:hint="eastAsia" w:ascii="仿宋" w:hAnsi="仿宋" w:eastAsia="仿宋" w:cs="仿宋"/>
          <w:sz w:val="28"/>
          <w:szCs w:val="28"/>
        </w:rPr>
      </w:pPr>
      <w:bookmarkStart w:id="6" w:name="_Toc9033"/>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 xml:space="preserve">     </w:t>
      </w:r>
      <w:r>
        <w:rPr>
          <w:rFonts w:hint="eastAsia" w:ascii="仿宋" w:hAnsi="仿宋" w:eastAsia="仿宋" w:cs="仿宋"/>
          <w:sz w:val="28"/>
          <w:szCs w:val="28"/>
          <w:lang w:val="en-US" w:eastAsia="zh-CN"/>
        </w:rPr>
        <w:t xml:space="preserve"> </w:t>
      </w:r>
      <w:bookmarkEnd w:id="6"/>
      <w:r>
        <w:rPr>
          <w:rFonts w:hint="eastAsia" w:ascii="仿宋" w:hAnsi="仿宋" w:eastAsia="仿宋" w:cs="仿宋"/>
          <w:sz w:val="28"/>
          <w:szCs w:val="28"/>
          <w:lang w:val="en-US" w:eastAsia="zh-CN"/>
        </w:rPr>
        <w:t>哈巴河县政法委边境管控工作用车采购项目</w:t>
      </w:r>
      <w:r>
        <w:rPr>
          <w:rFonts w:hint="eastAsia" w:ascii="仿宋" w:hAnsi="仿宋" w:eastAsia="仿宋" w:cs="仿宋"/>
          <w:sz w:val="28"/>
          <w:szCs w:val="28"/>
        </w:rPr>
        <w:t>竞争性谈判公告</w:t>
      </w:r>
    </w:p>
    <w:p>
      <w:pPr>
        <w:pStyle w:val="20"/>
        <w:rPr>
          <w:rFonts w:hint="eastAsia"/>
        </w:rPr>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snapToGrid w:val="0"/>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项目概况</w:t>
      </w:r>
      <w:r>
        <w:rPr>
          <w:rFonts w:hint="eastAsia" w:ascii="仿宋" w:hAnsi="仿宋" w:eastAsia="仿宋" w:cs="仿宋"/>
          <w:sz w:val="24"/>
          <w:szCs w:val="24"/>
          <w:lang w:eastAsia="zh-CN"/>
        </w:rPr>
        <w:t>：</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哈巴河县政法委边境管控工作用车采购项目的潜在供应商应在线上获取采购文件，并于2021年10月25日 17:00（北京时间）前提交响应文件。</w:t>
      </w:r>
    </w:p>
    <w:p>
      <w:pPr>
        <w:pStyle w:val="4"/>
        <w:pageBreakBefore w:val="0"/>
        <w:widowControl w:val="0"/>
        <w:kinsoku/>
        <w:wordWrap/>
        <w:overflowPunct/>
        <w:topLinePunct w:val="0"/>
        <w:autoSpaceDE/>
        <w:autoSpaceDN/>
        <w:bidi w:val="0"/>
        <w:adjustRightInd w:val="0"/>
        <w:snapToGrid/>
        <w:spacing w:line="360" w:lineRule="auto"/>
        <w:textAlignment w:val="auto"/>
        <w:outlineLvl w:val="0"/>
        <w:rPr>
          <w:rFonts w:hint="eastAsia" w:ascii="仿宋" w:hAnsi="仿宋" w:eastAsia="仿宋" w:cs="仿宋"/>
          <w:b w:val="0"/>
          <w:sz w:val="24"/>
          <w:szCs w:val="24"/>
        </w:rPr>
      </w:pPr>
      <w:bookmarkStart w:id="7" w:name="_Toc35393629"/>
      <w:bookmarkStart w:id="8" w:name="_Toc14464"/>
      <w:bookmarkStart w:id="9" w:name="_Toc11674"/>
      <w:bookmarkStart w:id="10" w:name="_Toc28359012"/>
      <w:bookmarkStart w:id="11" w:name="_Toc35393798"/>
      <w:bookmarkStart w:id="12" w:name="_Toc28359089"/>
      <w:r>
        <w:rPr>
          <w:rFonts w:hint="eastAsia" w:ascii="仿宋" w:hAnsi="仿宋" w:eastAsia="仿宋" w:cs="仿宋"/>
          <w:b w:val="0"/>
          <w:sz w:val="24"/>
          <w:szCs w:val="24"/>
        </w:rPr>
        <w:t>一、项目基本情况</w:t>
      </w:r>
      <w:bookmarkEnd w:id="7"/>
      <w:bookmarkEnd w:id="8"/>
      <w:bookmarkEnd w:id="9"/>
      <w:bookmarkEnd w:id="10"/>
      <w:bookmarkEnd w:id="11"/>
      <w:bookmarkEnd w:id="12"/>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项目编</w:t>
      </w:r>
      <w:r>
        <w:rPr>
          <w:rFonts w:hint="eastAsia" w:ascii="仿宋" w:hAnsi="仿宋" w:eastAsia="仿宋" w:cs="仿宋"/>
          <w:sz w:val="24"/>
          <w:szCs w:val="24"/>
          <w:lang w:eastAsia="zh-CN"/>
        </w:rPr>
        <w:t>号：</w:t>
      </w:r>
      <w:r>
        <w:rPr>
          <w:rFonts w:hint="eastAsia" w:ascii="仿宋" w:hAnsi="仿宋" w:eastAsia="仿宋" w:cs="仿宋"/>
          <w:sz w:val="24"/>
          <w:szCs w:val="24"/>
          <w:u w:val="single"/>
          <w:lang w:val="en-US" w:eastAsia="zh-CN"/>
        </w:rPr>
        <w:t>车采审【2021】1号</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u w:val="single"/>
          <w:lang w:val="en-US" w:eastAsia="zh-CN"/>
        </w:rPr>
        <w:t>哈巴河县政法委边境管控工作用车采购项目</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w:t>
      </w:r>
      <w:r>
        <w:rPr>
          <w:rFonts w:hint="eastAsia" w:ascii="仿宋" w:hAnsi="仿宋" w:eastAsia="仿宋" w:cs="仿宋"/>
          <w:sz w:val="24"/>
          <w:szCs w:val="24"/>
          <w:lang w:eastAsia="zh-CN"/>
        </w:rPr>
        <w:t>：</w:t>
      </w:r>
      <w:r>
        <w:rPr>
          <w:rFonts w:hint="eastAsia" w:ascii="仿宋" w:hAnsi="仿宋" w:eastAsia="仿宋" w:cs="仿宋"/>
          <w:sz w:val="24"/>
          <w:szCs w:val="24"/>
        </w:rPr>
        <w:t>竞争性谈判</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72</w:t>
      </w:r>
      <w:r>
        <w:rPr>
          <w:rFonts w:hint="eastAsia" w:ascii="仿宋" w:hAnsi="仿宋" w:eastAsia="仿宋" w:cs="仿宋"/>
          <w:sz w:val="24"/>
          <w:szCs w:val="24"/>
        </w:rPr>
        <w:t>0000</w:t>
      </w:r>
      <w:r>
        <w:rPr>
          <w:rFonts w:hint="eastAsia" w:ascii="仿宋" w:hAnsi="仿宋" w:eastAsia="仿宋" w:cs="仿宋"/>
          <w:sz w:val="24"/>
          <w:szCs w:val="24"/>
          <w:lang w:val="en-US" w:eastAsia="zh-CN"/>
        </w:rPr>
        <w:t>.00元</w:t>
      </w:r>
      <w:r>
        <w:rPr>
          <w:rFonts w:hint="eastAsia" w:ascii="仿宋" w:hAnsi="仿宋" w:eastAsia="仿宋" w:cs="仿宋"/>
          <w:sz w:val="24"/>
          <w:szCs w:val="24"/>
        </w:rPr>
        <w:t>（投标报价超出预算价的做无效报价处理）；</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最高限价：</w:t>
      </w:r>
      <w:r>
        <w:rPr>
          <w:rFonts w:hint="eastAsia" w:ascii="仿宋" w:hAnsi="仿宋" w:eastAsia="仿宋" w:cs="仿宋"/>
          <w:sz w:val="24"/>
          <w:szCs w:val="24"/>
          <w:lang w:val="en-US" w:eastAsia="zh-CN"/>
        </w:rPr>
        <w:t>72</w:t>
      </w:r>
      <w:r>
        <w:rPr>
          <w:rFonts w:hint="eastAsia" w:ascii="仿宋" w:hAnsi="仿宋" w:eastAsia="仿宋" w:cs="仿宋"/>
          <w:sz w:val="24"/>
          <w:szCs w:val="24"/>
        </w:rPr>
        <w:t>0000</w:t>
      </w:r>
      <w:r>
        <w:rPr>
          <w:rFonts w:hint="eastAsia" w:ascii="仿宋" w:hAnsi="仿宋" w:eastAsia="仿宋" w:cs="仿宋"/>
          <w:sz w:val="24"/>
          <w:szCs w:val="24"/>
          <w:lang w:val="en-US" w:eastAsia="zh-CN"/>
        </w:rPr>
        <w:t>.00元</w:t>
      </w:r>
      <w:r>
        <w:rPr>
          <w:rFonts w:hint="eastAsia" w:ascii="仿宋" w:hAnsi="仿宋" w:eastAsia="仿宋" w:cs="仿宋"/>
          <w:sz w:val="24"/>
          <w:szCs w:val="24"/>
        </w:rPr>
        <w:t>（投标报价超出预算价的做无效报价处理）；</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sz w:val="24"/>
          <w:szCs w:val="24"/>
        </w:rPr>
        <w:t>采购需求：</w:t>
      </w:r>
      <w:r>
        <w:rPr>
          <w:rFonts w:hint="eastAsia" w:ascii="仿宋" w:hAnsi="仿宋" w:eastAsia="仿宋" w:cs="仿宋"/>
          <w:sz w:val="24"/>
          <w:szCs w:val="24"/>
          <w:lang w:val="en-US" w:eastAsia="zh-CN"/>
        </w:rPr>
        <w:t>执勤工作用车4辆</w:t>
      </w:r>
      <w:r>
        <w:rPr>
          <w:rFonts w:hint="eastAsia" w:ascii="仿宋" w:hAnsi="仿宋" w:eastAsia="仿宋" w:cs="仿宋"/>
          <w:sz w:val="24"/>
          <w:szCs w:val="24"/>
          <w:lang w:eastAsia="ar-SA"/>
        </w:rPr>
        <w:t>（详见竞争性谈判文件）</w:t>
      </w:r>
      <w:r>
        <w:rPr>
          <w:rFonts w:hint="eastAsia" w:ascii="仿宋" w:hAnsi="仿宋" w:eastAsia="仿宋" w:cs="仿宋"/>
          <w:color w:val="000000"/>
          <w:sz w:val="24"/>
          <w:szCs w:val="24"/>
        </w:rPr>
        <w:t xml:space="preserve">    </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合同履行期限：</w:t>
      </w:r>
      <w:r>
        <w:rPr>
          <w:rFonts w:hint="eastAsia" w:ascii="仿宋" w:hAnsi="仿宋" w:eastAsia="仿宋" w:cs="仿宋"/>
          <w:sz w:val="24"/>
          <w:szCs w:val="24"/>
          <w:lang w:val="en-US" w:eastAsia="zh-CN"/>
        </w:rPr>
        <w:t>/</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eastAsia="zh-CN"/>
        </w:rPr>
        <w:t>不</w:t>
      </w:r>
      <w:r>
        <w:rPr>
          <w:rFonts w:hint="eastAsia" w:ascii="仿宋" w:hAnsi="仿宋" w:eastAsia="仿宋" w:cs="仿宋"/>
          <w:sz w:val="24"/>
          <w:szCs w:val="24"/>
        </w:rPr>
        <w:t>接受联合体</w:t>
      </w:r>
      <w:r>
        <w:rPr>
          <w:rFonts w:hint="eastAsia" w:ascii="仿宋" w:hAnsi="仿宋" w:eastAsia="仿宋" w:cs="仿宋"/>
          <w:sz w:val="24"/>
          <w:szCs w:val="24"/>
          <w:lang w:eastAsia="zh-CN"/>
        </w:rPr>
        <w:t>投标</w:t>
      </w:r>
      <w:r>
        <w:rPr>
          <w:rFonts w:hint="eastAsia" w:ascii="仿宋" w:hAnsi="仿宋" w:eastAsia="仿宋" w:cs="仿宋"/>
          <w:sz w:val="24"/>
          <w:szCs w:val="24"/>
        </w:rPr>
        <w:t>。</w:t>
      </w:r>
    </w:p>
    <w:p>
      <w:pPr>
        <w:pStyle w:val="4"/>
        <w:pageBreakBefore w:val="0"/>
        <w:widowControl w:val="0"/>
        <w:kinsoku/>
        <w:wordWrap/>
        <w:overflowPunct/>
        <w:topLinePunct w:val="0"/>
        <w:autoSpaceDE/>
        <w:autoSpaceDN/>
        <w:bidi w:val="0"/>
        <w:adjustRightInd w:val="0"/>
        <w:snapToGrid/>
        <w:spacing w:line="360" w:lineRule="auto"/>
        <w:textAlignment w:val="auto"/>
        <w:outlineLvl w:val="0"/>
        <w:rPr>
          <w:rFonts w:hint="eastAsia" w:ascii="仿宋" w:hAnsi="仿宋" w:eastAsia="仿宋" w:cs="仿宋"/>
          <w:b w:val="0"/>
          <w:sz w:val="24"/>
          <w:szCs w:val="24"/>
        </w:rPr>
      </w:pPr>
      <w:bookmarkStart w:id="13" w:name="_Toc3275"/>
      <w:bookmarkStart w:id="14" w:name="_Toc10197"/>
      <w:bookmarkStart w:id="15" w:name="_Toc35393799"/>
      <w:bookmarkStart w:id="16" w:name="_Toc28359090"/>
      <w:bookmarkStart w:id="17" w:name="_Toc28359013"/>
      <w:bookmarkStart w:id="18" w:name="_Toc35393630"/>
      <w:r>
        <w:rPr>
          <w:rFonts w:hint="eastAsia" w:ascii="仿宋" w:hAnsi="仿宋" w:eastAsia="仿宋" w:cs="仿宋"/>
          <w:b w:val="0"/>
          <w:sz w:val="24"/>
          <w:szCs w:val="24"/>
        </w:rPr>
        <w:t>二、申请人的资格要求：</w:t>
      </w:r>
      <w:bookmarkEnd w:id="13"/>
      <w:bookmarkEnd w:id="14"/>
      <w:bookmarkEnd w:id="15"/>
      <w:bookmarkEnd w:id="16"/>
      <w:bookmarkEnd w:id="17"/>
      <w:bookmarkEnd w:id="18"/>
    </w:p>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FF"/>
          <w:spacing w:val="0"/>
          <w:kern w:val="0"/>
          <w:sz w:val="24"/>
          <w:szCs w:val="24"/>
          <w:highlight w:val="none"/>
          <w:lang w:val="en-US" w:eastAsia="zh-CN" w:bidi="ar-SA"/>
        </w:rPr>
      </w:pPr>
      <w:bookmarkStart w:id="19" w:name="_Toc35393800"/>
      <w:bookmarkStart w:id="20" w:name="_Toc17402"/>
      <w:bookmarkStart w:id="21" w:name="_Toc35393631"/>
      <w:bookmarkStart w:id="22" w:name="_Toc20889"/>
      <w:bookmarkStart w:id="23" w:name="_Toc28359091"/>
      <w:bookmarkStart w:id="24" w:name="_Toc28359014"/>
      <w:r>
        <w:rPr>
          <w:rFonts w:hint="eastAsia" w:ascii="仿宋" w:hAnsi="仿宋" w:eastAsia="仿宋" w:cs="仿宋"/>
          <w:b/>
          <w:bCs/>
          <w:i w:val="0"/>
          <w:caps w:val="0"/>
          <w:color w:val="0000FF"/>
          <w:spacing w:val="0"/>
          <w:kern w:val="0"/>
          <w:sz w:val="24"/>
          <w:szCs w:val="24"/>
          <w:highlight w:val="none"/>
          <w:lang w:val="en-US" w:eastAsia="zh-CN" w:bidi="ar-SA"/>
        </w:rPr>
        <w:t>1.满足《中华人民共和国政府采购法》第二十二条规定；</w:t>
      </w:r>
    </w:p>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FF"/>
          <w:spacing w:val="0"/>
          <w:kern w:val="0"/>
          <w:sz w:val="24"/>
          <w:szCs w:val="24"/>
          <w:highlight w:val="none"/>
          <w:lang w:val="en-US" w:eastAsia="zh-CN" w:bidi="ar-SA"/>
        </w:rPr>
      </w:pPr>
      <w:r>
        <w:rPr>
          <w:rFonts w:hint="eastAsia" w:ascii="仿宋" w:hAnsi="仿宋" w:eastAsia="仿宋" w:cs="仿宋"/>
          <w:b/>
          <w:bCs/>
          <w:i w:val="0"/>
          <w:caps w:val="0"/>
          <w:color w:val="0000FF"/>
          <w:spacing w:val="0"/>
          <w:kern w:val="0"/>
          <w:sz w:val="24"/>
          <w:szCs w:val="24"/>
          <w:highlight w:val="none"/>
          <w:lang w:val="en-US" w:eastAsia="zh-CN" w:bidi="ar-SA"/>
        </w:rPr>
        <w:t>2.本项目的特定资格要求：无</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Cs/>
          <w:sz w:val="24"/>
          <w:szCs w:val="24"/>
        </w:rPr>
      </w:pPr>
      <w:r>
        <w:rPr>
          <w:rFonts w:hint="eastAsia" w:ascii="仿宋" w:hAnsi="仿宋" w:eastAsia="仿宋" w:cs="仿宋"/>
          <w:bCs/>
          <w:sz w:val="24"/>
          <w:szCs w:val="24"/>
        </w:rPr>
        <w:t>三、获取采购文件</w:t>
      </w:r>
      <w:bookmarkEnd w:id="19"/>
      <w:bookmarkEnd w:id="20"/>
      <w:bookmarkEnd w:id="21"/>
      <w:bookmarkEnd w:id="22"/>
      <w:bookmarkEnd w:id="23"/>
      <w:bookmarkEnd w:id="24"/>
      <w:bookmarkStart w:id="25" w:name="_Toc7922"/>
      <w:bookmarkStart w:id="26" w:name="_Toc28359092"/>
      <w:bookmarkStart w:id="27" w:name="_Toc35393632"/>
      <w:bookmarkStart w:id="28" w:name="_Toc22996"/>
      <w:bookmarkStart w:id="29" w:name="_Toc35393801"/>
      <w:bookmarkStart w:id="30" w:name="_Toc28359015"/>
    </w:p>
    <w:p>
      <w:pPr>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 w:val="0"/>
          <w:sz w:val="24"/>
          <w:szCs w:val="24"/>
        </w:rPr>
      </w:pPr>
      <w:r>
        <w:rPr>
          <w:rFonts w:hint="eastAsia" w:ascii="仿宋" w:hAnsi="仿宋" w:eastAsia="仿宋" w:cs="仿宋"/>
          <w:b w:val="0"/>
          <w:sz w:val="24"/>
          <w:szCs w:val="24"/>
        </w:rPr>
        <w:t>时间：2021年10月</w:t>
      </w:r>
      <w:r>
        <w:rPr>
          <w:rFonts w:hint="eastAsia" w:ascii="仿宋" w:hAnsi="仿宋" w:eastAsia="仿宋" w:cs="仿宋"/>
          <w:b w:val="0"/>
          <w:sz w:val="24"/>
          <w:szCs w:val="24"/>
          <w:lang w:val="en-US" w:eastAsia="zh-CN"/>
        </w:rPr>
        <w:t>18</w:t>
      </w:r>
      <w:r>
        <w:rPr>
          <w:rFonts w:hint="eastAsia" w:ascii="仿宋" w:hAnsi="仿宋" w:eastAsia="仿宋" w:cs="仿宋"/>
          <w:b w:val="0"/>
          <w:sz w:val="24"/>
          <w:szCs w:val="24"/>
        </w:rPr>
        <w:t>日至2021年10月</w:t>
      </w:r>
      <w:r>
        <w:rPr>
          <w:rFonts w:hint="eastAsia" w:ascii="仿宋" w:hAnsi="仿宋" w:eastAsia="仿宋" w:cs="仿宋"/>
          <w:b w:val="0"/>
          <w:sz w:val="24"/>
          <w:szCs w:val="24"/>
          <w:lang w:val="en-US" w:eastAsia="zh-CN"/>
        </w:rPr>
        <w:t>20</w:t>
      </w:r>
      <w:r>
        <w:rPr>
          <w:rFonts w:hint="eastAsia" w:ascii="仿宋" w:hAnsi="仿宋" w:eastAsia="仿宋" w:cs="仿宋"/>
          <w:b w:val="0"/>
          <w:sz w:val="24"/>
          <w:szCs w:val="24"/>
        </w:rPr>
        <w:t>日每天上午00:00至</w:t>
      </w:r>
      <w:r>
        <w:rPr>
          <w:rFonts w:hint="eastAsia" w:ascii="仿宋" w:hAnsi="仿宋" w:eastAsia="仿宋" w:cs="仿宋"/>
          <w:b w:val="0"/>
          <w:sz w:val="24"/>
          <w:szCs w:val="24"/>
          <w:lang w:val="en-US" w:eastAsia="zh-CN"/>
        </w:rPr>
        <w:t>14</w:t>
      </w:r>
      <w:r>
        <w:rPr>
          <w:rFonts w:hint="eastAsia" w:ascii="仿宋" w:hAnsi="仿宋" w:eastAsia="仿宋" w:cs="仿宋"/>
          <w:b w:val="0"/>
          <w:sz w:val="24"/>
          <w:szCs w:val="24"/>
        </w:rPr>
        <w:t>:00，下午1</w:t>
      </w:r>
      <w:r>
        <w:rPr>
          <w:rFonts w:hint="eastAsia" w:ascii="仿宋" w:hAnsi="仿宋" w:eastAsia="仿宋" w:cs="仿宋"/>
          <w:b w:val="0"/>
          <w:sz w:val="24"/>
          <w:szCs w:val="24"/>
          <w:lang w:val="en-US" w:eastAsia="zh-CN"/>
        </w:rPr>
        <w:t>4</w:t>
      </w:r>
      <w:r>
        <w:rPr>
          <w:rFonts w:hint="eastAsia" w:ascii="仿宋" w:hAnsi="仿宋" w:eastAsia="仿宋" w:cs="仿宋"/>
          <w:b w:val="0"/>
          <w:sz w:val="24"/>
          <w:szCs w:val="24"/>
        </w:rPr>
        <w:t>:00至</w:t>
      </w:r>
      <w:r>
        <w:rPr>
          <w:rFonts w:hint="eastAsia" w:ascii="仿宋" w:hAnsi="仿宋" w:eastAsia="仿宋" w:cs="仿宋"/>
          <w:b w:val="0"/>
          <w:sz w:val="24"/>
          <w:szCs w:val="24"/>
          <w:lang w:val="en-US" w:eastAsia="zh-CN"/>
        </w:rPr>
        <w:t>19</w:t>
      </w:r>
      <w:r>
        <w:rPr>
          <w:rFonts w:hint="eastAsia" w:ascii="仿宋" w:hAnsi="仿宋" w:eastAsia="仿宋" w:cs="仿宋"/>
          <w:b w:val="0"/>
          <w:sz w:val="24"/>
          <w:szCs w:val="24"/>
        </w:rPr>
        <w:t>:</w:t>
      </w:r>
      <w:r>
        <w:rPr>
          <w:rFonts w:hint="eastAsia" w:ascii="仿宋" w:hAnsi="仿宋" w:eastAsia="仿宋" w:cs="仿宋"/>
          <w:b w:val="0"/>
          <w:sz w:val="24"/>
          <w:szCs w:val="24"/>
          <w:lang w:val="en-US" w:eastAsia="zh-CN"/>
        </w:rPr>
        <w:t>30</w:t>
      </w:r>
      <w:r>
        <w:rPr>
          <w:rFonts w:hint="eastAsia" w:ascii="仿宋" w:hAnsi="仿宋" w:eastAsia="仿宋" w:cs="仿宋"/>
          <w:b w:val="0"/>
          <w:sz w:val="24"/>
          <w:szCs w:val="24"/>
        </w:rPr>
        <w:t>（北京时间，法定节假日除外）</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 w:val="0"/>
          <w:sz w:val="24"/>
          <w:szCs w:val="24"/>
        </w:rPr>
      </w:pPr>
      <w:r>
        <w:rPr>
          <w:rFonts w:hint="eastAsia" w:ascii="仿宋" w:hAnsi="仿宋" w:eastAsia="仿宋" w:cs="仿宋"/>
          <w:b w:val="0"/>
          <w:sz w:val="24"/>
          <w:szCs w:val="24"/>
        </w:rPr>
        <w:t xml:space="preserve">地点：在新疆政府采购网（http://www.ccgp-xinjiang.gov.cn/）的该采购公告附件中直接下载招标（采购）文件，标书售后不退。 </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 w:val="0"/>
          <w:sz w:val="24"/>
          <w:szCs w:val="24"/>
        </w:rPr>
      </w:pPr>
      <w:r>
        <w:rPr>
          <w:rFonts w:hint="eastAsia" w:ascii="仿宋" w:hAnsi="仿宋" w:eastAsia="仿宋" w:cs="仿宋"/>
          <w:b w:val="0"/>
          <w:sz w:val="24"/>
          <w:szCs w:val="24"/>
        </w:rPr>
        <w:t>方式：线上自行下载</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售价：</w:t>
      </w:r>
      <w:r>
        <w:rPr>
          <w:rFonts w:hint="eastAsia" w:ascii="仿宋" w:hAnsi="仿宋" w:eastAsia="仿宋" w:cs="仿宋"/>
          <w:b w:val="0"/>
          <w:bCs w:val="0"/>
          <w:sz w:val="24"/>
          <w:szCs w:val="24"/>
          <w:lang w:val="en-US" w:eastAsia="zh-CN"/>
        </w:rPr>
        <w:t>0元</w:t>
      </w:r>
    </w:p>
    <w:p>
      <w:pPr>
        <w:pStyle w:val="4"/>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 w:val="0"/>
          <w:sz w:val="24"/>
          <w:szCs w:val="24"/>
        </w:rPr>
      </w:pPr>
      <w:r>
        <w:rPr>
          <w:rFonts w:hint="eastAsia" w:ascii="仿宋" w:hAnsi="仿宋" w:eastAsia="仿宋" w:cs="仿宋"/>
          <w:b w:val="0"/>
          <w:sz w:val="24"/>
          <w:szCs w:val="24"/>
        </w:rPr>
        <w:t>四、响应文件提交</w:t>
      </w:r>
      <w:bookmarkEnd w:id="25"/>
      <w:bookmarkEnd w:id="26"/>
      <w:bookmarkEnd w:id="27"/>
      <w:bookmarkEnd w:id="28"/>
      <w:bookmarkEnd w:id="29"/>
      <w:bookmarkEnd w:id="30"/>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rPr>
        <w:t xml:space="preserve"> 20</w:t>
      </w:r>
      <w:r>
        <w:rPr>
          <w:rFonts w:hint="eastAsia" w:ascii="仿宋" w:hAnsi="仿宋" w:eastAsia="仿宋" w:cs="仿宋"/>
          <w:sz w:val="24"/>
          <w:szCs w:val="24"/>
          <w:u w:val="single"/>
          <w:lang w:val="en-US" w:eastAsia="zh-CN"/>
        </w:rPr>
        <w:t>21</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10</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25</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eastAsia="zh-CN"/>
        </w:rPr>
        <w:t>17</w:t>
      </w:r>
      <w:r>
        <w:rPr>
          <w:rFonts w:hint="eastAsia" w:ascii="仿宋" w:hAnsi="仿宋" w:eastAsia="仿宋" w:cs="仿宋"/>
          <w:bCs/>
          <w:sz w:val="24"/>
          <w:szCs w:val="24"/>
          <w:u w:val="single"/>
        </w:rPr>
        <w:t xml:space="preserve">点 </w:t>
      </w:r>
      <w:r>
        <w:rPr>
          <w:rFonts w:hint="eastAsia" w:ascii="仿宋" w:hAnsi="仿宋" w:eastAsia="仿宋" w:cs="仿宋"/>
          <w:bCs/>
          <w:sz w:val="24"/>
          <w:szCs w:val="24"/>
          <w:u w:val="single"/>
          <w:lang w:val="en-US" w:eastAsia="zh-CN"/>
        </w:rPr>
        <w:t>0</w:t>
      </w:r>
      <w:r>
        <w:rPr>
          <w:rFonts w:hint="eastAsia" w:ascii="仿宋" w:hAnsi="仿宋" w:eastAsia="仿宋" w:cs="仿宋"/>
          <w:bCs/>
          <w:sz w:val="24"/>
          <w:szCs w:val="24"/>
          <w:u w:val="single"/>
        </w:rPr>
        <w:t>0分</w:t>
      </w:r>
      <w:r>
        <w:rPr>
          <w:rFonts w:hint="eastAsia" w:ascii="仿宋" w:hAnsi="仿宋" w:eastAsia="仿宋" w:cs="仿宋"/>
          <w:bCs/>
          <w:sz w:val="24"/>
          <w:szCs w:val="24"/>
        </w:rPr>
        <w:t>（北京时间）</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地点：</w:t>
      </w:r>
      <w:r>
        <w:rPr>
          <w:rFonts w:hint="eastAsia" w:ascii="仿宋" w:hAnsi="仿宋" w:eastAsia="仿宋" w:cs="仿宋"/>
          <w:sz w:val="24"/>
          <w:szCs w:val="24"/>
          <w:lang w:eastAsia="zh-CN"/>
        </w:rPr>
        <w:t>哈巴河县政府采购</w:t>
      </w:r>
      <w:r>
        <w:rPr>
          <w:rFonts w:hint="eastAsia" w:ascii="仿宋" w:hAnsi="仿宋" w:eastAsia="仿宋" w:cs="仿宋"/>
          <w:sz w:val="24"/>
          <w:szCs w:val="24"/>
        </w:rPr>
        <w:t>中心（</w:t>
      </w:r>
      <w:r>
        <w:rPr>
          <w:rFonts w:hint="eastAsia" w:ascii="仿宋" w:hAnsi="仿宋" w:eastAsia="仿宋" w:cs="仿宋"/>
          <w:sz w:val="24"/>
          <w:szCs w:val="24"/>
          <w:lang w:eastAsia="zh-CN"/>
        </w:rPr>
        <w:t>哈巴河县人民路</w:t>
      </w:r>
      <w:r>
        <w:rPr>
          <w:rFonts w:hint="eastAsia" w:ascii="仿宋" w:hAnsi="仿宋" w:eastAsia="仿宋" w:cs="仿宋"/>
          <w:sz w:val="24"/>
          <w:szCs w:val="24"/>
          <w:lang w:val="en-US" w:eastAsia="zh-CN"/>
        </w:rPr>
        <w:t>52</w:t>
      </w:r>
      <w:r>
        <w:rPr>
          <w:rFonts w:hint="eastAsia" w:ascii="仿宋" w:hAnsi="仿宋" w:eastAsia="仿宋" w:cs="仿宋"/>
          <w:sz w:val="24"/>
          <w:szCs w:val="24"/>
        </w:rPr>
        <w:t>号）</w:t>
      </w:r>
      <w:r>
        <w:rPr>
          <w:rFonts w:hint="eastAsia" w:ascii="仿宋" w:hAnsi="仿宋" w:eastAsia="仿宋" w:cs="仿宋"/>
          <w:sz w:val="24"/>
          <w:szCs w:val="24"/>
          <w:lang w:eastAsia="zh-CN"/>
        </w:rPr>
        <w:t>哈巴河县财政局三</w:t>
      </w:r>
      <w:r>
        <w:rPr>
          <w:rFonts w:hint="eastAsia" w:ascii="仿宋" w:hAnsi="仿宋" w:eastAsia="仿宋" w:cs="仿宋"/>
          <w:sz w:val="24"/>
          <w:szCs w:val="24"/>
        </w:rPr>
        <w:t>楼</w:t>
      </w:r>
      <w:r>
        <w:rPr>
          <w:rFonts w:hint="eastAsia" w:ascii="仿宋" w:hAnsi="仿宋" w:eastAsia="仿宋" w:cs="仿宋"/>
          <w:sz w:val="24"/>
          <w:szCs w:val="24"/>
          <w:lang w:eastAsia="zh-CN"/>
        </w:rPr>
        <w:t>招标室</w:t>
      </w:r>
    </w:p>
    <w:p>
      <w:pPr>
        <w:pStyle w:val="4"/>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 w:val="0"/>
          <w:sz w:val="24"/>
          <w:szCs w:val="24"/>
        </w:rPr>
      </w:pPr>
      <w:bookmarkStart w:id="31" w:name="_Toc35393633"/>
      <w:bookmarkStart w:id="32" w:name="_Toc28359093"/>
      <w:bookmarkStart w:id="33" w:name="_Toc297"/>
      <w:bookmarkStart w:id="34" w:name="_Toc28359016"/>
      <w:bookmarkStart w:id="35" w:name="_Toc35393802"/>
      <w:bookmarkStart w:id="36" w:name="_Toc30975"/>
      <w:r>
        <w:rPr>
          <w:rFonts w:hint="eastAsia" w:ascii="仿宋" w:hAnsi="仿宋" w:eastAsia="仿宋" w:cs="仿宋"/>
          <w:b w:val="0"/>
          <w:sz w:val="24"/>
          <w:szCs w:val="24"/>
        </w:rPr>
        <w:t>五、开启</w:t>
      </w:r>
      <w:bookmarkEnd w:id="31"/>
      <w:bookmarkEnd w:id="32"/>
      <w:bookmarkEnd w:id="33"/>
      <w:bookmarkEnd w:id="34"/>
      <w:bookmarkEnd w:id="35"/>
      <w:bookmarkEnd w:id="36"/>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rPr>
        <w:t xml:space="preserve"> 20</w:t>
      </w:r>
      <w:r>
        <w:rPr>
          <w:rFonts w:hint="eastAsia" w:ascii="仿宋" w:hAnsi="仿宋" w:eastAsia="仿宋" w:cs="仿宋"/>
          <w:sz w:val="24"/>
          <w:szCs w:val="24"/>
          <w:u w:val="single"/>
          <w:lang w:val="en-US" w:eastAsia="zh-CN"/>
        </w:rPr>
        <w:t>21</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10</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25</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eastAsia="zh-CN"/>
        </w:rPr>
        <w:t>17</w:t>
      </w:r>
      <w:r>
        <w:rPr>
          <w:rFonts w:hint="eastAsia" w:ascii="仿宋" w:hAnsi="仿宋" w:eastAsia="仿宋" w:cs="仿宋"/>
          <w:bCs/>
          <w:sz w:val="24"/>
          <w:szCs w:val="24"/>
          <w:u w:val="single"/>
        </w:rPr>
        <w:t xml:space="preserve">点 </w:t>
      </w:r>
      <w:r>
        <w:rPr>
          <w:rFonts w:hint="eastAsia" w:ascii="仿宋" w:hAnsi="仿宋" w:eastAsia="仿宋" w:cs="仿宋"/>
          <w:bCs/>
          <w:sz w:val="24"/>
          <w:szCs w:val="24"/>
          <w:u w:val="single"/>
          <w:lang w:val="en-US" w:eastAsia="zh-CN"/>
        </w:rPr>
        <w:t>00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地点：</w:t>
      </w:r>
      <w:bookmarkStart w:id="37" w:name="_Toc35393803"/>
      <w:bookmarkStart w:id="38" w:name="_Toc35393634"/>
      <w:bookmarkStart w:id="39" w:name="_Toc15664"/>
      <w:bookmarkStart w:id="40" w:name="_Toc28359094"/>
      <w:bookmarkStart w:id="41" w:name="_Toc28359017"/>
      <w:bookmarkStart w:id="42" w:name="_Toc135"/>
      <w:r>
        <w:rPr>
          <w:rFonts w:hint="eastAsia" w:ascii="仿宋" w:hAnsi="仿宋" w:eastAsia="仿宋" w:cs="仿宋"/>
          <w:sz w:val="24"/>
          <w:szCs w:val="24"/>
          <w:lang w:eastAsia="zh-CN"/>
        </w:rPr>
        <w:t>哈巴河县政府采购</w:t>
      </w:r>
      <w:r>
        <w:rPr>
          <w:rFonts w:hint="eastAsia" w:ascii="仿宋" w:hAnsi="仿宋" w:eastAsia="仿宋" w:cs="仿宋"/>
          <w:sz w:val="24"/>
          <w:szCs w:val="24"/>
        </w:rPr>
        <w:t>中心（</w:t>
      </w:r>
      <w:r>
        <w:rPr>
          <w:rFonts w:hint="eastAsia" w:ascii="仿宋" w:hAnsi="仿宋" w:eastAsia="仿宋" w:cs="仿宋"/>
          <w:sz w:val="24"/>
          <w:szCs w:val="24"/>
          <w:lang w:eastAsia="zh-CN"/>
        </w:rPr>
        <w:t>哈巴河县人民路</w:t>
      </w:r>
      <w:r>
        <w:rPr>
          <w:rFonts w:hint="eastAsia" w:ascii="仿宋" w:hAnsi="仿宋" w:eastAsia="仿宋" w:cs="仿宋"/>
          <w:sz w:val="24"/>
          <w:szCs w:val="24"/>
          <w:lang w:val="en-US" w:eastAsia="zh-CN"/>
        </w:rPr>
        <w:t>52</w:t>
      </w:r>
      <w:r>
        <w:rPr>
          <w:rFonts w:hint="eastAsia" w:ascii="仿宋" w:hAnsi="仿宋" w:eastAsia="仿宋" w:cs="仿宋"/>
          <w:sz w:val="24"/>
          <w:szCs w:val="24"/>
        </w:rPr>
        <w:t>号）</w:t>
      </w:r>
      <w:r>
        <w:rPr>
          <w:rFonts w:hint="eastAsia" w:ascii="仿宋" w:hAnsi="仿宋" w:eastAsia="仿宋" w:cs="仿宋"/>
          <w:sz w:val="24"/>
          <w:szCs w:val="24"/>
          <w:lang w:eastAsia="zh-CN"/>
        </w:rPr>
        <w:t>哈巴河县财政局三</w:t>
      </w:r>
      <w:r>
        <w:rPr>
          <w:rFonts w:hint="eastAsia" w:ascii="仿宋" w:hAnsi="仿宋" w:eastAsia="仿宋" w:cs="仿宋"/>
          <w:sz w:val="24"/>
          <w:szCs w:val="24"/>
        </w:rPr>
        <w:t>楼</w:t>
      </w:r>
      <w:r>
        <w:rPr>
          <w:rFonts w:hint="eastAsia" w:ascii="仿宋" w:hAnsi="仿宋" w:eastAsia="仿宋" w:cs="仿宋"/>
          <w:sz w:val="24"/>
          <w:szCs w:val="24"/>
          <w:lang w:eastAsia="zh-CN"/>
        </w:rPr>
        <w:t>招标室</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sz w:val="24"/>
          <w:szCs w:val="24"/>
        </w:rPr>
      </w:pPr>
      <w:r>
        <w:rPr>
          <w:rFonts w:hint="eastAsia" w:ascii="仿宋" w:hAnsi="仿宋" w:eastAsia="仿宋" w:cs="仿宋"/>
          <w:bCs/>
          <w:sz w:val="24"/>
          <w:szCs w:val="24"/>
        </w:rPr>
        <w:t>六、公告期限</w:t>
      </w:r>
      <w:bookmarkEnd w:id="37"/>
      <w:bookmarkEnd w:id="38"/>
      <w:bookmarkEnd w:id="39"/>
      <w:bookmarkEnd w:id="40"/>
      <w:bookmarkEnd w:id="41"/>
      <w:bookmarkEnd w:id="42"/>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个工作日。</w:t>
      </w:r>
    </w:p>
    <w:p>
      <w:pPr>
        <w:pStyle w:val="18"/>
        <w:keepNext w:val="0"/>
        <w:keepLines w:val="0"/>
        <w:pageBreakBefore w:val="0"/>
        <w:widowControl/>
        <w:numPr>
          <w:ilvl w:val="0"/>
          <w:numId w:val="1"/>
        </w:numPr>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val="0"/>
          <w:sz w:val="24"/>
          <w:szCs w:val="24"/>
          <w:lang w:eastAsia="zh-CN"/>
        </w:rPr>
      </w:pPr>
      <w:bookmarkStart w:id="43" w:name="_Toc35393635"/>
      <w:bookmarkStart w:id="44" w:name="_Toc35393804"/>
      <w:bookmarkStart w:id="45" w:name="_Toc25927"/>
      <w:bookmarkStart w:id="46" w:name="_Toc23752"/>
      <w:r>
        <w:rPr>
          <w:rFonts w:hint="eastAsia" w:ascii="仿宋" w:hAnsi="仿宋" w:eastAsia="仿宋" w:cs="仿宋"/>
          <w:b w:val="0"/>
          <w:sz w:val="24"/>
          <w:szCs w:val="24"/>
        </w:rPr>
        <w:t>其他补充事宜</w:t>
      </w:r>
      <w:bookmarkEnd w:id="43"/>
      <w:bookmarkEnd w:id="44"/>
      <w:r>
        <w:rPr>
          <w:rFonts w:hint="eastAsia" w:ascii="仿宋" w:hAnsi="仿宋" w:eastAsia="仿宋" w:cs="仿宋"/>
          <w:b w:val="0"/>
          <w:sz w:val="24"/>
          <w:szCs w:val="24"/>
          <w:lang w:eastAsia="zh-CN"/>
        </w:rPr>
        <w:t>：</w:t>
      </w:r>
      <w:bookmarkEnd w:id="45"/>
      <w:bookmarkEnd w:id="46"/>
    </w:p>
    <w:p>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360" w:lineRule="auto"/>
        <w:ind w:left="420" w:leftChars="0" w:right="0" w:rightChars="0"/>
        <w:textAlignment w:val="auto"/>
        <w:rPr>
          <w:rFonts w:hint="eastAsia" w:ascii="仿宋" w:hAnsi="仿宋" w:eastAsia="仿宋" w:cs="仿宋"/>
          <w:b/>
          <w:bCs/>
          <w:i w:val="0"/>
          <w:caps w:val="0"/>
          <w:color w:val="0000FF"/>
          <w:spacing w:val="0"/>
          <w:kern w:val="0"/>
          <w:sz w:val="24"/>
          <w:szCs w:val="24"/>
          <w:highlight w:val="none"/>
          <w:lang w:val="en-US" w:eastAsia="zh-CN" w:bidi="ar-SA"/>
        </w:rPr>
      </w:pPr>
      <w:r>
        <w:rPr>
          <w:rFonts w:hint="eastAsia" w:ascii="仿宋" w:hAnsi="仿宋" w:eastAsia="仿宋" w:cs="仿宋"/>
          <w:b/>
          <w:bCs/>
          <w:i w:val="0"/>
          <w:caps w:val="0"/>
          <w:color w:val="0000FF"/>
          <w:spacing w:val="0"/>
          <w:kern w:val="0"/>
          <w:sz w:val="24"/>
          <w:szCs w:val="24"/>
          <w:highlight w:val="none"/>
          <w:lang w:val="en-US" w:eastAsia="zh-CN" w:bidi="ar-SA"/>
        </w:rPr>
        <w:t>1.落实政府采购政策需满足的资格要求：</w:t>
      </w:r>
    </w:p>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FF"/>
          <w:spacing w:val="0"/>
          <w:kern w:val="0"/>
          <w:sz w:val="24"/>
          <w:szCs w:val="24"/>
          <w:highlight w:val="none"/>
          <w:lang w:val="en-US" w:eastAsia="zh-CN" w:bidi="ar-SA"/>
        </w:rPr>
      </w:pPr>
      <w:r>
        <w:rPr>
          <w:rFonts w:hint="eastAsia" w:ascii="仿宋" w:hAnsi="仿宋" w:eastAsia="仿宋" w:cs="仿宋"/>
          <w:i w:val="0"/>
          <w:caps w:val="0"/>
          <w:color w:val="0000FF"/>
          <w:spacing w:val="0"/>
          <w:kern w:val="0"/>
          <w:sz w:val="24"/>
          <w:szCs w:val="24"/>
          <w:highlight w:val="none"/>
          <w:lang w:val="en-US" w:eastAsia="zh-CN" w:bidi="ar-SA"/>
        </w:rPr>
        <w:t>（1）《政府采购促进中小企业发展暂行办法》（财库〔2011〕181号）；（2）《财政部、司法部关于政府采购支持监狱企业发展有关问题的通知》（财库〔2014〕68号）；（3）《财政部民政部中国残疾人联合会关于促进残疾人就业政府采购政策的通知》财库〔2017〕141号；</w:t>
      </w:r>
    </w:p>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auto"/>
          <w:spacing w:val="0"/>
          <w:kern w:val="0"/>
          <w:sz w:val="24"/>
          <w:szCs w:val="24"/>
          <w:highlight w:val="none"/>
          <w:lang w:val="en-US" w:eastAsia="zh-CN" w:bidi="ar-SA"/>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eastAsia="zh-CN"/>
        </w:rPr>
        <w:t>投标单位应在2021年</w:t>
      </w:r>
      <w:r>
        <w:rPr>
          <w:rFonts w:hint="eastAsia" w:ascii="仿宋" w:hAnsi="仿宋" w:eastAsia="仿宋" w:cs="仿宋"/>
          <w:b/>
          <w:bCs/>
          <w:sz w:val="24"/>
          <w:szCs w:val="24"/>
          <w:lang w:val="en-US" w:eastAsia="zh-CN"/>
        </w:rPr>
        <w:t>10</w:t>
      </w:r>
      <w:r>
        <w:rPr>
          <w:rFonts w:hint="eastAsia" w:ascii="仿宋" w:hAnsi="仿宋" w:eastAsia="仿宋" w:cs="仿宋"/>
          <w:b/>
          <w:bCs/>
          <w:sz w:val="24"/>
          <w:szCs w:val="24"/>
          <w:lang w:eastAsia="zh-CN"/>
        </w:rPr>
        <w:t>月</w:t>
      </w:r>
      <w:r>
        <w:rPr>
          <w:rFonts w:hint="eastAsia" w:ascii="仿宋" w:hAnsi="仿宋" w:eastAsia="仿宋" w:cs="仿宋"/>
          <w:b/>
          <w:bCs/>
          <w:sz w:val="24"/>
          <w:szCs w:val="24"/>
          <w:lang w:val="en-US" w:eastAsia="zh-CN"/>
        </w:rPr>
        <w:t>20</w:t>
      </w:r>
      <w:r>
        <w:rPr>
          <w:rFonts w:hint="eastAsia" w:ascii="仿宋" w:hAnsi="仿宋" w:eastAsia="仿宋" w:cs="仿宋"/>
          <w:b/>
          <w:bCs/>
          <w:sz w:val="24"/>
          <w:szCs w:val="24"/>
          <w:lang w:eastAsia="zh-CN"/>
        </w:rPr>
        <w:t>日</w:t>
      </w:r>
      <w:r>
        <w:rPr>
          <w:rFonts w:hint="eastAsia" w:ascii="仿宋" w:hAnsi="仿宋" w:eastAsia="仿宋" w:cs="仿宋"/>
          <w:b/>
          <w:bCs/>
          <w:sz w:val="24"/>
          <w:szCs w:val="24"/>
          <w:lang w:val="en-US" w:eastAsia="zh-CN"/>
        </w:rPr>
        <w:t>19</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eastAsia="zh-CN"/>
        </w:rPr>
        <w:t>0（北京时间）之前将投标报名资料、项目联系人及联系电话发送至我中心电子邮箱</w:t>
      </w:r>
      <w:r>
        <w:rPr>
          <w:rFonts w:hint="eastAsia" w:ascii="仿宋" w:hAnsi="仿宋" w:eastAsia="仿宋" w:cs="仿宋"/>
          <w:b/>
          <w:bCs/>
          <w:sz w:val="24"/>
          <w:szCs w:val="24"/>
          <w:lang w:val="en-US" w:eastAsia="zh-CN"/>
        </w:rPr>
        <w:t>3154736523</w:t>
      </w:r>
      <w:r>
        <w:rPr>
          <w:rFonts w:hint="eastAsia" w:ascii="仿宋" w:hAnsi="仿宋" w:eastAsia="仿宋" w:cs="仿宋"/>
          <w:b/>
          <w:bCs/>
          <w:sz w:val="24"/>
          <w:szCs w:val="24"/>
          <w:lang w:eastAsia="zh-CN"/>
        </w:rPr>
        <w:t>@qq.com。</w:t>
      </w:r>
      <w:r>
        <w:rPr>
          <w:rFonts w:hint="eastAsia" w:ascii="仿宋" w:hAnsi="仿宋" w:eastAsia="仿宋" w:cs="仿宋"/>
          <w:b/>
          <w:bCs/>
          <w:sz w:val="24"/>
          <w:szCs w:val="24"/>
          <w:lang w:val="en-US" w:eastAsia="zh-CN"/>
        </w:rPr>
        <w:t>报名资料时需提交的材料如下：</w:t>
      </w:r>
      <w:r>
        <w:rPr>
          <w:rFonts w:hint="eastAsia" w:ascii="仿宋" w:hAnsi="仿宋" w:eastAsia="仿宋" w:cs="仿宋"/>
          <w:b/>
          <w:bCs/>
          <w:i w:val="0"/>
          <w:caps w:val="0"/>
          <w:color w:val="auto"/>
          <w:spacing w:val="0"/>
          <w:kern w:val="0"/>
          <w:sz w:val="24"/>
          <w:szCs w:val="24"/>
          <w:highlight w:val="none"/>
          <w:lang w:val="en-US" w:eastAsia="zh-CN" w:bidi="ar-SA"/>
        </w:rPr>
        <w:t xml:space="preserve">1、法定代表人身份证或委托代理人需提供法定代表人授权委托书及委托代理人身份证复印件加盖公章；2、投标人须具有独立企业法人资格，应提供有效的营业执照(三证合一)复印件加盖公章；3、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敬请投标人注意！ </w:t>
      </w:r>
      <w:r>
        <w:rPr>
          <w:rFonts w:hint="eastAsia" w:ascii="仿宋" w:hAnsi="仿宋" w:eastAsia="仿宋" w:cs="仿宋"/>
          <w:i w:val="0"/>
          <w:caps w:val="0"/>
          <w:color w:val="auto"/>
          <w:spacing w:val="0"/>
          <w:kern w:val="0"/>
          <w:sz w:val="24"/>
          <w:szCs w:val="24"/>
          <w:highlight w:val="none"/>
          <w:lang w:val="en-US" w:eastAsia="zh-CN" w:bidi="ar-SA"/>
        </w:rPr>
        <w:t xml:space="preserve"> </w:t>
      </w:r>
    </w:p>
    <w:p>
      <w:pPr>
        <w:pStyle w:val="4"/>
        <w:keepNext/>
        <w:keepLines/>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 w:val="0"/>
          <w:sz w:val="24"/>
          <w:szCs w:val="24"/>
        </w:rPr>
      </w:pPr>
      <w:bookmarkStart w:id="47" w:name="_Toc28359018"/>
      <w:bookmarkStart w:id="48" w:name="_Toc1455"/>
      <w:bookmarkStart w:id="49" w:name="_Toc35393636"/>
      <w:bookmarkStart w:id="50" w:name="_Toc28359095"/>
      <w:bookmarkStart w:id="51" w:name="_Toc20454"/>
      <w:bookmarkStart w:id="52" w:name="_Toc35393805"/>
      <w:r>
        <w:rPr>
          <w:rFonts w:hint="eastAsia" w:ascii="仿宋" w:hAnsi="仿宋" w:eastAsia="仿宋" w:cs="仿宋"/>
          <w:b w:val="0"/>
          <w:sz w:val="24"/>
          <w:szCs w:val="24"/>
        </w:rPr>
        <w:t>八、凡对本次采购提出询问，请按以下方式联系。</w:t>
      </w:r>
      <w:bookmarkEnd w:id="47"/>
      <w:bookmarkEnd w:id="48"/>
      <w:bookmarkEnd w:id="49"/>
      <w:bookmarkEnd w:id="50"/>
      <w:bookmarkEnd w:id="51"/>
      <w:bookmarkEnd w:id="52"/>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招标人：哈巴河县委政法委</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联系人：赵春筱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联系电话：15009068982</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招标代理机构：哈巴河县政府采购中心</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联系人：赵春彦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联系电话：09066626937</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政府财政监管：哈巴河县政府采购管理办公室</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政府财政监管联系人：玛丽娜</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政府财政监管联系方式：0906-6623046</w:t>
      </w:r>
    </w:p>
    <w:p>
      <w:pPr>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仿宋" w:hAnsi="仿宋" w:eastAsia="仿宋" w:cs="仿宋"/>
          <w:sz w:val="24"/>
          <w:szCs w:val="24"/>
          <w:u w:val="none"/>
        </w:rPr>
      </w:pPr>
      <w:r>
        <w:rPr>
          <w:rFonts w:hint="eastAsia" w:ascii="仿宋" w:hAnsi="仿宋" w:eastAsia="仿宋" w:cs="仿宋"/>
          <w:sz w:val="24"/>
          <w:szCs w:val="24"/>
          <w:u w:val="none"/>
        </w:rPr>
        <w:t>　</w:t>
      </w:r>
    </w:p>
    <w:p>
      <w:pPr>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　　</w:t>
      </w:r>
    </w:p>
    <w:p>
      <w:pPr>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　</w:t>
      </w:r>
    </w:p>
    <w:p>
      <w:pPr>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　</w:t>
      </w:r>
    </w:p>
    <w:p>
      <w:pPr>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仿宋" w:hAnsi="仿宋" w:eastAsia="仿宋" w:cs="仿宋"/>
          <w:color w:val="000000" w:themeColor="text1"/>
          <w:sz w:val="24"/>
          <w:szCs w:val="24"/>
          <w:highlight w:val="none"/>
          <w:u w:val="none"/>
          <w:lang w:val="en-US" w:eastAsia="zh-CN"/>
          <w14:textFill>
            <w14:solidFill>
              <w14:schemeClr w14:val="tx1"/>
            </w14:solidFill>
          </w14:textFill>
        </w:rPr>
        <w:sectPr>
          <w:headerReference r:id="rId5" w:type="default"/>
          <w:footerReference r:id="rId6" w:type="default"/>
          <w:pgSz w:w="11907" w:h="16840"/>
          <w:pgMar w:top="1440" w:right="1247" w:bottom="1361" w:left="1247"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bookmarkEnd w:id="3"/>
    <w:p>
      <w:pPr>
        <w:pStyle w:val="5"/>
        <w:jc w:val="center"/>
        <w:rPr>
          <w:rFonts w:hint="eastAsia" w:ascii="仿宋" w:hAnsi="仿宋" w:eastAsia="仿宋" w:cs="仿宋"/>
          <w:color w:val="000000" w:themeColor="text1"/>
          <w:highlight w:val="none"/>
          <w14:textFill>
            <w14:solidFill>
              <w14:schemeClr w14:val="tx1"/>
            </w14:solidFill>
          </w14:textFill>
        </w:rPr>
      </w:pPr>
      <w:bookmarkStart w:id="53" w:name="_Toc14876"/>
      <w:r>
        <w:rPr>
          <w:rFonts w:hint="eastAsia" w:ascii="仿宋" w:hAnsi="仿宋" w:eastAsia="仿宋" w:cs="仿宋"/>
          <w:color w:val="000000" w:themeColor="text1"/>
          <w:sz w:val="28"/>
          <w:szCs w:val="28"/>
          <w:highlight w:val="none"/>
          <w14:textFill>
            <w14:solidFill>
              <w14:schemeClr w14:val="tx1"/>
            </w14:solidFill>
          </w14:textFill>
        </w:rPr>
        <w:t>投标人须知前附表</w:t>
      </w:r>
      <w:bookmarkEnd w:id="53"/>
    </w:p>
    <w:tbl>
      <w:tblPr>
        <w:tblStyle w:val="21"/>
        <w:tblW w:w="948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9"/>
        <w:gridCol w:w="2678"/>
        <w:gridCol w:w="60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条款号</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条款名称</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sz w:val="28"/>
                <w:szCs w:val="28"/>
                <w:lang w:val="en-US" w:eastAsia="zh-CN"/>
              </w:rPr>
              <w:t>哈巴河县政法委边境管控工作用车采购项目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采购内容</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sz w:val="28"/>
                <w:szCs w:val="28"/>
                <w:lang w:val="en-US" w:eastAsia="zh-CN"/>
              </w:rPr>
              <w:t>执勤工作用车4辆（详见竞争</w:t>
            </w:r>
            <w:r>
              <w:rPr>
                <w:rFonts w:hint="eastAsia" w:ascii="仿宋" w:hAnsi="仿宋" w:eastAsia="仿宋" w:cs="仿宋"/>
                <w:sz w:val="28"/>
                <w:szCs w:val="28"/>
              </w:rPr>
              <w:t>性谈判文件）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采购方式</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竞争性谈判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交货地点</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sz w:val="28"/>
                <w:szCs w:val="28"/>
                <w:highlight w:val="none"/>
                <w:lang w:val="en-US" w:eastAsia="zh-CN"/>
              </w:rPr>
              <w:t>哈巴河县（县域内从哈巴河县县城到货物到达地运输半径在170公里内，共计大萨孜90公里、卡拉克齐100公里、那仁170公里、可可托海90公里4个货物验收点）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供货</w:t>
            </w:r>
            <w:r>
              <w:rPr>
                <w:rFonts w:hint="eastAsia" w:ascii="仿宋" w:hAnsi="仿宋" w:eastAsia="仿宋" w:cs="仿宋"/>
                <w:color w:val="000000" w:themeColor="text1"/>
                <w:sz w:val="24"/>
                <w:szCs w:val="24"/>
                <w:highlight w:val="none"/>
                <w14:textFill>
                  <w14:solidFill>
                    <w14:schemeClr w14:val="tx1"/>
                  </w14:solidFill>
                </w14:textFill>
              </w:rPr>
              <w:t>期</w:t>
            </w:r>
            <w:r>
              <w:rPr>
                <w:rFonts w:hint="eastAsia" w:ascii="仿宋" w:hAnsi="仿宋" w:eastAsia="仿宋" w:cs="仿宋"/>
                <w:color w:val="000000" w:themeColor="text1"/>
                <w:sz w:val="24"/>
                <w:szCs w:val="24"/>
                <w:highlight w:val="none"/>
                <w:lang w:eastAsia="zh-CN"/>
                <w14:textFill>
                  <w14:solidFill>
                    <w14:schemeClr w14:val="tx1"/>
                  </w14:solidFill>
                </w14:textFill>
              </w:rPr>
              <w:t>及质保期</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供货期：自中标之日起3日历日内供货安装完毕</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质保期：5年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招标人：哈巴河县委政法委</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联系人：赵春筱    </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联系电话：15009068982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招标代理机构：哈巴河县政府采购中心</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联系人：赵春彦  </w:t>
            </w:r>
          </w:p>
          <w:p>
            <w:pPr>
              <w:keepNext w:val="0"/>
              <w:keepLines w:val="0"/>
              <w:pageBreakBefore w:val="0"/>
              <w:kinsoku/>
              <w:wordWrap/>
              <w:overflowPunct/>
              <w:topLinePunct w:val="0"/>
              <w:bidi w:val="0"/>
              <w:adjustRightInd w:val="0"/>
              <w:snapToGrid w:val="0"/>
              <w:spacing w:line="336" w:lineRule="auto"/>
              <w:textAlignment w:val="auto"/>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联系电话：18997528106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投标人资格条件</w:t>
            </w:r>
          </w:p>
        </w:tc>
        <w:tc>
          <w:tcPr>
            <w:tcW w:w="6026" w:type="dxa"/>
            <w:noWrap w:val="0"/>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FF"/>
                <w:spacing w:val="0"/>
                <w:kern w:val="0"/>
                <w:sz w:val="24"/>
                <w:szCs w:val="24"/>
                <w:highlight w:val="none"/>
                <w:lang w:val="en-US" w:eastAsia="zh-CN" w:bidi="ar-SA"/>
              </w:rPr>
            </w:pPr>
            <w:r>
              <w:rPr>
                <w:rFonts w:hint="eastAsia" w:ascii="仿宋" w:hAnsi="仿宋" w:eastAsia="仿宋" w:cs="仿宋"/>
                <w:b/>
                <w:bCs/>
                <w:i w:val="0"/>
                <w:caps w:val="0"/>
                <w:color w:val="0000FF"/>
                <w:spacing w:val="0"/>
                <w:kern w:val="0"/>
                <w:sz w:val="24"/>
                <w:szCs w:val="24"/>
                <w:highlight w:val="none"/>
                <w:lang w:val="en-US" w:eastAsia="zh-CN" w:bidi="ar-SA"/>
              </w:rPr>
              <w:t>1.满足《中华人民共和国政府采购法》第二十二条规定；</w:t>
            </w:r>
          </w:p>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FF"/>
                <w:spacing w:val="0"/>
                <w:kern w:val="0"/>
                <w:sz w:val="24"/>
                <w:szCs w:val="24"/>
                <w:highlight w:val="none"/>
                <w:lang w:val="en-US" w:eastAsia="zh-CN" w:bidi="ar-SA"/>
              </w:rPr>
            </w:pPr>
            <w:r>
              <w:rPr>
                <w:rFonts w:hint="eastAsia" w:ascii="仿宋" w:hAnsi="仿宋" w:eastAsia="仿宋" w:cs="仿宋"/>
                <w:b/>
                <w:bCs/>
                <w:i w:val="0"/>
                <w:caps w:val="0"/>
                <w:color w:val="0000FF"/>
                <w:spacing w:val="0"/>
                <w:kern w:val="0"/>
                <w:sz w:val="24"/>
                <w:szCs w:val="24"/>
                <w:highlight w:val="none"/>
                <w:lang w:val="en-US" w:eastAsia="zh-CN" w:bidi="ar-SA"/>
              </w:rPr>
              <w:t>2.落实政府采购政策需满足的资格要求：</w:t>
            </w:r>
          </w:p>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FF"/>
                <w:spacing w:val="0"/>
                <w:kern w:val="0"/>
                <w:sz w:val="24"/>
                <w:szCs w:val="24"/>
                <w:highlight w:val="none"/>
                <w:lang w:val="en-US" w:eastAsia="zh-CN" w:bidi="ar-SA"/>
              </w:rPr>
            </w:pPr>
            <w:r>
              <w:rPr>
                <w:rFonts w:hint="eastAsia" w:ascii="仿宋" w:hAnsi="仿宋" w:eastAsia="仿宋" w:cs="仿宋"/>
                <w:i w:val="0"/>
                <w:caps w:val="0"/>
                <w:color w:val="0000FF"/>
                <w:spacing w:val="0"/>
                <w:kern w:val="0"/>
                <w:sz w:val="24"/>
                <w:szCs w:val="24"/>
                <w:highlight w:val="none"/>
                <w:lang w:val="en-US" w:eastAsia="zh-CN" w:bidi="ar-SA"/>
              </w:rPr>
              <w:t>（1）《政府采购促进中小企业发展暂行办法》（财库〔2011〕181号）；（2）《财政部、司法部关于政府采购支持监狱企业发展有关问题的通知》（财库〔2014〕68号）；（3）《财政部民政部中国残疾人联合会关于促进残疾人就业政府采购政策的通知》财库〔2017〕141号；</w:t>
            </w:r>
          </w:p>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FF"/>
                <w:spacing w:val="0"/>
                <w:kern w:val="0"/>
                <w:sz w:val="24"/>
                <w:szCs w:val="24"/>
                <w:highlight w:val="none"/>
                <w:lang w:val="en-US" w:eastAsia="zh-CN" w:bidi="ar-SA"/>
              </w:rPr>
            </w:pPr>
            <w:r>
              <w:rPr>
                <w:rFonts w:hint="eastAsia" w:ascii="仿宋" w:hAnsi="仿宋" w:eastAsia="仿宋" w:cs="仿宋"/>
                <w:b/>
                <w:bCs/>
                <w:i w:val="0"/>
                <w:caps w:val="0"/>
                <w:color w:val="0000FF"/>
                <w:spacing w:val="0"/>
                <w:kern w:val="0"/>
                <w:sz w:val="24"/>
                <w:szCs w:val="24"/>
                <w:highlight w:val="none"/>
                <w:lang w:val="en-US" w:eastAsia="zh-CN" w:bidi="ar-SA"/>
              </w:rPr>
              <w:t>3.本项目的特定资格要求：无</w:t>
            </w:r>
          </w:p>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36" w:lineRule="auto"/>
              <w:ind w:left="0" w:right="0" w:firstLine="42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联合体形式</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对联合体各方的要求</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现场考察</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不组织，投标人自行对项目现场和其周围环境进行考察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vMerge w:val="restart"/>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p>
        </w:tc>
        <w:tc>
          <w:tcPr>
            <w:tcW w:w="2678" w:type="dxa"/>
            <w:noWrap w:val="0"/>
            <w:vAlign w:val="center"/>
          </w:tcPr>
          <w:p>
            <w:pPr>
              <w:pStyle w:val="45"/>
              <w:keepNext w:val="0"/>
              <w:keepLines w:val="0"/>
              <w:pageBreakBefore w:val="0"/>
              <w:kinsoku/>
              <w:wordWrap/>
              <w:overflowPunct/>
              <w:topLinePunct w:val="0"/>
              <w:bidi w:val="0"/>
              <w:snapToGrid w:val="0"/>
              <w:spacing w:line="336"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支持中小企业发展</w:t>
            </w:r>
          </w:p>
        </w:tc>
        <w:tc>
          <w:tcPr>
            <w:tcW w:w="6026" w:type="dxa"/>
            <w:noWrap w:val="0"/>
            <w:vAlign w:val="center"/>
          </w:tcPr>
          <w:p>
            <w:pPr>
              <w:pStyle w:val="45"/>
              <w:keepNext w:val="0"/>
              <w:keepLines w:val="0"/>
              <w:pageBreakBefore w:val="0"/>
              <w:kinsoku/>
              <w:wordWrap/>
              <w:overflowPunct/>
              <w:topLinePunct w:val="0"/>
              <w:bidi w:val="0"/>
              <w:snapToGrid w:val="0"/>
              <w:spacing w:line="336" w:lineRule="auto"/>
              <w:jc w:val="both"/>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给予小型和微型企业产品的价格给予6%-10/%的扣除，用扣除后的价格参与评审，本项目具体扣除比例为6%。</w:t>
            </w:r>
          </w:p>
          <w:p>
            <w:pPr>
              <w:pStyle w:val="45"/>
              <w:keepNext w:val="0"/>
              <w:keepLines w:val="0"/>
              <w:pageBreakBefore w:val="0"/>
              <w:kinsoku/>
              <w:wordWrap/>
              <w:overflowPunct/>
              <w:topLinePunct w:val="0"/>
              <w:bidi w:val="0"/>
              <w:snapToGrid w:val="0"/>
              <w:spacing w:line="336" w:lineRule="auto"/>
              <w:jc w:val="both"/>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小型和微型企业适用价格扣除办法时应提供的相关资料：</w:t>
            </w:r>
          </w:p>
          <w:p>
            <w:pPr>
              <w:pStyle w:val="45"/>
              <w:keepNext w:val="0"/>
              <w:keepLines w:val="0"/>
              <w:pageBreakBefore w:val="0"/>
              <w:kinsoku/>
              <w:wordWrap/>
              <w:overflowPunct/>
              <w:topLinePunct w:val="0"/>
              <w:bidi w:val="0"/>
              <w:snapToGrid w:val="0"/>
              <w:spacing w:line="336" w:lineRule="auto"/>
              <w:jc w:val="both"/>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①《中小企业声明函》；</w:t>
            </w:r>
          </w:p>
          <w:p>
            <w:pPr>
              <w:pStyle w:val="45"/>
              <w:keepNext w:val="0"/>
              <w:keepLines w:val="0"/>
              <w:pageBreakBefore w:val="0"/>
              <w:kinsoku/>
              <w:wordWrap/>
              <w:overflowPunct/>
              <w:topLinePunct w:val="0"/>
              <w:bidi w:val="0"/>
              <w:snapToGrid w:val="0"/>
              <w:spacing w:line="336" w:lineRule="auto"/>
              <w:jc w:val="both"/>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②提供供应商工商行政登记所在地管理部门出具的小微企业证明文件。</w:t>
            </w:r>
          </w:p>
          <w:p>
            <w:pPr>
              <w:pStyle w:val="45"/>
              <w:keepNext w:val="0"/>
              <w:keepLines w:val="0"/>
              <w:pageBreakBefore w:val="0"/>
              <w:kinsoku/>
              <w:wordWrap/>
              <w:overflowPunct/>
              <w:topLinePunct w:val="0"/>
              <w:bidi w:val="0"/>
              <w:snapToGrid w:val="0"/>
              <w:spacing w:line="336"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③提供所代理产品生产厂家的属地主管部门出具的小微企业证明文件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vMerge w:val="continue"/>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678" w:type="dxa"/>
            <w:noWrap w:val="0"/>
            <w:vAlign w:val="center"/>
          </w:tcPr>
          <w:p>
            <w:pPr>
              <w:pStyle w:val="45"/>
              <w:keepNext w:val="0"/>
              <w:keepLines w:val="0"/>
              <w:pageBreakBefore w:val="0"/>
              <w:kinsoku/>
              <w:wordWrap/>
              <w:overflowPunct/>
              <w:topLinePunct w:val="0"/>
              <w:bidi w:val="0"/>
              <w:snapToGrid w:val="0"/>
              <w:spacing w:line="336"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政府采购促进残疾人就业</w:t>
            </w:r>
          </w:p>
        </w:tc>
        <w:tc>
          <w:tcPr>
            <w:tcW w:w="6026" w:type="dxa"/>
            <w:noWrap w:val="0"/>
            <w:vAlign w:val="center"/>
          </w:tcPr>
          <w:p>
            <w:pPr>
              <w:keepNext w:val="0"/>
              <w:keepLines w:val="0"/>
              <w:pageBreakBefore w:val="0"/>
              <w:kinsoku/>
              <w:wordWrap/>
              <w:overflowPunct/>
              <w:topLinePunct w:val="0"/>
              <w:bidi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审中价格扣除等促进中小企业发展的政府采购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p>
        </w:tc>
        <w:tc>
          <w:tcPr>
            <w:tcW w:w="2678" w:type="dxa"/>
            <w:noWrap w:val="0"/>
            <w:vAlign w:val="center"/>
          </w:tcPr>
          <w:p>
            <w:pPr>
              <w:keepNext w:val="0"/>
              <w:keepLines w:val="0"/>
              <w:pageBreakBefore w:val="0"/>
              <w:kinsoku/>
              <w:wordWrap/>
              <w:overflowPunct/>
              <w:topLinePunct w:val="0"/>
              <w:bidi w:val="0"/>
              <w:snapToGrid w:val="0"/>
              <w:spacing w:line="336" w:lineRule="auto"/>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投标截止及开标时间</w:t>
            </w:r>
          </w:p>
        </w:tc>
        <w:tc>
          <w:tcPr>
            <w:tcW w:w="6026" w:type="dxa"/>
            <w:noWrap w:val="0"/>
            <w:vAlign w:val="center"/>
          </w:tcPr>
          <w:p>
            <w:pPr>
              <w:keepNext w:val="0"/>
              <w:keepLines w:val="0"/>
              <w:pageBreakBefore w:val="0"/>
              <w:kinsoku/>
              <w:wordWrap/>
              <w:overflowPunct/>
              <w:topLinePunct w:val="0"/>
              <w:bidi w:val="0"/>
              <w:snapToGrid w:val="0"/>
              <w:spacing w:line="336" w:lineRule="auto"/>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20</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w:t>
            </w:r>
            <w:r>
              <w:rPr>
                <w:rFonts w:hint="eastAsia" w:ascii="仿宋" w:hAnsi="仿宋" w:eastAsia="仿宋" w:cs="仿宋"/>
                <w:color w:val="000000" w:themeColor="text1"/>
                <w:kern w:val="0"/>
                <w:sz w:val="24"/>
                <w:szCs w:val="24"/>
                <w:highlight w:val="none"/>
                <w14:textFill>
                  <w14:solidFill>
                    <w14:schemeClr w14:val="tx1"/>
                  </w14:solidFill>
                </w14:textFill>
              </w:rPr>
              <w:t>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kern w:val="0"/>
                <w:sz w:val="24"/>
                <w:szCs w:val="24"/>
                <w:highlight w:val="none"/>
                <w14:textFill>
                  <w14:solidFill>
                    <w14:schemeClr w14:val="tx1"/>
                  </w14:solidFill>
                </w14:textFill>
              </w:rPr>
              <w:t>日</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17</w:t>
            </w:r>
            <w:r>
              <w:rPr>
                <w:rFonts w:hint="eastAsia" w:ascii="仿宋" w:hAnsi="仿宋" w:eastAsia="仿宋" w:cs="仿宋"/>
                <w:color w:val="000000" w:themeColor="text1"/>
                <w:kern w:val="0"/>
                <w:sz w:val="24"/>
                <w:szCs w:val="24"/>
                <w:highlight w:val="none"/>
                <w14:textFill>
                  <w14:solidFill>
                    <w14:schemeClr w14:val="tx1"/>
                  </w14:solidFill>
                </w14:textFill>
              </w:rPr>
              <w:t>时</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0</w:t>
            </w:r>
            <w:r>
              <w:rPr>
                <w:rFonts w:hint="eastAsia" w:ascii="仿宋" w:hAnsi="仿宋" w:eastAsia="仿宋" w:cs="仿宋"/>
                <w:color w:val="000000" w:themeColor="text1"/>
                <w:kern w:val="0"/>
                <w:sz w:val="24"/>
                <w:szCs w:val="24"/>
                <w:highlight w:val="none"/>
                <w14:textFill>
                  <w14:solidFill>
                    <w14:schemeClr w14:val="tx1"/>
                  </w14:solidFill>
                </w14:textFill>
              </w:rPr>
              <w:t>0分 (北京时间)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14</w:t>
            </w:r>
          </w:p>
        </w:tc>
        <w:tc>
          <w:tcPr>
            <w:tcW w:w="2678" w:type="dxa"/>
            <w:noWrap w:val="0"/>
            <w:vAlign w:val="center"/>
          </w:tcPr>
          <w:p>
            <w:pPr>
              <w:keepNext w:val="0"/>
              <w:keepLines w:val="0"/>
              <w:pageBreakBefore w:val="0"/>
              <w:kinsoku/>
              <w:wordWrap/>
              <w:overflowPunct/>
              <w:topLinePunct w:val="0"/>
              <w:bidi w:val="0"/>
              <w:snapToGrid w:val="0"/>
              <w:spacing w:line="336" w:lineRule="auto"/>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采购项目预算</w:t>
            </w:r>
          </w:p>
        </w:tc>
        <w:tc>
          <w:tcPr>
            <w:tcW w:w="6026" w:type="dxa"/>
            <w:noWrap w:val="0"/>
            <w:vAlign w:val="center"/>
          </w:tcPr>
          <w:p>
            <w:pPr>
              <w:keepNext w:val="0"/>
              <w:keepLines w:val="0"/>
              <w:pageBreakBefore w:val="0"/>
              <w:kinsoku/>
              <w:wordWrap/>
              <w:overflowPunct/>
              <w:topLinePunct w:val="0"/>
              <w:bidi w:val="0"/>
              <w:snapToGrid w:val="0"/>
              <w:spacing w:line="336" w:lineRule="auto"/>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sz w:val="24"/>
                <w:szCs w:val="24"/>
                <w:lang w:val="en-US" w:eastAsia="zh-CN"/>
              </w:rPr>
              <w:t>72</w:t>
            </w:r>
            <w:r>
              <w:rPr>
                <w:rFonts w:hint="eastAsia" w:ascii="仿宋" w:hAnsi="仿宋" w:eastAsia="仿宋" w:cs="仿宋"/>
                <w:sz w:val="24"/>
                <w:szCs w:val="24"/>
              </w:rPr>
              <w:t>0000</w:t>
            </w:r>
            <w:r>
              <w:rPr>
                <w:rFonts w:hint="eastAsia" w:ascii="仿宋" w:hAnsi="仿宋" w:eastAsia="仿宋" w:cs="仿宋"/>
                <w:sz w:val="24"/>
                <w:szCs w:val="24"/>
                <w:lang w:val="en-US" w:eastAsia="zh-CN"/>
              </w:rPr>
              <w:t>.00元</w:t>
            </w:r>
            <w:r>
              <w:rPr>
                <w:rFonts w:hint="eastAsia" w:ascii="仿宋" w:hAnsi="仿宋" w:eastAsia="仿宋" w:cs="仿宋"/>
                <w:color w:val="000000" w:themeColor="text1"/>
                <w:kern w:val="0"/>
                <w:sz w:val="24"/>
                <w:szCs w:val="24"/>
                <w:highlight w:val="none"/>
                <w14:textFill>
                  <w14:solidFill>
                    <w14:schemeClr w14:val="tx1"/>
                  </w14:solidFill>
                </w14:textFill>
              </w:rPr>
              <w:t>（投标报价超出预算</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总</w:t>
            </w:r>
            <w:r>
              <w:rPr>
                <w:rFonts w:hint="eastAsia" w:ascii="仿宋" w:hAnsi="仿宋" w:eastAsia="仿宋" w:cs="仿宋"/>
                <w:color w:val="000000" w:themeColor="text1"/>
                <w:kern w:val="0"/>
                <w:sz w:val="24"/>
                <w:szCs w:val="24"/>
                <w:highlight w:val="none"/>
                <w14:textFill>
                  <w14:solidFill>
                    <w14:schemeClr w14:val="tx1"/>
                  </w14:solidFill>
                </w14:textFill>
              </w:rPr>
              <w:t>价</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或预算单价</w:t>
            </w:r>
            <w:r>
              <w:rPr>
                <w:rFonts w:hint="eastAsia" w:ascii="仿宋" w:hAnsi="仿宋" w:eastAsia="仿宋" w:cs="仿宋"/>
                <w:color w:val="000000" w:themeColor="text1"/>
                <w:kern w:val="0"/>
                <w:sz w:val="24"/>
                <w:szCs w:val="24"/>
                <w:highlight w:val="none"/>
                <w14:textFill>
                  <w14:solidFill>
                    <w14:schemeClr w14:val="tx1"/>
                  </w14:solidFill>
                </w14:textFill>
              </w:rPr>
              <w:t>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均</w:t>
            </w:r>
            <w:r>
              <w:rPr>
                <w:rFonts w:hint="eastAsia" w:ascii="仿宋" w:hAnsi="仿宋" w:eastAsia="仿宋" w:cs="仿宋"/>
                <w:color w:val="000000" w:themeColor="text1"/>
                <w:kern w:val="0"/>
                <w:sz w:val="24"/>
                <w:szCs w:val="24"/>
                <w:highlight w:val="none"/>
                <w14:textFill>
                  <w14:solidFill>
                    <w14:schemeClr w14:val="tx1"/>
                  </w14:solidFill>
                </w14:textFill>
              </w:rPr>
              <w:t>做无效报价处理）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p>
        </w:tc>
        <w:tc>
          <w:tcPr>
            <w:tcW w:w="2678" w:type="dxa"/>
            <w:noWrap w:val="0"/>
            <w:vAlign w:val="center"/>
          </w:tcPr>
          <w:p>
            <w:pPr>
              <w:keepNext w:val="0"/>
              <w:keepLines w:val="0"/>
              <w:pageBreakBefore w:val="0"/>
              <w:kinsoku/>
              <w:wordWrap/>
              <w:overflowPunct/>
              <w:topLinePunct w:val="0"/>
              <w:bidi w:val="0"/>
              <w:snapToGrid w:val="0"/>
              <w:spacing w:line="336" w:lineRule="auto"/>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保证金</w:t>
            </w:r>
          </w:p>
        </w:tc>
        <w:tc>
          <w:tcPr>
            <w:tcW w:w="6026" w:type="dxa"/>
            <w:noWrap w:val="0"/>
            <w:vAlign w:val="center"/>
          </w:tcPr>
          <w:p>
            <w:pPr>
              <w:keepNext w:val="0"/>
              <w:keepLines w:val="0"/>
              <w:pageBreakBefore w:val="0"/>
              <w:numPr>
                <w:ilvl w:val="0"/>
                <w:numId w:val="0"/>
              </w:numPr>
              <w:kinsoku/>
              <w:wordWrap/>
              <w:overflowPunct/>
              <w:topLinePunct w:val="0"/>
              <w:bidi w:val="0"/>
              <w:snapToGrid w:val="0"/>
              <w:spacing w:line="336" w:lineRule="auto"/>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保证金的形式：转账、汇款（对公转账，从基本账户转</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出</w:t>
            </w:r>
            <w:r>
              <w:rPr>
                <w:rFonts w:hint="eastAsia" w:ascii="仿宋" w:hAnsi="仿宋" w:eastAsia="仿宋" w:cs="仿宋"/>
                <w:color w:val="000000" w:themeColor="text1"/>
                <w:kern w:val="0"/>
                <w:sz w:val="24"/>
                <w:szCs w:val="24"/>
                <w:highlight w:val="none"/>
                <w14:textFill>
                  <w14:solidFill>
                    <w14:schemeClr w14:val="tx1"/>
                  </w14:solidFill>
                </w14:textFill>
              </w:rPr>
              <w:t>）</w:t>
            </w:r>
          </w:p>
          <w:p>
            <w:pPr>
              <w:pStyle w:val="11"/>
              <w:spacing w:line="440" w:lineRule="exact"/>
              <w:jc w:val="both"/>
              <w:rPr>
                <w:rFonts w:hint="eastAsia" w:ascii="仿宋" w:hAnsi="仿宋" w:eastAsia="仿宋" w:cs="仿宋"/>
                <w:sz w:val="28"/>
                <w:szCs w:val="28"/>
              </w:rPr>
            </w:pPr>
            <w:r>
              <w:rPr>
                <w:rFonts w:hint="eastAsia" w:ascii="仿宋" w:hAnsi="仿宋" w:eastAsia="仿宋" w:cs="仿宋"/>
                <w:sz w:val="28"/>
                <w:szCs w:val="28"/>
                <w:lang w:val="en-US" w:eastAsia="zh-CN"/>
              </w:rPr>
              <w:t>投标保证金：10000</w:t>
            </w:r>
            <w:r>
              <w:rPr>
                <w:rFonts w:hint="eastAsia" w:ascii="仿宋" w:hAnsi="仿宋" w:eastAsia="仿宋" w:cs="仿宋"/>
                <w:sz w:val="28"/>
                <w:szCs w:val="28"/>
              </w:rPr>
              <w:t>元（</w:t>
            </w:r>
            <w:r>
              <w:rPr>
                <w:rFonts w:hint="eastAsia" w:ascii="仿宋" w:hAnsi="仿宋" w:eastAsia="仿宋" w:cs="仿宋"/>
                <w:sz w:val="28"/>
                <w:szCs w:val="28"/>
                <w:lang w:val="en-US" w:eastAsia="zh-CN"/>
              </w:rPr>
              <w:t>壹</w:t>
            </w:r>
            <w:r>
              <w:rPr>
                <w:rFonts w:hint="eastAsia" w:ascii="仿宋" w:hAnsi="仿宋" w:eastAsia="仿宋" w:cs="仿宋"/>
                <w:sz w:val="28"/>
                <w:szCs w:val="28"/>
              </w:rPr>
              <w:t>万元整）</w:t>
            </w:r>
          </w:p>
          <w:p>
            <w:pPr>
              <w:pStyle w:val="11"/>
              <w:spacing w:line="440" w:lineRule="exact"/>
              <w:jc w:val="both"/>
              <w:rPr>
                <w:rFonts w:hint="eastAsia" w:ascii="仿宋" w:hAnsi="仿宋" w:eastAsia="仿宋" w:cs="仿宋"/>
                <w:sz w:val="28"/>
                <w:szCs w:val="28"/>
              </w:rPr>
            </w:pPr>
            <w:r>
              <w:rPr>
                <w:rFonts w:hint="eastAsia" w:ascii="仿宋" w:hAnsi="仿宋" w:eastAsia="仿宋" w:cs="仿宋"/>
                <w:sz w:val="28"/>
                <w:szCs w:val="28"/>
              </w:rPr>
              <w:t>开户银行及帐号如下：</w:t>
            </w:r>
          </w:p>
          <w:p>
            <w:pPr>
              <w:pStyle w:val="11"/>
              <w:spacing w:line="440" w:lineRule="exact"/>
              <w:jc w:val="both"/>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lang w:val="en-US" w:eastAsia="zh-CN"/>
              </w:rPr>
              <w:t>哈巴河县农村信用合作联社</w:t>
            </w:r>
          </w:p>
          <w:p>
            <w:pPr>
              <w:pStyle w:val="11"/>
              <w:spacing w:line="440" w:lineRule="exact"/>
              <w:jc w:val="both"/>
              <w:rPr>
                <w:rFonts w:hint="eastAsia" w:ascii="仿宋" w:hAnsi="仿宋" w:eastAsia="仿宋" w:cs="仿宋"/>
                <w:sz w:val="28"/>
                <w:szCs w:val="28"/>
                <w:lang w:val="en-US" w:eastAsia="zh-CN"/>
              </w:rPr>
            </w:pPr>
            <w:r>
              <w:rPr>
                <w:rFonts w:hint="eastAsia" w:ascii="仿宋" w:hAnsi="仿宋" w:eastAsia="仿宋" w:cs="仿宋"/>
                <w:sz w:val="28"/>
                <w:szCs w:val="28"/>
              </w:rPr>
              <w:t>银行账号：</w:t>
            </w:r>
            <w:r>
              <w:rPr>
                <w:rFonts w:hint="eastAsia" w:ascii="仿宋" w:hAnsi="仿宋" w:eastAsia="仿宋" w:cs="仿宋"/>
                <w:sz w:val="28"/>
                <w:szCs w:val="28"/>
                <w:lang w:val="en-US" w:eastAsia="zh-CN"/>
              </w:rPr>
              <w:t>8241010001201100008889</w:t>
            </w:r>
          </w:p>
          <w:p>
            <w:pPr>
              <w:pStyle w:val="11"/>
              <w:spacing w:line="440" w:lineRule="exact"/>
              <w:jc w:val="both"/>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lang w:val="en-US" w:eastAsia="zh-CN"/>
              </w:rPr>
              <w:t>哈巴河县财政局</w:t>
            </w:r>
          </w:p>
          <w:p>
            <w:pPr>
              <w:keepNext w:val="0"/>
              <w:keepLines w:val="0"/>
              <w:pageBreakBefore w:val="0"/>
              <w:numPr>
                <w:ilvl w:val="0"/>
                <w:numId w:val="0"/>
              </w:numPr>
              <w:kinsoku/>
              <w:wordWrap/>
              <w:overflowPunct/>
              <w:topLinePunct w:val="0"/>
              <w:bidi w:val="0"/>
              <w:snapToGrid w:val="0"/>
              <w:spacing w:line="336"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09066626937</w:t>
            </w:r>
          </w:p>
          <w:p>
            <w:pPr>
              <w:keepNext w:val="0"/>
              <w:keepLines w:val="0"/>
              <w:pageBreakBefore w:val="0"/>
              <w:numPr>
                <w:ilvl w:val="0"/>
                <w:numId w:val="0"/>
              </w:numPr>
              <w:kinsoku/>
              <w:wordWrap/>
              <w:overflowPunct/>
              <w:topLinePunct w:val="0"/>
              <w:bidi w:val="0"/>
              <w:snapToGrid w:val="0"/>
              <w:spacing w:line="336" w:lineRule="auto"/>
              <w:jc w:val="left"/>
              <w:textAlignment w:val="auto"/>
              <w:rPr>
                <w:rFonts w:hint="eastAsia" w:ascii="仿宋" w:hAnsi="仿宋" w:eastAsia="仿宋" w:cs="仿宋"/>
                <w:b/>
                <w:bCs/>
                <w:color w:val="FF0000"/>
                <w:kern w:val="0"/>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 备注：1、</w:t>
            </w:r>
            <w:r>
              <w:rPr>
                <w:rFonts w:hint="eastAsia" w:ascii="仿宋" w:hAnsi="仿宋" w:eastAsia="仿宋" w:cs="仿宋"/>
                <w:b/>
                <w:bCs/>
                <w:color w:val="FF0000"/>
                <w:kern w:val="0"/>
                <w:sz w:val="24"/>
                <w:szCs w:val="24"/>
                <w:highlight w:val="none"/>
              </w:rPr>
              <w:t>报价企业必须以投标单位的名义缴纳谈判保证金,投标单位在缴纳谈判保证金时备注项目名称及用途,</w:t>
            </w:r>
            <w:r>
              <w:rPr>
                <w:rFonts w:hint="eastAsia" w:ascii="仿宋" w:hAnsi="仿宋" w:eastAsia="仿宋" w:cs="仿宋"/>
                <w:b/>
                <w:bCs/>
                <w:color w:val="FF0000"/>
                <w:sz w:val="28"/>
                <w:szCs w:val="28"/>
              </w:rPr>
              <w:t>在202</w:t>
            </w:r>
            <w:r>
              <w:rPr>
                <w:rFonts w:hint="eastAsia" w:ascii="仿宋" w:hAnsi="仿宋" w:eastAsia="仿宋" w:cs="仿宋"/>
                <w:b/>
                <w:bCs/>
                <w:color w:val="FF0000"/>
                <w:sz w:val="28"/>
                <w:szCs w:val="28"/>
                <w:lang w:val="en-US" w:eastAsia="zh-CN"/>
              </w:rPr>
              <w:t>1</w:t>
            </w:r>
            <w:r>
              <w:rPr>
                <w:rFonts w:hint="eastAsia" w:ascii="仿宋" w:hAnsi="仿宋" w:eastAsia="仿宋" w:cs="仿宋"/>
                <w:b/>
                <w:bCs/>
                <w:color w:val="FF0000"/>
                <w:sz w:val="28"/>
                <w:szCs w:val="28"/>
              </w:rPr>
              <w:t>年</w:t>
            </w:r>
            <w:r>
              <w:rPr>
                <w:rFonts w:hint="eastAsia" w:ascii="仿宋" w:hAnsi="仿宋" w:eastAsia="仿宋" w:cs="仿宋"/>
                <w:b/>
                <w:bCs/>
                <w:color w:val="FF0000"/>
                <w:sz w:val="28"/>
                <w:szCs w:val="28"/>
                <w:lang w:val="en-US" w:eastAsia="zh-CN"/>
              </w:rPr>
              <w:t>10</w:t>
            </w:r>
            <w:r>
              <w:rPr>
                <w:rFonts w:hint="eastAsia" w:ascii="仿宋" w:hAnsi="仿宋" w:eastAsia="仿宋" w:cs="仿宋"/>
                <w:b/>
                <w:bCs/>
                <w:color w:val="FF0000"/>
                <w:sz w:val="28"/>
                <w:szCs w:val="28"/>
              </w:rPr>
              <w:t>月</w:t>
            </w:r>
            <w:r>
              <w:rPr>
                <w:rFonts w:hint="eastAsia" w:ascii="仿宋" w:hAnsi="仿宋" w:eastAsia="仿宋" w:cs="仿宋"/>
                <w:b/>
                <w:bCs/>
                <w:color w:val="FF0000"/>
                <w:sz w:val="28"/>
                <w:szCs w:val="28"/>
                <w:lang w:val="en-US" w:eastAsia="zh-CN"/>
              </w:rPr>
              <w:t>24</w:t>
            </w:r>
            <w:r>
              <w:rPr>
                <w:rFonts w:hint="eastAsia" w:ascii="仿宋" w:hAnsi="仿宋" w:eastAsia="仿宋" w:cs="仿宋"/>
                <w:b/>
                <w:bCs/>
                <w:color w:val="FF0000"/>
                <w:sz w:val="28"/>
                <w:szCs w:val="28"/>
              </w:rPr>
              <w:t>日</w:t>
            </w:r>
            <w:r>
              <w:rPr>
                <w:rFonts w:hint="eastAsia" w:ascii="仿宋" w:hAnsi="仿宋" w:eastAsia="仿宋" w:cs="仿宋"/>
                <w:b/>
                <w:bCs/>
                <w:color w:val="FF0000"/>
                <w:sz w:val="28"/>
                <w:szCs w:val="28"/>
                <w:lang w:val="en-US" w:eastAsia="zh-CN"/>
              </w:rPr>
              <w:t>17</w:t>
            </w:r>
            <w:r>
              <w:rPr>
                <w:rFonts w:hint="eastAsia" w:ascii="仿宋" w:hAnsi="仿宋" w:eastAsia="仿宋" w:cs="仿宋"/>
                <w:b/>
                <w:bCs/>
                <w:color w:val="FF0000"/>
                <w:sz w:val="28"/>
                <w:szCs w:val="28"/>
              </w:rPr>
              <w:t>:00（北京时间）之前到账，之后到账的不予受理。必须从其基本帐户转出</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kern w:val="0"/>
                <w:sz w:val="24"/>
                <w:szCs w:val="24"/>
                <w:highlight w:val="none"/>
              </w:rPr>
              <w:t>以进账时间为准确定谈判保证金缴纳的时效性，开标时须手持谈判保证金银行电子回单以备查验；</w:t>
            </w:r>
          </w:p>
          <w:p>
            <w:pPr>
              <w:keepNext w:val="0"/>
              <w:keepLines w:val="0"/>
              <w:pageBreakBefore w:val="0"/>
              <w:numPr>
                <w:ilvl w:val="0"/>
                <w:numId w:val="0"/>
              </w:numPr>
              <w:kinsoku/>
              <w:wordWrap/>
              <w:overflowPunct/>
              <w:topLinePunct w:val="0"/>
              <w:bidi w:val="0"/>
              <w:snapToGrid w:val="0"/>
              <w:spacing w:line="336" w:lineRule="auto"/>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bCs/>
                <w:color w:val="FF0000"/>
                <w:kern w:val="0"/>
                <w:sz w:val="24"/>
                <w:szCs w:val="24"/>
                <w:highlight w:val="none"/>
              </w:rPr>
              <w:t>2、开标结束后未中标企业现场将授权委托书或法人身份证复印件、开户许可证复印件（注明：联系人、联系电话、行号）、收据（必须加盖公司公章/财务章）、谈判保证金银行回单递交至</w:t>
            </w:r>
            <w:r>
              <w:rPr>
                <w:rFonts w:hint="eastAsia" w:ascii="仿宋" w:hAnsi="仿宋" w:eastAsia="仿宋" w:cs="仿宋"/>
                <w:b/>
                <w:bCs/>
                <w:color w:val="FF0000"/>
                <w:kern w:val="0"/>
                <w:sz w:val="24"/>
                <w:szCs w:val="24"/>
                <w:highlight w:val="none"/>
                <w:lang w:eastAsia="zh-CN"/>
              </w:rPr>
              <w:t>哈巴河县政府采购</w:t>
            </w:r>
            <w:r>
              <w:rPr>
                <w:rFonts w:hint="eastAsia" w:ascii="仿宋" w:hAnsi="仿宋" w:eastAsia="仿宋" w:cs="仿宋"/>
                <w:b/>
                <w:bCs/>
                <w:color w:val="FF0000"/>
                <w:kern w:val="0"/>
                <w:sz w:val="24"/>
                <w:szCs w:val="24"/>
                <w:highlight w:val="none"/>
              </w:rPr>
              <w:t>中心财务室</w:t>
            </w:r>
            <w:r>
              <w:rPr>
                <w:rFonts w:hint="eastAsia" w:ascii="仿宋" w:hAnsi="仿宋" w:eastAsia="仿宋" w:cs="仿宋"/>
                <w:color w:val="000000" w:themeColor="text1"/>
                <w:kern w:val="0"/>
                <w:sz w:val="24"/>
                <w:szCs w:val="24"/>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16</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bCs/>
                <w:color w:val="000000" w:themeColor="text1"/>
                <w:sz w:val="24"/>
                <w:szCs w:val="24"/>
                <w:highlight w:val="none"/>
                <w14:textFill>
                  <w14:solidFill>
                    <w14:schemeClr w14:val="tx1"/>
                  </w14:solidFill>
                </w14:textFill>
              </w:rPr>
              <w:t>有效期</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vMerge w:val="restart"/>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17</w:t>
            </w:r>
          </w:p>
        </w:tc>
        <w:tc>
          <w:tcPr>
            <w:tcW w:w="2678" w:type="dxa"/>
            <w:vMerge w:val="restart"/>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i w:val="0"/>
                <w:color w:val="000000"/>
                <w:kern w:val="0"/>
                <w:sz w:val="22"/>
                <w:szCs w:val="22"/>
                <w:highlight w:val="none"/>
                <w:u w:val="none"/>
                <w:lang w:val="en-US" w:eastAsia="zh-CN" w:bidi="ar"/>
              </w:rPr>
              <w:t>验收要求:</w:t>
            </w:r>
          </w:p>
        </w:tc>
        <w:tc>
          <w:tcPr>
            <w:tcW w:w="6026" w:type="dxa"/>
            <w:noWrap w:val="0"/>
            <w:vAlign w:val="center"/>
          </w:tcPr>
          <w:p>
            <w:pPr>
              <w:keepNext w:val="0"/>
              <w:keepLines w:val="0"/>
              <w:widowControl/>
              <w:suppressLineNumbers w:val="0"/>
              <w:jc w:val="both"/>
              <w:textAlignment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color w:val="000000"/>
                <w:kern w:val="0"/>
                <w:sz w:val="22"/>
                <w:szCs w:val="22"/>
                <w:highlight w:val="none"/>
                <w:u w:val="none"/>
                <w:lang w:val="en-US" w:eastAsia="zh-CN" w:bidi="ar"/>
              </w:rPr>
              <w:t>1)货物若有国家标准按照国家标准验收，若无国家标准按行业标准验收，为原制造商制造的全新产品，整机无污染，无侵权行为、表面无划损、无任何缺陷隐患，在中国境内可依常规安全合法使用。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vMerge w:val="continue"/>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2678" w:type="dxa"/>
            <w:vMerge w:val="continue"/>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p>
        </w:tc>
        <w:tc>
          <w:tcPr>
            <w:tcW w:w="6026" w:type="dxa"/>
            <w:noWrap w:val="0"/>
            <w:vAlign w:val="center"/>
          </w:tcPr>
          <w:p>
            <w:pPr>
              <w:keepNext w:val="0"/>
              <w:keepLines w:val="0"/>
              <w:widowControl/>
              <w:suppressLineNumbers w:val="0"/>
              <w:jc w:val="both"/>
              <w:textAlignment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color w:val="000000"/>
                <w:kern w:val="0"/>
                <w:sz w:val="22"/>
                <w:szCs w:val="22"/>
                <w:highlight w:val="none"/>
                <w:u w:val="none"/>
                <w:lang w:val="en-US" w:eastAsia="zh-CN" w:bidi="ar"/>
              </w:rPr>
              <w:t>2)货物为原厂商未启封全新包装，具出厂合格证，序列号、包装箱号与出厂批号一致，并可追索查阅。所有随设备的附件必须齐全。签订合同及供货时须同时提供由制造商出具的针对本招标号原厂供货确认函及服务承诺函原件:签订合同及供货时，若未能提供由制造商出具的针对本招标号原厂供货确认函及服务承诺函原件，采购方将拒绝签订合同、拒收货物及拒付货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vMerge w:val="continue"/>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2678" w:type="dxa"/>
            <w:vMerge w:val="continue"/>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p>
        </w:tc>
        <w:tc>
          <w:tcPr>
            <w:tcW w:w="6026" w:type="dxa"/>
            <w:noWrap w:val="0"/>
            <w:vAlign w:val="center"/>
          </w:tcPr>
          <w:p>
            <w:pPr>
              <w:keepNext w:val="0"/>
              <w:keepLines w:val="0"/>
              <w:widowControl/>
              <w:suppressLineNumbers w:val="0"/>
              <w:jc w:val="both"/>
              <w:textAlignment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color w:val="000000"/>
                <w:kern w:val="0"/>
                <w:sz w:val="22"/>
                <w:szCs w:val="22"/>
                <w:highlight w:val="none"/>
                <w:u w:val="none"/>
                <w:lang w:val="en-US" w:eastAsia="zh-CN" w:bidi="ar"/>
              </w:rPr>
              <w:t>3)供货方应将关键主机设备的用户手册、保修手册、有关单证及资料及配备件、随机工具等交付给甲方，使用操作及安全须知等重要资料应附有中文说明。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vMerge w:val="continue"/>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2678" w:type="dxa"/>
            <w:vMerge w:val="continue"/>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p>
        </w:tc>
        <w:tc>
          <w:tcPr>
            <w:tcW w:w="6026" w:type="dxa"/>
            <w:noWrap w:val="0"/>
            <w:vAlign w:val="center"/>
          </w:tcPr>
          <w:p>
            <w:pPr>
              <w:keepNext w:val="0"/>
              <w:keepLines w:val="0"/>
              <w:widowControl/>
              <w:suppressLineNumbers w:val="0"/>
              <w:jc w:val="both"/>
              <w:textAlignment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color w:val="000000"/>
                <w:kern w:val="0"/>
                <w:sz w:val="22"/>
                <w:szCs w:val="22"/>
                <w:highlight w:val="none"/>
                <w:u w:val="none"/>
                <w:lang w:val="en-US" w:eastAsia="zh-CN" w:bidi="ar"/>
              </w:rPr>
              <w:t>4)采购人组成验收小组按国家有关规定、规范进行验收。必要时邀清相关的专业人员或机构参与验收。因货物质量问题发生争议时，由本地质量技术监督部门鉴定。鉴定费由供货方承担。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vMerge w:val="restart"/>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18</w:t>
            </w:r>
          </w:p>
        </w:tc>
        <w:tc>
          <w:tcPr>
            <w:tcW w:w="2678" w:type="dxa"/>
            <w:vMerge w:val="restart"/>
            <w:noWrap w:val="0"/>
            <w:vAlign w:val="center"/>
          </w:tcPr>
          <w:p>
            <w:pPr>
              <w:keepNext w:val="0"/>
              <w:keepLines w:val="0"/>
              <w:pageBreakBefore w:val="0"/>
              <w:kinsoku/>
              <w:wordWrap/>
              <w:overflowPunct/>
              <w:topLinePunct w:val="0"/>
              <w:bidi w:val="0"/>
              <w:adjustRightInd w:val="0"/>
              <w:snapToGrid w:val="0"/>
              <w:spacing w:line="336" w:lineRule="auto"/>
              <w:jc w:val="both"/>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i w:val="0"/>
                <w:color w:val="000000"/>
                <w:kern w:val="0"/>
                <w:sz w:val="22"/>
                <w:szCs w:val="22"/>
                <w:highlight w:val="none"/>
                <w:u w:val="none"/>
                <w:lang w:val="en-US" w:eastAsia="zh-CN" w:bidi="ar"/>
              </w:rPr>
              <w:t>售后服务</w:t>
            </w:r>
          </w:p>
        </w:tc>
        <w:tc>
          <w:tcPr>
            <w:tcW w:w="6026" w:type="dxa"/>
            <w:noWrap w:val="0"/>
            <w:vAlign w:val="center"/>
          </w:tcPr>
          <w:p>
            <w:pPr>
              <w:keepNext w:val="0"/>
              <w:keepLines w:val="0"/>
              <w:widowControl/>
              <w:suppressLineNumbers w:val="0"/>
              <w:jc w:val="both"/>
              <w:textAlignment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color w:val="000000"/>
                <w:kern w:val="0"/>
                <w:sz w:val="22"/>
                <w:szCs w:val="22"/>
                <w:highlight w:val="none"/>
                <w:u w:val="none"/>
                <w:lang w:val="en-US" w:eastAsia="zh-CN" w:bidi="ar"/>
              </w:rPr>
              <w:t>售后服务: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vMerge w:val="continue"/>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2678" w:type="dxa"/>
            <w:vMerge w:val="continue"/>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p>
        </w:tc>
        <w:tc>
          <w:tcPr>
            <w:tcW w:w="6026" w:type="dxa"/>
            <w:noWrap w:val="0"/>
            <w:vAlign w:val="center"/>
          </w:tcPr>
          <w:p>
            <w:pPr>
              <w:keepNext w:val="0"/>
              <w:keepLines w:val="0"/>
              <w:widowControl/>
              <w:suppressLineNumbers w:val="0"/>
              <w:jc w:val="both"/>
              <w:textAlignment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color w:val="000000"/>
                <w:kern w:val="0"/>
                <w:sz w:val="22"/>
                <w:szCs w:val="22"/>
                <w:highlight w:val="none"/>
                <w:u w:val="none"/>
                <w:lang w:val="en-US" w:eastAsia="zh-CN" w:bidi="ar"/>
              </w:rPr>
              <w:t>1.本合同的质量保证期(简称“质保期")为伍年，质保期内供货方对所供货物实行包修，包换、包退、包维护保养，期满后可同时提供终身(免费/有偿) 维修保养服务。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vMerge w:val="continue"/>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2678" w:type="dxa"/>
            <w:vMerge w:val="continue"/>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p>
        </w:tc>
        <w:tc>
          <w:tcPr>
            <w:tcW w:w="6026" w:type="dxa"/>
            <w:noWrap w:val="0"/>
            <w:vAlign w:val="center"/>
          </w:tcPr>
          <w:p>
            <w:pPr>
              <w:keepNext w:val="0"/>
              <w:keepLines w:val="0"/>
              <w:widowControl/>
              <w:suppressLineNumbers w:val="0"/>
              <w:jc w:val="both"/>
              <w:textAlignment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color w:val="000000"/>
                <w:kern w:val="0"/>
                <w:sz w:val="22"/>
                <w:szCs w:val="22"/>
                <w:highlight w:val="none"/>
                <w:u w:val="none"/>
                <w:lang w:val="en-US" w:eastAsia="zh-CN" w:bidi="ar"/>
              </w:rPr>
              <w:t>2.质保期内，如设备或零部件因非人为因素出现故障而造成短期停用时，则质保期和免费维修期相应顺延。如停用时间累计满后可同时提供终身(免费/有偿)维修保养服务。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vMerge w:val="continue"/>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2678" w:type="dxa"/>
            <w:vMerge w:val="continue"/>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p>
        </w:tc>
        <w:tc>
          <w:tcPr>
            <w:tcW w:w="6026" w:type="dxa"/>
            <w:noWrap w:val="0"/>
            <w:vAlign w:val="center"/>
          </w:tcPr>
          <w:p>
            <w:pPr>
              <w:keepNext w:val="0"/>
              <w:keepLines w:val="0"/>
              <w:widowControl/>
              <w:suppressLineNumbers w:val="0"/>
              <w:jc w:val="both"/>
              <w:textAlignment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color w:val="000000"/>
                <w:kern w:val="0"/>
                <w:sz w:val="22"/>
                <w:szCs w:val="22"/>
                <w:highlight w:val="none"/>
                <w:u w:val="none"/>
                <w:lang w:val="en-US" w:eastAsia="zh-CN" w:bidi="ar"/>
              </w:rPr>
              <w:t>3. 对采购人的服务通知， 供货方在接报后1小时内响应，24小时内到达现场，48小时内处理完中，若在48小时内仍未能有效解决，供货方须免费提供同档次的设备予采购人临时使用。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
                <w:bCs/>
                <w:i w:val="0"/>
                <w:color w:val="000000"/>
                <w:kern w:val="0"/>
                <w:sz w:val="22"/>
                <w:szCs w:val="22"/>
                <w:highlight w:val="none"/>
                <w:u w:val="none"/>
                <w:lang w:val="en-US" w:eastAsia="zh-CN" w:bidi="ar"/>
              </w:rPr>
              <w:t>付款方式</w:t>
            </w:r>
          </w:p>
        </w:tc>
        <w:tc>
          <w:tcPr>
            <w:tcW w:w="6026" w:type="dxa"/>
            <w:noWrap w:val="0"/>
            <w:vAlign w:val="center"/>
          </w:tcPr>
          <w:p>
            <w:pPr>
              <w:pStyle w:val="37"/>
              <w:ind w:left="0" w:leftChars="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i w:val="0"/>
                <w:color w:val="000000"/>
                <w:kern w:val="0"/>
                <w:sz w:val="22"/>
                <w:szCs w:val="22"/>
                <w:highlight w:val="none"/>
                <w:u w:val="none"/>
                <w:lang w:val="en-US" w:eastAsia="zh-CN" w:bidi="ar"/>
              </w:rPr>
              <w:t>付款方式，</w:t>
            </w:r>
            <w:r>
              <w:rPr>
                <w:rFonts w:hint="eastAsia"/>
                <w:b/>
                <w:bCs/>
                <w:color w:val="auto"/>
                <w:highlight w:val="none"/>
              </w:rPr>
              <w:t>合同签订后，采购人向中标人支付合同总价30%的预付款。中标人按采购合同</w:t>
            </w:r>
            <w:r>
              <w:rPr>
                <w:rFonts w:hint="eastAsia"/>
                <w:b/>
                <w:bCs/>
                <w:color w:val="auto"/>
                <w:highlight w:val="none"/>
                <w:lang w:val="en-US" w:eastAsia="zh-CN"/>
              </w:rPr>
              <w:t>时间将货物到达指定地点后支付至合同价的60%</w:t>
            </w:r>
            <w:r>
              <w:rPr>
                <w:rFonts w:hint="eastAsia"/>
                <w:b/>
                <w:bCs/>
                <w:color w:val="auto"/>
                <w:highlight w:val="none"/>
              </w:rPr>
              <w:t>，</w:t>
            </w:r>
            <w:r>
              <w:rPr>
                <w:rFonts w:hint="eastAsia"/>
                <w:b/>
                <w:bCs/>
                <w:color w:val="auto"/>
                <w:highlight w:val="none"/>
                <w:lang w:val="en-US" w:eastAsia="zh-CN"/>
              </w:rPr>
              <w:t>中标人将货物</w:t>
            </w:r>
            <w:r>
              <w:rPr>
                <w:rFonts w:hint="eastAsia"/>
                <w:b/>
                <w:bCs/>
                <w:color w:val="auto"/>
                <w:highlight w:val="none"/>
              </w:rPr>
              <w:t>完成安装调试，经验收合格后，采购人向中标人支付货款</w:t>
            </w:r>
            <w:r>
              <w:rPr>
                <w:rFonts w:hint="eastAsia"/>
                <w:b/>
                <w:bCs/>
                <w:color w:val="auto"/>
                <w:highlight w:val="none"/>
                <w:lang w:val="en-US" w:eastAsia="zh-CN"/>
              </w:rPr>
              <w:t>至</w:t>
            </w:r>
            <w:r>
              <w:rPr>
                <w:rFonts w:hint="eastAsia"/>
                <w:b/>
                <w:bCs/>
                <w:color w:val="auto"/>
                <w:highlight w:val="none"/>
              </w:rPr>
              <w:t>合同总价</w:t>
            </w:r>
            <w:r>
              <w:rPr>
                <w:rFonts w:hint="eastAsia"/>
                <w:b/>
                <w:bCs/>
                <w:color w:val="auto"/>
                <w:highlight w:val="none"/>
                <w:lang w:val="en-US" w:eastAsia="zh-CN"/>
              </w:rPr>
              <w:t>95</w:t>
            </w:r>
            <w:r>
              <w:rPr>
                <w:rFonts w:hint="eastAsia"/>
                <w:b/>
                <w:bCs/>
                <w:color w:val="auto"/>
                <w:highlight w:val="none"/>
              </w:rPr>
              <w:t>%。其余5%款额在产品使用中无质量问题，且履行售后服务承诺，在满</w:t>
            </w:r>
            <w:r>
              <w:rPr>
                <w:rFonts w:hint="eastAsia"/>
                <w:b/>
                <w:bCs/>
                <w:color w:val="auto"/>
                <w:highlight w:val="none"/>
                <w:lang w:val="en-US" w:eastAsia="zh-CN"/>
              </w:rPr>
              <w:t>1年</w:t>
            </w:r>
            <w:r>
              <w:rPr>
                <w:rFonts w:hint="eastAsia"/>
                <w:b/>
                <w:bCs/>
                <w:color w:val="auto"/>
                <w:highlight w:val="none"/>
              </w:rPr>
              <w:t>后的5天内将余款无息汇入中标人指定的账户。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副本份数</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纸质版文件：正本一份，副本</w:t>
            </w:r>
            <w:r>
              <w:rPr>
                <w:rFonts w:hint="eastAsia" w:ascii="仿宋" w:hAnsi="仿宋" w:eastAsia="仿宋" w:cs="仿宋"/>
                <w:color w:val="000000" w:themeColor="text1"/>
                <w:sz w:val="24"/>
                <w:szCs w:val="24"/>
                <w:highlight w:val="none"/>
                <w:lang w:eastAsia="zh-CN"/>
                <w14:textFill>
                  <w14:solidFill>
                    <w14:schemeClr w14:val="tx1"/>
                  </w14:solidFill>
                </w14:textFill>
              </w:rPr>
              <w:t>一</w:t>
            </w:r>
            <w:r>
              <w:rPr>
                <w:rFonts w:hint="eastAsia" w:ascii="仿宋" w:hAnsi="仿宋" w:eastAsia="仿宋" w:cs="仿宋"/>
                <w:color w:val="000000" w:themeColor="text1"/>
                <w:sz w:val="24"/>
                <w:szCs w:val="24"/>
                <w:highlight w:val="none"/>
                <w14:textFill>
                  <w14:solidFill>
                    <w14:schemeClr w14:val="tx1"/>
                  </w14:solidFill>
                </w14:textFill>
              </w:rPr>
              <w:t>份</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电子版文件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PDF格式</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：一份（包括</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正本全部内容；以U盘</w:t>
            </w:r>
            <w:r>
              <w:rPr>
                <w:rFonts w:hint="eastAsia" w:ascii="仿宋" w:hAnsi="仿宋" w:eastAsia="仿宋" w:cs="仿宋"/>
                <w:color w:val="000000" w:themeColor="text1"/>
                <w:sz w:val="24"/>
                <w:szCs w:val="24"/>
                <w:highlight w:val="none"/>
                <w:lang w:eastAsia="zh-CN"/>
                <w14:textFill>
                  <w14:solidFill>
                    <w14:schemeClr w14:val="tx1"/>
                  </w14:solidFill>
                </w14:textFill>
              </w:rPr>
              <w:t>或光盘</w:t>
            </w:r>
            <w:r>
              <w:rPr>
                <w:rFonts w:hint="eastAsia" w:ascii="仿宋" w:hAnsi="仿宋" w:eastAsia="仿宋" w:cs="仿宋"/>
                <w:color w:val="000000" w:themeColor="text1"/>
                <w:sz w:val="24"/>
                <w:szCs w:val="24"/>
                <w:highlight w:val="none"/>
                <w14:textFill>
                  <w14:solidFill>
                    <w14:schemeClr w14:val="tx1"/>
                  </w14:solidFill>
                </w14:textFill>
              </w:rPr>
              <w:t>形式递交）；</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1、电子版文件要求包含</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正本全部内容，电子版表面标记单位名称。电子版文件内容与</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正本内容不一致时以</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正本为准。</w:t>
            </w:r>
          </w:p>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2、凡进入开标、唱标程序的</w:t>
            </w:r>
            <w:r>
              <w:rPr>
                <w:rFonts w:hint="eastAsia" w:ascii="仿宋" w:hAnsi="仿宋" w:eastAsia="仿宋" w:cs="仿宋"/>
                <w:bCs/>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bCs/>
                <w:color w:val="000000" w:themeColor="text1"/>
                <w:sz w:val="24"/>
                <w:szCs w:val="24"/>
                <w:highlight w:val="none"/>
                <w14:textFill>
                  <w14:solidFill>
                    <w14:schemeClr w14:val="tx1"/>
                  </w14:solidFill>
                </w14:textFill>
              </w:rPr>
              <w:t>概不退还</w:t>
            </w:r>
            <w:r>
              <w:rPr>
                <w:rFonts w:hint="eastAsia" w:ascii="仿宋" w:hAnsi="仿宋" w:eastAsia="仿宋" w:cs="仿宋"/>
                <w:bCs/>
                <w:color w:val="000000" w:themeColor="text1"/>
                <w:sz w:val="24"/>
                <w:szCs w:val="24"/>
                <w:highlight w:val="none"/>
                <w:lang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封套上应载明的信息</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人名称：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编号：                                         </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包装内容：</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文件正本/副本/电子版</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投标人名称：                 </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投标人地址：                 </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联 系 人：                   </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联系电话：                   </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传    真：                   </w:t>
            </w:r>
          </w:p>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在规定的</w:t>
            </w:r>
            <w:r>
              <w:rPr>
                <w:rFonts w:hint="eastAsia" w:ascii="仿宋" w:hAnsi="仿宋" w:eastAsia="仿宋" w:cs="仿宋"/>
                <w:color w:val="000000" w:themeColor="text1"/>
                <w:sz w:val="24"/>
                <w:szCs w:val="24"/>
                <w:highlight w:val="none"/>
                <w:lang w:eastAsia="zh-CN"/>
                <w14:textFill>
                  <w14:solidFill>
                    <w14:schemeClr w14:val="tx1"/>
                  </w14:solidFill>
                </w14:textFill>
              </w:rPr>
              <w:t>投标截止</w:t>
            </w:r>
            <w:r>
              <w:rPr>
                <w:rFonts w:hint="eastAsia" w:ascii="仿宋" w:hAnsi="仿宋" w:eastAsia="仿宋" w:cs="仿宋"/>
                <w:color w:val="000000" w:themeColor="text1"/>
                <w:sz w:val="24"/>
                <w:szCs w:val="24"/>
                <w:highlight w:val="none"/>
                <w14:textFill>
                  <w14:solidFill>
                    <w14:schemeClr w14:val="tx1"/>
                  </w14:solidFill>
                </w14:textFill>
              </w:rPr>
              <w:t>时间  年 月 日  ：  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的递交地点</w:t>
            </w:r>
          </w:p>
        </w:tc>
        <w:tc>
          <w:tcPr>
            <w:tcW w:w="6026" w:type="dxa"/>
            <w:noWrap w:val="0"/>
            <w:vAlign w:val="center"/>
          </w:tcPr>
          <w:p>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lang w:eastAsia="zh-CN"/>
              </w:rPr>
              <w:t>哈巴河县政府采购</w:t>
            </w:r>
            <w:r>
              <w:rPr>
                <w:rFonts w:hint="eastAsia" w:ascii="仿宋" w:hAnsi="仿宋" w:eastAsia="仿宋" w:cs="仿宋"/>
                <w:sz w:val="24"/>
                <w:szCs w:val="24"/>
              </w:rPr>
              <w:t>中心（</w:t>
            </w:r>
            <w:r>
              <w:rPr>
                <w:rFonts w:hint="eastAsia" w:ascii="仿宋" w:hAnsi="仿宋" w:eastAsia="仿宋" w:cs="仿宋"/>
                <w:sz w:val="24"/>
                <w:szCs w:val="24"/>
                <w:lang w:eastAsia="zh-CN"/>
              </w:rPr>
              <w:t>哈巴河县人民路</w:t>
            </w:r>
            <w:r>
              <w:rPr>
                <w:rFonts w:hint="eastAsia" w:ascii="仿宋" w:hAnsi="仿宋" w:eastAsia="仿宋" w:cs="仿宋"/>
                <w:sz w:val="24"/>
                <w:szCs w:val="24"/>
                <w:lang w:val="en-US" w:eastAsia="zh-CN"/>
              </w:rPr>
              <w:t>52</w:t>
            </w:r>
            <w:r>
              <w:rPr>
                <w:rFonts w:hint="eastAsia" w:ascii="仿宋" w:hAnsi="仿宋" w:eastAsia="仿宋" w:cs="仿宋"/>
                <w:sz w:val="24"/>
                <w:szCs w:val="24"/>
              </w:rPr>
              <w:t>号）</w:t>
            </w:r>
            <w:r>
              <w:rPr>
                <w:rFonts w:hint="eastAsia" w:ascii="仿宋" w:hAnsi="仿宋" w:eastAsia="仿宋" w:cs="仿宋"/>
                <w:sz w:val="24"/>
                <w:szCs w:val="24"/>
                <w:lang w:eastAsia="zh-CN"/>
              </w:rPr>
              <w:t>哈巴河县财政局三</w:t>
            </w:r>
            <w:r>
              <w:rPr>
                <w:rFonts w:hint="eastAsia" w:ascii="仿宋" w:hAnsi="仿宋" w:eastAsia="仿宋" w:cs="仿宋"/>
                <w:sz w:val="24"/>
                <w:szCs w:val="24"/>
              </w:rPr>
              <w:t>楼</w:t>
            </w:r>
            <w:r>
              <w:rPr>
                <w:rFonts w:hint="eastAsia" w:ascii="仿宋" w:hAnsi="仿宋" w:eastAsia="仿宋" w:cs="仿宋"/>
                <w:sz w:val="24"/>
                <w:szCs w:val="24"/>
                <w:lang w:eastAsia="zh-CN"/>
              </w:rPr>
              <w:t>招标室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推荐</w:t>
            </w:r>
            <w:r>
              <w:rPr>
                <w:rFonts w:hint="eastAsia" w:ascii="仿宋" w:hAnsi="仿宋" w:eastAsia="仿宋" w:cs="仿宋"/>
                <w:color w:val="000000" w:themeColor="text1"/>
                <w:sz w:val="24"/>
                <w:szCs w:val="24"/>
                <w:highlight w:val="none"/>
                <w:lang w:eastAsia="zh-CN"/>
                <w14:textFill>
                  <w14:solidFill>
                    <w14:schemeClr w14:val="tx1"/>
                  </w14:solidFill>
                </w14:textFill>
              </w:rPr>
              <w:t>候选人数量</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财政部门指定的媒体</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新疆</w:t>
            </w:r>
            <w:r>
              <w:rPr>
                <w:rFonts w:hint="eastAsia" w:ascii="仿宋" w:hAnsi="仿宋" w:eastAsia="仿宋" w:cs="仿宋"/>
                <w:color w:val="000000" w:themeColor="text1"/>
                <w:sz w:val="24"/>
                <w:szCs w:val="24"/>
                <w:highlight w:val="none"/>
                <w:lang w:eastAsia="zh-CN"/>
                <w14:textFill>
                  <w14:solidFill>
                    <w14:schemeClr w14:val="tx1"/>
                  </w14:solidFill>
                </w14:textFill>
              </w:rPr>
              <w:t>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6026" w:type="dxa"/>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履约担保</w:t>
            </w:r>
            <w:r>
              <w:rPr>
                <w:rFonts w:hint="eastAsia" w:ascii="仿宋" w:hAnsi="仿宋" w:eastAsia="仿宋" w:cs="仿宋"/>
                <w:color w:val="000000" w:themeColor="text1"/>
                <w:sz w:val="24"/>
                <w:szCs w:val="24"/>
                <w:highlight w:val="none"/>
                <w:lang w:eastAsia="zh-CN"/>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26</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采购代理服务费</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免费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27</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本项目评标办法</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采用最低投标价法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评标委员的组建</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人或</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人以上单数组成，业主专家1人；评标专家确定方式：由招标代理在开标前48小时在政采云专家库中随机抽取此次评标专家。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中标公示期</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1个工作日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中标通知书领取时间及采购合同签订时间</w:t>
            </w:r>
          </w:p>
        </w:tc>
        <w:tc>
          <w:tcPr>
            <w:tcW w:w="6026" w:type="dxa"/>
            <w:noWrap w:val="0"/>
            <w:vAlign w:val="center"/>
          </w:tcPr>
          <w:p>
            <w:pPr>
              <w:keepNext w:val="0"/>
              <w:keepLines w:val="0"/>
              <w:pageBreakBefore w:val="0"/>
              <w:kinsoku/>
              <w:wordWrap/>
              <w:overflowPunct/>
              <w:topLinePunct w:val="0"/>
              <w:bidi w:val="0"/>
              <w:adjustRightInd w:val="0"/>
              <w:snapToGrid w:val="0"/>
              <w:spacing w:line="336"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中标公示期满后次日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79" w:type="dxa"/>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31</w:t>
            </w:r>
          </w:p>
        </w:tc>
        <w:tc>
          <w:tcPr>
            <w:tcW w:w="2678" w:type="dxa"/>
            <w:noWrap w:val="0"/>
            <w:vAlign w:val="center"/>
          </w:tcPr>
          <w:p>
            <w:pPr>
              <w:keepNext w:val="0"/>
              <w:keepLines w:val="0"/>
              <w:pageBreakBefore w:val="0"/>
              <w:kinsoku/>
              <w:wordWrap/>
              <w:overflowPunct/>
              <w:topLinePunct w:val="0"/>
              <w:bidi w:val="0"/>
              <w:adjustRightInd w:val="0"/>
              <w:snapToGrid w:val="0"/>
              <w:spacing w:line="336" w:lineRule="auto"/>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会现场投标人需提供下列证件原件</w:t>
            </w:r>
          </w:p>
        </w:tc>
        <w:tc>
          <w:tcPr>
            <w:tcW w:w="6026" w:type="dxa"/>
            <w:noWrap w:val="0"/>
            <w:vAlign w:val="center"/>
          </w:tcPr>
          <w:p>
            <w:pPr>
              <w:pStyle w:val="11"/>
              <w:tabs>
                <w:tab w:val="left" w:pos="360"/>
              </w:tabs>
              <w:spacing w:line="440" w:lineRule="exact"/>
              <w:rPr>
                <w:rFonts w:hint="eastAsia" w:ascii="仿宋" w:hAnsi="仿宋" w:eastAsia="仿宋" w:cs="仿宋"/>
                <w:b/>
                <w:bCs/>
                <w:color w:val="FF0000"/>
                <w:sz w:val="28"/>
                <w:szCs w:val="28"/>
                <w:highlight w:val="none"/>
              </w:rPr>
            </w:pPr>
            <w:r>
              <w:rPr>
                <w:rFonts w:hint="eastAsia" w:ascii="仿宋" w:hAnsi="仿宋" w:eastAsia="仿宋" w:cs="仿宋"/>
                <w:b/>
                <w:bCs/>
                <w:color w:val="FF0000"/>
                <w:sz w:val="28"/>
                <w:szCs w:val="28"/>
                <w:highlight w:val="none"/>
              </w:rPr>
              <w:t>(1)、投标人有效的“法人营业执照”</w:t>
            </w:r>
            <w:r>
              <w:rPr>
                <w:rFonts w:hint="eastAsia" w:ascii="仿宋" w:hAnsi="仿宋" w:eastAsia="仿宋" w:cs="仿宋"/>
                <w:b/>
                <w:bCs/>
                <w:color w:val="FF0000"/>
                <w:sz w:val="28"/>
                <w:szCs w:val="28"/>
                <w:highlight w:val="none"/>
                <w:lang w:val="en-US" w:eastAsia="zh-CN"/>
              </w:rPr>
              <w:t>副本</w:t>
            </w:r>
            <w:r>
              <w:rPr>
                <w:rFonts w:hint="eastAsia" w:ascii="仿宋" w:hAnsi="仿宋" w:eastAsia="仿宋" w:cs="仿宋"/>
                <w:b/>
                <w:bCs/>
                <w:color w:val="FF0000"/>
                <w:sz w:val="28"/>
                <w:szCs w:val="28"/>
                <w:highlight w:val="none"/>
              </w:rPr>
              <w:t>（三证合一）（原件）</w:t>
            </w:r>
          </w:p>
          <w:p>
            <w:pPr>
              <w:pStyle w:val="11"/>
              <w:tabs>
                <w:tab w:val="left" w:pos="360"/>
              </w:tabs>
              <w:spacing w:line="440" w:lineRule="exact"/>
              <w:rPr>
                <w:rFonts w:hint="eastAsia" w:ascii="仿宋" w:hAnsi="仿宋" w:eastAsia="仿宋" w:cs="仿宋"/>
                <w:b/>
                <w:bCs/>
                <w:color w:val="FF0000"/>
                <w:sz w:val="28"/>
                <w:szCs w:val="28"/>
                <w:highlight w:val="none"/>
              </w:rPr>
            </w:pPr>
            <w:r>
              <w:rPr>
                <w:rFonts w:hint="eastAsia" w:ascii="仿宋" w:hAnsi="仿宋" w:eastAsia="仿宋" w:cs="仿宋"/>
                <w:b/>
                <w:bCs/>
                <w:color w:val="FF0000"/>
                <w:sz w:val="28"/>
                <w:szCs w:val="28"/>
                <w:highlight w:val="none"/>
              </w:rPr>
              <w:t>(2)、法定代表人身份证（驾驶执照正本、护照或公安部门的相关证明）或法定代表人授权委托书和委托代理人的身份证（驾驶执照正本、护照或公安部门的相关证明）。法定代表人授权委托书应当单独提供，并与投标文件中所提供的相一致。(原件)</w:t>
            </w:r>
          </w:p>
          <w:p>
            <w:pPr>
              <w:pStyle w:val="11"/>
              <w:tabs>
                <w:tab w:val="left" w:pos="360"/>
              </w:tabs>
              <w:spacing w:line="440" w:lineRule="exact"/>
              <w:rPr>
                <w:rFonts w:hint="eastAsia" w:ascii="仿宋" w:hAnsi="仿宋" w:eastAsia="仿宋" w:cs="仿宋"/>
                <w:b/>
                <w:bCs/>
                <w:color w:val="FF0000"/>
                <w:sz w:val="28"/>
                <w:szCs w:val="28"/>
                <w:highlight w:val="none"/>
              </w:rPr>
            </w:pPr>
            <w:r>
              <w:rPr>
                <w:rFonts w:hint="eastAsia" w:ascii="仿宋" w:hAnsi="仿宋" w:eastAsia="仿宋" w:cs="仿宋"/>
                <w:b/>
                <w:bCs/>
                <w:color w:val="FF0000"/>
                <w:sz w:val="28"/>
                <w:szCs w:val="28"/>
                <w:highlight w:val="none"/>
              </w:rPr>
              <w:t>(</w:t>
            </w:r>
            <w:r>
              <w:rPr>
                <w:rFonts w:hint="eastAsia" w:ascii="仿宋" w:hAnsi="仿宋" w:eastAsia="仿宋" w:cs="仿宋"/>
                <w:b/>
                <w:bCs/>
                <w:color w:val="FF0000"/>
                <w:sz w:val="28"/>
                <w:szCs w:val="28"/>
                <w:highlight w:val="none"/>
                <w:lang w:val="en-US" w:eastAsia="zh-CN"/>
              </w:rPr>
              <w:t>3</w:t>
            </w:r>
            <w:r>
              <w:rPr>
                <w:rFonts w:hint="eastAsia" w:ascii="仿宋" w:hAnsi="仿宋" w:eastAsia="仿宋" w:cs="仿宋"/>
                <w:b/>
                <w:bCs/>
                <w:color w:val="FF0000"/>
                <w:sz w:val="28"/>
                <w:szCs w:val="28"/>
                <w:highlight w:val="none"/>
              </w:rPr>
              <w:t>)投标保证金打款凭证。(开标时要查验)（投标书中须做复印件）；</w:t>
            </w:r>
          </w:p>
          <w:p>
            <w:pPr>
              <w:pStyle w:val="11"/>
              <w:tabs>
                <w:tab w:val="left" w:pos="360"/>
              </w:tabs>
              <w:spacing w:line="44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FF0000"/>
                <w:sz w:val="28"/>
                <w:szCs w:val="28"/>
                <w:highlight w:val="none"/>
              </w:rPr>
              <w:t>(</w:t>
            </w:r>
            <w:r>
              <w:rPr>
                <w:rFonts w:hint="eastAsia" w:ascii="仿宋" w:hAnsi="仿宋" w:eastAsia="仿宋" w:cs="仿宋"/>
                <w:b/>
                <w:bCs/>
                <w:color w:val="FF0000"/>
                <w:sz w:val="28"/>
                <w:szCs w:val="28"/>
                <w:highlight w:val="none"/>
                <w:lang w:val="en-US" w:eastAsia="zh-CN"/>
              </w:rPr>
              <w:t>4</w:t>
            </w:r>
            <w:r>
              <w:rPr>
                <w:rFonts w:hint="eastAsia" w:ascii="仿宋" w:hAnsi="仿宋" w:eastAsia="仿宋" w:cs="仿宋"/>
                <w:b/>
                <w:bCs/>
                <w:color w:val="FF0000"/>
                <w:sz w:val="28"/>
                <w:szCs w:val="28"/>
                <w:highlight w:val="none"/>
              </w:rPr>
              <w:t>)、网上信用记录证明打印件加盖公章：含“信用中国”网站（www.creditchina.gov.cn）中企业信用信息查询结果；“中国政府采购网”（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w:t>
            </w:r>
            <w:r>
              <w:rPr>
                <w:rFonts w:hint="eastAsia" w:ascii="仿宋" w:hAnsi="仿宋" w:eastAsia="仿宋" w:cs="仿宋"/>
                <w:b/>
                <w:bCs/>
                <w:color w:val="FF0000"/>
                <w:sz w:val="28"/>
                <w:szCs w:val="28"/>
                <w:highlight w:val="none"/>
                <w:lang w:eastAsia="zh-CN"/>
              </w:rPr>
              <w:t>）</w:t>
            </w:r>
          </w:p>
        </w:tc>
      </w:tr>
    </w:tbl>
    <w:p>
      <w:pPr>
        <w:spacing w:line="360" w:lineRule="auto"/>
        <w:ind w:right="56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pPr>
        <w:pStyle w:val="3"/>
        <w:spacing w:line="360" w:lineRule="auto"/>
        <w:rPr>
          <w:rFonts w:hint="eastAsia" w:ascii="仿宋" w:hAnsi="仿宋" w:eastAsia="仿宋" w:cs="仿宋"/>
          <w:color w:val="000000" w:themeColor="text1"/>
          <w:highlight w:val="none"/>
          <w14:textFill>
            <w14:solidFill>
              <w14:schemeClr w14:val="tx1"/>
            </w14:solidFill>
          </w14:textFill>
        </w:rPr>
      </w:pPr>
      <w:bookmarkStart w:id="54" w:name="_Toc28178"/>
      <w:bookmarkStart w:id="55" w:name="_Toc17405"/>
      <w:bookmarkStart w:id="56" w:name="_Toc23052"/>
      <w:bookmarkStart w:id="57" w:name="_Toc19400"/>
      <w:r>
        <w:rPr>
          <w:rFonts w:hint="eastAsia" w:ascii="仿宋" w:hAnsi="仿宋" w:eastAsia="仿宋" w:cs="仿宋"/>
          <w:color w:val="000000" w:themeColor="text1"/>
          <w:highlight w:val="none"/>
          <w14:textFill>
            <w14:solidFill>
              <w14:schemeClr w14:val="tx1"/>
            </w14:solidFill>
          </w14:textFill>
        </w:rPr>
        <w:t>第一章  项目谈判有关说明</w:t>
      </w:r>
      <w:bookmarkEnd w:id="54"/>
      <w:bookmarkEnd w:id="55"/>
      <w:bookmarkEnd w:id="56"/>
      <w:bookmarkEnd w:id="57"/>
    </w:p>
    <w:p>
      <w:pPr>
        <w:spacing w:line="360" w:lineRule="auto"/>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哈巴河县政府采购中心</w:t>
      </w:r>
      <w:r>
        <w:rPr>
          <w:rFonts w:hint="eastAsia" w:ascii="仿宋" w:hAnsi="仿宋" w:eastAsia="仿宋" w:cs="仿宋"/>
          <w:color w:val="000000" w:themeColor="text1"/>
          <w:highlight w:val="none"/>
          <w14:textFill>
            <w14:solidFill>
              <w14:schemeClr w14:val="tx1"/>
            </w14:solidFill>
          </w14:textFill>
        </w:rPr>
        <w:t>受</w:t>
      </w:r>
      <w:r>
        <w:rPr>
          <w:rFonts w:hint="eastAsia" w:ascii="仿宋" w:hAnsi="仿宋" w:eastAsia="仿宋" w:cs="仿宋"/>
          <w:sz w:val="24"/>
          <w:szCs w:val="24"/>
          <w:u w:val="none"/>
          <w:lang w:eastAsia="zh-CN"/>
        </w:rPr>
        <w:t>哈巴河县委政法委</w:t>
      </w:r>
      <w:r>
        <w:rPr>
          <w:rFonts w:hint="eastAsia" w:ascii="仿宋" w:hAnsi="仿宋" w:eastAsia="仿宋" w:cs="仿宋"/>
          <w:color w:val="000000" w:themeColor="text1"/>
          <w:highlight w:val="none"/>
          <w14:textFill>
            <w14:solidFill>
              <w14:schemeClr w14:val="tx1"/>
            </w14:solidFill>
          </w14:textFill>
        </w:rPr>
        <w:t>委托，对本次采购项目进行竞争性谈判采购。</w:t>
      </w:r>
    </w:p>
    <w:p>
      <w:pPr>
        <w:numPr>
          <w:ilvl w:val="0"/>
          <w:numId w:val="2"/>
        </w:numPr>
        <w:spacing w:line="360" w:lineRule="auto"/>
        <w:rPr>
          <w:rFonts w:hint="eastAsia"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竞争性谈判项目编号：</w:t>
      </w:r>
      <w:r>
        <w:rPr>
          <w:rFonts w:hint="eastAsia" w:ascii="宋体" w:hAnsi="宋体" w:eastAsia="宋体" w:cs="宋体"/>
          <w:b/>
          <w:i w:val="0"/>
          <w:color w:val="000000"/>
          <w:kern w:val="0"/>
          <w:sz w:val="22"/>
          <w:szCs w:val="22"/>
          <w:u w:val="none"/>
          <w:lang w:val="en-US" w:eastAsia="zh-CN" w:bidi="ar"/>
        </w:rPr>
        <w:t>车采审【2021】1号</w:t>
      </w:r>
    </w:p>
    <w:p>
      <w:pPr>
        <w:numPr>
          <w:ilvl w:val="0"/>
          <w:numId w:val="2"/>
        </w:numPr>
        <w:spacing w:line="360" w:lineRule="auto"/>
        <w:rPr>
          <w:rFonts w:hint="eastAsia"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竞争性谈判项目名称：</w:t>
      </w:r>
      <w:r>
        <w:rPr>
          <w:rFonts w:hint="eastAsia" w:ascii="仿宋" w:hAnsi="仿宋" w:eastAsia="仿宋" w:cs="仿宋"/>
          <w:sz w:val="28"/>
          <w:szCs w:val="28"/>
          <w:lang w:val="en-US" w:eastAsia="zh-CN"/>
        </w:rPr>
        <w:t>哈巴河县政法委边境管控工作用车采购项目</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三、重要说明：</w:t>
      </w:r>
    </w:p>
    <w:p>
      <w:pPr>
        <w:spacing w:line="360" w:lineRule="auto"/>
        <w:ind w:firstLine="236" w:firstLineChars="98"/>
        <w:rPr>
          <w:rFonts w:hint="eastAsia" w:ascii="仿宋" w:hAnsi="仿宋" w:eastAsia="仿宋" w:cs="仿宋"/>
          <w:color w:val="000000" w:themeColor="text1"/>
          <w:highlight w:val="yellow"/>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1、服务地点：</w:t>
      </w:r>
      <w:r>
        <w:rPr>
          <w:rFonts w:hint="eastAsia" w:ascii="仿宋" w:hAnsi="仿宋" w:eastAsia="仿宋" w:cs="仿宋"/>
          <w:color w:val="000000" w:themeColor="text1"/>
          <w:highlight w:val="yellow"/>
          <w:lang w:eastAsia="zh-CN"/>
          <w14:textFill>
            <w14:solidFill>
              <w14:schemeClr w14:val="tx1"/>
            </w14:solidFill>
          </w14:textFill>
        </w:rPr>
        <w:t>哈巴河县</w:t>
      </w:r>
    </w:p>
    <w:p>
      <w:pPr>
        <w:spacing w:line="360" w:lineRule="auto"/>
        <w:ind w:firstLine="5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2、采购范围：货物的供应、运输、装卸、安装、调试、使用操作培训等相关服务。</w:t>
      </w:r>
    </w:p>
    <w:p>
      <w:pPr>
        <w:spacing w:line="360" w:lineRule="auto"/>
        <w:ind w:firstLine="538"/>
        <w:rPr>
          <w:rFonts w:hint="eastAsia" w:ascii="仿宋" w:hAnsi="仿宋" w:eastAsia="仿宋" w:cs="仿宋"/>
          <w:color w:val="000000" w:themeColor="text1"/>
          <w:highlight w:val="yellow"/>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3、供货期限：</w:t>
      </w:r>
      <w:r>
        <w:rPr>
          <w:rFonts w:hint="eastAsia" w:ascii="仿宋" w:hAnsi="仿宋" w:eastAsia="仿宋" w:cs="仿宋"/>
          <w:color w:val="000000" w:themeColor="text1"/>
          <w:highlight w:val="yellow"/>
          <w14:textFill>
            <w14:solidFill>
              <w14:schemeClr w14:val="tx1"/>
            </w14:solidFill>
          </w14:textFill>
        </w:rPr>
        <w:t>自中标之日起</w:t>
      </w:r>
      <w:r>
        <w:rPr>
          <w:rFonts w:hint="eastAsia" w:ascii="仿宋" w:hAnsi="仿宋" w:eastAsia="仿宋" w:cs="仿宋"/>
          <w:color w:val="000000" w:themeColor="text1"/>
          <w:highlight w:val="yellow"/>
          <w:lang w:val="en-US" w:eastAsia="zh-CN"/>
          <w14:textFill>
            <w14:solidFill>
              <w14:schemeClr w14:val="tx1"/>
            </w14:solidFill>
          </w14:textFill>
        </w:rPr>
        <w:t>3</w:t>
      </w:r>
      <w:r>
        <w:rPr>
          <w:rFonts w:hint="eastAsia" w:ascii="仿宋" w:hAnsi="仿宋" w:eastAsia="仿宋" w:cs="仿宋"/>
          <w:color w:val="000000" w:themeColor="text1"/>
          <w:highlight w:val="yellow"/>
          <w14:textFill>
            <w14:solidFill>
              <w14:schemeClr w14:val="tx1"/>
            </w14:solidFill>
          </w14:textFill>
        </w:rPr>
        <w:t>日历日内供货安装完毕</w:t>
      </w:r>
    </w:p>
    <w:p>
      <w:pPr>
        <w:spacing w:line="360" w:lineRule="auto"/>
        <w:ind w:firstLine="5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4、本次的谈判内容为：</w:t>
      </w:r>
      <w:r>
        <w:rPr>
          <w:rFonts w:hint="eastAsia" w:ascii="仿宋" w:hAnsi="仿宋" w:eastAsia="仿宋" w:cs="仿宋"/>
          <w:color w:val="000000" w:themeColor="text1"/>
          <w:highlight w:val="none"/>
          <w:lang w:val="en-US" w:eastAsia="zh-CN"/>
          <w14:textFill>
            <w14:solidFill>
              <w14:schemeClr w14:val="tx1"/>
            </w14:solidFill>
          </w14:textFill>
        </w:rPr>
        <w:t>执勤工作用车4辆（详见竞争</w:t>
      </w:r>
      <w:r>
        <w:rPr>
          <w:rFonts w:hint="eastAsia" w:ascii="仿宋" w:hAnsi="仿宋" w:eastAsia="仿宋" w:cs="仿宋"/>
          <w:color w:val="000000" w:themeColor="text1"/>
          <w:highlight w:val="none"/>
          <w14:textFill>
            <w14:solidFill>
              <w14:schemeClr w14:val="tx1"/>
            </w14:solidFill>
          </w14:textFill>
        </w:rPr>
        <w:t>性谈判文件具体技术参数详见第三章），在质量、品种、采购要求等方面，均有国家和行业的具体规范标准，所供货物执行国家和行业规范标准，投标人概不能够以本文件未提及为由而违背国家和行业规范标准要求。</w:t>
      </w:r>
    </w:p>
    <w:p>
      <w:pPr>
        <w:spacing w:line="360" w:lineRule="auto"/>
        <w:ind w:firstLine="5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5、谈判文件未列出的本次采购所依据验收标准，报价人须在谈判响应文件中列出。</w:t>
      </w:r>
    </w:p>
    <w:p>
      <w:pPr>
        <w:spacing w:line="360" w:lineRule="auto"/>
        <w:ind w:firstLine="5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6、在合同签订后，采购方有权提出因规范、标准等实际情况发生变化而产生的补充要求。</w:t>
      </w:r>
    </w:p>
    <w:p>
      <w:pPr>
        <w:spacing w:line="360" w:lineRule="auto"/>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7、供货须提供国家正规货物发票。</w:t>
      </w:r>
    </w:p>
    <w:p>
      <w:pPr>
        <w:spacing w:line="360" w:lineRule="auto"/>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8、本项目不接受联合体谈判。</w:t>
      </w:r>
    </w:p>
    <w:p>
      <w:pPr>
        <w:spacing w:line="360" w:lineRule="auto"/>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四、采购内容：</w:t>
      </w:r>
      <w:r>
        <w:rPr>
          <w:rFonts w:hint="eastAsia" w:ascii="仿宋" w:hAnsi="仿宋" w:eastAsia="仿宋" w:cs="仿宋"/>
          <w:color w:val="000000" w:themeColor="text1"/>
          <w:highlight w:val="none"/>
          <w14:textFill>
            <w14:solidFill>
              <w14:schemeClr w14:val="tx1"/>
            </w14:solidFill>
          </w14:textFill>
        </w:rPr>
        <w:t>详见第三章“采购要求”</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五、谈判保证金数额：</w:t>
      </w:r>
      <w:r>
        <w:rPr>
          <w:rFonts w:hint="eastAsia" w:ascii="仿宋" w:hAnsi="仿宋" w:eastAsia="仿宋" w:cs="仿宋"/>
          <w:color w:val="000000" w:themeColor="text1"/>
          <w:highlight w:val="none"/>
          <w14:textFill>
            <w14:solidFill>
              <w14:schemeClr w14:val="tx1"/>
            </w14:solidFill>
          </w14:textFill>
        </w:rPr>
        <w:t>详见报价人须知前附表第1</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条。</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六、特别提示</w:t>
      </w:r>
    </w:p>
    <w:p>
      <w:pPr>
        <w:spacing w:line="360" w:lineRule="auto"/>
        <w:ind w:firstLine="236" w:firstLineChars="9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1、付款方式：按成交单位与采购单位签订合同的付款方式执行。</w:t>
      </w:r>
    </w:p>
    <w:p>
      <w:pPr>
        <w:spacing w:line="36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2、竞争性谈判文件领取地点：在新疆政府采购网（http://www.ccgp-xinjiang.gov.cn/）的该采购公告附件中直接下载招标（采购）文件，标书售后不退。 </w:t>
      </w:r>
    </w:p>
    <w:p>
      <w:pPr>
        <w:spacing w:line="360" w:lineRule="auto"/>
        <w:ind w:firstLine="480"/>
        <w:rPr>
          <w:rFonts w:hint="default"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w:t>
      </w:r>
      <w:r>
        <w:rPr>
          <w:rFonts w:hint="eastAsia" w:ascii="仿宋" w:hAnsi="仿宋" w:eastAsia="仿宋" w:cs="仿宋"/>
          <w:color w:val="000000" w:themeColor="text1"/>
          <w:highlight w:val="none"/>
          <w:lang w:val="en-US" w:eastAsia="zh-CN"/>
          <w14:textFill>
            <w14:solidFill>
              <w14:schemeClr w14:val="tx1"/>
            </w14:solidFill>
          </w14:textFill>
        </w:rPr>
        <w:t>0906-6626937</w:t>
      </w:r>
    </w:p>
    <w:p>
      <w:pPr>
        <w:spacing w:line="360" w:lineRule="auto"/>
        <w:ind w:firstLine="480"/>
        <w:rPr>
          <w:rFonts w:hint="eastAsia" w:ascii="仿宋" w:hAnsi="仿宋" w:eastAsia="仿宋" w:cs="仿宋"/>
          <w:color w:val="000000" w:themeColor="text1"/>
          <w:highlight w:val="none"/>
          <w14:textFill>
            <w14:solidFill>
              <w14:schemeClr w14:val="tx1"/>
            </w14:solidFill>
          </w14:textFill>
        </w:rPr>
      </w:pPr>
    </w:p>
    <w:p>
      <w:pPr>
        <w:pStyle w:val="3"/>
        <w:spacing w:line="360" w:lineRule="auto"/>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58" w:name="_Toc26800"/>
      <w:bookmarkStart w:id="59" w:name="_Toc17796"/>
      <w:bookmarkStart w:id="60" w:name="_Toc31345"/>
      <w:bookmarkStart w:id="61" w:name="_Toc11200"/>
      <w:r>
        <w:rPr>
          <w:rFonts w:hint="eastAsia" w:ascii="仿宋" w:hAnsi="仿宋" w:eastAsia="仿宋" w:cs="仿宋"/>
          <w:color w:val="000000" w:themeColor="text1"/>
          <w:sz w:val="32"/>
          <w:highlight w:val="none"/>
          <w14:textFill>
            <w14:solidFill>
              <w14:schemeClr w14:val="tx1"/>
            </w14:solidFill>
          </w14:textFill>
        </w:rPr>
        <w:t>第二章  报价人须知</w:t>
      </w:r>
      <w:bookmarkEnd w:id="58"/>
      <w:bookmarkEnd w:id="59"/>
      <w:bookmarkEnd w:id="60"/>
      <w:bookmarkEnd w:id="61"/>
    </w:p>
    <w:p>
      <w:pPr>
        <w:pStyle w:val="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62" w:name="_Toc7037"/>
      <w:bookmarkStart w:id="63" w:name="_Toc24673"/>
      <w:r>
        <w:rPr>
          <w:rFonts w:hint="eastAsia" w:ascii="仿宋" w:hAnsi="仿宋" w:eastAsia="仿宋" w:cs="仿宋"/>
          <w:color w:val="000000" w:themeColor="text1"/>
          <w:sz w:val="28"/>
          <w:szCs w:val="28"/>
          <w:highlight w:val="none"/>
          <w14:textFill>
            <w14:solidFill>
              <w14:schemeClr w14:val="tx1"/>
            </w14:solidFill>
          </w14:textFill>
        </w:rPr>
        <w:t>一、总  则</w:t>
      </w:r>
      <w:bookmarkEnd w:id="62"/>
      <w:bookmarkEnd w:id="63"/>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1、适用范围</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1.1</w:t>
      </w:r>
      <w:r>
        <w:rPr>
          <w:rFonts w:hint="eastAsia" w:ascii="仿宋" w:hAnsi="仿宋" w:eastAsia="仿宋" w:cs="仿宋"/>
          <w:color w:val="000000" w:themeColor="text1"/>
          <w:highlight w:val="none"/>
          <w14:textFill>
            <w14:solidFill>
              <w14:schemeClr w14:val="tx1"/>
            </w14:solidFill>
          </w14:textFill>
        </w:rPr>
        <w:t xml:space="preserve"> 本谈判文件仅适用于本次采购项目货物供应、劳务服务及其它。</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2、合格的报价人</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2.1</w:t>
      </w:r>
      <w:r>
        <w:rPr>
          <w:rFonts w:hint="eastAsia" w:ascii="仿宋" w:hAnsi="仿宋" w:eastAsia="仿宋" w:cs="仿宋"/>
          <w:bCs/>
          <w:color w:val="000000" w:themeColor="text1"/>
          <w:highlight w:val="none"/>
          <w14:textFill>
            <w14:solidFill>
              <w14:schemeClr w14:val="tx1"/>
            </w14:solidFill>
          </w14:textFill>
        </w:rPr>
        <w:t>报价人</w:t>
      </w:r>
      <w:r>
        <w:rPr>
          <w:rFonts w:hint="eastAsia" w:ascii="仿宋" w:hAnsi="仿宋" w:eastAsia="仿宋" w:cs="仿宋"/>
          <w:color w:val="000000" w:themeColor="text1"/>
          <w:highlight w:val="none"/>
          <w14:textFill>
            <w14:solidFill>
              <w14:schemeClr w14:val="tx1"/>
            </w14:solidFill>
          </w14:textFill>
        </w:rPr>
        <w:t>资格要求：</w:t>
      </w:r>
    </w:p>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FF"/>
          <w:spacing w:val="0"/>
          <w:kern w:val="0"/>
          <w:sz w:val="24"/>
          <w:szCs w:val="24"/>
          <w:highlight w:val="none"/>
          <w:lang w:val="en-US" w:eastAsia="zh-CN" w:bidi="ar-SA"/>
        </w:rPr>
      </w:pPr>
      <w:r>
        <w:rPr>
          <w:rFonts w:hint="eastAsia" w:ascii="仿宋" w:hAnsi="仿宋" w:eastAsia="仿宋" w:cs="仿宋"/>
          <w:b/>
          <w:bCs/>
          <w:i w:val="0"/>
          <w:caps w:val="0"/>
          <w:color w:val="0000FF"/>
          <w:spacing w:val="0"/>
          <w:kern w:val="0"/>
          <w:sz w:val="24"/>
          <w:szCs w:val="24"/>
          <w:highlight w:val="none"/>
          <w:lang w:val="en-US" w:eastAsia="zh-CN" w:bidi="ar-SA"/>
        </w:rPr>
        <w:t>1.满足《中华人民共和国政府采购法》第二十二条规定；</w:t>
      </w:r>
    </w:p>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FF"/>
          <w:spacing w:val="0"/>
          <w:kern w:val="0"/>
          <w:sz w:val="24"/>
          <w:szCs w:val="24"/>
          <w:highlight w:val="none"/>
          <w:lang w:val="en-US" w:eastAsia="zh-CN" w:bidi="ar-SA"/>
        </w:rPr>
      </w:pPr>
      <w:r>
        <w:rPr>
          <w:rFonts w:hint="eastAsia" w:ascii="仿宋" w:hAnsi="仿宋" w:eastAsia="仿宋" w:cs="仿宋"/>
          <w:b/>
          <w:bCs/>
          <w:i w:val="0"/>
          <w:caps w:val="0"/>
          <w:color w:val="0000FF"/>
          <w:spacing w:val="0"/>
          <w:kern w:val="0"/>
          <w:sz w:val="24"/>
          <w:szCs w:val="24"/>
          <w:highlight w:val="none"/>
          <w:lang w:val="en-US" w:eastAsia="zh-CN" w:bidi="ar-SA"/>
        </w:rPr>
        <w:t>2.落实政府采购政策需满足的资格要求：</w:t>
      </w:r>
    </w:p>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FF"/>
          <w:spacing w:val="0"/>
          <w:kern w:val="0"/>
          <w:sz w:val="24"/>
          <w:szCs w:val="24"/>
          <w:highlight w:val="none"/>
          <w:lang w:val="en-US" w:eastAsia="zh-CN" w:bidi="ar-SA"/>
        </w:rPr>
      </w:pPr>
      <w:r>
        <w:rPr>
          <w:rFonts w:hint="eastAsia" w:ascii="仿宋" w:hAnsi="仿宋" w:eastAsia="仿宋" w:cs="仿宋"/>
          <w:i w:val="0"/>
          <w:caps w:val="0"/>
          <w:color w:val="0000FF"/>
          <w:spacing w:val="0"/>
          <w:kern w:val="0"/>
          <w:sz w:val="24"/>
          <w:szCs w:val="24"/>
          <w:highlight w:val="none"/>
          <w:lang w:val="en-US" w:eastAsia="zh-CN" w:bidi="ar-SA"/>
        </w:rPr>
        <w:t>（1）《政府采购促进中小企业发展暂行办法》（财库〔2011〕181号）；（2）《财政部、司法部关于政府采购支持监狱企业发展有关问题的通知》（财库〔2014〕68号）；（3）《财政部民政部中国残疾人联合会关于促进残疾人就业政府采购政策的通知》财库〔2017〕141号；</w:t>
      </w:r>
    </w:p>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FF"/>
          <w:spacing w:val="0"/>
          <w:kern w:val="0"/>
          <w:sz w:val="24"/>
          <w:szCs w:val="24"/>
          <w:highlight w:val="none"/>
          <w:lang w:val="en-US" w:eastAsia="zh-CN" w:bidi="ar-SA"/>
        </w:rPr>
      </w:pPr>
      <w:r>
        <w:rPr>
          <w:rFonts w:hint="eastAsia" w:ascii="仿宋" w:hAnsi="仿宋" w:eastAsia="仿宋" w:cs="仿宋"/>
          <w:b/>
          <w:bCs/>
          <w:i w:val="0"/>
          <w:caps w:val="0"/>
          <w:color w:val="0000FF"/>
          <w:spacing w:val="0"/>
          <w:kern w:val="0"/>
          <w:sz w:val="24"/>
          <w:szCs w:val="24"/>
          <w:highlight w:val="none"/>
          <w:lang w:val="en-US" w:eastAsia="zh-CN" w:bidi="ar-SA"/>
        </w:rPr>
        <w:t>3.本项目的特定资格要求：</w:t>
      </w:r>
    </w:p>
    <w:p>
      <w:pPr>
        <w:spacing w:line="360" w:lineRule="auto"/>
        <w:ind w:firstLine="480" w:firstLineChars="200"/>
        <w:rPr>
          <w:rFonts w:hint="eastAsia" w:ascii="仿宋" w:hAnsi="仿宋" w:eastAsia="仿宋" w:cs="仿宋"/>
          <w:i w:val="0"/>
          <w:caps w:val="0"/>
          <w:color w:val="0000FF"/>
          <w:spacing w:val="0"/>
          <w:kern w:val="0"/>
          <w:sz w:val="24"/>
          <w:szCs w:val="24"/>
          <w:highlight w:val="none"/>
          <w:lang w:val="en-US" w:eastAsia="zh-CN" w:bidi="ar-SA"/>
        </w:rPr>
      </w:pPr>
      <w:r>
        <w:rPr>
          <w:rFonts w:hint="eastAsia" w:ascii="仿宋" w:hAnsi="仿宋" w:eastAsia="仿宋" w:cs="仿宋"/>
          <w:i w:val="0"/>
          <w:caps w:val="0"/>
          <w:color w:val="0000FF"/>
          <w:spacing w:val="0"/>
          <w:kern w:val="0"/>
          <w:sz w:val="24"/>
          <w:szCs w:val="24"/>
          <w:highlight w:val="none"/>
          <w:lang w:val="en-US" w:eastAsia="zh-CN" w:bidi="ar-SA"/>
        </w:rPr>
        <w:t>无</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2.2 </w:t>
      </w:r>
      <w:r>
        <w:rPr>
          <w:rFonts w:hint="eastAsia" w:ascii="仿宋" w:hAnsi="仿宋" w:eastAsia="仿宋" w:cs="仿宋"/>
          <w:color w:val="000000" w:themeColor="text1"/>
          <w:highlight w:val="none"/>
          <w14:textFill>
            <w14:solidFill>
              <w14:schemeClr w14:val="tx1"/>
            </w14:solidFill>
          </w14:textFill>
        </w:rPr>
        <w:t>报价人在本次竞争性谈判中，必须遵守《中华人民共和国政府采购法》的规定。</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3、定义</w:t>
      </w:r>
    </w:p>
    <w:p>
      <w:pPr>
        <w:widowControl/>
        <w:shd w:val="clear" w:color="050000" w:fill="FFFFFF"/>
        <w:spacing w:line="440" w:lineRule="exact"/>
        <w:jc w:val="left"/>
        <w:rPr>
          <w:rFonts w:hint="eastAsia" w:ascii="仿宋" w:hAnsi="仿宋" w:eastAsia="仿宋" w:cs="仿宋"/>
          <w:bCs/>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3.1</w:t>
      </w:r>
      <w:r>
        <w:rPr>
          <w:rFonts w:hint="eastAsia" w:ascii="仿宋" w:hAnsi="仿宋" w:eastAsia="仿宋" w:cs="仿宋"/>
          <w:color w:val="000000" w:themeColor="text1"/>
          <w:highlight w:val="none"/>
          <w14:textFill>
            <w14:solidFill>
              <w14:schemeClr w14:val="tx1"/>
            </w14:solidFill>
          </w14:textFill>
        </w:rPr>
        <w:t xml:space="preserve"> “采购人”为</w:t>
      </w:r>
      <w:r>
        <w:rPr>
          <w:rFonts w:hint="eastAsia" w:ascii="仿宋" w:hAnsi="仿宋" w:eastAsia="仿宋" w:cs="仿宋"/>
          <w:sz w:val="28"/>
          <w:szCs w:val="28"/>
          <w:lang w:eastAsia="zh-CN"/>
        </w:rPr>
        <w:t>哈巴河县</w:t>
      </w:r>
      <w:r>
        <w:rPr>
          <w:rFonts w:hint="eastAsia" w:ascii="仿宋" w:hAnsi="仿宋" w:eastAsia="仿宋" w:cs="仿宋"/>
          <w:sz w:val="28"/>
          <w:szCs w:val="28"/>
          <w:lang w:val="en-US" w:eastAsia="zh-CN"/>
        </w:rPr>
        <w:t>委政法委</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3.2</w:t>
      </w:r>
      <w:r>
        <w:rPr>
          <w:rFonts w:hint="eastAsia" w:ascii="仿宋" w:hAnsi="仿宋" w:eastAsia="仿宋" w:cs="仿宋"/>
          <w:color w:val="000000" w:themeColor="text1"/>
          <w:highlight w:val="none"/>
          <w14:textFill>
            <w14:solidFill>
              <w14:schemeClr w14:val="tx1"/>
            </w14:solidFill>
          </w14:textFill>
        </w:rPr>
        <w:t xml:space="preserve"> “合格报价人”系指报名合格、购买了谈判文件、提交了谈判响应文件的报价人，中标后即为中标人，签订合同后即为卖方。</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3.3</w:t>
      </w:r>
      <w:r>
        <w:rPr>
          <w:rFonts w:hint="eastAsia" w:ascii="仿宋" w:hAnsi="仿宋" w:eastAsia="仿宋" w:cs="仿宋"/>
          <w:color w:val="000000" w:themeColor="text1"/>
          <w:highlight w:val="none"/>
          <w14:textFill>
            <w14:solidFill>
              <w14:schemeClr w14:val="tx1"/>
            </w14:solidFill>
          </w14:textFill>
        </w:rPr>
        <w:t xml:space="preserve"> “代理机构”为</w:t>
      </w:r>
      <w:r>
        <w:rPr>
          <w:rFonts w:hint="eastAsia" w:ascii="仿宋" w:hAnsi="仿宋" w:eastAsia="仿宋" w:cs="仿宋"/>
          <w:sz w:val="28"/>
          <w:szCs w:val="28"/>
          <w:lang w:val="en-US" w:eastAsia="zh-CN"/>
        </w:rPr>
        <w:t>哈巴河县政府采购中心</w:t>
      </w:r>
      <w:r>
        <w:rPr>
          <w:rFonts w:hint="eastAsia" w:ascii="仿宋" w:hAnsi="仿宋" w:eastAsia="仿宋" w:cs="仿宋"/>
          <w:color w:val="000000" w:themeColor="text1"/>
          <w:highlight w:val="none"/>
          <w14:textFill>
            <w14:solidFill>
              <w14:schemeClr w14:val="tx1"/>
            </w14:solidFill>
          </w14:textFill>
        </w:rPr>
        <w:t>。</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3.4</w:t>
      </w:r>
      <w:r>
        <w:rPr>
          <w:rFonts w:hint="eastAsia" w:ascii="仿宋" w:hAnsi="仿宋" w:eastAsia="仿宋" w:cs="仿宋"/>
          <w:color w:val="000000" w:themeColor="text1"/>
          <w:highlight w:val="none"/>
          <w14:textFill>
            <w14:solidFill>
              <w14:schemeClr w14:val="tx1"/>
            </w14:solidFill>
          </w14:textFill>
        </w:rPr>
        <w:t xml:space="preserve"> “货物”系指卖方按合同要求，须向买方提供的一切产品及其他技术资料和材料。</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3.5</w:t>
      </w:r>
      <w:r>
        <w:rPr>
          <w:rFonts w:hint="eastAsia" w:ascii="仿宋" w:hAnsi="仿宋" w:eastAsia="仿宋" w:cs="仿宋"/>
          <w:color w:val="000000" w:themeColor="text1"/>
          <w:highlight w:val="none"/>
          <w14:textFill>
            <w14:solidFill>
              <w14:schemeClr w14:val="tx1"/>
            </w14:solidFill>
          </w14:textFill>
        </w:rPr>
        <w:t xml:space="preserve"> “服务”系指按合同规定卖方须承担的货物供应、服务及售后服务等其他类似的义务。</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3.6</w:t>
      </w:r>
      <w:r>
        <w:rPr>
          <w:rFonts w:hint="eastAsia" w:ascii="仿宋" w:hAnsi="仿宋" w:eastAsia="仿宋" w:cs="仿宋"/>
          <w:color w:val="000000" w:themeColor="text1"/>
          <w:highlight w:val="none"/>
          <w14:textFill>
            <w14:solidFill>
              <w14:schemeClr w14:val="tx1"/>
            </w14:solidFill>
          </w14:textFill>
        </w:rPr>
        <w:t xml:space="preserve"> “卖方”系指提供合同货物和服务的报价人。</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3.7</w:t>
      </w:r>
      <w:r>
        <w:rPr>
          <w:rFonts w:hint="eastAsia" w:ascii="仿宋" w:hAnsi="仿宋" w:eastAsia="仿宋" w:cs="仿宋"/>
          <w:color w:val="000000" w:themeColor="text1"/>
          <w:highlight w:val="none"/>
          <w14:textFill>
            <w14:solidFill>
              <w14:schemeClr w14:val="tx1"/>
            </w14:solidFill>
          </w14:textFill>
        </w:rPr>
        <w:t xml:space="preserve"> “买方”系指购买货物的单位。</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4、谈判费用</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4.1</w:t>
      </w:r>
      <w:r>
        <w:rPr>
          <w:rFonts w:hint="eastAsia" w:ascii="仿宋" w:hAnsi="仿宋" w:eastAsia="仿宋" w:cs="仿宋"/>
          <w:color w:val="000000" w:themeColor="text1"/>
          <w:highlight w:val="none"/>
          <w14:textFill>
            <w14:solidFill>
              <w14:schemeClr w14:val="tx1"/>
            </w14:solidFill>
          </w14:textFill>
        </w:rPr>
        <w:t xml:space="preserve"> 无论本次结果如何，报价人须自行承担所有与参加谈判有关的全部费用。</w:t>
      </w:r>
    </w:p>
    <w:p>
      <w:pPr>
        <w:pStyle w:val="4"/>
        <w:spacing w:line="360" w:lineRule="auto"/>
        <w:ind w:firstLine="3626" w:firstLineChars="1290"/>
        <w:rPr>
          <w:rFonts w:hint="eastAsia" w:ascii="仿宋" w:hAnsi="仿宋" w:eastAsia="仿宋" w:cs="仿宋"/>
          <w:color w:val="000000" w:themeColor="text1"/>
          <w:sz w:val="28"/>
          <w:highlight w:val="none"/>
          <w14:textFill>
            <w14:solidFill>
              <w14:schemeClr w14:val="tx1"/>
            </w14:solidFill>
          </w14:textFill>
        </w:rPr>
      </w:pPr>
      <w:bookmarkStart w:id="64" w:name="_Toc26514"/>
      <w:bookmarkStart w:id="65" w:name="_Toc26900"/>
      <w:r>
        <w:rPr>
          <w:rFonts w:hint="eastAsia" w:ascii="仿宋" w:hAnsi="仿宋" w:eastAsia="仿宋" w:cs="仿宋"/>
          <w:color w:val="000000" w:themeColor="text1"/>
          <w:sz w:val="28"/>
          <w:highlight w:val="none"/>
          <w14:textFill>
            <w14:solidFill>
              <w14:schemeClr w14:val="tx1"/>
            </w14:solidFill>
          </w14:textFill>
        </w:rPr>
        <w:t>二、竞争性谈判文件</w:t>
      </w:r>
      <w:bookmarkEnd w:id="64"/>
      <w:bookmarkEnd w:id="65"/>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5、竞争性谈判文件</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5.1 </w:t>
      </w:r>
      <w:r>
        <w:rPr>
          <w:rFonts w:hint="eastAsia" w:ascii="仿宋" w:hAnsi="仿宋" w:eastAsia="仿宋" w:cs="仿宋"/>
          <w:color w:val="000000" w:themeColor="text1"/>
          <w:highlight w:val="none"/>
          <w14:textFill>
            <w14:solidFill>
              <w14:schemeClr w14:val="tx1"/>
            </w14:solidFill>
          </w14:textFill>
        </w:rPr>
        <w:t>竞争性谈判文件用以阐明所的内容，谈判程序及合同条款，包括：</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5.1.1谈判说明；</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5.1.2 报价人须知；</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5.1.3 技术规格要求；</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5.1.4 合同条款；</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5.1.5 特殊条款；</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附件：</w:t>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_Toc3314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（一）投标函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_Toc6723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（二）投标人资格证明文件</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_Toc18466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（三）商务偏离表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_Toc31364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（四）开标一览表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_Toc14099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（五）</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w:t>
      </w:r>
      <w:r>
        <w:rPr>
          <w:rFonts w:hint="eastAsia" w:ascii="仿宋" w:hAnsi="仿宋" w:eastAsia="仿宋" w:cs="仿宋"/>
          <w:b w:val="0"/>
          <w:bCs w:val="0"/>
          <w:color w:val="000000" w:themeColor="text1"/>
          <w:sz w:val="24"/>
          <w:szCs w:val="24"/>
          <w:highlight w:val="none"/>
          <w14:textFill>
            <w14:solidFill>
              <w14:schemeClr w14:val="tx1"/>
            </w14:solidFill>
          </w14:textFill>
        </w:rPr>
        <w:t>报价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明细</w:t>
      </w:r>
      <w:r>
        <w:rPr>
          <w:rFonts w:hint="eastAsia" w:ascii="仿宋" w:hAnsi="仿宋" w:eastAsia="仿宋" w:cs="仿宋"/>
          <w:b w:val="0"/>
          <w:bCs w:val="0"/>
          <w:color w:val="000000" w:themeColor="text1"/>
          <w:sz w:val="24"/>
          <w:szCs w:val="24"/>
          <w:highlight w:val="none"/>
          <w14:textFill>
            <w14:solidFill>
              <w14:schemeClr w14:val="tx1"/>
            </w14:solidFill>
          </w14:textFill>
        </w:rPr>
        <w:t>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_Toc12085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）法定代表人身份证明及法定代表人授权委托书格式</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_Toc656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七</w:t>
      </w:r>
      <w:r>
        <w:rPr>
          <w:rFonts w:hint="eastAsia" w:ascii="仿宋" w:hAnsi="仿宋" w:eastAsia="仿宋" w:cs="仿宋"/>
          <w:b w:val="0"/>
          <w:bCs w:val="0"/>
          <w:color w:val="000000" w:themeColor="text1"/>
          <w:sz w:val="24"/>
          <w:szCs w:val="24"/>
          <w:highlight w:val="none"/>
          <w14:textFill>
            <w14:solidFill>
              <w14:schemeClr w14:val="tx1"/>
            </w14:solidFill>
          </w14:textFill>
        </w:rPr>
        <w:t>）投标单位反商业贿赂承诺书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_Toc17833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（八）</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节能、环保产品证明（如有）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_Toc13195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（九）</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中小企业声明函（如是）</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_Toc14418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十</w:t>
      </w:r>
      <w:r>
        <w:rPr>
          <w:rFonts w:hint="eastAsia" w:ascii="仿宋" w:hAnsi="仿宋" w:eastAsia="仿宋" w:cs="仿宋"/>
          <w:b w:val="0"/>
          <w:bCs w:val="0"/>
          <w:color w:val="000000" w:themeColor="text1"/>
          <w:sz w:val="24"/>
          <w:szCs w:val="24"/>
          <w:highlight w:val="none"/>
          <w14:textFill>
            <w14:solidFill>
              <w14:schemeClr w14:val="tx1"/>
            </w14:solidFill>
          </w14:textFill>
        </w:rPr>
        <w:t>）投标保证金</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_Toc3019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val="0"/>
          <w:bCs w:val="0"/>
          <w:color w:val="000000" w:themeColor="text1"/>
          <w:sz w:val="24"/>
          <w:szCs w:val="24"/>
          <w:highlight w:val="none"/>
          <w14:textFill>
            <w14:solidFill>
              <w14:schemeClr w14:val="tx1"/>
            </w14:solidFill>
          </w14:textFill>
        </w:rPr>
        <w:t>）技术条款偏离表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_Toc23781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val="0"/>
          <w:bCs w:val="0"/>
          <w:color w:val="000000" w:themeColor="text1"/>
          <w:sz w:val="24"/>
          <w:szCs w:val="24"/>
          <w:highlight w:val="none"/>
          <w14:textFill>
            <w14:solidFill>
              <w14:schemeClr w14:val="tx1"/>
            </w14:solidFill>
          </w14:textFill>
        </w:rPr>
        <w:t>）投标人基本情况表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_Toc30025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（十三）运输方案</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_Toc15412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val="0"/>
          <w:bCs w:val="0"/>
          <w:color w:val="000000" w:themeColor="text1"/>
          <w:sz w:val="24"/>
          <w:szCs w:val="24"/>
          <w:highlight w:val="none"/>
          <w14:textFill>
            <w14:solidFill>
              <w14:schemeClr w14:val="tx1"/>
            </w14:solidFill>
          </w14:textFill>
        </w:rPr>
        <w:t>）质量保证措施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_Toc23967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售后</w:t>
      </w:r>
      <w:r>
        <w:rPr>
          <w:rFonts w:hint="eastAsia" w:ascii="仿宋" w:hAnsi="仿宋" w:eastAsia="仿宋" w:cs="仿宋"/>
          <w:b w:val="0"/>
          <w:bCs w:val="0"/>
          <w:color w:val="000000" w:themeColor="text1"/>
          <w:sz w:val="24"/>
          <w:szCs w:val="24"/>
          <w:highlight w:val="none"/>
          <w14:textFill>
            <w14:solidFill>
              <w14:schemeClr w14:val="tx1"/>
            </w14:solidFill>
          </w14:textFill>
        </w:rPr>
        <w:t>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_Toc25484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）其他有利于投标人的资料（如有）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5.2</w:t>
      </w:r>
      <w:r>
        <w:rPr>
          <w:rFonts w:hint="eastAsia" w:ascii="仿宋" w:hAnsi="仿宋" w:eastAsia="仿宋" w:cs="仿宋"/>
          <w:color w:val="000000" w:themeColor="text1"/>
          <w:highlight w:val="none"/>
          <w14:textFill>
            <w14:solidFill>
              <w14:schemeClr w14:val="tx1"/>
            </w14:solidFill>
          </w14:textFill>
        </w:rPr>
        <w:t xml:space="preserve"> 报价人应仔细阅读谈判文件中所有内容。代理机构将拒绝未按照谈判文件的要求提供全部资料或提交的谈判响应文件未对谈判文件做出实质性响应的报价。</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6、谈判文件的澄清</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6.1</w:t>
      </w:r>
      <w:r>
        <w:rPr>
          <w:rFonts w:hint="eastAsia" w:ascii="仿宋" w:hAnsi="仿宋" w:eastAsia="仿宋" w:cs="仿宋"/>
          <w:color w:val="000000" w:themeColor="text1"/>
          <w:highlight w:val="none"/>
          <w14:textFill>
            <w14:solidFill>
              <w14:schemeClr w14:val="tx1"/>
            </w14:solidFill>
          </w14:textFill>
        </w:rPr>
        <w:t xml:space="preserve"> 投标企业下载竞争性谈判文件后请仔细阅读，如对竞争性谈判文件内容有质疑，投标人应自收到采购文件之日或者采购文件公告期限届满之日（公告发布后的第3个工作日）起5个工作日内按竞争性谈判文件中载明的邮箱：</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yellow"/>
          <w:lang w:val="en-US" w:eastAsia="zh-CN"/>
          <w14:textFill>
            <w14:solidFill>
              <w14:schemeClr w14:val="tx1"/>
            </w14:solidFill>
          </w14:textFill>
        </w:rPr>
        <w:t>3154736523@qq.com</w:t>
      </w:r>
      <w:r>
        <w:rPr>
          <w:rFonts w:hint="eastAsia" w:ascii="仿宋" w:hAnsi="仿宋" w:eastAsia="仿宋" w:cs="仿宋"/>
          <w:color w:val="000000" w:themeColor="text1"/>
          <w:highlight w:val="yellow"/>
          <w14:textFill>
            <w14:solidFill>
              <w14:schemeClr w14:val="tx1"/>
            </w14:solidFill>
          </w14:textFill>
        </w:rPr>
        <w:t>地</w:t>
      </w:r>
      <w:r>
        <w:rPr>
          <w:rFonts w:hint="eastAsia" w:ascii="仿宋" w:hAnsi="仿宋" w:eastAsia="仿宋" w:cs="仿宋"/>
          <w:color w:val="000000" w:themeColor="text1"/>
          <w:highlight w:val="none"/>
          <w14:textFill>
            <w14:solidFill>
              <w14:schemeClr w14:val="tx1"/>
            </w14:solidFill>
          </w14:textFill>
        </w:rPr>
        <w:t>址，以书面形式、应加盖公章通知招标人。招标人认为必要时，将（澄清）修改后的公告发布在新疆政府采购网，敬请投标企业及时关注。在规定期限内投标企业未提出质疑的视为投标企业默认竞争性谈判文件不存在质疑的相关问题。超过竞争性谈判文件质疑时间将不再接受投标企业所提出的质疑。</w:t>
      </w:r>
      <w:r>
        <w:rPr>
          <w:rFonts w:hint="eastAsia" w:ascii="仿宋" w:hAnsi="仿宋" w:eastAsia="仿宋" w:cs="仿宋"/>
          <w:color w:val="000000" w:themeColor="text1"/>
          <w:highlight w:val="none"/>
          <w14:textFill>
            <w14:solidFill>
              <w14:schemeClr w14:val="tx1"/>
            </w14:solidFill>
          </w14:textFill>
        </w:rPr>
        <w:fldChar w:fldCharType="end"/>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7、谈判文件的修改</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7.1</w:t>
      </w:r>
      <w:r>
        <w:rPr>
          <w:rFonts w:hint="eastAsia" w:ascii="仿宋" w:hAnsi="仿宋" w:eastAsia="仿宋" w:cs="仿宋"/>
          <w:color w:val="000000" w:themeColor="text1"/>
          <w:highlight w:val="none"/>
          <w14:textFill>
            <w14:solidFill>
              <w14:schemeClr w14:val="tx1"/>
            </w14:solidFill>
          </w14:textFill>
        </w:rPr>
        <w:t xml:space="preserve"> 在开标时间</w:t>
      </w:r>
      <w:r>
        <w:rPr>
          <w:rFonts w:hint="eastAsia" w:ascii="仿宋" w:hAnsi="仿宋" w:eastAsia="仿宋" w:cs="仿宋"/>
          <w:color w:val="000000" w:themeColor="text1"/>
          <w:highlight w:val="none"/>
          <w:u w:val="single"/>
          <w14:textFill>
            <w14:solidFill>
              <w14:schemeClr w14:val="tx1"/>
            </w14:solidFill>
          </w14:textFill>
        </w:rPr>
        <w:t>24</w:t>
      </w:r>
      <w:r>
        <w:rPr>
          <w:rFonts w:hint="eastAsia" w:ascii="仿宋" w:hAnsi="仿宋" w:eastAsia="仿宋" w:cs="仿宋"/>
          <w:color w:val="000000" w:themeColor="text1"/>
          <w:highlight w:val="none"/>
          <w14:textFill>
            <w14:solidFill>
              <w14:schemeClr w14:val="tx1"/>
            </w14:solidFill>
          </w14:textFill>
        </w:rPr>
        <w:t>小时以前，采购人都可能以《文件补充》的方式修改竞争性谈判文件文件，代理公司将于开标前2天在本次招标公告刊登的媒体（新疆政府采购网）上予以公布，该补充或修改的内容为竞争性谈判文件文件的组成部分；补充或修改不足2天的，应顺延投标截至时间。</w:t>
      </w:r>
    </w:p>
    <w:p>
      <w:pPr>
        <w:spacing w:line="360" w:lineRule="auto"/>
        <w:rPr>
          <w:rFonts w:hint="eastAsia" w:ascii="仿宋" w:hAnsi="仿宋" w:eastAsia="仿宋" w:cs="仿宋"/>
          <w:snapToGrid w:val="0"/>
          <w:color w:val="000000" w:themeColor="text1"/>
          <w:kern w:val="0"/>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7.2</w:t>
      </w:r>
      <w:r>
        <w:rPr>
          <w:rFonts w:hint="eastAsia" w:ascii="仿宋" w:hAnsi="仿宋" w:eastAsia="仿宋" w:cs="仿宋"/>
          <w:color w:val="000000" w:themeColor="text1"/>
          <w:highlight w:val="none"/>
          <w14:textFill>
            <w14:solidFill>
              <w14:schemeClr w14:val="tx1"/>
            </w14:solidFill>
          </w14:textFill>
        </w:rPr>
        <w:t xml:space="preserve"> 《竞争性谈判文件补充》作为竞争性谈判文件的组成部分，对采购人具有同等约束力。如果竞争性谈判文件补充内容与此竞争性谈判文件补充发出之前的竞争性谈判文件</w:t>
      </w:r>
      <w:r>
        <w:rPr>
          <w:rFonts w:hint="eastAsia" w:ascii="仿宋" w:hAnsi="仿宋" w:eastAsia="仿宋" w:cs="仿宋"/>
          <w:snapToGrid w:val="0"/>
          <w:color w:val="000000" w:themeColor="text1"/>
          <w:kern w:val="0"/>
          <w:highlight w:val="none"/>
          <w14:textFill>
            <w14:solidFill>
              <w14:schemeClr w14:val="tx1"/>
            </w14:solidFill>
          </w14:textFill>
        </w:rPr>
        <w:t>等书面材料中相关内容相冲突，请投标人执行</w:t>
      </w:r>
      <w:r>
        <w:rPr>
          <w:rFonts w:hint="eastAsia" w:ascii="仿宋" w:hAnsi="仿宋" w:eastAsia="仿宋" w:cs="仿宋"/>
          <w:color w:val="000000" w:themeColor="text1"/>
          <w:highlight w:val="none"/>
          <w14:textFill>
            <w14:solidFill>
              <w14:schemeClr w14:val="tx1"/>
            </w14:solidFill>
          </w14:textFill>
        </w:rPr>
        <w:t>竞争性谈判文件</w:t>
      </w:r>
      <w:r>
        <w:rPr>
          <w:rFonts w:hint="eastAsia" w:ascii="仿宋" w:hAnsi="仿宋" w:eastAsia="仿宋" w:cs="仿宋"/>
          <w:snapToGrid w:val="0"/>
          <w:color w:val="000000" w:themeColor="text1"/>
          <w:kern w:val="0"/>
          <w:highlight w:val="none"/>
          <w14:textFill>
            <w14:solidFill>
              <w14:schemeClr w14:val="tx1"/>
            </w14:solidFill>
          </w14:textFill>
        </w:rPr>
        <w:t>补充的相关内容，先前发出的文件等书面材料中相关内容自动废止。</w:t>
      </w:r>
    </w:p>
    <w:p>
      <w:pPr>
        <w:spacing w:line="360" w:lineRule="auto"/>
        <w:rPr>
          <w:rFonts w:hint="eastAsia" w:ascii="仿宋" w:hAnsi="仿宋" w:eastAsia="仿宋" w:cs="仿宋"/>
          <w:snapToGrid w:val="0"/>
          <w:color w:val="000000" w:themeColor="text1"/>
          <w:kern w:val="0"/>
          <w:highlight w:val="none"/>
          <w14:textFill>
            <w14:solidFill>
              <w14:schemeClr w14:val="tx1"/>
            </w14:solidFill>
          </w14:textFill>
        </w:rPr>
      </w:pPr>
      <w:r>
        <w:rPr>
          <w:rFonts w:hint="eastAsia" w:ascii="仿宋" w:hAnsi="仿宋" w:eastAsia="仿宋" w:cs="仿宋"/>
          <w:b/>
          <w:snapToGrid w:val="0"/>
          <w:color w:val="000000" w:themeColor="text1"/>
          <w:kern w:val="0"/>
          <w:highlight w:val="none"/>
          <w14:textFill>
            <w14:solidFill>
              <w14:schemeClr w14:val="tx1"/>
            </w14:solidFill>
          </w14:textFill>
        </w:rPr>
        <w:t>7.3</w:t>
      </w:r>
      <w:r>
        <w:rPr>
          <w:rFonts w:hint="eastAsia" w:ascii="仿宋" w:hAnsi="仿宋" w:eastAsia="仿宋" w:cs="仿宋"/>
          <w:snapToGrid w:val="0"/>
          <w:color w:val="000000" w:themeColor="text1"/>
          <w:kern w:val="0"/>
          <w:highlight w:val="none"/>
          <w14:textFill>
            <w14:solidFill>
              <w14:schemeClr w14:val="tx1"/>
            </w14:solidFill>
          </w14:textFill>
        </w:rPr>
        <w:t xml:space="preserve"> 为使投标人在编制谈判响应文件时把《文件补充》内容考虑进去，采购人可以相应延长谈判截止日期，具体时间将在《文件补充》中写明。</w:t>
      </w:r>
    </w:p>
    <w:p>
      <w:pPr>
        <w:pStyle w:val="2"/>
        <w:spacing w:line="36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snapToGrid w:val="0"/>
          <w:color w:val="000000" w:themeColor="text1"/>
          <w:kern w:val="0"/>
          <w:highlight w:val="none"/>
          <w14:textFill>
            <w14:solidFill>
              <w14:schemeClr w14:val="tx1"/>
            </w14:solidFill>
          </w14:textFill>
        </w:rPr>
        <w:t xml:space="preserve">7.4 </w:t>
      </w:r>
      <w:r>
        <w:rPr>
          <w:rFonts w:hint="eastAsia" w:ascii="仿宋" w:hAnsi="仿宋" w:eastAsia="仿宋" w:cs="仿宋"/>
          <w:color w:val="000000" w:themeColor="text1"/>
          <w:highlight w:val="none"/>
          <w14:textFill>
            <w14:solidFill>
              <w14:schemeClr w14:val="tx1"/>
            </w14:solidFill>
          </w14:textFill>
        </w:rPr>
        <w:t>对于投标人澄清要求有必要时，或者竞争性谈判文件的修改补充文件，招标机构均将在本次竞争性谈判公告刊登的媒体（新疆政府采购网）</w:t>
      </w:r>
      <w:r>
        <w:rPr>
          <w:rFonts w:hint="eastAsia" w:ascii="仿宋" w:hAnsi="仿宋" w:eastAsia="仿宋" w:cs="仿宋"/>
          <w:color w:val="000000" w:themeColor="text1"/>
          <w:highlight w:val="none"/>
          <w:lang w:val="en-US" w:eastAsia="zh-CN"/>
          <w14:textFill>
            <w14:solidFill>
              <w14:schemeClr w14:val="tx1"/>
            </w14:solidFill>
          </w14:textFill>
        </w:rPr>
        <w:t>上</w:t>
      </w:r>
      <w:r>
        <w:rPr>
          <w:rFonts w:hint="eastAsia" w:ascii="仿宋" w:hAnsi="仿宋" w:eastAsia="仿宋" w:cs="仿宋"/>
          <w:color w:val="000000" w:themeColor="text1"/>
          <w:highlight w:val="none"/>
          <w14:textFill>
            <w14:solidFill>
              <w14:schemeClr w14:val="tx1"/>
            </w14:solidFill>
          </w14:textFill>
        </w:rPr>
        <w:t>予以公布。请各投标人注意！</w:t>
      </w:r>
    </w:p>
    <w:p>
      <w:pPr>
        <w:pStyle w:val="4"/>
        <w:spacing w:line="360" w:lineRule="auto"/>
        <w:ind w:firstLine="3204" w:firstLineChars="1140"/>
        <w:rPr>
          <w:rFonts w:hint="eastAsia" w:ascii="仿宋" w:hAnsi="仿宋" w:eastAsia="仿宋" w:cs="仿宋"/>
          <w:snapToGrid w:val="0"/>
          <w:color w:val="000000" w:themeColor="text1"/>
          <w:kern w:val="0"/>
          <w:sz w:val="28"/>
          <w:highlight w:val="none"/>
          <w14:textFill>
            <w14:solidFill>
              <w14:schemeClr w14:val="tx1"/>
            </w14:solidFill>
          </w14:textFill>
        </w:rPr>
      </w:pPr>
      <w:bookmarkStart w:id="66" w:name="_Toc9357"/>
      <w:bookmarkStart w:id="67" w:name="_Toc15024"/>
      <w:r>
        <w:rPr>
          <w:rFonts w:hint="eastAsia" w:ascii="仿宋" w:hAnsi="仿宋" w:eastAsia="仿宋" w:cs="仿宋"/>
          <w:snapToGrid w:val="0"/>
          <w:color w:val="000000" w:themeColor="text1"/>
          <w:kern w:val="0"/>
          <w:sz w:val="28"/>
          <w:highlight w:val="none"/>
          <w14:textFill>
            <w14:solidFill>
              <w14:schemeClr w14:val="tx1"/>
            </w14:solidFill>
          </w14:textFill>
        </w:rPr>
        <w:t>三、谈判响应文件的编制</w:t>
      </w:r>
      <w:bookmarkEnd w:id="66"/>
      <w:bookmarkEnd w:id="67"/>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8、谈判响应文件的编写</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8.1</w:t>
      </w:r>
      <w:r>
        <w:rPr>
          <w:rFonts w:hint="eastAsia" w:ascii="仿宋" w:hAnsi="仿宋" w:eastAsia="仿宋" w:cs="仿宋"/>
          <w:color w:val="000000" w:themeColor="text1"/>
          <w:highlight w:val="none"/>
          <w14:textFill>
            <w14:solidFill>
              <w14:schemeClr w14:val="tx1"/>
            </w14:solidFill>
          </w14:textFill>
        </w:rPr>
        <w:t xml:space="preserve"> 报价人应仔细阅读谈判文件，了解文件的要求。在充分理解谈判文件提出的技术要求、服务和商务条件后，编制谈判响应文件。</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9、谈判及报价语言</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9.1 </w:t>
      </w:r>
      <w:r>
        <w:rPr>
          <w:rFonts w:hint="eastAsia" w:ascii="仿宋" w:hAnsi="仿宋" w:eastAsia="仿宋" w:cs="仿宋"/>
          <w:color w:val="000000" w:themeColor="text1"/>
          <w:highlight w:val="none"/>
          <w14:textFill>
            <w14:solidFill>
              <w14:schemeClr w14:val="tx1"/>
            </w14:solidFill>
          </w14:textFill>
        </w:rPr>
        <w:t>报价人的谈判响应文件以及报价人与代理机构就有关谈判活动的所有来往函电均应使用中文。如果谈判响应文件或与谈判有关的其他文件、信件及来往函电以其他语言书写，报价人应将其译成中文。</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9.2</w:t>
      </w:r>
      <w:r>
        <w:rPr>
          <w:rFonts w:hint="eastAsia" w:ascii="仿宋" w:hAnsi="仿宋" w:eastAsia="仿宋" w:cs="仿宋"/>
          <w:color w:val="000000" w:themeColor="text1"/>
          <w:highlight w:val="none"/>
          <w14:textFill>
            <w14:solidFill>
              <w14:schemeClr w14:val="tx1"/>
            </w14:solidFill>
          </w14:textFill>
        </w:rPr>
        <w:t xml:space="preserve"> 谈判响应文件中使用的计量单位除谈判文件中有特殊规定外，一律使用法定计量单位。</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10、谈判响应文件构成：</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详细如下：</w:t>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_Toc3314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（一）投标函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_Toc6723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（二）投标人资格证明文件</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_Toc18466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（三）商务偏离表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_Toc31364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（四）开标一览表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_Toc14099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（五）</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w:t>
      </w:r>
      <w:r>
        <w:rPr>
          <w:rFonts w:hint="eastAsia" w:ascii="仿宋" w:hAnsi="仿宋" w:eastAsia="仿宋" w:cs="仿宋"/>
          <w:b w:val="0"/>
          <w:bCs w:val="0"/>
          <w:color w:val="000000" w:themeColor="text1"/>
          <w:sz w:val="24"/>
          <w:szCs w:val="24"/>
          <w:highlight w:val="none"/>
          <w14:textFill>
            <w14:solidFill>
              <w14:schemeClr w14:val="tx1"/>
            </w14:solidFill>
          </w14:textFill>
        </w:rPr>
        <w:t>报价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明细</w:t>
      </w:r>
      <w:r>
        <w:rPr>
          <w:rFonts w:hint="eastAsia" w:ascii="仿宋" w:hAnsi="仿宋" w:eastAsia="仿宋" w:cs="仿宋"/>
          <w:b w:val="0"/>
          <w:bCs w:val="0"/>
          <w:color w:val="000000" w:themeColor="text1"/>
          <w:sz w:val="24"/>
          <w:szCs w:val="24"/>
          <w:highlight w:val="none"/>
          <w14:textFill>
            <w14:solidFill>
              <w14:schemeClr w14:val="tx1"/>
            </w14:solidFill>
          </w14:textFill>
        </w:rPr>
        <w:t>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_Toc12085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）法定代表人身份证明及法定代表人授权委托书格式</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_Toc656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七</w:t>
      </w:r>
      <w:r>
        <w:rPr>
          <w:rFonts w:hint="eastAsia" w:ascii="仿宋" w:hAnsi="仿宋" w:eastAsia="仿宋" w:cs="仿宋"/>
          <w:b w:val="0"/>
          <w:bCs w:val="0"/>
          <w:color w:val="000000" w:themeColor="text1"/>
          <w:sz w:val="24"/>
          <w:szCs w:val="24"/>
          <w:highlight w:val="none"/>
          <w14:textFill>
            <w14:solidFill>
              <w14:schemeClr w14:val="tx1"/>
            </w14:solidFill>
          </w14:textFill>
        </w:rPr>
        <w:t>）投标单位反商业贿赂承诺书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_Toc17833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（八）</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节能、环保产品证明（如有）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_Toc13195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（九）</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中小企业声明函（如是）</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_Toc14418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十</w:t>
      </w:r>
      <w:r>
        <w:rPr>
          <w:rFonts w:hint="eastAsia" w:ascii="仿宋" w:hAnsi="仿宋" w:eastAsia="仿宋" w:cs="仿宋"/>
          <w:b w:val="0"/>
          <w:bCs w:val="0"/>
          <w:color w:val="000000" w:themeColor="text1"/>
          <w:sz w:val="24"/>
          <w:szCs w:val="24"/>
          <w:highlight w:val="none"/>
          <w14:textFill>
            <w14:solidFill>
              <w14:schemeClr w14:val="tx1"/>
            </w14:solidFill>
          </w14:textFill>
        </w:rPr>
        <w:t>）投标保证金</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_Toc3019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val="0"/>
          <w:bCs w:val="0"/>
          <w:color w:val="000000" w:themeColor="text1"/>
          <w:sz w:val="24"/>
          <w:szCs w:val="24"/>
          <w:highlight w:val="none"/>
          <w14:textFill>
            <w14:solidFill>
              <w14:schemeClr w14:val="tx1"/>
            </w14:solidFill>
          </w14:textFill>
        </w:rPr>
        <w:t>）技术条款偏离表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_Toc23781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val="0"/>
          <w:bCs w:val="0"/>
          <w:color w:val="000000" w:themeColor="text1"/>
          <w:sz w:val="24"/>
          <w:szCs w:val="24"/>
          <w:highlight w:val="none"/>
          <w14:textFill>
            <w14:solidFill>
              <w14:schemeClr w14:val="tx1"/>
            </w14:solidFill>
          </w14:textFill>
        </w:rPr>
        <w:t>）投标人基本情况表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_Toc30025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（十三）运输方案</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_Toc15412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val="0"/>
          <w:bCs w:val="0"/>
          <w:color w:val="000000" w:themeColor="text1"/>
          <w:sz w:val="24"/>
          <w:szCs w:val="24"/>
          <w:highlight w:val="none"/>
          <w14:textFill>
            <w14:solidFill>
              <w14:schemeClr w14:val="tx1"/>
            </w14:solidFill>
          </w14:textFill>
        </w:rPr>
        <w:t>）质量保证措施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_Toc23967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售后</w:t>
      </w:r>
      <w:r>
        <w:rPr>
          <w:rFonts w:hint="eastAsia" w:ascii="仿宋" w:hAnsi="仿宋" w:eastAsia="仿宋" w:cs="仿宋"/>
          <w:b w:val="0"/>
          <w:bCs w:val="0"/>
          <w:color w:val="000000" w:themeColor="text1"/>
          <w:sz w:val="24"/>
          <w:szCs w:val="24"/>
          <w:highlight w:val="none"/>
          <w14:textFill>
            <w14:solidFill>
              <w14:schemeClr w14:val="tx1"/>
            </w14:solidFill>
          </w14:textFill>
        </w:rPr>
        <w:t>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_Toc25484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）其他有利于投标人的资料（如有）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11、报价：</w:t>
      </w:r>
    </w:p>
    <w:p>
      <w:pPr>
        <w:spacing w:line="360" w:lineRule="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11.1 </w:t>
      </w:r>
      <w:r>
        <w:rPr>
          <w:rFonts w:hint="eastAsia" w:ascii="仿宋" w:hAnsi="仿宋" w:eastAsia="仿宋" w:cs="仿宋"/>
          <w:b/>
          <w:bCs/>
          <w:color w:val="000000" w:themeColor="text1"/>
          <w:highlight w:val="none"/>
          <w14:textFill>
            <w14:solidFill>
              <w14:schemeClr w14:val="tx1"/>
            </w14:solidFill>
          </w14:textFill>
        </w:rPr>
        <w:t>投标总报价超预算金额的，其报价无效，不进入评标阶段。</w:t>
      </w:r>
    </w:p>
    <w:p>
      <w:pPr>
        <w:spacing w:line="44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11.2投标人应在明细报价表上标明综合单价和总价。如综合单价和总价不符，以综合单价累计为准；综合单价金额小数点有明显错位的，应以总价为准，并修改综合单价；小写和大写不符，以大写为准；投标人如果不同意上述修改原则，其投标将被拒绝。投标人应在投标报价表中标明其提供的所有货物及其相关工作范围内所有费用的总价，招标方不接受任何有选择性的报价。</w:t>
      </w:r>
    </w:p>
    <w:p>
      <w:pPr>
        <w:spacing w:line="44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11.3 </w:t>
      </w:r>
      <w:r>
        <w:rPr>
          <w:rFonts w:hint="eastAsia" w:ascii="仿宋" w:hAnsi="仿宋" w:eastAsia="仿宋" w:cs="仿宋"/>
          <w:b/>
          <w:bCs/>
          <w:color w:val="000000" w:themeColor="text1"/>
          <w:highlight w:val="none"/>
          <w14:textFill>
            <w14:solidFill>
              <w14:schemeClr w14:val="tx1"/>
            </w14:solidFill>
          </w14:textFill>
        </w:rPr>
        <w:t>报价人如果免费提供某项产品、部件或服务，除在价格栏中填写“0”外，还必须在备注栏中声明免费或赠送。</w:t>
      </w:r>
    </w:p>
    <w:p>
      <w:pPr>
        <w:spacing w:line="44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11.4 投标报价时应注意包括下列几项费用：</w:t>
      </w:r>
    </w:p>
    <w:p>
      <w:pPr>
        <w:spacing w:line="44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 招标文件中特别要求的备品备件、易损件和专用工具的费用；</w:t>
      </w:r>
    </w:p>
    <w:p>
      <w:pPr>
        <w:spacing w:line="44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 招标文件中特别要求的货物的供应、运输、装卸、安装、调试、税费等全部费用；</w:t>
      </w:r>
    </w:p>
    <w:p>
      <w:pPr>
        <w:spacing w:line="44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 报价人提供的在中华人民共和国制造的货物，其货物的投标价即交货价中，包括制造、组装该货物所使用的零部件及原材料已付的全部关税、销售税和其他税。</w:t>
      </w:r>
    </w:p>
    <w:p>
      <w:pPr>
        <w:spacing w:line="44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 综合单价必须包括供应、运输、装卸、安装、调试、税费等全部报价。</w:t>
      </w:r>
    </w:p>
    <w:p>
      <w:pPr>
        <w:spacing w:line="44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11.5 </w:t>
      </w:r>
      <w:r>
        <w:rPr>
          <w:rFonts w:hint="eastAsia" w:ascii="仿宋" w:hAnsi="仿宋" w:eastAsia="仿宋" w:cs="仿宋"/>
          <w:bCs/>
          <w:color w:val="000000" w:themeColor="text1"/>
          <w:highlight w:val="none"/>
          <w14:textFill>
            <w14:solidFill>
              <w14:schemeClr w14:val="tx1"/>
            </w14:solidFill>
          </w14:textFill>
        </w:rPr>
        <w:t>报价</w:t>
      </w:r>
      <w:r>
        <w:rPr>
          <w:rFonts w:hint="eastAsia" w:ascii="仿宋" w:hAnsi="仿宋" w:eastAsia="仿宋" w:cs="仿宋"/>
          <w:color w:val="000000" w:themeColor="text1"/>
          <w:highlight w:val="none"/>
          <w14:textFill>
            <w14:solidFill>
              <w14:schemeClr w14:val="tx1"/>
            </w14:solidFill>
          </w14:textFill>
        </w:rPr>
        <w:t>人应对投标货物提供完整的详细的书面说明。</w:t>
      </w:r>
    </w:p>
    <w:p>
      <w:pPr>
        <w:spacing w:line="44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11.6投标报价单位为人民币。各项价格必须清楚、准确、详细。</w:t>
      </w:r>
    </w:p>
    <w:p>
      <w:pPr>
        <w:spacing w:line="44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11.7报价方提供的在中华人民共和国制造的货物，或已在中华人民共和国境内的、国外生产的、已经进口货物，其货物的报价即交货价中，包括制造、组装该货物所使用的零部件及原材料已付的全部关税、销售税和其他税。</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12、报价货币</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12.1</w:t>
      </w:r>
      <w:r>
        <w:rPr>
          <w:rFonts w:hint="eastAsia" w:ascii="仿宋" w:hAnsi="仿宋" w:eastAsia="仿宋" w:cs="仿宋"/>
          <w:color w:val="000000" w:themeColor="text1"/>
          <w:highlight w:val="none"/>
          <w14:textFill>
            <w14:solidFill>
              <w14:schemeClr w14:val="tx1"/>
            </w14:solidFill>
          </w14:textFill>
        </w:rPr>
        <w:t xml:space="preserve"> 报价应以人民币报价。</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13、证明报价人资格的文件</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13.1</w:t>
      </w:r>
      <w:r>
        <w:rPr>
          <w:rFonts w:hint="eastAsia" w:ascii="仿宋" w:hAnsi="仿宋" w:eastAsia="仿宋" w:cs="仿宋"/>
          <w:color w:val="000000" w:themeColor="text1"/>
          <w:highlight w:val="none"/>
          <w14:textFill>
            <w14:solidFill>
              <w14:schemeClr w14:val="tx1"/>
            </w14:solidFill>
          </w14:textFill>
        </w:rPr>
        <w:t xml:space="preserve"> 报价人应提交证明其有资格参加谈判和一旦成交则有能力履行合同的文件，并作为其谈判响应文件的一部分。详细如下：</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13.1.1 报价人有效“工商营业执照”副本内页；</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13.1.2 法人代表资格证明书或法人代表授权书；</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13.1.3 法人代表身份证或法人授权代表身份证；</w:t>
      </w:r>
    </w:p>
    <w:p>
      <w:pPr>
        <w:spacing w:line="360" w:lineRule="auto"/>
        <w:rPr>
          <w:rFonts w:hint="eastAsia" w:ascii="仿宋" w:hAnsi="仿宋" w:eastAsia="仿宋" w:cs="仿宋"/>
          <w:color w:val="000000" w:themeColor="text1"/>
          <w:kern w:val="0"/>
          <w:highlight w:val="none"/>
          <w:shd w:val="clear" w:color="0A0000" w:fill="FFFFFF"/>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13.1.4近一年来经审计或税务部门审核的年度财务报表（包括：损益表、资产负债表、现金流量表</w:t>
      </w:r>
      <w:r>
        <w:rPr>
          <w:rFonts w:hint="eastAsia" w:ascii="仿宋" w:hAnsi="仿宋" w:eastAsia="仿宋" w:cs="仿宋"/>
          <w:color w:val="000000" w:themeColor="text1"/>
          <w:kern w:val="0"/>
          <w:highlight w:val="none"/>
          <w:shd w:val="clear" w:color="0A0000" w:fill="FFFFFF"/>
          <w14:textFill>
            <w14:solidFill>
              <w14:schemeClr w14:val="tx1"/>
            </w14:solidFill>
          </w14:textFill>
        </w:rPr>
        <w:t>。</w:t>
      </w:r>
    </w:p>
    <w:p>
      <w:pPr>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13.1.5</w:t>
      </w:r>
      <w:r>
        <w:rPr>
          <w:rFonts w:hint="eastAsia" w:ascii="仿宋" w:hAnsi="仿宋" w:eastAsia="仿宋" w:cs="仿宋"/>
          <w:b/>
          <w:color w:val="000000" w:themeColor="text1"/>
          <w:highlight w:val="none"/>
          <w14:textFill>
            <w14:solidFill>
              <w14:schemeClr w14:val="tx1"/>
            </w14:solidFill>
          </w14:textFill>
        </w:rPr>
        <w:t xml:space="preserve"> </w:t>
      </w:r>
      <w:r>
        <w:rPr>
          <w:rFonts w:hint="eastAsia" w:ascii="仿宋" w:hAnsi="仿宋" w:eastAsia="仿宋" w:cs="仿宋"/>
          <w:bCs/>
          <w:color w:val="000000" w:themeColor="text1"/>
          <w:highlight w:val="none"/>
          <w14:textFill>
            <w14:solidFill>
              <w14:schemeClr w14:val="tx1"/>
            </w14:solidFill>
          </w14:textFill>
        </w:rPr>
        <w:t>其他招标文件中要求列出的资格证明文件。</w:t>
      </w:r>
    </w:p>
    <w:p>
      <w:pPr>
        <w:pStyle w:val="20"/>
        <w:ind w:left="0" w:leftChars="0" w:firstLine="0" w:firstLineChars="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13.1.6 投标单位认为有必要提供的声明及文件资料。</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14、报价人应逐条详细阅读谈判文件有关要求，表明所提供的服务是否对文件做出实质性响应。</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15、谈判响应文件的有效期</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15.1</w:t>
      </w:r>
      <w:r>
        <w:rPr>
          <w:rFonts w:hint="eastAsia" w:ascii="仿宋" w:hAnsi="仿宋" w:eastAsia="仿宋" w:cs="仿宋"/>
          <w:color w:val="000000" w:themeColor="text1"/>
          <w:highlight w:val="none"/>
          <w14:textFill>
            <w14:solidFill>
              <w14:schemeClr w14:val="tx1"/>
            </w14:solidFill>
          </w14:textFill>
        </w:rPr>
        <w:t xml:space="preserve"> 谈判响应文件从实质谈判之日起</w:t>
      </w:r>
      <w:r>
        <w:rPr>
          <w:rFonts w:hint="eastAsia" w:ascii="仿宋" w:hAnsi="仿宋" w:eastAsia="仿宋" w:cs="仿宋"/>
          <w:color w:val="000000" w:themeColor="text1"/>
          <w:highlight w:val="none"/>
          <w:lang w:val="en-US" w:eastAsia="zh-CN"/>
          <w14:textFill>
            <w14:solidFill>
              <w14:schemeClr w14:val="tx1"/>
            </w14:solidFill>
          </w14:textFill>
        </w:rPr>
        <w:t>30</w:t>
      </w:r>
      <w:r>
        <w:rPr>
          <w:rFonts w:hint="eastAsia" w:ascii="仿宋" w:hAnsi="仿宋" w:eastAsia="仿宋" w:cs="仿宋"/>
          <w:color w:val="000000" w:themeColor="text1"/>
          <w:highlight w:val="none"/>
          <w14:textFill>
            <w14:solidFill>
              <w14:schemeClr w14:val="tx1"/>
            </w14:solidFill>
          </w14:textFill>
        </w:rPr>
        <w:t>天内有效。</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15.2</w:t>
      </w:r>
      <w:r>
        <w:rPr>
          <w:rFonts w:hint="eastAsia" w:ascii="仿宋" w:hAnsi="仿宋" w:eastAsia="仿宋" w:cs="仿宋"/>
          <w:color w:val="000000" w:themeColor="text1"/>
          <w:highlight w:val="none"/>
          <w14:textFill>
            <w14:solidFill>
              <w14:schemeClr w14:val="tx1"/>
            </w14:solidFill>
          </w14:textFill>
        </w:rPr>
        <w:t xml:space="preserve"> 如遇特殊情况，在原报价有效期届满之前，采购人可与报价人协商延长谈判响应文件的有效期，并经报价人确认。</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16、谈判响应文件的份数、签署、字体、装订</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16.1</w:t>
      </w:r>
      <w:r>
        <w:rPr>
          <w:rFonts w:hint="eastAsia" w:ascii="仿宋" w:hAnsi="仿宋" w:eastAsia="仿宋" w:cs="仿宋"/>
          <w:color w:val="000000" w:themeColor="text1"/>
          <w:highlight w:val="none"/>
          <w14:textFill>
            <w14:solidFill>
              <w14:schemeClr w14:val="tx1"/>
            </w14:solidFill>
          </w14:textFill>
        </w:rPr>
        <w:t>报价人必须按“报价人须知前附表”中规定的“正本”和“副本”份数，谈判响应文件正本和副本如有不一致之处，以正本为准，电子版投标文件与纸质投标文件不一致时，以纸质投标文件为准，参考资料数量不限。</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16.2</w:t>
      </w:r>
      <w:r>
        <w:rPr>
          <w:rFonts w:hint="eastAsia" w:ascii="仿宋" w:hAnsi="仿宋" w:eastAsia="仿宋" w:cs="仿宋"/>
          <w:color w:val="000000" w:themeColor="text1"/>
          <w:highlight w:val="none"/>
          <w14:textFill>
            <w14:solidFill>
              <w14:schemeClr w14:val="tx1"/>
            </w14:solidFill>
          </w14:textFill>
        </w:rPr>
        <w:t xml:space="preserve"> 谈判响应文件正本与副本须用A4纸用不褪色的墨水笔书写或打印。谈判响应文件的书写应清楚工整，修改处须由报价人法人代表或授权委托人代表签章。</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16.3</w:t>
      </w:r>
      <w:r>
        <w:rPr>
          <w:rFonts w:hint="eastAsia" w:ascii="仿宋" w:hAnsi="仿宋" w:eastAsia="仿宋" w:cs="仿宋"/>
          <w:color w:val="000000" w:themeColor="text1"/>
          <w:highlight w:val="none"/>
          <w14:textFill>
            <w14:solidFill>
              <w14:schemeClr w14:val="tx1"/>
            </w14:solidFill>
          </w14:textFill>
        </w:rPr>
        <w:t xml:space="preserve"> 谈判响应文件应由企业法人或法人授权代表在规定签章处逐一签署及加盖单位公章。</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16.4</w:t>
      </w:r>
      <w:r>
        <w:rPr>
          <w:rFonts w:hint="eastAsia" w:ascii="仿宋" w:hAnsi="仿宋" w:eastAsia="仿宋" w:cs="仿宋"/>
          <w:b/>
          <w:bCs/>
          <w:color w:val="000000" w:themeColor="text1"/>
          <w:highlight w:val="none"/>
          <w14:textFill>
            <w14:solidFill>
              <w14:schemeClr w14:val="tx1"/>
            </w14:solidFill>
          </w14:textFill>
        </w:rPr>
        <w:t xml:space="preserve"> 谈判响应文件一律采用</w:t>
      </w:r>
      <w:r>
        <w:rPr>
          <w:rFonts w:hint="eastAsia" w:ascii="仿宋" w:hAnsi="仿宋" w:eastAsia="仿宋" w:cs="仿宋"/>
          <w:b/>
          <w:bCs/>
          <w:color w:val="000000" w:themeColor="text1"/>
          <w:highlight w:val="none"/>
          <w:lang w:val="en-US" w:eastAsia="zh-CN"/>
          <w14:textFill>
            <w14:solidFill>
              <w14:schemeClr w14:val="tx1"/>
            </w14:solidFill>
          </w14:textFill>
        </w:rPr>
        <w:t>粘胶</w:t>
      </w:r>
      <w:r>
        <w:rPr>
          <w:rFonts w:hint="eastAsia" w:ascii="仿宋" w:hAnsi="仿宋" w:eastAsia="仿宋" w:cs="仿宋"/>
          <w:b/>
          <w:bCs/>
          <w:color w:val="000000" w:themeColor="text1"/>
          <w:highlight w:val="none"/>
          <w14:textFill>
            <w14:solidFill>
              <w14:schemeClr w14:val="tx1"/>
            </w14:solidFill>
          </w14:textFill>
        </w:rPr>
        <w:t>装方式进行装订</w:t>
      </w:r>
      <w:r>
        <w:rPr>
          <w:rFonts w:hint="eastAsia" w:ascii="仿宋" w:hAnsi="仿宋" w:eastAsia="仿宋" w:cs="仿宋"/>
          <w:color w:val="000000" w:themeColor="text1"/>
          <w:highlight w:val="none"/>
          <w14:textFill>
            <w14:solidFill>
              <w14:schemeClr w14:val="tx1"/>
            </w14:solidFill>
          </w14:textFill>
        </w:rPr>
        <w:t>。</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17、谈判保证金</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17.1</w:t>
      </w:r>
      <w:r>
        <w:rPr>
          <w:rFonts w:hint="eastAsia" w:ascii="仿宋" w:hAnsi="仿宋" w:eastAsia="仿宋" w:cs="仿宋"/>
          <w:color w:val="000000" w:themeColor="text1"/>
          <w:highlight w:val="none"/>
          <w14:textFill>
            <w14:solidFill>
              <w14:schemeClr w14:val="tx1"/>
            </w14:solidFill>
          </w14:textFill>
        </w:rPr>
        <w:t xml:space="preserve"> 谈判保证金数额详见投标须知前附表第</w:t>
      </w:r>
      <w:r>
        <w:rPr>
          <w:rFonts w:hint="eastAsia" w:ascii="仿宋" w:hAnsi="仿宋" w:eastAsia="仿宋" w:cs="仿宋"/>
          <w:color w:val="000000" w:themeColor="text1"/>
          <w:highlight w:val="none"/>
          <w:lang w:val="en-US" w:eastAsia="zh-CN"/>
          <w14:textFill>
            <w14:solidFill>
              <w14:schemeClr w14:val="tx1"/>
            </w14:solidFill>
          </w14:textFill>
        </w:rPr>
        <w:t>12</w:t>
      </w:r>
      <w:r>
        <w:rPr>
          <w:rFonts w:hint="eastAsia" w:ascii="仿宋" w:hAnsi="仿宋" w:eastAsia="仿宋" w:cs="仿宋"/>
          <w:color w:val="000000" w:themeColor="text1"/>
          <w:highlight w:val="none"/>
          <w14:textFill>
            <w14:solidFill>
              <w14:schemeClr w14:val="tx1"/>
            </w14:solidFill>
          </w14:textFill>
        </w:rPr>
        <w:t>条。</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17.2</w:t>
      </w:r>
      <w:r>
        <w:rPr>
          <w:rFonts w:hint="eastAsia" w:ascii="仿宋" w:hAnsi="仿宋" w:eastAsia="仿宋" w:cs="仿宋"/>
          <w:color w:val="000000" w:themeColor="text1"/>
          <w:highlight w:val="none"/>
          <w14:textFill>
            <w14:solidFill>
              <w14:schemeClr w14:val="tx1"/>
            </w14:solidFill>
          </w14:textFill>
        </w:rPr>
        <w:t xml:space="preserve"> 谈判保证金用于应对本次因报价人违规、违约而产生的风险。</w:t>
      </w:r>
    </w:p>
    <w:p>
      <w:pPr>
        <w:spacing w:line="360" w:lineRule="auto"/>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17.3</w:t>
      </w:r>
      <w:r>
        <w:rPr>
          <w:rFonts w:hint="eastAsia" w:ascii="仿宋" w:hAnsi="仿宋" w:eastAsia="仿宋" w:cs="仿宋"/>
          <w:color w:val="000000" w:themeColor="text1"/>
          <w:highlight w:val="none"/>
          <w14:textFill>
            <w14:solidFill>
              <w14:schemeClr w14:val="tx1"/>
            </w14:solidFill>
          </w14:textFill>
        </w:rPr>
        <w:t xml:space="preserve"> 谈判保证金须以单位名义缴纳，未成交单位的谈判保证金，退还给原缴纳单位。谈判保证金应于谈判时间前存入指定账户（开户信息：见【报价须知前附表】）。对未按要求提交谈判保证金的谈判响应文件，谈判小组将视为不响应谈判文件予以拒绝。</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17.4</w:t>
      </w:r>
      <w:r>
        <w:rPr>
          <w:rFonts w:hint="eastAsia" w:ascii="仿宋" w:hAnsi="仿宋" w:eastAsia="仿宋" w:cs="仿宋"/>
          <w:color w:val="000000" w:themeColor="text1"/>
          <w:highlight w:val="none"/>
          <w14:textFill>
            <w14:solidFill>
              <w14:schemeClr w14:val="tx1"/>
            </w14:solidFill>
          </w14:textFill>
        </w:rPr>
        <w:t xml:space="preserve"> 谈判保证金以银行汇票、支票的方式提交，不接受现金形式的谈判保证金。</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17.5</w:t>
      </w:r>
      <w:r>
        <w:rPr>
          <w:rFonts w:hint="eastAsia" w:ascii="仿宋" w:hAnsi="仿宋" w:eastAsia="仿宋" w:cs="仿宋"/>
          <w:color w:val="000000" w:themeColor="text1"/>
          <w:highlight w:val="none"/>
          <w14:textFill>
            <w14:solidFill>
              <w14:schemeClr w14:val="tx1"/>
            </w14:solidFill>
          </w14:textFill>
        </w:rPr>
        <w:t xml:space="preserve"> 《成交通知书》发出3日内，采购方向未成交方发出《未成交通知书》并退还谈判保证金。</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17.6</w:t>
      </w:r>
      <w:r>
        <w:rPr>
          <w:rFonts w:hint="eastAsia" w:ascii="仿宋" w:hAnsi="仿宋" w:eastAsia="仿宋" w:cs="仿宋"/>
          <w:color w:val="000000" w:themeColor="text1"/>
          <w:highlight w:val="none"/>
          <w14:textFill>
            <w14:solidFill>
              <w14:schemeClr w14:val="tx1"/>
            </w14:solidFill>
          </w14:textFill>
        </w:rPr>
        <w:t xml:space="preserve"> 在采购方规定的报价有效期满之前，采购方将以书面形式发出《成交通知书》，《成交通知书》一经发出即发生法律效力。</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17.7</w:t>
      </w:r>
      <w:r>
        <w:rPr>
          <w:rFonts w:hint="eastAsia" w:ascii="仿宋" w:hAnsi="仿宋" w:eastAsia="仿宋" w:cs="仿宋"/>
          <w:color w:val="000000" w:themeColor="text1"/>
          <w:highlight w:val="none"/>
          <w14:textFill>
            <w14:solidFill>
              <w14:schemeClr w14:val="tx1"/>
            </w14:solidFill>
          </w14:textFill>
        </w:rPr>
        <w:t>发生以下情况，谈判保证金可能被没收：</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17.7.1 投标人在投标有效期内撤回投标文件的；</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17.7.2投标人在投标过程中弄虚作假，提供虚假材料的；</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17.7.3中标人无正当理由不与招标人签订合同的；</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17.7.4其他严重扰乱招投标程序的；</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17.7.5 成交人未能做到：1、按本章第29条规定签订合同；</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2、按本章第35条交付成交服务费。</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17.7.6 投标人在投标过程中有其他违反有关法律法规行为的。</w:t>
      </w:r>
    </w:p>
    <w:p>
      <w:pPr>
        <w:pStyle w:val="4"/>
        <w:spacing w:line="360" w:lineRule="auto"/>
        <w:ind w:firstLine="3204" w:firstLineChars="1140"/>
        <w:rPr>
          <w:rFonts w:hint="eastAsia" w:ascii="仿宋" w:hAnsi="仿宋" w:eastAsia="仿宋" w:cs="仿宋"/>
          <w:color w:val="000000" w:themeColor="text1"/>
          <w:sz w:val="28"/>
          <w:highlight w:val="none"/>
          <w14:textFill>
            <w14:solidFill>
              <w14:schemeClr w14:val="tx1"/>
            </w14:solidFill>
          </w14:textFill>
        </w:rPr>
      </w:pPr>
      <w:bookmarkStart w:id="68" w:name="_Toc16246"/>
      <w:bookmarkStart w:id="69" w:name="_Toc8723"/>
      <w:r>
        <w:rPr>
          <w:rFonts w:hint="eastAsia" w:ascii="仿宋" w:hAnsi="仿宋" w:eastAsia="仿宋" w:cs="仿宋"/>
          <w:color w:val="000000" w:themeColor="text1"/>
          <w:sz w:val="28"/>
          <w:highlight w:val="none"/>
          <w14:textFill>
            <w14:solidFill>
              <w14:schemeClr w14:val="tx1"/>
            </w14:solidFill>
          </w14:textFill>
        </w:rPr>
        <w:t>四、谈判响应文件递交</w:t>
      </w:r>
      <w:bookmarkEnd w:id="68"/>
      <w:bookmarkEnd w:id="69"/>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18、谈判响应文件的密封与标记</w:t>
      </w:r>
    </w:p>
    <w:p>
      <w:pPr>
        <w:tabs>
          <w:tab w:val="left" w:pos="1662"/>
        </w:tabs>
        <w:autoSpaceDE w:val="0"/>
        <w:autoSpaceDN w:val="0"/>
        <w:spacing w:before="113" w:line="400" w:lineRule="exact"/>
        <w:ind w:left="154" w:leftChars="64"/>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lang w:val="zh-CN"/>
          <w14:textFill>
            <w14:solidFill>
              <w14:schemeClr w14:val="tx1"/>
            </w14:solidFill>
          </w14:textFill>
        </w:rPr>
        <w:t>.1 投标文件的密封详见投标人须知前附表。</w:t>
      </w:r>
    </w:p>
    <w:p>
      <w:pPr>
        <w:tabs>
          <w:tab w:val="left" w:pos="1662"/>
        </w:tabs>
        <w:autoSpaceDE w:val="0"/>
        <w:autoSpaceDN w:val="0"/>
        <w:spacing w:before="113" w:line="400" w:lineRule="exact"/>
        <w:ind w:left="154" w:leftChars="64"/>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lang w:val="zh-CN"/>
          <w14:textFill>
            <w14:solidFill>
              <w14:schemeClr w14:val="tx1"/>
            </w14:solidFill>
          </w14:textFill>
        </w:rPr>
        <w:t>.2 如果投标人未按上述要求对投标文件密封及加写标记，招标代理机构对由此造成的文件的误投或过早启封概不负责，招标代理机构有权予以拒绝，并退回投标人。</w:t>
      </w:r>
    </w:p>
    <w:p>
      <w:pPr>
        <w:tabs>
          <w:tab w:val="left" w:pos="1662"/>
        </w:tabs>
        <w:autoSpaceDE w:val="0"/>
        <w:autoSpaceDN w:val="0"/>
        <w:spacing w:before="113" w:line="400" w:lineRule="exact"/>
        <w:ind w:left="154" w:leftChars="64"/>
        <w:jc w:val="left"/>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lang w:val="zh-CN"/>
          <w14:textFill>
            <w14:solidFill>
              <w14:schemeClr w14:val="tx1"/>
            </w14:solidFill>
          </w14:textFill>
        </w:rPr>
        <w:t>.3 由于不可抗拒的原因或无法控制的事件而导致丢失或损坏投标包装体内的投标文件，招标人将不负责任。</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19、谈判响应文件递交的截止日期</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19.1</w:t>
      </w:r>
      <w:r>
        <w:rPr>
          <w:rFonts w:hint="eastAsia" w:ascii="仿宋" w:hAnsi="仿宋" w:eastAsia="仿宋" w:cs="仿宋"/>
          <w:color w:val="000000" w:themeColor="text1"/>
          <w:highlight w:val="none"/>
          <w14:textFill>
            <w14:solidFill>
              <w14:schemeClr w14:val="tx1"/>
            </w14:solidFill>
          </w14:textFill>
        </w:rPr>
        <w:t xml:space="preserve"> 报价人必须在“报价人须知前附表”中规定的谈判时间前将谈判响应文件送达谈判地点。</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19.2</w:t>
      </w:r>
      <w:r>
        <w:rPr>
          <w:rFonts w:hint="eastAsia" w:ascii="仿宋" w:hAnsi="仿宋" w:eastAsia="仿宋" w:cs="仿宋"/>
          <w:color w:val="000000" w:themeColor="text1"/>
          <w:highlight w:val="none"/>
          <w14:textFill>
            <w14:solidFill>
              <w14:schemeClr w14:val="tx1"/>
            </w14:solidFill>
          </w14:textFill>
        </w:rPr>
        <w:t xml:space="preserve"> 超过谈判文件要求的谈判时间送达或邮寄的谈判响应文件将不予接受。</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20、谈判响应文件的修改和撤销</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20.1</w:t>
      </w:r>
      <w:r>
        <w:rPr>
          <w:rFonts w:hint="eastAsia" w:ascii="仿宋" w:hAnsi="仿宋" w:eastAsia="仿宋" w:cs="仿宋"/>
          <w:color w:val="000000" w:themeColor="text1"/>
          <w:highlight w:val="none"/>
          <w14:textFill>
            <w14:solidFill>
              <w14:schemeClr w14:val="tx1"/>
            </w14:solidFill>
          </w14:textFill>
        </w:rPr>
        <w:t xml:space="preserve"> 报价人可以在递交谈判响应文件后，在谈判时间前，以书面形式向采购人递交通知修改或撤回其谈判响应文件。</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20.2</w:t>
      </w:r>
      <w:r>
        <w:rPr>
          <w:rFonts w:hint="eastAsia" w:ascii="仿宋" w:hAnsi="仿宋" w:eastAsia="仿宋" w:cs="仿宋"/>
          <w:color w:val="000000" w:themeColor="text1"/>
          <w:highlight w:val="none"/>
          <w14:textFill>
            <w14:solidFill>
              <w14:schemeClr w14:val="tx1"/>
            </w14:solidFill>
          </w14:textFill>
        </w:rPr>
        <w:t xml:space="preserve"> 报价人对谈判响应文件的修改或撤销应按本章第18和19条规定进行准备、密封、标注和递交。</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20.3</w:t>
      </w:r>
      <w:r>
        <w:rPr>
          <w:rFonts w:hint="eastAsia" w:ascii="仿宋" w:hAnsi="仿宋" w:eastAsia="仿宋" w:cs="仿宋"/>
          <w:color w:val="000000" w:themeColor="text1"/>
          <w:highlight w:val="none"/>
          <w14:textFill>
            <w14:solidFill>
              <w14:schemeClr w14:val="tx1"/>
            </w14:solidFill>
          </w14:textFill>
        </w:rPr>
        <w:t xml:space="preserve"> 谈判开始后不得随意修改谈判响应文件。</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20.4</w:t>
      </w:r>
      <w:r>
        <w:rPr>
          <w:rFonts w:hint="eastAsia" w:ascii="仿宋" w:hAnsi="仿宋" w:eastAsia="仿宋" w:cs="仿宋"/>
          <w:color w:val="000000" w:themeColor="text1"/>
          <w:highlight w:val="none"/>
          <w14:textFill>
            <w14:solidFill>
              <w14:schemeClr w14:val="tx1"/>
            </w14:solidFill>
          </w14:textFill>
        </w:rPr>
        <w:t xml:space="preserve"> 报价人不得在谈判开始起至谈判响应文件有效期满前撤销谈判响应文件，否则代理机构将没收谈判保证金，作为对代理机构和采购人的违约赔偿金。</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20.5谈判响应文件的澄清</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20.5.1</w:t>
      </w:r>
      <w:r>
        <w:rPr>
          <w:rFonts w:hint="eastAsia" w:ascii="仿宋" w:hAnsi="仿宋" w:eastAsia="仿宋" w:cs="仿宋"/>
          <w:color w:val="000000" w:themeColor="text1"/>
          <w:highlight w:val="none"/>
          <w14:textFill>
            <w14:solidFill>
              <w14:schemeClr w14:val="tx1"/>
            </w14:solidFill>
          </w14:textFill>
        </w:rPr>
        <w:t xml:space="preserve"> 谈判小组在谈判过程中有权随时请报价人就谈判响应文件中含混之处加以澄清或答疑。</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20.5.2</w:t>
      </w:r>
      <w:r>
        <w:rPr>
          <w:rFonts w:hint="eastAsia" w:ascii="仿宋" w:hAnsi="仿宋" w:eastAsia="仿宋" w:cs="仿宋"/>
          <w:color w:val="000000" w:themeColor="text1"/>
          <w:highlight w:val="none"/>
          <w14:textFill>
            <w14:solidFill>
              <w14:schemeClr w14:val="tx1"/>
            </w14:solidFill>
          </w14:textFill>
        </w:rPr>
        <w:t xml:space="preserve"> 报价人对要求澄清的问题应以书面形式明确答复，并应有法人授权代表的签署。</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20.5.3</w:t>
      </w:r>
      <w:r>
        <w:rPr>
          <w:rFonts w:hint="eastAsia" w:ascii="仿宋" w:hAnsi="仿宋" w:eastAsia="仿宋" w:cs="仿宋"/>
          <w:color w:val="000000" w:themeColor="text1"/>
          <w:highlight w:val="none"/>
          <w14:textFill>
            <w14:solidFill>
              <w14:schemeClr w14:val="tx1"/>
            </w14:solidFill>
          </w14:textFill>
        </w:rPr>
        <w:t xml:space="preserve"> 报价人的澄清文件是谈判响应文件的组成部分，并取代谈判响应文件中被澄清的部分。</w:t>
      </w:r>
    </w:p>
    <w:p>
      <w:pPr>
        <w:spacing w:line="24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20.5.4</w:t>
      </w:r>
      <w:r>
        <w:rPr>
          <w:rFonts w:hint="eastAsia" w:ascii="仿宋" w:hAnsi="仿宋" w:eastAsia="仿宋" w:cs="仿宋"/>
          <w:color w:val="000000" w:themeColor="text1"/>
          <w:highlight w:val="none"/>
          <w14:textFill>
            <w14:solidFill>
              <w14:schemeClr w14:val="tx1"/>
            </w14:solidFill>
          </w14:textFill>
        </w:rPr>
        <w:t xml:space="preserve"> 谈判响应文件的澄清不得改变报价的实质内容。</w:t>
      </w:r>
    </w:p>
    <w:p>
      <w:pPr>
        <w:spacing w:line="24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20.5.5 </w:t>
      </w:r>
      <w:r>
        <w:rPr>
          <w:rFonts w:hint="eastAsia" w:ascii="仿宋" w:hAnsi="仿宋" w:eastAsia="仿宋" w:cs="仿宋"/>
          <w:color w:val="000000" w:themeColor="text1"/>
          <w:highlight w:val="none"/>
          <w14:textFill>
            <w14:solidFill>
              <w14:schemeClr w14:val="tx1"/>
            </w14:solidFill>
          </w14:textFill>
        </w:rPr>
        <w:t>如果报价人在谈判响应文件中未对文件中的条款或参数要求提出偏离意见或澄清将视同报价人同意谈判文件的全部或部分要求。</w:t>
      </w:r>
    </w:p>
    <w:p>
      <w:pPr>
        <w:pStyle w:val="4"/>
        <w:spacing w:line="240" w:lineRule="auto"/>
        <w:ind w:firstLine="3626" w:firstLineChars="1290"/>
        <w:rPr>
          <w:rFonts w:hint="eastAsia" w:ascii="仿宋" w:hAnsi="仿宋" w:eastAsia="仿宋" w:cs="仿宋"/>
          <w:color w:val="000000" w:themeColor="text1"/>
          <w:sz w:val="28"/>
          <w:highlight w:val="none"/>
          <w14:textFill>
            <w14:solidFill>
              <w14:schemeClr w14:val="tx1"/>
            </w14:solidFill>
          </w14:textFill>
        </w:rPr>
      </w:pPr>
      <w:bookmarkStart w:id="70" w:name="_Toc20020"/>
      <w:bookmarkStart w:id="71" w:name="_Toc926"/>
      <w:r>
        <w:rPr>
          <w:rFonts w:hint="eastAsia" w:ascii="仿宋" w:hAnsi="仿宋" w:eastAsia="仿宋" w:cs="仿宋"/>
          <w:color w:val="000000" w:themeColor="text1"/>
          <w:sz w:val="28"/>
          <w:highlight w:val="none"/>
          <w14:textFill>
            <w14:solidFill>
              <w14:schemeClr w14:val="tx1"/>
            </w14:solidFill>
          </w14:textFill>
        </w:rPr>
        <w:t>五、谈判</w:t>
      </w:r>
      <w:bookmarkEnd w:id="70"/>
      <w:bookmarkEnd w:id="71"/>
    </w:p>
    <w:p>
      <w:pPr>
        <w:spacing w:line="24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21、谈判</w:t>
      </w:r>
    </w:p>
    <w:p>
      <w:pPr>
        <w:spacing w:line="24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21.1 </w:t>
      </w:r>
      <w:r>
        <w:rPr>
          <w:rFonts w:hint="eastAsia" w:ascii="仿宋" w:hAnsi="仿宋" w:eastAsia="仿宋" w:cs="仿宋"/>
          <w:color w:val="000000" w:themeColor="text1"/>
          <w:highlight w:val="none"/>
          <w14:textFill>
            <w14:solidFill>
              <w14:schemeClr w14:val="tx1"/>
            </w14:solidFill>
          </w14:textFill>
        </w:rPr>
        <w:t>代理机构在“报价人须知前附表”中规定的日期、时间和地点组织谈判。届时请监督人和采购方代表参加并签到。</w:t>
      </w:r>
    </w:p>
    <w:p>
      <w:pPr>
        <w:spacing w:line="24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21.2</w:t>
      </w:r>
      <w:r>
        <w:rPr>
          <w:rFonts w:hint="eastAsia" w:ascii="仿宋" w:hAnsi="仿宋" w:eastAsia="仿宋" w:cs="仿宋"/>
          <w:color w:val="000000" w:themeColor="text1"/>
          <w:highlight w:val="none"/>
          <w14:textFill>
            <w14:solidFill>
              <w14:schemeClr w14:val="tx1"/>
            </w14:solidFill>
          </w14:textFill>
        </w:rPr>
        <w:t xml:space="preserve"> 谈判时先由采购人代表和监督人对报价人有效资质及谈判响应文件的密封性进行核查；唱标人宣读谈判响应文件正本、“开标一览表”有关内容及谈判响应文件的修改、撤销和代理机构认为合适的其他内容。</w:t>
      </w:r>
    </w:p>
    <w:p>
      <w:pPr>
        <w:spacing w:line="24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21.3</w:t>
      </w:r>
      <w:r>
        <w:rPr>
          <w:rFonts w:hint="eastAsia" w:ascii="仿宋" w:hAnsi="仿宋" w:eastAsia="仿宋" w:cs="仿宋"/>
          <w:color w:val="000000" w:themeColor="text1"/>
          <w:highlight w:val="none"/>
          <w14:textFill>
            <w14:solidFill>
              <w14:schemeClr w14:val="tx1"/>
            </w14:solidFill>
          </w14:textFill>
        </w:rPr>
        <w:t xml:space="preserve"> 有效证件</w:t>
      </w:r>
    </w:p>
    <w:p>
      <w:pPr>
        <w:numPr>
          <w:ilvl w:val="0"/>
          <w:numId w:val="0"/>
        </w:numPr>
        <w:spacing w:line="240" w:lineRule="auto"/>
        <w:rPr>
          <w:rFonts w:hint="eastAsia" w:ascii="仿宋" w:hAnsi="仿宋" w:eastAsia="仿宋" w:cs="仿宋"/>
          <w:b/>
          <w:bCs/>
          <w:color w:val="000000" w:themeColor="text1"/>
          <w:highlight w:val="none"/>
          <w14:textFill>
            <w14:solidFill>
              <w14:schemeClr w14:val="tx1"/>
            </w14:solidFill>
          </w14:textFill>
        </w:rPr>
      </w:pPr>
    </w:p>
    <w:p>
      <w:pPr>
        <w:numPr>
          <w:ilvl w:val="0"/>
          <w:numId w:val="0"/>
        </w:numPr>
        <w:spacing w:line="240" w:lineRule="auto"/>
        <w:rPr>
          <w:rFonts w:hint="eastAsia" w:ascii="仿宋" w:hAnsi="仿宋" w:eastAsia="仿宋" w:cs="仿宋"/>
          <w:b/>
          <w:bCs/>
          <w:color w:val="000000" w:themeColor="text1"/>
          <w:highlight w:val="none"/>
          <w14:textFill>
            <w14:solidFill>
              <w14:schemeClr w14:val="tx1"/>
            </w14:solidFill>
          </w14:textFill>
        </w:rPr>
      </w:pPr>
    </w:p>
    <w:p>
      <w:pPr>
        <w:numPr>
          <w:ilvl w:val="0"/>
          <w:numId w:val="0"/>
        </w:numPr>
        <w:spacing w:line="240" w:lineRule="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启封前，监督人员将查验投标人以下证件的原件：</w:t>
      </w:r>
    </w:p>
    <w:tbl>
      <w:tblPr>
        <w:tblStyle w:val="21"/>
        <w:tblW w:w="9120" w:type="dxa"/>
        <w:tblInd w:w="0" w:type="dxa"/>
        <w:tblLayout w:type="fixed"/>
        <w:tblCellMar>
          <w:top w:w="0" w:type="dxa"/>
          <w:left w:w="0" w:type="dxa"/>
          <w:bottom w:w="0" w:type="dxa"/>
          <w:right w:w="0" w:type="dxa"/>
        </w:tblCellMar>
      </w:tblPr>
      <w:tblGrid>
        <w:gridCol w:w="540"/>
        <w:gridCol w:w="4620"/>
        <w:gridCol w:w="990"/>
        <w:gridCol w:w="990"/>
        <w:gridCol w:w="990"/>
        <w:gridCol w:w="990"/>
      </w:tblGrid>
      <w:tr>
        <w:tblPrEx>
          <w:tblCellMar>
            <w:top w:w="0" w:type="dxa"/>
            <w:left w:w="0" w:type="dxa"/>
            <w:bottom w:w="0" w:type="dxa"/>
            <w:right w:w="0" w:type="dxa"/>
          </w:tblCellMar>
        </w:tblPrEx>
        <w:trPr>
          <w:trHeight w:val="300" w:hRule="atLeast"/>
        </w:trPr>
        <w:tc>
          <w:tcPr>
            <w:tcW w:w="9120" w:type="dxa"/>
            <w:gridSpan w:val="6"/>
            <w:tcBorders>
              <w:top w:val="nil"/>
              <w:left w:val="nil"/>
              <w:bottom w:val="nil"/>
              <w:right w:val="nil"/>
            </w:tcBorders>
            <w:noWrap w:val="0"/>
            <w:tcMar>
              <w:top w:w="15" w:type="dxa"/>
              <w:left w:w="15" w:type="dxa"/>
              <w:right w:w="15" w:type="dxa"/>
            </w:tcMar>
            <w:vAlign w:val="center"/>
          </w:tcPr>
          <w:p>
            <w:pPr>
              <w:widowControl/>
              <w:spacing w:line="240" w:lineRule="auto"/>
              <w:jc w:val="center"/>
              <w:textAlignment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kern w:val="0"/>
                <w:sz w:val="24"/>
                <w:highlight w:val="none"/>
                <w:lang w:bidi="ar"/>
                <w14:textFill>
                  <w14:solidFill>
                    <w14:schemeClr w14:val="tx1"/>
                  </w14:solidFill>
                </w14:textFill>
              </w:rPr>
              <w:t>资 格 审 查 表</w:t>
            </w:r>
          </w:p>
        </w:tc>
      </w:tr>
      <w:tr>
        <w:tblPrEx>
          <w:tblCellMar>
            <w:top w:w="0" w:type="dxa"/>
            <w:left w:w="0" w:type="dxa"/>
            <w:bottom w:w="0" w:type="dxa"/>
            <w:right w:w="0" w:type="dxa"/>
          </w:tblCellMar>
        </w:tblPrEx>
        <w:trPr>
          <w:trHeight w:val="269" w:hRule="atLeast"/>
        </w:trPr>
        <w:tc>
          <w:tcPr>
            <w:tcW w:w="5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序号</w:t>
            </w:r>
          </w:p>
        </w:tc>
        <w:tc>
          <w:tcPr>
            <w:tcW w:w="4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标准</w:t>
            </w:r>
          </w:p>
        </w:tc>
        <w:tc>
          <w:tcPr>
            <w:tcW w:w="396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投 标 企 业</w:t>
            </w:r>
          </w:p>
        </w:tc>
      </w:tr>
      <w:tr>
        <w:tblPrEx>
          <w:tblCellMar>
            <w:top w:w="0" w:type="dxa"/>
            <w:left w:w="0" w:type="dxa"/>
            <w:bottom w:w="0" w:type="dxa"/>
            <w:right w:w="0" w:type="dxa"/>
          </w:tblCellMar>
        </w:tblPrEx>
        <w:trPr>
          <w:trHeight w:val="218" w:hRule="atLeast"/>
        </w:trPr>
        <w:tc>
          <w:tcPr>
            <w:tcW w:w="5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4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themeColor="text1"/>
                <w:sz w:val="24"/>
                <w:highlight w:val="none"/>
                <w14:textFill>
                  <w14:solidFill>
                    <w14:schemeClr w14:val="tx1"/>
                  </w14:solidFill>
                </w14:textFill>
              </w:rPr>
            </w:pPr>
          </w:p>
        </w:tc>
      </w:tr>
      <w:tr>
        <w:trPr>
          <w:trHeight w:val="1000" w:hRule="atLeast"/>
        </w:trPr>
        <w:tc>
          <w:tcPr>
            <w:tcW w:w="54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仿宋" w:hAnsi="仿宋" w:eastAsia="仿宋" w:cs="仿宋"/>
                <w:color w:val="0000FF"/>
                <w:sz w:val="24"/>
                <w:highlight w:val="none"/>
              </w:rPr>
            </w:pPr>
            <w:r>
              <w:rPr>
                <w:rFonts w:hint="eastAsia" w:ascii="仿宋" w:hAnsi="仿宋" w:eastAsia="仿宋" w:cs="仿宋"/>
                <w:color w:val="0000FF"/>
                <w:kern w:val="0"/>
                <w:sz w:val="24"/>
                <w:highlight w:val="none"/>
                <w:lang w:bidi="ar"/>
              </w:rPr>
              <w:t>1</w:t>
            </w:r>
          </w:p>
        </w:tc>
        <w:tc>
          <w:tcPr>
            <w:tcW w:w="46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仿宋" w:hAnsi="仿宋" w:eastAsia="仿宋" w:cs="仿宋"/>
                <w:color w:val="0000FF"/>
                <w:sz w:val="24"/>
                <w:highlight w:val="none"/>
              </w:rPr>
            </w:pPr>
            <w:r>
              <w:rPr>
                <w:rFonts w:hint="eastAsia" w:ascii="仿宋" w:hAnsi="仿宋" w:eastAsia="仿宋" w:cs="仿宋"/>
                <w:b/>
                <w:bCs/>
                <w:color w:val="FF0000"/>
                <w:sz w:val="28"/>
                <w:szCs w:val="28"/>
                <w:highlight w:val="none"/>
              </w:rPr>
              <w:t>投标人有效的“法人营业执照”</w:t>
            </w:r>
            <w:r>
              <w:rPr>
                <w:rFonts w:hint="eastAsia" w:ascii="仿宋" w:hAnsi="仿宋" w:eastAsia="仿宋" w:cs="仿宋"/>
                <w:b/>
                <w:bCs/>
                <w:color w:val="FF0000"/>
                <w:sz w:val="28"/>
                <w:szCs w:val="28"/>
                <w:highlight w:val="none"/>
                <w:lang w:val="en-US" w:eastAsia="zh-CN"/>
              </w:rPr>
              <w:t>副本</w:t>
            </w:r>
            <w:r>
              <w:rPr>
                <w:rFonts w:hint="eastAsia" w:ascii="仿宋" w:hAnsi="仿宋" w:eastAsia="仿宋" w:cs="仿宋"/>
                <w:b/>
                <w:bCs/>
                <w:color w:val="FF0000"/>
                <w:sz w:val="28"/>
                <w:szCs w:val="28"/>
                <w:highlight w:val="none"/>
              </w:rPr>
              <w:t>（三证合一）（原件）</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r>
      <w:tr>
        <w:tblPrEx>
          <w:tblCellMar>
            <w:top w:w="0" w:type="dxa"/>
            <w:left w:w="0" w:type="dxa"/>
            <w:bottom w:w="0" w:type="dxa"/>
            <w:right w:w="0" w:type="dxa"/>
          </w:tblCellMar>
        </w:tblPrEx>
        <w:trPr>
          <w:trHeight w:val="1190" w:hRule="atLeast"/>
        </w:trPr>
        <w:tc>
          <w:tcPr>
            <w:tcW w:w="54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仿宋" w:hAnsi="仿宋" w:eastAsia="仿宋" w:cs="仿宋"/>
                <w:color w:val="0000FF"/>
                <w:sz w:val="24"/>
                <w:highlight w:val="none"/>
              </w:rPr>
            </w:pPr>
            <w:r>
              <w:rPr>
                <w:rFonts w:hint="eastAsia" w:ascii="仿宋" w:hAnsi="仿宋" w:eastAsia="仿宋" w:cs="仿宋"/>
                <w:color w:val="0000FF"/>
                <w:kern w:val="0"/>
                <w:sz w:val="24"/>
                <w:highlight w:val="none"/>
                <w:lang w:bidi="ar"/>
              </w:rPr>
              <w:t>2</w:t>
            </w:r>
          </w:p>
        </w:tc>
        <w:tc>
          <w:tcPr>
            <w:tcW w:w="4620" w:type="dxa"/>
            <w:tcBorders>
              <w:top w:val="nil"/>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仿宋" w:hAnsi="仿宋" w:eastAsia="仿宋" w:cs="仿宋"/>
                <w:color w:val="0000FF"/>
                <w:kern w:val="0"/>
                <w:sz w:val="24"/>
                <w:highlight w:val="none"/>
                <w:lang w:bidi="ar"/>
              </w:rPr>
            </w:pPr>
            <w:r>
              <w:rPr>
                <w:rFonts w:hint="eastAsia" w:ascii="仿宋" w:hAnsi="仿宋" w:eastAsia="仿宋" w:cs="仿宋"/>
                <w:b/>
                <w:bCs/>
                <w:color w:val="FF0000"/>
                <w:sz w:val="28"/>
                <w:szCs w:val="28"/>
                <w:highlight w:val="none"/>
              </w:rPr>
              <w:t>法定代表人身份证（驾驶执照正本、护照或公安部门的相关证明）或法定代表人授权委托书和委托代理人的身份证（驾驶执照正本、护照或公安部门的相关证明）。法定代表人授权委托书应当单独提供，并与投标文件中所提供的相一致。(原件)</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r>
      <w:tr>
        <w:tblPrEx>
          <w:tblCellMar>
            <w:top w:w="0" w:type="dxa"/>
            <w:left w:w="0" w:type="dxa"/>
            <w:bottom w:w="0" w:type="dxa"/>
            <w:right w:w="0" w:type="dxa"/>
          </w:tblCellMar>
        </w:tblPrEx>
        <w:trPr>
          <w:trHeight w:val="793" w:hRule="atLeast"/>
        </w:trPr>
        <w:tc>
          <w:tcPr>
            <w:tcW w:w="54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仿宋" w:hAnsi="仿宋" w:eastAsia="仿宋" w:cs="仿宋"/>
                <w:color w:val="0000FF"/>
                <w:kern w:val="0"/>
                <w:sz w:val="24"/>
                <w:highlight w:val="none"/>
                <w:lang w:val="en-US" w:eastAsia="zh-CN" w:bidi="ar"/>
              </w:rPr>
            </w:pPr>
            <w:r>
              <w:rPr>
                <w:rFonts w:hint="eastAsia" w:ascii="仿宋" w:hAnsi="仿宋" w:eastAsia="仿宋" w:cs="仿宋"/>
                <w:color w:val="0000FF"/>
                <w:kern w:val="0"/>
                <w:sz w:val="24"/>
                <w:highlight w:val="none"/>
                <w:lang w:val="en-US" w:eastAsia="zh-CN" w:bidi="ar"/>
              </w:rPr>
              <w:t>3</w:t>
            </w:r>
          </w:p>
        </w:tc>
        <w:tc>
          <w:tcPr>
            <w:tcW w:w="4620" w:type="dxa"/>
            <w:tcBorders>
              <w:top w:val="nil"/>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仿宋" w:hAnsi="仿宋" w:eastAsia="仿宋" w:cs="仿宋"/>
                <w:color w:val="0000FF"/>
                <w:kern w:val="0"/>
                <w:sz w:val="24"/>
                <w:highlight w:val="none"/>
                <w:lang w:val="en-US" w:eastAsia="zh-CN" w:bidi="ar"/>
              </w:rPr>
            </w:pPr>
            <w:r>
              <w:rPr>
                <w:rFonts w:hint="eastAsia" w:ascii="仿宋" w:hAnsi="仿宋" w:eastAsia="仿宋" w:cs="仿宋"/>
                <w:b/>
                <w:bCs/>
                <w:color w:val="FF0000"/>
                <w:sz w:val="28"/>
                <w:szCs w:val="28"/>
                <w:highlight w:val="none"/>
              </w:rPr>
              <w:t>投标保证金打款凭证。</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r>
      <w:tr>
        <w:tblPrEx>
          <w:tblCellMar>
            <w:top w:w="0" w:type="dxa"/>
            <w:left w:w="0" w:type="dxa"/>
            <w:bottom w:w="0" w:type="dxa"/>
            <w:right w:w="0" w:type="dxa"/>
          </w:tblCellMar>
        </w:tblPrEx>
        <w:trPr>
          <w:trHeight w:val="554" w:hRule="atLeast"/>
        </w:trPr>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int="default" w:ascii="仿宋" w:hAnsi="仿宋" w:eastAsia="仿宋" w:cs="仿宋"/>
                <w:color w:val="0000FF"/>
                <w:sz w:val="24"/>
                <w:highlight w:val="none"/>
                <w:lang w:val="en-US" w:eastAsia="zh-CN"/>
              </w:rPr>
            </w:pPr>
            <w:r>
              <w:rPr>
                <w:rFonts w:hint="eastAsia" w:ascii="仿宋" w:hAnsi="仿宋" w:eastAsia="仿宋" w:cs="仿宋"/>
                <w:color w:val="0000FF"/>
                <w:sz w:val="24"/>
                <w:highlight w:val="none"/>
                <w:lang w:val="en-US" w:eastAsia="zh-CN"/>
              </w:rPr>
              <w:t>4</w:t>
            </w:r>
          </w:p>
        </w:tc>
        <w:tc>
          <w:tcPr>
            <w:tcW w:w="46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left"/>
              <w:textAlignment w:val="center"/>
              <w:rPr>
                <w:rFonts w:hint="eastAsia" w:ascii="仿宋" w:hAnsi="仿宋" w:eastAsia="仿宋" w:cs="仿宋"/>
                <w:color w:val="0000FF"/>
                <w:kern w:val="0"/>
                <w:sz w:val="24"/>
                <w:highlight w:val="none"/>
                <w:lang w:eastAsia="zh-CN" w:bidi="ar"/>
              </w:rPr>
            </w:pPr>
            <w:r>
              <w:rPr>
                <w:rFonts w:hint="eastAsia" w:ascii="仿宋" w:hAnsi="仿宋" w:eastAsia="仿宋" w:cs="仿宋"/>
                <w:b/>
                <w:bCs/>
                <w:color w:val="FF0000"/>
                <w:sz w:val="28"/>
                <w:szCs w:val="28"/>
                <w:highlight w:val="none"/>
              </w:rPr>
              <w:t>网上信用记录证明打印件加盖公章：含“信用中国”网站（www.creditchina.gov.cn）中企业信用信息查询结果；</w:t>
            </w:r>
          </w:p>
        </w:tc>
        <w:tc>
          <w:tcPr>
            <w:tcW w:w="9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FF"/>
                <w:sz w:val="24"/>
                <w:highlight w:val="none"/>
              </w:rPr>
            </w:pPr>
          </w:p>
        </w:tc>
      </w:tr>
      <w:tr>
        <w:tblPrEx>
          <w:tblCellMar>
            <w:top w:w="0" w:type="dxa"/>
            <w:left w:w="0" w:type="dxa"/>
            <w:bottom w:w="0" w:type="dxa"/>
            <w:right w:w="0" w:type="dxa"/>
          </w:tblCellMar>
        </w:tblPrEx>
        <w:trPr>
          <w:trHeight w:val="479" w:hRule="atLeast"/>
        </w:trPr>
        <w:tc>
          <w:tcPr>
            <w:tcW w:w="5160"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结论：是否通过评审</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spacing w:line="240" w:lineRule="auto"/>
              <w:rPr>
                <w:rFonts w:hint="eastAsia" w:ascii="仿宋" w:hAnsi="仿宋" w:eastAsia="仿宋" w:cs="仿宋"/>
                <w:color w:val="000000" w:themeColor="text1"/>
                <w:sz w:val="24"/>
                <w:highlight w:val="none"/>
                <w14:textFill>
                  <w14:solidFill>
                    <w14:schemeClr w14:val="tx1"/>
                  </w14:solidFill>
                </w14:textFill>
              </w:rPr>
            </w:pPr>
          </w:p>
        </w:tc>
      </w:tr>
    </w:tbl>
    <w:p>
      <w:pPr>
        <w:spacing w:line="24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22.1</w:t>
      </w:r>
      <w:r>
        <w:rPr>
          <w:rFonts w:hint="eastAsia" w:ascii="仿宋" w:hAnsi="仿宋" w:eastAsia="仿宋" w:cs="仿宋"/>
          <w:color w:val="000000" w:themeColor="text1"/>
          <w:highlight w:val="none"/>
          <w14:textFill>
            <w14:solidFill>
              <w14:schemeClr w14:val="tx1"/>
            </w14:solidFill>
          </w14:textFill>
        </w:rPr>
        <w:t>项目谈判小组按照政府采购法相关规定组成。</w:t>
      </w:r>
    </w:p>
    <w:p>
      <w:pPr>
        <w:spacing w:line="24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22.2</w:t>
      </w:r>
      <w:r>
        <w:rPr>
          <w:rFonts w:hint="eastAsia" w:ascii="仿宋" w:hAnsi="仿宋" w:eastAsia="仿宋" w:cs="仿宋"/>
          <w:color w:val="000000" w:themeColor="text1"/>
          <w:highlight w:val="none"/>
          <w14:textFill>
            <w14:solidFill>
              <w14:schemeClr w14:val="tx1"/>
            </w14:solidFill>
          </w14:textFill>
        </w:rPr>
        <w:t>谈判开始时，谈判小组对各谈判响应文件的内容进行全面审查，并确认谈判响应文件是否符合或实质上响应了谈判文件的有关要求，只有实质上响应了谈判文件的谈判响应文件才能被采购人接受。</w:t>
      </w:r>
    </w:p>
    <w:p>
      <w:pPr>
        <w:widowControl/>
        <w:spacing w:line="240" w:lineRule="auto"/>
        <w:jc w:val="left"/>
        <w:textAlignment w:val="center"/>
        <w:outlineLvl w:val="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如果谈判响应文件实质上不响应文件的要求，采购人将予以否决，并且不允许通过修正或撤销其不符合要求的差异或意见保留，使之成为具有响应性的投标。无效报价的确定按国家计委等七部委发布的《评标委员会和评标方法暂行规定》和本谈判文件的规定执行。</w:t>
      </w:r>
    </w:p>
    <w:p>
      <w:pPr>
        <w:pageBreakBefore w:val="0"/>
        <w:kinsoku/>
        <w:wordWrap/>
        <w:topLinePunct w:val="0"/>
        <w:autoSpaceDE/>
        <w:autoSpaceDN/>
        <w:bidi w:val="0"/>
        <w:spacing w:line="24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响应性文件响应程度初步</w:t>
      </w:r>
      <w:r>
        <w:rPr>
          <w:rFonts w:hint="eastAsia" w:ascii="仿宋" w:hAnsi="仿宋" w:eastAsia="仿宋" w:cs="仿宋"/>
          <w:b/>
          <w:bCs/>
          <w:color w:val="auto"/>
          <w:sz w:val="24"/>
          <w:szCs w:val="24"/>
          <w:lang w:eastAsia="zh-CN"/>
        </w:rPr>
        <w:t>评审：</w:t>
      </w:r>
    </w:p>
    <w:p>
      <w:pPr>
        <w:pageBreakBefore w:val="0"/>
        <w:tabs>
          <w:tab w:val="left" w:pos="1155"/>
        </w:tabs>
        <w:kinsoku/>
        <w:wordWrap/>
        <w:topLinePunct w:val="0"/>
        <w:autoSpaceDE/>
        <w:autoSpaceDN/>
        <w:bidi w:val="0"/>
        <w:spacing w:line="24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szCs w:val="24"/>
          <w:highlight w:val="none"/>
        </w:rPr>
        <w:t>审查</w:t>
      </w:r>
      <w:r>
        <w:rPr>
          <w:rFonts w:hint="eastAsia" w:ascii="仿宋" w:hAnsi="仿宋" w:eastAsia="仿宋" w:cs="仿宋"/>
          <w:b/>
          <w:bCs/>
          <w:color w:val="auto"/>
          <w:sz w:val="24"/>
          <w:highlight w:val="none"/>
        </w:rPr>
        <w:t>内容见下表：</w:t>
      </w:r>
    </w:p>
    <w:tbl>
      <w:tblPr>
        <w:tblStyle w:val="21"/>
        <w:tblW w:w="94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4"/>
        <w:gridCol w:w="787"/>
        <w:gridCol w:w="6213"/>
        <w:gridCol w:w="470"/>
        <w:gridCol w:w="415"/>
        <w:gridCol w:w="485"/>
        <w:gridCol w:w="319"/>
        <w:gridCol w:w="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764" w:type="dxa"/>
            <w:vMerge w:val="restart"/>
            <w:tcBorders>
              <w:right w:val="single" w:color="auto"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项目</w:t>
            </w:r>
          </w:p>
        </w:tc>
        <w:tc>
          <w:tcPr>
            <w:tcW w:w="787" w:type="dxa"/>
            <w:vMerge w:val="restart"/>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序号</w:t>
            </w:r>
          </w:p>
        </w:tc>
        <w:tc>
          <w:tcPr>
            <w:tcW w:w="6213" w:type="dxa"/>
            <w:vMerge w:val="restart"/>
            <w:tcBorders>
              <w:right w:val="single" w:color="auto" w:sz="4" w:space="0"/>
            </w:tcBorders>
            <w:noWrap w:val="0"/>
            <w:vAlign w:val="center"/>
          </w:tcPr>
          <w:p>
            <w:pPr>
              <w:pageBreakBefore w:val="0"/>
              <w:kinsoku/>
              <w:wordWrap/>
              <w:topLinePunct w:val="0"/>
              <w:autoSpaceDE/>
              <w:autoSpaceDN/>
              <w:bidi w:val="0"/>
              <w:spacing w:line="400" w:lineRule="exact"/>
              <w:ind w:firstLine="2666" w:firstLineChars="113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评</w:t>
            </w:r>
            <w:r>
              <w:rPr>
                <w:rFonts w:hint="eastAsia" w:ascii="仿宋" w:hAnsi="仿宋" w:eastAsia="仿宋" w:cs="仿宋"/>
                <w:color w:val="auto"/>
                <w:spacing w:val="-2"/>
                <w:sz w:val="24"/>
                <w:szCs w:val="24"/>
                <w:highlight w:val="none"/>
              </w:rPr>
              <w:t>审内容</w:t>
            </w:r>
          </w:p>
        </w:tc>
        <w:tc>
          <w:tcPr>
            <w:tcW w:w="1698" w:type="dxa"/>
            <w:gridSpan w:val="5"/>
            <w:tcBorders>
              <w:left w:val="single" w:color="auto" w:sz="4" w:space="0"/>
              <w:bottom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764" w:type="dxa"/>
            <w:vMerge w:val="continue"/>
            <w:tcBorders>
              <w:righ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787" w:type="dxa"/>
            <w:vMerge w:val="continue"/>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auto"/>
                <w:spacing w:val="-2"/>
                <w:sz w:val="24"/>
                <w:szCs w:val="24"/>
                <w:highlight w:val="none"/>
              </w:rPr>
            </w:pPr>
          </w:p>
        </w:tc>
        <w:tc>
          <w:tcPr>
            <w:tcW w:w="6213" w:type="dxa"/>
            <w:vMerge w:val="continue"/>
            <w:tcBorders>
              <w:righ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470" w:type="dxa"/>
            <w:tcBorders>
              <w:top w:val="single" w:color="auto" w:sz="4" w:space="0"/>
              <w:left w:val="single" w:color="auto" w:sz="4" w:space="0"/>
              <w:right w:val="single" w:color="auto" w:sz="4" w:space="0"/>
            </w:tcBorders>
            <w:noWrap w:val="0"/>
            <w:vAlign w:val="top"/>
          </w:tcPr>
          <w:p>
            <w:pPr>
              <w:pageBreakBefore w:val="0"/>
              <w:kinsoku/>
              <w:wordWrap/>
              <w:topLinePunct w:val="0"/>
              <w:autoSpaceDE/>
              <w:autoSpaceDN/>
              <w:bidi w:val="0"/>
              <w:spacing w:line="400" w:lineRule="exact"/>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w:t>
            </w:r>
          </w:p>
        </w:tc>
        <w:tc>
          <w:tcPr>
            <w:tcW w:w="415" w:type="dxa"/>
            <w:tcBorders>
              <w:top w:val="single" w:color="auto" w:sz="4" w:space="0"/>
              <w:left w:val="single" w:color="auto" w:sz="4" w:space="0"/>
            </w:tcBorders>
            <w:noWrap w:val="0"/>
            <w:vAlign w:val="top"/>
          </w:tcPr>
          <w:p>
            <w:pPr>
              <w:pageBreakBefore w:val="0"/>
              <w:kinsoku/>
              <w:wordWrap/>
              <w:topLinePunct w:val="0"/>
              <w:autoSpaceDE/>
              <w:autoSpaceDN/>
              <w:bidi w:val="0"/>
              <w:spacing w:line="400" w:lineRule="exact"/>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w:t>
            </w:r>
          </w:p>
        </w:tc>
        <w:tc>
          <w:tcPr>
            <w:tcW w:w="485" w:type="dxa"/>
            <w:noWrap w:val="0"/>
            <w:vAlign w:val="center"/>
          </w:tcPr>
          <w:p>
            <w:pPr>
              <w:pageBreakBefore w:val="0"/>
              <w:kinsoku/>
              <w:wordWrap/>
              <w:topLinePunct w:val="0"/>
              <w:autoSpaceDE/>
              <w:autoSpaceDN/>
              <w:bidi w:val="0"/>
              <w:spacing w:line="400" w:lineRule="exact"/>
              <w:jc w:val="both"/>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3</w:t>
            </w:r>
          </w:p>
        </w:tc>
        <w:tc>
          <w:tcPr>
            <w:tcW w:w="328" w:type="dxa"/>
            <w:gridSpan w:val="2"/>
            <w:noWrap w:val="0"/>
            <w:vAlign w:val="center"/>
          </w:tcPr>
          <w:p>
            <w:pPr>
              <w:pageBreakBefore w:val="0"/>
              <w:kinsoku/>
              <w:wordWrap/>
              <w:topLinePunct w:val="0"/>
              <w:autoSpaceDE/>
              <w:autoSpaceDN/>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64" w:type="dxa"/>
            <w:vMerge w:val="restart"/>
            <w:tcBorders>
              <w:right w:val="single" w:color="auto" w:sz="4" w:space="0"/>
            </w:tcBorders>
            <w:noWrap w:val="0"/>
            <w:textDirection w:val="tbRlV"/>
            <w:vAlign w:val="center"/>
          </w:tcPr>
          <w:p>
            <w:pPr>
              <w:pageBreakBefore w:val="0"/>
              <w:kinsoku/>
              <w:wordWrap/>
              <w:topLinePunct w:val="0"/>
              <w:autoSpaceDE/>
              <w:autoSpaceDN/>
              <w:bidi w:val="0"/>
              <w:spacing w:line="400" w:lineRule="exact"/>
              <w:ind w:left="113" w:right="113"/>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投</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标</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文</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件</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响</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应</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程</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度</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初</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步</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审</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查</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标</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准</w:t>
            </w:r>
          </w:p>
        </w:tc>
        <w:tc>
          <w:tcPr>
            <w:tcW w:w="787" w:type="dxa"/>
            <w:tcBorders>
              <w:right w:val="single" w:color="auto" w:sz="4" w:space="0"/>
            </w:tcBorders>
            <w:noWrap w:val="0"/>
            <w:vAlign w:val="center"/>
          </w:tcPr>
          <w:p>
            <w:pPr>
              <w:pageBreakBefore w:val="0"/>
              <w:numPr>
                <w:ilvl w:val="0"/>
                <w:numId w:val="0"/>
              </w:numPr>
              <w:kinsoku/>
              <w:wordWrap/>
              <w:topLinePunct w:val="0"/>
              <w:autoSpaceDE/>
              <w:autoSpaceDN/>
              <w:bidi w:val="0"/>
              <w:spacing w:line="400" w:lineRule="exact"/>
              <w:ind w:left="0" w:leftChars="0" w:firstLine="0" w:firstLineChars="0"/>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highlight w:val="none"/>
                <w:lang w:val="en-US" w:eastAsia="zh-CN"/>
              </w:rPr>
              <w:t>1</w:t>
            </w:r>
          </w:p>
        </w:tc>
        <w:tc>
          <w:tcPr>
            <w:tcW w:w="6213" w:type="dxa"/>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pacing w:val="-2"/>
                <w:sz w:val="24"/>
                <w:szCs w:val="24"/>
                <w:highlight w:val="none"/>
              </w:rPr>
            </w:pPr>
            <w:r>
              <w:rPr>
                <w:rFonts w:hint="eastAsia" w:ascii="仿宋" w:hAnsi="仿宋" w:eastAsia="仿宋" w:cs="仿宋"/>
                <w:color w:val="0000FF"/>
                <w:spacing w:val="-2"/>
                <w:sz w:val="24"/>
                <w:szCs w:val="24"/>
                <w:highlight w:val="none"/>
              </w:rPr>
              <w:t>投标保证金的缴纳主体与投标人不一致的，没有按照招标文件要求提供投标担保，或者所提供的投标担保有瑕疵的；</w:t>
            </w:r>
          </w:p>
        </w:tc>
        <w:tc>
          <w:tcPr>
            <w:tcW w:w="470" w:type="dxa"/>
            <w:tcBorders>
              <w:left w:val="single" w:color="auto" w:sz="4" w:space="0"/>
              <w:righ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15" w:type="dxa"/>
            <w:tcBorders>
              <w:lef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85" w:type="dxa"/>
            <w:tcBorders>
              <w:right w:val="single" w:color="auto" w:sz="4" w:space="0"/>
            </w:tcBorders>
            <w:noWrap w:val="0"/>
            <w:vAlign w:val="top"/>
          </w:tcPr>
          <w:p>
            <w:pPr>
              <w:pageBreakBefore w:val="0"/>
              <w:kinsoku/>
              <w:wordWrap/>
              <w:topLinePunct w:val="0"/>
              <w:autoSpaceDE/>
              <w:autoSpaceDN/>
              <w:bidi w:val="0"/>
              <w:spacing w:line="400" w:lineRule="exact"/>
              <w:rPr>
                <w:rFonts w:hint="eastAsia" w:ascii="仿宋" w:hAnsi="仿宋" w:eastAsia="仿宋" w:cs="仿宋"/>
                <w:color w:val="auto"/>
                <w:spacing w:val="-2"/>
                <w:sz w:val="24"/>
                <w:szCs w:val="24"/>
                <w:highlight w:val="none"/>
              </w:rPr>
            </w:pPr>
          </w:p>
        </w:tc>
        <w:tc>
          <w:tcPr>
            <w:tcW w:w="328" w:type="dxa"/>
            <w:gridSpan w:val="2"/>
            <w:tcBorders>
              <w:left w:val="single" w:color="auto" w:sz="4" w:space="0"/>
            </w:tcBorders>
            <w:noWrap w:val="0"/>
            <w:vAlign w:val="top"/>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764" w:type="dxa"/>
            <w:vMerge w:val="continue"/>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auto"/>
                <w:spacing w:val="-2"/>
                <w:sz w:val="24"/>
                <w:szCs w:val="24"/>
                <w:highlight w:val="none"/>
              </w:rPr>
            </w:pPr>
          </w:p>
        </w:tc>
        <w:tc>
          <w:tcPr>
            <w:tcW w:w="787" w:type="dxa"/>
            <w:tcBorders>
              <w:right w:val="single" w:color="auto" w:sz="4" w:space="0"/>
            </w:tcBorders>
            <w:noWrap w:val="0"/>
            <w:vAlign w:val="center"/>
          </w:tcPr>
          <w:p>
            <w:pPr>
              <w:pageBreakBefore w:val="0"/>
              <w:numPr>
                <w:ilvl w:val="0"/>
                <w:numId w:val="0"/>
              </w:numPr>
              <w:kinsoku/>
              <w:wordWrap/>
              <w:topLinePunct w:val="0"/>
              <w:autoSpaceDE/>
              <w:autoSpaceDN/>
              <w:bidi w:val="0"/>
              <w:spacing w:line="400" w:lineRule="exact"/>
              <w:ind w:left="0" w:leftChars="0" w:firstLine="0" w:firstLineChars="0"/>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highlight w:val="none"/>
                <w:lang w:val="en-US" w:eastAsia="zh-CN"/>
              </w:rPr>
              <w:t>2</w:t>
            </w:r>
          </w:p>
        </w:tc>
        <w:tc>
          <w:tcPr>
            <w:tcW w:w="6213" w:type="dxa"/>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pacing w:val="-2"/>
                <w:sz w:val="24"/>
                <w:szCs w:val="24"/>
                <w:highlight w:val="none"/>
                <w:lang w:val="en-US" w:eastAsia="zh-CN"/>
              </w:rPr>
            </w:pPr>
            <w:r>
              <w:rPr>
                <w:rFonts w:hint="eastAsia" w:ascii="仿宋" w:hAnsi="仿宋" w:eastAsia="仿宋" w:cs="仿宋"/>
                <w:color w:val="0000FF"/>
                <w:spacing w:val="-2"/>
                <w:sz w:val="24"/>
                <w:szCs w:val="24"/>
                <w:highlight w:val="none"/>
              </w:rPr>
              <w:t>投标函是否有单位</w:t>
            </w:r>
            <w:r>
              <w:rPr>
                <w:rFonts w:hint="eastAsia" w:ascii="仿宋" w:hAnsi="仿宋" w:eastAsia="仿宋" w:cs="仿宋"/>
                <w:color w:val="0000FF"/>
                <w:spacing w:val="-2"/>
                <w:sz w:val="24"/>
                <w:szCs w:val="24"/>
                <w:highlight w:val="none"/>
                <w:lang w:eastAsia="zh-CN"/>
              </w:rPr>
              <w:t>加盖鲜公章</w:t>
            </w:r>
            <w:r>
              <w:rPr>
                <w:rFonts w:hint="eastAsia" w:ascii="仿宋" w:hAnsi="仿宋" w:eastAsia="仿宋" w:cs="仿宋"/>
                <w:color w:val="0000FF"/>
                <w:spacing w:val="-2"/>
                <w:sz w:val="24"/>
                <w:szCs w:val="24"/>
                <w:highlight w:val="none"/>
              </w:rPr>
              <w:t>及法定代表人或法定代表人授权的代理人签字或</w:t>
            </w:r>
            <w:r>
              <w:rPr>
                <w:rFonts w:hint="eastAsia" w:ascii="仿宋" w:hAnsi="仿宋" w:eastAsia="仿宋" w:cs="仿宋"/>
                <w:color w:val="0000FF"/>
                <w:spacing w:val="-2"/>
                <w:sz w:val="24"/>
                <w:szCs w:val="24"/>
                <w:highlight w:val="none"/>
                <w:lang w:eastAsia="zh-CN"/>
              </w:rPr>
              <w:t>加盖鲜公章</w:t>
            </w:r>
            <w:r>
              <w:rPr>
                <w:rFonts w:hint="eastAsia" w:ascii="仿宋" w:hAnsi="仿宋" w:eastAsia="仿宋" w:cs="仿宋"/>
                <w:color w:val="0000FF"/>
                <w:spacing w:val="-2"/>
                <w:sz w:val="24"/>
                <w:szCs w:val="24"/>
                <w:highlight w:val="none"/>
              </w:rPr>
              <w:t>的；</w:t>
            </w:r>
            <w:r>
              <w:rPr>
                <w:rFonts w:hint="eastAsia" w:ascii="仿宋" w:hAnsi="仿宋" w:eastAsia="仿宋" w:cs="仿宋"/>
                <w:color w:val="0000FF"/>
                <w:spacing w:val="-2"/>
                <w:sz w:val="24"/>
                <w:szCs w:val="24"/>
                <w:highlight w:val="none"/>
                <w:lang w:val="en-US" w:eastAsia="zh-CN"/>
              </w:rPr>
              <w:t xml:space="preserve"> </w:t>
            </w:r>
          </w:p>
        </w:tc>
        <w:tc>
          <w:tcPr>
            <w:tcW w:w="470" w:type="dxa"/>
            <w:tcBorders>
              <w:left w:val="single" w:color="auto" w:sz="4" w:space="0"/>
              <w:righ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15" w:type="dxa"/>
            <w:tcBorders>
              <w:lef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85" w:type="dxa"/>
            <w:tcBorders>
              <w:righ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328" w:type="dxa"/>
            <w:gridSpan w:val="2"/>
            <w:tcBorders>
              <w:left w:val="single" w:color="auto" w:sz="4" w:space="0"/>
            </w:tcBorders>
            <w:noWrap w:val="0"/>
            <w:vAlign w:val="top"/>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764" w:type="dxa"/>
            <w:vMerge w:val="continue"/>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c>
          <w:tcPr>
            <w:tcW w:w="787" w:type="dxa"/>
            <w:tcBorders>
              <w:right w:val="single" w:color="auto" w:sz="4" w:space="0"/>
            </w:tcBorders>
            <w:noWrap w:val="0"/>
            <w:vAlign w:val="center"/>
          </w:tcPr>
          <w:p>
            <w:pPr>
              <w:pageBreakBefore w:val="0"/>
              <w:numPr>
                <w:ilvl w:val="0"/>
                <w:numId w:val="0"/>
              </w:numPr>
              <w:kinsoku/>
              <w:wordWrap/>
              <w:topLinePunct w:val="0"/>
              <w:autoSpaceDE/>
              <w:autoSpaceDN/>
              <w:bidi w:val="0"/>
              <w:spacing w:line="4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p>
        </w:tc>
        <w:tc>
          <w:tcPr>
            <w:tcW w:w="6213" w:type="dxa"/>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pacing w:val="-2"/>
                <w:sz w:val="24"/>
                <w:szCs w:val="24"/>
                <w:highlight w:val="none"/>
                <w:lang w:val="en-US" w:eastAsia="zh-CN"/>
              </w:rPr>
            </w:pPr>
            <w:r>
              <w:rPr>
                <w:rFonts w:hint="eastAsia" w:ascii="仿宋" w:hAnsi="仿宋" w:eastAsia="仿宋" w:cs="仿宋"/>
                <w:color w:val="0000FF"/>
                <w:sz w:val="24"/>
                <w:szCs w:val="24"/>
                <w:highlight w:val="none"/>
              </w:rPr>
              <w:t>明显不符合技术规格和技术标准（技术规格、合同条款有偏离情况的</w:t>
            </w:r>
            <w:r>
              <w:rPr>
                <w:rFonts w:hint="eastAsia" w:ascii="仿宋" w:hAnsi="仿宋" w:eastAsia="仿宋" w:cs="仿宋"/>
                <w:color w:val="0000FF"/>
                <w:sz w:val="24"/>
                <w:szCs w:val="24"/>
                <w:highlight w:val="none"/>
                <w:lang w:eastAsia="zh-CN"/>
              </w:rPr>
              <w:t>，允许正偏离</w:t>
            </w:r>
            <w:r>
              <w:rPr>
                <w:rFonts w:hint="eastAsia" w:ascii="仿宋" w:hAnsi="仿宋" w:eastAsia="仿宋" w:cs="仿宋"/>
                <w:color w:val="0000FF"/>
                <w:sz w:val="24"/>
                <w:szCs w:val="24"/>
                <w:highlight w:val="none"/>
              </w:rPr>
              <w:t>）；</w:t>
            </w:r>
          </w:p>
        </w:tc>
        <w:tc>
          <w:tcPr>
            <w:tcW w:w="470" w:type="dxa"/>
            <w:tcBorders>
              <w:left w:val="single" w:color="auto" w:sz="4" w:space="0"/>
              <w:righ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15" w:type="dxa"/>
            <w:tcBorders>
              <w:lef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85" w:type="dxa"/>
            <w:tcBorders>
              <w:righ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328" w:type="dxa"/>
            <w:gridSpan w:val="2"/>
            <w:tcBorders>
              <w:left w:val="single" w:color="auto" w:sz="4" w:space="0"/>
            </w:tcBorders>
            <w:noWrap w:val="0"/>
            <w:vAlign w:val="top"/>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64" w:type="dxa"/>
            <w:vMerge w:val="continue"/>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auto"/>
                <w:spacing w:val="-2"/>
                <w:sz w:val="24"/>
                <w:szCs w:val="24"/>
                <w:highlight w:val="none"/>
              </w:rPr>
            </w:pPr>
          </w:p>
        </w:tc>
        <w:tc>
          <w:tcPr>
            <w:tcW w:w="787" w:type="dxa"/>
            <w:tcBorders>
              <w:right w:val="single" w:color="auto" w:sz="4" w:space="0"/>
            </w:tcBorders>
            <w:noWrap w:val="0"/>
            <w:vAlign w:val="center"/>
          </w:tcPr>
          <w:p>
            <w:pPr>
              <w:pageBreakBefore w:val="0"/>
              <w:numPr>
                <w:ilvl w:val="0"/>
                <w:numId w:val="0"/>
              </w:numPr>
              <w:kinsoku/>
              <w:wordWrap/>
              <w:topLinePunct w:val="0"/>
              <w:autoSpaceDE/>
              <w:autoSpaceDN/>
              <w:bidi w:val="0"/>
              <w:spacing w:line="400" w:lineRule="exact"/>
              <w:ind w:left="0" w:leftChars="0" w:firstLine="0" w:firstLineChars="0"/>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highlight w:val="none"/>
                <w:lang w:val="en-US" w:eastAsia="zh-CN"/>
              </w:rPr>
              <w:t>4</w:t>
            </w:r>
          </w:p>
        </w:tc>
        <w:tc>
          <w:tcPr>
            <w:tcW w:w="6213" w:type="dxa"/>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lang w:eastAsia="zh-CN"/>
              </w:rPr>
            </w:pPr>
            <w:r>
              <w:rPr>
                <w:rFonts w:hint="eastAsia" w:ascii="仿宋" w:hAnsi="仿宋" w:eastAsia="仿宋" w:cs="仿宋"/>
                <w:color w:val="0000FF"/>
                <w:sz w:val="24"/>
                <w:szCs w:val="24"/>
                <w:highlight w:val="none"/>
              </w:rPr>
              <w:t>商务条款，技术参数、功能偏离表有偏离情况的</w:t>
            </w:r>
            <w:r>
              <w:rPr>
                <w:rFonts w:hint="eastAsia" w:ascii="仿宋" w:hAnsi="仿宋" w:eastAsia="仿宋" w:cs="仿宋"/>
                <w:color w:val="0000FF"/>
                <w:sz w:val="24"/>
                <w:szCs w:val="24"/>
                <w:highlight w:val="none"/>
                <w:lang w:eastAsia="zh-CN"/>
              </w:rPr>
              <w:t>（允许正偏离、不允许负偏离）</w:t>
            </w:r>
            <w:r>
              <w:rPr>
                <w:rFonts w:hint="eastAsia" w:ascii="仿宋" w:hAnsi="仿宋" w:eastAsia="仿宋" w:cs="仿宋"/>
                <w:color w:val="0000FF"/>
                <w:sz w:val="24"/>
                <w:szCs w:val="24"/>
                <w:highlight w:val="none"/>
              </w:rPr>
              <w:t>；</w:t>
            </w:r>
          </w:p>
        </w:tc>
        <w:tc>
          <w:tcPr>
            <w:tcW w:w="470" w:type="dxa"/>
            <w:tcBorders>
              <w:left w:val="single" w:color="auto" w:sz="4" w:space="0"/>
              <w:righ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15" w:type="dxa"/>
            <w:tcBorders>
              <w:lef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85" w:type="dxa"/>
            <w:tcBorders>
              <w:righ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328" w:type="dxa"/>
            <w:gridSpan w:val="2"/>
            <w:tcBorders>
              <w:left w:val="single" w:color="auto" w:sz="4" w:space="0"/>
            </w:tcBorders>
            <w:noWrap w:val="0"/>
            <w:vAlign w:val="top"/>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764" w:type="dxa"/>
            <w:vMerge w:val="continue"/>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auto"/>
                <w:spacing w:val="-2"/>
                <w:sz w:val="24"/>
                <w:szCs w:val="24"/>
                <w:highlight w:val="none"/>
              </w:rPr>
            </w:pPr>
          </w:p>
        </w:tc>
        <w:tc>
          <w:tcPr>
            <w:tcW w:w="787" w:type="dxa"/>
            <w:tcBorders>
              <w:right w:val="single" w:color="auto" w:sz="4" w:space="0"/>
            </w:tcBorders>
            <w:noWrap w:val="0"/>
            <w:vAlign w:val="center"/>
          </w:tcPr>
          <w:p>
            <w:pPr>
              <w:pageBreakBefore w:val="0"/>
              <w:numPr>
                <w:ilvl w:val="0"/>
                <w:numId w:val="0"/>
              </w:numPr>
              <w:kinsoku/>
              <w:wordWrap/>
              <w:topLinePunct w:val="0"/>
              <w:autoSpaceDE/>
              <w:autoSpaceDN/>
              <w:bidi w:val="0"/>
              <w:spacing w:line="400" w:lineRule="exact"/>
              <w:ind w:left="0" w:leftChars="0" w:firstLine="0" w:firstLineChars="0"/>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highlight w:val="none"/>
                <w:lang w:val="en-US" w:eastAsia="zh-CN"/>
              </w:rPr>
              <w:t>5</w:t>
            </w:r>
          </w:p>
        </w:tc>
        <w:tc>
          <w:tcPr>
            <w:tcW w:w="6213" w:type="dxa"/>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rPr>
              <w:t>是否按规定的格式填写，内容不全或关键字迹模糊、无法辨认的；</w:t>
            </w:r>
          </w:p>
        </w:tc>
        <w:tc>
          <w:tcPr>
            <w:tcW w:w="470" w:type="dxa"/>
            <w:tcBorders>
              <w:left w:val="single" w:color="auto" w:sz="4" w:space="0"/>
              <w:righ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15" w:type="dxa"/>
            <w:tcBorders>
              <w:lef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85" w:type="dxa"/>
            <w:tcBorders>
              <w:righ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328" w:type="dxa"/>
            <w:gridSpan w:val="2"/>
            <w:tcBorders>
              <w:left w:val="single" w:color="auto" w:sz="4" w:space="0"/>
            </w:tcBorders>
            <w:noWrap w:val="0"/>
            <w:vAlign w:val="top"/>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4" w:type="dxa"/>
            <w:vMerge w:val="continue"/>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c>
          <w:tcPr>
            <w:tcW w:w="787" w:type="dxa"/>
            <w:tcBorders>
              <w:right w:val="single" w:color="auto" w:sz="4" w:space="0"/>
            </w:tcBorders>
            <w:noWrap w:val="0"/>
            <w:vAlign w:val="center"/>
          </w:tcPr>
          <w:p>
            <w:pPr>
              <w:pageBreakBefore w:val="0"/>
              <w:numPr>
                <w:ilvl w:val="0"/>
                <w:numId w:val="0"/>
              </w:numPr>
              <w:kinsoku/>
              <w:wordWrap/>
              <w:topLinePunct w:val="0"/>
              <w:autoSpaceDE/>
              <w:autoSpaceDN/>
              <w:bidi w:val="0"/>
              <w:spacing w:line="4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p>
        </w:tc>
        <w:tc>
          <w:tcPr>
            <w:tcW w:w="6213" w:type="dxa"/>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rPr>
              <w:t>投标产品质保期是否满足招标文件要求的；</w:t>
            </w:r>
          </w:p>
        </w:tc>
        <w:tc>
          <w:tcPr>
            <w:tcW w:w="470" w:type="dxa"/>
            <w:tcBorders>
              <w:left w:val="single" w:color="auto" w:sz="4" w:space="0"/>
              <w:righ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15" w:type="dxa"/>
            <w:tcBorders>
              <w:lef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85" w:type="dxa"/>
            <w:tcBorders>
              <w:righ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328" w:type="dxa"/>
            <w:gridSpan w:val="2"/>
            <w:tcBorders>
              <w:left w:val="single" w:color="auto" w:sz="4" w:space="0"/>
            </w:tcBorders>
            <w:noWrap w:val="0"/>
            <w:vAlign w:val="top"/>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764" w:type="dxa"/>
            <w:vMerge w:val="continue"/>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auto"/>
                <w:spacing w:val="-2"/>
                <w:sz w:val="24"/>
                <w:szCs w:val="24"/>
                <w:highlight w:val="none"/>
              </w:rPr>
            </w:pPr>
          </w:p>
        </w:tc>
        <w:tc>
          <w:tcPr>
            <w:tcW w:w="787" w:type="dxa"/>
            <w:tcBorders>
              <w:right w:val="single" w:color="auto" w:sz="4" w:space="0"/>
            </w:tcBorders>
            <w:noWrap w:val="0"/>
            <w:vAlign w:val="center"/>
          </w:tcPr>
          <w:p>
            <w:pPr>
              <w:pageBreakBefore w:val="0"/>
              <w:numPr>
                <w:ilvl w:val="0"/>
                <w:numId w:val="0"/>
              </w:numPr>
              <w:kinsoku/>
              <w:wordWrap/>
              <w:topLinePunct w:val="0"/>
              <w:autoSpaceDE/>
              <w:autoSpaceDN/>
              <w:bidi w:val="0"/>
              <w:spacing w:line="400" w:lineRule="exact"/>
              <w:ind w:left="0" w:leftChars="0" w:firstLine="0" w:firstLineChars="0"/>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highlight w:val="none"/>
                <w:lang w:val="en-US" w:eastAsia="zh-CN"/>
              </w:rPr>
              <w:t>7</w:t>
            </w:r>
          </w:p>
        </w:tc>
        <w:tc>
          <w:tcPr>
            <w:tcW w:w="6213" w:type="dxa"/>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rPr>
              <w:t>投标有效期是否满足招标文件要求的；</w:t>
            </w:r>
          </w:p>
        </w:tc>
        <w:tc>
          <w:tcPr>
            <w:tcW w:w="470" w:type="dxa"/>
            <w:tcBorders>
              <w:left w:val="single" w:color="auto" w:sz="4" w:space="0"/>
              <w:right w:val="single" w:color="auto" w:sz="4" w:space="0"/>
            </w:tcBorders>
            <w:noWrap w:val="0"/>
            <w:vAlign w:val="center"/>
          </w:tcPr>
          <w:p>
            <w:pPr>
              <w:pageBreakBefore w:val="0"/>
              <w:kinsoku/>
              <w:wordWrap/>
              <w:topLinePunct w:val="0"/>
              <w:autoSpaceDE/>
              <w:autoSpaceDN/>
              <w:bidi w:val="0"/>
              <w:snapToGrid w:val="0"/>
              <w:spacing w:line="400" w:lineRule="exact"/>
              <w:ind w:firstLine="424" w:firstLineChars="180"/>
              <w:rPr>
                <w:rFonts w:hint="eastAsia" w:ascii="仿宋" w:hAnsi="仿宋" w:eastAsia="仿宋" w:cs="仿宋"/>
                <w:color w:val="0000FF"/>
                <w:spacing w:val="-2"/>
                <w:sz w:val="24"/>
                <w:szCs w:val="24"/>
                <w:highlight w:val="none"/>
              </w:rPr>
            </w:pPr>
          </w:p>
        </w:tc>
        <w:tc>
          <w:tcPr>
            <w:tcW w:w="415" w:type="dxa"/>
            <w:tcBorders>
              <w:lef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85" w:type="dxa"/>
            <w:tcBorders>
              <w:righ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328" w:type="dxa"/>
            <w:gridSpan w:val="2"/>
            <w:tcBorders>
              <w:left w:val="single" w:color="auto" w:sz="4" w:space="0"/>
            </w:tcBorders>
            <w:noWrap w:val="0"/>
            <w:vAlign w:val="top"/>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64" w:type="dxa"/>
            <w:vMerge w:val="continue"/>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auto"/>
                <w:spacing w:val="-2"/>
                <w:sz w:val="24"/>
                <w:szCs w:val="24"/>
                <w:highlight w:val="none"/>
              </w:rPr>
            </w:pPr>
          </w:p>
        </w:tc>
        <w:tc>
          <w:tcPr>
            <w:tcW w:w="787" w:type="dxa"/>
            <w:tcBorders>
              <w:right w:val="single" w:color="auto" w:sz="4" w:space="0"/>
            </w:tcBorders>
            <w:noWrap w:val="0"/>
            <w:vAlign w:val="center"/>
          </w:tcPr>
          <w:p>
            <w:pPr>
              <w:pageBreakBefore w:val="0"/>
              <w:numPr>
                <w:ilvl w:val="0"/>
                <w:numId w:val="0"/>
              </w:numPr>
              <w:kinsoku/>
              <w:wordWrap/>
              <w:topLinePunct w:val="0"/>
              <w:autoSpaceDE/>
              <w:autoSpaceDN/>
              <w:bidi w:val="0"/>
              <w:spacing w:line="400" w:lineRule="exact"/>
              <w:ind w:left="0" w:leftChars="0" w:firstLine="0" w:firstLineChars="0"/>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highlight w:val="none"/>
                <w:lang w:val="en-US" w:eastAsia="zh-CN"/>
              </w:rPr>
              <w:t>8</w:t>
            </w:r>
          </w:p>
        </w:tc>
        <w:tc>
          <w:tcPr>
            <w:tcW w:w="6213" w:type="dxa"/>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pacing w:val="-2"/>
                <w:sz w:val="24"/>
                <w:szCs w:val="24"/>
                <w:highlight w:val="none"/>
              </w:rPr>
            </w:pPr>
            <w:r>
              <w:rPr>
                <w:rFonts w:hint="eastAsia" w:ascii="仿宋" w:hAnsi="仿宋" w:eastAsia="仿宋" w:cs="仿宋"/>
                <w:color w:val="0000FF"/>
                <w:spacing w:val="-2"/>
                <w:sz w:val="24"/>
                <w:szCs w:val="24"/>
                <w:highlight w:val="none"/>
              </w:rPr>
              <w:t>投标人所报交货期限是否超过招标文件规定期限的；</w:t>
            </w:r>
          </w:p>
        </w:tc>
        <w:tc>
          <w:tcPr>
            <w:tcW w:w="470" w:type="dxa"/>
            <w:tcBorders>
              <w:left w:val="single" w:color="auto" w:sz="4" w:space="0"/>
              <w:righ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15" w:type="dxa"/>
            <w:tcBorders>
              <w:left w:val="single" w:color="auto" w:sz="4" w:space="0"/>
            </w:tcBorders>
            <w:noWrap w:val="0"/>
            <w:vAlign w:val="center"/>
          </w:tcPr>
          <w:p>
            <w:pPr>
              <w:pageBreakBefore w:val="0"/>
              <w:kinsoku/>
              <w:wordWrap/>
              <w:topLinePunct w:val="0"/>
              <w:autoSpaceDE/>
              <w:autoSpaceDN/>
              <w:bidi w:val="0"/>
              <w:snapToGrid w:val="0"/>
              <w:spacing w:line="400" w:lineRule="exact"/>
              <w:ind w:firstLine="424" w:firstLineChars="180"/>
              <w:rPr>
                <w:rFonts w:hint="eastAsia" w:ascii="仿宋" w:hAnsi="仿宋" w:eastAsia="仿宋" w:cs="仿宋"/>
                <w:color w:val="0000FF"/>
                <w:spacing w:val="-2"/>
                <w:sz w:val="24"/>
                <w:szCs w:val="24"/>
                <w:highlight w:val="none"/>
              </w:rPr>
            </w:pPr>
          </w:p>
        </w:tc>
        <w:tc>
          <w:tcPr>
            <w:tcW w:w="485" w:type="dxa"/>
            <w:tcBorders>
              <w:righ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328" w:type="dxa"/>
            <w:gridSpan w:val="2"/>
            <w:tcBorders>
              <w:left w:val="single" w:color="auto" w:sz="4" w:space="0"/>
            </w:tcBorders>
            <w:noWrap w:val="0"/>
            <w:vAlign w:val="top"/>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764" w:type="dxa"/>
            <w:vMerge w:val="continue"/>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c>
          <w:tcPr>
            <w:tcW w:w="787" w:type="dxa"/>
            <w:tcBorders>
              <w:right w:val="single" w:color="auto" w:sz="4" w:space="0"/>
            </w:tcBorders>
            <w:noWrap w:val="0"/>
            <w:vAlign w:val="center"/>
          </w:tcPr>
          <w:p>
            <w:pPr>
              <w:pageBreakBefore w:val="0"/>
              <w:numPr>
                <w:ilvl w:val="0"/>
                <w:numId w:val="0"/>
              </w:numPr>
              <w:kinsoku/>
              <w:wordWrap/>
              <w:topLinePunct w:val="0"/>
              <w:autoSpaceDE/>
              <w:autoSpaceDN/>
              <w:bidi w:val="0"/>
              <w:spacing w:line="4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p>
        </w:tc>
        <w:tc>
          <w:tcPr>
            <w:tcW w:w="6213" w:type="dxa"/>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pacing w:val="-2"/>
                <w:sz w:val="24"/>
                <w:szCs w:val="24"/>
                <w:highlight w:val="none"/>
              </w:rPr>
            </w:pPr>
            <w:r>
              <w:rPr>
                <w:rFonts w:hint="eastAsia" w:ascii="仿宋" w:hAnsi="仿宋" w:eastAsia="仿宋" w:cs="仿宋"/>
                <w:color w:val="0000FF"/>
                <w:sz w:val="24"/>
                <w:szCs w:val="24"/>
                <w:highlight w:val="none"/>
              </w:rPr>
              <w:t>投标报价是否超过预算金额；</w:t>
            </w:r>
          </w:p>
        </w:tc>
        <w:tc>
          <w:tcPr>
            <w:tcW w:w="470" w:type="dxa"/>
            <w:tcBorders>
              <w:left w:val="single" w:color="auto" w:sz="4" w:space="0"/>
              <w:righ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15" w:type="dxa"/>
            <w:tcBorders>
              <w:lef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85" w:type="dxa"/>
            <w:tcBorders>
              <w:righ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328" w:type="dxa"/>
            <w:gridSpan w:val="2"/>
            <w:tcBorders>
              <w:left w:val="single" w:color="auto" w:sz="4" w:space="0"/>
            </w:tcBorders>
            <w:noWrap w:val="0"/>
            <w:vAlign w:val="top"/>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764" w:type="dxa"/>
            <w:vMerge w:val="continue"/>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auto"/>
                <w:spacing w:val="-2"/>
                <w:sz w:val="24"/>
                <w:szCs w:val="24"/>
                <w:highlight w:val="none"/>
              </w:rPr>
            </w:pPr>
          </w:p>
        </w:tc>
        <w:tc>
          <w:tcPr>
            <w:tcW w:w="787" w:type="dxa"/>
            <w:tcBorders>
              <w:right w:val="single" w:color="auto" w:sz="4" w:space="0"/>
            </w:tcBorders>
            <w:noWrap w:val="0"/>
            <w:vAlign w:val="center"/>
          </w:tcPr>
          <w:p>
            <w:pPr>
              <w:pageBreakBefore w:val="0"/>
              <w:numPr>
                <w:ilvl w:val="0"/>
                <w:numId w:val="0"/>
              </w:numPr>
              <w:kinsoku/>
              <w:wordWrap/>
              <w:topLinePunct w:val="0"/>
              <w:autoSpaceDE/>
              <w:autoSpaceDN/>
              <w:bidi w:val="0"/>
              <w:spacing w:line="400" w:lineRule="exact"/>
              <w:ind w:left="0" w:leftChars="0" w:firstLine="0" w:firstLineChars="0"/>
              <w:jc w:val="center"/>
              <w:rPr>
                <w:rFonts w:hint="eastAsia" w:ascii="仿宋" w:hAnsi="仿宋" w:eastAsia="仿宋" w:cs="仿宋"/>
                <w:color w:val="auto"/>
                <w:spacing w:val="-2"/>
                <w:sz w:val="24"/>
                <w:szCs w:val="24"/>
                <w:highlight w:val="none"/>
                <w:lang w:val="en-US"/>
              </w:rPr>
            </w:pPr>
            <w:r>
              <w:rPr>
                <w:rFonts w:hint="eastAsia" w:ascii="仿宋" w:hAnsi="仿宋" w:eastAsia="仿宋" w:cs="仿宋"/>
                <w:color w:val="auto"/>
                <w:sz w:val="24"/>
                <w:szCs w:val="24"/>
                <w:highlight w:val="none"/>
                <w:lang w:val="en-US" w:eastAsia="zh-CN"/>
              </w:rPr>
              <w:t>10</w:t>
            </w:r>
          </w:p>
        </w:tc>
        <w:tc>
          <w:tcPr>
            <w:tcW w:w="6213" w:type="dxa"/>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pacing w:val="-2"/>
                <w:sz w:val="24"/>
                <w:szCs w:val="24"/>
                <w:highlight w:val="none"/>
              </w:rPr>
            </w:pPr>
            <w:r>
              <w:rPr>
                <w:rFonts w:hint="eastAsia" w:ascii="仿宋" w:hAnsi="仿宋" w:eastAsia="仿宋" w:cs="仿宋"/>
                <w:color w:val="0000FF"/>
                <w:spacing w:val="-2"/>
                <w:sz w:val="24"/>
                <w:szCs w:val="24"/>
                <w:highlight w:val="none"/>
              </w:rPr>
              <w:t>投标文件载明的技术规格、技术标准、和方法等是否符合招标文件要求；</w:t>
            </w:r>
          </w:p>
        </w:tc>
        <w:tc>
          <w:tcPr>
            <w:tcW w:w="470" w:type="dxa"/>
            <w:tcBorders>
              <w:left w:val="single" w:color="auto" w:sz="4" w:space="0"/>
              <w:right w:val="single" w:color="auto" w:sz="4" w:space="0"/>
            </w:tcBorders>
            <w:noWrap w:val="0"/>
            <w:vAlign w:val="center"/>
          </w:tcPr>
          <w:p>
            <w:pPr>
              <w:pageBreakBefore w:val="0"/>
              <w:widowControl/>
              <w:shd w:val="clear" w:color="auto" w:fill="FAFAFA"/>
              <w:kinsoku/>
              <w:wordWrap/>
              <w:topLinePunct w:val="0"/>
              <w:autoSpaceDE/>
              <w:autoSpaceDN/>
              <w:bidi w:val="0"/>
              <w:spacing w:line="400" w:lineRule="exact"/>
              <w:ind w:firstLine="424" w:firstLineChars="180"/>
              <w:jc w:val="center"/>
              <w:rPr>
                <w:rFonts w:hint="eastAsia" w:ascii="仿宋" w:hAnsi="仿宋" w:eastAsia="仿宋" w:cs="仿宋"/>
                <w:color w:val="0000FF"/>
                <w:spacing w:val="-2"/>
                <w:sz w:val="24"/>
                <w:szCs w:val="24"/>
                <w:highlight w:val="none"/>
              </w:rPr>
            </w:pPr>
          </w:p>
        </w:tc>
        <w:tc>
          <w:tcPr>
            <w:tcW w:w="415" w:type="dxa"/>
            <w:tcBorders>
              <w:lef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85" w:type="dxa"/>
            <w:tcBorders>
              <w:righ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328" w:type="dxa"/>
            <w:gridSpan w:val="2"/>
            <w:tcBorders>
              <w:left w:val="single" w:color="auto" w:sz="4" w:space="0"/>
            </w:tcBorders>
            <w:noWrap w:val="0"/>
            <w:vAlign w:val="top"/>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764" w:type="dxa"/>
            <w:vMerge w:val="continue"/>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auto"/>
                <w:spacing w:val="-2"/>
                <w:sz w:val="24"/>
                <w:szCs w:val="24"/>
                <w:highlight w:val="none"/>
              </w:rPr>
            </w:pPr>
          </w:p>
        </w:tc>
        <w:tc>
          <w:tcPr>
            <w:tcW w:w="787" w:type="dxa"/>
            <w:tcBorders>
              <w:right w:val="single" w:color="auto" w:sz="4" w:space="0"/>
            </w:tcBorders>
            <w:noWrap w:val="0"/>
            <w:vAlign w:val="center"/>
          </w:tcPr>
          <w:p>
            <w:pPr>
              <w:pageBreakBefore w:val="0"/>
              <w:numPr>
                <w:ilvl w:val="0"/>
                <w:numId w:val="0"/>
              </w:numPr>
              <w:kinsoku/>
              <w:wordWrap/>
              <w:topLinePunct w:val="0"/>
              <w:autoSpaceDE/>
              <w:autoSpaceDN/>
              <w:bidi w:val="0"/>
              <w:spacing w:line="400" w:lineRule="exact"/>
              <w:ind w:left="0" w:leftChars="0" w:firstLine="0" w:firstLineChars="0"/>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highlight w:val="none"/>
                <w:lang w:val="en-US" w:eastAsia="zh-CN"/>
              </w:rPr>
              <w:t>11</w:t>
            </w:r>
          </w:p>
        </w:tc>
        <w:tc>
          <w:tcPr>
            <w:tcW w:w="6213" w:type="dxa"/>
            <w:tcBorders>
              <w:right w:val="single" w:color="auto"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pacing w:val="-2"/>
                <w:sz w:val="24"/>
                <w:szCs w:val="24"/>
                <w:highlight w:val="none"/>
              </w:rPr>
            </w:pPr>
            <w:r>
              <w:rPr>
                <w:rFonts w:hint="eastAsia" w:ascii="仿宋" w:hAnsi="仿宋" w:eastAsia="仿宋" w:cs="仿宋"/>
                <w:color w:val="0000FF"/>
                <w:spacing w:val="-2"/>
                <w:sz w:val="24"/>
                <w:szCs w:val="24"/>
                <w:highlight w:val="none"/>
              </w:rPr>
              <w:t>是否有不符合招标文件中规定的其他实质性要求；</w:t>
            </w:r>
          </w:p>
        </w:tc>
        <w:tc>
          <w:tcPr>
            <w:tcW w:w="470" w:type="dxa"/>
            <w:tcBorders>
              <w:left w:val="single" w:color="auto" w:sz="4" w:space="0"/>
              <w:righ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15" w:type="dxa"/>
            <w:tcBorders>
              <w:left w:val="single" w:color="auto" w:sz="4" w:space="0"/>
            </w:tcBorders>
            <w:noWrap w:val="0"/>
            <w:vAlign w:val="center"/>
          </w:tcPr>
          <w:p>
            <w:pPr>
              <w:pageBreakBefore w:val="0"/>
              <w:kinsoku/>
              <w:wordWrap/>
              <w:topLinePunct w:val="0"/>
              <w:autoSpaceDE/>
              <w:autoSpaceDN/>
              <w:bidi w:val="0"/>
              <w:spacing w:line="400" w:lineRule="exact"/>
              <w:ind w:firstLine="424" w:firstLineChars="180"/>
              <w:rPr>
                <w:rFonts w:hint="eastAsia" w:ascii="仿宋" w:hAnsi="仿宋" w:eastAsia="仿宋" w:cs="仿宋"/>
                <w:color w:val="0000FF"/>
                <w:spacing w:val="-2"/>
                <w:sz w:val="24"/>
                <w:szCs w:val="24"/>
                <w:highlight w:val="none"/>
              </w:rPr>
            </w:pPr>
          </w:p>
        </w:tc>
        <w:tc>
          <w:tcPr>
            <w:tcW w:w="485" w:type="dxa"/>
            <w:tcBorders>
              <w:righ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328" w:type="dxa"/>
            <w:gridSpan w:val="2"/>
            <w:tcBorders>
              <w:left w:val="single" w:color="auto" w:sz="4" w:space="0"/>
            </w:tcBorders>
            <w:noWrap w:val="0"/>
            <w:vAlign w:val="top"/>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398" w:hRule="atLeast"/>
          <w:jc w:val="center"/>
        </w:trPr>
        <w:tc>
          <w:tcPr>
            <w:tcW w:w="7764" w:type="dxa"/>
            <w:gridSpan w:val="3"/>
            <w:tcBorders>
              <w:righ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结论：通过评审打“√ ”        未通过评审“×”</w:t>
            </w:r>
          </w:p>
        </w:tc>
        <w:tc>
          <w:tcPr>
            <w:tcW w:w="470" w:type="dxa"/>
            <w:tcBorders>
              <w:left w:val="single" w:color="auto" w:sz="4" w:space="0"/>
              <w:righ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415" w:type="dxa"/>
            <w:tcBorders>
              <w:left w:val="single" w:color="auto" w:sz="4" w:space="0"/>
            </w:tcBorders>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485" w:type="dxa"/>
            <w:noWrap w:val="0"/>
            <w:vAlign w:val="top"/>
          </w:tcPr>
          <w:p>
            <w:pPr>
              <w:pageBreakBefore w:val="0"/>
              <w:kinsoku/>
              <w:wordWrap/>
              <w:topLinePunct w:val="0"/>
              <w:autoSpaceDE/>
              <w:autoSpaceDN/>
              <w:bidi w:val="0"/>
              <w:spacing w:line="400" w:lineRule="exact"/>
              <w:ind w:firstLine="424" w:firstLineChars="180"/>
              <w:rPr>
                <w:rFonts w:hint="eastAsia" w:ascii="仿宋" w:hAnsi="仿宋" w:eastAsia="仿宋" w:cs="仿宋"/>
                <w:color w:val="auto"/>
                <w:spacing w:val="-2"/>
                <w:sz w:val="24"/>
                <w:szCs w:val="24"/>
                <w:highlight w:val="none"/>
              </w:rPr>
            </w:pPr>
          </w:p>
        </w:tc>
        <w:tc>
          <w:tcPr>
            <w:tcW w:w="319" w:type="dxa"/>
            <w:noWrap w:val="0"/>
            <w:vAlign w:val="top"/>
          </w:tcPr>
          <w:p>
            <w:pPr>
              <w:pageBreakBefore w:val="0"/>
              <w:kinsoku/>
              <w:wordWrap/>
              <w:topLinePunct w:val="0"/>
              <w:autoSpaceDE/>
              <w:autoSpaceDN/>
              <w:bidi w:val="0"/>
              <w:spacing w:line="400" w:lineRule="exact"/>
              <w:rPr>
                <w:rFonts w:hint="eastAsia" w:ascii="仿宋" w:hAnsi="仿宋" w:eastAsia="仿宋" w:cs="仿宋"/>
                <w:color w:val="auto"/>
                <w:sz w:val="24"/>
                <w:szCs w:val="24"/>
                <w:highlight w:val="none"/>
              </w:rPr>
            </w:pPr>
          </w:p>
        </w:tc>
      </w:tr>
    </w:tbl>
    <w:p>
      <w:pPr>
        <w:pageBreakBefore w:val="0"/>
        <w:kinsoku/>
        <w:wordWrap/>
        <w:topLinePunct w:val="0"/>
        <w:autoSpaceDE/>
        <w:autoSpaceDN/>
        <w:bidi w:val="0"/>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未通过响应性文件响应程度</w:t>
      </w:r>
      <w:r>
        <w:rPr>
          <w:rFonts w:hint="eastAsia" w:ascii="仿宋" w:hAnsi="仿宋" w:eastAsia="仿宋" w:cs="仿宋"/>
          <w:b/>
          <w:bCs/>
          <w:color w:val="auto"/>
          <w:sz w:val="24"/>
          <w:szCs w:val="24"/>
          <w:highlight w:val="none"/>
          <w:lang w:eastAsia="zh-CN"/>
        </w:rPr>
        <w:t>初步审查</w:t>
      </w:r>
      <w:r>
        <w:rPr>
          <w:rFonts w:hint="eastAsia" w:ascii="仿宋" w:hAnsi="仿宋" w:eastAsia="仿宋" w:cs="仿宋"/>
          <w:b/>
          <w:bCs/>
          <w:color w:val="auto"/>
          <w:sz w:val="24"/>
          <w:szCs w:val="24"/>
          <w:highlight w:val="none"/>
        </w:rPr>
        <w:t>企业，</w:t>
      </w:r>
      <w:r>
        <w:rPr>
          <w:rFonts w:hint="eastAsia" w:ascii="仿宋" w:hAnsi="仿宋" w:eastAsia="仿宋" w:cs="仿宋"/>
          <w:b/>
          <w:bCs/>
          <w:color w:val="auto"/>
          <w:sz w:val="24"/>
          <w:szCs w:val="24"/>
          <w:highlight w:val="none"/>
          <w:lang w:eastAsia="zh-CN"/>
        </w:rPr>
        <w:t>做否决投标处理</w:t>
      </w:r>
      <w:r>
        <w:rPr>
          <w:rFonts w:hint="eastAsia" w:ascii="仿宋" w:hAnsi="仿宋" w:eastAsia="仿宋" w:cs="仿宋"/>
          <w:b/>
          <w:bCs/>
          <w:color w:val="auto"/>
          <w:sz w:val="24"/>
          <w:szCs w:val="24"/>
          <w:highlight w:val="none"/>
        </w:rPr>
        <w:t>，不进入响应性文件响应程度详细评审</w:t>
      </w:r>
      <w:r>
        <w:rPr>
          <w:rFonts w:hint="eastAsia" w:ascii="仿宋" w:hAnsi="仿宋" w:eastAsia="仿宋" w:cs="仿宋"/>
          <w:b/>
          <w:bCs/>
          <w:color w:val="auto"/>
          <w:sz w:val="24"/>
          <w:szCs w:val="24"/>
          <w:highlight w:val="none"/>
          <w:lang w:eastAsia="zh-CN"/>
        </w:rPr>
        <w:t>阶段</w:t>
      </w:r>
      <w:r>
        <w:rPr>
          <w:rFonts w:hint="eastAsia" w:ascii="仿宋" w:hAnsi="仿宋" w:eastAsia="仿宋" w:cs="仿宋"/>
          <w:b/>
          <w:bCs/>
          <w:color w:val="auto"/>
          <w:sz w:val="24"/>
          <w:szCs w:val="24"/>
          <w:highlight w:val="none"/>
        </w:rPr>
        <w:t>。</w:t>
      </w:r>
    </w:p>
    <w:p>
      <w:pPr>
        <w:pStyle w:val="5"/>
        <w:pageBreakBefore w:val="0"/>
        <w:kinsoku/>
        <w:wordWrap/>
        <w:topLinePunct w:val="0"/>
        <w:autoSpaceDE/>
        <w:autoSpaceDN/>
        <w:bidi w:val="0"/>
        <w:spacing w:before="0" w:after="0" w:line="400" w:lineRule="exact"/>
        <w:rPr>
          <w:rFonts w:hint="eastAsia" w:ascii="仿宋" w:hAnsi="仿宋" w:eastAsia="仿宋" w:cs="仿宋"/>
          <w:b w:val="0"/>
          <w:bCs w:val="0"/>
          <w:color w:val="auto"/>
          <w:spacing w:val="-2"/>
          <w:sz w:val="24"/>
          <w:szCs w:val="24"/>
          <w:highlight w:val="none"/>
        </w:rPr>
      </w:pPr>
    </w:p>
    <w:p>
      <w:pPr>
        <w:rPr>
          <w:rFonts w:hint="eastAsia" w:ascii="仿宋" w:hAnsi="仿宋" w:eastAsia="仿宋" w:cs="仿宋"/>
          <w:b w:val="0"/>
          <w:bCs w:val="0"/>
          <w:color w:val="auto"/>
          <w:spacing w:val="-2"/>
          <w:sz w:val="24"/>
          <w:szCs w:val="24"/>
          <w:highlight w:val="none"/>
        </w:rPr>
        <w:sectPr>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docGrid w:linePitch="462" w:charSpace="0"/>
        </w:sectPr>
      </w:pPr>
    </w:p>
    <w:p>
      <w:pPr>
        <w:pStyle w:val="5"/>
        <w:pageBreakBefore w:val="0"/>
        <w:kinsoku/>
        <w:wordWrap/>
        <w:topLinePunct w:val="0"/>
        <w:autoSpaceDE/>
        <w:autoSpaceDN/>
        <w:bidi w:val="0"/>
        <w:spacing w:before="0" w:after="0" w:line="4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响应性文件响应程度详细评审</w:t>
      </w:r>
    </w:p>
    <w:tbl>
      <w:tblPr>
        <w:tblStyle w:val="21"/>
        <w:tblW w:w="9726" w:type="dxa"/>
        <w:jc w:val="center"/>
        <w:tblLayout w:type="fixed"/>
        <w:tblCellMar>
          <w:top w:w="15" w:type="dxa"/>
          <w:left w:w="15" w:type="dxa"/>
          <w:bottom w:w="15" w:type="dxa"/>
          <w:right w:w="15" w:type="dxa"/>
        </w:tblCellMar>
      </w:tblPr>
      <w:tblGrid>
        <w:gridCol w:w="394"/>
        <w:gridCol w:w="2912"/>
        <w:gridCol w:w="3965"/>
        <w:gridCol w:w="487"/>
        <w:gridCol w:w="506"/>
        <w:gridCol w:w="507"/>
        <w:gridCol w:w="468"/>
        <w:gridCol w:w="487"/>
      </w:tblGrid>
      <w:tr>
        <w:tblPrEx>
          <w:tblCellMar>
            <w:top w:w="15" w:type="dxa"/>
            <w:left w:w="15" w:type="dxa"/>
            <w:bottom w:w="15" w:type="dxa"/>
            <w:right w:w="15" w:type="dxa"/>
          </w:tblCellMar>
        </w:tblPrEx>
        <w:trPr>
          <w:trHeight w:val="480" w:hRule="atLeast"/>
          <w:jc w:val="center"/>
        </w:trPr>
        <w:tc>
          <w:tcPr>
            <w:tcW w:w="7271" w:type="dxa"/>
            <w:gridSpan w:val="3"/>
            <w:vMerge w:val="restart"/>
            <w:tcBorders>
              <w:top w:val="single" w:color="000000" w:sz="4" w:space="0"/>
              <w:left w:val="single" w:color="000000" w:sz="4" w:space="0"/>
              <w:right w:val="single" w:color="auto" w:sz="4" w:space="0"/>
            </w:tcBorders>
            <w:noWrap w:val="0"/>
            <w:vAlign w:val="center"/>
          </w:tcPr>
          <w:p>
            <w:pPr>
              <w:pageBreakBefore w:val="0"/>
              <w:widowControl/>
              <w:kinsoku/>
              <w:wordWrap/>
              <w:topLinePunct w:val="0"/>
              <w:autoSpaceDE/>
              <w:autoSpaceDN/>
              <w:bidi w:val="0"/>
              <w:spacing w:line="400" w:lineRule="exact"/>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2455" w:type="dxa"/>
            <w:gridSpan w:val="5"/>
            <w:tcBorders>
              <w:top w:val="single" w:color="000000" w:sz="4" w:space="0"/>
              <w:left w:val="single" w:color="auto"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hint="eastAsia" w:ascii="仿宋" w:hAnsi="仿宋" w:eastAsia="仿宋" w:cs="仿宋"/>
                <w:b/>
                <w:color w:val="auto"/>
                <w:sz w:val="24"/>
                <w:szCs w:val="24"/>
                <w:highlight w:val="none"/>
              </w:rPr>
            </w:pPr>
            <w:r>
              <w:rPr>
                <w:rFonts w:hint="eastAsia" w:ascii="仿宋" w:hAnsi="仿宋" w:eastAsia="仿宋" w:cs="仿宋"/>
                <w:color w:val="auto"/>
                <w:spacing w:val="-2"/>
                <w:sz w:val="24"/>
                <w:szCs w:val="24"/>
                <w:highlight w:val="none"/>
              </w:rPr>
              <w:t>投标企业名称</w:t>
            </w:r>
          </w:p>
        </w:tc>
      </w:tr>
      <w:tr>
        <w:tblPrEx>
          <w:tblCellMar>
            <w:top w:w="15" w:type="dxa"/>
            <w:left w:w="15" w:type="dxa"/>
            <w:bottom w:w="15" w:type="dxa"/>
            <w:right w:w="15" w:type="dxa"/>
          </w:tblCellMar>
        </w:tblPrEx>
        <w:trPr>
          <w:trHeight w:val="358" w:hRule="atLeast"/>
          <w:jc w:val="center"/>
        </w:trPr>
        <w:tc>
          <w:tcPr>
            <w:tcW w:w="7271" w:type="dxa"/>
            <w:gridSpan w:val="3"/>
            <w:vMerge w:val="continue"/>
            <w:tcBorders>
              <w:left w:val="single" w:color="000000" w:sz="4" w:space="0"/>
              <w:bottom w:val="single" w:color="000000"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hint="eastAsia" w:ascii="仿宋" w:hAnsi="仿宋" w:eastAsia="仿宋" w:cs="仿宋"/>
                <w:b/>
                <w:color w:val="auto"/>
                <w:sz w:val="24"/>
                <w:szCs w:val="24"/>
                <w:highlight w:val="none"/>
              </w:rPr>
            </w:pPr>
          </w:p>
        </w:tc>
        <w:tc>
          <w:tcPr>
            <w:tcW w:w="487" w:type="dxa"/>
            <w:tcBorders>
              <w:top w:val="single" w:color="auto" w:sz="4" w:space="0"/>
              <w:left w:val="single" w:color="auto" w:sz="4" w:space="0"/>
              <w:bottom w:val="single" w:color="000000"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506" w:type="dxa"/>
            <w:tcBorders>
              <w:top w:val="single" w:color="auto" w:sz="4" w:space="0"/>
              <w:left w:val="single" w:color="auto" w:sz="4" w:space="0"/>
              <w:bottom w:val="single" w:color="000000"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507" w:type="dxa"/>
            <w:tcBorders>
              <w:top w:val="single" w:color="auto" w:sz="4" w:space="0"/>
              <w:left w:val="single" w:color="auto" w:sz="4" w:space="0"/>
              <w:bottom w:val="single" w:color="000000"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468" w:type="dxa"/>
            <w:tcBorders>
              <w:top w:val="single" w:color="auto" w:sz="4" w:space="0"/>
              <w:left w:val="single" w:color="auto" w:sz="4" w:space="0"/>
              <w:bottom w:val="single" w:color="000000"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p>
        </w:tc>
        <w:tc>
          <w:tcPr>
            <w:tcW w:w="487" w:type="dxa"/>
            <w:tcBorders>
              <w:top w:val="single" w:color="auto" w:sz="4" w:space="0"/>
              <w:left w:val="single" w:color="auto"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r>
      <w:tr>
        <w:tblPrEx>
          <w:tblCellMar>
            <w:top w:w="15" w:type="dxa"/>
            <w:left w:w="15" w:type="dxa"/>
            <w:bottom w:w="15" w:type="dxa"/>
            <w:right w:w="15" w:type="dxa"/>
          </w:tblCellMar>
        </w:tblPrEx>
        <w:trPr>
          <w:trHeight w:val="458" w:hRule="atLeast"/>
          <w:jc w:val="center"/>
        </w:trPr>
        <w:tc>
          <w:tcPr>
            <w:tcW w:w="9726" w:type="dxa"/>
            <w:gridSpan w:val="8"/>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lang w:bidi="ar"/>
              </w:rPr>
              <w:t>技术评标部分</w:t>
            </w:r>
          </w:p>
        </w:tc>
      </w:tr>
      <w:tr>
        <w:tblPrEx>
          <w:tblCellMar>
            <w:top w:w="15" w:type="dxa"/>
            <w:left w:w="15" w:type="dxa"/>
            <w:bottom w:w="15" w:type="dxa"/>
            <w:right w:w="15" w:type="dxa"/>
          </w:tblCellMar>
        </w:tblPrEx>
        <w:trPr>
          <w:trHeight w:val="1205" w:hRule="atLeast"/>
          <w:jc w:val="center"/>
        </w:trPr>
        <w:tc>
          <w:tcPr>
            <w:tcW w:w="394" w:type="dxa"/>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2912" w:type="dxa"/>
            <w:tcBorders>
              <w:top w:val="single" w:color="auto"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lang w:val="en-US" w:eastAsia="zh-CN"/>
              </w:rPr>
              <w:t>货物</w:t>
            </w:r>
            <w:r>
              <w:rPr>
                <w:rFonts w:hint="eastAsia" w:ascii="仿宋" w:hAnsi="仿宋" w:eastAsia="仿宋" w:cs="仿宋"/>
                <w:color w:val="0000FF"/>
                <w:sz w:val="24"/>
                <w:szCs w:val="24"/>
                <w:highlight w:val="none"/>
              </w:rPr>
              <w:t>性能及技术参数</w:t>
            </w:r>
          </w:p>
        </w:tc>
        <w:tc>
          <w:tcPr>
            <w:tcW w:w="3965" w:type="dxa"/>
            <w:tcBorders>
              <w:top w:val="single" w:color="auto"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供应商须针对招标文件提供的货物参数进行逐一响应并提供相应国家权威机构出具的检测报告（合格证书）。</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r>
      <w:tr>
        <w:tblPrEx>
          <w:tblCellMar>
            <w:top w:w="15" w:type="dxa"/>
            <w:left w:w="15" w:type="dxa"/>
            <w:bottom w:w="15" w:type="dxa"/>
            <w:right w:w="15" w:type="dxa"/>
          </w:tblCellMar>
        </w:tblPrEx>
        <w:trPr>
          <w:trHeight w:val="443" w:hRule="atLeast"/>
          <w:jc w:val="center"/>
        </w:trPr>
        <w:tc>
          <w:tcPr>
            <w:tcW w:w="39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2912" w:type="dxa"/>
            <w:tcBorders>
              <w:top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lang w:val="en-US" w:eastAsia="zh-CN"/>
              </w:rPr>
              <w:t>运输</w:t>
            </w:r>
            <w:r>
              <w:rPr>
                <w:rFonts w:hint="eastAsia" w:ascii="仿宋" w:hAnsi="仿宋" w:eastAsia="仿宋" w:cs="仿宋"/>
                <w:color w:val="0000FF"/>
                <w:sz w:val="24"/>
                <w:szCs w:val="24"/>
                <w:highlight w:val="none"/>
              </w:rPr>
              <w:t>方案整体协调性、可行性</w:t>
            </w:r>
          </w:p>
        </w:tc>
        <w:tc>
          <w:tcPr>
            <w:tcW w:w="3965" w:type="dxa"/>
            <w:tcBorders>
              <w:top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lang w:val="en-US" w:eastAsia="zh-CN"/>
              </w:rPr>
              <w:t>运输</w:t>
            </w:r>
            <w:r>
              <w:rPr>
                <w:rFonts w:hint="eastAsia" w:ascii="仿宋" w:hAnsi="仿宋" w:eastAsia="仿宋" w:cs="仿宋"/>
                <w:color w:val="0000FF"/>
                <w:sz w:val="24"/>
                <w:szCs w:val="24"/>
                <w:highlight w:val="none"/>
              </w:rPr>
              <w:t>方案整体协调性、可行性</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r>
      <w:tr>
        <w:tblPrEx>
          <w:tblCellMar>
            <w:top w:w="15" w:type="dxa"/>
            <w:left w:w="15" w:type="dxa"/>
            <w:bottom w:w="15" w:type="dxa"/>
            <w:right w:w="15" w:type="dxa"/>
          </w:tblCellMar>
        </w:tblPrEx>
        <w:trPr>
          <w:trHeight w:val="499" w:hRule="atLeast"/>
          <w:jc w:val="center"/>
        </w:trPr>
        <w:tc>
          <w:tcPr>
            <w:tcW w:w="394"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2912" w:type="dxa"/>
            <w:vMerge w:val="restart"/>
            <w:tcBorders>
              <w:top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rPr>
              <w:t>质保承诺、售后服务体系</w:t>
            </w:r>
          </w:p>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rPr>
              <w:t>及服务情况</w:t>
            </w:r>
          </w:p>
        </w:tc>
        <w:tc>
          <w:tcPr>
            <w:tcW w:w="3965" w:type="dxa"/>
            <w:tcBorders>
              <w:top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rPr>
              <w:t>质保年限</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r>
      <w:tr>
        <w:tblPrEx>
          <w:tblCellMar>
            <w:top w:w="15" w:type="dxa"/>
            <w:left w:w="15" w:type="dxa"/>
            <w:bottom w:w="15" w:type="dxa"/>
            <w:right w:w="15" w:type="dxa"/>
          </w:tblCellMar>
        </w:tblPrEx>
        <w:trPr>
          <w:trHeight w:val="539" w:hRule="atLeast"/>
          <w:jc w:val="center"/>
        </w:trPr>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color w:val="auto"/>
                <w:sz w:val="24"/>
                <w:szCs w:val="24"/>
                <w:highlight w:val="none"/>
              </w:rPr>
            </w:pPr>
          </w:p>
        </w:tc>
        <w:tc>
          <w:tcPr>
            <w:tcW w:w="2912" w:type="dxa"/>
            <w:vMerge w:val="continue"/>
            <w:tcBorders>
              <w:top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rPr>
            </w:pPr>
          </w:p>
        </w:tc>
        <w:tc>
          <w:tcPr>
            <w:tcW w:w="3965" w:type="dxa"/>
            <w:tcBorders>
              <w:top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rPr>
              <w:t>售后服务响应时间</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r>
      <w:tr>
        <w:tblPrEx>
          <w:tblCellMar>
            <w:top w:w="15" w:type="dxa"/>
            <w:left w:w="15" w:type="dxa"/>
            <w:bottom w:w="15" w:type="dxa"/>
            <w:right w:w="15" w:type="dxa"/>
          </w:tblCellMar>
        </w:tblPrEx>
        <w:trPr>
          <w:trHeight w:val="519" w:hRule="atLeast"/>
          <w:jc w:val="center"/>
        </w:trPr>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color w:val="auto"/>
                <w:sz w:val="24"/>
                <w:szCs w:val="24"/>
                <w:highlight w:val="none"/>
              </w:rPr>
            </w:pPr>
          </w:p>
        </w:tc>
        <w:tc>
          <w:tcPr>
            <w:tcW w:w="2912" w:type="dxa"/>
            <w:vMerge w:val="continue"/>
            <w:tcBorders>
              <w:top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rPr>
            </w:pPr>
          </w:p>
        </w:tc>
        <w:tc>
          <w:tcPr>
            <w:tcW w:w="3965" w:type="dxa"/>
            <w:tcBorders>
              <w:top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rPr>
              <w:t>售后</w:t>
            </w:r>
            <w:r>
              <w:rPr>
                <w:rFonts w:hint="eastAsia" w:ascii="仿宋" w:hAnsi="仿宋" w:eastAsia="仿宋" w:cs="仿宋"/>
                <w:color w:val="0000FF"/>
                <w:sz w:val="24"/>
                <w:szCs w:val="24"/>
                <w:highlight w:val="none"/>
                <w:lang w:eastAsia="zh-CN"/>
              </w:rPr>
              <w:t>机构服务点、</w:t>
            </w:r>
            <w:r>
              <w:rPr>
                <w:rFonts w:hint="eastAsia" w:ascii="仿宋" w:hAnsi="仿宋" w:eastAsia="仿宋" w:cs="仿宋"/>
                <w:color w:val="0000FF"/>
                <w:sz w:val="24"/>
                <w:szCs w:val="24"/>
                <w:highlight w:val="none"/>
              </w:rPr>
              <w:t>联系人</w:t>
            </w:r>
            <w:r>
              <w:rPr>
                <w:rFonts w:hint="eastAsia" w:ascii="仿宋" w:hAnsi="仿宋" w:eastAsia="仿宋" w:cs="仿宋"/>
                <w:color w:val="0000FF"/>
                <w:sz w:val="24"/>
                <w:szCs w:val="24"/>
                <w:highlight w:val="none"/>
                <w:lang w:eastAsia="zh-CN"/>
              </w:rPr>
              <w:t>、</w:t>
            </w:r>
            <w:r>
              <w:rPr>
                <w:rFonts w:hint="eastAsia" w:ascii="仿宋" w:hAnsi="仿宋" w:eastAsia="仿宋" w:cs="仿宋"/>
                <w:color w:val="0000FF"/>
                <w:sz w:val="24"/>
                <w:szCs w:val="24"/>
                <w:highlight w:val="none"/>
              </w:rPr>
              <w:t>电话</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b/>
                <w:color w:val="auto"/>
                <w:sz w:val="24"/>
                <w:szCs w:val="24"/>
                <w:highlight w:val="none"/>
              </w:rPr>
            </w:pPr>
          </w:p>
        </w:tc>
      </w:tr>
      <w:tr>
        <w:tblPrEx>
          <w:tblCellMar>
            <w:top w:w="15" w:type="dxa"/>
            <w:left w:w="15" w:type="dxa"/>
            <w:bottom w:w="15" w:type="dxa"/>
            <w:right w:w="15" w:type="dxa"/>
          </w:tblCellMar>
        </w:tblPrEx>
        <w:trPr>
          <w:trHeight w:val="549" w:hRule="atLeast"/>
          <w:jc w:val="center"/>
        </w:trPr>
        <w:tc>
          <w:tcPr>
            <w:tcW w:w="394"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center"/>
              <w:textAlignment w:val="center"/>
              <w:rPr>
                <w:rFonts w:hint="eastAsia" w:ascii="仿宋" w:hAnsi="仿宋" w:eastAsia="仿宋" w:cs="仿宋"/>
                <w:color w:val="0000FF"/>
                <w:sz w:val="24"/>
                <w:szCs w:val="24"/>
                <w:highlight w:val="none"/>
                <w:lang w:eastAsia="zh-CN"/>
              </w:rPr>
            </w:pPr>
            <w:r>
              <w:rPr>
                <w:rFonts w:hint="eastAsia" w:ascii="仿宋" w:hAnsi="仿宋" w:eastAsia="仿宋" w:cs="仿宋"/>
                <w:color w:val="0000FF"/>
                <w:kern w:val="0"/>
                <w:sz w:val="24"/>
                <w:szCs w:val="24"/>
                <w:highlight w:val="none"/>
                <w:lang w:val="en-US" w:eastAsia="zh-CN" w:bidi="ar"/>
              </w:rPr>
              <w:t>4</w:t>
            </w:r>
          </w:p>
        </w:tc>
        <w:tc>
          <w:tcPr>
            <w:tcW w:w="2912"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lang w:eastAsia="zh-CN"/>
              </w:rPr>
              <w:t>供应商</w:t>
            </w:r>
            <w:r>
              <w:rPr>
                <w:rFonts w:hint="eastAsia" w:ascii="仿宋" w:hAnsi="仿宋" w:eastAsia="仿宋" w:cs="仿宋"/>
                <w:color w:val="0000FF"/>
                <w:sz w:val="24"/>
                <w:szCs w:val="24"/>
                <w:highlight w:val="none"/>
              </w:rPr>
              <w:t>的资信及其他</w:t>
            </w:r>
          </w:p>
        </w:tc>
        <w:tc>
          <w:tcPr>
            <w:tcW w:w="396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lang w:eastAsia="zh-CN"/>
              </w:rPr>
            </w:pPr>
            <w:r>
              <w:rPr>
                <w:rFonts w:hint="eastAsia" w:ascii="仿宋" w:hAnsi="仿宋" w:eastAsia="仿宋" w:cs="仿宋"/>
                <w:color w:val="0000FF"/>
                <w:sz w:val="24"/>
                <w:szCs w:val="24"/>
                <w:highlight w:val="none"/>
                <w:lang w:eastAsia="zh-CN"/>
              </w:rPr>
              <w:t>供应商须提供2020年度财务报告（报表），</w:t>
            </w:r>
            <w:r>
              <w:rPr>
                <w:rFonts w:hint="eastAsia" w:ascii="仿宋" w:hAnsi="仿宋" w:eastAsia="仿宋" w:cs="仿宋"/>
                <w:color w:val="0000FF"/>
                <w:sz w:val="24"/>
                <w:szCs w:val="24"/>
                <w:highlight w:val="none"/>
                <w:lang w:val="en-US" w:eastAsia="zh-CN"/>
              </w:rPr>
              <w:t>2021年新</w:t>
            </w:r>
            <w:r>
              <w:rPr>
                <w:rFonts w:hint="eastAsia" w:ascii="仿宋" w:hAnsi="仿宋" w:eastAsia="仿宋" w:cs="仿宋"/>
                <w:color w:val="0000FF"/>
                <w:sz w:val="24"/>
                <w:szCs w:val="24"/>
                <w:highlight w:val="none"/>
                <w:lang w:eastAsia="zh-CN"/>
              </w:rPr>
              <w:t>公司可不提供</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color w:val="auto"/>
                <w:sz w:val="24"/>
                <w:szCs w:val="24"/>
                <w:highlight w:val="none"/>
              </w:rPr>
            </w:pP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color w:val="auto"/>
                <w:sz w:val="24"/>
                <w:szCs w:val="24"/>
                <w:highlight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color w:val="auto"/>
                <w:sz w:val="24"/>
                <w:szCs w:val="24"/>
                <w:highlight w:val="none"/>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color w:val="auto"/>
                <w:sz w:val="24"/>
                <w:szCs w:val="24"/>
                <w:highlight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color w:val="auto"/>
                <w:sz w:val="24"/>
                <w:szCs w:val="24"/>
                <w:highlight w:val="none"/>
              </w:rPr>
            </w:pPr>
          </w:p>
        </w:tc>
      </w:tr>
      <w:tr>
        <w:tblPrEx>
          <w:tblCellMar>
            <w:top w:w="15" w:type="dxa"/>
            <w:left w:w="15" w:type="dxa"/>
            <w:bottom w:w="15" w:type="dxa"/>
            <w:right w:w="15" w:type="dxa"/>
          </w:tblCellMar>
        </w:tblPrEx>
        <w:trPr>
          <w:trHeight w:val="549" w:hRule="atLeast"/>
          <w:jc w:val="center"/>
        </w:trPr>
        <w:tc>
          <w:tcPr>
            <w:tcW w:w="394" w:type="dxa"/>
            <w:vMerge w:val="continue"/>
            <w:tcBorders>
              <w:left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center"/>
              <w:textAlignment w:val="center"/>
              <w:rPr>
                <w:rFonts w:hint="eastAsia" w:ascii="仿宋" w:hAnsi="仿宋" w:eastAsia="仿宋" w:cs="仿宋"/>
                <w:color w:val="0000FF"/>
                <w:kern w:val="0"/>
                <w:sz w:val="24"/>
                <w:szCs w:val="24"/>
                <w:highlight w:val="none"/>
                <w:lang w:val="en-US" w:eastAsia="zh-CN" w:bidi="ar"/>
              </w:rPr>
            </w:pPr>
          </w:p>
        </w:tc>
        <w:tc>
          <w:tcPr>
            <w:tcW w:w="2912" w:type="dxa"/>
            <w:vMerge w:val="continue"/>
            <w:tcBorders>
              <w:left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lang w:eastAsia="zh-CN"/>
              </w:rPr>
            </w:pPr>
          </w:p>
        </w:tc>
        <w:tc>
          <w:tcPr>
            <w:tcW w:w="396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hint="eastAsia" w:ascii="仿宋" w:hAnsi="仿宋" w:eastAsia="仿宋" w:cs="仿宋"/>
                <w:color w:val="0000FF"/>
                <w:sz w:val="24"/>
                <w:szCs w:val="24"/>
                <w:highlight w:val="none"/>
                <w:lang w:eastAsia="zh-CN"/>
              </w:rPr>
            </w:pPr>
            <w:r>
              <w:rPr>
                <w:rFonts w:hint="eastAsia" w:ascii="仿宋" w:hAnsi="仿宋" w:eastAsia="仿宋" w:cs="仿宋"/>
                <w:color w:val="0000FF"/>
                <w:sz w:val="24"/>
                <w:szCs w:val="24"/>
                <w:highlight w:val="none"/>
                <w:lang w:val="en-US" w:eastAsia="zh-CN"/>
              </w:rPr>
              <w:t>投标企业</w:t>
            </w:r>
            <w:r>
              <w:rPr>
                <w:rFonts w:hint="eastAsia" w:ascii="仿宋" w:hAnsi="仿宋" w:eastAsia="仿宋" w:cs="仿宋"/>
                <w:color w:val="0000FF"/>
                <w:sz w:val="24"/>
                <w:szCs w:val="24"/>
                <w:highlight w:val="none"/>
                <w:lang w:eastAsia="zh-CN"/>
              </w:rPr>
              <w:t>近三个月完税证明</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color w:val="auto"/>
                <w:sz w:val="24"/>
                <w:szCs w:val="24"/>
                <w:highlight w:val="none"/>
              </w:rPr>
            </w:pP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color w:val="auto"/>
                <w:sz w:val="24"/>
                <w:szCs w:val="24"/>
                <w:highlight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color w:val="auto"/>
                <w:sz w:val="24"/>
                <w:szCs w:val="24"/>
                <w:highlight w:val="none"/>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color w:val="auto"/>
                <w:sz w:val="24"/>
                <w:szCs w:val="24"/>
                <w:highlight w:val="none"/>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jc w:val="center"/>
              <w:rPr>
                <w:rFonts w:hint="eastAsia" w:ascii="仿宋" w:hAnsi="仿宋" w:eastAsia="仿宋" w:cs="仿宋"/>
                <w:color w:val="auto"/>
                <w:sz w:val="24"/>
                <w:szCs w:val="24"/>
                <w:highlight w:val="none"/>
              </w:rPr>
            </w:pPr>
          </w:p>
        </w:tc>
      </w:tr>
    </w:tbl>
    <w:p>
      <w:pPr>
        <w:pageBreakBefore w:val="0"/>
        <w:kinsoku/>
        <w:wordWrap/>
        <w:topLinePunct w:val="0"/>
        <w:autoSpaceDE/>
        <w:autoSpaceDN/>
        <w:bidi w:val="0"/>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响应性文件响应程度详细</w:t>
      </w:r>
      <w:r>
        <w:rPr>
          <w:rFonts w:hint="eastAsia" w:ascii="仿宋" w:hAnsi="仿宋" w:eastAsia="仿宋" w:cs="仿宋"/>
          <w:b/>
          <w:bCs/>
          <w:color w:val="auto"/>
          <w:sz w:val="24"/>
          <w:szCs w:val="24"/>
          <w:highlight w:val="none"/>
          <w:lang w:eastAsia="zh-CN"/>
        </w:rPr>
        <w:t>评审</w:t>
      </w:r>
      <w:r>
        <w:rPr>
          <w:rFonts w:hint="eastAsia" w:ascii="仿宋" w:hAnsi="仿宋" w:eastAsia="仿宋" w:cs="仿宋"/>
          <w:b/>
          <w:bCs/>
          <w:color w:val="auto"/>
          <w:sz w:val="24"/>
          <w:szCs w:val="24"/>
          <w:highlight w:val="none"/>
        </w:rPr>
        <w:t>通过的投标企业，进入下一步报价阶段，未通过响应性文件响应程度详细审查的企业，其投标作为无效标，不进入报价阶段。</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22.3</w:t>
      </w:r>
      <w:r>
        <w:rPr>
          <w:rFonts w:hint="eastAsia" w:ascii="仿宋" w:hAnsi="仿宋" w:eastAsia="仿宋" w:cs="仿宋"/>
          <w:bCs/>
          <w:color w:val="000000" w:themeColor="text1"/>
          <w:highlight w:val="none"/>
          <w14:textFill>
            <w14:solidFill>
              <w14:schemeClr w14:val="tx1"/>
            </w14:solidFill>
          </w14:textFill>
        </w:rPr>
        <w:t>谈判小组将与进入谈判的报价人依照递交谈判响应文件顺序分别进行一对一谈判。</w:t>
      </w:r>
    </w:p>
    <w:p>
      <w:pPr>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22.4</w:t>
      </w:r>
      <w:r>
        <w:rPr>
          <w:rFonts w:hint="eastAsia" w:ascii="仿宋" w:hAnsi="仿宋" w:eastAsia="仿宋" w:cs="仿宋"/>
          <w:bCs/>
          <w:color w:val="000000" w:themeColor="text1"/>
          <w:highlight w:val="none"/>
          <w14:textFill>
            <w14:solidFill>
              <w14:schemeClr w14:val="tx1"/>
            </w14:solidFill>
          </w14:textFill>
        </w:rPr>
        <w:t>谈判小组可要求报价人就谈判中的具体问题作出书面回答或承诺，报价人提交的书面回答或承诺应由受托人的签字或盖章，并将作为其谈判响应文件的一部分。谈判次数及每个报价人的谈判时间将由谈判小组根据具体谈判情况确定。在谈判中，谈判小组可以对谈判文件进行调整，但将告知每个参与谈判的报价人。</w:t>
      </w:r>
    </w:p>
    <w:p>
      <w:pPr>
        <w:spacing w:line="360" w:lineRule="auto"/>
        <w:ind w:firstLine="48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在每一轮谈判结束后，谈判小组可能会对谈判文件中有关内容进行调整。任何调整的部分谈判小组将会在下一轮谈判前及报价人提交最终承诺报价前，以书面方式告知每个参加谈判的报价人，该调整构成谈判文件的一部分。</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23.谈判原则</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由谈判小组结合谈判响应文件及最终承诺，</w:t>
      </w:r>
      <w:r>
        <w:rPr>
          <w:rFonts w:hint="eastAsia" w:ascii="仿宋" w:hAnsi="仿宋" w:eastAsia="仿宋" w:cs="仿宋"/>
          <w:b/>
          <w:color w:val="000000" w:themeColor="text1"/>
          <w:highlight w:val="none"/>
          <w14:textFill>
            <w14:solidFill>
              <w14:schemeClr w14:val="tx1"/>
            </w14:solidFill>
          </w14:textFill>
        </w:rPr>
        <w:t>在符合采购需求、质量和服务相等的前提下，推荐提出最低报价的供应商作为成交供应商。</w:t>
      </w:r>
    </w:p>
    <w:p>
      <w:pPr>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23.1</w:t>
      </w:r>
      <w:r>
        <w:rPr>
          <w:rFonts w:hint="eastAsia" w:ascii="仿宋" w:hAnsi="仿宋" w:eastAsia="仿宋" w:cs="仿宋"/>
          <w:bCs/>
          <w:color w:val="000000" w:themeColor="text1"/>
          <w:highlight w:val="none"/>
          <w14:textFill>
            <w14:solidFill>
              <w14:schemeClr w14:val="tx1"/>
            </w14:solidFill>
          </w14:textFill>
        </w:rPr>
        <w:t>报价人在谈判响应文件及最终承诺中应对产品技术参数及产品要求作出完全性、真实性的响应。</w:t>
      </w:r>
    </w:p>
    <w:p>
      <w:pPr>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23.2</w:t>
      </w:r>
      <w:r>
        <w:rPr>
          <w:rFonts w:hint="eastAsia" w:ascii="仿宋" w:hAnsi="仿宋" w:eastAsia="仿宋" w:cs="仿宋"/>
          <w:bCs/>
          <w:color w:val="000000" w:themeColor="text1"/>
          <w:highlight w:val="none"/>
          <w14:textFill>
            <w14:solidFill>
              <w14:schemeClr w14:val="tx1"/>
            </w14:solidFill>
          </w14:textFill>
        </w:rPr>
        <w:t>报价人应有能力保证供货安装计划的实施。</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23.3最终报价</w:t>
      </w:r>
    </w:p>
    <w:p>
      <w:pPr>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23.4</w:t>
      </w:r>
      <w:r>
        <w:rPr>
          <w:rFonts w:hint="eastAsia" w:ascii="仿宋" w:hAnsi="仿宋" w:eastAsia="仿宋" w:cs="仿宋"/>
          <w:bCs/>
          <w:color w:val="000000" w:themeColor="text1"/>
          <w:highlight w:val="none"/>
          <w14:textFill>
            <w14:solidFill>
              <w14:schemeClr w14:val="tx1"/>
            </w14:solidFill>
          </w14:textFill>
        </w:rPr>
        <w:t>在谈判小组谈判结束后，根据报价人报价及谈判情况要求所有参加谈判的报价人在规定时间内同时提交最终报价。</w:t>
      </w:r>
    </w:p>
    <w:p>
      <w:pPr>
        <w:pStyle w:val="4"/>
        <w:jc w:val="center"/>
        <w:rPr>
          <w:rFonts w:hint="eastAsia" w:ascii="仿宋" w:hAnsi="仿宋" w:eastAsia="仿宋" w:cs="仿宋"/>
          <w:color w:val="000000" w:themeColor="text1"/>
          <w:highlight w:val="none"/>
          <w14:textFill>
            <w14:solidFill>
              <w14:schemeClr w14:val="tx1"/>
            </w14:solidFill>
          </w14:textFill>
        </w:rPr>
      </w:pPr>
      <w:bookmarkStart w:id="72" w:name="_Toc21213"/>
      <w:bookmarkStart w:id="73" w:name="_Toc17523"/>
      <w:r>
        <w:rPr>
          <w:rFonts w:hint="eastAsia" w:ascii="仿宋" w:hAnsi="仿宋" w:eastAsia="仿宋" w:cs="仿宋"/>
          <w:color w:val="000000" w:themeColor="text1"/>
          <w:highlight w:val="none"/>
          <w14:textFill>
            <w14:solidFill>
              <w14:schemeClr w14:val="tx1"/>
            </w14:solidFill>
          </w14:textFill>
        </w:rPr>
        <w:t>六、成交</w:t>
      </w:r>
      <w:bookmarkEnd w:id="72"/>
      <w:bookmarkEnd w:id="73"/>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24.成交通知书</w:t>
      </w:r>
    </w:p>
    <w:p>
      <w:pPr>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24.1</w:t>
      </w:r>
      <w:r>
        <w:rPr>
          <w:rFonts w:hint="eastAsia" w:ascii="仿宋" w:hAnsi="仿宋" w:eastAsia="仿宋" w:cs="仿宋"/>
          <w:bCs/>
          <w:color w:val="000000" w:themeColor="text1"/>
          <w:highlight w:val="none"/>
          <w14:textFill>
            <w14:solidFill>
              <w14:schemeClr w14:val="tx1"/>
            </w14:solidFill>
          </w14:textFill>
        </w:rPr>
        <w:t>成交人确定后，招标代理机构将向成交人发出成交通知书。</w:t>
      </w:r>
    </w:p>
    <w:p>
      <w:pPr>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24.2</w:t>
      </w:r>
      <w:r>
        <w:rPr>
          <w:rFonts w:hint="eastAsia" w:ascii="仿宋" w:hAnsi="仿宋" w:eastAsia="仿宋" w:cs="仿宋"/>
          <w:bCs/>
          <w:color w:val="000000" w:themeColor="text1"/>
          <w:highlight w:val="none"/>
          <w14:textFill>
            <w14:solidFill>
              <w14:schemeClr w14:val="tx1"/>
            </w14:solidFill>
          </w14:textFill>
        </w:rPr>
        <w:t>成交通知书是合同的一个组成部分。</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25.成交通知</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25.1</w:t>
      </w:r>
      <w:r>
        <w:rPr>
          <w:rFonts w:hint="eastAsia" w:ascii="仿宋" w:hAnsi="仿宋" w:eastAsia="仿宋" w:cs="仿宋"/>
          <w:color w:val="000000" w:themeColor="text1"/>
          <w:highlight w:val="none"/>
          <w14:textFill>
            <w14:solidFill>
              <w14:schemeClr w14:val="tx1"/>
            </w14:solidFill>
          </w14:textFill>
        </w:rPr>
        <w:t>成交公示期：成交结果公示一个工作日。</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25.2</w:t>
      </w:r>
      <w:r>
        <w:rPr>
          <w:rFonts w:hint="eastAsia" w:ascii="仿宋" w:hAnsi="仿宋" w:eastAsia="仿宋" w:cs="仿宋"/>
          <w:color w:val="000000" w:themeColor="text1"/>
          <w:highlight w:val="none"/>
          <w14:textFill>
            <w14:solidFill>
              <w14:schemeClr w14:val="tx1"/>
            </w14:solidFill>
          </w14:textFill>
        </w:rPr>
        <w:t>代理机构根据谈判结果，在报价有效期届满前，以书面形式向成交单位发出成交通知书。</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25.3</w:t>
      </w:r>
      <w:r>
        <w:rPr>
          <w:rFonts w:hint="eastAsia" w:ascii="仿宋" w:hAnsi="仿宋" w:eastAsia="仿宋" w:cs="仿宋"/>
          <w:color w:val="000000" w:themeColor="text1"/>
          <w:highlight w:val="none"/>
          <w14:textFill>
            <w14:solidFill>
              <w14:schemeClr w14:val="tx1"/>
            </w14:solidFill>
          </w14:textFill>
        </w:rPr>
        <w:t>代理机构将谈判结果及时通知未成交的报价人，无需解释未成交原因。</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26.拒绝某些或所有投标的权利</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采购人有</w:t>
      </w:r>
      <w:r>
        <w:rPr>
          <w:rFonts w:hint="eastAsia" w:ascii="仿宋" w:hAnsi="仿宋" w:eastAsia="仿宋" w:cs="仿宋"/>
          <w:color w:val="000000" w:themeColor="text1"/>
          <w:highlight w:val="none"/>
          <w14:textFill>
            <w14:solidFill>
              <w14:schemeClr w14:val="tx1"/>
            </w14:solidFill>
          </w14:textFill>
        </w:rPr>
        <w:t>权在确定中标报价人之前拒绝任何有不正当行为或扰乱正常工作的报价人，由此对报价人造成的损失不负任何责任，同时对此无需做出任何解释。</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27.付款方式：</w:t>
      </w:r>
      <w:r>
        <w:rPr>
          <w:rFonts w:hint="eastAsia" w:ascii="仿宋" w:hAnsi="仿宋" w:eastAsia="仿宋" w:cs="仿宋"/>
          <w:color w:val="000000" w:themeColor="text1"/>
          <w:highlight w:val="none"/>
          <w14:textFill>
            <w14:solidFill>
              <w14:schemeClr w14:val="tx1"/>
            </w14:solidFill>
          </w14:textFill>
        </w:rPr>
        <w:t>按成交人与采购人签订合同的付款方式执行。每次付款时均由供货方提供国家正规发票。</w:t>
      </w:r>
    </w:p>
    <w:p>
      <w:pPr>
        <w:pStyle w:val="4"/>
        <w:spacing w:line="360" w:lineRule="auto"/>
        <w:jc w:val="center"/>
        <w:rPr>
          <w:rFonts w:hint="eastAsia" w:ascii="仿宋" w:hAnsi="仿宋" w:eastAsia="仿宋" w:cs="仿宋"/>
          <w:color w:val="000000" w:themeColor="text1"/>
          <w:highlight w:val="none"/>
          <w14:textFill>
            <w14:solidFill>
              <w14:schemeClr w14:val="tx1"/>
            </w14:solidFill>
          </w14:textFill>
        </w:rPr>
      </w:pPr>
      <w:bookmarkStart w:id="74" w:name="_Toc19776"/>
      <w:bookmarkStart w:id="75" w:name="_Toc17137"/>
      <w:r>
        <w:rPr>
          <w:rFonts w:hint="eastAsia" w:ascii="仿宋" w:hAnsi="仿宋" w:eastAsia="仿宋" w:cs="仿宋"/>
          <w:color w:val="000000" w:themeColor="text1"/>
          <w:highlight w:val="none"/>
          <w14:textFill>
            <w14:solidFill>
              <w14:schemeClr w14:val="tx1"/>
            </w14:solidFill>
          </w14:textFill>
        </w:rPr>
        <w:t>七、合同签订</w:t>
      </w:r>
      <w:bookmarkEnd w:id="74"/>
      <w:bookmarkEnd w:id="75"/>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28、签订合同</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28.1</w:t>
      </w:r>
      <w:r>
        <w:rPr>
          <w:rFonts w:hint="eastAsia" w:ascii="仿宋" w:hAnsi="仿宋" w:eastAsia="仿宋" w:cs="仿宋"/>
          <w:color w:val="000000" w:themeColor="text1"/>
          <w:highlight w:val="none"/>
          <w14:textFill>
            <w14:solidFill>
              <w14:schemeClr w14:val="tx1"/>
            </w14:solidFill>
          </w14:textFill>
        </w:rPr>
        <w:t xml:space="preserve"> 采购人和成交人在自成交通知书发出之日起，依据《中华人民共和国合同法》等有关法律法规及谈判响应文件内容签订合同。</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30.2</w:t>
      </w:r>
      <w:r>
        <w:rPr>
          <w:rFonts w:hint="eastAsia" w:ascii="仿宋" w:hAnsi="仿宋" w:eastAsia="仿宋" w:cs="仿宋"/>
          <w:color w:val="000000" w:themeColor="text1"/>
          <w:highlight w:val="none"/>
          <w14:textFill>
            <w14:solidFill>
              <w14:schemeClr w14:val="tx1"/>
            </w14:solidFill>
          </w14:textFill>
        </w:rPr>
        <w:t xml:space="preserve"> 成交合同不得转让。</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30.3</w:t>
      </w:r>
      <w:r>
        <w:rPr>
          <w:rFonts w:hint="eastAsia" w:ascii="仿宋" w:hAnsi="仿宋" w:eastAsia="仿宋" w:cs="仿宋"/>
          <w:color w:val="000000" w:themeColor="text1"/>
          <w:highlight w:val="none"/>
          <w14:textFill>
            <w14:solidFill>
              <w14:schemeClr w14:val="tx1"/>
            </w14:solidFill>
          </w14:textFill>
        </w:rPr>
        <w:t xml:space="preserve"> 采购人如遇成交人违约，可从候选成交人中重新选定成交人，并签订经济合同。</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30.</w:t>
      </w:r>
      <w:r>
        <w:rPr>
          <w:rFonts w:hint="eastAsia" w:ascii="仿宋" w:hAnsi="仿宋" w:eastAsia="仿宋" w:cs="仿宋"/>
          <w:b/>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合同经采购人成交人双方签字盖章后即生效。采购人、成交人双方亦可自愿申请公证。</w:t>
      </w:r>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31、合同组成</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31.1</w:t>
      </w:r>
      <w:r>
        <w:rPr>
          <w:rFonts w:hint="eastAsia" w:ascii="仿宋" w:hAnsi="仿宋" w:eastAsia="仿宋" w:cs="仿宋"/>
          <w:color w:val="000000" w:themeColor="text1"/>
          <w:highlight w:val="none"/>
          <w14:textFill>
            <w14:solidFill>
              <w14:schemeClr w14:val="tx1"/>
            </w14:solidFill>
          </w14:textFill>
        </w:rPr>
        <w:t xml:space="preserve"> 以下文件均为合同不可分割的部分：</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31.1.1 专用合同</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31.1.2 合同条款</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31.1.3 成交通知书</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31.1.4 报价人谈判响应文件</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31.1.5 其它文件</w:t>
      </w:r>
    </w:p>
    <w:p>
      <w:pPr>
        <w:spacing w:line="360" w:lineRule="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32、履约保证金</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32.1 中标的投标人应按中标金额的10%提交履约保证金。</w:t>
      </w:r>
    </w:p>
    <w:p>
      <w:pPr>
        <w:spacing w:line="360" w:lineRule="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32.2 如中标人未按招标文件规定的工期供货、安装和调试完毕，</w:t>
      </w:r>
      <w:r>
        <w:rPr>
          <w:rFonts w:hint="eastAsia" w:ascii="仿宋" w:hAnsi="仿宋" w:eastAsia="仿宋" w:cs="仿宋"/>
          <w:b/>
          <w:bCs/>
          <w:color w:val="000000" w:themeColor="text1"/>
          <w:highlight w:val="none"/>
          <w14:textFill>
            <w14:solidFill>
              <w14:schemeClr w14:val="tx1"/>
            </w14:solidFill>
          </w14:textFill>
        </w:rPr>
        <w:t>三年内不得参加</w:t>
      </w:r>
      <w:r>
        <w:rPr>
          <w:rFonts w:hint="eastAsia" w:ascii="仿宋" w:hAnsi="仿宋" w:eastAsia="仿宋" w:cs="仿宋"/>
          <w:b/>
          <w:bCs/>
          <w:color w:val="000000" w:themeColor="text1"/>
          <w:highlight w:val="none"/>
          <w:lang w:eastAsia="zh-CN"/>
          <w14:textFill>
            <w14:solidFill>
              <w14:schemeClr w14:val="tx1"/>
            </w14:solidFill>
          </w14:textFill>
        </w:rPr>
        <w:t>哈巴河县</w:t>
      </w:r>
      <w:r>
        <w:rPr>
          <w:rFonts w:hint="eastAsia" w:ascii="仿宋" w:hAnsi="仿宋" w:eastAsia="仿宋" w:cs="仿宋"/>
          <w:b/>
          <w:bCs/>
          <w:color w:val="000000" w:themeColor="text1"/>
          <w:highlight w:val="none"/>
          <w14:textFill>
            <w14:solidFill>
              <w14:schemeClr w14:val="tx1"/>
            </w14:solidFill>
          </w14:textFill>
        </w:rPr>
        <w:t>所有政府采购招投标活动。</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32.3履约保证金（无息）将在乙方履行完成合同所有义务后凭乙方的收款收据在五天内退返乙方。</w:t>
      </w:r>
    </w:p>
    <w:p>
      <w:pPr>
        <w:pStyle w:val="4"/>
        <w:spacing w:line="360" w:lineRule="auto"/>
        <w:ind w:firstLine="3626" w:firstLineChars="1290"/>
        <w:rPr>
          <w:rFonts w:hint="eastAsia" w:ascii="仿宋" w:hAnsi="仿宋" w:eastAsia="仿宋" w:cs="仿宋"/>
          <w:color w:val="000000" w:themeColor="text1"/>
          <w:sz w:val="28"/>
          <w:highlight w:val="none"/>
          <w14:textFill>
            <w14:solidFill>
              <w14:schemeClr w14:val="tx1"/>
            </w14:solidFill>
          </w14:textFill>
        </w:rPr>
      </w:pPr>
      <w:bookmarkStart w:id="76" w:name="_Toc14192"/>
      <w:bookmarkStart w:id="77" w:name="_Toc27889"/>
      <w:r>
        <w:rPr>
          <w:rFonts w:hint="eastAsia" w:ascii="仿宋" w:hAnsi="仿宋" w:eastAsia="仿宋" w:cs="仿宋"/>
          <w:color w:val="000000" w:themeColor="text1"/>
          <w:sz w:val="28"/>
          <w:highlight w:val="none"/>
          <w14:textFill>
            <w14:solidFill>
              <w14:schemeClr w14:val="tx1"/>
            </w14:solidFill>
          </w14:textFill>
        </w:rPr>
        <w:t>八、特别提示</w:t>
      </w:r>
      <w:bookmarkEnd w:id="76"/>
      <w:bookmarkEnd w:id="77"/>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32、</w:t>
      </w:r>
      <w:r>
        <w:rPr>
          <w:rFonts w:hint="eastAsia" w:ascii="仿宋" w:hAnsi="仿宋" w:eastAsia="仿宋" w:cs="仿宋"/>
          <w:color w:val="000000" w:themeColor="text1"/>
          <w:highlight w:val="none"/>
          <w14:textFill>
            <w14:solidFill>
              <w14:schemeClr w14:val="tx1"/>
            </w14:solidFill>
          </w14:textFill>
        </w:rPr>
        <w:t>报价人应认真研读谈判文件，充分考虑文件中的所有要求和合同条款后，编制谈判响应文件。</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33、</w:t>
      </w:r>
      <w:r>
        <w:rPr>
          <w:rFonts w:hint="eastAsia" w:ascii="仿宋" w:hAnsi="仿宋" w:eastAsia="仿宋" w:cs="仿宋"/>
          <w:color w:val="000000" w:themeColor="text1"/>
          <w:highlight w:val="none"/>
          <w14:textFill>
            <w14:solidFill>
              <w14:schemeClr w14:val="tx1"/>
            </w14:solidFill>
          </w14:textFill>
        </w:rPr>
        <w:t>如谈判文件中提供的各类表格样式不适用，报价人可另行设计表格样式，但力求内容完整，表达清晰、准确。</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34、</w:t>
      </w:r>
      <w:r>
        <w:rPr>
          <w:rFonts w:hint="eastAsia" w:ascii="仿宋" w:hAnsi="仿宋" w:eastAsia="仿宋" w:cs="仿宋"/>
          <w:color w:val="000000" w:themeColor="text1"/>
          <w:highlight w:val="none"/>
          <w14:textFill>
            <w14:solidFill>
              <w14:schemeClr w14:val="tx1"/>
            </w14:solidFill>
          </w14:textFill>
        </w:rPr>
        <w:t>本</w:t>
      </w:r>
      <w:r>
        <w:rPr>
          <w:rFonts w:hint="eastAsia" w:ascii="仿宋" w:hAnsi="仿宋" w:eastAsia="仿宋" w:cs="仿宋"/>
          <w:color w:val="000000" w:themeColor="text1"/>
          <w:highlight w:val="none"/>
          <w:lang w:eastAsia="zh-CN"/>
          <w14:textFill>
            <w14:solidFill>
              <w14:schemeClr w14:val="tx1"/>
            </w14:solidFill>
          </w14:textFill>
        </w:rPr>
        <w:t>文件</w:t>
      </w:r>
      <w:r>
        <w:rPr>
          <w:rFonts w:hint="eastAsia" w:ascii="仿宋" w:hAnsi="仿宋" w:eastAsia="仿宋" w:cs="仿宋"/>
          <w:color w:val="000000" w:themeColor="text1"/>
          <w:highlight w:val="none"/>
          <w14:textFill>
            <w14:solidFill>
              <w14:schemeClr w14:val="tx1"/>
            </w14:solidFill>
          </w14:textFill>
        </w:rPr>
        <w:t>所要求的原件，除“法定代表人授权委托书”需要做入谈判响应文件正本中外，其余仅供谈判时查验用，谈判响应文件中只需提供相应的复印件。</w:t>
      </w:r>
    </w:p>
    <w:p>
      <w:pPr>
        <w:pStyle w:val="4"/>
        <w:spacing w:line="360" w:lineRule="auto"/>
        <w:ind w:firstLine="3626" w:firstLineChars="1290"/>
        <w:rPr>
          <w:rFonts w:hint="eastAsia" w:ascii="仿宋" w:hAnsi="仿宋" w:eastAsia="仿宋" w:cs="仿宋"/>
          <w:color w:val="000000" w:themeColor="text1"/>
          <w:sz w:val="28"/>
          <w:highlight w:val="none"/>
          <w14:textFill>
            <w14:solidFill>
              <w14:schemeClr w14:val="tx1"/>
            </w14:solidFill>
          </w14:textFill>
        </w:rPr>
      </w:pPr>
      <w:bookmarkStart w:id="78" w:name="_Toc1323"/>
      <w:bookmarkStart w:id="79" w:name="_Toc21896"/>
      <w:r>
        <w:rPr>
          <w:rFonts w:hint="eastAsia" w:ascii="仿宋" w:hAnsi="仿宋" w:eastAsia="仿宋" w:cs="仿宋"/>
          <w:color w:val="000000" w:themeColor="text1"/>
          <w:sz w:val="28"/>
          <w:highlight w:val="none"/>
          <w14:textFill>
            <w14:solidFill>
              <w14:schemeClr w14:val="tx1"/>
            </w14:solidFill>
          </w14:textFill>
        </w:rPr>
        <w:t>九、其他事项</w:t>
      </w:r>
      <w:bookmarkEnd w:id="78"/>
      <w:bookmarkEnd w:id="79"/>
    </w:p>
    <w:p>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35、成交服务费</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35.1 </w:t>
      </w:r>
      <w:r>
        <w:rPr>
          <w:rFonts w:hint="eastAsia" w:ascii="仿宋" w:hAnsi="仿宋" w:eastAsia="仿宋" w:cs="仿宋"/>
          <w:bCs/>
          <w:color w:val="000000" w:themeColor="text1"/>
          <w:highlight w:val="none"/>
          <w14:textFill>
            <w14:solidFill>
              <w14:schemeClr w14:val="tx1"/>
            </w14:solidFill>
          </w14:textFill>
        </w:rPr>
        <w:t>按照协商结果</w:t>
      </w:r>
      <w:r>
        <w:rPr>
          <w:rFonts w:hint="eastAsia" w:ascii="仿宋" w:hAnsi="仿宋" w:eastAsia="仿宋" w:cs="仿宋"/>
          <w:color w:val="000000" w:themeColor="text1"/>
          <w:highlight w:val="none"/>
          <w14:textFill>
            <w14:solidFill>
              <w14:schemeClr w14:val="tx1"/>
            </w14:solidFill>
          </w14:textFill>
        </w:rPr>
        <w:t>一次性付清成交服务费（</w:t>
      </w:r>
      <w:r>
        <w:rPr>
          <w:rFonts w:hint="eastAsia" w:ascii="仿宋" w:hAnsi="仿宋" w:eastAsia="仿宋" w:cs="仿宋"/>
          <w:color w:val="000000" w:themeColor="text1"/>
          <w:highlight w:val="none"/>
          <w:lang w:eastAsia="zh-CN"/>
          <w14:textFill>
            <w14:solidFill>
              <w14:schemeClr w14:val="tx1"/>
            </w14:solidFill>
          </w14:textFill>
        </w:rPr>
        <w:t>免费</w:t>
      </w:r>
      <w:r>
        <w:rPr>
          <w:rFonts w:hint="eastAsia" w:ascii="仿宋" w:hAnsi="仿宋" w:eastAsia="仿宋" w:cs="仿宋"/>
          <w:color w:val="000000" w:themeColor="text1"/>
          <w:highlight w:val="none"/>
          <w14:textFill>
            <w14:solidFill>
              <w14:schemeClr w14:val="tx1"/>
            </w14:solidFill>
          </w14:textFill>
        </w:rPr>
        <w:t>）。</w:t>
      </w: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35.2</w:t>
      </w:r>
      <w:r>
        <w:rPr>
          <w:rFonts w:hint="eastAsia" w:ascii="仿宋" w:hAnsi="仿宋" w:eastAsia="仿宋" w:cs="仿宋"/>
          <w:color w:val="000000" w:themeColor="text1"/>
          <w:highlight w:val="none"/>
          <w14:textFill>
            <w14:solidFill>
              <w14:schemeClr w14:val="tx1"/>
            </w14:solidFill>
          </w14:textFill>
        </w:rPr>
        <w:t xml:space="preserve"> 成交服务费：</w:t>
      </w:r>
      <w:r>
        <w:rPr>
          <w:rFonts w:hint="eastAsia" w:ascii="仿宋" w:hAnsi="仿宋" w:eastAsia="仿宋" w:cs="仿宋"/>
          <w:color w:val="000000" w:themeColor="text1"/>
          <w:kern w:val="0"/>
          <w:highlight w:val="none"/>
          <w:lang w:bidi="ar"/>
          <w14:textFill>
            <w14:solidFill>
              <w14:schemeClr w14:val="tx1"/>
            </w14:solidFill>
          </w14:textFill>
        </w:rPr>
        <w:t>详见投标人须知前附表</w:t>
      </w:r>
      <w:r>
        <w:rPr>
          <w:rFonts w:hint="eastAsia" w:ascii="仿宋" w:hAnsi="仿宋" w:eastAsia="仿宋" w:cs="仿宋"/>
          <w:color w:val="000000" w:themeColor="text1"/>
          <w:highlight w:val="none"/>
          <w14:textFill>
            <w14:solidFill>
              <w14:schemeClr w14:val="tx1"/>
            </w14:solidFill>
          </w14:textFill>
        </w:rPr>
        <w:t>。</w:t>
      </w:r>
    </w:p>
    <w:p>
      <w:pPr>
        <w:spacing w:line="360" w:lineRule="auto"/>
        <w:rPr>
          <w:rFonts w:hint="eastAsia" w:ascii="仿宋" w:hAnsi="仿宋" w:eastAsia="仿宋" w:cs="仿宋"/>
          <w:color w:val="000000" w:themeColor="text1"/>
          <w:highlight w:val="none"/>
          <w14:textFill>
            <w14:solidFill>
              <w14:schemeClr w14:val="tx1"/>
            </w14:solidFill>
          </w14:textFill>
        </w:rPr>
        <w:sectPr>
          <w:headerReference r:id="rId7" w:type="default"/>
          <w:footerReference r:id="rId8" w:type="default"/>
          <w:pgSz w:w="11906" w:h="16838"/>
          <w:pgMar w:top="1134" w:right="1797" w:bottom="1559" w:left="1797" w:header="851" w:footer="992" w:gutter="0"/>
          <w:pgNumType w:fmt="decimal"/>
          <w:cols w:space="720" w:num="1"/>
          <w:docGrid w:linePitch="312" w:charSpace="0"/>
        </w:sectPr>
      </w:pPr>
      <w:r>
        <w:rPr>
          <w:rFonts w:hint="eastAsia" w:ascii="仿宋" w:hAnsi="仿宋" w:eastAsia="仿宋" w:cs="仿宋"/>
          <w:b/>
          <w:color w:val="000000" w:themeColor="text1"/>
          <w:highlight w:val="none"/>
          <w14:textFill>
            <w14:solidFill>
              <w14:schemeClr w14:val="tx1"/>
            </w14:solidFill>
          </w14:textFill>
        </w:rPr>
        <w:t>36、</w:t>
      </w:r>
      <w:r>
        <w:rPr>
          <w:rFonts w:hint="eastAsia" w:ascii="仿宋" w:hAnsi="仿宋" w:eastAsia="仿宋" w:cs="仿宋"/>
          <w:color w:val="000000" w:themeColor="text1"/>
          <w:highlight w:val="none"/>
          <w14:textFill>
            <w14:solidFill>
              <w14:schemeClr w14:val="tx1"/>
            </w14:solidFill>
          </w14:textFill>
        </w:rPr>
        <w:t>本文件依据《中华人民共和国政府采购法》等有关政府采购方面的法律法规文件编制，解释权属</w:t>
      </w:r>
      <w:r>
        <w:rPr>
          <w:rFonts w:hint="eastAsia" w:ascii="仿宋" w:hAnsi="仿宋" w:eastAsia="仿宋" w:cs="仿宋"/>
          <w:color w:val="000000" w:themeColor="text1"/>
          <w:highlight w:val="none"/>
          <w:lang w:eastAsia="zh-CN"/>
          <w14:textFill>
            <w14:solidFill>
              <w14:schemeClr w14:val="tx1"/>
            </w14:solidFill>
          </w14:textFill>
        </w:rPr>
        <w:t>哈巴河县政府采购中心</w:t>
      </w:r>
      <w:r>
        <w:rPr>
          <w:rFonts w:hint="eastAsia" w:ascii="仿宋" w:hAnsi="仿宋" w:eastAsia="仿宋" w:cs="仿宋"/>
          <w:color w:val="000000" w:themeColor="text1"/>
          <w:highlight w:val="none"/>
          <w14:textFill>
            <w14:solidFill>
              <w14:schemeClr w14:val="tx1"/>
            </w14:solidFill>
          </w14:textFill>
        </w:rPr>
        <w:t>。</w:t>
      </w:r>
    </w:p>
    <w:p>
      <w:pPr>
        <w:pStyle w:val="5"/>
        <w:jc w:val="center"/>
        <w:rPr>
          <w:rFonts w:hint="eastAsia" w:ascii="仿宋" w:hAnsi="仿宋" w:eastAsia="仿宋" w:cs="仿宋"/>
          <w:b/>
          <w:bCs w:val="0"/>
          <w:color w:val="000000" w:themeColor="text1"/>
          <w:kern w:val="44"/>
          <w:sz w:val="36"/>
          <w:szCs w:val="44"/>
          <w:highlight w:val="none"/>
          <w:lang w:val="en-US" w:eastAsia="zh-CN" w:bidi="ar-SA"/>
          <w14:textFill>
            <w14:solidFill>
              <w14:schemeClr w14:val="tx1"/>
            </w14:solidFill>
          </w14:textFill>
        </w:rPr>
      </w:pPr>
      <w:r>
        <w:rPr>
          <w:rFonts w:hint="eastAsia" w:ascii="仿宋" w:hAnsi="仿宋" w:eastAsia="仿宋" w:cs="仿宋"/>
          <w:b/>
          <w:bCs w:val="0"/>
          <w:color w:val="000000" w:themeColor="text1"/>
          <w:kern w:val="44"/>
          <w:sz w:val="36"/>
          <w:szCs w:val="44"/>
          <w:highlight w:val="none"/>
          <w:lang w:val="en-US" w:eastAsia="zh-CN" w:bidi="ar-SA"/>
          <w14:textFill>
            <w14:solidFill>
              <w14:schemeClr w14:val="tx1"/>
            </w14:solidFill>
          </w14:textFill>
        </w:rPr>
        <w:t>第三章采购需求、技术参数、规格</w:t>
      </w:r>
    </w:p>
    <w:tbl>
      <w:tblPr>
        <w:tblStyle w:val="21"/>
        <w:tblW w:w="8790" w:type="dxa"/>
        <w:tblInd w:w="0" w:type="dxa"/>
        <w:shd w:val="clear" w:color="auto" w:fill="auto"/>
        <w:tblLayout w:type="fixed"/>
        <w:tblCellMar>
          <w:top w:w="0" w:type="dxa"/>
          <w:left w:w="0" w:type="dxa"/>
          <w:bottom w:w="0" w:type="dxa"/>
          <w:right w:w="0" w:type="dxa"/>
        </w:tblCellMar>
      </w:tblPr>
      <w:tblGrid>
        <w:gridCol w:w="510"/>
        <w:gridCol w:w="630"/>
        <w:gridCol w:w="1080"/>
        <w:gridCol w:w="4455"/>
        <w:gridCol w:w="705"/>
        <w:gridCol w:w="705"/>
        <w:gridCol w:w="705"/>
      </w:tblGrid>
      <w:tr>
        <w:tblPrEx>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55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规格、技术参数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皮卡车</w:t>
            </w:r>
          </w:p>
        </w:tc>
        <w:tc>
          <w:tcPr>
            <w:tcW w:w="55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（舒适型）驱动：4WD</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合格证书</w:t>
            </w:r>
            <w:r>
              <w:rPr>
                <w:rFonts w:hint="eastAsia" w:ascii="宋体" w:hAnsi="宋体" w:eastAsia="宋体" w:cs="宋体"/>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7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排挡：6MT</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整车参数</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长×宽×高（mm）：5266×1850×1808</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轴距（mm）：3150</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轮距(前/后)(mm)：1570/1570</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货厢长×宽×高(mm)：1510×1562×475</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最小离地间隙(mm)：214</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接近角/离去角(°)：32/25</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最小转弯半径(m)：6.25</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满载总质量(kg)：2630</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整车装备质量(kg)：1788</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载质量(kg）：517</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油箱容量(L)：73</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最高车速（km/h）：160</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发动机</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燃油类型：汽油</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排放标准：国6B+OBD</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排量(L)：2.5（汽油自吸）</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额定功率(Kw)：140</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最大扭矩(N·m)：235</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行驶机构</w:t>
            </w: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悬挂：前悬：双叉臂+稳定杆</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后悬：钢板弹簧</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制动系统：前盘后鼓</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255/70R16</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铝轮毂</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备胎：255/70R16钢轮</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舒适配置</w:t>
            </w: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多功能方向盘（高度可调）：PU</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单区手动空调（花粉过滤）</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司机座椅：6向手动调节（绒布）</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中控面板：黑色</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内门把手：黑色</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手刹：PU</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上车辅助拉手：副司机侧1个</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车内辅助拉手：副司机1个+第二排左右各1个（车顶）</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中控门锁</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智能钥匙+一键启动</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12V电源（2个）</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地图灯（3个普通灯）+室内灯</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杯托：中控台2个</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司机侧电动车窗一键升降/防夹</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四门电动车窗</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外观</w:t>
            </w: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电磁式加油口盖</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外门把手/后箱门把手：镀铬</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前格栅：镀银</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后保险杠：黑色</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安全配置</w:t>
            </w: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双安全气囊</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ABS+EBD+BA</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外后视镜：黑色手动折叠+电动调节</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内后视镜：手动防眩目</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高度可调前大灯：卤素</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前雾灯</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后雾灯</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自动大灯</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高位刹车灯 HMSL</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前排安全带（三点式+预紧+高度可调）</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第二排安全带（两侧三点式+中间两点式）</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散热器下护板</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变速箱下护板</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发动机下护板</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儿童安全锁</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影音系统</w:t>
            </w: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扬声器：2个</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双DIN音响(AM+FM+AUX+USB)</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9寸显示屏（AM+FM+USB）：导航+倒车影像</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其他</w:t>
            </w: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内绳钩</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前扰流板</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侧踏板</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挡泥板：前/后</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后尾翼</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反光背心</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全车膜</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脚垫</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下护板</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地胶</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坐垫</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外观标识喷漆</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雪地胎255/70R16</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外观警徽标识贴</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警灯</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olor w:val="000000"/>
                <w:sz w:val="16"/>
                <w:szCs w:val="16"/>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一年保养4次</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颜色</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白色</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5"/>
        <w:rPr>
          <w:rFonts w:hint="eastAsia"/>
        </w:rPr>
      </w:pPr>
    </w:p>
    <w:p>
      <w:pPr>
        <w:pStyle w:val="5"/>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备注：</w:t>
      </w:r>
    </w:p>
    <w:p>
      <w:pPr>
        <w:pStyle w:val="5"/>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1、上述技术指标描述中，凡有品牌、型号描述或指向某品牌的指标描述均为参考指标，投标单位所提供的产品参数不得低于该参考参数指标。</w:t>
      </w:r>
    </w:p>
    <w:p>
      <w:pPr>
        <w:pStyle w:val="5"/>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本次招标的物资报价，含从采购、运输、卸货及技术支持服务至指定地点、安装、验收合格、交付使用及最低伍年保修期(售后服务等)的人民币报价。综合单价包括了设备采购、安装，包括常规配件、易损件的采购、运输、检验试验，因质量问题引起的维修和更换、技术指导和培训、成品保护、投标人的利润、税金、政策性文件的规定以及包括原材料涨价等合同明示或暗示的所有一切风险、责任和义务的费用。</w:t>
      </w:r>
    </w:p>
    <w:p>
      <w:pPr>
        <w:pStyle w:val="5"/>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sectPr>
          <w:pgSz w:w="11906" w:h="16838"/>
          <w:pgMar w:top="1134" w:right="1797" w:bottom="1559" w:left="1797" w:header="851" w:footer="992" w:gutter="0"/>
          <w:pgNumType w:fmt="decimal"/>
          <w:cols w:space="720" w:num="1"/>
          <w:docGrid w:linePitch="312" w:charSpace="0"/>
        </w:sect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3、招标文件未尽事宜，由采购人与中标供应商签订合同补充并执行</w:t>
      </w:r>
    </w:p>
    <w:p>
      <w:pPr>
        <w:pStyle w:val="2"/>
        <w:ind w:left="0" w:leftChars="0" w:firstLine="0" w:firstLineChars="0"/>
        <w:jc w:val="center"/>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80" w:name="_Toc29294"/>
      <w:bookmarkStart w:id="81" w:name="_Toc22990"/>
      <w:bookmarkStart w:id="82" w:name="_Toc22311"/>
      <w:bookmarkStart w:id="83" w:name="_Toc8207"/>
      <w:bookmarkStart w:id="84" w:name="_Toc11006"/>
      <w:bookmarkStart w:id="85" w:name="_Toc2425"/>
      <w:bookmarkStart w:id="86" w:name="_Toc24429"/>
      <w:bookmarkStart w:id="87" w:name="_Toc18595"/>
      <w:bookmarkStart w:id="88" w:name="_Toc501379478"/>
      <w:bookmarkStart w:id="89" w:name="_Toc31168"/>
      <w:bookmarkStart w:id="90" w:name="_Toc22992"/>
      <w:bookmarkStart w:id="91" w:name="_Toc381970843"/>
      <w:r>
        <w:rPr>
          <w:rFonts w:hint="eastAsia" w:ascii="仿宋" w:hAnsi="仿宋" w:eastAsia="仿宋" w:cs="仿宋"/>
          <w:b/>
          <w:color w:val="000000" w:themeColor="text1"/>
          <w:sz w:val="24"/>
          <w:szCs w:val="24"/>
          <w:highlight w:val="none"/>
          <w14:textFill>
            <w14:solidFill>
              <w14:schemeClr w14:val="tx1"/>
            </w14:solidFill>
          </w14:textFill>
        </w:rPr>
        <w:t>二、采购要求</w:t>
      </w:r>
      <w:bookmarkEnd w:id="80"/>
      <w:bookmarkEnd w:id="81"/>
      <w:bookmarkEnd w:id="82"/>
    </w:p>
    <w:p>
      <w:pPr>
        <w:spacing w:line="52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1、采购范围：</w:t>
      </w:r>
      <w:r>
        <w:rPr>
          <w:rFonts w:hint="eastAsia" w:ascii="仿宋" w:hAnsi="仿宋" w:eastAsia="仿宋" w:cs="仿宋"/>
          <w:bCs/>
          <w:color w:val="000000" w:themeColor="text1"/>
          <w:sz w:val="24"/>
          <w:szCs w:val="24"/>
          <w:highlight w:val="none"/>
          <w:lang w:eastAsia="zh-CN"/>
          <w14:textFill>
            <w14:solidFill>
              <w14:schemeClr w14:val="tx1"/>
            </w14:solidFill>
          </w14:textFill>
        </w:rPr>
        <w:t>货物的供应、运输、辅材、税金和相关售后服务等</w:t>
      </w:r>
      <w:r>
        <w:rPr>
          <w:rFonts w:hint="eastAsia" w:ascii="仿宋" w:hAnsi="仿宋" w:eastAsia="仿宋" w:cs="仿宋"/>
          <w:color w:val="000000" w:themeColor="text1"/>
          <w:sz w:val="24"/>
          <w:szCs w:val="24"/>
          <w:highlight w:val="none"/>
          <w14:textFill>
            <w14:solidFill>
              <w14:schemeClr w14:val="tx1"/>
            </w14:solidFill>
          </w14:textFill>
        </w:rPr>
        <w:t>。</w:t>
      </w:r>
    </w:p>
    <w:p>
      <w:pPr>
        <w:spacing w:line="520" w:lineRule="exact"/>
        <w:ind w:firstLine="48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2、交货时间：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3日历日内供货安装完成。</w:t>
      </w:r>
    </w:p>
    <w:p>
      <w:pPr>
        <w:spacing w:line="520" w:lineRule="exact"/>
        <w:ind w:firstLine="480"/>
        <w:rPr>
          <w:rFonts w:hint="eastAsia" w:ascii="仿宋" w:hAnsi="仿宋" w:eastAsia="仿宋" w:cs="仿宋"/>
          <w:bCs/>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3、质量要求：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5年，</w:t>
      </w:r>
      <w:r>
        <w:rPr>
          <w:rFonts w:hint="eastAsia" w:ascii="仿宋" w:hAnsi="仿宋" w:eastAsia="仿宋" w:cs="仿宋"/>
          <w:color w:val="000000" w:themeColor="text1"/>
          <w:sz w:val="24"/>
          <w:szCs w:val="24"/>
          <w:highlight w:val="none"/>
          <w14:textFill>
            <w14:solidFill>
              <w14:schemeClr w14:val="tx1"/>
            </w14:solidFill>
          </w14:textFill>
        </w:rPr>
        <w:t>按照国家和行业标准及招标文件</w:t>
      </w:r>
      <w:r>
        <w:rPr>
          <w:rFonts w:hint="eastAsia" w:ascii="仿宋" w:hAnsi="仿宋" w:eastAsia="仿宋" w:cs="仿宋"/>
          <w:bCs/>
          <w:color w:val="000000" w:themeColor="text1"/>
          <w:sz w:val="24"/>
          <w:szCs w:val="24"/>
          <w:highlight w:val="none"/>
          <w14:textFill>
            <w14:solidFill>
              <w14:schemeClr w14:val="tx1"/>
            </w14:solidFill>
          </w14:textFill>
        </w:rPr>
        <w:t>的要求采购，质量达到合格，如质量达不到标准要求，采购方有权退货，因退货而产生的费用由供货方承担。</w:t>
      </w:r>
      <w:r>
        <w:rPr>
          <w:rFonts w:hint="eastAsia" w:ascii="仿宋" w:hAnsi="仿宋" w:eastAsia="仿宋" w:cs="仿宋"/>
          <w:bCs/>
          <w:color w:val="000000" w:themeColor="text1"/>
          <w:sz w:val="24"/>
          <w:szCs w:val="24"/>
          <w:highlight w:val="none"/>
          <w:lang w:val="zh-CN"/>
          <w14:textFill>
            <w14:solidFill>
              <w14:schemeClr w14:val="tx1"/>
            </w14:solidFill>
          </w14:textFill>
        </w:rPr>
        <w:t>货物到达后，卖方应在</w:t>
      </w:r>
      <w:r>
        <w:rPr>
          <w:rFonts w:hint="eastAsia" w:ascii="仿宋" w:hAnsi="仿宋" w:eastAsia="仿宋" w:cs="仿宋"/>
          <w:bCs/>
          <w:color w:val="000000" w:themeColor="text1"/>
          <w:sz w:val="24"/>
          <w:szCs w:val="24"/>
          <w:highlight w:val="none"/>
          <w14:textFill>
            <w14:solidFill>
              <w14:schemeClr w14:val="tx1"/>
            </w14:solidFill>
          </w14:textFill>
        </w:rPr>
        <w:t>24小时</w:t>
      </w:r>
      <w:r>
        <w:rPr>
          <w:rFonts w:hint="eastAsia" w:ascii="仿宋" w:hAnsi="仿宋" w:eastAsia="仿宋" w:cs="仿宋"/>
          <w:bCs/>
          <w:color w:val="000000" w:themeColor="text1"/>
          <w:sz w:val="24"/>
          <w:szCs w:val="24"/>
          <w:highlight w:val="none"/>
          <w:lang w:val="zh-CN"/>
          <w14:textFill>
            <w14:solidFill>
              <w14:schemeClr w14:val="tx1"/>
            </w14:solidFill>
          </w14:textFill>
        </w:rPr>
        <w:t>派技术人员到达现场，在双方人员在场的情况下，清点货物等。卖方对卸货时所导致的货物损坏承担全部赔偿责任，并承担因此发生的一切费用。（供货方将货物运送到相关项目实施地）。</w:t>
      </w:r>
    </w:p>
    <w:p>
      <w:pPr>
        <w:spacing w:line="520" w:lineRule="exact"/>
        <w:ind w:firstLine="48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4、供货须知：（1）须按照采购需求数量供货；（2）由采购单位负责人在验收单上签署验收意见；（3）如因特殊情况不能及时卸货，供货方应妥善保管货物，否则发生的不良后果由供货方承担。</w:t>
      </w:r>
    </w:p>
    <w:p>
      <w:pPr>
        <w:spacing w:line="440" w:lineRule="exact"/>
        <w:jc w:val="center"/>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92" w:name="_Toc14"/>
      <w:bookmarkStart w:id="93" w:name="_Toc29469"/>
      <w:bookmarkStart w:id="94" w:name="_Toc11946"/>
      <w:r>
        <w:rPr>
          <w:rFonts w:hint="eastAsia" w:ascii="仿宋" w:hAnsi="仿宋" w:eastAsia="仿宋" w:cs="仿宋"/>
          <w:b/>
          <w:color w:val="000000" w:themeColor="text1"/>
          <w:sz w:val="24"/>
          <w:szCs w:val="24"/>
          <w:highlight w:val="none"/>
          <w14:textFill>
            <w14:solidFill>
              <w14:schemeClr w14:val="tx1"/>
            </w14:solidFill>
          </w14:textFill>
        </w:rPr>
        <w:t>三、验收及付款方式</w:t>
      </w:r>
      <w:bookmarkEnd w:id="92"/>
      <w:bookmarkEnd w:id="93"/>
      <w:bookmarkEnd w:id="94"/>
    </w:p>
    <w:p>
      <w:pPr>
        <w:pStyle w:val="11"/>
        <w:spacing w:line="440" w:lineRule="exact"/>
        <w:ind w:firstLine="480" w:firstLineChars="200"/>
        <w:rPr>
          <w:rFonts w:hint="eastAsia" w:ascii="仿宋" w:hAnsi="仿宋" w:eastAsia="仿宋" w:cs="仿宋"/>
          <w:color w:val="000000" w:themeColor="text1"/>
          <w:sz w:val="24"/>
          <w:szCs w:val="24"/>
          <w:highlight w:val="none"/>
          <w:lang w:val="zh-CN"/>
          <w14:textFill>
            <w14:solidFill>
              <w14:schemeClr w14:val="tx1"/>
            </w14:solidFill>
          </w14:textFill>
        </w:rPr>
      </w:pPr>
      <w:bookmarkStart w:id="95" w:name="_Toc2751"/>
      <w:bookmarkStart w:id="96" w:name="_Toc11667"/>
      <w:bookmarkStart w:id="97" w:name="_Toc5295"/>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货物验收时，应按照国家及行业相关标准由甲方验收，甲方出具验收报告；对因货物不合格或质量达不到采购人要求标准而对采购人造成影响的，由中标供应商承担一切责任，并赔偿所造成的损失。因货物验收产生的一切费用由中标人负责，验收时采购单位领导及相应人员参加。</w:t>
      </w:r>
    </w:p>
    <w:p>
      <w:pPr>
        <w:pStyle w:val="11"/>
        <w:spacing w:line="440" w:lineRule="exact"/>
        <w:ind w:firstLine="5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、付款方式：按中标单位与采购单位签订合同的付款方式执行。</w:t>
      </w:r>
    </w:p>
    <w:p>
      <w:pPr>
        <w:pStyle w:val="11"/>
        <w:spacing w:line="360" w:lineRule="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四、文件资料</w:t>
      </w:r>
      <w:bookmarkEnd w:id="95"/>
      <w:bookmarkEnd w:id="96"/>
      <w:bookmarkEnd w:id="97"/>
    </w:p>
    <w:p>
      <w:pPr>
        <w:pStyle w:val="11"/>
        <w:spacing w:line="360" w:lineRule="auto"/>
        <w:ind w:firstLine="5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1、发货清单；</w:t>
      </w:r>
    </w:p>
    <w:p>
      <w:pPr>
        <w:pStyle w:val="11"/>
        <w:spacing w:line="360" w:lineRule="auto"/>
        <w:ind w:firstLine="5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合格证书</w:t>
      </w:r>
      <w:r>
        <w:rPr>
          <w:rFonts w:hint="eastAsia" w:ascii="仿宋" w:hAnsi="仿宋" w:eastAsia="仿宋" w:cs="仿宋"/>
          <w:color w:val="000000" w:themeColor="text1"/>
          <w:sz w:val="24"/>
          <w:szCs w:val="24"/>
          <w:highlight w:val="none"/>
          <w14:textFill>
            <w14:solidFill>
              <w14:schemeClr w14:val="tx1"/>
            </w14:solidFill>
          </w14:textFill>
        </w:rPr>
        <w:t>；</w:t>
      </w:r>
    </w:p>
    <w:p>
      <w:pPr>
        <w:pStyle w:val="11"/>
        <w:spacing w:line="360" w:lineRule="auto"/>
        <w:ind w:firstLine="5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3、其他必要的资料。</w:t>
      </w:r>
    </w:p>
    <w:p>
      <w:pPr>
        <w:pStyle w:val="11"/>
        <w:spacing w:line="360" w:lineRule="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98" w:name="_Toc26841"/>
      <w:bookmarkStart w:id="99" w:name="_Toc6535"/>
      <w:bookmarkStart w:id="100" w:name="_Toc11939"/>
      <w:r>
        <w:rPr>
          <w:rFonts w:hint="eastAsia" w:ascii="仿宋" w:hAnsi="仿宋" w:eastAsia="仿宋" w:cs="仿宋"/>
          <w:b/>
          <w:color w:val="000000" w:themeColor="text1"/>
          <w:sz w:val="24"/>
          <w:szCs w:val="24"/>
          <w:highlight w:val="none"/>
          <w14:textFill>
            <w14:solidFill>
              <w14:schemeClr w14:val="tx1"/>
            </w14:solidFill>
          </w14:textFill>
        </w:rPr>
        <w:t>五、服务承诺</w:t>
      </w:r>
      <w:bookmarkEnd w:id="98"/>
      <w:bookmarkEnd w:id="99"/>
      <w:bookmarkEnd w:id="100"/>
    </w:p>
    <w:p>
      <w:pPr>
        <w:pStyle w:val="11"/>
        <w:spacing w:line="440" w:lineRule="exact"/>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报价方需提供售后服务体系、服务保证及服务承诺。报价方应有能力履行采购文件中规定的、合同条款和技术要求方面的、由卖方货物的供应、运输、辅材、税金和相关售后服务和其他技术服务的义务</w:t>
      </w:r>
      <w:r>
        <w:rPr>
          <w:rFonts w:hint="eastAsia" w:ascii="仿宋" w:hAnsi="仿宋" w:eastAsia="仿宋" w:cs="仿宋"/>
          <w:color w:val="000000" w:themeColor="text1"/>
          <w:sz w:val="24"/>
          <w:szCs w:val="24"/>
          <w:highlight w:val="none"/>
          <w:lang w:eastAsia="zh-CN"/>
          <w14:textFill>
            <w14:solidFill>
              <w14:schemeClr w14:val="tx1"/>
            </w14:solidFill>
          </w14:textFill>
        </w:rPr>
        <w:t>等</w:t>
      </w:r>
      <w:r>
        <w:rPr>
          <w:rFonts w:hint="eastAsia" w:ascii="仿宋" w:hAnsi="仿宋" w:eastAsia="仿宋" w:cs="仿宋"/>
          <w:color w:val="000000" w:themeColor="text1"/>
          <w:sz w:val="24"/>
          <w:szCs w:val="24"/>
          <w:highlight w:val="none"/>
          <w14:textFill>
            <w14:solidFill>
              <w14:schemeClr w14:val="tx1"/>
            </w14:solidFill>
          </w14:textFill>
        </w:rPr>
        <w:t>。报价方所提供的货物，在本地必须拥有一定的技术支持和后续服务能力</w:t>
      </w:r>
      <w:r>
        <w:rPr>
          <w:rFonts w:hint="eastAsia" w:ascii="仿宋" w:hAnsi="仿宋" w:eastAsia="仿宋" w:cs="仿宋"/>
          <w:color w:val="000000" w:themeColor="text1"/>
          <w:sz w:val="24"/>
          <w:szCs w:val="24"/>
          <w:highlight w:val="none"/>
          <w:lang w:eastAsia="zh-CN"/>
          <w14:textFill>
            <w14:solidFill>
              <w14:schemeClr w14:val="tx1"/>
            </w14:solidFill>
          </w14:textFill>
        </w:rPr>
        <w:t>，售后服务响应时间为</w:t>
      </w:r>
      <w:r>
        <w:rPr>
          <w:rFonts w:hint="eastAsia" w:ascii="仿宋" w:hAnsi="仿宋" w:eastAsia="仿宋" w:cs="仿宋"/>
          <w:color w:val="000000" w:themeColor="text1"/>
          <w:sz w:val="24"/>
          <w:szCs w:val="24"/>
          <w:highlight w:val="none"/>
          <w:lang w:val="en-US" w:eastAsia="zh-CN"/>
          <w14:textFill>
            <w14:solidFill>
              <w14:schemeClr w14:val="tx1"/>
            </w14:solidFill>
          </w14:textFill>
        </w:rPr>
        <w:t>24小时内</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20"/>
        <w:rPr>
          <w:rFonts w:hint="eastAsia" w:ascii="仿宋" w:hAnsi="仿宋" w:eastAsia="仿宋" w:cs="仿宋"/>
          <w:color w:val="000000" w:themeColor="text1"/>
          <w:highlight w:val="none"/>
          <w14:textFill>
            <w14:solidFill>
              <w14:schemeClr w14:val="tx1"/>
            </w14:solidFill>
          </w14:textFill>
        </w:rPr>
      </w:pPr>
    </w:p>
    <w:p>
      <w:pPr>
        <w:pStyle w:val="20"/>
        <w:rPr>
          <w:rFonts w:hint="eastAsia" w:ascii="仿宋" w:hAnsi="仿宋" w:eastAsia="仿宋" w:cs="仿宋"/>
          <w:color w:val="000000" w:themeColor="text1"/>
          <w:highlight w:val="none"/>
          <w14:textFill>
            <w14:solidFill>
              <w14:schemeClr w14:val="tx1"/>
            </w14:solidFill>
          </w14:textFill>
        </w:rPr>
      </w:pPr>
    </w:p>
    <w:p>
      <w:pPr>
        <w:pStyle w:val="20"/>
        <w:rPr>
          <w:rFonts w:hint="eastAsia" w:ascii="仿宋" w:hAnsi="仿宋" w:eastAsia="仿宋" w:cs="仿宋"/>
          <w:color w:val="000000" w:themeColor="text1"/>
          <w:highlight w:val="none"/>
          <w14:textFill>
            <w14:solidFill>
              <w14:schemeClr w14:val="tx1"/>
            </w14:solidFill>
          </w14:textFill>
        </w:rPr>
      </w:pPr>
    </w:p>
    <w:p>
      <w:pPr>
        <w:pStyle w:val="3"/>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第四章  合同文本（仅供参考）</w:t>
      </w:r>
      <w:bookmarkEnd w:id="83"/>
      <w:bookmarkEnd w:id="84"/>
      <w:bookmarkEnd w:id="85"/>
    </w:p>
    <w:p>
      <w:pPr>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spacing w:val="-5"/>
          <w:kern w:val="0"/>
          <w:highlight w:val="none"/>
          <w:lang w:val="zh-CN"/>
          <w14:textFill>
            <w14:solidFill>
              <w14:schemeClr w14:val="tx1"/>
            </w14:solidFill>
          </w14:textFill>
        </w:rPr>
        <w:t xml:space="preserve">合同编号：  </w:t>
      </w:r>
    </w:p>
    <w:p>
      <w:pPr>
        <w:spacing w:line="480" w:lineRule="auto"/>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auto"/>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政府采购合同</w:t>
      </w:r>
    </w:p>
    <w:p>
      <w:pPr>
        <w:widowControl/>
        <w:overflowPunct w:val="0"/>
        <w:autoSpaceDE w:val="0"/>
        <w:autoSpaceDN w:val="0"/>
        <w:adjustRightInd w:val="0"/>
        <w:snapToGrid w:val="0"/>
        <w:spacing w:line="360" w:lineRule="auto"/>
        <w:jc w:val="center"/>
        <w:textAlignment w:val="baseline"/>
        <w:rPr>
          <w:rFonts w:hint="eastAsia" w:ascii="仿宋" w:hAnsi="仿宋" w:eastAsia="仿宋" w:cs="仿宋"/>
          <w:b/>
          <w:bCs/>
          <w:color w:val="000000" w:themeColor="text1"/>
          <w:spacing w:val="-5"/>
          <w:kern w:val="0"/>
          <w:highlight w:val="none"/>
          <w14:textFill>
            <w14:solidFill>
              <w14:schemeClr w14:val="tx1"/>
            </w14:solidFill>
          </w14:textFill>
        </w:rPr>
      </w:pPr>
      <w:r>
        <w:rPr>
          <w:rFonts w:hint="eastAsia" w:ascii="仿宋" w:hAnsi="仿宋" w:eastAsia="仿宋" w:cs="仿宋"/>
          <w:b/>
          <w:bCs/>
          <w:color w:val="000000" w:themeColor="text1"/>
          <w:spacing w:val="-5"/>
          <w:kern w:val="0"/>
          <w:highlight w:val="none"/>
          <w14:textFill>
            <w14:solidFill>
              <w14:schemeClr w14:val="tx1"/>
            </w14:solidFill>
          </w14:textFill>
        </w:rPr>
        <w:t>（货物类）</w:t>
      </w:r>
    </w:p>
    <w:p>
      <w:pPr>
        <w:pStyle w:val="39"/>
        <w:ind w:firstLine="0"/>
        <w:rPr>
          <w:rFonts w:hint="eastAsia" w:ascii="仿宋" w:hAnsi="仿宋" w:eastAsia="仿宋" w:cs="仿宋"/>
          <w:color w:val="000000" w:themeColor="text1"/>
          <w:szCs w:val="24"/>
          <w:highlight w:val="none"/>
          <w14:textFill>
            <w14:solidFill>
              <w14:schemeClr w14:val="tx1"/>
            </w14:solidFill>
          </w14:textFill>
        </w:rPr>
      </w:pPr>
    </w:p>
    <w:p>
      <w:pPr>
        <w:pStyle w:val="39"/>
        <w:ind w:firstLine="0"/>
        <w:rPr>
          <w:rFonts w:hint="eastAsia" w:ascii="仿宋" w:hAnsi="仿宋" w:eastAsia="仿宋" w:cs="仿宋"/>
          <w:color w:val="000000" w:themeColor="text1"/>
          <w:szCs w:val="24"/>
          <w:highlight w:val="none"/>
          <w14:textFill>
            <w14:solidFill>
              <w14:schemeClr w14:val="tx1"/>
            </w14:solidFill>
          </w14:textFill>
        </w:rPr>
      </w:pPr>
    </w:p>
    <w:p>
      <w:pPr>
        <w:pStyle w:val="39"/>
        <w:ind w:firstLine="0"/>
        <w:rPr>
          <w:rFonts w:hint="eastAsia" w:ascii="仿宋" w:hAnsi="仿宋" w:eastAsia="仿宋" w:cs="仿宋"/>
          <w:color w:val="000000" w:themeColor="text1"/>
          <w:szCs w:val="24"/>
          <w:highlight w:val="none"/>
          <w14:textFill>
            <w14:solidFill>
              <w14:schemeClr w14:val="tx1"/>
            </w14:solidFill>
          </w14:textFill>
        </w:rPr>
      </w:pPr>
    </w:p>
    <w:p>
      <w:pPr>
        <w:widowControl/>
        <w:overflowPunct w:val="0"/>
        <w:autoSpaceDE w:val="0"/>
        <w:autoSpaceDN w:val="0"/>
        <w:adjustRightInd w:val="0"/>
        <w:snapToGrid w:val="0"/>
        <w:spacing w:line="360" w:lineRule="auto"/>
        <w:jc w:val="center"/>
        <w:textAlignment w:val="baseline"/>
        <w:rPr>
          <w:rFonts w:hint="eastAsia" w:ascii="仿宋" w:hAnsi="仿宋" w:eastAsia="仿宋" w:cs="仿宋"/>
          <w:b/>
          <w:bCs/>
          <w:color w:val="000000" w:themeColor="text1"/>
          <w:spacing w:val="-5"/>
          <w:kern w:val="0"/>
          <w:highlight w:val="none"/>
          <w14:textFill>
            <w14:solidFill>
              <w14:schemeClr w14:val="tx1"/>
            </w14:solidFill>
          </w14:textFill>
        </w:rPr>
      </w:pPr>
      <w:r>
        <w:rPr>
          <w:rFonts w:hint="eastAsia" w:ascii="仿宋" w:hAnsi="仿宋" w:eastAsia="仿宋" w:cs="仿宋"/>
          <w:b/>
          <w:bCs/>
          <w:color w:val="000000" w:themeColor="text1"/>
          <w:spacing w:val="-5"/>
          <w:kern w:val="0"/>
          <w:highlight w:val="none"/>
          <w14:textFill>
            <w14:solidFill>
              <w14:schemeClr w14:val="tx1"/>
            </w14:solidFill>
          </w14:textFill>
        </w:rPr>
        <w:t>第一部分 合同书</w:t>
      </w:r>
    </w:p>
    <w:p>
      <w:pPr>
        <w:pStyle w:val="39"/>
        <w:ind w:firstLine="0"/>
        <w:rPr>
          <w:rFonts w:hint="eastAsia" w:ascii="仿宋" w:hAnsi="仿宋" w:eastAsia="仿宋" w:cs="仿宋"/>
          <w:color w:val="000000" w:themeColor="text1"/>
          <w:szCs w:val="24"/>
          <w:highlight w:val="none"/>
          <w14:textFill>
            <w14:solidFill>
              <w14:schemeClr w14:val="tx1"/>
            </w14:solidFill>
          </w14:textFill>
        </w:rPr>
      </w:pPr>
    </w:p>
    <w:p>
      <w:pPr>
        <w:pStyle w:val="39"/>
        <w:ind w:firstLine="0"/>
        <w:rPr>
          <w:rFonts w:hint="eastAsia" w:ascii="仿宋" w:hAnsi="仿宋" w:eastAsia="仿宋" w:cs="仿宋"/>
          <w:color w:val="000000" w:themeColor="text1"/>
          <w:szCs w:val="24"/>
          <w:highlight w:val="none"/>
          <w14:textFill>
            <w14:solidFill>
              <w14:schemeClr w14:val="tx1"/>
            </w14:solidFill>
          </w14:textFill>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000000" w:themeColor="text1"/>
          <w:spacing w:val="-5"/>
          <w:kern w:val="0"/>
          <w:highlight w:val="none"/>
          <w14:textFill>
            <w14:solidFill>
              <w14:schemeClr w14:val="tx1"/>
            </w14:solidFill>
          </w14:textFill>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000000" w:themeColor="text1"/>
          <w:spacing w:val="-5"/>
          <w:kern w:val="0"/>
          <w:sz w:val="28"/>
          <w:szCs w:val="36"/>
          <w:highlight w:val="none"/>
          <w14:textFill>
            <w14:solidFill>
              <w14:schemeClr w14:val="tx1"/>
            </w14:solidFill>
          </w14:textFill>
        </w:rPr>
      </w:pPr>
      <w:r>
        <w:rPr>
          <w:rFonts w:hint="eastAsia" w:ascii="仿宋" w:hAnsi="仿宋" w:eastAsia="仿宋" w:cs="仿宋"/>
          <w:color w:val="000000" w:themeColor="text1"/>
          <w:spacing w:val="-5"/>
          <w:kern w:val="0"/>
          <w:sz w:val="28"/>
          <w:szCs w:val="36"/>
          <w:highlight w:val="none"/>
          <w14:textFill>
            <w14:solidFill>
              <w14:schemeClr w14:val="tx1"/>
            </w14:solidFill>
          </w14:textFill>
        </w:rPr>
        <w:t xml:space="preserve">项目名称：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000000" w:themeColor="text1"/>
          <w:spacing w:val="-5"/>
          <w:kern w:val="0"/>
          <w:sz w:val="28"/>
          <w:szCs w:val="36"/>
          <w:highlight w:val="none"/>
          <w14:textFill>
            <w14:solidFill>
              <w14:schemeClr w14:val="tx1"/>
            </w14:solidFill>
          </w14:textFill>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000000" w:themeColor="text1"/>
          <w:spacing w:val="-5"/>
          <w:kern w:val="0"/>
          <w:sz w:val="28"/>
          <w:szCs w:val="36"/>
          <w:highlight w:val="none"/>
          <w14:textFill>
            <w14:solidFill>
              <w14:schemeClr w14:val="tx1"/>
            </w14:solidFill>
          </w14:textFill>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000000" w:themeColor="text1"/>
          <w:spacing w:val="-5"/>
          <w:kern w:val="0"/>
          <w:sz w:val="28"/>
          <w:szCs w:val="36"/>
          <w:highlight w:val="none"/>
          <w14:textFill>
            <w14:solidFill>
              <w14:schemeClr w14:val="tx1"/>
            </w14:solidFill>
          </w14:textFill>
        </w:rPr>
      </w:pPr>
      <w:r>
        <w:rPr>
          <w:rFonts w:hint="eastAsia" w:ascii="仿宋" w:hAnsi="仿宋" w:eastAsia="仿宋" w:cs="仿宋"/>
          <w:color w:val="000000" w:themeColor="text1"/>
          <w:spacing w:val="-5"/>
          <w:kern w:val="0"/>
          <w:sz w:val="28"/>
          <w:szCs w:val="36"/>
          <w:highlight w:val="none"/>
          <w14:textFill>
            <w14:solidFill>
              <w14:schemeClr w14:val="tx1"/>
            </w14:solidFill>
          </w14:textFill>
        </w:rPr>
        <w:t xml:space="preserve">甲方：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000000" w:themeColor="text1"/>
          <w:spacing w:val="-5"/>
          <w:kern w:val="0"/>
          <w:sz w:val="28"/>
          <w:szCs w:val="36"/>
          <w:highlight w:val="none"/>
          <w14:textFill>
            <w14:solidFill>
              <w14:schemeClr w14:val="tx1"/>
            </w14:solidFill>
          </w14:textFill>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000000" w:themeColor="text1"/>
          <w:spacing w:val="-5"/>
          <w:kern w:val="0"/>
          <w:sz w:val="28"/>
          <w:szCs w:val="36"/>
          <w:highlight w:val="none"/>
          <w14:textFill>
            <w14:solidFill>
              <w14:schemeClr w14:val="tx1"/>
            </w14:solidFill>
          </w14:textFill>
        </w:rPr>
      </w:pPr>
      <w:r>
        <w:rPr>
          <w:rFonts w:hint="eastAsia" w:ascii="仿宋" w:hAnsi="仿宋" w:eastAsia="仿宋" w:cs="仿宋"/>
          <w:color w:val="000000" w:themeColor="text1"/>
          <w:spacing w:val="-5"/>
          <w:kern w:val="0"/>
          <w:sz w:val="28"/>
          <w:szCs w:val="36"/>
          <w:highlight w:val="none"/>
          <w14:textFill>
            <w14:solidFill>
              <w14:schemeClr w14:val="tx1"/>
            </w14:solidFill>
          </w14:textFill>
        </w:rPr>
        <w:t xml:space="preserve">乙方：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000000" w:themeColor="text1"/>
          <w:spacing w:val="-5"/>
          <w:kern w:val="0"/>
          <w:sz w:val="28"/>
          <w:szCs w:val="36"/>
          <w:highlight w:val="none"/>
          <w14:textFill>
            <w14:solidFill>
              <w14:schemeClr w14:val="tx1"/>
            </w14:solidFill>
          </w14:textFill>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000000" w:themeColor="text1"/>
          <w:spacing w:val="-5"/>
          <w:kern w:val="0"/>
          <w:sz w:val="28"/>
          <w:szCs w:val="36"/>
          <w:highlight w:val="none"/>
          <w14:textFill>
            <w14:solidFill>
              <w14:schemeClr w14:val="tx1"/>
            </w14:solidFill>
          </w14:textFill>
        </w:rPr>
      </w:pPr>
      <w:r>
        <w:rPr>
          <w:rFonts w:hint="eastAsia" w:ascii="仿宋" w:hAnsi="仿宋" w:eastAsia="仿宋" w:cs="仿宋"/>
          <w:color w:val="000000" w:themeColor="text1"/>
          <w:spacing w:val="-5"/>
          <w:kern w:val="0"/>
          <w:sz w:val="28"/>
          <w:szCs w:val="36"/>
          <w:highlight w:val="none"/>
          <w14:textFill>
            <w14:solidFill>
              <w14:schemeClr w14:val="tx1"/>
            </w14:solidFill>
          </w14:textFill>
        </w:rPr>
        <w:t xml:space="preserve">签订地：                                     </w:t>
      </w:r>
    </w:p>
    <w:p>
      <w:pPr>
        <w:widowControl/>
        <w:overflowPunct w:val="0"/>
        <w:autoSpaceDE w:val="0"/>
        <w:autoSpaceDN w:val="0"/>
        <w:adjustRightInd w:val="0"/>
        <w:snapToGrid w:val="0"/>
        <w:spacing w:line="360" w:lineRule="auto"/>
        <w:textAlignment w:val="baseline"/>
        <w:rPr>
          <w:rFonts w:hint="eastAsia" w:ascii="仿宋" w:hAnsi="仿宋" w:eastAsia="仿宋" w:cs="仿宋"/>
          <w:color w:val="000000" w:themeColor="text1"/>
          <w:spacing w:val="-5"/>
          <w:kern w:val="0"/>
          <w:sz w:val="28"/>
          <w:szCs w:val="36"/>
          <w:highlight w:val="none"/>
          <w14:textFill>
            <w14:solidFill>
              <w14:schemeClr w14:val="tx1"/>
            </w14:solidFill>
          </w14:textFill>
        </w:rPr>
      </w:pPr>
    </w:p>
    <w:p>
      <w:pPr>
        <w:widowControl/>
        <w:overflowPunct w:val="0"/>
        <w:autoSpaceDE w:val="0"/>
        <w:autoSpaceDN w:val="0"/>
        <w:adjustRightInd w:val="0"/>
        <w:snapToGrid w:val="0"/>
        <w:spacing w:line="360" w:lineRule="auto"/>
        <w:textAlignment w:val="baseline"/>
        <w:rPr>
          <w:rFonts w:hint="eastAsia" w:ascii="仿宋" w:hAnsi="仿宋" w:eastAsia="仿宋" w:cs="仿宋"/>
          <w:color w:val="000000" w:themeColor="text1"/>
          <w:spacing w:val="-5"/>
          <w:kern w:val="0"/>
          <w:sz w:val="28"/>
          <w:szCs w:val="36"/>
          <w:highlight w:val="none"/>
          <w14:textFill>
            <w14:solidFill>
              <w14:schemeClr w14:val="tx1"/>
            </w14:solidFill>
          </w14:textFill>
        </w:rPr>
      </w:pPr>
      <w:r>
        <w:rPr>
          <w:rFonts w:hint="eastAsia" w:ascii="仿宋" w:hAnsi="仿宋" w:eastAsia="仿宋" w:cs="仿宋"/>
          <w:color w:val="000000" w:themeColor="text1"/>
          <w:spacing w:val="-5"/>
          <w:kern w:val="0"/>
          <w:sz w:val="28"/>
          <w:szCs w:val="36"/>
          <w:highlight w:val="none"/>
          <w14:textFill>
            <w14:solidFill>
              <w14:schemeClr w14:val="tx1"/>
            </w14:solidFill>
          </w14:textFill>
        </w:rPr>
        <w:t>签订日期：               年       月       日</w:t>
      </w:r>
    </w:p>
    <w:p>
      <w:pPr>
        <w:autoSpaceDE w:val="0"/>
        <w:autoSpaceDN w:val="0"/>
        <w:adjustRightInd w:val="0"/>
        <w:spacing w:line="600" w:lineRule="exact"/>
        <w:ind w:firstLine="640"/>
        <w:jc w:val="center"/>
        <w:rPr>
          <w:rFonts w:hint="eastAsia" w:ascii="仿宋" w:hAnsi="仿宋" w:eastAsia="仿宋" w:cs="仿宋"/>
          <w:color w:val="000000" w:themeColor="text1"/>
          <w:sz w:val="28"/>
          <w:szCs w:val="36"/>
          <w:highlight w:val="none"/>
          <w14:textFill>
            <w14:solidFill>
              <w14:schemeClr w14:val="tx1"/>
            </w14:solidFill>
          </w14:textFill>
        </w:rPr>
        <w:sectPr>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docGrid w:linePitch="462" w:charSpace="0"/>
        </w:sectPr>
      </w:pPr>
    </w:p>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pPr>
      <w:r>
        <w:rPr>
          <w:rFonts w:hint="eastAsia" w:ascii="仿宋" w:hAnsi="仿宋" w:eastAsia="仿宋" w:cs="仿宋"/>
          <w:color w:val="000000" w:themeColor="text1"/>
          <w:spacing w:val="-5"/>
          <w:kern w:val="0"/>
          <w:highlight w:val="none"/>
          <w:lang w:val="zh-CN"/>
          <w14:textFill>
            <w14:solidFill>
              <w14:schemeClr w14:val="tx1"/>
            </w14:solidFill>
          </w14:textFill>
        </w:rPr>
        <w:t xml:space="preserve">     </w:t>
      </w: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 xml:space="preserve">   </w:t>
      </w:r>
    </w:p>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pPr>
    </w:p>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年    月    日</w:t>
      </w:r>
      <w:r>
        <w:rPr>
          <w:rFonts w:hint="eastAsia" w:ascii="仿宋" w:hAnsi="仿宋" w:eastAsia="仿宋" w:cs="仿宋"/>
          <w:color w:val="000000" w:themeColor="text1"/>
          <w:spacing w:val="-5"/>
          <w:kern w:val="0"/>
          <w:sz w:val="24"/>
          <w:szCs w:val="24"/>
          <w:highlight w:val="none"/>
          <w14:textFill>
            <w14:solidFill>
              <w14:schemeClr w14:val="tx1"/>
            </w14:solidFill>
          </w14:textFill>
        </w:rPr>
        <w:t>，   （采购人名称）   以   （政府采购方式）  对   （同前页项目名称）   项目进行了采购。经   （相关评定主体名称）   评定，   （中标供应商名称）为该项目中标供应商。现于中标通知书发出之日起三十日内，按照采购文件确定的事项签订本合同。</w:t>
      </w:r>
    </w:p>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根据《中华人民共和国合同法》、《中华人民共和国政府采购法》等相关法律法规之规定，按照平等、自愿、公平和诚实信用的原则，经</w:t>
      </w:r>
      <w:r>
        <w:rPr>
          <w:rFonts w:hint="eastAsia" w:ascii="仿宋" w:hAnsi="仿宋" w:eastAsia="仿宋" w:cs="仿宋"/>
          <w:color w:val="000000" w:themeColor="text1"/>
          <w:spacing w:val="-5"/>
          <w:kern w:val="0"/>
          <w:sz w:val="24"/>
          <w:szCs w:val="24"/>
          <w:highlight w:val="none"/>
          <w14:textFill>
            <w14:solidFill>
              <w14:schemeClr w14:val="tx1"/>
            </w14:solidFill>
          </w14:textFill>
        </w:rPr>
        <w:t xml:space="preserve">   （采购人名称）   </w:t>
      </w: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(以下简称：甲方)和</w:t>
      </w:r>
      <w:r>
        <w:rPr>
          <w:rFonts w:hint="eastAsia" w:ascii="仿宋" w:hAnsi="仿宋" w:eastAsia="仿宋" w:cs="仿宋"/>
          <w:color w:val="000000" w:themeColor="text1"/>
          <w:spacing w:val="-5"/>
          <w:kern w:val="0"/>
          <w:sz w:val="24"/>
          <w:szCs w:val="24"/>
          <w:highlight w:val="none"/>
          <w14:textFill>
            <w14:solidFill>
              <w14:schemeClr w14:val="tx1"/>
            </w14:solidFill>
          </w14:textFill>
        </w:rPr>
        <w:t xml:space="preserve">   （中标供应商名称）   </w:t>
      </w: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(以下简称：乙方)协商一致，约定以下合同</w:t>
      </w:r>
      <w:r>
        <w:rPr>
          <w:rFonts w:hint="eastAsia" w:ascii="仿宋" w:hAnsi="仿宋" w:eastAsia="仿宋" w:cs="仿宋"/>
          <w:color w:val="000000" w:themeColor="text1"/>
          <w:spacing w:val="-5"/>
          <w:kern w:val="0"/>
          <w:sz w:val="24"/>
          <w:szCs w:val="24"/>
          <w:highlight w:val="none"/>
          <w14:textFill>
            <w14:solidFill>
              <w14:schemeClr w14:val="tx1"/>
            </w14:solidFill>
          </w14:textFill>
        </w:rPr>
        <w:t>条款，以兹共同遵守、全面履行。</w:t>
      </w:r>
    </w:p>
    <w:p>
      <w:pPr>
        <w:widowControl/>
        <w:overflowPunct w:val="0"/>
        <w:autoSpaceDE w:val="0"/>
        <w:autoSpaceDN w:val="0"/>
        <w:adjustRightInd w:val="0"/>
        <w:snapToGrid w:val="0"/>
        <w:spacing w:line="360" w:lineRule="exact"/>
        <w:ind w:firstLine="462" w:firstLineChars="200"/>
        <w:textAlignment w:val="baseline"/>
        <w:rPr>
          <w:rFonts w:hint="eastAsia" w:ascii="仿宋" w:hAnsi="仿宋" w:eastAsia="仿宋" w:cs="仿宋"/>
          <w:b/>
          <w:bCs/>
          <w:color w:val="000000" w:themeColor="text1"/>
          <w:spacing w:val="-5"/>
          <w:kern w:val="0"/>
          <w:sz w:val="24"/>
          <w:szCs w:val="24"/>
          <w:highlight w:val="none"/>
          <w14:textFill>
            <w14:solidFill>
              <w14:schemeClr w14:val="tx1"/>
            </w14:solidFill>
          </w14:textFill>
        </w:rPr>
      </w:pPr>
      <w:bookmarkStart w:id="101" w:name="_Toc24059"/>
      <w:bookmarkStart w:id="102" w:name="_Toc2232"/>
      <w:bookmarkStart w:id="103" w:name="_Toc3029"/>
      <w:r>
        <w:rPr>
          <w:rFonts w:hint="eastAsia" w:ascii="仿宋" w:hAnsi="仿宋" w:eastAsia="仿宋" w:cs="仿宋"/>
          <w:b/>
          <w:bCs/>
          <w:color w:val="000000" w:themeColor="text1"/>
          <w:spacing w:val="-5"/>
          <w:kern w:val="0"/>
          <w:sz w:val="24"/>
          <w:szCs w:val="24"/>
          <w:highlight w:val="none"/>
          <w14:textFill>
            <w14:solidFill>
              <w14:schemeClr w14:val="tx1"/>
            </w14:solidFill>
          </w14:textFill>
        </w:rPr>
        <w:t>1.1 合同组成部分</w:t>
      </w:r>
      <w:bookmarkEnd w:id="101"/>
      <w:bookmarkEnd w:id="102"/>
      <w:bookmarkEnd w:id="103"/>
    </w:p>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下</w:t>
      </w:r>
      <w:r>
        <w:rPr>
          <w:rFonts w:hint="eastAsia" w:ascii="仿宋" w:hAnsi="仿宋" w:eastAsia="仿宋" w:cs="仿宋"/>
          <w:color w:val="000000" w:themeColor="text1"/>
          <w:spacing w:val="-5"/>
          <w:kern w:val="0"/>
          <w:sz w:val="24"/>
          <w:szCs w:val="24"/>
          <w:highlight w:val="none"/>
          <w14:textFill>
            <w14:solidFill>
              <w14:schemeClr w14:val="tx1"/>
            </w14:solidFill>
          </w14:textFill>
        </w:rPr>
        <w:t>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1.1.1 本合同及其补充合同、变更协议；</w:t>
      </w:r>
    </w:p>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1.1.2 中标通知书；</w:t>
      </w:r>
    </w:p>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1.1.3 投标文件（含澄清或者说明文件）；</w:t>
      </w:r>
    </w:p>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1.1.4 招标文件（含澄清或者修改文件）；</w:t>
      </w:r>
    </w:p>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1.1.5 其他相关采购文件。</w:t>
      </w:r>
    </w:p>
    <w:p>
      <w:pPr>
        <w:widowControl/>
        <w:overflowPunct w:val="0"/>
        <w:autoSpaceDE w:val="0"/>
        <w:autoSpaceDN w:val="0"/>
        <w:adjustRightInd w:val="0"/>
        <w:snapToGrid w:val="0"/>
        <w:spacing w:line="360" w:lineRule="exact"/>
        <w:ind w:firstLine="462" w:firstLineChars="200"/>
        <w:textAlignment w:val="baseline"/>
        <w:rPr>
          <w:rFonts w:hint="eastAsia" w:ascii="仿宋" w:hAnsi="仿宋" w:eastAsia="仿宋" w:cs="仿宋"/>
          <w:b/>
          <w:bCs/>
          <w:color w:val="000000" w:themeColor="text1"/>
          <w:spacing w:val="-5"/>
          <w:kern w:val="0"/>
          <w:sz w:val="24"/>
          <w:szCs w:val="24"/>
          <w:highlight w:val="none"/>
          <w14:textFill>
            <w14:solidFill>
              <w14:schemeClr w14:val="tx1"/>
            </w14:solidFill>
          </w14:textFill>
        </w:rPr>
      </w:pPr>
      <w:bookmarkStart w:id="104" w:name="_Toc21295"/>
      <w:bookmarkStart w:id="105" w:name="_Toc27126"/>
      <w:bookmarkStart w:id="106" w:name="_Toc24300"/>
      <w:r>
        <w:rPr>
          <w:rFonts w:hint="eastAsia" w:ascii="仿宋" w:hAnsi="仿宋" w:eastAsia="仿宋" w:cs="仿宋"/>
          <w:b/>
          <w:bCs/>
          <w:color w:val="000000" w:themeColor="text1"/>
          <w:spacing w:val="-5"/>
          <w:kern w:val="0"/>
          <w:sz w:val="24"/>
          <w:szCs w:val="24"/>
          <w:highlight w:val="none"/>
          <w14:textFill>
            <w14:solidFill>
              <w14:schemeClr w14:val="tx1"/>
            </w14:solidFill>
          </w14:textFill>
        </w:rPr>
        <w:t>1.2 货物</w:t>
      </w:r>
      <w:bookmarkEnd w:id="104"/>
      <w:bookmarkEnd w:id="105"/>
      <w:bookmarkEnd w:id="106"/>
    </w:p>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1.2.1货物名称：                                                ；</w:t>
      </w:r>
    </w:p>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1.2.2货物数量：                                                ；</w:t>
      </w:r>
    </w:p>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1.2.货物质量：　　　　　　　　　                      　      。</w:t>
      </w:r>
    </w:p>
    <w:p>
      <w:pPr>
        <w:widowControl/>
        <w:overflowPunct w:val="0"/>
        <w:autoSpaceDE w:val="0"/>
        <w:autoSpaceDN w:val="0"/>
        <w:adjustRightInd w:val="0"/>
        <w:snapToGrid w:val="0"/>
        <w:spacing w:line="360" w:lineRule="exact"/>
        <w:ind w:firstLine="462" w:firstLineChars="200"/>
        <w:textAlignment w:val="baseline"/>
        <w:rPr>
          <w:rFonts w:hint="eastAsia" w:ascii="仿宋" w:hAnsi="仿宋" w:eastAsia="仿宋" w:cs="仿宋"/>
          <w:b/>
          <w:bCs/>
          <w:color w:val="000000" w:themeColor="text1"/>
          <w:spacing w:val="-5"/>
          <w:kern w:val="0"/>
          <w:sz w:val="24"/>
          <w:szCs w:val="24"/>
          <w:highlight w:val="none"/>
          <w14:textFill>
            <w14:solidFill>
              <w14:schemeClr w14:val="tx1"/>
            </w14:solidFill>
          </w14:textFill>
        </w:rPr>
      </w:pPr>
      <w:bookmarkStart w:id="107" w:name="_Toc23292"/>
      <w:bookmarkStart w:id="108" w:name="_Toc21551"/>
      <w:bookmarkStart w:id="109" w:name="_Toc21631"/>
      <w:r>
        <w:rPr>
          <w:rFonts w:hint="eastAsia" w:ascii="仿宋" w:hAnsi="仿宋" w:eastAsia="仿宋" w:cs="仿宋"/>
          <w:b/>
          <w:bCs/>
          <w:color w:val="000000" w:themeColor="text1"/>
          <w:spacing w:val="-5"/>
          <w:kern w:val="0"/>
          <w:sz w:val="24"/>
          <w:szCs w:val="24"/>
          <w:highlight w:val="none"/>
          <w14:textFill>
            <w14:solidFill>
              <w14:schemeClr w14:val="tx1"/>
            </w14:solidFill>
          </w14:textFill>
        </w:rPr>
        <w:t>1.3 价款</w:t>
      </w:r>
      <w:bookmarkEnd w:id="107"/>
      <w:bookmarkEnd w:id="108"/>
      <w:bookmarkEnd w:id="109"/>
    </w:p>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本合同总价为：￥           元（大写：                 元人民币）。</w:t>
      </w:r>
    </w:p>
    <w:tbl>
      <w:tblPr>
        <w:tblStyle w:val="21"/>
        <w:tblpPr w:leftFromText="180" w:rightFromText="180" w:vertAnchor="text" w:horzAnchor="page" w:tblpXSpec="center" w:tblpY="648"/>
        <w:tblOverlap w:val="never"/>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4089"/>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vAlign w:val="center"/>
          </w:tcPr>
          <w:p>
            <w:pPr>
              <w:pStyle w:val="40"/>
              <w:spacing w:line="360" w:lineRule="exact"/>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序号</w:t>
            </w:r>
          </w:p>
        </w:tc>
        <w:tc>
          <w:tcPr>
            <w:tcW w:w="4089" w:type="dxa"/>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分项名称</w:t>
            </w:r>
          </w:p>
        </w:tc>
        <w:tc>
          <w:tcPr>
            <w:tcW w:w="3067" w:type="dxa"/>
            <w:vAlign w:val="center"/>
          </w:tcPr>
          <w:p>
            <w:pPr>
              <w:spacing w:line="360" w:lineRule="exact"/>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p>
        </w:tc>
        <w:tc>
          <w:tcPr>
            <w:tcW w:w="4089" w:type="dxa"/>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p>
        </w:tc>
        <w:tc>
          <w:tcPr>
            <w:tcW w:w="3067" w:type="dxa"/>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p>
        </w:tc>
        <w:tc>
          <w:tcPr>
            <w:tcW w:w="4089" w:type="dxa"/>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p>
        </w:tc>
        <w:tc>
          <w:tcPr>
            <w:tcW w:w="3067" w:type="dxa"/>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p>
        </w:tc>
        <w:tc>
          <w:tcPr>
            <w:tcW w:w="4089" w:type="dxa"/>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p>
        </w:tc>
        <w:tc>
          <w:tcPr>
            <w:tcW w:w="3067" w:type="dxa"/>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p>
        </w:tc>
        <w:tc>
          <w:tcPr>
            <w:tcW w:w="4089" w:type="dxa"/>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p>
        </w:tc>
        <w:tc>
          <w:tcPr>
            <w:tcW w:w="3067" w:type="dxa"/>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532" w:type="dxa"/>
            <w:gridSpan w:val="2"/>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总价</w:t>
            </w:r>
          </w:p>
        </w:tc>
        <w:tc>
          <w:tcPr>
            <w:tcW w:w="3067" w:type="dxa"/>
            <w:vAlign w:val="center"/>
          </w:tcPr>
          <w:p>
            <w:pPr>
              <w:pStyle w:val="40"/>
              <w:spacing w:line="360" w:lineRule="exact"/>
              <w:ind w:firstLine="200"/>
              <w:jc w:val="center"/>
              <w:rPr>
                <w:rFonts w:hint="eastAsia" w:ascii="仿宋" w:hAnsi="仿宋" w:eastAsia="仿宋" w:cs="仿宋"/>
                <w:color w:val="000000" w:themeColor="text1"/>
                <w:spacing w:val="-5"/>
                <w:kern w:val="0"/>
                <w:sz w:val="24"/>
                <w:szCs w:val="24"/>
                <w:highlight w:val="none"/>
                <w14:textFill>
                  <w14:solidFill>
                    <w14:schemeClr w14:val="tx1"/>
                  </w14:solidFill>
                </w14:textFill>
              </w:rPr>
            </w:pPr>
          </w:p>
        </w:tc>
      </w:tr>
    </w:tbl>
    <w:p>
      <w:pPr>
        <w:widowControl/>
        <w:overflowPunct w:val="0"/>
        <w:autoSpaceDE w:val="0"/>
        <w:autoSpaceDN w:val="0"/>
        <w:adjustRightInd w:val="0"/>
        <w:snapToGrid w:val="0"/>
        <w:spacing w:line="360" w:lineRule="exact"/>
        <w:textAlignment w:val="baseline"/>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分项价格：</w:t>
      </w:r>
      <w:r>
        <w:rPr>
          <w:rFonts w:hint="eastAsia" w:ascii="仿宋" w:hAnsi="仿宋" w:eastAsia="仿宋" w:cs="仿宋"/>
          <w:color w:val="000000" w:themeColor="text1"/>
          <w:sz w:val="24"/>
          <w:szCs w:val="24"/>
          <w:highlight w:val="none"/>
          <w14:textFill>
            <w14:solidFill>
              <w14:schemeClr w14:val="tx1"/>
            </w14:solidFill>
          </w14:textFill>
        </w:rPr>
        <w:br w:type="page"/>
      </w:r>
    </w:p>
    <w:p>
      <w:pPr>
        <w:widowControl/>
        <w:overflowPunct w:val="0"/>
        <w:autoSpaceDE w:val="0"/>
        <w:autoSpaceDN w:val="0"/>
        <w:adjustRightInd w:val="0"/>
        <w:snapToGrid w:val="0"/>
        <w:spacing w:line="360" w:lineRule="exact"/>
        <w:ind w:firstLine="462" w:firstLineChars="200"/>
        <w:textAlignment w:val="baseline"/>
        <w:rPr>
          <w:rFonts w:hint="eastAsia" w:ascii="仿宋" w:hAnsi="仿宋" w:eastAsia="仿宋" w:cs="仿宋"/>
          <w:b/>
          <w:bCs/>
          <w:color w:val="000000" w:themeColor="text1"/>
          <w:spacing w:val="-5"/>
          <w:kern w:val="0"/>
          <w:sz w:val="24"/>
          <w:szCs w:val="24"/>
          <w:highlight w:val="none"/>
          <w14:textFill>
            <w14:solidFill>
              <w14:schemeClr w14:val="tx1"/>
            </w14:solidFill>
          </w14:textFill>
        </w:rPr>
      </w:pPr>
      <w:bookmarkStart w:id="110" w:name="_Toc10340"/>
      <w:bookmarkStart w:id="111" w:name="_Toc1814"/>
      <w:bookmarkStart w:id="112" w:name="_Toc22618"/>
      <w:r>
        <w:rPr>
          <w:rFonts w:hint="eastAsia" w:ascii="仿宋" w:hAnsi="仿宋" w:eastAsia="仿宋" w:cs="仿宋"/>
          <w:b/>
          <w:bCs/>
          <w:color w:val="000000" w:themeColor="text1"/>
          <w:spacing w:val="-5"/>
          <w:kern w:val="0"/>
          <w:sz w:val="24"/>
          <w:szCs w:val="24"/>
          <w:highlight w:val="none"/>
          <w14:textFill>
            <w14:solidFill>
              <w14:schemeClr w14:val="tx1"/>
            </w14:solidFill>
          </w14:textFill>
        </w:rPr>
        <w:t>1.4 付款方式和发票开具方式</w:t>
      </w:r>
      <w:bookmarkEnd w:id="110"/>
      <w:bookmarkEnd w:id="111"/>
      <w:bookmarkEnd w:id="112"/>
    </w:p>
    <w:p>
      <w:pPr>
        <w:widowControl/>
        <w:overflowPunct w:val="0"/>
        <w:autoSpaceDE w:val="0"/>
        <w:autoSpaceDN w:val="0"/>
        <w:adjustRightInd w:val="0"/>
        <w:snapToGrid w:val="0"/>
        <w:spacing w:line="360" w:lineRule="exact"/>
        <w:ind w:firstLine="460" w:firstLineChars="200"/>
        <w:jc w:val="lef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1.4.付款方式：                                           ；</w:t>
      </w:r>
    </w:p>
    <w:p>
      <w:pPr>
        <w:widowControl/>
        <w:overflowPunct w:val="0"/>
        <w:autoSpaceDE w:val="0"/>
        <w:autoSpaceDN w:val="0"/>
        <w:adjustRightInd w:val="0"/>
        <w:snapToGrid w:val="0"/>
        <w:spacing w:line="360" w:lineRule="exact"/>
        <w:ind w:firstLine="460" w:firstLineChars="200"/>
        <w:jc w:val="lef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1.4.发票开具方式：                                       ；</w:t>
      </w:r>
    </w:p>
    <w:p>
      <w:pPr>
        <w:widowControl/>
        <w:overflowPunct w:val="0"/>
        <w:autoSpaceDE w:val="0"/>
        <w:autoSpaceDN w:val="0"/>
        <w:adjustRightInd w:val="0"/>
        <w:snapToGrid w:val="0"/>
        <w:spacing w:line="360" w:lineRule="exact"/>
        <w:ind w:firstLine="462" w:firstLineChars="200"/>
        <w:textAlignment w:val="baseline"/>
        <w:rPr>
          <w:rFonts w:hint="eastAsia" w:ascii="仿宋" w:hAnsi="仿宋" w:eastAsia="仿宋" w:cs="仿宋"/>
          <w:b/>
          <w:bCs/>
          <w:color w:val="000000" w:themeColor="text1"/>
          <w:spacing w:val="-5"/>
          <w:kern w:val="0"/>
          <w:sz w:val="24"/>
          <w:szCs w:val="24"/>
          <w:highlight w:val="none"/>
          <w14:textFill>
            <w14:solidFill>
              <w14:schemeClr w14:val="tx1"/>
            </w14:solidFill>
          </w14:textFill>
        </w:rPr>
      </w:pPr>
      <w:bookmarkStart w:id="113" w:name="_Toc2846"/>
      <w:bookmarkStart w:id="114" w:name="_Toc19304"/>
      <w:bookmarkStart w:id="115" w:name="_Toc32071"/>
      <w:r>
        <w:rPr>
          <w:rFonts w:hint="eastAsia" w:ascii="仿宋" w:hAnsi="仿宋" w:eastAsia="仿宋" w:cs="仿宋"/>
          <w:b/>
          <w:bCs/>
          <w:color w:val="000000" w:themeColor="text1"/>
          <w:spacing w:val="-5"/>
          <w:kern w:val="0"/>
          <w:sz w:val="24"/>
          <w:szCs w:val="24"/>
          <w:highlight w:val="none"/>
          <w14:textFill>
            <w14:solidFill>
              <w14:schemeClr w14:val="tx1"/>
            </w14:solidFill>
          </w14:textFill>
        </w:rPr>
        <w:t>1.5 货物交付期限、地点和方式</w:t>
      </w:r>
      <w:bookmarkEnd w:id="113"/>
      <w:bookmarkEnd w:id="114"/>
      <w:bookmarkEnd w:id="115"/>
    </w:p>
    <w:p>
      <w:pPr>
        <w:widowControl/>
        <w:overflowPunct w:val="0"/>
        <w:autoSpaceDE w:val="0"/>
        <w:autoSpaceDN w:val="0"/>
        <w:adjustRightInd w:val="0"/>
        <w:snapToGrid w:val="0"/>
        <w:spacing w:line="360" w:lineRule="exact"/>
        <w:ind w:firstLine="460" w:firstLineChars="200"/>
        <w:jc w:val="lef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1.5.1 交付期限：                                         ；</w:t>
      </w:r>
    </w:p>
    <w:p>
      <w:pPr>
        <w:widowControl/>
        <w:overflowPunct w:val="0"/>
        <w:autoSpaceDE w:val="0"/>
        <w:autoSpaceDN w:val="0"/>
        <w:adjustRightInd w:val="0"/>
        <w:snapToGrid w:val="0"/>
        <w:spacing w:line="360" w:lineRule="exact"/>
        <w:ind w:firstLine="460" w:firstLineChars="200"/>
        <w:jc w:val="lef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1.5.2 交付地点：                                         ；</w:t>
      </w:r>
    </w:p>
    <w:p>
      <w:pPr>
        <w:widowControl/>
        <w:overflowPunct w:val="0"/>
        <w:autoSpaceDE w:val="0"/>
        <w:autoSpaceDN w:val="0"/>
        <w:adjustRightInd w:val="0"/>
        <w:snapToGrid w:val="0"/>
        <w:spacing w:line="360" w:lineRule="exact"/>
        <w:ind w:firstLine="460" w:firstLineChars="200"/>
        <w:jc w:val="left"/>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1.5.3 交付方式：　　　　　　　　　                      。</w:t>
      </w:r>
    </w:p>
    <w:p>
      <w:pPr>
        <w:widowControl/>
        <w:overflowPunct w:val="0"/>
        <w:autoSpaceDE w:val="0"/>
        <w:autoSpaceDN w:val="0"/>
        <w:adjustRightInd w:val="0"/>
        <w:snapToGrid w:val="0"/>
        <w:spacing w:line="360" w:lineRule="exact"/>
        <w:ind w:firstLine="462" w:firstLineChars="200"/>
        <w:textAlignment w:val="baseline"/>
        <w:rPr>
          <w:rFonts w:hint="eastAsia" w:ascii="仿宋" w:hAnsi="仿宋" w:eastAsia="仿宋" w:cs="仿宋"/>
          <w:b/>
          <w:bCs/>
          <w:color w:val="000000" w:themeColor="text1"/>
          <w:spacing w:val="-5"/>
          <w:kern w:val="0"/>
          <w:sz w:val="24"/>
          <w:szCs w:val="24"/>
          <w:highlight w:val="none"/>
          <w14:textFill>
            <w14:solidFill>
              <w14:schemeClr w14:val="tx1"/>
            </w14:solidFill>
          </w14:textFill>
        </w:rPr>
      </w:pPr>
      <w:bookmarkStart w:id="116" w:name="_Toc21423"/>
      <w:bookmarkStart w:id="117" w:name="_Toc19554"/>
      <w:bookmarkStart w:id="118" w:name="_Toc27250"/>
      <w:r>
        <w:rPr>
          <w:rFonts w:hint="eastAsia" w:ascii="仿宋" w:hAnsi="仿宋" w:eastAsia="仿宋" w:cs="仿宋"/>
          <w:b/>
          <w:bCs/>
          <w:color w:val="000000" w:themeColor="text1"/>
          <w:spacing w:val="-5"/>
          <w:kern w:val="0"/>
          <w:sz w:val="24"/>
          <w:szCs w:val="24"/>
          <w:highlight w:val="none"/>
          <w14:textFill>
            <w14:solidFill>
              <w14:schemeClr w14:val="tx1"/>
            </w14:solidFill>
          </w14:textFill>
        </w:rPr>
        <w:t>1.6 违约责任</w:t>
      </w:r>
      <w:bookmarkEnd w:id="116"/>
      <w:bookmarkEnd w:id="117"/>
      <w:bookmarkEnd w:id="118"/>
    </w:p>
    <w:p>
      <w:pPr>
        <w:widowControl/>
        <w:overflowPunct w:val="0"/>
        <w:autoSpaceDE w:val="0"/>
        <w:autoSpaceDN w:val="0"/>
        <w:adjustRightInd w:val="0"/>
        <w:snapToGrid w:val="0"/>
        <w:spacing w:line="360" w:lineRule="exact"/>
        <w:ind w:firstLine="460" w:firstLineChars="200"/>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p>
    <w:p>
      <w:pPr>
        <w:spacing w:line="360" w:lineRule="exact"/>
        <w:ind w:firstLine="460" w:firstLineChars="200"/>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spacing w:line="360" w:lineRule="exact"/>
        <w:ind w:firstLine="460" w:firstLineChars="200"/>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60" w:firstLineChars="200"/>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60" w:firstLineChars="200"/>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60" w:firstLineChars="200"/>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pPr>
        <w:widowControl/>
        <w:overflowPunct w:val="0"/>
        <w:autoSpaceDE w:val="0"/>
        <w:autoSpaceDN w:val="0"/>
        <w:adjustRightInd w:val="0"/>
        <w:snapToGrid w:val="0"/>
        <w:spacing w:line="360" w:lineRule="exact"/>
        <w:ind w:firstLine="462" w:firstLineChars="200"/>
        <w:textAlignment w:val="baseline"/>
        <w:rPr>
          <w:rFonts w:hint="eastAsia" w:ascii="仿宋" w:hAnsi="仿宋" w:eastAsia="仿宋" w:cs="仿宋"/>
          <w:b/>
          <w:bCs/>
          <w:color w:val="000000" w:themeColor="text1"/>
          <w:spacing w:val="-5"/>
          <w:kern w:val="0"/>
          <w:sz w:val="24"/>
          <w:szCs w:val="24"/>
          <w:highlight w:val="none"/>
          <w14:textFill>
            <w14:solidFill>
              <w14:schemeClr w14:val="tx1"/>
            </w14:solidFill>
          </w14:textFill>
        </w:rPr>
      </w:pPr>
      <w:bookmarkStart w:id="119" w:name="_Toc16021"/>
      <w:bookmarkStart w:id="120" w:name="_Toc28375"/>
      <w:bookmarkStart w:id="121" w:name="_Toc15583"/>
      <w:r>
        <w:rPr>
          <w:rFonts w:hint="eastAsia" w:ascii="仿宋" w:hAnsi="仿宋" w:eastAsia="仿宋" w:cs="仿宋"/>
          <w:b/>
          <w:bCs/>
          <w:color w:val="000000" w:themeColor="text1"/>
          <w:spacing w:val="-5"/>
          <w:kern w:val="0"/>
          <w:sz w:val="24"/>
          <w:szCs w:val="24"/>
          <w:highlight w:val="none"/>
          <w14:textFill>
            <w14:solidFill>
              <w14:schemeClr w14:val="tx1"/>
            </w14:solidFill>
          </w14:textFill>
        </w:rPr>
        <w:t>1.7 合同争议的解决</w:t>
      </w:r>
      <w:bookmarkEnd w:id="119"/>
      <w:bookmarkEnd w:id="120"/>
      <w:bookmarkEnd w:id="121"/>
    </w:p>
    <w:p>
      <w:pPr>
        <w:widowControl/>
        <w:overflowPunct w:val="0"/>
        <w:autoSpaceDE w:val="0"/>
        <w:autoSpaceDN w:val="0"/>
        <w:adjustRightInd w:val="0"/>
        <w:snapToGrid w:val="0"/>
        <w:spacing w:line="360" w:lineRule="exact"/>
        <w:ind w:firstLine="460" w:firstLineChars="200"/>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本合同履行过程中发生的任何争议，双方当事人均可通过和解或者调解解决；不愿和解、调解或者和解、调解不成的，可以选择下列第    种方式解决：</w:t>
      </w:r>
    </w:p>
    <w:p>
      <w:pPr>
        <w:spacing w:line="360" w:lineRule="exact"/>
        <w:ind w:firstLine="460" w:firstLineChars="200"/>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1.7.1 将争议提交              仲裁委员会依申请仲裁时其现行有效的仲裁规则裁决；</w:t>
      </w:r>
    </w:p>
    <w:p>
      <w:pPr>
        <w:spacing w:line="360" w:lineRule="exact"/>
        <w:ind w:firstLine="46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1.7.2 向   （被告住所地、合同履行地、合同签订地、原告住所地、标的物所在地等与争议有实际联系的地点中选出的人民法院名称）    人民法院起诉</w:t>
      </w:r>
      <w:r>
        <w:rPr>
          <w:rFonts w:hint="eastAsia" w:ascii="仿宋" w:hAnsi="仿宋" w:eastAsia="仿宋" w:cs="仿宋"/>
          <w:color w:val="000000" w:themeColor="text1"/>
          <w:sz w:val="24"/>
          <w:szCs w:val="24"/>
          <w:highlight w:val="none"/>
          <w14:textFill>
            <w14:solidFill>
              <w14:schemeClr w14:val="tx1"/>
            </w14:solidFill>
          </w14:textFill>
        </w:rPr>
        <w:t>。</w:t>
      </w:r>
    </w:p>
    <w:p>
      <w:pPr>
        <w:widowControl/>
        <w:overflowPunct w:val="0"/>
        <w:autoSpaceDE w:val="0"/>
        <w:autoSpaceDN w:val="0"/>
        <w:adjustRightInd w:val="0"/>
        <w:snapToGrid w:val="0"/>
        <w:spacing w:line="360" w:lineRule="exact"/>
        <w:ind w:firstLine="462" w:firstLineChars="200"/>
        <w:textAlignment w:val="baseline"/>
        <w:rPr>
          <w:rFonts w:hint="eastAsia" w:ascii="仿宋" w:hAnsi="仿宋" w:eastAsia="仿宋" w:cs="仿宋"/>
          <w:b/>
          <w:bCs/>
          <w:color w:val="000000" w:themeColor="text1"/>
          <w:spacing w:val="-5"/>
          <w:kern w:val="0"/>
          <w:sz w:val="24"/>
          <w:szCs w:val="24"/>
          <w:highlight w:val="none"/>
          <w14:textFill>
            <w14:solidFill>
              <w14:schemeClr w14:val="tx1"/>
            </w14:solidFill>
          </w14:textFill>
        </w:rPr>
      </w:pPr>
      <w:bookmarkStart w:id="122" w:name="_Toc11173"/>
      <w:bookmarkStart w:id="123" w:name="_Toc15322"/>
      <w:bookmarkStart w:id="124" w:name="_Toc7245"/>
      <w:r>
        <w:rPr>
          <w:rFonts w:hint="eastAsia" w:ascii="仿宋" w:hAnsi="仿宋" w:eastAsia="仿宋" w:cs="仿宋"/>
          <w:b/>
          <w:bCs/>
          <w:color w:val="000000" w:themeColor="text1"/>
          <w:spacing w:val="-5"/>
          <w:kern w:val="0"/>
          <w:sz w:val="24"/>
          <w:szCs w:val="24"/>
          <w:highlight w:val="none"/>
          <w14:textFill>
            <w14:solidFill>
              <w14:schemeClr w14:val="tx1"/>
            </w14:solidFill>
          </w14:textFill>
        </w:rPr>
        <w:t>1.8 合同生效</w:t>
      </w:r>
      <w:bookmarkEnd w:id="122"/>
      <w:bookmarkEnd w:id="123"/>
      <w:bookmarkEnd w:id="124"/>
    </w:p>
    <w:p>
      <w:pPr>
        <w:widowControl/>
        <w:overflowPunct w:val="0"/>
        <w:autoSpaceDE w:val="0"/>
        <w:autoSpaceDN w:val="0"/>
        <w:adjustRightInd w:val="0"/>
        <w:snapToGrid w:val="0"/>
        <w:spacing w:line="360" w:lineRule="exact"/>
        <w:ind w:firstLine="460" w:firstLineChars="200"/>
        <w:textAlignment w:val="baseline"/>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本合同自双方当事人盖章或者签字时生效。</w:t>
      </w:r>
    </w:p>
    <w:p>
      <w:pPr>
        <w:autoSpaceDE w:val="0"/>
        <w:autoSpaceDN w:val="0"/>
        <w:adjustRightInd w:val="0"/>
        <w:spacing w:line="360" w:lineRule="exac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pacing w:val="-5"/>
          <w:kern w:val="0"/>
          <w:sz w:val="24"/>
          <w:szCs w:val="24"/>
          <w:highlight w:val="none"/>
          <w:lang w:val="zh-CN"/>
          <w14:textFill>
            <w14:solidFill>
              <w14:schemeClr w14:val="tx1"/>
            </w14:solidFill>
          </w14:textFill>
        </w:rPr>
        <w:t>甲方</w:t>
      </w:r>
      <w:r>
        <w:rPr>
          <w:rFonts w:hint="eastAsia" w:ascii="仿宋" w:hAnsi="仿宋" w:eastAsia="仿宋" w:cs="仿宋"/>
          <w:color w:val="000000" w:themeColor="text1"/>
          <w:sz w:val="24"/>
          <w:szCs w:val="24"/>
          <w:highlight w:val="none"/>
          <w:lang w:val="zh-CN"/>
          <w14:textFill>
            <w14:solidFill>
              <w14:schemeClr w14:val="tx1"/>
            </w14:solidFill>
          </w14:textFill>
        </w:rPr>
        <w:t xml:space="preserve">：                             </w:t>
      </w:r>
      <w:r>
        <w:rPr>
          <w:rFonts w:hint="eastAsia" w:ascii="仿宋" w:hAnsi="仿宋" w:eastAsia="仿宋" w:cs="仿宋"/>
          <w:b/>
          <w:bCs/>
          <w:color w:val="000000" w:themeColor="text1"/>
          <w:spacing w:val="-5"/>
          <w:kern w:val="0"/>
          <w:sz w:val="24"/>
          <w:szCs w:val="24"/>
          <w:highlight w:val="none"/>
          <w:lang w:val="zh-CN"/>
          <w14:textFill>
            <w14:solidFill>
              <w14:schemeClr w14:val="tx1"/>
            </w14:solidFill>
          </w14:textFill>
        </w:rPr>
        <w:t xml:space="preserve"> 乙方</w:t>
      </w:r>
      <w:r>
        <w:rPr>
          <w:rFonts w:hint="eastAsia" w:ascii="仿宋" w:hAnsi="仿宋" w:eastAsia="仿宋" w:cs="仿宋"/>
          <w:color w:val="000000" w:themeColor="text1"/>
          <w:sz w:val="24"/>
          <w:szCs w:val="24"/>
          <w:highlight w:val="none"/>
          <w:lang w:val="zh-CN"/>
          <w14:textFill>
            <w14:solidFill>
              <w14:schemeClr w14:val="tx1"/>
            </w14:solidFill>
          </w14:textFill>
        </w:rPr>
        <w:t>：</w:t>
      </w:r>
    </w:p>
    <w:p>
      <w:pPr>
        <w:autoSpaceDE w:val="0"/>
        <w:autoSpaceDN w:val="0"/>
        <w:adjustRightInd w:val="0"/>
        <w:spacing w:line="360" w:lineRule="exact"/>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pP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统一社会信用代码：                        统一社会信用代码或身份证号码：</w:t>
      </w:r>
    </w:p>
    <w:p>
      <w:pPr>
        <w:autoSpaceDE w:val="0"/>
        <w:autoSpaceDN w:val="0"/>
        <w:adjustRightInd w:val="0"/>
        <w:spacing w:line="360" w:lineRule="exact"/>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pP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住所：                                   住所：</w:t>
      </w:r>
    </w:p>
    <w:p>
      <w:pPr>
        <w:autoSpaceDE w:val="0"/>
        <w:autoSpaceDN w:val="0"/>
        <w:adjustRightInd w:val="0"/>
        <w:spacing w:line="360" w:lineRule="exact"/>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pP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法定代表人或                             法定代表人</w:t>
      </w:r>
    </w:p>
    <w:p>
      <w:pPr>
        <w:autoSpaceDE w:val="0"/>
        <w:autoSpaceDN w:val="0"/>
        <w:adjustRightInd w:val="0"/>
        <w:spacing w:line="360" w:lineRule="exact"/>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pP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 xml:space="preserve">授权代表（签字）：                        或授权代表（签字）: </w:t>
      </w:r>
    </w:p>
    <w:p>
      <w:pPr>
        <w:autoSpaceDE w:val="0"/>
        <w:autoSpaceDN w:val="0"/>
        <w:adjustRightInd w:val="0"/>
        <w:spacing w:line="360" w:lineRule="exact"/>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pP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联系人：                                 联系人：</w:t>
      </w:r>
    </w:p>
    <w:p>
      <w:pPr>
        <w:autoSpaceDE w:val="0"/>
        <w:autoSpaceDN w:val="0"/>
        <w:adjustRightInd w:val="0"/>
        <w:spacing w:line="360" w:lineRule="exact"/>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pP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约定送达地址：                           约定送达地址：</w:t>
      </w:r>
    </w:p>
    <w:p>
      <w:pPr>
        <w:autoSpaceDE w:val="0"/>
        <w:autoSpaceDN w:val="0"/>
        <w:adjustRightInd w:val="0"/>
        <w:spacing w:line="360" w:lineRule="exact"/>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pP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邮政编码：                               邮政编码：</w:t>
      </w:r>
    </w:p>
    <w:p>
      <w:pPr>
        <w:autoSpaceDE w:val="0"/>
        <w:autoSpaceDN w:val="0"/>
        <w:adjustRightInd w:val="0"/>
        <w:spacing w:line="360" w:lineRule="exact"/>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pP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 xml:space="preserve">电话:                                    电话: </w:t>
      </w:r>
    </w:p>
    <w:p>
      <w:pPr>
        <w:autoSpaceDE w:val="0"/>
        <w:autoSpaceDN w:val="0"/>
        <w:adjustRightInd w:val="0"/>
        <w:spacing w:line="360" w:lineRule="exact"/>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pP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传真:                                    传真:</w:t>
      </w:r>
    </w:p>
    <w:p>
      <w:pPr>
        <w:autoSpaceDE w:val="0"/>
        <w:autoSpaceDN w:val="0"/>
        <w:adjustRightInd w:val="0"/>
        <w:spacing w:line="360" w:lineRule="exact"/>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lang w:val="zh-CN"/>
          <w14:textFill>
            <w14:solidFill>
              <w14:schemeClr w14:val="tx1"/>
            </w14:solidFill>
          </w14:textFill>
        </w:rPr>
        <w:t>电子邮箱：                               电子邮箱：</w:t>
      </w:r>
    </w:p>
    <w:p>
      <w:pPr>
        <w:autoSpaceDE w:val="0"/>
        <w:autoSpaceDN w:val="0"/>
        <w:adjustRightInd w:val="0"/>
        <w:spacing w:line="360" w:lineRule="exact"/>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 xml:space="preserve">开户银行：                               开户银行： </w:t>
      </w:r>
    </w:p>
    <w:p>
      <w:pPr>
        <w:autoSpaceDE w:val="0"/>
        <w:autoSpaceDN w:val="0"/>
        <w:adjustRightInd w:val="0"/>
        <w:spacing w:line="360" w:lineRule="exact"/>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 xml:space="preserve">开户名称：                               开户名称： </w:t>
      </w:r>
    </w:p>
    <w:p>
      <w:pPr>
        <w:autoSpaceDE w:val="0"/>
        <w:autoSpaceDN w:val="0"/>
        <w:adjustRightInd w:val="0"/>
        <w:spacing w:line="360" w:lineRule="exact"/>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5"/>
          <w:kern w:val="0"/>
          <w:sz w:val="24"/>
          <w:szCs w:val="24"/>
          <w:highlight w:val="none"/>
          <w14:textFill>
            <w14:solidFill>
              <w14:schemeClr w14:val="tx1"/>
            </w14:solidFill>
          </w14:textFill>
        </w:rPr>
        <w:t>开户账号：                               开户账号：</w:t>
      </w:r>
    </w:p>
    <w:p>
      <w:pPr>
        <w:tabs>
          <w:tab w:val="left" w:pos="1185"/>
        </w:tabs>
        <w:spacing w:before="100" w:beforeAutospacing="1" w:after="100" w:afterAutospacing="1" w:line="3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p>
    <w:p>
      <w:pPr>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pacing w:val="-5"/>
          <w:kern w:val="0"/>
          <w:sz w:val="28"/>
          <w:szCs w:val="28"/>
          <w:highlight w:val="none"/>
          <w:lang w:val="zh-CN"/>
          <w14:textFill>
            <w14:solidFill>
              <w14:schemeClr w14:val="tx1"/>
            </w14:solidFill>
          </w14:textFill>
        </w:rPr>
        <w:br w:type="page"/>
      </w:r>
    </w:p>
    <w:p>
      <w:pPr>
        <w:jc w:val="center"/>
        <w:rPr>
          <w:rFonts w:hint="eastAsia" w:ascii="仿宋" w:hAnsi="仿宋" w:eastAsia="仿宋" w:cs="仿宋"/>
          <w:b/>
          <w:bCs/>
          <w:color w:val="000000" w:themeColor="text1"/>
          <w:highlight w:val="none"/>
          <w14:textFill>
            <w14:solidFill>
              <w14:schemeClr w14:val="tx1"/>
            </w14:solidFill>
          </w14:textFill>
        </w:rPr>
      </w:pPr>
    </w:p>
    <w:p>
      <w:pPr>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第二部分 合同一般条款</w:t>
      </w:r>
    </w:p>
    <w:p>
      <w:pPr>
        <w:rPr>
          <w:rFonts w:hint="eastAsia" w:ascii="仿宋" w:hAnsi="仿宋" w:eastAsia="仿宋" w:cs="仿宋"/>
          <w:b/>
          <w:color w:val="000000" w:themeColor="text1"/>
          <w:highlight w:val="none"/>
          <w14:textFill>
            <w14:solidFill>
              <w14:schemeClr w14:val="tx1"/>
            </w14:solidFill>
          </w14:textFill>
        </w:rPr>
      </w:pPr>
      <w:bookmarkStart w:id="125" w:name="_Toc14489"/>
      <w:bookmarkStart w:id="126" w:name="_Ref467378499"/>
      <w:bookmarkStart w:id="127" w:name="_Toc4284"/>
      <w:bookmarkStart w:id="128" w:name="_Toc14743"/>
      <w:bookmarkStart w:id="129" w:name="_Ref467379109"/>
      <w:bookmarkStart w:id="130" w:name="_Ref467378404"/>
      <w:bookmarkStart w:id="131" w:name="_Ref467378463"/>
      <w:bookmarkStart w:id="132" w:name="_Ref467379225"/>
      <w:bookmarkStart w:id="133" w:name="_Ref467379205"/>
      <w:bookmarkStart w:id="134" w:name="_Toc28763"/>
      <w:bookmarkStart w:id="135" w:name="_Toc6569"/>
      <w:bookmarkStart w:id="136" w:name="_Ref467379195"/>
      <w:bookmarkStart w:id="137" w:name="_Ref467379214"/>
      <w:bookmarkStart w:id="138" w:name="_Toc19614"/>
      <w:bookmarkStart w:id="139" w:name="_Toc259093669"/>
      <w:bookmarkStart w:id="140" w:name="_Toc487900349"/>
      <w:bookmarkStart w:id="141" w:name="_Toc279701240"/>
      <w:bookmarkStart w:id="142" w:name="_Toc16917"/>
      <w:bookmarkStart w:id="143" w:name="_Toc15804"/>
      <w:bookmarkStart w:id="144" w:name="_Ref467379094"/>
      <w:bookmarkStart w:id="145" w:name="_Ref467379101"/>
      <w:r>
        <w:rPr>
          <w:rFonts w:hint="eastAsia" w:ascii="仿宋" w:hAnsi="仿宋" w:eastAsia="仿宋" w:cs="仿宋"/>
          <w:b/>
          <w:bCs/>
          <w:color w:val="000000" w:themeColor="text1"/>
          <w:highlight w:val="none"/>
          <w14:textFill>
            <w14:solidFill>
              <w14:schemeClr w14:val="tx1"/>
            </w14:solidFill>
          </w14:textFill>
        </w:rPr>
        <w:t>2.1 定义</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本合同中的下列词语应按以下内容进行解释：</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2.1.2 “合同价”系指根据合同约定，中标供应商在完全履行合同义务后，采购人应支付给中标供应商的价格。</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bookmarkStart w:id="146" w:name="_Ref467378840"/>
      <w:r>
        <w:rPr>
          <w:rFonts w:hint="eastAsia" w:ascii="仿宋" w:hAnsi="仿宋" w:eastAsia="仿宋" w:cs="仿宋"/>
          <w:color w:val="000000" w:themeColor="text1"/>
          <w:highlight w:val="none"/>
          <w14:textFill>
            <w14:solidFill>
              <w14:schemeClr w14:val="tx1"/>
            </w14:solidFill>
          </w14:textFill>
        </w:rPr>
        <w:t>2.1.4 “甲方”系指与中标供应商签署合同的采购人</w:t>
      </w:r>
      <w:bookmarkEnd w:id="146"/>
      <w:r>
        <w:rPr>
          <w:rFonts w:hint="eastAsia" w:ascii="仿宋" w:hAnsi="仿宋" w:eastAsia="仿宋" w:cs="仿宋"/>
          <w:color w:val="000000" w:themeColor="text1"/>
          <w:highlight w:val="none"/>
          <w14:textFill>
            <w14:solidFill>
              <w14:schemeClr w14:val="tx1"/>
            </w14:solidFill>
          </w14:textFill>
        </w:rPr>
        <w:t>；采购人委托采购代理机构代表其与乙方签订合同的，采购人的授权委托书作为合同附件。</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bookmarkStart w:id="147" w:name="_Ref467379400"/>
      <w:r>
        <w:rPr>
          <w:rFonts w:hint="eastAsia" w:ascii="仿宋" w:hAnsi="仿宋" w:eastAsia="仿宋" w:cs="仿宋"/>
          <w:color w:val="000000" w:themeColor="text1"/>
          <w:highlight w:val="none"/>
          <w14:textFill>
            <w14:solidFill>
              <w14:schemeClr w14:val="tx1"/>
            </w14:solidFill>
          </w14:textFill>
        </w:rPr>
        <w:t>2.1.5 “乙方”系指根据合同约定交付货物的中标供应商</w:t>
      </w:r>
      <w:bookmarkEnd w:id="147"/>
      <w:r>
        <w:rPr>
          <w:rFonts w:hint="eastAsia" w:ascii="仿宋" w:hAnsi="仿宋" w:eastAsia="仿宋" w:cs="仿宋"/>
          <w:color w:val="000000" w:themeColor="text1"/>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bookmarkStart w:id="148" w:name="_Ref467379436"/>
      <w:r>
        <w:rPr>
          <w:rFonts w:hint="eastAsia" w:ascii="仿宋" w:hAnsi="仿宋" w:eastAsia="仿宋" w:cs="仿宋"/>
          <w:color w:val="000000" w:themeColor="text1"/>
          <w:highlight w:val="none"/>
          <w14:textFill>
            <w14:solidFill>
              <w14:schemeClr w14:val="tx1"/>
            </w14:solidFill>
          </w14:textFill>
        </w:rPr>
        <w:t>2.1.6 “现场”系指合同约定货物将要运至或者安装的地点。</w:t>
      </w:r>
      <w:bookmarkEnd w:id="148"/>
    </w:p>
    <w:p>
      <w:pPr>
        <w:rPr>
          <w:rFonts w:hint="eastAsia" w:ascii="仿宋" w:hAnsi="仿宋" w:eastAsia="仿宋" w:cs="仿宋"/>
          <w:b/>
          <w:color w:val="000000" w:themeColor="text1"/>
          <w:highlight w:val="none"/>
          <w14:textFill>
            <w14:solidFill>
              <w14:schemeClr w14:val="tx1"/>
            </w14:solidFill>
          </w14:textFill>
        </w:rPr>
      </w:pPr>
      <w:bookmarkStart w:id="149" w:name="_Toc27635"/>
      <w:bookmarkStart w:id="150" w:name="_Toc259093670"/>
      <w:bookmarkStart w:id="151" w:name="_Toc13336"/>
      <w:bookmarkStart w:id="152" w:name="_Toc18216"/>
      <w:bookmarkStart w:id="153" w:name="_Toc28495"/>
      <w:bookmarkStart w:id="154" w:name="_Toc32504"/>
      <w:bookmarkStart w:id="155" w:name="_Toc279701241"/>
      <w:bookmarkStart w:id="156" w:name="_Toc14409"/>
      <w:bookmarkStart w:id="157" w:name="_Toc487900350"/>
      <w:bookmarkStart w:id="158" w:name="_Toc27208"/>
      <w:bookmarkStart w:id="159" w:name="_Toc8693"/>
      <w:r>
        <w:rPr>
          <w:rFonts w:hint="eastAsia" w:ascii="仿宋" w:hAnsi="仿宋" w:eastAsia="仿宋" w:cs="仿宋"/>
          <w:b/>
          <w:bCs/>
          <w:color w:val="000000" w:themeColor="text1"/>
          <w:highlight w:val="none"/>
          <w14:textFill>
            <w14:solidFill>
              <w14:schemeClr w14:val="tx1"/>
            </w14:solidFill>
          </w14:textFill>
        </w:rPr>
        <w:t>2.2 技术规范</w:t>
      </w:r>
      <w:bookmarkEnd w:id="149"/>
      <w:bookmarkEnd w:id="150"/>
      <w:bookmarkEnd w:id="151"/>
      <w:bookmarkEnd w:id="152"/>
      <w:bookmarkEnd w:id="153"/>
      <w:bookmarkEnd w:id="154"/>
      <w:bookmarkEnd w:id="155"/>
      <w:bookmarkEnd w:id="156"/>
      <w:bookmarkEnd w:id="157"/>
      <w:bookmarkEnd w:id="158"/>
      <w:bookmarkEnd w:id="159"/>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rPr>
          <w:rFonts w:hint="eastAsia" w:ascii="仿宋" w:hAnsi="仿宋" w:eastAsia="仿宋" w:cs="仿宋"/>
          <w:b/>
          <w:color w:val="000000" w:themeColor="text1"/>
          <w:highlight w:val="none"/>
          <w14:textFill>
            <w14:solidFill>
              <w14:schemeClr w14:val="tx1"/>
            </w14:solidFill>
          </w14:textFill>
        </w:rPr>
      </w:pPr>
      <w:bookmarkStart w:id="160" w:name="_Toc27853"/>
      <w:bookmarkStart w:id="161" w:name="_Toc23131"/>
      <w:bookmarkStart w:id="162" w:name="_Toc31634"/>
      <w:bookmarkStart w:id="163" w:name="_Toc32362"/>
      <w:bookmarkStart w:id="164" w:name="_Toc26863"/>
      <w:bookmarkStart w:id="165" w:name="_Toc279701242"/>
      <w:bookmarkStart w:id="166" w:name="_Toc487900351"/>
      <w:bookmarkStart w:id="167" w:name="_Toc31371"/>
      <w:bookmarkStart w:id="168" w:name="_Toc259093671"/>
      <w:bookmarkStart w:id="169" w:name="_Toc23751"/>
      <w:bookmarkStart w:id="170" w:name="_Toc9829"/>
      <w:r>
        <w:rPr>
          <w:rFonts w:hint="eastAsia" w:ascii="仿宋" w:hAnsi="仿宋" w:eastAsia="仿宋" w:cs="仿宋"/>
          <w:b/>
          <w:bCs/>
          <w:color w:val="000000" w:themeColor="text1"/>
          <w:highlight w:val="none"/>
          <w14:textFill>
            <w14:solidFill>
              <w14:schemeClr w14:val="tx1"/>
            </w14:solidFill>
          </w14:textFill>
        </w:rPr>
        <w:t>2.3 知识产权</w:t>
      </w:r>
      <w:bookmarkEnd w:id="160"/>
      <w:bookmarkEnd w:id="161"/>
      <w:bookmarkEnd w:id="162"/>
      <w:bookmarkEnd w:id="163"/>
      <w:bookmarkEnd w:id="164"/>
      <w:bookmarkEnd w:id="165"/>
      <w:bookmarkEnd w:id="166"/>
      <w:bookmarkEnd w:id="167"/>
      <w:bookmarkEnd w:id="168"/>
      <w:bookmarkEnd w:id="169"/>
      <w:bookmarkEnd w:id="170"/>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2.3.2具有知识产权的计算机软件等货物的知识产权归属，详见</w:t>
      </w:r>
      <w:r>
        <w:rPr>
          <w:rFonts w:hint="eastAsia" w:ascii="仿宋" w:hAnsi="仿宋" w:eastAsia="仿宋" w:cs="仿宋"/>
          <w:b/>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14:textFill>
            <w14:solidFill>
              <w14:schemeClr w14:val="tx1"/>
            </w14:solidFill>
          </w14:textFill>
        </w:rPr>
        <w:t>。</w:t>
      </w:r>
    </w:p>
    <w:p>
      <w:pPr>
        <w:rPr>
          <w:rFonts w:hint="eastAsia" w:ascii="仿宋" w:hAnsi="仿宋" w:eastAsia="仿宋" w:cs="仿宋"/>
          <w:b/>
          <w:color w:val="000000" w:themeColor="text1"/>
          <w:highlight w:val="none"/>
          <w14:textFill>
            <w14:solidFill>
              <w14:schemeClr w14:val="tx1"/>
            </w14:solidFill>
          </w14:textFill>
        </w:rPr>
      </w:pPr>
      <w:bookmarkStart w:id="171" w:name="_Toc4194"/>
      <w:bookmarkStart w:id="172" w:name="_Toc25073"/>
      <w:bookmarkStart w:id="173" w:name="_Toc12445"/>
      <w:bookmarkStart w:id="174" w:name="_Toc11932"/>
      <w:bookmarkStart w:id="175" w:name="_Toc20825"/>
      <w:bookmarkStart w:id="176" w:name="_Toc24375"/>
      <w:bookmarkStart w:id="177" w:name="_Toc29149"/>
      <w:bookmarkStart w:id="178" w:name="_Toc7133"/>
      <w:r>
        <w:rPr>
          <w:rFonts w:hint="eastAsia" w:ascii="仿宋" w:hAnsi="仿宋" w:eastAsia="仿宋" w:cs="仿宋"/>
          <w:b/>
          <w:bCs/>
          <w:color w:val="000000" w:themeColor="text1"/>
          <w:highlight w:val="none"/>
          <w14:textFill>
            <w14:solidFill>
              <w14:schemeClr w14:val="tx1"/>
            </w14:solidFill>
          </w14:textFill>
        </w:rPr>
        <w:t>2.4 包装和装运</w:t>
      </w:r>
      <w:bookmarkEnd w:id="171"/>
      <w:bookmarkEnd w:id="172"/>
      <w:bookmarkEnd w:id="173"/>
      <w:bookmarkEnd w:id="174"/>
      <w:bookmarkEnd w:id="175"/>
      <w:bookmarkEnd w:id="176"/>
      <w:bookmarkEnd w:id="177"/>
      <w:bookmarkEnd w:id="178"/>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2.4.1除</w:t>
      </w:r>
      <w:r>
        <w:rPr>
          <w:rFonts w:hint="eastAsia" w:ascii="仿宋" w:hAnsi="仿宋" w:eastAsia="仿宋" w:cs="仿宋"/>
          <w:b/>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14:textFill>
            <w14:solidFill>
              <w14:schemeClr w14:val="tx1"/>
            </w14:solidFill>
          </w14:textFill>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2.4.2 装运货物的要求和通知，详见</w:t>
      </w:r>
      <w:r>
        <w:rPr>
          <w:rFonts w:hint="eastAsia" w:ascii="仿宋" w:hAnsi="仿宋" w:eastAsia="仿宋" w:cs="仿宋"/>
          <w:b/>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14:textFill>
            <w14:solidFill>
              <w14:schemeClr w14:val="tx1"/>
            </w14:solidFill>
          </w14:textFill>
        </w:rPr>
        <w:t>。</w:t>
      </w:r>
    </w:p>
    <w:p>
      <w:pPr>
        <w:rPr>
          <w:rFonts w:hint="eastAsia" w:ascii="仿宋" w:hAnsi="仿宋" w:eastAsia="仿宋" w:cs="仿宋"/>
          <w:b/>
          <w:bCs/>
          <w:color w:val="000000" w:themeColor="text1"/>
          <w:highlight w:val="none"/>
          <w14:textFill>
            <w14:solidFill>
              <w14:schemeClr w14:val="tx1"/>
            </w14:solidFill>
          </w14:textFill>
        </w:rPr>
      </w:pPr>
      <w:bookmarkStart w:id="179" w:name="_Toc259093674"/>
      <w:bookmarkStart w:id="180" w:name="_Ref467379542"/>
      <w:bookmarkStart w:id="181" w:name="_Toc279701245"/>
      <w:bookmarkStart w:id="182" w:name="_Ref467378541"/>
      <w:bookmarkStart w:id="183" w:name="_Toc487900354"/>
      <w:bookmarkStart w:id="184" w:name="_Ref467379527"/>
      <w:bookmarkStart w:id="185" w:name="_Ref467378591"/>
      <w:bookmarkStart w:id="186" w:name="_Ref467379536"/>
      <w:bookmarkStart w:id="187" w:name="_Toc16765"/>
      <w:bookmarkStart w:id="188" w:name="_Toc2779"/>
      <w:bookmarkStart w:id="189" w:name="_Toc19074"/>
      <w:bookmarkStart w:id="190" w:name="_Toc26182"/>
      <w:bookmarkStart w:id="191" w:name="_Toc2363"/>
      <w:bookmarkStart w:id="192" w:name="_Toc17203"/>
      <w:bookmarkStart w:id="193" w:name="_Toc30272"/>
      <w:bookmarkStart w:id="194" w:name="_Toc29586"/>
      <w:r>
        <w:rPr>
          <w:rFonts w:hint="eastAsia" w:ascii="仿宋" w:hAnsi="仿宋" w:eastAsia="仿宋" w:cs="仿宋"/>
          <w:b/>
          <w:bCs/>
          <w:color w:val="000000" w:themeColor="text1"/>
          <w:highlight w:val="none"/>
          <w14:textFill>
            <w14:solidFill>
              <w14:schemeClr w14:val="tx1"/>
            </w14:solidFill>
          </w14:textFill>
        </w:rPr>
        <w:t>2.</w:t>
      </w:r>
      <w:bookmarkEnd w:id="179"/>
      <w:bookmarkEnd w:id="180"/>
      <w:bookmarkEnd w:id="181"/>
      <w:bookmarkEnd w:id="182"/>
      <w:bookmarkEnd w:id="183"/>
      <w:bookmarkEnd w:id="184"/>
      <w:bookmarkEnd w:id="185"/>
      <w:bookmarkEnd w:id="186"/>
      <w:r>
        <w:rPr>
          <w:rFonts w:hint="eastAsia" w:ascii="仿宋" w:hAnsi="仿宋" w:eastAsia="仿宋" w:cs="仿宋"/>
          <w:b/>
          <w:bCs/>
          <w:color w:val="000000" w:themeColor="text1"/>
          <w:highlight w:val="none"/>
          <w14:textFill>
            <w14:solidFill>
              <w14:schemeClr w14:val="tx1"/>
            </w14:solidFill>
          </w14:textFill>
        </w:rPr>
        <w:t>5 履约检查和问题反馈</w:t>
      </w:r>
      <w:bookmarkEnd w:id="187"/>
      <w:bookmarkEnd w:id="188"/>
      <w:bookmarkEnd w:id="189"/>
      <w:bookmarkEnd w:id="190"/>
      <w:bookmarkEnd w:id="191"/>
      <w:bookmarkEnd w:id="192"/>
      <w:bookmarkEnd w:id="193"/>
      <w:bookmarkEnd w:id="194"/>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bookmarkStart w:id="195" w:name="_Ref467379657"/>
      <w:r>
        <w:rPr>
          <w:rFonts w:hint="eastAsia" w:ascii="仿宋" w:hAnsi="仿宋" w:eastAsia="仿宋" w:cs="仿宋"/>
          <w:color w:val="000000" w:themeColor="text1"/>
          <w:highlight w:val="none"/>
          <w14:textFill>
            <w14:solidFill>
              <w14:schemeClr w14:val="tx1"/>
            </w14:solidFill>
          </w14:textFill>
        </w:rPr>
        <w:t>2.5.1</w:t>
      </w:r>
      <w:bookmarkEnd w:id="195"/>
      <w:bookmarkStart w:id="196" w:name="_Toc186431854"/>
      <w:bookmarkStart w:id="197" w:name="_Toc259093676"/>
      <w:bookmarkStart w:id="198" w:name="_Toc279701247"/>
      <w:bookmarkStart w:id="199" w:name="_Ref467379793"/>
      <w:bookmarkStart w:id="200" w:name="_Ref467379807"/>
      <w:bookmarkStart w:id="201" w:name="_Toc487900357"/>
      <w:r>
        <w:rPr>
          <w:rFonts w:hint="eastAsia" w:ascii="仿宋" w:hAnsi="仿宋" w:eastAsia="仿宋" w:cs="仿宋"/>
          <w:color w:val="000000" w:themeColor="text1"/>
          <w:highlight w:val="none"/>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2.5.2 合同履行期间，甲方有权将履行过程中出现的问题反馈给乙方，双方当事人应以书面形式约定需要完善和改进的内容</w:t>
      </w:r>
      <w:bookmarkEnd w:id="196"/>
      <w:bookmarkStart w:id="202" w:name="_Toc186431855"/>
      <w:r>
        <w:rPr>
          <w:rFonts w:hint="eastAsia" w:ascii="仿宋" w:hAnsi="仿宋" w:eastAsia="仿宋" w:cs="仿宋"/>
          <w:color w:val="000000" w:themeColor="text1"/>
          <w:highlight w:val="none"/>
          <w14:textFill>
            <w14:solidFill>
              <w14:schemeClr w14:val="tx1"/>
            </w14:solidFill>
          </w14:textFill>
        </w:rPr>
        <w:t>。</w:t>
      </w:r>
    </w:p>
    <w:bookmarkEnd w:id="202"/>
    <w:p>
      <w:pPr>
        <w:rPr>
          <w:rFonts w:hint="eastAsia" w:ascii="仿宋" w:hAnsi="仿宋" w:eastAsia="仿宋" w:cs="仿宋"/>
          <w:b/>
          <w:bCs/>
          <w:color w:val="000000" w:themeColor="text1"/>
          <w:highlight w:val="none"/>
          <w14:textFill>
            <w14:solidFill>
              <w14:schemeClr w14:val="tx1"/>
            </w14:solidFill>
          </w14:textFill>
        </w:rPr>
      </w:pPr>
      <w:bookmarkStart w:id="203" w:name="_Toc30150"/>
      <w:bookmarkStart w:id="204" w:name="_Toc21350"/>
      <w:bookmarkStart w:id="205" w:name="_Toc19219"/>
      <w:bookmarkStart w:id="206" w:name="_Toc11681"/>
      <w:bookmarkStart w:id="207" w:name="_Toc17274"/>
      <w:bookmarkStart w:id="208" w:name="_Toc28451"/>
      <w:bookmarkStart w:id="209" w:name="_Toc28150"/>
      <w:bookmarkStart w:id="210" w:name="_Toc7836"/>
      <w:r>
        <w:rPr>
          <w:rFonts w:hint="eastAsia" w:ascii="仿宋" w:hAnsi="仿宋" w:eastAsia="仿宋" w:cs="仿宋"/>
          <w:b/>
          <w:bCs/>
          <w:color w:val="000000" w:themeColor="text1"/>
          <w:highlight w:val="none"/>
          <w14:textFill>
            <w14:solidFill>
              <w14:schemeClr w14:val="tx1"/>
            </w14:solidFill>
          </w14:textFill>
        </w:rPr>
        <w:t>2.6 结算方式和付款条件</w:t>
      </w:r>
      <w:bookmarkEnd w:id="197"/>
      <w:bookmarkEnd w:id="198"/>
      <w:bookmarkEnd w:id="199"/>
      <w:bookmarkEnd w:id="200"/>
      <w:bookmarkEnd w:id="201"/>
      <w:bookmarkEnd w:id="203"/>
      <w:bookmarkEnd w:id="204"/>
      <w:bookmarkEnd w:id="205"/>
      <w:bookmarkEnd w:id="206"/>
      <w:bookmarkEnd w:id="207"/>
      <w:bookmarkEnd w:id="208"/>
      <w:bookmarkEnd w:id="209"/>
      <w:bookmarkEnd w:id="210"/>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详见</w:t>
      </w:r>
      <w:r>
        <w:rPr>
          <w:rFonts w:hint="eastAsia" w:ascii="仿宋" w:hAnsi="仿宋" w:eastAsia="仿宋" w:cs="仿宋"/>
          <w:b/>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14:textFill>
            <w14:solidFill>
              <w14:schemeClr w14:val="tx1"/>
            </w14:solidFill>
          </w14:textFill>
        </w:rPr>
        <w:t>。</w:t>
      </w:r>
    </w:p>
    <w:p>
      <w:pPr>
        <w:rPr>
          <w:rFonts w:hint="eastAsia" w:ascii="仿宋" w:hAnsi="仿宋" w:eastAsia="仿宋" w:cs="仿宋"/>
          <w:b/>
          <w:bCs/>
          <w:color w:val="000000" w:themeColor="text1"/>
          <w:highlight w:val="none"/>
          <w14:textFill>
            <w14:solidFill>
              <w14:schemeClr w14:val="tx1"/>
            </w14:solidFill>
          </w14:textFill>
        </w:rPr>
      </w:pPr>
      <w:bookmarkStart w:id="211" w:name="_Toc259093677"/>
      <w:bookmarkStart w:id="212" w:name="_Ref467379923"/>
      <w:bookmarkStart w:id="213" w:name="_Toc487900358"/>
      <w:bookmarkStart w:id="214" w:name="_Ref467379863"/>
      <w:bookmarkStart w:id="215" w:name="_Ref467379852"/>
      <w:bookmarkStart w:id="216" w:name="_Toc279701248"/>
      <w:bookmarkStart w:id="217" w:name="_Toc19837"/>
      <w:bookmarkStart w:id="218" w:name="_Toc3225"/>
      <w:bookmarkStart w:id="219" w:name="_Toc15866"/>
      <w:bookmarkStart w:id="220" w:name="_Toc8485"/>
      <w:bookmarkStart w:id="221" w:name="_Toc774"/>
      <w:bookmarkStart w:id="222" w:name="_Toc24382"/>
      <w:bookmarkStart w:id="223" w:name="_Toc16110"/>
      <w:bookmarkStart w:id="224" w:name="_Toc14262"/>
      <w:r>
        <w:rPr>
          <w:rFonts w:hint="eastAsia" w:ascii="仿宋" w:hAnsi="仿宋" w:eastAsia="仿宋" w:cs="仿宋"/>
          <w:b/>
          <w:bCs/>
          <w:color w:val="000000" w:themeColor="text1"/>
          <w:highlight w:val="none"/>
          <w14:textFill>
            <w14:solidFill>
              <w14:schemeClr w14:val="tx1"/>
            </w14:solidFill>
          </w14:textFill>
        </w:rPr>
        <w:t>2.7 技术资料</w:t>
      </w:r>
      <w:bookmarkEnd w:id="211"/>
      <w:bookmarkEnd w:id="212"/>
      <w:bookmarkEnd w:id="213"/>
      <w:bookmarkEnd w:id="214"/>
      <w:bookmarkEnd w:id="215"/>
      <w:bookmarkEnd w:id="216"/>
      <w:r>
        <w:rPr>
          <w:rFonts w:hint="eastAsia" w:ascii="仿宋" w:hAnsi="仿宋" w:eastAsia="仿宋" w:cs="仿宋"/>
          <w:b/>
          <w:bCs/>
          <w:color w:val="000000" w:themeColor="text1"/>
          <w:highlight w:val="none"/>
          <w14:textFill>
            <w14:solidFill>
              <w14:schemeClr w14:val="tx1"/>
            </w14:solidFill>
          </w14:textFill>
        </w:rPr>
        <w:t>和保密义务</w:t>
      </w:r>
      <w:bookmarkEnd w:id="217"/>
      <w:bookmarkEnd w:id="218"/>
      <w:bookmarkEnd w:id="219"/>
      <w:bookmarkEnd w:id="220"/>
      <w:bookmarkEnd w:id="221"/>
      <w:bookmarkEnd w:id="222"/>
      <w:bookmarkEnd w:id="223"/>
      <w:bookmarkEnd w:id="224"/>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2.7.1 乙方有权依据合同约定和项目需要，向甲方了解有关情况，调阅有关资料等，甲方应予积极配合；</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2.7.2 乙方有义务妥善保管和保护由甲方提供的前款信息和资料等；</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rPr>
          <w:rFonts w:hint="eastAsia" w:ascii="仿宋" w:hAnsi="仿宋" w:eastAsia="仿宋" w:cs="仿宋"/>
          <w:b/>
          <w:color w:val="000000" w:themeColor="text1"/>
          <w:highlight w:val="none"/>
          <w14:textFill>
            <w14:solidFill>
              <w14:schemeClr w14:val="tx1"/>
            </w14:solidFill>
          </w14:textFill>
        </w:rPr>
      </w:pPr>
      <w:bookmarkStart w:id="225" w:name="_Toc26527"/>
      <w:bookmarkStart w:id="226" w:name="_Toc27141"/>
      <w:bookmarkStart w:id="227" w:name="_Toc12096"/>
      <w:bookmarkStart w:id="228" w:name="_Toc22829"/>
      <w:bookmarkStart w:id="229" w:name="_Toc31151"/>
      <w:bookmarkStart w:id="230" w:name="_Toc7860"/>
      <w:r>
        <w:rPr>
          <w:rFonts w:hint="eastAsia" w:ascii="仿宋" w:hAnsi="仿宋" w:eastAsia="仿宋" w:cs="仿宋"/>
          <w:b/>
          <w:bCs/>
          <w:color w:val="000000" w:themeColor="text1"/>
          <w:highlight w:val="none"/>
          <w14:textFill>
            <w14:solidFill>
              <w14:schemeClr w14:val="tx1"/>
            </w14:solidFill>
          </w14:textFill>
        </w:rPr>
        <w:t>2.8 质量保证</w:t>
      </w:r>
      <w:bookmarkEnd w:id="225"/>
      <w:bookmarkEnd w:id="226"/>
      <w:bookmarkEnd w:id="227"/>
      <w:bookmarkEnd w:id="228"/>
      <w:bookmarkEnd w:id="229"/>
      <w:bookmarkEnd w:id="230"/>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2.8.1 乙方应建立和完善履行合同的内部质量保证体系，并提供相关内部规章制度给甲方，以便甲方进行监督检查；</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2.8.2 乙方应保证履行合同的人员数量和素质、软件和硬件设备的配置、场地、环境和设施等满足全面履行合同的要求，并应接受甲方的监督检查。</w:t>
      </w:r>
    </w:p>
    <w:p>
      <w:pPr>
        <w:rPr>
          <w:rFonts w:hint="eastAsia" w:ascii="仿宋" w:hAnsi="仿宋" w:eastAsia="仿宋" w:cs="仿宋"/>
          <w:b/>
          <w:bCs/>
          <w:color w:val="000000" w:themeColor="text1"/>
          <w:highlight w:val="none"/>
          <w14:textFill>
            <w14:solidFill>
              <w14:schemeClr w14:val="tx1"/>
            </w14:solidFill>
          </w14:textFill>
        </w:rPr>
      </w:pPr>
      <w:bookmarkStart w:id="231" w:name="_Toc8746"/>
      <w:bookmarkStart w:id="232" w:name="_Toc25513"/>
      <w:bookmarkStart w:id="233" w:name="_Toc18586"/>
      <w:bookmarkStart w:id="234" w:name="_Toc17244"/>
      <w:bookmarkStart w:id="235" w:name="_Toc13387"/>
      <w:bookmarkStart w:id="236" w:name="_Toc11370"/>
      <w:bookmarkStart w:id="237" w:name="_Toc259093681"/>
      <w:bookmarkStart w:id="238" w:name="_Toc279701252"/>
      <w:bookmarkStart w:id="239" w:name="_Toc487900362"/>
      <w:r>
        <w:rPr>
          <w:rFonts w:hint="eastAsia" w:ascii="仿宋" w:hAnsi="仿宋" w:eastAsia="仿宋" w:cs="仿宋"/>
          <w:b/>
          <w:bCs/>
          <w:color w:val="000000" w:themeColor="text1"/>
          <w:highlight w:val="none"/>
          <w14:textFill>
            <w14:solidFill>
              <w14:schemeClr w14:val="tx1"/>
            </w14:solidFill>
          </w14:textFill>
        </w:rPr>
        <w:t>2.9 货物的风险负担</w:t>
      </w:r>
      <w:bookmarkEnd w:id="231"/>
      <w:bookmarkEnd w:id="232"/>
      <w:bookmarkEnd w:id="233"/>
      <w:bookmarkEnd w:id="234"/>
      <w:bookmarkEnd w:id="235"/>
      <w:bookmarkEnd w:id="236"/>
    </w:p>
    <w:p>
      <w:pPr>
        <w:spacing w:line="560" w:lineRule="exact"/>
        <w:ind w:firstLine="480"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货物或者在途货物或者交付给第一承运人后的货物毁损、灭失的风险负担详见</w:t>
      </w:r>
      <w:r>
        <w:rPr>
          <w:rFonts w:hint="eastAsia" w:ascii="仿宋" w:hAnsi="仿宋" w:eastAsia="仿宋" w:cs="仿宋"/>
          <w:b/>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14:textFill>
            <w14:solidFill>
              <w14:schemeClr w14:val="tx1"/>
            </w14:solidFill>
          </w14:textFill>
        </w:rPr>
        <w:t>。</w:t>
      </w:r>
    </w:p>
    <w:p>
      <w:pPr>
        <w:rPr>
          <w:rFonts w:hint="eastAsia" w:ascii="仿宋" w:hAnsi="仿宋" w:eastAsia="仿宋" w:cs="仿宋"/>
          <w:b/>
          <w:color w:val="000000" w:themeColor="text1"/>
          <w:highlight w:val="none"/>
          <w14:textFill>
            <w14:solidFill>
              <w14:schemeClr w14:val="tx1"/>
            </w14:solidFill>
          </w14:textFill>
        </w:rPr>
      </w:pPr>
      <w:bookmarkStart w:id="240" w:name="_Toc14055"/>
      <w:bookmarkStart w:id="241" w:name="_Toc25414"/>
      <w:bookmarkStart w:id="242" w:name="_Toc22575"/>
      <w:bookmarkStart w:id="243" w:name="_Toc19186"/>
      <w:bookmarkStart w:id="244" w:name="_Toc8241"/>
      <w:bookmarkStart w:id="245" w:name="_Toc31546"/>
      <w:r>
        <w:rPr>
          <w:rFonts w:hint="eastAsia" w:ascii="仿宋" w:hAnsi="仿宋" w:eastAsia="仿宋" w:cs="仿宋"/>
          <w:b/>
          <w:bCs/>
          <w:color w:val="000000" w:themeColor="text1"/>
          <w:highlight w:val="none"/>
          <w14:textFill>
            <w14:solidFill>
              <w14:schemeClr w14:val="tx1"/>
            </w14:solidFill>
          </w14:textFill>
        </w:rPr>
        <w:t>2.10 延迟交货</w:t>
      </w:r>
      <w:bookmarkEnd w:id="237"/>
      <w:bookmarkEnd w:id="238"/>
      <w:bookmarkEnd w:id="239"/>
      <w:bookmarkEnd w:id="240"/>
      <w:bookmarkEnd w:id="241"/>
      <w:bookmarkEnd w:id="242"/>
      <w:bookmarkEnd w:id="243"/>
      <w:bookmarkEnd w:id="244"/>
      <w:bookmarkEnd w:id="245"/>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rPr>
          <w:rFonts w:hint="eastAsia" w:ascii="仿宋" w:hAnsi="仿宋" w:eastAsia="仿宋" w:cs="仿宋"/>
          <w:b/>
          <w:bCs/>
          <w:color w:val="000000" w:themeColor="text1"/>
          <w:highlight w:val="none"/>
          <w14:textFill>
            <w14:solidFill>
              <w14:schemeClr w14:val="tx1"/>
            </w14:solidFill>
          </w14:textFill>
        </w:rPr>
      </w:pPr>
      <w:bookmarkStart w:id="246" w:name="_Toc4583"/>
      <w:bookmarkStart w:id="247" w:name="_Toc14296"/>
      <w:bookmarkStart w:id="248" w:name="_Toc11707"/>
      <w:bookmarkStart w:id="249" w:name="_Toc17922"/>
      <w:bookmarkStart w:id="250" w:name="_Toc7502"/>
      <w:bookmarkStart w:id="251" w:name="_Toc17330"/>
      <w:bookmarkStart w:id="252" w:name="_Toc279701254"/>
      <w:bookmarkStart w:id="253" w:name="_Toc487900364"/>
      <w:bookmarkStart w:id="254" w:name="_Toc259093683"/>
      <w:bookmarkStart w:id="255" w:name="_Ref467378121"/>
      <w:r>
        <w:rPr>
          <w:rFonts w:hint="eastAsia" w:ascii="仿宋" w:hAnsi="仿宋" w:eastAsia="仿宋" w:cs="仿宋"/>
          <w:b/>
          <w:bCs/>
          <w:color w:val="000000" w:themeColor="text1"/>
          <w:highlight w:val="none"/>
          <w14:textFill>
            <w14:solidFill>
              <w14:schemeClr w14:val="tx1"/>
            </w14:solidFill>
          </w14:textFill>
        </w:rPr>
        <w:t>2.11 合同变更</w:t>
      </w:r>
      <w:bookmarkEnd w:id="246"/>
      <w:bookmarkEnd w:id="247"/>
      <w:bookmarkEnd w:id="248"/>
      <w:bookmarkEnd w:id="249"/>
      <w:bookmarkEnd w:id="250"/>
      <w:bookmarkEnd w:id="251"/>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bookmarkStart w:id="256" w:name="_Toc259093688"/>
      <w:bookmarkStart w:id="257" w:name="_Toc279701259"/>
      <w:bookmarkStart w:id="258" w:name="_Toc487900369"/>
    </w:p>
    <w:p>
      <w:pPr>
        <w:rPr>
          <w:rFonts w:hint="eastAsia" w:ascii="仿宋" w:hAnsi="仿宋" w:eastAsia="仿宋" w:cs="仿宋"/>
          <w:b/>
          <w:color w:val="000000" w:themeColor="text1"/>
          <w:highlight w:val="none"/>
          <w14:textFill>
            <w14:solidFill>
              <w14:schemeClr w14:val="tx1"/>
            </w14:solidFill>
          </w14:textFill>
        </w:rPr>
      </w:pPr>
      <w:bookmarkStart w:id="259" w:name="_Toc7580"/>
      <w:bookmarkStart w:id="260" w:name="_Toc11437"/>
      <w:bookmarkStart w:id="261" w:name="_Toc18501"/>
      <w:bookmarkStart w:id="262" w:name="_Toc15237"/>
      <w:bookmarkStart w:id="263" w:name="_Toc10366"/>
      <w:bookmarkStart w:id="264" w:name="_Toc31458"/>
      <w:bookmarkStart w:id="265" w:name="_Toc22955"/>
      <w:bookmarkStart w:id="266" w:name="_Toc7594"/>
      <w:r>
        <w:rPr>
          <w:rFonts w:hint="eastAsia" w:ascii="仿宋" w:hAnsi="仿宋" w:eastAsia="仿宋" w:cs="仿宋"/>
          <w:b/>
          <w:bCs/>
          <w:color w:val="000000" w:themeColor="text1"/>
          <w:highlight w:val="none"/>
          <w14:textFill>
            <w14:solidFill>
              <w14:schemeClr w14:val="tx1"/>
            </w14:solidFill>
          </w14:textFill>
        </w:rPr>
        <w:t>2.12 合同转让</w:t>
      </w:r>
      <w:bookmarkEnd w:id="256"/>
      <w:bookmarkEnd w:id="257"/>
      <w:bookmarkEnd w:id="258"/>
      <w:r>
        <w:rPr>
          <w:rFonts w:hint="eastAsia" w:ascii="仿宋" w:hAnsi="仿宋" w:eastAsia="仿宋" w:cs="仿宋"/>
          <w:b/>
          <w:bCs/>
          <w:color w:val="000000" w:themeColor="text1"/>
          <w:highlight w:val="none"/>
          <w14:textFill>
            <w14:solidFill>
              <w14:schemeClr w14:val="tx1"/>
            </w14:solidFill>
          </w14:textFill>
        </w:rPr>
        <w:t>和分包</w:t>
      </w:r>
      <w:bookmarkEnd w:id="259"/>
      <w:bookmarkEnd w:id="260"/>
      <w:bookmarkEnd w:id="261"/>
      <w:bookmarkEnd w:id="262"/>
      <w:bookmarkEnd w:id="263"/>
      <w:bookmarkEnd w:id="264"/>
      <w:bookmarkEnd w:id="265"/>
      <w:bookmarkEnd w:id="266"/>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rPr>
          <w:rFonts w:hint="eastAsia" w:ascii="仿宋" w:hAnsi="仿宋" w:eastAsia="仿宋" w:cs="仿宋"/>
          <w:b/>
          <w:bCs/>
          <w:color w:val="000000" w:themeColor="text1"/>
          <w:highlight w:val="none"/>
          <w14:textFill>
            <w14:solidFill>
              <w14:schemeClr w14:val="tx1"/>
            </w14:solidFill>
          </w14:textFill>
        </w:rPr>
      </w:pPr>
      <w:bookmarkStart w:id="267" w:name="_Toc13566"/>
      <w:bookmarkStart w:id="268" w:name="_Toc16508"/>
      <w:bookmarkStart w:id="269" w:name="_Toc5259"/>
      <w:bookmarkStart w:id="270" w:name="_Toc16419"/>
      <w:bookmarkStart w:id="271" w:name="_Toc23069"/>
      <w:bookmarkStart w:id="272" w:name="_Toc29008"/>
      <w:bookmarkStart w:id="273" w:name="_Toc10925"/>
      <w:bookmarkStart w:id="274" w:name="_Toc14066"/>
      <w:r>
        <w:rPr>
          <w:rFonts w:hint="eastAsia" w:ascii="仿宋" w:hAnsi="仿宋" w:eastAsia="仿宋" w:cs="仿宋"/>
          <w:b/>
          <w:bCs/>
          <w:color w:val="000000" w:themeColor="text1"/>
          <w:highlight w:val="none"/>
          <w14:textFill>
            <w14:solidFill>
              <w14:schemeClr w14:val="tx1"/>
            </w14:solidFill>
          </w14:textFill>
        </w:rPr>
        <w:t>2.13 不可抗力</w:t>
      </w:r>
      <w:bookmarkEnd w:id="267"/>
      <w:bookmarkEnd w:id="268"/>
      <w:bookmarkEnd w:id="269"/>
      <w:bookmarkEnd w:id="270"/>
      <w:bookmarkEnd w:id="271"/>
      <w:bookmarkEnd w:id="272"/>
      <w:bookmarkEnd w:id="273"/>
      <w:bookmarkEnd w:id="274"/>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2.13.2 因不可抗力致使不能实现合同目的的，当事人可以解除合同；</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2.13.3 因不可抗力致使合同有变更必要的，双方当事人应在</w:t>
      </w:r>
      <w:r>
        <w:rPr>
          <w:rFonts w:hint="eastAsia" w:ascii="仿宋" w:hAnsi="仿宋" w:eastAsia="仿宋" w:cs="仿宋"/>
          <w:b/>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14:textFill>
            <w14:solidFill>
              <w14:schemeClr w14:val="tx1"/>
            </w14:solidFill>
          </w14:textFill>
        </w:rPr>
        <w:t>约定时间内以书面形式变更合同；</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2.13.4受不可抗力影响的一方在不可抗力发生后，应在</w:t>
      </w:r>
      <w:r>
        <w:rPr>
          <w:rFonts w:hint="eastAsia" w:ascii="仿宋" w:hAnsi="仿宋" w:eastAsia="仿宋" w:cs="仿宋"/>
          <w:b/>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14:textFill>
            <w14:solidFill>
              <w14:schemeClr w14:val="tx1"/>
            </w14:solidFill>
          </w14:textFill>
        </w:rPr>
        <w:t>约定时间内以书面形式通知对方当事人，并在</w:t>
      </w:r>
      <w:r>
        <w:rPr>
          <w:rFonts w:hint="eastAsia" w:ascii="仿宋" w:hAnsi="仿宋" w:eastAsia="仿宋" w:cs="仿宋"/>
          <w:b/>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14:textFill>
            <w14:solidFill>
              <w14:schemeClr w14:val="tx1"/>
            </w14:solidFill>
          </w14:textFill>
        </w:rPr>
        <w:t>约定时间内，将有关部门出具的证明文件送达对方当事人。</w:t>
      </w:r>
    </w:p>
    <w:p>
      <w:pPr>
        <w:rPr>
          <w:rFonts w:hint="eastAsia" w:ascii="仿宋" w:hAnsi="仿宋" w:eastAsia="仿宋" w:cs="仿宋"/>
          <w:b/>
          <w:bCs/>
          <w:color w:val="000000" w:themeColor="text1"/>
          <w:highlight w:val="none"/>
          <w14:textFill>
            <w14:solidFill>
              <w14:schemeClr w14:val="tx1"/>
            </w14:solidFill>
          </w14:textFill>
        </w:rPr>
      </w:pPr>
      <w:bookmarkStart w:id="275" w:name="_Toc30676"/>
      <w:bookmarkStart w:id="276" w:name="_Toc13003"/>
      <w:bookmarkStart w:id="277" w:name="_Toc27645"/>
      <w:bookmarkStart w:id="278" w:name="_Toc487900365"/>
      <w:bookmarkStart w:id="279" w:name="_Toc259093684"/>
      <w:bookmarkStart w:id="280" w:name="_Toc8591"/>
      <w:bookmarkStart w:id="281" w:name="_Toc279701255"/>
      <w:bookmarkStart w:id="282" w:name="_Toc689"/>
      <w:bookmarkStart w:id="283" w:name="_Toc6969"/>
      <w:bookmarkStart w:id="284" w:name="_Toc4207"/>
      <w:bookmarkStart w:id="285" w:name="_Toc8779"/>
      <w:r>
        <w:rPr>
          <w:rFonts w:hint="eastAsia" w:ascii="仿宋" w:hAnsi="仿宋" w:eastAsia="仿宋" w:cs="仿宋"/>
          <w:b/>
          <w:bCs/>
          <w:color w:val="000000" w:themeColor="text1"/>
          <w:highlight w:val="none"/>
          <w14:textFill>
            <w14:solidFill>
              <w14:schemeClr w14:val="tx1"/>
            </w14:solidFill>
          </w14:textFill>
        </w:rPr>
        <w:t>2.14 税费</w:t>
      </w:r>
      <w:bookmarkEnd w:id="275"/>
      <w:bookmarkEnd w:id="276"/>
      <w:bookmarkEnd w:id="277"/>
      <w:bookmarkEnd w:id="278"/>
      <w:bookmarkEnd w:id="279"/>
      <w:bookmarkEnd w:id="280"/>
      <w:bookmarkEnd w:id="281"/>
      <w:bookmarkEnd w:id="282"/>
      <w:bookmarkEnd w:id="283"/>
      <w:bookmarkEnd w:id="284"/>
      <w:bookmarkEnd w:id="285"/>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与合同有关的一切税费，均按照中华人民共和国法律的相关规定。</w:t>
      </w:r>
    </w:p>
    <w:p>
      <w:pPr>
        <w:rPr>
          <w:rFonts w:hint="eastAsia" w:ascii="仿宋" w:hAnsi="仿宋" w:eastAsia="仿宋" w:cs="仿宋"/>
          <w:b/>
          <w:bCs/>
          <w:color w:val="000000" w:themeColor="text1"/>
          <w:highlight w:val="none"/>
          <w14:textFill>
            <w14:solidFill>
              <w14:schemeClr w14:val="tx1"/>
            </w14:solidFill>
          </w14:textFill>
        </w:rPr>
      </w:pPr>
      <w:bookmarkStart w:id="286" w:name="_Toc20618"/>
      <w:bookmarkStart w:id="287" w:name="_Toc259093687"/>
      <w:bookmarkStart w:id="288" w:name="_Toc16959"/>
      <w:bookmarkStart w:id="289" w:name="_Toc7102"/>
      <w:bookmarkStart w:id="290" w:name="_Toc10412"/>
      <w:bookmarkStart w:id="291" w:name="_Toc9807"/>
      <w:bookmarkStart w:id="292" w:name="_Toc487900368"/>
      <w:bookmarkStart w:id="293" w:name="_Toc3729"/>
      <w:bookmarkStart w:id="294" w:name="_Toc279701258"/>
      <w:bookmarkStart w:id="295" w:name="_Toc22295"/>
      <w:bookmarkStart w:id="296" w:name="_Toc8298"/>
      <w:r>
        <w:rPr>
          <w:rFonts w:hint="eastAsia" w:ascii="仿宋" w:hAnsi="仿宋" w:eastAsia="仿宋" w:cs="仿宋"/>
          <w:b/>
          <w:bCs/>
          <w:color w:val="000000" w:themeColor="text1"/>
          <w:highlight w:val="none"/>
          <w14:textFill>
            <w14:solidFill>
              <w14:schemeClr w14:val="tx1"/>
            </w14:solidFill>
          </w14:textFill>
        </w:rPr>
        <w:t>2.15 乙方破产</w:t>
      </w:r>
      <w:bookmarkEnd w:id="286"/>
      <w:bookmarkEnd w:id="287"/>
      <w:bookmarkEnd w:id="288"/>
      <w:bookmarkEnd w:id="289"/>
      <w:bookmarkEnd w:id="290"/>
      <w:bookmarkEnd w:id="291"/>
      <w:bookmarkEnd w:id="292"/>
      <w:bookmarkEnd w:id="293"/>
      <w:bookmarkEnd w:id="294"/>
      <w:bookmarkEnd w:id="295"/>
      <w:bookmarkEnd w:id="296"/>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rPr>
          <w:rFonts w:hint="eastAsia" w:ascii="仿宋" w:hAnsi="仿宋" w:eastAsia="仿宋" w:cs="仿宋"/>
          <w:b/>
          <w:bCs/>
          <w:color w:val="000000" w:themeColor="text1"/>
          <w:highlight w:val="none"/>
          <w14:textFill>
            <w14:solidFill>
              <w14:schemeClr w14:val="tx1"/>
            </w14:solidFill>
          </w14:textFill>
        </w:rPr>
      </w:pPr>
      <w:bookmarkStart w:id="297" w:name="_Toc436"/>
      <w:bookmarkStart w:id="298" w:name="_Toc2327"/>
      <w:bookmarkStart w:id="299" w:name="_Toc15387"/>
      <w:bookmarkStart w:id="300" w:name="_Toc19501"/>
      <w:bookmarkStart w:id="301" w:name="_Toc29333"/>
      <w:bookmarkStart w:id="302" w:name="_Toc17192"/>
      <w:bookmarkStart w:id="303" w:name="_Toc28935"/>
      <w:bookmarkStart w:id="304" w:name="_Toc6134"/>
      <w:r>
        <w:rPr>
          <w:rFonts w:hint="eastAsia" w:ascii="仿宋" w:hAnsi="仿宋" w:eastAsia="仿宋" w:cs="仿宋"/>
          <w:b/>
          <w:bCs/>
          <w:color w:val="000000" w:themeColor="text1"/>
          <w:highlight w:val="none"/>
          <w14:textFill>
            <w14:solidFill>
              <w14:schemeClr w14:val="tx1"/>
            </w14:solidFill>
          </w14:textFill>
        </w:rPr>
        <w:t>2.16 合同中止、终止</w:t>
      </w:r>
      <w:bookmarkEnd w:id="297"/>
      <w:bookmarkEnd w:id="298"/>
      <w:bookmarkEnd w:id="299"/>
      <w:bookmarkEnd w:id="300"/>
      <w:bookmarkEnd w:id="301"/>
      <w:bookmarkEnd w:id="302"/>
      <w:bookmarkEnd w:id="303"/>
      <w:bookmarkEnd w:id="304"/>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2.16.1 双方当事人不得擅自中止或者终止合同；</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pPr>
        <w:rPr>
          <w:rFonts w:hint="eastAsia" w:ascii="仿宋" w:hAnsi="仿宋" w:eastAsia="仿宋" w:cs="仿宋"/>
          <w:b/>
          <w:bCs/>
          <w:color w:val="000000" w:themeColor="text1"/>
          <w:highlight w:val="none"/>
          <w14:textFill>
            <w14:solidFill>
              <w14:schemeClr w14:val="tx1"/>
            </w14:solidFill>
          </w14:textFill>
        </w:rPr>
      </w:pPr>
      <w:bookmarkStart w:id="305" w:name="_Toc3743"/>
      <w:bookmarkStart w:id="306" w:name="_Toc16208"/>
      <w:bookmarkStart w:id="307" w:name="_Toc10159"/>
      <w:bookmarkStart w:id="308" w:name="_Toc14563"/>
      <w:bookmarkStart w:id="309" w:name="_Toc1860"/>
      <w:bookmarkStart w:id="310" w:name="_Toc1125"/>
      <w:bookmarkStart w:id="311" w:name="_Toc6596"/>
      <w:bookmarkStart w:id="312" w:name="_Toc28634"/>
      <w:r>
        <w:rPr>
          <w:rFonts w:hint="eastAsia" w:ascii="仿宋" w:hAnsi="仿宋" w:eastAsia="仿宋" w:cs="仿宋"/>
          <w:b/>
          <w:bCs/>
          <w:color w:val="000000" w:themeColor="text1"/>
          <w:highlight w:val="none"/>
          <w14:textFill>
            <w14:solidFill>
              <w14:schemeClr w14:val="tx1"/>
            </w14:solidFill>
          </w14:textFill>
        </w:rPr>
        <w:t>2.17 检验和验收</w:t>
      </w:r>
      <w:bookmarkEnd w:id="305"/>
      <w:bookmarkEnd w:id="306"/>
      <w:bookmarkEnd w:id="307"/>
      <w:bookmarkEnd w:id="308"/>
      <w:bookmarkEnd w:id="309"/>
      <w:bookmarkEnd w:id="310"/>
      <w:bookmarkEnd w:id="311"/>
      <w:bookmarkEnd w:id="312"/>
    </w:p>
    <w:p>
      <w:pPr>
        <w:tabs>
          <w:tab w:val="left" w:pos="360"/>
          <w:tab w:val="left" w:pos="540"/>
          <w:tab w:val="left" w:pos="1080"/>
        </w:tabs>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2.17.1货物交付前，乙方应对货物的质量、数量等方面进行详细、全面的检验，并向甲方出具证明货物符合合同约定的文件；货物交付时，乙方在</w:t>
      </w:r>
      <w:r>
        <w:rPr>
          <w:rFonts w:hint="eastAsia" w:ascii="仿宋" w:hAnsi="仿宋" w:eastAsia="仿宋" w:cs="仿宋"/>
          <w:b/>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2.17.3 检验和验收标准、程序等具体内容以及前述验收书的效力详见</w:t>
      </w:r>
      <w:r>
        <w:rPr>
          <w:rFonts w:hint="eastAsia" w:ascii="仿宋" w:hAnsi="仿宋" w:eastAsia="仿宋" w:cs="仿宋"/>
          <w:b/>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14:textFill>
            <w14:solidFill>
              <w14:schemeClr w14:val="tx1"/>
            </w14:solidFill>
          </w14:textFill>
        </w:rPr>
        <w:t>。</w:t>
      </w:r>
    </w:p>
    <w:bookmarkEnd w:id="252"/>
    <w:bookmarkEnd w:id="253"/>
    <w:bookmarkEnd w:id="254"/>
    <w:bookmarkEnd w:id="255"/>
    <w:p>
      <w:pPr>
        <w:rPr>
          <w:rFonts w:hint="eastAsia" w:ascii="仿宋" w:hAnsi="仿宋" w:eastAsia="仿宋" w:cs="仿宋"/>
          <w:b/>
          <w:bCs/>
          <w:color w:val="000000" w:themeColor="text1"/>
          <w:highlight w:val="none"/>
          <w14:textFill>
            <w14:solidFill>
              <w14:schemeClr w14:val="tx1"/>
            </w14:solidFill>
          </w14:textFill>
        </w:rPr>
      </w:pPr>
      <w:bookmarkStart w:id="313" w:name="_Toc487900371"/>
      <w:bookmarkStart w:id="314" w:name="_Toc279701261"/>
      <w:bookmarkStart w:id="315" w:name="_Toc259093690"/>
      <w:bookmarkStart w:id="316" w:name="_Toc11284"/>
      <w:bookmarkStart w:id="317" w:name="_Toc28366"/>
      <w:bookmarkStart w:id="318" w:name="_Toc25182"/>
      <w:bookmarkStart w:id="319" w:name="_Toc11628"/>
      <w:bookmarkStart w:id="320" w:name="_Toc25376"/>
      <w:bookmarkStart w:id="321" w:name="_Toc19604"/>
      <w:bookmarkStart w:id="322" w:name="_Toc29797"/>
      <w:bookmarkStart w:id="323" w:name="_Toc16485"/>
      <w:r>
        <w:rPr>
          <w:rFonts w:hint="eastAsia" w:ascii="仿宋" w:hAnsi="仿宋" w:eastAsia="仿宋" w:cs="仿宋"/>
          <w:b/>
          <w:bCs/>
          <w:color w:val="000000" w:themeColor="text1"/>
          <w:highlight w:val="none"/>
          <w14:textFill>
            <w14:solidFill>
              <w14:schemeClr w14:val="tx1"/>
            </w14:solidFill>
          </w14:textFill>
        </w:rPr>
        <w:t>2.18 通知</w:t>
      </w:r>
      <w:bookmarkEnd w:id="313"/>
      <w:bookmarkEnd w:id="314"/>
      <w:bookmarkEnd w:id="315"/>
      <w:r>
        <w:rPr>
          <w:rFonts w:hint="eastAsia" w:ascii="仿宋" w:hAnsi="仿宋" w:eastAsia="仿宋" w:cs="仿宋"/>
          <w:b/>
          <w:bCs/>
          <w:color w:val="000000" w:themeColor="text1"/>
          <w:highlight w:val="none"/>
          <w14:textFill>
            <w14:solidFill>
              <w14:schemeClr w14:val="tx1"/>
            </w14:solidFill>
          </w14:textFill>
        </w:rPr>
        <w:t>和送达</w:t>
      </w:r>
      <w:bookmarkEnd w:id="316"/>
      <w:bookmarkEnd w:id="317"/>
      <w:bookmarkEnd w:id="318"/>
      <w:bookmarkEnd w:id="319"/>
      <w:bookmarkEnd w:id="320"/>
      <w:bookmarkEnd w:id="321"/>
      <w:bookmarkEnd w:id="322"/>
      <w:bookmarkEnd w:id="323"/>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bookmarkStart w:id="324" w:name="_Toc6698"/>
      <w:bookmarkStart w:id="325" w:name="_Toc3135"/>
      <w:bookmarkStart w:id="326" w:name="_Toc259093691"/>
      <w:bookmarkStart w:id="327" w:name="_Toc279701262"/>
      <w:bookmarkStart w:id="328" w:name="_Toc487900372"/>
      <w:r>
        <w:rPr>
          <w:rFonts w:hint="eastAsia" w:ascii="仿宋" w:hAnsi="仿宋" w:eastAsia="仿宋" w:cs="仿宋"/>
          <w:color w:val="000000" w:themeColor="text1"/>
          <w:highlight w:val="none"/>
          <w14:textFill>
            <w14:solidFill>
              <w14:schemeClr w14:val="tx1"/>
            </w14:solidFill>
          </w14:textFill>
        </w:rPr>
        <w:t>2.18.1 任何一方因履行合同而以合同第一部分尾部所列明的</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发出的所有通知、文件、材料，均视为已向对方当事人送达；任何一方变更上述送达方式或者地址的，应于</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个工作日内书面通知对方当事人，在对方当事人收到有关变更通知之前，变更前的约定送达方式或者地址仍视为有效。</w:t>
      </w:r>
      <w:bookmarkEnd w:id="324"/>
      <w:bookmarkEnd w:id="325"/>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bookmarkStart w:id="329" w:name="_Toc23294"/>
      <w:bookmarkStart w:id="330" w:name="_Toc23128"/>
      <w:r>
        <w:rPr>
          <w:rFonts w:hint="eastAsia" w:ascii="仿宋" w:hAnsi="仿宋" w:eastAsia="仿宋" w:cs="仿宋"/>
          <w:color w:val="000000" w:themeColor="text1"/>
          <w:highlight w:val="none"/>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29"/>
      <w:bookmarkEnd w:id="330"/>
    </w:p>
    <w:p>
      <w:pPr>
        <w:rPr>
          <w:rFonts w:hint="eastAsia" w:ascii="仿宋" w:hAnsi="仿宋" w:eastAsia="仿宋" w:cs="仿宋"/>
          <w:b/>
          <w:bCs/>
          <w:color w:val="000000" w:themeColor="text1"/>
          <w:highlight w:val="none"/>
          <w14:textFill>
            <w14:solidFill>
              <w14:schemeClr w14:val="tx1"/>
            </w14:solidFill>
          </w14:textFill>
        </w:rPr>
      </w:pPr>
      <w:bookmarkStart w:id="331" w:name="_Toc2287"/>
      <w:bookmarkStart w:id="332" w:name="_Toc30599"/>
      <w:bookmarkStart w:id="333" w:name="_Toc22680"/>
      <w:bookmarkStart w:id="334" w:name="_Toc26810"/>
      <w:bookmarkStart w:id="335" w:name="_Toc20762"/>
      <w:bookmarkStart w:id="336" w:name="_Toc4355"/>
      <w:bookmarkStart w:id="337" w:name="_Toc18540"/>
      <w:bookmarkStart w:id="338" w:name="_Toc27139"/>
      <w:r>
        <w:rPr>
          <w:rFonts w:hint="eastAsia" w:ascii="仿宋" w:hAnsi="仿宋" w:eastAsia="仿宋" w:cs="仿宋"/>
          <w:b/>
          <w:bCs/>
          <w:color w:val="000000" w:themeColor="text1"/>
          <w:highlight w:val="none"/>
          <w14:textFill>
            <w14:solidFill>
              <w14:schemeClr w14:val="tx1"/>
            </w14:solidFill>
          </w14:textFill>
        </w:rPr>
        <w:t>2.19 计量单位</w:t>
      </w:r>
      <w:bookmarkEnd w:id="326"/>
      <w:bookmarkEnd w:id="327"/>
      <w:bookmarkEnd w:id="328"/>
      <w:bookmarkEnd w:id="331"/>
      <w:bookmarkEnd w:id="332"/>
      <w:bookmarkEnd w:id="333"/>
      <w:bookmarkEnd w:id="334"/>
      <w:bookmarkEnd w:id="335"/>
      <w:bookmarkEnd w:id="336"/>
      <w:bookmarkEnd w:id="337"/>
      <w:bookmarkEnd w:id="338"/>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除技术规范中另有规定外,合同的计量单位均使用国家法定计量单位。</w:t>
      </w:r>
    </w:p>
    <w:p>
      <w:pPr>
        <w:rPr>
          <w:rFonts w:hint="eastAsia" w:ascii="仿宋" w:hAnsi="仿宋" w:eastAsia="仿宋" w:cs="仿宋"/>
          <w:b/>
          <w:bCs/>
          <w:color w:val="000000" w:themeColor="text1"/>
          <w:highlight w:val="none"/>
          <w14:textFill>
            <w14:solidFill>
              <w14:schemeClr w14:val="tx1"/>
            </w14:solidFill>
          </w14:textFill>
        </w:rPr>
      </w:pPr>
      <w:bookmarkStart w:id="339" w:name="_Toc21718"/>
      <w:bookmarkStart w:id="340" w:name="_Toc10330"/>
      <w:bookmarkStart w:id="341" w:name="_Toc259093692"/>
      <w:bookmarkStart w:id="342" w:name="_Toc8457"/>
      <w:bookmarkStart w:id="343" w:name="_Toc22634"/>
      <w:bookmarkStart w:id="344" w:name="_Toc18567"/>
      <w:bookmarkStart w:id="345" w:name="_Toc487900373"/>
      <w:bookmarkStart w:id="346" w:name="_Toc12773"/>
      <w:bookmarkStart w:id="347" w:name="_Toc27932"/>
      <w:bookmarkStart w:id="348" w:name="_Toc23591"/>
      <w:bookmarkStart w:id="349" w:name="_Toc279701263"/>
      <w:r>
        <w:rPr>
          <w:rFonts w:hint="eastAsia" w:ascii="仿宋" w:hAnsi="仿宋" w:eastAsia="仿宋" w:cs="仿宋"/>
          <w:b/>
          <w:bCs/>
          <w:color w:val="000000" w:themeColor="text1"/>
          <w:highlight w:val="none"/>
          <w14:textFill>
            <w14:solidFill>
              <w14:schemeClr w14:val="tx1"/>
            </w14:solidFill>
          </w14:textFill>
        </w:rPr>
        <w:t>2.20 合同使用的文字和适用的法律</w:t>
      </w:r>
      <w:bookmarkEnd w:id="339"/>
      <w:bookmarkEnd w:id="340"/>
      <w:bookmarkEnd w:id="341"/>
      <w:bookmarkEnd w:id="342"/>
      <w:bookmarkEnd w:id="343"/>
      <w:bookmarkEnd w:id="344"/>
      <w:bookmarkEnd w:id="345"/>
      <w:bookmarkEnd w:id="346"/>
      <w:bookmarkEnd w:id="347"/>
      <w:bookmarkEnd w:id="348"/>
      <w:bookmarkEnd w:id="349"/>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2.20.1 合同使用汉语书就、变更和解释；</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2.20.2 合同适用中华人民共和国法律。</w:t>
      </w:r>
    </w:p>
    <w:p>
      <w:pPr>
        <w:rPr>
          <w:rFonts w:hint="eastAsia" w:ascii="仿宋" w:hAnsi="仿宋" w:eastAsia="仿宋" w:cs="仿宋"/>
          <w:b/>
          <w:bCs/>
          <w:color w:val="000000" w:themeColor="text1"/>
          <w:highlight w:val="none"/>
          <w14:textFill>
            <w14:solidFill>
              <w14:schemeClr w14:val="tx1"/>
            </w14:solidFill>
          </w14:textFill>
        </w:rPr>
      </w:pPr>
      <w:bookmarkStart w:id="350" w:name="_Toc259093693"/>
      <w:bookmarkStart w:id="351" w:name="_Toc279701264"/>
      <w:bookmarkStart w:id="352" w:name="_Toc12004"/>
      <w:bookmarkStart w:id="353" w:name="_Toc28088"/>
      <w:bookmarkStart w:id="354" w:name="_Toc3148"/>
      <w:bookmarkStart w:id="355" w:name="_Toc3081"/>
      <w:bookmarkStart w:id="356" w:name="_Toc3344"/>
      <w:bookmarkStart w:id="357" w:name="_Toc9890"/>
      <w:bookmarkStart w:id="358" w:name="_Toc28010"/>
      <w:bookmarkStart w:id="359" w:name="_Toc16673"/>
      <w:bookmarkStart w:id="360" w:name="_Toc487900374"/>
      <w:r>
        <w:rPr>
          <w:rFonts w:hint="eastAsia" w:ascii="仿宋" w:hAnsi="仿宋" w:eastAsia="仿宋" w:cs="仿宋"/>
          <w:b/>
          <w:bCs/>
          <w:color w:val="000000" w:themeColor="text1"/>
          <w:highlight w:val="none"/>
          <w14:textFill>
            <w14:solidFill>
              <w14:schemeClr w14:val="tx1"/>
            </w14:solidFill>
          </w14:textFill>
        </w:rPr>
        <w:t>2.21 履约保证金</w:t>
      </w:r>
      <w:bookmarkEnd w:id="350"/>
      <w:bookmarkEnd w:id="351"/>
      <w:bookmarkEnd w:id="352"/>
      <w:bookmarkEnd w:id="353"/>
      <w:bookmarkEnd w:id="354"/>
      <w:bookmarkEnd w:id="355"/>
      <w:bookmarkEnd w:id="356"/>
      <w:bookmarkEnd w:id="357"/>
      <w:bookmarkEnd w:id="358"/>
      <w:bookmarkEnd w:id="359"/>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2.21.1 采购文件要求乙方提交履约保证金的，乙方应按</w:t>
      </w:r>
      <w:r>
        <w:rPr>
          <w:rFonts w:hint="eastAsia" w:ascii="仿宋" w:hAnsi="仿宋" w:eastAsia="仿宋" w:cs="仿宋"/>
          <w:b/>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14:textFill>
            <w14:solidFill>
              <w14:schemeClr w14:val="tx1"/>
            </w14:solidFill>
          </w14:textFill>
        </w:rPr>
        <w:t>约定的方式，以支票、汇票、本票或者金融机构、担保机构出具的保函等非现金形式，提交不超过合同价10%的履约保证金；</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2.21.2  履约保证金在</w:t>
      </w:r>
      <w:r>
        <w:rPr>
          <w:rFonts w:hint="eastAsia" w:ascii="仿宋" w:hAnsi="仿宋" w:eastAsia="仿宋" w:cs="仿宋"/>
          <w:b/>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14:textFill>
            <w14:solidFill>
              <w14:schemeClr w14:val="tx1"/>
            </w14:solidFill>
          </w14:textFill>
        </w:rPr>
        <w:t>约定期间内或者货物质量保证期内不予退还或者应完全有效，前述约定期间届满或者货物质量保证期届满之日起</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个工作日内，甲方应将履约保证金退还乙方；</w:t>
      </w:r>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60"/>
    <w:p>
      <w:pPr>
        <w:rPr>
          <w:rFonts w:hint="eastAsia" w:ascii="仿宋" w:hAnsi="仿宋" w:eastAsia="仿宋" w:cs="仿宋"/>
          <w:b/>
          <w:bCs/>
          <w:color w:val="000000" w:themeColor="text1"/>
          <w:highlight w:val="none"/>
          <w14:textFill>
            <w14:solidFill>
              <w14:schemeClr w14:val="tx1"/>
            </w14:solidFill>
          </w14:textFill>
        </w:rPr>
      </w:pPr>
      <w:bookmarkStart w:id="361" w:name="_Toc6810"/>
      <w:bookmarkStart w:id="362" w:name="_Toc20428"/>
      <w:bookmarkStart w:id="363" w:name="_Toc757"/>
      <w:bookmarkStart w:id="364" w:name="_Toc9292"/>
      <w:bookmarkStart w:id="365" w:name="_Toc19890"/>
      <w:bookmarkStart w:id="366" w:name="_Toc12124"/>
      <w:bookmarkStart w:id="367" w:name="_Toc6885"/>
      <w:bookmarkStart w:id="368" w:name="_Toc14001"/>
      <w:r>
        <w:rPr>
          <w:rFonts w:hint="eastAsia" w:ascii="仿宋" w:hAnsi="仿宋" w:eastAsia="仿宋" w:cs="仿宋"/>
          <w:b/>
          <w:bCs/>
          <w:color w:val="000000" w:themeColor="text1"/>
          <w:highlight w:val="none"/>
          <w14:textFill>
            <w14:solidFill>
              <w14:schemeClr w14:val="tx1"/>
            </w14:solidFill>
          </w14:textFill>
        </w:rPr>
        <w:t>2.22 合同份数</w:t>
      </w:r>
      <w:bookmarkEnd w:id="361"/>
      <w:bookmarkEnd w:id="362"/>
      <w:bookmarkEnd w:id="363"/>
      <w:bookmarkEnd w:id="364"/>
      <w:bookmarkEnd w:id="365"/>
      <w:bookmarkEnd w:id="366"/>
      <w:bookmarkEnd w:id="367"/>
      <w:bookmarkEnd w:id="368"/>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合同份数按</w:t>
      </w:r>
      <w:r>
        <w:rPr>
          <w:rFonts w:hint="eastAsia" w:ascii="仿宋" w:hAnsi="仿宋" w:eastAsia="仿宋" w:cs="仿宋"/>
          <w:b/>
          <w:color w:val="000000" w:themeColor="text1"/>
          <w:highlight w:val="none"/>
          <w:u w:val="single"/>
          <w14:textFill>
            <w14:solidFill>
              <w14:schemeClr w14:val="tx1"/>
            </w14:solidFill>
          </w14:textFill>
        </w:rPr>
        <w:t>合同专用条款</w:t>
      </w:r>
      <w:r>
        <w:rPr>
          <w:rFonts w:hint="eastAsia" w:ascii="仿宋" w:hAnsi="仿宋" w:eastAsia="仿宋" w:cs="仿宋"/>
          <w:color w:val="000000" w:themeColor="text1"/>
          <w:highlight w:val="none"/>
          <w14:textFill>
            <w14:solidFill>
              <w14:schemeClr w14:val="tx1"/>
            </w14:solidFill>
          </w14:textFill>
        </w:rPr>
        <w:t>规定，每份均具有同等法律效力。</w:t>
      </w:r>
    </w:p>
    <w:p>
      <w:pPr>
        <w:pStyle w:val="39"/>
        <w:spacing w:line="560" w:lineRule="exact"/>
        <w:ind w:firstLine="0"/>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br w:type="page"/>
      </w:r>
      <w:bookmarkStart w:id="369" w:name="_Toc331685784"/>
      <w:r>
        <w:rPr>
          <w:rFonts w:hint="eastAsia" w:ascii="仿宋" w:hAnsi="仿宋" w:eastAsia="仿宋" w:cs="仿宋"/>
          <w:b/>
          <w:bCs/>
          <w:color w:val="000000" w:themeColor="text1"/>
          <w:highlight w:val="none"/>
          <w14:textFill>
            <w14:solidFill>
              <w14:schemeClr w14:val="tx1"/>
            </w14:solidFill>
          </w14:textFill>
        </w:rPr>
        <w:t>第三部分  合同专用条款</w:t>
      </w:r>
      <w:bookmarkEnd w:id="369"/>
    </w:p>
    <w:p>
      <w:pPr>
        <w:spacing w:line="5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spacing w:line="560" w:lineRule="exact"/>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条款号</w:t>
            </w:r>
          </w:p>
        </w:tc>
        <w:tc>
          <w:tcPr>
            <w:tcW w:w="7633" w:type="dxa"/>
            <w:vAlign w:val="center"/>
          </w:tcPr>
          <w:p>
            <w:pPr>
              <w:spacing w:line="560" w:lineRule="exact"/>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c>
          <w:tcPr>
            <w:tcW w:w="7633" w:type="dxa"/>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c>
          <w:tcPr>
            <w:tcW w:w="7633" w:type="dxa"/>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c>
          <w:tcPr>
            <w:tcW w:w="7633" w:type="dxa"/>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c>
          <w:tcPr>
            <w:tcW w:w="7633" w:type="dxa"/>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c>
          <w:tcPr>
            <w:tcW w:w="7633" w:type="dxa"/>
            <w:vAlign w:val="center"/>
          </w:tcPr>
          <w:p>
            <w:pPr>
              <w:spacing w:line="560" w:lineRule="exact"/>
              <w:rPr>
                <w:rFonts w:hint="eastAsia" w:ascii="仿宋" w:hAnsi="仿宋" w:eastAsia="仿宋" w:cs="仿宋"/>
                <w:color w:val="000000" w:themeColor="text1"/>
                <w:highlight w:val="none"/>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c>
          <w:tcPr>
            <w:tcW w:w="7633" w:type="dxa"/>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c>
          <w:tcPr>
            <w:tcW w:w="7633" w:type="dxa"/>
            <w:vAlign w:val="center"/>
          </w:tcPr>
          <w:p>
            <w:pPr>
              <w:spacing w:line="560" w:lineRule="exact"/>
              <w:rPr>
                <w:rFonts w:hint="eastAsia" w:ascii="仿宋" w:hAnsi="仿宋" w:eastAsia="仿宋" w:cs="仿宋"/>
                <w:color w:val="000000" w:themeColor="text1"/>
                <w:highlight w:val="none"/>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c>
          <w:tcPr>
            <w:tcW w:w="7633" w:type="dxa"/>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c>
          <w:tcPr>
            <w:tcW w:w="7633" w:type="dxa"/>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c>
          <w:tcPr>
            <w:tcW w:w="7633" w:type="dxa"/>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仿宋" w:hAnsi="仿宋" w:eastAsia="仿宋" w:cs="仿宋"/>
                <w:color w:val="000000" w:themeColor="text1"/>
                <w:highlight w:val="none"/>
                <w14:textFill>
                  <w14:solidFill>
                    <w14:schemeClr w14:val="tx1"/>
                  </w14:solidFill>
                </w14:textFill>
              </w:rPr>
            </w:pPr>
          </w:p>
        </w:tc>
      </w:tr>
    </w:tbl>
    <w:p>
      <w:pPr>
        <w:jc w:val="center"/>
        <w:rPr>
          <w:rFonts w:hint="eastAsia" w:ascii="仿宋" w:hAnsi="仿宋" w:eastAsia="仿宋" w:cs="仿宋"/>
          <w:b/>
          <w:bCs/>
          <w:color w:val="000000" w:themeColor="text1"/>
          <w:sz w:val="40"/>
          <w:szCs w:val="40"/>
          <w:highlight w:val="none"/>
          <w14:textFill>
            <w14:solidFill>
              <w14:schemeClr w14:val="tx1"/>
            </w14:solidFill>
          </w14:textFill>
        </w:rPr>
      </w:pPr>
    </w:p>
    <w:p>
      <w:pPr>
        <w:jc w:val="center"/>
        <w:rPr>
          <w:rFonts w:hint="eastAsia" w:ascii="仿宋" w:hAnsi="仿宋" w:eastAsia="仿宋" w:cs="仿宋"/>
          <w:b/>
          <w:bCs/>
          <w:color w:val="000000" w:themeColor="text1"/>
          <w:sz w:val="40"/>
          <w:szCs w:val="40"/>
          <w:highlight w:val="none"/>
          <w14:textFill>
            <w14:solidFill>
              <w14:schemeClr w14:val="tx1"/>
            </w14:solidFill>
          </w14:textFill>
        </w:rPr>
      </w:pPr>
    </w:p>
    <w:p>
      <w:pPr>
        <w:jc w:val="center"/>
        <w:rPr>
          <w:rFonts w:hint="eastAsia" w:ascii="仿宋" w:hAnsi="仿宋" w:eastAsia="仿宋" w:cs="仿宋"/>
          <w:b/>
          <w:bCs/>
          <w:color w:val="000000" w:themeColor="text1"/>
          <w:sz w:val="40"/>
          <w:szCs w:val="40"/>
          <w:highlight w:val="none"/>
          <w14:textFill>
            <w14:solidFill>
              <w14:schemeClr w14:val="tx1"/>
            </w14:solidFill>
          </w14:textFill>
        </w:rPr>
      </w:pPr>
    </w:p>
    <w:p>
      <w:pPr>
        <w:jc w:val="center"/>
        <w:rPr>
          <w:rFonts w:hint="eastAsia" w:ascii="仿宋" w:hAnsi="仿宋" w:eastAsia="仿宋" w:cs="仿宋"/>
          <w:b/>
          <w:bCs/>
          <w:color w:val="000000" w:themeColor="text1"/>
          <w:sz w:val="40"/>
          <w:szCs w:val="40"/>
          <w:highlight w:val="none"/>
          <w14:textFill>
            <w14:solidFill>
              <w14:schemeClr w14:val="tx1"/>
            </w14:solidFill>
          </w14:textFill>
        </w:rPr>
      </w:pPr>
    </w:p>
    <w:p>
      <w:pPr>
        <w:jc w:val="center"/>
        <w:rPr>
          <w:rFonts w:hint="eastAsia" w:ascii="仿宋" w:hAnsi="仿宋" w:eastAsia="仿宋" w:cs="仿宋"/>
          <w:b/>
          <w:bCs/>
          <w:color w:val="000000" w:themeColor="text1"/>
          <w:sz w:val="40"/>
          <w:szCs w:val="40"/>
          <w:highlight w:val="none"/>
          <w14:textFill>
            <w14:solidFill>
              <w14:schemeClr w14:val="tx1"/>
            </w14:solidFill>
          </w14:textFill>
        </w:rPr>
      </w:pPr>
    </w:p>
    <w:p>
      <w:pPr>
        <w:jc w:val="center"/>
        <w:rPr>
          <w:rFonts w:hint="eastAsia" w:ascii="仿宋" w:hAnsi="仿宋" w:eastAsia="仿宋" w:cs="仿宋"/>
          <w:b/>
          <w:bCs/>
          <w:color w:val="000000" w:themeColor="text1"/>
          <w:sz w:val="40"/>
          <w:szCs w:val="40"/>
          <w:highlight w:val="none"/>
          <w14:textFill>
            <w14:solidFill>
              <w14:schemeClr w14:val="tx1"/>
            </w14:solidFill>
          </w14:textFill>
        </w:rPr>
      </w:pPr>
    </w:p>
    <w:p>
      <w:pPr>
        <w:jc w:val="center"/>
        <w:rPr>
          <w:rFonts w:hint="eastAsia" w:ascii="仿宋" w:hAnsi="仿宋" w:eastAsia="仿宋" w:cs="仿宋"/>
          <w:b/>
          <w:bCs/>
          <w:color w:val="000000" w:themeColor="text1"/>
          <w:sz w:val="40"/>
          <w:szCs w:val="40"/>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jc w:val="center"/>
        <w:outlineLvl w:val="0"/>
        <w:rPr>
          <w:rFonts w:hint="eastAsia" w:ascii="仿宋" w:hAnsi="仿宋" w:eastAsia="仿宋" w:cs="仿宋"/>
          <w:b/>
          <w:bCs/>
          <w:color w:val="000000" w:themeColor="text1"/>
          <w:sz w:val="40"/>
          <w:szCs w:val="40"/>
          <w:highlight w:val="none"/>
          <w14:textFill>
            <w14:solidFill>
              <w14:schemeClr w14:val="tx1"/>
            </w14:solidFill>
          </w14:textFill>
        </w:rPr>
      </w:pPr>
      <w:bookmarkStart w:id="370" w:name="_Toc20344"/>
      <w:bookmarkStart w:id="371" w:name="_Toc6770"/>
      <w:bookmarkStart w:id="372" w:name="_Toc25153"/>
      <w:r>
        <w:rPr>
          <w:rFonts w:hint="eastAsia" w:ascii="仿宋" w:hAnsi="仿宋" w:eastAsia="仿宋" w:cs="仿宋"/>
          <w:b/>
          <w:bCs/>
          <w:color w:val="000000" w:themeColor="text1"/>
          <w:sz w:val="40"/>
          <w:szCs w:val="40"/>
          <w:highlight w:val="none"/>
          <w14:textFill>
            <w14:solidFill>
              <w14:schemeClr w14:val="tx1"/>
            </w14:solidFill>
          </w14:textFill>
        </w:rPr>
        <w:t>第五章  质疑及处理</w:t>
      </w:r>
      <w:bookmarkEnd w:id="86"/>
      <w:bookmarkEnd w:id="87"/>
      <w:bookmarkEnd w:id="88"/>
      <w:bookmarkEnd w:id="89"/>
      <w:bookmarkEnd w:id="90"/>
      <w:bookmarkEnd w:id="370"/>
      <w:bookmarkEnd w:id="371"/>
      <w:bookmarkEnd w:id="372"/>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 质疑的提出</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1.1 质疑人必须是直接参与本次采购活动的投标人。质疑不接受邮寄。</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公告发布后的第3个工作日）起5个工作日内按招标文件中载明的邮箱：</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color w:val="000000" w:themeColor="text1"/>
          <w:highlight w:val="none"/>
          <w14:textFill>
            <w14:solidFill>
              <w14:schemeClr w14:val="tx1"/>
            </w14:solidFill>
          </w14:textFill>
        </w:rPr>
        <w:fldChar w:fldCharType="separate"/>
      </w:r>
      <w:r>
        <w:rPr>
          <w:rStyle w:val="27"/>
          <w:rFonts w:hint="eastAsia" w:ascii="仿宋" w:hAnsi="仿宋" w:eastAsia="仿宋" w:cs="仿宋"/>
          <w:bCs/>
          <w:color w:val="000000" w:themeColor="text1"/>
          <w:sz w:val="24"/>
          <w:highlight w:val="none"/>
          <w:lang w:val="en-US" w:eastAsia="zh-CN"/>
          <w14:textFill>
            <w14:solidFill>
              <w14:schemeClr w14:val="tx1"/>
            </w14:solidFill>
          </w14:textFill>
        </w:rPr>
        <w:t>3154736523@qq.com</w:t>
      </w:r>
      <w:r>
        <w:rPr>
          <w:rStyle w:val="27"/>
          <w:rFonts w:hint="eastAsia" w:ascii="仿宋" w:hAnsi="仿宋" w:eastAsia="仿宋" w:cs="仿宋"/>
          <w:bCs/>
          <w:color w:val="000000" w:themeColor="text1"/>
          <w:sz w:val="24"/>
          <w:highlight w:val="none"/>
          <w14:textFill>
            <w14:solidFill>
              <w14:schemeClr w14:val="tx1"/>
            </w14:solidFill>
          </w14:textFill>
        </w:rPr>
        <w:t>地址，以书面形式、应加盖公章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r>
        <w:rPr>
          <w:rStyle w:val="27"/>
          <w:rFonts w:hint="eastAsia" w:ascii="仿宋" w:hAnsi="仿宋" w:eastAsia="仿宋" w:cs="仿宋"/>
          <w:bCs/>
          <w:color w:val="000000" w:themeColor="text1"/>
          <w:sz w:val="24"/>
          <w:highlight w:val="none"/>
          <w14:textFill>
            <w14:solidFill>
              <w14:schemeClr w14:val="tx1"/>
            </w14:solidFill>
          </w14:textFill>
        </w:rPr>
        <w:fldChar w:fldCharType="end"/>
      </w:r>
      <w:r>
        <w:rPr>
          <w:rFonts w:hint="eastAsia" w:ascii="仿宋" w:hAnsi="仿宋" w:eastAsia="仿宋" w:cs="仿宋"/>
          <w:bCs/>
          <w:color w:val="000000" w:themeColor="text1"/>
          <w:highlight w:val="none"/>
          <w14:textFill>
            <w14:solidFill>
              <w14:schemeClr w14:val="tx1"/>
            </w14:solidFill>
          </w14:textFill>
        </w:rPr>
        <w:t>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1.3 对成交公告有异议的，在成交公告发布之日起五个工作日内，以书面形式并加盖公章和法人代表签字向招标方提出质疑。</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1.4 提出质疑时，必须按照“实事求是”、“谁主张，谁举证”的原则，提供相关证明材料，不能主观臆测。</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1.5 质疑函采用实名制，不得进行虚假、恶意质疑。质疑人应在质疑有效期内提交《质疑函》（格式后附），质疑函内容应包括质疑人相关信息、质疑事项、事实依据、适应法规条款、佐证材料等。</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1.7 佐证材料要具备客观性、关联性、合法性，无法查实的（如宣传册、媒体报道、猜测、推理等）不能作为佐证材料。</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1.8 对不能提供相关佐证材料的、涉及商业秘密的、非书面形式送达的、匿名的质疑将不予受理。</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1.9 对于有关资质要求、技术参数存在限制性、倾向性条款的及付款方式等方面的质疑，可在规定的时间内直接向采购单位提出并抄送招标方。</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 受理和处理</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2.1 《质疑函》必须由质疑方的法定代表人或投标代表以招标文件指定的方式送达招标方或采购单位。</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2.2 对符合要求的质疑，采购单位或招标方须签收。同一质疑人的质疑只接受一次。</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2.3 对于不符合上述所有条款要求的质疑，招标方将不予受理。</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2.4 在处理过程中，发现需要质疑人进一步补充相关佐证材料的，要求质疑人在规定时间内提供。质疑人不能按照要求提供相关佐证材料的，视同放弃质疑。</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2.5 招标方或采购单位负责对质疑的回复工作，将质疑人的质疑材料提供给相关专家或评标委员会，并将处理意见回复质疑人。</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 质疑无效的处理</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3.1 质疑人提供的相关佐证材料不能证明质疑成立的，招标方可要求质疑人补充相关佐证材料，如补充材料仍不能证明质疑成立的，将不予受理。</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3.2 对于质疑人在质疑期间不配合进行质疑调查处理的，视为自动放弃质疑。</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3.3 质疑人提出的质疑，经评标专家审定后驳回的，列为无效质疑。</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3.4 对于质疑中使用虚假材料或恶意方式质疑的，按无效质疑处理，并列入不良记录供应商名单。</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3.5质疑人进行质疑后，招标方在法定时间内对质疑进行回复，质疑人认为回复不满意的，可向政府采购管理部门进行投诉。</w:t>
      </w:r>
    </w:p>
    <w:p>
      <w:pPr>
        <w:overflowPunct w:val="0"/>
        <w:spacing w:line="440" w:lineRule="exact"/>
        <w:jc w:val="center"/>
        <w:outlineLvl w:val="0"/>
        <w:rPr>
          <w:rStyle w:val="35"/>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br w:type="page"/>
      </w:r>
      <w:bookmarkStart w:id="373" w:name="_Toc25594"/>
      <w:bookmarkStart w:id="374" w:name="_Toc5029"/>
      <w:bookmarkStart w:id="375" w:name="_Toc11998"/>
      <w:bookmarkStart w:id="376" w:name="_Toc22619"/>
      <w:bookmarkStart w:id="377" w:name="_Toc30135"/>
      <w:bookmarkStart w:id="378" w:name="_Toc14886"/>
      <w:bookmarkStart w:id="379" w:name="_Toc1020"/>
      <w:bookmarkStart w:id="380" w:name="_Toc2183"/>
      <w:bookmarkStart w:id="381" w:name="_Toc27328"/>
      <w:r>
        <w:rPr>
          <w:rStyle w:val="35"/>
          <w:rFonts w:hint="eastAsia" w:ascii="仿宋" w:hAnsi="仿宋" w:eastAsia="仿宋" w:cs="仿宋"/>
          <w:color w:val="000000" w:themeColor="text1"/>
          <w:sz w:val="36"/>
          <w:szCs w:val="36"/>
          <w:highlight w:val="none"/>
          <w14:textFill>
            <w14:solidFill>
              <w14:schemeClr w14:val="tx1"/>
            </w14:solidFill>
          </w14:textFill>
        </w:rPr>
        <w:t>质疑函</w:t>
      </w:r>
      <w:bookmarkEnd w:id="373"/>
      <w:bookmarkEnd w:id="374"/>
      <w:bookmarkEnd w:id="375"/>
      <w:bookmarkEnd w:id="376"/>
    </w:p>
    <w:bookmarkEnd w:id="377"/>
    <w:bookmarkEnd w:id="378"/>
    <w:bookmarkEnd w:id="379"/>
    <w:bookmarkEnd w:id="380"/>
    <w:bookmarkEnd w:id="381"/>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 xml:space="preserve">                    ：</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依据政府采购相关法规，我公司对           项目的（项目编号：         ）招标活动存在疑问，特提出质疑（详见下表）。</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我公司和本人对此质疑函内容的真实性负责，并愿意承担由此引起的相应处理和法律责任。</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法定代表人（签字并盖名章）：</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身份证号码：</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固话：      传真：     手机：</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本项目授权委托人（签字并盖名章）：</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身份证号码：</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固话：        传真：    手机：</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公司地址：              邮编：</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（如法人为质疑人则不需要填此项）</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 xml:space="preserve">质疑人（公章）：            </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 xml:space="preserve">年   月   日 </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pStyle w:val="2"/>
        <w:rPr>
          <w:rFonts w:hint="eastAsia" w:ascii="仿宋" w:hAnsi="仿宋" w:eastAsia="仿宋" w:cs="仿宋"/>
          <w:bCs/>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质   疑  内  容</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tbl>
      <w:tblPr>
        <w:tblStyle w:val="21"/>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一、质疑事项1：</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主要内容：</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事实依据：</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适应法规条款：</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佐证材料：</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二、质疑事项2：</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主要内容：</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事实依据：</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适应法规条款：</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佐证材料：</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三、同上</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p>
        </w:tc>
      </w:tr>
    </w:tbl>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备注：</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3、“具体的质疑事项及事实依据”一栏填写不下时，质疑人可另附页（A4），但附纸要求加盖质疑人公章。</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4、与质疑事项有关的材料应与质疑函合并装订。</w:t>
      </w:r>
    </w:p>
    <w:p>
      <w:pPr>
        <w:overflowPunct w:val="0"/>
        <w:spacing w:line="44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5、质疑函一式三份。</w:t>
      </w:r>
    </w:p>
    <w:p>
      <w:pPr>
        <w:pStyle w:val="3"/>
        <w:spacing w:line="360" w:lineRule="auto"/>
        <w:ind w:firstLine="2715" w:firstLineChars="1127"/>
        <w:jc w:val="both"/>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pStyle w:val="3"/>
        <w:spacing w:line="360" w:lineRule="auto"/>
        <w:ind w:firstLine="2715" w:firstLineChars="1127"/>
        <w:jc w:val="both"/>
        <w:outlineLvl w:val="9"/>
        <w:rPr>
          <w:rFonts w:hint="eastAsia" w:ascii="仿宋" w:hAnsi="仿宋" w:eastAsia="仿宋" w:cs="仿宋"/>
          <w:color w:val="000000" w:themeColor="text1"/>
          <w:sz w:val="24"/>
          <w:highlight w:val="none"/>
          <w14:textFill>
            <w14:solidFill>
              <w14:schemeClr w14:val="tx1"/>
            </w14:solidFill>
          </w14:textFill>
        </w:rPr>
      </w:pPr>
    </w:p>
    <w:p>
      <w:pPr>
        <w:pStyle w:val="3"/>
        <w:spacing w:line="360" w:lineRule="auto"/>
        <w:rPr>
          <w:rFonts w:hint="eastAsia" w:ascii="仿宋" w:hAnsi="仿宋" w:eastAsia="仿宋" w:cs="仿宋"/>
          <w:color w:val="000000" w:themeColor="text1"/>
          <w:sz w:val="32"/>
          <w:highlight w:val="none"/>
          <w14:textFill>
            <w14:solidFill>
              <w14:schemeClr w14:val="tx1"/>
            </w14:solidFill>
          </w14:textFill>
        </w:rPr>
      </w:pPr>
      <w:bookmarkStart w:id="382" w:name="_Toc23170"/>
      <w:bookmarkStart w:id="383" w:name="_Toc28262"/>
      <w:bookmarkStart w:id="384" w:name="_Toc15680"/>
      <w:bookmarkStart w:id="385" w:name="_Toc20393"/>
      <w:r>
        <w:rPr>
          <w:rFonts w:hint="eastAsia" w:ascii="仿宋" w:hAnsi="仿宋" w:eastAsia="仿宋" w:cs="仿宋"/>
          <w:color w:val="000000" w:themeColor="text1"/>
          <w:sz w:val="32"/>
          <w:szCs w:val="32"/>
          <w:highlight w:val="none"/>
          <w14:textFill>
            <w14:solidFill>
              <w14:schemeClr w14:val="tx1"/>
            </w14:solidFill>
          </w14:textFill>
        </w:rPr>
        <w:t>第六章  谈判响应文件格式</w:t>
      </w:r>
      <w:bookmarkEnd w:id="91"/>
      <w:bookmarkEnd w:id="382"/>
      <w:bookmarkEnd w:id="383"/>
      <w:bookmarkEnd w:id="384"/>
      <w:bookmarkEnd w:id="385"/>
    </w:p>
    <w:tbl>
      <w:tblPr>
        <w:tblStyle w:val="21"/>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vAlign w:val="center"/>
          </w:tcPr>
          <w:p>
            <w:pPr>
              <w:spacing w:line="360" w:lineRule="auto"/>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正本</w:t>
            </w:r>
          </w:p>
        </w:tc>
      </w:tr>
    </w:tbl>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pPr>
        <w:spacing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（谈判项目名称）</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谈判项目编号：</w:t>
      </w:r>
      <w:r>
        <w:rPr>
          <w:rFonts w:hint="eastAsia" w:ascii="仿宋" w:hAnsi="仿宋" w:eastAsia="仿宋" w:cs="仿宋"/>
          <w:color w:val="000000" w:themeColor="text1"/>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jc w:val="center"/>
        <w:outlineLvl w:val="0"/>
        <w:rPr>
          <w:rFonts w:hint="eastAsia" w:ascii="仿宋" w:hAnsi="仿宋" w:eastAsia="仿宋" w:cs="仿宋"/>
          <w:b/>
          <w:color w:val="000000" w:themeColor="text1"/>
          <w:sz w:val="36"/>
          <w:szCs w:val="36"/>
          <w:highlight w:val="none"/>
          <w14:textFill>
            <w14:solidFill>
              <w14:schemeClr w14:val="tx1"/>
            </w14:solidFill>
          </w14:textFill>
        </w:rPr>
      </w:pPr>
      <w:bookmarkStart w:id="386" w:name="_Toc20575"/>
      <w:bookmarkStart w:id="387" w:name="_Toc5679"/>
      <w:bookmarkStart w:id="388" w:name="_Toc27660"/>
      <w:bookmarkStart w:id="389" w:name="_Toc12183"/>
      <w:r>
        <w:rPr>
          <w:rFonts w:hint="eastAsia" w:ascii="仿宋" w:hAnsi="仿宋" w:eastAsia="仿宋" w:cs="仿宋"/>
          <w:b/>
          <w:color w:val="000000" w:themeColor="text1"/>
          <w:sz w:val="36"/>
          <w:szCs w:val="36"/>
          <w:highlight w:val="none"/>
          <w14:textFill>
            <w14:solidFill>
              <w14:schemeClr w14:val="tx1"/>
            </w14:solidFill>
          </w14:textFill>
        </w:rPr>
        <w:t>谈  判  响  应  文  件</w:t>
      </w:r>
      <w:bookmarkEnd w:id="386"/>
      <w:bookmarkEnd w:id="387"/>
      <w:bookmarkEnd w:id="388"/>
      <w:bookmarkEnd w:id="389"/>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报价人：</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（单位公章）</w:t>
      </w:r>
    </w:p>
    <w:p>
      <w:pPr>
        <w:spacing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法定代表人：</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（签字或盖章）</w:t>
      </w:r>
    </w:p>
    <w:p>
      <w:pPr>
        <w:spacing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年      月      日</w:t>
      </w:r>
    </w:p>
    <w:p>
      <w:pPr>
        <w:pStyle w:val="5"/>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jc w:val="center"/>
        <w:rPr>
          <w:rFonts w:hint="eastAsia" w:ascii="仿宋" w:hAnsi="仿宋" w:eastAsia="仿宋" w:cs="仿宋"/>
          <w:b w:val="0"/>
          <w:bCs w:val="0"/>
          <w:color w:val="000000" w:themeColor="text1"/>
          <w:highlight w:val="none"/>
          <w:lang w:eastAsia="zh-CN"/>
          <w14:textFill>
            <w14:solidFill>
              <w14:schemeClr w14:val="tx1"/>
            </w14:solidFill>
          </w14:textFill>
        </w:rPr>
      </w:pPr>
    </w:p>
    <w:p>
      <w:pPr>
        <w:jc w:val="center"/>
        <w:rPr>
          <w:rFonts w:hint="eastAsia" w:ascii="仿宋" w:hAnsi="仿宋" w:eastAsia="仿宋" w:cs="仿宋"/>
          <w:b w:val="0"/>
          <w:bCs w:val="0"/>
          <w:color w:val="000000" w:themeColor="text1"/>
          <w:highlight w:val="none"/>
          <w:lang w:eastAsia="zh-CN"/>
          <w14:textFill>
            <w14:solidFill>
              <w14:schemeClr w14:val="tx1"/>
            </w14:solidFill>
          </w14:textFill>
        </w:rPr>
      </w:pPr>
    </w:p>
    <w:p>
      <w:pPr>
        <w:jc w:val="center"/>
        <w:rPr>
          <w:rFonts w:hint="eastAsia" w:ascii="仿宋" w:hAnsi="仿宋" w:eastAsia="仿宋" w:cs="仿宋"/>
          <w:b w:val="0"/>
          <w:bCs w:val="0"/>
          <w:color w:val="000000" w:themeColor="text1"/>
          <w:highlight w:val="none"/>
          <w:lang w:eastAsia="zh-CN"/>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目录</w:t>
      </w:r>
    </w:p>
    <w:p>
      <w:pPr>
        <w:tabs>
          <w:tab w:val="left" w:pos="1662"/>
        </w:tabs>
        <w:spacing w:line="360" w:lineRule="auto"/>
        <w:ind w:left="154" w:leftChars="64"/>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投标人须按下列顺序排列和装订投标文件并连续标注页码：</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TOC \o "1-3" \n  \h \u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_Toc12609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满足《中华人民共和国政府采购法》第二十二条要求</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_Toc3314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（一）投标函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_Toc6723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（二）投标人资格证明文件</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_Toc18466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（三）商务偏离表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_Toc31364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（四）开标一览表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_Toc14099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（五）</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w:t>
      </w:r>
      <w:r>
        <w:rPr>
          <w:rFonts w:hint="eastAsia" w:ascii="仿宋" w:hAnsi="仿宋" w:eastAsia="仿宋" w:cs="仿宋"/>
          <w:b w:val="0"/>
          <w:bCs w:val="0"/>
          <w:color w:val="000000" w:themeColor="text1"/>
          <w:sz w:val="24"/>
          <w:szCs w:val="24"/>
          <w:highlight w:val="none"/>
          <w14:textFill>
            <w14:solidFill>
              <w14:schemeClr w14:val="tx1"/>
            </w14:solidFill>
          </w14:textFill>
        </w:rPr>
        <w:t>报价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明细</w:t>
      </w:r>
      <w:r>
        <w:rPr>
          <w:rFonts w:hint="eastAsia" w:ascii="仿宋" w:hAnsi="仿宋" w:eastAsia="仿宋" w:cs="仿宋"/>
          <w:b w:val="0"/>
          <w:bCs w:val="0"/>
          <w:color w:val="000000" w:themeColor="text1"/>
          <w:sz w:val="24"/>
          <w:szCs w:val="24"/>
          <w:highlight w:val="none"/>
          <w14:textFill>
            <w14:solidFill>
              <w14:schemeClr w14:val="tx1"/>
            </w14:solidFill>
          </w14:textFill>
        </w:rPr>
        <w:t>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_Toc12085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）法定代表人身份证明及法定代表人授权委托书格式</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_Toc656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七</w:t>
      </w:r>
      <w:r>
        <w:rPr>
          <w:rFonts w:hint="eastAsia" w:ascii="仿宋" w:hAnsi="仿宋" w:eastAsia="仿宋" w:cs="仿宋"/>
          <w:b w:val="0"/>
          <w:bCs w:val="0"/>
          <w:color w:val="000000" w:themeColor="text1"/>
          <w:sz w:val="24"/>
          <w:szCs w:val="24"/>
          <w:highlight w:val="none"/>
          <w14:textFill>
            <w14:solidFill>
              <w14:schemeClr w14:val="tx1"/>
            </w14:solidFill>
          </w14:textFill>
        </w:rPr>
        <w:t>）投标单位反商业贿赂承诺书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_Toc17833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（八）</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节能、环保产品证明（如有）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_Toc13195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（九）</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中小企业声明函（如是）</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_Toc14418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十</w:t>
      </w:r>
      <w:r>
        <w:rPr>
          <w:rFonts w:hint="eastAsia" w:ascii="仿宋" w:hAnsi="仿宋" w:eastAsia="仿宋" w:cs="仿宋"/>
          <w:b w:val="0"/>
          <w:bCs w:val="0"/>
          <w:color w:val="000000" w:themeColor="text1"/>
          <w:sz w:val="24"/>
          <w:szCs w:val="24"/>
          <w:highlight w:val="none"/>
          <w14:textFill>
            <w14:solidFill>
              <w14:schemeClr w14:val="tx1"/>
            </w14:solidFill>
          </w14:textFill>
        </w:rPr>
        <w:t>）投标保证金</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_Toc3019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val="0"/>
          <w:bCs w:val="0"/>
          <w:color w:val="000000" w:themeColor="text1"/>
          <w:sz w:val="24"/>
          <w:szCs w:val="24"/>
          <w:highlight w:val="none"/>
          <w14:textFill>
            <w14:solidFill>
              <w14:schemeClr w14:val="tx1"/>
            </w14:solidFill>
          </w14:textFill>
        </w:rPr>
        <w:t>）技术条款偏离表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_Toc23781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val="0"/>
          <w:bCs w:val="0"/>
          <w:color w:val="000000" w:themeColor="text1"/>
          <w:sz w:val="24"/>
          <w:szCs w:val="24"/>
          <w:highlight w:val="none"/>
          <w14:textFill>
            <w14:solidFill>
              <w14:schemeClr w14:val="tx1"/>
            </w14:solidFill>
          </w14:textFill>
        </w:rPr>
        <w:t>）投标人基本情况表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_Toc30025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（十三）运输方案</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_Toc15412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val="0"/>
          <w:bCs w:val="0"/>
          <w:color w:val="000000" w:themeColor="text1"/>
          <w:sz w:val="24"/>
          <w:szCs w:val="24"/>
          <w:highlight w:val="none"/>
          <w14:textFill>
            <w14:solidFill>
              <w14:schemeClr w14:val="tx1"/>
            </w14:solidFill>
          </w14:textFill>
        </w:rPr>
        <w:t>）质量保证措施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_Toc23967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售后</w:t>
      </w:r>
      <w:r>
        <w:rPr>
          <w:rFonts w:hint="eastAsia" w:ascii="仿宋" w:hAnsi="仿宋" w:eastAsia="仿宋" w:cs="仿宋"/>
          <w:b w:val="0"/>
          <w:bCs w:val="0"/>
          <w:color w:val="000000" w:themeColor="text1"/>
          <w:sz w:val="24"/>
          <w:szCs w:val="24"/>
          <w:highlight w:val="none"/>
          <w14:textFill>
            <w14:solidFill>
              <w14:schemeClr w14:val="tx1"/>
            </w14:solidFill>
          </w14:textFill>
        </w:rPr>
        <w:t>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5"/>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_Toc25484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）其他有利于投标人的资料（如有）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tabs>
          <w:tab w:val="left" w:pos="1662"/>
        </w:tabs>
        <w:spacing w:line="360" w:lineRule="auto"/>
        <w:ind w:left="154" w:leftChars="64"/>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tabs>
          <w:tab w:val="left" w:pos="1662"/>
        </w:tabs>
        <w:ind w:left="154" w:leftChars="64"/>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注：投标文件的内容包括但不仅限于上述内容，如有不足请自行补充。</w:t>
      </w:r>
    </w:p>
    <w:p>
      <w:pPr>
        <w:rPr>
          <w:rFonts w:hint="eastAsia" w:ascii="仿宋" w:hAnsi="仿宋" w:eastAsia="仿宋" w:cs="仿宋"/>
          <w:b w:val="0"/>
          <w:bCs w:val="0"/>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5"/>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5"/>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5"/>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line="360" w:lineRule="auto"/>
        <w:ind w:left="154" w:leftChars="64" w:firstLine="1"/>
        <w:jc w:val="center"/>
        <w:outlineLvl w:val="1"/>
        <w:rPr>
          <w:rFonts w:hint="eastAsia" w:ascii="仿宋" w:hAnsi="仿宋" w:eastAsia="仿宋" w:cs="仿宋"/>
          <w:b/>
          <w:bCs/>
          <w:color w:val="000000" w:themeColor="text1"/>
          <w:sz w:val="36"/>
          <w:szCs w:val="36"/>
          <w:highlight w:val="none"/>
          <w14:textFill>
            <w14:solidFill>
              <w14:schemeClr w14:val="tx1"/>
            </w14:solidFill>
          </w14:textFill>
        </w:rPr>
      </w:pPr>
    </w:p>
    <w:p>
      <w:pPr>
        <w:tabs>
          <w:tab w:val="left" w:pos="1662"/>
        </w:tabs>
        <w:spacing w:before="113" w:line="360" w:lineRule="auto"/>
        <w:ind w:left="154" w:leftChars="64" w:firstLine="1"/>
        <w:jc w:val="center"/>
        <w:outlineLvl w:val="1"/>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满足《中华人民共和国政府采购法》第二十二条要求</w:t>
      </w: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采购人)：</w:t>
      </w: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我方：满足《中华人民共和国政府采购法》第二十二条要求</w:t>
      </w: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具有独立承担民事责任的能力；</w:t>
      </w: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具有良好的商业信誉和健全的财务会计制度； 具有履行合同所必需的设备和专业技术能力； 有依法缴纳税收和社会保障资金的良好记录；</w:t>
      </w: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参加政府采购活动前三年内，在经营活动中没有重大违法记录； 法律、行政法规规定的其他条件。</w:t>
      </w: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特此声明！</w:t>
      </w: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投标人名称(盖单位章)：</w:t>
      </w: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法定代表人或其委托代理人 (签字)： </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日期： </w:t>
      </w:r>
    </w:p>
    <w:p>
      <w:pPr>
        <w:tabs>
          <w:tab w:val="left" w:pos="1662"/>
        </w:tabs>
        <w:spacing w:before="113" w:line="360" w:lineRule="auto"/>
        <w:ind w:left="154"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pStyle w:val="8"/>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经年审合格的企业法人营业执照副本</w:t>
      </w: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rPr>
          <w:rFonts w:hint="eastAsia" w:ascii="仿宋" w:hAnsi="仿宋" w:eastAsia="仿宋" w:cs="仿宋"/>
          <w:color w:val="000000" w:themeColor="text1"/>
          <w:highlight w:val="none"/>
          <w:lang w:val="en-US" w:eastAsia="zh-CN"/>
          <w14:textFill>
            <w14:solidFill>
              <w14:schemeClr w14:val="tx1"/>
            </w14:solidFill>
          </w14:textFill>
        </w:rPr>
      </w:pPr>
    </w:p>
    <w:p>
      <w:pPr>
        <w:rPr>
          <w:rFonts w:hint="eastAsia" w:ascii="仿宋" w:hAnsi="仿宋" w:eastAsia="仿宋" w:cs="仿宋"/>
          <w:color w:val="000000" w:themeColor="text1"/>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numPr>
          <w:ilvl w:val="2"/>
          <w:numId w:val="0"/>
        </w:numPr>
        <w:ind w:left="400" w:leftChars="0"/>
        <w:outlineLvl w:val="9"/>
        <w:rPr>
          <w:rFonts w:hint="eastAsia" w:ascii="仿宋" w:hAnsi="仿宋" w:eastAsia="仿宋" w:cs="仿宋"/>
          <w:color w:val="000000" w:themeColor="text1"/>
          <w:highlight w:val="none"/>
          <w:lang w:val="en-US" w:eastAsia="zh-CN"/>
          <w14:textFill>
            <w14:solidFill>
              <w14:schemeClr w14:val="tx1"/>
            </w14:solidFill>
          </w14:textFill>
        </w:rPr>
      </w:pPr>
    </w:p>
    <w:p>
      <w:pPr>
        <w:rPr>
          <w:rFonts w:hint="eastAsia" w:ascii="仿宋" w:hAnsi="仿宋" w:eastAsia="仿宋" w:cs="仿宋"/>
          <w:color w:val="000000" w:themeColor="text1"/>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54"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 xml:space="preserve">1.2 </w:t>
      </w:r>
      <w:r>
        <w:rPr>
          <w:rFonts w:hint="eastAsia" w:ascii="仿宋" w:hAnsi="仿宋" w:eastAsia="仿宋" w:cs="仿宋"/>
          <w:i w:val="0"/>
          <w:caps w:val="0"/>
          <w:color w:val="000000"/>
          <w:spacing w:val="0"/>
          <w:kern w:val="0"/>
          <w:sz w:val="24"/>
          <w:szCs w:val="24"/>
          <w:highlight w:val="none"/>
          <w:lang w:val="en-US" w:eastAsia="zh-CN" w:bidi="ar-SA"/>
        </w:rPr>
        <w:t>具有良好的商业信誉和健全的财务会计制度（需提供2020年财务报告或报表，2021年新成立公司不提供）；</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right="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1.3</w:t>
      </w:r>
      <w:r>
        <w:rPr>
          <w:rFonts w:hint="eastAsia" w:ascii="仿宋" w:hAnsi="仿宋" w:eastAsia="仿宋" w:cs="仿宋"/>
          <w:i w:val="0"/>
          <w:caps w:val="0"/>
          <w:color w:val="000000"/>
          <w:spacing w:val="0"/>
          <w:kern w:val="0"/>
          <w:sz w:val="24"/>
          <w:szCs w:val="24"/>
          <w:highlight w:val="none"/>
          <w:lang w:val="en-US" w:eastAsia="zh-CN" w:bidi="ar-SA"/>
        </w:rPr>
        <w:t>具有依法缴纳税收的良好记录（提供近三个月的完</w:t>
      </w:r>
      <w:bookmarkStart w:id="470" w:name="_GoBack"/>
      <w:bookmarkEnd w:id="470"/>
      <w:r>
        <w:rPr>
          <w:rFonts w:hint="eastAsia" w:ascii="仿宋" w:hAnsi="仿宋" w:eastAsia="仿宋" w:cs="仿宋"/>
          <w:i w:val="0"/>
          <w:caps w:val="0"/>
          <w:color w:val="000000"/>
          <w:spacing w:val="0"/>
          <w:kern w:val="0"/>
          <w:sz w:val="24"/>
          <w:szCs w:val="24"/>
          <w:highlight w:val="none"/>
          <w:lang w:val="en-US" w:eastAsia="zh-CN" w:bidi="ar-SA"/>
        </w:rPr>
        <w:t>税证明或报税相关资料）；</w:t>
      </w: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8"/>
        <w:rPr>
          <w:rFonts w:hint="eastAsia" w:ascii="仿宋" w:hAnsi="仿宋" w:eastAsia="仿宋" w:cs="仿宋"/>
          <w:b/>
          <w:bCs/>
          <w:color w:val="FF0000"/>
          <w:kern w:val="0"/>
          <w:sz w:val="24"/>
          <w:szCs w:val="24"/>
          <w:highlight w:val="none"/>
          <w:lang w:val="en-US" w:eastAsia="zh-CN" w:bidi="ar-SA"/>
        </w:rPr>
      </w:pPr>
      <w:r>
        <w:rPr>
          <w:rFonts w:hint="eastAsia" w:ascii="仿宋" w:hAnsi="仿宋" w:eastAsia="仿宋" w:cs="仿宋"/>
          <w:b/>
          <w:bCs/>
          <w:color w:val="FF0000"/>
          <w:kern w:val="0"/>
          <w:sz w:val="24"/>
          <w:szCs w:val="24"/>
          <w:highlight w:val="none"/>
          <w:lang w:val="en-US" w:eastAsia="zh-CN" w:bidi="ar-SA"/>
        </w:rPr>
        <w:t>1.4不存在下列情形</w:t>
      </w:r>
    </w:p>
    <w:p>
      <w:pPr>
        <w:tabs>
          <w:tab w:val="left" w:pos="1662"/>
        </w:tabs>
        <w:spacing w:before="113" w:line="360" w:lineRule="auto"/>
        <w:ind w:left="154" w:leftChars="64" w:firstLine="1"/>
        <w:jc w:val="left"/>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不存在情形：（1）为招标人不具有相应经营范围</w:t>
      </w:r>
    </w:p>
    <w:p>
      <w:pPr>
        <w:tabs>
          <w:tab w:val="left" w:pos="1662"/>
        </w:tabs>
        <w:spacing w:before="113" w:line="360" w:lineRule="auto"/>
        <w:ind w:left="154" w:leftChars="64" w:firstLine="1"/>
        <w:jc w:val="left"/>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不存在情形：（2）为本标段前期准备提供设计和其他文件的咨询服务不存在情形：</w:t>
      </w:r>
    </w:p>
    <w:p>
      <w:pPr>
        <w:tabs>
          <w:tab w:val="left" w:pos="1662"/>
        </w:tabs>
        <w:spacing w:before="113" w:line="360" w:lineRule="auto"/>
        <w:ind w:left="154" w:leftChars="64" w:firstLine="1"/>
        <w:jc w:val="left"/>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不存在情形：（3）为本标段提供招标代理服务的</w:t>
      </w:r>
    </w:p>
    <w:p>
      <w:pPr>
        <w:tabs>
          <w:tab w:val="left" w:pos="1662"/>
        </w:tabs>
        <w:spacing w:before="113" w:line="360" w:lineRule="auto"/>
        <w:ind w:left="154" w:leftChars="64" w:firstLine="1"/>
        <w:jc w:val="left"/>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不存在情形：（4）法定代表人为同一人的两个及两个以上法人，母公司、全资子公司及其控股公司，在同一货物采购招标中同时投标的</w:t>
      </w:r>
    </w:p>
    <w:p>
      <w:pPr>
        <w:tabs>
          <w:tab w:val="left" w:pos="1662"/>
        </w:tabs>
        <w:spacing w:before="113" w:line="360" w:lineRule="auto"/>
        <w:ind w:left="154" w:leftChars="64" w:firstLine="1"/>
        <w:jc w:val="left"/>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不存在情形：（5）被责令停产停业、暂扣或者吊销许可证、暂扣或者吊销执照不存在情形：（6）被依法暂停或者取消投标资格</w:t>
      </w:r>
    </w:p>
    <w:p>
      <w:pPr>
        <w:tabs>
          <w:tab w:val="left" w:pos="1662"/>
        </w:tabs>
        <w:spacing w:before="113" w:line="360" w:lineRule="auto"/>
        <w:ind w:left="154" w:leftChars="64" w:firstLine="1"/>
        <w:jc w:val="left"/>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不存在情形：（7）财产被接管或冻结的</w:t>
      </w:r>
    </w:p>
    <w:p>
      <w:pPr>
        <w:tabs>
          <w:tab w:val="left" w:pos="1662"/>
        </w:tabs>
        <w:spacing w:before="113" w:line="360" w:lineRule="auto"/>
        <w:ind w:left="154" w:leftChars="64" w:firstLine="1"/>
        <w:jc w:val="left"/>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不存在情形：（8）进入清算程序，或被宣告破产，或其他丧失履约能力的情形不存在情形：（9）在最近三年内有骗取中标或严重违约受到行政处罚的</w:t>
      </w:r>
    </w:p>
    <w:p>
      <w:pPr>
        <w:tabs>
          <w:tab w:val="left" w:pos="1662"/>
        </w:tabs>
        <w:spacing w:before="113" w:line="360" w:lineRule="auto"/>
        <w:ind w:left="154" w:leftChars="64" w:firstLine="1"/>
        <w:jc w:val="left"/>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不存在情形：（10）在最近三年内发生重大产品质量问题（以相关行业主管部门的行政处罚决定或司法机关出具的有关法律文书为准）；</w:t>
      </w:r>
    </w:p>
    <w:p>
      <w:pPr>
        <w:tabs>
          <w:tab w:val="left" w:pos="1662"/>
        </w:tabs>
        <w:spacing w:before="113" w:line="360" w:lineRule="auto"/>
        <w:ind w:left="154" w:leftChars="64" w:firstLine="1"/>
        <w:jc w:val="left"/>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不存在情形：（11）被最高人民法院在“信用中国”网站（www.creditchina.gov.cn）或各级信用信息共享平台中列入失信被执行人名单</w:t>
      </w:r>
    </w:p>
    <w:p>
      <w:pPr>
        <w:tabs>
          <w:tab w:val="left" w:pos="1662"/>
        </w:tabs>
        <w:spacing w:before="113" w:line="360" w:lineRule="auto"/>
        <w:ind w:left="154" w:leftChars="64" w:firstLine="1"/>
        <w:jc w:val="left"/>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不存在情形：（12）在国家企业信用信息公示系统（www.gsxt.gov.cn）被列入经营异常名录的</w:t>
      </w:r>
    </w:p>
    <w:p>
      <w:pPr>
        <w:tabs>
          <w:tab w:val="left" w:pos="1662"/>
        </w:tabs>
        <w:spacing w:before="113" w:line="360" w:lineRule="auto"/>
        <w:ind w:left="154" w:leftChars="64" w:firstLine="1"/>
        <w:jc w:val="left"/>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不存在情形：（13）在中国政府采购网（www.ccgp.gov.cn）政府采购严重违法失信行为记录名单的（尚在处罚期内的）</w:t>
      </w:r>
    </w:p>
    <w:p>
      <w:pPr>
        <w:tabs>
          <w:tab w:val="left" w:pos="1662"/>
        </w:tabs>
        <w:spacing w:before="113" w:line="360" w:lineRule="auto"/>
        <w:ind w:left="154" w:leftChars="64" w:firstLine="1"/>
        <w:jc w:val="left"/>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不存在情形：（14）在中国裁判文书网（http://wenshu.court.gov.cn/）重大税收违法案件当事人名单</w:t>
      </w:r>
    </w:p>
    <w:p>
      <w:pPr>
        <w:tabs>
          <w:tab w:val="left" w:pos="1662"/>
        </w:tabs>
        <w:spacing w:before="113" w:line="360" w:lineRule="auto"/>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附：相关网页截图</w:t>
      </w: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投标人名称(盖单位章)：</w:t>
      </w: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法定代表人或其委托代理人 (签字)： </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54"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日期： </w:t>
      </w:r>
    </w:p>
    <w:p>
      <w:pPr>
        <w:tabs>
          <w:tab w:val="left" w:pos="1662"/>
        </w:tabs>
        <w:spacing w:before="113" w:line="360" w:lineRule="auto"/>
        <w:ind w:left="154"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390" w:name="_Toc4079"/>
      <w:bookmarkStart w:id="391" w:name="_Toc22882"/>
      <w:bookmarkStart w:id="392" w:name="_Toc3314"/>
      <w:bookmarkStart w:id="393" w:name="_Toc20316"/>
      <w:bookmarkStart w:id="394" w:name="_Toc16784"/>
    </w:p>
    <w:p>
      <w:pPr>
        <w:tabs>
          <w:tab w:val="left" w:pos="1662"/>
        </w:tabs>
        <w:spacing w:before="113" w:line="360" w:lineRule="auto"/>
        <w:ind w:left="154"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（一）投标函</w:t>
      </w:r>
      <w:bookmarkEnd w:id="390"/>
      <w:bookmarkEnd w:id="391"/>
      <w:bookmarkEnd w:id="392"/>
      <w:bookmarkEnd w:id="393"/>
      <w:bookmarkEnd w:id="394"/>
    </w:p>
    <w:p>
      <w:pPr>
        <w:tabs>
          <w:tab w:val="left" w:pos="1662"/>
        </w:tabs>
        <w:spacing w:before="113" w:line="360" w:lineRule="auto"/>
        <w:ind w:left="154"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（招标人名称）</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根据贵方为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项目招标的投标公告</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项目编号  </w:t>
      </w:r>
      <w:r>
        <w:rPr>
          <w:rFonts w:hint="eastAsia" w:ascii="仿宋" w:hAnsi="仿宋" w:eastAsia="仿宋" w:cs="仿宋"/>
          <w:color w:val="000000" w:themeColor="text1"/>
          <w:sz w:val="24"/>
          <w:szCs w:val="24"/>
          <w:highlight w:val="none"/>
          <w14:textFill>
            <w14:solidFill>
              <w14:schemeClr w14:val="tx1"/>
            </w14:solidFill>
          </w14:textFill>
        </w:rPr>
        <w:t>，签字代表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（姓名、职务） </w:t>
      </w:r>
      <w:r>
        <w:rPr>
          <w:rFonts w:hint="eastAsia" w:ascii="仿宋" w:hAnsi="仿宋" w:eastAsia="仿宋" w:cs="仿宋"/>
          <w:color w:val="000000" w:themeColor="text1"/>
          <w:sz w:val="24"/>
          <w:szCs w:val="24"/>
          <w:highlight w:val="none"/>
          <w14:textFill>
            <w14:solidFill>
              <w14:schemeClr w14:val="tx1"/>
            </w14:solidFill>
          </w14:textFill>
        </w:rPr>
        <w:t>经正式授权并代表投标人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（投标人名称、地址） </w:t>
      </w:r>
      <w:r>
        <w:rPr>
          <w:rFonts w:hint="eastAsia" w:ascii="仿宋" w:hAnsi="仿宋" w:eastAsia="仿宋" w:cs="仿宋"/>
          <w:color w:val="000000" w:themeColor="text1"/>
          <w:sz w:val="24"/>
          <w:szCs w:val="24"/>
          <w:highlight w:val="none"/>
          <w14:textFill>
            <w14:solidFill>
              <w14:schemeClr w14:val="tx1"/>
            </w14:solidFill>
          </w14:textFill>
        </w:rPr>
        <w:t>对此项目进行投标。据此函，签字代表宣布并同意如下：</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1、愿意按照招标文件的一切要求，提供和交付的货物和服务投标总价为</w:t>
      </w:r>
      <w:r>
        <w:rPr>
          <w:rFonts w:hint="eastAsia" w:ascii="仿宋" w:hAnsi="仿宋" w:eastAsia="仿宋" w:cs="仿宋"/>
          <w:color w:val="000000" w:themeColor="text1"/>
          <w:sz w:val="24"/>
          <w:szCs w:val="24"/>
          <w:highlight w:val="none"/>
          <w:u w:val="single"/>
          <w14:textFill>
            <w14:solidFill>
              <w14:schemeClr w14:val="tx1"/>
            </w14:solidFill>
          </w14:textFill>
        </w:rPr>
        <w:t>（注明币种，并用文字和数字表示的投标总价）</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2、我方同意在本项目招标文件中规定的开标日起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日历日内 遵守本投标文件中的承诺且在此期限期满之前均具有约束力。</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3、我方承诺已经具备《中华人民共和国政府采购法》中规定的参加政府采购活动的供应商应当具备的条件：</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具有独立承担民事责任的能力；</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具有良好的商业信誉和健全的财务会计制度；</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具有履行合同所必需的设备和专业技术能力；</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有依法缴纳税收和社会保障资金的良好记录；</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3.5 参加此项采购活动前三年内，在经营活动中没有重大违法记录。</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4、提供投标须知规定的全部投标文件，共计正本</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份，副本</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5、按招标文件要求提供和交付的货物和服务的投标报价详见投标报价表。</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6、保证忠实地执行双方所签订的合同，并承担合同规定的责任和义务。</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7、如果在开标后规定的投标有效期内撤回投标，我方的投标保证金可被贵方没收。</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8、我方完全理解贵方不一定接受最低价的投标或收到的任何投标。</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9、我方愿意向贵方提供任何与本项投标有关的数据、情况和技术资料。若贵方需要，我方愿意提供我方做出的一切承诺的证明材料。</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10、我方已详细审核全部投标文件，包括“修改投标文件”“补充文件”“补遗文件”（如有的话）、参考资料及有关附件，确认无误。</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11、我方将严格遵守《中华人民共和国政府采购法》的有关规定，若有下列情形之一的，将被处以采购金额 5‰以上 10‰以下的罚款，列入不良行为记录名单，在一至三年内禁止参加政府采购活动；有违法所得的，并处没收违法所得；情节严重的，由工商行政管理机关吊销营业执照；构成犯罪的，依法追究刑事责任：</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 提供虚假材料谋取中标、成交的；</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 采取不正当手段诋毁、排挤其他供应商的；</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 与采购人、其它供应商或者采购代理机构恶意串通的；</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11.4 向采购人、采购代理机构行贿或者提供其他不正当利益的；</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11.5 未经采购代理机构同意，在采购过程中与采购人进行协商谈判的；</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11.6 拒绝有关部门监督检查或提供虚假情况的。</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与本投标有关的一切正式往来信函请寄：</w:t>
      </w:r>
    </w:p>
    <w:p>
      <w:pPr>
        <w:tabs>
          <w:tab w:val="left" w:pos="1662"/>
        </w:tabs>
        <w:spacing w:before="113" w:line="360" w:lineRule="auto"/>
        <w:ind w:left="154"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54"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传真：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54" w:leftChars="64" w:firstLine="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54"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54" w:leftChars="64" w:firstLine="5040" w:firstLineChars="2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（单位公章）</w:t>
      </w:r>
    </w:p>
    <w:p>
      <w:pPr>
        <w:tabs>
          <w:tab w:val="left" w:pos="1662"/>
        </w:tabs>
        <w:spacing w:before="113" w:line="360" w:lineRule="auto"/>
        <w:ind w:left="154" w:leftChars="64" w:firstLine="4320" w:firstLineChars="18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     年    月  日</w:t>
      </w:r>
    </w:p>
    <w:p>
      <w:pPr>
        <w:tabs>
          <w:tab w:val="left" w:pos="1662"/>
        </w:tabs>
        <w:spacing w:before="113" w:line="360" w:lineRule="auto"/>
        <w:ind w:left="154" w:leftChars="64"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注：除可填报项目外，对本投标函的任何修改将被视为非实质性相应投标，从而导致该投标被拒绝</w:t>
      </w:r>
    </w:p>
    <w:p>
      <w:pPr>
        <w:tabs>
          <w:tab w:val="left" w:pos="1662"/>
        </w:tabs>
        <w:spacing w:before="113" w:line="360" w:lineRule="auto"/>
        <w:ind w:left="154" w:leftChars="64" w:firstLine="1"/>
        <w:rPr>
          <w:rFonts w:hint="eastAsia" w:ascii="仿宋" w:hAnsi="仿宋" w:eastAsia="仿宋" w:cs="仿宋"/>
          <w:color w:val="000000" w:themeColor="text1"/>
          <w:sz w:val="24"/>
          <w:szCs w:val="24"/>
          <w:highlight w:val="none"/>
          <w14:textFill>
            <w14:solidFill>
              <w14:schemeClr w14:val="tx1"/>
            </w14:solidFill>
          </w14:textFill>
        </w:rPr>
      </w:pPr>
    </w:p>
    <w:p>
      <w:pPr>
        <w:pStyle w:val="2"/>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2"/>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395" w:name="_Toc9326"/>
      <w:bookmarkStart w:id="396" w:name="_Toc6723"/>
      <w:bookmarkStart w:id="397" w:name="_Toc6126"/>
      <w:bookmarkStart w:id="398" w:name="_Toc17235"/>
      <w:bookmarkStart w:id="399" w:name="_Toc26852"/>
      <w:r>
        <w:rPr>
          <w:rFonts w:hint="eastAsia" w:ascii="仿宋" w:hAnsi="仿宋" w:eastAsia="仿宋" w:cs="仿宋"/>
          <w:color w:val="000000" w:themeColor="text1"/>
          <w:sz w:val="28"/>
          <w:szCs w:val="28"/>
          <w:highlight w:val="none"/>
          <w14:textFill>
            <w14:solidFill>
              <w14:schemeClr w14:val="tx1"/>
            </w14:solidFill>
          </w14:textFill>
        </w:rPr>
        <w:t>（二）投标人资格证明文件</w:t>
      </w:r>
      <w:bookmarkEnd w:id="395"/>
      <w:bookmarkEnd w:id="396"/>
      <w:bookmarkEnd w:id="397"/>
      <w:bookmarkEnd w:id="398"/>
      <w:bookmarkEnd w:id="399"/>
    </w:p>
    <w:p>
      <w:pPr>
        <w:pStyle w:val="6"/>
        <w:spacing w:before="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1、关于资格的声明函</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（采购人名称）</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关于贵方 20</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u w:val="single"/>
          <w14:textFill>
            <w14:solidFill>
              <w14:schemeClr w14:val="tx1"/>
            </w14:solidFill>
          </w14:textFill>
        </w:rPr>
        <w:t>（项目编号）</w:t>
      </w:r>
      <w:r>
        <w:rPr>
          <w:rFonts w:hint="eastAsia" w:ascii="仿宋" w:hAnsi="仿宋" w:eastAsia="仿宋" w:cs="仿宋"/>
          <w:color w:val="000000" w:themeColor="text1"/>
          <w:sz w:val="24"/>
          <w:szCs w:val="24"/>
          <w:highlight w:val="none"/>
          <w14:textFill>
            <w14:solidFill>
              <w14:schemeClr w14:val="tx1"/>
            </w14:solidFill>
          </w14:textFill>
        </w:rPr>
        <w:t>招标</w:t>
      </w:r>
      <w:r>
        <w:rPr>
          <w:rFonts w:hint="eastAsia" w:ascii="仿宋" w:hAnsi="仿宋" w:eastAsia="仿宋" w:cs="仿宋"/>
          <w:color w:val="000000" w:themeColor="text1"/>
          <w:sz w:val="24"/>
          <w:szCs w:val="24"/>
          <w:highlight w:val="none"/>
          <w:lang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关于</w:t>
      </w:r>
      <w:r>
        <w:rPr>
          <w:rFonts w:hint="eastAsia" w:ascii="仿宋" w:hAnsi="仿宋" w:eastAsia="仿宋" w:cs="仿宋"/>
          <w:color w:val="000000" w:themeColor="text1"/>
          <w:sz w:val="24"/>
          <w:szCs w:val="24"/>
          <w:highlight w:val="none"/>
          <w:u w:val="single"/>
          <w14:textFill>
            <w14:solidFill>
              <w14:schemeClr w14:val="tx1"/>
            </w14:solidFill>
          </w14:textFill>
        </w:rPr>
        <w:t>“      ”</w:t>
      </w:r>
      <w:r>
        <w:rPr>
          <w:rFonts w:hint="eastAsia" w:ascii="仿宋" w:hAnsi="仿宋" w:eastAsia="仿宋" w:cs="仿宋"/>
          <w:color w:val="000000" w:themeColor="text1"/>
          <w:sz w:val="24"/>
          <w:szCs w:val="24"/>
          <w:highlight w:val="none"/>
          <w14:textFill>
            <w14:solidFill>
              <w14:schemeClr w14:val="tx1"/>
            </w14:solidFill>
          </w14:textFill>
        </w:rPr>
        <w:t>的招标项目，本签字人愿意参加投标，并有能力提供 （项目名称） 项目中的货物及相关服务，并保证所提交的所有文件和说明是真实和准确的。</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投标人 </w:t>
      </w:r>
      <w:r>
        <w:rPr>
          <w:rFonts w:hint="eastAsia" w:ascii="仿宋" w:hAnsi="仿宋" w:eastAsia="仿宋" w:cs="仿宋"/>
          <w:color w:val="000000" w:themeColor="text1"/>
          <w:sz w:val="24"/>
          <w:szCs w:val="24"/>
          <w:highlight w:val="none"/>
          <w:u w:val="single"/>
          <w14:textFill>
            <w14:solidFill>
              <w14:schemeClr w14:val="tx1"/>
            </w14:solidFill>
          </w14:textFill>
        </w:rPr>
        <w:t xml:space="preserve">投标单位名称（盖章） </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（签字）</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传真： </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邮编： </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p>
      <w:pPr>
        <w:tabs>
          <w:tab w:val="left" w:pos="1662"/>
        </w:tabs>
        <w:spacing w:line="400" w:lineRule="exact"/>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pPr>
        <w:pStyle w:val="9"/>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9"/>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9"/>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9"/>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880" w:hanging="440"/>
        <w:rPr>
          <w:rFonts w:hint="eastAsia" w:ascii="仿宋" w:hAnsi="仿宋" w:eastAsia="仿宋" w:cs="仿宋"/>
          <w:color w:val="000000" w:themeColor="text1"/>
          <w:highlight w:val="none"/>
          <w14:textFill>
            <w14:solidFill>
              <w14:schemeClr w14:val="tx1"/>
            </w14:solidFill>
          </w14:textFill>
        </w:rPr>
      </w:pPr>
    </w:p>
    <w:p>
      <w:pPr>
        <w:pStyle w:val="9"/>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00" w:name="_Toc613"/>
      <w:bookmarkStart w:id="401" w:name="_Toc10118"/>
      <w:bookmarkStart w:id="402" w:name="_Toc24134"/>
      <w:bookmarkStart w:id="403" w:name="_Toc18466"/>
      <w:bookmarkStart w:id="404" w:name="_Toc1122"/>
      <w:r>
        <w:rPr>
          <w:rFonts w:hint="eastAsia" w:ascii="仿宋" w:hAnsi="仿宋" w:eastAsia="仿宋" w:cs="仿宋"/>
          <w:color w:val="000000" w:themeColor="text1"/>
          <w:sz w:val="28"/>
          <w:szCs w:val="28"/>
          <w:highlight w:val="none"/>
          <w14:textFill>
            <w14:solidFill>
              <w14:schemeClr w14:val="tx1"/>
            </w14:solidFill>
          </w14:textFill>
        </w:rPr>
        <w:t>（三）商务偏离表</w:t>
      </w:r>
      <w:bookmarkEnd w:id="400"/>
      <w:bookmarkEnd w:id="401"/>
      <w:bookmarkEnd w:id="402"/>
      <w:bookmarkEnd w:id="403"/>
      <w:bookmarkEnd w:id="404"/>
    </w:p>
    <w:p>
      <w:pPr>
        <w:wordWrap w:val="0"/>
        <w:spacing w:line="360" w:lineRule="auto"/>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项目名称：</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pPr>
        <w:pStyle w:val="14"/>
        <w:pBdr>
          <w:bottom w:val="none" w:color="auto" w:sz="0" w:space="0"/>
        </w:pBdr>
        <w:tabs>
          <w:tab w:val="clear" w:pos="4153"/>
          <w:tab w:val="clear" w:pos="8306"/>
        </w:tabs>
        <w:wordWrap w:val="0"/>
        <w:snapToGrid/>
        <w:spacing w:line="360" w:lineRule="auto"/>
        <w:jc w:val="both"/>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项目编号：</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p>
    <w:tbl>
      <w:tblPr>
        <w:tblStyle w:val="21"/>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2579"/>
        <w:gridCol w:w="2333"/>
        <w:gridCol w:w="135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718" w:type="dxa"/>
            <w:noWrap w:val="0"/>
            <w:vAlign w:val="center"/>
          </w:tcPr>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2579"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条目号</w:t>
            </w:r>
          </w:p>
        </w:tc>
        <w:tc>
          <w:tcPr>
            <w:tcW w:w="2333"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招标文件的</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商务条款</w:t>
            </w:r>
          </w:p>
        </w:tc>
        <w:tc>
          <w:tcPr>
            <w:tcW w:w="1350"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投标文件的</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商务条款</w:t>
            </w:r>
          </w:p>
        </w:tc>
        <w:tc>
          <w:tcPr>
            <w:tcW w:w="1340" w:type="dxa"/>
            <w:noWrap w:val="0"/>
            <w:vAlign w:val="center"/>
          </w:tcPr>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bl>
    <w:p>
      <w:pPr>
        <w:spacing w:before="240" w:line="360" w:lineRule="auto"/>
        <w:rPr>
          <w:rFonts w:hint="eastAsia" w:ascii="仿宋" w:hAnsi="仿宋" w:eastAsia="仿宋" w:cs="仿宋"/>
          <w:b/>
          <w:bCs/>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pacing w:line="360" w:lineRule="auto"/>
        <w:ind w:firstLine="398" w:firstLineChars="166"/>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adjustRightInd w:val="0"/>
        <w:spacing w:line="360" w:lineRule="auto"/>
        <w:ind w:firstLine="420" w:firstLineChars="175"/>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(签字)</w:t>
      </w:r>
    </w:p>
    <w:p>
      <w:pPr>
        <w:adjustRightInd w:val="0"/>
        <w:spacing w:line="360" w:lineRule="auto"/>
        <w:ind w:firstLine="420" w:firstLineChars="175"/>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 20    年    月   日</w:t>
      </w:r>
    </w:p>
    <w:p>
      <w:pPr>
        <w:pStyle w:val="9"/>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9"/>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9"/>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9"/>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9"/>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54" w:leftChars="64"/>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05" w:name="_Toc31364"/>
      <w:bookmarkStart w:id="406" w:name="_Toc21473"/>
      <w:bookmarkStart w:id="407" w:name="_Toc21525"/>
      <w:bookmarkStart w:id="408" w:name="_Toc19105"/>
      <w:bookmarkStart w:id="409" w:name="_Toc18864"/>
      <w:r>
        <w:rPr>
          <w:rFonts w:hint="eastAsia" w:ascii="仿宋" w:hAnsi="仿宋" w:eastAsia="仿宋" w:cs="仿宋"/>
          <w:color w:val="000000" w:themeColor="text1"/>
          <w:sz w:val="28"/>
          <w:szCs w:val="28"/>
          <w:highlight w:val="none"/>
          <w14:textFill>
            <w14:solidFill>
              <w14:schemeClr w14:val="tx1"/>
            </w14:solidFill>
          </w14:textFill>
        </w:rPr>
        <w:t>（四）开标一览表</w:t>
      </w:r>
      <w:bookmarkEnd w:id="405"/>
      <w:bookmarkEnd w:id="406"/>
      <w:bookmarkEnd w:id="407"/>
      <w:bookmarkEnd w:id="408"/>
      <w:bookmarkEnd w:id="409"/>
    </w:p>
    <w:p>
      <w:pPr>
        <w:tabs>
          <w:tab w:val="left" w:pos="4915"/>
        </w:tabs>
        <w:spacing w:line="360" w:lineRule="auto"/>
        <w:ind w:left="70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                       项目编号：</w:t>
      </w:r>
    </w:p>
    <w:p>
      <w:pPr>
        <w:spacing w:before="132" w:line="360" w:lineRule="auto"/>
        <w:ind w:left="70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投标单位名称：</w:t>
      </w:r>
    </w:p>
    <w:tbl>
      <w:tblPr>
        <w:tblStyle w:val="21"/>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3369"/>
        <w:gridCol w:w="2371"/>
        <w:gridCol w:w="1666"/>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blHeader/>
          <w:jc w:val="center"/>
        </w:trPr>
        <w:tc>
          <w:tcPr>
            <w:tcW w:w="1832"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项目名称</w:t>
            </w:r>
          </w:p>
        </w:tc>
        <w:tc>
          <w:tcPr>
            <w:tcW w:w="3369"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投标价（元）</w:t>
            </w:r>
          </w:p>
        </w:tc>
        <w:tc>
          <w:tcPr>
            <w:tcW w:w="2371"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投标保证金</w:t>
            </w:r>
          </w:p>
        </w:tc>
        <w:tc>
          <w:tcPr>
            <w:tcW w:w="1666"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质保期（年）</w:t>
            </w:r>
          </w:p>
        </w:tc>
        <w:tc>
          <w:tcPr>
            <w:tcW w:w="982"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备注</w:t>
            </w:r>
            <w:r>
              <w:rPr>
                <w:rFonts w:hint="eastAsia" w:ascii="仿宋" w:hAnsi="仿宋" w:eastAsia="仿宋" w:cs="仿宋"/>
                <w:b/>
                <w:bCs/>
                <w:color w:val="000000" w:themeColor="text1"/>
                <w:sz w:val="24"/>
                <w:szCs w:val="24"/>
                <w:highlight w:val="none"/>
                <w:lang w:eastAsia="zh-CN"/>
                <w14:textFill>
                  <w14:solidFill>
                    <w14:schemeClr w14:val="tx1"/>
                  </w14:solidFill>
                </w14:textFill>
              </w:rPr>
              <w:t>（供货日期）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1832" w:type="dxa"/>
            <w:noWrap w:val="0"/>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369" w:type="dxa"/>
            <w:noWrap w:val="0"/>
            <w:vAlign w:val="center"/>
          </w:tcPr>
          <w:p>
            <w:pPr>
              <w:pStyle w:val="42"/>
              <w:tabs>
                <w:tab w:val="left" w:pos="3228"/>
              </w:tabs>
              <w:spacing w:before="80" w:line="360" w:lineRule="auto"/>
              <w:ind w:right="10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小</w:t>
            </w:r>
            <w:r>
              <w:rPr>
                <w:rFonts w:hint="eastAsia" w:ascii="仿宋" w:hAnsi="仿宋" w:eastAsia="仿宋" w:cs="仿宋"/>
                <w:color w:val="000000" w:themeColor="text1"/>
                <w:sz w:val="24"/>
                <w:szCs w:val="24"/>
                <w:highlight w:val="none"/>
                <w14:textFill>
                  <w14:solidFill>
                    <w14:schemeClr w14:val="tx1"/>
                  </w14:solidFill>
                </w14:textFill>
              </w:rPr>
              <w:t>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大写：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tc>
        <w:tc>
          <w:tcPr>
            <w:tcW w:w="2371" w:type="dxa"/>
            <w:noWrap w:val="0"/>
            <w:vAlign w:val="center"/>
          </w:tcPr>
          <w:p>
            <w:pPr>
              <w:pStyle w:val="42"/>
              <w:tabs>
                <w:tab w:val="left" w:pos="3228"/>
              </w:tabs>
              <w:spacing w:before="80" w:line="360" w:lineRule="auto"/>
              <w:ind w:right="10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小写：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大写：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tc>
        <w:tc>
          <w:tcPr>
            <w:tcW w:w="1666" w:type="dxa"/>
            <w:noWrap w:val="0"/>
            <w:vAlign w:val="center"/>
          </w:tcPr>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982" w:type="dxa"/>
            <w:noWrap w:val="0"/>
            <w:vAlign w:val="center"/>
          </w:tcPr>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pStyle w:val="6"/>
        <w:spacing w:before="4"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注：1.表中大小写不一致时，以大写为准。</w:t>
      </w:r>
    </w:p>
    <w:p>
      <w:pPr>
        <w:tabs>
          <w:tab w:val="left" w:pos="1336"/>
        </w:tabs>
        <w:spacing w:line="360" w:lineRule="auto"/>
        <w:ind w:firstLine="484" w:firstLineChars="20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color w:val="000000" w:themeColor="text1"/>
          <w:sz w:val="24"/>
          <w:szCs w:val="24"/>
          <w:highlight w:val="none"/>
          <w14:textFill>
            <w14:solidFill>
              <w14:schemeClr w14:val="tx1"/>
            </w14:solidFill>
          </w14:textFill>
        </w:rPr>
        <w:t>.投标报价为完成本次采购项目的供货、</w:t>
      </w:r>
      <w:r>
        <w:rPr>
          <w:rFonts w:hint="eastAsia" w:ascii="仿宋" w:hAnsi="仿宋" w:eastAsia="仿宋" w:cs="仿宋"/>
          <w:b/>
          <w:color w:val="000000" w:themeColor="text1"/>
          <w:sz w:val="24"/>
          <w:szCs w:val="24"/>
          <w:highlight w:val="none"/>
          <w:lang w:eastAsia="zh-CN"/>
          <w14:textFill>
            <w14:solidFill>
              <w14:schemeClr w14:val="tx1"/>
            </w14:solidFill>
          </w14:textFill>
        </w:rPr>
        <w:t>运输、税金</w:t>
      </w:r>
      <w:r>
        <w:rPr>
          <w:rFonts w:hint="eastAsia" w:ascii="仿宋" w:hAnsi="仿宋" w:eastAsia="仿宋" w:cs="仿宋"/>
          <w:b/>
          <w:color w:val="000000" w:themeColor="text1"/>
          <w:sz w:val="24"/>
          <w:szCs w:val="24"/>
          <w:highlight w:val="none"/>
          <w14:textFill>
            <w14:solidFill>
              <w14:schemeClr w14:val="tx1"/>
            </w14:solidFill>
          </w14:textFill>
        </w:rPr>
        <w:t>等一切相关费用。</w:t>
      </w:r>
    </w:p>
    <w:p>
      <w:pPr>
        <w:tabs>
          <w:tab w:val="left" w:pos="1336"/>
        </w:tabs>
        <w:spacing w:before="4" w:line="360" w:lineRule="auto"/>
        <w:ind w:left="629" w:leftChars="193" w:right="590" w:hanging="166" w:hangingChars="69"/>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color w:val="000000" w:themeColor="text1"/>
          <w:sz w:val="24"/>
          <w:szCs w:val="24"/>
          <w:highlight w:val="none"/>
          <w14:textFill>
            <w14:solidFill>
              <w14:schemeClr w14:val="tx1"/>
            </w14:solidFill>
          </w14:textFill>
        </w:rPr>
        <w:t>.本表中“投标报价总额”必须与《投标函》中的“投标总价”及《投标报价明细表》</w:t>
      </w:r>
      <w:r>
        <w:rPr>
          <w:rFonts w:hint="eastAsia" w:ascii="仿宋" w:hAnsi="仿宋" w:eastAsia="仿宋" w:cs="仿宋"/>
          <w:b/>
          <w:color w:val="000000" w:themeColor="text1"/>
          <w:sz w:val="24"/>
          <w:szCs w:val="24"/>
          <w:highlight w:val="none"/>
          <w:lang w:val="en-US" w:eastAsia="zh-CN"/>
          <w14:textFill>
            <w14:solidFill>
              <w14:schemeClr w14:val="tx1"/>
            </w14:solidFill>
          </w14:textFill>
        </w:rPr>
        <w:t>总价</w:t>
      </w:r>
      <w:r>
        <w:rPr>
          <w:rFonts w:hint="eastAsia" w:ascii="仿宋" w:hAnsi="仿宋" w:eastAsia="仿宋" w:cs="仿宋"/>
          <w:b/>
          <w:color w:val="000000" w:themeColor="text1"/>
          <w:sz w:val="24"/>
          <w:szCs w:val="24"/>
          <w:highlight w:val="none"/>
          <w14:textFill>
            <w14:solidFill>
              <w14:schemeClr w14:val="tx1"/>
            </w14:solidFill>
          </w14:textFill>
        </w:rPr>
        <w:t>均保持一致，如不一致，以《开标一览表》为准。</w:t>
      </w:r>
    </w:p>
    <w:p>
      <w:pPr>
        <w:pStyle w:val="6"/>
        <w:spacing w:before="5" w:line="360" w:lineRule="auto"/>
        <w:rPr>
          <w:rFonts w:hint="eastAsia" w:ascii="仿宋" w:hAnsi="仿宋" w:eastAsia="仿宋" w:cs="仿宋"/>
          <w:color w:val="000000" w:themeColor="text1"/>
          <w:highlight w:val="none"/>
          <w14:textFill>
            <w14:solidFill>
              <w14:schemeClr w14:val="tx1"/>
            </w14:solidFill>
          </w14:textFill>
        </w:rPr>
      </w:pPr>
    </w:p>
    <w:p>
      <w:pPr>
        <w:pStyle w:val="6"/>
        <w:spacing w:before="5" w:line="360" w:lineRule="auto"/>
        <w:rPr>
          <w:rFonts w:hint="eastAsia" w:ascii="仿宋" w:hAnsi="仿宋" w:eastAsia="仿宋" w:cs="仿宋"/>
          <w:color w:val="000000" w:themeColor="text1"/>
          <w:highlight w:val="none"/>
          <w14:textFill>
            <w14:solidFill>
              <w14:schemeClr w14:val="tx1"/>
            </w14:solidFill>
          </w14:textFill>
        </w:rPr>
      </w:pPr>
    </w:p>
    <w:p>
      <w:pPr>
        <w:pStyle w:val="8"/>
        <w:rPr>
          <w:rFonts w:hint="eastAsia" w:ascii="仿宋" w:hAnsi="仿宋" w:eastAsia="仿宋" w:cs="仿宋"/>
          <w:color w:val="000000" w:themeColor="text1"/>
          <w:highlight w:val="none"/>
          <w14:textFill>
            <w14:solidFill>
              <w14:schemeClr w14:val="tx1"/>
            </w14:solidFill>
          </w14:textFill>
        </w:rPr>
      </w:pPr>
    </w:p>
    <w:p>
      <w:pPr>
        <w:pStyle w:val="6"/>
        <w:spacing w:before="5"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投标单位（盖章）：</w:t>
      </w:r>
    </w:p>
    <w:p>
      <w:pPr>
        <w:pStyle w:val="6"/>
        <w:spacing w:before="5"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法定代表人（签字）：</w:t>
      </w:r>
    </w:p>
    <w:p>
      <w:pPr>
        <w:pStyle w:val="6"/>
        <w:spacing w:before="5" w:line="360" w:lineRule="auto"/>
        <w:ind w:firstLine="3570" w:firstLineChars="17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授权代表（签字）：</w:t>
      </w:r>
    </w:p>
    <w:p>
      <w:pPr>
        <w:tabs>
          <w:tab w:val="left" w:pos="6684"/>
          <w:tab w:val="left" w:pos="7315"/>
        </w:tabs>
        <w:spacing w:line="360" w:lineRule="auto"/>
        <w:ind w:firstLine="4800" w:firstLineChars="20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p>
      <w:pPr>
        <w:pStyle w:val="9"/>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9"/>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9"/>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9"/>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9"/>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9"/>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9"/>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10" w:name="_Toc19010"/>
      <w:bookmarkStart w:id="411" w:name="_Toc13501"/>
      <w:bookmarkStart w:id="412" w:name="_Toc26770"/>
      <w:bookmarkStart w:id="413" w:name="_Toc14393"/>
      <w:bookmarkStart w:id="414" w:name="_Toc14099"/>
      <w:r>
        <w:rPr>
          <w:rFonts w:hint="eastAsia" w:ascii="仿宋" w:hAnsi="仿宋" w:eastAsia="仿宋" w:cs="仿宋"/>
          <w:color w:val="000000" w:themeColor="text1"/>
          <w:sz w:val="28"/>
          <w:szCs w:val="28"/>
          <w:highlight w:val="none"/>
          <w14:textFill>
            <w14:solidFill>
              <w14:schemeClr w14:val="tx1"/>
            </w14:solidFill>
          </w14:textFill>
        </w:rPr>
        <w:t>（五）</w:t>
      </w:r>
      <w:bookmarkStart w:id="415" w:name="_Toc14233"/>
      <w:bookmarkStart w:id="416" w:name="_Toc1083"/>
      <w:r>
        <w:rPr>
          <w:rFonts w:hint="eastAsia" w:ascii="仿宋" w:hAnsi="仿宋" w:eastAsia="仿宋" w:cs="仿宋"/>
          <w:color w:val="000000" w:themeColor="text1"/>
          <w:sz w:val="28"/>
          <w:szCs w:val="28"/>
          <w:highlight w:val="none"/>
          <w:lang w:eastAsia="zh-CN"/>
          <w14:textFill>
            <w14:solidFill>
              <w14:schemeClr w14:val="tx1"/>
            </w14:solidFill>
          </w14:textFill>
        </w:rPr>
        <w:t>投标</w:t>
      </w:r>
      <w:r>
        <w:rPr>
          <w:rFonts w:hint="eastAsia" w:ascii="仿宋" w:hAnsi="仿宋" w:eastAsia="仿宋" w:cs="仿宋"/>
          <w:color w:val="000000" w:themeColor="text1"/>
          <w:sz w:val="28"/>
          <w:highlight w:val="none"/>
          <w14:textFill>
            <w14:solidFill>
              <w14:schemeClr w14:val="tx1"/>
            </w14:solidFill>
          </w14:textFill>
        </w:rPr>
        <w:t>报价</w:t>
      </w:r>
      <w:r>
        <w:rPr>
          <w:rFonts w:hint="eastAsia" w:ascii="仿宋" w:hAnsi="仿宋" w:eastAsia="仿宋" w:cs="仿宋"/>
          <w:color w:val="000000" w:themeColor="text1"/>
          <w:sz w:val="28"/>
          <w:highlight w:val="none"/>
          <w:lang w:val="en-US" w:eastAsia="zh-CN"/>
          <w14:textFill>
            <w14:solidFill>
              <w14:schemeClr w14:val="tx1"/>
            </w14:solidFill>
          </w14:textFill>
        </w:rPr>
        <w:t>明细</w:t>
      </w:r>
      <w:r>
        <w:rPr>
          <w:rFonts w:hint="eastAsia" w:ascii="仿宋" w:hAnsi="仿宋" w:eastAsia="仿宋" w:cs="仿宋"/>
          <w:color w:val="000000" w:themeColor="text1"/>
          <w:sz w:val="28"/>
          <w:highlight w:val="none"/>
          <w14:textFill>
            <w14:solidFill>
              <w14:schemeClr w14:val="tx1"/>
            </w14:solidFill>
          </w14:textFill>
        </w:rPr>
        <w:t>表</w:t>
      </w:r>
      <w:bookmarkEnd w:id="410"/>
      <w:bookmarkEnd w:id="411"/>
      <w:bookmarkEnd w:id="412"/>
      <w:bookmarkEnd w:id="413"/>
      <w:bookmarkEnd w:id="414"/>
      <w:bookmarkEnd w:id="415"/>
      <w:bookmarkEnd w:id="416"/>
    </w:p>
    <w:p>
      <w:pPr>
        <w:wordWrap w:val="0"/>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p>
    <w:p>
      <w:pPr>
        <w:pStyle w:val="14"/>
        <w:pBdr>
          <w:bottom w:val="none" w:color="auto" w:sz="0" w:space="0"/>
        </w:pBdr>
        <w:tabs>
          <w:tab w:val="clear" w:pos="4153"/>
          <w:tab w:val="clear" w:pos="8306"/>
        </w:tabs>
        <w:wordWrap w:val="0"/>
        <w:snapToGrid/>
        <w:spacing w:line="360" w:lineRule="auto"/>
        <w:jc w:val="both"/>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项目编号：</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w:t>
      </w:r>
    </w:p>
    <w:tbl>
      <w:tblPr>
        <w:tblStyle w:val="21"/>
        <w:tblW w:w="94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3"/>
        <w:gridCol w:w="1248"/>
        <w:gridCol w:w="1181"/>
        <w:gridCol w:w="1181"/>
        <w:gridCol w:w="1181"/>
        <w:gridCol w:w="1181"/>
        <w:gridCol w:w="1182"/>
        <w:gridCol w:w="1177"/>
        <w:gridCol w:w="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1248"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p>
        </w:tc>
        <w:tc>
          <w:tcPr>
            <w:tcW w:w="1181"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产地、品牌、</w:t>
            </w:r>
            <w:r>
              <w:rPr>
                <w:rFonts w:hint="eastAsia" w:ascii="仿宋" w:hAnsi="仿宋" w:eastAsia="仿宋" w:cs="仿宋"/>
                <w:color w:val="000000" w:themeColor="text1"/>
                <w:sz w:val="24"/>
                <w:highlight w:val="none"/>
                <w14:textFill>
                  <w14:solidFill>
                    <w14:schemeClr w14:val="tx1"/>
                  </w14:solidFill>
                </w14:textFill>
              </w:rPr>
              <w:t>规格型号</w:t>
            </w:r>
          </w:p>
        </w:tc>
        <w:tc>
          <w:tcPr>
            <w:tcW w:w="1181"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单价</w:t>
            </w:r>
          </w:p>
        </w:tc>
        <w:tc>
          <w:tcPr>
            <w:tcW w:w="1181"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1181"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w:t>
            </w:r>
          </w:p>
        </w:tc>
        <w:tc>
          <w:tcPr>
            <w:tcW w:w="1182"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w:t>
            </w:r>
          </w:p>
        </w:tc>
        <w:tc>
          <w:tcPr>
            <w:tcW w:w="1178" w:type="dxa"/>
            <w:gridSpan w:val="2"/>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可附彩色图片（</w:t>
            </w:r>
            <w:r>
              <w:rPr>
                <w:rFonts w:hint="eastAsia" w:ascii="仿宋" w:hAnsi="仿宋" w:eastAsia="仿宋" w:cs="仿宋"/>
                <w:b/>
                <w:bCs/>
                <w:color w:val="000000" w:themeColor="text1"/>
                <w:sz w:val="24"/>
                <w:highlight w:val="none"/>
                <w:lang w:val="en-US" w:eastAsia="zh-CN"/>
                <w14:textFill>
                  <w14:solidFill>
                    <w14:schemeClr w14:val="tx1"/>
                  </w14:solidFill>
                </w14:textFill>
              </w:rPr>
              <w:t>如有</w:t>
            </w:r>
            <w:r>
              <w:rPr>
                <w:rFonts w:hint="eastAsia" w:ascii="仿宋" w:hAnsi="仿宋" w:eastAsia="仿宋" w:cs="仿宋"/>
                <w:b/>
                <w:bCs/>
                <w:color w:val="000000" w:themeColor="text1"/>
                <w:sz w:val="24"/>
                <w:highlight w:val="none"/>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78" w:type="dxa"/>
            <w:gridSpan w:val="2"/>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78" w:type="dxa"/>
            <w:gridSpan w:val="2"/>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78" w:type="dxa"/>
            <w:gridSpan w:val="2"/>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78" w:type="dxa"/>
            <w:gridSpan w:val="2"/>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78" w:type="dxa"/>
            <w:gridSpan w:val="2"/>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78" w:type="dxa"/>
            <w:gridSpan w:val="2"/>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投标总价（元）</w:t>
            </w:r>
            <w:r>
              <w:rPr>
                <w:rFonts w:hint="eastAsia" w:ascii="仿宋" w:hAnsi="仿宋" w:eastAsia="仿宋" w:cs="仿宋"/>
                <w:color w:val="000000" w:themeColor="text1"/>
                <w:sz w:val="24"/>
                <w:highlight w:val="none"/>
                <w14:textFill>
                  <w14:solidFill>
                    <w14:schemeClr w14:val="tx1"/>
                  </w14:solidFill>
                </w14:textFill>
              </w:rPr>
              <w:t xml:space="preserve"> </w:t>
            </w:r>
          </w:p>
        </w:tc>
        <w:tc>
          <w:tcPr>
            <w:tcW w:w="8331" w:type="dxa"/>
            <w:gridSpan w:val="7"/>
            <w:noWrap w:val="0"/>
            <w:vAlign w:val="center"/>
          </w:tcPr>
          <w:p>
            <w:pPr>
              <w:pageBreakBefore w:val="0"/>
              <w:tabs>
                <w:tab w:val="left" w:pos="0"/>
              </w:tabs>
              <w:kinsoku/>
              <w:wordWrap/>
              <w:overflowPunct/>
              <w:topLinePunct w:val="0"/>
              <w:bidi w:val="0"/>
              <w:spacing w:line="240" w:lineRule="auto"/>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人民币大写</w:t>
            </w:r>
          </w:p>
        </w:tc>
        <w:tc>
          <w:tcPr>
            <w:tcW w:w="8331" w:type="dxa"/>
            <w:gridSpan w:val="7"/>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p>
        </w:tc>
      </w:tr>
    </w:tbl>
    <w:p>
      <w:pPr>
        <w:spacing w:line="360" w:lineRule="auto"/>
        <w:ind w:firstLine="570"/>
        <w:rPr>
          <w:rFonts w:hint="eastAsia" w:ascii="仿宋" w:hAnsi="仿宋" w:eastAsia="仿宋" w:cs="仿宋"/>
          <w:b/>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法定代表人或授权代表：</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(签 章)</w:t>
      </w:r>
    </w:p>
    <w:p>
      <w:pPr>
        <w:pStyle w:val="9"/>
        <w:spacing w:line="360" w:lineRule="auto"/>
        <w:ind w:left="960" w:leftChars="300" w:right="720"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投标日期：20   年   月   日</w:t>
      </w:r>
    </w:p>
    <w:p>
      <w:pPr>
        <w:pStyle w:val="9"/>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9"/>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9"/>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9"/>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9"/>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9"/>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9"/>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9"/>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left="154"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17" w:name="_Toc10347"/>
      <w:bookmarkStart w:id="418" w:name="_Toc12085"/>
      <w:bookmarkStart w:id="419" w:name="_Toc27020"/>
      <w:bookmarkStart w:id="420" w:name="_Toc1404"/>
      <w:bookmarkStart w:id="421" w:name="_Toc13495"/>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六</w:t>
      </w:r>
      <w:r>
        <w:rPr>
          <w:rFonts w:hint="eastAsia" w:ascii="仿宋" w:hAnsi="仿宋" w:eastAsia="仿宋" w:cs="仿宋"/>
          <w:color w:val="000000" w:themeColor="text1"/>
          <w:sz w:val="28"/>
          <w:szCs w:val="28"/>
          <w:highlight w:val="none"/>
          <w14:textFill>
            <w14:solidFill>
              <w14:schemeClr w14:val="tx1"/>
            </w14:solidFill>
          </w14:textFill>
        </w:rPr>
        <w:t>）法定代表人身份证明及法定代表人授权委托书格式</w:t>
      </w:r>
      <w:bookmarkEnd w:id="417"/>
      <w:bookmarkEnd w:id="418"/>
      <w:bookmarkEnd w:id="419"/>
      <w:bookmarkEnd w:id="420"/>
      <w:bookmarkEnd w:id="421"/>
    </w:p>
    <w:p>
      <w:pPr>
        <w:tabs>
          <w:tab w:val="left" w:pos="1662"/>
        </w:tabs>
        <w:spacing w:before="113" w:line="360" w:lineRule="auto"/>
        <w:ind w:left="154"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1、法定代表人身份证</w:t>
      </w:r>
    </w:p>
    <w:p>
      <w:pPr>
        <w:tabs>
          <w:tab w:val="left" w:pos="1662"/>
        </w:tabs>
        <w:spacing w:before="113"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（采购人）：</w:t>
      </w:r>
    </w:p>
    <w:p>
      <w:pPr>
        <w:tabs>
          <w:tab w:val="left" w:pos="1662"/>
        </w:tabs>
        <w:spacing w:before="113"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兹证明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同志在我单位任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（职务），是我单位的法定代表人。</w:t>
      </w:r>
    </w:p>
    <w:p>
      <w:pPr>
        <w:tabs>
          <w:tab w:val="left" w:pos="1662"/>
        </w:tabs>
        <w:spacing w:before="113"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附法定代表人基本情况：</w:t>
      </w:r>
    </w:p>
    <w:p>
      <w:pPr>
        <w:tabs>
          <w:tab w:val="left" w:pos="1662"/>
        </w:tabs>
        <w:spacing w:before="113" w:line="360" w:lineRule="auto"/>
        <w:ind w:left="154" w:leftChars="64" w:firstLine="364" w:firstLineChars="1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（亲笔签字或盖章） </w:t>
      </w:r>
      <w:r>
        <w:rPr>
          <w:rFonts w:hint="eastAsia" w:ascii="仿宋" w:hAnsi="仿宋" w:eastAsia="仿宋" w:cs="仿宋"/>
          <w:color w:val="000000" w:themeColor="text1"/>
          <w:sz w:val="24"/>
          <w:szCs w:val="24"/>
          <w:highlight w:val="none"/>
          <w14:textFill>
            <w14:solidFill>
              <w14:schemeClr w14:val="tx1"/>
            </w14:solidFill>
          </w14:textFill>
        </w:rPr>
        <w:t xml:space="preserve"> 性别</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54" w:leftChars="64" w:firstLine="364" w:firstLineChars="1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firstLine="484" w:firstLineChars="202"/>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通讯地址：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firstLine="484" w:firstLineChars="20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54"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right="112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单位名称：（公章） </w:t>
      </w:r>
    </w:p>
    <w:p>
      <w:pPr>
        <w:tabs>
          <w:tab w:val="left" w:pos="1662"/>
        </w:tabs>
        <w:spacing w:before="113" w:line="360" w:lineRule="auto"/>
        <w:ind w:right="112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年    月   日</w:t>
      </w:r>
    </w:p>
    <w:p>
      <w:pPr>
        <w:tabs>
          <w:tab w:val="left" w:pos="1662"/>
        </w:tabs>
        <w:spacing w:before="113"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附：法定代表人近三个月的公司社保缴纳凭证（社保缴费凭证及个人明细表）及法定代表人身份证</w:t>
      </w:r>
    </w:p>
    <w:p>
      <w:pPr>
        <w:tabs>
          <w:tab w:val="left" w:pos="1662"/>
        </w:tabs>
        <w:spacing w:before="113" w:line="360" w:lineRule="auto"/>
        <w:ind w:left="154"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2"/>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line="360" w:lineRule="auto"/>
        <w:ind w:left="154"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line="360" w:lineRule="auto"/>
        <w:ind w:left="154"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5"/>
        <w:numPr>
          <w:ilvl w:val="0"/>
          <w:numId w:val="0"/>
        </w:numPr>
        <w:ind w:left="400" w:leftChars="0"/>
        <w:outlineLvl w:val="9"/>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line="360" w:lineRule="auto"/>
        <w:ind w:left="154"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line="360" w:lineRule="auto"/>
        <w:ind w:left="154"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2、法定代表人授权委托书</w:t>
      </w:r>
    </w:p>
    <w:p>
      <w:pPr>
        <w:tabs>
          <w:tab w:val="left" w:pos="1662"/>
        </w:tabs>
        <w:spacing w:before="113" w:line="400" w:lineRule="exact"/>
        <w:ind w:left="154"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本授权书声明：注册于</w:t>
      </w:r>
      <w:r>
        <w:rPr>
          <w:rFonts w:hint="eastAsia" w:ascii="仿宋" w:hAnsi="仿宋" w:eastAsia="仿宋" w:cs="仿宋"/>
          <w:color w:val="000000" w:themeColor="text1"/>
          <w:sz w:val="21"/>
          <w:szCs w:val="21"/>
          <w:highlight w:val="none"/>
          <w:u w:val="single"/>
          <w14:textFill>
            <w14:solidFill>
              <w14:schemeClr w14:val="tx1"/>
            </w14:solidFill>
          </w14:textFill>
        </w:rPr>
        <w:t>（地区的名称）</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u w:val="single"/>
          <w14:textFill>
            <w14:solidFill>
              <w14:schemeClr w14:val="tx1"/>
            </w14:solidFill>
          </w14:textFill>
        </w:rPr>
        <w:t>（公司名称）</w:t>
      </w:r>
      <w:r>
        <w:rPr>
          <w:rFonts w:hint="eastAsia" w:ascii="仿宋" w:hAnsi="仿宋" w:eastAsia="仿宋" w:cs="仿宋"/>
          <w:color w:val="000000" w:themeColor="text1"/>
          <w:sz w:val="21"/>
          <w:szCs w:val="21"/>
          <w:highlight w:val="none"/>
          <w14:textFill>
            <w14:solidFill>
              <w14:schemeClr w14:val="tx1"/>
            </w14:solidFill>
          </w14:textFill>
        </w:rPr>
        <w:t>，在下面签字的法定代表人</w:t>
      </w:r>
      <w:r>
        <w:rPr>
          <w:rFonts w:hint="eastAsia" w:ascii="仿宋" w:hAnsi="仿宋" w:eastAsia="仿宋" w:cs="仿宋"/>
          <w:color w:val="000000" w:themeColor="text1"/>
          <w:sz w:val="21"/>
          <w:szCs w:val="21"/>
          <w:highlight w:val="none"/>
          <w:u w:val="single"/>
          <w14:textFill>
            <w14:solidFill>
              <w14:schemeClr w14:val="tx1"/>
            </w14:solidFill>
          </w14:textFill>
        </w:rPr>
        <w:t>（姓名、职务）</w:t>
      </w:r>
      <w:r>
        <w:rPr>
          <w:rFonts w:hint="eastAsia" w:ascii="仿宋" w:hAnsi="仿宋" w:eastAsia="仿宋" w:cs="仿宋"/>
          <w:color w:val="000000" w:themeColor="text1"/>
          <w:sz w:val="21"/>
          <w:szCs w:val="21"/>
          <w:highlight w:val="none"/>
          <w14:textFill>
            <w14:solidFill>
              <w14:schemeClr w14:val="tx1"/>
            </w14:solidFill>
          </w14:textFill>
        </w:rPr>
        <w:t>，代表本公司委托在下面签字的</w:t>
      </w:r>
      <w:r>
        <w:rPr>
          <w:rFonts w:hint="eastAsia" w:ascii="仿宋" w:hAnsi="仿宋" w:eastAsia="仿宋" w:cs="仿宋"/>
          <w:color w:val="000000" w:themeColor="text1"/>
          <w:sz w:val="21"/>
          <w:szCs w:val="21"/>
          <w:highlight w:val="none"/>
          <w:u w:val="single"/>
          <w14:textFill>
            <w14:solidFill>
              <w14:schemeClr w14:val="tx1"/>
            </w14:solidFill>
          </w14:textFill>
        </w:rPr>
        <w:t>（被授权人的姓名、职务）</w:t>
      </w:r>
      <w:r>
        <w:rPr>
          <w:rFonts w:hint="eastAsia" w:ascii="仿宋" w:hAnsi="仿宋" w:eastAsia="仿宋" w:cs="仿宋"/>
          <w:color w:val="000000" w:themeColor="text1"/>
          <w:sz w:val="21"/>
          <w:szCs w:val="21"/>
          <w:highlight w:val="none"/>
          <w14:textFill>
            <w14:solidFill>
              <w14:schemeClr w14:val="tx1"/>
            </w14:solidFill>
          </w14:textFill>
        </w:rPr>
        <w:t>为本公司的合法代理人，就</w:t>
      </w:r>
      <w:r>
        <w:rPr>
          <w:rFonts w:hint="eastAsia" w:ascii="仿宋" w:hAnsi="仿宋" w:eastAsia="仿宋" w:cs="仿宋"/>
          <w:color w:val="000000" w:themeColor="text1"/>
          <w:sz w:val="21"/>
          <w:szCs w:val="21"/>
          <w:highlight w:val="none"/>
          <w:u w:val="single"/>
          <w14:textFill>
            <w14:solidFill>
              <w14:schemeClr w14:val="tx1"/>
            </w14:solidFill>
          </w14:textFill>
        </w:rPr>
        <w:t>（项目名称）</w:t>
      </w:r>
      <w:r>
        <w:rPr>
          <w:rFonts w:hint="eastAsia" w:ascii="仿宋" w:hAnsi="仿宋" w:eastAsia="仿宋" w:cs="仿宋"/>
          <w:color w:val="000000" w:themeColor="text1"/>
          <w:sz w:val="21"/>
          <w:szCs w:val="21"/>
          <w:highlight w:val="none"/>
          <w14:textFill>
            <w14:solidFill>
              <w14:schemeClr w14:val="tx1"/>
            </w14:solidFill>
          </w14:textFill>
        </w:rPr>
        <w:t>的投标，以本公司的名义处理一切与之有关的事务。</w:t>
      </w:r>
    </w:p>
    <w:p>
      <w:pPr>
        <w:tabs>
          <w:tab w:val="left" w:pos="1662"/>
        </w:tabs>
        <w:spacing w:before="113" w:line="400" w:lineRule="exact"/>
        <w:ind w:left="154"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本授权书于 20    年   月  日签字生效，代理人无转委托权，特此声明。</w:t>
      </w:r>
    </w:p>
    <w:p>
      <w:pPr>
        <w:tabs>
          <w:tab w:val="left" w:pos="1662"/>
        </w:tabs>
        <w:spacing w:before="113" w:line="400" w:lineRule="exact"/>
        <w:ind w:left="154"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附：法定代表人及委托代理人的身份证复印件</w:t>
      </w:r>
    </w:p>
    <w:tbl>
      <w:tblPr>
        <w:tblStyle w:val="21"/>
        <w:tblW w:w="9418"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9"/>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9"/>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9"/>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（法定代表人身份证正面）</w:t>
            </w:r>
          </w:p>
        </w:tc>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9"/>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9"/>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9"/>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9"/>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（法定代理人身份证正面）</w:t>
            </w:r>
          </w:p>
        </w:tc>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9"/>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9"/>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（法定代理人身份证反面）</w:t>
            </w:r>
          </w:p>
        </w:tc>
      </w:tr>
    </w:tbl>
    <w:p>
      <w:pPr>
        <w:tabs>
          <w:tab w:val="left" w:pos="1662"/>
        </w:tabs>
        <w:spacing w:before="113" w:line="400" w:lineRule="exact"/>
        <w:ind w:left="154"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(盖单位章) </w:t>
      </w:r>
    </w:p>
    <w:p>
      <w:pPr>
        <w:tabs>
          <w:tab w:val="left" w:pos="1662"/>
        </w:tabs>
        <w:spacing w:before="113" w:line="400" w:lineRule="exact"/>
        <w:ind w:left="154"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法定代表人签字</w:t>
      </w:r>
      <w:r>
        <w:rPr>
          <w:rFonts w:hint="eastAsia" w:ascii="仿宋" w:hAnsi="仿宋" w:eastAsia="仿宋" w:cs="仿宋"/>
          <w:color w:val="000000" w:themeColor="text1"/>
          <w:sz w:val="21"/>
          <w:szCs w:val="21"/>
          <w:highlight w:val="none"/>
          <w:lang w:val="en-US"/>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54" w:leftChars="64"/>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身份证号码：</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54"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委托代理人签字：</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tabs>
          <w:tab w:val="left" w:pos="1662"/>
        </w:tabs>
        <w:spacing w:before="113" w:line="400" w:lineRule="exact"/>
        <w:ind w:left="154" w:leftChars="64"/>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身份证号码：</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54"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授权日期：20    年      月   日</w:t>
      </w:r>
    </w:p>
    <w:p>
      <w:pPr>
        <w:tabs>
          <w:tab w:val="left" w:pos="1662"/>
        </w:tabs>
        <w:spacing w:before="113" w:line="360" w:lineRule="auto"/>
        <w:ind w:left="576" w:leftChars="64" w:hanging="422" w:hanging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注：1.法定代表人签字必须是亲笔签名，盖章无效。</w:t>
      </w:r>
    </w:p>
    <w:p>
      <w:pPr>
        <w:numPr>
          <w:ilvl w:val="0"/>
          <w:numId w:val="3"/>
        </w:numPr>
        <w:tabs>
          <w:tab w:val="left" w:pos="1662"/>
        </w:tabs>
        <w:spacing w:before="113" w:line="360" w:lineRule="auto"/>
        <w:ind w:left="154" w:leftChars="64"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投标人的委托代理人作为公司的代表前来参加投标的投标人，须提供委托人</w:t>
      </w:r>
      <w:r>
        <w:rPr>
          <w:rFonts w:hint="eastAsia" w:ascii="仿宋" w:hAnsi="仿宋" w:eastAsia="仿宋" w:cs="仿宋"/>
          <w:b/>
          <w:color w:val="000000" w:themeColor="text1"/>
          <w:sz w:val="21"/>
          <w:szCs w:val="21"/>
          <w:highlight w:val="none"/>
          <w:lang w:eastAsia="zh-CN"/>
          <w14:textFill>
            <w14:solidFill>
              <w14:schemeClr w14:val="tx1"/>
            </w14:solidFill>
          </w14:textFill>
        </w:rPr>
        <w:t>近三个月的社保缴费证明及社保局出具的个人缴费明细</w:t>
      </w:r>
    </w:p>
    <w:p>
      <w:pPr>
        <w:tabs>
          <w:tab w:val="left" w:pos="1662"/>
        </w:tabs>
        <w:spacing w:before="113" w:line="360" w:lineRule="auto"/>
        <w:ind w:left="154" w:leftChars="64" w:firstLine="1"/>
        <w:rPr>
          <w:rFonts w:hint="eastAsia" w:ascii="仿宋" w:hAnsi="仿宋" w:eastAsia="仿宋" w:cs="仿宋"/>
          <w:color w:val="000000" w:themeColor="text1"/>
          <w:sz w:val="28"/>
          <w:szCs w:val="28"/>
          <w:highlight w:val="none"/>
          <w14:textFill>
            <w14:solidFill>
              <w14:schemeClr w14:val="tx1"/>
            </w14:solidFill>
          </w14:textFill>
        </w:rPr>
      </w:pPr>
    </w:p>
    <w:p>
      <w:pPr>
        <w:pStyle w:val="20"/>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20"/>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20"/>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9"/>
        <w:spacing w:line="360" w:lineRule="auto"/>
        <w:ind w:left="53" w:leftChars="22" w:firstLine="560" w:firstLineChars="20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22" w:name="_Toc8055"/>
      <w:bookmarkStart w:id="423" w:name="_Toc656"/>
      <w:bookmarkStart w:id="424" w:name="_Toc13273"/>
      <w:bookmarkStart w:id="425" w:name="_Toc22526"/>
      <w:bookmarkStart w:id="426" w:name="_Toc2749"/>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七</w:t>
      </w:r>
      <w:r>
        <w:rPr>
          <w:rFonts w:hint="eastAsia" w:ascii="仿宋" w:hAnsi="仿宋" w:eastAsia="仿宋" w:cs="仿宋"/>
          <w:color w:val="000000" w:themeColor="text1"/>
          <w:sz w:val="28"/>
          <w:szCs w:val="28"/>
          <w:highlight w:val="none"/>
          <w14:textFill>
            <w14:solidFill>
              <w14:schemeClr w14:val="tx1"/>
            </w14:solidFill>
          </w14:textFill>
        </w:rPr>
        <w:t>）投标单位反商业贿赂承诺书</w:t>
      </w:r>
      <w:bookmarkEnd w:id="422"/>
      <w:bookmarkEnd w:id="423"/>
      <w:bookmarkEnd w:id="424"/>
      <w:bookmarkEnd w:id="425"/>
      <w:bookmarkEnd w:id="426"/>
    </w:p>
    <w:p>
      <w:pPr>
        <w:pStyle w:val="9"/>
        <w:spacing w:line="360" w:lineRule="auto"/>
        <w:ind w:left="53"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承诺书（1）</w:t>
      </w:r>
    </w:p>
    <w:p>
      <w:pPr>
        <w:pStyle w:val="9"/>
        <w:spacing w:line="480" w:lineRule="auto"/>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我公司承诺在</w:t>
      </w:r>
      <w:r>
        <w:rPr>
          <w:rFonts w:hint="eastAsia" w:ascii="仿宋" w:hAnsi="仿宋" w:eastAsia="仿宋" w:cs="仿宋"/>
          <w:color w:val="000000" w:themeColor="text1"/>
          <w:sz w:val="21"/>
          <w:szCs w:val="21"/>
          <w:highlight w:val="none"/>
          <w:u w:val="single"/>
          <w14:textFill>
            <w14:solidFill>
              <w14:schemeClr w14:val="tx1"/>
            </w14:solidFill>
          </w14:textFill>
        </w:rPr>
        <w:t>（项目编号、项目名称）</w:t>
      </w:r>
      <w:r>
        <w:rPr>
          <w:rFonts w:hint="eastAsia" w:ascii="仿宋" w:hAnsi="仿宋" w:eastAsia="仿宋" w:cs="仿宋"/>
          <w:color w:val="000000" w:themeColor="text1"/>
          <w:sz w:val="21"/>
          <w:szCs w:val="21"/>
          <w:highlight w:val="none"/>
          <w14:textFill>
            <w14:solidFill>
              <w14:schemeClr w14:val="tx1"/>
            </w14:solidFill>
          </w14:textFill>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9"/>
        <w:spacing w:line="480" w:lineRule="auto"/>
        <w:ind w:left="53" w:leftChars="22" w:right="2240" w:firstLine="420" w:firstLineChars="200"/>
        <w:jc w:val="righ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投标单位：（盖章）     </w:t>
      </w:r>
    </w:p>
    <w:p>
      <w:pPr>
        <w:pStyle w:val="9"/>
        <w:spacing w:line="360" w:lineRule="auto"/>
        <w:ind w:left="53" w:leftChars="22" w:firstLine="420" w:firstLineChars="200"/>
        <w:jc w:val="righ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法定代表人或授权代理人：（签 章）</w:t>
      </w:r>
    </w:p>
    <w:p>
      <w:pPr>
        <w:pStyle w:val="9"/>
        <w:spacing w:line="360" w:lineRule="auto"/>
        <w:ind w:left="53" w:leftChars="22" w:right="2240" w:firstLine="420" w:firstLineChars="20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年  月  日</w:t>
      </w:r>
    </w:p>
    <w:p>
      <w:pPr>
        <w:pStyle w:val="9"/>
        <w:spacing w:line="360" w:lineRule="auto"/>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9"/>
        <w:spacing w:line="360" w:lineRule="auto"/>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9"/>
        <w:spacing w:line="360" w:lineRule="auto"/>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9"/>
        <w:spacing w:line="360" w:lineRule="auto"/>
        <w:ind w:left="53"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9"/>
        <w:spacing w:line="360" w:lineRule="auto"/>
        <w:ind w:left="53"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承诺书（2）</w:t>
      </w:r>
    </w:p>
    <w:p>
      <w:pPr>
        <w:pStyle w:val="9"/>
        <w:spacing w:line="400" w:lineRule="exact"/>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我公司承诺在参加本次</w:t>
      </w:r>
      <w:r>
        <w:rPr>
          <w:rFonts w:hint="eastAsia" w:ascii="仿宋" w:hAnsi="仿宋" w:eastAsia="仿宋" w:cs="仿宋"/>
          <w:color w:val="000000" w:themeColor="text1"/>
          <w:sz w:val="21"/>
          <w:szCs w:val="21"/>
          <w:highlight w:val="none"/>
          <w:u w:val="single"/>
          <w14:textFill>
            <w14:solidFill>
              <w14:schemeClr w14:val="tx1"/>
            </w14:solidFill>
          </w14:textFill>
        </w:rPr>
        <w:t>（项目编号、项目名称）</w:t>
      </w:r>
      <w:r>
        <w:rPr>
          <w:rFonts w:hint="eastAsia" w:ascii="仿宋" w:hAnsi="仿宋" w:eastAsia="仿宋" w:cs="仿宋"/>
          <w:color w:val="000000" w:themeColor="text1"/>
          <w:sz w:val="21"/>
          <w:szCs w:val="21"/>
          <w:highlight w:val="none"/>
          <w14:textFill>
            <w14:solidFill>
              <w14:schemeClr w14:val="tx1"/>
            </w14:solidFill>
          </w14:textFill>
        </w:rPr>
        <w:t xml:space="preserve">投标前三年内，无以下行为： </w:t>
      </w:r>
    </w:p>
    <w:p>
      <w:pPr>
        <w:pStyle w:val="9"/>
        <w:spacing w:line="400" w:lineRule="exact"/>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重大违法行为；</w:t>
      </w:r>
    </w:p>
    <w:p>
      <w:pPr>
        <w:pStyle w:val="9"/>
        <w:spacing w:line="400" w:lineRule="exact"/>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商业贿赂行为；</w:t>
      </w:r>
    </w:p>
    <w:p>
      <w:pPr>
        <w:pStyle w:val="9"/>
        <w:spacing w:line="400" w:lineRule="exact"/>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政府采购法《第七十七条》，列入不良行为记录名单的各种行为；</w:t>
      </w:r>
    </w:p>
    <w:p>
      <w:pPr>
        <w:pStyle w:val="9"/>
        <w:spacing w:line="400" w:lineRule="exact"/>
        <w:ind w:left="53"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如有上述行为，我公司及项目参与人员自愿放弃本次项目的投标、报价资格，若为预中标、成交人，也自愿放弃中标、成交资格。</w:t>
      </w:r>
    </w:p>
    <w:p>
      <w:pPr>
        <w:pStyle w:val="9"/>
        <w:spacing w:line="400" w:lineRule="exact"/>
        <w:ind w:left="53" w:leftChars="22" w:firstLine="3150" w:firstLineChars="15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投标单位：（盖章）</w:t>
      </w:r>
    </w:p>
    <w:p>
      <w:pPr>
        <w:pStyle w:val="9"/>
        <w:spacing w:line="400" w:lineRule="exact"/>
        <w:ind w:left="53" w:leftChars="22" w:firstLine="3150" w:firstLineChars="15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法定代表人或授权代理人：（签章） </w:t>
      </w:r>
    </w:p>
    <w:p>
      <w:pPr>
        <w:pStyle w:val="9"/>
        <w:spacing w:line="400" w:lineRule="exact"/>
        <w:ind w:left="53" w:leftChars="22" w:firstLine="3780" w:firstLineChars="18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年  月  日</w:t>
      </w:r>
    </w:p>
    <w:p>
      <w:pPr>
        <w:tabs>
          <w:tab w:val="left" w:pos="1662"/>
        </w:tabs>
        <w:spacing w:before="113"/>
        <w:ind w:left="154"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ind w:left="154"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spacing w:line="400" w:lineRule="exact"/>
        <w:jc w:val="center"/>
        <w:outlineLvl w:val="0"/>
        <w:rPr>
          <w:rFonts w:hint="eastAsia" w:ascii="仿宋" w:hAnsi="仿宋" w:eastAsia="仿宋" w:cs="仿宋"/>
          <w:b/>
          <w:bCs/>
          <w:color w:val="000000" w:themeColor="text1"/>
          <w:sz w:val="28"/>
          <w:szCs w:val="28"/>
          <w:highlight w:val="none"/>
          <w14:textFill>
            <w14:solidFill>
              <w14:schemeClr w14:val="tx1"/>
            </w14:solidFill>
          </w14:textFill>
        </w:rPr>
      </w:pPr>
      <w:bookmarkStart w:id="427" w:name="_Toc23683"/>
      <w:bookmarkStart w:id="428" w:name="_Toc9996"/>
      <w:bookmarkStart w:id="429" w:name="_Toc17833"/>
      <w:bookmarkStart w:id="430" w:name="_Toc8815"/>
      <w:bookmarkStart w:id="431" w:name="_Toc10784"/>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（八）</w:t>
      </w:r>
      <w:r>
        <w:rPr>
          <w:rFonts w:hint="eastAsia" w:ascii="仿宋" w:hAnsi="仿宋" w:eastAsia="仿宋" w:cs="仿宋"/>
          <w:color w:val="000000" w:themeColor="text1"/>
          <w:kern w:val="0"/>
          <w:sz w:val="28"/>
          <w:szCs w:val="28"/>
          <w:highlight w:val="none"/>
          <w:lang w:val="zh-CN" w:eastAsia="zh-CN" w:bidi="ar-SA"/>
          <w14:textFill>
            <w14:solidFill>
              <w14:schemeClr w14:val="tx1"/>
            </w14:solidFill>
          </w14:textFill>
        </w:rPr>
        <w:t>节能、环保产品证明（如有）</w:t>
      </w:r>
      <w:bookmarkEnd w:id="427"/>
      <w:bookmarkEnd w:id="428"/>
      <w:bookmarkEnd w:id="429"/>
      <w:bookmarkEnd w:id="430"/>
      <w:bookmarkEnd w:id="431"/>
    </w:p>
    <w:p>
      <w:pPr>
        <w:spacing w:line="400" w:lineRule="exact"/>
        <w:rPr>
          <w:rFonts w:hint="eastAsia" w:ascii="仿宋" w:hAnsi="仿宋" w:eastAsia="仿宋" w:cs="仿宋"/>
          <w:b/>
          <w:bCs/>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Cs w:val="21"/>
          <w:highlight w:val="none"/>
          <w14:textFill>
            <w14:solidFill>
              <w14:schemeClr w14:val="tx1"/>
            </w14:solidFill>
          </w14:textFill>
        </w:rPr>
      </w:pP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采购人名称          </w:t>
      </w:r>
      <w:r>
        <w:rPr>
          <w:rFonts w:hint="eastAsia" w:ascii="仿宋" w:hAnsi="仿宋" w:eastAsia="仿宋" w:cs="仿宋"/>
          <w:color w:val="000000" w:themeColor="text1"/>
          <w:sz w:val="21"/>
          <w:szCs w:val="21"/>
          <w:highlight w:val="none"/>
          <w14:textFill>
            <w14:solidFill>
              <w14:schemeClr w14:val="tx1"/>
            </w14:solidFill>
          </w14:textFill>
        </w:rPr>
        <w:t>：</w:t>
      </w: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现附上</w:t>
      </w:r>
      <w:r>
        <w:rPr>
          <w:rFonts w:hint="eastAsia" w:ascii="仿宋" w:hAnsi="仿宋" w:eastAsia="仿宋" w:cs="仿宋"/>
          <w:color w:val="000000" w:themeColor="text1"/>
          <w:sz w:val="21"/>
          <w:szCs w:val="21"/>
          <w:highlight w:val="none"/>
          <w:u w:val="single"/>
          <w14:textFill>
            <w14:solidFill>
              <w14:schemeClr w14:val="tx1"/>
            </w14:solidFill>
          </w14:textFill>
        </w:rPr>
        <w:t xml:space="preserve">         （节能、环保产品产品目录）         </w:t>
      </w:r>
      <w:r>
        <w:rPr>
          <w:rFonts w:hint="eastAsia" w:ascii="仿宋" w:hAnsi="仿宋" w:eastAsia="仿宋" w:cs="仿宋"/>
          <w:color w:val="000000" w:themeColor="text1"/>
          <w:sz w:val="21"/>
          <w:szCs w:val="21"/>
          <w:highlight w:val="none"/>
          <w14:textFill>
            <w14:solidFill>
              <w14:schemeClr w14:val="tx1"/>
            </w14:solidFill>
          </w14:textFill>
        </w:rPr>
        <w:t>证明文件（可在</w:t>
      </w:r>
      <w:r>
        <w:rPr>
          <w:rFonts w:hint="eastAsia" w:ascii="仿宋" w:hAnsi="仿宋" w:eastAsia="仿宋" w:cs="仿宋"/>
          <w:color w:val="000000" w:themeColor="text1"/>
          <w:sz w:val="21"/>
          <w:szCs w:val="21"/>
          <w:highlight w:val="none"/>
          <w:u w:val="single"/>
          <w14:textFill>
            <w14:solidFill>
              <w14:schemeClr w14:val="tx1"/>
            </w14:solidFill>
          </w14:textFill>
        </w:rPr>
        <w:t xml:space="preserve"> 网站名称 </w:t>
      </w:r>
      <w:r>
        <w:rPr>
          <w:rFonts w:hint="eastAsia" w:ascii="仿宋" w:hAnsi="仿宋" w:eastAsia="仿宋" w:cs="仿宋"/>
          <w:color w:val="000000" w:themeColor="text1"/>
          <w:sz w:val="21"/>
          <w:szCs w:val="21"/>
          <w:highlight w:val="none"/>
          <w14:textFill>
            <w14:solidFill>
              <w14:schemeClr w14:val="tx1"/>
            </w14:solidFill>
          </w14:textFill>
        </w:rPr>
        <w:t>网站进行查询）复印件，该证件真实有效。</w:t>
      </w: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pStyle w:val="6"/>
        <w:spacing w:line="400" w:lineRule="exact"/>
        <w:ind w:firstLine="42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spacing w:line="40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before="100" w:beforeAutospacing="1" w:after="100" w:afterAutospacing="1" w:line="380" w:lineRule="exact"/>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投标单位：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（单位公章）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法定代表人或授权代表人（签字）：</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日期：   年   月   日</w:t>
      </w:r>
    </w:p>
    <w:p>
      <w:pPr>
        <w:jc w:val="both"/>
        <w:rPr>
          <w:rFonts w:hint="eastAsia" w:ascii="仿宋" w:hAnsi="仿宋" w:eastAsia="仿宋" w:cs="仿宋"/>
          <w:b/>
          <w:bCs/>
          <w:color w:val="000000" w:themeColor="text1"/>
          <w:sz w:val="28"/>
          <w:szCs w:val="28"/>
          <w:highlight w:val="none"/>
          <w14:textFill>
            <w14:solidFill>
              <w14:schemeClr w14:val="tx1"/>
            </w14:solidFill>
          </w14:textFill>
        </w:rPr>
      </w:pPr>
    </w:p>
    <w:p>
      <w:pPr>
        <w:pStyle w:val="2"/>
        <w:rPr>
          <w:rFonts w:hint="eastAsia" w:ascii="仿宋" w:hAnsi="仿宋" w:eastAsia="仿宋" w:cs="仿宋"/>
          <w:b/>
          <w:bCs/>
          <w:color w:val="000000" w:themeColor="text1"/>
          <w:sz w:val="28"/>
          <w:szCs w:val="28"/>
          <w:highlight w:val="none"/>
          <w14:textFill>
            <w14:solidFill>
              <w14:schemeClr w14:val="tx1"/>
            </w14:solidFill>
          </w14:textFill>
        </w:rPr>
      </w:pPr>
    </w:p>
    <w:p>
      <w:pPr>
        <w:pStyle w:val="2"/>
        <w:rPr>
          <w:rFonts w:hint="eastAsia" w:ascii="仿宋" w:hAnsi="仿宋" w:eastAsia="仿宋" w:cs="仿宋"/>
          <w:b/>
          <w:bCs/>
          <w:color w:val="000000" w:themeColor="text1"/>
          <w:sz w:val="28"/>
          <w:szCs w:val="28"/>
          <w:highlight w:val="none"/>
          <w14:textFill>
            <w14:solidFill>
              <w14:schemeClr w14:val="tx1"/>
            </w14:solidFill>
          </w14:textFill>
        </w:rPr>
      </w:pPr>
    </w:p>
    <w:p>
      <w:pPr>
        <w:pStyle w:val="2"/>
        <w:rPr>
          <w:rFonts w:hint="eastAsia" w:ascii="仿宋" w:hAnsi="仿宋" w:eastAsia="仿宋" w:cs="仿宋"/>
          <w:b/>
          <w:bCs/>
          <w:color w:val="000000" w:themeColor="text1"/>
          <w:sz w:val="28"/>
          <w:szCs w:val="28"/>
          <w:highlight w:val="none"/>
          <w14:textFill>
            <w14:solidFill>
              <w14:schemeClr w14:val="tx1"/>
            </w14:solidFill>
          </w14:textFill>
        </w:rPr>
      </w:pPr>
    </w:p>
    <w:p>
      <w:pPr>
        <w:pStyle w:val="2"/>
        <w:rPr>
          <w:rFonts w:hint="eastAsia" w:ascii="仿宋" w:hAnsi="仿宋" w:eastAsia="仿宋" w:cs="仿宋"/>
          <w:b/>
          <w:bCs/>
          <w:color w:val="000000" w:themeColor="text1"/>
          <w:sz w:val="28"/>
          <w:szCs w:val="28"/>
          <w:highlight w:val="none"/>
          <w14:textFill>
            <w14:solidFill>
              <w14:schemeClr w14:val="tx1"/>
            </w14:solidFill>
          </w14:textFill>
        </w:rPr>
      </w:pPr>
    </w:p>
    <w:p>
      <w:pPr>
        <w:rPr>
          <w:rFonts w:hint="eastAsia" w:ascii="仿宋" w:hAnsi="仿宋" w:eastAsia="仿宋" w:cs="仿宋"/>
          <w:b/>
          <w:bCs/>
          <w:color w:val="000000" w:themeColor="text1"/>
          <w:sz w:val="28"/>
          <w:szCs w:val="28"/>
          <w:highlight w:val="none"/>
          <w14:textFill>
            <w14:solidFill>
              <w14:schemeClr w14:val="tx1"/>
            </w14:solidFill>
          </w14:textFill>
        </w:rPr>
      </w:pPr>
    </w:p>
    <w:p>
      <w:pPr>
        <w:pStyle w:val="2"/>
        <w:rPr>
          <w:rFonts w:hint="eastAsia" w:ascii="仿宋" w:hAnsi="仿宋" w:eastAsia="仿宋" w:cs="仿宋"/>
          <w:b/>
          <w:bCs/>
          <w:color w:val="000000" w:themeColor="text1"/>
          <w:sz w:val="28"/>
          <w:szCs w:val="28"/>
          <w:highlight w:val="none"/>
          <w14:textFill>
            <w14:solidFill>
              <w14:schemeClr w14:val="tx1"/>
            </w14:solidFill>
          </w14:textFill>
        </w:rPr>
      </w:pPr>
    </w:p>
    <w:p>
      <w:pPr>
        <w:jc w:val="center"/>
        <w:outlineLvl w:val="0"/>
        <w:rPr>
          <w:rFonts w:hint="eastAsia" w:ascii="仿宋" w:hAnsi="仿宋" w:eastAsia="仿宋" w:cs="仿宋"/>
          <w:b/>
          <w:bCs/>
          <w:color w:val="000000" w:themeColor="text1"/>
          <w:sz w:val="28"/>
          <w:szCs w:val="28"/>
          <w:highlight w:val="none"/>
          <w14:textFill>
            <w14:solidFill>
              <w14:schemeClr w14:val="tx1"/>
            </w14:solidFill>
          </w14:textFill>
        </w:rPr>
      </w:pPr>
      <w:bookmarkStart w:id="432" w:name="_Toc8722"/>
      <w:bookmarkStart w:id="433" w:name="_Toc5125"/>
      <w:bookmarkStart w:id="434" w:name="_Toc30006"/>
      <w:bookmarkStart w:id="435" w:name="_Toc24878"/>
      <w:bookmarkStart w:id="436" w:name="_Toc13195"/>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（九）</w:t>
      </w:r>
      <w:r>
        <w:rPr>
          <w:rFonts w:hint="eastAsia" w:ascii="仿宋" w:hAnsi="仿宋" w:eastAsia="仿宋" w:cs="仿宋"/>
          <w:color w:val="000000" w:themeColor="text1"/>
          <w:kern w:val="0"/>
          <w:sz w:val="28"/>
          <w:szCs w:val="28"/>
          <w:highlight w:val="none"/>
          <w:lang w:val="zh-CN" w:eastAsia="zh-CN" w:bidi="ar-SA"/>
          <w14:textFill>
            <w14:solidFill>
              <w14:schemeClr w14:val="tx1"/>
            </w14:solidFill>
          </w14:textFill>
        </w:rPr>
        <w:t>中小企业声明函（如是）</w:t>
      </w:r>
      <w:bookmarkEnd w:id="432"/>
      <w:bookmarkEnd w:id="433"/>
      <w:bookmarkEnd w:id="434"/>
      <w:bookmarkEnd w:id="435"/>
      <w:bookmarkEnd w:id="436"/>
    </w:p>
    <w:p>
      <w:pPr>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本公司郑重声明，根据《政府采购促进中小企业发展暂行办法》（财库〔2011〕181号）的规定，本公司为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（请填写：中型、小型、微型）企业。即本公司同时满足以下条件：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2、本公司参加</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单位的</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项目采购活动提供本企业制造的货物，由本企业承担工程、提供服务，或者提供其他</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（请填写：中型、小型、微型）企业制造的货物。本条所称货物不包括使用大型企业注册商标的货物。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本公司对上述声明的真实性负责。如有虚假，将依法承担相应责任。</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p>
      <w:pPr>
        <w:spacing w:line="560" w:lineRule="atLeast"/>
        <w:rPr>
          <w:rFonts w:hint="eastAsia" w:ascii="仿宋" w:hAnsi="仿宋" w:eastAsia="仿宋" w:cs="仿宋"/>
          <w:color w:val="000000" w:themeColor="text1"/>
          <w:sz w:val="21"/>
          <w:szCs w:val="21"/>
          <w:highlight w:val="none"/>
          <w14:textFill>
            <w14:solidFill>
              <w14:schemeClr w14:val="tx1"/>
            </w14:solidFill>
          </w14:textFill>
        </w:rPr>
      </w:pPr>
    </w:p>
    <w:p>
      <w:pPr>
        <w:spacing w:before="100" w:beforeAutospacing="1" w:after="100" w:afterAutospacing="1" w:line="380" w:lineRule="exact"/>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投标单位：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（单位公章）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法定代表人或授权代表人（签字）：</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日期：   年   月   日</w:t>
      </w:r>
    </w:p>
    <w:p>
      <w:pPr>
        <w:jc w:val="center"/>
        <w:rPr>
          <w:rFonts w:hint="eastAsia" w:ascii="仿宋" w:hAnsi="仿宋" w:eastAsia="仿宋" w:cs="仿宋"/>
          <w:b/>
          <w:bCs/>
          <w:color w:val="000000" w:themeColor="text1"/>
          <w:sz w:val="21"/>
          <w:szCs w:val="21"/>
          <w:highlight w:val="none"/>
          <w14:textFill>
            <w14:solidFill>
              <w14:schemeClr w14:val="tx1"/>
            </w14:solidFill>
          </w14:textFill>
        </w:rPr>
      </w:pPr>
    </w:p>
    <w:p>
      <w:pPr>
        <w:pStyle w:val="6"/>
        <w:spacing w:line="400" w:lineRule="exact"/>
        <w:ind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注：根据《政府采购促进中小企业发展暂行办法》（财库〔2011〕181号）文的有关规定，投标人属于符合本办法第二条之规定的中小企业者，应在资格性文件中提供相关部门出具的资格证明材料，否则不予认可。</w:t>
      </w:r>
    </w:p>
    <w:p>
      <w:pPr>
        <w:tabs>
          <w:tab w:val="left" w:pos="1662"/>
        </w:tabs>
        <w:spacing w:before="113"/>
        <w:ind w:left="154"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54"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54"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54" w:leftChars="64"/>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37" w:name="_Toc20463"/>
      <w:bookmarkStart w:id="438" w:name="_Toc14418"/>
      <w:bookmarkStart w:id="439" w:name="_Toc28089"/>
      <w:bookmarkStart w:id="440" w:name="_Toc3035"/>
      <w:bookmarkStart w:id="441" w:name="_Toc14569"/>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14:textFill>
            <w14:solidFill>
              <w14:schemeClr w14:val="tx1"/>
            </w14:solidFill>
          </w14:textFill>
        </w:rPr>
        <w:t>）投标保证金</w:t>
      </w:r>
      <w:bookmarkEnd w:id="437"/>
      <w:bookmarkEnd w:id="438"/>
      <w:bookmarkEnd w:id="439"/>
      <w:bookmarkEnd w:id="440"/>
      <w:bookmarkEnd w:id="441"/>
    </w:p>
    <w:p>
      <w:pPr>
        <w:pStyle w:val="6"/>
        <w:spacing w:before="5"/>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w:t>
      </w:r>
      <w:r>
        <w:rPr>
          <w:rFonts w:hint="eastAsia" w:ascii="仿宋" w:hAnsi="仿宋" w:eastAsia="仿宋" w:cs="仿宋"/>
          <w:b/>
          <w:color w:val="000000" w:themeColor="text1"/>
          <w:sz w:val="24"/>
          <w:szCs w:val="24"/>
          <w:highlight w:val="none"/>
          <w:lang w:eastAsia="zh-CN"/>
          <w14:textFill>
            <w14:solidFill>
              <w14:schemeClr w14:val="tx1"/>
            </w14:solidFill>
          </w14:textFill>
        </w:rPr>
        <w:t>投标保证金电子回单</w:t>
      </w:r>
      <w:r>
        <w:rPr>
          <w:rFonts w:hint="eastAsia" w:ascii="仿宋" w:hAnsi="仿宋" w:eastAsia="仿宋" w:cs="仿宋"/>
          <w:b/>
          <w:color w:val="000000" w:themeColor="text1"/>
          <w:sz w:val="24"/>
          <w:szCs w:val="24"/>
          <w:highlight w:val="none"/>
          <w14:textFill>
            <w14:solidFill>
              <w14:schemeClr w14:val="tx1"/>
            </w14:solidFill>
          </w14:textFill>
        </w:rPr>
        <w:t>，同时在开标时，将</w:t>
      </w:r>
      <w:r>
        <w:rPr>
          <w:rFonts w:hint="eastAsia" w:ascii="仿宋" w:hAnsi="仿宋" w:eastAsia="仿宋" w:cs="仿宋"/>
          <w:b/>
          <w:color w:val="000000" w:themeColor="text1"/>
          <w:sz w:val="24"/>
          <w:szCs w:val="24"/>
          <w:highlight w:val="none"/>
          <w:lang w:eastAsia="zh-CN"/>
          <w14:textFill>
            <w14:solidFill>
              <w14:schemeClr w14:val="tx1"/>
            </w14:solidFill>
          </w14:textFill>
        </w:rPr>
        <w:t>投标保证金电子回单</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原件</w:t>
      </w:r>
      <w:r>
        <w:rPr>
          <w:rFonts w:hint="eastAsia" w:ascii="仿宋" w:hAnsi="仿宋" w:eastAsia="仿宋" w:cs="仿宋"/>
          <w:b/>
          <w:color w:val="000000" w:themeColor="text1"/>
          <w:sz w:val="24"/>
          <w:szCs w:val="24"/>
          <w:highlight w:val="none"/>
          <w14:textFill>
            <w14:solidFill>
              <w14:schemeClr w14:val="tx1"/>
            </w14:solidFill>
          </w14:textFill>
        </w:rPr>
        <w:t>携带至开标现场以备查验，未提供后果自负。</w:t>
      </w:r>
    </w:p>
    <w:p>
      <w:pPr>
        <w:pStyle w:val="6"/>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6"/>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6"/>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6"/>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6"/>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6"/>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6"/>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6"/>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6"/>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6"/>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6"/>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6"/>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42" w:name="_Toc7295"/>
      <w:bookmarkStart w:id="443" w:name="_Toc3019"/>
      <w:bookmarkStart w:id="444" w:name="_Toc31152"/>
      <w:bookmarkStart w:id="445" w:name="_Toc3163"/>
      <w:bookmarkStart w:id="446" w:name="_Toc22582"/>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）技术条款偏离表</w:t>
      </w:r>
      <w:bookmarkEnd w:id="442"/>
      <w:bookmarkEnd w:id="443"/>
      <w:bookmarkEnd w:id="444"/>
      <w:bookmarkEnd w:id="445"/>
      <w:bookmarkEnd w:id="446"/>
    </w:p>
    <w:p>
      <w:pPr>
        <w:wordWrap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项目名称：</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p>
    <w:p>
      <w:pPr>
        <w:pStyle w:val="14"/>
        <w:pBdr>
          <w:bottom w:val="none" w:color="auto" w:sz="0" w:space="0"/>
        </w:pBdr>
        <w:tabs>
          <w:tab w:val="clear" w:pos="4153"/>
          <w:tab w:val="clear" w:pos="8306"/>
        </w:tabs>
        <w:wordWrap w:val="0"/>
        <w:snapToGrid/>
        <w:spacing w:line="360" w:lineRule="auto"/>
        <w:jc w:val="both"/>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项目编号：</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p>
    <w:tbl>
      <w:tblPr>
        <w:tblStyle w:val="21"/>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341"/>
        <w:gridCol w:w="2924"/>
        <w:gridCol w:w="1285"/>
        <w:gridCol w:w="12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3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341"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招标文件规格要求条目号</w:t>
            </w:r>
          </w:p>
        </w:tc>
        <w:tc>
          <w:tcPr>
            <w:tcW w:w="2924" w:type="dxa"/>
            <w:noWrap w:val="0"/>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w:t>
            </w:r>
          </w:p>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规格要求</w:t>
            </w:r>
          </w:p>
        </w:tc>
        <w:tc>
          <w:tcPr>
            <w:tcW w:w="1285" w:type="dxa"/>
            <w:noWrap w:val="0"/>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w:t>
            </w:r>
            <w:r>
              <w:rPr>
                <w:rFonts w:hint="eastAsia" w:ascii="仿宋" w:hAnsi="仿宋" w:eastAsia="仿宋" w:cs="仿宋"/>
                <w:color w:val="000000" w:themeColor="text1"/>
                <w:sz w:val="24"/>
                <w:szCs w:val="24"/>
                <w:highlight w:val="none"/>
                <w:lang w:val="en-US"/>
                <w14:textFill>
                  <w14:solidFill>
                    <w14:schemeClr w14:val="tx1"/>
                  </w14:solidFill>
                </w14:textFill>
              </w:rPr>
              <w:t>文件</w:t>
            </w:r>
          </w:p>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规格要求</w:t>
            </w:r>
          </w:p>
        </w:tc>
        <w:tc>
          <w:tcPr>
            <w:tcW w:w="128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偏离</w:t>
            </w:r>
          </w:p>
        </w:tc>
        <w:tc>
          <w:tcPr>
            <w:tcW w:w="128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spacing w:line="360" w:lineRule="auto"/>
        <w:ind w:firstLine="570"/>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注：为使评标委员会准确理解及保证评审工作顺利进行，请供应商针对招标文件的要求，结合所供货物的实际性能、技术指标等逐条进行说明，说明货物或产品的实际响应程度。如简单的以“无偏离、完全响应”等类似表述，有可能给投标供应商带来的不利或导致投标被否决，将由供应商自行承担，敬请供应商注意！</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法定代表人或授权代表：</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(签 章)</w:t>
      </w:r>
    </w:p>
    <w:p>
      <w:pPr>
        <w:pStyle w:val="9"/>
        <w:spacing w:line="360" w:lineRule="auto"/>
        <w:ind w:left="960" w:leftChars="300" w:right="720" w:hanging="240" w:hanging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投标日期：20   年   月   日</w:t>
      </w:r>
    </w:p>
    <w:p>
      <w:pPr>
        <w:pStyle w:val="6"/>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54" w:leftChars="64" w:firstLine="560" w:firstLineChars="20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47" w:name="_Toc15718"/>
      <w:bookmarkStart w:id="448" w:name="_Toc28496"/>
      <w:bookmarkStart w:id="449" w:name="_Toc23781"/>
      <w:bookmarkStart w:id="450" w:name="_Toc18404"/>
      <w:bookmarkStart w:id="451" w:name="_Toc2051"/>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）投标人基本情况表</w:t>
      </w:r>
      <w:bookmarkEnd w:id="447"/>
      <w:bookmarkEnd w:id="448"/>
      <w:bookmarkEnd w:id="449"/>
      <w:bookmarkEnd w:id="450"/>
      <w:bookmarkEnd w:id="451"/>
    </w:p>
    <w:tbl>
      <w:tblPr>
        <w:tblStyle w:val="21"/>
        <w:tblW w:w="9223"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8"/>
        <w:gridCol w:w="3586"/>
        <w:gridCol w:w="1739"/>
        <w:gridCol w:w="1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42"/>
              <w:spacing w:before="118"/>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企业注册名称</w:t>
            </w:r>
          </w:p>
        </w:tc>
        <w:tc>
          <w:tcPr>
            <w:tcW w:w="3586" w:type="dxa"/>
            <w:noWrap w:val="0"/>
            <w:vAlign w:val="top"/>
          </w:tcPr>
          <w:p>
            <w:pPr>
              <w:pStyle w:val="42"/>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42"/>
              <w:spacing w:before="118"/>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建立日期</w:t>
            </w:r>
          </w:p>
        </w:tc>
        <w:tc>
          <w:tcPr>
            <w:tcW w:w="1730" w:type="dxa"/>
            <w:noWrap w:val="0"/>
            <w:vAlign w:val="top"/>
          </w:tcPr>
          <w:p>
            <w:pPr>
              <w:pStyle w:val="42"/>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42"/>
              <w:spacing w:before="119"/>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企业详细地址</w:t>
            </w:r>
          </w:p>
        </w:tc>
        <w:tc>
          <w:tcPr>
            <w:tcW w:w="3586" w:type="dxa"/>
            <w:noWrap w:val="0"/>
            <w:vAlign w:val="top"/>
          </w:tcPr>
          <w:p>
            <w:pPr>
              <w:pStyle w:val="42"/>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42"/>
              <w:spacing w:before="119"/>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企业性质</w:t>
            </w:r>
          </w:p>
        </w:tc>
        <w:tc>
          <w:tcPr>
            <w:tcW w:w="1730" w:type="dxa"/>
            <w:noWrap w:val="0"/>
            <w:vAlign w:val="top"/>
          </w:tcPr>
          <w:p>
            <w:pPr>
              <w:pStyle w:val="42"/>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42"/>
              <w:spacing w:before="120"/>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企业法人代表</w:t>
            </w:r>
          </w:p>
        </w:tc>
        <w:tc>
          <w:tcPr>
            <w:tcW w:w="3586" w:type="dxa"/>
            <w:noWrap w:val="0"/>
            <w:vAlign w:val="top"/>
          </w:tcPr>
          <w:p>
            <w:pPr>
              <w:pStyle w:val="42"/>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42"/>
              <w:spacing w:before="120"/>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技术负责人</w:t>
            </w:r>
          </w:p>
        </w:tc>
        <w:tc>
          <w:tcPr>
            <w:tcW w:w="1730" w:type="dxa"/>
            <w:noWrap w:val="0"/>
            <w:vAlign w:val="top"/>
          </w:tcPr>
          <w:p>
            <w:pPr>
              <w:pStyle w:val="42"/>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42"/>
              <w:spacing w:before="118"/>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联系人</w:t>
            </w:r>
          </w:p>
        </w:tc>
        <w:tc>
          <w:tcPr>
            <w:tcW w:w="3586" w:type="dxa"/>
            <w:noWrap w:val="0"/>
            <w:vAlign w:val="top"/>
          </w:tcPr>
          <w:p>
            <w:pPr>
              <w:pStyle w:val="42"/>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42"/>
              <w:spacing w:before="118"/>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联系电话</w:t>
            </w:r>
          </w:p>
        </w:tc>
        <w:tc>
          <w:tcPr>
            <w:tcW w:w="1730" w:type="dxa"/>
            <w:noWrap w:val="0"/>
            <w:vAlign w:val="top"/>
          </w:tcPr>
          <w:p>
            <w:pPr>
              <w:pStyle w:val="42"/>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42"/>
              <w:spacing w:before="119"/>
              <w:ind w:left="92" w:right="85"/>
              <w:jc w:val="center"/>
              <w:rPr>
                <w:rFonts w:hint="eastAsia" w:ascii="仿宋" w:hAnsi="仿宋" w:eastAsia="仿宋" w:cs="仿宋"/>
                <w:color w:val="000000" w:themeColor="text1"/>
                <w:sz w:val="21"/>
                <w:highlight w:val="none"/>
                <w:lang w:eastAsia="zh-CN"/>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企业资质等级</w:t>
            </w:r>
            <w:r>
              <w:rPr>
                <w:rFonts w:hint="eastAsia" w:ascii="仿宋" w:hAnsi="仿宋" w:eastAsia="仿宋" w:cs="仿宋"/>
                <w:color w:val="000000" w:themeColor="text1"/>
                <w:sz w:val="21"/>
                <w:highlight w:val="none"/>
                <w:lang w:eastAsia="zh-CN"/>
                <w14:textFill>
                  <w14:solidFill>
                    <w14:schemeClr w14:val="tx1"/>
                  </w14:solidFill>
                </w14:textFill>
              </w:rPr>
              <w:t>（</w:t>
            </w:r>
            <w:r>
              <w:rPr>
                <w:rFonts w:hint="eastAsia" w:ascii="仿宋" w:hAnsi="仿宋" w:eastAsia="仿宋" w:cs="仿宋"/>
                <w:color w:val="000000" w:themeColor="text1"/>
                <w:sz w:val="21"/>
                <w:highlight w:val="none"/>
                <w:lang w:val="en-US" w:eastAsia="zh-CN"/>
                <w14:textFill>
                  <w14:solidFill>
                    <w14:schemeClr w14:val="tx1"/>
                  </w14:solidFill>
                </w14:textFill>
              </w:rPr>
              <w:t>如有</w:t>
            </w:r>
            <w:r>
              <w:rPr>
                <w:rFonts w:hint="eastAsia" w:ascii="仿宋" w:hAnsi="仿宋" w:eastAsia="仿宋" w:cs="仿宋"/>
                <w:color w:val="000000" w:themeColor="text1"/>
                <w:sz w:val="21"/>
                <w:highlight w:val="none"/>
                <w:lang w:eastAsia="zh-CN"/>
                <w14:textFill>
                  <w14:solidFill>
                    <w14:schemeClr w14:val="tx1"/>
                  </w14:solidFill>
                </w14:textFill>
              </w:rPr>
              <w:t>）</w:t>
            </w:r>
          </w:p>
        </w:tc>
        <w:tc>
          <w:tcPr>
            <w:tcW w:w="7055" w:type="dxa"/>
            <w:gridSpan w:val="3"/>
            <w:noWrap w:val="0"/>
            <w:vAlign w:val="top"/>
          </w:tcPr>
          <w:p>
            <w:pPr>
              <w:pStyle w:val="42"/>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68" w:type="dxa"/>
            <w:noWrap w:val="0"/>
            <w:vAlign w:val="top"/>
          </w:tcPr>
          <w:p>
            <w:pPr>
              <w:pStyle w:val="42"/>
              <w:ind w:left="95"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组织机构代码证或统</w:t>
            </w:r>
          </w:p>
          <w:p>
            <w:pPr>
              <w:pStyle w:val="42"/>
              <w:spacing w:before="4" w:line="251" w:lineRule="exact"/>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一社会信用代码</w:t>
            </w:r>
          </w:p>
        </w:tc>
        <w:tc>
          <w:tcPr>
            <w:tcW w:w="7055" w:type="dxa"/>
            <w:gridSpan w:val="3"/>
            <w:noWrap w:val="0"/>
            <w:vAlign w:val="top"/>
          </w:tcPr>
          <w:p>
            <w:pPr>
              <w:pStyle w:val="42"/>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68" w:type="dxa"/>
            <w:noWrap w:val="0"/>
            <w:vAlign w:val="top"/>
          </w:tcPr>
          <w:p>
            <w:pPr>
              <w:pStyle w:val="42"/>
              <w:spacing w:line="269" w:lineRule="exact"/>
              <w:ind w:left="95"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银行开户银行及账号</w:t>
            </w:r>
            <w:r>
              <w:rPr>
                <w:rFonts w:hint="eastAsia" w:ascii="仿宋" w:hAnsi="仿宋" w:eastAsia="仿宋" w:cs="仿宋"/>
                <w:color w:val="000000" w:themeColor="text1"/>
                <w:w w:val="99"/>
                <w:sz w:val="21"/>
                <w:highlight w:val="none"/>
                <w14:textFill>
                  <w14:solidFill>
                    <w14:schemeClr w14:val="tx1"/>
                  </w14:solidFill>
                </w14:textFill>
              </w:rPr>
              <w:t>等</w:t>
            </w:r>
          </w:p>
        </w:tc>
        <w:tc>
          <w:tcPr>
            <w:tcW w:w="7055" w:type="dxa"/>
            <w:gridSpan w:val="3"/>
            <w:noWrap w:val="0"/>
            <w:vAlign w:val="top"/>
          </w:tcPr>
          <w:p>
            <w:pPr>
              <w:pStyle w:val="42"/>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2168" w:type="dxa"/>
            <w:noWrap w:val="0"/>
            <w:vAlign w:val="top"/>
          </w:tcPr>
          <w:p>
            <w:pPr>
              <w:pStyle w:val="42"/>
              <w:spacing w:before="1"/>
              <w:ind w:firstLine="482"/>
              <w:rPr>
                <w:rFonts w:hint="eastAsia" w:ascii="仿宋" w:hAnsi="仿宋" w:eastAsia="仿宋" w:cs="仿宋"/>
                <w:b/>
                <w:color w:val="000000" w:themeColor="text1"/>
                <w:sz w:val="24"/>
                <w:highlight w:val="none"/>
                <w14:textFill>
                  <w14:solidFill>
                    <w14:schemeClr w14:val="tx1"/>
                  </w14:solidFill>
                </w14:textFill>
              </w:rPr>
            </w:pPr>
          </w:p>
          <w:p>
            <w:pPr>
              <w:pStyle w:val="42"/>
              <w:ind w:left="90"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业务范围</w:t>
            </w:r>
          </w:p>
        </w:tc>
        <w:tc>
          <w:tcPr>
            <w:tcW w:w="7055" w:type="dxa"/>
            <w:gridSpan w:val="3"/>
            <w:noWrap w:val="0"/>
            <w:vAlign w:val="top"/>
          </w:tcPr>
          <w:p>
            <w:pPr>
              <w:pStyle w:val="42"/>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2168" w:type="dxa"/>
            <w:noWrap w:val="0"/>
            <w:vAlign w:val="top"/>
          </w:tcPr>
          <w:p>
            <w:pPr>
              <w:pStyle w:val="42"/>
              <w:spacing w:before="128" w:line="242" w:lineRule="auto"/>
              <w:ind w:left="955" w:right="943"/>
              <w:jc w:val="both"/>
              <w:rPr>
                <w:rFonts w:hint="eastAsia" w:ascii="仿宋" w:hAnsi="仿宋" w:eastAsia="仿宋" w:cs="仿宋"/>
                <w:b/>
                <w:color w:val="000000" w:themeColor="text1"/>
                <w:sz w:val="20"/>
                <w:highlight w:val="none"/>
                <w14:textFill>
                  <w14:solidFill>
                    <w14:schemeClr w14:val="tx1"/>
                  </w14:solidFill>
                </w14:textFill>
              </w:rPr>
            </w:pPr>
          </w:p>
          <w:p>
            <w:pPr>
              <w:pStyle w:val="42"/>
              <w:spacing w:before="128" w:line="242" w:lineRule="auto"/>
              <w:ind w:left="955" w:right="943"/>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企业简介</w:t>
            </w:r>
          </w:p>
        </w:tc>
        <w:tc>
          <w:tcPr>
            <w:tcW w:w="7055" w:type="dxa"/>
            <w:gridSpan w:val="3"/>
            <w:noWrap w:val="0"/>
            <w:vAlign w:val="top"/>
          </w:tcPr>
          <w:p>
            <w:pPr>
              <w:pStyle w:val="42"/>
              <w:ind w:firstLine="360"/>
              <w:rPr>
                <w:rFonts w:hint="eastAsia" w:ascii="仿宋" w:hAnsi="仿宋" w:eastAsia="仿宋" w:cs="仿宋"/>
                <w:color w:val="000000" w:themeColor="text1"/>
                <w:sz w:val="18"/>
                <w:highlight w:val="none"/>
                <w14:textFill>
                  <w14:solidFill>
                    <w14:schemeClr w14:val="tx1"/>
                  </w14:solidFill>
                </w14:textFill>
              </w:rPr>
            </w:pPr>
          </w:p>
        </w:tc>
      </w:tr>
    </w:tbl>
    <w:p>
      <w:pPr>
        <w:spacing w:before="75" w:line="360" w:lineRule="auto"/>
        <w:ind w:left="881" w:right="691"/>
        <w:rPr>
          <w:rFonts w:hint="eastAsia" w:ascii="仿宋" w:hAnsi="仿宋" w:eastAsia="仿宋" w:cs="仿宋"/>
          <w:b/>
          <w:color w:val="000000" w:themeColor="text1"/>
          <w:spacing w:val="-8"/>
          <w:sz w:val="21"/>
          <w:szCs w:val="21"/>
          <w:highlight w:val="none"/>
          <w14:textFill>
            <w14:solidFill>
              <w14:schemeClr w14:val="tx1"/>
            </w14:solidFill>
          </w14:textFill>
        </w:rPr>
      </w:pPr>
      <w:r>
        <w:rPr>
          <w:rFonts w:hint="eastAsia" w:ascii="仿宋" w:hAnsi="仿宋" w:eastAsia="仿宋" w:cs="仿宋"/>
          <w:b/>
          <w:color w:val="000000" w:themeColor="text1"/>
          <w:spacing w:val="-8"/>
          <w:sz w:val="21"/>
          <w:szCs w:val="21"/>
          <w:highlight w:val="none"/>
          <w14:textFill>
            <w14:solidFill>
              <w14:schemeClr w14:val="tx1"/>
            </w14:solidFill>
          </w14:textFill>
        </w:rPr>
        <w:t>注：在本表后应附：</w:t>
      </w:r>
    </w:p>
    <w:p>
      <w:pPr>
        <w:spacing w:before="75" w:line="360" w:lineRule="auto"/>
        <w:ind w:left="567" w:right="691" w:firstLine="358"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16"/>
          <w:sz w:val="21"/>
          <w:szCs w:val="21"/>
          <w:highlight w:val="none"/>
          <w14:textFill>
            <w14:solidFill>
              <w14:schemeClr w14:val="tx1"/>
            </w14:solidFill>
          </w14:textFill>
        </w:rPr>
        <w:t>1</w:t>
      </w:r>
      <w:r>
        <w:rPr>
          <w:rFonts w:hint="eastAsia" w:ascii="仿宋" w:hAnsi="仿宋" w:eastAsia="仿宋" w:cs="仿宋"/>
          <w:b/>
          <w:color w:val="000000" w:themeColor="text1"/>
          <w:spacing w:val="-7"/>
          <w:sz w:val="21"/>
          <w:szCs w:val="21"/>
          <w:highlight w:val="none"/>
          <w14:textFill>
            <w14:solidFill>
              <w14:schemeClr w14:val="tx1"/>
            </w14:solidFill>
          </w14:textFill>
        </w:rPr>
        <w:t>、投标单位企业法人营业执照副本或具有同等法律效力的许可经营证明文件的复印件(并</w:t>
      </w:r>
      <w:r>
        <w:rPr>
          <w:rFonts w:hint="eastAsia" w:ascii="仿宋" w:hAnsi="仿宋" w:eastAsia="仿宋" w:cs="仿宋"/>
          <w:b/>
          <w:color w:val="000000" w:themeColor="text1"/>
          <w:sz w:val="21"/>
          <w:szCs w:val="21"/>
          <w:highlight w:val="none"/>
          <w14:textFill>
            <w14:solidFill>
              <w14:schemeClr w14:val="tx1"/>
            </w14:solidFill>
          </w14:textFill>
        </w:rPr>
        <w:t>加盖单位章)、相关资质证书、许可证书及本招标文件中相关资格要求的内容等资料的复印件。</w:t>
      </w:r>
    </w:p>
    <w:p>
      <w:pPr>
        <w:spacing w:line="360" w:lineRule="auto"/>
        <w:ind w:left="567"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2、银行开户许可证；</w:t>
      </w:r>
    </w:p>
    <w:p>
      <w:pPr>
        <w:spacing w:before="110" w:line="360" w:lineRule="auto"/>
        <w:ind w:left="567"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3、附：其他相关证明材料复印件（如有需要）</w:t>
      </w:r>
    </w:p>
    <w:p>
      <w:pPr>
        <w:spacing w:before="110" w:line="360" w:lineRule="auto"/>
        <w:ind w:left="567"/>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以上复印件在投标文件正本中均为加盖公章复印件，必须完整、清晰可辨、有效。</w:t>
      </w:r>
    </w:p>
    <w:p>
      <w:pPr>
        <w:pStyle w:val="9"/>
        <w:ind w:left="1030"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pStyle w:val="9"/>
        <w:ind w:left="1030"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pStyle w:val="9"/>
        <w:ind w:left="1030"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pStyle w:val="9"/>
        <w:ind w:left="1030"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pStyle w:val="9"/>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p>
    <w:p>
      <w:pPr>
        <w:pStyle w:val="6"/>
        <w:numPr>
          <w:ilvl w:val="0"/>
          <w:numId w:val="0"/>
        </w:numPr>
        <w:spacing w:before="5"/>
        <w:jc w:val="center"/>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452" w:name="_Toc32557"/>
      <w:bookmarkStart w:id="453" w:name="_Toc11828"/>
      <w:bookmarkStart w:id="454" w:name="_Toc30025"/>
      <w:bookmarkStart w:id="455" w:name="_Toc32068"/>
      <w:bookmarkStart w:id="456" w:name="_Toc5394"/>
      <w:r>
        <w:rPr>
          <w:rFonts w:hint="eastAsia" w:ascii="仿宋" w:hAnsi="仿宋" w:eastAsia="仿宋" w:cs="仿宋"/>
          <w:color w:val="000000" w:themeColor="text1"/>
          <w:sz w:val="28"/>
          <w:szCs w:val="28"/>
          <w:highlight w:val="none"/>
          <w:lang w:val="en-US" w:eastAsia="zh-CN"/>
          <w14:textFill>
            <w14:solidFill>
              <w14:schemeClr w14:val="tx1"/>
            </w14:solidFill>
          </w14:textFill>
        </w:rPr>
        <w:t>（十三）运输方案</w:t>
      </w:r>
      <w:bookmarkEnd w:id="452"/>
      <w:bookmarkEnd w:id="453"/>
      <w:bookmarkEnd w:id="454"/>
    </w:p>
    <w:p>
      <w:pPr>
        <w:pStyle w:val="9"/>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（根据项目情况自行编制，</w:t>
      </w:r>
      <w:r>
        <w:rPr>
          <w:rFonts w:hint="eastAsia" w:ascii="仿宋" w:hAnsi="仿宋" w:eastAsia="仿宋" w:cs="仿宋"/>
          <w:color w:val="000000" w:themeColor="text1"/>
          <w:sz w:val="28"/>
          <w:szCs w:val="28"/>
          <w:highlight w:val="none"/>
          <w:lang w:val="en-US" w:eastAsia="zh-CN"/>
          <w14:textFill>
            <w14:solidFill>
              <w14:schemeClr w14:val="tx1"/>
            </w14:solidFill>
          </w14:textFill>
        </w:rPr>
        <w:t>具体内容详见评标办法，</w:t>
      </w:r>
      <w:r>
        <w:rPr>
          <w:rFonts w:hint="eastAsia" w:ascii="仿宋" w:hAnsi="仿宋" w:eastAsia="仿宋" w:cs="仿宋"/>
          <w:color w:val="000000" w:themeColor="text1"/>
          <w:sz w:val="28"/>
          <w:szCs w:val="28"/>
          <w:highlight w:val="none"/>
          <w14:textFill>
            <w14:solidFill>
              <w14:schemeClr w14:val="tx1"/>
            </w14:solidFill>
          </w14:textFill>
        </w:rPr>
        <w:t>内容和格式自拟）</w:t>
      </w:r>
    </w:p>
    <w:p>
      <w:pPr>
        <w:pStyle w:val="6"/>
        <w:widowControl w:val="0"/>
        <w:numPr>
          <w:ilvl w:val="0"/>
          <w:numId w:val="0"/>
        </w:numPr>
        <w:autoSpaceDE w:val="0"/>
        <w:autoSpaceDN w:val="0"/>
        <w:spacing w:before="5"/>
        <w:jc w:val="center"/>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pStyle w:val="6"/>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57" w:name="_Toc19221"/>
      <w:bookmarkStart w:id="458" w:name="_Toc31584"/>
      <w:bookmarkStart w:id="459" w:name="_Toc15412"/>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）质量保证措施</w:t>
      </w:r>
      <w:bookmarkEnd w:id="455"/>
      <w:bookmarkEnd w:id="456"/>
      <w:bookmarkEnd w:id="457"/>
      <w:bookmarkEnd w:id="458"/>
      <w:bookmarkEnd w:id="459"/>
    </w:p>
    <w:p>
      <w:pPr>
        <w:pStyle w:val="9"/>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（根据项目情况自行编制，具体内容详见评标办法，内容和格式自拟）</w:t>
      </w:r>
    </w:p>
    <w:p>
      <w:pPr>
        <w:pStyle w:val="6"/>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pStyle w:val="9"/>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60" w:name="_Toc10699"/>
      <w:bookmarkStart w:id="461" w:name="_Toc30737"/>
      <w:bookmarkStart w:id="462" w:name="_Toc17355"/>
      <w:bookmarkStart w:id="463" w:name="_Toc23967"/>
      <w:bookmarkStart w:id="464" w:name="_Toc29446"/>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售后服务</w:t>
      </w:r>
      <w:r>
        <w:rPr>
          <w:rFonts w:hint="eastAsia" w:ascii="仿宋" w:hAnsi="仿宋" w:eastAsia="仿宋" w:cs="仿宋"/>
          <w:color w:val="000000" w:themeColor="text1"/>
          <w:sz w:val="28"/>
          <w:szCs w:val="28"/>
          <w:highlight w:val="none"/>
          <w14:textFill>
            <w14:solidFill>
              <w14:schemeClr w14:val="tx1"/>
            </w14:solidFill>
          </w14:textFill>
        </w:rPr>
        <w:t>承诺书</w:t>
      </w:r>
      <w:bookmarkEnd w:id="460"/>
      <w:bookmarkEnd w:id="461"/>
      <w:bookmarkEnd w:id="462"/>
      <w:bookmarkEnd w:id="463"/>
      <w:bookmarkEnd w:id="464"/>
    </w:p>
    <w:p>
      <w:pPr>
        <w:shd w:val="clear" w:color="auto" w:fill="FFFFFF"/>
        <w:spacing w:line="360" w:lineRule="auto"/>
        <w:ind w:firstLine="554" w:firstLineChars="198"/>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售后服务：本地区设有完善的售后服务网点(提供相关证明材料)</w:t>
      </w:r>
      <w:r>
        <w:rPr>
          <w:rFonts w:hint="eastAsia" w:ascii="仿宋" w:hAnsi="仿宋" w:eastAsia="仿宋" w:cs="仿宋"/>
          <w:color w:val="auto"/>
          <w:kern w:val="0"/>
          <w:sz w:val="28"/>
          <w:szCs w:val="28"/>
          <w:highlight w:val="none"/>
          <w:lang w:eastAsia="zh-CN"/>
        </w:rPr>
        <w:t>；</w:t>
      </w:r>
    </w:p>
    <w:p>
      <w:pPr>
        <w:shd w:val="clear" w:color="auto" w:fill="FFFFFF"/>
        <w:spacing w:line="360" w:lineRule="auto"/>
        <w:ind w:firstLine="560" w:firstLineChars="200"/>
        <w:jc w:val="left"/>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color w:val="auto"/>
          <w:kern w:val="0"/>
          <w:sz w:val="28"/>
          <w:szCs w:val="28"/>
          <w:highlight w:val="none"/>
        </w:rPr>
        <w:t>一、拟提供售后服务的项目：</w:t>
      </w:r>
      <w:r>
        <w:rPr>
          <w:rFonts w:hint="eastAsia" w:ascii="仿宋" w:hAnsi="仿宋" w:eastAsia="仿宋" w:cs="仿宋"/>
          <w:b/>
          <w:bCs/>
          <w:color w:val="auto"/>
          <w:kern w:val="0"/>
          <w:sz w:val="28"/>
          <w:szCs w:val="28"/>
          <w:highlight w:val="none"/>
          <w:lang w:val="en-US" w:eastAsia="zh-CN"/>
        </w:rPr>
        <w:t xml:space="preserve"> </w:t>
      </w:r>
    </w:p>
    <w:p>
      <w:pPr>
        <w:shd w:val="clear" w:color="auto" w:fill="FFFFFF"/>
        <w:spacing w:line="360" w:lineRule="auto"/>
        <w:ind w:firstLine="560" w:firstLineChars="200"/>
        <w:jc w:val="left"/>
        <w:rPr>
          <w:rFonts w:hint="eastAsia" w:ascii="仿宋" w:hAnsi="仿宋" w:eastAsia="仿宋" w:cs="仿宋"/>
          <w:b/>
          <w:bCs/>
          <w:color w:val="auto"/>
          <w:kern w:val="0"/>
          <w:sz w:val="28"/>
          <w:szCs w:val="28"/>
          <w:highlight w:val="none"/>
          <w:u w:val="single"/>
        </w:rPr>
      </w:pPr>
      <w:r>
        <w:rPr>
          <w:rFonts w:hint="eastAsia" w:ascii="仿宋" w:hAnsi="仿宋" w:eastAsia="仿宋" w:cs="仿宋"/>
          <w:color w:val="auto"/>
          <w:kern w:val="0"/>
          <w:sz w:val="28"/>
          <w:szCs w:val="28"/>
          <w:highlight w:val="none"/>
        </w:rPr>
        <w:t>二、所投产品免费质保期限：</w:t>
      </w:r>
    </w:p>
    <w:p>
      <w:pPr>
        <w:shd w:val="clear" w:color="auto" w:fill="FFFFFF"/>
        <w:spacing w:line="360" w:lineRule="auto"/>
        <w:ind w:firstLine="560" w:firstLineChars="200"/>
        <w:jc w:val="left"/>
        <w:rPr>
          <w:rFonts w:hint="eastAsia" w:ascii="仿宋" w:hAnsi="仿宋" w:eastAsia="仿宋" w:cs="仿宋"/>
          <w:b/>
          <w:bCs/>
          <w:color w:val="auto"/>
          <w:kern w:val="0"/>
          <w:sz w:val="28"/>
          <w:szCs w:val="28"/>
          <w:highlight w:val="none"/>
        </w:rPr>
      </w:pPr>
      <w:r>
        <w:rPr>
          <w:rFonts w:hint="eastAsia" w:ascii="仿宋" w:hAnsi="仿宋" w:eastAsia="仿宋" w:cs="仿宋"/>
          <w:color w:val="auto"/>
          <w:kern w:val="0"/>
          <w:sz w:val="28"/>
          <w:szCs w:val="28"/>
          <w:highlight w:val="none"/>
        </w:rPr>
        <w:t>三、售后免费服务期限：</w:t>
      </w:r>
    </w:p>
    <w:p>
      <w:pPr>
        <w:shd w:val="clear" w:color="auto" w:fill="FFFFFF"/>
        <w:spacing w:line="360" w:lineRule="auto"/>
        <w:ind w:firstLine="560" w:firstLineChars="200"/>
        <w:jc w:val="lef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四、免费质保期内：</w:t>
      </w:r>
    </w:p>
    <w:p>
      <w:pPr>
        <w:shd w:val="clear" w:color="auto" w:fill="FFFFFF"/>
        <w:spacing w:line="360" w:lineRule="auto"/>
        <w:ind w:firstLine="560" w:firstLineChars="200"/>
        <w:jc w:val="lef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五、免费质保期后：</w:t>
      </w:r>
    </w:p>
    <w:p>
      <w:pPr>
        <w:shd w:val="clear" w:color="auto" w:fill="FFFFFF"/>
        <w:spacing w:line="360" w:lineRule="auto"/>
        <w:ind w:firstLine="560" w:firstLineChars="200"/>
        <w:jc w:val="lef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六、售后服务响应及到达现场的时间：</w:t>
      </w:r>
    </w:p>
    <w:p>
      <w:pPr>
        <w:shd w:val="clear" w:color="auto" w:fill="FFFFFF"/>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七、售后服务机构及联系方式：须提供实体售后服务点的相关证明，提供售后服务意向书、售后服务点营业执照等相关证明材料，提供复印件加盖双方鲜公章。</w:t>
      </w:r>
    </w:p>
    <w:p>
      <w:pPr>
        <w:shd w:val="clear" w:color="auto" w:fill="FFFFFF"/>
        <w:spacing w:line="360" w:lineRule="auto"/>
        <w:ind w:firstLine="560" w:firstLineChars="200"/>
        <w:jc w:val="lef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八、报价供应商的其他服务承诺及优惠条件：</w:t>
      </w:r>
    </w:p>
    <w:p>
      <w:pPr>
        <w:widowControl/>
        <w:spacing w:before="100" w:beforeAutospacing="1" w:after="100" w:afterAutospacing="1" w:line="360" w:lineRule="auto"/>
        <w:ind w:firstLine="899"/>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公司法人代表(</w:t>
      </w:r>
      <w:r>
        <w:rPr>
          <w:rFonts w:hint="eastAsia" w:ascii="仿宋" w:hAnsi="仿宋" w:eastAsia="仿宋" w:cs="仿宋"/>
          <w:color w:val="auto"/>
          <w:kern w:val="0"/>
          <w:sz w:val="28"/>
          <w:szCs w:val="28"/>
          <w:highlight w:val="none"/>
          <w:lang w:eastAsia="zh-CN"/>
        </w:rPr>
        <w:t>加盖鲜公章</w:t>
      </w:r>
      <w:r>
        <w:rPr>
          <w:rFonts w:hint="eastAsia" w:ascii="仿宋" w:hAnsi="仿宋" w:eastAsia="仿宋" w:cs="仿宋"/>
          <w:color w:val="auto"/>
          <w:kern w:val="0"/>
          <w:sz w:val="28"/>
          <w:szCs w:val="28"/>
          <w:highlight w:val="none"/>
        </w:rPr>
        <w:t>或签字)：</w:t>
      </w:r>
    </w:p>
    <w:p>
      <w:pPr>
        <w:widowControl/>
        <w:spacing w:before="100" w:beforeAutospacing="1" w:after="100" w:afterAutospacing="1" w:line="360" w:lineRule="auto"/>
        <w:ind w:firstLine="899"/>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法人授权代表(</w:t>
      </w:r>
      <w:r>
        <w:rPr>
          <w:rFonts w:hint="eastAsia" w:ascii="仿宋" w:hAnsi="仿宋" w:eastAsia="仿宋" w:cs="仿宋"/>
          <w:color w:val="auto"/>
          <w:kern w:val="0"/>
          <w:sz w:val="28"/>
          <w:szCs w:val="28"/>
          <w:highlight w:val="none"/>
          <w:lang w:eastAsia="zh-CN"/>
        </w:rPr>
        <w:t>加盖鲜公章</w:t>
      </w:r>
      <w:r>
        <w:rPr>
          <w:rFonts w:hint="eastAsia" w:ascii="仿宋" w:hAnsi="仿宋" w:eastAsia="仿宋" w:cs="仿宋"/>
          <w:color w:val="auto"/>
          <w:kern w:val="0"/>
          <w:sz w:val="28"/>
          <w:szCs w:val="28"/>
          <w:highlight w:val="none"/>
        </w:rPr>
        <w:t>或签字)：</w:t>
      </w:r>
    </w:p>
    <w:p>
      <w:pPr>
        <w:widowControl/>
        <w:spacing w:before="100" w:beforeAutospacing="1" w:after="100" w:afterAutospacing="1" w:line="360" w:lineRule="auto"/>
        <w:ind w:firstLine="897"/>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项目经办人(</w:t>
      </w:r>
      <w:r>
        <w:rPr>
          <w:rFonts w:hint="eastAsia" w:ascii="仿宋" w:hAnsi="仿宋" w:eastAsia="仿宋" w:cs="仿宋"/>
          <w:color w:val="auto"/>
          <w:kern w:val="0"/>
          <w:sz w:val="28"/>
          <w:szCs w:val="28"/>
          <w:highlight w:val="none"/>
          <w:lang w:eastAsia="zh-CN"/>
        </w:rPr>
        <w:t>加盖鲜公章</w:t>
      </w:r>
      <w:r>
        <w:rPr>
          <w:rFonts w:hint="eastAsia" w:ascii="仿宋" w:hAnsi="仿宋" w:eastAsia="仿宋" w:cs="仿宋"/>
          <w:color w:val="auto"/>
          <w:kern w:val="0"/>
          <w:sz w:val="28"/>
          <w:szCs w:val="28"/>
          <w:highlight w:val="none"/>
        </w:rPr>
        <w:t>或签字)：</w:t>
      </w:r>
    </w:p>
    <w:p>
      <w:pPr>
        <w:widowControl/>
        <w:adjustRightInd w:val="0"/>
        <w:spacing w:line="360" w:lineRule="auto"/>
        <w:ind w:firstLine="6720" w:firstLineChars="2400"/>
        <w:jc w:val="left"/>
        <w:rPr>
          <w:rFonts w:hint="eastAsia" w:ascii="仿宋" w:hAnsi="仿宋" w:eastAsia="仿宋" w:cs="仿宋"/>
          <w:color w:val="auto"/>
          <w:kern w:val="0"/>
          <w:sz w:val="28"/>
          <w:szCs w:val="28"/>
          <w:highlight w:val="none"/>
        </w:rPr>
      </w:pPr>
    </w:p>
    <w:p>
      <w:pPr>
        <w:widowControl/>
        <w:adjustRightInd w:val="0"/>
        <w:spacing w:line="360" w:lineRule="auto"/>
        <w:jc w:val="left"/>
        <w:rPr>
          <w:rFonts w:hint="eastAsia" w:ascii="仿宋" w:hAnsi="仿宋" w:eastAsia="仿宋" w:cs="仿宋"/>
          <w:color w:val="auto"/>
          <w:kern w:val="0"/>
          <w:sz w:val="28"/>
          <w:szCs w:val="28"/>
          <w:highlight w:val="none"/>
        </w:rPr>
      </w:pPr>
    </w:p>
    <w:p>
      <w:pPr>
        <w:widowControl/>
        <w:adjustRightInd w:val="0"/>
        <w:spacing w:line="360" w:lineRule="auto"/>
        <w:jc w:val="righ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日期：  年 </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 xml:space="preserve"> 月    日</w:t>
      </w:r>
    </w:p>
    <w:p>
      <w:pPr>
        <w:pStyle w:val="9"/>
        <w:spacing w:line="360" w:lineRule="auto"/>
        <w:ind w:left="53" w:leftChars="22"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pStyle w:val="9"/>
        <w:spacing w:line="360" w:lineRule="auto"/>
        <w:ind w:left="53" w:leftChars="22"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pStyle w:val="9"/>
        <w:spacing w:line="360" w:lineRule="auto"/>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9"/>
        <w:spacing w:line="360" w:lineRule="auto"/>
        <w:ind w:left="0" w:leftChars="0" w:firstLine="0" w:firstLineChars="0"/>
        <w:rPr>
          <w:rFonts w:hint="eastAsia" w:ascii="仿宋" w:hAnsi="仿宋" w:eastAsia="仿宋" w:cs="仿宋"/>
          <w:color w:val="000000" w:themeColor="text1"/>
          <w:sz w:val="21"/>
          <w:szCs w:val="21"/>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65" w:name="_Toc14471"/>
      <w:bookmarkStart w:id="466" w:name="_Toc25484"/>
      <w:bookmarkStart w:id="467" w:name="_Toc20166"/>
      <w:bookmarkStart w:id="468" w:name="_Toc10880"/>
      <w:bookmarkStart w:id="469" w:name="_Toc28494"/>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sz w:val="28"/>
          <w:szCs w:val="28"/>
          <w:highlight w:val="none"/>
          <w14:textFill>
            <w14:solidFill>
              <w14:schemeClr w14:val="tx1"/>
            </w14:solidFill>
          </w14:textFill>
        </w:rPr>
        <w:t>）其他有利于投标人的资料（如有）</w:t>
      </w:r>
      <w:bookmarkEnd w:id="465"/>
      <w:bookmarkEnd w:id="466"/>
      <w:bookmarkEnd w:id="467"/>
      <w:bookmarkEnd w:id="468"/>
      <w:bookmarkEnd w:id="469"/>
    </w:p>
    <w:p>
      <w:pPr>
        <w:pStyle w:val="9"/>
        <w:spacing w:line="360" w:lineRule="auto"/>
        <w:ind w:left="53" w:leftChars="22"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特别提示：投标人可根据各自实际情况，提供有利于投标评审相关资质、各类证书、信誉等资料或</w:t>
      </w:r>
      <w:r>
        <w:rPr>
          <w:rFonts w:hint="eastAsia" w:ascii="仿宋" w:hAnsi="仿宋" w:eastAsia="仿宋" w:cs="仿宋"/>
          <w:color w:val="000000" w:themeColor="text1"/>
          <w:sz w:val="28"/>
          <w:szCs w:val="28"/>
          <w:highlight w:val="none"/>
          <w:lang w:val="en-US" w:eastAsia="zh-CN"/>
          <w14:textFill>
            <w14:solidFill>
              <w14:schemeClr w14:val="tx1"/>
            </w14:solidFill>
          </w14:textFill>
        </w:rPr>
        <w:t>关于采购内容的相关检测报告</w:t>
      </w:r>
      <w:r>
        <w:rPr>
          <w:rFonts w:hint="eastAsia" w:ascii="仿宋" w:hAnsi="仿宋" w:eastAsia="仿宋" w:cs="仿宋"/>
          <w:color w:val="000000" w:themeColor="text1"/>
          <w:sz w:val="28"/>
          <w:szCs w:val="28"/>
          <w:highlight w:val="none"/>
          <w14:textFill>
            <w14:solidFill>
              <w14:schemeClr w14:val="tx1"/>
            </w14:solidFill>
          </w14:textFill>
        </w:rPr>
        <w:t>文件，所提供的证明材料须满足本招标评审的具体要求， 且投标人须对证明材料的真实性和有效性负责；若提供虚假证明材料，则按相关法规规定执行处罚。</w:t>
      </w:r>
    </w:p>
    <w:p>
      <w:pPr>
        <w:rPr>
          <w:rFonts w:hint="eastAsia" w:ascii="仿宋" w:hAnsi="仿宋" w:eastAsia="仿宋" w:cs="仿宋"/>
          <w:color w:val="000000" w:themeColor="text1"/>
          <w:highlight w:val="none"/>
          <w14:textFill>
            <w14:solidFill>
              <w14:schemeClr w14:val="tx1"/>
            </w14:solidFill>
          </w14:textFill>
        </w:rPr>
      </w:pPr>
    </w:p>
    <w:sectPr>
      <w:headerReference r:id="rId9" w:type="default"/>
      <w:footerReference r:id="rId10" w:type="default"/>
      <w:type w:val="continuous"/>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p>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82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82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0C970"/>
    <w:multiLevelType w:val="singleLevel"/>
    <w:tmpl w:val="E2B0C970"/>
    <w:lvl w:ilvl="0" w:tentative="0">
      <w:start w:val="7"/>
      <w:numFmt w:val="chineseCounting"/>
      <w:suff w:val="nothing"/>
      <w:lvlText w:val="%1、"/>
      <w:lvlJc w:val="left"/>
      <w:rPr>
        <w:rFonts w:hint="eastAsia"/>
      </w:rPr>
    </w:lvl>
  </w:abstractNum>
  <w:abstractNum w:abstractNumId="1">
    <w:nsid w:val="E5ACD4D1"/>
    <w:multiLevelType w:val="singleLevel"/>
    <w:tmpl w:val="E5ACD4D1"/>
    <w:lvl w:ilvl="0" w:tentative="0">
      <w:start w:val="1"/>
      <w:numFmt w:val="chineseCounting"/>
      <w:suff w:val="nothing"/>
      <w:lvlText w:val="%1、"/>
      <w:lvlJc w:val="left"/>
      <w:rPr>
        <w:rFonts w:hint="eastAsia"/>
      </w:rPr>
    </w:lvl>
  </w:abstractNum>
  <w:abstractNum w:abstractNumId="2">
    <w:nsid w:val="5CE2E2BE"/>
    <w:multiLevelType w:val="singleLevel"/>
    <w:tmpl w:val="5CE2E2BE"/>
    <w:lvl w:ilvl="0" w:tentative="0">
      <w:start w:val="2"/>
      <w:numFmt w:val="decimal"/>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64BF"/>
    <w:rsid w:val="00104C70"/>
    <w:rsid w:val="0012169A"/>
    <w:rsid w:val="00172A27"/>
    <w:rsid w:val="00216BF8"/>
    <w:rsid w:val="0021779C"/>
    <w:rsid w:val="00344153"/>
    <w:rsid w:val="00386981"/>
    <w:rsid w:val="003D337A"/>
    <w:rsid w:val="00445C3D"/>
    <w:rsid w:val="00480178"/>
    <w:rsid w:val="004B1B11"/>
    <w:rsid w:val="004D20A8"/>
    <w:rsid w:val="0075614B"/>
    <w:rsid w:val="00844E1F"/>
    <w:rsid w:val="008A0081"/>
    <w:rsid w:val="00944359"/>
    <w:rsid w:val="009750AF"/>
    <w:rsid w:val="009A4004"/>
    <w:rsid w:val="009F17BA"/>
    <w:rsid w:val="00A9213A"/>
    <w:rsid w:val="00AC129C"/>
    <w:rsid w:val="00B32A60"/>
    <w:rsid w:val="00E20D62"/>
    <w:rsid w:val="00F71A8D"/>
    <w:rsid w:val="00F92614"/>
    <w:rsid w:val="00FF7E50"/>
    <w:rsid w:val="01185751"/>
    <w:rsid w:val="011E53F8"/>
    <w:rsid w:val="014B0C2C"/>
    <w:rsid w:val="017653BA"/>
    <w:rsid w:val="0194221B"/>
    <w:rsid w:val="01B61F30"/>
    <w:rsid w:val="0213371D"/>
    <w:rsid w:val="02737AED"/>
    <w:rsid w:val="03104DBB"/>
    <w:rsid w:val="034F1DFF"/>
    <w:rsid w:val="037F56F0"/>
    <w:rsid w:val="03923996"/>
    <w:rsid w:val="0420480A"/>
    <w:rsid w:val="04F241FB"/>
    <w:rsid w:val="05623073"/>
    <w:rsid w:val="06310336"/>
    <w:rsid w:val="080947BC"/>
    <w:rsid w:val="080D24FB"/>
    <w:rsid w:val="083C7452"/>
    <w:rsid w:val="08907291"/>
    <w:rsid w:val="089C3051"/>
    <w:rsid w:val="08CA70A7"/>
    <w:rsid w:val="09001592"/>
    <w:rsid w:val="09027219"/>
    <w:rsid w:val="09200A20"/>
    <w:rsid w:val="09D06107"/>
    <w:rsid w:val="0A0D3D33"/>
    <w:rsid w:val="0A790247"/>
    <w:rsid w:val="0AE32E85"/>
    <w:rsid w:val="0BAB4F00"/>
    <w:rsid w:val="0BD446AA"/>
    <w:rsid w:val="0C05413F"/>
    <w:rsid w:val="0C0D6A06"/>
    <w:rsid w:val="0D83719E"/>
    <w:rsid w:val="0DE6661A"/>
    <w:rsid w:val="0DF84213"/>
    <w:rsid w:val="0DFB3C3A"/>
    <w:rsid w:val="0E1423B6"/>
    <w:rsid w:val="0E460661"/>
    <w:rsid w:val="0EBC5AFC"/>
    <w:rsid w:val="0EF840B2"/>
    <w:rsid w:val="0F4229A4"/>
    <w:rsid w:val="0F876D0A"/>
    <w:rsid w:val="10101D74"/>
    <w:rsid w:val="10195651"/>
    <w:rsid w:val="107505B5"/>
    <w:rsid w:val="108B38A3"/>
    <w:rsid w:val="113F19ED"/>
    <w:rsid w:val="118B0B2E"/>
    <w:rsid w:val="11C27EAF"/>
    <w:rsid w:val="123C1338"/>
    <w:rsid w:val="126047B8"/>
    <w:rsid w:val="12CC1638"/>
    <w:rsid w:val="12F61908"/>
    <w:rsid w:val="13221E3F"/>
    <w:rsid w:val="13467FDE"/>
    <w:rsid w:val="135A67B2"/>
    <w:rsid w:val="1423304B"/>
    <w:rsid w:val="142866C1"/>
    <w:rsid w:val="142C2680"/>
    <w:rsid w:val="14532D44"/>
    <w:rsid w:val="14E8441E"/>
    <w:rsid w:val="154C605F"/>
    <w:rsid w:val="15645E5E"/>
    <w:rsid w:val="16165524"/>
    <w:rsid w:val="16192F9B"/>
    <w:rsid w:val="169F7D34"/>
    <w:rsid w:val="1793280D"/>
    <w:rsid w:val="17F436AC"/>
    <w:rsid w:val="180122D1"/>
    <w:rsid w:val="1837780C"/>
    <w:rsid w:val="188511FE"/>
    <w:rsid w:val="18DE5CB4"/>
    <w:rsid w:val="18FC3D6D"/>
    <w:rsid w:val="198F2F98"/>
    <w:rsid w:val="199152FA"/>
    <w:rsid w:val="19DD5B52"/>
    <w:rsid w:val="19E16DE4"/>
    <w:rsid w:val="19F439C0"/>
    <w:rsid w:val="1A1D4BDD"/>
    <w:rsid w:val="1A5D0348"/>
    <w:rsid w:val="1B05340F"/>
    <w:rsid w:val="1B1A3BD5"/>
    <w:rsid w:val="1B42758B"/>
    <w:rsid w:val="1C0F477B"/>
    <w:rsid w:val="1CB24CC2"/>
    <w:rsid w:val="1D0F49C9"/>
    <w:rsid w:val="1D57651C"/>
    <w:rsid w:val="1DA93EF6"/>
    <w:rsid w:val="1E611AEF"/>
    <w:rsid w:val="1E6B1643"/>
    <w:rsid w:val="1EE10F71"/>
    <w:rsid w:val="1F836E34"/>
    <w:rsid w:val="1FDF33CF"/>
    <w:rsid w:val="1FEA5CA7"/>
    <w:rsid w:val="20180484"/>
    <w:rsid w:val="20BE4151"/>
    <w:rsid w:val="20C37B24"/>
    <w:rsid w:val="20C82894"/>
    <w:rsid w:val="211640D6"/>
    <w:rsid w:val="216610DF"/>
    <w:rsid w:val="21DA3510"/>
    <w:rsid w:val="22DE5957"/>
    <w:rsid w:val="22E75988"/>
    <w:rsid w:val="22FA6604"/>
    <w:rsid w:val="23072FCF"/>
    <w:rsid w:val="23DD40D6"/>
    <w:rsid w:val="245F16F8"/>
    <w:rsid w:val="249441A0"/>
    <w:rsid w:val="24EA0ADB"/>
    <w:rsid w:val="25173828"/>
    <w:rsid w:val="25C145B5"/>
    <w:rsid w:val="26485D2F"/>
    <w:rsid w:val="2687382E"/>
    <w:rsid w:val="26BA48B0"/>
    <w:rsid w:val="26E045B3"/>
    <w:rsid w:val="26E862B1"/>
    <w:rsid w:val="274770C2"/>
    <w:rsid w:val="2771070C"/>
    <w:rsid w:val="278155AC"/>
    <w:rsid w:val="278C62CC"/>
    <w:rsid w:val="27C442C6"/>
    <w:rsid w:val="2828486F"/>
    <w:rsid w:val="28784349"/>
    <w:rsid w:val="287F2BE3"/>
    <w:rsid w:val="288C3EE2"/>
    <w:rsid w:val="28E750F1"/>
    <w:rsid w:val="290F7223"/>
    <w:rsid w:val="29A66C06"/>
    <w:rsid w:val="29BB144C"/>
    <w:rsid w:val="29EA05BD"/>
    <w:rsid w:val="29EF671E"/>
    <w:rsid w:val="2B613D8E"/>
    <w:rsid w:val="2BD74AE8"/>
    <w:rsid w:val="2C557B11"/>
    <w:rsid w:val="2CAF1403"/>
    <w:rsid w:val="2CD604AC"/>
    <w:rsid w:val="2D053EFC"/>
    <w:rsid w:val="2D1E3CB5"/>
    <w:rsid w:val="2D84453C"/>
    <w:rsid w:val="2DC92375"/>
    <w:rsid w:val="2E383FC6"/>
    <w:rsid w:val="2E8375EF"/>
    <w:rsid w:val="2EE175DD"/>
    <w:rsid w:val="2EFE652E"/>
    <w:rsid w:val="2F153E8E"/>
    <w:rsid w:val="3020296A"/>
    <w:rsid w:val="302C0555"/>
    <w:rsid w:val="306D109F"/>
    <w:rsid w:val="30B06731"/>
    <w:rsid w:val="310C5993"/>
    <w:rsid w:val="31255BB1"/>
    <w:rsid w:val="314E1CFD"/>
    <w:rsid w:val="316C0C9B"/>
    <w:rsid w:val="318078C7"/>
    <w:rsid w:val="31F67B49"/>
    <w:rsid w:val="3281657A"/>
    <w:rsid w:val="32D80290"/>
    <w:rsid w:val="32F205BC"/>
    <w:rsid w:val="32FB70D5"/>
    <w:rsid w:val="332E1BA1"/>
    <w:rsid w:val="33877538"/>
    <w:rsid w:val="3389089C"/>
    <w:rsid w:val="33BE7D07"/>
    <w:rsid w:val="340669DC"/>
    <w:rsid w:val="347771CD"/>
    <w:rsid w:val="34AE6A99"/>
    <w:rsid w:val="351852F5"/>
    <w:rsid w:val="354E5977"/>
    <w:rsid w:val="362178F7"/>
    <w:rsid w:val="362C4D4C"/>
    <w:rsid w:val="36364C68"/>
    <w:rsid w:val="36715364"/>
    <w:rsid w:val="36D40564"/>
    <w:rsid w:val="3758350E"/>
    <w:rsid w:val="381D2F49"/>
    <w:rsid w:val="38E70460"/>
    <w:rsid w:val="397815B9"/>
    <w:rsid w:val="39F96B6F"/>
    <w:rsid w:val="3A106E27"/>
    <w:rsid w:val="3A267D42"/>
    <w:rsid w:val="3B3C354E"/>
    <w:rsid w:val="3B6C55F5"/>
    <w:rsid w:val="3BDF78D2"/>
    <w:rsid w:val="3DA85F5E"/>
    <w:rsid w:val="3DAC5B3A"/>
    <w:rsid w:val="3DCF69EF"/>
    <w:rsid w:val="3DF525DA"/>
    <w:rsid w:val="3DF82AAF"/>
    <w:rsid w:val="3E1520AD"/>
    <w:rsid w:val="3E17498C"/>
    <w:rsid w:val="3E3A3FCF"/>
    <w:rsid w:val="3EAF3474"/>
    <w:rsid w:val="3FBF194F"/>
    <w:rsid w:val="40156630"/>
    <w:rsid w:val="408811D7"/>
    <w:rsid w:val="40FA70ED"/>
    <w:rsid w:val="410021E2"/>
    <w:rsid w:val="410539BD"/>
    <w:rsid w:val="413F6215"/>
    <w:rsid w:val="414A322A"/>
    <w:rsid w:val="4161752A"/>
    <w:rsid w:val="418B04C1"/>
    <w:rsid w:val="41A715A5"/>
    <w:rsid w:val="41DE7F47"/>
    <w:rsid w:val="41E372B8"/>
    <w:rsid w:val="41ED7E39"/>
    <w:rsid w:val="422743AE"/>
    <w:rsid w:val="422D022E"/>
    <w:rsid w:val="4264687D"/>
    <w:rsid w:val="42A5259A"/>
    <w:rsid w:val="4348277D"/>
    <w:rsid w:val="43AC69FC"/>
    <w:rsid w:val="43B4507A"/>
    <w:rsid w:val="445E7C78"/>
    <w:rsid w:val="447D347E"/>
    <w:rsid w:val="44C442E4"/>
    <w:rsid w:val="456259CC"/>
    <w:rsid w:val="45E1307A"/>
    <w:rsid w:val="45EC76ED"/>
    <w:rsid w:val="464721DD"/>
    <w:rsid w:val="466C3151"/>
    <w:rsid w:val="466E4DF7"/>
    <w:rsid w:val="47285DD8"/>
    <w:rsid w:val="476906B6"/>
    <w:rsid w:val="47695BF4"/>
    <w:rsid w:val="47A35D70"/>
    <w:rsid w:val="47AE3111"/>
    <w:rsid w:val="48D56A43"/>
    <w:rsid w:val="492C67C5"/>
    <w:rsid w:val="494D45E3"/>
    <w:rsid w:val="49BE3602"/>
    <w:rsid w:val="49FF5945"/>
    <w:rsid w:val="4A0C5883"/>
    <w:rsid w:val="4A547140"/>
    <w:rsid w:val="4A6A0783"/>
    <w:rsid w:val="4A6F4505"/>
    <w:rsid w:val="4A9553AE"/>
    <w:rsid w:val="4ADD04BF"/>
    <w:rsid w:val="4B0A6BD1"/>
    <w:rsid w:val="4BCA2CDE"/>
    <w:rsid w:val="4BCA36A0"/>
    <w:rsid w:val="4CD16E5B"/>
    <w:rsid w:val="4CDC0D6A"/>
    <w:rsid w:val="4D2A6A90"/>
    <w:rsid w:val="4D5C4534"/>
    <w:rsid w:val="4E046D68"/>
    <w:rsid w:val="4E133C2A"/>
    <w:rsid w:val="4E547236"/>
    <w:rsid w:val="4EF470EB"/>
    <w:rsid w:val="4F733A67"/>
    <w:rsid w:val="4FC30BCF"/>
    <w:rsid w:val="4FDA2F77"/>
    <w:rsid w:val="500E7B17"/>
    <w:rsid w:val="506720D3"/>
    <w:rsid w:val="51356EDA"/>
    <w:rsid w:val="520A2CFD"/>
    <w:rsid w:val="53652828"/>
    <w:rsid w:val="53A40329"/>
    <w:rsid w:val="53CF1DB2"/>
    <w:rsid w:val="54687D27"/>
    <w:rsid w:val="548F58F7"/>
    <w:rsid w:val="54B864B8"/>
    <w:rsid w:val="551B5D96"/>
    <w:rsid w:val="555F7F29"/>
    <w:rsid w:val="559512C4"/>
    <w:rsid w:val="55BA3A99"/>
    <w:rsid w:val="56573C63"/>
    <w:rsid w:val="569A316E"/>
    <w:rsid w:val="56C1312C"/>
    <w:rsid w:val="57C45FD2"/>
    <w:rsid w:val="57DC1393"/>
    <w:rsid w:val="590E65D6"/>
    <w:rsid w:val="597B36F4"/>
    <w:rsid w:val="59A16A1F"/>
    <w:rsid w:val="5A105358"/>
    <w:rsid w:val="5A2E409B"/>
    <w:rsid w:val="5A6928A6"/>
    <w:rsid w:val="5A867FA8"/>
    <w:rsid w:val="5B615207"/>
    <w:rsid w:val="5BB8082D"/>
    <w:rsid w:val="5CDD55F3"/>
    <w:rsid w:val="5D00705A"/>
    <w:rsid w:val="5DAB7BB0"/>
    <w:rsid w:val="5DB27194"/>
    <w:rsid w:val="5E0B1338"/>
    <w:rsid w:val="5E9D13E5"/>
    <w:rsid w:val="5EE65A13"/>
    <w:rsid w:val="5F25381A"/>
    <w:rsid w:val="5F7D6F40"/>
    <w:rsid w:val="5F9402F8"/>
    <w:rsid w:val="60380414"/>
    <w:rsid w:val="6068071E"/>
    <w:rsid w:val="60BA6832"/>
    <w:rsid w:val="616917F4"/>
    <w:rsid w:val="616D1696"/>
    <w:rsid w:val="61E05B13"/>
    <w:rsid w:val="61FB0611"/>
    <w:rsid w:val="620211EE"/>
    <w:rsid w:val="62D858F4"/>
    <w:rsid w:val="63085C8B"/>
    <w:rsid w:val="63BB5F54"/>
    <w:rsid w:val="64832D23"/>
    <w:rsid w:val="64AF6728"/>
    <w:rsid w:val="652517CA"/>
    <w:rsid w:val="655C06CA"/>
    <w:rsid w:val="66657381"/>
    <w:rsid w:val="668B248D"/>
    <w:rsid w:val="668B7D9E"/>
    <w:rsid w:val="671A1983"/>
    <w:rsid w:val="67743E38"/>
    <w:rsid w:val="679A3947"/>
    <w:rsid w:val="682938C8"/>
    <w:rsid w:val="68454482"/>
    <w:rsid w:val="686C3ECB"/>
    <w:rsid w:val="694B0900"/>
    <w:rsid w:val="6979068B"/>
    <w:rsid w:val="697E4DE2"/>
    <w:rsid w:val="69AC611D"/>
    <w:rsid w:val="6A3640A9"/>
    <w:rsid w:val="6A862066"/>
    <w:rsid w:val="6AB36E88"/>
    <w:rsid w:val="6AE57834"/>
    <w:rsid w:val="6B1C0782"/>
    <w:rsid w:val="6B2C0D35"/>
    <w:rsid w:val="6B8F4AC4"/>
    <w:rsid w:val="6B910B23"/>
    <w:rsid w:val="6B935BAC"/>
    <w:rsid w:val="6CA541BB"/>
    <w:rsid w:val="6D780672"/>
    <w:rsid w:val="6DAA2819"/>
    <w:rsid w:val="6DEA577A"/>
    <w:rsid w:val="6E18201D"/>
    <w:rsid w:val="6E33784F"/>
    <w:rsid w:val="6E426274"/>
    <w:rsid w:val="6E4E30E2"/>
    <w:rsid w:val="6E822F8D"/>
    <w:rsid w:val="6ECE5CFE"/>
    <w:rsid w:val="6F5F270C"/>
    <w:rsid w:val="6FC821E7"/>
    <w:rsid w:val="701019B8"/>
    <w:rsid w:val="70AE03F6"/>
    <w:rsid w:val="70C80492"/>
    <w:rsid w:val="711340D8"/>
    <w:rsid w:val="71432719"/>
    <w:rsid w:val="71BC14C6"/>
    <w:rsid w:val="72157EBD"/>
    <w:rsid w:val="72352B20"/>
    <w:rsid w:val="727809EA"/>
    <w:rsid w:val="72865C8B"/>
    <w:rsid w:val="73950252"/>
    <w:rsid w:val="739B362E"/>
    <w:rsid w:val="73AF7D9B"/>
    <w:rsid w:val="7400692D"/>
    <w:rsid w:val="742A758F"/>
    <w:rsid w:val="75F74FCF"/>
    <w:rsid w:val="76671439"/>
    <w:rsid w:val="77730BA5"/>
    <w:rsid w:val="777D05BA"/>
    <w:rsid w:val="77B93BA5"/>
    <w:rsid w:val="77E42349"/>
    <w:rsid w:val="791B6FDC"/>
    <w:rsid w:val="79A23FBB"/>
    <w:rsid w:val="79BA13AB"/>
    <w:rsid w:val="7A1C7A41"/>
    <w:rsid w:val="7AB1513F"/>
    <w:rsid w:val="7B2A33CB"/>
    <w:rsid w:val="7BCA5FF7"/>
    <w:rsid w:val="7CC1340A"/>
    <w:rsid w:val="7D7129D8"/>
    <w:rsid w:val="7D7B1D74"/>
    <w:rsid w:val="7D93553C"/>
    <w:rsid w:val="7DCE2025"/>
    <w:rsid w:val="7E9A0301"/>
    <w:rsid w:val="7EA0301F"/>
    <w:rsid w:val="7EFB0614"/>
    <w:rsid w:val="7F0B618A"/>
    <w:rsid w:val="7F2B27A3"/>
    <w:rsid w:val="7F334873"/>
    <w:rsid w:val="7F972780"/>
    <w:rsid w:val="7FA773EE"/>
    <w:rsid w:val="7FD23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8"/>
    <w:qFormat/>
    <w:uiPriority w:val="0"/>
    <w:pPr>
      <w:keepNext/>
      <w:keepLines/>
      <w:spacing w:before="100" w:after="90" w:line="576" w:lineRule="auto"/>
      <w:jc w:val="center"/>
      <w:outlineLvl w:val="0"/>
    </w:pPr>
    <w:rPr>
      <w:b/>
      <w:kern w:val="44"/>
      <w:sz w:val="36"/>
      <w:szCs w:val="44"/>
    </w:rPr>
  </w:style>
  <w:style w:type="paragraph" w:styleId="4">
    <w:name w:val="heading 2"/>
    <w:basedOn w:val="1"/>
    <w:next w:val="1"/>
    <w:link w:val="47"/>
    <w:unhideWhenUsed/>
    <w:qFormat/>
    <w:uiPriority w:val="0"/>
    <w:pPr>
      <w:keepNext/>
      <w:keepLines/>
      <w:spacing w:before="240" w:after="240"/>
      <w:outlineLvl w:val="1"/>
    </w:pPr>
    <w:rPr>
      <w:rFonts w:ascii="Arial" w:hAnsi="Arial"/>
      <w:b/>
    </w:rPr>
  </w:style>
  <w:style w:type="paragraph" w:styleId="5">
    <w:name w:val="heading 3"/>
    <w:basedOn w:val="1"/>
    <w:next w:val="1"/>
    <w:link w:val="30"/>
    <w:semiHidden/>
    <w:unhideWhenUsed/>
    <w:qFormat/>
    <w:uiPriority w:val="0"/>
    <w:pPr>
      <w:keepNext/>
      <w:keepLines/>
      <w:jc w:val="left"/>
      <w:outlineLvl w:val="2"/>
    </w:pPr>
    <w:rPr>
      <w:b/>
      <w:bCs/>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6">
    <w:name w:val="Body Text"/>
    <w:basedOn w:val="1"/>
    <w:next w:val="1"/>
    <w:qFormat/>
    <w:uiPriority w:val="0"/>
    <w:pPr>
      <w:spacing w:after="120"/>
    </w:pPr>
    <w:rPr>
      <w:sz w:val="21"/>
    </w:rPr>
  </w:style>
  <w:style w:type="paragraph" w:styleId="7">
    <w:name w:val="Body Text Indent"/>
    <w:basedOn w:val="1"/>
    <w:next w:val="8"/>
    <w:qFormat/>
    <w:uiPriority w:val="0"/>
    <w:pPr>
      <w:spacing w:after="120"/>
      <w:ind w:left="420" w:leftChars="200"/>
    </w:pPr>
    <w:rPr>
      <w:kern w:val="0"/>
      <w:sz w:val="20"/>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List 2"/>
    <w:basedOn w:val="1"/>
    <w:qFormat/>
    <w:uiPriority w:val="99"/>
    <w:pPr>
      <w:ind w:left="100" w:leftChars="200" w:hanging="200" w:hangingChars="200"/>
      <w:contextualSpacing/>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 w:val="11"/>
      <w:szCs w:val="20"/>
    </w:rPr>
  </w:style>
  <w:style w:type="paragraph" w:styleId="12">
    <w:name w:val="Date"/>
    <w:basedOn w:val="1"/>
    <w:next w:val="1"/>
    <w:qFormat/>
    <w:uiPriority w:val="0"/>
    <w:rPr>
      <w:sz w:val="24"/>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0"/>
  </w:style>
  <w:style w:type="paragraph" w:styleId="16">
    <w:name w:val="footnote text"/>
    <w:basedOn w:val="1"/>
    <w:qFormat/>
    <w:uiPriority w:val="0"/>
    <w:pPr>
      <w:adjustRightInd w:val="0"/>
      <w:spacing w:line="312" w:lineRule="atLeast"/>
      <w:jc w:val="left"/>
      <w:textAlignment w:val="baseline"/>
    </w:pPr>
    <w:rPr>
      <w:kern w:val="0"/>
      <w:sz w:val="18"/>
      <w:szCs w:val="20"/>
    </w:rPr>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kern w:val="0"/>
    </w:rPr>
  </w:style>
  <w:style w:type="paragraph" w:styleId="19">
    <w:name w:val="Body Text First Indent"/>
    <w:basedOn w:val="6"/>
    <w:qFormat/>
    <w:uiPriority w:val="0"/>
    <w:pPr>
      <w:widowControl/>
      <w:ind w:firstLine="420"/>
      <w:jc w:val="left"/>
    </w:pPr>
    <w:rPr>
      <w:kern w:val="0"/>
      <w:sz w:val="20"/>
    </w:rPr>
  </w:style>
  <w:style w:type="paragraph" w:styleId="20">
    <w:name w:val="Body Text First Indent 2"/>
    <w:basedOn w:val="7"/>
    <w:qFormat/>
    <w:uiPriority w:val="0"/>
    <w:pPr>
      <w:ind w:firstLine="420" w:firstLineChars="200"/>
    </w:pPr>
    <w:rPr>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000000"/>
      <w:sz w:val="18"/>
      <w:szCs w:val="18"/>
      <w:u w:val="none"/>
    </w:rPr>
  </w:style>
  <w:style w:type="character" w:styleId="27">
    <w:name w:val="Hyperlink"/>
    <w:basedOn w:val="23"/>
    <w:qFormat/>
    <w:uiPriority w:val="0"/>
    <w:rPr>
      <w:color w:val="000000"/>
      <w:sz w:val="18"/>
      <w:szCs w:val="18"/>
      <w:u w:val="none"/>
    </w:rPr>
  </w:style>
  <w:style w:type="character" w:styleId="28">
    <w:name w:val="HTML Sample"/>
    <w:basedOn w:val="23"/>
    <w:qFormat/>
    <w:uiPriority w:val="0"/>
    <w:rPr>
      <w:rFonts w:ascii="Courier New" w:hAnsi="Courier New"/>
    </w:rPr>
  </w:style>
  <w:style w:type="paragraph" w:customStyle="1" w:styleId="29">
    <w:name w:val="文本正文"/>
    <w:basedOn w:val="1"/>
    <w:qFormat/>
    <w:uiPriority w:val="0"/>
    <w:pPr>
      <w:spacing w:afterLines="50"/>
      <w:ind w:firstLine="200" w:firstLineChars="200"/>
      <w:jc w:val="left"/>
    </w:pPr>
    <w:rPr>
      <w:rFonts w:ascii="Calibri" w:hAnsi="Calibri"/>
      <w:szCs w:val="22"/>
      <w:lang w:bidi="en-US"/>
    </w:rPr>
  </w:style>
  <w:style w:type="character" w:customStyle="1" w:styleId="30">
    <w:name w:val="标题 3 字符"/>
    <w:basedOn w:val="23"/>
    <w:link w:val="5"/>
    <w:qFormat/>
    <w:uiPriority w:val="0"/>
    <w:rPr>
      <w:rFonts w:ascii="Times New Roman" w:hAnsi="Times New Roman" w:eastAsia="宋体"/>
      <w:b/>
      <w:bCs/>
      <w:sz w:val="24"/>
      <w:szCs w:val="32"/>
      <w:lang w:bidi="ar-SA"/>
    </w:rPr>
  </w:style>
  <w:style w:type="character" w:customStyle="1" w:styleId="31">
    <w:name w:val="font31"/>
    <w:basedOn w:val="23"/>
    <w:qFormat/>
    <w:uiPriority w:val="0"/>
    <w:rPr>
      <w:rFonts w:hint="eastAsia" w:ascii="宋体" w:hAnsi="宋体" w:eastAsia="宋体" w:cs="宋体"/>
      <w:color w:val="000000"/>
      <w:sz w:val="20"/>
      <w:szCs w:val="20"/>
      <w:u w:val="none"/>
    </w:rPr>
  </w:style>
  <w:style w:type="character" w:customStyle="1" w:styleId="32">
    <w:name w:val="font01"/>
    <w:basedOn w:val="23"/>
    <w:qFormat/>
    <w:uiPriority w:val="0"/>
    <w:rPr>
      <w:rFonts w:hint="eastAsia" w:ascii="宋体" w:hAnsi="宋体" w:eastAsia="宋体" w:cs="宋体"/>
      <w:color w:val="000000"/>
      <w:sz w:val="22"/>
      <w:szCs w:val="22"/>
      <w:u w:val="none"/>
    </w:rPr>
  </w:style>
  <w:style w:type="character" w:customStyle="1" w:styleId="33">
    <w:name w:val="font21"/>
    <w:basedOn w:val="23"/>
    <w:qFormat/>
    <w:uiPriority w:val="0"/>
    <w:rPr>
      <w:rFonts w:hint="eastAsia" w:ascii="宋体" w:hAnsi="宋体" w:eastAsia="宋体" w:cs="宋体"/>
      <w:color w:val="000000"/>
      <w:sz w:val="24"/>
      <w:szCs w:val="24"/>
      <w:u w:val="none"/>
    </w:rPr>
  </w:style>
  <w:style w:type="character" w:customStyle="1" w:styleId="34">
    <w:name w:val="font11"/>
    <w:basedOn w:val="23"/>
    <w:qFormat/>
    <w:uiPriority w:val="0"/>
    <w:rPr>
      <w:rFonts w:hint="eastAsia" w:ascii="宋体" w:hAnsi="宋体" w:eastAsia="宋体" w:cs="宋体"/>
      <w:color w:val="000000"/>
      <w:sz w:val="20"/>
      <w:szCs w:val="20"/>
      <w:u w:val="none"/>
      <w:vertAlign w:val="superscript"/>
    </w:rPr>
  </w:style>
  <w:style w:type="character" w:customStyle="1" w:styleId="35">
    <w:name w:val="标题 2 字符"/>
    <w:link w:val="4"/>
    <w:qFormat/>
    <w:uiPriority w:val="0"/>
    <w:rPr>
      <w:rFonts w:ascii="Arial" w:hAnsi="Arial" w:eastAsia="宋体"/>
      <w:b/>
      <w:sz w:val="24"/>
      <w:szCs w:val="24"/>
      <w:lang w:bidi="ar-SA"/>
    </w:rPr>
  </w:style>
  <w:style w:type="paragraph" w:customStyle="1" w:styleId="36">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37">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38">
    <w:name w:val="标题 1 字符"/>
    <w:link w:val="3"/>
    <w:qFormat/>
    <w:uiPriority w:val="0"/>
    <w:rPr>
      <w:rFonts w:ascii="Times New Roman" w:hAnsi="Times New Roman" w:eastAsia="宋体"/>
      <w:b/>
      <w:kern w:val="44"/>
      <w:sz w:val="36"/>
      <w:szCs w:val="44"/>
    </w:rPr>
  </w:style>
  <w:style w:type="paragraph" w:customStyle="1" w:styleId="39">
    <w:name w:val="正文缩进1"/>
    <w:basedOn w:val="1"/>
    <w:qFormat/>
    <w:uiPriority w:val="0"/>
    <w:pPr>
      <w:autoSpaceDE w:val="0"/>
      <w:autoSpaceDN w:val="0"/>
      <w:adjustRightInd w:val="0"/>
      <w:ind w:firstLine="420"/>
    </w:pPr>
    <w:rPr>
      <w:rFonts w:ascii="宋体" w:hAnsiTheme="minorHAnsi" w:eastAsiaTheme="minorEastAsia" w:cstheme="minorBidi"/>
      <w:szCs w:val="22"/>
    </w:rPr>
  </w:style>
  <w:style w:type="paragraph" w:customStyle="1" w:styleId="40">
    <w:name w:val="纯文本1"/>
    <w:basedOn w:val="1"/>
    <w:qFormat/>
    <w:uiPriority w:val="0"/>
    <w:rPr>
      <w:rFonts w:ascii="宋体" w:hAnsi="Courier New"/>
      <w:szCs w:val="22"/>
    </w:rPr>
  </w:style>
  <w:style w:type="character" w:customStyle="1" w:styleId="41">
    <w:name w:val="font61"/>
    <w:basedOn w:val="23"/>
    <w:qFormat/>
    <w:uiPriority w:val="0"/>
    <w:rPr>
      <w:rFonts w:hint="eastAsia" w:ascii="宋体" w:hAnsi="宋体" w:eastAsia="宋体" w:cs="宋体"/>
      <w:color w:val="FF0000"/>
      <w:sz w:val="20"/>
      <w:szCs w:val="20"/>
      <w:u w:val="none"/>
    </w:rPr>
  </w:style>
  <w:style w:type="paragraph" w:customStyle="1" w:styleId="42">
    <w:name w:val="Table Paragraph"/>
    <w:basedOn w:val="1"/>
    <w:qFormat/>
    <w:uiPriority w:val="99"/>
  </w:style>
  <w:style w:type="paragraph" w:styleId="43">
    <w:name w:val="List Paragraph"/>
    <w:basedOn w:val="1"/>
    <w:qFormat/>
    <w:uiPriority w:val="99"/>
    <w:pPr>
      <w:ind w:firstLine="420" w:firstLineChars="200"/>
    </w:p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标题 2 Char"/>
    <w:link w:val="4"/>
    <w:qFormat/>
    <w:uiPriority w:val="0"/>
    <w:rPr>
      <w:rFonts w:ascii="Cambria" w:hAnsi="Cambria" w:eastAsia="宋体" w:cs="Times New Roman"/>
      <w:b/>
      <w:bCs/>
      <w:kern w:val="2"/>
      <w:sz w:val="24"/>
      <w:szCs w:val="32"/>
    </w:rPr>
  </w:style>
  <w:style w:type="paragraph" w:customStyle="1" w:styleId="48">
    <w:name w:val="样式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4993</Words>
  <Characters>28466</Characters>
  <Lines>237</Lines>
  <Paragraphs>66</Paragraphs>
  <TotalTime>23</TotalTime>
  <ScaleCrop>false</ScaleCrop>
  <LinksUpToDate>false</LinksUpToDate>
  <CharactersWithSpaces>33393</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2018-03-31T06:59:00Z</dcterms:created>
  <dc:creator>20161116IHOOH-PC</dc:creator>
  <cp:lastModifiedBy>123</cp:lastModifiedBy>
  <cp:lastPrinted>2021-06-21T03:42:00Z</cp:lastPrinted>
  <dcterms:modified xsi:type="dcterms:W3CDTF">2021-10-18T13:24:32Z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66AC2597D3784C968CFD65993965EAA0</vt:lpwstr>
  </property>
</Properties>
</file>