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kern w:val="2"/>
          <w:sz w:val="28"/>
          <w:szCs w:val="28"/>
        </w:rPr>
      </w:pPr>
      <w:bookmarkStart w:id="0" w:name="_Toc458262589"/>
      <w:bookmarkEnd w:id="0"/>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r>
        <w:rPr>
          <w:rFonts w:hint="eastAsia" w:ascii="宋体" w:hAnsi="宋体" w:eastAsia="宋体"/>
          <w:b/>
          <w:kern w:val="2"/>
          <w:sz w:val="28"/>
          <w:szCs w:val="28"/>
        </w:rPr>
        <w:tab/>
      </w:r>
    </w:p>
    <w:p>
      <w:pPr>
        <w:spacing w:line="360" w:lineRule="auto"/>
        <w:jc w:val="center"/>
        <w:rPr>
          <w:rFonts w:hint="eastAsia" w:ascii="宋体" w:hAnsi="宋体" w:eastAsia="宋体"/>
          <w:b/>
          <w:bCs/>
          <w:kern w:val="2"/>
          <w:sz w:val="48"/>
          <w:szCs w:val="48"/>
          <w:lang w:eastAsia="zh-CN"/>
        </w:rPr>
      </w:pPr>
      <w:r>
        <w:rPr>
          <w:rFonts w:hint="eastAsia" w:ascii="宋体" w:hAnsi="宋体" w:eastAsia="宋体"/>
          <w:b/>
          <w:bCs/>
          <w:kern w:val="2"/>
          <w:sz w:val="48"/>
          <w:szCs w:val="48"/>
          <w:lang w:eastAsia="zh-CN"/>
        </w:rPr>
        <w:t>昌吉州阜康市人民医院基础设施能力提升建设项目-配套医疗设备采购项目</w:t>
      </w:r>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p>
    <w:p>
      <w:pPr>
        <w:spacing w:line="360" w:lineRule="auto"/>
        <w:jc w:val="center"/>
        <w:rPr>
          <w:rFonts w:ascii="宋体" w:hAnsi="宋体" w:eastAsia="宋体"/>
          <w:b/>
          <w:kern w:val="2"/>
          <w:sz w:val="44"/>
          <w:szCs w:val="44"/>
        </w:rPr>
      </w:pPr>
      <w:r>
        <w:rPr>
          <w:rFonts w:hint="eastAsia" w:ascii="宋体" w:hAnsi="宋体" w:eastAsia="宋体"/>
          <w:b/>
          <w:kern w:val="2"/>
          <w:sz w:val="44"/>
          <w:szCs w:val="44"/>
        </w:rPr>
        <w:t>竞争性磋商采购文件</w:t>
      </w:r>
    </w:p>
    <w:p>
      <w:pPr>
        <w:spacing w:line="360" w:lineRule="auto"/>
        <w:jc w:val="center"/>
        <w:rPr>
          <w:rFonts w:hint="eastAsia" w:ascii="宋体" w:hAnsi="宋体" w:eastAsia="宋体"/>
          <w:b/>
          <w:color w:val="FF0000"/>
          <w:kern w:val="2"/>
          <w:sz w:val="44"/>
          <w:szCs w:val="44"/>
          <w:lang w:eastAsia="zh-CN"/>
        </w:rPr>
      </w:pPr>
      <w:r>
        <w:rPr>
          <w:rFonts w:hint="eastAsia" w:ascii="宋体" w:hAnsi="宋体" w:eastAsia="宋体"/>
          <w:b/>
          <w:kern w:val="2"/>
          <w:sz w:val="44"/>
          <w:szCs w:val="44"/>
        </w:rPr>
        <w:t>项目编号</w:t>
      </w:r>
      <w:r>
        <w:rPr>
          <w:rFonts w:hint="eastAsia" w:ascii="宋体" w:hAnsi="宋体" w:eastAsia="宋体"/>
          <w:b/>
          <w:kern w:val="2"/>
          <w:sz w:val="44"/>
          <w:szCs w:val="44"/>
          <w:lang w:val="en-US" w:eastAsia="zh-CN"/>
        </w:rPr>
        <w:t>:</w:t>
      </w:r>
      <w:r>
        <w:rPr>
          <w:rFonts w:hint="eastAsia" w:ascii="宋体" w:hAnsi="宋体" w:eastAsia="宋体"/>
          <w:b/>
          <w:color w:val="auto"/>
          <w:kern w:val="2"/>
          <w:sz w:val="44"/>
          <w:szCs w:val="44"/>
          <w:lang w:eastAsia="zh-CN"/>
        </w:rPr>
        <w:t>XJTQ2021ZB</w:t>
      </w:r>
      <w:r>
        <w:rPr>
          <w:rFonts w:hint="eastAsia" w:ascii="宋体" w:hAnsi="宋体" w:eastAsia="宋体"/>
          <w:b/>
          <w:color w:val="auto"/>
          <w:kern w:val="2"/>
          <w:sz w:val="44"/>
          <w:szCs w:val="44"/>
          <w:lang w:val="en-US" w:eastAsia="zh-CN"/>
        </w:rPr>
        <w:t>90</w:t>
      </w:r>
      <w:r>
        <w:rPr>
          <w:rFonts w:hint="eastAsia" w:ascii="宋体" w:hAnsi="宋体" w:eastAsia="宋体"/>
          <w:b/>
          <w:color w:val="auto"/>
          <w:kern w:val="2"/>
          <w:sz w:val="44"/>
          <w:szCs w:val="44"/>
          <w:lang w:eastAsia="zh-CN"/>
        </w:rPr>
        <w:t>-C</w:t>
      </w:r>
      <w:r>
        <w:rPr>
          <w:rFonts w:hint="eastAsia" w:ascii="宋体" w:hAnsi="宋体" w:eastAsia="宋体"/>
          <w:b/>
          <w:color w:val="auto"/>
          <w:kern w:val="2"/>
          <w:sz w:val="44"/>
          <w:szCs w:val="44"/>
          <w:lang w:val="en-US" w:eastAsia="zh-CN"/>
        </w:rPr>
        <w:t>S</w:t>
      </w:r>
    </w:p>
    <w:p>
      <w:pPr>
        <w:spacing w:line="360" w:lineRule="auto"/>
        <w:jc w:val="center"/>
        <w:rPr>
          <w:rFonts w:ascii="宋体" w:hAnsi="宋体" w:eastAsia="宋体"/>
          <w:b/>
          <w:kern w:val="2"/>
          <w:sz w:val="44"/>
          <w:szCs w:val="44"/>
        </w:rPr>
      </w:pPr>
    </w:p>
    <w:p>
      <w:pPr>
        <w:spacing w:line="360" w:lineRule="auto"/>
        <w:rPr>
          <w:rFonts w:ascii="宋体" w:hAnsi="宋体" w:eastAsia="宋体"/>
          <w:b/>
          <w:kern w:val="2"/>
          <w:sz w:val="28"/>
          <w:szCs w:val="28"/>
        </w:rPr>
      </w:pPr>
    </w:p>
    <w:p>
      <w:pPr>
        <w:jc w:val="center"/>
        <w:rPr>
          <w:rFonts w:ascii="宋体" w:hAnsi="宋体" w:eastAsia="宋体"/>
          <w:b/>
          <w:kern w:val="2"/>
          <w:sz w:val="32"/>
          <w:szCs w:val="32"/>
        </w:rPr>
      </w:pPr>
    </w:p>
    <w:p>
      <w:pPr>
        <w:jc w:val="center"/>
        <w:rPr>
          <w:rFonts w:ascii="宋体" w:hAnsi="宋体" w:eastAsia="宋体"/>
          <w:b/>
          <w:kern w:val="2"/>
          <w:sz w:val="32"/>
          <w:szCs w:val="32"/>
        </w:rPr>
      </w:pPr>
      <w:r>
        <w:rPr>
          <w:rFonts w:hint="eastAsia" w:ascii="宋体" w:hAnsi="宋体" w:eastAsia="宋体"/>
          <w:b/>
          <w:kern w:val="2"/>
          <w:sz w:val="32"/>
          <w:szCs w:val="32"/>
          <w:lang w:eastAsia="zh-CN"/>
        </w:rPr>
        <w:t xml:space="preserve">阜康市卫生健康委员会 </w:t>
      </w:r>
      <w:r>
        <w:rPr>
          <w:rFonts w:hint="eastAsia" w:ascii="宋体" w:hAnsi="宋体" w:eastAsia="宋体"/>
          <w:b/>
          <w:kern w:val="2"/>
          <w:sz w:val="32"/>
          <w:szCs w:val="32"/>
        </w:rPr>
        <w:t xml:space="preserve"> </w:t>
      </w:r>
    </w:p>
    <w:p>
      <w:pPr>
        <w:jc w:val="center"/>
        <w:rPr>
          <w:rFonts w:ascii="宋体" w:hAnsi="宋体" w:eastAsia="宋体"/>
          <w:b/>
          <w:kern w:val="2"/>
          <w:sz w:val="32"/>
          <w:szCs w:val="32"/>
        </w:rPr>
      </w:pPr>
    </w:p>
    <w:p>
      <w:pPr>
        <w:jc w:val="center"/>
        <w:rPr>
          <w:rFonts w:ascii="宋体" w:hAnsi="宋体" w:eastAsia="宋体"/>
          <w:b/>
          <w:kern w:val="2"/>
          <w:sz w:val="32"/>
          <w:szCs w:val="32"/>
        </w:rPr>
      </w:pPr>
      <w:r>
        <w:rPr>
          <w:rFonts w:hint="eastAsia" w:ascii="宋体" w:hAnsi="宋体" w:eastAsia="宋体"/>
          <w:b/>
          <w:kern w:val="2"/>
          <w:sz w:val="32"/>
          <w:szCs w:val="32"/>
        </w:rPr>
        <w:t>新疆天麒工程项目管理咨询有限责任公司</w:t>
      </w:r>
    </w:p>
    <w:p>
      <w:pPr>
        <w:spacing w:line="360" w:lineRule="auto"/>
        <w:rPr>
          <w:rFonts w:ascii="宋体" w:hAnsi="宋体" w:eastAsia="宋体"/>
          <w:b/>
          <w:kern w:val="2"/>
          <w:sz w:val="28"/>
          <w:szCs w:val="28"/>
        </w:rPr>
      </w:pPr>
    </w:p>
    <w:p>
      <w:pPr>
        <w:pBdr>
          <w:top w:val="none" w:color="auto" w:sz="0" w:space="1"/>
          <w:left w:val="none" w:color="auto" w:sz="0" w:space="4"/>
          <w:bottom w:val="none" w:color="auto" w:sz="0" w:space="1"/>
          <w:right w:val="none" w:color="auto" w:sz="0" w:space="4"/>
        </w:pBdr>
        <w:shd w:val="clear" w:color="auto" w:fill="FFFFFF" w:themeFill="background1"/>
        <w:jc w:val="center"/>
        <w:rPr>
          <w:color w:val="FFFFFF" w:themeColor="background1"/>
          <w:kern w:val="2"/>
          <w:sz w:val="24"/>
          <w:szCs w:val="24"/>
          <w14:textFill>
            <w14:solidFill>
              <w14:schemeClr w14:val="bg1"/>
            </w14:solidFill>
          </w14:textFill>
        </w:rPr>
        <w:sectPr>
          <w:footerReference r:id="rId7" w:type="first"/>
          <w:headerReference r:id="rId5" w:type="default"/>
          <w:footerReference r:id="rId6" w:type="default"/>
          <w:endnotePr>
            <w:numFmt w:val="decimal"/>
          </w:endnotePr>
          <w:pgSz w:w="11907" w:h="16840"/>
          <w:pgMar w:top="1440" w:right="1440" w:bottom="1440" w:left="1485" w:header="850" w:footer="794" w:gutter="0"/>
          <w:pgNumType w:start="1"/>
          <w:cols w:equalWidth="0" w:num="1">
            <w:col w:w="8982"/>
          </w:cols>
        </w:sectPr>
      </w:pPr>
      <w:r>
        <w:rPr>
          <w:rFonts w:hint="eastAsia" w:ascii="宋体" w:hAnsi="宋体" w:eastAsia="宋体"/>
          <w:b/>
          <w:kern w:val="2"/>
          <w:sz w:val="28"/>
          <w:szCs w:val="28"/>
        </w:rPr>
        <w:t>二○二</w:t>
      </w:r>
      <w:r>
        <w:rPr>
          <w:rFonts w:hint="eastAsia" w:ascii="宋体" w:hAnsi="宋体" w:eastAsia="宋体"/>
          <w:b/>
          <w:kern w:val="2"/>
          <w:sz w:val="28"/>
          <w:szCs w:val="28"/>
          <w:lang w:eastAsia="zh-CN"/>
        </w:rPr>
        <w:t>一</w:t>
      </w:r>
      <w:r>
        <w:rPr>
          <w:rFonts w:hint="eastAsia" w:ascii="宋体" w:hAnsi="宋体" w:eastAsia="宋体"/>
          <w:b/>
          <w:kern w:val="2"/>
          <w:sz w:val="28"/>
          <w:szCs w:val="28"/>
        </w:rPr>
        <w:t>年</w:t>
      </w:r>
      <w:r>
        <w:rPr>
          <w:rFonts w:hint="eastAsia" w:ascii="宋体" w:hAnsi="宋体" w:eastAsia="宋体"/>
          <w:b/>
          <w:kern w:val="2"/>
          <w:sz w:val="28"/>
          <w:szCs w:val="28"/>
          <w:lang w:val="en-US" w:eastAsia="zh-CN"/>
        </w:rPr>
        <w:t>十</w:t>
      </w:r>
      <w:r>
        <w:rPr>
          <w:rFonts w:hint="eastAsia" w:ascii="宋体" w:hAnsi="宋体" w:eastAsia="宋体"/>
          <w:b/>
          <w:kern w:val="2"/>
          <w:sz w:val="32"/>
          <w:szCs w:val="32"/>
        </w:rPr>
        <w:t>月</w:t>
      </w:r>
    </w:p>
    <w:p>
      <w:pPr>
        <w:jc w:val="center"/>
        <w:outlineLvl w:val="1"/>
        <w:rPr>
          <w:rFonts w:hint="eastAsia"/>
          <w:lang w:val="en-US" w:eastAsia="zh-CN"/>
        </w:rPr>
      </w:pPr>
      <w:r>
        <w:rPr>
          <w:rFonts w:hint="eastAsia" w:ascii="宋体" w:hAnsi="宋体" w:eastAsia="宋体" w:cs="Times New Roman"/>
          <w:b/>
          <w:bCs/>
          <w:kern w:val="0"/>
          <w:sz w:val="36"/>
          <w:szCs w:val="36"/>
          <w:lang w:val="en-US" w:eastAsia="zh-CN"/>
        </w:rPr>
        <w:t>防疫须知</w:t>
      </w:r>
    </w:p>
    <w:p>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b/>
          <w:bCs w:val="0"/>
          <w:color w:val="000000"/>
          <w:kern w:val="0"/>
          <w:sz w:val="28"/>
          <w:szCs w:val="28"/>
          <w:u w:val="none"/>
          <w:lang w:val="en-US" w:eastAsia="zh-CN" w:bidi="ar"/>
        </w:rPr>
        <w:t>各潜在投标人：</w:t>
      </w:r>
    </w:p>
    <w:p>
      <w:pPr>
        <w:pStyle w:val="36"/>
        <w:keepNext w:val="0"/>
        <w:keepLines w:val="0"/>
        <w:widowControl/>
        <w:suppressLineNumbers w:val="0"/>
        <w:spacing w:before="0" w:beforeAutospacing="0" w:after="98" w:afterAutospacing="0" w:line="240" w:lineRule="auto"/>
        <w:ind w:right="0"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本项目投标、开标、评标工作严格执行关于新型冠状病毒感染的肺炎疫情防控工作要求，具体内容如下：</w:t>
      </w:r>
    </w:p>
    <w:p>
      <w:pPr>
        <w:pStyle w:val="36"/>
        <w:keepNext w:val="0"/>
        <w:keepLines w:val="0"/>
        <w:widowControl/>
        <w:numPr>
          <w:ilvl w:val="0"/>
          <w:numId w:val="2"/>
        </w:numPr>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应指派无疫情接触史、身体健康且符合防疫要求的人员参加现场投标活动，并递交符合防疫要求的《投标人承诺书》（</w:t>
      </w:r>
      <w:r>
        <w:rPr>
          <w:rFonts w:hint="eastAsia" w:ascii="宋体" w:hAnsi="宋体" w:eastAsia="宋体" w:cs="宋体"/>
          <w:color w:val="333333"/>
          <w:sz w:val="28"/>
          <w:szCs w:val="28"/>
          <w:shd w:val="clear" w:color="auto" w:fill="FFFFFF"/>
          <w:lang w:eastAsia="zh-CN"/>
        </w:rPr>
        <w:t>承诺书附后</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《投标人承诺书》随投标文件单独递交，不需封装，无承诺书或承诺书不符合要求的，其投标文件将被拒收。</w:t>
      </w:r>
    </w:p>
    <w:p>
      <w:pPr>
        <w:pStyle w:val="36"/>
        <w:keepNext w:val="0"/>
        <w:keepLines w:val="0"/>
        <w:widowControl/>
        <w:numPr>
          <w:ilvl w:val="0"/>
          <w:numId w:val="2"/>
        </w:numPr>
        <w:suppressLineNumbers w:val="0"/>
        <w:spacing w:before="0" w:beforeAutospacing="0" w:after="98" w:afterAutospacing="0" w:line="240" w:lineRule="auto"/>
        <w:ind w:left="0" w:leftChars="0" w:right="0" w:firstLine="570" w:firstLineChars="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代表防护要求：入场前，</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三</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代表人数要求：</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限派</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名代表参加投标和开标会。但应做好投标代表人员储备，避免因既定人员现场不符合防控要求无法进场影响正常投标，因</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代表不符合疫情防控要求无法进场投标的后果，由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四</w:t>
      </w:r>
      <w:r>
        <w:rPr>
          <w:rFonts w:hint="eastAsia" w:ascii="宋体" w:hAnsi="宋体" w:eastAsia="宋体" w:cs="宋体"/>
          <w:color w:val="333333"/>
          <w:sz w:val="28"/>
          <w:szCs w:val="28"/>
          <w:shd w:val="clear" w:color="auto" w:fill="FFFFFF"/>
        </w:rPr>
        <w:t>）保持安全距离。交易当天，各</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在场内等候或工作期间，应全程佩戴口罩，尽可能独立乘坐电梯，自觉保持1</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米以上间隔距离，座位隔空就座，不扎堆聚集，不喧哗闲聊，不随意走动，废弃口罩定点投放。</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五</w:t>
      </w:r>
      <w:r>
        <w:rPr>
          <w:rFonts w:hint="eastAsia" w:ascii="宋体" w:hAnsi="宋体" w:eastAsia="宋体" w:cs="宋体"/>
          <w:color w:val="333333"/>
          <w:sz w:val="28"/>
          <w:szCs w:val="28"/>
          <w:shd w:val="clear" w:color="auto" w:fill="FFFFFF"/>
        </w:rPr>
        <w:t>）控制活动时间。</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办理业务时应提前准备好所需材料，一次办结，即办即走不逗留；交易活动结束后应立即离开现场，不得滞留。</w:t>
      </w:r>
    </w:p>
    <w:p>
      <w:pPr>
        <w:pStyle w:val="39"/>
        <w:rPr>
          <w:rFonts w:hint="eastAsia"/>
          <w:lang w:val="en-US" w:eastAsia="zh-CN"/>
        </w:rPr>
      </w:pPr>
      <w:r>
        <w:rPr>
          <w:rFonts w:hint="eastAsia" w:ascii="宋体" w:hAnsi="宋体" w:eastAsia="宋体" w:cs="宋体"/>
          <w:color w:val="333333"/>
          <w:kern w:val="0"/>
          <w:sz w:val="28"/>
          <w:szCs w:val="28"/>
          <w:shd w:val="clear" w:color="auto" w:fill="FFFFFF"/>
          <w:lang w:val="en-US" w:eastAsia="zh-CN" w:bidi="ar"/>
        </w:rPr>
        <w:t>附件：1.《投标人承诺书</w:t>
      </w:r>
      <w:r>
        <w:rPr>
          <w:rFonts w:hint="eastAsia" w:ascii="宋体" w:hAnsi="宋体" w:cs="宋体"/>
          <w:color w:val="333333"/>
          <w:kern w:val="0"/>
          <w:sz w:val="28"/>
          <w:szCs w:val="28"/>
          <w:shd w:val="clear" w:color="auto" w:fill="FFFFFF"/>
          <w:lang w:val="en-US" w:eastAsia="zh-CN" w:bidi="ar"/>
        </w:rPr>
        <w:t>》</w:t>
      </w: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40"/>
          <w:szCs w:val="40"/>
          <w:lang w:val="en-US" w:eastAsia="zh-CN"/>
        </w:rPr>
        <w:t>投标人承诺书</w:t>
      </w:r>
    </w:p>
    <w:p>
      <w:pPr>
        <w:widowControl/>
        <w:snapToGrid w:val="0"/>
        <w:spacing w:line="500" w:lineRule="exact"/>
        <w:jc w:val="center"/>
        <w:rPr>
          <w:rFonts w:ascii="黑体" w:hAnsi="黑体" w:eastAsia="黑体" w:cs="宋体"/>
          <w:bCs/>
          <w:kern w:val="0"/>
          <w:sz w:val="44"/>
          <w:szCs w:val="44"/>
        </w:rPr>
      </w:pP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本单位____________________承诺严格遵守《中华人民共和国传染病防治法》及相关要求。本单位于</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年</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月</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日参加_________________ 项目的开标活动。本单位承诺在开标过程中做到以下几点：</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2．参加投标人员自觉做好个人防护，全程佩戴口罩，听从交易场所工作人员的引导。</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3．本单位所派投标人员</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（姓名），</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（身份证号码），</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（联系电话），在</w:t>
      </w:r>
      <w:r>
        <w:rPr>
          <w:rFonts w:hint="eastAsia" w:ascii="宋体" w:hAnsi="宋体" w:eastAsia="宋体" w:cs="宋体"/>
          <w:kern w:val="0"/>
          <w:sz w:val="28"/>
          <w:szCs w:val="32"/>
          <w:u w:val="single"/>
        </w:rPr>
        <w:t>        </w:t>
      </w:r>
      <w:r>
        <w:rPr>
          <w:rFonts w:hint="eastAsia" w:ascii="宋体" w:hAnsi="宋体" w:eastAsia="宋体" w:cs="宋体"/>
          <w:kern w:val="0"/>
          <w:sz w:val="28"/>
          <w:szCs w:val="32"/>
        </w:rPr>
        <w:t>（省、市）居住，目前身体状况良好</w:t>
      </w:r>
      <w:r>
        <w:rPr>
          <w:rFonts w:hint="eastAsia" w:ascii="宋体" w:hAnsi="宋体" w:eastAsia="宋体" w:cs="宋体"/>
          <w:kern w:val="0"/>
          <w:sz w:val="28"/>
          <w:szCs w:val="32"/>
          <w:lang w:val="en-US" w:eastAsia="zh-CN"/>
        </w:rPr>
        <w:t>，无疫情接触史,不存在发热、咳嗽等可疑症状。</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5．开标活动结束后，本单位人员迅速离场，不在公共区域内停留。</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6.</w:t>
      </w:r>
      <w:r>
        <w:rPr>
          <w:rFonts w:hint="eastAsia" w:ascii="宋体" w:hAnsi="宋体" w:eastAsia="宋体" w:cs="宋体"/>
          <w:sz w:val="28"/>
          <w:szCs w:val="32"/>
        </w:rPr>
        <w:t xml:space="preserve"> 如果所派人员出现疫情防控要求需留观、隔离的，由</w:t>
      </w:r>
      <w:r>
        <w:rPr>
          <w:rFonts w:hint="eastAsia" w:ascii="宋体" w:hAnsi="宋体" w:eastAsia="宋体" w:cs="宋体"/>
          <w:sz w:val="28"/>
          <w:szCs w:val="32"/>
          <w:lang w:eastAsia="zh-CN"/>
        </w:rPr>
        <w:t>投标供应商</w:t>
      </w:r>
      <w:r>
        <w:rPr>
          <w:rFonts w:hint="eastAsia" w:ascii="宋体" w:hAnsi="宋体" w:eastAsia="宋体" w:cs="宋体"/>
          <w:sz w:val="28"/>
          <w:szCs w:val="32"/>
        </w:rPr>
        <w:t>自行负责，视为放弃派员参加</w:t>
      </w:r>
      <w:r>
        <w:rPr>
          <w:rFonts w:hint="eastAsia" w:ascii="宋体" w:hAnsi="宋体" w:eastAsia="宋体" w:cs="宋体"/>
          <w:kern w:val="0"/>
          <w:sz w:val="28"/>
          <w:szCs w:val="32"/>
        </w:rPr>
        <w:t>。</w:t>
      </w:r>
    </w:p>
    <w:p>
      <w:pPr>
        <w:snapToGrid w:val="0"/>
        <w:spacing w:line="500" w:lineRule="exact"/>
        <w:rPr>
          <w:rFonts w:hint="eastAsia" w:ascii="宋体" w:hAnsi="宋体" w:eastAsia="宋体" w:cs="宋体"/>
          <w:kern w:val="0"/>
          <w:sz w:val="28"/>
          <w:szCs w:val="32"/>
        </w:rPr>
      </w:pPr>
    </w:p>
    <w:p>
      <w:pPr>
        <w:snapToGrid w:val="0"/>
        <w:spacing w:line="500" w:lineRule="exact"/>
        <w:ind w:firstLine="5320" w:firstLineChars="1900"/>
        <w:rPr>
          <w:rFonts w:hint="eastAsia" w:ascii="宋体" w:hAnsi="宋体" w:eastAsia="宋体" w:cs="宋体"/>
          <w:kern w:val="0"/>
          <w:sz w:val="28"/>
          <w:szCs w:val="32"/>
        </w:rPr>
      </w:pPr>
    </w:p>
    <w:p>
      <w:pPr>
        <w:snapToGrid w:val="0"/>
        <w:spacing w:line="500" w:lineRule="exact"/>
        <w:ind w:firstLine="5320" w:firstLineChars="1900"/>
        <w:rPr>
          <w:rFonts w:ascii="宋体" w:hAnsi="宋体" w:cs="宋体"/>
          <w:b/>
          <w:sz w:val="44"/>
          <w:szCs w:val="44"/>
        </w:rPr>
      </w:pPr>
      <w:r>
        <w:rPr>
          <w:rFonts w:hint="eastAsia" w:ascii="宋体" w:hAnsi="宋体" w:eastAsia="宋体" w:cs="宋体"/>
          <w:kern w:val="0"/>
          <w:sz w:val="28"/>
          <w:szCs w:val="32"/>
        </w:rPr>
        <w:t>承诺人（公章）：</w:t>
      </w:r>
      <w:r>
        <w:rPr>
          <w:rFonts w:hint="eastAsia" w:ascii="宋体" w:hAnsi="宋体" w:eastAsia="宋体" w:cs="宋体"/>
          <w:kern w:val="0"/>
          <w:sz w:val="28"/>
          <w:szCs w:val="32"/>
        </w:rPr>
        <w:br w:type="textWrapping"/>
      </w:r>
      <w:r>
        <w:rPr>
          <w:rFonts w:hint="eastAsia" w:ascii="宋体" w:hAnsi="宋体" w:eastAsia="宋体" w:cs="宋体"/>
          <w:kern w:val="0"/>
          <w:sz w:val="28"/>
          <w:szCs w:val="32"/>
        </w:rPr>
        <w:t>                                    年   月   日</w:t>
      </w:r>
    </w:p>
    <w:p>
      <w:pPr>
        <w:adjustRightInd w:val="0"/>
        <w:snapToGrid w:val="0"/>
        <w:spacing w:line="360" w:lineRule="auto"/>
        <w:jc w:val="both"/>
        <w:rPr>
          <w:rFonts w:hint="eastAsia" w:ascii="宋体" w:hAnsi="宋体" w:cs="宋体"/>
          <w:b/>
          <w:sz w:val="44"/>
          <w:szCs w:val="44"/>
        </w:rPr>
      </w:pPr>
    </w:p>
    <w:p>
      <w:pPr>
        <w:spacing w:line="360" w:lineRule="auto"/>
        <w:jc w:val="center"/>
        <w:rPr>
          <w:rFonts w:hint="eastAsia" w:eastAsia="宋体"/>
          <w:lang w:val="en-US" w:eastAsia="zh-CN"/>
        </w:rPr>
      </w:pPr>
      <w:r>
        <w:rPr>
          <w:rFonts w:ascii="宋体" w:hAnsi="宋体" w:eastAsia="宋体"/>
          <w:b/>
          <w:kern w:val="2"/>
          <w:sz w:val="40"/>
          <w:szCs w:val="40"/>
        </w:rPr>
        <w:t>目    录</w:t>
      </w:r>
      <w:r>
        <w:rPr>
          <w:rFonts w:hint="eastAsia" w:ascii="宋体" w:hAnsi="宋体" w:eastAsia="宋体"/>
          <w:b/>
          <w:kern w:val="2"/>
          <w:sz w:val="40"/>
          <w:szCs w:val="40"/>
          <w:lang w:val="en-US" w:eastAsia="zh-CN"/>
        </w:rPr>
        <w:t xml:space="preserve"> </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kern w:val="2"/>
          <w:sz w:val="28"/>
          <w:szCs w:val="28"/>
        </w:rPr>
        <w:t>采购公告</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bookmarkStart w:id="1" w:name="_Toc51756448"/>
      <w:bookmarkEnd w:id="1"/>
      <w:bookmarkStart w:id="2" w:name="_Toc52027882"/>
      <w:bookmarkEnd w:id="2"/>
      <w:bookmarkStart w:id="3" w:name="_Hlt462910414"/>
      <w:bookmarkEnd w:id="3"/>
      <w:bookmarkStart w:id="4" w:name="_Toc486671525"/>
      <w:bookmarkEnd w:id="4"/>
      <w:bookmarkStart w:id="5" w:name="_Hlt527336732"/>
      <w:bookmarkEnd w:id="5"/>
      <w:bookmarkStart w:id="6" w:name="_Toc56352965"/>
      <w:bookmarkEnd w:id="6"/>
      <w:bookmarkStart w:id="7" w:name="_Toc467236720"/>
      <w:bookmarkEnd w:id="7"/>
      <w:bookmarkStart w:id="8" w:name="_Toc51939413"/>
      <w:bookmarkEnd w:id="8"/>
      <w:bookmarkStart w:id="9" w:name="_Toc52021495"/>
      <w:bookmarkEnd w:id="9"/>
      <w:bookmarkStart w:id="10" w:name="_Toc476976153"/>
      <w:bookmarkEnd w:id="10"/>
      <w:bookmarkStart w:id="11" w:name="_Toc21826"/>
      <w:bookmarkEnd w:id="11"/>
      <w:r>
        <w:rPr>
          <w:rFonts w:hint="eastAsia"/>
          <w:kern w:val="2"/>
          <w:sz w:val="28"/>
          <w:szCs w:val="28"/>
        </w:rPr>
        <w:t>采购需求</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sz w:val="28"/>
          <w:szCs w:val="28"/>
        </w:rPr>
        <w:t>供应商须知</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kern w:val="2"/>
          <w:sz w:val="28"/>
          <w:szCs w:val="28"/>
        </w:rPr>
        <w:t>评标办法</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color w:val="000000" w:themeColor="text1"/>
          <w:sz w:val="28"/>
          <w:szCs w:val="28"/>
          <w14:textFill>
            <w14:solidFill>
              <w14:schemeClr w14:val="tx1"/>
            </w14:solidFill>
          </w14:textFill>
        </w:rPr>
      </w:pPr>
      <w:r>
        <w:rPr>
          <w:rFonts w:hint="eastAsia"/>
          <w:color w:val="000000" w:themeColor="text1"/>
          <w:kern w:val="2"/>
          <w:sz w:val="28"/>
          <w:szCs w:val="28"/>
          <w14:textFill>
            <w14:solidFill>
              <w14:schemeClr w14:val="tx1"/>
            </w14:solidFill>
          </w14:textFill>
        </w:rPr>
        <w:t>合同条款</w:t>
      </w:r>
    </w:p>
    <w:p>
      <w:pPr>
        <w:pStyle w:val="28"/>
        <w:pBdr>
          <w:top w:val="none" w:color="auto" w:sz="0" w:space="0"/>
          <w:left w:val="none" w:color="auto" w:sz="0" w:space="0"/>
          <w:bottom w:val="none" w:color="auto" w:sz="0" w:space="0"/>
          <w:right w:val="none" w:color="auto" w:sz="0" w:space="0"/>
        </w:pBdr>
        <w:tabs>
          <w:tab w:val="right" w:leader="dot" w:pos="8982"/>
        </w:tabs>
        <w:spacing w:line="480" w:lineRule="auto"/>
        <w:rPr>
          <w:rFonts w:hint="eastAsia"/>
          <w:sz w:val="28"/>
          <w:szCs w:val="28"/>
          <w:lang w:val="en-US" w:eastAsia="zh-CN"/>
        </w:rPr>
      </w:pPr>
      <w:r>
        <w:rPr>
          <w:rFonts w:hint="eastAsia"/>
          <w:sz w:val="28"/>
          <w:szCs w:val="28"/>
          <w:lang w:val="en-US" w:eastAsia="zh-CN"/>
        </w:rPr>
        <w:t>第六部分 技术参数</w:t>
      </w:r>
    </w:p>
    <w:p>
      <w:pPr>
        <w:pStyle w:val="28"/>
        <w:pBdr>
          <w:top w:val="none" w:color="auto" w:sz="0" w:space="0"/>
          <w:left w:val="none" w:color="auto" w:sz="0" w:space="0"/>
          <w:bottom w:val="none" w:color="auto" w:sz="0" w:space="0"/>
          <w:right w:val="none" w:color="auto" w:sz="0" w:space="0"/>
        </w:pBdr>
        <w:tabs>
          <w:tab w:val="right" w:leader="dot" w:pos="8982"/>
        </w:tabs>
        <w:spacing w:line="480" w:lineRule="auto"/>
      </w:pPr>
      <w:r>
        <w:rPr>
          <w:rFonts w:hint="eastAsia"/>
          <w:sz w:val="28"/>
          <w:szCs w:val="28"/>
        </w:rPr>
        <w:t>第七部分 响应文件格式</w:t>
      </w:r>
    </w:p>
    <w:p>
      <w:pPr>
        <w:tabs>
          <w:tab w:val="center" w:pos="4491"/>
        </w:tabs>
        <w:sectPr>
          <w:footerReference r:id="rId9" w:type="first"/>
          <w:footerReference r:id="rId8" w:type="default"/>
          <w:endnotePr>
            <w:numFmt w:val="decimal"/>
          </w:endnotePr>
          <w:pgSz w:w="11907" w:h="16840"/>
          <w:pgMar w:top="1440" w:right="1440" w:bottom="1440" w:left="1485" w:header="851" w:footer="992" w:gutter="0"/>
          <w:pgNumType w:start="1"/>
          <w:cols w:equalWidth="0" w:num="1">
            <w:col w:w="8982"/>
          </w:cols>
        </w:sectPr>
      </w:pPr>
      <w:r>
        <w:rPr>
          <w:rFonts w:hint="eastAsia"/>
        </w:rPr>
        <w:tab/>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温馨提示</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尊敬的供应商：</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您好！非常感谢您前来参加本项目的竞争性磋商活动，您的参与是对我们工作最大的支持，招投标是一项法律性、规范性要求很高的工作，为了避免不必要的失误造成投标失败，我们在此对投标的关键环节及注意事项向您做出提示，请您认真阅读。</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一、请您务必仔细阅读、认真理解竞争性磋商采购文件，尤其要对实质性条款及否决投标的条件要引起高度重视。</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二、请您务必在竞争性磋商响应文件递交前检查贵单位响应文件的密封及签章情况，若响应文件未按照磋商采购文件要求密封签章的，我们将予以拒收。</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三、请您务必按照供应商资格条件的要求，携带相关证件原件，我们在资格查验时不接受二次递交。</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四、评定内容均在磋商采购文件中体现，请务必认真阅读，充分响应磋商采购文件。</w:t>
      </w:r>
    </w:p>
    <w:p>
      <w:pPr>
        <w:autoSpaceDE w:val="0"/>
        <w:autoSpaceDN w:val="0"/>
        <w:adjustRightInd w:val="0"/>
        <w:spacing w:before="50" w:line="480" w:lineRule="exact"/>
        <w:ind w:firstLine="964" w:firstLineChars="400"/>
        <w:textAlignment w:val="baseline"/>
        <w:rPr>
          <w:rFonts w:ascii="宋体" w:hAnsi="宋体" w:eastAsia="宋体"/>
          <w:b/>
          <w:kern w:val="2"/>
          <w:sz w:val="24"/>
          <w:szCs w:val="24"/>
        </w:rPr>
      </w:pPr>
      <w:r>
        <w:rPr>
          <w:rFonts w:hint="eastAsia" w:ascii="宋体" w:hAnsi="宋体" w:eastAsia="宋体"/>
          <w:b/>
          <w:kern w:val="2"/>
          <w:sz w:val="24"/>
          <w:szCs w:val="24"/>
        </w:rPr>
        <w:t>五、文中“竞争性磋商采购文件”为我单位印发的采购文件，“竞争性磋商响应文件”为供应商针对此项目印制的响应文件。</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以上仅是友情提示，不作为磋商采购文件的一部分，请您严格按照磋商采购文件的要求做好磋商响应文件的编制及相关磋商准备工作。</w:t>
      </w:r>
    </w:p>
    <w:p>
      <w:pPr>
        <w:rPr>
          <w:kern w:val="44"/>
          <w:sz w:val="32"/>
          <w:szCs w:val="32"/>
        </w:rPr>
      </w:pPr>
      <w:r>
        <w:rPr>
          <w:rFonts w:hint="eastAsia"/>
          <w:kern w:val="44"/>
          <w:sz w:val="32"/>
          <w:szCs w:val="32"/>
        </w:rPr>
        <w:br w:type="page"/>
      </w:r>
    </w:p>
    <w:p>
      <w:pPr>
        <w:pStyle w:val="3"/>
        <w:numPr>
          <w:ilvl w:val="0"/>
          <w:numId w:val="4"/>
        </w:numPr>
        <w:autoSpaceDE w:val="0"/>
        <w:autoSpaceDN w:val="0"/>
        <w:adjustRightInd w:val="0"/>
        <w:spacing w:before="0" w:line="480" w:lineRule="exact"/>
        <w:jc w:val="center"/>
        <w:textAlignment w:val="baseline"/>
        <w:rPr>
          <w:rFonts w:hint="eastAsia"/>
          <w:kern w:val="44"/>
        </w:rPr>
      </w:pPr>
      <w:r>
        <w:rPr>
          <w:rFonts w:hint="eastAsia"/>
          <w:kern w:val="44"/>
        </w:rPr>
        <w:t xml:space="preserve"> 磋商采购公告</w:t>
      </w:r>
    </w:p>
    <w:p>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昌吉州阜康市人民医院基础设施能力提升建设项目-配套医疗设备采购项目</w:t>
      </w:r>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竞争性磋商采购公告</w:t>
      </w:r>
    </w:p>
    <w:p>
      <w:pPr>
        <w:numPr>
          <w:ilvl w:val="0"/>
          <w:numId w:val="5"/>
        </w:numPr>
        <w:spacing w:line="100" w:lineRule="atLeast"/>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采购</w:t>
      </w:r>
      <w:r>
        <w:rPr>
          <w:rFonts w:hint="eastAsia" w:asciiTheme="minorEastAsia" w:hAnsiTheme="minorEastAsia" w:eastAsiaTheme="minorEastAsia" w:cstheme="minorEastAsia"/>
          <w:b/>
          <w:kern w:val="0"/>
          <w:sz w:val="28"/>
          <w:szCs w:val="28"/>
          <w:lang w:eastAsia="zh-CN"/>
        </w:rPr>
        <w:t>采购</w:t>
      </w:r>
      <w:r>
        <w:rPr>
          <w:rFonts w:hint="eastAsia" w:asciiTheme="minorEastAsia" w:hAnsiTheme="minorEastAsia" w:eastAsiaTheme="minorEastAsia" w:cstheme="minorEastAsia"/>
          <w:b/>
          <w:kern w:val="0"/>
          <w:sz w:val="28"/>
          <w:szCs w:val="28"/>
        </w:rPr>
        <w:t>编号：XJTQ2021ZB</w:t>
      </w:r>
      <w:r>
        <w:rPr>
          <w:rFonts w:hint="eastAsia" w:asciiTheme="minorEastAsia" w:hAnsiTheme="minorEastAsia" w:eastAsiaTheme="minorEastAsia" w:cstheme="minorEastAsia"/>
          <w:b/>
          <w:kern w:val="0"/>
          <w:sz w:val="28"/>
          <w:szCs w:val="28"/>
          <w:lang w:val="en-US" w:eastAsia="zh-CN"/>
        </w:rPr>
        <w:t>90</w:t>
      </w:r>
      <w:r>
        <w:rPr>
          <w:rFonts w:hint="eastAsia" w:asciiTheme="minorEastAsia" w:hAnsiTheme="minorEastAsia" w:eastAsiaTheme="minorEastAsia" w:cstheme="minorEastAsia"/>
          <w:b/>
          <w:kern w:val="0"/>
          <w:sz w:val="28"/>
          <w:szCs w:val="28"/>
        </w:rPr>
        <w:t>-</w:t>
      </w:r>
      <w:r>
        <w:rPr>
          <w:rFonts w:hint="eastAsia" w:asciiTheme="minorEastAsia" w:hAnsiTheme="minorEastAsia" w:eastAsiaTheme="minorEastAsia" w:cstheme="minorEastAsia"/>
          <w:b/>
          <w:kern w:val="0"/>
          <w:sz w:val="28"/>
          <w:szCs w:val="28"/>
          <w:lang w:val="en-US" w:eastAsia="zh-CN"/>
        </w:rPr>
        <w:t>CS</w:t>
      </w:r>
    </w:p>
    <w:p>
      <w:pPr>
        <w:numPr>
          <w:ilvl w:val="0"/>
          <w:numId w:val="5"/>
        </w:numPr>
        <w:spacing w:line="100" w:lineRule="atLeast"/>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采购组织类型：</w:t>
      </w:r>
      <w:r>
        <w:rPr>
          <w:rFonts w:hint="eastAsia" w:asciiTheme="minorEastAsia" w:hAnsiTheme="minorEastAsia" w:eastAsiaTheme="minorEastAsia" w:cstheme="minorEastAsia"/>
          <w:bCs/>
          <w:kern w:val="0"/>
          <w:sz w:val="28"/>
          <w:szCs w:val="28"/>
          <w:lang w:val="en-US" w:eastAsia="zh-CN"/>
        </w:rPr>
        <w:t>集中</w:t>
      </w:r>
      <w:r>
        <w:rPr>
          <w:rFonts w:hint="eastAsia" w:asciiTheme="minorEastAsia" w:hAnsiTheme="minorEastAsia" w:eastAsiaTheme="minorEastAsia" w:cstheme="minorEastAsia"/>
          <w:bCs/>
          <w:kern w:val="0"/>
          <w:sz w:val="28"/>
          <w:szCs w:val="28"/>
          <w:lang w:eastAsia="zh-CN"/>
        </w:rPr>
        <w:t>采购</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eastAsia="zh-CN"/>
        </w:rPr>
        <w:t>分散委托中介</w:t>
      </w:r>
    </w:p>
    <w:p>
      <w:pPr>
        <w:numPr>
          <w:ilvl w:val="0"/>
          <w:numId w:val="5"/>
        </w:numPr>
        <w:spacing w:line="100" w:lineRule="atLeas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eastAsia="zh-CN"/>
        </w:rPr>
        <w:t>采购</w:t>
      </w:r>
      <w:r>
        <w:rPr>
          <w:rFonts w:hint="eastAsia" w:asciiTheme="minorEastAsia" w:hAnsiTheme="minorEastAsia" w:eastAsiaTheme="minorEastAsia" w:cstheme="minorEastAsia"/>
          <w:b/>
          <w:kern w:val="0"/>
          <w:sz w:val="28"/>
          <w:szCs w:val="28"/>
        </w:rPr>
        <w:t>概况与采购内容</w:t>
      </w:r>
    </w:p>
    <w:p>
      <w:pPr>
        <w:numPr>
          <w:ilvl w:val="0"/>
          <w:numId w:val="6"/>
        </w:num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名称：</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昌吉州阜康市人民医院基础设施能力提升建设项目-配套医疗设备采购项目</w:t>
      </w:r>
    </w:p>
    <w:p>
      <w:pPr>
        <w:numPr>
          <w:ilvl w:val="0"/>
          <w:numId w:val="0"/>
        </w:num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2</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地址：阜康市人民医院</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3</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内容：鼻内镜手术器械、耳内镜支撑喉镜手术器械、等离子射频手术系统手术动力装置、中耳分析仪、耳鼻喉综合治疗台</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（详见设备清单参数）</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4</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资金来源：</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财政资金</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金额</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55</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万元。</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5</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.供货时限：合同签订后15日历日内所购设备运至甲方指定位置并安装验收合格</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6</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招标方式：竞争性</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磋商</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资格审查方式：资格后审</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付款方式</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：按合同</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约定</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方式付款</w:t>
      </w:r>
    </w:p>
    <w:p>
      <w:pPr>
        <w:numPr>
          <w:ilvl w:val="0"/>
          <w:numId w:val="5"/>
        </w:numPr>
        <w:spacing w:line="100" w:lineRule="atLeast"/>
        <w:rPr>
          <w:rStyle w:val="43"/>
          <w:rFonts w:asciiTheme="minorEastAsia" w:hAnsiTheme="minorEastAsia" w:eastAsiaTheme="minorEastAsia" w:cstheme="minorEastAsia"/>
          <w:color w:val="000000"/>
          <w:kern w:val="0"/>
          <w:sz w:val="27"/>
          <w:szCs w:val="27"/>
        </w:rPr>
      </w:pPr>
      <w:r>
        <w:rPr>
          <w:rStyle w:val="43"/>
          <w:rFonts w:hint="eastAsia" w:asciiTheme="minorEastAsia" w:hAnsiTheme="minorEastAsia" w:eastAsiaTheme="minorEastAsia" w:cstheme="minorEastAsia"/>
          <w:color w:val="000000"/>
          <w:kern w:val="0"/>
          <w:sz w:val="27"/>
          <w:szCs w:val="27"/>
        </w:rPr>
        <w:t>磋商供应商资格要求：</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1、须符合《中华人民共和国政府采购法》第22条规定：</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（1）具有独立承担民事责任的能力的供应商；</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（3）具有履行合同所必需的设备和专业技术能力(具备履行合同所必需设备和专业技术能力的声明函)；</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（4）有依法缴纳税收和社会保障资金的良好记录(纳税人证明材料和企业人员基本信息后附人员社保证明)；</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（5）参加本次采购活动前三年内，在经营活动中没有重大违法记录；</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（6）法律、行政法规规定的其他条件。 </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2、投标人必须是所投产品的制造商或经销商，需提供有效的工商营业执照副（营业执照需包含本次项目的相关经营权）；</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3、投标人须提供所投产品经营许可范围的医疗器械经营许可证或备案凭证。</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xml:space="preserve"> 4、医疗器械产品，须根据《医疗器械监督管理条例》（国务院令第680号）有关内容办理医疗器械产品注册与备案，需提供所投产品的《医疗器械注册证》，所有证件均应在有效期内；</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5、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6、单位负责人为同一人或者存在直接控股、管理关系的不同供应商，不得参加同一合同项下的政府采购活动。</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7、不接受联合体投标，不允许转包或分包</w:t>
      </w:r>
    </w:p>
    <w:p>
      <w:pPr>
        <w:spacing w:line="100" w:lineRule="atLeast"/>
        <w:rPr>
          <w:rFonts w:asciiTheme="minorEastAsia" w:hAnsiTheme="minorEastAsia" w:eastAsiaTheme="minorEastAsia" w:cstheme="minorEastAsia"/>
          <w:b/>
          <w:bCs w:val="0"/>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8"/>
          <w:szCs w:val="28"/>
          <w:lang w:eastAsia="zh-CN"/>
          <w14:textFill>
            <w14:solidFill>
              <w14:schemeClr w14:val="tx1"/>
            </w14:solidFill>
          </w14:textFill>
        </w:rPr>
        <w:t>五、</w:t>
      </w:r>
      <w:r>
        <w:rPr>
          <w:rFonts w:hint="eastAsia" w:asciiTheme="minorEastAsia" w:hAnsiTheme="minorEastAsia" w:eastAsiaTheme="minorEastAsia" w:cstheme="minorEastAsia"/>
          <w:b/>
          <w:bCs w:val="0"/>
          <w:color w:val="000000" w:themeColor="text1"/>
          <w:kern w:val="0"/>
          <w:sz w:val="28"/>
          <w:szCs w:val="28"/>
          <w14:textFill>
            <w14:solidFill>
              <w14:schemeClr w14:val="tx1"/>
            </w14:solidFill>
          </w14:textFill>
        </w:rPr>
        <w:t>磋商文件发售时间、地址、方式、售价：</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1、发售时间：</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eastAsiaTheme="minorEastAsia" w:cstheme="minorEastAsia"/>
          <w:sz w:val="28"/>
          <w:szCs w:val="28"/>
        </w:rPr>
        <w:t>日-202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bCs/>
          <w:kern w:val="0"/>
          <w:sz w:val="28"/>
          <w:szCs w:val="28"/>
        </w:rPr>
        <w:t>上午：</w:t>
      </w:r>
      <w:r>
        <w:rPr>
          <w:rFonts w:hint="eastAsia" w:asciiTheme="minorEastAsia" w:hAnsiTheme="minorEastAsia" w:eastAsiaTheme="minorEastAsia" w:cstheme="minorEastAsia"/>
          <w:bCs/>
          <w:kern w:val="0"/>
          <w:sz w:val="28"/>
          <w:szCs w:val="28"/>
          <w:lang w:val="en-US" w:eastAsia="zh-CN"/>
        </w:rPr>
        <w:t>10</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val="en-US" w:eastAsia="zh-CN"/>
        </w:rPr>
        <w:t>0</w:t>
      </w:r>
      <w:r>
        <w:rPr>
          <w:rFonts w:hint="eastAsia" w:asciiTheme="minorEastAsia" w:hAnsiTheme="minorEastAsia" w:eastAsiaTheme="minorEastAsia" w:cstheme="minorEastAsia"/>
          <w:bCs/>
          <w:kern w:val="0"/>
          <w:sz w:val="28"/>
          <w:szCs w:val="28"/>
        </w:rPr>
        <w:t>0至1</w:t>
      </w:r>
      <w:r>
        <w:rPr>
          <w:rFonts w:hint="eastAsia" w:asciiTheme="minorEastAsia" w:hAnsiTheme="minorEastAsia" w:eastAsiaTheme="minorEastAsia" w:cstheme="minorEastAsia"/>
          <w:bCs/>
          <w:kern w:val="0"/>
          <w:sz w:val="28"/>
          <w:szCs w:val="28"/>
          <w:lang w:val="en-US" w:eastAsia="zh-CN"/>
        </w:rPr>
        <w:t>4</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val="en-US" w:eastAsia="zh-CN"/>
        </w:rPr>
        <w:t>0</w:t>
      </w:r>
      <w:r>
        <w:rPr>
          <w:rFonts w:hint="eastAsia" w:asciiTheme="minorEastAsia" w:hAnsiTheme="minorEastAsia" w:eastAsiaTheme="minorEastAsia" w:cstheme="minorEastAsia"/>
          <w:bCs/>
          <w:kern w:val="0"/>
          <w:sz w:val="28"/>
          <w:szCs w:val="28"/>
        </w:rPr>
        <w:t>0，下午：</w:t>
      </w:r>
      <w:r>
        <w:rPr>
          <w:rFonts w:hint="eastAsia" w:asciiTheme="minorEastAsia" w:hAnsiTheme="minorEastAsia" w:eastAsiaTheme="minorEastAsia" w:cstheme="minorEastAsia"/>
          <w:bCs/>
          <w:kern w:val="0"/>
          <w:sz w:val="28"/>
          <w:szCs w:val="28"/>
          <w:lang w:val="en-US" w:eastAsia="zh-CN"/>
        </w:rPr>
        <w:t>15</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val="en-US" w:eastAsia="zh-CN"/>
        </w:rPr>
        <w:t>3</w:t>
      </w:r>
      <w:r>
        <w:rPr>
          <w:rFonts w:hint="eastAsia" w:asciiTheme="minorEastAsia" w:hAnsiTheme="minorEastAsia" w:eastAsiaTheme="minorEastAsia" w:cstheme="minorEastAsia"/>
          <w:bCs/>
          <w:kern w:val="0"/>
          <w:sz w:val="28"/>
          <w:szCs w:val="28"/>
        </w:rPr>
        <w:t>0至</w:t>
      </w:r>
      <w:r>
        <w:rPr>
          <w:rFonts w:hint="eastAsia" w:asciiTheme="minorEastAsia" w:hAnsiTheme="minorEastAsia" w:eastAsiaTheme="minorEastAsia" w:cstheme="minorEastAsia"/>
          <w:bCs/>
          <w:kern w:val="0"/>
          <w:sz w:val="28"/>
          <w:szCs w:val="28"/>
          <w:lang w:val="en-US" w:eastAsia="zh-CN"/>
        </w:rPr>
        <w:t>19</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val="en-US" w:eastAsia="zh-CN"/>
        </w:rPr>
        <w:t>3</w:t>
      </w:r>
      <w:r>
        <w:rPr>
          <w:rFonts w:hint="eastAsia" w:asciiTheme="minorEastAsia" w:hAnsiTheme="minorEastAsia" w:eastAsiaTheme="minorEastAsia" w:cstheme="minorEastAsia"/>
          <w:bCs/>
          <w:kern w:val="0"/>
          <w:sz w:val="28"/>
          <w:szCs w:val="28"/>
        </w:rPr>
        <w:t>0。</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北京时间，节假日除外</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2、获取磋商文件地址：新疆天麒工程</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项目</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管理咨询有限责任公司（新疆维吾尔自治区昌吉市屯河北路新天地商务港815室）</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3、获取磋商文件方式：报名成功后现场购买获取 </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4、磋商文件售价(元)：</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00元 </w:t>
      </w:r>
    </w:p>
    <w:p>
      <w:pPr>
        <w:spacing w:line="100" w:lineRule="atLeast"/>
        <w:rPr>
          <w:rFonts w:asciiTheme="minorEastAsia" w:hAnsiTheme="minorEastAsia" w:eastAsiaTheme="minorEastAsia" w:cstheme="minorEastAsia"/>
          <w:bCs/>
          <w:color w:val="000000" w:themeColor="text1"/>
          <w:kern w:val="0"/>
          <w:sz w:val="28"/>
          <w:szCs w:val="28"/>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六、磋商响应文件提交截止时间：</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eastAsia="zh-CN"/>
        </w:rPr>
        <w:t>下</w:t>
      </w:r>
      <w:r>
        <w:rPr>
          <w:rFonts w:hint="eastAsia" w:asciiTheme="minorEastAsia" w:hAnsiTheme="minorEastAsia" w:eastAsiaTheme="minorEastAsia" w:cstheme="minorEastAsia"/>
          <w:sz w:val="28"/>
          <w:szCs w:val="28"/>
        </w:rPr>
        <w:t>午</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color w:val="000000" w:themeColor="text1"/>
          <w:sz w:val="28"/>
          <w:szCs w:val="28"/>
          <w14:textFill>
            <w14:solidFill>
              <w14:schemeClr w14:val="tx1"/>
            </w14:solidFill>
          </w14:textFill>
        </w:rPr>
        <w:t>（北京时间）</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 </w:t>
      </w:r>
    </w:p>
    <w:p>
      <w:pPr>
        <w:pStyle w:val="36"/>
        <w:widowControl/>
        <w:spacing w:before="75" w:beforeAutospacing="0" w:after="75" w:afterAutospacing="0" w:line="100" w:lineRule="atLeast"/>
        <w:rPr>
          <w:rFonts w:asciiTheme="minorEastAsia" w:hAnsiTheme="minorEastAsia" w:eastAsiaTheme="minorEastAsia" w:cstheme="minorEastAsia"/>
          <w:bCs/>
          <w:color w:val="000000" w:themeColor="text1"/>
          <w:sz w:val="28"/>
          <w:szCs w:val="28"/>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七、磋商响应文件提交地址：</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新疆维吾尔自治区昌吉市屯河北路新天地商务港8</w:t>
      </w: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21</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开标室</w:t>
      </w:r>
    </w:p>
    <w:p>
      <w:pPr>
        <w:pStyle w:val="36"/>
        <w:widowControl/>
        <w:spacing w:before="75" w:beforeAutospacing="0" w:after="75" w:afterAutospacing="0" w:line="100" w:lineRule="atLeast"/>
        <w:rPr>
          <w:rFonts w:asciiTheme="minorEastAsia" w:hAnsiTheme="minorEastAsia" w:eastAsiaTheme="minorEastAsia" w:cstheme="minorEastAsia"/>
          <w:bCs/>
          <w:color w:val="000000" w:themeColor="text1"/>
          <w:sz w:val="28"/>
          <w:szCs w:val="28"/>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八、磋商响应文件开启时间：</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eastAsia="zh-CN"/>
        </w:rPr>
        <w:t>下</w:t>
      </w:r>
      <w:r>
        <w:rPr>
          <w:rFonts w:hint="eastAsia" w:asciiTheme="minorEastAsia" w:hAnsiTheme="minorEastAsia" w:eastAsiaTheme="minorEastAsia" w:cstheme="minorEastAsia"/>
          <w:sz w:val="28"/>
          <w:szCs w:val="28"/>
        </w:rPr>
        <w:t>午1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color w:val="000000" w:themeColor="text1"/>
          <w:kern w:val="2"/>
          <w:sz w:val="28"/>
          <w:szCs w:val="28"/>
          <w14:textFill>
            <w14:solidFill>
              <w14:schemeClr w14:val="tx1"/>
            </w14:solidFill>
          </w14:textFill>
        </w:rPr>
        <w:t>北京时间）</w:t>
      </w:r>
      <w:r>
        <w:rPr>
          <w:rFonts w:hint="eastAsia" w:asciiTheme="minorEastAsia" w:hAnsiTheme="minorEastAsia" w:eastAsiaTheme="minorEastAsia" w:cstheme="minorEastAsia"/>
          <w:bCs/>
          <w:color w:val="000000" w:themeColor="text1"/>
          <w:sz w:val="28"/>
          <w:szCs w:val="28"/>
          <w14:textFill>
            <w14:solidFill>
              <w14:schemeClr w14:val="tx1"/>
            </w14:solidFill>
          </w14:textFill>
        </w:rPr>
        <w:t> </w:t>
      </w:r>
    </w:p>
    <w:p>
      <w:pPr>
        <w:jc w:val="left"/>
        <w:rPr>
          <w:rStyle w:val="43"/>
          <w:rFonts w:asciiTheme="minorEastAsia" w:hAnsiTheme="minorEastAsia" w:eastAsiaTheme="minorEastAsia" w:cstheme="minorEastAsia"/>
          <w:color w:val="000000" w:themeColor="text1"/>
          <w:sz w:val="27"/>
          <w:szCs w:val="27"/>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九、磋商地址：</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新疆维吾尔自治区昌吉市屯河北路新天地商务港8</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21</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开标室</w:t>
      </w:r>
    </w:p>
    <w:p>
      <w:pPr>
        <w:jc w:val="left"/>
        <w:rPr>
          <w:rStyle w:val="43"/>
          <w:rFonts w:asciiTheme="minorEastAsia" w:hAnsiTheme="minorEastAsia" w:eastAsiaTheme="minorEastAsia" w:cstheme="minorEastAsia"/>
          <w:color w:val="000000" w:themeColor="text1"/>
          <w:sz w:val="27"/>
          <w:szCs w:val="27"/>
          <w14:textFill>
            <w14:solidFill>
              <w14:schemeClr w14:val="tx1"/>
            </w14:solidFill>
          </w14:textFill>
        </w:rPr>
      </w:pPr>
      <w:r>
        <w:rPr>
          <w:rStyle w:val="43"/>
          <w:rFonts w:hint="eastAsia" w:asciiTheme="minorEastAsia" w:hAnsiTheme="minorEastAsia" w:eastAsiaTheme="minorEastAsia" w:cstheme="minorEastAsia"/>
          <w:color w:val="000000" w:themeColor="text1"/>
          <w:sz w:val="27"/>
          <w:szCs w:val="27"/>
          <w14:textFill>
            <w14:solidFill>
              <w14:schemeClr w14:val="tx1"/>
            </w14:solidFill>
          </w14:textFill>
        </w:rPr>
        <w:t>十、磋商保证金及交付方式：</w:t>
      </w:r>
    </w:p>
    <w:p>
      <w:pPr>
        <w:spacing w:line="100" w:lineRule="atLeast"/>
        <w:rPr>
          <w:rFonts w:hint="default" w:eastAsia="宋体"/>
          <w:lang w:val="en-US" w:eastAsia="zh-CN"/>
        </w:rPr>
      </w:pPr>
      <w:r>
        <w:rPr>
          <w:rFonts w:hint="eastAsia" w:ascii="宋体" w:hAnsi="宋体" w:cs="宋体"/>
          <w:sz w:val="28"/>
          <w:szCs w:val="28"/>
        </w:rPr>
        <w:t>1、投标保证金：</w:t>
      </w:r>
      <w:r>
        <w:rPr>
          <w:rFonts w:hint="eastAsia" w:ascii="宋体" w:hAnsi="宋体" w:cs="宋体"/>
          <w:sz w:val="28"/>
          <w:szCs w:val="28"/>
          <w:lang w:val="en-US" w:eastAsia="zh-CN"/>
        </w:rPr>
        <w:t>11000元（壹万壹仟元整）</w:t>
      </w:r>
    </w:p>
    <w:p>
      <w:pPr>
        <w:spacing w:line="100" w:lineRule="atLeast"/>
        <w:rPr>
          <w:rFonts w:ascii="宋体" w:hAnsi="宋体" w:cs="宋体"/>
          <w:sz w:val="28"/>
          <w:szCs w:val="28"/>
        </w:rPr>
      </w:pPr>
      <w:r>
        <w:rPr>
          <w:rFonts w:hint="eastAsia" w:ascii="宋体" w:hAnsi="宋体" w:cs="宋体"/>
          <w:sz w:val="28"/>
          <w:szCs w:val="28"/>
        </w:rPr>
        <w:t>2、投标保证金的缴纳时间为（</w:t>
      </w:r>
      <w:r>
        <w:rPr>
          <w:rFonts w:hint="eastAsia" w:ascii="宋体" w:hAnsi="宋体" w:cs="宋体"/>
          <w:sz w:val="28"/>
          <w:szCs w:val="28"/>
          <w:lang w:eastAsia="zh-CN"/>
        </w:rPr>
        <w:t>2021年10月1</w:t>
      </w:r>
      <w:r>
        <w:rPr>
          <w:rFonts w:hint="eastAsia" w:ascii="宋体" w:hAnsi="宋体" w:cs="宋体"/>
          <w:sz w:val="28"/>
          <w:szCs w:val="28"/>
          <w:lang w:val="en-US" w:eastAsia="zh-CN"/>
        </w:rPr>
        <w:t>4</w:t>
      </w:r>
      <w:r>
        <w:rPr>
          <w:rFonts w:hint="eastAsia" w:ascii="宋体" w:hAnsi="宋体" w:cs="宋体"/>
          <w:sz w:val="28"/>
          <w:szCs w:val="28"/>
        </w:rPr>
        <w:t>日</w:t>
      </w:r>
      <w:r>
        <w:rPr>
          <w:rFonts w:hint="eastAsia" w:ascii="宋体" w:hAnsi="宋体" w:cs="宋体"/>
          <w:sz w:val="28"/>
          <w:szCs w:val="28"/>
          <w:lang w:val="en-US" w:eastAsia="zh-CN"/>
        </w:rPr>
        <w:t>10</w:t>
      </w:r>
      <w:r>
        <w:rPr>
          <w:rFonts w:hint="eastAsia" w:ascii="宋体" w:hAnsi="宋体" w:cs="宋体"/>
          <w:sz w:val="28"/>
          <w:szCs w:val="28"/>
        </w:rPr>
        <w:t>：</w:t>
      </w:r>
      <w:r>
        <w:rPr>
          <w:rFonts w:hint="eastAsia" w:ascii="宋体" w:hAnsi="宋体" w:cs="宋体"/>
          <w:sz w:val="28"/>
          <w:szCs w:val="28"/>
          <w:lang w:val="en-US" w:eastAsia="zh-CN"/>
        </w:rPr>
        <w:t>0</w:t>
      </w:r>
      <w:r>
        <w:rPr>
          <w:rFonts w:hint="eastAsia" w:ascii="宋体" w:hAnsi="宋体" w:cs="宋体"/>
          <w:sz w:val="28"/>
          <w:szCs w:val="28"/>
        </w:rPr>
        <w:t>0—202</w:t>
      </w:r>
      <w:r>
        <w:rPr>
          <w:rFonts w:hint="eastAsia" w:ascii="宋体" w:hAnsi="宋体" w:cs="宋体"/>
          <w:sz w:val="28"/>
          <w:szCs w:val="28"/>
          <w:lang w:val="en-US" w:eastAsia="zh-CN"/>
        </w:rPr>
        <w:t>1</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24</w:t>
      </w:r>
      <w:r>
        <w:rPr>
          <w:rFonts w:hint="eastAsia" w:ascii="宋体" w:hAnsi="宋体" w:cs="宋体"/>
          <w:sz w:val="28"/>
          <w:szCs w:val="28"/>
        </w:rPr>
        <w:t>日</w:t>
      </w:r>
      <w:r>
        <w:rPr>
          <w:rFonts w:hint="eastAsia" w:ascii="宋体" w:hAnsi="宋体" w:cs="宋体"/>
          <w:sz w:val="28"/>
          <w:szCs w:val="28"/>
          <w:lang w:val="en-US" w:eastAsia="zh-CN"/>
        </w:rPr>
        <w:t>19</w:t>
      </w:r>
      <w:r>
        <w:rPr>
          <w:rFonts w:hint="eastAsia" w:ascii="宋体" w:hAnsi="宋体" w:cs="宋体"/>
          <w:sz w:val="28"/>
          <w:szCs w:val="28"/>
        </w:rPr>
        <w:t>：</w:t>
      </w:r>
      <w:r>
        <w:rPr>
          <w:rFonts w:hint="eastAsia" w:ascii="宋体" w:hAnsi="宋体" w:cs="宋体"/>
          <w:sz w:val="28"/>
          <w:szCs w:val="28"/>
          <w:lang w:val="en-US" w:eastAsia="zh-CN"/>
        </w:rPr>
        <w:t>30</w:t>
      </w:r>
      <w:r>
        <w:rPr>
          <w:rFonts w:hint="eastAsia" w:ascii="宋体" w:hAnsi="宋体" w:cs="宋体"/>
          <w:sz w:val="28"/>
          <w:szCs w:val="28"/>
        </w:rPr>
        <w:t>分）投标人应充分考虑资金到帐时间，在规定的时限前自行办妥投标保证金缴纳手续，投标保证金的缴付时间以电汇凭证和网银对帐单上的时间为准，超过报名时限缴纳投标保证金视为报名无效，投标保证金由投标单位基本帐户汇至新疆天麒工程</w:t>
      </w:r>
      <w:r>
        <w:rPr>
          <w:rFonts w:hint="eastAsia" w:ascii="宋体" w:hAnsi="宋体" w:cs="宋体"/>
          <w:sz w:val="28"/>
          <w:szCs w:val="28"/>
          <w:lang w:val="en-US" w:eastAsia="zh-CN"/>
        </w:rPr>
        <w:t>项目</w:t>
      </w:r>
      <w:r>
        <w:rPr>
          <w:rFonts w:hint="eastAsia" w:ascii="宋体" w:hAnsi="宋体" w:cs="宋体"/>
          <w:sz w:val="28"/>
          <w:szCs w:val="28"/>
        </w:rPr>
        <w:t>管理咨询有限责任公司（单位名称：新疆天麒工程</w:t>
      </w:r>
      <w:r>
        <w:rPr>
          <w:rFonts w:hint="eastAsia" w:ascii="宋体" w:hAnsi="宋体" w:cs="宋体"/>
          <w:sz w:val="28"/>
          <w:szCs w:val="28"/>
          <w:lang w:eastAsia="zh-CN"/>
        </w:rPr>
        <w:t>项目</w:t>
      </w:r>
      <w:r>
        <w:rPr>
          <w:rFonts w:hint="eastAsia" w:ascii="宋体" w:hAnsi="宋体" w:cs="宋体"/>
          <w:sz w:val="28"/>
          <w:szCs w:val="28"/>
        </w:rPr>
        <w:t>管理咨询有限责任公司阜康分公司、开户银行：</w:t>
      </w:r>
      <w:r>
        <w:rPr>
          <w:rFonts w:hint="eastAsia" w:ascii="宋体" w:hAnsi="宋体" w:cs="宋体"/>
          <w:sz w:val="28"/>
          <w:szCs w:val="28"/>
          <w:lang w:eastAsia="zh-CN"/>
        </w:rPr>
        <w:t>新疆</w:t>
      </w:r>
      <w:r>
        <w:rPr>
          <w:rFonts w:hint="eastAsia" w:ascii="宋体" w:hAnsi="宋体" w:cs="宋体"/>
          <w:sz w:val="28"/>
          <w:szCs w:val="28"/>
        </w:rPr>
        <w:t>阜康农村商业银行股份有限公司</w:t>
      </w:r>
      <w:r>
        <w:rPr>
          <w:rFonts w:hint="eastAsia" w:ascii="宋体" w:hAnsi="宋体" w:cs="宋体"/>
          <w:sz w:val="28"/>
          <w:szCs w:val="28"/>
          <w:lang w:eastAsia="zh-CN"/>
        </w:rPr>
        <w:t>营业部</w:t>
      </w:r>
      <w:r>
        <w:rPr>
          <w:rFonts w:hint="eastAsia" w:ascii="宋体" w:hAnsi="宋体" w:cs="宋体"/>
          <w:sz w:val="28"/>
          <w:szCs w:val="28"/>
        </w:rPr>
        <w:t xml:space="preserve"> 开户账号：808010012010107666982、开户行行号：（402885600012）。不得以现金和其他形式缴纳，不得以分公司、办事处或其他机构名义缴纳，投标人在缴纳投标保证金时，需在进帐凭证上明确资金用途和投标</w:t>
      </w:r>
      <w:r>
        <w:rPr>
          <w:rFonts w:hint="eastAsia" w:ascii="宋体" w:hAnsi="宋体" w:cs="宋体"/>
          <w:sz w:val="28"/>
          <w:szCs w:val="28"/>
          <w:lang w:eastAsia="zh-CN"/>
        </w:rPr>
        <w:t>采购</w:t>
      </w:r>
      <w:r>
        <w:rPr>
          <w:rFonts w:hint="eastAsia" w:ascii="宋体" w:hAnsi="宋体" w:cs="宋体"/>
          <w:sz w:val="28"/>
          <w:szCs w:val="28"/>
        </w:rPr>
        <w:t>名称，并注明联系人及电话，以便查对核实。投标人在缴纳投标保证金后持单位基本户开户证明（原件及复印件）和保证金汇款凭证到新疆天麒工程</w:t>
      </w:r>
      <w:r>
        <w:rPr>
          <w:rFonts w:hint="eastAsia" w:ascii="宋体" w:hAnsi="宋体" w:cs="宋体"/>
          <w:sz w:val="28"/>
          <w:szCs w:val="28"/>
          <w:lang w:eastAsia="zh-CN"/>
        </w:rPr>
        <w:t>项目</w:t>
      </w:r>
      <w:r>
        <w:rPr>
          <w:rFonts w:hint="eastAsia" w:ascii="宋体" w:hAnsi="宋体" w:cs="宋体"/>
          <w:sz w:val="28"/>
          <w:szCs w:val="28"/>
        </w:rPr>
        <w:t>管理咨询有限责任公司财务室换取缴纳凭证，作为确认报名的依据。</w:t>
      </w:r>
    </w:p>
    <w:p>
      <w:pPr>
        <w:pStyle w:val="36"/>
        <w:widowControl/>
        <w:spacing w:before="75" w:beforeAutospacing="0" w:after="75" w:afterAutospacing="0" w:line="100" w:lineRule="atLeast"/>
        <w:rPr>
          <w:rFonts w:asciiTheme="minorEastAsia" w:hAnsiTheme="minorEastAsia" w:eastAsiaTheme="minorEastAsia" w:cstheme="minorEastAsia"/>
          <w:color w:val="000000"/>
          <w:szCs w:val="24"/>
        </w:rPr>
      </w:pPr>
      <w:r>
        <w:rPr>
          <w:rStyle w:val="43"/>
          <w:rFonts w:hint="eastAsia" w:asciiTheme="minorEastAsia" w:hAnsiTheme="minorEastAsia" w:eastAsiaTheme="minorEastAsia" w:cstheme="minorEastAsia"/>
          <w:color w:val="000000"/>
          <w:sz w:val="27"/>
          <w:szCs w:val="27"/>
        </w:rPr>
        <w:t>十一、其他事项：</w:t>
      </w:r>
    </w:p>
    <w:p>
      <w:pPr>
        <w:pStyle w:val="36"/>
        <w:widowControl/>
        <w:spacing w:before="75" w:beforeAutospacing="0" w:after="75" w:afterAutospacing="0" w:line="100" w:lineRule="atLeas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sz w:val="28"/>
          <w:szCs w:val="28"/>
        </w:rPr>
        <w:t> </w:t>
      </w:r>
      <w:r>
        <w:rPr>
          <w:rFonts w:hint="eastAsia" w:asciiTheme="minorEastAsia" w:hAnsiTheme="minorEastAsia" w:eastAsiaTheme="minorEastAsia" w:cstheme="minorEastAsia"/>
          <w:bCs/>
          <w:sz w:val="28"/>
          <w:szCs w:val="28"/>
        </w:rPr>
        <w:t xml:space="preserve"> 1、本</w:t>
      </w:r>
      <w:r>
        <w:rPr>
          <w:rFonts w:hint="eastAsia" w:asciiTheme="minorEastAsia" w:hAnsiTheme="minorEastAsia" w:eastAsiaTheme="minorEastAsia" w:cstheme="minorEastAsia"/>
          <w:bCs/>
          <w:sz w:val="28"/>
          <w:szCs w:val="28"/>
          <w:lang w:eastAsia="zh-CN"/>
        </w:rPr>
        <w:t>采购</w:t>
      </w:r>
      <w:r>
        <w:rPr>
          <w:rFonts w:hint="eastAsia" w:asciiTheme="minorEastAsia" w:hAnsiTheme="minorEastAsia" w:eastAsiaTheme="minorEastAsia" w:cstheme="minorEastAsia"/>
          <w:bCs/>
          <w:sz w:val="28"/>
          <w:szCs w:val="28"/>
        </w:rPr>
        <w:t>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w:t>
      </w:r>
      <w:r>
        <w:rPr>
          <w:rFonts w:hint="eastAsia" w:asciiTheme="minorEastAsia" w:hAnsiTheme="minorEastAsia" w:eastAsiaTheme="minorEastAsia" w:cstheme="minorEastAsia"/>
          <w:bCs/>
          <w:sz w:val="28"/>
          <w:szCs w:val="28"/>
          <w:lang w:eastAsia="zh-CN"/>
        </w:rPr>
        <w:t>采购</w:t>
      </w:r>
      <w:r>
        <w:rPr>
          <w:rFonts w:hint="eastAsia" w:asciiTheme="minorEastAsia" w:hAnsiTheme="minorEastAsia" w:eastAsiaTheme="minorEastAsia" w:cstheme="minorEastAsia"/>
          <w:bCs/>
          <w:sz w:val="28"/>
          <w:szCs w:val="28"/>
        </w:rPr>
        <w:t>，质疑供应商对采购人、采购代理机构的答复不满意或者采购人、采购代理机构未在规定的时间内作出答复的，可以在答复期满后十五个工作日内向同级政府采购监督管理部门投诉。</w:t>
      </w:r>
    </w:p>
    <w:p>
      <w:pPr>
        <w:ind w:firstLine="480"/>
        <w:jc w:val="left"/>
        <w:rPr>
          <w:rFonts w:hint="eastAsia" w:asciiTheme="minorEastAsia" w:hAnsiTheme="minorEastAsia" w:eastAsiaTheme="minorEastAsia" w:cstheme="minorEastAsia"/>
          <w:color w:val="000000"/>
          <w:sz w:val="28"/>
          <w:szCs w:val="28"/>
          <w:lang w:val="en-US"/>
        </w:rPr>
      </w:pPr>
      <w:r>
        <w:rPr>
          <w:rFonts w:hint="default"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bCs/>
          <w:sz w:val="28"/>
          <w:szCs w:val="28"/>
        </w:rPr>
        <w:t>购买竞争性磋商文件时须提交的文件资料</w:t>
      </w:r>
    </w:p>
    <w:p>
      <w:pPr>
        <w:ind w:firstLine="480"/>
        <w:jc w:val="left"/>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sz w:val="28"/>
          <w:szCs w:val="28"/>
          <w:lang w:val="en-US"/>
        </w:rPr>
        <w:t>报名资料：由法定代表人或委托代理人凭身份证原件现场领取，同时需提供（1）满足《中华人民共和国政府采购法》第二十二条要求的相关证明材料；(2)法人营业执照</w:t>
      </w:r>
      <w:r>
        <w:rPr>
          <w:rFonts w:hint="eastAsia" w:asciiTheme="minorEastAsia" w:hAnsiTheme="minorEastAsia" w:eastAsiaTheme="minorEastAsia" w:cstheme="minorEastAsia"/>
          <w:color w:val="000000"/>
          <w:sz w:val="28"/>
          <w:szCs w:val="28"/>
          <w:lang w:val="en-US" w:eastAsia="zh-CN"/>
        </w:rPr>
        <w:t>、相关资质证明</w:t>
      </w:r>
      <w:r>
        <w:rPr>
          <w:rFonts w:hint="eastAsia" w:asciiTheme="minorEastAsia" w:hAnsiTheme="minorEastAsia" w:eastAsiaTheme="minorEastAsia" w:cstheme="minorEastAsia"/>
          <w:color w:val="000000"/>
          <w:sz w:val="28"/>
          <w:szCs w:val="28"/>
          <w:lang w:val="en-US"/>
        </w:rPr>
        <w:t>；（3）“信用中国”、“中国政府采购网”、“国家企业信用信息公示网”查询结果（附网页截图并加盖投标人公章）；（4）法人授权委托书原件及法人授权委托代理人的身份证原件（法定代表人持身份证原件）。未被“信用中国”网站（www.creditchina.gov.cn）、中国政府采购网（www.ccgp.gov.cn）被列入失信被执行人、重大税收违法案件当事人名单、政府采购严重违法失信行为记录名单的（尚在处罚期内的）的相关证明材料（网络截图）等有关证件复印件二套，复印件需加盖单位公章，同时须携带</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（原件或当地公证处出具的的前述证书的公证书或电子截图凭证）</w:t>
      </w:r>
      <w:r>
        <w:rPr>
          <w:rFonts w:hint="eastAsia" w:asciiTheme="minorEastAsia" w:hAnsiTheme="minorEastAsia" w:eastAsiaTheme="minorEastAsia" w:cstheme="minorEastAsia"/>
          <w:color w:val="000000"/>
          <w:sz w:val="28"/>
          <w:szCs w:val="28"/>
          <w:lang w:val="en-US"/>
        </w:rPr>
        <w:t>备查</w:t>
      </w:r>
    </w:p>
    <w:p>
      <w:pPr>
        <w:ind w:firstLine="480"/>
        <w:jc w:val="left"/>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sz w:val="28"/>
          <w:szCs w:val="28"/>
          <w:lang w:val="en-US" w:eastAsia="zh-CN"/>
        </w:rPr>
        <w:t>3、其他注意事项</w:t>
      </w:r>
    </w:p>
    <w:p>
      <w:pPr>
        <w:pStyle w:val="36"/>
        <w:widowControl/>
        <w:spacing w:before="75" w:beforeAutospacing="0" w:after="75" w:afterAutospacing="0"/>
        <w:ind w:left="54"/>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落实政府采购政策需满足的资格要求：1）节能产品强制采购；2）节能产品、环境标志产品优先采购；3）政府采购促进中小企业发展；4）政府采购项目支持监狱企业发展；5）政府采购信用担保。</w:t>
      </w:r>
    </w:p>
    <w:p>
      <w:pPr>
        <w:pStyle w:val="36"/>
        <w:widowControl/>
        <w:spacing w:before="75" w:beforeAutospacing="0" w:after="75" w:afterAutospacing="0"/>
        <w:ind w:left="54"/>
        <w:rPr>
          <w:rFonts w:hint="default" w:asciiTheme="minorEastAsia" w:hAnsiTheme="minorEastAsia" w:eastAsiaTheme="minorEastAsia" w:cstheme="minorEastAsia"/>
          <w:color w:val="000000"/>
          <w:kern w:val="2"/>
          <w:sz w:val="28"/>
          <w:szCs w:val="28"/>
          <w:lang w:val="en-US" w:eastAsia="zh-CN" w:bidi="ar-SA"/>
        </w:rPr>
      </w:pPr>
      <w:r>
        <w:rPr>
          <w:rFonts w:hint="default" w:asciiTheme="minorEastAsia" w:hAnsiTheme="minorEastAsia" w:eastAsiaTheme="minorEastAsia" w:cstheme="minorEastAsia"/>
          <w:color w:val="000000"/>
          <w:kern w:val="2"/>
          <w:sz w:val="28"/>
          <w:szCs w:val="28"/>
          <w:lang w:val="en-US" w:eastAsia="zh-CN" w:bidi="ar-SA"/>
        </w:rPr>
        <w:t>本项目将对小型和微型企业(含监狱企业、残疾人福利性单位)产品的价格给予6%的扣除，用扣除后的价格参与评审打分。</w:t>
      </w:r>
    </w:p>
    <w:p>
      <w:pPr>
        <w:pStyle w:val="36"/>
        <w:widowControl/>
        <w:spacing w:before="75" w:beforeAutospacing="0" w:after="75" w:afterAutospacing="0"/>
        <w:ind w:left="54"/>
        <w:rPr>
          <w:rFonts w:hint="default" w:asciiTheme="minorEastAsia" w:hAnsiTheme="minorEastAsia" w:eastAsiaTheme="minorEastAsia" w:cstheme="minorEastAsia"/>
          <w:color w:val="000000"/>
          <w:kern w:val="2"/>
          <w:sz w:val="28"/>
          <w:szCs w:val="28"/>
          <w:lang w:val="en-US" w:eastAsia="zh-CN" w:bidi="ar-SA"/>
        </w:rPr>
      </w:pPr>
      <w:r>
        <w:rPr>
          <w:rFonts w:hint="default" w:asciiTheme="minorEastAsia" w:hAnsiTheme="minorEastAsia" w:eastAsiaTheme="minorEastAsia" w:cstheme="minorEastAsia"/>
          <w:color w:val="000000"/>
          <w:kern w:val="2"/>
          <w:sz w:val="28"/>
          <w:szCs w:val="28"/>
          <w:lang w:val="en-US" w:eastAsia="zh-CN" w:bidi="ar-SA"/>
        </w:rPr>
        <w:t>若投标商和小微企业产品/服务制造商均符</w:t>
      </w:r>
      <w:r>
        <w:rPr>
          <w:rFonts w:hint="eastAsia" w:asciiTheme="minorEastAsia" w:hAnsiTheme="minorEastAsia" w:eastAsiaTheme="minorEastAsia" w:cstheme="minorEastAsia"/>
          <w:color w:val="000000"/>
          <w:kern w:val="2"/>
          <w:sz w:val="28"/>
          <w:szCs w:val="28"/>
          <w:lang w:val="en-US" w:eastAsia="zh-CN" w:bidi="ar-SA"/>
        </w:rPr>
        <w:t>合</w:t>
      </w:r>
      <w:r>
        <w:rPr>
          <w:rFonts w:hint="default" w:asciiTheme="minorEastAsia" w:hAnsiTheme="minorEastAsia" w:eastAsiaTheme="minorEastAsia" w:cstheme="minorEastAsia"/>
          <w:color w:val="000000"/>
          <w:kern w:val="2"/>
          <w:sz w:val="28"/>
          <w:szCs w:val="28"/>
          <w:lang w:val="en-US" w:eastAsia="zh-CN" w:bidi="ar-SA"/>
        </w:rPr>
        <w:t>小</w:t>
      </w:r>
      <w:r>
        <w:rPr>
          <w:rFonts w:hint="eastAsia" w:asciiTheme="minorEastAsia" w:hAnsiTheme="minorEastAsia" w:eastAsiaTheme="minorEastAsia" w:cstheme="minorEastAsia"/>
          <w:color w:val="000000"/>
          <w:kern w:val="2"/>
          <w:sz w:val="28"/>
          <w:szCs w:val="28"/>
          <w:lang w:val="en-US" w:eastAsia="zh-CN" w:bidi="ar-SA"/>
        </w:rPr>
        <w:t>微</w:t>
      </w:r>
      <w:r>
        <w:rPr>
          <w:rFonts w:hint="default" w:asciiTheme="minorEastAsia" w:hAnsiTheme="minorEastAsia" w:eastAsiaTheme="minorEastAsia" w:cstheme="minorEastAsia"/>
          <w:color w:val="000000"/>
          <w:kern w:val="2"/>
          <w:sz w:val="28"/>
          <w:szCs w:val="28"/>
          <w:lang w:val="en-US" w:eastAsia="zh-CN" w:bidi="ar-SA"/>
        </w:rPr>
        <w:t>企业条件，并且提供了《中小企业声明函》</w:t>
      </w:r>
      <w:r>
        <w:rPr>
          <w:rFonts w:hint="eastAsia" w:asciiTheme="minorEastAsia" w:hAnsiTheme="minorEastAsia" w:eastAsiaTheme="minorEastAsia" w:cstheme="minorEastAsia"/>
          <w:color w:val="000000"/>
          <w:kern w:val="2"/>
          <w:sz w:val="28"/>
          <w:szCs w:val="28"/>
          <w:lang w:val="en-US" w:eastAsia="zh-CN" w:bidi="ar-SA"/>
        </w:rPr>
        <w:t>，则其评标价格=投标商报价中属于小型和微型企业产品的价格部分*</w:t>
      </w:r>
      <w:r>
        <w:rPr>
          <w:rFonts w:hint="default" w:asciiTheme="minorEastAsia" w:hAnsiTheme="minorEastAsia" w:eastAsiaTheme="minorEastAsia" w:cstheme="minorEastAsia"/>
          <w:color w:val="000000"/>
          <w:kern w:val="2"/>
          <w:sz w:val="28"/>
          <w:szCs w:val="28"/>
          <w:lang w:val="en-US" w:eastAsia="zh-CN" w:bidi="ar-SA"/>
        </w:rPr>
        <w:t>(100%-6%) +投标商报价中不属于小型和微型企业产品的价格部分;否则，其评标价=投标报价。</w:t>
      </w:r>
    </w:p>
    <w:p>
      <w:pPr>
        <w:pStyle w:val="36"/>
        <w:widowControl/>
        <w:spacing w:before="75" w:beforeAutospacing="0" w:after="75" w:afterAutospacing="0"/>
        <w:ind w:left="54"/>
        <w:rPr>
          <w:rFonts w:hint="default" w:asciiTheme="minorEastAsia" w:hAnsiTheme="minorEastAsia" w:eastAsiaTheme="minorEastAsia" w:cstheme="minorEastAsia"/>
          <w:color w:val="000000"/>
          <w:kern w:val="2"/>
          <w:sz w:val="28"/>
          <w:szCs w:val="28"/>
          <w:lang w:val="en-US" w:eastAsia="zh-CN" w:bidi="ar-SA"/>
        </w:rPr>
      </w:pPr>
      <w:r>
        <w:rPr>
          <w:rFonts w:hint="default" w:asciiTheme="minorEastAsia" w:hAnsiTheme="minorEastAsia" w:eastAsiaTheme="minorEastAsia" w:cstheme="minorEastAsia"/>
          <w:color w:val="000000"/>
          <w:kern w:val="2"/>
          <w:sz w:val="28"/>
          <w:szCs w:val="28"/>
          <w:lang w:val="en-US" w:eastAsia="zh-CN" w:bidi="ar-SA"/>
        </w:rPr>
        <w:t>在《环境标志产品政府采购清单》内的产品价格给予5%的扣除，则其评标价格=《环境标志产品政府采购清单》内的产品的价格部分</w:t>
      </w:r>
      <w:r>
        <w:rPr>
          <w:rFonts w:hint="eastAsia" w:asciiTheme="minorEastAsia" w:hAnsiTheme="minorEastAsia" w:eastAsiaTheme="minorEastAsia" w:cstheme="minorEastAsia"/>
          <w:color w:val="000000"/>
          <w:kern w:val="2"/>
          <w:sz w:val="28"/>
          <w:szCs w:val="28"/>
          <w:lang w:val="en-US" w:eastAsia="zh-CN" w:bidi="ar-SA"/>
        </w:rPr>
        <w:t>*</w:t>
      </w:r>
      <w:r>
        <w:rPr>
          <w:rFonts w:hint="default" w:asciiTheme="minorEastAsia" w:hAnsiTheme="minorEastAsia" w:eastAsiaTheme="minorEastAsia" w:cstheme="minorEastAsia"/>
          <w:color w:val="000000"/>
          <w:kern w:val="2"/>
          <w:sz w:val="28"/>
          <w:szCs w:val="28"/>
          <w:lang w:val="en-US" w:eastAsia="zh-CN" w:bidi="ar-SA"/>
        </w:rPr>
        <w:t>(100%-5%) +供应商报价中不属于《环境标产品政府采购清单》内的产品的价格部分:否则，其评标价=投标报价。</w:t>
      </w:r>
    </w:p>
    <w:p>
      <w:pPr>
        <w:ind w:firstLine="480"/>
        <w:jc w:val="left"/>
        <w:rPr>
          <w:rFonts w:hint="eastAsia" w:asciiTheme="minorEastAsia" w:hAnsiTheme="minorEastAsia" w:eastAsiaTheme="minorEastAsia" w:cstheme="minorEastAsia"/>
          <w:color w:val="000000"/>
          <w:sz w:val="28"/>
          <w:szCs w:val="28"/>
        </w:rPr>
      </w:pPr>
    </w:p>
    <w:p>
      <w:pPr>
        <w:keepLines w:val="0"/>
        <w:widowControl/>
        <w:snapToGrid w:val="0"/>
        <w:spacing w:before="0" w:beforeAutospacing="0" w:after="0" w:afterAutospacing="0" w:line="410" w:lineRule="exact"/>
        <w:ind w:firstLine="602" w:firstLineChars="200"/>
        <w:jc w:val="left"/>
        <w:textAlignment w:val="baseline"/>
        <w:rPr>
          <w:rFonts w:hint="eastAsia" w:ascii="仿宋" w:hAnsi="仿宋" w:eastAsia="仿宋" w:cs="仿宋"/>
          <w:b/>
          <w:bCs/>
          <w:i w:val="0"/>
          <w:caps w:val="0"/>
          <w:color w:val="000000" w:themeColor="text1"/>
          <w:spacing w:val="0"/>
          <w:w w:val="100"/>
          <w:sz w:val="30"/>
          <w:szCs w:val="30"/>
          <w14:textFill>
            <w14:solidFill>
              <w14:schemeClr w14:val="tx1"/>
            </w14:solidFill>
          </w14:textFill>
        </w:rPr>
      </w:pPr>
      <w:r>
        <w:rPr>
          <w:rFonts w:hint="eastAsia" w:ascii="仿宋" w:hAnsi="仿宋" w:eastAsia="仿宋" w:cs="仿宋"/>
          <w:b/>
          <w:bCs/>
          <w:i w:val="0"/>
          <w:caps w:val="0"/>
          <w:color w:val="000000" w:themeColor="text1"/>
          <w:spacing w:val="0"/>
          <w:w w:val="100"/>
          <w:sz w:val="30"/>
          <w:szCs w:val="30"/>
          <w:lang w:eastAsia="zh-CN"/>
          <w14:textFill>
            <w14:solidFill>
              <w14:schemeClr w14:val="tx1"/>
            </w14:solidFill>
          </w14:textFill>
        </w:rPr>
        <w:t>十二</w:t>
      </w:r>
      <w:r>
        <w:rPr>
          <w:rFonts w:hint="eastAsia" w:ascii="仿宋" w:hAnsi="仿宋" w:eastAsia="仿宋" w:cs="仿宋"/>
          <w:b/>
          <w:bCs/>
          <w:i w:val="0"/>
          <w:caps w:val="0"/>
          <w:color w:val="000000" w:themeColor="text1"/>
          <w:spacing w:val="0"/>
          <w:w w:val="100"/>
          <w:sz w:val="30"/>
          <w:szCs w:val="30"/>
          <w14:textFill>
            <w14:solidFill>
              <w14:schemeClr w14:val="tx1"/>
            </w14:solidFill>
          </w14:textFill>
        </w:rPr>
        <w:t>、发布公告的媒介</w:t>
      </w:r>
    </w:p>
    <w:p>
      <w:pPr>
        <w:pStyle w:val="49"/>
      </w:pPr>
      <w:r>
        <w:rPr>
          <w:rFonts w:hint="eastAsia" w:ascii="仿宋" w:hAnsi="仿宋" w:eastAsia="仿宋" w:cs="仿宋"/>
          <w:b w:val="0"/>
          <w:i w:val="0"/>
          <w:caps w:val="0"/>
          <w:spacing w:val="0"/>
          <w:w w:val="100"/>
          <w:sz w:val="30"/>
          <w:szCs w:val="30"/>
        </w:rPr>
        <w:t>本次招标公告在</w:t>
      </w:r>
      <w:r>
        <w:rPr>
          <w:rFonts w:hint="eastAsia" w:ascii="仿宋" w:hAnsi="仿宋" w:eastAsia="仿宋" w:cs="仿宋"/>
          <w:b w:val="0"/>
          <w:i w:val="0"/>
          <w:caps w:val="0"/>
          <w:spacing w:val="0"/>
          <w:w w:val="100"/>
          <w:sz w:val="30"/>
          <w:szCs w:val="30"/>
          <w:u w:val="single"/>
          <w:lang w:eastAsia="zh-CN"/>
        </w:rPr>
        <w:t>新疆政府采购网、昌吉州公共资源交易网</w:t>
      </w:r>
      <w:r>
        <w:rPr>
          <w:rFonts w:hint="eastAsia" w:ascii="仿宋" w:hAnsi="仿宋" w:eastAsia="仿宋" w:cs="仿宋"/>
          <w:b w:val="0"/>
          <w:i w:val="0"/>
          <w:caps w:val="0"/>
          <w:spacing w:val="0"/>
          <w:w w:val="100"/>
          <w:sz w:val="30"/>
          <w:szCs w:val="30"/>
        </w:rPr>
        <w:t>上发布。</w:t>
      </w:r>
    </w:p>
    <w:p>
      <w:pPr>
        <w:pStyle w:val="36"/>
        <w:widowControl/>
        <w:spacing w:before="75" w:beforeAutospacing="0" w:after="75" w:afterAutospacing="0" w:line="100" w:lineRule="atLeast"/>
        <w:ind w:firstLine="542" w:firstLineChars="200"/>
        <w:rPr>
          <w:rFonts w:asciiTheme="minorEastAsia" w:hAnsiTheme="minorEastAsia" w:eastAsiaTheme="minorEastAsia" w:cstheme="minorEastAsia"/>
          <w:color w:val="000000"/>
          <w:szCs w:val="24"/>
        </w:rPr>
      </w:pPr>
      <w:r>
        <w:rPr>
          <w:rStyle w:val="43"/>
          <w:rFonts w:hint="eastAsia" w:asciiTheme="minorEastAsia" w:hAnsiTheme="minorEastAsia" w:eastAsiaTheme="minorEastAsia" w:cstheme="minorEastAsia"/>
          <w:color w:val="000000"/>
          <w:sz w:val="27"/>
          <w:szCs w:val="27"/>
        </w:rPr>
        <w:t>十</w:t>
      </w:r>
      <w:r>
        <w:rPr>
          <w:rStyle w:val="43"/>
          <w:rFonts w:hint="eastAsia" w:asciiTheme="minorEastAsia" w:hAnsiTheme="minorEastAsia" w:eastAsiaTheme="minorEastAsia" w:cstheme="minorEastAsia"/>
          <w:color w:val="000000"/>
          <w:sz w:val="27"/>
          <w:szCs w:val="27"/>
          <w:lang w:eastAsia="zh-CN"/>
        </w:rPr>
        <w:t>三</w:t>
      </w:r>
      <w:r>
        <w:rPr>
          <w:rStyle w:val="43"/>
          <w:rFonts w:hint="eastAsia" w:asciiTheme="minorEastAsia" w:hAnsiTheme="minorEastAsia" w:eastAsiaTheme="minorEastAsia" w:cstheme="minorEastAsia"/>
          <w:color w:val="000000"/>
          <w:sz w:val="27"/>
          <w:szCs w:val="27"/>
        </w:rPr>
        <w:t>、联系方式</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招标人：阜康市卫生健康委员会</w:t>
      </w:r>
      <w:r>
        <w:rPr>
          <w:rFonts w:hint="eastAsia" w:ascii="仿宋" w:hAnsi="仿宋" w:eastAsia="仿宋" w:cs="仿宋"/>
          <w:b w:val="0"/>
          <w:i w:val="0"/>
          <w:caps w:val="0"/>
          <w:spacing w:val="0"/>
          <w:w w:val="100"/>
          <w:sz w:val="30"/>
          <w:szCs w:val="30"/>
          <w:lang w:val="zh-CN" w:eastAsia="zh-CN"/>
        </w:rPr>
        <w:t xml:space="preserve">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联系人：</w:t>
      </w:r>
      <w:r>
        <w:rPr>
          <w:rFonts w:hint="eastAsia" w:ascii="仿宋" w:hAnsi="仿宋" w:eastAsia="仿宋" w:cs="仿宋"/>
          <w:b w:val="0"/>
          <w:i w:val="0"/>
          <w:caps w:val="0"/>
          <w:spacing w:val="0"/>
          <w:w w:val="100"/>
          <w:sz w:val="30"/>
          <w:szCs w:val="30"/>
          <w:lang w:val="zh-CN" w:eastAsia="zh-CN"/>
        </w:rPr>
        <w:t>鞠凌峰</w:t>
      </w:r>
      <w:r>
        <w:rPr>
          <w:rFonts w:hint="eastAsia" w:ascii="仿宋" w:hAnsi="仿宋" w:eastAsia="仿宋" w:cs="仿宋"/>
          <w:b w:val="0"/>
          <w:i w:val="0"/>
          <w:caps w:val="0"/>
          <w:spacing w:val="0"/>
          <w:w w:val="100"/>
          <w:sz w:val="30"/>
          <w:szCs w:val="30"/>
          <w:lang w:val="en-US" w:eastAsia="zh-CN"/>
        </w:rPr>
        <w:t xml:space="preserve">         </w:t>
      </w:r>
    </w:p>
    <w:p>
      <w:pPr>
        <w:keepLines w:val="0"/>
        <w:widowControl/>
        <w:snapToGrid w:val="0"/>
        <w:spacing w:before="0" w:beforeAutospacing="0" w:after="0" w:afterAutospacing="0" w:line="410" w:lineRule="exact"/>
        <w:ind w:firstLine="600" w:firstLineChars="200"/>
        <w:textAlignment w:val="baseline"/>
        <w:rPr>
          <w:rFonts w:hint="default"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联系电话：0994-3226870</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招标代理机构：新疆天麒工程项目管理咨询有限责任公司</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 xml:space="preserve">联系人：林杰    顾娜尔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联系电话： 0994-2209928</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同级政府采购监督管理部门名称：阜康市政府采购办</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联系人： 徐云江</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监督投诉电话：0994-3222516</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lang w:val="en-US" w:eastAsia="zh-CN"/>
        </w:rPr>
      </w:pPr>
      <w:r>
        <w:rPr>
          <w:rFonts w:hint="eastAsia" w:ascii="仿宋" w:hAnsi="仿宋" w:eastAsia="仿宋" w:cs="仿宋"/>
          <w:b w:val="0"/>
          <w:i w:val="0"/>
          <w:caps w:val="0"/>
          <w:spacing w:val="0"/>
          <w:w w:val="100"/>
          <w:sz w:val="30"/>
          <w:szCs w:val="30"/>
          <w:lang w:val="en-US" w:eastAsia="zh-CN"/>
        </w:rPr>
        <w:t>地址：阜康市</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 xml:space="preserve">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p>
    <w:p>
      <w:pPr>
        <w:pStyle w:val="3"/>
        <w:autoSpaceDE w:val="0"/>
        <w:autoSpaceDN w:val="0"/>
        <w:adjustRightInd w:val="0"/>
        <w:spacing w:before="0" w:line="480" w:lineRule="exact"/>
        <w:jc w:val="center"/>
        <w:textAlignment w:val="baseline"/>
        <w:rPr>
          <w:rFonts w:hint="eastAsia"/>
          <w:kern w:val="44"/>
        </w:rPr>
      </w:pPr>
    </w:p>
    <w:p>
      <w:pPr>
        <w:rPr>
          <w:rFonts w:hint="eastAsia"/>
          <w:kern w:val="44"/>
        </w:rPr>
      </w:pPr>
    </w:p>
    <w:p>
      <w:pPr>
        <w:pStyle w:val="2"/>
        <w:rPr>
          <w:rFonts w:hint="eastAsia"/>
          <w:kern w:val="44"/>
        </w:rPr>
      </w:pPr>
    </w:p>
    <w:p>
      <w:pPr>
        <w:rPr>
          <w:rFonts w:hint="eastAsia"/>
          <w:kern w:val="44"/>
        </w:rPr>
      </w:pPr>
    </w:p>
    <w:p>
      <w:pPr>
        <w:pStyle w:val="2"/>
        <w:rPr>
          <w:rFonts w:hint="eastAsia"/>
          <w:kern w:val="44"/>
        </w:rPr>
      </w:pPr>
    </w:p>
    <w:p>
      <w:pPr>
        <w:rPr>
          <w:rFonts w:hint="eastAsia"/>
          <w:kern w:val="44"/>
        </w:rPr>
      </w:pPr>
    </w:p>
    <w:p>
      <w:pPr>
        <w:pStyle w:val="2"/>
        <w:rPr>
          <w:rFonts w:hint="eastAsia"/>
          <w:kern w:val="44"/>
        </w:rPr>
      </w:pPr>
    </w:p>
    <w:p>
      <w:pPr>
        <w:rPr>
          <w:rFonts w:hint="eastAsia"/>
          <w:kern w:val="44"/>
        </w:rPr>
      </w:pPr>
    </w:p>
    <w:p>
      <w:pPr>
        <w:pStyle w:val="2"/>
        <w:rPr>
          <w:rFonts w:hint="eastAsia"/>
          <w:kern w:val="44"/>
        </w:rPr>
      </w:pPr>
    </w:p>
    <w:p>
      <w:pPr>
        <w:rPr>
          <w:rFonts w:hint="eastAsia"/>
          <w:kern w:val="44"/>
        </w:rPr>
      </w:pPr>
    </w:p>
    <w:p>
      <w:pPr>
        <w:pStyle w:val="2"/>
        <w:rPr>
          <w:rFonts w:hint="eastAsia"/>
          <w:kern w:val="44"/>
        </w:rPr>
      </w:pPr>
    </w:p>
    <w:p>
      <w:pPr>
        <w:rPr>
          <w:rFonts w:hint="eastAsia"/>
        </w:rPr>
      </w:pPr>
    </w:p>
    <w:p>
      <w:pPr>
        <w:pStyle w:val="3"/>
        <w:autoSpaceDE w:val="0"/>
        <w:autoSpaceDN w:val="0"/>
        <w:adjustRightInd w:val="0"/>
        <w:spacing w:before="0" w:line="480" w:lineRule="exact"/>
        <w:ind w:firstLine="2240" w:firstLineChars="700"/>
        <w:jc w:val="both"/>
        <w:textAlignment w:val="baseline"/>
        <w:rPr>
          <w:rFonts w:hint="eastAsia"/>
          <w:kern w:val="44"/>
        </w:rPr>
      </w:pPr>
    </w:p>
    <w:p>
      <w:pPr>
        <w:pStyle w:val="3"/>
        <w:autoSpaceDE w:val="0"/>
        <w:autoSpaceDN w:val="0"/>
        <w:adjustRightInd w:val="0"/>
        <w:spacing w:before="0" w:line="480" w:lineRule="exact"/>
        <w:ind w:firstLine="2240" w:firstLineChars="700"/>
        <w:jc w:val="both"/>
        <w:textAlignment w:val="baseline"/>
        <w:rPr>
          <w:rFonts w:hint="eastAsia"/>
          <w:kern w:val="44"/>
        </w:rPr>
      </w:pPr>
    </w:p>
    <w:p>
      <w:pPr>
        <w:pStyle w:val="3"/>
        <w:autoSpaceDE w:val="0"/>
        <w:autoSpaceDN w:val="0"/>
        <w:adjustRightInd w:val="0"/>
        <w:spacing w:before="0" w:line="480" w:lineRule="exact"/>
        <w:ind w:firstLine="2240" w:firstLineChars="700"/>
        <w:jc w:val="both"/>
        <w:textAlignment w:val="baseline"/>
        <w:rPr>
          <w:kern w:val="44"/>
        </w:rPr>
      </w:pPr>
      <w:r>
        <w:rPr>
          <w:rFonts w:hint="eastAsia"/>
          <w:kern w:val="44"/>
        </w:rPr>
        <w:t>第二部分   采购需求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说明：供应商须对本项目以项目为单位的服务进行整体响应，任何只对项目内其中一部分内容进行的响应都被视为无效响应。</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一、项目概况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1.本项目是</w:t>
      </w:r>
      <w:r>
        <w:rPr>
          <w:rFonts w:hint="eastAsia" w:ascii="宋体" w:hAnsi="宋体" w:eastAsia="宋体"/>
          <w:kern w:val="2"/>
          <w:sz w:val="24"/>
          <w:szCs w:val="24"/>
          <w:lang w:eastAsia="zh-CN"/>
        </w:rPr>
        <w:t>昌吉州阜康市人民医院基础设施能力提升建设项目-配套医疗设备采购项目</w:t>
      </w:r>
      <w:r>
        <w:rPr>
          <w:rFonts w:hint="eastAsia" w:ascii="宋体" w:hAnsi="宋体" w:eastAsia="宋体"/>
          <w:kern w:val="2"/>
          <w:sz w:val="24"/>
          <w:szCs w:val="24"/>
        </w:rPr>
        <w:t>。</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 资金来源</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eastAsia="zh-CN"/>
          <w14:textFill>
            <w14:solidFill>
              <w14:schemeClr w14:val="tx1"/>
            </w14:solidFill>
          </w14:textFill>
        </w:rPr>
        <w:t>财政资金</w:t>
      </w:r>
      <w:r>
        <w:rPr>
          <w:rFonts w:hint="eastAsia" w:ascii="宋体" w:hAnsi="宋体" w:eastAsia="宋体"/>
          <w:color w:val="000000" w:themeColor="text1"/>
          <w:kern w:val="2"/>
          <w:sz w:val="24"/>
          <w:szCs w:val="24"/>
          <w14:textFill>
            <w14:solidFill>
              <w14:schemeClr w14:val="tx1"/>
            </w14:solidFill>
          </w14:textFill>
        </w:rPr>
        <w:t>。</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3.采购项目概况：鼻内镜手术器械、耳内镜支撑喉镜手术器械、等离子射频手术系统手术动力装置、中耳分析仪、耳鼻喉综合治疗台（详见设备清单参数）</w:t>
      </w:r>
      <w:r>
        <w:rPr>
          <w:rFonts w:hint="eastAsia" w:ascii="宋体" w:hAnsi="宋体" w:eastAsia="宋体"/>
          <w:kern w:val="2"/>
          <w:sz w:val="24"/>
          <w:szCs w:val="24"/>
          <w:lang w:eastAsia="zh-CN"/>
        </w:rPr>
        <w:t>。</w:t>
      </w:r>
    </w:p>
    <w:p>
      <w:pPr>
        <w:autoSpaceDE w:val="0"/>
        <w:autoSpaceDN w:val="0"/>
        <w:adjustRightInd w:val="0"/>
        <w:spacing w:before="50" w:line="480" w:lineRule="exact"/>
        <w:ind w:firstLine="480" w:firstLineChars="200"/>
        <w:textAlignment w:val="baseline"/>
        <w:rPr>
          <w:rFonts w:hint="eastAsia" w:ascii="宋体" w:hAnsi="宋体" w:eastAsia="宋体"/>
          <w:color w:val="FF0000"/>
          <w:kern w:val="2"/>
          <w:sz w:val="24"/>
          <w:szCs w:val="24"/>
          <w:lang w:eastAsia="zh-CN"/>
        </w:rPr>
      </w:pPr>
      <w:r>
        <w:rPr>
          <w:rFonts w:hint="eastAsia" w:ascii="宋体" w:hAnsi="宋体" w:eastAsia="宋体"/>
          <w:kern w:val="2"/>
          <w:sz w:val="24"/>
          <w:szCs w:val="24"/>
        </w:rPr>
        <w:t>4</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eastAsia="zh-CN"/>
          <w14:textFill>
            <w14:solidFill>
              <w14:schemeClr w14:val="tx1"/>
            </w14:solidFill>
          </w14:textFill>
        </w:rPr>
        <w:t>供货时限：合同签订后</w:t>
      </w:r>
      <w:r>
        <w:rPr>
          <w:rFonts w:hint="eastAsia" w:ascii="宋体" w:hAnsi="宋体" w:eastAsia="宋体"/>
          <w:color w:val="000000" w:themeColor="text1"/>
          <w:kern w:val="2"/>
          <w:sz w:val="24"/>
          <w:szCs w:val="24"/>
          <w:lang w:val="en-US" w:eastAsia="zh-CN"/>
          <w14:textFill>
            <w14:solidFill>
              <w14:schemeClr w14:val="tx1"/>
            </w14:solidFill>
          </w14:textFill>
        </w:rPr>
        <w:t>15</w:t>
      </w:r>
      <w:r>
        <w:rPr>
          <w:rFonts w:hint="eastAsia" w:ascii="宋体" w:hAnsi="宋体" w:eastAsia="宋体"/>
          <w:color w:val="000000" w:themeColor="text1"/>
          <w:kern w:val="2"/>
          <w:sz w:val="24"/>
          <w:szCs w:val="24"/>
          <w:lang w:eastAsia="zh-CN"/>
          <w14:textFill>
            <w14:solidFill>
              <w14:schemeClr w14:val="tx1"/>
            </w14:solidFill>
          </w14:textFill>
        </w:rPr>
        <w:t>日历日内所购设备运至甲方指定位置并安装验收合格。</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5.</w:t>
      </w:r>
      <w:r>
        <w:rPr>
          <w:rFonts w:hint="eastAsia" w:ascii="宋体" w:hAnsi="宋体" w:eastAsia="宋体"/>
          <w:kern w:val="2"/>
          <w:sz w:val="24"/>
          <w:szCs w:val="24"/>
          <w:lang w:eastAsia="zh-CN"/>
        </w:rPr>
        <w:t>付款方式：按合同约定方式付款。</w:t>
      </w:r>
    </w:p>
    <w:p>
      <w:pPr>
        <w:pStyle w:val="14"/>
        <w:ind w:firstLine="480" w:firstLineChars="200"/>
        <w:rPr>
          <w:rFonts w:hint="eastAsia" w:ascii="宋体" w:hAnsi="宋体" w:eastAsia="宋体" w:cstheme="minorBidi"/>
          <w:color w:val="000000" w:themeColor="text1"/>
          <w:kern w:val="2"/>
          <w:lang w:val="en-US" w:eastAsia="zh-CN"/>
          <w14:textFill>
            <w14:solidFill>
              <w14:schemeClr w14:val="tx1"/>
            </w14:solidFill>
          </w14:textFill>
        </w:rPr>
      </w:pPr>
      <w:r>
        <w:rPr>
          <w:rFonts w:hint="eastAsia" w:ascii="宋体" w:hAnsi="宋体" w:eastAsia="宋体" w:cstheme="minorBidi"/>
          <w:kern w:val="2"/>
        </w:rPr>
        <w:t>6.质保期限：</w:t>
      </w:r>
      <w:r>
        <w:rPr>
          <w:rFonts w:hint="eastAsia" w:ascii="宋体" w:hAnsi="宋体" w:eastAsia="宋体" w:cstheme="minorBidi"/>
          <w:color w:val="000000" w:themeColor="text1"/>
          <w:kern w:val="2"/>
          <w:lang w:val="en-US" w:eastAsia="zh-CN"/>
          <w14:textFill>
            <w14:solidFill>
              <w14:schemeClr w14:val="tx1"/>
            </w14:solidFill>
          </w14:textFill>
        </w:rPr>
        <w:t>两</w:t>
      </w:r>
      <w:r>
        <w:rPr>
          <w:rFonts w:hint="eastAsia" w:ascii="宋体" w:hAnsi="宋体" w:eastAsia="宋体" w:cstheme="minorBidi"/>
          <w:color w:val="000000" w:themeColor="text1"/>
          <w:kern w:val="2"/>
          <w14:textFill>
            <w14:solidFill>
              <w14:schemeClr w14:val="tx1"/>
            </w14:solidFill>
          </w14:textFill>
        </w:rPr>
        <w:t>年</w:t>
      </w:r>
      <w:r>
        <w:rPr>
          <w:rFonts w:hint="eastAsia" w:ascii="宋体" w:hAnsi="宋体" w:eastAsia="宋体" w:cstheme="minorBidi"/>
          <w:color w:val="000000" w:themeColor="text1"/>
          <w:kern w:val="2"/>
          <w:lang w:eastAsia="zh-CN"/>
          <w14:textFill>
            <w14:solidFill>
              <w14:schemeClr w14:val="tx1"/>
            </w14:solidFill>
          </w14:textFill>
        </w:rPr>
        <w:t>。</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二、总体要求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1.供应商必须按照竞争性磋商采购文件的要求和参照竞争性磋商采购文件第八部分“响应文件格式”，制作响应文件，并真实、详细和完整地填写相关内容和提供相关资料。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 供应商必须按照要求以满足采购人设备的要求，供应商应特别注意按照相关标准的要求，并考虑使用过程中的各种因素，投报的产品在整个合同履行期间能够持续满足相关标准要求。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 供应商投标使用的产品及服务必须是符合国家相关标准的要求。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4.具体工程内容和所需运行设备及相关配套费用由供应商自行根据需要现场踏勘并预算。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5.供应商应承担编制响应文件以及递交响应文件所涉及的一切费用，无论投标结果如何，采购人及采购代理机构对上述费用不负任何责任。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三、供应商资格要求</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1、须符合《中华人民共和国政府采购法》第22条规定：</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（1）具有独立承担民事责任的能力的供应商；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（3）具有履行合同所必需的设备和专业技术能力(具备履行合同所必需设备和专业技术能力的声明函)；</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（4）有依法缴纳税收和社会保障资金的良好记录(纳税人证明材料和企业人员基本信息后附人员社保证明)；</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（5）参加本次采购活动前三年内，在经营活动中没有重大违法记录；</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（6）法律、行政法规规定的其他条件。 </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2、投标人必须是所投产品的制造商或经销商，需提供有效的工商营业执照副（营业执照需包含本次项目的相关经营权）；</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3、投标人须提供所投产品经营许可范围的医疗器械经营许可证或备案凭证。</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xml:space="preserve"> 4、医疗器械产品，须根据《医疗器械监督管理条例》（国务院令第680号）有关内容办理医疗器械产品注册与备案，需提供所投产品的《医疗器械注册证》，所有证件均应在有效期内；</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5、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6、单位负责人为同一人或者存在直接控股、管理关系的不同供应商，不得参加同一合同项下的政府采购活动。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7、不接受联合体投标，不允许转包或分包四、验收：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1.验收标准：国家标准、竞争性磋商采购文件和响应文件要求。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2.验收合格后由成交供应商和采购人双方共同签字确认。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3.第三方检测、测试的费用本着“谁要求，谁支付”的原则。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五、政府采购合同：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1.采购人和成交供应商应当在确定成交后的30天内签订政府采购合同。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2.政府采购合同应当一式多份。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六、付款方式：</w:t>
      </w:r>
    </w:p>
    <w:p>
      <w:pPr>
        <w:autoSpaceDE w:val="0"/>
        <w:autoSpaceDN w:val="0"/>
        <w:adjustRightInd w:val="0"/>
        <w:spacing w:before="50" w:line="480" w:lineRule="exact"/>
        <w:ind w:firstLine="480" w:firstLineChars="200"/>
        <w:textAlignment w:val="baseline"/>
        <w:rPr>
          <w:kern w:val="44"/>
          <w:sz w:val="32"/>
          <w:szCs w:val="32"/>
        </w:rPr>
      </w:pPr>
      <w:r>
        <w:rPr>
          <w:rFonts w:hint="eastAsia" w:ascii="宋体" w:hAnsi="宋体" w:eastAsia="宋体"/>
          <w:kern w:val="2"/>
          <w:sz w:val="24"/>
          <w:szCs w:val="24"/>
        </w:rPr>
        <w:t>按成交人与采购人签订合同的付款方式执行。</w:t>
      </w:r>
    </w:p>
    <w:p>
      <w:pPr>
        <w:pStyle w:val="3"/>
        <w:autoSpaceDE w:val="0"/>
        <w:autoSpaceDN w:val="0"/>
        <w:adjustRightInd w:val="0"/>
        <w:spacing w:before="0" w:line="480" w:lineRule="exact"/>
        <w:jc w:val="center"/>
        <w:textAlignment w:val="baseline"/>
        <w:rPr>
          <w:rFonts w:hint="eastAsia"/>
          <w:kern w:val="44"/>
        </w:rPr>
      </w:pPr>
    </w:p>
    <w:p>
      <w:pPr>
        <w:rPr>
          <w:rFonts w:hint="eastAsia"/>
          <w:kern w:val="44"/>
        </w:rPr>
      </w:pPr>
    </w:p>
    <w:p>
      <w:pPr>
        <w:pStyle w:val="2"/>
        <w:rPr>
          <w:rFonts w:hint="eastAsia"/>
          <w:kern w:val="44"/>
        </w:rPr>
      </w:pPr>
    </w:p>
    <w:p>
      <w:pPr>
        <w:rPr>
          <w:rFonts w:hint="eastAsia"/>
          <w:kern w:val="44"/>
        </w:rPr>
      </w:pPr>
    </w:p>
    <w:p>
      <w:pPr>
        <w:pStyle w:val="2"/>
        <w:rPr>
          <w:rFonts w:hint="eastAsia"/>
          <w:kern w:val="44"/>
        </w:rPr>
      </w:pPr>
    </w:p>
    <w:p>
      <w:pPr>
        <w:rPr>
          <w:rFonts w:hint="eastAsia"/>
          <w:kern w:val="44"/>
        </w:rPr>
      </w:pPr>
    </w:p>
    <w:p>
      <w:pPr>
        <w:pStyle w:val="2"/>
        <w:rPr>
          <w:rFonts w:hint="eastAsia"/>
          <w:kern w:val="44"/>
        </w:rPr>
      </w:pPr>
    </w:p>
    <w:p>
      <w:pPr>
        <w:rPr>
          <w:rFonts w:hint="eastAsia"/>
          <w:kern w:val="44"/>
        </w:rPr>
      </w:pPr>
    </w:p>
    <w:p>
      <w:pPr>
        <w:pStyle w:val="2"/>
        <w:rPr>
          <w:rFonts w:hint="eastAsia"/>
        </w:rPr>
      </w:pPr>
    </w:p>
    <w:p>
      <w:pPr>
        <w:pStyle w:val="3"/>
        <w:autoSpaceDE w:val="0"/>
        <w:autoSpaceDN w:val="0"/>
        <w:adjustRightInd w:val="0"/>
        <w:spacing w:before="0" w:line="480" w:lineRule="exact"/>
        <w:jc w:val="center"/>
        <w:textAlignment w:val="baseline"/>
        <w:rPr>
          <w:rFonts w:hint="eastAsia"/>
          <w:kern w:val="44"/>
        </w:rPr>
      </w:pPr>
    </w:p>
    <w:p>
      <w:pPr>
        <w:pStyle w:val="3"/>
        <w:autoSpaceDE w:val="0"/>
        <w:autoSpaceDN w:val="0"/>
        <w:adjustRightInd w:val="0"/>
        <w:spacing w:before="0" w:line="480" w:lineRule="exact"/>
        <w:jc w:val="center"/>
        <w:textAlignment w:val="baseline"/>
        <w:rPr>
          <w:kern w:val="44"/>
        </w:rPr>
      </w:pPr>
      <w:r>
        <w:rPr>
          <w:rFonts w:hint="eastAsia"/>
          <w:kern w:val="44"/>
        </w:rPr>
        <w:t>第三部分  供应商须知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2" w:name="_Toc467236724"/>
      <w:bookmarkEnd w:id="12"/>
      <w:bookmarkStart w:id="13" w:name="_Toc467987807"/>
      <w:bookmarkEnd w:id="13"/>
      <w:bookmarkStart w:id="14" w:name="_Toc507407359"/>
      <w:bookmarkEnd w:id="14"/>
      <w:bookmarkStart w:id="15" w:name="_Toc468157520"/>
      <w:bookmarkEnd w:id="15"/>
      <w:bookmarkStart w:id="16" w:name="_Toc480020241"/>
      <w:bookmarkEnd w:id="16"/>
      <w:bookmarkStart w:id="17" w:name="_Toc21182"/>
      <w:bookmarkEnd w:id="17"/>
      <w:bookmarkStart w:id="18" w:name="_Toc48207756"/>
      <w:bookmarkEnd w:id="18"/>
      <w:bookmarkStart w:id="19" w:name="_Toc479991566"/>
      <w:bookmarkEnd w:id="19"/>
      <w:bookmarkStart w:id="20" w:name="_Toc466786434"/>
      <w:bookmarkEnd w:id="20"/>
      <w:bookmarkStart w:id="21" w:name="_Toc6968687"/>
      <w:bookmarkEnd w:id="21"/>
      <w:bookmarkStart w:id="22" w:name="_Toc102277756"/>
      <w:bookmarkEnd w:id="22"/>
      <w:bookmarkStart w:id="23" w:name="_Toc458262599"/>
      <w:bookmarkEnd w:id="23"/>
      <w:bookmarkStart w:id="24" w:name="_Toc480021037"/>
      <w:bookmarkEnd w:id="24"/>
      <w:bookmarkStart w:id="25" w:name="_Toc480010692"/>
      <w:bookmarkEnd w:id="25"/>
      <w:bookmarkStart w:id="26" w:name="_Toc468606013"/>
      <w:bookmarkEnd w:id="26"/>
      <w:bookmarkStart w:id="27" w:name="_Toc480171863"/>
      <w:bookmarkEnd w:id="27"/>
      <w:bookmarkStart w:id="28" w:name="_Toc6882675"/>
      <w:bookmarkEnd w:id="28"/>
      <w:r>
        <w:rPr>
          <w:rFonts w:hint="eastAsia" w:ascii="宋体" w:hAnsi="宋体" w:eastAsia="宋体"/>
          <w:kern w:val="2"/>
          <w:sz w:val="24"/>
          <w:szCs w:val="24"/>
        </w:rPr>
        <w:t>一、说  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29" w:name="_Toc340004153"/>
      <w:bookmarkEnd w:id="29"/>
      <w:bookmarkStart w:id="30" w:name="_Toc32200"/>
      <w:bookmarkEnd w:id="30"/>
      <w:r>
        <w:rPr>
          <w:rFonts w:hint="eastAsia" w:ascii="宋体" w:hAnsi="宋体" w:eastAsia="宋体"/>
          <w:kern w:val="2"/>
          <w:sz w:val="24"/>
          <w:szCs w:val="24"/>
        </w:rPr>
        <w:t>1.适用范围</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1.1 本竞争性磋商采购文件投标公告中所叙述的产品及服务。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 本竞争性磋商采购文件的解释权在采购人及采购代理机构。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1" w:name="_Toc340004154"/>
      <w:bookmarkEnd w:id="31"/>
      <w:bookmarkStart w:id="32" w:name="_Toc16614"/>
      <w:bookmarkEnd w:id="32"/>
      <w:r>
        <w:rPr>
          <w:rFonts w:hint="eastAsia" w:ascii="宋体" w:hAnsi="宋体" w:eastAsia="宋体"/>
          <w:kern w:val="2"/>
          <w:sz w:val="24"/>
          <w:szCs w:val="24"/>
        </w:rPr>
        <w:t>2.定义</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2.1“采购人”指</w:t>
      </w:r>
      <w:r>
        <w:rPr>
          <w:rFonts w:hint="eastAsia" w:ascii="宋体" w:hAnsi="宋体" w:eastAsia="宋体"/>
          <w:kern w:val="2"/>
          <w:sz w:val="24"/>
          <w:szCs w:val="24"/>
          <w:lang w:val="en-GB" w:eastAsia="zh-CN"/>
        </w:rPr>
        <w:t xml:space="preserve">阜康市卫生健康委员会 </w:t>
      </w:r>
      <w:r>
        <w:rPr>
          <w:rFonts w:hint="eastAsia" w:ascii="宋体" w:hAnsi="宋体" w:eastAsia="宋体"/>
          <w:kern w:val="2"/>
          <w:sz w:val="24"/>
          <w:szCs w:val="24"/>
          <w:lang w:val="en-GB"/>
        </w:rPr>
        <w:t xml:space="preserve">  。</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2.2“采购代理机构”指新疆天麒工程项目管理咨询有限责任公司。</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2.3</w:t>
      </w:r>
      <w:r>
        <w:rPr>
          <w:rFonts w:hint="eastAsia" w:ascii="宋体" w:hAnsi="宋体" w:eastAsia="宋体"/>
          <w:kern w:val="2"/>
          <w:sz w:val="24"/>
          <w:szCs w:val="24"/>
        </w:rPr>
        <w:t>“</w:t>
      </w:r>
      <w:r>
        <w:rPr>
          <w:rFonts w:hint="eastAsia" w:ascii="宋体" w:hAnsi="宋体" w:eastAsia="宋体"/>
          <w:kern w:val="2"/>
          <w:sz w:val="24"/>
          <w:szCs w:val="24"/>
          <w:lang w:val="en-GB"/>
        </w:rPr>
        <w:t>供应商”指向采购代理机构提交响应文件的法人。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2.4“服务”是指竞争性磋商采购文件规定卖方须承担系统的采购、安装、检测、调试、定期检测、运行、维护管理、建立技术文档、培训及其它相关的服务。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5</w:t>
      </w:r>
      <w:r>
        <w:rPr>
          <w:rFonts w:hint="eastAsia" w:ascii="宋体" w:hAnsi="宋体" w:eastAsia="宋体"/>
          <w:kern w:val="2"/>
          <w:sz w:val="24"/>
          <w:szCs w:val="24"/>
          <w:lang w:val="en-GB"/>
        </w:rPr>
        <w:t>“设备”是指制造、加工或用重要的和主要的元部件装配而成的，其基本特征、功能或效用应是商业上公认的与元部件有实质性区别的产品。</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6语言：采购文件的语言为简体中文。</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7日期：指公历日。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8时间：指北京时间。</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3" w:name="_Toc110953831"/>
      <w:bookmarkEnd w:id="33"/>
      <w:bookmarkStart w:id="34" w:name="_Toc498161850"/>
      <w:bookmarkEnd w:id="34"/>
      <w:bookmarkStart w:id="35" w:name="_Toc340004155"/>
      <w:bookmarkEnd w:id="35"/>
      <w:bookmarkStart w:id="36" w:name="_Toc8202"/>
      <w:bookmarkEnd w:id="36"/>
      <w:r>
        <w:rPr>
          <w:rFonts w:hint="eastAsia" w:ascii="宋体" w:hAnsi="宋体" w:eastAsia="宋体"/>
          <w:kern w:val="2"/>
          <w:sz w:val="24"/>
          <w:szCs w:val="24"/>
        </w:rPr>
        <w:t>3. 适用法律</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采购人、供应商和采购代理机构均应当遵守《政府采购法》及相关法律法规。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7" w:name="_Toc110953833"/>
      <w:bookmarkEnd w:id="37"/>
      <w:bookmarkStart w:id="38" w:name="_Toc30392"/>
      <w:bookmarkEnd w:id="38"/>
      <w:bookmarkStart w:id="39" w:name="_Toc498161852"/>
      <w:bookmarkEnd w:id="39"/>
      <w:bookmarkStart w:id="40" w:name="_Toc340004157"/>
      <w:bookmarkEnd w:id="40"/>
      <w:r>
        <w:rPr>
          <w:rFonts w:hint="eastAsia" w:ascii="宋体" w:hAnsi="宋体" w:eastAsia="宋体"/>
          <w:kern w:val="2"/>
          <w:sz w:val="24"/>
          <w:szCs w:val="24"/>
        </w:rPr>
        <w:t>4. 禁止事项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1" w:name="_Toc98126218"/>
      <w:bookmarkEnd w:id="41"/>
      <w:bookmarkStart w:id="42" w:name="_Toc98126293"/>
      <w:bookmarkEnd w:id="42"/>
      <w:r>
        <w:rPr>
          <w:rFonts w:hint="eastAsia" w:ascii="宋体" w:hAnsi="宋体" w:eastAsia="宋体"/>
          <w:kern w:val="2"/>
          <w:sz w:val="24"/>
          <w:szCs w:val="24"/>
        </w:rPr>
        <w:t>4.1采购人、供应商和采购代理机构不得相互串通损害国家利益、社会公共利益和其他当事人的合法权益；不得以任何手段排斥其他供应商参与竞争。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4.2供应商不得向采购人、采购代理机构、评标委员会的组成人员行贿或者采取其他不正当手段谋取成交。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3" w:name="_Toc98126219"/>
      <w:bookmarkEnd w:id="43"/>
      <w:bookmarkStart w:id="44" w:name="_Toc98126294"/>
      <w:bookmarkEnd w:id="44"/>
      <w:r>
        <w:rPr>
          <w:rFonts w:hint="eastAsia" w:ascii="宋体" w:hAnsi="宋体" w:eastAsia="宋体"/>
          <w:kern w:val="2"/>
          <w:sz w:val="24"/>
          <w:szCs w:val="24"/>
        </w:rPr>
        <w:t>4.3 采购代理机构不得向采购人行贿或者采取其他不正当手段谋取非法利益。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5" w:name="_Toc98126220"/>
      <w:bookmarkEnd w:id="45"/>
      <w:bookmarkStart w:id="46" w:name="_Toc98126295"/>
      <w:bookmarkEnd w:id="46"/>
      <w:r>
        <w:rPr>
          <w:rFonts w:hint="eastAsia" w:ascii="宋体" w:hAnsi="宋体" w:eastAsia="宋体"/>
          <w:kern w:val="2"/>
          <w:sz w:val="24"/>
          <w:szCs w:val="24"/>
        </w:rPr>
        <w:t>4.4 除供应商被要求对响应文件进行质疑澄清外，从开标之时起至授予合同止，供应商不得就与其响应文件有关的事项主动与评标委员会、采购人以及采购代理机构接触。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7" w:name="_Toc498161853"/>
      <w:bookmarkEnd w:id="47"/>
      <w:bookmarkStart w:id="48" w:name="_Toc30187"/>
      <w:bookmarkEnd w:id="48"/>
      <w:bookmarkStart w:id="49" w:name="_Toc110953834"/>
      <w:bookmarkEnd w:id="49"/>
      <w:bookmarkStart w:id="50" w:name="_Toc340004158"/>
      <w:bookmarkEnd w:id="50"/>
      <w:r>
        <w:rPr>
          <w:rFonts w:hint="eastAsia" w:ascii="宋体" w:hAnsi="宋体" w:eastAsia="宋体"/>
          <w:kern w:val="2"/>
          <w:sz w:val="24"/>
          <w:szCs w:val="24"/>
        </w:rPr>
        <w:t>5. 保密及其它注意事项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1" w:name="_Toc98126222"/>
      <w:bookmarkEnd w:id="51"/>
      <w:bookmarkStart w:id="52" w:name="_Toc98126297"/>
      <w:bookmarkEnd w:id="52"/>
      <w:r>
        <w:rPr>
          <w:rFonts w:hint="eastAsia" w:ascii="宋体" w:hAnsi="宋体" w:eastAsia="宋体"/>
          <w:kern w:val="2"/>
          <w:sz w:val="24"/>
          <w:szCs w:val="24"/>
        </w:rPr>
        <w:t>5.1凡参与采购工作的有关人员均应自觉接受有关主管部门的监督，不得向他人透露可能影响公平竞争的有关情况。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5.2开标后，直至向成交供应商发出《成交通知书》止，凡与审查、澄清、评估和比较有关资料以及评审意见等，均不得向供应商及与评审无关的其他人透露。在采购工作结束后，与评审情况有接触的任何人，不得将评审情况扩散出评标委员会人员之外。</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5.3在评审期间，供应商不得向评标委员会成员询问评审情况，不得进行旨在影响评审结果的活动。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5.4 评标委员会不向未成交供应商解释落选原因，不退还响应文件。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5.5 所有供应商自行承担与投标有关的全部费用。采购人和采购代理机构在任何情况下均不承担该费用。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3" w:name="_Toc6331"/>
      <w:bookmarkEnd w:id="53"/>
      <w:bookmarkStart w:id="54" w:name="_Toc498161854"/>
      <w:bookmarkEnd w:id="54"/>
      <w:bookmarkStart w:id="55" w:name="_Toc498145108"/>
      <w:bookmarkEnd w:id="55"/>
      <w:bookmarkStart w:id="56" w:name="_Toc497016085"/>
      <w:bookmarkEnd w:id="56"/>
      <w:bookmarkStart w:id="57" w:name="_Toc340004159"/>
      <w:bookmarkEnd w:id="57"/>
      <w:r>
        <w:rPr>
          <w:rFonts w:hint="eastAsia" w:ascii="宋体" w:hAnsi="宋体" w:eastAsia="宋体"/>
          <w:kern w:val="2"/>
          <w:sz w:val="24"/>
          <w:szCs w:val="24"/>
        </w:rPr>
        <w:t>6. 供应商诚信管理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6.1 供应商在本招标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投标（递交投标书之前或之后），人为地使投标丧失竞争性，损害采购人从公开竞争中所能获得的权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6.2 如果采购人或采购代理机构有证据表明供应商在本招标项目的竞争中存在腐败、欺诈或其他严重违背诚信原则的行为，则将拒绝其投标。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6.3 供应商有下列情形之一，将招标代理机构作不良诚信记录，并报财政部门，按照有关规定处理。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（1）提供虚假材料参加政府采购活动谋取成交、成交的；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（2）开标后擅自撤销投标，影响招标继续进行的；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（3）采取不正当手段诋毁、排挤其他供应商的；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（4）与采购人、其他供应商或者采购代理机构恶意串通的；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（5）在招标采购过程中与采购人进行协商谈判的；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（6）成交、成交后无正当理由拒绝签订政府采购合同的；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（7）无正当理由拒绝履行合同的；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（8）故意提供假冒伪劣产品或走私物品的；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（9）拒绝提供售后服务，给采购人造成损害的；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（10）恶意投诉，给采购人或采购代理机构造成损害的；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（11）拒绝有关部门监督检查或者提供虚假情况的；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rPr>
        <w:t>（12）经认定的其他有违诚实信用的行为。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8" w:name="_Toc21118"/>
      <w:bookmarkEnd w:id="58"/>
      <w:bookmarkStart w:id="59" w:name="_Toc340004160"/>
      <w:bookmarkEnd w:id="59"/>
      <w:r>
        <w:rPr>
          <w:rFonts w:hint="eastAsia" w:ascii="宋体" w:hAnsi="宋体" w:eastAsia="宋体"/>
          <w:kern w:val="2"/>
          <w:sz w:val="24"/>
          <w:szCs w:val="24"/>
        </w:rPr>
        <w:t>7.投标的费用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60" w:name="_Toc102277757"/>
      <w:bookmarkEnd w:id="60"/>
      <w:bookmarkStart w:id="61" w:name="_Toc6968688"/>
      <w:bookmarkEnd w:id="61"/>
      <w:bookmarkStart w:id="62" w:name="_Toc507407360"/>
      <w:bookmarkEnd w:id="62"/>
      <w:bookmarkStart w:id="63" w:name="_Toc466786435"/>
      <w:bookmarkEnd w:id="63"/>
      <w:bookmarkStart w:id="64" w:name="_Toc6882676"/>
      <w:bookmarkEnd w:id="64"/>
      <w:bookmarkStart w:id="65" w:name="_Toc29777"/>
      <w:bookmarkEnd w:id="65"/>
      <w:r>
        <w:rPr>
          <w:rFonts w:hint="eastAsia" w:ascii="宋体" w:hAnsi="宋体" w:eastAsia="宋体"/>
          <w:kern w:val="2"/>
          <w:sz w:val="24"/>
          <w:szCs w:val="24"/>
        </w:rPr>
        <w:t>供应商应承担编制响应文件以及递交响应文件所涉及的一切费用，无论投标结果如何，采购人及采购代理机构对上述费用不负任何责任。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二、竞争性磋商采购文件说明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66" w:name="_Toc102277758"/>
      <w:bookmarkEnd w:id="66"/>
      <w:bookmarkStart w:id="67" w:name="_Toc507407361"/>
      <w:bookmarkEnd w:id="67"/>
      <w:bookmarkStart w:id="68" w:name="_Toc466786436"/>
      <w:bookmarkEnd w:id="68"/>
      <w:bookmarkStart w:id="69" w:name="_Toc340004162"/>
      <w:bookmarkEnd w:id="69"/>
      <w:bookmarkStart w:id="70" w:name="_Toc6882677"/>
      <w:bookmarkEnd w:id="70"/>
      <w:bookmarkStart w:id="71" w:name="_Toc16503"/>
      <w:bookmarkEnd w:id="71"/>
      <w:bookmarkStart w:id="72" w:name="_Toc6968689"/>
      <w:bookmarkEnd w:id="72"/>
      <w:r>
        <w:rPr>
          <w:rFonts w:hint="eastAsia" w:ascii="宋体" w:hAnsi="宋体" w:eastAsia="宋体"/>
          <w:kern w:val="2"/>
          <w:sz w:val="24"/>
          <w:szCs w:val="24"/>
        </w:rPr>
        <w:t>8.竞争性磋商采购文件的组成</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8.1竞争性磋商采购文件用以阐明项目情况、评标程序、评审办法、定标标准和合同条款和响应文件的制作等，由投标公告、采购需求、供应商须知、响应文件格式和合同条款构成等。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73" w:name="_Toc10839"/>
      <w:bookmarkEnd w:id="73"/>
      <w:bookmarkStart w:id="74" w:name="_Toc340004163"/>
      <w:bookmarkEnd w:id="74"/>
      <w:r>
        <w:rPr>
          <w:rFonts w:hint="eastAsia" w:ascii="宋体" w:hAnsi="宋体" w:eastAsia="宋体"/>
          <w:kern w:val="2"/>
          <w:sz w:val="24"/>
          <w:szCs w:val="24"/>
        </w:rPr>
        <w:t>9. 竞争性磋商采购文件的修改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9.1竞争性磋商采购文件的澄清或者修改将以书面形式通知所有竞争性磋商采购文件收受人。该澄清或者修改为竞争性磋商采购文件组成部分。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9.2为使供应商编写响应文件时，有充分时间对竞争性磋商采购文件的修改部分进行研究，采购代理机构可以决定酌情推迟投标截止时间。具体时间将在修改通知中写明。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9.3当竞争性磋商采购文件、修改通知内容相互矛盾时，以最后发出的通知为准。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75" w:name="_Toc110953843"/>
      <w:bookmarkEnd w:id="75"/>
      <w:bookmarkStart w:id="76" w:name="_Toc6968690"/>
      <w:bookmarkEnd w:id="76"/>
      <w:bookmarkStart w:id="77" w:name="_Toc507407363"/>
      <w:bookmarkEnd w:id="77"/>
      <w:bookmarkStart w:id="78" w:name="_Toc498145112"/>
      <w:bookmarkEnd w:id="78"/>
      <w:bookmarkStart w:id="79" w:name="_Toc102277759"/>
      <w:bookmarkEnd w:id="79"/>
      <w:bookmarkStart w:id="80" w:name="_Toc6882678"/>
      <w:bookmarkEnd w:id="80"/>
      <w:bookmarkStart w:id="81" w:name="_Toc6191"/>
      <w:bookmarkEnd w:id="81"/>
      <w:bookmarkStart w:id="82" w:name="_Toc466786438"/>
      <w:bookmarkEnd w:id="82"/>
      <w:bookmarkStart w:id="83" w:name="_Toc6968691"/>
      <w:bookmarkEnd w:id="83"/>
      <w:bookmarkStart w:id="84" w:name="_Toc6882679"/>
      <w:bookmarkEnd w:id="84"/>
      <w:bookmarkStart w:id="85" w:name="_Toc110953838"/>
      <w:bookmarkEnd w:id="85"/>
      <w:bookmarkStart w:id="86" w:name="_Toc102277760"/>
      <w:bookmarkEnd w:id="86"/>
      <w:bookmarkStart w:id="87" w:name="_Toc466786437"/>
      <w:bookmarkEnd w:id="87"/>
      <w:bookmarkStart w:id="88" w:name="_Toc507407362"/>
      <w:bookmarkEnd w:id="88"/>
      <w:r>
        <w:rPr>
          <w:rFonts w:hint="eastAsia" w:ascii="宋体" w:hAnsi="宋体" w:eastAsia="宋体"/>
          <w:kern w:val="2"/>
          <w:sz w:val="24"/>
          <w:szCs w:val="24"/>
        </w:rPr>
        <w:t>三、响应文件的制作</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10.磋商响应文件的组成（按顺序排列）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89" w:name="_Toc18672"/>
      <w:bookmarkEnd w:id="89"/>
      <w:bookmarkStart w:id="90" w:name="_Toc340004165"/>
      <w:bookmarkEnd w:id="90"/>
      <w:bookmarkStart w:id="91" w:name="_Toc498145113"/>
      <w:bookmarkEnd w:id="91"/>
      <w:bookmarkStart w:id="92" w:name="_Toc110953839"/>
      <w:bookmarkEnd w:id="92"/>
      <w:r>
        <w:rPr>
          <w:rFonts w:hint="eastAsia" w:ascii="宋体" w:hAnsi="宋体" w:eastAsia="宋体"/>
          <w:kern w:val="2"/>
          <w:sz w:val="24"/>
          <w:szCs w:val="24"/>
        </w:rPr>
        <w:t>（一）、商务部分：</w:t>
      </w:r>
    </w:p>
    <w:p>
      <w:pPr>
        <w:pStyle w:val="14"/>
        <w:ind w:firstLine="480" w:firstLineChars="200"/>
        <w:rPr>
          <w:rFonts w:eastAsia="宋体"/>
        </w:rPr>
      </w:pPr>
      <w:r>
        <w:rPr>
          <w:rFonts w:hint="eastAsia" w:ascii="宋体" w:hAnsi="宋体" w:eastAsia="宋体"/>
          <w:kern w:val="2"/>
        </w:rPr>
        <w:t>10.1、报价函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10.2、清单报价一览表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10.3、资格声明书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10.4、商务条款偏离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10.5、 法定代表人身份证明书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10.6、法定代表人授权委托书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10.7、供应商概况（应包括企业的简介、信誉与质量体系证书、营业执照</w:t>
      </w:r>
      <w:r>
        <w:rPr>
          <w:rFonts w:hint="eastAsia" w:ascii="宋体" w:hAnsi="宋体" w:eastAsia="宋体"/>
          <w:kern w:val="2"/>
          <w:sz w:val="24"/>
          <w:szCs w:val="24"/>
          <w:lang w:eastAsia="zh-CN"/>
        </w:rPr>
        <w:t>、</w:t>
      </w:r>
      <w:r>
        <w:rPr>
          <w:rFonts w:hint="eastAsia" w:ascii="宋体" w:hAnsi="宋体" w:eastAsia="宋体"/>
          <w:kern w:val="2"/>
          <w:sz w:val="24"/>
          <w:szCs w:val="24"/>
          <w:lang w:val="en-US" w:eastAsia="zh-CN"/>
        </w:rPr>
        <w:t>资质证书</w:t>
      </w:r>
      <w:r>
        <w:rPr>
          <w:rFonts w:hint="eastAsia" w:ascii="宋体" w:hAnsi="宋体" w:eastAsia="宋体"/>
          <w:kern w:val="2"/>
          <w:sz w:val="24"/>
          <w:szCs w:val="24"/>
        </w:rPr>
        <w:t>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10.8、供应商业绩表（包括合同、最终验收单等）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10.9、质量保证措施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10.10、磋商保证金收据复印件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10.11、竞争性磋商采购文件要求提供的其它材料以及供应商需要说明的其他文件和说明。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（二）、技术部分：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10.</w:t>
      </w:r>
      <w:r>
        <w:rPr>
          <w:rFonts w:hint="eastAsia" w:ascii="宋体" w:hAnsi="宋体" w:eastAsia="宋体"/>
          <w:kern w:val="2"/>
          <w:sz w:val="24"/>
          <w:szCs w:val="24"/>
          <w:lang w:val="en-US" w:eastAsia="zh-CN"/>
        </w:rPr>
        <w:t>11</w:t>
      </w:r>
      <w:r>
        <w:rPr>
          <w:rFonts w:hint="eastAsia" w:ascii="宋体" w:hAnsi="宋体" w:eastAsia="宋体"/>
          <w:kern w:val="2"/>
          <w:sz w:val="24"/>
          <w:szCs w:val="24"/>
        </w:rPr>
        <w:t>、售后服务方案</w:t>
      </w:r>
    </w:p>
    <w:p>
      <w:pPr>
        <w:pStyle w:val="49"/>
        <w:ind w:firstLine="480" w:firstLineChars="200"/>
        <w:rPr>
          <w:rFonts w:hint="default" w:eastAsia="宋体"/>
          <w:lang w:val="en-US" w:eastAsia="zh-CN"/>
        </w:rPr>
      </w:pPr>
      <w:r>
        <w:rPr>
          <w:rFonts w:hint="eastAsia" w:ascii="宋体" w:hAnsi="宋体" w:eastAsia="宋体"/>
          <w:kern w:val="2"/>
          <w:sz w:val="24"/>
          <w:szCs w:val="24"/>
          <w:lang w:val="en-US" w:eastAsia="zh-CN"/>
        </w:rPr>
        <w:t>10.12、安装</w:t>
      </w:r>
      <w:r>
        <w:rPr>
          <w:rFonts w:hint="eastAsia" w:ascii="宋体" w:hAnsi="宋体"/>
          <w:kern w:val="2"/>
          <w:sz w:val="24"/>
          <w:szCs w:val="24"/>
          <w:lang w:val="en-US" w:eastAsia="zh-CN"/>
        </w:rPr>
        <w:t>调试</w:t>
      </w:r>
      <w:r>
        <w:rPr>
          <w:rFonts w:hint="eastAsia" w:ascii="宋体" w:hAnsi="宋体" w:eastAsia="宋体"/>
          <w:kern w:val="2"/>
          <w:sz w:val="24"/>
          <w:szCs w:val="24"/>
          <w:lang w:val="en-US" w:eastAsia="zh-CN"/>
        </w:rPr>
        <w:t>方案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10.13、技术条款响应偏离表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10.14、技术指标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10.15、报价单位（供应商）反商业贿赂承诺书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11.响应文件的份数和签署</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11.1 供应商应当仔细阅读竞争性磋商采购文件的所有内容，按竞争性磋商采购文件的要求提供响应文件，并保证所提供的全部资料的真实性及对竞争性磋商采购文件作出实质性响应。</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11.2 供应商应按竞争性磋商采购文件中提供的响应文件格式制作响应文件。如有关表格不能满足填报需要，可以对表格格式作出相应调整，但不得更改表格的实质性内容。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11.3 供应商应提供响应文件正本一份和副本二份。在每一份响应文件上要明确注明“正本”或“副本”字样，一旦正本和副本有差异，以正本为准。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11.4 响应文件的正本必须打印（提倡双面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11.5 除供应商对错处作必要修改外，响应文件中不许有加行、涂改或改写。任何行间插字、涂改和增删，必须由供应商的法定代表人或委托代理人在修改处签字或加盖公章才有效。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11.6 电报、电话、传真、电子邮件形式的投标概不接受。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 响应文件的密封与标志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12.1、响应文件封面右上角应注明“正本”、“副本”字样，并注明项目名称、单位名称、单位地址、联系人及联系电话，同时加盖法人公章和法定代表人印章。“正本”、“副本”如有不一致时，以正本为准。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12.2、供应商必须将响应文件密封装袋，并在封袋上正确标明“…项目响应文件”，即“…项目响应文件”封袋。否则整个响应文件将被视为不响应竞争性磋商采购文件，而予以拒绝评审。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12.3、响应文件封袋必须在开启处密封，并加盖供应商章，否则整个响应文件将被视为不响应竞争性磋商采购文件，而予以拒绝评审。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12.4、 封袋上应写明工程名称、单位名称、地址、联系人及联系电话，加盖法人公章及法定代表人章。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四、响应文件的递交</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bookmarkStart w:id="93" w:name="_Toc110953844"/>
      <w:bookmarkEnd w:id="93"/>
      <w:bookmarkStart w:id="94" w:name="_Toc498145119"/>
      <w:bookmarkEnd w:id="94"/>
      <w:bookmarkStart w:id="95" w:name="_Toc340004171"/>
      <w:bookmarkEnd w:id="95"/>
      <w:bookmarkStart w:id="96" w:name="_Toc26659"/>
      <w:bookmarkEnd w:id="96"/>
      <w:r>
        <w:rPr>
          <w:rFonts w:hint="eastAsia" w:ascii="宋体" w:hAnsi="宋体" w:eastAsia="宋体"/>
          <w:color w:val="000000" w:themeColor="text1"/>
          <w:kern w:val="2"/>
          <w:sz w:val="24"/>
          <w:szCs w:val="24"/>
          <w14:textFill>
            <w14:solidFill>
              <w14:schemeClr w14:val="tx1"/>
            </w14:solidFill>
          </w14:textFill>
        </w:rPr>
        <w:t>13.1为方便唱标，供应商应将正本《开标一览表》的复印件（加盖公章）单独用信封密封，并在信封上标明“开标一览表”字样，投标时连同响应文件一同交给采购代理机构。装有《开标一览表》的信封不要装入响应文件正本的密封袋中。</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13.2每一份响应文件的密封袋两头封口上均需贴封条，封条上应注明“于202</w:t>
      </w:r>
      <w:r>
        <w:rPr>
          <w:rFonts w:hint="eastAsia" w:ascii="宋体" w:hAnsi="宋体" w:eastAsia="宋体"/>
          <w:kern w:val="2"/>
          <w:sz w:val="24"/>
          <w:szCs w:val="24"/>
          <w:lang w:val="en-US" w:eastAsia="zh-CN"/>
        </w:rPr>
        <w:t>1</w:t>
      </w:r>
      <w:r>
        <w:rPr>
          <w:rFonts w:hint="eastAsia" w:ascii="宋体" w:hAnsi="宋体" w:eastAsia="宋体"/>
          <w:kern w:val="2"/>
          <w:sz w:val="24"/>
          <w:szCs w:val="24"/>
        </w:rPr>
        <w:t xml:space="preserve">年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月 日 时之前不准启封”的字样，并加盖骑缝章（公章）。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13.3供应商应按上述规定进行密封和标记后，将响应文件按照竞争性磋商采购文件中规定的时间和地址由该项目委托人送至采购代理机构。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13.4未按上述规定进行密封、标记和递交的，采购代理机构对响应文件的不依时间递交、误投、破损、封装不合格或提前拆封不负责。</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97" w:name="_Toc22189"/>
      <w:bookmarkEnd w:id="97"/>
      <w:bookmarkStart w:id="98" w:name="_Toc340004172"/>
      <w:bookmarkEnd w:id="98"/>
      <w:bookmarkStart w:id="99" w:name="_Toc498145120"/>
      <w:bookmarkEnd w:id="99"/>
      <w:bookmarkStart w:id="100" w:name="_Toc110953845"/>
      <w:bookmarkEnd w:id="100"/>
      <w:r>
        <w:rPr>
          <w:rFonts w:hint="eastAsia" w:ascii="宋体" w:hAnsi="宋体" w:eastAsia="宋体"/>
          <w:kern w:val="2"/>
          <w:sz w:val="24"/>
          <w:szCs w:val="24"/>
        </w:rPr>
        <w:t>14.递交响应文件的时间、地点以及截止时间</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kern w:val="2"/>
          <w:sz w:val="24"/>
          <w:szCs w:val="24"/>
        </w:rPr>
        <w:t>14.1响应文件递交地点：</w:t>
      </w:r>
      <w:r>
        <w:rPr>
          <w:rFonts w:hint="eastAsia" w:ascii="宋体" w:hAnsi="宋体" w:eastAsia="宋体"/>
          <w:color w:val="000000" w:themeColor="text1"/>
          <w:kern w:val="2"/>
          <w:sz w:val="24"/>
          <w:szCs w:val="24"/>
          <w14:textFill>
            <w14:solidFill>
              <w14:schemeClr w14:val="tx1"/>
            </w14:solidFill>
          </w14:textFill>
        </w:rPr>
        <w:t>新疆维吾尔自治区昌吉市屯河北路新天地商务港8</w:t>
      </w:r>
      <w:r>
        <w:rPr>
          <w:rFonts w:hint="eastAsia" w:ascii="宋体" w:hAnsi="宋体" w:eastAsia="宋体"/>
          <w:color w:val="000000" w:themeColor="text1"/>
          <w:kern w:val="2"/>
          <w:sz w:val="24"/>
          <w:szCs w:val="24"/>
          <w:lang w:val="en-US" w:eastAsia="zh-CN"/>
          <w14:textFill>
            <w14:solidFill>
              <w14:schemeClr w14:val="tx1"/>
            </w14:solidFill>
          </w14:textFill>
        </w:rPr>
        <w:t>21</w:t>
      </w:r>
      <w:r>
        <w:rPr>
          <w:rFonts w:hint="eastAsia" w:ascii="宋体" w:hAnsi="宋体" w:eastAsia="宋体"/>
          <w:color w:val="000000" w:themeColor="text1"/>
          <w:kern w:val="2"/>
          <w:sz w:val="24"/>
          <w:szCs w:val="24"/>
          <w14:textFill>
            <w14:solidFill>
              <w14:schemeClr w14:val="tx1"/>
            </w14:solidFill>
          </w14:textFill>
        </w:rPr>
        <w:t>开标室。</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14:textFill>
            <w14:solidFill>
              <w14:schemeClr w14:val="tx1"/>
            </w14:solidFill>
          </w14:textFill>
        </w:rPr>
        <w:t>14.2响应文件递交截止时间：202</w:t>
      </w:r>
      <w:r>
        <w:rPr>
          <w:rFonts w:hint="eastAsia" w:ascii="宋体" w:hAnsi="宋体" w:eastAsia="宋体"/>
          <w:color w:val="000000" w:themeColor="text1"/>
          <w:kern w:val="2"/>
          <w:sz w:val="24"/>
          <w:szCs w:val="24"/>
          <w:lang w:val="en-US" w:eastAsia="zh-CN"/>
          <w14:textFill>
            <w14:solidFill>
              <w14:schemeClr w14:val="tx1"/>
            </w14:solidFill>
          </w14:textFill>
        </w:rPr>
        <w:t>1</w:t>
      </w:r>
      <w:r>
        <w:rPr>
          <w:rFonts w:hint="eastAsia" w:ascii="宋体" w:hAnsi="宋体" w:eastAsia="宋体"/>
          <w:color w:val="000000" w:themeColor="text1"/>
          <w:kern w:val="2"/>
          <w:sz w:val="24"/>
          <w:szCs w:val="24"/>
          <w14:textFill>
            <w14:solidFill>
              <w14:schemeClr w14:val="tx1"/>
            </w14:solidFill>
          </w14:textFill>
        </w:rPr>
        <w:t>年</w:t>
      </w:r>
      <w:r>
        <w:rPr>
          <w:rFonts w:hint="eastAsia" w:ascii="宋体" w:hAnsi="宋体" w:eastAsia="宋体"/>
          <w:color w:val="000000" w:themeColor="text1"/>
          <w:kern w:val="2"/>
          <w:sz w:val="24"/>
          <w:szCs w:val="24"/>
          <w:lang w:val="en-US" w:eastAsia="zh-CN"/>
          <w14:textFill>
            <w14:solidFill>
              <w14:schemeClr w14:val="tx1"/>
            </w14:solidFill>
          </w14:textFill>
        </w:rPr>
        <w:t>10</w:t>
      </w:r>
      <w:r>
        <w:rPr>
          <w:rFonts w:hint="eastAsia" w:ascii="宋体" w:hAnsi="宋体" w:eastAsia="宋体"/>
          <w:color w:val="000000" w:themeColor="text1"/>
          <w:kern w:val="2"/>
          <w:sz w:val="24"/>
          <w:szCs w:val="24"/>
          <w14:textFill>
            <w14:solidFill>
              <w14:schemeClr w14:val="tx1"/>
            </w14:solidFill>
          </w14:textFill>
        </w:rPr>
        <w:t>月</w:t>
      </w:r>
      <w:r>
        <w:rPr>
          <w:rFonts w:hint="eastAsia" w:ascii="宋体" w:hAnsi="宋体" w:eastAsia="宋体"/>
          <w:color w:val="000000" w:themeColor="text1"/>
          <w:kern w:val="2"/>
          <w:sz w:val="24"/>
          <w:szCs w:val="24"/>
          <w:lang w:val="en-US" w:eastAsia="zh-CN"/>
          <w14:textFill>
            <w14:solidFill>
              <w14:schemeClr w14:val="tx1"/>
            </w14:solidFill>
          </w14:textFill>
        </w:rPr>
        <w:t>25</w:t>
      </w:r>
      <w:r>
        <w:rPr>
          <w:rFonts w:hint="eastAsia" w:ascii="宋体" w:hAnsi="宋体" w:eastAsia="宋体"/>
          <w:color w:val="000000" w:themeColor="text1"/>
          <w:kern w:val="2"/>
          <w:sz w:val="24"/>
          <w:szCs w:val="24"/>
          <w14:textFill>
            <w14:solidFill>
              <w14:schemeClr w14:val="tx1"/>
            </w14:solidFill>
          </w14:textFill>
        </w:rPr>
        <w:t>日</w:t>
      </w:r>
      <w:r>
        <w:rPr>
          <w:rFonts w:hint="eastAsia" w:ascii="宋体" w:hAnsi="宋体" w:eastAsia="宋体"/>
          <w:color w:val="000000" w:themeColor="text1"/>
          <w:kern w:val="2"/>
          <w:sz w:val="24"/>
          <w:szCs w:val="24"/>
          <w:lang w:val="en-US" w:eastAsia="zh-CN"/>
          <w14:textFill>
            <w14:solidFill>
              <w14:schemeClr w14:val="tx1"/>
            </w14:solidFill>
          </w14:textFill>
        </w:rPr>
        <w:t>下</w:t>
      </w:r>
      <w:r>
        <w:rPr>
          <w:rFonts w:hint="eastAsia" w:ascii="宋体" w:hAnsi="宋体" w:eastAsia="宋体"/>
          <w:color w:val="000000" w:themeColor="text1"/>
          <w:kern w:val="2"/>
          <w:sz w:val="24"/>
          <w:szCs w:val="24"/>
          <w:lang w:eastAsia="zh-CN"/>
          <w14:textFill>
            <w14:solidFill>
              <w14:schemeClr w14:val="tx1"/>
            </w14:solidFill>
          </w14:textFill>
        </w:rPr>
        <w:t>午</w:t>
      </w:r>
      <w:r>
        <w:rPr>
          <w:rFonts w:hint="eastAsia" w:ascii="宋体" w:hAnsi="宋体" w:eastAsia="宋体"/>
          <w:color w:val="000000" w:themeColor="text1"/>
          <w:kern w:val="2"/>
          <w:sz w:val="24"/>
          <w:szCs w:val="24"/>
          <w:lang w:val="en-US" w:eastAsia="zh-CN"/>
          <w14:textFill>
            <w14:solidFill>
              <w14:schemeClr w14:val="tx1"/>
            </w14:solidFill>
          </w14:textFill>
        </w:rPr>
        <w:t>16:3</w:t>
      </w:r>
      <w:r>
        <w:rPr>
          <w:rFonts w:hint="eastAsia" w:ascii="宋体" w:hAnsi="宋体" w:eastAsia="宋体"/>
          <w:color w:val="000000" w:themeColor="text1"/>
          <w:kern w:val="2"/>
          <w:sz w:val="24"/>
          <w:szCs w:val="24"/>
          <w14:textFill>
            <w14:solidFill>
              <w14:schemeClr w14:val="tx1"/>
            </w14:solidFill>
          </w14:textFill>
        </w:rPr>
        <w:t>0时。</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14:textFill>
            <w14:solidFill>
              <w14:schemeClr w14:val="tx1"/>
            </w14:solidFill>
          </w14:textFill>
        </w:rPr>
        <w:t>14.3采购代理机构将于202</w:t>
      </w:r>
      <w:r>
        <w:rPr>
          <w:rFonts w:hint="eastAsia" w:ascii="宋体" w:hAnsi="宋体" w:eastAsia="宋体"/>
          <w:color w:val="000000" w:themeColor="text1"/>
          <w:kern w:val="2"/>
          <w:sz w:val="24"/>
          <w:szCs w:val="24"/>
          <w:lang w:val="en-US" w:eastAsia="zh-CN"/>
          <w14:textFill>
            <w14:solidFill>
              <w14:schemeClr w14:val="tx1"/>
            </w14:solidFill>
          </w14:textFill>
        </w:rPr>
        <w:t>1</w:t>
      </w:r>
      <w:r>
        <w:rPr>
          <w:rFonts w:hint="eastAsia" w:ascii="宋体" w:hAnsi="宋体" w:eastAsia="宋体"/>
          <w:color w:val="000000" w:themeColor="text1"/>
          <w:kern w:val="2"/>
          <w:sz w:val="24"/>
          <w:szCs w:val="24"/>
          <w14:textFill>
            <w14:solidFill>
              <w14:schemeClr w14:val="tx1"/>
            </w14:solidFill>
          </w14:textFill>
        </w:rPr>
        <w:t>年</w:t>
      </w:r>
      <w:r>
        <w:rPr>
          <w:rFonts w:hint="eastAsia" w:ascii="宋体" w:hAnsi="宋体" w:eastAsia="宋体"/>
          <w:color w:val="000000" w:themeColor="text1"/>
          <w:kern w:val="2"/>
          <w:sz w:val="24"/>
          <w:szCs w:val="24"/>
          <w:lang w:val="en-US" w:eastAsia="zh-CN"/>
          <w14:textFill>
            <w14:solidFill>
              <w14:schemeClr w14:val="tx1"/>
            </w14:solidFill>
          </w14:textFill>
        </w:rPr>
        <w:t>10</w:t>
      </w:r>
      <w:r>
        <w:rPr>
          <w:rFonts w:hint="eastAsia" w:ascii="宋体" w:hAnsi="宋体" w:eastAsia="宋体"/>
          <w:color w:val="000000" w:themeColor="text1"/>
          <w:kern w:val="2"/>
          <w:sz w:val="24"/>
          <w:szCs w:val="24"/>
          <w14:textFill>
            <w14:solidFill>
              <w14:schemeClr w14:val="tx1"/>
            </w14:solidFill>
          </w14:textFill>
        </w:rPr>
        <w:t>月</w:t>
      </w:r>
      <w:r>
        <w:rPr>
          <w:rFonts w:hint="eastAsia" w:ascii="宋体" w:hAnsi="宋体" w:eastAsia="宋体"/>
          <w:color w:val="000000" w:themeColor="text1"/>
          <w:kern w:val="2"/>
          <w:sz w:val="24"/>
          <w:szCs w:val="24"/>
          <w:lang w:val="en-US" w:eastAsia="zh-CN"/>
          <w14:textFill>
            <w14:solidFill>
              <w14:schemeClr w14:val="tx1"/>
            </w14:solidFill>
          </w14:textFill>
        </w:rPr>
        <w:t>25</w:t>
      </w:r>
      <w:r>
        <w:rPr>
          <w:rFonts w:hint="eastAsia" w:ascii="宋体" w:hAnsi="宋体" w:eastAsia="宋体"/>
          <w:color w:val="000000" w:themeColor="text1"/>
          <w:kern w:val="2"/>
          <w:sz w:val="24"/>
          <w:szCs w:val="24"/>
          <w14:textFill>
            <w14:solidFill>
              <w14:schemeClr w14:val="tx1"/>
            </w14:solidFill>
          </w14:textFill>
        </w:rPr>
        <w:t>日</w:t>
      </w:r>
      <w:r>
        <w:rPr>
          <w:rFonts w:hint="eastAsia" w:ascii="宋体" w:hAnsi="宋体" w:eastAsia="宋体"/>
          <w:color w:val="000000" w:themeColor="text1"/>
          <w:kern w:val="2"/>
          <w:sz w:val="24"/>
          <w:szCs w:val="24"/>
          <w:lang w:val="en-US" w:eastAsia="zh-CN"/>
          <w14:textFill>
            <w14:solidFill>
              <w14:schemeClr w14:val="tx1"/>
            </w14:solidFill>
          </w14:textFill>
        </w:rPr>
        <w:t>下</w:t>
      </w:r>
      <w:r>
        <w:rPr>
          <w:rFonts w:hint="eastAsia" w:ascii="宋体" w:hAnsi="宋体" w:eastAsia="宋体"/>
          <w:color w:val="000000" w:themeColor="text1"/>
          <w:kern w:val="2"/>
          <w:sz w:val="24"/>
          <w:szCs w:val="24"/>
          <w:lang w:eastAsia="zh-CN"/>
          <w14:textFill>
            <w14:solidFill>
              <w14:schemeClr w14:val="tx1"/>
            </w14:solidFill>
          </w14:textFill>
        </w:rPr>
        <w:t>午</w:t>
      </w:r>
      <w:r>
        <w:rPr>
          <w:rFonts w:hint="eastAsia" w:ascii="宋体" w:hAnsi="宋体" w:eastAsia="宋体"/>
          <w:color w:val="000000" w:themeColor="text1"/>
          <w:kern w:val="2"/>
          <w:sz w:val="24"/>
          <w:szCs w:val="24"/>
          <w:lang w:val="en-US" w:eastAsia="zh-CN"/>
          <w14:textFill>
            <w14:solidFill>
              <w14:schemeClr w14:val="tx1"/>
            </w14:solidFill>
          </w14:textFill>
        </w:rPr>
        <w:t>16</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val="en-US" w:eastAsia="zh-CN"/>
          <w14:textFill>
            <w14:solidFill>
              <w14:schemeClr w14:val="tx1"/>
            </w14:solidFill>
          </w14:textFill>
        </w:rPr>
        <w:t>3</w:t>
      </w:r>
      <w:r>
        <w:rPr>
          <w:rFonts w:hint="eastAsia" w:ascii="宋体" w:hAnsi="宋体" w:eastAsia="宋体"/>
          <w:color w:val="000000" w:themeColor="text1"/>
          <w:kern w:val="2"/>
          <w:sz w:val="24"/>
          <w:szCs w:val="24"/>
          <w14:textFill>
            <w14:solidFill>
              <w14:schemeClr w14:val="tx1"/>
            </w14:solidFill>
          </w14:textFill>
        </w:rPr>
        <w:t>0时前接收响应文件，</w:t>
      </w:r>
      <w:r>
        <w:rPr>
          <w:rFonts w:hint="eastAsia" w:ascii="宋体" w:hAnsi="宋体" w:eastAsia="宋体"/>
          <w:color w:val="000000" w:themeColor="text1"/>
          <w:kern w:val="2"/>
          <w:sz w:val="24"/>
          <w:szCs w:val="24"/>
          <w:lang w:val="en-US" w:eastAsia="zh-CN"/>
          <w14:textFill>
            <w14:solidFill>
              <w14:schemeClr w14:val="tx1"/>
            </w14:solidFill>
          </w14:textFill>
        </w:rPr>
        <w:t>下午16</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val="en-US" w:eastAsia="zh-CN"/>
          <w14:textFill>
            <w14:solidFill>
              <w14:schemeClr w14:val="tx1"/>
            </w14:solidFill>
          </w14:textFill>
        </w:rPr>
        <w:t>30</w:t>
      </w:r>
      <w:r>
        <w:rPr>
          <w:rFonts w:hint="eastAsia" w:ascii="宋体" w:hAnsi="宋体" w:eastAsia="宋体"/>
          <w:color w:val="000000" w:themeColor="text1"/>
          <w:kern w:val="2"/>
          <w:sz w:val="24"/>
          <w:szCs w:val="24"/>
          <w14:textFill>
            <w14:solidFill>
              <w14:schemeClr w14:val="tx1"/>
            </w14:solidFill>
          </w14:textFill>
        </w:rPr>
        <w:t>时在新疆维吾尔自治区昌吉市屯河北路新天地商务港8</w:t>
      </w:r>
      <w:r>
        <w:rPr>
          <w:rFonts w:hint="eastAsia" w:ascii="宋体" w:hAnsi="宋体" w:eastAsia="宋体"/>
          <w:color w:val="000000" w:themeColor="text1"/>
          <w:kern w:val="2"/>
          <w:sz w:val="24"/>
          <w:szCs w:val="24"/>
          <w:lang w:val="en-US" w:eastAsia="zh-CN"/>
          <w14:textFill>
            <w14:solidFill>
              <w14:schemeClr w14:val="tx1"/>
            </w14:solidFill>
          </w14:textFill>
        </w:rPr>
        <w:t>21</w:t>
      </w:r>
      <w:r>
        <w:rPr>
          <w:rFonts w:hint="eastAsia" w:ascii="宋体" w:hAnsi="宋体" w:eastAsia="宋体"/>
          <w:color w:val="000000" w:themeColor="text1"/>
          <w:kern w:val="2"/>
          <w:sz w:val="24"/>
          <w:szCs w:val="24"/>
          <w14:textFill>
            <w14:solidFill>
              <w14:schemeClr w14:val="tx1"/>
            </w14:solidFill>
          </w14:textFill>
        </w:rPr>
        <w:t>开标室举行采购仪式。</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14.4所有响应文件必须在投标截止时间之前送至采购代理机构。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14.5采购代理机构拒绝接受以下文件：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（2）超出经营范围投标的；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（3）响应文件不完整的；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（4）响应文件无法定代表人签字，或签字人未被法定代表人授权的；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（6）响应文件附有采购人不能接受的条件的；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（7）供应商以他人名义投标、串通投标、以行贿手段谋取中标或以其他弄虚作假方式投标的；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（8）响应文件未加盖法人或单位公章和未有法定代表人、单位负责人或者被授权人签名的；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（9）响应文件签字人无有效委托的；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（10）供应商资格条件不符合国家规定和磋商文件要求的，或者拒不按照要求对响应文件进行澄清、说明或者纠正的；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（11）供应商以低于成本报价竞标的，不接受价格修正的；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（13）供应商未提交投标保证金、或金额不足、或无效的；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（14）响应文件有关规定的合同与原件不一致的；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（15）响应文件中附有采购代理机构不能接受的条件或不符合磋商文件中规定的其他实质性要求的。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14.6响应文件的修改与撤回</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（1）供应商在递交响应文件后到投标截止时间之前，可以修改或撤回其响应文件，但供应商必须以书面形式通知采购代理机构。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（2）在投标截止时间之后至投标有效期之间的这段时间内，供应商不得对其响应文件做任何修改，亦不得撤回其投标，否则磋商保证金不予退还。</w:t>
      </w:r>
      <w:bookmarkStart w:id="101" w:name="_Toc31818"/>
      <w:bookmarkEnd w:id="101"/>
      <w:bookmarkStart w:id="102" w:name="_Toc6882680"/>
      <w:bookmarkEnd w:id="102"/>
      <w:bookmarkStart w:id="103" w:name="_Toc466786439"/>
      <w:bookmarkEnd w:id="103"/>
      <w:bookmarkStart w:id="104" w:name="_Toc507407364"/>
      <w:bookmarkEnd w:id="104"/>
      <w:bookmarkStart w:id="105" w:name="_Toc6968692"/>
      <w:bookmarkEnd w:id="105"/>
      <w:bookmarkStart w:id="106" w:name="_Toc102277761"/>
      <w:bookmarkEnd w:id="106"/>
      <w:bookmarkStart w:id="107" w:name="_Toc498145121"/>
      <w:bookmarkEnd w:id="107"/>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08" w:name="_Toc498145114"/>
      <w:bookmarkEnd w:id="108"/>
      <w:bookmarkStart w:id="109" w:name="_Toc4543"/>
      <w:bookmarkEnd w:id="109"/>
      <w:bookmarkStart w:id="110" w:name="_Toc340004166"/>
      <w:bookmarkEnd w:id="110"/>
      <w:bookmarkStart w:id="111" w:name="_Toc110953840"/>
      <w:bookmarkEnd w:id="111"/>
      <w:r>
        <w:rPr>
          <w:rFonts w:hint="eastAsia" w:ascii="宋体" w:hAnsi="宋体" w:eastAsia="宋体"/>
          <w:kern w:val="2"/>
          <w:sz w:val="24"/>
          <w:szCs w:val="24"/>
        </w:rPr>
        <w:t>15、磋商须知：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15.1、综合评分法中的价格分统一采用低价优先法计算，供应商响应文件中的报价默认为第一次报价，于评标环节后，进行第二次报价，在二次报价后，磋商小组可以酌情再与各供应商进行再次磋商，最终报价满足竞争性磋商采购文件要求且报价最低的供应商的价格为磋商基准价。</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15.2、磋商响应文件的大写金额和小写金额不一致的，以大写金额为准。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16、评标办法及评定标准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一）采取综合评分法。由依法组建的熟悉相关业务的代表及有关技术、经济等方面的专家组成评标委员会进行评标，并依据《政府采购法》《政府采购竞争性磋商采购方式管理暂行办法》等相关法律法规及本磋商响应文件进行评审，有关监督部门现场监督。</w:t>
      </w:r>
    </w:p>
    <w:p>
      <w:pPr>
        <w:autoSpaceDE w:val="0"/>
        <w:autoSpaceDN w:val="0"/>
        <w:adjustRightInd w:val="0"/>
        <w:spacing w:before="50" w:line="480" w:lineRule="exact"/>
        <w:ind w:firstLine="480" w:firstLineChars="200"/>
        <w:textAlignment w:val="baseline"/>
        <w:rPr>
          <w:rFonts w:hint="eastAsia" w:ascii="宋体" w:hAnsi="宋体" w:eastAsia="宋体"/>
          <w:color w:val="000000" w:themeColor="text1"/>
          <w:kern w:val="2"/>
          <w:sz w:val="24"/>
          <w:szCs w:val="24"/>
          <w:lang w:val="en-US" w:eastAsia="zh-CN"/>
          <w14:textFill>
            <w14:solidFill>
              <w14:schemeClr w14:val="tx1"/>
            </w14:solidFill>
          </w14:textFill>
        </w:rPr>
      </w:pPr>
      <w:r>
        <w:rPr>
          <w:rFonts w:hint="eastAsia" w:ascii="宋体" w:hAnsi="宋体" w:eastAsia="宋体"/>
          <w:kern w:val="2"/>
          <w:sz w:val="24"/>
          <w:szCs w:val="24"/>
        </w:rPr>
        <w:t>（二）竞争性磋商采购文件评分分值由价格部分、商务部分和技术部分组成。</w:t>
      </w:r>
      <w:r>
        <w:rPr>
          <w:rFonts w:hint="eastAsia" w:ascii="宋体" w:hAnsi="宋体" w:eastAsia="宋体"/>
          <w:color w:val="000000" w:themeColor="text1"/>
          <w:kern w:val="2"/>
          <w:sz w:val="24"/>
          <w:szCs w:val="24"/>
          <w14:textFill>
            <w14:solidFill>
              <w14:schemeClr w14:val="tx1"/>
            </w14:solidFill>
          </w14:textFill>
        </w:rPr>
        <w:t>价格部分评定分值为30分，商务部分评定分值为</w:t>
      </w:r>
      <w:r>
        <w:rPr>
          <w:rFonts w:hint="eastAsia" w:ascii="宋体" w:hAnsi="宋体" w:eastAsia="宋体"/>
          <w:color w:val="000000" w:themeColor="text1"/>
          <w:kern w:val="2"/>
          <w:sz w:val="24"/>
          <w:szCs w:val="24"/>
          <w:lang w:val="en-US" w:eastAsia="zh-CN"/>
          <w14:textFill>
            <w14:solidFill>
              <w14:schemeClr w14:val="tx1"/>
            </w14:solidFill>
          </w14:textFill>
        </w:rPr>
        <w:t>12</w:t>
      </w:r>
      <w:r>
        <w:rPr>
          <w:rFonts w:hint="eastAsia" w:ascii="宋体" w:hAnsi="宋体" w:eastAsia="宋体"/>
          <w:color w:val="000000" w:themeColor="text1"/>
          <w:kern w:val="2"/>
          <w:sz w:val="24"/>
          <w:szCs w:val="24"/>
          <w14:textFill>
            <w14:solidFill>
              <w14:schemeClr w14:val="tx1"/>
            </w14:solidFill>
          </w14:textFill>
        </w:rPr>
        <w:t>分。技术部分评定分值为</w:t>
      </w:r>
      <w:r>
        <w:rPr>
          <w:rFonts w:hint="eastAsia" w:ascii="宋体" w:hAnsi="宋体" w:eastAsia="宋体"/>
          <w:color w:val="000000" w:themeColor="text1"/>
          <w:kern w:val="2"/>
          <w:sz w:val="24"/>
          <w:szCs w:val="24"/>
          <w:lang w:val="en-US" w:eastAsia="zh-CN"/>
          <w14:textFill>
            <w14:solidFill>
              <w14:schemeClr w14:val="tx1"/>
            </w14:solidFill>
          </w14:textFill>
        </w:rPr>
        <w:t>58</w:t>
      </w:r>
      <w:r>
        <w:rPr>
          <w:rFonts w:hint="eastAsia" w:ascii="宋体" w:hAnsi="宋体" w:eastAsia="宋体"/>
          <w:color w:val="000000" w:themeColor="text1"/>
          <w:kern w:val="2"/>
          <w:sz w:val="24"/>
          <w:szCs w:val="24"/>
          <w14:textFill>
            <w14:solidFill>
              <w14:schemeClr w14:val="tx1"/>
            </w14:solidFill>
          </w14:textFill>
        </w:rPr>
        <w:t>分。其中商务部分包括投标人标书制作</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相关业绩</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服务能力</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技术部分包括核心参数(*号）</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其他技术指标</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安装技术水平等组成。</w:t>
      </w:r>
      <w:r>
        <w:rPr>
          <w:rFonts w:hint="eastAsia" w:ascii="宋体" w:hAnsi="宋体" w:eastAsia="宋体"/>
          <w:color w:val="000000" w:themeColor="text1"/>
          <w:kern w:val="2"/>
          <w:sz w:val="24"/>
          <w:szCs w:val="24"/>
          <w:lang w:val="en-US" w:eastAsia="zh-CN"/>
          <w14:textFill>
            <w14:solidFill>
              <w14:schemeClr w14:val="tx1"/>
            </w14:solidFill>
          </w14:textFill>
        </w:rPr>
        <w:t>其他：加减分项</w:t>
      </w:r>
      <w:r>
        <w:rPr>
          <w:rFonts w:hint="eastAsia" w:ascii="宋体" w:hAnsi="宋体" w:eastAsia="宋体"/>
          <w:color w:val="000000" w:themeColor="text1"/>
          <w:kern w:val="2"/>
          <w:sz w:val="24"/>
          <w:szCs w:val="24"/>
          <w:lang w:val="en-US" w:eastAsia="zh-CN"/>
          <w14:textFill>
            <w14:solidFill>
              <w14:schemeClr w14:val="tx1"/>
            </w14:solidFill>
          </w14:textFill>
        </w:rPr>
        <w:tab/>
      </w:r>
      <w:r>
        <w:rPr>
          <w:rFonts w:hint="eastAsia" w:ascii="宋体" w:hAnsi="宋体" w:eastAsia="宋体"/>
          <w:color w:val="000000" w:themeColor="text1"/>
          <w:kern w:val="2"/>
          <w:sz w:val="24"/>
          <w:szCs w:val="24"/>
          <w:lang w:val="en-US" w:eastAsia="zh-CN"/>
          <w14:textFill>
            <w14:solidFill>
              <w14:schemeClr w14:val="tx1"/>
            </w14:solidFill>
          </w14:textFill>
        </w:rPr>
        <w:t>1、对中小微企业（含监狱企业、残疾人福利企业）产品的价格给予6%的扣除，用扣除后的价格参与评标。（持“中小企业声明函”和政府相关部门认定文件认定）</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lang w:val="en-US" w:eastAsia="zh-CN"/>
          <w14:textFill>
            <w14:solidFill>
              <w14:schemeClr w14:val="tx1"/>
            </w14:solidFill>
          </w14:textFill>
        </w:rPr>
        <w:t>2、按其他规定、不良行为需要加分、减分的。</w:t>
      </w:r>
      <w:r>
        <w:rPr>
          <w:rFonts w:hint="eastAsia" w:ascii="宋体" w:hAnsi="宋体" w:eastAsia="宋体"/>
          <w:color w:val="000000" w:themeColor="text1"/>
          <w:kern w:val="2"/>
          <w:sz w:val="24"/>
          <w:szCs w:val="24"/>
          <w14:textFill>
            <w14:solidFill>
              <w14:schemeClr w14:val="tx1"/>
            </w14:solidFill>
          </w14:textFill>
        </w:rPr>
        <w:t xml:space="preserve">综合评分法中的价格分统一采用低价优先法计算，满足竞争性磋商采购文件要求且报价最低的供应商的价格为磋商基准价，凡以价格、百分比计算的均保留两位小数。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（三）评分标准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投标报价得分：价格分应当采用低价优先法计算，即满足竞争性磋商采购文件要求且报价最低的供应商的价格为磋商基准价，其价格分为满分；投标报价得分=（评标基准价／投标报价）×100×30%，得分保留两位小数</w:t>
      </w:r>
      <w:r>
        <w:rPr>
          <w:rFonts w:hint="eastAsia" w:ascii="宋体" w:hAnsi="宋体" w:eastAsia="宋体"/>
          <w:kern w:val="2"/>
          <w:sz w:val="24"/>
          <w:szCs w:val="24"/>
          <w:lang w:eastAsia="zh-CN"/>
        </w:rPr>
        <w:t>。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kern w:val="2"/>
          <w:sz w:val="24"/>
          <w:szCs w:val="24"/>
        </w:rPr>
        <w:t>。</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（2）商务部分得分=</w:t>
      </w:r>
      <w:r>
        <w:rPr>
          <w:rFonts w:hint="eastAsia" w:ascii="宋体" w:hAnsi="宋体" w:eastAsia="宋体"/>
          <w:color w:val="000000" w:themeColor="text1"/>
          <w:kern w:val="2"/>
          <w:sz w:val="24"/>
          <w:szCs w:val="24"/>
          <w14:textFill>
            <w14:solidFill>
              <w14:schemeClr w14:val="tx1"/>
            </w14:solidFill>
          </w14:textFill>
        </w:rPr>
        <w:t>报价得分+根据</w:t>
      </w:r>
      <w:r>
        <w:rPr>
          <w:rFonts w:hint="eastAsia" w:ascii="宋体" w:hAnsi="宋体" w:eastAsia="宋体"/>
          <w:kern w:val="2"/>
          <w:sz w:val="24"/>
          <w:szCs w:val="24"/>
        </w:rPr>
        <w:t>供应商依据项目要求响应情况对每一项独立打分。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（3）技术部分得分根据供应商依据项目要求响应情况对每一项独立打分。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val="en-US" w:eastAsia="zh-CN"/>
        </w:rPr>
      </w:pPr>
      <w:r>
        <w:rPr>
          <w:rFonts w:hint="eastAsia" w:ascii="宋体" w:hAnsi="宋体" w:eastAsia="宋体"/>
          <w:kern w:val="2"/>
          <w:sz w:val="24"/>
          <w:szCs w:val="24"/>
        </w:rPr>
        <w:t>供应商综合得分=商务部分得分+技术部分得分+</w:t>
      </w:r>
      <w:r>
        <w:rPr>
          <w:rFonts w:hint="eastAsia" w:ascii="宋体" w:hAnsi="宋体" w:eastAsia="宋体"/>
          <w:kern w:val="2"/>
          <w:sz w:val="24"/>
          <w:szCs w:val="24"/>
          <w:lang w:val="en-US" w:eastAsia="zh-CN"/>
        </w:rPr>
        <w:t>其他</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四）在监督部门监督下，评标委员会根据竞争性磋商采购文件规定，对提交磋商响应文件和其他必要的资料进行进一步审查。如果响应文件没有实质上响应竞争性磋商采购文件的要求，出现重大偏离，评标委员会将判定无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下列情况属于重大偏离：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（1）明显不符合技术规格、技术标准的要求；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（2）总报价超过竞争性磋商采购文件中要求的最高限价；</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（3）响应文件附有采购人不能接受的条件；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（4）不符合竞争性磋商采购文件中规定的其他实质性要求；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（五）评标委员会成员有下列情形之一的，应当回避：</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（1）采购人或供应商的主要负责人的近亲属；</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（2）与供应商有经济利益关系，可能影响对投标公正评审的；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（3）曾因在招标、评标以及其他招标投标有关活动中从事违法行为而受过行政处罚或刑事处罚的。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17、无效磋商响应文件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磋商小组评审时，供应商或其磋商响应文件出现下列情况之一者，磋商小组评审时有权直接认定其为无效文件：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（1）逾期送达磋商响应文件或未将磋商响应文件送达指定地点；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（2）磋商响应文件未按要求密封，未签署、加盖单位公章；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（3）资格证明文件不全或者不符合竞争性磋商采购文件标明的资格要求的；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（4）磋商响应文件出现多个方案或报价、超过最高限价的；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（5）磋商响应文件未按规定的格式、内容和要求填写制作的；</w:t>
      </w:r>
    </w:p>
    <w:p>
      <w:pPr>
        <w:autoSpaceDE w:val="0"/>
        <w:autoSpaceDN w:val="0"/>
        <w:adjustRightInd w:val="0"/>
        <w:spacing w:before="50" w:line="480" w:lineRule="exact"/>
        <w:ind w:firstLine="480" w:firstLineChars="200"/>
        <w:textAlignment w:val="baseline"/>
        <w:rPr>
          <w:rFonts w:ascii="宋体" w:hAnsi="宋体" w:eastAsia="宋体"/>
          <w:color w:val="FF0000"/>
          <w:kern w:val="2"/>
          <w:sz w:val="24"/>
          <w:szCs w:val="24"/>
        </w:rPr>
      </w:pPr>
      <w:r>
        <w:rPr>
          <w:rFonts w:hint="eastAsia" w:ascii="宋体" w:hAnsi="宋体" w:eastAsia="宋体"/>
          <w:color w:val="000000" w:themeColor="text1"/>
          <w:kern w:val="2"/>
          <w:sz w:val="24"/>
          <w:szCs w:val="24"/>
          <w14:textFill>
            <w14:solidFill>
              <w14:schemeClr w14:val="tx1"/>
            </w14:solidFill>
          </w14:textFill>
        </w:rPr>
        <w:t>（6）磋商小组认为供应商所递交的磋商响应文件所附相关资料内容不真实，且供应商当场不能提交证明其真实性的材料的；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（7）同一供应商所递交的响应文件（包括正本与副本、副本与副本之间）存在内容不一致的。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（8）供应商所递交的磋商响应文件雷同，或存在其他情形导致评标委员会认为供应商之间存在串标、围标嫌疑的（须经评标委员会一致同意后方可按无效文件处理）；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（9）法律、法规规定的其他情况。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18.若发生下列情形之一，磋商保证金将不予退还并取消磋商资格。情节严重的，将列入不良记录名单，在三年内禁止参加任何政府采购活动。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1、磋商开始后，未经同意中途离场、无故撤回报价的；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2、交纳保证金后无故不参加磋商的；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3、供应商在被通知成交后未按规定时间与采购单位签订合同或拒绝按成交状态签订合同的；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4、签约后无法按时间、质量要求完成合同内容，履行合同义务的；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5、供应商在响应文件中提供虚假材料谋取中标的；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6、磋商过程中，发现有意扰乱采购活动或围标、串标等情形的；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7、违反磋商采购文件有关规定的其他情形的；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19、终止。</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根据《中华人民共和国政府采购法》第三十六条之规定，在采购中，出现下列情形之一的，应予终止：</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1、符合专业条件的供应商或者对磋商采购文件作实质响应的供应商不足3家的；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2、供应商未按磋商采购文件要求提交的磋商响应文件，磋商响应文件中的内容未按中文书写、磋商响应文件报价未以“元”（人民币）为单位的；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3、出现影响采购公正的违法、违规行为的；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4、因重大变故，采购任务取消的。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终止后可按照相关法律要求重新磋商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20、成交原则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评标委员会成员以打分的方法，以得分高低先后顺序，原则上选定综合得分最高的为预成交人。如排名第一成交供应商因不可抗力或者自身原因不能履行合同的，根据相关办法规定，采购人可以确定排名第二的成交候选人为成交人，或认定成交无效，成交无效的重新组织招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2、采购人及采购代理机构将有权对成交人的财务、技术、管理能力及信誉进行审查，确定其是否能圆满地履行合同。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3、成交结果将在新疆政府采购网上</w:t>
      </w:r>
      <w:r>
        <w:rPr>
          <w:rFonts w:hint="eastAsia" w:ascii="宋体" w:hAnsi="宋体" w:eastAsia="宋体"/>
          <w:kern w:val="2"/>
          <w:sz w:val="24"/>
          <w:szCs w:val="24"/>
          <w:lang w:eastAsia="zh-CN"/>
        </w:rPr>
        <w:t>、</w:t>
      </w:r>
      <w:r>
        <w:rPr>
          <w:rFonts w:hint="eastAsia" w:ascii="宋体" w:hAnsi="宋体" w:eastAsia="宋体"/>
          <w:kern w:val="2"/>
          <w:sz w:val="24"/>
          <w:szCs w:val="24"/>
          <w:lang w:val="en-US" w:eastAsia="zh-CN"/>
        </w:rPr>
        <w:t>昌吉州公共资源交易网</w:t>
      </w:r>
      <w:r>
        <w:rPr>
          <w:rFonts w:hint="eastAsia" w:ascii="宋体" w:hAnsi="宋体" w:eastAsia="宋体"/>
          <w:kern w:val="2"/>
          <w:sz w:val="24"/>
          <w:szCs w:val="24"/>
        </w:rPr>
        <w:t>公示。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w:t>
      </w:r>
      <w:r>
        <w:rPr>
          <w:rFonts w:hint="eastAsia" w:ascii="宋体" w:hAnsi="宋体" w:eastAsia="宋体"/>
          <w:b/>
          <w:bCs/>
          <w:color w:val="000000" w:themeColor="text1"/>
          <w:kern w:val="2"/>
          <w:sz w:val="24"/>
          <w:szCs w:val="24"/>
          <w14:textFill>
            <w14:solidFill>
              <w14:schemeClr w14:val="tx1"/>
            </w14:solidFill>
          </w14:textFill>
        </w:rPr>
        <w:t>磋商保证金</w:t>
      </w:r>
      <w:r>
        <w:rPr>
          <w:rFonts w:hint="eastAsia" w:ascii="宋体" w:hAnsi="宋体" w:eastAsia="宋体"/>
          <w:kern w:val="2"/>
          <w:sz w:val="24"/>
          <w:szCs w:val="24"/>
        </w:rPr>
        <w:t>：《成交通知书》发出3日内，招标方向未成交方退还磋商保证金。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20、其他事项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我机构所作的一切有效的书面通知、修改及补充，都是竞争性磋商采购文件不可分割的部分。在招投标过程中，无论任何单位和个人都必须遵纪守法，保证公正廉洁、公平竞争，不准从中舞弊，有违反者按有关规定严肃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2、供应商必须严格按照采购文件约定的技术要求进行相应服务，凡是达不到采购单位要求，采购单位有权拒收。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3、在开标前，供应商若对竞争性磋商采购文件中规格及要求有异议或对要求有不合理之处，可及时提出相关意见，如供应商未提出疑问，视为完全理解并同意本竞争性磋商采购文件。一经进入评标程序，即视为各供应商已详细阅读全部文件资料，完全理解竞争性磋商采购文件所有条款内容并同意放弃对这方面有不明白及误解的权利。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4、本文件由新疆天麒工程项目管理咨询有限责任公司负责解释。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21.1磋商保证金为响应文件的组成部分之一。供应商须在投标截止时间前按照磋商文件的规定提交磋商保证金，供应商在投标截止时间后提交的磋商保证金将被视为无效保证金。</w:t>
      </w:r>
      <w:r>
        <w:rPr>
          <w:rFonts w:hint="eastAsia" w:ascii="宋体" w:hAnsi="宋体" w:eastAsia="宋体"/>
          <w:color w:val="000000" w:themeColor="text1"/>
          <w:kern w:val="2"/>
          <w:sz w:val="24"/>
          <w:szCs w:val="24"/>
          <w14:textFill>
            <w14:solidFill>
              <w14:schemeClr w14:val="tx1"/>
            </w14:solidFill>
          </w14:textFill>
        </w:rPr>
        <w:t>本项目的</w:t>
      </w:r>
      <w:r>
        <w:rPr>
          <w:rFonts w:hint="eastAsia" w:ascii="宋体" w:hAnsi="宋体" w:eastAsia="宋体"/>
          <w:b/>
          <w:bCs/>
          <w:color w:val="000000" w:themeColor="text1"/>
          <w:kern w:val="2"/>
          <w:sz w:val="24"/>
          <w:szCs w:val="24"/>
          <w14:textFill>
            <w14:solidFill>
              <w14:schemeClr w14:val="tx1"/>
            </w14:solidFill>
          </w14:textFill>
        </w:rPr>
        <w:t>磋商保证金金额为人民币</w:t>
      </w:r>
      <w:r>
        <w:rPr>
          <w:rFonts w:hint="eastAsia" w:ascii="宋体" w:hAnsi="宋体" w:eastAsia="宋体"/>
          <w:b/>
          <w:bCs/>
          <w:color w:val="000000" w:themeColor="text1"/>
          <w:kern w:val="2"/>
          <w:sz w:val="24"/>
          <w:szCs w:val="24"/>
          <w:lang w:val="en-US" w:eastAsia="zh-CN"/>
          <w14:textFill>
            <w14:solidFill>
              <w14:schemeClr w14:val="tx1"/>
            </w14:solidFill>
          </w14:textFill>
        </w:rPr>
        <w:t>壹万壹仟元</w:t>
      </w:r>
      <w:r>
        <w:rPr>
          <w:rFonts w:hint="eastAsia" w:ascii="宋体" w:hAnsi="宋体" w:eastAsia="宋体"/>
          <w:b/>
          <w:bCs/>
          <w:color w:val="000000" w:themeColor="text1"/>
          <w:kern w:val="2"/>
          <w:sz w:val="24"/>
          <w:szCs w:val="24"/>
          <w:lang w:eastAsia="zh-CN"/>
          <w14:textFill>
            <w14:solidFill>
              <w14:schemeClr w14:val="tx1"/>
            </w14:solidFill>
          </w14:textFill>
        </w:rPr>
        <w:t>整</w:t>
      </w:r>
      <w:r>
        <w:rPr>
          <w:rFonts w:hint="eastAsia" w:ascii="宋体" w:hAnsi="宋体" w:eastAsia="宋体"/>
          <w:b/>
          <w:bCs/>
          <w:color w:val="000000" w:themeColor="text1"/>
          <w:kern w:val="2"/>
          <w:sz w:val="24"/>
          <w:szCs w:val="24"/>
          <w14:textFill>
            <w14:solidFill>
              <w14:schemeClr w14:val="tx1"/>
            </w14:solidFill>
          </w14:textFill>
        </w:rPr>
        <w:t>（￥</w:t>
      </w:r>
      <w:r>
        <w:rPr>
          <w:rFonts w:hint="eastAsia" w:ascii="宋体" w:hAnsi="宋体" w:eastAsia="宋体"/>
          <w:b/>
          <w:bCs/>
          <w:color w:val="000000" w:themeColor="text1"/>
          <w:kern w:val="2"/>
          <w:sz w:val="24"/>
          <w:szCs w:val="24"/>
          <w:lang w:val="en-US" w:eastAsia="zh-CN"/>
          <w14:textFill>
            <w14:solidFill>
              <w14:schemeClr w14:val="tx1"/>
            </w14:solidFill>
          </w14:textFill>
        </w:rPr>
        <w:t>1100</w:t>
      </w:r>
      <w:r>
        <w:rPr>
          <w:rFonts w:hint="eastAsia" w:ascii="宋体" w:hAnsi="宋体" w:eastAsia="宋体"/>
          <w:b/>
          <w:bCs/>
          <w:color w:val="000000" w:themeColor="text1"/>
          <w:kern w:val="2"/>
          <w:sz w:val="24"/>
          <w:szCs w:val="24"/>
          <w14:textFill>
            <w14:solidFill>
              <w14:schemeClr w14:val="tx1"/>
            </w14:solidFill>
          </w14:textFill>
        </w:rPr>
        <w:t>0.00元）</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kern w:val="2"/>
          <w:sz w:val="24"/>
          <w:szCs w:val="24"/>
        </w:rPr>
        <w:t>户名、开户银行、帐号见磋商文件“第一部分 磋商采购公告”。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21.2磋商保证金是为了保护采购人和采购代理机构免遭因供应商的行为而蒙受的损失，采购人和采购代理机构在因供应商的行为受到损害时将没收供应商的磋商保证金。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21.3磋商保证金币种应与投标报价币种相同，均为人民币。</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21.4未按规定提交自开标之日起有效的磋商保证金的投标,将被视为无效投标。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21.5如无质疑或投诉，未中标的供应商的磋商保证金，在中标通知书发出后五个工作日内予以无息退还；如有质疑或投诉，将在质疑和投诉处理完毕后予以无息退还。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21.6中标供应商的磋商保证金，在中标供应商交纳中标服务费和合同签订且完成合同备案手续后的五个工作日内予以无息退还。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21.7下列任何情况发生时，磋商保证金将被没收：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（1）供应商在磋商文件中规定的投标有效期内撤回其投标的；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（2）中标供应商未能按磋商文件的要求以及响应文件的承诺签订合同的；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（3）中标供应商未能按磋商文件的规定交纳中标服务费的；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（4）供应商提供虚假响应文件或虚假补充文件的。</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bookmarkStart w:id="112" w:name="_Toc480010709"/>
      <w:bookmarkEnd w:id="112"/>
      <w:bookmarkStart w:id="113" w:name="_Toc468606030"/>
      <w:bookmarkEnd w:id="113"/>
      <w:bookmarkStart w:id="114" w:name="_Toc467236741"/>
      <w:bookmarkEnd w:id="114"/>
      <w:bookmarkStart w:id="115" w:name="_Toc468157537"/>
      <w:bookmarkEnd w:id="115"/>
      <w:bookmarkStart w:id="116" w:name="_Toc454701382"/>
      <w:bookmarkEnd w:id="116"/>
      <w:bookmarkStart w:id="117" w:name="_Toc498145117"/>
      <w:bookmarkEnd w:id="117"/>
      <w:bookmarkStart w:id="118" w:name="_Toc503758471"/>
      <w:bookmarkEnd w:id="118"/>
      <w:bookmarkStart w:id="119" w:name="_Toc480021054"/>
      <w:bookmarkEnd w:id="119"/>
      <w:bookmarkStart w:id="120" w:name="_Toc479991583"/>
      <w:bookmarkEnd w:id="120"/>
      <w:bookmarkStart w:id="121" w:name="_Toc340004169"/>
      <w:bookmarkEnd w:id="121"/>
      <w:bookmarkStart w:id="122" w:name="_Toc646"/>
      <w:bookmarkEnd w:id="122"/>
      <w:bookmarkStart w:id="123" w:name="_Toc480171880"/>
      <w:bookmarkEnd w:id="123"/>
      <w:bookmarkStart w:id="124" w:name="_Toc458262615"/>
      <w:bookmarkEnd w:id="124"/>
      <w:bookmarkStart w:id="125" w:name="_Toc467987824"/>
      <w:bookmarkEnd w:id="125"/>
      <w:bookmarkStart w:id="126" w:name="_Toc110953842"/>
      <w:bookmarkEnd w:id="126"/>
      <w:bookmarkStart w:id="127" w:name="_Toc480020258"/>
      <w:bookmarkEnd w:id="127"/>
      <w:r>
        <w:rPr>
          <w:rFonts w:hint="eastAsia" w:ascii="宋体" w:hAnsi="宋体" w:eastAsia="宋体"/>
          <w:color w:val="000000" w:themeColor="text1"/>
          <w:kern w:val="2"/>
          <w:sz w:val="24"/>
          <w:szCs w:val="24"/>
          <w14:textFill>
            <w14:solidFill>
              <w14:schemeClr w14:val="tx1"/>
            </w14:solidFill>
          </w14:textFill>
        </w:rPr>
        <w:t>22.投标有效期</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22.1响应文件从开启响应文件之日起，投标有效期为</w:t>
      </w:r>
      <w:r>
        <w:rPr>
          <w:rFonts w:hint="eastAsia" w:ascii="宋体" w:hAnsi="宋体" w:eastAsia="宋体"/>
          <w:kern w:val="2"/>
          <w:sz w:val="24"/>
          <w:szCs w:val="24"/>
          <w:lang w:val="en-US" w:eastAsia="zh-CN"/>
        </w:rPr>
        <w:t>6</w:t>
      </w:r>
      <w:r>
        <w:rPr>
          <w:rFonts w:hint="eastAsia" w:ascii="宋体" w:hAnsi="宋体" w:eastAsia="宋体"/>
          <w:kern w:val="2"/>
          <w:sz w:val="24"/>
          <w:szCs w:val="24"/>
        </w:rPr>
        <w:t>0个工作日。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22.2特殊情况下，采购代理机构可于投标有效期期满之前，要求供应商同意延长投标有效期，要求与答复均应为书面形式。对于同意该要求的供应商，既不要求也不允许其修改响应文件。</w:t>
      </w:r>
      <w:bookmarkStart w:id="128" w:name="_Toc16708"/>
      <w:bookmarkEnd w:id="128"/>
      <w:bookmarkStart w:id="129" w:name="_Toc498145118"/>
      <w:bookmarkEnd w:id="129"/>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五、开标和评标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0" w:name="_Toc340004174"/>
      <w:bookmarkEnd w:id="130"/>
      <w:bookmarkStart w:id="131" w:name="_Toc475249135"/>
      <w:bookmarkEnd w:id="131"/>
      <w:bookmarkStart w:id="132" w:name="_Toc475249138"/>
      <w:bookmarkEnd w:id="132"/>
      <w:bookmarkStart w:id="133" w:name="_Toc10163"/>
      <w:bookmarkEnd w:id="133"/>
      <w:r>
        <w:rPr>
          <w:rFonts w:hint="eastAsia" w:ascii="宋体" w:hAnsi="宋体" w:eastAsia="宋体"/>
          <w:kern w:val="2"/>
          <w:sz w:val="24"/>
          <w:szCs w:val="24"/>
        </w:rPr>
        <w:t>23 开标、评标和授标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23.1采购代理机构按照《磋商采购公告》规定的时间和地点在有供应商代表在场公开开标，参加开标的代表应签名报到以证明其出席。</w:t>
      </w:r>
    </w:p>
    <w:p>
      <w:pPr>
        <w:autoSpaceDE w:val="0"/>
        <w:autoSpaceDN w:val="0"/>
        <w:adjustRightInd w:val="0"/>
        <w:spacing w:before="50" w:line="480" w:lineRule="exact"/>
        <w:ind w:firstLine="480" w:firstLineChars="200"/>
        <w:textAlignment w:val="baseline"/>
        <w:rPr>
          <w:rFonts w:ascii="宋体" w:hAnsi="宋体" w:eastAsia="宋体"/>
          <w:b/>
          <w:bCs/>
          <w:color w:val="000000" w:themeColor="text1"/>
          <w:kern w:val="2"/>
          <w:sz w:val="24"/>
          <w:szCs w:val="24"/>
          <w14:textFill>
            <w14:solidFill>
              <w14:schemeClr w14:val="tx1"/>
            </w14:solidFill>
          </w14:textFill>
        </w:rPr>
      </w:pPr>
      <w:r>
        <w:rPr>
          <w:rFonts w:hint="eastAsia" w:ascii="宋体" w:hAnsi="宋体" w:eastAsia="宋体"/>
          <w:kern w:val="2"/>
          <w:sz w:val="24"/>
          <w:szCs w:val="24"/>
        </w:rPr>
        <w:t>23.2</w:t>
      </w:r>
      <w:r>
        <w:rPr>
          <w:rFonts w:hint="eastAsia" w:ascii="宋体" w:hAnsi="宋体" w:eastAsia="宋体"/>
          <w:b/>
          <w:bCs/>
          <w:color w:val="000000" w:themeColor="text1"/>
          <w:kern w:val="2"/>
          <w:sz w:val="24"/>
          <w:szCs w:val="24"/>
          <w14:textFill>
            <w14:solidFill>
              <w14:schemeClr w14:val="tx1"/>
            </w14:solidFill>
          </w14:textFill>
        </w:rPr>
        <w:t>开标时需携带营业执照、相关资质证明（原件或当地公证处出具的的前述证书的公证书或电子截图凭证）；法人代表或其委托代理人应携带本人身份证原件及复印件，委托代理人还应携带《法人代表授权委托书》。满足本条的供应商为有效供应商，否则为无效供应商。无效供应商递交的响应文件为无效响应文件，不得进入评标。注：有效身份证明指身份证、护照、驾驶执照正本或公安部门的相关证明。参加开标的供应商的代表应签名报到，以证明其出席开标会议。</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14:textFill>
            <w14:solidFill>
              <w14:schemeClr w14:val="tx1"/>
            </w14:solidFill>
          </w14:textFill>
        </w:rPr>
        <w:t>23.3开标时，采购代理机构、监督人员和供应商将检查响应文件密封情况和装有《开标一览表》的信封密封情况，在确认无误后当众拆封装有《开标一览表》的信封唱标。唱标主要内容为密封信封中《开标一览表》的内容以及采购代理机构认为合适的其他内容，并做唱标记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4" w:name="_Toc16622"/>
      <w:bookmarkEnd w:id="134"/>
      <w:bookmarkStart w:id="135" w:name="_Toc340004175"/>
      <w:bookmarkEnd w:id="135"/>
      <w:r>
        <w:rPr>
          <w:rFonts w:hint="eastAsia" w:ascii="宋体" w:hAnsi="宋体" w:eastAsia="宋体"/>
          <w:kern w:val="2"/>
          <w:sz w:val="24"/>
          <w:szCs w:val="24"/>
        </w:rPr>
        <w:t>24 评标委员会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24.1采购代理机构将根据项目特点依法组建由5人以上（含）奇数的人员组成的评标委员会，</w:t>
      </w:r>
      <w:r>
        <w:rPr>
          <w:rFonts w:hint="eastAsia" w:ascii="宋体" w:hAnsi="宋体" w:eastAsia="宋体"/>
          <w:color w:val="000000" w:themeColor="text1"/>
          <w:kern w:val="2"/>
          <w:sz w:val="24"/>
          <w:szCs w:val="24"/>
          <w14:textFill>
            <w14:solidFill>
              <w14:schemeClr w14:val="tx1"/>
            </w14:solidFill>
          </w14:textFill>
        </w:rPr>
        <w:t>评标委员会其成员由采购人代表和随机抽取的政府采购有关专家组成。</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6" w:name="_Toc340004176"/>
      <w:bookmarkEnd w:id="136"/>
      <w:bookmarkStart w:id="137" w:name="_Toc4686"/>
      <w:bookmarkEnd w:id="137"/>
      <w:r>
        <w:rPr>
          <w:rFonts w:hint="eastAsia" w:ascii="宋体" w:hAnsi="宋体" w:eastAsia="宋体"/>
          <w:kern w:val="2"/>
          <w:sz w:val="24"/>
          <w:szCs w:val="24"/>
        </w:rPr>
        <w:t>25 监督人员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25.1为加强对政府采购活动的监督，采购代理机构将邀请监督人员参加开标仪式和评标会议，对采购活动进行监督。监督人员独立于采购代理机构和评标委员会，独立履行监督职责。</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8" w:name="_Toc14507"/>
      <w:bookmarkEnd w:id="138"/>
      <w:bookmarkStart w:id="139" w:name="_Toc37121259"/>
      <w:bookmarkEnd w:id="139"/>
      <w:bookmarkStart w:id="140" w:name="_Toc535141844"/>
      <w:bookmarkEnd w:id="140"/>
      <w:bookmarkStart w:id="141" w:name="_Toc340004177"/>
      <w:bookmarkEnd w:id="141"/>
      <w:r>
        <w:rPr>
          <w:rFonts w:hint="eastAsia" w:ascii="宋体" w:hAnsi="宋体" w:eastAsia="宋体"/>
          <w:kern w:val="2"/>
          <w:sz w:val="24"/>
          <w:szCs w:val="24"/>
        </w:rPr>
        <w:t>26 对响应文件的初审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26.1开标后，采购代理机构将组织评标委员会对响应文件进行初审，初审包括资格性审查和符合性审查。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26.2资格性审查是指依据法律规定和竞争性磋商采购文件的规定，对响应文件中的资格证明等进行审查，确定投标供应商是否具备投标资格。</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26.3符合性审查是指依据竞争性磋商采购文件的规定，从响应文件的有效性、完整性和对竞争性磋商采购文件的响应程度进行审查，以确定是否对竞争性磋商采购文件的实质性要求作出响应，包括审查响应文件是否完整，有否计算错误，文件签署是否合格，投标书的编排是否有序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26.4计算错误将按以下方法更正:如果单价、数量的积与总价不相等，以单价为准修改总价。如果供应商不接受对其错误的更正，其投标将被拒绝。如果用文字表示的数值与数字表示的数值不一致，则以文字表示的数值为准。若供应商拒绝接受上述修正，其投标将被拒绝。</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26.5在对响应文件进行详细评估之前，评标委员会将审查每份响应文件是否实质上响应了竞争性磋商采购文件的要求。实质性响应的投标应该是与竞争性磋商采购文件要求的全部条款、条件和规格相符，没有重大偏离的投标。对关键条文的偏离、保留或反对，例如关于适用法律、税及关税等的偏离将被认为是实质上的偏离，而纠正这些偏离将影响到其他提交实质性响应投标的供应商的公平竞争地位。</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26.6评标委员会确定响应文件的响应性，只根据响应文件本身的内容，而不寻找外部的证据。</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26.7评标委员会可以要求供应商对响应文件中含义不明确的内容作必要的澄清或者说明，但是澄清或者说明不得超出响应文件范围或者改变响应文件的实质性内容。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26.8评标委员会将只对确定为实质上响应竞争性磋商采购文件要求的投标进行评价和比较。</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26.9实质上没有响应竞争性磋商采购文件要求的响应文件将被拒绝。供应商不得通过修正或撤销不合要求的偏离或保留从而使其投标成为实质上响应的投标。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26.10发现下列情况之一的，其投标将被拒绝：</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（1）超出经营范围投标的；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（2）响应文件不完整的；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（3）响应文件无法定代表人签字，或签字人未被法定代表人授权的；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（5）响应文件附有采购人不能接受的条件的；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（6）供应商以他人名义投标、串通投标、以行贿手段谋取成交或以其他弄虚作假方式投标的；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（7）响应文件未加盖法人或单位公章和未有法定代表人、单位负责人或者被授权人签名的；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（8）响应文件签字人无有效委托的；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（9）供应商资格条件不符合国家规定和竞争性磋商采购文件要求的，或者拒不按照要求对响应文件进行澄清、说明或者纠正的；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（10）供应商以低于成本报价竞标的，不接受价格修正的；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（12）响应文件有关规定的合同与原件不一致的；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（13）响应文件中附有采购代理机构不能接受的条件或不符合竞争性磋商采购文件中规定的其他实质性要求的。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2" w:name="_Toc24841"/>
      <w:bookmarkEnd w:id="142"/>
      <w:bookmarkStart w:id="143" w:name="_Toc340004178"/>
      <w:bookmarkEnd w:id="143"/>
      <w:r>
        <w:rPr>
          <w:rFonts w:hint="eastAsia" w:ascii="宋体" w:hAnsi="宋体" w:eastAsia="宋体"/>
          <w:kern w:val="2"/>
          <w:sz w:val="24"/>
          <w:szCs w:val="24"/>
        </w:rPr>
        <w:t>27 对响应文件的澄清</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kern w:val="2"/>
          <w:sz w:val="24"/>
          <w:szCs w:val="24"/>
        </w:rPr>
        <w:t>27.1评标委员会按照竞争性磋商采购文件确定的评标标准和方法，对响应文件进行评审和比较，并可以书面形式要求供应商对响应文件中含义不明确、</w:t>
      </w:r>
      <w:r>
        <w:rPr>
          <w:rFonts w:hint="eastAsia" w:ascii="宋体" w:hAnsi="宋体" w:eastAsia="宋体"/>
          <w:color w:val="000000" w:themeColor="text1"/>
          <w:kern w:val="2"/>
          <w:sz w:val="24"/>
          <w:szCs w:val="24"/>
          <w14:textFill>
            <w14:solidFill>
              <w14:schemeClr w14:val="tx1"/>
            </w14:solidFill>
          </w14:textFill>
        </w:rPr>
        <w:t>同类问题表述不一致或者有明显文字错误和计算错误的内容作必要的澄清、说明或者纠正。供应商的澄清、说明或者补正应当采用书面形式，由法定代表人或者其授权的代表签字，并不得超出响应文件的范围或者改变响应文件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27.2响应文件内容表述不一致按照以下方法处理：开标时，响应文件中开标一览表内容与响应文件明细表内容不一致的，以开标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4" w:name="_Toc340004179"/>
      <w:bookmarkEnd w:id="144"/>
      <w:bookmarkStart w:id="145" w:name="_Toc5309"/>
      <w:bookmarkEnd w:id="145"/>
      <w:r>
        <w:rPr>
          <w:rFonts w:hint="eastAsia" w:ascii="宋体" w:hAnsi="宋体" w:eastAsia="宋体"/>
          <w:kern w:val="2"/>
          <w:sz w:val="24"/>
          <w:szCs w:val="24"/>
        </w:rPr>
        <w:t>28 评标办法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详见本竞争性磋商采购文件“第四部分 评标办法”。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根据《关于政府采购竞争性磋商采购方式管理暂行办法有关问题的补充通知》财库〔2015〕124号）以及《财政部关于印发&lt;政府采购竞争性磋商采购方式管理暂行办法&gt;的通知》（财库〔2014〕214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6" w:name="_Toc110953852"/>
      <w:bookmarkEnd w:id="146"/>
      <w:bookmarkStart w:id="147" w:name="_Toc498145122"/>
      <w:bookmarkEnd w:id="147"/>
      <w:bookmarkStart w:id="148" w:name="_Toc37756778"/>
      <w:bookmarkEnd w:id="148"/>
      <w:bookmarkStart w:id="149" w:name="_Toc13734"/>
      <w:bookmarkEnd w:id="149"/>
      <w:bookmarkStart w:id="150" w:name="_Toc475249143"/>
      <w:bookmarkEnd w:id="150"/>
    </w:p>
    <w:p>
      <w:pPr>
        <w:autoSpaceDE w:val="0"/>
        <w:autoSpaceDN w:val="0"/>
        <w:adjustRightInd w:val="0"/>
        <w:spacing w:before="50" w:line="480" w:lineRule="exact"/>
        <w:textAlignment w:val="baseline"/>
        <w:rPr>
          <w:rFonts w:ascii="宋体" w:hAnsi="宋体" w:eastAsia="宋体"/>
          <w:kern w:val="2"/>
          <w:sz w:val="24"/>
          <w:szCs w:val="24"/>
        </w:rPr>
      </w:pPr>
      <w:bookmarkStart w:id="151" w:name="_Toc22707"/>
      <w:bookmarkEnd w:id="151"/>
      <w:bookmarkStart w:id="152" w:name="_Toc31006"/>
      <w:bookmarkEnd w:id="152"/>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pStyle w:val="11"/>
        <w:ind w:left="0" w:leftChars="0" w:firstLine="0" w:firstLineChars="0"/>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附表一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响应文件响应程度初步审查表</w:t>
      </w: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1.资格性审查</w:t>
      </w:r>
    </w:p>
    <w:tbl>
      <w:tblPr>
        <w:tblStyle w:val="40"/>
        <w:tblW w:w="9854" w:type="dxa"/>
        <w:jc w:val="center"/>
        <w:tblLayout w:type="fixed"/>
        <w:tblCellMar>
          <w:top w:w="0" w:type="dxa"/>
          <w:left w:w="10" w:type="dxa"/>
          <w:bottom w:w="0" w:type="dxa"/>
          <w:right w:w="10" w:type="dxa"/>
        </w:tblCellMar>
      </w:tblPr>
      <w:tblGrid>
        <w:gridCol w:w="936"/>
        <w:gridCol w:w="5275"/>
        <w:gridCol w:w="715"/>
        <w:gridCol w:w="936"/>
        <w:gridCol w:w="936"/>
        <w:gridCol w:w="1056"/>
      </w:tblGrid>
      <w:tr>
        <w:tblPrEx>
          <w:tblCellMar>
            <w:top w:w="0" w:type="dxa"/>
            <w:left w:w="10" w:type="dxa"/>
            <w:bottom w:w="0" w:type="dxa"/>
            <w:right w:w="10" w:type="dxa"/>
          </w:tblCellMar>
        </w:tblPrEx>
        <w:trPr>
          <w:jc w:val="center"/>
        </w:trPr>
        <w:tc>
          <w:tcPr>
            <w:tcW w:w="6211" w:type="dxa"/>
            <w:gridSpan w:val="2"/>
            <w:vMerge w:val="restart"/>
            <w:tcBorders>
              <w:top w:val="single" w:color="000000" w:sz="12" w:space="0"/>
              <w:left w:val="single" w:color="000000" w:sz="12"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评审内容</w:t>
            </w:r>
          </w:p>
        </w:tc>
        <w:tc>
          <w:tcPr>
            <w:tcW w:w="3643" w:type="dxa"/>
            <w:gridSpan w:val="4"/>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投标企业名称</w:t>
            </w:r>
          </w:p>
        </w:tc>
      </w:tr>
      <w:tr>
        <w:tblPrEx>
          <w:tblCellMar>
            <w:top w:w="0" w:type="dxa"/>
            <w:left w:w="10" w:type="dxa"/>
            <w:bottom w:w="0" w:type="dxa"/>
            <w:right w:w="10" w:type="dxa"/>
          </w:tblCellMar>
        </w:tblPrEx>
        <w:trPr>
          <w:trHeight w:val="1003" w:hRule="atLeast"/>
          <w:jc w:val="center"/>
        </w:trPr>
        <w:tc>
          <w:tcPr>
            <w:tcW w:w="6211" w:type="dxa"/>
            <w:gridSpan w:val="2"/>
            <w:vMerge w:val="continue"/>
            <w:tcBorders>
              <w:top w:val="single" w:color="000000" w:sz="6" w:space="0"/>
              <w:left w:val="single" w:color="000000" w:sz="12"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715"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93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9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105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w:t>
            </w:r>
          </w:p>
        </w:tc>
      </w:tr>
      <w:tr>
        <w:tblPrEx>
          <w:tblCellMar>
            <w:top w:w="0" w:type="dxa"/>
            <w:left w:w="10" w:type="dxa"/>
            <w:bottom w:w="0" w:type="dxa"/>
            <w:right w:w="10" w:type="dxa"/>
          </w:tblCellMar>
        </w:tblPrEx>
        <w:trPr>
          <w:trHeight w:val="1176"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1</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eastAsia" w:ascii="宋体" w:hAnsi="宋体" w:eastAsia="宋体"/>
                <w:kern w:val="2"/>
                <w:sz w:val="24"/>
                <w:szCs w:val="24"/>
              </w:rPr>
            </w:pPr>
            <w:r>
              <w:rPr>
                <w:rFonts w:hint="eastAsia" w:ascii="宋体" w:hAnsi="宋体" w:eastAsia="宋体"/>
                <w:kern w:val="2"/>
                <w:sz w:val="24"/>
                <w:szCs w:val="24"/>
              </w:rPr>
              <w:t>满足《中华人民共和国政府采购法》第二十二条要求，具有独立承担民事责任的能力；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具有履行合同所必需的设备和专业技术能力(具备履行合同所必需设备和专业技术能力的声明函)；有依法缴纳税收和社会保障资金的良好记录(纳税人证明材料和企业人员基本信息后附人员社保证明)；参加政府采购活动前三年内，在经营活动中没有重大违法记录。</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176"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2</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供应商是否具备具有独立法人资格</w:t>
            </w:r>
            <w:r>
              <w:rPr>
                <w:rFonts w:hint="eastAsia" w:ascii="宋体" w:hAnsi="宋体" w:eastAsia="宋体"/>
                <w:kern w:val="2"/>
                <w:sz w:val="24"/>
                <w:szCs w:val="24"/>
                <w:lang w:eastAsia="zh-CN"/>
              </w:rPr>
              <w:t>营业执照、资质证书：</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405"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color w:val="000000" w:themeColor="text1"/>
                <w:kern w:val="2"/>
                <w:sz w:val="24"/>
                <w:szCs w:val="24"/>
                <w:lang w:eastAsia="zh-CN"/>
                <w14:textFill>
                  <w14:solidFill>
                    <w14:schemeClr w14:val="tx1"/>
                  </w14:solidFill>
                </w14:textFill>
              </w:rPr>
            </w:pPr>
            <w:r>
              <w:rPr>
                <w:rFonts w:hint="eastAsia" w:ascii="宋体" w:hAnsi="宋体" w:eastAsia="宋体"/>
                <w:color w:val="000000" w:themeColor="text1"/>
                <w:kern w:val="2"/>
                <w:sz w:val="24"/>
                <w:szCs w:val="24"/>
                <w:lang w:val="en-US" w:eastAsia="zh-CN"/>
                <w14:textFill>
                  <w14:solidFill>
                    <w14:schemeClr w14:val="tx1"/>
                  </w14:solidFill>
                </w14:textFill>
              </w:rPr>
              <w:t>3</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color w:val="000000" w:themeColor="text1"/>
                <w:kern w:val="2"/>
                <w:sz w:val="24"/>
                <w:szCs w:val="24"/>
                <w14:textFill>
                  <w14:solidFill>
                    <w14:schemeClr w14:val="tx1"/>
                  </w14:solidFill>
                </w14:textFill>
              </w:rPr>
            </w:pPr>
            <w:r>
              <w:rPr>
                <w:rFonts w:hint="eastAsia" w:ascii="宋体" w:hAnsi="宋体" w:eastAsia="宋体" w:cs="宋体"/>
                <w:sz w:val="24"/>
                <w:szCs w:val="24"/>
              </w:rPr>
              <w:t>是否有磋商保证金缴纳收据</w:t>
            </w:r>
            <w:r>
              <w:rPr>
                <w:rFonts w:hint="eastAsia" w:ascii="宋体" w:hAnsi="宋体" w:eastAsia="宋体"/>
                <w:color w:val="000000" w:themeColor="text1"/>
                <w:kern w:val="2"/>
                <w:sz w:val="24"/>
                <w:szCs w:val="24"/>
                <w14:textFill>
                  <w14:solidFill>
                    <w14:schemeClr w14:val="tx1"/>
                  </w14:solidFill>
                </w14:textFill>
              </w:rPr>
              <w:t>；</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4</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凡拟参加本次竞争性磋商项目的供应商，如在“信用中国”网站（WWW.creditchina.gov.cn）无重大违法行为的。</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5</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中国政府采购网（www.ccgp.gov.cn）被列入失信被执行人、重大税收违法案件当事人名单、政府采购严重违法失信行为记录名单的（尚在处罚期内的），将拒绝其参本次政府采购活动。</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001" w:hRule="atLeast"/>
          <w:jc w:val="center"/>
        </w:trPr>
        <w:tc>
          <w:tcPr>
            <w:tcW w:w="6211" w:type="dxa"/>
            <w:gridSpan w:val="2"/>
            <w:tcBorders>
              <w:top w:val="single" w:color="000000" w:sz="6" w:space="0"/>
              <w:left w:val="single" w:color="000000" w:sz="12"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结论：是否通过评审</w:t>
            </w:r>
          </w:p>
        </w:tc>
        <w:tc>
          <w:tcPr>
            <w:tcW w:w="715" w:type="dxa"/>
            <w:tcBorders>
              <w:top w:val="single" w:color="000000" w:sz="6" w:space="0"/>
              <w:left w:val="single" w:color="000000" w:sz="4"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pStyle w:val="14"/>
        <w:rPr>
          <w:rFonts w:hint="eastAsia" w:ascii="宋体" w:hAnsi="宋体" w:eastAsia="宋体"/>
          <w:kern w:val="2"/>
          <w:sz w:val="24"/>
          <w:szCs w:val="24"/>
        </w:rPr>
      </w:pPr>
    </w:p>
    <w:p>
      <w:pPr>
        <w:rPr>
          <w:rFonts w:hint="eastAsia"/>
        </w:rPr>
      </w:pPr>
    </w:p>
    <w:p>
      <w:pPr>
        <w:autoSpaceDE w:val="0"/>
        <w:autoSpaceDN w:val="0"/>
        <w:adjustRightInd w:val="0"/>
        <w:spacing w:before="50" w:line="480" w:lineRule="exact"/>
        <w:textAlignment w:val="baseline"/>
        <w:rPr>
          <w:rFonts w:ascii="宋体" w:hAnsi="宋体" w:eastAsia="宋体"/>
          <w:kern w:val="2"/>
          <w:sz w:val="24"/>
          <w:szCs w:val="24"/>
        </w:rPr>
      </w:pPr>
      <w:r>
        <w:rPr>
          <w:rFonts w:hint="eastAsia" w:ascii="宋体" w:hAnsi="宋体" w:eastAsia="宋体"/>
          <w:kern w:val="2"/>
          <w:sz w:val="24"/>
          <w:szCs w:val="24"/>
        </w:rPr>
        <w:t>附表二</w:t>
      </w: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2.符合性审查</w:t>
      </w:r>
    </w:p>
    <w:tbl>
      <w:tblPr>
        <w:tblStyle w:val="40"/>
        <w:tblW w:w="9854" w:type="dxa"/>
        <w:jc w:val="center"/>
        <w:tblLayout w:type="fixed"/>
        <w:tblCellMar>
          <w:top w:w="0" w:type="dxa"/>
          <w:left w:w="10" w:type="dxa"/>
          <w:bottom w:w="0" w:type="dxa"/>
          <w:right w:w="10" w:type="dxa"/>
        </w:tblCellMar>
      </w:tblPr>
      <w:tblGrid>
        <w:gridCol w:w="1056"/>
        <w:gridCol w:w="4934"/>
        <w:gridCol w:w="936"/>
        <w:gridCol w:w="936"/>
        <w:gridCol w:w="936"/>
        <w:gridCol w:w="1056"/>
      </w:tblGrid>
      <w:tr>
        <w:tblPrEx>
          <w:tblCellMar>
            <w:top w:w="0" w:type="dxa"/>
            <w:left w:w="10" w:type="dxa"/>
            <w:bottom w:w="0" w:type="dxa"/>
            <w:right w:w="10" w:type="dxa"/>
          </w:tblCellMar>
        </w:tblPrEx>
        <w:trPr>
          <w:trHeight w:val="454" w:hRule="atLeast"/>
          <w:jc w:val="center"/>
        </w:trPr>
        <w:tc>
          <w:tcPr>
            <w:tcW w:w="5990" w:type="dxa"/>
            <w:gridSpan w:val="2"/>
            <w:vMerge w:val="restart"/>
            <w:tcBorders>
              <w:top w:val="single" w:color="000000" w:sz="12" w:space="0"/>
              <w:left w:val="single" w:color="000000" w:sz="12"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评审内容</w:t>
            </w:r>
          </w:p>
        </w:tc>
        <w:tc>
          <w:tcPr>
            <w:tcW w:w="3864" w:type="dxa"/>
            <w:gridSpan w:val="4"/>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投标企业名称</w:t>
            </w:r>
          </w:p>
        </w:tc>
      </w:tr>
      <w:tr>
        <w:tblPrEx>
          <w:tblCellMar>
            <w:top w:w="0" w:type="dxa"/>
            <w:left w:w="10" w:type="dxa"/>
            <w:bottom w:w="0" w:type="dxa"/>
            <w:right w:w="10" w:type="dxa"/>
          </w:tblCellMar>
        </w:tblPrEx>
        <w:trPr>
          <w:trHeight w:val="454" w:hRule="atLeast"/>
          <w:jc w:val="center"/>
        </w:trPr>
        <w:tc>
          <w:tcPr>
            <w:tcW w:w="5990" w:type="dxa"/>
            <w:gridSpan w:val="2"/>
            <w:vMerge w:val="continue"/>
            <w:tcBorders>
              <w:top w:val="single" w:color="000000" w:sz="6" w:space="0"/>
              <w:left w:val="single" w:color="000000" w:sz="12"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93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9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105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w:t>
            </w: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是否提供资格声明函；</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投标函是否有单位盖章及法定代表人或法定代表人授权的代理人签字或盖章的；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是否满足竞争性磋商采购文件规定期限；</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4</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是否提供正规渠道证明材料。</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5</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是否按规定提供法人授权委托书的；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6</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是否按规定提交响应文件分数，正本1份副本2份；</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7</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是否按规定的格式填写，内容不全或关键字迹模糊、无法辨认的；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8</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响应文件是否按照竞争性磋商采购文件要求编写、装订；</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9</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投标报价是否超过预算金额；</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10</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响应文件载明的其他要求是否响应竞争性磋商采购文件要求；</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5990" w:type="dxa"/>
            <w:gridSpan w:val="2"/>
            <w:tcBorders>
              <w:top w:val="single" w:color="000000" w:sz="6" w:space="0"/>
              <w:left w:val="single" w:color="000000" w:sz="12"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结论：是否通过评审</w:t>
            </w:r>
          </w:p>
        </w:tc>
        <w:tc>
          <w:tcPr>
            <w:tcW w:w="936" w:type="dxa"/>
            <w:tcBorders>
              <w:top w:val="single" w:color="000000" w:sz="6" w:space="0"/>
              <w:left w:val="single" w:color="000000" w:sz="4"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rPr>
          <w:color w:val="000000" w:themeColor="text1"/>
          <w:kern w:val="44"/>
          <w:sz w:val="32"/>
          <w:szCs w:val="32"/>
          <w14:textFill>
            <w14:solidFill>
              <w14:schemeClr w14:val="tx1"/>
            </w14:solidFill>
          </w14:textFill>
        </w:rPr>
      </w:pPr>
    </w:p>
    <w:p>
      <w:pPr>
        <w:pStyle w:val="3"/>
        <w:autoSpaceDE w:val="0"/>
        <w:autoSpaceDN w:val="0"/>
        <w:adjustRightInd w:val="0"/>
        <w:spacing w:before="0" w:line="480" w:lineRule="exact"/>
        <w:jc w:val="center"/>
        <w:textAlignment w:val="baseline"/>
        <w:rPr>
          <w:color w:val="000000"/>
          <w:kern w:val="44"/>
        </w:rPr>
      </w:pPr>
      <w:bookmarkStart w:id="153" w:name="_Toc12895"/>
      <w:r>
        <w:rPr>
          <w:rFonts w:hint="eastAsia"/>
          <w:color w:val="000000"/>
          <w:kern w:val="44"/>
        </w:rPr>
        <w:t>第四部分 评标办法</w:t>
      </w:r>
    </w:p>
    <w:p>
      <w:pPr>
        <w:autoSpaceDE w:val="0"/>
        <w:autoSpaceDN w:val="0"/>
        <w:adjustRightInd w:val="0"/>
        <w:spacing w:before="50" w:line="480" w:lineRule="exact"/>
        <w:textAlignment w:val="baseline"/>
        <w:rPr>
          <w:rFonts w:ascii="宋体" w:hAnsi="宋体" w:eastAsia="宋体"/>
          <w:kern w:val="2"/>
          <w:sz w:val="24"/>
          <w:szCs w:val="24"/>
        </w:rPr>
      </w:pPr>
      <w:r>
        <w:rPr>
          <w:rFonts w:hint="eastAsia" w:ascii="宋体" w:hAnsi="宋体" w:eastAsia="宋体"/>
          <w:kern w:val="2"/>
          <w:sz w:val="24"/>
          <w:szCs w:val="24"/>
        </w:rPr>
        <w:t>评分表及说明（评分标准100分）</w:t>
      </w:r>
    </w:p>
    <w:tbl>
      <w:tblPr>
        <w:tblStyle w:val="40"/>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723"/>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17"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项目</w:t>
            </w:r>
          </w:p>
        </w:tc>
        <w:tc>
          <w:tcPr>
            <w:tcW w:w="723"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分值</w:t>
            </w:r>
          </w:p>
        </w:tc>
        <w:tc>
          <w:tcPr>
            <w:tcW w:w="7505"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lang w:val="en-US" w:eastAsia="zh-CN"/>
              </w:rPr>
            </w:pPr>
            <w:r>
              <w:rPr>
                <w:rFonts w:hint="eastAsia" w:ascii="黑体" w:hAnsi="黑体" w:eastAsia="黑体" w:cs="黑体"/>
                <w:b/>
                <w:sz w:val="32"/>
                <w:szCs w:val="32"/>
                <w:lang w:val="en-US" w:eastAsia="zh-CN"/>
              </w:rPr>
              <w:t>评审内容及规则</w:t>
            </w:r>
          </w:p>
        </w:tc>
        <w:tc>
          <w:tcPr>
            <w:tcW w:w="780"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24"/>
                <w:szCs w:val="24"/>
              </w:rPr>
            </w:pPr>
            <w:r>
              <w:rPr>
                <w:rFonts w:hint="eastAsia" w:ascii="黑体" w:hAnsi="黑体" w:eastAsia="黑体" w:cs="黑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78" w:type="dxa"/>
            <w:noWrap w:val="0"/>
            <w:vAlign w:val="top"/>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经</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济</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部</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价格</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黑体" w:hAnsi="黑体" w:eastAsia="黑体" w:cs="黑体"/>
                <w:color w:val="000000" w:themeColor="text1"/>
                <w:sz w:val="10"/>
                <w:szCs w:val="10"/>
                <w:lang w:val="en-US" w:eastAsia="zh-CN"/>
                <w14:textFill>
                  <w14:solidFill>
                    <w14:schemeClr w14:val="tx1"/>
                  </w14:solidFill>
                </w14:textFill>
              </w:rPr>
              <w:t>（国产）</w:t>
            </w:r>
            <w:r>
              <w:rPr>
                <w:rFonts w:hint="eastAsia" w:ascii="黑体" w:hAnsi="黑体" w:eastAsia="黑体" w:cs="黑体"/>
                <w:color w:val="000000" w:themeColor="text1"/>
                <w:sz w:val="24"/>
                <w:szCs w:val="24"/>
                <w:lang w:val="en-US" w:eastAsia="zh-CN"/>
                <w14:textFill>
                  <w14:solidFill>
                    <w14:schemeClr w14:val="tx1"/>
                  </w14:solidFill>
                </w14:textFill>
              </w:rPr>
              <w:t>30-</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jc w:val="left"/>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30%</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100</w:t>
            </w:r>
            <w:r>
              <w:rPr>
                <w:rFonts w:hint="eastAsia" w:ascii="宋体" w:hAnsi="宋体" w:cs="宋体"/>
                <w:color w:val="000000"/>
                <w:sz w:val="28"/>
                <w:szCs w:val="28"/>
                <w:shd w:val="clear" w:color="auto" w:fill="FFFFFF"/>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jc w:val="lef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78" w:type="dxa"/>
            <w:vMerge w:val="restart"/>
            <w:noWrap w:val="0"/>
            <w:vAlign w:val="center"/>
          </w:tcPr>
          <w:p>
            <w:pPr>
              <w:keepNext w:val="0"/>
              <w:keepLines w:val="0"/>
              <w:widowControl/>
              <w:suppressLineNumbers w:val="0"/>
              <w:spacing w:before="0" w:beforeAutospacing="0" w:afterAutospacing="0" w:line="0" w:lineRule="atLeast"/>
              <w:ind w:left="0" w:right="0"/>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商务部分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标书制作</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2</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default" w:ascii="宋体" w:hAnsi="宋体" w:cs="宋体"/>
                <w:sz w:val="28"/>
                <w:szCs w:val="28"/>
                <w:lang w:val="en-US"/>
              </w:rPr>
            </w:pPr>
            <w:r>
              <w:rPr>
                <w:rFonts w:hint="eastAsia" w:ascii="宋体" w:hAnsi="宋体" w:cs="宋体"/>
                <w:sz w:val="28"/>
                <w:szCs w:val="28"/>
              </w:rPr>
              <w:t>投标文件</w:t>
            </w:r>
            <w:r>
              <w:rPr>
                <w:rFonts w:hint="eastAsia" w:ascii="宋体" w:hAnsi="宋体" w:cs="宋体"/>
                <w:sz w:val="28"/>
                <w:szCs w:val="28"/>
                <w:lang w:val="en-US" w:eastAsia="zh-CN"/>
              </w:rPr>
              <w:t>目录、页码指向准确，不准确的每项扣0.2</w:t>
            </w:r>
            <w:r>
              <w:rPr>
                <w:rFonts w:hint="eastAsia" w:ascii="宋体" w:hAnsi="宋体" w:cs="宋体"/>
                <w:sz w:val="28"/>
                <w:szCs w:val="28"/>
              </w:rPr>
              <w:t>分，</w:t>
            </w:r>
            <w:r>
              <w:rPr>
                <w:rFonts w:hint="eastAsia" w:ascii="宋体" w:hAnsi="宋体" w:cs="宋体"/>
                <w:sz w:val="28"/>
                <w:szCs w:val="28"/>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相关</w:t>
            </w:r>
            <w:r>
              <w:rPr>
                <w:rFonts w:hint="eastAsia" w:ascii="黑体" w:hAnsi="黑体" w:eastAsia="黑体" w:cs="黑体"/>
                <w:color w:val="000000" w:themeColor="text1"/>
                <w:sz w:val="28"/>
                <w:szCs w:val="28"/>
                <w14:textFill>
                  <w14:solidFill>
                    <w14:schemeClr w14:val="tx1"/>
                  </w14:solidFill>
                </w14:textFill>
              </w:rPr>
              <w:t>业绩</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rPr>
              <w:t>3</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eastAsia="宋体" w:cs="宋体"/>
                <w:sz w:val="28"/>
                <w:szCs w:val="28"/>
                <w:lang w:eastAsia="zh-CN"/>
              </w:rPr>
            </w:pPr>
            <w:r>
              <w:rPr>
                <w:rFonts w:hint="eastAsia" w:ascii="宋体" w:hAnsi="宋体" w:cs="宋体"/>
                <w:color w:val="000000"/>
                <w:sz w:val="28"/>
                <w:szCs w:val="28"/>
                <w:shd w:val="clear" w:color="auto" w:fill="FFFFFF"/>
              </w:rPr>
              <w:t>提供</w:t>
            </w:r>
            <w:r>
              <w:rPr>
                <w:rFonts w:hint="eastAsia" w:ascii="宋体" w:hAnsi="宋体" w:cs="宋体"/>
                <w:color w:val="000000"/>
                <w:sz w:val="28"/>
                <w:szCs w:val="28"/>
                <w:shd w:val="clear" w:color="auto" w:fill="FFFFFF"/>
                <w:lang w:val="en-US" w:eastAsia="zh-CN"/>
              </w:rPr>
              <w:t>投标方</w:t>
            </w:r>
            <w:r>
              <w:rPr>
                <w:rFonts w:hint="eastAsia" w:ascii="宋体" w:hAnsi="宋体" w:cs="宋体"/>
                <w:color w:val="000000"/>
                <w:sz w:val="28"/>
                <w:szCs w:val="28"/>
                <w:shd w:val="clear" w:color="auto" w:fill="FFFFFF"/>
              </w:rPr>
              <w:t>近三年（201</w:t>
            </w:r>
            <w:r>
              <w:rPr>
                <w:rFonts w:hint="eastAsia" w:ascii="宋体" w:hAnsi="宋体" w:cs="宋体"/>
                <w:color w:val="000000"/>
                <w:sz w:val="28"/>
                <w:szCs w:val="28"/>
                <w:shd w:val="clear" w:color="auto" w:fill="FFFFFF"/>
                <w:lang w:val="en-US" w:eastAsia="zh-CN"/>
              </w:rPr>
              <w:t>8</w:t>
            </w:r>
            <w:r>
              <w:rPr>
                <w:rFonts w:hint="eastAsia" w:ascii="宋体" w:hAnsi="宋体" w:cs="宋体"/>
                <w:color w:val="000000"/>
                <w:sz w:val="28"/>
                <w:szCs w:val="28"/>
                <w:shd w:val="clear" w:color="auto" w:fill="FFFFFF"/>
              </w:rPr>
              <w:t>年至今）</w:t>
            </w:r>
            <w:r>
              <w:rPr>
                <w:rFonts w:hint="eastAsia" w:ascii="宋体" w:hAnsi="宋体" w:cs="宋体"/>
                <w:color w:val="000000"/>
                <w:sz w:val="28"/>
                <w:szCs w:val="28"/>
                <w:shd w:val="clear" w:color="auto" w:fill="FFFFFF"/>
                <w:lang w:val="en-US" w:eastAsia="zh-CN"/>
              </w:rPr>
              <w:t>投标供应商同类或类似产品</w:t>
            </w:r>
            <w:r>
              <w:rPr>
                <w:rFonts w:hint="eastAsia" w:ascii="宋体" w:hAnsi="宋体" w:cs="宋体"/>
                <w:color w:val="000000"/>
                <w:sz w:val="28"/>
                <w:szCs w:val="28"/>
                <w:shd w:val="clear" w:color="auto" w:fill="FFFFFF"/>
              </w:rPr>
              <w:t>的销售业绩，每提供一项得1分，不提供不得分，最高得3分</w:t>
            </w:r>
            <w:r>
              <w:rPr>
                <w:rFonts w:hint="eastAsia" w:ascii="宋体" w:hAnsi="宋体" w:cs="宋体"/>
                <w:color w:val="000000"/>
                <w:sz w:val="28"/>
                <w:szCs w:val="28"/>
                <w:shd w:val="clear" w:color="auto" w:fill="FFFFFF"/>
                <w:lang w:eastAsia="zh-CN"/>
              </w:rPr>
              <w:t>。（</w:t>
            </w: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以标书中</w:t>
            </w:r>
            <w:r>
              <w:rPr>
                <w:rFonts w:hint="eastAsia" w:ascii="宋体" w:hAnsi="宋体" w:cs="宋体"/>
                <w:color w:val="000000"/>
                <w:sz w:val="28"/>
                <w:szCs w:val="28"/>
                <w:shd w:val="clear" w:color="auto" w:fill="FFFFFF"/>
              </w:rPr>
              <w:t>提供中标通知书或成交通知书或合同</w:t>
            </w:r>
            <w:r>
              <w:rPr>
                <w:rFonts w:hint="eastAsia" w:ascii="宋体" w:hAnsi="宋体" w:cs="宋体"/>
                <w:color w:val="000000"/>
                <w:sz w:val="28"/>
                <w:szCs w:val="28"/>
                <w:shd w:val="clear" w:color="auto" w:fill="FFFFFF"/>
                <w:lang w:val="en-US" w:eastAsia="zh-CN"/>
              </w:rPr>
              <w:t>为准，复印件、扫描件等需要加盖公章认定</w:t>
            </w:r>
            <w:r>
              <w:rPr>
                <w:rFonts w:hint="eastAsia" w:ascii="宋体" w:hAnsi="宋体" w:cs="宋体"/>
                <w:sz w:val="28"/>
                <w:szCs w:val="28"/>
              </w:rPr>
              <w:t>）</w:t>
            </w:r>
            <w:r>
              <w:rPr>
                <w:rFonts w:hint="eastAsia" w:ascii="宋体" w:hAnsi="宋体" w:cs="宋体"/>
                <w:sz w:val="28"/>
                <w:szCs w:val="28"/>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服务能力</w:t>
            </w:r>
          </w:p>
        </w:tc>
        <w:tc>
          <w:tcPr>
            <w:tcW w:w="72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lang w:val="en-US" w:eastAsia="zh-CN"/>
              </w:rPr>
              <w:t>7</w:t>
            </w:r>
          </w:p>
        </w:tc>
        <w:tc>
          <w:tcPr>
            <w:tcW w:w="7505" w:type="dxa"/>
            <w:tcBorders>
              <w:bottom w:val="single" w:color="auto" w:sz="4" w:space="0"/>
            </w:tcBorders>
            <w:noWrap w:val="0"/>
            <w:vAlign w:val="center"/>
          </w:tcPr>
          <w:p>
            <w:pPr>
              <w:keepNext w:val="0"/>
              <w:keepLines w:val="0"/>
              <w:pageBreakBefore w:val="0"/>
              <w:widowControl/>
              <w:numPr>
                <w:ilvl w:val="0"/>
                <w:numId w:val="7"/>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售后服务体系完备并在本地有技术支持机构（须提供相关证明或证明材料原件</w:t>
            </w:r>
            <w:r>
              <w:rPr>
                <w:rFonts w:hint="eastAsia" w:ascii="宋体" w:hAnsi="宋体" w:cs="宋体"/>
                <w:color w:val="000000"/>
                <w:sz w:val="28"/>
                <w:szCs w:val="28"/>
                <w:shd w:val="clear" w:color="auto" w:fill="FFFFFF"/>
                <w:lang w:val="en-US" w:eastAsia="zh-CN"/>
              </w:rPr>
              <w:t>或复印件加盖公章</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.在昌吉相邻地州有售后服务机构的</w:t>
            </w:r>
            <w:r>
              <w:rPr>
                <w:rFonts w:hint="eastAsia" w:ascii="宋体" w:hAnsi="宋体" w:cs="宋体"/>
                <w:color w:val="000000"/>
                <w:sz w:val="28"/>
                <w:szCs w:val="28"/>
                <w:shd w:val="clear" w:color="auto" w:fill="FFFFFF"/>
              </w:rPr>
              <w:t>得</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在昌吉本地有服务机构的得2分</w:t>
            </w:r>
            <w:r>
              <w:rPr>
                <w:rFonts w:hint="eastAsia" w:ascii="宋体" w:hAnsi="宋体" w:cs="宋体"/>
                <w:color w:val="000000"/>
                <w:sz w:val="28"/>
                <w:szCs w:val="28"/>
                <w:shd w:val="clear" w:color="auto" w:fill="FFFFFF"/>
              </w:rPr>
              <w:t>。</w:t>
            </w:r>
          </w:p>
          <w:p>
            <w:pPr>
              <w:keepNext w:val="0"/>
              <w:keepLines w:val="0"/>
              <w:pageBreakBefore w:val="0"/>
              <w:widowControl/>
              <w:numPr>
                <w:ilvl w:val="0"/>
                <w:numId w:val="7"/>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提供常用备品备件和消耗品明细及价格清单</w:t>
            </w:r>
            <w:r>
              <w:rPr>
                <w:rFonts w:hint="eastAsia" w:ascii="宋体" w:hAnsi="宋体" w:cs="宋体"/>
                <w:sz w:val="28"/>
                <w:szCs w:val="28"/>
              </w:rPr>
              <w:t>得</w:t>
            </w:r>
            <w:r>
              <w:rPr>
                <w:rFonts w:hint="eastAsia" w:ascii="宋体" w:hAnsi="宋体" w:cs="宋体"/>
                <w:sz w:val="28"/>
                <w:szCs w:val="28"/>
                <w:lang w:val="en-US" w:eastAsia="zh-CN"/>
              </w:rPr>
              <w:t>1</w:t>
            </w:r>
            <w:r>
              <w:rPr>
                <w:rFonts w:hint="eastAsia" w:ascii="宋体" w:hAnsi="宋体" w:cs="宋体"/>
                <w:sz w:val="28"/>
                <w:szCs w:val="28"/>
              </w:rPr>
              <w:t>分，不提供不得分。</w:t>
            </w:r>
            <w:r>
              <w:rPr>
                <w:rFonts w:hint="eastAsia" w:ascii="宋体" w:hAnsi="宋体" w:cs="宋体"/>
                <w:sz w:val="28"/>
                <w:szCs w:val="28"/>
                <w:lang w:val="en-US" w:eastAsia="zh-CN"/>
              </w:rPr>
              <w:t>备件、消耗品价格最低者得2分、次低者得1分，其他不得分。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firstLine="0" w:firstLineChars="0"/>
              <w:rPr>
                <w:rFonts w:hint="default"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3、</w:t>
            </w:r>
            <w:r>
              <w:rPr>
                <w:rFonts w:hint="eastAsia" w:ascii="宋体" w:hAnsi="宋体" w:cs="宋体"/>
                <w:color w:val="000000"/>
                <w:sz w:val="28"/>
                <w:szCs w:val="28"/>
                <w:shd w:val="clear" w:color="auto" w:fill="FFFFFF"/>
              </w:rPr>
              <w:t>响应招标文件中售后服务要求</w:t>
            </w:r>
            <w:r>
              <w:rPr>
                <w:rFonts w:hint="eastAsia" w:ascii="宋体" w:hAnsi="宋体" w:cs="宋体"/>
                <w:sz w:val="28"/>
                <w:szCs w:val="28"/>
              </w:rPr>
              <w:t>提供</w:t>
            </w:r>
            <w:r>
              <w:rPr>
                <w:rFonts w:hint="eastAsia" w:ascii="宋体" w:hAnsi="宋体" w:cs="宋体"/>
                <w:sz w:val="28"/>
                <w:szCs w:val="28"/>
                <w:lang w:val="en-US" w:eastAsia="zh-CN"/>
              </w:rPr>
              <w:t>好的</w:t>
            </w:r>
            <w:r>
              <w:rPr>
                <w:rFonts w:hint="eastAsia" w:ascii="宋体" w:hAnsi="宋体" w:cs="宋体"/>
                <w:sz w:val="28"/>
                <w:szCs w:val="28"/>
              </w:rPr>
              <w:t>合理的维护维修服务方案的</w:t>
            </w:r>
            <w:r>
              <w:rPr>
                <w:rFonts w:hint="eastAsia" w:ascii="宋体" w:hAnsi="宋体" w:cs="宋体"/>
                <w:sz w:val="28"/>
                <w:szCs w:val="28"/>
                <w:lang w:val="en-US" w:eastAsia="zh-CN"/>
              </w:rPr>
              <w:t>(质保期，维修响应时间等)</w:t>
            </w:r>
            <w:r>
              <w:rPr>
                <w:rFonts w:hint="eastAsia" w:ascii="宋体" w:hAnsi="宋体" w:cs="宋体"/>
                <w:sz w:val="28"/>
                <w:szCs w:val="28"/>
              </w:rPr>
              <w:t>，得</w:t>
            </w:r>
            <w:r>
              <w:rPr>
                <w:rFonts w:hint="eastAsia" w:ascii="宋体" w:hAnsi="宋体" w:cs="宋体"/>
                <w:sz w:val="28"/>
                <w:szCs w:val="28"/>
                <w:lang w:val="en-US" w:eastAsia="zh-CN"/>
              </w:rPr>
              <w:t>2</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一般的得1分，不提供不得分。（评审时以提供</w:t>
            </w:r>
            <w:r>
              <w:rPr>
                <w:rFonts w:hint="eastAsia" w:ascii="宋体" w:hAnsi="宋体" w:cs="宋体"/>
                <w:sz w:val="28"/>
                <w:szCs w:val="28"/>
                <w:lang w:val="en-US" w:eastAsia="zh-CN"/>
              </w:rPr>
              <w:t>服务承诺及</w:t>
            </w:r>
            <w:r>
              <w:rPr>
                <w:rFonts w:hint="eastAsia" w:ascii="宋体" w:hAnsi="宋体" w:cs="宋体"/>
                <w:sz w:val="28"/>
                <w:szCs w:val="28"/>
              </w:rPr>
              <w:t>相关证明材料为准）。</w:t>
            </w:r>
            <w:r>
              <w:rPr>
                <w:rFonts w:hint="eastAsia" w:ascii="宋体" w:hAnsi="宋体" w:cs="宋体"/>
                <w:sz w:val="28"/>
                <w:szCs w:val="28"/>
                <w:lang w:val="en-US" w:eastAsia="zh-CN"/>
              </w:rPr>
              <w:t>质保服务期每增加一年加1分，质保期低于招标要求的，每少一年扣2分。</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678" w:type="dxa"/>
            <w:vMerge w:val="restart"/>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14:textFill>
                  <w14:solidFill>
                    <w14:schemeClr w14:val="tx1"/>
                  </w14:solidFill>
                </w14:textFill>
              </w:rPr>
              <w:t>技术部分</w:t>
            </w:r>
          </w:p>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top w:val="single" w:color="auto" w:sz="4" w:space="0"/>
              <w:left w:val="single" w:color="auto" w:sz="4" w:space="0"/>
              <w:bottom w:val="single" w:color="auto" w:sz="4" w:space="0"/>
            </w:tcBorders>
            <w:noWrap w:val="0"/>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黑体" w:hAnsi="黑体" w:eastAsia="黑体" w:cs="黑体"/>
                <w:b w:val="0"/>
                <w:color w:val="000000" w:themeColor="text1"/>
                <w:kern w:val="2"/>
                <w:sz w:val="28"/>
                <w:szCs w:val="28"/>
                <w:lang w:val="en-US" w:eastAsia="zh-CN"/>
                <w14:textFill>
                  <w14:solidFill>
                    <w14:schemeClr w14:val="tx1"/>
                  </w14:solidFill>
                </w14:textFill>
              </w:rPr>
            </w:pPr>
            <w:r>
              <w:rPr>
                <w:rFonts w:hint="eastAsia" w:ascii="黑体" w:hAnsi="黑体" w:eastAsia="黑体" w:cs="黑体"/>
                <w:b w:val="0"/>
                <w:color w:val="000000" w:themeColor="text1"/>
                <w:kern w:val="2"/>
                <w:sz w:val="28"/>
                <w:szCs w:val="28"/>
                <w:lang w:val="en-US" w:eastAsia="zh-CN"/>
                <w14:textFill>
                  <w14:solidFill>
                    <w14:schemeClr w14:val="tx1"/>
                  </w14:solidFill>
                </w14:textFill>
              </w:rPr>
              <w:t>核心参数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eastAsia="宋体"/>
                <w:sz w:val="24"/>
                <w:szCs w:val="24"/>
                <w:lang w:val="en-US" w:eastAsia="zh-CN"/>
              </w:rPr>
            </w:pPr>
            <w:r>
              <w:rPr>
                <w:rFonts w:hint="eastAsia"/>
                <w:sz w:val="21"/>
                <w:szCs w:val="21"/>
                <w:lang w:val="en-US" w:eastAsia="zh-CN"/>
              </w:rPr>
              <w:t>(*号）</w:t>
            </w:r>
          </w:p>
        </w:tc>
        <w:tc>
          <w:tcPr>
            <w:tcW w:w="723"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11"/>
                <w:szCs w:val="11"/>
                <w:lang w:val="en-US" w:eastAsia="zh-CN"/>
              </w:rPr>
              <w:t>（国产）</w:t>
            </w:r>
            <w:r>
              <w:rPr>
                <w:rFonts w:hint="eastAsia" w:ascii="宋体" w:hAnsi="宋体" w:cs="宋体"/>
                <w:b/>
                <w:bCs/>
                <w:sz w:val="24"/>
                <w:szCs w:val="24"/>
                <w:lang w:val="en-US" w:eastAsia="zh-CN"/>
              </w:rPr>
              <w:t>10-</w:t>
            </w:r>
          </w:p>
        </w:tc>
        <w:tc>
          <w:tcPr>
            <w:tcW w:w="7505"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rPr>
                <w:rFonts w:hint="default" w:ascii="宋体" w:hAnsi="宋体" w:eastAsia="宋体" w:cs="宋体"/>
                <w:sz w:val="28"/>
                <w:szCs w:val="28"/>
                <w:lang w:val="en-US" w:eastAsia="zh-CN"/>
              </w:rPr>
            </w:pPr>
            <w:r>
              <w:rPr>
                <w:rFonts w:hint="eastAsia" w:ascii="宋体" w:hAnsi="宋体" w:cs="宋体"/>
                <w:color w:val="000000"/>
                <w:sz w:val="28"/>
                <w:szCs w:val="28"/>
                <w:shd w:val="clear" w:color="auto" w:fill="FFFFFF"/>
                <w:lang w:val="en-US" w:eastAsia="zh-CN"/>
              </w:rPr>
              <w:t>关键（核心）技术</w:t>
            </w:r>
            <w:r>
              <w:rPr>
                <w:rFonts w:hint="eastAsia" w:ascii="宋体" w:hAnsi="宋体" w:cs="宋体"/>
                <w:color w:val="000000"/>
                <w:sz w:val="28"/>
                <w:szCs w:val="28"/>
                <w:shd w:val="clear" w:color="auto" w:fill="FFFFFF"/>
              </w:rPr>
              <w:t>参数</w:t>
            </w:r>
            <w:r>
              <w:rPr>
                <w:rFonts w:hint="eastAsia" w:ascii="宋体" w:hAnsi="宋体" w:cs="宋体"/>
                <w:color w:val="000000"/>
                <w:sz w:val="28"/>
                <w:szCs w:val="28"/>
                <w:shd w:val="clear" w:color="auto" w:fill="FFFFFF"/>
                <w:lang w:val="en-US" w:eastAsia="zh-CN"/>
              </w:rPr>
              <w:t>不完全满足不得</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参数完全满足得10分。</w:t>
            </w:r>
          </w:p>
        </w:tc>
        <w:tc>
          <w:tcPr>
            <w:tcW w:w="780" w:type="dxa"/>
            <w:tcBorders>
              <w:left w:val="single" w:color="auto" w:sz="4" w:space="0"/>
            </w:tcBorders>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其他</w:t>
            </w:r>
            <w:r>
              <w:rPr>
                <w:rFonts w:hint="eastAsia" w:ascii="黑体" w:hAnsi="黑体" w:eastAsia="黑体" w:cs="黑体"/>
                <w:color w:val="000000" w:themeColor="text1"/>
                <w:sz w:val="28"/>
                <w:szCs w:val="28"/>
                <w14:textFill>
                  <w14:solidFill>
                    <w14:schemeClr w14:val="tx1"/>
                  </w14:solidFill>
                </w14:textFill>
              </w:rPr>
              <w:t>技术指标</w:t>
            </w:r>
          </w:p>
        </w:tc>
        <w:tc>
          <w:tcPr>
            <w:tcW w:w="723"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11"/>
                <w:szCs w:val="11"/>
                <w:lang w:val="en-US" w:eastAsia="zh-CN"/>
              </w:rPr>
            </w:pPr>
            <w:r>
              <w:rPr>
                <w:rFonts w:hint="eastAsia" w:ascii="宋体" w:hAnsi="宋体" w:cs="宋体"/>
                <w:b/>
                <w:bCs/>
                <w:sz w:val="11"/>
                <w:szCs w:val="11"/>
                <w:lang w:val="en-US" w:eastAsia="zh-CN"/>
              </w:rPr>
              <w:t>(国产)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45-</w:t>
            </w:r>
          </w:p>
        </w:tc>
        <w:tc>
          <w:tcPr>
            <w:tcW w:w="7505" w:type="dxa"/>
            <w:tcBorders>
              <w:top w:val="single" w:color="auto" w:sz="4" w:space="0"/>
            </w:tcBorders>
            <w:noWrap w:val="0"/>
            <w:vAlign w:val="center"/>
          </w:tcPr>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sz w:val="28"/>
                <w:szCs w:val="28"/>
              </w:rPr>
              <w:t>1</w:t>
            </w:r>
            <w:r>
              <w:rPr>
                <w:rFonts w:hint="eastAsia" w:ascii="宋体" w:hAnsi="宋体" w:cs="宋体"/>
                <w:color w:val="000000"/>
                <w:sz w:val="28"/>
                <w:szCs w:val="28"/>
                <w:shd w:val="clear" w:color="auto" w:fill="FFFFFF"/>
              </w:rPr>
              <w:t>、投标产品的</w:t>
            </w:r>
            <w:r>
              <w:rPr>
                <w:rFonts w:hint="eastAsia" w:ascii="宋体" w:hAnsi="宋体" w:cs="宋体"/>
                <w:color w:val="000000"/>
                <w:sz w:val="28"/>
                <w:szCs w:val="28"/>
                <w:shd w:val="clear" w:color="auto" w:fill="FFFFFF"/>
                <w:lang w:val="en-US" w:eastAsia="zh-CN"/>
              </w:rPr>
              <w:t>一般</w:t>
            </w:r>
            <w:r>
              <w:rPr>
                <w:rFonts w:hint="eastAsia" w:ascii="宋体" w:hAnsi="宋体" w:cs="宋体"/>
                <w:color w:val="000000"/>
                <w:sz w:val="28"/>
                <w:szCs w:val="28"/>
                <w:shd w:val="clear" w:color="auto" w:fill="FFFFFF"/>
              </w:rPr>
              <w:t>技术参数全部满足招标文件要求的得</w:t>
            </w:r>
            <w:r>
              <w:rPr>
                <w:rFonts w:hint="eastAsia" w:ascii="宋体" w:hAnsi="宋体" w:cs="宋体"/>
                <w:color w:val="000000"/>
                <w:sz w:val="28"/>
                <w:szCs w:val="28"/>
                <w:shd w:val="clear" w:color="auto" w:fill="FFFFFF"/>
                <w:lang w:val="en-US" w:eastAsia="zh-CN"/>
              </w:rPr>
              <w:t>37</w:t>
            </w:r>
            <w:r>
              <w:rPr>
                <w:rFonts w:hint="eastAsia" w:ascii="宋体" w:hAnsi="宋体" w:cs="宋体"/>
                <w:color w:val="000000"/>
                <w:sz w:val="28"/>
                <w:szCs w:val="28"/>
                <w:shd w:val="clear" w:color="auto" w:fill="FFFFFF"/>
              </w:rPr>
              <w:t>分；由专家评审，逐条确定是否达到技术参数要求，</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rPr>
              <w:t>一项</w:t>
            </w:r>
            <w:r>
              <w:rPr>
                <w:rFonts w:hint="eastAsia" w:ascii="宋体" w:hAnsi="宋体" w:cs="宋体"/>
                <w:color w:val="000000"/>
                <w:sz w:val="28"/>
                <w:szCs w:val="28"/>
                <w:shd w:val="clear" w:color="auto" w:fill="FFFFFF"/>
                <w:lang w:val="en-US" w:eastAsia="zh-CN"/>
              </w:rPr>
              <w:t>负偏离</w:t>
            </w:r>
            <w:r>
              <w:rPr>
                <w:rFonts w:hint="eastAsia" w:ascii="宋体" w:hAnsi="宋体" w:cs="宋体"/>
                <w:color w:val="000000"/>
                <w:sz w:val="28"/>
                <w:szCs w:val="28"/>
                <w:shd w:val="clear" w:color="auto" w:fill="FFFFFF"/>
              </w:rPr>
              <w:t>扣</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分扣完为止。</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投标产品鼓励先进性，所提供产品</w:t>
            </w:r>
            <w:r>
              <w:rPr>
                <w:rFonts w:hint="eastAsia" w:ascii="宋体" w:hAnsi="宋体" w:cs="宋体"/>
                <w:color w:val="000000"/>
                <w:sz w:val="28"/>
                <w:szCs w:val="28"/>
                <w:shd w:val="clear" w:color="auto" w:fill="FFFFFF"/>
              </w:rPr>
              <w:t>技术指标和性能</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影响产品质量</w:t>
            </w:r>
            <w:r>
              <w:rPr>
                <w:rFonts w:hint="eastAsia" w:ascii="宋体" w:hAnsi="宋体" w:cs="宋体"/>
                <w:color w:val="000000"/>
                <w:sz w:val="28"/>
                <w:szCs w:val="28"/>
                <w:shd w:val="clear" w:color="auto" w:fill="FFFFFF"/>
                <w:lang w:eastAsia="zh-CN"/>
              </w:rPr>
              <w:t>实质性</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包括核心参数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高于招标文件中技术参数和性能的可加分，每一项</w:t>
            </w:r>
            <w:r>
              <w:rPr>
                <w:rFonts w:hint="eastAsia" w:ascii="宋体" w:hAnsi="宋体" w:cs="宋体"/>
                <w:color w:val="000000"/>
                <w:sz w:val="28"/>
                <w:szCs w:val="28"/>
                <w:shd w:val="clear" w:color="auto" w:fill="FFFFFF"/>
                <w:lang w:val="en-US" w:eastAsia="zh-CN"/>
              </w:rPr>
              <w:t>正偏离</w:t>
            </w:r>
            <w:r>
              <w:rPr>
                <w:rFonts w:hint="eastAsia" w:ascii="宋体" w:hAnsi="宋体" w:cs="宋体"/>
                <w:color w:val="000000"/>
                <w:sz w:val="28"/>
                <w:szCs w:val="28"/>
                <w:shd w:val="clear" w:color="auto" w:fill="FFFFFF"/>
              </w:rPr>
              <w:t>加</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分，最多加</w:t>
            </w:r>
            <w:r>
              <w:rPr>
                <w:rFonts w:hint="eastAsia" w:ascii="宋体" w:hAnsi="宋体" w:cs="宋体"/>
                <w:color w:val="000000"/>
                <w:sz w:val="28"/>
                <w:szCs w:val="28"/>
                <w:shd w:val="clear" w:color="auto" w:fill="FFFFFF"/>
                <w:lang w:val="en-US" w:eastAsia="zh-CN"/>
              </w:rPr>
              <w:t>分不超过8</w:t>
            </w:r>
            <w:r>
              <w:rPr>
                <w:rFonts w:hint="eastAsia" w:ascii="宋体" w:hAnsi="宋体" w:cs="宋体"/>
                <w:color w:val="000000"/>
                <w:sz w:val="28"/>
                <w:szCs w:val="28"/>
                <w:shd w:val="clear" w:color="auto" w:fill="FFFFFF"/>
              </w:rPr>
              <w:t>分。</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default" w:eastAsia="宋体"/>
                <w:sz w:val="28"/>
                <w:szCs w:val="28"/>
                <w:lang w:val="en-US" w:eastAsia="zh-CN"/>
              </w:rPr>
            </w:pP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cs="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安装技术水平</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3</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cs="宋体"/>
                <w:sz w:val="28"/>
                <w:szCs w:val="28"/>
              </w:rPr>
            </w:pPr>
            <w:r>
              <w:rPr>
                <w:rFonts w:hint="eastAsia" w:ascii="宋体" w:hAnsi="宋体"/>
                <w:sz w:val="28"/>
                <w:szCs w:val="28"/>
                <w:lang w:val="en-US" w:eastAsia="zh-CN"/>
              </w:rPr>
              <w:t>疆内有专门联络员（名单、缴纳社保证明）得0.5分，</w:t>
            </w:r>
            <w:r>
              <w:rPr>
                <w:rFonts w:hint="eastAsia" w:ascii="宋体" w:hAnsi="宋体"/>
                <w:sz w:val="28"/>
                <w:szCs w:val="28"/>
              </w:rPr>
              <w:t>配备</w:t>
            </w:r>
            <w:r>
              <w:rPr>
                <w:rFonts w:hint="eastAsia" w:ascii="宋体" w:hAnsi="宋体"/>
                <w:sz w:val="28"/>
                <w:szCs w:val="28"/>
                <w:lang w:val="en-US" w:eastAsia="zh-CN"/>
              </w:rPr>
              <w:t>2名以上</w:t>
            </w:r>
            <w:r>
              <w:rPr>
                <w:rFonts w:hint="eastAsia" w:ascii="宋体" w:hAnsi="宋体"/>
                <w:sz w:val="28"/>
                <w:szCs w:val="28"/>
              </w:rPr>
              <w:t>安装技术人员，</w:t>
            </w:r>
            <w:r>
              <w:rPr>
                <w:rFonts w:hint="eastAsia" w:ascii="宋体" w:hAnsi="宋体"/>
                <w:sz w:val="28"/>
                <w:szCs w:val="28"/>
                <w:lang w:val="en-US" w:eastAsia="zh-CN"/>
              </w:rPr>
              <w:t>得1分。设备安装</w:t>
            </w:r>
            <w:r>
              <w:rPr>
                <w:rFonts w:hint="eastAsia" w:ascii="宋体" w:hAnsi="宋体"/>
                <w:sz w:val="28"/>
                <w:szCs w:val="28"/>
              </w:rPr>
              <w:t>技术</w:t>
            </w:r>
            <w:r>
              <w:rPr>
                <w:rFonts w:hint="eastAsia" w:ascii="宋体" w:hAnsi="宋体"/>
                <w:sz w:val="28"/>
                <w:szCs w:val="28"/>
                <w:lang w:val="en-US" w:eastAsia="zh-CN"/>
              </w:rPr>
              <w:t>负责人有相应安装</w:t>
            </w:r>
            <w:r>
              <w:rPr>
                <w:rFonts w:hint="eastAsia" w:ascii="宋体" w:hAnsi="宋体"/>
                <w:sz w:val="28"/>
                <w:szCs w:val="28"/>
              </w:rPr>
              <w:t>经验</w:t>
            </w:r>
            <w:r>
              <w:rPr>
                <w:rFonts w:hint="eastAsia" w:ascii="宋体" w:hAnsi="宋体"/>
                <w:sz w:val="28"/>
                <w:szCs w:val="28"/>
                <w:lang w:eastAsia="zh-CN"/>
              </w:rPr>
              <w:t>（</w:t>
            </w:r>
            <w:r>
              <w:rPr>
                <w:rFonts w:hint="eastAsia" w:ascii="宋体" w:hAnsi="宋体"/>
                <w:sz w:val="28"/>
                <w:szCs w:val="28"/>
                <w:lang w:val="en-US" w:eastAsia="zh-CN"/>
              </w:rPr>
              <w:t>提供业绩证明</w:t>
            </w:r>
            <w:r>
              <w:rPr>
                <w:rFonts w:hint="eastAsia" w:ascii="宋体" w:hAnsi="宋体"/>
                <w:sz w:val="28"/>
                <w:szCs w:val="28"/>
                <w:lang w:eastAsia="zh-CN"/>
              </w:rPr>
              <w:t>）</w:t>
            </w:r>
            <w:r>
              <w:rPr>
                <w:rFonts w:hint="eastAsia" w:ascii="宋体" w:hAnsi="宋体"/>
                <w:sz w:val="28"/>
                <w:szCs w:val="28"/>
                <w:lang w:val="en-US" w:eastAsia="zh-CN"/>
              </w:rPr>
              <w:t>得0.5分</w:t>
            </w:r>
            <w:r>
              <w:rPr>
                <w:rFonts w:hint="eastAsia" w:ascii="宋体" w:hAnsi="宋体"/>
                <w:sz w:val="28"/>
                <w:szCs w:val="28"/>
                <w:lang w:eastAsia="zh-CN"/>
              </w:rPr>
              <w:t>。</w:t>
            </w:r>
            <w:r>
              <w:rPr>
                <w:rFonts w:hint="eastAsia" w:ascii="宋体" w:hAnsi="宋体"/>
                <w:sz w:val="28"/>
                <w:szCs w:val="28"/>
              </w:rPr>
              <w:t>对仪器设备的安装调试和使用操作</w:t>
            </w:r>
            <w:r>
              <w:rPr>
                <w:rFonts w:hint="eastAsia" w:ascii="宋体" w:hAnsi="宋体"/>
                <w:sz w:val="28"/>
                <w:szCs w:val="28"/>
                <w:lang w:val="en-US" w:eastAsia="zh-CN"/>
              </w:rPr>
              <w:t>有</w:t>
            </w:r>
            <w:r>
              <w:rPr>
                <w:rFonts w:hint="eastAsia" w:ascii="宋体" w:hAnsi="宋体"/>
                <w:sz w:val="28"/>
                <w:szCs w:val="28"/>
              </w:rPr>
              <w:t>培训方案</w:t>
            </w:r>
            <w:r>
              <w:rPr>
                <w:rFonts w:hint="eastAsia" w:ascii="宋体" w:hAnsi="宋体"/>
                <w:sz w:val="28"/>
                <w:szCs w:val="28"/>
                <w:lang w:eastAsia="zh-CN"/>
              </w:rPr>
              <w:t>，</w:t>
            </w:r>
            <w:r>
              <w:rPr>
                <w:rFonts w:hint="eastAsia" w:ascii="宋体" w:hAnsi="宋体"/>
                <w:sz w:val="28"/>
                <w:szCs w:val="28"/>
                <w:lang w:val="en-US" w:eastAsia="zh-CN"/>
              </w:rPr>
              <w:t>方案合理得1分。一般得0.5分</w:t>
            </w:r>
            <w:r>
              <w:rPr>
                <w:rFonts w:hint="eastAsia" w:ascii="宋体" w:hAnsi="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其他</w:t>
            </w:r>
          </w:p>
        </w:tc>
        <w:tc>
          <w:tcPr>
            <w:tcW w:w="1462"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加减分项</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sz w:val="28"/>
                <w:szCs w:val="28"/>
                <w:lang w:val="en-US" w:eastAsia="zh-CN"/>
              </w:rPr>
            </w:pPr>
            <w:r>
              <w:rPr>
                <w:rFonts w:hint="eastAsia"/>
                <w:lang w:val="en-US" w:eastAsia="zh-CN"/>
              </w:rPr>
              <w:t>1</w:t>
            </w:r>
            <w:r>
              <w:rPr>
                <w:rFonts w:hint="eastAsia" w:ascii="宋体" w:hAnsi="宋体"/>
                <w:sz w:val="28"/>
                <w:szCs w:val="28"/>
                <w:lang w:val="en-US" w:eastAsia="zh-CN"/>
              </w:rPr>
              <w:t>、对中小微企业（含监狱企业、残疾人福利企业）产品的价格给予6%的扣除，用扣除后的价格参与评标。（持“中小企业声明函”和政府相关部门认定文件认定）</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default"/>
                <w:lang w:val="en-US" w:eastAsia="zh-CN"/>
              </w:rPr>
            </w:pPr>
            <w:r>
              <w:rPr>
                <w:rFonts w:hint="eastAsia" w:ascii="宋体" w:hAnsi="宋体"/>
                <w:sz w:val="28"/>
                <w:szCs w:val="28"/>
                <w:lang w:val="en-US" w:eastAsia="zh-CN"/>
              </w:rPr>
              <w:t>2、按其他规定、不良行为需要加分、减分的。</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noWrap w:val="0"/>
            <w:vAlign w:val="center"/>
          </w:tcPr>
          <w:p>
            <w:pPr>
              <w:keepNext w:val="0"/>
              <w:keepLines w:val="0"/>
              <w:widowControl/>
              <w:suppressLineNumbers w:val="0"/>
              <w:spacing w:before="0" w:beforeAutospacing="0" w:afterAutospacing="0" w:line="0" w:lineRule="atLeast"/>
              <w:ind w:left="0" w:right="0"/>
              <w:jc w:val="center"/>
              <w:rPr>
                <w:rFonts w:hint="eastAsia" w:ascii="宋体" w:hAnsi="宋体" w:cs="宋体"/>
                <w:sz w:val="24"/>
                <w:szCs w:val="24"/>
              </w:rPr>
            </w:pPr>
            <w:r>
              <w:rPr>
                <w:rFonts w:hint="eastAsia" w:ascii="黑体" w:hAnsi="黑体" w:eastAsia="黑体" w:cs="黑体"/>
                <w:sz w:val="24"/>
                <w:szCs w:val="24"/>
              </w:rPr>
              <w:t>总得分</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cs="宋体"/>
                <w:bCs/>
                <w:kern w:val="0"/>
                <w:sz w:val="28"/>
                <w:szCs w:val="28"/>
              </w:rPr>
            </w:pPr>
            <w:r>
              <w:rPr>
                <w:rFonts w:hint="eastAsia" w:ascii="宋体" w:hAnsi="宋体" w:cs="宋体"/>
                <w:color w:val="000000"/>
                <w:sz w:val="28"/>
                <w:szCs w:val="28"/>
              </w:rPr>
              <w:t>技术参数中标注“*”或“☆”号的为</w:t>
            </w:r>
            <w:r>
              <w:rPr>
                <w:rFonts w:hint="eastAsia" w:ascii="宋体" w:hAnsi="宋体" w:cs="宋体"/>
                <w:color w:val="000000"/>
                <w:sz w:val="28"/>
                <w:szCs w:val="28"/>
                <w:lang w:val="en-US" w:eastAsia="zh-CN"/>
              </w:rPr>
              <w:t>关键（核心）</w:t>
            </w:r>
            <w:r>
              <w:rPr>
                <w:rFonts w:hint="eastAsia" w:ascii="宋体" w:hAnsi="宋体" w:cs="宋体"/>
                <w:color w:val="000000"/>
                <w:sz w:val="28"/>
                <w:szCs w:val="28"/>
              </w:rPr>
              <w:t>参数</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bl>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r>
        <w:rPr>
          <w:rFonts w:hint="eastAsia"/>
          <w:color w:val="000000" w:themeColor="text1"/>
          <w:kern w:val="44"/>
          <w14:textFill>
            <w14:solidFill>
              <w14:schemeClr w14:val="tx1"/>
            </w14:solidFill>
          </w14:textFill>
        </w:rPr>
        <w:t>第四章   合同条款</w:t>
      </w:r>
      <w:bookmarkEnd w:id="153"/>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1、定义</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 本合同下列词语应解释为：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①“合同”系指买卖双方签署的、合同格式中载明的买卖双方所达成的协议，包括所有的附件、附录和上述文件所提到的构成合同的所有文件。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②“合同价格”系指根据本合同规定供应商在正确地完全履行合同义务后采购人应支付给供应商的价款。</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③“服务”系指根据本合同规定供应商承担与施工有关的辅助服务，如运输、安装、摆放、保险、培训以及其它的伴随服务，例如：提供技术援助和合同中规定供应商应承担的其它义务。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④“现场”系指将要进行货运和运转的地点。</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⑤“验收”系指采购人依据技术规定接受所施工物应依据的程序和条件。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2、技术规格和标准</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2.1本合同下交付的货物应符合技术规格参数与要求所述的标准。如果没有提及的标准，则应符合中华人民共和国有关机构发布的最新标准。</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3、货款支付办法</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3.1 见第一章。</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5、技术资料</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5.1 供应商应向采购人提供所有相关的资料，包括产品质量合格证、产品检验报告（加盖公章的复印件）等资料，如本条款所述不完整或资料丢失，供应商应在收到通知后5天内免费提供。</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6、价格</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6.1供应商在本合同履行价格在合同中给出。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7、质量保证</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7.1 供应商应保证其所提供的施工符合规定的规格质量。</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8、验收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8.1 供应商可以邀请相关的技术专家对供应商施工的场地进行评审验收。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9、延期交工与核定损失额</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9.1 如果供应商未能按照合同规定的时间按期交工（本合同15款规定之不可抗力因素除外）。核定损失比率为每迟交1天，按照合同金额的1%进行罚款。如果供应商在采购人同意延长的时间内仍不能交货，采购人有权因供应商违约撤销合同，而供应商除赔偿经济损失外，仍需要接受上述迟交损失额。</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10、不可抗力</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10.2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11、合同纠纷解决</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11.1因执行本合同所发生的或与本合同有关的一切争议，双方应通过友好协商解决。如果协商开始后六十天还不能解决，任何一方均可按中华人民共和国有关法律的规定提交仲裁。</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12、违约终止合同</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12.1 如供应商违约，采购人可向供应商发出书面违约通知书，提出终止部分或全部合同。</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①如果供应商未能在合同规定的期限内或采购人准许延长的期限内提供部分或全部货物；</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②如果供应商未能履行合同规定的其它任何义务；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在上述任何一种情况下，供应商收到采购人发出违约通知后5天内仍未纠正其过失。</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13、合同修改</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13.1 欲对合同条款作出任何改动，均须由买、卖双方签署书面合同修改书。</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14、转让与分包</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14.1 除采购人事先书面同意外，供应商不得部分转让或全部转让其应履行的合同项下的义务。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15、适用法律</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15.1 本合同应按《中华人民共和国合同法》解释。</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16、通知</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16.1本合同任何一方给另一方的通知都应以函电、传真的形式发送，而另一方应以相应的形式确认并发送到对方明确的地址。</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17、合同文件及资料的使用</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17.1 除了供应商执行合同所雇人员外，在未经采购人同意的情况下，供应商不得将合同、合同中规定的内容向供应商提供的资料透露给任何人。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18合同生效及其他</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18.1 本合同经双方签字盖章后即生效。</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18.2 供应商必须按技术规格要求中规定，向采购人提供与合同项下货物有关的技术服务、及其他相关服务。</w:t>
      </w: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jc w:val="center"/>
        <w:rPr>
          <w:b/>
          <w:bCs/>
          <w:color w:val="000000" w:themeColor="text1"/>
          <w:kern w:val="44"/>
          <w:sz w:val="32"/>
          <w:szCs w:val="32"/>
          <w14:textFill>
            <w14:solidFill>
              <w14:schemeClr w14:val="tx1"/>
            </w14:solidFill>
          </w14:textFill>
        </w:rPr>
      </w:pPr>
    </w:p>
    <w:p>
      <w:pPr>
        <w:pStyle w:val="14"/>
        <w:jc w:val="center"/>
        <w:rPr>
          <w:rFonts w:hint="eastAsia"/>
          <w:b/>
          <w:bCs/>
          <w:color w:val="000000" w:themeColor="text1"/>
          <w:kern w:val="44"/>
          <w:sz w:val="32"/>
          <w:szCs w:val="32"/>
          <w14:textFill>
            <w14:solidFill>
              <w14:schemeClr w14:val="tx1"/>
            </w14:solidFill>
          </w14:textFill>
        </w:rPr>
      </w:pPr>
    </w:p>
    <w:p>
      <w:pPr>
        <w:pStyle w:val="14"/>
        <w:jc w:val="center"/>
        <w:rPr>
          <w:rFonts w:hint="eastAsia"/>
          <w:b/>
          <w:bCs/>
          <w:color w:val="000000" w:themeColor="text1"/>
          <w:kern w:val="44"/>
          <w:sz w:val="32"/>
          <w:szCs w:val="32"/>
          <w14:textFill>
            <w14:solidFill>
              <w14:schemeClr w14:val="tx1"/>
            </w14:solidFill>
          </w14:textFill>
        </w:rPr>
      </w:pPr>
    </w:p>
    <w:p>
      <w:pPr>
        <w:pStyle w:val="14"/>
        <w:jc w:val="center"/>
        <w:rPr>
          <w:rFonts w:hint="eastAsia" w:ascii="宋体" w:hAnsi="宋体" w:eastAsiaTheme="minorEastAsia"/>
          <w:sz w:val="32"/>
          <w:szCs w:val="32"/>
          <w:lang w:val="en-US" w:eastAsia="zh-CN"/>
        </w:rPr>
      </w:pPr>
      <w:r>
        <w:rPr>
          <w:rFonts w:hint="eastAsia"/>
          <w:b/>
          <w:bCs/>
          <w:color w:val="000000" w:themeColor="text1"/>
          <w:kern w:val="44"/>
          <w:sz w:val="32"/>
          <w:szCs w:val="32"/>
          <w14:textFill>
            <w14:solidFill>
              <w14:schemeClr w14:val="tx1"/>
            </w14:solidFill>
          </w14:textFill>
        </w:rPr>
        <w:t>第六部分</w:t>
      </w:r>
      <w:r>
        <w:rPr>
          <w:rFonts w:hint="eastAsia"/>
          <w:b/>
          <w:bCs/>
          <w:color w:val="000000" w:themeColor="text1"/>
          <w:kern w:val="44"/>
          <w:sz w:val="32"/>
          <w:szCs w:val="32"/>
          <w:lang w:val="en-US" w:eastAsia="zh-CN"/>
          <w14:textFill>
            <w14:solidFill>
              <w14:schemeClr w14:val="tx1"/>
            </w14:solidFill>
          </w14:textFill>
        </w:rPr>
        <w:t xml:space="preserve">  技术参数</w:t>
      </w:r>
    </w:p>
    <w:p>
      <w:pPr>
        <w:spacing w:line="360" w:lineRule="auto"/>
        <w:ind w:firstLine="640" w:firstLineChars="200"/>
        <w:rPr>
          <w:rFonts w:ascii="宋体" w:hAnsi="宋体"/>
          <w:sz w:val="32"/>
          <w:szCs w:val="32"/>
        </w:rPr>
      </w:pPr>
    </w:p>
    <w:p>
      <w:pPr>
        <w:numPr>
          <w:ilvl w:val="0"/>
          <w:numId w:val="0"/>
        </w:numPr>
        <w:snapToGrid/>
        <w:spacing w:before="0" w:beforeAutospacing="0" w:after="0" w:afterAutospacing="0" w:line="240" w:lineRule="auto"/>
        <w:jc w:val="both"/>
        <w:textAlignment w:val="baseline"/>
        <w:rPr>
          <w:rFonts w:hint="eastAsia"/>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default" w:eastAsia="宋体"/>
          <w:b/>
          <w:bCs/>
          <w:i w:val="0"/>
          <w:caps w:val="0"/>
          <w:spacing w:val="0"/>
          <w:w w:val="100"/>
          <w:sz w:val="32"/>
          <w:szCs w:val="32"/>
          <w:lang w:val="en-US" w:eastAsia="zh-CN"/>
        </w:rPr>
      </w:pPr>
      <w:r>
        <w:rPr>
          <w:rFonts w:hint="eastAsia"/>
          <w:b/>
          <w:bCs/>
          <w:i w:val="0"/>
          <w:caps w:val="0"/>
          <w:spacing w:val="0"/>
          <w:w w:val="100"/>
          <w:sz w:val="32"/>
          <w:szCs w:val="32"/>
          <w:lang w:val="en-US" w:eastAsia="zh-CN"/>
        </w:rPr>
        <w:t>一</w:t>
      </w:r>
      <w:r>
        <w:rPr>
          <w:rFonts w:hint="eastAsia" w:eastAsia="宋体"/>
          <w:b/>
          <w:bCs/>
          <w:i w:val="0"/>
          <w:caps w:val="0"/>
          <w:spacing w:val="0"/>
          <w:w w:val="100"/>
          <w:sz w:val="32"/>
          <w:szCs w:val="32"/>
          <w:lang w:val="en-US" w:eastAsia="zh-CN"/>
        </w:rPr>
        <w:t>、设备购置清单</w:t>
      </w:r>
    </w:p>
    <w:p>
      <w:pPr>
        <w:numPr>
          <w:ilvl w:val="0"/>
          <w:numId w:val="0"/>
        </w:numPr>
        <w:snapToGrid/>
        <w:spacing w:before="0" w:beforeAutospacing="0" w:after="0" w:afterAutospacing="0" w:line="240" w:lineRule="auto"/>
        <w:jc w:val="both"/>
        <w:textAlignment w:val="baseline"/>
        <w:rPr>
          <w:rFonts w:hint="default" w:eastAsia="宋体"/>
          <w:b/>
          <w:bCs/>
          <w:i w:val="0"/>
          <w:caps w:val="0"/>
          <w:spacing w:val="0"/>
          <w:w w:val="100"/>
          <w:sz w:val="32"/>
          <w:szCs w:val="32"/>
          <w:lang w:val="en-US" w:eastAsia="zh-CN"/>
        </w:rPr>
      </w:pPr>
    </w:p>
    <w:p>
      <w:pPr>
        <w:pStyle w:val="2"/>
        <w:rPr>
          <w:rFonts w:hint="default" w:eastAsia="宋体"/>
          <w:b/>
          <w:bCs/>
          <w:i w:val="0"/>
          <w:caps w:val="0"/>
          <w:spacing w:val="0"/>
          <w:w w:val="100"/>
          <w:sz w:val="32"/>
          <w:szCs w:val="32"/>
          <w:lang w:val="en-US" w:eastAsia="zh-CN"/>
        </w:rPr>
      </w:pPr>
    </w:p>
    <w:p>
      <w:pPr>
        <w:rPr>
          <w:rFonts w:hint="default" w:eastAsia="宋体"/>
          <w:b/>
          <w:bCs/>
          <w:i w:val="0"/>
          <w:caps w:val="0"/>
          <w:spacing w:val="0"/>
          <w:w w:val="100"/>
          <w:sz w:val="32"/>
          <w:szCs w:val="32"/>
          <w:lang w:val="en-US" w:eastAsia="zh-CN"/>
        </w:rPr>
      </w:pPr>
    </w:p>
    <w:p>
      <w:pPr>
        <w:pStyle w:val="2"/>
        <w:rPr>
          <w:rFonts w:hint="default"/>
          <w:lang w:val="en-US" w:eastAsia="zh-CN"/>
        </w:rPr>
      </w:pPr>
    </w:p>
    <w:tbl>
      <w:tblPr>
        <w:tblStyle w:val="40"/>
        <w:tblpPr w:leftFromText="180" w:rightFromText="180" w:vertAnchor="page" w:horzAnchor="page" w:tblpX="1249" w:tblpY="3705"/>
        <w:tblOverlap w:val="never"/>
        <w:tblW w:w="7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4"/>
        <w:gridCol w:w="4013"/>
        <w:gridCol w:w="3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鼻内镜手术器械</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1套（54件）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耳内镜支撑喉镜手术器械</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1套（64件）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等离子射频手术系统</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手术动力装置</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中耳分析仪</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耳鼻喉综合治疗台</w:t>
            </w:r>
          </w:p>
        </w:tc>
        <w:tc>
          <w:tcPr>
            <w:tcW w:w="31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r>
    </w:tbl>
    <w:p>
      <w:pPr>
        <w:pStyle w:val="2"/>
        <w:rPr>
          <w:rFonts w:hint="default" w:eastAsia="宋体"/>
          <w:b/>
          <w:bCs/>
          <w:i w:val="0"/>
          <w:caps w:val="0"/>
          <w:spacing w:val="0"/>
          <w:w w:val="100"/>
          <w:sz w:val="32"/>
          <w:szCs w:val="32"/>
          <w:lang w:val="en-US" w:eastAsia="zh-CN"/>
        </w:rPr>
      </w:pPr>
    </w:p>
    <w:p>
      <w:pPr>
        <w:rPr>
          <w:rFonts w:hint="default" w:eastAsia="宋体"/>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eastAsia"/>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eastAsia"/>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eastAsia"/>
          <w:b/>
          <w:bCs/>
          <w:i w:val="0"/>
          <w:caps w:val="0"/>
          <w:spacing w:val="0"/>
          <w:w w:val="100"/>
          <w:sz w:val="32"/>
          <w:szCs w:val="32"/>
          <w:lang w:val="en-US" w:eastAsia="zh-CN"/>
        </w:rPr>
      </w:pPr>
      <w:bookmarkStart w:id="199" w:name="_GoBack"/>
      <w:bookmarkEnd w:id="199"/>
    </w:p>
    <w:p>
      <w:pPr>
        <w:numPr>
          <w:ilvl w:val="0"/>
          <w:numId w:val="0"/>
        </w:numPr>
        <w:snapToGrid/>
        <w:spacing w:before="0" w:beforeAutospacing="0" w:after="0" w:afterAutospacing="0" w:line="240" w:lineRule="auto"/>
        <w:jc w:val="both"/>
        <w:textAlignment w:val="baseline"/>
        <w:rPr>
          <w:rFonts w:hint="default" w:eastAsia="宋体"/>
          <w:b/>
          <w:bCs/>
          <w:i w:val="0"/>
          <w:caps w:val="0"/>
          <w:spacing w:val="0"/>
          <w:w w:val="100"/>
          <w:sz w:val="32"/>
          <w:szCs w:val="32"/>
          <w:lang w:val="en-US" w:eastAsia="zh-CN"/>
        </w:rPr>
      </w:pPr>
      <w:r>
        <w:rPr>
          <w:rFonts w:hint="eastAsia"/>
          <w:b/>
          <w:bCs/>
          <w:i w:val="0"/>
          <w:caps w:val="0"/>
          <w:spacing w:val="0"/>
          <w:w w:val="100"/>
          <w:sz w:val="32"/>
          <w:szCs w:val="32"/>
          <w:lang w:val="en-US" w:eastAsia="zh-CN"/>
        </w:rPr>
        <w:t>二、采购仪器设备参数</w:t>
      </w:r>
    </w:p>
    <w:p>
      <w:pPr>
        <w:numPr>
          <w:ilvl w:val="0"/>
          <w:numId w:val="0"/>
        </w:numPr>
        <w:snapToGrid/>
        <w:spacing w:before="0" w:beforeAutospacing="0" w:after="0" w:afterAutospacing="0" w:line="240" w:lineRule="auto"/>
        <w:jc w:val="both"/>
        <w:textAlignment w:val="baseline"/>
        <w:rPr>
          <w:rFonts w:hint="default" w:eastAsia="宋体"/>
          <w:b/>
          <w:bCs/>
          <w:i w:val="0"/>
          <w:caps w:val="0"/>
          <w:spacing w:val="0"/>
          <w:w w:val="100"/>
          <w:sz w:val="32"/>
          <w:szCs w:val="32"/>
          <w:lang w:val="en-US" w:eastAsia="zh-CN"/>
        </w:rPr>
      </w:pPr>
      <w:r>
        <w:rPr>
          <w:rFonts w:hint="eastAsia"/>
          <w:b/>
          <w:bCs/>
          <w:i w:val="0"/>
          <w:caps w:val="0"/>
          <w:spacing w:val="0"/>
          <w:w w:val="100"/>
          <w:sz w:val="32"/>
          <w:szCs w:val="32"/>
          <w:lang w:val="en-US" w:eastAsia="zh-CN"/>
        </w:rPr>
        <w:t>采购仪器设备参数</w:t>
      </w:r>
    </w:p>
    <w:p>
      <w:pPr>
        <w:rPr>
          <w:rFonts w:hint="eastAsia"/>
          <w:lang w:val="en-US" w:eastAsia="zh-CN"/>
        </w:rPr>
      </w:pPr>
      <w:r>
        <w:rPr>
          <w:rFonts w:hint="eastAsia"/>
          <w:lang w:val="en-US" w:eastAsia="zh-CN"/>
        </w:rPr>
        <w:t>（一）等离子射频手术系统技术参数</w:t>
      </w:r>
    </w:p>
    <w:p>
      <w:pPr>
        <w:rPr>
          <w:rFonts w:hint="eastAsia"/>
          <w:lang w:val="en-US" w:eastAsia="zh-CN"/>
        </w:rPr>
      </w:pPr>
      <w:r>
        <w:rPr>
          <w:rFonts w:hint="eastAsia"/>
          <w:lang w:val="en-US" w:eastAsia="zh-CN"/>
        </w:rPr>
        <w:t>主机</w:t>
      </w:r>
    </w:p>
    <w:p>
      <w:pPr>
        <w:rPr>
          <w:rFonts w:hint="eastAsia"/>
          <w:lang w:val="en-US" w:eastAsia="zh-CN"/>
        </w:rPr>
      </w:pPr>
      <w:r>
        <w:rPr>
          <w:rFonts w:hint="eastAsia"/>
          <w:lang w:val="en-US" w:eastAsia="zh-CN"/>
        </w:rPr>
        <w:t>1..具有射频消融功能（双极射频电极消融）和等离子消融切割功能；</w:t>
      </w:r>
    </w:p>
    <w:p>
      <w:pPr>
        <w:rPr>
          <w:rFonts w:hint="eastAsia"/>
          <w:lang w:val="en-US" w:eastAsia="zh-CN"/>
        </w:rPr>
      </w:pPr>
      <w:r>
        <w:rPr>
          <w:rFonts w:hint="eastAsia"/>
          <w:lang w:val="en-US" w:eastAsia="zh-CN"/>
        </w:rPr>
        <w:t>2.具有内镜下消融切割和止血功能，通过了国家医疗器械检测部门对电极在内镜下使用的相关国家标准要求（GB9706.19）的检测。需要提供对应的检测证明或者注册证上体现；意义：对较深部位进行内镜下消融切割和止血；</w:t>
      </w:r>
    </w:p>
    <w:p>
      <w:pPr>
        <w:rPr>
          <w:rFonts w:hint="eastAsia"/>
          <w:lang w:val="en-US" w:eastAsia="zh-CN"/>
        </w:rPr>
      </w:pPr>
      <w:r>
        <w:rPr>
          <w:rFonts w:hint="eastAsia"/>
          <w:lang w:val="en-US" w:eastAsia="zh-CN"/>
        </w:rPr>
        <w:t>3.可选鼻咽喉镜、纤支镜下专用电极，可通过内镜钳道进行手术；</w:t>
      </w:r>
    </w:p>
    <w:p>
      <w:pPr>
        <w:rPr>
          <w:rFonts w:hint="eastAsia"/>
          <w:lang w:val="en-US" w:eastAsia="zh-CN"/>
        </w:rPr>
      </w:pPr>
      <w:r>
        <w:rPr>
          <w:rFonts w:hint="eastAsia"/>
          <w:lang w:val="en-US" w:eastAsia="zh-CN"/>
        </w:rPr>
        <w:t>4.时间可控制在500毫秒内；</w:t>
      </w:r>
    </w:p>
    <w:p>
      <w:pPr>
        <w:rPr>
          <w:rFonts w:hint="eastAsia"/>
          <w:lang w:val="en-US" w:eastAsia="zh-CN"/>
        </w:rPr>
      </w:pPr>
      <w:r>
        <w:rPr>
          <w:rFonts w:hint="eastAsia"/>
          <w:lang w:val="en-US" w:eastAsia="zh-CN"/>
        </w:rPr>
        <w:t>5.工作频率100KHz，需提供产品的注册证或者检测报告；</w:t>
      </w:r>
    </w:p>
    <w:p>
      <w:pPr>
        <w:rPr>
          <w:rFonts w:hint="eastAsia"/>
          <w:lang w:val="en-US" w:eastAsia="zh-CN"/>
        </w:rPr>
      </w:pPr>
      <w:r>
        <w:rPr>
          <w:rFonts w:hint="eastAsia"/>
          <w:lang w:val="en-US" w:eastAsia="zh-CN"/>
        </w:rPr>
        <w:t>6自动检测附件及刀头功能：能在连接好脚踏和手柄后主机根据不同刀头自动设置默认功率大小；</w:t>
      </w:r>
    </w:p>
    <w:p>
      <w:pPr>
        <w:rPr>
          <w:rFonts w:hint="eastAsia"/>
          <w:lang w:val="en-US" w:eastAsia="zh-CN"/>
        </w:rPr>
      </w:pPr>
      <w:r>
        <w:rPr>
          <w:rFonts w:hint="eastAsia"/>
          <w:lang w:val="en-US" w:eastAsia="zh-CN"/>
        </w:rPr>
        <w:t>7.安全可控：</w:t>
      </w:r>
    </w:p>
    <w:p>
      <w:pPr>
        <w:rPr>
          <w:rFonts w:hint="eastAsia"/>
          <w:lang w:val="en-US" w:eastAsia="zh-CN"/>
        </w:rPr>
      </w:pPr>
      <w:r>
        <w:rPr>
          <w:rFonts w:hint="eastAsia"/>
          <w:lang w:val="en-US" w:eastAsia="zh-CN"/>
        </w:rPr>
        <w:t>低温控制：工作温度仅为40-70℃，创面无碳化，对周边组织损伤小；</w:t>
      </w:r>
    </w:p>
    <w:p>
      <w:pPr>
        <w:rPr>
          <w:rFonts w:hint="eastAsia"/>
          <w:lang w:val="en-US" w:eastAsia="zh-CN"/>
        </w:rPr>
      </w:pPr>
      <w:r>
        <w:rPr>
          <w:rFonts w:hint="eastAsia"/>
          <w:lang w:val="en-US" w:eastAsia="zh-CN"/>
        </w:rPr>
        <w:t>操作精确：消融作用在靶组织表面，离子作用仅为130微米；</w:t>
      </w:r>
    </w:p>
    <w:p>
      <w:pPr>
        <w:rPr>
          <w:rFonts w:hint="eastAsia"/>
          <w:lang w:val="en-US" w:eastAsia="zh-CN"/>
        </w:rPr>
      </w:pPr>
      <w:r>
        <w:rPr>
          <w:rFonts w:hint="eastAsia"/>
          <w:lang w:val="en-US" w:eastAsia="zh-CN"/>
        </w:rPr>
        <w:t>创伤轻微：黏膜损伤小、出血少、疼痛轻、恢复快。</w:t>
      </w:r>
    </w:p>
    <w:p>
      <w:pPr>
        <w:rPr>
          <w:rFonts w:hint="eastAsia"/>
          <w:lang w:val="en-US" w:eastAsia="zh-CN"/>
        </w:rPr>
      </w:pPr>
      <w:r>
        <w:rPr>
          <w:rFonts w:hint="eastAsia"/>
          <w:lang w:val="en-US" w:eastAsia="zh-CN"/>
        </w:rPr>
        <w:t>一次性双极射频等离子体手术电极（射频等离子刀头）</w:t>
      </w:r>
    </w:p>
    <w:p>
      <w:pPr>
        <w:rPr>
          <w:rFonts w:hint="eastAsia"/>
          <w:lang w:val="en-US" w:eastAsia="zh-CN"/>
        </w:rPr>
      </w:pPr>
      <w:r>
        <w:rPr>
          <w:rFonts w:hint="eastAsia"/>
          <w:lang w:val="en-US" w:eastAsia="zh-CN"/>
        </w:rPr>
        <w:t>1.临床用途：用于软组织切割、消融、凝血和干燥；</w:t>
      </w:r>
    </w:p>
    <w:p>
      <w:pPr>
        <w:rPr>
          <w:rFonts w:hint="eastAsia"/>
          <w:lang w:val="en-US" w:eastAsia="zh-CN"/>
        </w:rPr>
      </w:pPr>
      <w:r>
        <w:rPr>
          <w:rFonts w:hint="eastAsia"/>
          <w:lang w:val="en-US" w:eastAsia="zh-CN"/>
        </w:rPr>
        <w:t>2.适配参数：交流0</w:t>
      </w:r>
      <w:r>
        <w:rPr>
          <w:rFonts w:hint="eastAsia"/>
          <w:lang w:val="en-US" w:eastAsia="zh-CN"/>
        </w:rPr>
        <w:sym w:font="Symbol" w:char="F07E"/>
      </w:r>
      <w:r>
        <w:rPr>
          <w:rFonts w:hint="eastAsia"/>
          <w:lang w:val="en-US" w:eastAsia="zh-CN"/>
        </w:rPr>
        <w:t>360Vrms，100KHz</w:t>
      </w:r>
      <w:r>
        <w:rPr>
          <w:rFonts w:hint="eastAsia"/>
          <w:lang w:val="en-US" w:eastAsia="zh-CN"/>
        </w:rPr>
        <w:sym w:font="Symbol" w:char="F07E"/>
      </w:r>
      <w:r>
        <w:rPr>
          <w:rFonts w:hint="eastAsia"/>
          <w:lang w:val="en-US" w:eastAsia="zh-CN"/>
        </w:rPr>
        <w:t>5MHz、额定电压：500V；</w:t>
      </w:r>
    </w:p>
    <w:p>
      <w:pPr>
        <w:rPr>
          <w:rFonts w:hint="eastAsia"/>
          <w:lang w:val="en-US" w:eastAsia="zh-CN"/>
        </w:rPr>
      </w:pPr>
      <w:r>
        <w:rPr>
          <w:rFonts w:hint="eastAsia"/>
          <w:lang w:val="en-US" w:eastAsia="zh-CN"/>
        </w:rPr>
        <w:t>3.部分刀头含有吸引软管和滴注生理盐水功能；</w:t>
      </w:r>
    </w:p>
    <w:p>
      <w:pPr>
        <w:rPr>
          <w:rFonts w:hint="eastAsia"/>
          <w:lang w:val="en-US" w:eastAsia="zh-CN"/>
        </w:rPr>
      </w:pPr>
      <w:r>
        <w:rPr>
          <w:rFonts w:hint="eastAsia"/>
          <w:lang w:val="en-US" w:eastAsia="zh-CN"/>
        </w:rPr>
        <w:t>4.电极（刀头）为已灭菌一次性无菌产品，并具有药监部门一次性无菌体系考核证书；</w:t>
      </w:r>
    </w:p>
    <w:p>
      <w:pPr>
        <w:rPr>
          <w:rFonts w:hint="eastAsia"/>
          <w:lang w:val="en-US" w:eastAsia="zh-CN"/>
        </w:rPr>
      </w:pPr>
      <w:r>
        <w:rPr>
          <w:rFonts w:hint="eastAsia"/>
          <w:lang w:val="en-US" w:eastAsia="zh-CN"/>
        </w:rPr>
        <w:t>5.根据不同手术部位，不同的病症配备不同长短、粗细、弧度、能量级的治疗刀头；</w:t>
      </w:r>
    </w:p>
    <w:p>
      <w:pPr>
        <w:rPr>
          <w:rFonts w:hint="eastAsia"/>
          <w:lang w:val="en-US" w:eastAsia="zh-CN"/>
        </w:rPr>
      </w:pPr>
      <w:r>
        <w:rPr>
          <w:rFonts w:hint="eastAsia"/>
          <w:lang w:val="en-US" w:eastAsia="zh-CN"/>
        </w:rPr>
        <w:t>6.在同一支刀头、同一个输出接口输出，能同时实现消融、凝固、止血、切割功能，避免了手术操作过程中频繁更换治疗刀头的麻烦；</w:t>
      </w:r>
    </w:p>
    <w:p>
      <w:pPr>
        <w:rPr>
          <w:rFonts w:hint="eastAsia"/>
          <w:lang w:val="en-US" w:eastAsia="zh-CN"/>
        </w:rPr>
      </w:pPr>
      <w:r>
        <w:rPr>
          <w:rFonts w:hint="eastAsia"/>
          <w:lang w:val="en-US" w:eastAsia="zh-CN"/>
        </w:rPr>
        <w:t>具备多极吸引切割功能及配置，适合开展扁桃体、腺样体、乳头状瘤、息肉、CAUP、UPPP等；</w:t>
      </w:r>
    </w:p>
    <w:p>
      <w:pPr>
        <w:rPr>
          <w:rFonts w:hint="eastAsia"/>
          <w:lang w:val="en-US" w:eastAsia="zh-CN"/>
        </w:rPr>
      </w:pPr>
      <w:r>
        <w:rPr>
          <w:rFonts w:hint="eastAsia"/>
          <w:lang w:val="en-US" w:eastAsia="zh-CN"/>
        </w:rPr>
        <w:t>7.具有独立的医疗器械注册证的一次性双极射频等离子体手术电极（一次性射频等离子刀头／一次性等离子刀头／一次性射频消融针）；</w:t>
      </w:r>
    </w:p>
    <w:p>
      <w:pPr>
        <w:rPr>
          <w:rFonts w:hint="eastAsia"/>
          <w:lang w:val="en-US" w:eastAsia="zh-CN"/>
        </w:rPr>
      </w:pPr>
      <w:r>
        <w:rPr>
          <w:rFonts w:hint="eastAsia"/>
          <w:lang w:val="en-US" w:eastAsia="zh-CN"/>
        </w:rPr>
        <w:t>8.专为儿童耳鼻喉科手术设计的儿童专用刀头（刀杆长：130毫米；外刀杆直径：3.8毫米，常规刀头在4.2-6.0mm的直径），通过双环特殊设计，使该刀头切割、消融、吸引能力更强，刀头更细，对周围组织损伤小，适宜精准操作和儿童狭窄的生理结构下的手术操作，能适应更窄小的位置手术，同时能够到达传统刀头到达不了的位置。需要提供样品实物现场证明；</w:t>
      </w:r>
    </w:p>
    <w:p>
      <w:pPr>
        <w:rPr>
          <w:rFonts w:hint="eastAsia"/>
          <w:lang w:val="en-US" w:eastAsia="zh-CN"/>
        </w:rPr>
      </w:pPr>
      <w:r>
        <w:rPr>
          <w:rFonts w:hint="eastAsia"/>
          <w:lang w:val="en-US" w:eastAsia="zh-CN"/>
        </w:rPr>
        <w:t>9.专为头颈肿瘤制作了满足头颈肿瘤手术的刀头，能满足滴注、吸引、切割、止血，刀头采用双极方式设计，实现双侧吸引，双侧切割、止血的功能。刀头前段直径0.3mm,实现精准切割、精准剥离组织。刀杆抓手到刀头尖端小于130mm,使得操作者作用力精准。需要提供样品实物现场证明；</w:t>
      </w:r>
    </w:p>
    <w:p>
      <w:pPr>
        <w:rPr>
          <w:rFonts w:hint="eastAsia"/>
          <w:lang w:val="en-US" w:eastAsia="zh-CN"/>
        </w:rPr>
      </w:pPr>
      <w:r>
        <w:rPr>
          <w:rFonts w:hint="eastAsia"/>
          <w:lang w:val="en-US" w:eastAsia="zh-CN"/>
        </w:rPr>
        <w:t>10.专为耳科耳内镜手术下配合使用的等离子刀头，为耳内镜下手术实现无血化，保证视野清晰，充分保证耳内镜手术的安全及便捷性。刀头实现切割、止血、消融、凝固、滴注、吸引等功能等结合，刀杆总长度80mm，刀头直径在2.5mm。需要提供样品实物现场证明；</w:t>
      </w:r>
    </w:p>
    <w:p>
      <w:pPr>
        <w:rPr>
          <w:rFonts w:hint="default"/>
          <w:lang w:val="en-US" w:eastAsia="zh-CN"/>
        </w:rPr>
      </w:pPr>
      <w:r>
        <w:rPr>
          <w:rFonts w:hint="eastAsia"/>
          <w:lang w:val="en-US" w:eastAsia="zh-CN"/>
        </w:rPr>
        <w:t>11.喉科专用刀头，设计有1.9mm，2.5mm，3.4mm，3.8mm等直径的刀头，能充分满足喉深部、声门等的各种病变。需要提供样品实物现场证明。</w:t>
      </w:r>
    </w:p>
    <w:p>
      <w:pPr>
        <w:rPr>
          <w:rFonts w:hint="eastAsia"/>
          <w:lang w:val="en-US" w:eastAsia="zh-CN"/>
        </w:rPr>
      </w:pPr>
      <w:r>
        <w:rPr>
          <w:rFonts w:hint="eastAsia"/>
          <w:lang w:val="en-US" w:eastAsia="zh-CN"/>
        </w:rPr>
        <w:t>系统配置要求：</w:t>
      </w:r>
    </w:p>
    <w:p>
      <w:pPr>
        <w:rPr>
          <w:rFonts w:hint="eastAsia"/>
          <w:lang w:val="en-US" w:eastAsia="zh-CN"/>
        </w:rPr>
      </w:pPr>
      <w:r>
        <w:rPr>
          <w:rFonts w:hint="eastAsia"/>
          <w:lang w:val="en-US" w:eastAsia="zh-CN"/>
        </w:rPr>
        <w:t>1.系统主机（ 声光数字显示及控制系统）；</w:t>
      </w:r>
    </w:p>
    <w:p>
      <w:pPr>
        <w:rPr>
          <w:rFonts w:hint="eastAsia"/>
          <w:lang w:val="en-US" w:eastAsia="zh-CN"/>
        </w:rPr>
      </w:pPr>
      <w:r>
        <w:rPr>
          <w:rFonts w:hint="eastAsia"/>
          <w:lang w:val="en-US" w:eastAsia="zh-CN"/>
        </w:rPr>
        <w:t>2.三脚踏控制器（脚踏开关可以调节功率大小；</w:t>
      </w:r>
    </w:p>
    <w:p>
      <w:pPr>
        <w:rPr>
          <w:rFonts w:hint="eastAsia"/>
          <w:lang w:val="en-US" w:eastAsia="zh-CN"/>
        </w:rPr>
      </w:pPr>
      <w:r>
        <w:rPr>
          <w:rFonts w:hint="eastAsia"/>
          <w:lang w:val="en-US" w:eastAsia="zh-CN"/>
        </w:rPr>
        <w:t>3.流量控制器；</w:t>
      </w:r>
    </w:p>
    <w:p>
      <w:pPr>
        <w:rPr>
          <w:rFonts w:hint="eastAsia"/>
          <w:lang w:val="en-US" w:eastAsia="zh-CN"/>
        </w:rPr>
      </w:pPr>
      <w:r>
        <w:rPr>
          <w:rFonts w:hint="eastAsia"/>
          <w:lang w:val="en-US" w:eastAsia="zh-CN"/>
        </w:rPr>
        <w:t>4.等离子手柄连线；</w:t>
      </w:r>
    </w:p>
    <w:p>
      <w:pPr>
        <w:rPr>
          <w:rFonts w:hint="eastAsia"/>
          <w:lang w:val="en-US" w:eastAsia="zh-CN"/>
        </w:rPr>
      </w:pPr>
      <w:r>
        <w:rPr>
          <w:rFonts w:hint="eastAsia"/>
          <w:lang w:val="en-US" w:eastAsia="zh-CN"/>
        </w:rPr>
        <w:t>5.电源电缆；</w:t>
      </w:r>
    </w:p>
    <w:p>
      <w:pPr>
        <w:rPr>
          <w:rFonts w:hint="default"/>
          <w:lang w:val="en-US" w:eastAsia="zh-CN"/>
        </w:rPr>
      </w:pPr>
      <w:r>
        <w:rPr>
          <w:rFonts w:hint="eastAsia"/>
          <w:lang w:val="en-US" w:eastAsia="zh-CN"/>
        </w:rPr>
        <w:t>6.打孔消融射频等离子电极 1支；</w:t>
      </w:r>
    </w:p>
    <w:p>
      <w:pPr>
        <w:rPr>
          <w:rFonts w:hint="default"/>
          <w:lang w:val="en-US" w:eastAsia="zh-CN"/>
        </w:rPr>
      </w:pPr>
      <w:r>
        <w:rPr>
          <w:rFonts w:hint="eastAsia"/>
          <w:lang w:val="en-US" w:eastAsia="zh-CN"/>
        </w:rPr>
        <w:t>7.切割消融射频等离子电极 1支。</w:t>
      </w:r>
    </w:p>
    <w:p/>
    <w:p>
      <w:pPr>
        <w:rPr>
          <w:rFonts w:hint="eastAsia"/>
          <w:lang w:val="en-US" w:eastAsia="zh-CN"/>
        </w:rPr>
      </w:pPr>
      <w:r>
        <w:rPr>
          <w:rFonts w:hint="eastAsia"/>
          <w:lang w:val="en-US" w:eastAsia="zh-CN"/>
        </w:rPr>
        <w:t>二、手术动力装置技术参数</w:t>
      </w:r>
    </w:p>
    <w:tbl>
      <w:tblPr>
        <w:tblStyle w:val="40"/>
        <w:tblW w:w="97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99"/>
        <w:gridCol w:w="7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720" w:type="dxa"/>
            <w:tcBorders>
              <w:top w:val="single" w:color="auto" w:sz="4" w:space="0"/>
              <w:bottom w:val="single" w:color="auto" w:sz="4" w:space="0"/>
              <w:right w:val="single" w:color="auto" w:sz="4" w:space="0"/>
            </w:tcBorders>
            <w:vAlign w:val="center"/>
          </w:tcPr>
          <w:p>
            <w:r>
              <w:rPr>
                <w:rFonts w:hint="eastAsia"/>
              </w:rPr>
              <w:t>序号</w:t>
            </w:r>
          </w:p>
        </w:tc>
        <w:tc>
          <w:tcPr>
            <w:tcW w:w="1299" w:type="dxa"/>
            <w:tcBorders>
              <w:top w:val="single" w:color="auto" w:sz="4" w:space="0"/>
              <w:left w:val="single" w:color="auto" w:sz="4" w:space="0"/>
              <w:bottom w:val="single" w:color="auto" w:sz="4" w:space="0"/>
              <w:right w:val="single" w:color="auto" w:sz="4" w:space="0"/>
            </w:tcBorders>
            <w:vAlign w:val="center"/>
          </w:tcPr>
          <w:p>
            <w:r>
              <w:rPr>
                <w:rFonts w:hint="eastAsia"/>
              </w:rPr>
              <w:t>名称</w:t>
            </w:r>
          </w:p>
        </w:tc>
        <w:tc>
          <w:tcPr>
            <w:tcW w:w="7778" w:type="dxa"/>
            <w:tcBorders>
              <w:top w:val="single" w:color="auto" w:sz="4" w:space="0"/>
              <w:left w:val="single" w:color="auto" w:sz="4" w:space="0"/>
              <w:bottom w:val="single" w:color="auto" w:sz="4" w:space="0"/>
            </w:tcBorders>
            <w:vAlign w:val="center"/>
          </w:tcPr>
          <w:p>
            <w:r>
              <w:rPr>
                <w:rFonts w:hint="eastAsia"/>
              </w:rPr>
              <w:t>技术性能及参数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0" w:type="dxa"/>
            <w:tcBorders>
              <w:top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1</w:t>
            </w:r>
          </w:p>
        </w:tc>
        <w:tc>
          <w:tcPr>
            <w:tcW w:w="1299"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主机</w:t>
            </w:r>
          </w:p>
        </w:tc>
        <w:tc>
          <w:tcPr>
            <w:tcW w:w="7778" w:type="dxa"/>
            <w:tcBorders>
              <w:top w:val="single" w:color="auto" w:sz="4" w:space="0"/>
              <w:left w:val="single" w:color="auto" w:sz="4" w:space="0"/>
              <w:bottom w:val="single" w:color="auto" w:sz="4" w:space="0"/>
            </w:tcBorders>
            <w:vAlign w:val="center"/>
          </w:tcPr>
          <w:p>
            <w:pPr>
              <w:rPr>
                <w:rFonts w:hint="eastAsia"/>
                <w:lang w:val="en-US" w:eastAsia="zh-CN"/>
              </w:rPr>
            </w:pPr>
            <w:r>
              <w:rPr>
                <w:rFonts w:hint="eastAsia"/>
                <w:lang w:val="en-US" w:eastAsia="zh-CN"/>
              </w:rPr>
              <w:t>1.微电脑控制平台，恒速驱动控制系统，负载降速≤5%；</w:t>
            </w:r>
          </w:p>
          <w:p>
            <w:pPr>
              <w:rPr>
                <w:rFonts w:hint="eastAsia"/>
                <w:lang w:val="en-US" w:eastAsia="zh-CN"/>
              </w:rPr>
            </w:pPr>
            <w:r>
              <w:rPr>
                <w:rFonts w:hint="eastAsia"/>
                <w:lang w:val="en-US" w:eastAsia="zh-CN"/>
              </w:rPr>
              <w:t>2.人机工程设计，友好人机界面，4.3吋真彩液晶触摸屏和物理轻触按键双重操作、控制;</w:t>
            </w:r>
          </w:p>
          <w:p>
            <w:pPr>
              <w:rPr>
                <w:rFonts w:hint="eastAsia"/>
                <w:lang w:val="en-US" w:eastAsia="zh-CN"/>
              </w:rPr>
            </w:pPr>
            <w:r>
              <w:rPr>
                <w:rFonts w:hint="eastAsia"/>
                <w:lang w:val="en-US" w:eastAsia="zh-CN"/>
              </w:rPr>
              <w:t>3.特有的开机自检功能，手术前能对电机、机头、脚踏控制开关进行自检，并有故障自诊断结果报告和保护技术；</w:t>
            </w:r>
          </w:p>
          <w:p>
            <w:pPr>
              <w:rPr>
                <w:rFonts w:hint="eastAsia"/>
                <w:lang w:val="en-US" w:eastAsia="zh-CN"/>
              </w:rPr>
            </w:pPr>
            <w:r>
              <w:rPr>
                <w:rFonts w:hint="eastAsia"/>
                <w:lang w:val="en-US" w:eastAsia="zh-CN"/>
              </w:rPr>
              <w:t>4.BF型电气安全设计；双电机输出，配合脚踏开关作无级变速控制；</w:t>
            </w:r>
          </w:p>
          <w:p>
            <w:pPr>
              <w:rPr>
                <w:rFonts w:hint="eastAsia"/>
                <w:lang w:val="en-US" w:eastAsia="zh-CN"/>
              </w:rPr>
            </w:pPr>
            <w:r>
              <w:rPr>
                <w:rFonts w:hint="eastAsia"/>
                <w:lang w:val="en-US" w:eastAsia="zh-CN"/>
              </w:rPr>
              <w:t>5.主机面板和脚踏开关均可进行功能、转向的切换，具有脚控各踏头设置屏，对踏头、踏板根据用户需求自行设置；</w:t>
            </w:r>
          </w:p>
          <w:p>
            <w:pPr>
              <w:rPr>
                <w:rFonts w:hint="eastAsia"/>
                <w:lang w:val="en-US" w:eastAsia="zh-CN"/>
              </w:rPr>
            </w:pPr>
            <w:r>
              <w:rPr>
                <w:rFonts w:hint="eastAsia"/>
                <w:lang w:val="en-US" w:eastAsia="zh-CN"/>
              </w:rPr>
              <w:t>6.手机连接自动识别，最多可自动识别8种手机；</w:t>
            </w:r>
          </w:p>
          <w:p>
            <w:pPr>
              <w:rPr>
                <w:rFonts w:hint="eastAsia"/>
                <w:lang w:val="en-US" w:eastAsia="zh-CN"/>
              </w:rPr>
            </w:pPr>
            <w:r>
              <w:rPr>
                <w:rFonts w:hint="eastAsia"/>
                <w:lang w:val="en-US" w:eastAsia="zh-CN"/>
              </w:rPr>
              <w:t>7.可设定各种规格刀具的最佳推荐默认运行参数，省去开机繁琐的设置操作和避免误操作。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20" w:type="dxa"/>
            <w:tcBorders>
              <w:top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2</w:t>
            </w:r>
          </w:p>
        </w:tc>
        <w:tc>
          <w:tcPr>
            <w:tcW w:w="1299"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脚踏开关</w:t>
            </w:r>
          </w:p>
        </w:tc>
        <w:tc>
          <w:tcPr>
            <w:tcW w:w="7778" w:type="dxa"/>
            <w:tcBorders>
              <w:top w:val="single" w:color="auto" w:sz="4" w:space="0"/>
              <w:left w:val="single" w:color="auto" w:sz="4" w:space="0"/>
              <w:bottom w:val="single" w:color="auto" w:sz="4" w:space="0"/>
            </w:tcBorders>
            <w:vAlign w:val="center"/>
          </w:tcPr>
          <w:p>
            <w:pPr>
              <w:rPr>
                <w:rFonts w:hint="eastAsia"/>
                <w:lang w:val="en-US" w:eastAsia="zh-CN"/>
              </w:rPr>
            </w:pPr>
            <w:r>
              <w:rPr>
                <w:rFonts w:hint="eastAsia"/>
                <w:lang w:val="en-US" w:eastAsia="zh-CN"/>
              </w:rPr>
              <w:t>1.线缆长不小于2m，触发、开关、无级调速三种模式，可进行功能切换及注水控制(选装水泵用控制)；</w:t>
            </w:r>
          </w:p>
          <w:p>
            <w:pPr>
              <w:rPr>
                <w:rFonts w:hint="eastAsia"/>
                <w:lang w:val="en-US" w:eastAsia="zh-CN"/>
              </w:rPr>
            </w:pPr>
            <w:r>
              <w:rPr>
                <w:rFonts w:hint="eastAsia"/>
                <w:lang w:val="en-US" w:eastAsia="zh-CN"/>
              </w:rPr>
              <w:t>2.IPX8防水等级；</w:t>
            </w:r>
          </w:p>
          <w:p>
            <w:pPr>
              <w:rPr>
                <w:rFonts w:hint="eastAsia"/>
                <w:lang w:val="en-US" w:eastAsia="zh-CN"/>
              </w:rPr>
            </w:pPr>
            <w:r>
              <w:rPr>
                <w:rFonts w:hint="eastAsia"/>
                <w:lang w:val="en-US" w:eastAsia="zh-CN"/>
              </w:rPr>
              <w:t>3.三踏头、一踏板设计，方便操作，共有10种模式可自行设置参数、切换；</w:t>
            </w:r>
          </w:p>
          <w:p>
            <w:pPr>
              <w:rPr>
                <w:rFonts w:hint="eastAsia"/>
                <w:lang w:val="en-US" w:eastAsia="zh-CN"/>
              </w:rPr>
            </w:pPr>
            <w:r>
              <w:rPr>
                <w:rFonts w:hint="eastAsia"/>
                <w:lang w:val="en-US" w:eastAsia="zh-CN"/>
              </w:rPr>
              <w:t>4.底座高度48mm，减轻脚疲劳；坚固结构设计，承载重量（138kg)，舒适耐用。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0" w:type="dxa"/>
            <w:tcBorders>
              <w:top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3</w:t>
            </w:r>
          </w:p>
        </w:tc>
        <w:tc>
          <w:tcPr>
            <w:tcW w:w="1299"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刨手柄</w:t>
            </w:r>
          </w:p>
        </w:tc>
        <w:tc>
          <w:tcPr>
            <w:tcW w:w="7778" w:type="dxa"/>
            <w:tcBorders>
              <w:top w:val="single" w:color="auto" w:sz="4" w:space="0"/>
              <w:left w:val="single" w:color="auto" w:sz="4" w:space="0"/>
              <w:bottom w:val="single" w:color="auto" w:sz="4" w:space="0"/>
            </w:tcBorders>
            <w:vAlign w:val="center"/>
          </w:tcPr>
          <w:p>
            <w:pPr>
              <w:rPr>
                <w:rFonts w:hint="eastAsia"/>
                <w:lang w:val="en-US" w:eastAsia="zh-CN"/>
              </w:rPr>
            </w:pPr>
            <w:r>
              <w:rPr>
                <w:rFonts w:hint="eastAsia"/>
                <w:lang w:val="en-US" w:eastAsia="zh-CN"/>
              </w:rPr>
              <w:t>1.外形尺寸：最大外径Φ20mm， 电缆线长度：2.5m，最高单向转速为9000r/min， 最高往复转速为5000r/min，往复转频率最高150次/分；持续输出扭矩：45mN·m ，保护扭矩：90mN·m；</w:t>
            </w:r>
          </w:p>
          <w:p>
            <w:pPr>
              <w:rPr>
                <w:rFonts w:hint="eastAsia"/>
                <w:lang w:val="en-US" w:eastAsia="zh-CN"/>
              </w:rPr>
            </w:pPr>
            <w:r>
              <w:rPr>
                <w:rFonts w:hint="eastAsia"/>
                <w:lang w:val="en-US" w:eastAsia="zh-CN"/>
              </w:rPr>
              <w:t>2.安全可靠，满足BF型设备需求；</w:t>
            </w:r>
          </w:p>
          <w:p>
            <w:pPr>
              <w:rPr>
                <w:rFonts w:hint="eastAsia"/>
                <w:lang w:val="en-US" w:eastAsia="zh-CN"/>
              </w:rPr>
            </w:pPr>
            <w:r>
              <w:rPr>
                <w:rFonts w:hint="eastAsia"/>
                <w:lang w:val="en-US" w:eastAsia="zh-CN"/>
              </w:rPr>
              <w:t>3.振动小，噪音低，发热量小，工作最高温度＜40℃，握持手柄符合人体力学设计，可高温高压水蒸气消毒；</w:t>
            </w:r>
            <w:r>
              <w:rPr>
                <w:rFonts w:hint="eastAsia"/>
                <w:lang w:val="zh-CN" w:eastAsia="zh-CN"/>
              </w:rPr>
              <w:t>内直排引技术和冷却注水管路设计</w:t>
            </w:r>
            <w:r>
              <w:rPr>
                <w:rFonts w:hint="eastAsia"/>
                <w:lang w:val="en-US" w:eastAsia="zh-CN"/>
              </w:rPr>
              <w:t>.</w:t>
            </w:r>
          </w:p>
          <w:p>
            <w:pPr>
              <w:rPr>
                <w:rFonts w:hint="eastAsia"/>
                <w:lang w:val="zh-CN" w:eastAsia="zh-CN"/>
              </w:rPr>
            </w:pPr>
            <w:r>
              <w:rPr>
                <w:rFonts w:hint="eastAsia"/>
                <w:lang w:val="en-US" w:eastAsia="zh-CN"/>
              </w:rPr>
              <w:t>直排式设计手</w:t>
            </w:r>
            <w:r>
              <w:rPr>
                <w:rFonts w:hint="eastAsia"/>
                <w:lang w:val="zh-CN" w:eastAsia="zh-CN"/>
              </w:rPr>
              <w:t>柄，吸引、切割、排出为一直线，不易堵塞；</w:t>
            </w:r>
          </w:p>
          <w:p>
            <w:pPr>
              <w:rPr>
                <w:rFonts w:hint="eastAsia"/>
                <w:lang w:val="en-US" w:eastAsia="zh-CN"/>
              </w:rPr>
            </w:pPr>
            <w:r>
              <w:rPr>
                <w:rFonts w:hint="eastAsia"/>
                <w:lang w:val="en-US" w:eastAsia="zh-CN"/>
              </w:rPr>
              <w:t>4.</w:t>
            </w:r>
            <w:r>
              <w:rPr>
                <w:rFonts w:hint="eastAsia"/>
                <w:lang w:val="zh-CN" w:eastAsia="zh-CN"/>
              </w:rPr>
              <w:t>具有自动识别刨手柄的功能</w:t>
            </w:r>
            <w:r>
              <w:rPr>
                <w:rFonts w:hint="eastAsia"/>
                <w:lang w:val="en-US" w:eastAsia="zh-CN"/>
              </w:rPr>
              <w:t>。</w:t>
            </w:r>
          </w:p>
          <w:p>
            <w:pPr>
              <w:rPr>
                <w:rFonts w:hint="eastAsia"/>
                <w:lang w:val="en-US" w:eastAsia="zh-CN"/>
              </w:rPr>
            </w:pPr>
            <w:r>
              <w:rPr>
                <w:rFonts w:hint="eastAsia"/>
                <w:lang w:val="en-US" w:eastAsia="zh-CN"/>
              </w:rPr>
              <w:t>5.</w:t>
            </w:r>
            <w:r>
              <w:rPr>
                <w:rFonts w:hint="eastAsia"/>
                <w:lang w:val="zh-CN" w:eastAsia="zh-CN"/>
              </w:rPr>
              <w:t>冷却喷水：单根外喷水冷却冲洗管路；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20" w:type="dxa"/>
            <w:tcBorders>
              <w:top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4</w:t>
            </w:r>
          </w:p>
        </w:tc>
        <w:tc>
          <w:tcPr>
            <w:tcW w:w="1299"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刨刀具（刀头）</w:t>
            </w:r>
          </w:p>
        </w:tc>
        <w:tc>
          <w:tcPr>
            <w:tcW w:w="7778" w:type="dxa"/>
            <w:tcBorders>
              <w:top w:val="single" w:color="auto" w:sz="4" w:space="0"/>
              <w:left w:val="single" w:color="auto" w:sz="4" w:space="0"/>
              <w:bottom w:val="single" w:color="auto" w:sz="4" w:space="0"/>
            </w:tcBorders>
            <w:vAlign w:val="center"/>
          </w:tcPr>
          <w:p>
            <w:pPr>
              <w:rPr>
                <w:rFonts w:hint="eastAsia"/>
                <w:lang w:val="zh-CN" w:eastAsia="zh-CN"/>
              </w:rPr>
            </w:pPr>
            <w:r>
              <w:rPr>
                <w:rFonts w:hint="eastAsia"/>
                <w:lang w:val="zh-CN" w:eastAsia="zh-CN"/>
              </w:rPr>
              <w:t>优质不锈钢制作，操作方便；可高温高压消毒；</w:t>
            </w:r>
          </w:p>
          <w:p>
            <w:pPr>
              <w:rPr>
                <w:rFonts w:hint="eastAsia"/>
                <w:lang w:val="zh-CN" w:eastAsia="zh-CN"/>
              </w:rPr>
            </w:pPr>
            <w:r>
              <w:rPr>
                <w:rFonts w:hint="eastAsia"/>
                <w:lang w:val="zh-CN" w:eastAsia="zh-CN"/>
              </w:rPr>
              <w:t>严格热处理工艺刀头硬度高于50HRC，刃口全部磨削工艺，锋利耐用，刨刀具外管最细规格直径3.6mm</w:t>
            </w:r>
          </w:p>
          <w:p>
            <w:pPr>
              <w:rPr>
                <w:rFonts w:hint="eastAsia"/>
                <w:lang w:val="zh-CN" w:eastAsia="zh-CN"/>
              </w:rPr>
            </w:pPr>
            <w:r>
              <w:rPr>
                <w:rFonts w:hint="eastAsia"/>
                <w:lang w:val="zh-CN" w:eastAsia="zh-CN"/>
              </w:rPr>
              <w:t>接插方便，密封防漏；</w:t>
            </w:r>
          </w:p>
          <w:p>
            <w:pPr>
              <w:rPr>
                <w:rFonts w:hint="eastAsia"/>
                <w:lang w:val="en-US" w:eastAsia="zh-CN"/>
              </w:rPr>
            </w:pPr>
            <w:r>
              <w:rPr>
                <w:rFonts w:hint="eastAsia"/>
                <w:lang w:val="zh-CN" w:eastAsia="zh-CN"/>
              </w:rPr>
              <w:t>多种规格和齿形可选，便于实施手术。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20" w:type="dxa"/>
            <w:tcBorders>
              <w:top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5</w:t>
            </w:r>
          </w:p>
        </w:tc>
        <w:tc>
          <w:tcPr>
            <w:tcW w:w="1299"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微电机</w:t>
            </w:r>
          </w:p>
        </w:tc>
        <w:tc>
          <w:tcPr>
            <w:tcW w:w="7778" w:type="dxa"/>
            <w:tcBorders>
              <w:top w:val="single" w:color="auto" w:sz="4" w:space="0"/>
              <w:left w:val="single" w:color="auto" w:sz="4" w:space="0"/>
              <w:bottom w:val="single" w:color="auto" w:sz="4" w:space="0"/>
            </w:tcBorders>
            <w:vAlign w:val="center"/>
          </w:tcPr>
          <w:p>
            <w:pPr>
              <w:rPr>
                <w:rFonts w:hint="eastAsia"/>
                <w:lang w:val="en-US" w:eastAsia="zh-CN"/>
              </w:rPr>
            </w:pPr>
            <w:r>
              <w:rPr>
                <w:rFonts w:hint="eastAsia"/>
                <w:lang w:val="en-US" w:eastAsia="zh-CN"/>
              </w:rPr>
              <w:t>ISO-E类标准接口，接插方便快捷，可高温高压消毒；</w:t>
            </w:r>
          </w:p>
          <w:p>
            <w:pPr>
              <w:rPr>
                <w:rFonts w:hint="eastAsia"/>
                <w:lang w:val="en-US" w:eastAsia="zh-CN"/>
              </w:rPr>
            </w:pPr>
            <w:r>
              <w:rPr>
                <w:rFonts w:hint="eastAsia"/>
                <w:lang w:val="en-US" w:eastAsia="zh-CN"/>
              </w:rPr>
              <w:t>体积小，最大外径22.5mm，重量轻</w:t>
            </w:r>
          </w:p>
          <w:p>
            <w:pPr>
              <w:rPr>
                <w:rFonts w:hint="eastAsia"/>
                <w:lang w:val="en-US" w:eastAsia="zh-CN"/>
              </w:rPr>
            </w:pPr>
            <w:r>
              <w:rPr>
                <w:rFonts w:hint="eastAsia"/>
                <w:lang w:val="en-US" w:eastAsia="zh-CN"/>
              </w:rPr>
              <w:t>高速电机马达，输出动力强劲稳定，峰值输出功率达100W；</w:t>
            </w:r>
          </w:p>
          <w:p>
            <w:pPr>
              <w:rPr>
                <w:rFonts w:hint="eastAsia"/>
                <w:lang w:val="en-US" w:eastAsia="zh-CN"/>
              </w:rPr>
            </w:pPr>
            <w:r>
              <w:rPr>
                <w:rFonts w:hint="eastAsia"/>
                <w:lang w:val="en-US" w:eastAsia="zh-CN"/>
              </w:rPr>
              <w:t>先进的电机全密封技术，电机可高温消毒、温升小，噪音低，工作最高温度＜40℃；</w:t>
            </w:r>
          </w:p>
          <w:p>
            <w:pPr>
              <w:rPr>
                <w:rFonts w:hint="eastAsia"/>
                <w:lang w:val="en-US" w:eastAsia="zh-CN"/>
              </w:rPr>
            </w:pPr>
            <w:r>
              <w:rPr>
                <w:rFonts w:hint="eastAsia" w:ascii="宋体" w:hAnsi="宋体" w:cs="宋体"/>
                <w:color w:val="000000"/>
                <w:sz w:val="28"/>
                <w:szCs w:val="28"/>
              </w:rPr>
              <w:t>☆</w:t>
            </w:r>
            <w:r>
              <w:rPr>
                <w:rFonts w:hint="eastAsia"/>
                <w:lang w:val="en-US" w:eastAsia="zh-CN"/>
              </w:rPr>
              <w:t>磨输出速度为0-50000r/min，脚踏控制无级调速。可选配70000r/min高速微电机。</w:t>
            </w:r>
            <w:r>
              <w:rPr>
                <w:rFonts w:hint="eastAsia"/>
                <w:lang w:val="zh-CN" w:eastAsia="zh-CN"/>
              </w:rPr>
              <w:t>具有自动识别功能。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20" w:type="dxa"/>
            <w:tcBorders>
              <w:top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6</w:t>
            </w:r>
          </w:p>
        </w:tc>
        <w:tc>
          <w:tcPr>
            <w:tcW w:w="1299"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磨钻手柄</w:t>
            </w:r>
          </w:p>
        </w:tc>
        <w:tc>
          <w:tcPr>
            <w:tcW w:w="7778" w:type="dxa"/>
            <w:tcBorders>
              <w:top w:val="single" w:color="auto" w:sz="4" w:space="0"/>
              <w:left w:val="single" w:color="auto" w:sz="4" w:space="0"/>
              <w:bottom w:val="single" w:color="auto" w:sz="4" w:space="0"/>
            </w:tcBorders>
            <w:vAlign w:val="center"/>
          </w:tcPr>
          <w:p>
            <w:pPr>
              <w:rPr>
                <w:rFonts w:hint="eastAsia"/>
                <w:lang w:val="en-US" w:eastAsia="zh-CN"/>
              </w:rPr>
            </w:pPr>
            <w:r>
              <w:rPr>
                <w:rFonts w:hint="eastAsia"/>
                <w:lang w:val="en-US" w:eastAsia="zh-CN"/>
              </w:rPr>
              <w:t>外形尺寸：外径：Ф15mm，角度0°</w:t>
            </w:r>
            <w:r>
              <w:rPr>
                <w:rFonts w:hint="eastAsia"/>
                <w:lang w:val="zh-CN" w:eastAsia="zh-CN"/>
              </w:rPr>
              <w:t>和</w:t>
            </w:r>
            <w:r>
              <w:rPr>
                <w:rFonts w:hint="eastAsia"/>
                <w:lang w:val="en-US" w:eastAsia="zh-CN"/>
              </w:rPr>
              <w:t>21°, 最高转速：80000r/min。径向跳动小于0.01mm，持续输出扭矩：0.5N·cm，理论最大输出扭矩：2.3N·cm；</w:t>
            </w:r>
          </w:p>
          <w:p>
            <w:pPr>
              <w:rPr>
                <w:rFonts w:hint="eastAsia"/>
                <w:lang w:val="zh-CN" w:eastAsia="zh-CN"/>
              </w:rPr>
            </w:pPr>
            <w:r>
              <w:rPr>
                <w:rFonts w:hint="eastAsia"/>
                <w:lang w:val="zh-CN" w:eastAsia="zh-CN"/>
              </w:rPr>
              <w:t>冷却喷水：单根外喷水冷却冲洗管路；</w:t>
            </w:r>
          </w:p>
          <w:p>
            <w:pPr>
              <w:rPr>
                <w:rFonts w:hint="eastAsia"/>
                <w:lang w:val="en-US" w:eastAsia="zh-CN"/>
              </w:rPr>
            </w:pPr>
            <w:r>
              <w:rPr>
                <w:rFonts w:hint="eastAsia"/>
                <w:lang w:val="zh-CN" w:eastAsia="zh-CN"/>
              </w:rPr>
              <w:t>ISO-E类型标准接口，接插方便快捷，可高温高压消毒；</w:t>
            </w:r>
          </w:p>
          <w:p>
            <w:pPr>
              <w:rPr>
                <w:rFonts w:hint="eastAsia"/>
                <w:lang w:val="en-US" w:eastAsia="zh-CN"/>
              </w:rPr>
            </w:pPr>
            <w:r>
              <w:rPr>
                <w:rFonts w:hint="eastAsia"/>
                <w:lang w:val="en-US" w:eastAsia="zh-CN"/>
              </w:rPr>
              <w:t>各种尺寸、角度手柄可选，满足多种手术的需要；</w:t>
            </w:r>
          </w:p>
          <w:p>
            <w:pPr>
              <w:rPr>
                <w:rFonts w:hint="eastAsia"/>
                <w:lang w:val="en-US" w:eastAsia="zh-CN"/>
              </w:rPr>
            </w:pPr>
            <w:r>
              <w:rPr>
                <w:rFonts w:hint="eastAsia"/>
                <w:lang w:val="en-US" w:eastAsia="zh-CN"/>
              </w:rPr>
              <w:t>噪音低，切削平稳，适合精细磨手术；</w:t>
            </w:r>
          </w:p>
          <w:p>
            <w:pPr>
              <w:rPr>
                <w:rFonts w:hint="eastAsia"/>
                <w:lang w:val="en-US" w:eastAsia="zh-CN"/>
              </w:rPr>
            </w:pPr>
            <w:r>
              <w:rPr>
                <w:rFonts w:hint="eastAsia"/>
                <w:lang w:val="en-US" w:eastAsia="zh-CN"/>
              </w:rPr>
              <w:t>磨钻手柄与微电机连接具有锁定功能，防止任意旋转，适合精细手术操作；</w:t>
            </w:r>
          </w:p>
          <w:p>
            <w:pPr>
              <w:rPr>
                <w:rFonts w:hint="eastAsia"/>
                <w:lang w:val="en-US" w:eastAsia="zh-CN"/>
              </w:rPr>
            </w:pPr>
            <w:r>
              <w:rPr>
                <w:rFonts w:hint="eastAsia"/>
                <w:lang w:val="en-US" w:eastAsia="zh-CN"/>
              </w:rPr>
              <w:t>急停时间＜0.2s。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7" w:hRule="atLeast"/>
          <w:jc w:val="center"/>
        </w:trPr>
        <w:tc>
          <w:tcPr>
            <w:tcW w:w="720" w:type="dxa"/>
            <w:tcBorders>
              <w:top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7</w:t>
            </w:r>
          </w:p>
        </w:tc>
        <w:tc>
          <w:tcPr>
            <w:tcW w:w="1299"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磨头</w:t>
            </w:r>
          </w:p>
        </w:tc>
        <w:tc>
          <w:tcPr>
            <w:tcW w:w="7778" w:type="dxa"/>
            <w:tcBorders>
              <w:top w:val="single" w:color="auto" w:sz="4" w:space="0"/>
              <w:left w:val="single" w:color="auto" w:sz="4" w:space="0"/>
              <w:bottom w:val="single" w:color="auto" w:sz="4" w:space="0"/>
            </w:tcBorders>
            <w:vAlign w:val="top"/>
          </w:tcPr>
          <w:p>
            <w:pPr>
              <w:rPr>
                <w:rFonts w:hint="eastAsia"/>
                <w:lang w:val="en-US" w:eastAsia="zh-CN"/>
              </w:rPr>
            </w:pPr>
            <w:r>
              <w:rPr>
                <w:rFonts w:hint="eastAsia"/>
                <w:lang w:val="zh-CN" w:eastAsia="zh-CN"/>
              </w:rPr>
              <w:t>采用优质材料制造，具有良好的生物相容性，锋利耐用,</w:t>
            </w:r>
            <w:r>
              <w:rPr>
                <w:rFonts w:hint="eastAsia"/>
                <w:lang w:val="en-US" w:eastAsia="zh-CN"/>
              </w:rPr>
              <w:t>圆柱度0.01mm，直线度0.005mm，径向跳动＜0.01mm，</w:t>
            </w:r>
            <w:r>
              <w:rPr>
                <w:rFonts w:hint="eastAsia"/>
                <w:lang w:val="zh-CN" w:eastAsia="zh-CN"/>
              </w:rPr>
              <w:t>可高温</w:t>
            </w:r>
            <w:r>
              <w:rPr>
                <w:rFonts w:hint="eastAsia"/>
                <w:lang w:val="en-US" w:eastAsia="zh-CN"/>
              </w:rPr>
              <w:t>高压水蒸汽消毒；</w:t>
            </w:r>
          </w:p>
          <w:p>
            <w:pPr>
              <w:rPr>
                <w:rFonts w:hint="eastAsia"/>
                <w:lang w:val="en-US" w:eastAsia="zh-CN"/>
              </w:rPr>
            </w:pPr>
            <w:r>
              <w:rPr>
                <w:rFonts w:hint="eastAsia"/>
                <w:lang w:val="en-US" w:eastAsia="zh-CN"/>
              </w:rPr>
              <w:t>规格齐全，广泛应用</w:t>
            </w:r>
            <w:r>
              <w:rPr>
                <w:rFonts w:hint="eastAsia"/>
                <w:lang w:val="zh-CN" w:eastAsia="zh-CN"/>
              </w:rPr>
              <w:t>于骨组织的高速磨削、钻孔</w:t>
            </w:r>
            <w:r>
              <w:rPr>
                <w:rFonts w:hint="eastAsia"/>
                <w:lang w:val="en-US" w:eastAsia="zh-CN"/>
              </w:rPr>
              <w:t>；</w:t>
            </w:r>
          </w:p>
          <w:p>
            <w:pPr>
              <w:rPr>
                <w:rFonts w:hint="eastAsia"/>
                <w:lang w:val="en-US" w:eastAsia="zh-CN"/>
              </w:rPr>
            </w:pPr>
            <w:r>
              <w:rPr>
                <w:rFonts w:hint="eastAsia"/>
                <w:lang w:val="zh-CN" w:eastAsia="zh-CN"/>
              </w:rPr>
              <w:t>金刚砂球形磨钻头：Ф1.0-</w:t>
            </w:r>
            <w:r>
              <w:rPr>
                <w:rFonts w:hint="eastAsia"/>
                <w:lang w:val="en-US" w:eastAsia="zh-CN"/>
              </w:rPr>
              <w:t>Ф</w:t>
            </w:r>
            <w:r>
              <w:rPr>
                <w:rFonts w:hint="eastAsia"/>
                <w:lang w:val="zh-CN" w:eastAsia="zh-CN"/>
              </w:rPr>
              <w:t>5mm</w:t>
            </w:r>
            <w:r>
              <w:rPr>
                <w:rFonts w:hint="eastAsia"/>
                <w:lang w:val="en-US" w:eastAsia="zh-CN"/>
              </w:rPr>
              <w:t>，</w:t>
            </w:r>
            <w:r>
              <w:rPr>
                <w:rFonts w:hint="eastAsia"/>
                <w:lang w:val="zh-CN" w:eastAsia="zh-CN"/>
              </w:rPr>
              <w:t>杆径</w:t>
            </w:r>
            <w:r>
              <w:rPr>
                <w:rFonts w:hint="eastAsia"/>
                <w:lang w:val="en-US" w:eastAsia="zh-CN"/>
              </w:rPr>
              <w:t>Φ2.35mm；</w:t>
            </w:r>
          </w:p>
          <w:p>
            <w:pPr>
              <w:rPr>
                <w:rFonts w:hint="eastAsia"/>
                <w:lang w:val="en-US" w:eastAsia="zh-CN"/>
              </w:rPr>
            </w:pPr>
            <w:r>
              <w:rPr>
                <w:rFonts w:hint="eastAsia"/>
                <w:lang w:val="en-US" w:eastAsia="zh-CN"/>
              </w:rPr>
              <w:t>切割球形钻头</w:t>
            </w:r>
            <w:r>
              <w:rPr>
                <w:rFonts w:hint="eastAsia"/>
                <w:lang w:val="zh-CN" w:eastAsia="zh-CN"/>
              </w:rPr>
              <w:t>：Ф1.0-</w:t>
            </w:r>
            <w:r>
              <w:rPr>
                <w:rFonts w:hint="eastAsia"/>
                <w:lang w:val="en-US" w:eastAsia="zh-CN"/>
              </w:rPr>
              <w:t>Ф</w:t>
            </w:r>
            <w:r>
              <w:rPr>
                <w:rFonts w:hint="eastAsia"/>
                <w:lang w:val="zh-CN" w:eastAsia="zh-CN"/>
              </w:rPr>
              <w:t>5mm，杆</w:t>
            </w:r>
            <w:r>
              <w:rPr>
                <w:rFonts w:hint="eastAsia"/>
                <w:lang w:val="en-US" w:eastAsia="zh-CN"/>
              </w:rPr>
              <w:t>径Φ2.35mm</w:t>
            </w:r>
            <w:r>
              <w:rPr>
                <w:rFonts w:hint="eastAsia"/>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720" w:type="dxa"/>
            <w:tcBorders>
              <w:top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8</w:t>
            </w:r>
          </w:p>
        </w:tc>
        <w:tc>
          <w:tcPr>
            <w:tcW w:w="1299"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清洗套件</w:t>
            </w:r>
          </w:p>
        </w:tc>
        <w:tc>
          <w:tcPr>
            <w:tcW w:w="7778" w:type="dxa"/>
            <w:tcBorders>
              <w:top w:val="single" w:color="auto" w:sz="4" w:space="0"/>
              <w:left w:val="single" w:color="auto" w:sz="4" w:space="0"/>
              <w:bottom w:val="single" w:color="auto" w:sz="4" w:space="0"/>
            </w:tcBorders>
            <w:vAlign w:val="top"/>
          </w:tcPr>
          <w:p>
            <w:pPr>
              <w:rPr>
                <w:rFonts w:hint="default"/>
                <w:lang w:val="en-US" w:eastAsia="zh-CN"/>
              </w:rPr>
            </w:pPr>
            <w:r>
              <w:rPr>
                <w:rFonts w:hint="eastAsia"/>
                <w:lang w:val="en-US" w:eastAsia="zh-CN"/>
              </w:rPr>
              <w:t>专用医用手术电钻清洗润滑剂、专用清洁剂、清洁毛刷：直径1.5mm/2.0mm/3.0mm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9" w:hRule="atLeast"/>
          <w:jc w:val="center"/>
        </w:trPr>
        <w:tc>
          <w:tcPr>
            <w:tcW w:w="720" w:type="dxa"/>
            <w:tcBorders>
              <w:top w:val="single" w:color="auto" w:sz="4" w:space="0"/>
              <w:bottom w:val="single" w:color="auto" w:sz="4" w:space="0"/>
              <w:right w:val="single" w:color="auto" w:sz="4" w:space="0"/>
            </w:tcBorders>
            <w:vAlign w:val="center"/>
          </w:tcPr>
          <w:p>
            <w:pPr>
              <w:rPr>
                <w:rFonts w:hint="default"/>
                <w:lang w:val="en-US" w:eastAsia="zh-CN"/>
              </w:rPr>
            </w:pPr>
            <w:r>
              <w:rPr>
                <w:rFonts w:hint="eastAsia"/>
                <w:lang w:val="en-US" w:eastAsia="zh-CN"/>
              </w:rPr>
              <w:t>9</w:t>
            </w:r>
          </w:p>
        </w:tc>
        <w:tc>
          <w:tcPr>
            <w:tcW w:w="1299" w:type="dxa"/>
            <w:tcBorders>
              <w:top w:val="single" w:color="auto" w:sz="4" w:space="0"/>
              <w:left w:val="single" w:color="auto" w:sz="4" w:space="0"/>
              <w:bottom w:val="single" w:color="auto" w:sz="4" w:space="0"/>
              <w:right w:val="single" w:color="auto" w:sz="4" w:space="0"/>
            </w:tcBorders>
            <w:vAlign w:val="center"/>
          </w:tcPr>
          <w:p>
            <w:pPr>
              <w:rPr>
                <w:rFonts w:hint="eastAsia"/>
                <w:lang w:val="en-US" w:eastAsia="zh-CN"/>
              </w:rPr>
            </w:pPr>
            <w:r>
              <w:rPr>
                <w:rFonts w:hint="eastAsia"/>
                <w:lang w:val="en-US" w:eastAsia="zh-CN"/>
              </w:rPr>
              <w:t>配置要求</w:t>
            </w:r>
          </w:p>
        </w:tc>
        <w:tc>
          <w:tcPr>
            <w:tcW w:w="7778" w:type="dxa"/>
            <w:tcBorders>
              <w:top w:val="single" w:color="auto" w:sz="4" w:space="0"/>
              <w:left w:val="single" w:color="auto" w:sz="4" w:space="0"/>
              <w:bottom w:val="single" w:color="auto" w:sz="4" w:space="0"/>
            </w:tcBorders>
            <w:vAlign w:val="center"/>
          </w:tcPr>
          <w:p>
            <w:pPr>
              <w:rPr>
                <w:rFonts w:hint="eastAsia"/>
                <w:lang w:val="en-US" w:eastAsia="zh-CN"/>
              </w:rPr>
            </w:pPr>
            <w:r>
              <w:rPr>
                <w:rFonts w:hint="eastAsia"/>
                <w:lang w:val="en-US" w:eastAsia="zh-CN"/>
              </w:rPr>
              <w:t>配置参数：</w:t>
            </w:r>
          </w:p>
          <w:p>
            <w:pPr>
              <w:rPr>
                <w:rFonts w:hint="eastAsia"/>
                <w:lang w:val="en-US" w:eastAsia="zh-CN"/>
              </w:rPr>
            </w:pPr>
            <w:r>
              <w:rPr>
                <w:rFonts w:hint="eastAsia"/>
                <w:lang w:val="en-US" w:eastAsia="zh-CN"/>
              </w:rPr>
              <w:t>主机一台</w:t>
            </w:r>
          </w:p>
          <w:p>
            <w:pPr>
              <w:rPr>
                <w:rFonts w:hint="default"/>
                <w:lang w:val="en-US" w:eastAsia="zh-CN"/>
              </w:rPr>
            </w:pPr>
            <w:r>
              <w:rPr>
                <w:rFonts w:hint="eastAsia"/>
                <w:lang w:val="en-US" w:eastAsia="zh-CN"/>
              </w:rPr>
              <w:t>脚踏开关一台</w:t>
            </w:r>
          </w:p>
          <w:p>
            <w:pPr>
              <w:rPr>
                <w:rFonts w:hint="default"/>
                <w:lang w:val="en-US" w:eastAsia="zh-CN"/>
              </w:rPr>
            </w:pPr>
            <w:r>
              <w:rPr>
                <w:rFonts w:hint="eastAsia"/>
                <w:lang w:val="en-US" w:eastAsia="zh-CN"/>
              </w:rPr>
              <w:t>磁力驱动电机刨削手柄一个</w:t>
            </w:r>
          </w:p>
          <w:p>
            <w:pPr>
              <w:rPr>
                <w:rFonts w:hint="default"/>
                <w:lang w:val="en-US" w:eastAsia="zh-CN"/>
              </w:rPr>
            </w:pPr>
            <w:r>
              <w:rPr>
                <w:rFonts w:hint="eastAsia"/>
                <w:lang w:val="en-US" w:eastAsia="zh-CN"/>
              </w:rPr>
              <w:t>鼻刨刀 长度110mm，外刀管直径4mm，0°双面齿3支</w:t>
            </w:r>
          </w:p>
          <w:p>
            <w:pPr>
              <w:rPr>
                <w:rFonts w:hint="default"/>
                <w:lang w:val="en-US" w:eastAsia="zh-CN"/>
              </w:rPr>
            </w:pPr>
            <w:r>
              <w:rPr>
                <w:rFonts w:hint="eastAsia"/>
                <w:lang w:val="en-US" w:eastAsia="zh-CN"/>
              </w:rPr>
              <w:t>鼻刨刀 长度110mm，外刀管直径4mm，40°下开口双面齿2支</w:t>
            </w:r>
          </w:p>
          <w:p>
            <w:pPr>
              <w:rPr>
                <w:rFonts w:hint="default"/>
                <w:lang w:val="en-US" w:eastAsia="zh-CN"/>
              </w:rPr>
            </w:pPr>
            <w:r>
              <w:rPr>
                <w:rFonts w:hint="eastAsia"/>
                <w:lang w:val="en-US" w:eastAsia="zh-CN"/>
              </w:rPr>
              <w:t>鼻刨刀 长度110mm，外刀管直径4mm，40°上开口双面齿1支</w:t>
            </w:r>
          </w:p>
          <w:p>
            <w:pPr>
              <w:rPr>
                <w:rFonts w:hint="default"/>
                <w:lang w:val="en-US" w:eastAsia="zh-CN"/>
              </w:rPr>
            </w:pPr>
            <w:r>
              <w:rPr>
                <w:rFonts w:hint="eastAsia"/>
                <w:lang w:val="en-US" w:eastAsia="zh-CN"/>
              </w:rPr>
              <w:t>鼻钻头 长度115mm，钻头直径4mm，15°切削刃带护鞘1支</w:t>
            </w:r>
          </w:p>
          <w:p>
            <w:pPr>
              <w:rPr>
                <w:rFonts w:hint="default"/>
                <w:lang w:val="en-US" w:eastAsia="zh-CN"/>
              </w:rPr>
            </w:pPr>
            <w:r>
              <w:rPr>
                <w:rFonts w:hint="eastAsia"/>
                <w:lang w:val="en-US" w:eastAsia="zh-CN"/>
              </w:rPr>
              <w:t>鼻钻头 长度115mm，钻头直径2.5mm，15°金刚砂带护鞘1支</w:t>
            </w:r>
          </w:p>
          <w:p>
            <w:pPr>
              <w:rPr>
                <w:rFonts w:hint="eastAsia"/>
                <w:lang w:val="en-US" w:eastAsia="zh-CN"/>
              </w:rPr>
            </w:pPr>
            <w:r>
              <w:rPr>
                <w:rFonts w:hint="eastAsia"/>
                <w:lang w:val="en-US" w:eastAsia="zh-CN"/>
              </w:rPr>
              <w:t>鼻钻头 长度115mm，钻头直径4mm，30°金刚砂1支</w:t>
            </w:r>
          </w:p>
        </w:tc>
      </w:tr>
    </w:tbl>
    <w:p/>
    <w:p>
      <w:pPr>
        <w:rPr>
          <w:rFonts w:hint="eastAsia"/>
        </w:rPr>
      </w:pPr>
      <w:r>
        <w:rPr>
          <w:rFonts w:hint="eastAsia"/>
          <w:lang w:eastAsia="zh-CN"/>
        </w:rPr>
        <w:t>（三）中耳分析仪</w:t>
      </w:r>
      <w:r>
        <w:rPr>
          <w:rFonts w:hint="eastAsia"/>
        </w:rPr>
        <w:t>技术参数</w:t>
      </w:r>
    </w:p>
    <w:p>
      <w:pPr>
        <w:rPr>
          <w:rFonts w:hint="default"/>
        </w:rPr>
      </w:pPr>
      <w:r>
        <w:rPr>
          <w:rFonts w:hint="default"/>
          <w:lang w:eastAsia="zh-CN"/>
        </w:rPr>
        <w:t>技术要求</w:t>
      </w:r>
      <w:r>
        <w:rPr>
          <w:rFonts w:hint="eastAsia"/>
          <w:lang w:eastAsia="zh-CN"/>
        </w:rPr>
        <w:t>：</w:t>
      </w:r>
    </w:p>
    <w:p>
      <w:pPr>
        <w:rPr>
          <w:rFonts w:hint="default"/>
        </w:rPr>
      </w:pPr>
      <w:r>
        <w:rPr>
          <w:rFonts w:hint="default"/>
        </w:rPr>
        <w:t>1、软件功能</w:t>
      </w:r>
    </w:p>
    <w:p>
      <w:pPr>
        <w:rPr>
          <w:rFonts w:hint="default"/>
        </w:rPr>
      </w:pPr>
      <w:r>
        <w:rPr>
          <w:rFonts w:hint="default"/>
        </w:rPr>
        <w:t>1.1</w:t>
      </w:r>
      <w:r>
        <w:rPr>
          <w:rFonts w:hint="default"/>
          <w:lang w:eastAsia="zh-CN"/>
        </w:rPr>
        <w:t>、</w:t>
      </w:r>
      <w:r>
        <w:rPr>
          <w:rFonts w:hint="default"/>
        </w:rPr>
        <w:t>操</w:t>
      </w:r>
      <w:r>
        <w:rPr>
          <w:rFonts w:hint="eastAsia"/>
          <w:lang w:val="en-US" w:eastAsia="zh-CN"/>
        </w:rPr>
        <w:t>做</w:t>
      </w:r>
      <w:r>
        <w:rPr>
          <w:rFonts w:hint="default"/>
        </w:rPr>
        <w:t>软件为中文操作界面</w:t>
      </w:r>
    </w:p>
    <w:p>
      <w:pPr>
        <w:rPr>
          <w:rFonts w:hint="default"/>
        </w:rPr>
      </w:pPr>
      <w:r>
        <w:rPr>
          <w:rFonts w:hint="default"/>
        </w:rPr>
        <w:t>1.2</w:t>
      </w:r>
      <w:r>
        <w:rPr>
          <w:rFonts w:hint="eastAsia"/>
          <w:lang w:eastAsia="zh-CN"/>
        </w:rPr>
        <w:t>、</w:t>
      </w:r>
      <w:r>
        <w:rPr>
          <w:rFonts w:hint="default"/>
        </w:rPr>
        <w:t>可编辑的中文测试报告</w:t>
      </w:r>
    </w:p>
    <w:p>
      <w:pPr>
        <w:rPr>
          <w:rFonts w:hint="default"/>
        </w:rPr>
      </w:pPr>
      <w:r>
        <w:rPr>
          <w:rFonts w:hint="eastAsia"/>
          <w:lang w:val="en-US" w:eastAsia="zh-CN"/>
        </w:rPr>
        <w:t>1.3</w:t>
      </w:r>
      <w:r>
        <w:rPr>
          <w:rFonts w:hint="default"/>
          <w:lang w:eastAsia="zh-CN"/>
        </w:rPr>
        <w:t>、</w:t>
      </w:r>
      <w:r>
        <w:rPr>
          <w:rFonts w:hint="default"/>
        </w:rPr>
        <w:t>可将声导抗测试结果与纯音听力图打印为单页报告</w:t>
      </w:r>
    </w:p>
    <w:p>
      <w:pPr>
        <w:rPr>
          <w:rFonts w:hint="eastAsia"/>
          <w:lang w:val="en-US" w:eastAsia="zh-CN"/>
        </w:rPr>
      </w:pPr>
      <w:r>
        <w:rPr>
          <w:rFonts w:hint="eastAsia"/>
          <w:lang w:val="en-US" w:eastAsia="zh-CN"/>
        </w:rPr>
        <w:t>1.4</w:t>
      </w:r>
      <w:r>
        <w:rPr>
          <w:rFonts w:hint="default"/>
          <w:lang w:eastAsia="zh-CN"/>
        </w:rPr>
        <w:t>、</w:t>
      </w:r>
      <w:r>
        <w:rPr>
          <w:rFonts w:hint="default"/>
        </w:rPr>
        <w:t>与医院信息系统（HIS系统）连接，便于院内电子病历及远程会诊的结果传输</w:t>
      </w:r>
    </w:p>
    <w:p>
      <w:pPr>
        <w:rPr>
          <w:rFonts w:hint="eastAsia"/>
          <w:lang w:val="en-US" w:eastAsia="zh-CN"/>
        </w:rPr>
      </w:pPr>
      <w:r>
        <w:rPr>
          <w:rFonts w:hint="eastAsia"/>
          <w:lang w:val="en-US" w:eastAsia="zh-CN"/>
        </w:rPr>
        <w:t>设备功能要求：</w:t>
      </w:r>
    </w:p>
    <w:p>
      <w:pPr>
        <w:rPr>
          <w:rFonts w:hint="eastAsia"/>
        </w:rPr>
      </w:pPr>
      <w:r>
        <w:rPr>
          <w:rFonts w:hint="eastAsia"/>
          <w:lang w:val="en-US" w:eastAsia="zh-CN"/>
        </w:rPr>
        <w:t>1.</w:t>
      </w:r>
      <w:r>
        <w:rPr>
          <w:rFonts w:hint="eastAsia"/>
        </w:rPr>
        <w:t>测试功能</w:t>
      </w:r>
      <w:r>
        <w:rPr>
          <w:rFonts w:hint="eastAsia"/>
          <w:lang w:val="en-US" w:eastAsia="zh-CN"/>
        </w:rPr>
        <w:t>:</w:t>
      </w:r>
      <w:r>
        <w:rPr>
          <w:rFonts w:hint="eastAsia"/>
        </w:rPr>
        <w:t>手动鼓室图</w:t>
      </w:r>
      <w:r>
        <w:rPr>
          <w:rFonts w:hint="eastAsia"/>
          <w:lang w:eastAsia="zh-CN"/>
        </w:rPr>
        <w:t>、</w:t>
      </w:r>
      <w:r>
        <w:rPr>
          <w:rFonts w:hint="eastAsia"/>
        </w:rPr>
        <w:t>自动鼓室图</w:t>
      </w:r>
      <w:r>
        <w:rPr>
          <w:rFonts w:hint="eastAsia"/>
          <w:lang w:eastAsia="zh-CN"/>
        </w:rPr>
        <w:t>、</w:t>
      </w:r>
      <w:r>
        <w:rPr>
          <w:rFonts w:hint="eastAsia"/>
        </w:rPr>
        <w:t>声反射筛查</w:t>
      </w:r>
      <w:r>
        <w:rPr>
          <w:rFonts w:hint="eastAsia"/>
          <w:lang w:eastAsia="zh-CN"/>
        </w:rPr>
        <w:t>、</w:t>
      </w:r>
      <w:r>
        <w:rPr>
          <w:rFonts w:hint="eastAsia"/>
        </w:rPr>
        <w:t>同</w:t>
      </w:r>
      <w:r>
        <w:t>/</w:t>
      </w:r>
      <w:r>
        <w:rPr>
          <w:rFonts w:hint="eastAsia"/>
        </w:rPr>
        <w:t>对侧声反射阈</w:t>
      </w:r>
      <w:r>
        <w:rPr>
          <w:rFonts w:hint="eastAsia"/>
          <w:lang w:eastAsia="zh-CN"/>
        </w:rPr>
        <w:t>、</w:t>
      </w:r>
      <w:r>
        <w:rPr>
          <w:rFonts w:hint="eastAsia"/>
        </w:rPr>
        <w:t>同</w:t>
      </w:r>
      <w:r>
        <w:t>/</w:t>
      </w:r>
      <w:r>
        <w:rPr>
          <w:rFonts w:hint="eastAsia"/>
        </w:rPr>
        <w:t>对侧声反射衰减</w:t>
      </w:r>
      <w:r>
        <w:rPr>
          <w:rFonts w:hint="eastAsia"/>
          <w:lang w:eastAsia="zh-CN"/>
        </w:rPr>
        <w:t>、</w:t>
      </w:r>
      <w:r>
        <w:rPr>
          <w:rFonts w:hint="eastAsia"/>
        </w:rPr>
        <w:t>，完整</w:t>
      </w:r>
      <w:r>
        <w:t>/</w:t>
      </w:r>
      <w:r>
        <w:rPr>
          <w:rFonts w:hint="eastAsia"/>
        </w:rPr>
        <w:t>穿孔咽鼓管功能检查</w:t>
      </w:r>
      <w:r>
        <w:rPr>
          <w:rFonts w:hint="eastAsia"/>
          <w:lang w:eastAsia="zh-CN"/>
        </w:rPr>
        <w:t>、</w:t>
      </w:r>
      <w:r>
        <w:rPr>
          <w:rFonts w:hint="eastAsia"/>
        </w:rPr>
        <w:t>声导纳记录</w:t>
      </w:r>
      <w:r>
        <w:rPr>
          <w:rFonts w:hint="eastAsia"/>
          <w:lang w:eastAsia="zh-CN"/>
        </w:rPr>
        <w:t>、</w:t>
      </w:r>
      <w:r>
        <w:t>B &amp; G</w:t>
      </w:r>
      <w:r>
        <w:rPr>
          <w:rFonts w:hint="eastAsia"/>
        </w:rPr>
        <w:t>鼓室图</w:t>
      </w:r>
    </w:p>
    <w:p>
      <w:r>
        <w:rPr>
          <w:rFonts w:hint="eastAsia"/>
          <w:lang w:val="en-US" w:eastAsia="zh-CN"/>
        </w:rPr>
        <w:t>2.</w:t>
      </w:r>
      <w:r>
        <w:rPr>
          <w:rFonts w:hint="eastAsia"/>
        </w:rPr>
        <w:t>标配鼓室图探测音频率</w:t>
      </w:r>
      <w:r>
        <w:rPr>
          <w:rFonts w:hint="eastAsia"/>
          <w:lang w:eastAsia="zh-CN"/>
        </w:rPr>
        <w:t>：</w:t>
      </w:r>
      <w:r>
        <w:t>226, 678,  800, 1000Hz</w:t>
      </w:r>
    </w:p>
    <w:p>
      <w:pPr>
        <w:rPr>
          <w:rFonts w:hint="eastAsia"/>
          <w:lang w:val="en-US" w:eastAsia="zh-CN"/>
        </w:rPr>
      </w:pPr>
      <w:r>
        <w:rPr>
          <w:rFonts w:hint="eastAsia"/>
          <w:lang w:val="en-US" w:eastAsia="zh-CN"/>
        </w:rPr>
        <w:t>技术参数要求：</w:t>
      </w:r>
    </w:p>
    <w:p>
      <w:pPr>
        <w:rPr>
          <w:rFonts w:hint="eastAsia"/>
          <w:lang w:val="en-US" w:eastAsia="zh-CN"/>
        </w:rPr>
      </w:pPr>
      <w:r>
        <w:rPr>
          <w:rFonts w:hint="eastAsia"/>
          <w:lang w:eastAsia="zh-CN"/>
        </w:rPr>
        <w:t>（</w:t>
      </w:r>
      <w:r>
        <w:rPr>
          <w:rFonts w:hint="eastAsia"/>
          <w:lang w:val="en-US" w:eastAsia="zh-CN"/>
        </w:rPr>
        <w:t>一</w:t>
      </w:r>
      <w:r>
        <w:rPr>
          <w:rFonts w:hint="eastAsia"/>
          <w:lang w:eastAsia="zh-CN"/>
        </w:rPr>
        <w:t>）</w:t>
      </w:r>
      <w:r>
        <w:rPr>
          <w:rFonts w:hint="eastAsia"/>
        </w:rPr>
        <w:t>声顺测试系统</w:t>
      </w:r>
      <w:r>
        <w:rPr>
          <w:rFonts w:hint="eastAsia"/>
          <w:lang w:eastAsia="zh-CN"/>
        </w:rPr>
        <w:t>：</w:t>
      </w:r>
    </w:p>
    <w:p>
      <w:r>
        <w:rPr>
          <w:rFonts w:hint="eastAsia"/>
        </w:rPr>
        <w:t>探测音：</w:t>
      </w:r>
      <w:r>
        <w:t>226 Hz( 85 dB SPL ± 3 dB)</w:t>
      </w:r>
    </w:p>
    <w:p>
      <w:pPr>
        <w:rPr>
          <w:rFonts w:hint="eastAsia"/>
          <w:lang w:val="en-US" w:eastAsia="zh-CN"/>
        </w:rPr>
      </w:pPr>
      <w:r>
        <w:rPr>
          <w:rFonts w:hint="eastAsia"/>
        </w:rPr>
        <w:t>动态探测音声强：探测音声强将得到补偿以支持各种耳道容积</w:t>
      </w:r>
    </w:p>
    <w:p>
      <w:pPr>
        <w:rPr>
          <w:rFonts w:hint="eastAsia"/>
          <w:lang w:val="en-US" w:eastAsia="zh-CN"/>
        </w:rPr>
      </w:pPr>
      <w:r>
        <w:rPr>
          <w:rFonts w:hint="eastAsia"/>
          <w:lang w:val="en-US" w:eastAsia="zh-CN"/>
        </w:rPr>
        <w:t>2.1</w:t>
      </w:r>
      <w:r>
        <w:rPr>
          <w:rFonts w:hint="eastAsia"/>
        </w:rPr>
        <w:t>小于</w:t>
      </w:r>
      <w:r>
        <w:t xml:space="preserve"> 1.7 ml </w:t>
      </w:r>
      <w:r>
        <w:rPr>
          <w:rFonts w:hint="eastAsia"/>
        </w:rPr>
        <w:t>容积，输出强度将降低</w:t>
      </w:r>
    </w:p>
    <w:p>
      <w:pPr>
        <w:rPr>
          <w:rFonts w:hint="eastAsia"/>
          <w:lang w:val="en-US" w:eastAsia="zh-CN"/>
        </w:rPr>
      </w:pPr>
      <w:r>
        <w:rPr>
          <w:rFonts w:hint="eastAsia"/>
          <w:lang w:val="en-US" w:eastAsia="zh-CN"/>
        </w:rPr>
        <w:t>2.2</w:t>
      </w:r>
      <w:r>
        <w:rPr>
          <w:rFonts w:hint="eastAsia"/>
          <w:lang w:eastAsia="zh-CN"/>
        </w:rPr>
        <w:t>、</w:t>
      </w:r>
      <w:r>
        <w:rPr>
          <w:rFonts w:hint="eastAsia"/>
        </w:rPr>
        <w:t>大于</w:t>
      </w:r>
      <w:r>
        <w:t xml:space="preserve"> 2.3 ml </w:t>
      </w:r>
      <w:r>
        <w:rPr>
          <w:rFonts w:hint="eastAsia"/>
        </w:rPr>
        <w:t>容积，输出强度将提高</w:t>
      </w:r>
      <w:r>
        <w:rPr>
          <w:rFonts w:hint="eastAsia"/>
          <w:lang w:eastAsia="zh-CN"/>
        </w:rPr>
        <w:t>）</w:t>
      </w:r>
    </w:p>
    <w:p>
      <w:pPr>
        <w:rPr>
          <w:rFonts w:hint="eastAsia"/>
          <w:lang w:val="en-US" w:eastAsia="zh-CN"/>
        </w:rPr>
      </w:pPr>
      <w:r>
        <w:rPr>
          <w:rFonts w:hint="eastAsia"/>
        </w:rPr>
        <w:t>总谐波失真</w:t>
      </w:r>
      <w:r>
        <w:t xml:space="preserve"> (THD)</w:t>
      </w:r>
      <w:r>
        <w:rPr>
          <w:rFonts w:hint="eastAsia"/>
        </w:rPr>
        <w:t>：</w:t>
      </w:r>
      <w:r>
        <w:t xml:space="preserve">&lt; 1%( 2 cc </w:t>
      </w:r>
      <w:r>
        <w:rPr>
          <w:rFonts w:hint="eastAsia"/>
        </w:rPr>
        <w:t>中</w:t>
      </w:r>
      <w:r>
        <w:t>)</w:t>
      </w:r>
    </w:p>
    <w:p>
      <w:r>
        <w:rPr>
          <w:rFonts w:hint="eastAsia"/>
          <w:lang w:val="en-US" w:eastAsia="zh-CN"/>
        </w:rPr>
        <w:t>4.</w:t>
      </w:r>
      <w:r>
        <w:rPr>
          <w:rFonts w:hint="eastAsia"/>
        </w:rPr>
        <w:t>频率精度：</w:t>
      </w:r>
      <w:r>
        <w:t>± 0.5%</w:t>
      </w:r>
    </w:p>
    <w:p>
      <w:r>
        <w:rPr>
          <w:rFonts w:hint="eastAsia"/>
        </w:rPr>
        <w:t>范围</w:t>
      </w:r>
      <w:r>
        <w:t xml:space="preserve">(R):0.2 ml </w:t>
      </w:r>
      <w:r>
        <w:rPr>
          <w:rFonts w:hint="eastAsia"/>
        </w:rPr>
        <w:t>至</w:t>
      </w:r>
      <w:r>
        <w:t xml:space="preserve"> 5.0 ml ± 5% </w:t>
      </w:r>
      <w:r>
        <w:rPr>
          <w:rFonts w:hint="eastAsia"/>
        </w:rPr>
        <w:t>或</w:t>
      </w:r>
      <w:r>
        <w:t xml:space="preserve"> 0.05 ml( </w:t>
      </w:r>
      <w:r>
        <w:rPr>
          <w:rFonts w:hint="eastAsia"/>
        </w:rPr>
        <w:t>取两者中的较大者</w:t>
      </w:r>
      <w:r>
        <w:t>)</w:t>
      </w:r>
    </w:p>
    <w:p>
      <w:r>
        <w:t xml:space="preserve">5.0 ml </w:t>
      </w:r>
      <w:r>
        <w:rPr>
          <w:rFonts w:hint="eastAsia"/>
        </w:rPr>
        <w:t>至</w:t>
      </w:r>
      <w:r>
        <w:t xml:space="preserve"> 8.0 ml ± 15% </w:t>
      </w:r>
    </w:p>
    <w:p>
      <w:pPr>
        <w:rPr>
          <w:rFonts w:hint="eastAsia"/>
          <w:lang w:eastAsia="zh-CN"/>
        </w:rPr>
      </w:pPr>
      <w:r>
        <w:rPr>
          <w:rFonts w:hint="eastAsia"/>
          <w:lang w:val="en-US" w:eastAsia="zh-CN"/>
        </w:rPr>
        <w:t>（二）</w:t>
      </w:r>
      <w:r>
        <w:rPr>
          <w:rFonts w:hint="eastAsia"/>
        </w:rPr>
        <w:t>声反射</w:t>
      </w:r>
      <w:r>
        <w:rPr>
          <w:rFonts w:hint="eastAsia"/>
          <w:lang w:eastAsia="zh-CN"/>
        </w:rPr>
        <w:t>：</w:t>
      </w:r>
    </w:p>
    <w:p>
      <w:pPr>
        <w:rPr>
          <w:rFonts w:hint="eastAsia"/>
          <w:lang w:eastAsia="zh-CN"/>
        </w:rPr>
      </w:pPr>
      <w:r>
        <w:rPr>
          <w:rFonts w:hint="eastAsia"/>
          <w:lang w:val="en-US" w:eastAsia="zh-CN"/>
        </w:rPr>
        <w:t>1.</w:t>
      </w:r>
      <w:r>
        <w:rPr>
          <w:rFonts w:hint="eastAsia"/>
        </w:rPr>
        <w:t>声反射阈和声反射衰减灵敏度：</w:t>
      </w:r>
      <w:r>
        <w:t>0.01</w:t>
      </w:r>
      <w:r>
        <w:rPr>
          <w:rFonts w:hint="eastAsia"/>
        </w:rPr>
        <w:t>、</w:t>
      </w:r>
      <w:r>
        <w:t xml:space="preserve"> 0.02</w:t>
      </w:r>
      <w:r>
        <w:rPr>
          <w:rFonts w:hint="eastAsia"/>
        </w:rPr>
        <w:t>、</w:t>
      </w:r>
      <w:r>
        <w:t xml:space="preserve"> 0.03</w:t>
      </w:r>
      <w:r>
        <w:rPr>
          <w:rFonts w:hint="eastAsia"/>
        </w:rPr>
        <w:t>、</w:t>
      </w:r>
      <w:r>
        <w:t xml:space="preserve"> 0.04 </w:t>
      </w:r>
      <w:r>
        <w:rPr>
          <w:rFonts w:hint="eastAsia"/>
        </w:rPr>
        <w:t>或</w:t>
      </w:r>
      <w:r>
        <w:t xml:space="preserve"> 0.05 mmho</w:t>
      </w:r>
    </w:p>
    <w:p>
      <w:r>
        <w:rPr>
          <w:rFonts w:hint="eastAsia"/>
          <w:lang w:val="en-US" w:eastAsia="zh-CN"/>
        </w:rPr>
        <w:t>2.</w:t>
      </w:r>
      <w:r>
        <w:rPr>
          <w:rFonts w:hint="eastAsia"/>
        </w:rPr>
        <w:t>声反射筛查灵敏度：</w:t>
      </w:r>
      <w:r>
        <w:t>0.04 mmho</w:t>
      </w:r>
    </w:p>
    <w:p>
      <w:r>
        <w:rPr>
          <w:rFonts w:hint="eastAsia"/>
          <w:lang w:val="en-US" w:eastAsia="zh-CN"/>
        </w:rPr>
        <w:t>3.</w:t>
      </w:r>
      <w:r>
        <w:rPr>
          <w:rFonts w:hint="eastAsia"/>
        </w:rPr>
        <w:t>步进大小</w:t>
      </w:r>
      <w:r>
        <w:t xml:space="preserve"> dB</w:t>
      </w:r>
      <w:r>
        <w:rPr>
          <w:rFonts w:hint="eastAsia"/>
        </w:rPr>
        <w:t>：</w:t>
      </w:r>
      <w:r>
        <w:t>1</w:t>
      </w:r>
      <w:r>
        <w:rPr>
          <w:rFonts w:hint="eastAsia"/>
        </w:rPr>
        <w:t>、</w:t>
      </w:r>
      <w:r>
        <w:t xml:space="preserve"> 2</w:t>
      </w:r>
      <w:r>
        <w:rPr>
          <w:rFonts w:hint="eastAsia"/>
        </w:rPr>
        <w:t>、</w:t>
      </w:r>
      <w:r>
        <w:t xml:space="preserve"> 5</w:t>
      </w:r>
      <w:r>
        <w:rPr>
          <w:rFonts w:hint="eastAsia"/>
        </w:rPr>
        <w:t>、</w:t>
      </w:r>
      <w:r>
        <w:t xml:space="preserve"> 10 dB</w:t>
      </w:r>
    </w:p>
    <w:p>
      <w:pPr>
        <w:rPr>
          <w:rFonts w:hint="eastAsia"/>
          <w:lang w:eastAsia="zh-CN"/>
        </w:rPr>
      </w:pPr>
      <w:r>
        <w:rPr>
          <w:rFonts w:hint="eastAsia"/>
          <w:lang w:val="en-US" w:eastAsia="zh-CN"/>
        </w:rPr>
        <w:t>4.</w:t>
      </w:r>
      <w:r>
        <w:rPr>
          <w:rFonts w:hint="eastAsia"/>
        </w:rPr>
        <w:t>对侧刺激</w:t>
      </w:r>
      <w:r>
        <w:rPr>
          <w:rFonts w:hint="eastAsia"/>
          <w:lang w:eastAsia="zh-CN"/>
        </w:rPr>
        <w:t>：</w:t>
      </w:r>
    </w:p>
    <w:p>
      <w:r>
        <w:rPr>
          <w:rFonts w:hint="eastAsia"/>
        </w:rPr>
        <w:t>纯音：</w:t>
      </w:r>
      <w:r>
        <w:t>500 Hz, 1000 Hz, 2000 Hz, 4000 Hz</w:t>
      </w:r>
    </w:p>
    <w:p>
      <w:r>
        <w:rPr>
          <w:rFonts w:hint="eastAsia"/>
        </w:rPr>
        <w:t>频率精度：</w:t>
      </w:r>
      <w:r>
        <w:t>± 0.5%</w:t>
      </w:r>
    </w:p>
    <w:p>
      <w:r>
        <w:rPr>
          <w:rFonts w:hint="eastAsia"/>
        </w:rPr>
        <w:t>范围</w:t>
      </w:r>
      <w:r>
        <w:t>(R):BBN</w:t>
      </w:r>
      <w:r>
        <w:rPr>
          <w:rFonts w:hint="eastAsia"/>
        </w:rPr>
        <w:t>、</w:t>
      </w:r>
      <w:r>
        <w:t xml:space="preserve"> LPN</w:t>
      </w:r>
      <w:r>
        <w:rPr>
          <w:rFonts w:hint="eastAsia"/>
        </w:rPr>
        <w:t>、</w:t>
      </w:r>
      <w:r>
        <w:t xml:space="preserve"> HPN( 50 </w:t>
      </w:r>
      <w:r>
        <w:rPr>
          <w:rFonts w:hint="eastAsia"/>
        </w:rPr>
        <w:t>至</w:t>
      </w:r>
      <w:r>
        <w:t xml:space="preserve"> 110 dB SPL  ±3 dB)</w:t>
      </w:r>
    </w:p>
    <w:p>
      <w:pPr>
        <w:rPr>
          <w:rFonts w:hint="eastAsia"/>
          <w:lang w:val="en-US" w:eastAsia="zh-CN"/>
        </w:rPr>
      </w:pPr>
      <w:r>
        <w:rPr>
          <w:rFonts w:hint="eastAsia"/>
        </w:rPr>
        <w:t>对侧</w:t>
      </w:r>
      <w:r>
        <w:t xml:space="preserve"> TDH-39 </w:t>
      </w:r>
      <w:r>
        <w:rPr>
          <w:rFonts w:hint="eastAsia"/>
        </w:rPr>
        <w:t>耳机：</w:t>
      </w:r>
      <w:r>
        <w:t xml:space="preserve">500 Hz( 50 </w:t>
      </w:r>
      <w:r>
        <w:rPr>
          <w:rFonts w:hint="eastAsia"/>
        </w:rPr>
        <w:t>至</w:t>
      </w:r>
      <w:r>
        <w:t xml:space="preserve"> 115 dB HL ± 3 dB)</w:t>
      </w:r>
    </w:p>
    <w:p>
      <w:r>
        <w:rPr>
          <w:rFonts w:hint="eastAsia"/>
          <w:lang w:val="en-US" w:eastAsia="zh-CN"/>
        </w:rPr>
        <w:t xml:space="preserve">                   </w:t>
      </w:r>
      <w:r>
        <w:t xml:space="preserve">1000 Hz( 50 </w:t>
      </w:r>
      <w:r>
        <w:rPr>
          <w:rFonts w:hint="eastAsia"/>
        </w:rPr>
        <w:t>至</w:t>
      </w:r>
      <w:r>
        <w:t xml:space="preserve"> 120 dB HL ± 3 dB)</w:t>
      </w:r>
    </w:p>
    <w:p>
      <w:r>
        <w:rPr>
          <w:rFonts w:hint="eastAsia"/>
          <w:lang w:val="en-US" w:eastAsia="zh-CN"/>
        </w:rPr>
        <w:t xml:space="preserve">                   </w:t>
      </w:r>
      <w:r>
        <w:t xml:space="preserve">2000 Hz( 50 </w:t>
      </w:r>
      <w:r>
        <w:rPr>
          <w:rFonts w:hint="eastAsia"/>
        </w:rPr>
        <w:t>到</w:t>
      </w:r>
      <w:r>
        <w:t xml:space="preserve"> 115 dB HL ± 3 dB)</w:t>
      </w:r>
    </w:p>
    <w:p>
      <w:r>
        <w:t xml:space="preserve">4000 Hz( 50 </w:t>
      </w:r>
      <w:r>
        <w:rPr>
          <w:rFonts w:hint="eastAsia"/>
        </w:rPr>
        <w:t>到</w:t>
      </w:r>
      <w:r>
        <w:t xml:space="preserve"> 115 dB HL ± 3 dB)</w:t>
      </w:r>
    </w:p>
    <w:p>
      <w:r>
        <w:rPr>
          <w:rFonts w:hint="eastAsia"/>
        </w:rPr>
        <w:t>总谐波失真</w:t>
      </w:r>
      <w:r>
        <w:t xml:space="preserve"> (THD)</w:t>
      </w:r>
      <w:r>
        <w:rPr>
          <w:rFonts w:hint="eastAsia"/>
        </w:rPr>
        <w:t>：</w:t>
      </w:r>
      <w:r>
        <w:t xml:space="preserve">110 dB HL </w:t>
      </w:r>
      <w:r>
        <w:rPr>
          <w:rFonts w:hint="eastAsia"/>
        </w:rPr>
        <w:t>以下</w:t>
      </w:r>
      <w:r>
        <w:t xml:space="preserve"> &lt; 2.5%</w:t>
      </w:r>
    </w:p>
    <w:p>
      <w:r>
        <w:t xml:space="preserve">110 dB HL </w:t>
      </w:r>
      <w:r>
        <w:rPr>
          <w:rFonts w:hint="eastAsia"/>
        </w:rPr>
        <w:t>以上</w:t>
      </w:r>
      <w:r>
        <w:t xml:space="preserve"> &lt; 5%</w:t>
      </w:r>
    </w:p>
    <w:p>
      <w:pPr>
        <w:rPr>
          <w:rFonts w:hint="eastAsia"/>
          <w:lang w:eastAsia="zh-CN"/>
        </w:rPr>
      </w:pPr>
      <w:r>
        <w:rPr>
          <w:rFonts w:hint="eastAsia"/>
          <w:lang w:val="en-US" w:eastAsia="zh-CN"/>
        </w:rPr>
        <w:t>5.</w:t>
      </w:r>
      <w:r>
        <w:rPr>
          <w:rFonts w:hint="eastAsia"/>
        </w:rPr>
        <w:t>同侧刺激</w:t>
      </w:r>
      <w:r>
        <w:rPr>
          <w:rFonts w:hint="eastAsia"/>
          <w:lang w:eastAsia="zh-CN"/>
        </w:rPr>
        <w:t>：</w:t>
      </w:r>
    </w:p>
    <w:p>
      <w:r>
        <w:rPr>
          <w:rFonts w:hint="eastAsia"/>
          <w:lang w:val="en-US" w:eastAsia="zh-CN"/>
        </w:rPr>
        <w:t>5.1</w:t>
      </w:r>
      <w:r>
        <w:rPr>
          <w:rFonts w:hint="eastAsia"/>
        </w:rPr>
        <w:t>纯音：</w:t>
      </w:r>
      <w:r>
        <w:t>500 Hz,</w:t>
      </w:r>
      <w:r>
        <w:rPr>
          <w:rFonts w:hint="eastAsia"/>
          <w:lang w:eastAsia="zh-CN"/>
        </w:rPr>
        <w:t>、</w:t>
      </w:r>
      <w:r>
        <w:t>1000 Hz,</w:t>
      </w:r>
      <w:r>
        <w:rPr>
          <w:rFonts w:hint="eastAsia"/>
          <w:lang w:eastAsia="zh-CN"/>
        </w:rPr>
        <w:t>、</w:t>
      </w:r>
      <w:r>
        <w:t>2000 Hz</w:t>
      </w:r>
      <w:r>
        <w:rPr>
          <w:rFonts w:hint="eastAsia"/>
          <w:lang w:eastAsia="zh-CN"/>
        </w:rPr>
        <w:t>、</w:t>
      </w:r>
      <w:r>
        <w:t xml:space="preserve"> 4000 Hz</w:t>
      </w:r>
      <w:r>
        <w:rPr>
          <w:rFonts w:hint="eastAsia"/>
          <w:lang w:eastAsia="zh-CN"/>
        </w:rPr>
        <w:t>、</w:t>
      </w:r>
      <w:r>
        <w:t>BBN</w:t>
      </w:r>
      <w:r>
        <w:rPr>
          <w:rFonts w:hint="eastAsia"/>
        </w:rPr>
        <w:t>、</w:t>
      </w:r>
      <w:r>
        <w:t xml:space="preserve"> LPN</w:t>
      </w:r>
      <w:r>
        <w:rPr>
          <w:rFonts w:hint="eastAsia"/>
        </w:rPr>
        <w:t>、</w:t>
      </w:r>
      <w:r>
        <w:t xml:space="preserve"> HPN</w:t>
      </w:r>
    </w:p>
    <w:p>
      <w:r>
        <w:rPr>
          <w:rFonts w:hint="eastAsia"/>
          <w:lang w:val="en-US" w:eastAsia="zh-CN"/>
        </w:rPr>
        <w:t>5.2</w:t>
      </w:r>
      <w:r>
        <w:rPr>
          <w:rFonts w:hint="eastAsia"/>
        </w:rPr>
        <w:t>频率精度：</w:t>
      </w:r>
      <w:r>
        <w:t>± 0.5%</w:t>
      </w:r>
    </w:p>
    <w:p>
      <w:r>
        <w:rPr>
          <w:rFonts w:hint="eastAsia"/>
          <w:lang w:val="en-US" w:eastAsia="zh-CN"/>
        </w:rPr>
        <w:t>5.3声强</w:t>
      </w:r>
      <w:r>
        <w:rPr>
          <w:rFonts w:hint="eastAsia"/>
        </w:rPr>
        <w:t>范围</w:t>
      </w:r>
      <w:r>
        <w:t>(R): BBN</w:t>
      </w:r>
      <w:r>
        <w:rPr>
          <w:rFonts w:hint="eastAsia"/>
        </w:rPr>
        <w:t>、</w:t>
      </w:r>
      <w:r>
        <w:t xml:space="preserve"> LPN</w:t>
      </w:r>
      <w:r>
        <w:rPr>
          <w:rFonts w:hint="eastAsia"/>
        </w:rPr>
        <w:t>、</w:t>
      </w:r>
      <w:r>
        <w:t xml:space="preserve"> HPN( 50 </w:t>
      </w:r>
      <w:r>
        <w:rPr>
          <w:rFonts w:hint="eastAsia"/>
        </w:rPr>
        <w:t>至</w:t>
      </w:r>
      <w:r>
        <w:t xml:space="preserve"> 110 dB SPL  ±3 dB</w:t>
      </w:r>
    </w:p>
    <w:p>
      <w:r>
        <w:rPr>
          <w:rFonts w:hint="eastAsia"/>
          <w:lang w:val="en-US" w:eastAsia="zh-CN"/>
        </w:rPr>
        <w:t>5.4</w:t>
      </w:r>
      <w:r>
        <w:rPr>
          <w:rFonts w:hint="eastAsia"/>
        </w:rPr>
        <w:t>筛查范围：</w:t>
      </w:r>
      <w:r>
        <w:t xml:space="preserve">BBN( 50 </w:t>
      </w:r>
      <w:r>
        <w:rPr>
          <w:rFonts w:hint="eastAsia"/>
        </w:rPr>
        <w:t>至</w:t>
      </w:r>
      <w:r>
        <w:t xml:space="preserve"> 90 dB SPL ±3 dB)</w:t>
      </w:r>
    </w:p>
    <w:p>
      <w:r>
        <w:rPr>
          <w:rFonts w:hint="eastAsia"/>
          <w:lang w:val="en-US" w:eastAsia="zh-CN"/>
        </w:rPr>
        <w:t>5.5</w:t>
      </w:r>
      <w:r>
        <w:rPr>
          <w:rFonts w:hint="eastAsia"/>
        </w:rPr>
        <w:t>步进大小</w:t>
      </w:r>
      <w:r>
        <w:t xml:space="preserve"> dB</w:t>
      </w:r>
      <w:r>
        <w:rPr>
          <w:rFonts w:hint="eastAsia"/>
        </w:rPr>
        <w:t>：</w:t>
      </w:r>
      <w:r>
        <w:t>1</w:t>
      </w:r>
      <w:r>
        <w:rPr>
          <w:rFonts w:hint="eastAsia"/>
        </w:rPr>
        <w:t>、</w:t>
      </w:r>
      <w:r>
        <w:t xml:space="preserve"> 2</w:t>
      </w:r>
      <w:r>
        <w:rPr>
          <w:rFonts w:hint="eastAsia"/>
        </w:rPr>
        <w:t>、</w:t>
      </w:r>
      <w:r>
        <w:t xml:space="preserve"> 5</w:t>
      </w:r>
      <w:r>
        <w:rPr>
          <w:rFonts w:hint="eastAsia"/>
        </w:rPr>
        <w:t>、</w:t>
      </w:r>
      <w:r>
        <w:t xml:space="preserve"> 10 dB</w:t>
      </w:r>
    </w:p>
    <w:p>
      <w:r>
        <w:rPr>
          <w:rFonts w:hint="eastAsia"/>
          <w:lang w:val="en-US" w:eastAsia="zh-CN"/>
        </w:rPr>
        <w:t>5.6</w:t>
      </w:r>
      <w:r>
        <w:rPr>
          <w:rFonts w:hint="eastAsia"/>
        </w:rPr>
        <w:t>衰减范围：</w:t>
      </w:r>
      <w:r>
        <w:t xml:space="preserve"> 50 </w:t>
      </w:r>
      <w:r>
        <w:rPr>
          <w:rFonts w:hint="eastAsia"/>
        </w:rPr>
        <w:t>至</w:t>
      </w:r>
      <w:r>
        <w:t xml:space="preserve"> 100 dB HL</w:t>
      </w:r>
    </w:p>
    <w:p>
      <w:r>
        <w:rPr>
          <w:rFonts w:hint="eastAsia"/>
          <w:lang w:val="en-US" w:eastAsia="zh-CN"/>
        </w:rPr>
        <w:t>6同侧探头：</w:t>
      </w:r>
      <w:r>
        <w:rPr>
          <w:rFonts w:hint="eastAsia"/>
        </w:rPr>
        <w:t>带宽限制：</w:t>
      </w:r>
      <w:r>
        <w:t xml:space="preserve">1600 Hz( </w:t>
      </w:r>
      <w:r>
        <w:rPr>
          <w:rFonts w:hint="eastAsia"/>
        </w:rPr>
        <w:t>额定值</w:t>
      </w:r>
      <w:r>
        <w:t xml:space="preserve"> -3 dB </w:t>
      </w:r>
      <w:r>
        <w:rPr>
          <w:rFonts w:hint="eastAsia"/>
        </w:rPr>
        <w:t>设定点</w:t>
      </w:r>
      <w:r>
        <w:t>)</w:t>
      </w:r>
    </w:p>
    <w:p>
      <w:pPr>
        <w:rPr>
          <w:rFonts w:hint="eastAsia"/>
        </w:rPr>
      </w:pPr>
      <w:r>
        <w:rPr>
          <w:rFonts w:hint="eastAsia"/>
          <w:lang w:val="en-US" w:eastAsia="zh-CN"/>
        </w:rPr>
        <w:t>6.1斜率：</w:t>
      </w:r>
      <w:r>
        <w:rPr>
          <w:rFonts w:hint="eastAsia"/>
        </w:rPr>
        <w:t>高于</w:t>
      </w:r>
      <w:r>
        <w:t xml:space="preserve"> 1600 </w:t>
      </w:r>
      <w:r>
        <w:rPr>
          <w:rFonts w:hint="eastAsia"/>
        </w:rPr>
        <w:t>低于</w:t>
      </w:r>
      <w:r>
        <w:t xml:space="preserve"> 1600 Hz </w:t>
      </w:r>
      <w:r>
        <w:rPr>
          <w:rFonts w:hint="eastAsia"/>
        </w:rPr>
        <w:t>时，</w:t>
      </w:r>
      <w:r>
        <w:t xml:space="preserve"> </w:t>
      </w:r>
      <w:r>
        <w:rPr>
          <w:rFonts w:hint="eastAsia"/>
        </w:rPr>
        <w:t>斜率为</w:t>
      </w:r>
      <w:r>
        <w:t xml:space="preserve"> +12 - +18 dB/</w:t>
      </w:r>
      <w:r>
        <w:rPr>
          <w:rFonts w:hint="eastAsia"/>
        </w:rPr>
        <w:t>倍频程，</w:t>
      </w:r>
      <w:r>
        <w:t xml:space="preserve"> </w:t>
      </w:r>
      <w:r>
        <w:rPr>
          <w:rFonts w:hint="eastAsia"/>
        </w:rPr>
        <w:t>容差增加</w:t>
      </w:r>
      <w:r>
        <w:t xml:space="preserve"> ±6 dB</w:t>
      </w:r>
      <w:r>
        <w:rPr>
          <w:rFonts w:hint="eastAsia"/>
        </w:rPr>
        <w:t>。</w:t>
      </w:r>
    </w:p>
    <w:p>
      <w:pPr>
        <w:rPr>
          <w:rFonts w:hint="eastAsia"/>
          <w:lang w:val="en-US" w:eastAsia="zh-CN"/>
        </w:rPr>
      </w:pPr>
      <w:r>
        <w:rPr>
          <w:rFonts w:hint="eastAsia"/>
          <w:lang w:val="en-US" w:eastAsia="zh-CN"/>
        </w:rPr>
        <w:t>6.2</w:t>
      </w:r>
      <w:r>
        <w:rPr>
          <w:rFonts w:hint="eastAsia"/>
        </w:rPr>
        <w:t>声级</w:t>
      </w:r>
      <w:r>
        <w:t xml:space="preserve">: </w:t>
      </w:r>
      <w:r>
        <w:rPr>
          <w:rFonts w:hint="eastAsia"/>
        </w:rPr>
        <w:t>噪声级以</w:t>
      </w:r>
      <w:r>
        <w:t xml:space="preserve"> dB HL </w:t>
      </w:r>
      <w:r>
        <w:rPr>
          <w:rFonts w:hint="eastAsia"/>
        </w:rPr>
        <w:t>表示。</w:t>
      </w:r>
      <w:r>
        <w:t xml:space="preserve"> </w:t>
      </w:r>
      <w:r>
        <w:rPr>
          <w:rFonts w:hint="eastAsia"/>
        </w:rPr>
        <w:t>容差为</w:t>
      </w:r>
      <w:r>
        <w:t xml:space="preserve"> ±5 dB</w:t>
      </w:r>
      <w:r>
        <w:rPr>
          <w:rFonts w:hint="eastAsia"/>
        </w:rPr>
        <w:t>。</w:t>
      </w:r>
    </w:p>
    <w:p>
      <w:pPr>
        <w:rPr>
          <w:rFonts w:hint="eastAsia"/>
        </w:rPr>
      </w:pPr>
      <w:r>
        <w:rPr>
          <w:rFonts w:hint="eastAsia"/>
          <w:lang w:val="en-US" w:eastAsia="zh-CN"/>
        </w:rPr>
        <w:t>7.</w:t>
      </w:r>
      <w:r>
        <w:rPr>
          <w:rFonts w:hint="eastAsia"/>
        </w:rPr>
        <w:t>低通滤波噪声</w:t>
      </w:r>
      <w:r>
        <w:rPr>
          <w:rFonts w:hint="eastAsia"/>
          <w:lang w:eastAsia="zh-CN"/>
        </w:rPr>
        <w:t>：</w:t>
      </w:r>
      <w:r>
        <w:rPr>
          <w:rFonts w:hint="eastAsia"/>
        </w:rPr>
        <w:t>对侧</w:t>
      </w:r>
      <w:r>
        <w:t xml:space="preserve"> TDH-39 </w:t>
      </w:r>
      <w:r>
        <w:rPr>
          <w:rFonts w:hint="eastAsia"/>
        </w:rPr>
        <w:t>耳机</w:t>
      </w:r>
    </w:p>
    <w:p>
      <w:r>
        <w:rPr>
          <w:rFonts w:hint="eastAsia"/>
          <w:lang w:val="en-US" w:eastAsia="zh-CN"/>
        </w:rPr>
        <w:t>7.1</w:t>
      </w:r>
      <w:r>
        <w:rPr>
          <w:rFonts w:hint="eastAsia"/>
        </w:rPr>
        <w:t>带宽限制：</w:t>
      </w:r>
      <w:r>
        <w:t xml:space="preserve">1600 Hz( </w:t>
      </w:r>
      <w:r>
        <w:rPr>
          <w:rFonts w:hint="eastAsia"/>
        </w:rPr>
        <w:t>额定值</w:t>
      </w:r>
      <w:r>
        <w:t xml:space="preserve"> -3 dB </w:t>
      </w:r>
      <w:r>
        <w:rPr>
          <w:rFonts w:hint="eastAsia"/>
        </w:rPr>
        <w:t>设定点</w:t>
      </w:r>
      <w:r>
        <w:t>)</w:t>
      </w:r>
    </w:p>
    <w:p>
      <w:pPr>
        <w:rPr>
          <w:rFonts w:hint="eastAsia"/>
        </w:rPr>
      </w:pPr>
      <w:r>
        <w:rPr>
          <w:rFonts w:hint="eastAsia"/>
          <w:lang w:val="en-US" w:eastAsia="zh-CN"/>
        </w:rPr>
        <w:t>7.2斜率：</w:t>
      </w:r>
      <w:r>
        <w:rPr>
          <w:rFonts w:hint="eastAsia"/>
        </w:rPr>
        <w:t>高于</w:t>
      </w:r>
      <w:r>
        <w:t xml:space="preserve"> 1600 Hz</w:t>
      </w:r>
      <w:r>
        <w:rPr>
          <w:rFonts w:hint="eastAsia"/>
        </w:rPr>
        <w:t>时，</w:t>
      </w:r>
      <w:r>
        <w:t xml:space="preserve"> </w:t>
      </w:r>
      <w:r>
        <w:rPr>
          <w:rFonts w:hint="eastAsia"/>
        </w:rPr>
        <w:t>斜率为</w:t>
      </w:r>
      <w:r>
        <w:t xml:space="preserve"> -12 - -18 dB/</w:t>
      </w:r>
      <w:r>
        <w:rPr>
          <w:rFonts w:hint="eastAsia"/>
        </w:rPr>
        <w:t>倍频程，</w:t>
      </w:r>
      <w:r>
        <w:t xml:space="preserve"> </w:t>
      </w:r>
      <w:r>
        <w:rPr>
          <w:rFonts w:hint="eastAsia"/>
        </w:rPr>
        <w:t>容差增加</w:t>
      </w:r>
      <w:r>
        <w:t xml:space="preserve"> ±6 dB</w:t>
      </w:r>
      <w:r>
        <w:rPr>
          <w:rFonts w:hint="eastAsia"/>
        </w:rPr>
        <w:t>。</w:t>
      </w:r>
      <w:r>
        <w:t xml:space="preserve"> </w:t>
      </w:r>
      <w:r>
        <w:rPr>
          <w:rFonts w:hint="eastAsia"/>
        </w:rPr>
        <w:t>高于</w:t>
      </w:r>
      <w:r>
        <w:t xml:space="preserve"> 8500Hz </w:t>
      </w:r>
      <w:r>
        <w:rPr>
          <w:rFonts w:hint="eastAsia"/>
        </w:rPr>
        <w:t>时，</w:t>
      </w:r>
      <w:r>
        <w:t xml:space="preserve"> </w:t>
      </w:r>
      <w:r>
        <w:rPr>
          <w:rFonts w:hint="eastAsia"/>
        </w:rPr>
        <w:t>频谱级保持在</w:t>
      </w:r>
      <w:r>
        <w:t xml:space="preserve"> -34 dB </w:t>
      </w:r>
      <w:r>
        <w:rPr>
          <w:rFonts w:hint="eastAsia"/>
        </w:rPr>
        <w:t>以下</w:t>
      </w:r>
      <w:r>
        <w:t xml:space="preserve">( </w:t>
      </w:r>
      <w:r>
        <w:rPr>
          <w:rFonts w:hint="eastAsia"/>
        </w:rPr>
        <w:t>相对于</w:t>
      </w:r>
      <w:r>
        <w:t xml:space="preserve"> 1600 Hz</w:t>
      </w:r>
      <w:r>
        <w:rPr>
          <w:rFonts w:hint="eastAsia"/>
        </w:rPr>
        <w:t>声级</w:t>
      </w:r>
      <w:r>
        <w:t xml:space="preserve">) </w:t>
      </w:r>
      <w:r>
        <w:rPr>
          <w:rFonts w:hint="eastAsia"/>
        </w:rPr>
        <w:t>。</w:t>
      </w:r>
    </w:p>
    <w:p>
      <w:pPr>
        <w:rPr>
          <w:rFonts w:hint="eastAsia"/>
        </w:rPr>
      </w:pPr>
      <w:r>
        <w:rPr>
          <w:rFonts w:hint="eastAsia"/>
          <w:lang w:val="en-US" w:eastAsia="zh-CN"/>
        </w:rPr>
        <w:t>7.3</w:t>
      </w:r>
      <w:r>
        <w:rPr>
          <w:rFonts w:hint="eastAsia"/>
        </w:rPr>
        <w:t>声级</w:t>
      </w:r>
      <w:r>
        <w:t xml:space="preserve">: </w:t>
      </w:r>
      <w:r>
        <w:rPr>
          <w:rFonts w:hint="eastAsia"/>
        </w:rPr>
        <w:t>噪声级以</w:t>
      </w:r>
      <w:r>
        <w:t xml:space="preserve"> dB HL </w:t>
      </w:r>
      <w:r>
        <w:rPr>
          <w:rFonts w:hint="eastAsia"/>
        </w:rPr>
        <w:t>表示。</w:t>
      </w:r>
      <w:r>
        <w:t xml:space="preserve"> </w:t>
      </w:r>
      <w:r>
        <w:rPr>
          <w:rFonts w:hint="eastAsia"/>
        </w:rPr>
        <w:t>容差为</w:t>
      </w:r>
      <w:r>
        <w:t xml:space="preserve"> ±5 dB</w:t>
      </w:r>
      <w:r>
        <w:rPr>
          <w:rFonts w:hint="eastAsia"/>
        </w:rPr>
        <w:t>。</w:t>
      </w:r>
    </w:p>
    <w:p>
      <w:pPr>
        <w:rPr>
          <w:rFonts w:hint="eastAsia"/>
          <w:lang w:eastAsia="zh-CN"/>
        </w:rPr>
      </w:pPr>
      <w:r>
        <w:rPr>
          <w:rFonts w:hint="eastAsia"/>
        </w:rPr>
        <w:t>气压系统</w:t>
      </w:r>
      <w:r>
        <w:rPr>
          <w:rFonts w:hint="eastAsia"/>
          <w:lang w:eastAsia="zh-CN"/>
        </w:rPr>
        <w:t>：</w:t>
      </w:r>
    </w:p>
    <w:p>
      <w:r>
        <w:rPr>
          <w:rFonts w:hint="eastAsia"/>
          <w:lang w:val="en-US" w:eastAsia="zh-CN"/>
        </w:rPr>
        <w:t>3.1</w:t>
      </w:r>
      <w:r>
        <w:rPr>
          <w:rFonts w:hint="eastAsia"/>
        </w:rPr>
        <w:t>范围</w:t>
      </w:r>
      <w:r>
        <w:t xml:space="preserve">(R): </w:t>
      </w:r>
      <w:r>
        <w:rPr>
          <w:rFonts w:hint="eastAsia"/>
        </w:rPr>
        <w:t>标准</w:t>
      </w:r>
      <w:r>
        <w:t xml:space="preserve">( +200 </w:t>
      </w:r>
      <w:r>
        <w:rPr>
          <w:rFonts w:hint="eastAsia"/>
        </w:rPr>
        <w:t>至</w:t>
      </w:r>
      <w:r>
        <w:t xml:space="preserve"> -400 daPa/s) </w:t>
      </w:r>
      <w:r>
        <w:rPr>
          <w:rFonts w:hint="eastAsia"/>
        </w:rPr>
        <w:t>。扩展</w:t>
      </w:r>
      <w:r>
        <w:t xml:space="preserve">( +400 </w:t>
      </w:r>
      <w:r>
        <w:rPr>
          <w:rFonts w:hint="eastAsia"/>
        </w:rPr>
        <w:t>到</w:t>
      </w:r>
      <w:r>
        <w:t xml:space="preserve"> -600 daPa/s)</w:t>
      </w:r>
    </w:p>
    <w:p>
      <w:pPr>
        <w:rPr>
          <w:rFonts w:hint="eastAsia"/>
        </w:rPr>
      </w:pPr>
      <w:r>
        <w:rPr>
          <w:rFonts w:hint="eastAsia"/>
          <w:lang w:val="en-US" w:eastAsia="zh-CN"/>
        </w:rPr>
        <w:t>3.2</w:t>
      </w:r>
      <w:r>
        <w:t>*</w:t>
      </w:r>
      <w:r>
        <w:rPr>
          <w:rFonts w:hint="eastAsia"/>
        </w:rPr>
        <w:t>压力扫频速率：</w:t>
      </w:r>
      <w:r>
        <w:t>50</w:t>
      </w:r>
      <w:r>
        <w:rPr>
          <w:rFonts w:hint="eastAsia"/>
        </w:rPr>
        <w:t>、</w:t>
      </w:r>
      <w:r>
        <w:t xml:space="preserve"> 100</w:t>
      </w:r>
      <w:r>
        <w:rPr>
          <w:rFonts w:hint="eastAsia"/>
        </w:rPr>
        <w:t>、</w:t>
      </w:r>
      <w:r>
        <w:t xml:space="preserve"> 200</w:t>
      </w:r>
      <w:r>
        <w:rPr>
          <w:rFonts w:hint="eastAsia"/>
        </w:rPr>
        <w:t>、</w:t>
      </w:r>
      <w:r>
        <w:t xml:space="preserve"> 400</w:t>
      </w:r>
      <w:r>
        <w:rPr>
          <w:rFonts w:hint="eastAsia"/>
        </w:rPr>
        <w:t>、</w:t>
      </w:r>
      <w:r>
        <w:t xml:space="preserve"> 600 daPa/s</w:t>
      </w:r>
    </w:p>
    <w:p>
      <w:r>
        <w:rPr>
          <w:rFonts w:hint="eastAsia"/>
          <w:lang w:val="en-US" w:eastAsia="zh-CN"/>
        </w:rPr>
        <w:t>3.3</w:t>
      </w:r>
      <w:r>
        <w:rPr>
          <w:rFonts w:hint="eastAsia"/>
        </w:rPr>
        <w:t>压力精度：</w:t>
      </w:r>
      <w:r>
        <w:t xml:space="preserve"> ±10% </w:t>
      </w:r>
      <w:r>
        <w:rPr>
          <w:rFonts w:hint="eastAsia"/>
        </w:rPr>
        <w:t>或</w:t>
      </w:r>
      <w:r>
        <w:t xml:space="preserve"> ±10 daPa</w:t>
      </w:r>
    </w:p>
    <w:p>
      <w:pPr>
        <w:rPr>
          <w:rFonts w:hint="eastAsia"/>
        </w:rPr>
      </w:pPr>
      <w:r>
        <w:rPr>
          <w:rFonts w:hint="eastAsia"/>
          <w:lang w:val="en-US" w:eastAsia="zh-CN"/>
        </w:rPr>
        <w:t>3.4</w:t>
      </w:r>
      <w:r>
        <w:rPr>
          <w:rFonts w:hint="eastAsia"/>
        </w:rPr>
        <w:t>泵测量方向：正值到负值或负值到正值</w:t>
      </w:r>
    </w:p>
    <w:p>
      <w:pPr>
        <w:rPr>
          <w:rFonts w:hint="eastAsia"/>
        </w:rPr>
      </w:pPr>
      <w:r>
        <w:rPr>
          <w:rFonts w:hint="eastAsia"/>
          <w:lang w:val="en-US" w:eastAsia="zh-CN"/>
        </w:rPr>
        <w:t>3.5</w:t>
      </w:r>
      <w:r>
        <w:rPr>
          <w:rFonts w:hint="eastAsia"/>
        </w:rPr>
        <w:t>安全性：</w:t>
      </w:r>
      <w:r>
        <w:t xml:space="preserve"> </w:t>
      </w:r>
      <w:r>
        <w:rPr>
          <w:rFonts w:hint="eastAsia"/>
        </w:rPr>
        <w:t>独立安全性</w:t>
      </w:r>
      <w:r>
        <w:t xml:space="preserve"> +530 daPa </w:t>
      </w:r>
      <w:r>
        <w:rPr>
          <w:rFonts w:hint="eastAsia"/>
        </w:rPr>
        <w:t>和</w:t>
      </w:r>
      <w:r>
        <w:t xml:space="preserve"> -730 daPa ±70 daPa</w:t>
      </w:r>
    </w:p>
    <w:p>
      <w:r>
        <w:rPr>
          <w:rFonts w:hint="eastAsia"/>
        </w:rPr>
        <w:t>设备显示屏</w:t>
      </w:r>
      <w:r>
        <w:rPr>
          <w:rFonts w:hint="eastAsia"/>
          <w:lang w:eastAsia="zh-CN"/>
        </w:rPr>
        <w:t>：</w:t>
      </w:r>
      <w:r>
        <w:rPr>
          <w:rFonts w:hint="eastAsia"/>
        </w:rPr>
        <w:t>显示：彩色图形显示：</w:t>
      </w:r>
      <w:r>
        <w:t xml:space="preserve">7 </w:t>
      </w:r>
      <w:r>
        <w:rPr>
          <w:rFonts w:hint="eastAsia"/>
        </w:rPr>
        <w:t>英寸，</w:t>
      </w:r>
      <w:r>
        <w:t xml:space="preserve"> 15:9 WVGA</w:t>
      </w:r>
    </w:p>
    <w:p>
      <w:pPr>
        <w:rPr>
          <w:rFonts w:hint="eastAsia"/>
        </w:rPr>
      </w:pPr>
      <w:r>
        <w:rPr>
          <w:rFonts w:hint="eastAsia"/>
          <w:lang w:val="en-US" w:eastAsia="zh-CN"/>
        </w:rPr>
        <w:t>4.1</w:t>
      </w:r>
      <w:r>
        <w:rPr>
          <w:rFonts w:hint="eastAsia"/>
        </w:rPr>
        <w:t>分辨率：</w:t>
      </w:r>
      <w:r>
        <w:t xml:space="preserve">800 x 480 </w:t>
      </w:r>
      <w:r>
        <w:rPr>
          <w:rFonts w:hint="eastAsia"/>
        </w:rPr>
        <w:t>像素</w:t>
      </w:r>
    </w:p>
    <w:p>
      <w:pPr>
        <w:rPr>
          <w:rFonts w:hint="eastAsia"/>
          <w:lang w:eastAsia="zh-CN"/>
        </w:rPr>
      </w:pPr>
      <w:r>
        <w:rPr>
          <w:rFonts w:hint="eastAsia"/>
        </w:rPr>
        <w:t>探头和肩带</w:t>
      </w:r>
      <w:r>
        <w:rPr>
          <w:rFonts w:hint="eastAsia"/>
          <w:lang w:eastAsia="zh-CN"/>
        </w:rPr>
        <w:t>：</w:t>
      </w:r>
      <w:r>
        <w:rPr>
          <w:rFonts w:hint="eastAsia"/>
        </w:rPr>
        <w:t>双探头</w:t>
      </w:r>
      <w:r>
        <w:t>(Dual Probe™)</w:t>
      </w:r>
      <w:r>
        <w:rPr>
          <w:rFonts w:hint="eastAsia"/>
        </w:rPr>
        <w:t>设计</w:t>
      </w:r>
      <w:r>
        <w:rPr>
          <w:rFonts w:hint="eastAsia"/>
          <w:lang w:eastAsia="zh-CN"/>
        </w:rPr>
        <w:t>：</w:t>
      </w:r>
    </w:p>
    <w:p>
      <w:pPr>
        <w:rPr>
          <w:rFonts w:hint="eastAsia"/>
          <w:lang w:eastAsia="zh-CN"/>
        </w:rPr>
      </w:pPr>
      <w:r>
        <w:rPr>
          <w:rFonts w:hint="eastAsia"/>
          <w:lang w:val="en-US" w:eastAsia="zh-CN"/>
        </w:rPr>
        <w:t>5.1</w:t>
      </w:r>
      <w:r>
        <w:rPr>
          <w:rFonts w:hint="eastAsia"/>
        </w:rPr>
        <w:t>探头设计</w:t>
      </w:r>
      <w:r>
        <w:rPr>
          <w:rFonts w:hint="eastAsia"/>
          <w:lang w:eastAsia="zh-CN"/>
        </w:rPr>
        <w:t>：</w:t>
      </w:r>
      <w:r>
        <w:rPr>
          <w:rFonts w:hint="eastAsia"/>
        </w:rPr>
        <w:t>探头弯角设计更易于快速插入耳道</w:t>
      </w:r>
    </w:p>
    <w:p>
      <w:r>
        <w:rPr>
          <w:rFonts w:hint="eastAsia"/>
          <w:lang w:val="en-US" w:eastAsia="zh-CN"/>
        </w:rPr>
        <w:t>5.2</w:t>
      </w:r>
      <w:r>
        <w:rPr>
          <w:rFonts w:hint="eastAsia"/>
        </w:rPr>
        <w:t>探头重量</w:t>
      </w:r>
      <w:r>
        <w:rPr>
          <w:rFonts w:hint="eastAsia"/>
          <w:lang w:eastAsia="zh-CN"/>
        </w:rPr>
        <w:t>：</w:t>
      </w:r>
      <w:r>
        <w:rPr>
          <w:rFonts w:hint="default"/>
          <w:lang w:eastAsia="zh-CN"/>
        </w:rPr>
        <w:t>≤</w:t>
      </w:r>
      <w:r>
        <w:t>4.7g</w:t>
      </w:r>
    </w:p>
    <w:p>
      <w:pPr>
        <w:rPr>
          <w:rFonts w:hint="eastAsia"/>
        </w:rPr>
      </w:pPr>
      <w:r>
        <w:rPr>
          <w:rFonts w:hint="eastAsia"/>
          <w:lang w:val="en-US" w:eastAsia="zh-CN"/>
        </w:rPr>
        <w:t>5.3</w:t>
      </w:r>
      <w:r>
        <w:t>EasyLock™</w:t>
      </w:r>
      <w:r>
        <w:rPr>
          <w:rFonts w:hint="eastAsia"/>
        </w:rPr>
        <w:t>探尖锁定系统</w:t>
      </w:r>
      <w:r>
        <w:rPr>
          <w:rFonts w:hint="eastAsia"/>
          <w:lang w:eastAsia="zh-CN"/>
        </w:rPr>
        <w:t>：</w:t>
      </w:r>
      <w:r>
        <w:rPr>
          <w:rFonts w:hint="eastAsia"/>
        </w:rPr>
        <w:t>轻轻旋转</w:t>
      </w:r>
      <w:r>
        <w:t>20</w:t>
      </w:r>
      <w:r>
        <w:rPr>
          <w:rFonts w:hint="eastAsia"/>
        </w:rPr>
        <w:t>度即可移除原有探尖并更换新探尖。减少部件丢失的可能性。</w:t>
      </w:r>
    </w:p>
    <w:p>
      <w:pPr>
        <w:rPr>
          <w:rFonts w:hint="eastAsia"/>
          <w:lang w:eastAsia="zh-CN"/>
        </w:rPr>
      </w:pPr>
      <w:r>
        <w:rPr>
          <w:rFonts w:hint="eastAsia"/>
          <w:lang w:val="en-US" w:eastAsia="zh-CN"/>
        </w:rPr>
        <w:t>5.4</w:t>
      </w:r>
      <w:r>
        <w:rPr>
          <w:rFonts w:hint="eastAsia"/>
        </w:rPr>
        <w:t>仿硅材料制成的肩带</w:t>
      </w:r>
      <w:r>
        <w:rPr>
          <w:rFonts w:hint="eastAsia"/>
          <w:lang w:eastAsia="zh-CN"/>
        </w:rPr>
        <w:t>：</w:t>
      </w:r>
      <w:r>
        <w:rPr>
          <w:rFonts w:hint="eastAsia"/>
        </w:rPr>
        <w:t>更容易清洁，不易从肩膀滑落</w:t>
      </w:r>
    </w:p>
    <w:p>
      <w:pPr>
        <w:rPr>
          <w:rFonts w:hint="eastAsia"/>
        </w:rPr>
      </w:pPr>
      <w:r>
        <w:rPr>
          <w:rFonts w:hint="eastAsia"/>
          <w:lang w:val="en-US" w:eastAsia="zh-CN"/>
        </w:rPr>
        <w:t>5.5</w:t>
      </w:r>
      <w:r>
        <w:rPr>
          <w:rFonts w:hint="eastAsia"/>
        </w:rPr>
        <w:t>通过肩带或筛查探头远程遥控</w:t>
      </w:r>
      <w:r>
        <w:rPr>
          <w:rFonts w:hint="eastAsia"/>
          <w:lang w:eastAsia="zh-CN"/>
        </w:rPr>
        <w:t>：</w:t>
      </w:r>
      <w:r>
        <w:rPr>
          <w:rFonts w:hint="eastAsia"/>
        </w:rPr>
        <w:t>一键开始、停止测试或更换测试耳。</w:t>
      </w:r>
    </w:p>
    <w:p>
      <w:pPr>
        <w:rPr>
          <w:rFonts w:hint="eastAsia"/>
        </w:rPr>
      </w:pPr>
      <w:r>
        <w:rPr>
          <w:rFonts w:hint="eastAsia"/>
          <w:lang w:val="en-US" w:eastAsia="zh-CN"/>
        </w:rPr>
        <w:t>5.6</w:t>
      </w:r>
      <w:r>
        <w:rPr>
          <w:rFonts w:hint="eastAsia"/>
        </w:rPr>
        <w:t>音频警报</w:t>
      </w:r>
      <w:r>
        <w:rPr>
          <w:rFonts w:hint="eastAsia"/>
          <w:lang w:eastAsia="zh-CN"/>
        </w:rPr>
        <w:t>：</w:t>
      </w:r>
      <w:r>
        <w:rPr>
          <w:rFonts w:hint="eastAsia"/>
        </w:rPr>
        <w:t>如果测试中断将发出警报。</w:t>
      </w:r>
    </w:p>
    <w:p>
      <w:pPr>
        <w:rPr>
          <w:rFonts w:hint="eastAsia"/>
        </w:rPr>
      </w:pPr>
      <w:r>
        <w:rPr>
          <w:rFonts w:hint="eastAsia"/>
        </w:rPr>
        <w:t>外部电源</w:t>
      </w:r>
      <w:r>
        <w:rPr>
          <w:rFonts w:hint="eastAsia"/>
          <w:lang w:eastAsia="zh-CN"/>
        </w:rPr>
        <w:t>：</w:t>
      </w:r>
      <w:r>
        <w:t xml:space="preserve">XP </w:t>
      </w:r>
      <w:r>
        <w:rPr>
          <w:rFonts w:hint="eastAsia"/>
        </w:rPr>
        <w:t>电源，</w:t>
      </w:r>
      <w:r>
        <w:t xml:space="preserve"> AFM60US24 </w:t>
      </w:r>
      <w:r>
        <w:rPr>
          <w:rFonts w:hint="eastAsia"/>
        </w:rPr>
        <w:t>类型</w:t>
      </w:r>
    </w:p>
    <w:p>
      <w:r>
        <w:rPr>
          <w:rFonts w:hint="eastAsia"/>
          <w:lang w:val="en-US" w:eastAsia="zh-CN"/>
        </w:rPr>
        <w:t>6.1</w:t>
      </w:r>
      <w:r>
        <w:rPr>
          <w:rFonts w:hint="eastAsia"/>
        </w:rPr>
        <w:t>输出：</w:t>
      </w:r>
      <w:r>
        <w:t>24 V, 2.5 A</w:t>
      </w:r>
    </w:p>
    <w:p>
      <w:r>
        <w:rPr>
          <w:rFonts w:hint="eastAsia"/>
          <w:lang w:val="en-US" w:eastAsia="zh-CN"/>
        </w:rPr>
        <w:t>6.2</w:t>
      </w:r>
      <w:r>
        <w:rPr>
          <w:rFonts w:hint="eastAsia"/>
        </w:rPr>
        <w:t>输入：</w:t>
      </w:r>
      <w:r>
        <w:t xml:space="preserve"> 100-240 V AC</w:t>
      </w:r>
      <w:r>
        <w:rPr>
          <w:rFonts w:hint="eastAsia"/>
        </w:rPr>
        <w:t>，</w:t>
      </w:r>
      <w:r>
        <w:t xml:space="preserve"> 50-60 Hz</w:t>
      </w:r>
      <w:r>
        <w:rPr>
          <w:rFonts w:hint="eastAsia"/>
        </w:rPr>
        <w:t>，</w:t>
      </w:r>
      <w:r>
        <w:t xml:space="preserve"> 1.5 A</w:t>
      </w:r>
    </w:p>
    <w:p>
      <w:r>
        <w:rPr>
          <w:rFonts w:hint="eastAsia"/>
          <w:lang w:val="en-US" w:eastAsia="zh-CN"/>
        </w:rPr>
        <w:t>6.3</w:t>
      </w:r>
      <w:r>
        <w:rPr>
          <w:rFonts w:hint="eastAsia"/>
        </w:rPr>
        <w:t>功耗</w:t>
      </w:r>
      <w:r>
        <w:rPr>
          <w:rFonts w:hint="eastAsia"/>
          <w:lang w:eastAsia="zh-CN"/>
        </w:rPr>
        <w:t>：</w:t>
      </w:r>
      <w:r>
        <w:t>&lt; 70 VA</w:t>
      </w:r>
    </w:p>
    <w:p>
      <w:r>
        <w:rPr>
          <w:rFonts w:hint="eastAsia"/>
        </w:rPr>
        <w:t>温度：-</w:t>
      </w:r>
      <w:r>
        <w:t xml:space="preserve">20°C </w:t>
      </w:r>
      <w:r>
        <w:rPr>
          <w:rFonts w:hint="eastAsia"/>
        </w:rPr>
        <w:t>到</w:t>
      </w:r>
      <w:r>
        <w:t xml:space="preserve"> +60°C</w:t>
      </w:r>
    </w:p>
    <w:p>
      <w:pPr>
        <w:rPr>
          <w:rFonts w:hint="eastAsia"/>
        </w:rPr>
      </w:pPr>
      <w:r>
        <w:rPr>
          <w:rFonts w:hint="eastAsia"/>
          <w:lang w:val="en-US" w:eastAsia="zh-CN"/>
        </w:rPr>
        <w:t>1</w:t>
      </w:r>
      <w:r>
        <w:rPr>
          <w:rFonts w:hint="eastAsia"/>
        </w:rPr>
        <w:t>相对湿度：低于</w:t>
      </w:r>
      <w:r>
        <w:t xml:space="preserve"> 90%</w:t>
      </w:r>
      <w:r>
        <w:rPr>
          <w:rFonts w:hint="eastAsia"/>
        </w:rPr>
        <w:t>，</w:t>
      </w:r>
      <w:r>
        <w:t xml:space="preserve"> </w:t>
      </w:r>
      <w:r>
        <w:rPr>
          <w:rFonts w:hint="eastAsia"/>
        </w:rPr>
        <w:t>不结露</w:t>
      </w:r>
    </w:p>
    <w:p>
      <w:r>
        <w:rPr>
          <w:rFonts w:hint="eastAsia"/>
        </w:rPr>
        <w:t>诊断探头</w:t>
      </w:r>
      <w:r>
        <w:rPr>
          <w:rFonts w:hint="eastAsia"/>
          <w:lang w:eastAsia="zh-CN"/>
        </w:rPr>
        <w:t>：</w:t>
      </w:r>
      <w:r>
        <w:t>10 mm x 10 mm x 25 mm (0.4” x 0.4” x 1.0”)</w:t>
      </w:r>
    </w:p>
    <w:p>
      <w:pPr>
        <w:rPr>
          <w:rFonts w:hint="eastAsia"/>
          <w:lang w:val="en-US" w:eastAsia="zh-CN"/>
        </w:rPr>
      </w:pPr>
      <w:r>
        <w:rPr>
          <w:rFonts w:hint="eastAsia"/>
          <w:lang w:val="en-US" w:eastAsia="zh-CN"/>
        </w:rPr>
        <w:t>数据接口：USB接口，通过USB接口可直接连接打印机打印报告，或连接中文数据库管理系统，惊醒数据管理、保存并打印测试结果。</w:t>
      </w:r>
    </w:p>
    <w:p>
      <w:pPr>
        <w:rPr>
          <w:rFonts w:hint="eastAsia"/>
          <w:lang w:eastAsia="zh-CN"/>
        </w:rPr>
      </w:pPr>
    </w:p>
    <w:p>
      <w:pPr>
        <w:rPr>
          <w:rFonts w:hint="eastAsia"/>
          <w:lang w:eastAsia="zh-CN"/>
        </w:rPr>
      </w:pPr>
      <w:r>
        <w:rPr>
          <w:rFonts w:hint="eastAsia"/>
          <w:lang w:eastAsia="zh-CN"/>
        </w:rPr>
        <w:t>（四）耳鼻喉头颈外科综合治疗台技术参数</w:t>
      </w:r>
    </w:p>
    <w:p>
      <w:pPr>
        <w:rPr>
          <w:rFonts w:hint="eastAsia"/>
          <w:lang w:val="zh-CN" w:eastAsia="zh-CN"/>
        </w:rPr>
      </w:pPr>
      <w:r>
        <w:rPr>
          <w:rFonts w:hint="eastAsia"/>
          <w:lang w:val="zh-CN" w:eastAsia="zh-CN"/>
        </w:rPr>
        <w:t>工作治疗台台面采用高级钢化玻璃材料制作，箱体采用钣金折弯工程及喷漆工艺；坚固程度</w:t>
      </w:r>
      <w:r>
        <w:rPr>
          <w:rFonts w:hint="eastAsia"/>
          <w:lang w:val="en-US" w:eastAsia="zh-CN"/>
        </w:rPr>
        <w:t>需</w:t>
      </w:r>
      <w:r>
        <w:rPr>
          <w:rFonts w:hint="eastAsia"/>
          <w:lang w:val="zh-CN" w:eastAsia="zh-CN"/>
        </w:rPr>
        <w:t>优于人造大理石且外形美观大方，不吸色、不生锈、防划痕，颜色与台面协调，尺寸为长</w:t>
      </w:r>
      <w:r>
        <w:rPr>
          <w:rFonts w:hint="eastAsia"/>
          <w:lang w:val="en-US" w:eastAsia="zh-CN"/>
        </w:rPr>
        <w:t>1.61米，宽0.65米，高0.82米避免医务工作人员长期使用中疲劳度。</w:t>
      </w:r>
    </w:p>
    <w:p>
      <w:pPr>
        <w:rPr>
          <w:rFonts w:hint="eastAsia"/>
          <w:lang w:val="zh-CN" w:eastAsia="zh-CN"/>
        </w:rPr>
      </w:pPr>
      <w:r>
        <w:rPr>
          <w:rFonts w:hint="eastAsia"/>
          <w:lang w:val="en-US" w:eastAsia="zh-CN"/>
        </w:rPr>
        <w:t>1.</w:t>
      </w:r>
      <w:r>
        <w:rPr>
          <w:rFonts w:hint="eastAsia"/>
          <w:lang w:val="zh-CN" w:eastAsia="zh-CN"/>
        </w:rPr>
        <w:t>基本参数</w:t>
      </w:r>
    </w:p>
    <w:p>
      <w:pPr>
        <w:rPr>
          <w:rFonts w:hint="eastAsia"/>
          <w:lang w:val="zh-CN" w:eastAsia="zh-CN"/>
        </w:rPr>
      </w:pPr>
      <w:r>
        <w:rPr>
          <w:rFonts w:hint="eastAsia"/>
          <w:lang w:val="zh-CN" w:eastAsia="zh-CN"/>
        </w:rPr>
        <w:t>1.1 射灯：照度≥1×104 Lux</w:t>
      </w:r>
    </w:p>
    <w:p>
      <w:pPr>
        <w:rPr>
          <w:rFonts w:hint="eastAsia"/>
          <w:lang w:val="zh-CN" w:eastAsia="zh-CN"/>
        </w:rPr>
      </w:pPr>
      <w:r>
        <w:rPr>
          <w:rFonts w:hint="eastAsia"/>
          <w:lang w:val="zh-CN" w:eastAsia="zh-CN"/>
        </w:rPr>
        <w:t>1.2 正压泵：2.5Kg/cm2</w:t>
      </w:r>
    </w:p>
    <w:p>
      <w:pPr>
        <w:rPr>
          <w:rFonts w:hint="eastAsia"/>
          <w:lang w:val="zh-CN" w:eastAsia="zh-CN"/>
        </w:rPr>
      </w:pPr>
      <w:r>
        <w:rPr>
          <w:rFonts w:hint="eastAsia"/>
          <w:lang w:val="zh-CN" w:eastAsia="zh-CN"/>
        </w:rPr>
        <w:t>1.3负压泵：740mmHg（max）</w:t>
      </w:r>
    </w:p>
    <w:p>
      <w:pPr>
        <w:rPr>
          <w:rFonts w:hint="eastAsia"/>
          <w:lang w:val="zh-CN" w:eastAsia="zh-CN"/>
        </w:rPr>
      </w:pPr>
      <w:r>
        <w:rPr>
          <w:rFonts w:hint="eastAsia"/>
          <w:lang w:val="zh-CN" w:eastAsia="zh-CN"/>
        </w:rPr>
        <w:t>2正常工作条件：环境温度：10℃～40℃；</w:t>
      </w:r>
    </w:p>
    <w:p>
      <w:pPr>
        <w:rPr>
          <w:rFonts w:hint="eastAsia"/>
          <w:lang w:val="zh-CN" w:eastAsia="zh-CN"/>
        </w:rPr>
      </w:pPr>
      <w:r>
        <w:rPr>
          <w:rFonts w:hint="eastAsia"/>
          <w:lang w:val="en-US" w:eastAsia="zh-CN"/>
        </w:rPr>
        <w:t xml:space="preserve">   </w:t>
      </w:r>
      <w:r>
        <w:rPr>
          <w:rFonts w:hint="eastAsia"/>
          <w:lang w:val="zh-CN" w:eastAsia="zh-CN"/>
        </w:rPr>
        <w:t>相对湿度：30%～75%；</w:t>
      </w:r>
    </w:p>
    <w:p>
      <w:pPr>
        <w:rPr>
          <w:rFonts w:hint="eastAsia"/>
          <w:lang w:val="zh-CN" w:eastAsia="zh-CN"/>
        </w:rPr>
      </w:pPr>
      <w:r>
        <w:rPr>
          <w:rFonts w:hint="eastAsia"/>
          <w:lang w:val="zh-CN" w:eastAsia="zh-CN"/>
        </w:rPr>
        <w:t>大气压力：700hPa～1060hPa；</w:t>
      </w:r>
    </w:p>
    <w:p>
      <w:pPr>
        <w:rPr>
          <w:rFonts w:hint="eastAsia"/>
          <w:lang w:val="zh-CN" w:eastAsia="zh-CN"/>
        </w:rPr>
      </w:pPr>
      <w:r>
        <w:rPr>
          <w:rFonts w:hint="eastAsia"/>
          <w:lang w:val="en-US" w:eastAsia="zh-CN"/>
        </w:rPr>
        <w:t xml:space="preserve">      </w:t>
      </w:r>
      <w:r>
        <w:rPr>
          <w:rFonts w:hint="eastAsia"/>
          <w:lang w:val="zh-CN" w:eastAsia="zh-CN"/>
        </w:rPr>
        <w:t xml:space="preserve"> </w:t>
      </w:r>
      <w:r>
        <w:rPr>
          <w:rFonts w:hint="eastAsia"/>
          <w:lang w:val="en-US" w:eastAsia="zh-CN"/>
        </w:rPr>
        <w:t xml:space="preserve">       </w:t>
      </w:r>
      <w:r>
        <w:rPr>
          <w:rFonts w:hint="eastAsia"/>
          <w:lang w:val="zh-CN" w:eastAsia="zh-CN"/>
        </w:rPr>
        <w:t>电源：电压AC220V±22V，频率50Hz±1Hz。</w:t>
      </w:r>
    </w:p>
    <w:p>
      <w:pPr>
        <w:rPr>
          <w:rFonts w:hint="eastAsia"/>
          <w:lang w:val="zh-CN" w:eastAsia="zh-CN"/>
        </w:rPr>
      </w:pPr>
      <w:r>
        <w:rPr>
          <w:rFonts w:hint="eastAsia"/>
          <w:lang w:val="zh-CN" w:eastAsia="zh-CN"/>
        </w:rPr>
        <w:t>3.性能要求</w:t>
      </w:r>
    </w:p>
    <w:p>
      <w:pPr>
        <w:rPr>
          <w:rFonts w:hint="eastAsia"/>
          <w:lang w:val="zh-CN" w:eastAsia="zh-CN"/>
        </w:rPr>
      </w:pPr>
      <w:r>
        <w:rPr>
          <w:rFonts w:hint="eastAsia"/>
          <w:lang w:val="zh-CN" w:eastAsia="zh-CN"/>
        </w:rPr>
        <w:t>3.1喷枪、吹枪压力:正压0.1～0.15Mpa 可调，压力精度为±0.025 Mpa。</w:t>
      </w:r>
    </w:p>
    <w:p>
      <w:pPr>
        <w:rPr>
          <w:rFonts w:hint="eastAsia"/>
          <w:lang w:val="zh-CN" w:eastAsia="zh-CN"/>
        </w:rPr>
      </w:pPr>
      <w:r>
        <w:rPr>
          <w:rFonts w:hint="eastAsia"/>
          <w:lang w:val="zh-CN" w:eastAsia="zh-CN"/>
        </w:rPr>
        <w:t>3.2 吸枪压力:负压0～0.07Mpa可调，压力精度为±0.025 Mpa。</w:t>
      </w:r>
    </w:p>
    <w:p>
      <w:pPr>
        <w:rPr>
          <w:rFonts w:hint="eastAsia"/>
          <w:lang w:val="zh-CN" w:eastAsia="zh-CN"/>
        </w:rPr>
      </w:pPr>
      <w:r>
        <w:rPr>
          <w:rFonts w:hint="eastAsia"/>
          <w:lang w:val="zh-CN" w:eastAsia="zh-CN"/>
        </w:rPr>
        <w:t>3.3 射灯及支架</w:t>
      </w:r>
    </w:p>
    <w:p>
      <w:pPr>
        <w:rPr>
          <w:rFonts w:hint="eastAsia"/>
          <w:lang w:val="zh-CN" w:eastAsia="zh-CN"/>
        </w:rPr>
      </w:pPr>
      <w:r>
        <w:rPr>
          <w:rFonts w:hint="eastAsia"/>
          <w:lang w:val="en-US" w:eastAsia="zh-CN"/>
        </w:rPr>
        <w:t>LED聚束光照明装置，</w:t>
      </w:r>
      <w:r>
        <w:rPr>
          <w:rFonts w:hint="eastAsia"/>
          <w:lang w:val="zh-CN" w:eastAsia="zh-CN"/>
        </w:rPr>
        <w:t>射灯照度≥1×104 Lux； 射灯支架:能够180°旋转，高低可调，无明显晃动。</w:t>
      </w:r>
    </w:p>
    <w:p>
      <w:pPr>
        <w:rPr>
          <w:rFonts w:hint="eastAsia"/>
          <w:lang w:val="zh-CN" w:eastAsia="zh-CN"/>
        </w:rPr>
      </w:pPr>
      <w:r>
        <w:rPr>
          <w:rFonts w:hint="eastAsia"/>
          <w:lang w:val="zh-CN" w:eastAsia="zh-CN"/>
        </w:rPr>
        <w:t>3.4分辨率</w:t>
      </w:r>
    </w:p>
    <w:p>
      <w:pPr>
        <w:rPr>
          <w:rFonts w:hint="eastAsia"/>
          <w:lang w:val="zh-CN" w:eastAsia="zh-CN"/>
        </w:rPr>
      </w:pPr>
      <w:r>
        <w:rPr>
          <w:rFonts w:hint="eastAsia"/>
          <w:lang w:val="zh-CN" w:eastAsia="zh-CN"/>
        </w:rPr>
        <w:t xml:space="preserve"> 显示器分辨率≥1024×768像素；</w:t>
      </w:r>
    </w:p>
    <w:p>
      <w:pPr>
        <w:rPr>
          <w:rFonts w:hint="eastAsia"/>
          <w:lang w:val="zh-CN" w:eastAsia="zh-CN"/>
        </w:rPr>
      </w:pPr>
      <w:r>
        <w:rPr>
          <w:rFonts w:hint="eastAsia"/>
          <w:lang w:val="zh-CN" w:eastAsia="zh-CN"/>
        </w:rPr>
        <w:t xml:space="preserve"> 监视器分辨率≥400TVL  ；</w:t>
      </w:r>
    </w:p>
    <w:p>
      <w:pPr>
        <w:rPr>
          <w:rFonts w:hint="eastAsia"/>
          <w:lang w:val="zh-CN" w:eastAsia="zh-CN"/>
        </w:rPr>
      </w:pPr>
      <w:r>
        <w:rPr>
          <w:rFonts w:hint="eastAsia"/>
          <w:lang w:val="zh-CN" w:eastAsia="zh-CN"/>
        </w:rPr>
        <w:t>摄像机分辨率:≥420TVL。</w:t>
      </w:r>
    </w:p>
    <w:p>
      <w:pPr>
        <w:rPr>
          <w:rFonts w:hint="eastAsia"/>
          <w:lang w:val="zh-CN" w:eastAsia="zh-CN"/>
        </w:rPr>
      </w:pPr>
      <w:r>
        <w:rPr>
          <w:rFonts w:hint="eastAsia"/>
          <w:lang w:val="zh-CN" w:eastAsia="zh-CN"/>
        </w:rPr>
        <w:t>3.5 不锈钢台面，仪器整机尺寸：1530*650*870。</w:t>
      </w:r>
    </w:p>
    <w:p>
      <w:pPr>
        <w:rPr>
          <w:rFonts w:hint="eastAsia"/>
          <w:lang w:val="zh-CN" w:eastAsia="zh-CN"/>
        </w:rPr>
      </w:pPr>
      <w:r>
        <w:rPr>
          <w:rFonts w:hint="eastAsia"/>
          <w:lang w:val="zh-CN" w:eastAsia="zh-CN"/>
        </w:rPr>
        <w:t>3.6 除雾（电吹风）:有温控保护装置，将开关置于热风档，通电能够正常出风。</w:t>
      </w:r>
    </w:p>
    <w:p>
      <w:pPr>
        <w:rPr>
          <w:rFonts w:hint="eastAsia"/>
          <w:lang w:val="zh-CN" w:eastAsia="zh-CN"/>
        </w:rPr>
      </w:pPr>
      <w:r>
        <w:rPr>
          <w:rFonts w:hint="eastAsia"/>
          <w:lang w:val="zh-CN" w:eastAsia="zh-CN"/>
        </w:rPr>
        <w:t>3.7紫外线消毒:在电压220V时,在室温为20～25℃的情况下,253.7nm紫外线辐射强度(垂直1m处)应≥70μW/cm2。</w:t>
      </w:r>
    </w:p>
    <w:p>
      <w:pPr>
        <w:rPr>
          <w:rFonts w:hint="eastAsia"/>
          <w:lang w:val="zh-CN" w:eastAsia="zh-CN"/>
        </w:rPr>
      </w:pPr>
      <w:r>
        <w:rPr>
          <w:rFonts w:hint="eastAsia"/>
          <w:lang w:val="zh-CN" w:eastAsia="zh-CN"/>
        </w:rPr>
        <w:t>3.8冷光源</w:t>
      </w:r>
    </w:p>
    <w:p>
      <w:pPr>
        <w:rPr>
          <w:rFonts w:hint="eastAsia"/>
          <w:lang w:val="zh-CN" w:eastAsia="zh-CN"/>
        </w:rPr>
      </w:pPr>
      <w:r>
        <w:rPr>
          <w:rFonts w:hint="eastAsia"/>
          <w:lang w:val="zh-CN" w:eastAsia="zh-CN"/>
        </w:rPr>
        <w:t xml:space="preserve"> 冷光源照度应连续可调，照度值应≥1600000 Lux；冷光源的色温≥3200K；光输出孔规格尺寸：a.Φ8；b. Φ10.连续4h正常工作；整机噪音：在工作条件下应≤55dB；整机外表面温度≤60℃，光源灯象平面温度≤150℃；冷光源的开关、旋钮和灯泡换灯机构应操作灵活，方便可靠。</w:t>
      </w:r>
    </w:p>
    <w:p>
      <w:pPr>
        <w:rPr>
          <w:rFonts w:hint="eastAsia"/>
          <w:lang w:val="zh-CN" w:eastAsia="zh-CN"/>
        </w:rPr>
      </w:pPr>
      <w:r>
        <w:rPr>
          <w:rFonts w:hint="eastAsia"/>
          <w:lang w:val="zh-CN" w:eastAsia="zh-CN"/>
        </w:rPr>
        <w:t>工作站技术参数</w:t>
      </w:r>
    </w:p>
    <w:p>
      <w:pPr>
        <w:rPr>
          <w:rFonts w:hint="eastAsia"/>
          <w:lang w:val="zh-CN" w:eastAsia="zh-CN"/>
        </w:rPr>
      </w:pPr>
      <w:r>
        <w:rPr>
          <w:rFonts w:hint="eastAsia"/>
          <w:lang w:val="zh-CN" w:eastAsia="zh-CN"/>
        </w:rPr>
        <w:t>1.基本参数</w:t>
      </w:r>
    </w:p>
    <w:p>
      <w:pPr>
        <w:rPr>
          <w:rFonts w:hint="eastAsia"/>
          <w:lang w:val="zh-CN" w:eastAsia="zh-CN"/>
        </w:rPr>
      </w:pPr>
      <w:r>
        <w:rPr>
          <w:rFonts w:hint="eastAsia"/>
          <w:lang w:val="zh-CN" w:eastAsia="zh-CN"/>
        </w:rPr>
        <w:t>信号输入：标准电视信号Vp-p输入525线/场或625线/场</w:t>
      </w:r>
    </w:p>
    <w:p>
      <w:pPr>
        <w:rPr>
          <w:rFonts w:hint="eastAsia"/>
          <w:lang w:val="zh-CN" w:eastAsia="zh-CN"/>
        </w:rPr>
      </w:pPr>
      <w:r>
        <w:rPr>
          <w:rFonts w:hint="eastAsia"/>
          <w:lang w:val="zh-CN" w:eastAsia="zh-CN"/>
        </w:rPr>
        <w:t>信号输出：幅度1Vp-p、阻抗75Ω</w:t>
      </w:r>
    </w:p>
    <w:p>
      <w:pPr>
        <w:rPr>
          <w:rFonts w:hint="eastAsia"/>
          <w:lang w:val="zh-CN" w:eastAsia="zh-CN"/>
        </w:rPr>
      </w:pPr>
      <w:r>
        <w:rPr>
          <w:rFonts w:hint="eastAsia"/>
          <w:lang w:val="zh-CN" w:eastAsia="zh-CN"/>
        </w:rPr>
        <w:t>存储容量：大于或等于10G</w:t>
      </w:r>
    </w:p>
    <w:p>
      <w:pPr>
        <w:rPr>
          <w:rFonts w:hint="eastAsia"/>
          <w:lang w:val="zh-CN" w:eastAsia="zh-CN"/>
        </w:rPr>
      </w:pPr>
      <w:r>
        <w:rPr>
          <w:rFonts w:hint="eastAsia"/>
          <w:lang w:val="zh-CN" w:eastAsia="zh-CN"/>
        </w:rPr>
        <w:t>时钟频率：大于或等于200MHz</w:t>
      </w:r>
    </w:p>
    <w:p>
      <w:pPr>
        <w:rPr>
          <w:rFonts w:hint="eastAsia"/>
          <w:lang w:val="zh-CN" w:eastAsia="zh-CN"/>
        </w:rPr>
      </w:pPr>
      <w:r>
        <w:rPr>
          <w:rFonts w:hint="eastAsia"/>
          <w:lang w:val="zh-CN" w:eastAsia="zh-CN"/>
        </w:rPr>
        <w:t>显示器：≥17″</w:t>
      </w:r>
    </w:p>
    <w:p>
      <w:pPr>
        <w:rPr>
          <w:rFonts w:hint="eastAsia"/>
          <w:lang w:val="zh-CN" w:eastAsia="zh-CN"/>
        </w:rPr>
      </w:pPr>
      <w:r>
        <w:rPr>
          <w:rFonts w:hint="eastAsia"/>
          <w:lang w:val="zh-CN" w:eastAsia="zh-CN"/>
        </w:rPr>
        <w:t>输入功率：≤200VA+10%</w:t>
      </w:r>
    </w:p>
    <w:p>
      <w:pPr>
        <w:rPr>
          <w:rFonts w:hint="eastAsia"/>
          <w:lang w:val="zh-CN" w:eastAsia="zh-CN"/>
        </w:rPr>
      </w:pPr>
      <w:r>
        <w:rPr>
          <w:rFonts w:hint="eastAsia"/>
          <w:lang w:val="zh-CN" w:eastAsia="zh-CN"/>
        </w:rPr>
        <w:t>运行方式：连续运行</w:t>
      </w:r>
    </w:p>
    <w:p>
      <w:pPr>
        <w:rPr>
          <w:rFonts w:hint="eastAsia"/>
          <w:lang w:val="zh-CN" w:eastAsia="zh-CN"/>
        </w:rPr>
      </w:pPr>
      <w:r>
        <w:rPr>
          <w:rFonts w:hint="eastAsia"/>
          <w:lang w:val="zh-CN" w:eastAsia="zh-CN"/>
        </w:rPr>
        <w:t>2.性能要求</w:t>
      </w:r>
    </w:p>
    <w:p>
      <w:pPr>
        <w:rPr>
          <w:rFonts w:hint="eastAsia"/>
          <w:lang w:val="zh-CN" w:eastAsia="zh-CN"/>
        </w:rPr>
      </w:pPr>
      <w:r>
        <w:rPr>
          <w:rFonts w:hint="eastAsia"/>
          <w:lang w:val="zh-CN" w:eastAsia="zh-CN"/>
        </w:rPr>
        <w:t>显示器分辨率 1024×768象素。</w:t>
      </w:r>
    </w:p>
    <w:p>
      <w:pPr>
        <w:rPr>
          <w:rFonts w:hint="eastAsia"/>
          <w:lang w:val="zh-CN" w:eastAsia="zh-CN"/>
        </w:rPr>
      </w:pPr>
      <w:r>
        <w:rPr>
          <w:rFonts w:hint="eastAsia"/>
          <w:lang w:val="zh-CN" w:eastAsia="zh-CN"/>
        </w:rPr>
        <w:t>若有摄像机，图像分辨率≥400线。</w:t>
      </w:r>
    </w:p>
    <w:p>
      <w:pPr>
        <w:rPr>
          <w:rFonts w:hint="eastAsia"/>
          <w:lang w:val="zh-CN" w:eastAsia="zh-CN"/>
        </w:rPr>
      </w:pPr>
      <w:r>
        <w:rPr>
          <w:rFonts w:hint="eastAsia"/>
          <w:lang w:val="en-US" w:eastAsia="zh-CN"/>
        </w:rPr>
        <w:t>3.</w:t>
      </w:r>
      <w:r>
        <w:rPr>
          <w:rFonts w:hint="eastAsia"/>
          <w:lang w:val="zh-CN" w:eastAsia="zh-CN"/>
        </w:rPr>
        <w:t>功能要求</w:t>
      </w:r>
    </w:p>
    <w:p>
      <w:pPr>
        <w:rPr>
          <w:rFonts w:hint="eastAsia"/>
          <w:lang w:val="zh-CN" w:eastAsia="zh-CN"/>
        </w:rPr>
      </w:pPr>
      <w:r>
        <w:rPr>
          <w:rFonts w:hint="eastAsia"/>
          <w:lang w:val="zh-CN" w:eastAsia="zh-CN"/>
        </w:rPr>
        <w:t>工作站具备下列功能：</w:t>
      </w:r>
    </w:p>
    <w:p>
      <w:pPr>
        <w:rPr>
          <w:rFonts w:hint="eastAsia"/>
          <w:lang w:val="zh-CN" w:eastAsia="zh-CN"/>
        </w:rPr>
      </w:pPr>
      <w:r>
        <w:rPr>
          <w:rFonts w:hint="eastAsia"/>
          <w:lang w:val="zh-CN" w:eastAsia="zh-CN"/>
        </w:rPr>
        <w:t>软件功能：系统设置、文件打开、保存文件、输入病员资料、诊断连接视频源、捕获图像、选定病灶区、图像处理、图像正负变换、图像复原、定标、测量周长和曲线、报告输出等；</w:t>
      </w:r>
    </w:p>
    <w:p>
      <w:pPr>
        <w:rPr>
          <w:rFonts w:hint="eastAsia"/>
          <w:lang w:val="zh-CN" w:eastAsia="zh-CN"/>
        </w:rPr>
      </w:pPr>
      <w:r>
        <w:rPr>
          <w:rFonts w:hint="eastAsia"/>
          <w:lang w:val="zh-CN" w:eastAsia="zh-CN"/>
        </w:rPr>
        <w:t>产品供采集B超、电子内窥镜、X光机、CT机等医学视频信号并对其图像进行处理用等；</w:t>
      </w:r>
    </w:p>
    <w:p>
      <w:pPr>
        <w:rPr>
          <w:rFonts w:hint="eastAsia"/>
          <w:lang w:val="zh-CN" w:eastAsia="zh-CN"/>
        </w:rPr>
      </w:pPr>
      <w:r>
        <w:rPr>
          <w:rFonts w:hint="eastAsia"/>
          <w:lang w:val="zh-CN" w:eastAsia="zh-CN"/>
        </w:rPr>
        <w:t>摄像系统参数</w:t>
      </w:r>
    </w:p>
    <w:p>
      <w:pPr>
        <w:rPr>
          <w:rFonts w:hint="eastAsia"/>
          <w:lang w:val="zh-CN" w:eastAsia="zh-CN"/>
        </w:rPr>
      </w:pPr>
      <w:r>
        <w:rPr>
          <w:rFonts w:hint="eastAsia"/>
          <w:lang w:val="zh-CN" w:eastAsia="zh-CN"/>
        </w:rPr>
        <w:t>摄像系统芯片：1CCD</w:t>
      </w:r>
    </w:p>
    <w:p>
      <w:pPr>
        <w:rPr>
          <w:rFonts w:hint="eastAsia"/>
          <w:lang w:val="zh-CN" w:eastAsia="zh-CN"/>
        </w:rPr>
      </w:pPr>
      <w:r>
        <w:rPr>
          <w:rFonts w:hint="eastAsia"/>
          <w:lang w:val="zh-CN" w:eastAsia="zh-CN"/>
        </w:rPr>
        <w:t>图像传感器：1/3CCD</w:t>
      </w:r>
    </w:p>
    <w:p>
      <w:pPr>
        <w:rPr>
          <w:rFonts w:hint="eastAsia"/>
          <w:lang w:val="zh-CN" w:eastAsia="zh-CN"/>
        </w:rPr>
      </w:pPr>
      <w:r>
        <w:rPr>
          <w:rFonts w:hint="eastAsia"/>
          <w:lang w:val="zh-CN" w:eastAsia="zh-CN"/>
        </w:rPr>
        <w:t>视频信号输出：1Vp-p，阻抗75Ω</w:t>
      </w:r>
    </w:p>
    <w:p>
      <w:pPr>
        <w:rPr>
          <w:rFonts w:hint="eastAsia"/>
          <w:lang w:val="zh-CN" w:eastAsia="zh-CN"/>
        </w:rPr>
      </w:pPr>
      <w:r>
        <w:rPr>
          <w:rFonts w:hint="eastAsia"/>
          <w:lang w:val="zh-CN" w:eastAsia="zh-CN"/>
        </w:rPr>
        <w:t>有效像素：768×494</w:t>
      </w:r>
    </w:p>
    <w:p>
      <w:pPr>
        <w:rPr>
          <w:rFonts w:hint="eastAsia"/>
          <w:lang w:val="zh-CN" w:eastAsia="zh-CN"/>
        </w:rPr>
      </w:pPr>
      <w:r>
        <w:rPr>
          <w:rFonts w:hint="eastAsia"/>
          <w:lang w:val="zh-CN" w:eastAsia="zh-CN"/>
        </w:rPr>
        <w:t>扫描系统：逐行扫描</w:t>
      </w:r>
    </w:p>
    <w:p>
      <w:pPr>
        <w:rPr>
          <w:rFonts w:hint="eastAsia"/>
          <w:lang w:val="zh-CN" w:eastAsia="zh-CN"/>
        </w:rPr>
      </w:pPr>
      <w:r>
        <w:rPr>
          <w:rFonts w:hint="eastAsia"/>
          <w:lang w:val="zh-CN" w:eastAsia="zh-CN"/>
        </w:rPr>
        <w:t>最低照度：6Lx</w:t>
      </w:r>
    </w:p>
    <w:p>
      <w:pPr>
        <w:rPr>
          <w:rFonts w:hint="eastAsia"/>
          <w:lang w:val="zh-CN" w:eastAsia="zh-CN"/>
        </w:rPr>
      </w:pPr>
      <w:r>
        <w:rPr>
          <w:rFonts w:hint="eastAsia"/>
          <w:lang w:val="zh-CN" w:eastAsia="zh-CN"/>
        </w:rPr>
        <w:t>信噪比：≥48dB</w:t>
      </w:r>
    </w:p>
    <w:p>
      <w:pPr>
        <w:rPr>
          <w:rFonts w:hint="eastAsia"/>
          <w:lang w:val="zh-CN" w:eastAsia="zh-CN"/>
        </w:rPr>
      </w:pPr>
      <w:r>
        <w:rPr>
          <w:rFonts w:hint="eastAsia"/>
          <w:lang w:val="zh-CN" w:eastAsia="zh-CN"/>
        </w:rPr>
        <w:t>功能：具有摄像、白平衡、视频信号输出、摄像头具有IPX7等级防水功能</w:t>
      </w:r>
    </w:p>
    <w:p>
      <w:pPr>
        <w:rPr>
          <w:rFonts w:hint="eastAsia"/>
          <w:lang w:val="zh-CN" w:eastAsia="zh-CN"/>
        </w:rPr>
      </w:pPr>
      <w:r>
        <w:rPr>
          <w:rFonts w:hint="eastAsia"/>
          <w:lang w:val="zh-CN" w:eastAsia="zh-CN"/>
        </w:rPr>
        <w:t>图像清晰度：1CCD≥450TVL；</w:t>
      </w:r>
    </w:p>
    <w:p>
      <w:pPr>
        <w:rPr>
          <w:rFonts w:hint="eastAsia"/>
          <w:lang w:val="zh-CN" w:eastAsia="zh-CN"/>
        </w:rPr>
      </w:pPr>
      <w:r>
        <w:rPr>
          <w:rFonts w:hint="eastAsia"/>
          <w:lang w:val="zh-CN" w:eastAsia="zh-CN"/>
        </w:rPr>
        <w:t>光学接口：与标准硬性镜配合连接使用，配合后就能锁止，锁止后应定为可靠无松动，插入轻松自如、拆卸方便，锁止后密封良好，光学接口具有IPX7等级防水功能</w:t>
      </w:r>
    </w:p>
    <w:p>
      <w:pPr>
        <w:rPr>
          <w:rFonts w:hint="eastAsia"/>
          <w:lang w:val="zh-CN" w:eastAsia="zh-CN"/>
        </w:rPr>
      </w:pPr>
      <w:r>
        <w:rPr>
          <w:rFonts w:hint="eastAsia"/>
          <w:lang w:val="zh-CN" w:eastAsia="zh-CN"/>
        </w:rPr>
        <w:t>LED冷光源参数</w:t>
      </w:r>
    </w:p>
    <w:p>
      <w:pPr>
        <w:rPr>
          <w:rFonts w:hint="eastAsia"/>
          <w:lang w:val="zh-CN" w:eastAsia="zh-CN"/>
        </w:rPr>
      </w:pPr>
      <w:r>
        <w:rPr>
          <w:rFonts w:hint="eastAsia"/>
          <w:lang w:val="en-US" w:eastAsia="zh-CN"/>
        </w:rPr>
        <w:t>1.</w:t>
      </w:r>
      <w:r>
        <w:rPr>
          <w:rFonts w:hint="eastAsia"/>
          <w:lang w:val="zh-CN" w:eastAsia="zh-CN"/>
        </w:rPr>
        <w:t>显色指数：医用冷光源具有良好的显色性，显色指数应不小于90；</w:t>
      </w:r>
    </w:p>
    <w:p>
      <w:pPr>
        <w:rPr>
          <w:rFonts w:hint="eastAsia"/>
          <w:lang w:val="zh-CN" w:eastAsia="zh-CN"/>
        </w:rPr>
      </w:pPr>
      <w:r>
        <w:rPr>
          <w:rFonts w:hint="eastAsia"/>
          <w:lang w:val="en-US" w:eastAsia="zh-CN"/>
        </w:rPr>
        <w:t>2.</w:t>
      </w:r>
      <w:r>
        <w:rPr>
          <w:rFonts w:hint="eastAsia"/>
          <w:lang w:val="zh-CN" w:eastAsia="zh-CN"/>
        </w:rPr>
        <w:t>色温：医用冷光源色温应在3000K～7000K范围内；</w:t>
      </w:r>
    </w:p>
    <w:p>
      <w:pPr>
        <w:rPr>
          <w:rFonts w:hint="eastAsia"/>
          <w:lang w:val="zh-CN" w:eastAsia="zh-CN"/>
        </w:rPr>
      </w:pPr>
      <w:r>
        <w:rPr>
          <w:rFonts w:hint="eastAsia"/>
          <w:lang w:val="en-US" w:eastAsia="zh-CN"/>
        </w:rPr>
        <w:t>3.</w:t>
      </w:r>
      <w:r>
        <w:rPr>
          <w:rFonts w:hint="eastAsia"/>
          <w:lang w:val="zh-CN" w:eastAsia="zh-CN"/>
        </w:rPr>
        <w:t>红绿蓝光的辐通量比：用于摄像系统的冷光源，对应摄像系统光谱响应的匹配关系；</w:t>
      </w:r>
    </w:p>
    <w:p>
      <w:pPr>
        <w:rPr>
          <w:rFonts w:hint="eastAsia"/>
          <w:lang w:val="zh-CN" w:eastAsia="zh-CN"/>
        </w:rPr>
      </w:pPr>
      <w:r>
        <w:rPr>
          <w:rFonts w:hint="eastAsia"/>
          <w:lang w:val="en-US" w:eastAsia="zh-CN"/>
        </w:rPr>
        <w:t>4.</w:t>
      </w:r>
      <w:r>
        <w:rPr>
          <w:rFonts w:hint="eastAsia"/>
          <w:lang w:val="zh-CN" w:eastAsia="zh-CN"/>
        </w:rPr>
        <w:t>以515nm～545nm波长范围的绿光辐通量фeg为基准。630nm～660nm波长范围的红光辐通量фer与фeg比值为0.8,允差±20%；435nm～465nm波长范围的蓝光辐通量фeb与фeg比值为1.4,允差±20%；</w:t>
      </w:r>
    </w:p>
    <w:p>
      <w:pPr>
        <w:rPr>
          <w:rFonts w:hint="eastAsia"/>
          <w:lang w:val="zh-CN" w:eastAsia="zh-CN"/>
        </w:rPr>
      </w:pPr>
      <w:r>
        <w:rPr>
          <w:rFonts w:hint="eastAsia"/>
          <w:lang w:val="en-US" w:eastAsia="zh-CN"/>
        </w:rPr>
        <w:t>5.</w:t>
      </w:r>
      <w:r>
        <w:rPr>
          <w:rFonts w:hint="eastAsia"/>
          <w:lang w:val="zh-CN" w:eastAsia="zh-CN"/>
        </w:rPr>
        <w:t>红外截止性能：医用冷光源在300nm～1700nm波长范围内的幅通量和光通量比值应不大于6mW/lm；</w:t>
      </w:r>
    </w:p>
    <w:p>
      <w:pPr>
        <w:rPr>
          <w:rFonts w:hint="eastAsia"/>
          <w:lang w:val="zh-CN" w:eastAsia="zh-CN"/>
        </w:rPr>
      </w:pPr>
      <w:r>
        <w:rPr>
          <w:rFonts w:hint="eastAsia"/>
          <w:lang w:val="en-US" w:eastAsia="zh-CN"/>
        </w:rPr>
        <w:t>6.</w:t>
      </w:r>
      <w:r>
        <w:rPr>
          <w:rFonts w:hint="eastAsia"/>
          <w:lang w:val="zh-CN" w:eastAsia="zh-CN"/>
        </w:rPr>
        <w:t>光照均匀性：医用冷光源在参考窗口的照度均匀度为0.4，实测值应不大于标称值的1.05倍；</w:t>
      </w:r>
    </w:p>
    <w:p>
      <w:pPr>
        <w:rPr>
          <w:rFonts w:hint="eastAsia"/>
          <w:lang w:val="zh-CN" w:eastAsia="zh-CN"/>
        </w:rPr>
      </w:pPr>
      <w:r>
        <w:rPr>
          <w:rFonts w:hint="eastAsia"/>
          <w:lang w:val="en-US" w:eastAsia="zh-CN"/>
        </w:rPr>
        <w:t>7.</w:t>
      </w:r>
      <w:r>
        <w:rPr>
          <w:rFonts w:hint="eastAsia"/>
          <w:lang w:val="zh-CN" w:eastAsia="zh-CN"/>
        </w:rPr>
        <w:t>照度超限点：医用冷光源在参考窗口的照度超限点数应不大于2；</w:t>
      </w:r>
    </w:p>
    <w:p>
      <w:pPr>
        <w:rPr>
          <w:rFonts w:hint="eastAsia"/>
          <w:lang w:val="zh-CN" w:eastAsia="zh-CN"/>
        </w:rPr>
      </w:pPr>
      <w:r>
        <w:rPr>
          <w:rFonts w:hint="eastAsia"/>
          <w:lang w:val="en-US" w:eastAsia="zh-CN"/>
        </w:rPr>
        <w:t>8.</w:t>
      </w:r>
      <w:r>
        <w:rPr>
          <w:rFonts w:hint="eastAsia"/>
          <w:lang w:val="zh-CN" w:eastAsia="zh-CN"/>
        </w:rPr>
        <w:t>输出总光通量：冷光源输出总光通量的标称值450lm。允差-10%上限不计；</w:t>
      </w:r>
    </w:p>
    <w:p>
      <w:pPr>
        <w:rPr>
          <w:rFonts w:hint="eastAsia"/>
          <w:lang w:val="zh-CN" w:eastAsia="zh-CN"/>
        </w:rPr>
      </w:pPr>
      <w:r>
        <w:rPr>
          <w:rFonts w:hint="eastAsia"/>
          <w:lang w:val="zh-CN" w:eastAsia="zh-CN"/>
        </w:rPr>
        <w:t>机械接口规格：Ф10允差：±1mm</w:t>
      </w:r>
    </w:p>
    <w:p>
      <w:pPr>
        <w:rPr>
          <w:rFonts w:hint="eastAsia"/>
          <w:lang w:val="zh-CN" w:eastAsia="zh-CN"/>
        </w:rPr>
      </w:pPr>
      <w:r>
        <w:rPr>
          <w:rFonts w:hint="eastAsia"/>
          <w:lang w:val="en-US" w:eastAsia="zh-CN"/>
        </w:rPr>
        <w:t>9.</w:t>
      </w:r>
      <w:r>
        <w:rPr>
          <w:rFonts w:hint="eastAsia"/>
          <w:lang w:val="zh-CN" w:eastAsia="zh-CN"/>
        </w:rPr>
        <w:t>构成和防故障的安全措施：灯泡寿命</w:t>
      </w:r>
      <w:r>
        <w:rPr>
          <w:rFonts w:hint="default"/>
          <w:lang w:val="zh-CN" w:eastAsia="zh-CN"/>
        </w:rPr>
        <w:t>≧</w:t>
      </w:r>
      <w:r>
        <w:rPr>
          <w:rFonts w:hint="eastAsia"/>
          <w:lang w:val="zh-CN" w:eastAsia="zh-CN"/>
        </w:rPr>
        <w:t>6000小时，采用灯泡寿命指示。</w:t>
      </w:r>
    </w:p>
    <w:p>
      <w:pPr>
        <w:rPr>
          <w:rFonts w:hint="eastAsia"/>
          <w:lang w:val="zh-CN" w:eastAsia="zh-CN"/>
        </w:rPr>
      </w:pPr>
      <w:r>
        <w:rPr>
          <w:rFonts w:hint="eastAsia"/>
          <w:lang w:val="zh-CN" w:eastAsia="zh-CN"/>
        </w:rPr>
        <w:t>监视器参数</w:t>
      </w:r>
    </w:p>
    <w:p>
      <w:pPr>
        <w:rPr>
          <w:rFonts w:hint="eastAsia"/>
          <w:lang w:val="zh-CN" w:eastAsia="zh-CN"/>
        </w:rPr>
      </w:pPr>
      <w:r>
        <w:rPr>
          <w:rFonts w:hint="eastAsia"/>
          <w:lang w:val="zh-CN" w:eastAsia="zh-CN"/>
        </w:rPr>
        <w:t>尺寸比 5：4</w:t>
      </w:r>
    </w:p>
    <w:p>
      <w:pPr>
        <w:rPr>
          <w:rFonts w:hint="eastAsia"/>
          <w:lang w:val="zh-CN" w:eastAsia="zh-CN"/>
        </w:rPr>
      </w:pPr>
      <w:r>
        <w:rPr>
          <w:rFonts w:hint="eastAsia"/>
          <w:lang w:val="zh-CN" w:eastAsia="zh-CN"/>
        </w:rPr>
        <w:t>点距：0.294mm×0.294mm</w:t>
      </w:r>
    </w:p>
    <w:p>
      <w:pPr>
        <w:rPr>
          <w:rFonts w:hint="eastAsia"/>
          <w:lang w:val="zh-CN" w:eastAsia="zh-CN"/>
        </w:rPr>
      </w:pPr>
      <w:r>
        <w:rPr>
          <w:rFonts w:hint="eastAsia"/>
          <w:lang w:val="zh-CN" w:eastAsia="zh-CN"/>
        </w:rPr>
        <w:t>分辨率：1280×1024</w:t>
      </w:r>
    </w:p>
    <w:p>
      <w:pPr>
        <w:rPr>
          <w:rFonts w:hint="eastAsia"/>
          <w:lang w:val="zh-CN" w:eastAsia="zh-CN"/>
        </w:rPr>
      </w:pPr>
      <w:r>
        <w:rPr>
          <w:rFonts w:hint="eastAsia"/>
          <w:lang w:val="zh-CN" w:eastAsia="zh-CN"/>
        </w:rPr>
        <w:t>色度：16.7M</w:t>
      </w:r>
    </w:p>
    <w:p>
      <w:pPr>
        <w:rPr>
          <w:rFonts w:hint="eastAsia"/>
          <w:lang w:val="zh-CN" w:eastAsia="zh-CN"/>
        </w:rPr>
      </w:pPr>
      <w:r>
        <w:rPr>
          <w:rFonts w:hint="eastAsia"/>
          <w:lang w:val="zh-CN" w:eastAsia="zh-CN"/>
        </w:rPr>
        <w:t>亮度：400cd/㎡</w:t>
      </w:r>
    </w:p>
    <w:p>
      <w:pPr>
        <w:rPr>
          <w:rFonts w:hint="eastAsia"/>
          <w:lang w:val="zh-CN" w:eastAsia="zh-CN"/>
        </w:rPr>
      </w:pPr>
      <w:r>
        <w:rPr>
          <w:rFonts w:hint="eastAsia"/>
          <w:lang w:val="zh-CN" w:eastAsia="zh-CN"/>
        </w:rPr>
        <w:t>对比度：1400：1</w:t>
      </w:r>
    </w:p>
    <w:p>
      <w:pPr>
        <w:rPr>
          <w:rFonts w:hint="eastAsia"/>
          <w:lang w:val="zh-CN" w:eastAsia="zh-CN"/>
        </w:rPr>
      </w:pPr>
      <w:r>
        <w:rPr>
          <w:rFonts w:hint="eastAsia"/>
          <w:lang w:val="zh-CN" w:eastAsia="zh-CN"/>
        </w:rPr>
        <w:t>响应时间：5ms</w:t>
      </w:r>
    </w:p>
    <w:p>
      <w:pPr>
        <w:rPr>
          <w:rFonts w:hint="eastAsia"/>
          <w:lang w:val="zh-CN" w:eastAsia="zh-CN"/>
        </w:rPr>
      </w:pPr>
      <w:r>
        <w:rPr>
          <w:rFonts w:hint="eastAsia"/>
          <w:lang w:val="zh-CN" w:eastAsia="zh-CN"/>
        </w:rPr>
        <w:t xml:space="preserve">可视角度：178°（H)×178°（V）HDMI </w:t>
      </w:r>
    </w:p>
    <w:p>
      <w:pPr>
        <w:rPr>
          <w:rFonts w:hint="eastAsia"/>
          <w:lang w:val="zh-CN" w:eastAsia="zh-CN"/>
        </w:rPr>
      </w:pPr>
      <w:r>
        <w:rPr>
          <w:rFonts w:hint="eastAsia"/>
          <w:lang w:val="zh-CN" w:eastAsia="zh-CN"/>
        </w:rPr>
        <w:t>输入信号： VGA、CVBS、USB、DVI、3G-SDI/HD-SDI无</w:t>
      </w:r>
    </w:p>
    <w:p>
      <w:pPr>
        <w:rPr>
          <w:rFonts w:hint="eastAsia"/>
          <w:lang w:val="zh-CN" w:eastAsia="zh-CN"/>
        </w:rPr>
      </w:pPr>
      <w:r>
        <w:rPr>
          <w:rFonts w:hint="eastAsia"/>
          <w:lang w:val="zh-CN" w:eastAsia="zh-CN"/>
        </w:rPr>
        <w:t xml:space="preserve">输出信号：CVBS </w:t>
      </w:r>
    </w:p>
    <w:p>
      <w:pPr>
        <w:rPr>
          <w:rFonts w:hint="eastAsia"/>
          <w:lang w:val="zh-CN" w:eastAsia="zh-CN"/>
        </w:rPr>
      </w:pPr>
      <w:r>
        <w:rPr>
          <w:rFonts w:hint="eastAsia"/>
          <w:lang w:val="zh-CN" w:eastAsia="zh-CN"/>
        </w:rPr>
        <w:t>电源：AC100～240V   50/60HZ</w:t>
      </w:r>
    </w:p>
    <w:p>
      <w:pPr>
        <w:rPr>
          <w:rFonts w:hint="eastAsia"/>
          <w:lang w:val="zh-CN" w:eastAsia="zh-CN"/>
        </w:rPr>
      </w:pPr>
      <w:r>
        <w:rPr>
          <w:rFonts w:hint="eastAsia"/>
          <w:lang w:val="zh-CN" w:eastAsia="zh-CN"/>
        </w:rPr>
        <w:t>功率：40VA</w:t>
      </w:r>
    </w:p>
    <w:p>
      <w:pPr>
        <w:rPr>
          <w:rFonts w:hint="eastAsia"/>
          <w:lang w:val="zh-CN" w:eastAsia="zh-CN"/>
        </w:rPr>
      </w:pPr>
      <w:r>
        <w:rPr>
          <w:rFonts w:hint="eastAsia"/>
          <w:lang w:val="zh-CN" w:eastAsia="zh-CN"/>
        </w:rPr>
        <w:t>内窥镜参数</w:t>
      </w:r>
    </w:p>
    <w:p>
      <w:pPr>
        <w:rPr>
          <w:rFonts w:hint="eastAsia"/>
          <w:lang w:val="zh-CN" w:eastAsia="zh-CN"/>
        </w:rPr>
      </w:pPr>
      <w:r>
        <w:rPr>
          <w:rFonts w:hint="eastAsia"/>
          <w:lang w:val="zh-CN" w:eastAsia="zh-CN"/>
        </w:rPr>
        <w:t>内窥镜成像应清晰，视场边缘应圆整，在视场内不得有影响观察的划痕、麻点及附着物。</w:t>
      </w:r>
    </w:p>
    <w:p>
      <w:pPr>
        <w:rPr>
          <w:rFonts w:hint="eastAsia"/>
          <w:lang w:val="zh-CN" w:eastAsia="zh-CN"/>
        </w:rPr>
      </w:pPr>
      <w:r>
        <w:rPr>
          <w:rFonts w:hint="eastAsia"/>
          <w:lang w:val="zh-CN" w:eastAsia="zh-CN"/>
        </w:rPr>
        <w:t>内窥镜密封良好，经密封试验后，无模糊等异常现象。</w:t>
      </w:r>
    </w:p>
    <w:p>
      <w:pPr>
        <w:rPr>
          <w:rFonts w:hint="eastAsia"/>
          <w:lang w:val="zh-CN" w:eastAsia="zh-CN"/>
        </w:rPr>
      </w:pPr>
      <w:r>
        <w:rPr>
          <w:rFonts w:hint="eastAsia"/>
          <w:lang w:val="zh-CN" w:eastAsia="zh-CN"/>
        </w:rPr>
        <w:t>内窥镜外表应光滑，应无毛刺、碰伤、划痕。</w:t>
      </w:r>
    </w:p>
    <w:p>
      <w:pPr>
        <w:rPr>
          <w:rFonts w:hint="eastAsia"/>
          <w:lang w:val="zh-CN" w:eastAsia="zh-CN"/>
        </w:rPr>
      </w:pPr>
      <w:r>
        <w:rPr>
          <w:rFonts w:hint="eastAsia"/>
          <w:lang w:val="zh-CN" w:eastAsia="zh-CN"/>
        </w:rPr>
        <w:t>内窥镜各连接部件应牢固可靠。</w:t>
      </w:r>
    </w:p>
    <w:p>
      <w:pPr>
        <w:rPr>
          <w:rFonts w:hint="eastAsia"/>
          <w:lang w:val="zh-CN" w:eastAsia="zh-CN"/>
        </w:rPr>
      </w:pPr>
      <w:r>
        <w:rPr>
          <w:rFonts w:hint="eastAsia"/>
          <w:lang w:val="zh-CN" w:eastAsia="zh-CN"/>
        </w:rPr>
        <w:t>内窥镜在常规条件下经药物消毒，不得产生腐蚀现象。</w:t>
      </w:r>
    </w:p>
    <w:p>
      <w:pPr>
        <w:rPr>
          <w:rFonts w:hint="eastAsia"/>
          <w:lang w:val="en-US" w:eastAsia="zh-CN"/>
        </w:rPr>
      </w:pPr>
      <w:r>
        <w:rPr>
          <w:rFonts w:hint="eastAsia"/>
          <w:lang w:val="en-US" w:eastAsia="zh-CN"/>
        </w:rPr>
        <w:t xml:space="preserve">二：配置清单 </w:t>
      </w:r>
    </w:p>
    <w:p>
      <w:pPr>
        <w:rPr>
          <w:rFonts w:hint="eastAsia"/>
          <w:lang w:val="en-US" w:eastAsia="zh-CN"/>
        </w:rPr>
      </w:pPr>
      <w:r>
        <w:rPr>
          <w:rFonts w:hint="eastAsia"/>
          <w:lang w:val="en-US" w:eastAsia="zh-CN"/>
        </w:rPr>
        <w:t>1.主机：1台</w:t>
      </w:r>
    </w:p>
    <w:p>
      <w:pPr>
        <w:rPr>
          <w:rFonts w:hint="eastAsia"/>
          <w:lang w:val="en-US" w:eastAsia="zh-CN"/>
        </w:rPr>
      </w:pPr>
      <w:r>
        <w:rPr>
          <w:rFonts w:hint="eastAsia"/>
          <w:lang w:val="en-US" w:eastAsia="zh-CN"/>
        </w:rPr>
        <w:t>2.喷枪：3支</w:t>
      </w:r>
    </w:p>
    <w:p>
      <w:pPr>
        <w:rPr>
          <w:rFonts w:hint="eastAsia"/>
          <w:lang w:val="en-US" w:eastAsia="zh-CN"/>
        </w:rPr>
      </w:pPr>
      <w:r>
        <w:rPr>
          <w:rFonts w:hint="eastAsia"/>
          <w:lang w:val="en-US" w:eastAsia="zh-CN"/>
        </w:rPr>
        <w:t>3.吸枪：1支</w:t>
      </w:r>
    </w:p>
    <w:p>
      <w:pPr>
        <w:rPr>
          <w:rFonts w:hint="eastAsia"/>
          <w:lang w:val="en-US" w:eastAsia="zh-CN"/>
        </w:rPr>
      </w:pPr>
      <w:r>
        <w:rPr>
          <w:rFonts w:hint="eastAsia"/>
          <w:lang w:val="en-US" w:eastAsia="zh-CN"/>
        </w:rPr>
        <w:t>4.吹枪：1支</w:t>
      </w:r>
    </w:p>
    <w:p>
      <w:pPr>
        <w:rPr>
          <w:rFonts w:hint="eastAsia"/>
          <w:lang w:val="en-US" w:eastAsia="zh-CN"/>
        </w:rPr>
      </w:pPr>
      <w:r>
        <w:rPr>
          <w:rFonts w:hint="eastAsia"/>
          <w:lang w:val="en-US" w:eastAsia="zh-CN"/>
        </w:rPr>
        <w:t>5.LED射灯及支架：1套</w:t>
      </w:r>
    </w:p>
    <w:p>
      <w:pPr>
        <w:rPr>
          <w:rFonts w:hint="eastAsia"/>
          <w:lang w:val="en-US" w:eastAsia="zh-CN"/>
        </w:rPr>
      </w:pPr>
      <w:r>
        <w:rPr>
          <w:rFonts w:hint="eastAsia"/>
          <w:lang w:val="en-US" w:eastAsia="zh-CN"/>
        </w:rPr>
        <w:t>6.正压泵：1个</w:t>
      </w:r>
    </w:p>
    <w:p>
      <w:pPr>
        <w:rPr>
          <w:rFonts w:hint="eastAsia"/>
          <w:lang w:val="en-US" w:eastAsia="zh-CN"/>
        </w:rPr>
      </w:pPr>
      <w:r>
        <w:rPr>
          <w:rFonts w:hint="eastAsia"/>
          <w:lang w:val="en-US" w:eastAsia="zh-CN"/>
        </w:rPr>
        <w:t>7.负压泵：1个</w:t>
      </w:r>
    </w:p>
    <w:p>
      <w:pPr>
        <w:rPr>
          <w:rFonts w:hint="eastAsia"/>
          <w:lang w:val="en-US" w:eastAsia="zh-CN"/>
        </w:rPr>
      </w:pPr>
      <w:r>
        <w:rPr>
          <w:rFonts w:hint="eastAsia"/>
          <w:lang w:val="en-US" w:eastAsia="zh-CN"/>
        </w:rPr>
        <w:t>8.托盘：1个</w:t>
      </w:r>
    </w:p>
    <w:p>
      <w:pPr>
        <w:rPr>
          <w:rFonts w:hint="eastAsia"/>
          <w:lang w:val="en-US" w:eastAsia="zh-CN"/>
        </w:rPr>
      </w:pPr>
      <w:r>
        <w:rPr>
          <w:rFonts w:hint="eastAsia"/>
          <w:lang w:val="en-US" w:eastAsia="zh-CN"/>
        </w:rPr>
        <w:t>9.棉球钢：2个</w:t>
      </w:r>
    </w:p>
    <w:p>
      <w:pPr>
        <w:rPr>
          <w:rFonts w:hint="eastAsia"/>
          <w:lang w:val="en-US" w:eastAsia="zh-CN"/>
        </w:rPr>
      </w:pPr>
      <w:r>
        <w:rPr>
          <w:rFonts w:hint="eastAsia"/>
          <w:lang w:val="en-US" w:eastAsia="zh-CN"/>
        </w:rPr>
        <w:t>10.专业医用监视器：1台</w:t>
      </w:r>
    </w:p>
    <w:p>
      <w:pPr>
        <w:rPr>
          <w:rFonts w:hint="eastAsia"/>
          <w:lang w:val="en-US" w:eastAsia="zh-CN"/>
        </w:rPr>
      </w:pPr>
      <w:r>
        <w:rPr>
          <w:rFonts w:hint="eastAsia"/>
          <w:lang w:val="en-US" w:eastAsia="zh-CN"/>
        </w:rPr>
        <w:t>11.LED冷光源：1台</w:t>
      </w:r>
    </w:p>
    <w:p>
      <w:pPr>
        <w:rPr>
          <w:rFonts w:hint="eastAsia"/>
          <w:lang w:val="en-US" w:eastAsia="zh-CN"/>
        </w:rPr>
      </w:pPr>
      <w:r>
        <w:rPr>
          <w:rFonts w:hint="eastAsia"/>
          <w:lang w:val="en-US" w:eastAsia="zh-CN"/>
        </w:rPr>
        <w:t>12.CCD摄像机：1台</w:t>
      </w:r>
    </w:p>
    <w:p>
      <w:pPr>
        <w:rPr>
          <w:rFonts w:hint="eastAsia"/>
          <w:lang w:val="en-US" w:eastAsia="zh-CN"/>
        </w:rPr>
      </w:pPr>
      <w:r>
        <w:rPr>
          <w:rFonts w:hint="eastAsia"/>
          <w:lang w:val="en-US" w:eastAsia="zh-CN"/>
        </w:rPr>
        <w:t>13.紫外线消毒：1台</w:t>
      </w:r>
    </w:p>
    <w:p>
      <w:pPr>
        <w:rPr>
          <w:rFonts w:hint="default"/>
          <w:lang w:val="en-US" w:eastAsia="zh-CN"/>
        </w:rPr>
      </w:pPr>
      <w:r>
        <w:rPr>
          <w:rFonts w:hint="eastAsia"/>
          <w:lang w:val="en-US" w:eastAsia="zh-CN"/>
        </w:rPr>
        <w:t>14.</w:t>
      </w:r>
      <w:r>
        <w:rPr>
          <w:rFonts w:hint="default"/>
          <w:lang w:val="en-US" w:eastAsia="zh-CN"/>
        </w:rPr>
        <w:t>0°小儿鼻内窥镜、0°成人鼻内窥镜、喉内窥镜各一支。</w:t>
      </w:r>
    </w:p>
    <w:p>
      <w:pPr>
        <w:rPr>
          <w:rFonts w:hint="eastAsia"/>
          <w:lang w:val="en-US" w:eastAsia="zh-CN"/>
        </w:rPr>
      </w:pPr>
      <w:r>
        <w:rPr>
          <w:rFonts w:hint="eastAsia"/>
          <w:lang w:val="en-US" w:eastAsia="zh-CN"/>
        </w:rPr>
        <w:t>观片灯：1台</w:t>
      </w:r>
    </w:p>
    <w:p>
      <w:pPr>
        <w:rPr>
          <w:rFonts w:hint="eastAsia"/>
          <w:lang w:val="en-US" w:eastAsia="zh-CN"/>
        </w:rPr>
      </w:pPr>
      <w:r>
        <w:rPr>
          <w:rFonts w:hint="eastAsia"/>
          <w:lang w:val="en-US" w:eastAsia="zh-CN"/>
        </w:rPr>
        <w:t>16.内窥镜工作站1套</w:t>
      </w:r>
    </w:p>
    <w:p>
      <w:pPr>
        <w:rPr>
          <w:rFonts w:hint="eastAsia"/>
          <w:lang w:val="en-US" w:eastAsia="zh-CN"/>
        </w:rPr>
      </w:pPr>
      <w:r>
        <w:rPr>
          <w:rFonts w:hint="eastAsia"/>
          <w:lang w:val="en-US" w:eastAsia="zh-CN"/>
        </w:rPr>
        <w:t>1)使用SQL Server 2008，所有检查类型的数据存储在同一数据库中文件分类存储；</w:t>
      </w:r>
    </w:p>
    <w:p>
      <w:pPr>
        <w:rPr>
          <w:rFonts w:hint="eastAsia"/>
          <w:lang w:val="en-US" w:eastAsia="zh-CN"/>
        </w:rPr>
      </w:pPr>
      <w:r>
        <w:rPr>
          <w:rFonts w:hint="eastAsia"/>
          <w:lang w:val="en-US" w:eastAsia="zh-CN"/>
        </w:rPr>
        <w:t>2)支持多任务操作，新建信息、录像、采集图片、选图、报告编辑、打印在同一界面完成；</w:t>
      </w:r>
    </w:p>
    <w:p>
      <w:pPr>
        <w:rPr>
          <w:rFonts w:hint="eastAsia"/>
          <w:lang w:val="en-US" w:eastAsia="zh-CN"/>
        </w:rPr>
      </w:pPr>
      <w:r>
        <w:rPr>
          <w:rFonts w:hint="eastAsia"/>
          <w:lang w:val="en-US" w:eastAsia="zh-CN"/>
        </w:rPr>
        <w:t>3)支持高质量实时动态视频采集图像，支持快捷键或脚踏板图像采集，采图时间间隔20-200ms可选，且采集数量无限制；</w:t>
      </w:r>
    </w:p>
    <w:p>
      <w:pPr>
        <w:rPr>
          <w:rFonts w:hint="eastAsia"/>
          <w:lang w:val="en-US" w:eastAsia="zh-CN"/>
        </w:rPr>
      </w:pPr>
      <w:r>
        <w:rPr>
          <w:rFonts w:hint="eastAsia"/>
          <w:lang w:val="en-US" w:eastAsia="zh-CN"/>
        </w:rPr>
        <w:t>4)图像视频帧数30-60fps可调，图像画质码率0-30000kbps可调，支持录像、暂停、停止，回放视频可抓拍图像；</w:t>
      </w:r>
    </w:p>
    <w:p>
      <w:pPr>
        <w:rPr>
          <w:rFonts w:hint="eastAsia"/>
          <w:lang w:val="en-US" w:eastAsia="zh-CN"/>
        </w:rPr>
      </w:pPr>
      <w:r>
        <w:rPr>
          <w:rFonts w:hint="eastAsia"/>
          <w:lang w:val="en-US" w:eastAsia="zh-CN"/>
        </w:rPr>
        <w:t>5)支持原始、圆形、矩形、八边形采图，手动锁定取景框采图，支持键盘方向微调，可选左上角、右下角、整体精准取景采图；</w:t>
      </w:r>
    </w:p>
    <w:p>
      <w:pPr>
        <w:rPr>
          <w:rFonts w:hint="eastAsia"/>
          <w:lang w:val="en-US" w:eastAsia="zh-CN"/>
        </w:rPr>
      </w:pPr>
      <w:r>
        <w:rPr>
          <w:rFonts w:hint="eastAsia"/>
          <w:lang w:val="en-US" w:eastAsia="zh-CN"/>
        </w:rPr>
        <w:t>6)支持后台采集，支持一边采图一边做报告,支持多个患者采图后再做报告；</w:t>
      </w:r>
    </w:p>
    <w:p>
      <w:pPr>
        <w:rPr>
          <w:rFonts w:hint="eastAsia"/>
          <w:lang w:val="en-US" w:eastAsia="zh-CN"/>
        </w:rPr>
      </w:pPr>
      <w:r>
        <w:rPr>
          <w:rFonts w:hint="eastAsia"/>
          <w:lang w:val="en-US" w:eastAsia="zh-CN"/>
        </w:rPr>
        <w:t>7)内置丰富的专家诊断词库，典型病历报告模板，提供自动排版功能，并提供范句(词条)插入功能；</w:t>
      </w:r>
    </w:p>
    <w:p>
      <w:pPr>
        <w:rPr>
          <w:rFonts w:hint="eastAsia"/>
          <w:lang w:val="en-US" w:eastAsia="zh-CN"/>
        </w:rPr>
      </w:pPr>
      <w:r>
        <w:rPr>
          <w:rFonts w:hint="eastAsia"/>
          <w:lang w:val="en-US" w:eastAsia="zh-CN"/>
        </w:rPr>
        <w:t>8)可自由修改、增加范句功能，诊断术语维护，可以对诊断术语进行快速维护修改；</w:t>
      </w:r>
    </w:p>
    <w:p>
      <w:pPr>
        <w:rPr>
          <w:rFonts w:hint="eastAsia"/>
          <w:lang w:val="en-US" w:eastAsia="zh-CN"/>
        </w:rPr>
      </w:pPr>
      <w:r>
        <w:rPr>
          <w:rFonts w:hint="eastAsia"/>
          <w:lang w:val="en-US" w:eastAsia="zh-CN"/>
        </w:rPr>
        <w:t>9)在图像列表下方能显示部位和说明；</w:t>
      </w:r>
    </w:p>
    <w:p>
      <w:pPr>
        <w:rPr>
          <w:rFonts w:hint="eastAsia"/>
          <w:lang w:val="en-US" w:eastAsia="zh-CN"/>
        </w:rPr>
      </w:pPr>
      <w:r>
        <w:rPr>
          <w:rFonts w:hint="eastAsia"/>
          <w:lang w:val="en-US" w:eastAsia="zh-CN"/>
        </w:rPr>
        <w:t>10)根据图像数量多少自动滚动图像栏以显示其新拍图像；</w:t>
      </w:r>
    </w:p>
    <w:p>
      <w:pPr>
        <w:rPr>
          <w:rFonts w:hint="eastAsia"/>
          <w:lang w:val="en-US" w:eastAsia="zh-CN"/>
        </w:rPr>
      </w:pPr>
      <w:r>
        <w:rPr>
          <w:rFonts w:hint="eastAsia"/>
          <w:lang w:val="en-US" w:eastAsia="zh-CN"/>
        </w:rPr>
        <w:t>11)提供多个部位示意图以供选择；</w:t>
      </w:r>
    </w:p>
    <w:p>
      <w:pPr>
        <w:rPr>
          <w:rFonts w:hint="eastAsia"/>
          <w:lang w:val="en-US" w:eastAsia="zh-CN"/>
        </w:rPr>
      </w:pPr>
      <w:r>
        <w:rPr>
          <w:rFonts w:hint="eastAsia"/>
          <w:lang w:val="en-US" w:eastAsia="zh-CN"/>
        </w:rPr>
        <w:t>12)病人信息可在不同检查类型间复制、剪切、粘贴，图像批量删除、图像批量导出到移动硬盘；</w:t>
      </w:r>
    </w:p>
    <w:p>
      <w:pPr>
        <w:rPr>
          <w:rFonts w:hint="eastAsia"/>
          <w:lang w:val="en-US" w:eastAsia="zh-CN"/>
        </w:rPr>
      </w:pPr>
      <w:r>
        <w:rPr>
          <w:rFonts w:hint="eastAsia"/>
          <w:lang w:val="en-US" w:eastAsia="zh-CN"/>
        </w:rPr>
        <w:t>13)可选择不同的工具（矩形、圆形，多边形、画笔、文字、图片等）对图像和部位进行标注说明；</w:t>
      </w:r>
    </w:p>
    <w:p>
      <w:pPr>
        <w:rPr>
          <w:rFonts w:hint="eastAsia"/>
          <w:lang w:val="en-US" w:eastAsia="zh-CN"/>
        </w:rPr>
      </w:pPr>
      <w:r>
        <w:rPr>
          <w:rFonts w:hint="eastAsia"/>
          <w:lang w:val="en-US" w:eastAsia="zh-CN"/>
        </w:rPr>
        <w:t>14)支持对原图片进行裁剪并保留原图的功能；</w:t>
      </w:r>
    </w:p>
    <w:p>
      <w:pPr>
        <w:rPr>
          <w:rFonts w:hint="eastAsia"/>
          <w:lang w:val="en-US" w:eastAsia="zh-CN"/>
        </w:rPr>
      </w:pPr>
      <w:r>
        <w:rPr>
          <w:rFonts w:hint="eastAsia"/>
          <w:lang w:val="en-US" w:eastAsia="zh-CN"/>
        </w:rPr>
        <w:t>15)提供打印0-9幅图打印格式打印图像，并根据用户选择的图片数量，自动选择对应的打印报告模板进行显示打印功能；</w:t>
      </w:r>
    </w:p>
    <w:p>
      <w:pPr>
        <w:rPr>
          <w:rFonts w:hint="eastAsia"/>
          <w:lang w:val="en-US" w:eastAsia="zh-CN"/>
        </w:rPr>
      </w:pPr>
      <w:r>
        <w:rPr>
          <w:rFonts w:hint="eastAsia"/>
          <w:lang w:val="en-US" w:eastAsia="zh-CN"/>
        </w:rPr>
        <w:t>16)录像可以按文件大小或文件时间分段保存为多个文件，也可只保存为一个文件；</w:t>
      </w:r>
    </w:p>
    <w:p>
      <w:pPr>
        <w:rPr>
          <w:rFonts w:hint="eastAsia"/>
          <w:lang w:val="en-US" w:eastAsia="zh-CN"/>
        </w:rPr>
      </w:pPr>
      <w:r>
        <w:rPr>
          <w:rFonts w:hint="eastAsia"/>
          <w:lang w:val="en-US" w:eastAsia="zh-CN"/>
        </w:rPr>
        <w:t>17)提供了硬盘预警功能以保证录像所需的空间大小（只在磁盘空间小于10%以下时才作提醒）；</w:t>
      </w:r>
    </w:p>
    <w:p>
      <w:pPr>
        <w:rPr>
          <w:rFonts w:hint="eastAsia"/>
          <w:lang w:val="en-US" w:eastAsia="zh-CN"/>
        </w:rPr>
      </w:pPr>
      <w:r>
        <w:rPr>
          <w:rFonts w:hint="eastAsia"/>
          <w:lang w:val="en-US" w:eastAsia="zh-CN"/>
        </w:rPr>
        <w:t xml:space="preserve">18)可自由设置录制文件存储位置，如有移动硬盘时可以直接设置到移动硬盘，可省去再次拷贝的麻烦； </w:t>
      </w:r>
    </w:p>
    <w:p>
      <w:pPr>
        <w:rPr>
          <w:rFonts w:hint="eastAsia"/>
          <w:lang w:val="en-US" w:eastAsia="zh-CN"/>
        </w:rPr>
      </w:pPr>
      <w:r>
        <w:rPr>
          <w:rFonts w:hint="eastAsia"/>
          <w:lang w:val="en-US" w:eastAsia="zh-CN"/>
        </w:rPr>
        <w:t>19）能按检查号、性别、年龄、检查/手术日期段、检查/手术医师、检查/手术所见、检查/手术结论、病理结果等单个项目或组合在一起进行查询；</w:t>
      </w:r>
    </w:p>
    <w:p>
      <w:pPr>
        <w:rPr>
          <w:rFonts w:hint="eastAsia"/>
          <w:lang w:val="en-US" w:eastAsia="zh-CN"/>
        </w:rPr>
      </w:pPr>
      <w:r>
        <w:rPr>
          <w:rFonts w:hint="eastAsia"/>
          <w:lang w:val="en-US" w:eastAsia="zh-CN"/>
        </w:rPr>
        <w:t xml:space="preserve">20）可将病历列表导出到 CSV中，导出的项目应能自由设置； </w:t>
      </w:r>
    </w:p>
    <w:p>
      <w:pPr>
        <w:rPr>
          <w:rFonts w:hint="eastAsia"/>
          <w:lang w:val="en-US" w:eastAsia="zh-CN"/>
        </w:rPr>
      </w:pPr>
      <w:r>
        <w:rPr>
          <w:rFonts w:hint="eastAsia"/>
          <w:lang w:val="en-US" w:eastAsia="zh-CN"/>
        </w:rPr>
        <w:t>21）支持单个病历的导出和导入功能，包括文字资料和图像资料；</w:t>
      </w:r>
    </w:p>
    <w:p>
      <w:pPr>
        <w:rPr>
          <w:rFonts w:hint="eastAsia"/>
          <w:lang w:val="en-US" w:eastAsia="zh-CN"/>
        </w:rPr>
      </w:pPr>
      <w:r>
        <w:rPr>
          <w:rFonts w:hint="eastAsia"/>
          <w:lang w:val="en-US" w:eastAsia="zh-CN"/>
        </w:rPr>
        <w:t>22）与医院系统联网对接，实现信息共享；</w:t>
      </w:r>
    </w:p>
    <w:p>
      <w:pPr>
        <w:rPr>
          <w:rFonts w:hint="eastAsia"/>
          <w:lang w:val="en-US" w:eastAsia="zh-CN"/>
        </w:rPr>
      </w:pPr>
      <w:r>
        <w:rPr>
          <w:rFonts w:hint="eastAsia"/>
          <w:lang w:val="en-US" w:eastAsia="zh-CN"/>
        </w:rPr>
        <w:t>23）品牌电脑，CPU为I5以上处理器、内存不低于8G、硬盘1T以上，配彩色打印机1台。</w:t>
      </w:r>
    </w:p>
    <w:p>
      <w:pPr>
        <w:rPr>
          <w:rFonts w:hint="eastAsia"/>
          <w:lang w:val="en-US" w:eastAsia="zh-CN"/>
        </w:rPr>
      </w:pPr>
      <w:r>
        <w:rPr>
          <w:rFonts w:hint="eastAsia"/>
          <w:lang w:val="en-US" w:eastAsia="zh-CN"/>
        </w:rPr>
        <w:t>17..配导光束1条；</w:t>
      </w:r>
    </w:p>
    <w:p>
      <w:pPr>
        <w:rPr>
          <w:rFonts w:hint="eastAsia"/>
          <w:lang w:val="en-US" w:eastAsia="zh-CN"/>
        </w:rPr>
      </w:pPr>
      <w:r>
        <w:rPr>
          <w:rFonts w:hint="eastAsia"/>
          <w:lang w:val="en-US" w:eastAsia="zh-CN"/>
        </w:rPr>
        <w:t>18.病人诊疗椅：全自动电动控制，可通过脚踏开关控制椅子的升降、俯仰；</w:t>
      </w:r>
    </w:p>
    <w:p>
      <w:pPr>
        <w:rPr>
          <w:rFonts w:hint="eastAsia"/>
          <w:lang w:val="en-US" w:eastAsia="zh-CN"/>
        </w:rPr>
      </w:pPr>
      <w:r>
        <w:rPr>
          <w:rFonts w:hint="eastAsia"/>
          <w:lang w:val="en-US" w:eastAsia="zh-CN"/>
        </w:rPr>
        <w:t>19.配套医生椅1个；</w:t>
      </w:r>
    </w:p>
    <w:p>
      <w:pPr>
        <w:rPr>
          <w:rFonts w:hint="eastAsia"/>
          <w:lang w:val="en-US" w:eastAsia="zh-CN"/>
        </w:rPr>
      </w:pPr>
      <w:r>
        <w:rPr>
          <w:rFonts w:hint="eastAsia"/>
          <w:lang w:val="en-US" w:eastAsia="zh-CN"/>
        </w:rPr>
        <w:t>20.专用台车一台（带支臂）；</w:t>
      </w:r>
    </w:p>
    <w:p>
      <w:pPr>
        <w:rPr>
          <w:rFonts w:hint="default"/>
          <w:lang w:val="en-US" w:eastAsia="zh-CN"/>
        </w:rPr>
      </w:pPr>
      <w:r>
        <w:rPr>
          <w:rFonts w:hint="eastAsia"/>
          <w:lang w:val="en-US" w:eastAsia="zh-CN"/>
        </w:rPr>
        <w:t>21.内置式硬管镜浸泡消毒筒杯。</w:t>
      </w:r>
    </w:p>
    <w:p>
      <w:pPr>
        <w:rPr>
          <w:rFonts w:hint="eastAsia"/>
          <w:lang w:val="en-US" w:eastAsia="zh-CN"/>
        </w:rPr>
      </w:pPr>
      <w:r>
        <w:rPr>
          <w:rFonts w:hint="eastAsia"/>
          <w:lang w:val="en-US" w:eastAsia="zh-CN"/>
        </w:rPr>
        <w:t xml:space="preserve">                                   </w:t>
      </w:r>
    </w:p>
    <w:p>
      <w:pPr>
        <w:rPr>
          <w:rFonts w:hint="eastAsia"/>
        </w:rPr>
      </w:pPr>
      <w:r>
        <w:rPr>
          <w:rFonts w:hint="eastAsia"/>
        </w:rPr>
        <w:t xml:space="preserve">                                    </w:t>
      </w:r>
    </w:p>
    <w:p>
      <w:pPr>
        <w:rPr>
          <w:rFonts w:hint="default"/>
          <w:lang w:val="en-US" w:eastAsia="zh-CN"/>
        </w:rPr>
      </w:pPr>
      <w:r>
        <w:rPr>
          <w:rFonts w:hint="eastAsia"/>
          <w:lang w:eastAsia="zh-CN"/>
        </w:rPr>
        <w:t>（五）鼻内镜手术</w:t>
      </w:r>
      <w:r>
        <w:rPr>
          <w:rFonts w:hint="eastAsia"/>
        </w:rPr>
        <w:t>器械技术参数</w:t>
      </w:r>
      <w:r>
        <w:rPr>
          <w:rFonts w:hint="eastAsia"/>
          <w:lang w:val="en-US" w:eastAsia="zh-CN"/>
        </w:rPr>
        <w:t xml:space="preserve"> (54件)</w:t>
      </w:r>
    </w:p>
    <w:p>
      <w:r>
        <w:rPr>
          <w:rFonts w:hint="eastAsia"/>
        </w:rPr>
        <w:t xml:space="preserve">      </w:t>
      </w:r>
    </w:p>
    <w:tbl>
      <w:tblPr>
        <w:tblStyle w:val="4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7"/>
        <w:gridCol w:w="2009"/>
        <w:gridCol w:w="2638"/>
        <w:gridCol w:w="1319"/>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序号</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产品名称</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规格型号</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数量</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鼻窦镜</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0°、φ4*175mm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9</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鼻窦镜</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30°、φ4*175mm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鼻窦镜</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70°、φ4*175mm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val="en-US" w:eastAsia="zh-CN"/>
              </w:rPr>
            </w:pPr>
            <w:r>
              <w:rPr>
                <w:rFonts w:hint="eastAsia"/>
                <w:lang w:val="en-US" w:eastAsia="zh-CN"/>
              </w:rPr>
              <w:t>4</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鼻窦镜</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0°、φ3*140mm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eastAsia="zh-CN"/>
              </w:rPr>
            </w:pPr>
            <w:r>
              <w:rPr>
                <w:rFonts w:hint="eastAsia"/>
                <w:lang w:val="en-US" w:eastAsia="zh-CN"/>
              </w:rPr>
              <w:t>5</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喉内窥镜</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70°、φ5*175mm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eastAsia="zh-CN"/>
              </w:rPr>
            </w:pPr>
            <w:r>
              <w:rPr>
                <w:rFonts w:hint="eastAsia"/>
                <w:lang w:val="en-US" w:eastAsia="zh-CN"/>
              </w:rPr>
              <w:t>6</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鼻异物钳</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下弯90°、向后开120°</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eastAsia="zh-CN"/>
              </w:rPr>
            </w:pPr>
            <w:r>
              <w:rPr>
                <w:rFonts w:hint="eastAsia"/>
                <w:lang w:val="en-US" w:eastAsia="zh-CN"/>
              </w:rPr>
              <w:t>7</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鼻咬切钳</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0°、圆头</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eastAsia="zh-CN"/>
              </w:rPr>
            </w:pPr>
            <w:r>
              <w:rPr>
                <w:rFonts w:hint="eastAsia"/>
                <w:lang w:val="en-US" w:eastAsia="zh-CN"/>
              </w:rPr>
              <w:t>8</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鼻咬切钳</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45°、圆头</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lang w:eastAsia="zh-CN"/>
              </w:rPr>
            </w:pPr>
            <w:r>
              <w:rPr>
                <w:rFonts w:hint="eastAsia"/>
                <w:lang w:val="en-US" w:eastAsia="zh-CN"/>
              </w:rPr>
              <w:t>9</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鼻组织钳</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左右开口、100°、105mm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10</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鼻组织钳</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前后开口、70°、105mm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11</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鼻腔组织钳</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0°、尖头、无固定销、105mm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12</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鼻腔组织钳</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45°、尖头、无固定销、105mm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13</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蝶窦咬骨钳</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可拆卸、可旋转、60°、3mm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14</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鼻骨复位器</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15</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鼻中隔剥离器</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双头微弯</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16</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鼻剥离器</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带吸引、φ3*80mm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17</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探针</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双头、φ1.6mm、长210mm、一端钩</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18</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鼻刮匙</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吸引、φ2.5*60°</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19</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鼻粘膜刀</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双头、190mm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20</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鼻穿刺针</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φ4.2*100mm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21</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鼻剪</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上介</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22</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鼻腔吸引管</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带减压阀、φ4*125mm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23</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鼻腔吸引管</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弯、软性、     φ2.5mm</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24</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鼻腔吸引管</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直、φ5*195mm、平口</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25</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鼻腔吸引管</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带减压阀、φ3*125mm,头部弯</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26</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鼻咬切钳（吸切钳）</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27</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微波治疗头</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双叉弯</w:t>
            </w: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28</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微波治疗头</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29</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微波治疗线</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30</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头灯</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97"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default"/>
                <w:lang w:val="en-US" w:eastAsia="zh-CN"/>
              </w:rPr>
            </w:pPr>
            <w:r>
              <w:rPr>
                <w:rFonts w:hint="eastAsia"/>
                <w:lang w:val="en-US" w:eastAsia="zh-CN"/>
              </w:rPr>
              <w:t>31</w:t>
            </w:r>
          </w:p>
        </w:tc>
        <w:tc>
          <w:tcPr>
            <w:tcW w:w="200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额镜</w:t>
            </w:r>
          </w:p>
        </w:tc>
        <w:tc>
          <w:tcPr>
            <w:tcW w:w="2638"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p>
        </w:tc>
        <w:tc>
          <w:tcPr>
            <w:tcW w:w="131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w:t>
            </w:r>
          </w:p>
        </w:tc>
        <w:tc>
          <w:tcPr>
            <w:tcW w:w="1359"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bl>
    <w:p>
      <w:pPr>
        <w:rPr>
          <w:rFonts w:hint="eastAsia"/>
          <w:lang w:val="en-US" w:eastAsia="zh-CN"/>
        </w:rPr>
      </w:pPr>
    </w:p>
    <w:p>
      <w:pPr>
        <w:rPr>
          <w:rFonts w:hint="eastAsia"/>
          <w:lang w:val="en-US" w:eastAsia="zh-CN"/>
        </w:rPr>
      </w:pPr>
      <w:r>
        <w:rPr>
          <w:rFonts w:hint="eastAsia"/>
          <w:lang w:eastAsia="zh-CN"/>
        </w:rPr>
        <w:t>（六）耳内镜支撑喉内镜手术</w:t>
      </w:r>
      <w:r>
        <w:rPr>
          <w:rFonts w:hint="eastAsia"/>
        </w:rPr>
        <w:t>器械技术参数</w:t>
      </w:r>
      <w:r>
        <w:rPr>
          <w:rFonts w:hint="eastAsia"/>
          <w:lang w:val="en-US" w:eastAsia="zh-CN"/>
        </w:rPr>
        <w:t>(64件)</w:t>
      </w:r>
    </w:p>
    <w:p>
      <w:pPr>
        <w:rPr>
          <w:rFonts w:hint="default"/>
          <w:lang w:val="en-US" w:eastAsia="zh-CN"/>
        </w:rPr>
      </w:pPr>
    </w:p>
    <w:tbl>
      <w:tblPr>
        <w:tblStyle w:val="40"/>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5"/>
        <w:gridCol w:w="2032"/>
        <w:gridCol w:w="1516"/>
        <w:gridCol w:w="908"/>
        <w:gridCol w:w="786"/>
        <w:gridCol w:w="1194"/>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序号</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产品名称</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rPr>
                <w:rFonts w:hint="eastAsia"/>
              </w:rPr>
            </w:pPr>
            <w:r>
              <w:rPr>
                <w:rFonts w:hint="eastAsia"/>
              </w:rPr>
              <w:t>规格型号</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数量</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组织镊</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直、125mm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医用镊</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160mm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医用镊</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180mm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耳道皮瓣刀</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直、头宽2.5mm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耳道皮瓣刀</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45°、头宽2mm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6</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耵聍钩</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7</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耵聍钩</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8</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五官科吸引管</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φ3*85mm、弯</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9</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五官科吸引管</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φ2.5*85mm、弯</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10</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五官科吸引管</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φ2*85mm、弯</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11</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五官科吸引管</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φ1.8*85mm、弯</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12</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五官科吸引管</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φ1.5*85mm、弯</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13</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五官科吸引管</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φ1.2*85mm、弯</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14</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五官科吸引管</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φ1*85mm、弯</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15</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五官科吸引管</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φ0.8*85mm、弯</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16</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中耳息肉钳</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麦粒头、3.5mm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17</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中耳息肉钳</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杯形头、45°、1.2mm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18</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中耳息肉钳</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杯形头、0°、2mm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19</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中耳息肉剪</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直形</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20</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耳用槌骨咬骨剪</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80mm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21</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耳用探针</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45°</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22</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显微耳刀</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直切、0°、2.5mm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23</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显微耳刀</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45°、2.5mm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24</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显微耳刀</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90°、2.5mm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25</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耳用探针</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微弯、尖头</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26</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显微耳钩</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45°、1mm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27</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显微耳钩</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45°、1.5mm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28</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显微耳用剥离子</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微弯、2mm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29</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耳内窥镜</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30°、φ3*105mm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30</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耳内窥镜</w:t>
            </w:r>
          </w:p>
        </w:tc>
        <w:tc>
          <w:tcPr>
            <w:tcW w:w="1516" w:type="dxa"/>
            <w:tcBorders>
              <w:top w:val="single" w:color="auto" w:sz="6" w:space="0"/>
              <w:left w:val="single" w:color="auto" w:sz="6" w:space="0"/>
              <w:bottom w:val="single" w:color="auto" w:sz="6" w:space="0"/>
              <w:right w:val="nil"/>
              <w:tl2br w:val="nil"/>
              <w:tr2bl w:val="nil"/>
            </w:tcBorders>
            <w:noWrap w:val="0"/>
            <w:vAlign w:val="center"/>
          </w:tcPr>
          <w:p>
            <w:pPr>
              <w:rPr>
                <w:rFonts w:hint="eastAsia"/>
              </w:rPr>
            </w:pPr>
            <w:r>
              <w:rPr>
                <w:rFonts w:hint="eastAsia"/>
              </w:rPr>
              <w:t>0°、φ3*105mm</w:t>
            </w:r>
          </w:p>
        </w:tc>
        <w:tc>
          <w:tcPr>
            <w:tcW w:w="908" w:type="dxa"/>
            <w:tcBorders>
              <w:top w:val="single" w:color="auto" w:sz="6" w:space="0"/>
              <w:left w:val="nil"/>
              <w:bottom w:val="single" w:color="auto" w:sz="6" w:space="0"/>
              <w:right w:val="nil"/>
              <w:tl2br w:val="nil"/>
              <w:tr2bl w:val="nil"/>
            </w:tcBorders>
            <w:noWrap w:val="0"/>
            <w:vAlign w:val="center"/>
          </w:tcPr>
          <w:p>
            <w:pPr>
              <w:rPr>
                <w:rFonts w:hint="eastAsia"/>
              </w:rPr>
            </w:pPr>
          </w:p>
        </w:tc>
        <w:tc>
          <w:tcPr>
            <w:tcW w:w="786" w:type="dxa"/>
            <w:tcBorders>
              <w:top w:val="single" w:color="auto" w:sz="6" w:space="0"/>
              <w:left w:val="nil"/>
              <w:bottom w:val="single" w:color="auto" w:sz="6" w:space="0"/>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31</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耳内窥镜</w:t>
            </w:r>
          </w:p>
        </w:tc>
        <w:tc>
          <w:tcPr>
            <w:tcW w:w="1516" w:type="dxa"/>
            <w:tcBorders>
              <w:top w:val="single" w:color="auto" w:sz="6" w:space="0"/>
              <w:left w:val="single" w:color="auto" w:sz="6" w:space="0"/>
              <w:bottom w:val="nil"/>
              <w:right w:val="nil"/>
              <w:tl2br w:val="nil"/>
              <w:tr2bl w:val="nil"/>
            </w:tcBorders>
            <w:noWrap w:val="0"/>
            <w:vAlign w:val="center"/>
          </w:tcPr>
          <w:p>
            <w:pPr>
              <w:rPr>
                <w:rFonts w:hint="eastAsia"/>
              </w:rPr>
            </w:pPr>
            <w:r>
              <w:rPr>
                <w:rFonts w:hint="eastAsia"/>
              </w:rPr>
              <w:t>0°、φ3*140mm</w:t>
            </w:r>
          </w:p>
        </w:tc>
        <w:tc>
          <w:tcPr>
            <w:tcW w:w="908" w:type="dxa"/>
            <w:tcBorders>
              <w:top w:val="single" w:color="auto" w:sz="6" w:space="0"/>
              <w:left w:val="nil"/>
              <w:bottom w:val="nil"/>
              <w:right w:val="nil"/>
              <w:tl2br w:val="nil"/>
              <w:tr2bl w:val="nil"/>
            </w:tcBorders>
            <w:noWrap w:val="0"/>
            <w:vAlign w:val="center"/>
          </w:tcPr>
          <w:p>
            <w:pPr>
              <w:rPr>
                <w:rFonts w:hint="eastAsia"/>
              </w:rPr>
            </w:pPr>
          </w:p>
        </w:tc>
        <w:tc>
          <w:tcPr>
            <w:tcW w:w="786" w:type="dxa"/>
            <w:tcBorders>
              <w:top w:val="single" w:color="auto" w:sz="6" w:space="0"/>
              <w:left w:val="nil"/>
              <w:bottom w:val="nil"/>
              <w:right w:val="single" w:color="auto" w:sz="6" w:space="0"/>
              <w:tl2br w:val="nil"/>
              <w:tr2bl w:val="nil"/>
            </w:tcBorders>
            <w:noWrap w:val="0"/>
            <w:vAlign w:val="center"/>
          </w:tcPr>
          <w:p>
            <w:pPr>
              <w:rPr>
                <w:rFonts w:hint="eastAsia"/>
              </w:rPr>
            </w:pP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32</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喉镜</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大</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33</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喉镜</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小</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34</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喉内窥镜</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0°φ4*183.5mm，斜视</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35</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支撑架</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350mm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36</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直φ2*230mm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37</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30°φ2*230mm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38</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左弯φ2*230mm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39</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右弯φ2*230mm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40</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有齿 45°φ2*230mm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41</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三角头0°230mm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42</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三角头45°230mm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43</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显微喉剪</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直φ2*230mm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44</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显微喉剪</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左  弯</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45</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显微喉剪</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右  弯</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46</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喉用钳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左腰型</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47</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喉用钳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右腰型</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48</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喉用钳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30°φ5*230mm(大)</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49</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喉用钳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30°φ4*230mm(中)</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50</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喉用钳</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30°φ3*230mm(小)</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51</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显微喉刀</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250mm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52</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显微喉针</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250mm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53</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显微喉勾</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250mm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54</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手术刀柄</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250mm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55</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扁桃体吸引管</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φ4*250mm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56</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扁桃体吸引管</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φ3*250mm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2</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57</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扁桃体吸引管</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φ2.5*250mm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5"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58</w:t>
            </w:r>
          </w:p>
        </w:tc>
        <w:tc>
          <w:tcPr>
            <w:tcW w:w="2032"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导光束*</w:t>
            </w:r>
          </w:p>
        </w:tc>
        <w:tc>
          <w:tcPr>
            <w:tcW w:w="321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φ4.5*1800mm</w:t>
            </w:r>
          </w:p>
        </w:tc>
        <w:tc>
          <w:tcPr>
            <w:tcW w:w="1194"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1</w:t>
            </w:r>
          </w:p>
        </w:tc>
        <w:tc>
          <w:tcPr>
            <w:tcW w:w="1391" w:type="dxa"/>
            <w:tcBorders>
              <w:top w:val="single" w:color="auto" w:sz="6" w:space="0"/>
              <w:left w:val="single" w:color="auto" w:sz="6" w:space="0"/>
              <w:bottom w:val="single" w:color="auto" w:sz="6" w:space="0"/>
              <w:right w:val="single" w:color="auto" w:sz="6" w:space="0"/>
              <w:tl2br w:val="nil"/>
              <w:tr2bl w:val="nil"/>
            </w:tcBorders>
            <w:noWrap w:val="0"/>
            <w:vAlign w:val="top"/>
          </w:tcPr>
          <w:p>
            <w:pPr>
              <w:rPr>
                <w:rFonts w:hint="eastAsia"/>
              </w:rPr>
            </w:pPr>
            <w:r>
              <w:rPr>
                <w:rFonts w:hint="eastAsia"/>
              </w:rPr>
              <w:t>根</w:t>
            </w:r>
          </w:p>
        </w:tc>
      </w:tr>
    </w:tbl>
    <w:p>
      <w:pPr>
        <w:pStyle w:val="36"/>
        <w:keepNext w:val="0"/>
        <w:keepLines w:val="0"/>
        <w:widowControl w:val="0"/>
        <w:suppressLineNumbers w:val="0"/>
        <w:spacing w:before="0" w:beforeAutospacing="0" w:after="120" w:afterAutospacing="0"/>
        <w:ind w:left="0" w:leftChars="0" w:right="0" w:firstLine="0" w:firstLineChars="0"/>
        <w:jc w:val="both"/>
        <w:rPr>
          <w:rFonts w:hint="eastAsia" w:ascii="宋体" w:hAnsi="宋体" w:eastAsia="宋体" w:cs="宋体"/>
          <w:sz w:val="24"/>
          <w:szCs w:val="24"/>
          <w:lang w:val="en-US"/>
        </w:rPr>
      </w:pPr>
    </w:p>
    <w:p>
      <w:pPr>
        <w:spacing w:line="360" w:lineRule="auto"/>
        <w:ind w:firstLine="2560" w:firstLineChars="800"/>
        <w:rPr>
          <w:rFonts w:ascii="宋体" w:hAnsi="宋体"/>
          <w:sz w:val="32"/>
          <w:szCs w:val="32"/>
        </w:rPr>
      </w:pPr>
      <w:r>
        <w:rPr>
          <w:rFonts w:hint="eastAsia" w:ascii="宋体" w:hAnsi="宋体"/>
          <w:sz w:val="32"/>
          <w:szCs w:val="32"/>
        </w:rPr>
        <w:t>第七部分  响应文件格式</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p>
    <w:p>
      <w:pPr>
        <w:spacing w:line="360" w:lineRule="auto"/>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（封    面）</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工程</w:t>
      </w: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54" w:name="_Toc291061640"/>
      <w:bookmarkEnd w:id="154"/>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供应商（盖章）：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法定代表人（签字或盖章）：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 期：          年           月           日</w:t>
      </w:r>
      <w:bookmarkStart w:id="155" w:name="_Toc25855"/>
      <w:bookmarkEnd w:id="155"/>
      <w:bookmarkStart w:id="156" w:name="_Toc358451958"/>
      <w:bookmarkStart w:id="157" w:name="_Toc381970844"/>
      <w:bookmarkStart w:id="158" w:name="_Toc358978468"/>
      <w:bookmarkStart w:id="159" w:name="_Toc31934"/>
    </w:p>
    <w:p>
      <w:pPr>
        <w:autoSpaceDE w:val="0"/>
        <w:autoSpaceDN w:val="0"/>
        <w:adjustRightInd w:val="0"/>
        <w:spacing w:before="50" w:line="480" w:lineRule="exact"/>
        <w:jc w:val="both"/>
        <w:textAlignment w:val="baseline"/>
        <w:rPr>
          <w:rFonts w:hint="eastAsia" w:ascii="宋体" w:hAnsi="宋体" w:eastAsia="宋体"/>
          <w:b/>
          <w:bCs/>
          <w:kern w:val="2"/>
          <w:sz w:val="30"/>
          <w:szCs w:val="30"/>
        </w:rPr>
      </w:pPr>
    </w:p>
    <w:p>
      <w:pPr>
        <w:autoSpaceDE w:val="0"/>
        <w:autoSpaceDN w:val="0"/>
        <w:adjustRightInd w:val="0"/>
        <w:spacing w:before="50" w:line="480" w:lineRule="exact"/>
        <w:jc w:val="center"/>
        <w:textAlignment w:val="baseline"/>
        <w:rPr>
          <w:rFonts w:hint="eastAsia" w:ascii="宋体" w:hAnsi="宋体" w:eastAsia="宋体"/>
          <w:b/>
          <w:bCs/>
          <w:kern w:val="2"/>
          <w:sz w:val="30"/>
          <w:szCs w:val="30"/>
        </w:rPr>
      </w:pPr>
    </w:p>
    <w:p>
      <w:pPr>
        <w:autoSpaceDE w:val="0"/>
        <w:autoSpaceDN w:val="0"/>
        <w:adjustRightInd w:val="0"/>
        <w:spacing w:before="50" w:line="480" w:lineRule="exact"/>
        <w:jc w:val="center"/>
        <w:textAlignment w:val="baseline"/>
        <w:rPr>
          <w:rFonts w:ascii="宋体" w:hAnsi="宋体" w:eastAsia="宋体"/>
          <w:b/>
          <w:bCs/>
          <w:kern w:val="2"/>
          <w:sz w:val="30"/>
          <w:szCs w:val="30"/>
        </w:rPr>
      </w:pPr>
      <w:r>
        <w:rPr>
          <w:rFonts w:hint="eastAsia" w:ascii="宋体" w:hAnsi="宋体" w:eastAsia="宋体"/>
          <w:b/>
          <w:bCs/>
          <w:kern w:val="2"/>
          <w:sz w:val="30"/>
          <w:szCs w:val="30"/>
        </w:rPr>
        <w:t>报价</w:t>
      </w:r>
      <w:bookmarkEnd w:id="156"/>
      <w:bookmarkEnd w:id="157"/>
      <w:bookmarkEnd w:id="158"/>
      <w:r>
        <w:rPr>
          <w:rFonts w:hint="eastAsia" w:ascii="宋体" w:hAnsi="宋体" w:eastAsia="宋体"/>
          <w:b/>
          <w:bCs/>
          <w:kern w:val="2"/>
          <w:sz w:val="30"/>
          <w:szCs w:val="30"/>
        </w:rPr>
        <w:t>函</w:t>
      </w:r>
      <w:bookmarkEnd w:id="159"/>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致（招标单位）：</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收到你们的           文件，经认真研究，我们决定参加谈判并报价。</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1、</w:t>
      </w:r>
      <w:r>
        <w:rPr>
          <w:rFonts w:hint="eastAsia" w:ascii="宋体" w:hAnsi="宋体" w:eastAsia="宋体"/>
          <w:kern w:val="2"/>
          <w:sz w:val="24"/>
          <w:szCs w:val="24"/>
        </w:rPr>
        <w:t>按照文件中的一切要求，提供本项目内容</w:t>
      </w:r>
      <w:r>
        <w:rPr>
          <w:rFonts w:hint="eastAsia" w:ascii="宋体" w:hAnsi="宋体" w:eastAsia="宋体"/>
          <w:kern w:val="2"/>
          <w:sz w:val="24"/>
          <w:szCs w:val="24"/>
          <w:lang w:eastAsia="zh-CN"/>
        </w:rPr>
        <w:t>昌吉州阜康市人民医院基础设施能力提升建设项目-配套医疗设备采购项目</w:t>
      </w:r>
      <w:r>
        <w:rPr>
          <w:rFonts w:hint="eastAsia" w:ascii="宋体" w:hAnsi="宋体" w:eastAsia="宋体"/>
          <w:kern w:val="2"/>
          <w:sz w:val="24"/>
          <w:szCs w:val="24"/>
        </w:rPr>
        <w:t>为￥：   元（用阿拉伯数字书写）人民币，明细见投标报价表。</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2、</w:t>
      </w:r>
      <w:r>
        <w:rPr>
          <w:rFonts w:hint="eastAsia" w:ascii="宋体" w:hAnsi="宋体" w:eastAsia="宋体"/>
          <w:kern w:val="2"/>
          <w:sz w:val="24"/>
          <w:szCs w:val="24"/>
        </w:rPr>
        <w:t>如果我们的报价文件被接受，我们将履行文件中规定的每一项义务和要求，按期、按质、按量完成交货。</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3、</w:t>
      </w:r>
      <w:r>
        <w:rPr>
          <w:rFonts w:hint="eastAsia" w:ascii="宋体" w:hAnsi="宋体" w:eastAsia="宋体"/>
          <w:kern w:val="2"/>
          <w:sz w:val="24"/>
          <w:szCs w:val="24"/>
        </w:rPr>
        <w:t>我们同意按磋商文件的规定，本报价文件的有效期为开标后</w:t>
      </w:r>
      <w:r>
        <w:rPr>
          <w:rFonts w:hint="eastAsia" w:ascii="宋体" w:hAnsi="宋体" w:eastAsia="宋体"/>
          <w:kern w:val="2"/>
          <w:sz w:val="24"/>
          <w:szCs w:val="24"/>
          <w:lang w:val="en-US" w:eastAsia="zh-CN"/>
        </w:rPr>
        <w:t>6</w:t>
      </w:r>
      <w:r>
        <w:rPr>
          <w:rFonts w:hint="eastAsia" w:ascii="宋体" w:hAnsi="宋体" w:eastAsia="宋体"/>
          <w:kern w:val="2"/>
          <w:sz w:val="24"/>
          <w:szCs w:val="24"/>
        </w:rPr>
        <w:t>0天。</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4、</w:t>
      </w:r>
      <w:r>
        <w:rPr>
          <w:rFonts w:hint="eastAsia" w:ascii="宋体" w:hAnsi="宋体" w:eastAsia="宋体"/>
          <w:kern w:val="2"/>
          <w:sz w:val="24"/>
          <w:szCs w:val="24"/>
        </w:rPr>
        <w:t>我们愿意提供采购人在文件中要求的所有资料。</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5、</w:t>
      </w:r>
      <w:r>
        <w:rPr>
          <w:rFonts w:hint="eastAsia" w:ascii="宋体" w:hAnsi="宋体" w:eastAsia="宋体"/>
          <w:kern w:val="2"/>
          <w:sz w:val="24"/>
          <w:szCs w:val="24"/>
        </w:rPr>
        <w:t>我们认为你们有选择或拒绝任何投标者中标的权利。我们理解，最低报价不是中标的唯一条件。</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6、</w:t>
      </w:r>
      <w:r>
        <w:rPr>
          <w:rFonts w:hint="eastAsia" w:ascii="宋体" w:hAnsi="宋体" w:eastAsia="宋体"/>
          <w:kern w:val="2"/>
          <w:sz w:val="24"/>
          <w:szCs w:val="24"/>
        </w:rPr>
        <w:t>我们愿意按合同履行自己的全部责任。</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7、</w:t>
      </w:r>
      <w:r>
        <w:rPr>
          <w:rFonts w:hint="eastAsia" w:ascii="宋体" w:hAnsi="宋体" w:eastAsia="宋体"/>
          <w:kern w:val="2"/>
          <w:sz w:val="24"/>
          <w:szCs w:val="24"/>
        </w:rPr>
        <w:t>我们愿意遵守国家有关规定的收费标准，承付成交服务费。</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8、</w:t>
      </w:r>
      <w:r>
        <w:rPr>
          <w:rFonts w:hint="eastAsia" w:ascii="宋体" w:hAnsi="宋体" w:eastAsia="宋体"/>
          <w:kern w:val="2"/>
          <w:sz w:val="24"/>
          <w:szCs w:val="24"/>
        </w:rPr>
        <w:t>我们同意按谈判文件规定，缴纳      元磋商保证金。</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9.我们保证报价文件中的所有证件和内容真实有效，否则我们愿意承担一切法律责任。</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10、其他说明。</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11、所有有关本次磋商的文件，请按下列地址联系：</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报价单位（或报价人）(盖章) ：                法定代表人（签字或盖章）：</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电话：</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传真：</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邮政编码：</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联系人：</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年     月     日</w:t>
      </w:r>
    </w:p>
    <w:p>
      <w:pPr>
        <w:autoSpaceDE w:val="0"/>
        <w:autoSpaceDN w:val="0"/>
        <w:adjustRightInd w:val="0"/>
        <w:spacing w:before="50" w:line="400" w:lineRule="exact"/>
        <w:ind w:firstLine="480" w:firstLineChars="200"/>
        <w:jc w:val="both"/>
        <w:textAlignment w:val="baseline"/>
        <w:rPr>
          <w:rFonts w:hint="eastAsia" w:ascii="宋体" w:hAnsi="宋体" w:eastAsia="宋体" w:cs="宋体"/>
          <w:sz w:val="24"/>
        </w:rPr>
      </w:pPr>
      <w:r>
        <w:rPr>
          <w:rFonts w:hint="eastAsia" w:ascii="宋体" w:hAnsi="宋体" w:eastAsia="宋体"/>
          <w:kern w:val="2"/>
          <w:sz w:val="24"/>
          <w:szCs w:val="24"/>
        </w:rPr>
        <w:br w:type="page"/>
      </w:r>
      <w:r>
        <w:rPr>
          <w:rFonts w:hint="eastAsia" w:ascii="宋体" w:hAnsi="宋体" w:eastAsia="宋体"/>
          <w:kern w:val="2"/>
          <w:sz w:val="24"/>
          <w:szCs w:val="24"/>
        </w:rPr>
        <w:t xml:space="preserve">                          </w:t>
      </w:r>
      <w:bookmarkStart w:id="160" w:name="_Toc1175"/>
      <w:r>
        <w:rPr>
          <w:rFonts w:hint="eastAsia" w:ascii="宋体" w:hAnsi="宋体" w:eastAsia="宋体"/>
          <w:kern w:val="2"/>
          <w:sz w:val="30"/>
          <w:szCs w:val="30"/>
        </w:rPr>
        <w:t>报价一览表</w:t>
      </w:r>
    </w:p>
    <w:p>
      <w:pPr>
        <w:pStyle w:val="96"/>
        <w:spacing w:line="360" w:lineRule="auto"/>
        <w:ind w:left="0" w:leftChars="0" w:firstLine="0" w:firstLineChars="0"/>
        <w:rPr>
          <w:rFonts w:hint="eastAsia" w:ascii="宋体" w:hAnsi="宋体" w:cs="宋体"/>
        </w:rPr>
      </w:pPr>
      <w:r>
        <w:rPr>
          <w:rFonts w:hint="eastAsia" w:ascii="宋体" w:hAnsi="宋体" w:cs="宋体"/>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354"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bCs/>
                <w:sz w:val="24"/>
              </w:rPr>
              <w:t>项目名称</w:t>
            </w:r>
          </w:p>
        </w:tc>
        <w:tc>
          <w:tcPr>
            <w:tcW w:w="6522"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354"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bCs/>
                <w:sz w:val="24"/>
              </w:rPr>
              <w:t>项目编号</w:t>
            </w:r>
          </w:p>
        </w:tc>
        <w:tc>
          <w:tcPr>
            <w:tcW w:w="6522"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54"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bCs/>
                <w:sz w:val="24"/>
              </w:rPr>
              <w:t>投标价</w:t>
            </w:r>
          </w:p>
        </w:tc>
        <w:tc>
          <w:tcPr>
            <w:tcW w:w="6522"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p>
          <w:p>
            <w:pPr>
              <w:pStyle w:val="97"/>
              <w:keepNext w:val="0"/>
              <w:keepLines w:val="0"/>
              <w:suppressLineNumbers w:val="0"/>
              <w:tabs>
                <w:tab w:val="left" w:pos="1337"/>
              </w:tabs>
              <w:spacing w:before="0" w:beforeAutospacing="0" w:after="0" w:afterAutospacing="0" w:line="360" w:lineRule="auto"/>
              <w:ind w:left="0" w:right="0"/>
              <w:rPr>
                <w:rFonts w:hint="default"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4"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sz w:val="24"/>
                <w:lang w:eastAsia="zh-CN"/>
              </w:rPr>
            </w:pPr>
            <w:r>
              <w:rPr>
                <w:rFonts w:hint="eastAsia" w:ascii="宋体" w:hAnsi="宋体" w:cs="宋体"/>
                <w:bCs/>
                <w:sz w:val="24"/>
                <w:lang w:eastAsia="zh-CN"/>
              </w:rPr>
              <w:t>工期</w:t>
            </w:r>
          </w:p>
        </w:tc>
        <w:tc>
          <w:tcPr>
            <w:tcW w:w="6522"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76" w:type="dxa"/>
            <w:gridSpan w:val="2"/>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default" w:ascii="宋体" w:hAnsi="宋体" w:cs="宋体"/>
                <w:sz w:val="24"/>
              </w:rPr>
            </w:pPr>
            <w:r>
              <w:rPr>
                <w:rFonts w:hint="eastAsia" w:ascii="宋体" w:hAnsi="宋体" w:cs="宋体"/>
                <w:bCs/>
                <w:sz w:val="24"/>
              </w:rPr>
              <w:t>备注：</w:t>
            </w:r>
            <w:r>
              <w:rPr>
                <w:rFonts w:hint="eastAsia" w:ascii="宋体" w:hAnsi="宋体" w:cs="宋体"/>
                <w:bCs/>
                <w:sz w:val="24"/>
                <w:u w:val="single"/>
              </w:rPr>
              <w:t xml:space="preserve">  </w:t>
            </w:r>
            <w:r>
              <w:rPr>
                <w:rFonts w:hint="eastAsia" w:ascii="宋体" w:hAnsi="宋体" w:cs="宋体"/>
                <w:bCs/>
                <w:sz w:val="24"/>
                <w:u w:val="single"/>
                <w:lang w:eastAsia="zh-CN"/>
              </w:rPr>
              <w:t>完全响应竞争性磋商文件的要求</w:t>
            </w:r>
            <w:r>
              <w:rPr>
                <w:rFonts w:hint="eastAsia" w:ascii="宋体" w:hAnsi="宋体" w:cs="宋体"/>
                <w:bCs/>
                <w:sz w:val="24"/>
                <w:u w:val="single"/>
              </w:rPr>
              <w:t xml:space="preserve">                                    </w:t>
            </w:r>
          </w:p>
        </w:tc>
      </w:tr>
    </w:tbl>
    <w:p>
      <w:pPr>
        <w:pStyle w:val="97"/>
        <w:spacing w:line="360" w:lineRule="auto"/>
        <w:rPr>
          <w:rFonts w:hint="eastAsia" w:ascii="宋体" w:hAnsi="宋体" w:cs="宋体"/>
          <w:sz w:val="24"/>
        </w:rPr>
      </w:pPr>
    </w:p>
    <w:p>
      <w:pPr>
        <w:pStyle w:val="97"/>
        <w:spacing w:line="360" w:lineRule="auto"/>
        <w:ind w:firstLine="480" w:firstLineChars="200"/>
        <w:rPr>
          <w:rFonts w:hint="eastAsia" w:ascii="宋体" w:hAnsi="宋体" w:cs="宋体"/>
          <w:sz w:val="24"/>
        </w:rPr>
      </w:pPr>
      <w:r>
        <w:rPr>
          <w:rFonts w:hint="eastAsia" w:ascii="宋体" w:hAnsi="宋体" w:cs="宋体"/>
          <w:sz w:val="24"/>
        </w:rPr>
        <w:t>说明：1、供应商严格按照规定的格式填写。投标总价作为评审及定标的依据。</w:t>
      </w:r>
    </w:p>
    <w:p>
      <w:pPr>
        <w:pStyle w:val="97"/>
        <w:numPr>
          <w:ilvl w:val="0"/>
          <w:numId w:val="8"/>
        </w:numPr>
        <w:spacing w:line="360" w:lineRule="auto"/>
        <w:ind w:firstLine="1200" w:firstLineChars="500"/>
        <w:rPr>
          <w:rFonts w:hint="eastAsia" w:ascii="宋体" w:hAnsi="宋体" w:cs="宋体"/>
          <w:sz w:val="24"/>
        </w:rPr>
      </w:pPr>
      <w:r>
        <w:rPr>
          <w:rFonts w:hint="eastAsia" w:ascii="宋体" w:hAnsi="宋体" w:cs="宋体"/>
          <w:sz w:val="24"/>
        </w:rPr>
        <w:t>任何有选择或有条件的投标总价或表中某一包填写多个报价，均将导致投标被拒绝。</w:t>
      </w:r>
    </w:p>
    <w:p>
      <w:pPr>
        <w:pStyle w:val="97"/>
        <w:numPr>
          <w:ilvl w:val="0"/>
          <w:numId w:val="8"/>
        </w:numPr>
        <w:spacing w:line="360" w:lineRule="auto"/>
        <w:ind w:firstLine="1200" w:firstLineChars="500"/>
        <w:rPr>
          <w:rFonts w:hint="eastAsia" w:ascii="宋体" w:hAnsi="宋体" w:cs="宋体"/>
          <w:sz w:val="24"/>
        </w:rPr>
      </w:pPr>
      <w:r>
        <w:rPr>
          <w:rFonts w:hint="eastAsia" w:ascii="宋体" w:hAnsi="宋体" w:cs="宋体"/>
          <w:sz w:val="24"/>
          <w:lang w:eastAsia="zh-CN"/>
        </w:rPr>
        <w:t>须附明细表</w:t>
      </w:r>
    </w:p>
    <w:p>
      <w:pPr>
        <w:pStyle w:val="97"/>
        <w:spacing w:line="360" w:lineRule="auto"/>
        <w:ind w:firstLine="1205" w:firstLineChars="500"/>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、开标一览表除投标文件正副本中提供外，另须单独密封一份，随响应文件一起提交。</w:t>
      </w:r>
    </w:p>
    <w:p>
      <w:pPr>
        <w:spacing w:line="360" w:lineRule="auto"/>
        <w:ind w:left="555"/>
        <w:rPr>
          <w:rFonts w:hint="eastAsia" w:ascii="宋体" w:hAnsi="宋体" w:cs="仿宋"/>
          <w:sz w:val="28"/>
        </w:rPr>
      </w:pPr>
    </w:p>
    <w:p>
      <w:pPr>
        <w:spacing w:line="360" w:lineRule="auto"/>
        <w:ind w:left="555"/>
        <w:rPr>
          <w:rFonts w:hint="eastAsia" w:ascii="宋体" w:hAnsi="宋体" w:cs="仿宋"/>
          <w:sz w:val="24"/>
          <w:szCs w:val="24"/>
        </w:rPr>
      </w:pPr>
      <w:r>
        <w:rPr>
          <w:rFonts w:hint="eastAsia" w:ascii="宋体" w:hAnsi="宋体" w:cs="仿宋"/>
          <w:sz w:val="24"/>
          <w:szCs w:val="24"/>
        </w:rPr>
        <w:t>供应商名称：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hint="eastAsia"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hint="eastAsia" w:ascii="宋体" w:hAnsi="宋体" w:cs="仿宋"/>
          <w:sz w:val="24"/>
          <w:szCs w:val="24"/>
        </w:rPr>
      </w:pPr>
      <w:r>
        <w:rPr>
          <w:rFonts w:hint="eastAsia" w:ascii="宋体" w:hAnsi="宋体" w:cs="仿宋"/>
          <w:sz w:val="24"/>
          <w:szCs w:val="24"/>
        </w:rPr>
        <w:t>委托代理人：</w:t>
      </w:r>
      <w:r>
        <w:rPr>
          <w:rFonts w:hint="eastAsia" w:ascii="宋体" w:hAnsi="宋体" w:cs="仿宋"/>
          <w:sz w:val="24"/>
          <w:szCs w:val="24"/>
          <w:u w:val="single"/>
        </w:rPr>
        <w:t xml:space="preserve">                     </w:t>
      </w:r>
      <w:r>
        <w:rPr>
          <w:rFonts w:hint="eastAsia" w:ascii="宋体" w:hAnsi="宋体" w:cs="仿宋"/>
          <w:sz w:val="24"/>
          <w:szCs w:val="24"/>
        </w:rPr>
        <w:t>（签字）</w:t>
      </w:r>
    </w:p>
    <w:p>
      <w:pPr>
        <w:spacing w:line="360" w:lineRule="auto"/>
        <w:ind w:left="555"/>
        <w:rPr>
          <w:rFonts w:hint="eastAsia" w:ascii="宋体" w:hAnsi="宋体" w:eastAsia="宋体"/>
          <w:b/>
          <w:bCs/>
          <w:kern w:val="2"/>
          <w:sz w:val="30"/>
          <w:szCs w:val="30"/>
        </w:rPr>
      </w:pPr>
      <w:r>
        <w:rPr>
          <w:rFonts w:hint="eastAsia" w:ascii="宋体" w:hAnsi="宋体" w:cs="仿宋"/>
          <w:sz w:val="24"/>
          <w:szCs w:val="24"/>
        </w:rPr>
        <w:t>日期：  年  月  日</w:t>
      </w:r>
    </w:p>
    <w:p>
      <w:pPr>
        <w:autoSpaceDE w:val="0"/>
        <w:autoSpaceDN w:val="0"/>
        <w:adjustRightInd w:val="0"/>
        <w:spacing w:before="50" w:line="480" w:lineRule="exact"/>
        <w:jc w:val="both"/>
        <w:textAlignment w:val="baseline"/>
        <w:rPr>
          <w:rFonts w:hint="eastAsia" w:ascii="宋体" w:hAnsi="宋体" w:eastAsia="宋体"/>
          <w:b/>
          <w:bCs/>
          <w:kern w:val="2"/>
          <w:sz w:val="30"/>
          <w:szCs w:val="30"/>
        </w:rPr>
      </w:pPr>
    </w:p>
    <w:p>
      <w:pPr>
        <w:autoSpaceDE w:val="0"/>
        <w:autoSpaceDN w:val="0"/>
        <w:adjustRightInd w:val="0"/>
        <w:spacing w:before="50" w:line="480" w:lineRule="exact"/>
        <w:ind w:firstLine="4216" w:firstLineChars="1400"/>
        <w:jc w:val="both"/>
        <w:textAlignment w:val="baseline"/>
        <w:rPr>
          <w:rFonts w:ascii="宋体" w:hAnsi="宋体" w:eastAsia="宋体"/>
          <w:b/>
          <w:bCs/>
          <w:kern w:val="2"/>
          <w:sz w:val="30"/>
          <w:szCs w:val="30"/>
        </w:rPr>
      </w:pPr>
      <w:r>
        <w:rPr>
          <w:rFonts w:hint="eastAsia" w:ascii="宋体" w:hAnsi="宋体" w:eastAsia="宋体"/>
          <w:b/>
          <w:bCs/>
          <w:kern w:val="2"/>
          <w:sz w:val="30"/>
          <w:szCs w:val="30"/>
        </w:rPr>
        <w:t>报价人的资格声明</w:t>
      </w:r>
      <w:bookmarkEnd w:id="160"/>
    </w:p>
    <w:p>
      <w:pPr>
        <w:autoSpaceDE w:val="0"/>
        <w:autoSpaceDN w:val="0"/>
        <w:adjustRightInd w:val="0"/>
        <w:spacing w:before="50" w:line="480" w:lineRule="exact"/>
        <w:textAlignment w:val="baseline"/>
        <w:rPr>
          <w:rFonts w:ascii="宋体" w:hAnsi="宋体" w:eastAsia="宋体"/>
          <w:kern w:val="2"/>
          <w:sz w:val="24"/>
          <w:szCs w:val="24"/>
          <w:u w:val="single"/>
        </w:rPr>
      </w:pPr>
      <w:r>
        <w:rPr>
          <w:rFonts w:hint="eastAsia" w:ascii="宋体" w:hAnsi="宋体" w:eastAsia="宋体"/>
          <w:kern w:val="2"/>
          <w:sz w:val="24"/>
          <w:szCs w:val="24"/>
          <w:u w:val="single"/>
        </w:rPr>
        <w:t xml:space="preserve">             </w:t>
      </w:r>
      <w:r>
        <w:rPr>
          <w:rFonts w:hint="eastAsia" w:ascii="宋体" w:hAnsi="宋体" w:eastAsia="宋体"/>
          <w:kern w:val="2"/>
          <w:sz w:val="24"/>
          <w:szCs w:val="24"/>
        </w:rPr>
        <w:t>：</w:t>
      </w:r>
    </w:p>
    <w:p>
      <w:pPr>
        <w:autoSpaceDE w:val="0"/>
        <w:autoSpaceDN w:val="0"/>
        <w:adjustRightInd w:val="0"/>
        <w:spacing w:before="50" w:line="480" w:lineRule="exact"/>
        <w:textAlignment w:val="baseline"/>
        <w:rPr>
          <w:rFonts w:ascii="宋体" w:hAnsi="宋体" w:eastAsia="宋体"/>
          <w:kern w:val="2"/>
          <w:sz w:val="24"/>
          <w:szCs w:val="24"/>
          <w:u w:val="single"/>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关于贵方年月日发出的项目磋商文件，本报价方愿意参加报价，并证明资格文件中所要求的说明是真实和准确的。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本报价方对可能要求的进一步资格资料表示理解和同意，并同意按贵方的要求提供任何有关资料。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报价单位名称：                            （公章）：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法定代表人签字：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传真：</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电话：</w:t>
      </w:r>
    </w:p>
    <w:p>
      <w:pPr>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br w:type="page"/>
      </w:r>
      <w:bookmarkStart w:id="161" w:name="_Toc10343"/>
      <w:r>
        <w:rPr>
          <w:rFonts w:hint="eastAsia" w:ascii="宋体" w:hAnsi="宋体" w:eastAsia="宋体"/>
          <w:b/>
          <w:bCs/>
          <w:kern w:val="2"/>
          <w:sz w:val="30"/>
          <w:szCs w:val="30"/>
        </w:rPr>
        <w:t>法人营业执照</w:t>
      </w:r>
      <w:bookmarkEnd w:id="161"/>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现附上由（签发机关名称）签发的我方法人营业执照‘三证合一’复印件，真实有效。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报价单位名称：                          （公章）：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法定代表人签字：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日期：   年   月   日</w:t>
      </w:r>
    </w:p>
    <w:p>
      <w:pPr>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br w:type="page"/>
      </w:r>
      <w:bookmarkStart w:id="162" w:name="_Toc21057"/>
      <w:r>
        <w:rPr>
          <w:rFonts w:hint="eastAsia" w:ascii="宋体" w:hAnsi="宋体" w:eastAsia="宋体"/>
          <w:b/>
          <w:bCs/>
          <w:kern w:val="2"/>
          <w:sz w:val="30"/>
          <w:szCs w:val="30"/>
        </w:rPr>
        <w:t>法定代表人证明书（或本人身份证）</w:t>
      </w:r>
      <w:bookmarkEnd w:id="162"/>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报价人名称：</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姓名：   性别：     年龄    职务：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系法定代表人。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报价人名称：（公章）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日期：  年   月   日</w:t>
      </w:r>
    </w:p>
    <w:p>
      <w:pPr>
        <w:autoSpaceDE w:val="0"/>
        <w:autoSpaceDN w:val="0"/>
        <w:adjustRightInd w:val="0"/>
        <w:spacing w:before="50" w:line="480" w:lineRule="exact"/>
        <w:jc w:val="center"/>
        <w:textAlignment w:val="baseline"/>
        <w:rPr>
          <w:rFonts w:ascii="宋体" w:hAnsi="宋体" w:eastAsia="宋体"/>
          <w:kern w:val="2"/>
          <w:szCs w:val="30"/>
        </w:rPr>
      </w:pPr>
      <w:r>
        <w:rPr>
          <w:rFonts w:hint="eastAsia" w:ascii="宋体" w:hAnsi="宋体" w:eastAsia="宋体"/>
          <w:kern w:val="2"/>
          <w:sz w:val="24"/>
          <w:szCs w:val="24"/>
        </w:rPr>
        <w:br w:type="page"/>
      </w:r>
      <w:r>
        <w:rPr>
          <w:rFonts w:hint="eastAsia" w:ascii="宋体" w:hAnsi="宋体" w:eastAsia="宋体"/>
          <w:b/>
          <w:bCs/>
          <w:kern w:val="2"/>
          <w:sz w:val="30"/>
          <w:szCs w:val="30"/>
        </w:rPr>
        <w:t>法定代表人授权委托书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本授权委托书声明：我         （姓名）系               （供应商名称）的法定代表人，现授权委托                                   （供应商名称）的            （姓名）为我的代理人，以本公司的名义参加          （采购人）的                 招标工程的投标活动。代理人在参加整个工程招标投标活动、合同谈判过程中所签署的一切文件和处理与之有关的一切事物，我均予以承认。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代理人：              性别：             年龄：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单  位：              部门：             职务：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代理人无转委权。特此委托。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日期：        年    月    日</w:t>
      </w:r>
    </w:p>
    <w:p>
      <w:pPr>
        <w:autoSpaceDE w:val="0"/>
        <w:autoSpaceDN w:val="0"/>
        <w:adjustRightInd w:val="0"/>
        <w:spacing w:before="50" w:line="480" w:lineRule="exact"/>
        <w:jc w:val="center"/>
        <w:textAlignment w:val="baseline"/>
        <w:rPr>
          <w:rFonts w:ascii="宋体" w:hAnsi="宋体" w:eastAsia="宋体"/>
          <w:b/>
          <w:bCs/>
          <w:kern w:val="2"/>
          <w:sz w:val="30"/>
          <w:szCs w:val="30"/>
        </w:rPr>
      </w:pPr>
      <w:r>
        <w:rPr>
          <w:rFonts w:hint="eastAsia" w:ascii="宋体" w:hAnsi="宋体" w:eastAsia="宋体"/>
          <w:b/>
          <w:bCs/>
          <w:kern w:val="2"/>
          <w:sz w:val="30"/>
          <w:szCs w:val="30"/>
        </w:rPr>
        <w:t>供应商概况</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1、供应商名称：</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2、供应商地址：</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3、经 营 范</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rPr>
        <w:t>围：</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4、信</w:t>
      </w:r>
      <w:r>
        <w:rPr>
          <w:rFonts w:hint="eastAsia" w:ascii="宋体" w:hAnsi="宋体" w:eastAsia="宋体"/>
          <w:color w:val="000000" w:themeColor="text1"/>
          <w:kern w:val="2"/>
          <w:sz w:val="24"/>
          <w:szCs w:val="24"/>
          <w14:textFill>
            <w14:solidFill>
              <w14:schemeClr w14:val="tx1"/>
            </w14:solidFill>
          </w14:textFill>
        </w:rPr>
        <w:t>誉与质量保证措施:</w:t>
      </w:r>
    </w:p>
    <w:p>
      <w:pPr>
        <w:autoSpaceDE w:val="0"/>
        <w:autoSpaceDN w:val="0"/>
        <w:adjustRightInd w:val="0"/>
        <w:spacing w:before="50" w:line="400" w:lineRule="exact"/>
        <w:ind w:firstLine="480" w:firstLineChars="200"/>
        <w:jc w:val="both"/>
        <w:textAlignment w:val="baseline"/>
        <w:rPr>
          <w:rFonts w:ascii="宋体" w:hAnsi="宋体" w:eastAsia="宋体"/>
          <w:kern w:val="2"/>
          <w:szCs w:val="30"/>
        </w:rPr>
      </w:pPr>
      <w:r>
        <w:rPr>
          <w:rFonts w:hint="eastAsia" w:ascii="宋体" w:hAnsi="宋体" w:eastAsia="宋体"/>
          <w:kern w:val="2"/>
          <w:sz w:val="24"/>
          <w:szCs w:val="24"/>
        </w:rPr>
        <w:t>5、供应商简介：</w:t>
      </w:r>
      <w:r>
        <w:rPr>
          <w:rFonts w:hint="eastAsia" w:ascii="宋体" w:hAnsi="宋体" w:eastAsia="宋体"/>
          <w:kern w:val="2"/>
          <w:sz w:val="24"/>
          <w:szCs w:val="24"/>
        </w:rPr>
        <w:br w:type="page"/>
      </w:r>
      <w:r>
        <w:rPr>
          <w:rFonts w:hint="eastAsia" w:ascii="宋体" w:hAnsi="宋体" w:eastAsia="宋体"/>
          <w:b/>
          <w:bCs/>
          <w:kern w:val="2"/>
          <w:sz w:val="30"/>
          <w:szCs w:val="30"/>
        </w:rPr>
        <w:t>供应商业绩表</w:t>
      </w:r>
    </w:p>
    <w:tbl>
      <w:tblPr>
        <w:tblStyle w:val="40"/>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2694"/>
        <w:gridCol w:w="1277"/>
        <w:gridCol w:w="1134"/>
        <w:gridCol w:w="1134"/>
        <w:gridCol w:w="99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年份</w:t>
            </w: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项目名称</w:t>
            </w: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用户名称</w:t>
            </w: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完成时间</w:t>
            </w: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合同金额</w:t>
            </w: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用户联系电话</w:t>
            </w: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bottom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top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top w:val="single" w:color="auto" w:sz="4" w:space="0"/>
              <w:left w:val="single" w:color="auto" w:sz="4" w:space="0"/>
              <w:bottom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注：供应商（仅限于供应商自身实施的）以上业绩需提供有关书面证明材料（附合同或中标通知书复印件）。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供应商（盖章）：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法定代表人或委托代理人（签字或盖章）：</w:t>
      </w:r>
    </w:p>
    <w:p>
      <w:pPr>
        <w:autoSpaceDE w:val="0"/>
        <w:autoSpaceDN w:val="0"/>
        <w:adjustRightInd w:val="0"/>
        <w:spacing w:before="50" w:line="480" w:lineRule="exact"/>
        <w:ind w:firstLine="480" w:firstLineChars="200"/>
        <w:textAlignment w:val="baseline"/>
        <w:rPr>
          <w:rFonts w:ascii="宋体" w:hAnsi="宋体" w:eastAsia="宋体"/>
          <w:kern w:val="2"/>
          <w:szCs w:val="30"/>
        </w:rPr>
      </w:pPr>
      <w:r>
        <w:rPr>
          <w:rFonts w:hint="eastAsia" w:ascii="宋体" w:hAnsi="宋体" w:eastAsia="宋体"/>
          <w:kern w:val="2"/>
          <w:sz w:val="24"/>
          <w:szCs w:val="24"/>
        </w:rPr>
        <w:t>年  月  日</w:t>
      </w:r>
    </w:p>
    <w:p>
      <w:pPr>
        <w:tabs>
          <w:tab w:val="left" w:pos="3300"/>
          <w:tab w:val="center" w:pos="4851"/>
        </w:tabs>
        <w:autoSpaceDE w:val="0"/>
        <w:autoSpaceDN w:val="0"/>
        <w:adjustRightInd w:val="0"/>
        <w:spacing w:before="50" w:line="480" w:lineRule="exact"/>
        <w:textAlignment w:val="baseline"/>
        <w:rPr>
          <w:rFonts w:ascii="宋体" w:hAnsi="宋体" w:eastAsia="宋体"/>
          <w:kern w:val="2"/>
          <w:szCs w:val="30"/>
        </w:rPr>
      </w:pPr>
    </w:p>
    <w:p>
      <w:pPr>
        <w:tabs>
          <w:tab w:val="left" w:pos="3300"/>
          <w:tab w:val="center" w:pos="4851"/>
        </w:tabs>
        <w:autoSpaceDE w:val="0"/>
        <w:autoSpaceDN w:val="0"/>
        <w:adjustRightInd w:val="0"/>
        <w:spacing w:before="50" w:line="480" w:lineRule="exact"/>
        <w:ind w:firstLine="3012" w:firstLineChars="1000"/>
        <w:jc w:val="both"/>
        <w:textAlignment w:val="baseline"/>
        <w:rPr>
          <w:rFonts w:ascii="宋体" w:hAnsi="宋体" w:eastAsia="宋体"/>
          <w:b/>
          <w:bCs/>
          <w:kern w:val="2"/>
          <w:sz w:val="30"/>
          <w:szCs w:val="30"/>
        </w:rPr>
      </w:pPr>
      <w:r>
        <w:rPr>
          <w:rFonts w:hint="eastAsia" w:ascii="宋体" w:hAnsi="宋体" w:eastAsia="宋体"/>
          <w:b/>
          <w:bCs/>
          <w:kern w:val="2"/>
          <w:sz w:val="30"/>
          <w:szCs w:val="30"/>
        </w:rPr>
        <w:t>商务条款偏离表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tbl>
      <w:tblPr>
        <w:tblStyle w:val="41"/>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565"/>
        <w:gridCol w:w="21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序号</w:t>
            </w:r>
          </w:p>
        </w:tc>
        <w:tc>
          <w:tcPr>
            <w:tcW w:w="256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竞争性磋商采购文件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商务条款</w:t>
            </w:r>
          </w:p>
        </w:tc>
        <w:tc>
          <w:tcPr>
            <w:tcW w:w="2160"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响应文件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商务条款</w:t>
            </w:r>
          </w:p>
        </w:tc>
        <w:tc>
          <w:tcPr>
            <w:tcW w:w="2490"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注：供应商按此表格式列出不影响投标实质性响应的商务偏差，没有说明的其他条款将被认为完全满足竞争性磋商采购文件的规定。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法定代表人或委托代理人签字或盖章：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年  月  日</w:t>
      </w:r>
    </w:p>
    <w:p>
      <w:pPr>
        <w:tabs>
          <w:tab w:val="left" w:pos="3300"/>
          <w:tab w:val="center" w:pos="4851"/>
        </w:tabs>
        <w:autoSpaceDE w:val="0"/>
        <w:autoSpaceDN w:val="0"/>
        <w:adjustRightInd w:val="0"/>
        <w:spacing w:before="50" w:line="480" w:lineRule="exact"/>
        <w:ind w:firstLine="3012" w:firstLineChars="1000"/>
        <w:jc w:val="both"/>
        <w:textAlignment w:val="baseline"/>
        <w:rPr>
          <w:rFonts w:ascii="宋体" w:hAnsi="宋体" w:eastAsia="宋体"/>
          <w:b/>
          <w:bCs/>
          <w:kern w:val="2"/>
          <w:sz w:val="30"/>
          <w:szCs w:val="30"/>
        </w:rPr>
      </w:pPr>
      <w:r>
        <w:rPr>
          <w:rFonts w:hint="eastAsia" w:ascii="宋体" w:hAnsi="宋体" w:eastAsia="宋体"/>
          <w:b/>
          <w:bCs/>
          <w:kern w:val="2"/>
          <w:sz w:val="30"/>
          <w:szCs w:val="30"/>
        </w:rPr>
        <w:t>技术条款响应偏离表</w:t>
      </w:r>
    </w:p>
    <w:tbl>
      <w:tblPr>
        <w:tblStyle w:val="41"/>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961"/>
        <w:gridCol w:w="208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序号</w:t>
            </w:r>
          </w:p>
        </w:tc>
        <w:tc>
          <w:tcPr>
            <w:tcW w:w="2961"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竞争性磋商采购文件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技术条款</w:t>
            </w:r>
          </w:p>
        </w:tc>
        <w:tc>
          <w:tcPr>
            <w:tcW w:w="208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响应文件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技术条款</w:t>
            </w:r>
          </w:p>
        </w:tc>
        <w:tc>
          <w:tcPr>
            <w:tcW w:w="244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注：1、供应商应对照技术条款要求，对竞争性磋商采购文件的技术要求做出实质性的响应，并申明与技术条款要求的偏差和例外。特别对有具体技术要求的指标，供应商必须提供所投标项目的具体参数值。</w:t>
      </w:r>
    </w:p>
    <w:p>
      <w:pPr>
        <w:autoSpaceDE w:val="0"/>
        <w:autoSpaceDN w:val="0"/>
        <w:adjustRightInd w:val="0"/>
        <w:spacing w:before="50" w:line="480" w:lineRule="exact"/>
        <w:ind w:firstLine="480" w:firstLineChars="200"/>
        <w:textAlignment w:val="baseline"/>
        <w:rPr>
          <w:rFonts w:ascii="宋体" w:hAnsi="宋体" w:eastAsia="宋体"/>
          <w:color w:val="FF0000"/>
          <w:kern w:val="2"/>
          <w:sz w:val="24"/>
          <w:szCs w:val="24"/>
        </w:rPr>
      </w:pPr>
      <w:r>
        <w:rPr>
          <w:rFonts w:hint="eastAsia" w:ascii="宋体" w:hAnsi="宋体" w:eastAsia="宋体"/>
          <w:kern w:val="2"/>
          <w:sz w:val="24"/>
          <w:szCs w:val="24"/>
        </w:rPr>
        <w:t>2、供应商所提供项目和服务已对竞争性磋商采购文件要求的招标项目规模、技术要求和服务条件的偏离只能优于竞争性磋商采购文件，否则评标委员会有权按竞争性磋商采购文件中相应规定作否决投标处理。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3、没有说明的其他条款将被认为完全满足本招标项目技术条款要求。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4、各供应商按此表格式自行填写，表格不够时可自行添加。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 （盖章）：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法定代表人或委托代理人签字或盖章：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年     月     日</w:t>
      </w:r>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b/>
          <w:bCs/>
          <w:kern w:val="2"/>
          <w:sz w:val="30"/>
          <w:szCs w:val="30"/>
        </w:rPr>
      </w:pPr>
      <w:r>
        <w:rPr>
          <w:rFonts w:hint="eastAsia" w:ascii="宋体" w:hAnsi="宋体" w:eastAsia="宋体"/>
          <w:b/>
          <w:bCs/>
          <w:kern w:val="2"/>
          <w:sz w:val="30"/>
          <w:szCs w:val="30"/>
        </w:rPr>
        <w:t>磋商保证金收据复印件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br w:type="page"/>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b/>
          <w:bCs/>
          <w:kern w:val="2"/>
          <w:sz w:val="30"/>
          <w:szCs w:val="30"/>
        </w:rPr>
      </w:pPr>
      <w:bookmarkStart w:id="163" w:name="_Toc32439"/>
      <w:r>
        <w:rPr>
          <w:rFonts w:hint="eastAsia" w:ascii="宋体" w:hAnsi="宋体" w:eastAsia="宋体"/>
          <w:b/>
          <w:bCs/>
          <w:kern w:val="2"/>
          <w:sz w:val="30"/>
          <w:szCs w:val="30"/>
        </w:rPr>
        <w:t>报价单位（供应商）反商业贿赂承诺书</w:t>
      </w:r>
      <w:bookmarkEnd w:id="163"/>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我单位承诺在（项目名称、标段）公开活动中，不给予国家工作人员、招标方、代理机构及其亲属各种形式的商业贿赂（包括送礼金礼品、有价证券、购物券、回扣、佣金、咨询费、劳务费、赞助费、宣传费、支付旅游费用、报销各种消费凭证、宴请、娱乐等），如有上述行为，我单位及项目参与人员愿意按照《政府招标法》、《反不正当竞争法》的有关规定接受处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公司法人代表（或报价人）：（签字盖章）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授权委托人：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日  期：   年   月   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jc w:val="center"/>
        <w:outlineLvl w:val="1"/>
        <w:rPr>
          <w:rFonts w:ascii="仿宋" w:hAnsi="仿宋" w:eastAsia="仿宋" w:cs="仿宋"/>
          <w:b/>
          <w:bCs/>
          <w:sz w:val="32"/>
          <w:szCs w:val="32"/>
        </w:rPr>
      </w:pPr>
      <w:r>
        <w:rPr>
          <w:rFonts w:hint="eastAsia" w:ascii="宋体" w:hAnsi="宋体" w:eastAsia="宋体"/>
          <w:kern w:val="2"/>
          <w:sz w:val="24"/>
          <w:szCs w:val="24"/>
        </w:rPr>
        <w:br w:type="page"/>
      </w:r>
    </w:p>
    <w:p>
      <w:pPr>
        <w:pStyle w:val="4"/>
        <w:spacing w:before="0" w:line="240" w:lineRule="atLeast"/>
        <w:jc w:val="center"/>
        <w:rPr>
          <w:rFonts w:ascii="仿宋" w:hAnsi="仿宋" w:eastAsia="仿宋" w:cs="仿宋"/>
          <w:sz w:val="30"/>
          <w:szCs w:val="30"/>
        </w:rPr>
      </w:pPr>
      <w:bookmarkStart w:id="164" w:name="_Toc14965"/>
      <w:r>
        <w:rPr>
          <w:rFonts w:hint="eastAsia" w:ascii="仿宋" w:hAnsi="仿宋" w:eastAsia="仿宋" w:cs="仿宋"/>
          <w:sz w:val="30"/>
          <w:szCs w:val="30"/>
        </w:rPr>
        <w:t>投标人企业（单位）类型声明函</w:t>
      </w:r>
      <w:bookmarkEnd w:id="164"/>
    </w:p>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b/>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165" w:name="_Toc11803"/>
      <w:bookmarkStart w:id="166" w:name="_Toc10977"/>
      <w:bookmarkStart w:id="167" w:name="_Toc13776"/>
      <w:bookmarkStart w:id="168" w:name="_Toc515647824"/>
    </w:p>
    <w:p>
      <w:pPr>
        <w:spacing w:line="380" w:lineRule="exact"/>
        <w:jc w:val="center"/>
        <w:rPr>
          <w:rFonts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制造商企业（单位）类型声明函</w:t>
      </w:r>
      <w:bookmarkEnd w:id="165"/>
      <w:bookmarkEnd w:id="166"/>
      <w:bookmarkEnd w:id="167"/>
      <w:bookmarkEnd w:id="168"/>
    </w:p>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b/>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ind w:firstLine="2700" w:firstLineChars="900"/>
        <w:rPr>
          <w:rFonts w:hint="eastAsia" w:ascii="仿宋" w:hAnsi="仿宋" w:eastAsia="仿宋" w:cs="仿宋"/>
          <w:sz w:val="30"/>
          <w:szCs w:val="30"/>
        </w:rPr>
      </w:pPr>
      <w:bookmarkStart w:id="169" w:name="_Toc515647825"/>
      <w:bookmarkStart w:id="170" w:name="_Toc23068"/>
      <w:bookmarkStart w:id="171" w:name="_Toc5160"/>
      <w:bookmarkStart w:id="172" w:name="_Toc19284"/>
      <w:bookmarkStart w:id="173" w:name="_Toc24603"/>
      <w:bookmarkStart w:id="174" w:name="OLE_LINK13"/>
      <w:bookmarkStart w:id="175" w:name="OLE_LINK14"/>
    </w:p>
    <w:p>
      <w:pPr>
        <w:pStyle w:val="11"/>
        <w:rPr>
          <w:rFonts w:hint="eastAsia" w:ascii="仿宋" w:hAnsi="仿宋" w:eastAsia="仿宋" w:cs="仿宋"/>
          <w:sz w:val="30"/>
          <w:szCs w:val="30"/>
        </w:rPr>
      </w:pPr>
    </w:p>
    <w:p>
      <w:pPr>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11"/>
        <w:rPr>
          <w:rFonts w:hint="eastAsia"/>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ascii="仿宋" w:hAnsi="仿宋" w:eastAsia="仿宋" w:cs="仿宋"/>
          <w:sz w:val="30"/>
          <w:szCs w:val="30"/>
        </w:rPr>
      </w:pPr>
      <w:r>
        <w:rPr>
          <w:rFonts w:hint="eastAsia" w:ascii="仿宋" w:hAnsi="仿宋" w:eastAsia="仿宋" w:cs="仿宋"/>
          <w:sz w:val="30"/>
          <w:szCs w:val="30"/>
        </w:rPr>
        <w:t>残疾人福利性单位声明函</w:t>
      </w:r>
      <w:bookmarkEnd w:id="169"/>
      <w:bookmarkEnd w:id="170"/>
      <w:bookmarkEnd w:id="171"/>
      <w:bookmarkEnd w:id="172"/>
      <w:bookmarkEnd w:id="173"/>
    </w:p>
    <w:bookmarkEnd w:id="174"/>
    <w:bookmarkEnd w:id="175"/>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4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40" w:firstLineChars="200"/>
        <w:rPr>
          <w:rFonts w:ascii="仿宋" w:hAnsi="仿宋" w:eastAsia="仿宋" w:cs="仿宋"/>
          <w:szCs w:val="20"/>
        </w:rPr>
      </w:pPr>
    </w:p>
    <w:p>
      <w:pPr>
        <w:spacing w:line="380" w:lineRule="exact"/>
        <w:ind w:firstLine="440" w:firstLineChars="200"/>
        <w:rPr>
          <w:rFonts w:ascii="仿宋" w:hAnsi="仿宋" w:eastAsia="仿宋" w:cs="仿宋"/>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4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105"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p>
      <w:pPr>
        <w:rPr>
          <w:rFonts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40"/>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7" w:type="dxa"/>
            <w:gridSpan w:val="8"/>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keepNext w:val="0"/>
              <w:keepLines w:val="0"/>
              <w:widowControl/>
              <w:suppressLineNumbers w:val="0"/>
              <w:spacing w:before="0" w:beforeAutospacing="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widowControl/>
              <w:suppressLineNumbers w:val="0"/>
              <w:spacing w:before="0" w:beforeAutospacing="0" w:afterAutospacing="0"/>
              <w:ind w:left="0" w:right="0"/>
              <w:rPr>
                <w:rFonts w:hint="default" w:ascii="仿宋" w:hAnsi="仿宋" w:eastAsia="仿宋" w:cs="仿宋"/>
                <w:b/>
                <w:sz w:val="24"/>
                <w:szCs w:val="20"/>
              </w:rPr>
            </w:pPr>
          </w:p>
          <w:p>
            <w:pPr>
              <w:keepNext w:val="0"/>
              <w:keepLines w:val="0"/>
              <w:widowControl/>
              <w:suppressLineNumbers w:val="0"/>
              <w:spacing w:before="0" w:beforeAutospacing="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1" w:type="dxa"/>
            <w:gridSpan w:val="9"/>
            <w:tcBorders>
              <w:right w:val="single" w:color="auto" w:sz="4" w:space="0"/>
            </w:tcBorders>
          </w:tcPr>
          <w:p>
            <w:pPr>
              <w:keepNext w:val="0"/>
              <w:keepLines w:val="0"/>
              <w:widowControl/>
              <w:suppressLineNumbers w:val="0"/>
              <w:spacing w:before="0" w:beforeAutospacing="0" w:afterAutospacing="0"/>
              <w:ind w:left="0" w:right="0"/>
              <w:jc w:val="left"/>
              <w:rPr>
                <w:rFonts w:hint="default" w:ascii="仿宋" w:hAnsi="仿宋" w:eastAsia="仿宋" w:cs="仿宋"/>
                <w:b/>
                <w:sz w:val="24"/>
                <w:szCs w:val="20"/>
              </w:rPr>
            </w:pPr>
          </w:p>
          <w:p>
            <w:pPr>
              <w:keepNext w:val="0"/>
              <w:keepLines w:val="0"/>
              <w:widowControl/>
              <w:suppressLineNumbers w:val="0"/>
              <w:spacing w:before="0" w:beforeAutospacing="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widowControl/>
              <w:suppressLineNumbers w:val="0"/>
              <w:spacing w:before="0" w:beforeAutospacing="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widowControl/>
              <w:suppressLineNumbers w:val="0"/>
              <w:spacing w:before="0" w:beforeAutospacing="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widowControl/>
              <w:suppressLineNumbers w:val="0"/>
              <w:spacing w:before="0" w:beforeAutospacing="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176"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176"/>
    </w:p>
    <w:p>
      <w:pPr>
        <w:widowControl/>
        <w:spacing w:line="440" w:lineRule="exact"/>
        <w:rPr>
          <w:rFonts w:ascii="宋体" w:hAnsi="宋体" w:cs="宋体"/>
          <w:b/>
          <w:bCs/>
          <w:color w:val="000000"/>
          <w:kern w:val="0"/>
          <w:sz w:val="24"/>
          <w:szCs w:val="24"/>
        </w:rPr>
      </w:pPr>
      <w:bookmarkStart w:id="177" w:name="_Toc11364"/>
      <w:bookmarkStart w:id="178" w:name="_Toc12352"/>
      <w:bookmarkStart w:id="179" w:name="_Toc20004"/>
      <w:r>
        <w:rPr>
          <w:rFonts w:hint="eastAsia" w:ascii="仿宋" w:hAnsi="仿宋" w:eastAsia="仿宋" w:cs="仿宋"/>
          <w:sz w:val="24"/>
          <w:szCs w:val="24"/>
          <w:lang w:eastAsia="zh-CN"/>
        </w:rPr>
        <w:t>昌吉回族自治州红十字会中心血站（本项目由昌吉回族自治州卫生健康委员会组织部门集中采购）</w:t>
      </w:r>
      <w:r>
        <w:rPr>
          <w:rFonts w:hint="eastAsia" w:ascii="宋体" w:hAnsi="宋体" w:cs="宋体"/>
          <w:b/>
          <w:bCs/>
          <w:color w:val="000000"/>
          <w:kern w:val="0"/>
          <w:sz w:val="24"/>
          <w:szCs w:val="24"/>
        </w:rPr>
        <w:t>：</w:t>
      </w:r>
      <w:bookmarkEnd w:id="177"/>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eastAsia="zh-CN"/>
        </w:rPr>
        <w:t>XJTQ2021ZB61-CG001</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0" w:name="_Toc2304"/>
      <w:r>
        <w:rPr>
          <w:rFonts w:hint="eastAsia" w:ascii="仿宋" w:hAnsi="仿宋" w:eastAsia="仿宋" w:cs="Times New Roman"/>
          <w:b/>
          <w:bCs/>
          <w:color w:val="333333"/>
          <w:kern w:val="0"/>
          <w:sz w:val="24"/>
          <w:szCs w:val="24"/>
        </w:rPr>
        <w:t>收 款  单 位：</w:t>
      </w:r>
      <w:bookmarkEnd w:id="180"/>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1"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181"/>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2" w:name="_Toc14681"/>
      <w:r>
        <w:rPr>
          <w:rFonts w:hint="eastAsia" w:ascii="仿宋" w:hAnsi="仿宋" w:eastAsia="仿宋" w:cs="Times New Roman"/>
          <w:b/>
          <w:bCs/>
          <w:color w:val="333333"/>
          <w:kern w:val="0"/>
          <w:sz w:val="24"/>
          <w:szCs w:val="24"/>
        </w:rPr>
        <w:t>开户银行全称:</w:t>
      </w:r>
      <w:bookmarkEnd w:id="182"/>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3"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183"/>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184"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184"/>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185" w:name="_Toc10912"/>
      <w:bookmarkStart w:id="186" w:name="_Toc22502"/>
      <w:bookmarkStart w:id="187" w:name="_Toc30653"/>
      <w:bookmarkStart w:id="188" w:name="_Toc13314"/>
      <w:bookmarkStart w:id="189" w:name="_Toc14906"/>
      <w:bookmarkStart w:id="190" w:name="_Toc23779"/>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178"/>
      <w:bookmarkEnd w:id="179"/>
      <w:bookmarkEnd w:id="185"/>
      <w:bookmarkEnd w:id="186"/>
      <w:bookmarkEnd w:id="187"/>
      <w:bookmarkEnd w:id="188"/>
      <w:bookmarkEnd w:id="189"/>
      <w:bookmarkEnd w:id="190"/>
    </w:p>
    <w:p>
      <w:pPr>
        <w:widowControl/>
        <w:autoSpaceDN w:val="0"/>
        <w:spacing w:line="440" w:lineRule="exact"/>
        <w:ind w:left="1714" w:leftChars="779" w:firstLine="3836" w:firstLineChars="1592"/>
        <w:jc w:val="left"/>
        <w:rPr>
          <w:rFonts w:ascii="仿宋" w:hAnsi="仿宋" w:eastAsia="仿宋" w:cs="Times New Roman"/>
          <w:b/>
          <w:bCs/>
          <w:color w:val="333333"/>
          <w:kern w:val="0"/>
          <w:sz w:val="24"/>
          <w:szCs w:val="24"/>
        </w:rPr>
      </w:pPr>
      <w:bookmarkStart w:id="191" w:name="_Toc16925"/>
      <w:bookmarkStart w:id="192" w:name="_Toc25653"/>
      <w:bookmarkStart w:id="193" w:name="_Toc8115"/>
      <w:bookmarkStart w:id="194" w:name="_Toc20490"/>
      <w:bookmarkStart w:id="195" w:name="_Toc2596"/>
      <w:bookmarkStart w:id="196" w:name="_Toc7297"/>
      <w:bookmarkStart w:id="197" w:name="_Toc11054"/>
      <w:bookmarkStart w:id="198" w:name="_Toc8836"/>
      <w:r>
        <w:rPr>
          <w:rFonts w:hint="eastAsia" w:ascii="仿宋" w:hAnsi="仿宋" w:eastAsia="仿宋" w:cs="Times New Roman"/>
          <w:b/>
          <w:color w:val="333333"/>
          <w:kern w:val="0"/>
          <w:sz w:val="24"/>
          <w:szCs w:val="24"/>
        </w:rPr>
        <w:t>年  月  日</w:t>
      </w:r>
      <w:bookmarkEnd w:id="191"/>
      <w:bookmarkEnd w:id="192"/>
      <w:bookmarkEnd w:id="193"/>
      <w:bookmarkEnd w:id="194"/>
      <w:bookmarkEnd w:id="195"/>
      <w:bookmarkEnd w:id="196"/>
      <w:bookmarkEnd w:id="197"/>
      <w:bookmarkEnd w:id="198"/>
    </w:p>
    <w:tbl>
      <w:tblPr>
        <w:tblStyle w:val="40"/>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keepNext w:val="0"/>
              <w:keepLines w:val="0"/>
              <w:widowControl/>
              <w:suppressLineNumbers w:val="0"/>
              <w:spacing w:before="0" w:beforeAutospacing="0" w:afterAutospacing="0"/>
              <w:ind w:left="0" w:right="0"/>
              <w:rPr>
                <w:rFonts w:hint="default" w:cs="Times New Roman"/>
                <w:b/>
                <w:sz w:val="24"/>
                <w:szCs w:val="20"/>
              </w:rPr>
            </w:pPr>
            <w:r>
              <w:rPr>
                <w:rFonts w:hint="eastAsia" w:cs="Times New Roman"/>
                <w:b/>
                <w:sz w:val="24"/>
                <w:szCs w:val="20"/>
              </w:rPr>
              <w:t>项目负责人签字：</w:t>
            </w:r>
          </w:p>
          <w:p>
            <w:pPr>
              <w:keepNext w:val="0"/>
              <w:keepLines w:val="0"/>
              <w:widowControl/>
              <w:suppressLineNumbers w:val="0"/>
              <w:spacing w:before="0" w:beforeAutospacing="0" w:afterAutospacing="0"/>
              <w:ind w:left="0" w:right="0"/>
              <w:rPr>
                <w:rFonts w:hint="default" w:cs="Times New Roman"/>
                <w:b/>
                <w:sz w:val="24"/>
                <w:szCs w:val="20"/>
              </w:rPr>
            </w:pPr>
          </w:p>
          <w:p>
            <w:pPr>
              <w:keepNext w:val="0"/>
              <w:keepLines w:val="0"/>
              <w:widowControl/>
              <w:suppressLineNumbers w:val="0"/>
              <w:spacing w:before="0" w:beforeAutospacing="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widowControl/>
              <w:suppressLineNumbers w:val="0"/>
              <w:spacing w:before="0" w:beforeAutospacing="0" w:afterAutospacing="0"/>
              <w:ind w:left="0" w:right="0"/>
              <w:rPr>
                <w:rFonts w:hint="default" w:cs="Times New Roman"/>
                <w:b/>
                <w:sz w:val="24"/>
                <w:szCs w:val="20"/>
              </w:rPr>
            </w:pPr>
          </w:p>
          <w:p>
            <w:pPr>
              <w:keepNext w:val="0"/>
              <w:keepLines w:val="0"/>
              <w:widowControl/>
              <w:suppressLineNumbers w:val="0"/>
              <w:spacing w:before="0" w:beforeAutospacing="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keepNext w:val="0"/>
              <w:keepLines w:val="0"/>
              <w:widowControl/>
              <w:suppressLineNumbers w:val="0"/>
              <w:spacing w:before="0" w:beforeAutospacing="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17"/>
        <w:rPr>
          <w:rFonts w:ascii="仿宋" w:hAnsi="仿宋" w:eastAsia="仿宋" w:cs="仿宋"/>
          <w:b/>
          <w:sz w:val="24"/>
          <w:szCs w:val="24"/>
        </w:rPr>
      </w:pPr>
    </w:p>
    <w:p>
      <w:pPr>
        <w:pStyle w:val="17"/>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11"/>
        <w:ind w:firstLine="0"/>
      </w:pPr>
    </w:p>
    <w:p/>
    <w:p>
      <w:pPr>
        <w:pStyle w:val="14"/>
      </w:pPr>
    </w:p>
    <w:p/>
    <w:p>
      <w:pPr>
        <w:pStyle w:val="14"/>
      </w:pPr>
    </w:p>
    <w:p/>
    <w:p>
      <w:pPr>
        <w:pStyle w:val="14"/>
      </w:pPr>
    </w:p>
    <w:p/>
    <w:p>
      <w:pPr>
        <w:pStyle w:val="2"/>
      </w:pPr>
    </w:p>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kern w:val="2"/>
          <w:sz w:val="24"/>
          <w:szCs w:val="24"/>
        </w:rPr>
      </w:pPr>
      <w:r>
        <w:rPr>
          <w:rFonts w:hint="eastAsia" w:ascii="宋体" w:hAnsi="宋体" w:eastAsia="宋体"/>
          <w:b/>
          <w:bCs/>
          <w:kern w:val="2"/>
          <w:sz w:val="30"/>
          <w:szCs w:val="30"/>
        </w:rPr>
        <w:t>其它材料以及供应商需要说明的其他文件和说明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sectPr>
      <w:footerReference r:id="rId10" w:type="default"/>
      <w:endnotePr>
        <w:numFmt w:val="decimal"/>
      </w:endnotePr>
      <w:pgSz w:w="11907" w:h="16840"/>
      <w:pgMar w:top="1134" w:right="1134" w:bottom="1134" w:left="1247" w:header="851" w:footer="992" w:gutter="0"/>
      <w:cols w:equalWidth="0" w:num="1">
        <w:col w:w="898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0000000000000000000"/>
    <w:charset w:val="00"/>
    <w:family w:val="auto"/>
    <w:pitch w:val="default"/>
    <w:sig w:usb0="00000000" w:usb1="00000000" w:usb2="0000001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Nm9tssBAACc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jZvbbLAQAAnA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3350"/>
          <wp:effectExtent l="0" t="0" r="0" b="0"/>
          <wp:wrapNone/>
          <wp:docPr id="2" name="图片模式6"/>
          <wp:cNvGraphicFramePr/>
          <a:graphic xmlns:a="http://schemas.openxmlformats.org/drawingml/2006/main">
            <a:graphicData uri="http://schemas.openxmlformats.org/drawingml/2006/picture">
              <pic:pic xmlns:pic="http://schemas.openxmlformats.org/drawingml/2006/picture">
                <pic:nvPicPr>
                  <pic:cNvPr id="2"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0288" behindDoc="0" locked="0" layoutInCell="0" allowOverlap="1">
          <wp:simplePos x="0" y="0"/>
          <wp:positionH relativeFrom="margin">
            <wp:align>right</wp:align>
          </wp:positionH>
          <wp:positionV relativeFrom="paragraph">
            <wp:posOffset>-195580</wp:posOffset>
          </wp:positionV>
          <wp:extent cx="114300" cy="219075"/>
          <wp:effectExtent l="0" t="0" r="0" b="0"/>
          <wp:wrapNone/>
          <wp:docPr id="3" name="图片模式7"/>
          <wp:cNvGraphicFramePr/>
          <a:graphic xmlns:a="http://schemas.openxmlformats.org/drawingml/2006/main">
            <a:graphicData uri="http://schemas.openxmlformats.org/drawingml/2006/picture">
              <pic:pic xmlns:pic="http://schemas.openxmlformats.org/drawingml/2006/picture">
                <pic:nvPicPr>
                  <pic:cNvPr id="3"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0"/>
        <w:left w:val="none" w:color="auto" w:sz="0" w:space="0"/>
        <w:bottom w:val="none" w:color="auto" w:sz="0" w:space="0"/>
        <w:right w:val="none" w:color="auto" w:sz="0" w:space="0"/>
      </w:pBdr>
      <w:tabs>
        <w:tab w:val="right" w:leader="dot" w:pos="8982"/>
      </w:tabs>
      <w:rPr>
        <w:color w:val="F2F2F2" w:themeColor="background1" w:themeShade="F2"/>
      </w:rPr>
    </w:pPr>
    <w:r>
      <w:rPr>
        <w:color w:val="F2F2F2" w:themeColor="background1" w:themeShade="F2"/>
      </w:rPr>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114300" cy="133350"/>
          <wp:effectExtent l="0" t="0" r="0" b="0"/>
          <wp:wrapNone/>
          <wp:docPr id="1" name="图片模式5"/>
          <wp:cNvGraphicFramePr/>
          <a:graphic xmlns:a="http://schemas.openxmlformats.org/drawingml/2006/main">
            <a:graphicData uri="http://schemas.openxmlformats.org/drawingml/2006/picture">
              <pic:pic xmlns:pic="http://schemas.openxmlformats.org/drawingml/2006/picture">
                <pic:nvPicPr>
                  <pic:cNvPr id="1" name="图片模式5"/>
                  <pic:cNvPicPr/>
                </pic:nvPicPr>
                <pic:blipFill>
                  <a:blip/>
                  <a:stretch>
                    <a:fillRect/>
                  </a:stretch>
                </pic:blipFill>
                <pic:spPr>
                  <a:xfrm>
                    <a:off x="0" y="0"/>
                    <a:ext cx="114300" cy="133350"/>
                  </a:xfrm>
                  <a:prstGeom prst="rect">
                    <a:avLst/>
                  </a:prstGeom>
                  <a:noFill/>
                  <a:ln w="12700">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46"/>
      </w:tabs>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uRncwBAACd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g5tQUmK5wYmfv387//h1/vmV&#10;lMXyXWpR76HCzCePuXG4cwOmz35AZ1I+tMGkL2oiGMcGny4NlkMkIj1aLVerAkMCY/MF8dnzcx8g&#10;vpfOkGTUNOAEc2P58RHimDqnpGrW3Sut8xS1/cuBmMnDEveRY7LisBsmQTvXnFBPj8OvqcVdp0Q/&#10;WOxt2pPZCLOxm42DD2rfIbUy8wJ/e4hIInNLFUbYqTBOLaubNiytxZ/3nPX8V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Aa5GdzAEAAJ0DAAAOAAAAAAAAAAEAIAAAAB4BAABkcnMvZTJv&#10;RG9jLnhtbFBLBQYAAAAABgAGAFkBAABc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drawing>
        <wp:anchor distT="0" distB="0" distL="114300" distR="114300" simplePos="0" relativeHeight="251662336" behindDoc="0" locked="0" layoutInCell="0" allowOverlap="1">
          <wp:simplePos x="0" y="0"/>
          <wp:positionH relativeFrom="margin">
            <wp:align>center</wp:align>
          </wp:positionH>
          <wp:positionV relativeFrom="paragraph">
            <wp:posOffset>0</wp:posOffset>
          </wp:positionV>
          <wp:extent cx="114300" cy="133350"/>
          <wp:effectExtent l="0" t="0" r="0" b="0"/>
          <wp:wrapNone/>
          <wp:docPr id="4" name="图片模式6"/>
          <wp:cNvGraphicFramePr/>
          <a:graphic xmlns:a="http://schemas.openxmlformats.org/drawingml/2006/main">
            <a:graphicData uri="http://schemas.openxmlformats.org/drawingml/2006/picture">
              <pic:pic xmlns:pic="http://schemas.openxmlformats.org/drawingml/2006/picture">
                <pic:nvPicPr>
                  <pic:cNvPr id="4"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3360" behindDoc="0" locked="0" layoutInCell="0" allowOverlap="1">
          <wp:simplePos x="0" y="0"/>
          <wp:positionH relativeFrom="margin">
            <wp:align>right</wp:align>
          </wp:positionH>
          <wp:positionV relativeFrom="paragraph">
            <wp:posOffset>-195580</wp:posOffset>
          </wp:positionV>
          <wp:extent cx="114300" cy="219075"/>
          <wp:effectExtent l="0" t="0" r="0" b="0"/>
          <wp:wrapNone/>
          <wp:docPr id="5" name="图片模式7"/>
          <wp:cNvGraphicFramePr/>
          <a:graphic xmlns:a="http://schemas.openxmlformats.org/drawingml/2006/main">
            <a:graphicData uri="http://schemas.openxmlformats.org/drawingml/2006/picture">
              <pic:pic xmlns:pic="http://schemas.openxmlformats.org/drawingml/2006/picture">
                <pic:nvPicPr>
                  <pic:cNvPr id="5"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276"/>
      </w:tabs>
      <w:rPr>
        <w:b/>
      </w:rPr>
    </w:pPr>
    <w: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91135" cy="219075"/>
              <wp:effectExtent l="0" t="0" r="0" b="0"/>
              <wp:wrapNone/>
              <wp:docPr id="10" name="文本框 1025"/>
              <wp:cNvGraphicFramePr/>
              <a:graphic xmlns:a="http://schemas.openxmlformats.org/drawingml/2006/main">
                <a:graphicData uri="http://schemas.microsoft.com/office/word/2010/wordprocessingShape">
                  <wps:wsp>
                    <wps:cNvSpPr txBox="1"/>
                    <wps:spPr>
                      <a:xfrm>
                        <a:off x="0" y="0"/>
                        <a:ext cx="191135" cy="219075"/>
                      </a:xfrm>
                      <a:prstGeom prst="rect">
                        <a:avLst/>
                      </a:prstGeom>
                      <a:noFill/>
                      <a:ln>
                        <a:noFill/>
                      </a:ln>
                    </wps:spPr>
                    <wps:txbx>
                      <w:txbxContent>
                        <w:p>
                          <w:pPr>
                            <w:tabs>
                              <w:tab w:val="center" w:pos="4153"/>
                              <w:tab w:val="right" w:pos="8306"/>
                            </w:tabs>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7.25pt;width:15.05pt;mso-position-horizontal:left;mso-position-horizontal-relative:margin;mso-wrap-style:none;z-index:251668480;mso-width-relative:page;mso-height-relative:page;" filled="f" stroked="f" coordsize="21600,21600" o:gfxdata="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dFdJ9AAAAADAQAADwAAAAAAAAABACAAAAAiAAAAZHJzL2Rv&#10;d25yZXYueG1sUEsBAhQAFAAAAAgAh07iQPTmKkfQAQAAmwMAAA4AAAAAAAAAAQAgAAAAHwEAAGRy&#10;cy9lMm9Eb2MueG1sUEsFBgAAAAAGAAYAWQEAAGEFAAAAAA==&#10;">
              <v:fill on="f" focussize="0,0"/>
              <v:stroke on="f"/>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5</w:t>
                    </w:r>
                    <w:r>
                      <w:fldChar w:fldCharType="end"/>
                    </w:r>
                  </w:p>
                </w:txbxContent>
              </v:textbox>
            </v:shape>
          </w:pict>
        </mc:Fallback>
      </mc:AlternateContent>
    </w:r>
    <w:r>
      <w:drawing>
        <wp:anchor distT="0" distB="0" distL="114300" distR="114300" simplePos="0" relativeHeight="251664384" behindDoc="0" locked="0" layoutInCell="0" allowOverlap="1">
          <wp:simplePos x="0" y="0"/>
          <wp:positionH relativeFrom="margin">
            <wp:align>center</wp:align>
          </wp:positionH>
          <wp:positionV relativeFrom="paragraph">
            <wp:posOffset>0</wp:posOffset>
          </wp:positionV>
          <wp:extent cx="114300" cy="133350"/>
          <wp:effectExtent l="0" t="0" r="0" b="0"/>
          <wp:wrapNone/>
          <wp:docPr id="6" name="图片模式5"/>
          <wp:cNvGraphicFramePr/>
          <a:graphic xmlns:a="http://schemas.openxmlformats.org/drawingml/2006/main">
            <a:graphicData uri="http://schemas.openxmlformats.org/drawingml/2006/picture">
              <pic:pic xmlns:pic="http://schemas.openxmlformats.org/drawingml/2006/picture">
                <pic:nvPicPr>
                  <pic:cNvPr id="6" name="图片模式5"/>
                  <pic:cNvPicPr/>
                </pic:nvPicPr>
                <pic:blipFill>
                  <a:blip/>
                  <a:stretch>
                    <a:fillRect/>
                  </a:stretch>
                </pic:blipFill>
                <pic:spPr>
                  <a:xfrm>
                    <a:off x="0" y="0"/>
                    <a:ext cx="114300" cy="133350"/>
                  </a:xfrm>
                  <a:prstGeom prst="rect">
                    <a:avLst/>
                  </a:prstGeom>
                  <a:noFill/>
                  <a:ln w="12700">
                    <a:noFill/>
                  </a:ln>
                </pic:spPr>
              </pic:pic>
            </a:graphicData>
          </a:graphic>
        </wp:anchor>
      </w:drawing>
    </w:r>
    <w:r>
      <w:rPr>
        <w:rFonts w:hint="eastAsia"/>
        <w:b/>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556"/>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0eaKssBAACd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uAkVJZYZnPjl54/Lrz+X39/J&#10;uqzq1KLBQ4OZ9x5z4/jOjZi++AGdSfkog0lf1EQwjg0+Xxssxkh4elRXdV1iiGNsuSB+8fDcB4jv&#10;hTMkGS0NOMHcWHb6CHFKXVJSNevulNZ5itr+40DM5CkS94ljsuK4H2dBe9edUc+Aw2+pxV2nRH+w&#10;2Nu0J4sRFmO/GEcf1KFHauvMC/ztMSKJzC1VmGDnwji1rG7esLQWj+856+Gv2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NHmirLAQAAnQ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r>
      <w:drawing>
        <wp:anchor distT="0" distB="0" distL="114300" distR="114300" simplePos="0" relativeHeight="251665408" behindDoc="0" locked="0" layoutInCell="0" allowOverlap="1">
          <wp:simplePos x="0" y="0"/>
          <wp:positionH relativeFrom="margin">
            <wp:align>center</wp:align>
          </wp:positionH>
          <wp:positionV relativeFrom="paragraph">
            <wp:posOffset>0</wp:posOffset>
          </wp:positionV>
          <wp:extent cx="114300" cy="133350"/>
          <wp:effectExtent l="0" t="0" r="0" b="0"/>
          <wp:wrapNone/>
          <wp:docPr id="7" name="图片模式6"/>
          <wp:cNvGraphicFramePr/>
          <a:graphic xmlns:a="http://schemas.openxmlformats.org/drawingml/2006/main">
            <a:graphicData uri="http://schemas.openxmlformats.org/drawingml/2006/picture">
              <pic:pic xmlns:pic="http://schemas.openxmlformats.org/drawingml/2006/picture">
                <pic:nvPicPr>
                  <pic:cNvPr id="7"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6432" behindDoc="0" locked="0" layoutInCell="0" allowOverlap="1">
          <wp:simplePos x="0" y="0"/>
          <wp:positionH relativeFrom="margin">
            <wp:align>right</wp:align>
          </wp:positionH>
          <wp:positionV relativeFrom="paragraph">
            <wp:posOffset>-195580</wp:posOffset>
          </wp:positionV>
          <wp:extent cx="114300" cy="219075"/>
          <wp:effectExtent l="0" t="0" r="0" b="0"/>
          <wp:wrapNone/>
          <wp:docPr id="8" name="图片模式7"/>
          <wp:cNvGraphicFramePr/>
          <a:graphic xmlns:a="http://schemas.openxmlformats.org/drawingml/2006/main">
            <a:graphicData uri="http://schemas.openxmlformats.org/drawingml/2006/picture">
              <pic:pic xmlns:pic="http://schemas.openxmlformats.org/drawingml/2006/picture">
                <pic:nvPicPr>
                  <pic:cNvPr id="8"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59A0B"/>
    <w:multiLevelType w:val="singleLevel"/>
    <w:tmpl w:val="A2E59A0B"/>
    <w:lvl w:ilvl="0" w:tentative="0">
      <w:start w:val="1"/>
      <w:numFmt w:val="chineseCounting"/>
      <w:suff w:val="space"/>
      <w:lvlText w:val="第%1部分"/>
      <w:lvlJc w:val="left"/>
      <w:rPr>
        <w:rFonts w:hint="eastAsia"/>
      </w:rPr>
    </w:lvl>
  </w:abstractNum>
  <w:abstractNum w:abstractNumId="1">
    <w:nsid w:val="CF092B84"/>
    <w:multiLevelType w:val="multilevel"/>
    <w:tmpl w:val="CF092B84"/>
    <w:lvl w:ilvl="0" w:tentative="0">
      <w:start w:val="1"/>
      <w:numFmt w:val="decimal"/>
      <w:pStyle w:val="50"/>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2">
    <w:nsid w:val="DBC1CF9E"/>
    <w:multiLevelType w:val="singleLevel"/>
    <w:tmpl w:val="DBC1CF9E"/>
    <w:lvl w:ilvl="0" w:tentative="0">
      <w:start w:val="1"/>
      <w:numFmt w:val="chineseCounting"/>
      <w:suff w:val="space"/>
      <w:lvlText w:val="第%1部分"/>
      <w:lvlJc w:val="left"/>
      <w:rPr>
        <w:rFonts w:hint="eastAsia"/>
      </w:rPr>
    </w:lvl>
  </w:abstractNum>
  <w:abstractNum w:abstractNumId="3">
    <w:nsid w:val="FDDEE4B8"/>
    <w:multiLevelType w:val="singleLevel"/>
    <w:tmpl w:val="FDDEE4B8"/>
    <w:lvl w:ilvl="0" w:tentative="0">
      <w:start w:val="2"/>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219FA5C4"/>
    <w:multiLevelType w:val="singleLevel"/>
    <w:tmpl w:val="219FA5C4"/>
    <w:lvl w:ilvl="0" w:tentative="0">
      <w:start w:val="1"/>
      <w:numFmt w:val="chineseCounting"/>
      <w:suff w:val="nothing"/>
      <w:lvlText w:val="%1、"/>
      <w:lvlJc w:val="left"/>
      <w:rPr>
        <w:rFonts w:hint="eastAsia"/>
      </w:rPr>
    </w:lvl>
  </w:abstractNum>
  <w:abstractNum w:abstractNumId="6">
    <w:nsid w:val="5A6C0A14"/>
    <w:multiLevelType w:val="singleLevel"/>
    <w:tmpl w:val="5A6C0A14"/>
    <w:lvl w:ilvl="0" w:tentative="0">
      <w:start w:val="1"/>
      <w:numFmt w:val="decimal"/>
      <w:lvlText w:val="%1."/>
      <w:lvlJc w:val="left"/>
      <w:pPr>
        <w:tabs>
          <w:tab w:val="left" w:pos="312"/>
        </w:tabs>
      </w:pPr>
    </w:lvl>
  </w:abstractNum>
  <w:abstractNum w:abstractNumId="7">
    <w:nsid w:val="775EE156"/>
    <w:multiLevelType w:val="singleLevel"/>
    <w:tmpl w:val="775EE156"/>
    <w:lvl w:ilvl="0" w:tentative="0">
      <w:start w:val="1"/>
      <w:numFmt w:val="chineseCounting"/>
      <w:suff w:val="nothing"/>
      <w:lvlText w:val="（%1）"/>
      <w:lvlJc w:val="left"/>
      <w:rPr>
        <w:rFonts w:hint="eastAsia"/>
      </w:rPr>
    </w:lvl>
  </w:abstractNum>
  <w:num w:numId="1">
    <w:abstractNumId w:val="1"/>
  </w:num>
  <w:num w:numId="2">
    <w:abstractNumId w:val="7"/>
  </w:num>
  <w:num w:numId="3">
    <w:abstractNumId w:val="0"/>
  </w:num>
  <w:num w:numId="4">
    <w:abstractNumId w:val="2"/>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numFmt w:val="decimal"/>
    <w:endnote w:id="0"/>
    <w:endnote w:id="1"/>
  </w:endnotePr>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C0"/>
    <w:rsid w:val="00007D4E"/>
    <w:rsid w:val="000245F1"/>
    <w:rsid w:val="00033893"/>
    <w:rsid w:val="000712C5"/>
    <w:rsid w:val="00077A6A"/>
    <w:rsid w:val="00093D56"/>
    <w:rsid w:val="000A5367"/>
    <w:rsid w:val="000B5B59"/>
    <w:rsid w:val="000D6FA2"/>
    <w:rsid w:val="000E3E4C"/>
    <w:rsid w:val="0018560D"/>
    <w:rsid w:val="001B4617"/>
    <w:rsid w:val="001D38F9"/>
    <w:rsid w:val="001D6691"/>
    <w:rsid w:val="0020076B"/>
    <w:rsid w:val="0020206C"/>
    <w:rsid w:val="00223894"/>
    <w:rsid w:val="00276ECD"/>
    <w:rsid w:val="00287BB5"/>
    <w:rsid w:val="002A1B48"/>
    <w:rsid w:val="002C4BFE"/>
    <w:rsid w:val="00325CEF"/>
    <w:rsid w:val="0038628A"/>
    <w:rsid w:val="003B5004"/>
    <w:rsid w:val="003F2781"/>
    <w:rsid w:val="004374ED"/>
    <w:rsid w:val="00470202"/>
    <w:rsid w:val="004A5CBA"/>
    <w:rsid w:val="004B1FC9"/>
    <w:rsid w:val="004B3049"/>
    <w:rsid w:val="004D5A5A"/>
    <w:rsid w:val="00503BA3"/>
    <w:rsid w:val="00533DF3"/>
    <w:rsid w:val="005511ED"/>
    <w:rsid w:val="0056091D"/>
    <w:rsid w:val="00571818"/>
    <w:rsid w:val="005C4D73"/>
    <w:rsid w:val="00622034"/>
    <w:rsid w:val="00632D6D"/>
    <w:rsid w:val="00647CA6"/>
    <w:rsid w:val="00682249"/>
    <w:rsid w:val="00691926"/>
    <w:rsid w:val="006A2392"/>
    <w:rsid w:val="006B2D9C"/>
    <w:rsid w:val="006D1134"/>
    <w:rsid w:val="00717C5B"/>
    <w:rsid w:val="00761450"/>
    <w:rsid w:val="0076679E"/>
    <w:rsid w:val="007D0EAC"/>
    <w:rsid w:val="007D3660"/>
    <w:rsid w:val="007F68B8"/>
    <w:rsid w:val="00826459"/>
    <w:rsid w:val="008B7040"/>
    <w:rsid w:val="008C3FAB"/>
    <w:rsid w:val="008E70D0"/>
    <w:rsid w:val="008F2880"/>
    <w:rsid w:val="00907B3A"/>
    <w:rsid w:val="00910927"/>
    <w:rsid w:val="009253CF"/>
    <w:rsid w:val="0097291D"/>
    <w:rsid w:val="009C3A12"/>
    <w:rsid w:val="009F1A57"/>
    <w:rsid w:val="00A47069"/>
    <w:rsid w:val="00A60658"/>
    <w:rsid w:val="00AC26AC"/>
    <w:rsid w:val="00AC358B"/>
    <w:rsid w:val="00AE0C31"/>
    <w:rsid w:val="00AE62EC"/>
    <w:rsid w:val="00AF7859"/>
    <w:rsid w:val="00B03511"/>
    <w:rsid w:val="00B45A0D"/>
    <w:rsid w:val="00B46E80"/>
    <w:rsid w:val="00B557CA"/>
    <w:rsid w:val="00B83A75"/>
    <w:rsid w:val="00C20E4A"/>
    <w:rsid w:val="00C22BD2"/>
    <w:rsid w:val="00C354F1"/>
    <w:rsid w:val="00C91B71"/>
    <w:rsid w:val="00C96A7D"/>
    <w:rsid w:val="00CA52EB"/>
    <w:rsid w:val="00CB41BE"/>
    <w:rsid w:val="00D10E58"/>
    <w:rsid w:val="00D4014B"/>
    <w:rsid w:val="00D6022F"/>
    <w:rsid w:val="00DB71AF"/>
    <w:rsid w:val="00DD353E"/>
    <w:rsid w:val="00DD687B"/>
    <w:rsid w:val="00DE7188"/>
    <w:rsid w:val="00E3385A"/>
    <w:rsid w:val="00E71FC0"/>
    <w:rsid w:val="00E768C7"/>
    <w:rsid w:val="00EA3B36"/>
    <w:rsid w:val="00F50EFC"/>
    <w:rsid w:val="00F51807"/>
    <w:rsid w:val="00F6325C"/>
    <w:rsid w:val="00FB5D66"/>
    <w:rsid w:val="00FD1BD4"/>
    <w:rsid w:val="01147CB1"/>
    <w:rsid w:val="01220163"/>
    <w:rsid w:val="01525447"/>
    <w:rsid w:val="015639DF"/>
    <w:rsid w:val="016E7D09"/>
    <w:rsid w:val="018A6609"/>
    <w:rsid w:val="018E0D4F"/>
    <w:rsid w:val="01927979"/>
    <w:rsid w:val="01BA769B"/>
    <w:rsid w:val="0205087F"/>
    <w:rsid w:val="02360284"/>
    <w:rsid w:val="02432022"/>
    <w:rsid w:val="02520B08"/>
    <w:rsid w:val="0263687C"/>
    <w:rsid w:val="02637836"/>
    <w:rsid w:val="02704688"/>
    <w:rsid w:val="027D0680"/>
    <w:rsid w:val="02854221"/>
    <w:rsid w:val="02B53EBF"/>
    <w:rsid w:val="02C47321"/>
    <w:rsid w:val="02E55963"/>
    <w:rsid w:val="02F60211"/>
    <w:rsid w:val="02FC7D94"/>
    <w:rsid w:val="03023C42"/>
    <w:rsid w:val="031D16DD"/>
    <w:rsid w:val="03303304"/>
    <w:rsid w:val="033F0ADC"/>
    <w:rsid w:val="035655C4"/>
    <w:rsid w:val="0369058D"/>
    <w:rsid w:val="036D7207"/>
    <w:rsid w:val="03C43DB5"/>
    <w:rsid w:val="03C82B51"/>
    <w:rsid w:val="03CB5564"/>
    <w:rsid w:val="03D761F2"/>
    <w:rsid w:val="043B046A"/>
    <w:rsid w:val="044B2890"/>
    <w:rsid w:val="045131EA"/>
    <w:rsid w:val="047838F5"/>
    <w:rsid w:val="04954517"/>
    <w:rsid w:val="04954DCB"/>
    <w:rsid w:val="049732D9"/>
    <w:rsid w:val="04B837BE"/>
    <w:rsid w:val="04C47A2B"/>
    <w:rsid w:val="04D1681A"/>
    <w:rsid w:val="04FD3B7B"/>
    <w:rsid w:val="04FF3DF3"/>
    <w:rsid w:val="05123E14"/>
    <w:rsid w:val="052D79BD"/>
    <w:rsid w:val="0535347C"/>
    <w:rsid w:val="0558507A"/>
    <w:rsid w:val="05864E34"/>
    <w:rsid w:val="059B45AF"/>
    <w:rsid w:val="05A428A6"/>
    <w:rsid w:val="05C325E3"/>
    <w:rsid w:val="05DE79A5"/>
    <w:rsid w:val="06141805"/>
    <w:rsid w:val="06144E67"/>
    <w:rsid w:val="061845AE"/>
    <w:rsid w:val="062F4977"/>
    <w:rsid w:val="06390A9C"/>
    <w:rsid w:val="065034BC"/>
    <w:rsid w:val="066A07E1"/>
    <w:rsid w:val="067459DD"/>
    <w:rsid w:val="067E0E8A"/>
    <w:rsid w:val="068C50EC"/>
    <w:rsid w:val="069A4E1D"/>
    <w:rsid w:val="06A2005B"/>
    <w:rsid w:val="06BD7CE2"/>
    <w:rsid w:val="06CD4FD1"/>
    <w:rsid w:val="06DD1A0E"/>
    <w:rsid w:val="06E5632A"/>
    <w:rsid w:val="06F9783E"/>
    <w:rsid w:val="07037FC1"/>
    <w:rsid w:val="0721048F"/>
    <w:rsid w:val="07366A46"/>
    <w:rsid w:val="07462ADC"/>
    <w:rsid w:val="0756337B"/>
    <w:rsid w:val="07724D89"/>
    <w:rsid w:val="077D1DE2"/>
    <w:rsid w:val="07CE72B4"/>
    <w:rsid w:val="07FA41AD"/>
    <w:rsid w:val="0802712C"/>
    <w:rsid w:val="08422A14"/>
    <w:rsid w:val="084A03DC"/>
    <w:rsid w:val="08587BF9"/>
    <w:rsid w:val="085D7186"/>
    <w:rsid w:val="089E4012"/>
    <w:rsid w:val="08A92573"/>
    <w:rsid w:val="08B5018D"/>
    <w:rsid w:val="08DE3FA8"/>
    <w:rsid w:val="08DF4189"/>
    <w:rsid w:val="08DF4CE4"/>
    <w:rsid w:val="08EF79E8"/>
    <w:rsid w:val="09055651"/>
    <w:rsid w:val="09341C5E"/>
    <w:rsid w:val="09354713"/>
    <w:rsid w:val="09484BDE"/>
    <w:rsid w:val="09760EBD"/>
    <w:rsid w:val="097B257D"/>
    <w:rsid w:val="098D3FED"/>
    <w:rsid w:val="09B0389A"/>
    <w:rsid w:val="09CA5AF2"/>
    <w:rsid w:val="09CE365B"/>
    <w:rsid w:val="09D3358D"/>
    <w:rsid w:val="09D90642"/>
    <w:rsid w:val="09D9704E"/>
    <w:rsid w:val="0A0A4D64"/>
    <w:rsid w:val="0A0D01CE"/>
    <w:rsid w:val="0A167575"/>
    <w:rsid w:val="0A441978"/>
    <w:rsid w:val="0A474EF2"/>
    <w:rsid w:val="0A992493"/>
    <w:rsid w:val="0AA41F28"/>
    <w:rsid w:val="0AE97A4B"/>
    <w:rsid w:val="0AF0734C"/>
    <w:rsid w:val="0B1A12DA"/>
    <w:rsid w:val="0B1A631E"/>
    <w:rsid w:val="0B1C16F9"/>
    <w:rsid w:val="0B2543CB"/>
    <w:rsid w:val="0B29755E"/>
    <w:rsid w:val="0B5502E3"/>
    <w:rsid w:val="0B637EEF"/>
    <w:rsid w:val="0B642B54"/>
    <w:rsid w:val="0B6E53E8"/>
    <w:rsid w:val="0B9D0EB0"/>
    <w:rsid w:val="0BA772BF"/>
    <w:rsid w:val="0BC61840"/>
    <w:rsid w:val="0BD00B31"/>
    <w:rsid w:val="0BD52477"/>
    <w:rsid w:val="0BEC4E57"/>
    <w:rsid w:val="0BF31807"/>
    <w:rsid w:val="0C13781D"/>
    <w:rsid w:val="0C143DAA"/>
    <w:rsid w:val="0C281213"/>
    <w:rsid w:val="0C415D40"/>
    <w:rsid w:val="0C447779"/>
    <w:rsid w:val="0C4860CE"/>
    <w:rsid w:val="0C4F439C"/>
    <w:rsid w:val="0C727D3D"/>
    <w:rsid w:val="0C963DD6"/>
    <w:rsid w:val="0CB224F2"/>
    <w:rsid w:val="0CB25218"/>
    <w:rsid w:val="0CE30C24"/>
    <w:rsid w:val="0D235A0C"/>
    <w:rsid w:val="0D265101"/>
    <w:rsid w:val="0D340319"/>
    <w:rsid w:val="0D465973"/>
    <w:rsid w:val="0D617747"/>
    <w:rsid w:val="0D7126F3"/>
    <w:rsid w:val="0D942E62"/>
    <w:rsid w:val="0DA16951"/>
    <w:rsid w:val="0DCA2135"/>
    <w:rsid w:val="0DDF209C"/>
    <w:rsid w:val="0DED777A"/>
    <w:rsid w:val="0E0753F9"/>
    <w:rsid w:val="0E322BF0"/>
    <w:rsid w:val="0E336300"/>
    <w:rsid w:val="0E3D36A0"/>
    <w:rsid w:val="0E475B67"/>
    <w:rsid w:val="0E513FD1"/>
    <w:rsid w:val="0E5A605E"/>
    <w:rsid w:val="0E953B45"/>
    <w:rsid w:val="0EA516AD"/>
    <w:rsid w:val="0EAC42AC"/>
    <w:rsid w:val="0EDA0141"/>
    <w:rsid w:val="0EE86572"/>
    <w:rsid w:val="0EED2710"/>
    <w:rsid w:val="0EFA1B76"/>
    <w:rsid w:val="0EFA2928"/>
    <w:rsid w:val="0F4068B5"/>
    <w:rsid w:val="0F5108FF"/>
    <w:rsid w:val="0F69395F"/>
    <w:rsid w:val="0F6C3860"/>
    <w:rsid w:val="0F7F0CE6"/>
    <w:rsid w:val="0F9B5A6D"/>
    <w:rsid w:val="0FA3649C"/>
    <w:rsid w:val="0FBB4B92"/>
    <w:rsid w:val="0FBE7A77"/>
    <w:rsid w:val="0FED6615"/>
    <w:rsid w:val="0FED7700"/>
    <w:rsid w:val="103746F3"/>
    <w:rsid w:val="103C628F"/>
    <w:rsid w:val="103F5461"/>
    <w:rsid w:val="104E3666"/>
    <w:rsid w:val="105669D8"/>
    <w:rsid w:val="10605EFE"/>
    <w:rsid w:val="10661AC0"/>
    <w:rsid w:val="10666BED"/>
    <w:rsid w:val="106918AC"/>
    <w:rsid w:val="106D074F"/>
    <w:rsid w:val="10852651"/>
    <w:rsid w:val="108F0940"/>
    <w:rsid w:val="10A12230"/>
    <w:rsid w:val="10A72BEC"/>
    <w:rsid w:val="10AA1165"/>
    <w:rsid w:val="10AB0D3A"/>
    <w:rsid w:val="10C63104"/>
    <w:rsid w:val="10D468E5"/>
    <w:rsid w:val="10E005AF"/>
    <w:rsid w:val="10E07C6C"/>
    <w:rsid w:val="10E443D5"/>
    <w:rsid w:val="10EE7F50"/>
    <w:rsid w:val="11444904"/>
    <w:rsid w:val="11A31C60"/>
    <w:rsid w:val="11B92247"/>
    <w:rsid w:val="11C36266"/>
    <w:rsid w:val="11E00E41"/>
    <w:rsid w:val="11F25633"/>
    <w:rsid w:val="11F472D3"/>
    <w:rsid w:val="11F913AB"/>
    <w:rsid w:val="120B182F"/>
    <w:rsid w:val="1264242C"/>
    <w:rsid w:val="12686A77"/>
    <w:rsid w:val="12A146F3"/>
    <w:rsid w:val="12A44248"/>
    <w:rsid w:val="12AC4D40"/>
    <w:rsid w:val="12C7599C"/>
    <w:rsid w:val="12D745D5"/>
    <w:rsid w:val="13033951"/>
    <w:rsid w:val="1312737B"/>
    <w:rsid w:val="132278BA"/>
    <w:rsid w:val="13380547"/>
    <w:rsid w:val="13386F7E"/>
    <w:rsid w:val="134A3260"/>
    <w:rsid w:val="135F6535"/>
    <w:rsid w:val="136A03B5"/>
    <w:rsid w:val="13741E70"/>
    <w:rsid w:val="13783583"/>
    <w:rsid w:val="138919C1"/>
    <w:rsid w:val="13951F7C"/>
    <w:rsid w:val="139B54D0"/>
    <w:rsid w:val="13A91783"/>
    <w:rsid w:val="13B46136"/>
    <w:rsid w:val="13B8608F"/>
    <w:rsid w:val="13BA0175"/>
    <w:rsid w:val="13BA13A8"/>
    <w:rsid w:val="13C96E34"/>
    <w:rsid w:val="13E9777D"/>
    <w:rsid w:val="14073C7C"/>
    <w:rsid w:val="140F4571"/>
    <w:rsid w:val="141916A4"/>
    <w:rsid w:val="144C0C3C"/>
    <w:rsid w:val="1457751C"/>
    <w:rsid w:val="1461105A"/>
    <w:rsid w:val="14757C4F"/>
    <w:rsid w:val="147706DA"/>
    <w:rsid w:val="14825661"/>
    <w:rsid w:val="149A172A"/>
    <w:rsid w:val="150B4CFF"/>
    <w:rsid w:val="153D4DAB"/>
    <w:rsid w:val="155D461D"/>
    <w:rsid w:val="15665C17"/>
    <w:rsid w:val="156C157B"/>
    <w:rsid w:val="15724966"/>
    <w:rsid w:val="15AE78D6"/>
    <w:rsid w:val="15C07262"/>
    <w:rsid w:val="15D004F4"/>
    <w:rsid w:val="15D17A60"/>
    <w:rsid w:val="15E50357"/>
    <w:rsid w:val="15EF17B3"/>
    <w:rsid w:val="15F05E2B"/>
    <w:rsid w:val="16000E70"/>
    <w:rsid w:val="16225534"/>
    <w:rsid w:val="16346D3C"/>
    <w:rsid w:val="167B42BA"/>
    <w:rsid w:val="167E5511"/>
    <w:rsid w:val="168F249A"/>
    <w:rsid w:val="16946384"/>
    <w:rsid w:val="16A42E42"/>
    <w:rsid w:val="16B53D64"/>
    <w:rsid w:val="16CE6850"/>
    <w:rsid w:val="16D7483C"/>
    <w:rsid w:val="16D93215"/>
    <w:rsid w:val="16F05272"/>
    <w:rsid w:val="173F07ED"/>
    <w:rsid w:val="1745414E"/>
    <w:rsid w:val="175B14E0"/>
    <w:rsid w:val="17834F98"/>
    <w:rsid w:val="178B1AC9"/>
    <w:rsid w:val="17AB0C70"/>
    <w:rsid w:val="17B14891"/>
    <w:rsid w:val="17BC1868"/>
    <w:rsid w:val="17C50BC5"/>
    <w:rsid w:val="17CF2069"/>
    <w:rsid w:val="17D24885"/>
    <w:rsid w:val="17F110C3"/>
    <w:rsid w:val="18047B3B"/>
    <w:rsid w:val="181A16FF"/>
    <w:rsid w:val="182E0F2E"/>
    <w:rsid w:val="184E0C01"/>
    <w:rsid w:val="184E5F87"/>
    <w:rsid w:val="186E66A1"/>
    <w:rsid w:val="187E2017"/>
    <w:rsid w:val="18990719"/>
    <w:rsid w:val="18A33BD3"/>
    <w:rsid w:val="18A93732"/>
    <w:rsid w:val="18AC2AB8"/>
    <w:rsid w:val="18B347AB"/>
    <w:rsid w:val="18C44E8C"/>
    <w:rsid w:val="18C83542"/>
    <w:rsid w:val="18CC7D07"/>
    <w:rsid w:val="18EC641A"/>
    <w:rsid w:val="18F061D9"/>
    <w:rsid w:val="190D0450"/>
    <w:rsid w:val="19460E73"/>
    <w:rsid w:val="194935D1"/>
    <w:rsid w:val="19A87EBB"/>
    <w:rsid w:val="19AC6C19"/>
    <w:rsid w:val="19B57EE2"/>
    <w:rsid w:val="19C77247"/>
    <w:rsid w:val="19C81FB0"/>
    <w:rsid w:val="19D84D6B"/>
    <w:rsid w:val="19DE1E13"/>
    <w:rsid w:val="19E1173B"/>
    <w:rsid w:val="1A027661"/>
    <w:rsid w:val="1A104B99"/>
    <w:rsid w:val="1A1B38E5"/>
    <w:rsid w:val="1A352669"/>
    <w:rsid w:val="1A3F292B"/>
    <w:rsid w:val="1A4048AE"/>
    <w:rsid w:val="1A5A0393"/>
    <w:rsid w:val="1A984B6E"/>
    <w:rsid w:val="1A9C47DE"/>
    <w:rsid w:val="1AA53C72"/>
    <w:rsid w:val="1B0B69CE"/>
    <w:rsid w:val="1B6E1E1E"/>
    <w:rsid w:val="1B6F7BA8"/>
    <w:rsid w:val="1B815B0F"/>
    <w:rsid w:val="1B9E5B53"/>
    <w:rsid w:val="1BA30CF4"/>
    <w:rsid w:val="1BC10F0E"/>
    <w:rsid w:val="1BC70E87"/>
    <w:rsid w:val="1BD21D7F"/>
    <w:rsid w:val="1BF22CCE"/>
    <w:rsid w:val="1BF3754A"/>
    <w:rsid w:val="1BFC1BF4"/>
    <w:rsid w:val="1C1811B4"/>
    <w:rsid w:val="1C1A2359"/>
    <w:rsid w:val="1C20229D"/>
    <w:rsid w:val="1C2C0B96"/>
    <w:rsid w:val="1C330F43"/>
    <w:rsid w:val="1C430B7D"/>
    <w:rsid w:val="1C686EBB"/>
    <w:rsid w:val="1C7C3795"/>
    <w:rsid w:val="1C8635DE"/>
    <w:rsid w:val="1C8679A2"/>
    <w:rsid w:val="1CCD159D"/>
    <w:rsid w:val="1CDB6E9C"/>
    <w:rsid w:val="1CE44586"/>
    <w:rsid w:val="1CE83C98"/>
    <w:rsid w:val="1D0413D7"/>
    <w:rsid w:val="1D7A0C8A"/>
    <w:rsid w:val="1D863A93"/>
    <w:rsid w:val="1E3D3BFA"/>
    <w:rsid w:val="1E413C82"/>
    <w:rsid w:val="1E5873E7"/>
    <w:rsid w:val="1E8A0818"/>
    <w:rsid w:val="1EA80F04"/>
    <w:rsid w:val="1EBA4CCA"/>
    <w:rsid w:val="1EBC65D3"/>
    <w:rsid w:val="1EE5112A"/>
    <w:rsid w:val="1EEA4C90"/>
    <w:rsid w:val="1EEF004D"/>
    <w:rsid w:val="1EF41ED5"/>
    <w:rsid w:val="1EFA3727"/>
    <w:rsid w:val="1EFD62D9"/>
    <w:rsid w:val="1F157D1F"/>
    <w:rsid w:val="1F176BD8"/>
    <w:rsid w:val="1F1F68CA"/>
    <w:rsid w:val="1F3F725B"/>
    <w:rsid w:val="1F4D0146"/>
    <w:rsid w:val="1F636F4B"/>
    <w:rsid w:val="1F782FF7"/>
    <w:rsid w:val="1F8375FA"/>
    <w:rsid w:val="1F890321"/>
    <w:rsid w:val="1F8A727A"/>
    <w:rsid w:val="1FA245CC"/>
    <w:rsid w:val="1FE37763"/>
    <w:rsid w:val="1FF13A1F"/>
    <w:rsid w:val="1FFB2EDA"/>
    <w:rsid w:val="20174A6C"/>
    <w:rsid w:val="201E2D49"/>
    <w:rsid w:val="202E5DC5"/>
    <w:rsid w:val="20481A5B"/>
    <w:rsid w:val="20561BE4"/>
    <w:rsid w:val="205B4AA1"/>
    <w:rsid w:val="205F3BA6"/>
    <w:rsid w:val="20636E84"/>
    <w:rsid w:val="206A579B"/>
    <w:rsid w:val="20715B5F"/>
    <w:rsid w:val="208D15E7"/>
    <w:rsid w:val="20935E19"/>
    <w:rsid w:val="209E311A"/>
    <w:rsid w:val="20C46212"/>
    <w:rsid w:val="20ED5364"/>
    <w:rsid w:val="20F30758"/>
    <w:rsid w:val="210562D5"/>
    <w:rsid w:val="210F613C"/>
    <w:rsid w:val="21130C05"/>
    <w:rsid w:val="21140F19"/>
    <w:rsid w:val="21243C25"/>
    <w:rsid w:val="2139733C"/>
    <w:rsid w:val="217579A8"/>
    <w:rsid w:val="21783971"/>
    <w:rsid w:val="221C7DF7"/>
    <w:rsid w:val="222002C2"/>
    <w:rsid w:val="222F7D47"/>
    <w:rsid w:val="22635811"/>
    <w:rsid w:val="2276163E"/>
    <w:rsid w:val="228047E3"/>
    <w:rsid w:val="22860C79"/>
    <w:rsid w:val="22907066"/>
    <w:rsid w:val="229A0BF3"/>
    <w:rsid w:val="22D07047"/>
    <w:rsid w:val="22D23122"/>
    <w:rsid w:val="22DE4335"/>
    <w:rsid w:val="23085493"/>
    <w:rsid w:val="2319605F"/>
    <w:rsid w:val="23276306"/>
    <w:rsid w:val="234534E0"/>
    <w:rsid w:val="23587F82"/>
    <w:rsid w:val="235B6B17"/>
    <w:rsid w:val="23662A18"/>
    <w:rsid w:val="237B2B3A"/>
    <w:rsid w:val="23974F43"/>
    <w:rsid w:val="23AC13E7"/>
    <w:rsid w:val="23B03470"/>
    <w:rsid w:val="23C048B7"/>
    <w:rsid w:val="24052EC8"/>
    <w:rsid w:val="24991272"/>
    <w:rsid w:val="24C75C0E"/>
    <w:rsid w:val="24D37FE6"/>
    <w:rsid w:val="25084882"/>
    <w:rsid w:val="2522600D"/>
    <w:rsid w:val="255008E4"/>
    <w:rsid w:val="25582504"/>
    <w:rsid w:val="255B6288"/>
    <w:rsid w:val="255B7253"/>
    <w:rsid w:val="256869BF"/>
    <w:rsid w:val="25693D6F"/>
    <w:rsid w:val="256B375A"/>
    <w:rsid w:val="25814082"/>
    <w:rsid w:val="258612CD"/>
    <w:rsid w:val="25890941"/>
    <w:rsid w:val="25D54F73"/>
    <w:rsid w:val="25E53EB2"/>
    <w:rsid w:val="262D18FA"/>
    <w:rsid w:val="26713CF0"/>
    <w:rsid w:val="26777AD6"/>
    <w:rsid w:val="26814DEC"/>
    <w:rsid w:val="2688109B"/>
    <w:rsid w:val="268F2143"/>
    <w:rsid w:val="26A10F2D"/>
    <w:rsid w:val="26A321A4"/>
    <w:rsid w:val="26B51571"/>
    <w:rsid w:val="26B83A2B"/>
    <w:rsid w:val="26CF748B"/>
    <w:rsid w:val="26DB7110"/>
    <w:rsid w:val="26F2143B"/>
    <w:rsid w:val="26F23F22"/>
    <w:rsid w:val="26F61A8E"/>
    <w:rsid w:val="273931CB"/>
    <w:rsid w:val="273E3005"/>
    <w:rsid w:val="27535B98"/>
    <w:rsid w:val="276A2571"/>
    <w:rsid w:val="277D7488"/>
    <w:rsid w:val="27914C69"/>
    <w:rsid w:val="27B011CC"/>
    <w:rsid w:val="27BD1A61"/>
    <w:rsid w:val="27BD3146"/>
    <w:rsid w:val="281C207F"/>
    <w:rsid w:val="28253D2C"/>
    <w:rsid w:val="28441CFF"/>
    <w:rsid w:val="285D4CA5"/>
    <w:rsid w:val="286D215B"/>
    <w:rsid w:val="2879039E"/>
    <w:rsid w:val="287C5E66"/>
    <w:rsid w:val="28912907"/>
    <w:rsid w:val="28917A47"/>
    <w:rsid w:val="28AB6B1D"/>
    <w:rsid w:val="28B479B6"/>
    <w:rsid w:val="28C740B7"/>
    <w:rsid w:val="28DC22FE"/>
    <w:rsid w:val="28F07028"/>
    <w:rsid w:val="28F1155B"/>
    <w:rsid w:val="29013EED"/>
    <w:rsid w:val="29112AFB"/>
    <w:rsid w:val="29171859"/>
    <w:rsid w:val="29434896"/>
    <w:rsid w:val="298A49DE"/>
    <w:rsid w:val="29A06E45"/>
    <w:rsid w:val="29BA2095"/>
    <w:rsid w:val="29D35D08"/>
    <w:rsid w:val="29DD2053"/>
    <w:rsid w:val="2A117612"/>
    <w:rsid w:val="2A454EEB"/>
    <w:rsid w:val="2A6F3FF8"/>
    <w:rsid w:val="2A8170C0"/>
    <w:rsid w:val="2A8677F2"/>
    <w:rsid w:val="2AB94904"/>
    <w:rsid w:val="2ACF3AAC"/>
    <w:rsid w:val="2AF65434"/>
    <w:rsid w:val="2AFF0137"/>
    <w:rsid w:val="2B0F5C44"/>
    <w:rsid w:val="2B29208E"/>
    <w:rsid w:val="2B3D1EFC"/>
    <w:rsid w:val="2B591D3F"/>
    <w:rsid w:val="2B5E2EE8"/>
    <w:rsid w:val="2B6668C7"/>
    <w:rsid w:val="2B67195F"/>
    <w:rsid w:val="2B6E3C7E"/>
    <w:rsid w:val="2B75247B"/>
    <w:rsid w:val="2B7A4871"/>
    <w:rsid w:val="2B877DBD"/>
    <w:rsid w:val="2B962ADC"/>
    <w:rsid w:val="2BB84F98"/>
    <w:rsid w:val="2BBD14A1"/>
    <w:rsid w:val="2BF23FAB"/>
    <w:rsid w:val="2C026070"/>
    <w:rsid w:val="2C1947EB"/>
    <w:rsid w:val="2C32735D"/>
    <w:rsid w:val="2C3F1D75"/>
    <w:rsid w:val="2C4B0DAF"/>
    <w:rsid w:val="2C4B6913"/>
    <w:rsid w:val="2C4F1BD1"/>
    <w:rsid w:val="2C583912"/>
    <w:rsid w:val="2C661054"/>
    <w:rsid w:val="2C72783F"/>
    <w:rsid w:val="2CE66BC5"/>
    <w:rsid w:val="2CEB775A"/>
    <w:rsid w:val="2CEC5A76"/>
    <w:rsid w:val="2CED7212"/>
    <w:rsid w:val="2D047A0A"/>
    <w:rsid w:val="2D056A02"/>
    <w:rsid w:val="2D110548"/>
    <w:rsid w:val="2D1362BB"/>
    <w:rsid w:val="2D1C1725"/>
    <w:rsid w:val="2D1F6BF4"/>
    <w:rsid w:val="2D28561A"/>
    <w:rsid w:val="2D54117E"/>
    <w:rsid w:val="2D8E770F"/>
    <w:rsid w:val="2D9D315E"/>
    <w:rsid w:val="2DAA5EF1"/>
    <w:rsid w:val="2DB11AA7"/>
    <w:rsid w:val="2DF24F42"/>
    <w:rsid w:val="2E131AC5"/>
    <w:rsid w:val="2E301E97"/>
    <w:rsid w:val="2E3762BA"/>
    <w:rsid w:val="2E3B387B"/>
    <w:rsid w:val="2E3B4938"/>
    <w:rsid w:val="2E840630"/>
    <w:rsid w:val="2E901298"/>
    <w:rsid w:val="2E98704E"/>
    <w:rsid w:val="2E991654"/>
    <w:rsid w:val="2EC33AFB"/>
    <w:rsid w:val="2EC44005"/>
    <w:rsid w:val="2EE365C8"/>
    <w:rsid w:val="2EF26CFF"/>
    <w:rsid w:val="2EF53A3C"/>
    <w:rsid w:val="2F015783"/>
    <w:rsid w:val="2F3A2D20"/>
    <w:rsid w:val="2F3D1BC1"/>
    <w:rsid w:val="2F4162FA"/>
    <w:rsid w:val="2F4360EA"/>
    <w:rsid w:val="2F4D6AE1"/>
    <w:rsid w:val="2F5E611F"/>
    <w:rsid w:val="2F681001"/>
    <w:rsid w:val="2F724B10"/>
    <w:rsid w:val="2F8155AD"/>
    <w:rsid w:val="2F912D9A"/>
    <w:rsid w:val="2FA8100A"/>
    <w:rsid w:val="2FAB04FF"/>
    <w:rsid w:val="2FD865D6"/>
    <w:rsid w:val="2FDE7C3A"/>
    <w:rsid w:val="300404BF"/>
    <w:rsid w:val="30080DF9"/>
    <w:rsid w:val="30677A68"/>
    <w:rsid w:val="30866151"/>
    <w:rsid w:val="309643C0"/>
    <w:rsid w:val="30A944D4"/>
    <w:rsid w:val="30B34D65"/>
    <w:rsid w:val="30D565DB"/>
    <w:rsid w:val="3105019F"/>
    <w:rsid w:val="31156DCB"/>
    <w:rsid w:val="312B6E0C"/>
    <w:rsid w:val="31402F1A"/>
    <w:rsid w:val="3143119F"/>
    <w:rsid w:val="31460B66"/>
    <w:rsid w:val="3186405C"/>
    <w:rsid w:val="318A23A3"/>
    <w:rsid w:val="318C6E64"/>
    <w:rsid w:val="31DA06E9"/>
    <w:rsid w:val="31E11AC4"/>
    <w:rsid w:val="31E57245"/>
    <w:rsid w:val="320D1FCE"/>
    <w:rsid w:val="321211BB"/>
    <w:rsid w:val="321C3A0A"/>
    <w:rsid w:val="32267161"/>
    <w:rsid w:val="32363DB1"/>
    <w:rsid w:val="324E347E"/>
    <w:rsid w:val="325B10C0"/>
    <w:rsid w:val="326E0E58"/>
    <w:rsid w:val="327A050D"/>
    <w:rsid w:val="32AE25FA"/>
    <w:rsid w:val="32B731F4"/>
    <w:rsid w:val="32D61FCA"/>
    <w:rsid w:val="32EB2E96"/>
    <w:rsid w:val="32F5586D"/>
    <w:rsid w:val="330405B5"/>
    <w:rsid w:val="330B3A11"/>
    <w:rsid w:val="330F033F"/>
    <w:rsid w:val="331A1374"/>
    <w:rsid w:val="33422680"/>
    <w:rsid w:val="33557BE9"/>
    <w:rsid w:val="339D7CA1"/>
    <w:rsid w:val="33A45E01"/>
    <w:rsid w:val="33AD33D6"/>
    <w:rsid w:val="33B71E1D"/>
    <w:rsid w:val="33BE74EF"/>
    <w:rsid w:val="33CB377A"/>
    <w:rsid w:val="33E3062C"/>
    <w:rsid w:val="33E5749C"/>
    <w:rsid w:val="340257E9"/>
    <w:rsid w:val="340339A4"/>
    <w:rsid w:val="342C1FAD"/>
    <w:rsid w:val="34453900"/>
    <w:rsid w:val="345C1271"/>
    <w:rsid w:val="34667600"/>
    <w:rsid w:val="346A54A2"/>
    <w:rsid w:val="34836F06"/>
    <w:rsid w:val="34953497"/>
    <w:rsid w:val="34A55840"/>
    <w:rsid w:val="35046F05"/>
    <w:rsid w:val="35453E22"/>
    <w:rsid w:val="354C4223"/>
    <w:rsid w:val="35542696"/>
    <w:rsid w:val="35562DB9"/>
    <w:rsid w:val="356314A2"/>
    <w:rsid w:val="35835219"/>
    <w:rsid w:val="35865767"/>
    <w:rsid w:val="358B3D7A"/>
    <w:rsid w:val="359A22EA"/>
    <w:rsid w:val="35A908AB"/>
    <w:rsid w:val="35FA2E99"/>
    <w:rsid w:val="361D35C0"/>
    <w:rsid w:val="36253C63"/>
    <w:rsid w:val="362C2210"/>
    <w:rsid w:val="365844A4"/>
    <w:rsid w:val="36663A62"/>
    <w:rsid w:val="36667F66"/>
    <w:rsid w:val="369A21B0"/>
    <w:rsid w:val="36E431BA"/>
    <w:rsid w:val="37101C94"/>
    <w:rsid w:val="371060A8"/>
    <w:rsid w:val="372C55BC"/>
    <w:rsid w:val="374C4A57"/>
    <w:rsid w:val="375751DF"/>
    <w:rsid w:val="375D42C8"/>
    <w:rsid w:val="375F7C58"/>
    <w:rsid w:val="37616A06"/>
    <w:rsid w:val="376F31B7"/>
    <w:rsid w:val="37814862"/>
    <w:rsid w:val="378860ED"/>
    <w:rsid w:val="37A734E6"/>
    <w:rsid w:val="37CC4429"/>
    <w:rsid w:val="37D40531"/>
    <w:rsid w:val="37DD058E"/>
    <w:rsid w:val="37E4160D"/>
    <w:rsid w:val="37E55551"/>
    <w:rsid w:val="3814033B"/>
    <w:rsid w:val="38553BB8"/>
    <w:rsid w:val="38893B7F"/>
    <w:rsid w:val="38A4483C"/>
    <w:rsid w:val="38DB2D3E"/>
    <w:rsid w:val="38EB5896"/>
    <w:rsid w:val="390100CA"/>
    <w:rsid w:val="391018C9"/>
    <w:rsid w:val="39162006"/>
    <w:rsid w:val="39251E64"/>
    <w:rsid w:val="392759D1"/>
    <w:rsid w:val="39394A39"/>
    <w:rsid w:val="394A225E"/>
    <w:rsid w:val="394F34D2"/>
    <w:rsid w:val="39541602"/>
    <w:rsid w:val="396210E2"/>
    <w:rsid w:val="39846815"/>
    <w:rsid w:val="399F0F10"/>
    <w:rsid w:val="39AB2231"/>
    <w:rsid w:val="39C26E60"/>
    <w:rsid w:val="39C52BE4"/>
    <w:rsid w:val="39D51E4C"/>
    <w:rsid w:val="39E432E5"/>
    <w:rsid w:val="39F404A8"/>
    <w:rsid w:val="39FA051F"/>
    <w:rsid w:val="3A0B42AA"/>
    <w:rsid w:val="3A1309FF"/>
    <w:rsid w:val="3A210868"/>
    <w:rsid w:val="3A393553"/>
    <w:rsid w:val="3A3F1E2B"/>
    <w:rsid w:val="3A4D2E03"/>
    <w:rsid w:val="3A5C4AA6"/>
    <w:rsid w:val="3A8334D5"/>
    <w:rsid w:val="3A937D3E"/>
    <w:rsid w:val="3AA527D7"/>
    <w:rsid w:val="3AB11494"/>
    <w:rsid w:val="3ACD38DF"/>
    <w:rsid w:val="3AD23BDA"/>
    <w:rsid w:val="3ADB455C"/>
    <w:rsid w:val="3AE613AB"/>
    <w:rsid w:val="3AF90F1A"/>
    <w:rsid w:val="3B082812"/>
    <w:rsid w:val="3B0B3C31"/>
    <w:rsid w:val="3B0D7CA5"/>
    <w:rsid w:val="3B4B270C"/>
    <w:rsid w:val="3B8C74FC"/>
    <w:rsid w:val="3B992224"/>
    <w:rsid w:val="3BAF3517"/>
    <w:rsid w:val="3BB50AE2"/>
    <w:rsid w:val="3BBD0B1F"/>
    <w:rsid w:val="3BD20285"/>
    <w:rsid w:val="3BD5301F"/>
    <w:rsid w:val="3BDD32ED"/>
    <w:rsid w:val="3BEA100F"/>
    <w:rsid w:val="3C08407E"/>
    <w:rsid w:val="3C2E058E"/>
    <w:rsid w:val="3C6A054C"/>
    <w:rsid w:val="3C7F11A8"/>
    <w:rsid w:val="3C7F3A4F"/>
    <w:rsid w:val="3CBD5F3C"/>
    <w:rsid w:val="3CC137C1"/>
    <w:rsid w:val="3CC545A0"/>
    <w:rsid w:val="3CE91DD7"/>
    <w:rsid w:val="3D0D3A73"/>
    <w:rsid w:val="3D1341C0"/>
    <w:rsid w:val="3D34470B"/>
    <w:rsid w:val="3D6C69B5"/>
    <w:rsid w:val="3D891904"/>
    <w:rsid w:val="3DC06B14"/>
    <w:rsid w:val="3DCE19B8"/>
    <w:rsid w:val="3DD520DE"/>
    <w:rsid w:val="3E077969"/>
    <w:rsid w:val="3E19206E"/>
    <w:rsid w:val="3E231925"/>
    <w:rsid w:val="3E2A6EDA"/>
    <w:rsid w:val="3E311B9C"/>
    <w:rsid w:val="3E337D6D"/>
    <w:rsid w:val="3E490994"/>
    <w:rsid w:val="3E580E4F"/>
    <w:rsid w:val="3E653DC7"/>
    <w:rsid w:val="3E68336B"/>
    <w:rsid w:val="3E7F6B81"/>
    <w:rsid w:val="3E983144"/>
    <w:rsid w:val="3E9A6573"/>
    <w:rsid w:val="3E9D5454"/>
    <w:rsid w:val="3EA34B33"/>
    <w:rsid w:val="3EA53794"/>
    <w:rsid w:val="3EB25FE3"/>
    <w:rsid w:val="3EB2690C"/>
    <w:rsid w:val="3EB4745C"/>
    <w:rsid w:val="3ED6507B"/>
    <w:rsid w:val="3F0A513F"/>
    <w:rsid w:val="3F35040E"/>
    <w:rsid w:val="3F466E42"/>
    <w:rsid w:val="3F4A4280"/>
    <w:rsid w:val="3F6759C9"/>
    <w:rsid w:val="3F947827"/>
    <w:rsid w:val="3FA03EEE"/>
    <w:rsid w:val="3FA749CA"/>
    <w:rsid w:val="3FB50AFF"/>
    <w:rsid w:val="3FC35DCC"/>
    <w:rsid w:val="3FE06421"/>
    <w:rsid w:val="403A7B53"/>
    <w:rsid w:val="403D10AA"/>
    <w:rsid w:val="404F4A27"/>
    <w:rsid w:val="40735217"/>
    <w:rsid w:val="40B73BDB"/>
    <w:rsid w:val="40BE2280"/>
    <w:rsid w:val="40C67174"/>
    <w:rsid w:val="40D71634"/>
    <w:rsid w:val="40E07FA7"/>
    <w:rsid w:val="411D16A4"/>
    <w:rsid w:val="413C7672"/>
    <w:rsid w:val="4144742B"/>
    <w:rsid w:val="41476EC3"/>
    <w:rsid w:val="4154477A"/>
    <w:rsid w:val="416C38BA"/>
    <w:rsid w:val="416F7C3B"/>
    <w:rsid w:val="41861195"/>
    <w:rsid w:val="418A168D"/>
    <w:rsid w:val="419C5CF0"/>
    <w:rsid w:val="41B55903"/>
    <w:rsid w:val="41BE673D"/>
    <w:rsid w:val="41C80D20"/>
    <w:rsid w:val="41DA7C1F"/>
    <w:rsid w:val="41E8223F"/>
    <w:rsid w:val="41FA6D3E"/>
    <w:rsid w:val="41FF4C56"/>
    <w:rsid w:val="420E2FBD"/>
    <w:rsid w:val="4219342C"/>
    <w:rsid w:val="421D00F8"/>
    <w:rsid w:val="42244158"/>
    <w:rsid w:val="42451252"/>
    <w:rsid w:val="427B0388"/>
    <w:rsid w:val="42973C28"/>
    <w:rsid w:val="42A33559"/>
    <w:rsid w:val="42B53EF6"/>
    <w:rsid w:val="42CA2F59"/>
    <w:rsid w:val="42CF5F8F"/>
    <w:rsid w:val="42D75AAD"/>
    <w:rsid w:val="42D96A72"/>
    <w:rsid w:val="42FB7819"/>
    <w:rsid w:val="43372026"/>
    <w:rsid w:val="43475361"/>
    <w:rsid w:val="436B1496"/>
    <w:rsid w:val="436C5ED6"/>
    <w:rsid w:val="43842480"/>
    <w:rsid w:val="439379B4"/>
    <w:rsid w:val="43B43D3F"/>
    <w:rsid w:val="43BE25DD"/>
    <w:rsid w:val="43C13427"/>
    <w:rsid w:val="43CD23F2"/>
    <w:rsid w:val="43E127CC"/>
    <w:rsid w:val="43EE3F4B"/>
    <w:rsid w:val="4404004D"/>
    <w:rsid w:val="440C25F2"/>
    <w:rsid w:val="443204D5"/>
    <w:rsid w:val="443D5FFE"/>
    <w:rsid w:val="44500868"/>
    <w:rsid w:val="44537027"/>
    <w:rsid w:val="44634636"/>
    <w:rsid w:val="446425B0"/>
    <w:rsid w:val="446461C2"/>
    <w:rsid w:val="44657448"/>
    <w:rsid w:val="44A96CB1"/>
    <w:rsid w:val="44EF7438"/>
    <w:rsid w:val="45164294"/>
    <w:rsid w:val="452C639C"/>
    <w:rsid w:val="452F5B0C"/>
    <w:rsid w:val="45501DB4"/>
    <w:rsid w:val="45507D0F"/>
    <w:rsid w:val="45566018"/>
    <w:rsid w:val="455A01C5"/>
    <w:rsid w:val="4584323B"/>
    <w:rsid w:val="459A6F56"/>
    <w:rsid w:val="45A22F4C"/>
    <w:rsid w:val="45AC663C"/>
    <w:rsid w:val="45E71BC6"/>
    <w:rsid w:val="45F70FFB"/>
    <w:rsid w:val="46127EC5"/>
    <w:rsid w:val="461C6179"/>
    <w:rsid w:val="463C1E98"/>
    <w:rsid w:val="464B3714"/>
    <w:rsid w:val="465E71D8"/>
    <w:rsid w:val="465F7331"/>
    <w:rsid w:val="46615F81"/>
    <w:rsid w:val="46644118"/>
    <w:rsid w:val="467D09ED"/>
    <w:rsid w:val="46854ED1"/>
    <w:rsid w:val="46D03A9C"/>
    <w:rsid w:val="46DA63A5"/>
    <w:rsid w:val="4713256D"/>
    <w:rsid w:val="47207A95"/>
    <w:rsid w:val="47325233"/>
    <w:rsid w:val="47396148"/>
    <w:rsid w:val="47430972"/>
    <w:rsid w:val="475D4087"/>
    <w:rsid w:val="478C2D17"/>
    <w:rsid w:val="47BF084F"/>
    <w:rsid w:val="47C60197"/>
    <w:rsid w:val="47FE786B"/>
    <w:rsid w:val="480105F5"/>
    <w:rsid w:val="481600A7"/>
    <w:rsid w:val="48373766"/>
    <w:rsid w:val="484B09A0"/>
    <w:rsid w:val="486D3848"/>
    <w:rsid w:val="488D5ABC"/>
    <w:rsid w:val="48AB3DA1"/>
    <w:rsid w:val="48FB74E4"/>
    <w:rsid w:val="491C17AC"/>
    <w:rsid w:val="491F3AA4"/>
    <w:rsid w:val="492E71F8"/>
    <w:rsid w:val="493539F0"/>
    <w:rsid w:val="493F34EE"/>
    <w:rsid w:val="495C2EF1"/>
    <w:rsid w:val="496B1325"/>
    <w:rsid w:val="49855DF0"/>
    <w:rsid w:val="49956180"/>
    <w:rsid w:val="49B1626D"/>
    <w:rsid w:val="49E50889"/>
    <w:rsid w:val="49EA2A03"/>
    <w:rsid w:val="49F6560F"/>
    <w:rsid w:val="49FD32FB"/>
    <w:rsid w:val="49FD7DA1"/>
    <w:rsid w:val="4A395FF6"/>
    <w:rsid w:val="4A62629E"/>
    <w:rsid w:val="4ABE5D41"/>
    <w:rsid w:val="4AD06C1E"/>
    <w:rsid w:val="4AF81551"/>
    <w:rsid w:val="4B0577A8"/>
    <w:rsid w:val="4B126F9C"/>
    <w:rsid w:val="4B27191E"/>
    <w:rsid w:val="4B422773"/>
    <w:rsid w:val="4B5F0CE9"/>
    <w:rsid w:val="4B68696A"/>
    <w:rsid w:val="4B9B1B64"/>
    <w:rsid w:val="4BBC1CBC"/>
    <w:rsid w:val="4BCB65F3"/>
    <w:rsid w:val="4BD01A88"/>
    <w:rsid w:val="4BD31866"/>
    <w:rsid w:val="4BDC34F9"/>
    <w:rsid w:val="4C3134F2"/>
    <w:rsid w:val="4C5641BD"/>
    <w:rsid w:val="4C8D6F8C"/>
    <w:rsid w:val="4CB55F47"/>
    <w:rsid w:val="4CD310BA"/>
    <w:rsid w:val="4CE92A9E"/>
    <w:rsid w:val="4CEE0622"/>
    <w:rsid w:val="4CF67C7F"/>
    <w:rsid w:val="4D150D65"/>
    <w:rsid w:val="4D5F3154"/>
    <w:rsid w:val="4DA4771F"/>
    <w:rsid w:val="4DA73AB2"/>
    <w:rsid w:val="4DC26F0E"/>
    <w:rsid w:val="4DC86BF6"/>
    <w:rsid w:val="4DFD30C6"/>
    <w:rsid w:val="4E067CDB"/>
    <w:rsid w:val="4E0F7C52"/>
    <w:rsid w:val="4E142EC5"/>
    <w:rsid w:val="4E611E52"/>
    <w:rsid w:val="4ED94D68"/>
    <w:rsid w:val="4EF720BF"/>
    <w:rsid w:val="4EFB4770"/>
    <w:rsid w:val="4F2A4DBE"/>
    <w:rsid w:val="4F32757F"/>
    <w:rsid w:val="4F361BAF"/>
    <w:rsid w:val="4F554C8E"/>
    <w:rsid w:val="4F57261F"/>
    <w:rsid w:val="4F59637A"/>
    <w:rsid w:val="4F7B3DB2"/>
    <w:rsid w:val="4F8120F7"/>
    <w:rsid w:val="4F904840"/>
    <w:rsid w:val="4F9D5BF8"/>
    <w:rsid w:val="4FA01F66"/>
    <w:rsid w:val="4FA10727"/>
    <w:rsid w:val="4FA23713"/>
    <w:rsid w:val="4FA825C6"/>
    <w:rsid w:val="4FB64A8F"/>
    <w:rsid w:val="4FC95BEE"/>
    <w:rsid w:val="5005134D"/>
    <w:rsid w:val="50324B99"/>
    <w:rsid w:val="503454A5"/>
    <w:rsid w:val="506527FB"/>
    <w:rsid w:val="507436AF"/>
    <w:rsid w:val="50A74926"/>
    <w:rsid w:val="50AE6763"/>
    <w:rsid w:val="50B46B91"/>
    <w:rsid w:val="50BF0BBF"/>
    <w:rsid w:val="50D83E31"/>
    <w:rsid w:val="50E67DED"/>
    <w:rsid w:val="50E71C7C"/>
    <w:rsid w:val="50EB06E5"/>
    <w:rsid w:val="50ED085F"/>
    <w:rsid w:val="50F3596F"/>
    <w:rsid w:val="50FC0969"/>
    <w:rsid w:val="50FF37F3"/>
    <w:rsid w:val="510504A7"/>
    <w:rsid w:val="51061DAC"/>
    <w:rsid w:val="5109541B"/>
    <w:rsid w:val="510B5E19"/>
    <w:rsid w:val="5115318A"/>
    <w:rsid w:val="5157425B"/>
    <w:rsid w:val="5172206A"/>
    <w:rsid w:val="51901958"/>
    <w:rsid w:val="51AE5F0D"/>
    <w:rsid w:val="52320E9B"/>
    <w:rsid w:val="524D6255"/>
    <w:rsid w:val="52676BFE"/>
    <w:rsid w:val="527E2C5B"/>
    <w:rsid w:val="528A6C9F"/>
    <w:rsid w:val="52A03FC5"/>
    <w:rsid w:val="52B75667"/>
    <w:rsid w:val="52C0636A"/>
    <w:rsid w:val="52C9445F"/>
    <w:rsid w:val="52CA2A78"/>
    <w:rsid w:val="52CD7C5B"/>
    <w:rsid w:val="52D3143C"/>
    <w:rsid w:val="52FF04F0"/>
    <w:rsid w:val="530B31AE"/>
    <w:rsid w:val="53104844"/>
    <w:rsid w:val="53433082"/>
    <w:rsid w:val="535D6532"/>
    <w:rsid w:val="53665733"/>
    <w:rsid w:val="53682BF9"/>
    <w:rsid w:val="53821A7E"/>
    <w:rsid w:val="53891AE3"/>
    <w:rsid w:val="53A7377B"/>
    <w:rsid w:val="53CB0B43"/>
    <w:rsid w:val="53D86F73"/>
    <w:rsid w:val="53EE4D3D"/>
    <w:rsid w:val="53EF59DA"/>
    <w:rsid w:val="54206930"/>
    <w:rsid w:val="5460512F"/>
    <w:rsid w:val="546E6E3E"/>
    <w:rsid w:val="54842D89"/>
    <w:rsid w:val="54BB733D"/>
    <w:rsid w:val="54C801E3"/>
    <w:rsid w:val="54EB1DFA"/>
    <w:rsid w:val="54F84EDF"/>
    <w:rsid w:val="550925CD"/>
    <w:rsid w:val="551520AB"/>
    <w:rsid w:val="553013B0"/>
    <w:rsid w:val="554A6613"/>
    <w:rsid w:val="554D1C28"/>
    <w:rsid w:val="55851D9F"/>
    <w:rsid w:val="558644AB"/>
    <w:rsid w:val="55A2484D"/>
    <w:rsid w:val="55B74B00"/>
    <w:rsid w:val="55E85D9A"/>
    <w:rsid w:val="56383A50"/>
    <w:rsid w:val="563C5B63"/>
    <w:rsid w:val="5656710E"/>
    <w:rsid w:val="56865924"/>
    <w:rsid w:val="569B4CBB"/>
    <w:rsid w:val="56BA6CEB"/>
    <w:rsid w:val="56EC3096"/>
    <w:rsid w:val="57324662"/>
    <w:rsid w:val="573D4A08"/>
    <w:rsid w:val="57591AEE"/>
    <w:rsid w:val="57615DCC"/>
    <w:rsid w:val="57731084"/>
    <w:rsid w:val="57942B2D"/>
    <w:rsid w:val="57B4072D"/>
    <w:rsid w:val="57EA6710"/>
    <w:rsid w:val="57ED1757"/>
    <w:rsid w:val="5806651E"/>
    <w:rsid w:val="58127C53"/>
    <w:rsid w:val="58497A54"/>
    <w:rsid w:val="5857050E"/>
    <w:rsid w:val="58626625"/>
    <w:rsid w:val="5864197F"/>
    <w:rsid w:val="5865125B"/>
    <w:rsid w:val="588B5B73"/>
    <w:rsid w:val="589165ED"/>
    <w:rsid w:val="58AC3B7D"/>
    <w:rsid w:val="58B95A4F"/>
    <w:rsid w:val="58C6180D"/>
    <w:rsid w:val="58DC778A"/>
    <w:rsid w:val="590746D1"/>
    <w:rsid w:val="59301225"/>
    <w:rsid w:val="593802EA"/>
    <w:rsid w:val="597C34C0"/>
    <w:rsid w:val="598C12E2"/>
    <w:rsid w:val="5993021F"/>
    <w:rsid w:val="5997287A"/>
    <w:rsid w:val="59A010EC"/>
    <w:rsid w:val="59A64DCA"/>
    <w:rsid w:val="59AB738D"/>
    <w:rsid w:val="59B26683"/>
    <w:rsid w:val="59B51007"/>
    <w:rsid w:val="59E336D5"/>
    <w:rsid w:val="59E45C16"/>
    <w:rsid w:val="59EB2D9F"/>
    <w:rsid w:val="5A0477AD"/>
    <w:rsid w:val="5A0B0AA3"/>
    <w:rsid w:val="5A0E0C2B"/>
    <w:rsid w:val="5A146C31"/>
    <w:rsid w:val="5A1C5F8A"/>
    <w:rsid w:val="5A375BAE"/>
    <w:rsid w:val="5A715203"/>
    <w:rsid w:val="5A7C75E4"/>
    <w:rsid w:val="5A8E0E64"/>
    <w:rsid w:val="5A9C61E1"/>
    <w:rsid w:val="5AB2660A"/>
    <w:rsid w:val="5AD158A3"/>
    <w:rsid w:val="5AD5427F"/>
    <w:rsid w:val="5B087433"/>
    <w:rsid w:val="5B1F6877"/>
    <w:rsid w:val="5B215E5A"/>
    <w:rsid w:val="5B573FDA"/>
    <w:rsid w:val="5B5B054E"/>
    <w:rsid w:val="5B620180"/>
    <w:rsid w:val="5B6355DE"/>
    <w:rsid w:val="5B6362E2"/>
    <w:rsid w:val="5B8F0728"/>
    <w:rsid w:val="5B992A76"/>
    <w:rsid w:val="5BAC5CB7"/>
    <w:rsid w:val="5BDB44C4"/>
    <w:rsid w:val="5BDB6D75"/>
    <w:rsid w:val="5BDD3D8D"/>
    <w:rsid w:val="5BF13158"/>
    <w:rsid w:val="5C0F092E"/>
    <w:rsid w:val="5C107B66"/>
    <w:rsid w:val="5C3A4D15"/>
    <w:rsid w:val="5C682D9C"/>
    <w:rsid w:val="5C8E168A"/>
    <w:rsid w:val="5C9268B6"/>
    <w:rsid w:val="5C9727EE"/>
    <w:rsid w:val="5CA1140C"/>
    <w:rsid w:val="5CA60B2A"/>
    <w:rsid w:val="5CCB74C7"/>
    <w:rsid w:val="5CDF71EF"/>
    <w:rsid w:val="5CE807EF"/>
    <w:rsid w:val="5D14159F"/>
    <w:rsid w:val="5D1F53E8"/>
    <w:rsid w:val="5D5106AB"/>
    <w:rsid w:val="5D5930B8"/>
    <w:rsid w:val="5D856165"/>
    <w:rsid w:val="5D8E4653"/>
    <w:rsid w:val="5D9148A9"/>
    <w:rsid w:val="5D9255C5"/>
    <w:rsid w:val="5DA54BE4"/>
    <w:rsid w:val="5DCA31DE"/>
    <w:rsid w:val="5DCF06FA"/>
    <w:rsid w:val="5DFD01FF"/>
    <w:rsid w:val="5E1266DA"/>
    <w:rsid w:val="5E1A27F9"/>
    <w:rsid w:val="5E1B00EB"/>
    <w:rsid w:val="5E266FDE"/>
    <w:rsid w:val="5E29652C"/>
    <w:rsid w:val="5E703DE2"/>
    <w:rsid w:val="5E7C5E03"/>
    <w:rsid w:val="5EAC48A0"/>
    <w:rsid w:val="5EC403CB"/>
    <w:rsid w:val="5ECB0D7A"/>
    <w:rsid w:val="5EEC00A4"/>
    <w:rsid w:val="5F077853"/>
    <w:rsid w:val="5F0964B3"/>
    <w:rsid w:val="5F0D1D76"/>
    <w:rsid w:val="5F12351C"/>
    <w:rsid w:val="5F1E7697"/>
    <w:rsid w:val="5F242D4E"/>
    <w:rsid w:val="5F2977D7"/>
    <w:rsid w:val="5F2F1B3E"/>
    <w:rsid w:val="5F892C40"/>
    <w:rsid w:val="5FE55168"/>
    <w:rsid w:val="60022553"/>
    <w:rsid w:val="60033D11"/>
    <w:rsid w:val="600E0ECB"/>
    <w:rsid w:val="605423D7"/>
    <w:rsid w:val="6060486F"/>
    <w:rsid w:val="606E3D35"/>
    <w:rsid w:val="60AF2716"/>
    <w:rsid w:val="60C07751"/>
    <w:rsid w:val="60C946D4"/>
    <w:rsid w:val="60C9689F"/>
    <w:rsid w:val="60D71A13"/>
    <w:rsid w:val="60DC72CF"/>
    <w:rsid w:val="6101436A"/>
    <w:rsid w:val="61314A65"/>
    <w:rsid w:val="615B6FD1"/>
    <w:rsid w:val="616C1AAC"/>
    <w:rsid w:val="619F26FC"/>
    <w:rsid w:val="61A53839"/>
    <w:rsid w:val="61E92034"/>
    <w:rsid w:val="61FE1278"/>
    <w:rsid w:val="62094531"/>
    <w:rsid w:val="622E1177"/>
    <w:rsid w:val="623231E8"/>
    <w:rsid w:val="623970C8"/>
    <w:rsid w:val="623C5D38"/>
    <w:rsid w:val="62705B16"/>
    <w:rsid w:val="6279043C"/>
    <w:rsid w:val="62806B1B"/>
    <w:rsid w:val="629252AF"/>
    <w:rsid w:val="62980E7F"/>
    <w:rsid w:val="62A65470"/>
    <w:rsid w:val="62CB15D0"/>
    <w:rsid w:val="62DC3F35"/>
    <w:rsid w:val="62EA74E2"/>
    <w:rsid w:val="632728AE"/>
    <w:rsid w:val="633235ED"/>
    <w:rsid w:val="63352D7F"/>
    <w:rsid w:val="633B2744"/>
    <w:rsid w:val="633F7880"/>
    <w:rsid w:val="6359125B"/>
    <w:rsid w:val="6384093F"/>
    <w:rsid w:val="63A47E76"/>
    <w:rsid w:val="63AD6BEF"/>
    <w:rsid w:val="63BF5DCD"/>
    <w:rsid w:val="63C47550"/>
    <w:rsid w:val="63C5176A"/>
    <w:rsid w:val="63CC2DC0"/>
    <w:rsid w:val="63D33B00"/>
    <w:rsid w:val="63D4224C"/>
    <w:rsid w:val="63F216EF"/>
    <w:rsid w:val="641B78A4"/>
    <w:rsid w:val="642000EF"/>
    <w:rsid w:val="645353D8"/>
    <w:rsid w:val="646849DA"/>
    <w:rsid w:val="64732B08"/>
    <w:rsid w:val="6481703D"/>
    <w:rsid w:val="64B03C46"/>
    <w:rsid w:val="64EA60A7"/>
    <w:rsid w:val="64F735BE"/>
    <w:rsid w:val="65054771"/>
    <w:rsid w:val="65077EC1"/>
    <w:rsid w:val="65133E32"/>
    <w:rsid w:val="65260F45"/>
    <w:rsid w:val="652816CB"/>
    <w:rsid w:val="653C4395"/>
    <w:rsid w:val="654E4403"/>
    <w:rsid w:val="65661C5F"/>
    <w:rsid w:val="657405A4"/>
    <w:rsid w:val="65740FC9"/>
    <w:rsid w:val="65A3523D"/>
    <w:rsid w:val="65AC453D"/>
    <w:rsid w:val="65B16FA0"/>
    <w:rsid w:val="65B34ADB"/>
    <w:rsid w:val="65B63748"/>
    <w:rsid w:val="65D111B0"/>
    <w:rsid w:val="65D4579C"/>
    <w:rsid w:val="65D769BA"/>
    <w:rsid w:val="65FD713D"/>
    <w:rsid w:val="66207759"/>
    <w:rsid w:val="66324748"/>
    <w:rsid w:val="66395160"/>
    <w:rsid w:val="66435F64"/>
    <w:rsid w:val="664452AB"/>
    <w:rsid w:val="66597DE0"/>
    <w:rsid w:val="6660457A"/>
    <w:rsid w:val="669D7363"/>
    <w:rsid w:val="66A9278D"/>
    <w:rsid w:val="66C73B8E"/>
    <w:rsid w:val="66C97081"/>
    <w:rsid w:val="66CF17B3"/>
    <w:rsid w:val="67096E25"/>
    <w:rsid w:val="673A492A"/>
    <w:rsid w:val="674F153C"/>
    <w:rsid w:val="67B756D8"/>
    <w:rsid w:val="67D73A75"/>
    <w:rsid w:val="68280C06"/>
    <w:rsid w:val="685A4743"/>
    <w:rsid w:val="68664AFF"/>
    <w:rsid w:val="68812E5B"/>
    <w:rsid w:val="689D4E84"/>
    <w:rsid w:val="68BD370D"/>
    <w:rsid w:val="68E636E7"/>
    <w:rsid w:val="68FC2979"/>
    <w:rsid w:val="69052060"/>
    <w:rsid w:val="69144E9D"/>
    <w:rsid w:val="691F5B7F"/>
    <w:rsid w:val="69245CC7"/>
    <w:rsid w:val="692701F2"/>
    <w:rsid w:val="69321A61"/>
    <w:rsid w:val="69400D5F"/>
    <w:rsid w:val="694B6A6E"/>
    <w:rsid w:val="696F09DA"/>
    <w:rsid w:val="69C86078"/>
    <w:rsid w:val="69D4300F"/>
    <w:rsid w:val="69D51B7C"/>
    <w:rsid w:val="69E976CD"/>
    <w:rsid w:val="6A18539C"/>
    <w:rsid w:val="6A247B75"/>
    <w:rsid w:val="6A4514C4"/>
    <w:rsid w:val="6A614EA8"/>
    <w:rsid w:val="6A7F12FA"/>
    <w:rsid w:val="6A7F2CF7"/>
    <w:rsid w:val="6A85590B"/>
    <w:rsid w:val="6A870051"/>
    <w:rsid w:val="6ADE580F"/>
    <w:rsid w:val="6AE24EC4"/>
    <w:rsid w:val="6AF7299B"/>
    <w:rsid w:val="6B0D037F"/>
    <w:rsid w:val="6B30561D"/>
    <w:rsid w:val="6B307C96"/>
    <w:rsid w:val="6B3F0FA8"/>
    <w:rsid w:val="6B4D25C0"/>
    <w:rsid w:val="6B5149E7"/>
    <w:rsid w:val="6B5B3FD8"/>
    <w:rsid w:val="6B601A02"/>
    <w:rsid w:val="6B746819"/>
    <w:rsid w:val="6B7A3C91"/>
    <w:rsid w:val="6B8B4D80"/>
    <w:rsid w:val="6B925B82"/>
    <w:rsid w:val="6BB9125F"/>
    <w:rsid w:val="6BE07043"/>
    <w:rsid w:val="6C09192B"/>
    <w:rsid w:val="6C0B2268"/>
    <w:rsid w:val="6C2D703B"/>
    <w:rsid w:val="6C5B760F"/>
    <w:rsid w:val="6C8D0D8C"/>
    <w:rsid w:val="6C9F3124"/>
    <w:rsid w:val="6CAE3F68"/>
    <w:rsid w:val="6CBA3772"/>
    <w:rsid w:val="6CC52072"/>
    <w:rsid w:val="6CC6610B"/>
    <w:rsid w:val="6CCE45AD"/>
    <w:rsid w:val="6CD922C5"/>
    <w:rsid w:val="6CF17ADD"/>
    <w:rsid w:val="6D0C3E4A"/>
    <w:rsid w:val="6D330BC8"/>
    <w:rsid w:val="6D54351A"/>
    <w:rsid w:val="6D5E4000"/>
    <w:rsid w:val="6D660C20"/>
    <w:rsid w:val="6D6C0797"/>
    <w:rsid w:val="6D7B1055"/>
    <w:rsid w:val="6D7C0E4D"/>
    <w:rsid w:val="6D875569"/>
    <w:rsid w:val="6D91580A"/>
    <w:rsid w:val="6D97387F"/>
    <w:rsid w:val="6DA365B6"/>
    <w:rsid w:val="6DED3BE4"/>
    <w:rsid w:val="6E0F1762"/>
    <w:rsid w:val="6E113D88"/>
    <w:rsid w:val="6E1904B8"/>
    <w:rsid w:val="6E257789"/>
    <w:rsid w:val="6E3C7B5F"/>
    <w:rsid w:val="6E675A0E"/>
    <w:rsid w:val="6EAC2168"/>
    <w:rsid w:val="6EF152B2"/>
    <w:rsid w:val="6EF54BFA"/>
    <w:rsid w:val="6EFB5C73"/>
    <w:rsid w:val="6F0557AC"/>
    <w:rsid w:val="6F10752F"/>
    <w:rsid w:val="6F182ED8"/>
    <w:rsid w:val="6F18722D"/>
    <w:rsid w:val="6F1B7F46"/>
    <w:rsid w:val="6F1D7883"/>
    <w:rsid w:val="6F343ACB"/>
    <w:rsid w:val="6F421CDB"/>
    <w:rsid w:val="6F5730BB"/>
    <w:rsid w:val="6F582122"/>
    <w:rsid w:val="6F5F5569"/>
    <w:rsid w:val="6FA62AB8"/>
    <w:rsid w:val="6FA959D7"/>
    <w:rsid w:val="6FAD2079"/>
    <w:rsid w:val="6FC3440C"/>
    <w:rsid w:val="6FD335BE"/>
    <w:rsid w:val="6FDF2EE0"/>
    <w:rsid w:val="6FE8559C"/>
    <w:rsid w:val="6FEB334A"/>
    <w:rsid w:val="6FFA4B6D"/>
    <w:rsid w:val="704D3464"/>
    <w:rsid w:val="7057436D"/>
    <w:rsid w:val="705B321A"/>
    <w:rsid w:val="706B6888"/>
    <w:rsid w:val="706E02FE"/>
    <w:rsid w:val="70A448C9"/>
    <w:rsid w:val="70AC0DDE"/>
    <w:rsid w:val="70B95FA7"/>
    <w:rsid w:val="70DA0937"/>
    <w:rsid w:val="70DA7633"/>
    <w:rsid w:val="70F0371F"/>
    <w:rsid w:val="713E4F14"/>
    <w:rsid w:val="7140692B"/>
    <w:rsid w:val="71474DCE"/>
    <w:rsid w:val="71741A64"/>
    <w:rsid w:val="71775F54"/>
    <w:rsid w:val="718D7E54"/>
    <w:rsid w:val="7195598C"/>
    <w:rsid w:val="71963ED1"/>
    <w:rsid w:val="71A53545"/>
    <w:rsid w:val="71BE2929"/>
    <w:rsid w:val="71C25A0A"/>
    <w:rsid w:val="71DB58ED"/>
    <w:rsid w:val="72065C5D"/>
    <w:rsid w:val="724057AC"/>
    <w:rsid w:val="726724FC"/>
    <w:rsid w:val="72735CEA"/>
    <w:rsid w:val="728229FA"/>
    <w:rsid w:val="728551A8"/>
    <w:rsid w:val="728A0B8B"/>
    <w:rsid w:val="72A50AE0"/>
    <w:rsid w:val="72A61AE2"/>
    <w:rsid w:val="72E86D8A"/>
    <w:rsid w:val="730744AE"/>
    <w:rsid w:val="73210288"/>
    <w:rsid w:val="73400E1B"/>
    <w:rsid w:val="73421941"/>
    <w:rsid w:val="73811E24"/>
    <w:rsid w:val="739254DF"/>
    <w:rsid w:val="73B00AC9"/>
    <w:rsid w:val="73C508C5"/>
    <w:rsid w:val="73D012D0"/>
    <w:rsid w:val="73DF504F"/>
    <w:rsid w:val="73EA59C2"/>
    <w:rsid w:val="74126A17"/>
    <w:rsid w:val="743C36BE"/>
    <w:rsid w:val="744001BD"/>
    <w:rsid w:val="74640AEE"/>
    <w:rsid w:val="747F3389"/>
    <w:rsid w:val="74936B0F"/>
    <w:rsid w:val="74A9024C"/>
    <w:rsid w:val="74AD166E"/>
    <w:rsid w:val="74AD59F3"/>
    <w:rsid w:val="74BD0184"/>
    <w:rsid w:val="74BF5DE8"/>
    <w:rsid w:val="74C15FB2"/>
    <w:rsid w:val="74C801C9"/>
    <w:rsid w:val="74CC1B38"/>
    <w:rsid w:val="74D903D0"/>
    <w:rsid w:val="74E6434A"/>
    <w:rsid w:val="75010C41"/>
    <w:rsid w:val="750D5E5F"/>
    <w:rsid w:val="75297F9F"/>
    <w:rsid w:val="752E3D80"/>
    <w:rsid w:val="75360F6C"/>
    <w:rsid w:val="75511091"/>
    <w:rsid w:val="757D7619"/>
    <w:rsid w:val="7581246B"/>
    <w:rsid w:val="758C61EC"/>
    <w:rsid w:val="759163EB"/>
    <w:rsid w:val="75A86D7D"/>
    <w:rsid w:val="75C91C85"/>
    <w:rsid w:val="75DE4134"/>
    <w:rsid w:val="75EB78FC"/>
    <w:rsid w:val="75F34FB8"/>
    <w:rsid w:val="76142C9A"/>
    <w:rsid w:val="7626147B"/>
    <w:rsid w:val="762E355D"/>
    <w:rsid w:val="763007BE"/>
    <w:rsid w:val="763404B7"/>
    <w:rsid w:val="76355582"/>
    <w:rsid w:val="76457F01"/>
    <w:rsid w:val="76542057"/>
    <w:rsid w:val="765805DD"/>
    <w:rsid w:val="7666631A"/>
    <w:rsid w:val="76902A60"/>
    <w:rsid w:val="76943F95"/>
    <w:rsid w:val="76AA3BDC"/>
    <w:rsid w:val="76B12F09"/>
    <w:rsid w:val="76BA46C0"/>
    <w:rsid w:val="76C45916"/>
    <w:rsid w:val="76C975A8"/>
    <w:rsid w:val="76DD2CB7"/>
    <w:rsid w:val="76E7715A"/>
    <w:rsid w:val="76E94D21"/>
    <w:rsid w:val="76FC58CD"/>
    <w:rsid w:val="77260C0E"/>
    <w:rsid w:val="77626A48"/>
    <w:rsid w:val="777D185C"/>
    <w:rsid w:val="777F12F2"/>
    <w:rsid w:val="77B02EC4"/>
    <w:rsid w:val="77BD3087"/>
    <w:rsid w:val="77E25685"/>
    <w:rsid w:val="78194B89"/>
    <w:rsid w:val="78210B15"/>
    <w:rsid w:val="7832214D"/>
    <w:rsid w:val="783B6AC3"/>
    <w:rsid w:val="785F1130"/>
    <w:rsid w:val="78655EB6"/>
    <w:rsid w:val="786C64BF"/>
    <w:rsid w:val="78714FC6"/>
    <w:rsid w:val="787A22AF"/>
    <w:rsid w:val="788D65EB"/>
    <w:rsid w:val="78A22B1B"/>
    <w:rsid w:val="78B76D5E"/>
    <w:rsid w:val="78E6200C"/>
    <w:rsid w:val="78FF0BE9"/>
    <w:rsid w:val="79075B90"/>
    <w:rsid w:val="79206E6E"/>
    <w:rsid w:val="7934772E"/>
    <w:rsid w:val="79613EE1"/>
    <w:rsid w:val="799D5F3A"/>
    <w:rsid w:val="79C03294"/>
    <w:rsid w:val="79C35AF6"/>
    <w:rsid w:val="79C7547A"/>
    <w:rsid w:val="79D75F52"/>
    <w:rsid w:val="79EC45AB"/>
    <w:rsid w:val="79F15CEE"/>
    <w:rsid w:val="79F2274A"/>
    <w:rsid w:val="7A0F40FB"/>
    <w:rsid w:val="7A1875B8"/>
    <w:rsid w:val="7A21710B"/>
    <w:rsid w:val="7A4879FF"/>
    <w:rsid w:val="7A5064C7"/>
    <w:rsid w:val="7A5972E6"/>
    <w:rsid w:val="7A634795"/>
    <w:rsid w:val="7A6C39E0"/>
    <w:rsid w:val="7A766528"/>
    <w:rsid w:val="7A8D699F"/>
    <w:rsid w:val="7AB624AB"/>
    <w:rsid w:val="7ACF09DF"/>
    <w:rsid w:val="7AD44014"/>
    <w:rsid w:val="7ADC5188"/>
    <w:rsid w:val="7B202F72"/>
    <w:rsid w:val="7B2838EC"/>
    <w:rsid w:val="7B4C4A27"/>
    <w:rsid w:val="7B5A21A4"/>
    <w:rsid w:val="7B6138FF"/>
    <w:rsid w:val="7B7D0598"/>
    <w:rsid w:val="7B8B4B69"/>
    <w:rsid w:val="7B9509DC"/>
    <w:rsid w:val="7B980745"/>
    <w:rsid w:val="7BAD24C6"/>
    <w:rsid w:val="7BD65964"/>
    <w:rsid w:val="7BE16E52"/>
    <w:rsid w:val="7BFB48B6"/>
    <w:rsid w:val="7BFC7710"/>
    <w:rsid w:val="7C3B5C69"/>
    <w:rsid w:val="7C5376B5"/>
    <w:rsid w:val="7C8442A6"/>
    <w:rsid w:val="7C9009D9"/>
    <w:rsid w:val="7C997BFB"/>
    <w:rsid w:val="7CA76FB7"/>
    <w:rsid w:val="7CB35EFD"/>
    <w:rsid w:val="7CBC5CB1"/>
    <w:rsid w:val="7CD03E11"/>
    <w:rsid w:val="7CD7603C"/>
    <w:rsid w:val="7CEF3B34"/>
    <w:rsid w:val="7CF50748"/>
    <w:rsid w:val="7D176DCD"/>
    <w:rsid w:val="7D2755BD"/>
    <w:rsid w:val="7D63797A"/>
    <w:rsid w:val="7D710AFB"/>
    <w:rsid w:val="7D780B5C"/>
    <w:rsid w:val="7DA92B6A"/>
    <w:rsid w:val="7DC53BF8"/>
    <w:rsid w:val="7DCD50DF"/>
    <w:rsid w:val="7DDD04BF"/>
    <w:rsid w:val="7DFB4D4D"/>
    <w:rsid w:val="7E287250"/>
    <w:rsid w:val="7E30643B"/>
    <w:rsid w:val="7E3418F7"/>
    <w:rsid w:val="7E3C16C1"/>
    <w:rsid w:val="7E8752CD"/>
    <w:rsid w:val="7E9A456F"/>
    <w:rsid w:val="7EAE76EA"/>
    <w:rsid w:val="7EBB358C"/>
    <w:rsid w:val="7ECF353D"/>
    <w:rsid w:val="7ED1368C"/>
    <w:rsid w:val="7ED13E3F"/>
    <w:rsid w:val="7EFA28C9"/>
    <w:rsid w:val="7EFC62DC"/>
    <w:rsid w:val="7F0957F4"/>
    <w:rsid w:val="7F2A6E15"/>
    <w:rsid w:val="7F311F2F"/>
    <w:rsid w:val="7F3F60A3"/>
    <w:rsid w:val="7F400CA0"/>
    <w:rsid w:val="7F422E05"/>
    <w:rsid w:val="7F4975F1"/>
    <w:rsid w:val="7F5D4FBB"/>
    <w:rsid w:val="7F7A308D"/>
    <w:rsid w:val="7F871062"/>
    <w:rsid w:val="7F941FBF"/>
    <w:rsid w:val="7F972F2F"/>
    <w:rsid w:val="7FA4006E"/>
    <w:rsid w:val="7FC551BF"/>
    <w:rsid w:val="7FCB58CD"/>
    <w:rsid w:val="7FE408FB"/>
    <w:rsid w:val="7FF21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qFormat="1"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qFormat="1" w:unhideWhenUsed="0"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3">
    <w:name w:val="heading 1"/>
    <w:basedOn w:val="1"/>
    <w:next w:val="1"/>
    <w:link w:val="70"/>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4">
    <w:name w:val="heading 2"/>
    <w:basedOn w:val="3"/>
    <w:next w:val="1"/>
    <w:link w:val="71"/>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8"/>
      <w:szCs w:val="28"/>
    </w:rPr>
  </w:style>
  <w:style w:type="paragraph" w:styleId="2">
    <w:name w:val="heading 3"/>
    <w:basedOn w:val="1"/>
    <w:next w:val="1"/>
    <w:link w:val="66"/>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72"/>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73"/>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74"/>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75"/>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76"/>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77"/>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next w:val="1"/>
    <w:qFormat/>
    <w:uiPriority w:val="0"/>
    <w:pPr>
      <w:pBdr>
        <w:top w:val="none" w:color="000000" w:sz="0" w:space="3"/>
        <w:left w:val="none" w:color="000000" w:sz="0" w:space="3"/>
        <w:bottom w:val="none" w:color="000000" w:sz="0" w:space="3"/>
        <w:right w:val="none" w:color="000000" w:sz="0" w:space="3"/>
      </w:pBdr>
      <w:ind w:firstLine="420"/>
    </w:pPr>
    <w:rPr>
      <w:rFonts w:ascii="宋体" w:hAnsi="宋体" w:eastAsia="宋体"/>
      <w:sz w:val="34"/>
    </w:rPr>
  </w:style>
  <w:style w:type="paragraph" w:styleId="12">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Document Map"/>
    <w:basedOn w:val="1"/>
    <w:semiHidden/>
    <w:unhideWhenUsed/>
    <w:qFormat/>
    <w:uiPriority w:val="99"/>
    <w:pPr>
      <w:shd w:val="clear" w:color="auto" w:fill="000080"/>
    </w:pPr>
  </w:style>
  <w:style w:type="paragraph" w:styleId="14">
    <w:name w:val="toa heading"/>
    <w:basedOn w:val="1"/>
    <w:next w:val="1"/>
    <w:semiHidden/>
    <w:qFormat/>
    <w:uiPriority w:val="99"/>
    <w:pPr>
      <w:spacing w:before="120"/>
    </w:pPr>
    <w:rPr>
      <w:rFonts w:ascii="Arial" w:hAnsi="Arial" w:cs="Arial"/>
      <w:sz w:val="24"/>
      <w:szCs w:val="24"/>
    </w:rPr>
  </w:style>
  <w:style w:type="paragraph" w:styleId="15">
    <w:name w:val="annotation text"/>
    <w:basedOn w:val="1"/>
    <w:link w:val="67"/>
    <w:qFormat/>
    <w:uiPriority w:val="99"/>
    <w:rPr>
      <w:kern w:val="2"/>
      <w:sz w:val="21"/>
      <w:szCs w:val="24"/>
    </w:rPr>
  </w:style>
  <w:style w:type="paragraph" w:styleId="16">
    <w:name w:val="index 6"/>
    <w:basedOn w:val="1"/>
    <w:next w:val="1"/>
    <w:unhideWhenUsed/>
    <w:qFormat/>
    <w:uiPriority w:val="99"/>
    <w:pPr>
      <w:spacing w:before="1200" w:after="1200"/>
      <w:ind w:left="1000" w:leftChars="1000"/>
    </w:pPr>
  </w:style>
  <w:style w:type="paragraph" w:styleId="17">
    <w:name w:val="Body Text"/>
    <w:basedOn w:val="1"/>
    <w:link w:val="100"/>
    <w:unhideWhenUsed/>
    <w:qFormat/>
    <w:uiPriority w:val="99"/>
    <w:pPr>
      <w:spacing w:after="120"/>
    </w:pPr>
  </w:style>
  <w:style w:type="paragraph" w:styleId="18">
    <w:name w:val="Body Text Indent"/>
    <w:basedOn w:val="1"/>
    <w:next w:val="19"/>
    <w:link w:val="10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left="540" w:firstLine="669"/>
      <w:jc w:val="both"/>
    </w:pPr>
    <w:rPr>
      <w:rFonts w:ascii="宋体" w:hAnsi="宋体" w:eastAsia="宋体" w:cs="宋体"/>
      <w:kern w:val="1"/>
      <w:sz w:val="28"/>
      <w:szCs w:val="28"/>
      <w:lang w:val="en-US" w:eastAsia="zh-CN" w:bidi="ar-SA"/>
    </w:rPr>
  </w:style>
  <w:style w:type="paragraph" w:styleId="19">
    <w:name w:val="Body Text First Indent 2"/>
    <w:basedOn w:val="18"/>
    <w:link w:val="103"/>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20" w:line="259" w:lineRule="auto"/>
      <w:ind w:left="420" w:firstLine="420"/>
      <w:jc w:val="both"/>
    </w:pPr>
    <w:rPr>
      <w:rFonts w:ascii="Times New Roman" w:hAnsi="Times New Roman" w:eastAsia="仿宋_GB2312" w:cs="Times New Roman"/>
      <w:kern w:val="1"/>
      <w:sz w:val="21"/>
      <w:szCs w:val="24"/>
      <w:lang w:val="en-US" w:eastAsia="zh-CN" w:bidi="ar-SA"/>
    </w:rPr>
  </w:style>
  <w:style w:type="paragraph" w:styleId="20">
    <w:name w:val="Block Text"/>
    <w:basedOn w:val="1"/>
    <w:unhideWhenUsed/>
    <w:qFormat/>
    <w:uiPriority w:val="99"/>
    <w:pPr>
      <w:pBdr>
        <w:top w:val="none" w:color="000000" w:sz="0" w:space="1"/>
        <w:left w:val="none" w:color="000000" w:sz="0" w:space="4"/>
        <w:bottom w:val="none" w:color="000000" w:sz="0" w:space="1"/>
        <w:right w:val="none" w:color="000000" w:sz="0" w:space="4"/>
      </w:pBdr>
      <w:spacing w:after="120"/>
      <w:ind w:left="1440" w:leftChars="700" w:right="700" w:rightChars="700"/>
    </w:pPr>
  </w:style>
  <w:style w:type="paragraph" w:styleId="21">
    <w:name w:val="toc 3"/>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80" w:lineRule="exact"/>
      <w:jc w:val="both"/>
    </w:pPr>
    <w:rPr>
      <w:rFonts w:ascii="仿宋_GB2312" w:hAnsi="仿宋_GB2312" w:eastAsia="仿宋_GB2312" w:cs="Times New Roman"/>
      <w:kern w:val="1"/>
      <w:sz w:val="24"/>
      <w:szCs w:val="32"/>
      <w:lang w:val="en-US" w:eastAsia="zh-CN" w:bidi="ar-SA"/>
    </w:rPr>
  </w:style>
  <w:style w:type="paragraph" w:styleId="22">
    <w:name w:val="Plain Text"/>
    <w:basedOn w:val="1"/>
    <w:qFormat/>
    <w:uiPriority w:val="0"/>
    <w:rPr>
      <w:rFonts w:ascii="宋体" w:hAnsi="宋体" w:eastAsia="宋体"/>
      <w:sz w:val="21"/>
    </w:rPr>
  </w:style>
  <w:style w:type="paragraph" w:styleId="23">
    <w:name w:val="Date"/>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spacing w:after="160" w:line="259" w:lineRule="auto"/>
      <w:jc w:val="both"/>
    </w:pPr>
    <w:rPr>
      <w:rFonts w:ascii="宋体" w:hAnsi="宋体" w:eastAsia="宋体" w:cs="Times New Roman"/>
      <w:kern w:val="1"/>
      <w:sz w:val="28"/>
      <w:szCs w:val="22"/>
      <w:lang w:val="en-US" w:eastAsia="zh-CN" w:bidi="ar-SA"/>
    </w:rPr>
  </w:style>
  <w:style w:type="paragraph" w:styleId="24">
    <w:name w:val="Body Tex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360" w:lineRule="auto"/>
      <w:ind w:firstLine="525"/>
      <w:jc w:val="both"/>
    </w:pPr>
    <w:rPr>
      <w:rFonts w:ascii="宋体" w:hAnsi="宋体" w:eastAsia="宋体" w:cs="Arial"/>
      <w:kern w:val="1"/>
      <w:sz w:val="24"/>
      <w:szCs w:val="22"/>
      <w:lang w:val="en-US" w:eastAsia="zh-CN" w:bidi="ar-SA"/>
    </w:rPr>
  </w:style>
  <w:style w:type="paragraph" w:styleId="25">
    <w:name w:val="Balloon Text"/>
    <w:basedOn w:val="1"/>
    <w:link w:val="69"/>
    <w:semiHidden/>
    <w:unhideWhenUsed/>
    <w:qFormat/>
    <w:uiPriority w:val="99"/>
    <w:rPr>
      <w:sz w:val="18"/>
      <w:szCs w:val="18"/>
    </w:rPr>
  </w:style>
  <w:style w:type="paragraph" w:styleId="26">
    <w:name w:val="footer"/>
    <w:basedOn w:val="1"/>
    <w:qFormat/>
    <w:uiPriority w:val="0"/>
    <w:pPr>
      <w:tabs>
        <w:tab w:val="center" w:pos="4153"/>
        <w:tab w:val="right" w:pos="8306"/>
      </w:tabs>
      <w:snapToGrid w:val="0"/>
    </w:pPr>
    <w:rPr>
      <w:sz w:val="18"/>
    </w:rPr>
  </w:style>
  <w:style w:type="paragraph" w:styleId="27">
    <w:name w:val="header"/>
    <w:basedOn w:val="1"/>
    <w:qFormat/>
    <w:uiPriority w:val="0"/>
    <w:pPr>
      <w:pBdr>
        <w:top w:val="none" w:color="000000" w:sz="0" w:space="3"/>
        <w:left w:val="none" w:color="000000" w:sz="0" w:space="3"/>
        <w:bottom w:val="single" w:color="000000" w:sz="6" w:space="1"/>
        <w:right w:val="none" w:color="000000" w:sz="0" w:space="3"/>
      </w:pBdr>
      <w:tabs>
        <w:tab w:val="center" w:pos="4153"/>
        <w:tab w:val="right" w:pos="8306"/>
      </w:tabs>
      <w:jc w:val="center"/>
    </w:pPr>
    <w:rPr>
      <w:rFonts w:ascii="宋体" w:hAnsi="宋体" w:eastAsia="宋体"/>
      <w:sz w:val="18"/>
    </w:rPr>
  </w:style>
  <w:style w:type="paragraph" w:styleId="28">
    <w:name w:val="toc 1"/>
    <w:basedOn w:val="1"/>
    <w:next w:val="1"/>
    <w:qFormat/>
    <w:uiPriority w:val="0"/>
    <w:pPr>
      <w:pBdr>
        <w:top w:val="none" w:color="000000" w:sz="0" w:space="3"/>
        <w:left w:val="none" w:color="000000" w:sz="0" w:space="3"/>
        <w:bottom w:val="none" w:color="000000" w:sz="0" w:space="3"/>
        <w:right w:val="none" w:color="000000" w:sz="0" w:space="3"/>
      </w:pBdr>
      <w:spacing w:line="480" w:lineRule="exact"/>
    </w:pPr>
    <w:rPr>
      <w:rFonts w:ascii="宋体" w:hAnsi="宋体" w:eastAsia="宋体"/>
      <w:b/>
      <w:bCs/>
      <w:sz w:val="21"/>
      <w:szCs w:val="21"/>
    </w:rPr>
  </w:style>
  <w:style w:type="paragraph" w:styleId="29">
    <w:name w:val="Subtitle"/>
    <w:basedOn w:val="1"/>
    <w:next w:val="1"/>
    <w:link w:val="79"/>
    <w:qFormat/>
    <w:uiPriority w:val="11"/>
    <w:rPr>
      <w:color w:val="595959" w:themeColor="text1" w:themeTint="A6"/>
      <w:spacing w:val="15"/>
      <w14:textFill>
        <w14:solidFill>
          <w14:schemeClr w14:val="tx1">
            <w14:lumMod w14:val="65000"/>
            <w14:lumOff w14:val="35000"/>
          </w14:schemeClr>
        </w14:solidFill>
      </w14:textFill>
    </w:rPr>
  </w:style>
  <w:style w:type="paragraph" w:styleId="30">
    <w:name w:val="List"/>
    <w:basedOn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ind w:left="200" w:hanging="200"/>
      <w:contextualSpacing/>
      <w:jc w:val="both"/>
    </w:pPr>
    <w:rPr>
      <w:rFonts w:ascii="Times New Roman" w:hAnsi="Times New Roman" w:eastAsia="宋体" w:cs="Times New Roman"/>
      <w:kern w:val="1"/>
      <w:sz w:val="21"/>
      <w:szCs w:val="24"/>
    </w:rPr>
  </w:style>
  <w:style w:type="paragraph" w:styleId="31">
    <w:name w:val="footnote text"/>
    <w:basedOn w:val="1"/>
    <w:qFormat/>
    <w:uiPriority w:val="0"/>
    <w:pPr>
      <w:adjustRightInd w:val="0"/>
      <w:spacing w:line="312" w:lineRule="atLeast"/>
      <w:textAlignment w:val="baseline"/>
    </w:pPr>
    <w:rPr>
      <w:sz w:val="18"/>
    </w:rPr>
  </w:style>
  <w:style w:type="paragraph" w:styleId="32">
    <w:name w:val="index 9"/>
    <w:basedOn w:val="1"/>
    <w:next w:val="1"/>
    <w:semiHidden/>
    <w:unhideWhenUsed/>
    <w:qFormat/>
    <w:uiPriority w:val="99"/>
    <w:pPr>
      <w:spacing w:before="720" w:after="720"/>
      <w:ind w:left="1600" w:leftChars="1600"/>
    </w:pPr>
  </w:style>
  <w:style w:type="paragraph" w:styleId="33">
    <w:name w:val="table of figures"/>
    <w:basedOn w:val="1"/>
    <w:next w:val="1"/>
    <w:unhideWhenUsed/>
    <w:qFormat/>
    <w:uiPriority w:val="99"/>
    <w:pPr>
      <w:ind w:left="200" w:leftChars="200" w:hanging="200" w:hangingChars="200"/>
    </w:pPr>
  </w:style>
  <w:style w:type="paragraph" w:styleId="34">
    <w:name w:val="toc 2"/>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80" w:lineRule="exact"/>
      <w:ind w:left="405" w:hanging="405"/>
      <w:jc w:val="both"/>
    </w:pPr>
    <w:rPr>
      <w:rFonts w:ascii="仿宋_GB2312" w:hAnsi="仿宋_GB2312" w:eastAsia="仿宋_GB2312" w:cs="Times New Roman"/>
      <w:kern w:val="1"/>
      <w:sz w:val="24"/>
      <w:szCs w:val="32"/>
      <w:lang w:val="en-US" w:eastAsia="zh-CN" w:bidi="ar-SA"/>
    </w:rPr>
  </w:style>
  <w:style w:type="paragraph" w:styleId="35">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6">
    <w:name w:val="Normal (Web)"/>
    <w:basedOn w:val="1"/>
    <w:qFormat/>
    <w:uiPriority w:val="0"/>
    <w:pPr>
      <w:spacing w:before="100" w:beforeAutospacing="1" w:after="100" w:afterAutospacing="1"/>
    </w:pPr>
    <w:rPr>
      <w:rFonts w:ascii="宋体" w:hAnsi="宋体" w:eastAsia="宋体" w:cs="宋体"/>
      <w:sz w:val="24"/>
      <w:szCs w:val="24"/>
    </w:rPr>
  </w:style>
  <w:style w:type="paragraph" w:styleId="37">
    <w:name w:val="Title"/>
    <w:basedOn w:val="1"/>
    <w:next w:val="1"/>
    <w:link w:val="78"/>
    <w:qFormat/>
    <w:uiPriority w:val="10"/>
    <w:pPr>
      <w:spacing w:after="0" w:line="240" w:lineRule="auto"/>
      <w:contextualSpacing/>
    </w:pPr>
    <w:rPr>
      <w:rFonts w:asciiTheme="majorHAnsi" w:hAnsiTheme="majorHAnsi" w:eastAsiaTheme="majorEastAsia" w:cstheme="majorBidi"/>
      <w:spacing w:val="-10"/>
      <w:sz w:val="56"/>
      <w:szCs w:val="56"/>
    </w:rPr>
  </w:style>
  <w:style w:type="paragraph" w:styleId="38">
    <w:name w:val="annotation subject"/>
    <w:basedOn w:val="15"/>
    <w:next w:val="15"/>
    <w:link w:val="68"/>
    <w:semiHidden/>
    <w:unhideWhenUsed/>
    <w:qFormat/>
    <w:uiPriority w:val="99"/>
    <w:pPr>
      <w:jc w:val="both"/>
    </w:pPr>
    <w:rPr>
      <w:b/>
      <w:bCs/>
      <w:kern w:val="1"/>
      <w:sz w:val="20"/>
      <w:szCs w:val="20"/>
    </w:rPr>
  </w:style>
  <w:style w:type="paragraph" w:styleId="39">
    <w:name w:val="Body Text First Indent"/>
    <w:basedOn w:val="17"/>
    <w:qFormat/>
    <w:uiPriority w:val="0"/>
    <w:pPr>
      <w:spacing w:after="120"/>
      <w:ind w:firstLine="420" w:firstLineChars="100"/>
    </w:pPr>
    <w:rPr>
      <w:rFonts w:ascii="Times New Roman" w:hAnsi="Times New Roman" w:cs="Times New Roman"/>
      <w:sz w:val="21"/>
    </w:rPr>
  </w:style>
  <w:style w:type="table" w:styleId="41">
    <w:name w:val="Table Grid"/>
    <w:basedOn w:val="40"/>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3">
    <w:name w:val="Strong"/>
    <w:basedOn w:val="42"/>
    <w:qFormat/>
    <w:uiPriority w:val="22"/>
    <w:rPr>
      <w:b/>
      <w:bCs/>
      <w:color w:val="auto"/>
    </w:rPr>
  </w:style>
  <w:style w:type="character" w:styleId="44">
    <w:name w:val="page number"/>
    <w:basedOn w:val="42"/>
    <w:qFormat/>
    <w:uiPriority w:val="0"/>
  </w:style>
  <w:style w:type="character" w:styleId="45">
    <w:name w:val="FollowedHyperlink"/>
    <w:qFormat/>
    <w:uiPriority w:val="0"/>
  </w:style>
  <w:style w:type="character" w:styleId="46">
    <w:name w:val="Emphasis"/>
    <w:basedOn w:val="42"/>
    <w:qFormat/>
    <w:uiPriority w:val="20"/>
    <w:rPr>
      <w:i/>
      <w:iCs/>
      <w:color w:val="auto"/>
    </w:rPr>
  </w:style>
  <w:style w:type="character" w:styleId="47">
    <w:name w:val="Hyperlink"/>
    <w:basedOn w:val="42"/>
    <w:qFormat/>
    <w:uiPriority w:val="0"/>
    <w:rPr>
      <w:color w:val="0000FF"/>
      <w:u w:val="single"/>
    </w:rPr>
  </w:style>
  <w:style w:type="character" w:styleId="48">
    <w:name w:val="annotation reference"/>
    <w:basedOn w:val="42"/>
    <w:semiHidden/>
    <w:unhideWhenUsed/>
    <w:qFormat/>
    <w:uiPriority w:val="99"/>
    <w:rPr>
      <w:sz w:val="16"/>
      <w:szCs w:val="16"/>
    </w:rPr>
  </w:style>
  <w:style w:type="paragraph" w:customStyle="1" w:styleId="49">
    <w:name w:val="无间隔1"/>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2"/>
      <w:szCs w:val="22"/>
      <w:lang w:val="en-US" w:eastAsia="zh-CN" w:bidi="ar"/>
    </w:rPr>
  </w:style>
  <w:style w:type="paragraph" w:customStyle="1" w:styleId="50">
    <w:name w:val="表名称"/>
    <w:basedOn w:val="11"/>
    <w:qFormat/>
    <w:uiPriority w:val="0"/>
    <w:pPr>
      <w:numPr>
        <w:ilvl w:val="0"/>
        <w:numId w:val="1"/>
      </w:numPr>
      <w:ind w:left="900"/>
      <w:jc w:val="center"/>
    </w:pPr>
    <w:rPr>
      <w:rFonts w:ascii="Times New Roman" w:hAnsi="Times New Roman" w:eastAsia="仿宋_GB2312"/>
      <w:sz w:val="30"/>
    </w:rPr>
  </w:style>
  <w:style w:type="paragraph" w:customStyle="1" w:styleId="51">
    <w:name w:val="文本正文"/>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firstLine="200"/>
    </w:pPr>
    <w:rPr>
      <w:rFonts w:ascii="Calibri" w:hAnsi="Calibri" w:eastAsia="仿宋_GB2312" w:cs="Times New Roman"/>
      <w:kern w:val="1"/>
      <w:sz w:val="30"/>
      <w:szCs w:val="22"/>
      <w:lang w:val="en-US" w:eastAsia="zh-CN" w:bidi="ar-SA"/>
    </w:rPr>
  </w:style>
  <w:style w:type="paragraph" w:customStyle="1" w:styleId="52">
    <w:name w:val="Char Char Char Char"/>
    <w:basedOn w:val="1"/>
    <w:qFormat/>
    <w:uiPriority w:val="0"/>
    <w:pPr>
      <w:adjustRightInd w:val="0"/>
      <w:snapToGrid w:val="0"/>
      <w:spacing w:line="360" w:lineRule="auto"/>
      <w:ind w:firstLine="643" w:firstLineChars="200"/>
    </w:pPr>
  </w:style>
  <w:style w:type="paragraph" w:customStyle="1" w:styleId="53">
    <w:name w:val="Defaul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4"/>
      <w:szCs w:val="24"/>
      <w:lang w:val="en-US" w:eastAsia="zh-CN" w:bidi="ar-SA"/>
    </w:rPr>
  </w:style>
  <w:style w:type="paragraph" w:customStyle="1" w:styleId="54">
    <w:name w:val="正文 New New"/>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spacing w:after="160" w:line="259" w:lineRule="auto"/>
      <w:jc w:val="both"/>
    </w:pPr>
    <w:rPr>
      <w:rFonts w:ascii="新宋体" w:hAnsi="新宋体" w:eastAsia="新宋体" w:cs="Arial"/>
      <w:kern w:val="1"/>
      <w:sz w:val="21"/>
      <w:szCs w:val="21"/>
      <w:lang w:val="en-US" w:eastAsia="zh-CN" w:bidi="ar-SA"/>
    </w:rPr>
  </w:style>
  <w:style w:type="paragraph" w:customStyle="1" w:styleId="55">
    <w:name w:val="正文内文"/>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00" w:lineRule="exact"/>
      <w:ind w:firstLine="200"/>
      <w:jc w:val="both"/>
    </w:pPr>
    <w:rPr>
      <w:rFonts w:ascii="Arial" w:hAnsi="Arial" w:eastAsia="仿宋_GB2312" w:cs="Arial"/>
      <w:kern w:val="1"/>
      <w:sz w:val="30"/>
      <w:szCs w:val="21"/>
      <w:lang w:val="en-US" w:eastAsia="zh-CN" w:bidi="ar-SA"/>
    </w:rPr>
  </w:style>
  <w:style w:type="paragraph" w:customStyle="1" w:styleId="56">
    <w:name w:val="缺省文本"/>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2"/>
      <w:szCs w:val="24"/>
      <w:lang w:val="en-US" w:eastAsia="zh-CN" w:bidi="ar-SA"/>
    </w:rPr>
  </w:style>
  <w:style w:type="paragraph" w:customStyle="1" w:styleId="57">
    <w:name w:val="Default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4"/>
      <w:szCs w:val="24"/>
      <w:lang w:val="en-US" w:eastAsia="zh-CN" w:bidi="ar-SA"/>
    </w:rPr>
  </w:style>
  <w:style w:type="paragraph" w:customStyle="1" w:styleId="58">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firstLine="630"/>
      <w:jc w:val="both"/>
    </w:pPr>
    <w:rPr>
      <w:rFonts w:ascii="Times New Roman" w:hAnsi="Times New Roman" w:eastAsia="楷体_GB2312" w:cs="Times New Roman"/>
      <w:kern w:val="1"/>
      <w:sz w:val="30"/>
      <w:szCs w:val="22"/>
      <w:lang w:val="en-US" w:eastAsia="zh-CN" w:bidi="ar-SA"/>
    </w:rPr>
  </w:style>
  <w:style w:type="paragraph" w:customStyle="1" w:styleId="59">
    <w:name w:val="样式 样式 样式 左侧:  2 字符1 + 首行缩进:  2 字符1 + 首行缩进:  2 字符"/>
    <w:qFormat/>
    <w:uiPriority w:val="0"/>
    <w:pPr>
      <w:pBdr>
        <w:top w:val="none" w:color="000000" w:sz="0" w:space="0"/>
        <w:left w:val="none" w:color="000000" w:sz="0" w:space="0"/>
        <w:bottom w:val="none" w:color="000000" w:sz="0" w:space="0"/>
        <w:right w:val="none" w:color="000000" w:sz="0" w:space="0"/>
        <w:between w:val="none" w:color="000000" w:sz="0" w:space="0"/>
      </w:pBdr>
      <w:shd w:val="solid" w:color="auto" w:fill="auto"/>
      <w:spacing w:before="60" w:after="120" w:line="440" w:lineRule="atLeast"/>
      <w:ind w:firstLine="480"/>
      <w:jc w:val="both"/>
    </w:pPr>
    <w:rPr>
      <w:rFonts w:ascii="Times New Roman" w:hAnsi="Times New Roman" w:eastAsia="宋体" w:cs="Times New Roman"/>
      <w:kern w:val="1"/>
      <w:sz w:val="24"/>
      <w:szCs w:val="22"/>
      <w:lang w:val="en-US" w:eastAsia="zh-CN" w:bidi="ar-SA"/>
    </w:rPr>
  </w:style>
  <w:style w:type="character" w:customStyle="1" w:styleId="60">
    <w:name w:val="overfont"/>
    <w:qFormat/>
    <w:uiPriority w:val="0"/>
  </w:style>
  <w:style w:type="paragraph" w:customStyle="1" w:styleId="61">
    <w:name w:val="样式1"/>
    <w:qFormat/>
    <w:uiPriority w:val="0"/>
    <w:pPr>
      <w:tabs>
        <w:tab w:val="center" w:pos="4153"/>
        <w:tab w:val="right" w:pos="8306"/>
      </w:tabs>
      <w:spacing w:after="160" w:line="259" w:lineRule="auto"/>
    </w:pPr>
    <w:rPr>
      <w:rFonts w:ascii="宋体" w:hAnsi="宋体" w:eastAsia="宋体" w:cs="Times New Roman"/>
      <w:sz w:val="22"/>
      <w:szCs w:val="22"/>
      <w:lang w:val="zh-CN" w:eastAsia="zh-CN" w:bidi="ar-SA"/>
    </w:rPr>
  </w:style>
  <w:style w:type="paragraph" w:customStyle="1" w:styleId="62">
    <w:name w:val="样式2"/>
    <w:basedOn w:val="13"/>
    <w:qFormat/>
    <w:uiPriority w:val="0"/>
  </w:style>
  <w:style w:type="paragraph" w:customStyle="1" w:styleId="63">
    <w:name w:val="样式3"/>
    <w:basedOn w:val="35"/>
    <w:qFormat/>
    <w:uiPriority w:val="0"/>
    <w:pPr>
      <w:ind w:left="0" w:leftChars="0"/>
    </w:pPr>
  </w:style>
  <w:style w:type="character" w:customStyle="1" w:styleId="64">
    <w:name w:val="font51"/>
    <w:basedOn w:val="42"/>
    <w:qFormat/>
    <w:uiPriority w:val="0"/>
    <w:rPr>
      <w:rFonts w:hint="eastAsia" w:ascii="微软雅黑" w:hAnsi="微软雅黑" w:eastAsia="微软雅黑" w:cs="微软雅黑"/>
      <w:b/>
      <w:color w:val="000000"/>
      <w:sz w:val="18"/>
      <w:szCs w:val="18"/>
      <w:u w:val="none"/>
    </w:rPr>
  </w:style>
  <w:style w:type="character" w:customStyle="1" w:styleId="65">
    <w:name w:val="font41"/>
    <w:basedOn w:val="42"/>
    <w:qFormat/>
    <w:uiPriority w:val="0"/>
    <w:rPr>
      <w:rFonts w:hint="eastAsia" w:ascii="微软雅黑" w:hAnsi="微软雅黑" w:eastAsia="微软雅黑" w:cs="微软雅黑"/>
      <w:color w:val="000000"/>
      <w:sz w:val="18"/>
      <w:szCs w:val="18"/>
      <w:u w:val="none"/>
    </w:rPr>
  </w:style>
  <w:style w:type="character" w:customStyle="1" w:styleId="66">
    <w:name w:val="标题 3 Char"/>
    <w:basedOn w:val="42"/>
    <w:link w:val="2"/>
    <w:qFormat/>
    <w:uiPriority w:val="9"/>
    <w:rPr>
      <w:rFonts w:asciiTheme="majorHAnsi" w:hAnsiTheme="majorHAnsi" w:eastAsiaTheme="majorEastAsia" w:cstheme="majorBidi"/>
      <w:color w:val="254061" w:themeColor="accent1" w:themeShade="80"/>
      <w:sz w:val="24"/>
      <w:szCs w:val="24"/>
    </w:rPr>
  </w:style>
  <w:style w:type="character" w:customStyle="1" w:styleId="67">
    <w:name w:val="批注文字 Char"/>
    <w:basedOn w:val="42"/>
    <w:link w:val="15"/>
    <w:qFormat/>
    <w:uiPriority w:val="99"/>
    <w:rPr>
      <w:rFonts w:eastAsia="仿宋_GB2312"/>
      <w:kern w:val="2"/>
      <w:sz w:val="21"/>
      <w:szCs w:val="24"/>
      <w:shd w:val="solid" w:color="auto" w:fill="auto"/>
      <w:lang w:val="en-US"/>
    </w:rPr>
  </w:style>
  <w:style w:type="character" w:customStyle="1" w:styleId="68">
    <w:name w:val="批注主题 Char"/>
    <w:basedOn w:val="67"/>
    <w:link w:val="38"/>
    <w:semiHidden/>
    <w:qFormat/>
    <w:uiPriority w:val="99"/>
    <w:rPr>
      <w:rFonts w:eastAsia="仿宋_GB2312"/>
      <w:b/>
      <w:bCs/>
      <w:kern w:val="1"/>
      <w:sz w:val="21"/>
      <w:szCs w:val="24"/>
      <w:shd w:val="solid" w:color="auto" w:fill="auto"/>
      <w:lang w:val="en-US"/>
    </w:rPr>
  </w:style>
  <w:style w:type="character" w:customStyle="1" w:styleId="69">
    <w:name w:val="批注框文本 Char"/>
    <w:basedOn w:val="42"/>
    <w:link w:val="25"/>
    <w:semiHidden/>
    <w:qFormat/>
    <w:uiPriority w:val="99"/>
    <w:rPr>
      <w:rFonts w:eastAsia="仿宋_GB2312"/>
      <w:kern w:val="1"/>
      <w:sz w:val="18"/>
      <w:szCs w:val="18"/>
      <w:shd w:val="solid" w:color="auto" w:fill="auto"/>
      <w:lang w:val="en-US"/>
    </w:rPr>
  </w:style>
  <w:style w:type="character" w:customStyle="1" w:styleId="70">
    <w:name w:val="标题 1 Char"/>
    <w:basedOn w:val="42"/>
    <w:link w:val="3"/>
    <w:qFormat/>
    <w:uiPriority w:val="9"/>
    <w:rPr>
      <w:rFonts w:asciiTheme="majorHAnsi" w:hAnsiTheme="majorHAnsi" w:eastAsiaTheme="majorEastAsia" w:cstheme="majorBidi"/>
      <w:color w:val="376092" w:themeColor="accent1" w:themeShade="BF"/>
      <w:sz w:val="32"/>
      <w:szCs w:val="32"/>
    </w:rPr>
  </w:style>
  <w:style w:type="character" w:customStyle="1" w:styleId="71">
    <w:name w:val="标题 2 Char"/>
    <w:basedOn w:val="42"/>
    <w:link w:val="4"/>
    <w:qFormat/>
    <w:uiPriority w:val="9"/>
    <w:rPr>
      <w:rFonts w:asciiTheme="majorHAnsi" w:hAnsiTheme="majorHAnsi" w:eastAsiaTheme="majorEastAsia" w:cstheme="majorBidi"/>
      <w:color w:val="376092" w:themeColor="accent1" w:themeShade="BF"/>
      <w:sz w:val="28"/>
      <w:szCs w:val="28"/>
    </w:rPr>
  </w:style>
  <w:style w:type="character" w:customStyle="1" w:styleId="72">
    <w:name w:val="标题 4 Char"/>
    <w:basedOn w:val="42"/>
    <w:link w:val="5"/>
    <w:qFormat/>
    <w:uiPriority w:val="9"/>
    <w:rPr>
      <w:rFonts w:asciiTheme="majorHAnsi" w:hAnsiTheme="majorHAnsi" w:eastAsiaTheme="majorEastAsia" w:cstheme="majorBidi"/>
      <w:i/>
      <w:iCs/>
      <w:color w:val="376092" w:themeColor="accent1" w:themeShade="BF"/>
    </w:rPr>
  </w:style>
  <w:style w:type="character" w:customStyle="1" w:styleId="73">
    <w:name w:val="标题 5 Char"/>
    <w:basedOn w:val="42"/>
    <w:link w:val="6"/>
    <w:semiHidden/>
    <w:qFormat/>
    <w:uiPriority w:val="9"/>
    <w:rPr>
      <w:rFonts w:asciiTheme="majorHAnsi" w:hAnsiTheme="majorHAnsi" w:eastAsiaTheme="majorEastAsia" w:cstheme="majorBidi"/>
      <w:color w:val="376092" w:themeColor="accent1" w:themeShade="BF"/>
    </w:rPr>
  </w:style>
  <w:style w:type="character" w:customStyle="1" w:styleId="74">
    <w:name w:val="标题 6 Char"/>
    <w:basedOn w:val="42"/>
    <w:link w:val="7"/>
    <w:semiHidden/>
    <w:qFormat/>
    <w:uiPriority w:val="9"/>
    <w:rPr>
      <w:rFonts w:asciiTheme="majorHAnsi" w:hAnsiTheme="majorHAnsi" w:eastAsiaTheme="majorEastAsia" w:cstheme="majorBidi"/>
      <w:color w:val="254061" w:themeColor="accent1" w:themeShade="80"/>
    </w:rPr>
  </w:style>
  <w:style w:type="character" w:customStyle="1" w:styleId="75">
    <w:name w:val="标题 7 Char"/>
    <w:basedOn w:val="42"/>
    <w:link w:val="8"/>
    <w:semiHidden/>
    <w:qFormat/>
    <w:uiPriority w:val="9"/>
    <w:rPr>
      <w:rFonts w:asciiTheme="majorHAnsi" w:hAnsiTheme="majorHAnsi" w:eastAsiaTheme="majorEastAsia" w:cstheme="majorBidi"/>
      <w:i/>
      <w:iCs/>
      <w:color w:val="254061" w:themeColor="accent1" w:themeShade="80"/>
    </w:rPr>
  </w:style>
  <w:style w:type="character" w:customStyle="1" w:styleId="76">
    <w:name w:val="标题 8 Char"/>
    <w:basedOn w:val="42"/>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77">
    <w:name w:val="标题 9 Char"/>
    <w:basedOn w:val="42"/>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78">
    <w:name w:val="标题 Char"/>
    <w:basedOn w:val="42"/>
    <w:link w:val="37"/>
    <w:qFormat/>
    <w:uiPriority w:val="10"/>
    <w:rPr>
      <w:rFonts w:asciiTheme="majorHAnsi" w:hAnsiTheme="majorHAnsi" w:eastAsiaTheme="majorEastAsia" w:cstheme="majorBidi"/>
      <w:spacing w:val="-10"/>
      <w:sz w:val="56"/>
      <w:szCs w:val="56"/>
    </w:rPr>
  </w:style>
  <w:style w:type="character" w:customStyle="1" w:styleId="79">
    <w:name w:val="副标题 Char"/>
    <w:basedOn w:val="42"/>
    <w:link w:val="29"/>
    <w:qFormat/>
    <w:uiPriority w:val="11"/>
    <w:rPr>
      <w:color w:val="595959" w:themeColor="text1" w:themeTint="A6"/>
      <w:spacing w:val="15"/>
      <w14:textFill>
        <w14:solidFill>
          <w14:schemeClr w14:val="tx1">
            <w14:lumMod w14:val="65000"/>
            <w14:lumOff w14:val="35000"/>
          </w14:schemeClr>
        </w14:solidFill>
      </w14:textFill>
    </w:rPr>
  </w:style>
  <w:style w:type="paragraph" w:styleId="80">
    <w:name w:val="No Spacing"/>
    <w:qFormat/>
    <w:uiPriority w:val="1"/>
    <w:rPr>
      <w:rFonts w:asciiTheme="minorHAnsi" w:hAnsiTheme="minorHAnsi" w:eastAsiaTheme="minorEastAsia" w:cstheme="minorBidi"/>
      <w:sz w:val="22"/>
      <w:szCs w:val="22"/>
      <w:lang w:val="en-US" w:eastAsia="zh-CN" w:bidi="ar-SA"/>
    </w:rPr>
  </w:style>
  <w:style w:type="paragraph" w:styleId="81">
    <w:name w:val="Quote"/>
    <w:basedOn w:val="1"/>
    <w:next w:val="1"/>
    <w:link w:val="82"/>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82">
    <w:name w:val="引用 Char"/>
    <w:basedOn w:val="42"/>
    <w:link w:val="81"/>
    <w:qFormat/>
    <w:uiPriority w:val="29"/>
    <w:rPr>
      <w:i/>
      <w:iCs/>
      <w:color w:val="404040" w:themeColor="text1" w:themeTint="BF"/>
      <w14:textFill>
        <w14:solidFill>
          <w14:schemeClr w14:val="tx1">
            <w14:lumMod w14:val="75000"/>
            <w14:lumOff w14:val="25000"/>
          </w14:schemeClr>
        </w14:solidFill>
      </w14:textFill>
    </w:rPr>
  </w:style>
  <w:style w:type="paragraph" w:styleId="83">
    <w:name w:val="Intense Quote"/>
    <w:basedOn w:val="1"/>
    <w:next w:val="1"/>
    <w:link w:val="84"/>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84">
    <w:name w:val="明显引用 Char"/>
    <w:basedOn w:val="42"/>
    <w:link w:val="83"/>
    <w:qFormat/>
    <w:uiPriority w:val="30"/>
    <w:rPr>
      <w:i/>
      <w:iCs/>
      <w:color w:val="4F81BD" w:themeColor="accent1"/>
      <w14:textFill>
        <w14:solidFill>
          <w14:schemeClr w14:val="accent1"/>
        </w14:solidFill>
      </w14:textFill>
    </w:rPr>
  </w:style>
  <w:style w:type="character" w:customStyle="1" w:styleId="85">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86">
    <w:name w:val="明显强调1"/>
    <w:basedOn w:val="42"/>
    <w:qFormat/>
    <w:uiPriority w:val="21"/>
    <w:rPr>
      <w:i/>
      <w:iCs/>
      <w:color w:val="4F81BD" w:themeColor="accent1"/>
      <w14:textFill>
        <w14:solidFill>
          <w14:schemeClr w14:val="accent1"/>
        </w14:solidFill>
      </w14:textFill>
    </w:rPr>
  </w:style>
  <w:style w:type="character" w:customStyle="1" w:styleId="87">
    <w:name w:val="不明显参考1"/>
    <w:basedOn w:val="42"/>
    <w:qFormat/>
    <w:uiPriority w:val="31"/>
    <w:rPr>
      <w:smallCaps/>
      <w:color w:val="404040" w:themeColor="text1" w:themeTint="BF"/>
      <w14:textFill>
        <w14:solidFill>
          <w14:schemeClr w14:val="tx1">
            <w14:lumMod w14:val="75000"/>
            <w14:lumOff w14:val="25000"/>
          </w14:schemeClr>
        </w14:solidFill>
      </w14:textFill>
    </w:rPr>
  </w:style>
  <w:style w:type="character" w:customStyle="1" w:styleId="88">
    <w:name w:val="明显参考1"/>
    <w:basedOn w:val="42"/>
    <w:qFormat/>
    <w:uiPriority w:val="32"/>
    <w:rPr>
      <w:b/>
      <w:bCs/>
      <w:smallCaps/>
      <w:color w:val="4F81BD" w:themeColor="accent1"/>
      <w:spacing w:val="5"/>
      <w14:textFill>
        <w14:solidFill>
          <w14:schemeClr w14:val="accent1"/>
        </w14:solidFill>
      </w14:textFill>
    </w:rPr>
  </w:style>
  <w:style w:type="character" w:customStyle="1" w:styleId="89">
    <w:name w:val="书籍标题1"/>
    <w:basedOn w:val="42"/>
    <w:qFormat/>
    <w:uiPriority w:val="33"/>
    <w:rPr>
      <w:b/>
      <w:bCs/>
      <w:i/>
      <w:iCs/>
      <w:spacing w:val="5"/>
    </w:rPr>
  </w:style>
  <w:style w:type="paragraph" w:customStyle="1" w:styleId="90">
    <w:name w:val="TOC 标题1"/>
    <w:basedOn w:val="3"/>
    <w:next w:val="1"/>
    <w:semiHidden/>
    <w:unhideWhenUsed/>
    <w:qFormat/>
    <w:uiPriority w:val="39"/>
    <w:pPr>
      <w:outlineLvl w:val="9"/>
    </w:pPr>
  </w:style>
  <w:style w:type="character" w:customStyle="1" w:styleId="91">
    <w:name w:val="font71"/>
    <w:basedOn w:val="42"/>
    <w:qFormat/>
    <w:uiPriority w:val="0"/>
    <w:rPr>
      <w:rFonts w:hint="eastAsia" w:ascii="宋体" w:hAnsi="宋体" w:eastAsia="宋体" w:cs="宋体"/>
      <w:color w:val="000000"/>
      <w:sz w:val="18"/>
      <w:szCs w:val="18"/>
      <w:u w:val="none"/>
    </w:rPr>
  </w:style>
  <w:style w:type="character" w:customStyle="1" w:styleId="92">
    <w:name w:val="font01"/>
    <w:basedOn w:val="42"/>
    <w:qFormat/>
    <w:uiPriority w:val="0"/>
    <w:rPr>
      <w:rFonts w:hint="eastAsia" w:ascii="宋体" w:hAnsi="宋体" w:eastAsia="宋体" w:cs="宋体"/>
      <w:color w:val="000000"/>
      <w:sz w:val="18"/>
      <w:szCs w:val="18"/>
      <w:u w:val="none"/>
      <w:vertAlign w:val="superscript"/>
    </w:rPr>
  </w:style>
  <w:style w:type="paragraph" w:customStyle="1" w:styleId="93">
    <w:name w:val="Table Paragraph"/>
    <w:basedOn w:val="1"/>
    <w:qFormat/>
    <w:uiPriority w:val="0"/>
  </w:style>
  <w:style w:type="paragraph" w:customStyle="1" w:styleId="94">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95">
    <w:name w:val="Normal_11"/>
    <w:qFormat/>
    <w:uiPriority w:val="0"/>
    <w:rPr>
      <w:rFonts w:ascii="黑体" w:hAnsi="黑体" w:eastAsia="黑体" w:cs="Times New Roman"/>
      <w:b/>
      <w:sz w:val="32"/>
      <w:szCs w:val="24"/>
      <w:lang w:val="en-US" w:eastAsia="zh-CN" w:bidi="ar-SA"/>
    </w:rPr>
  </w:style>
  <w:style w:type="paragraph" w:customStyle="1" w:styleId="96">
    <w:name w:val="正文文本缩进_1"/>
    <w:basedOn w:val="97"/>
    <w:qFormat/>
    <w:uiPriority w:val="0"/>
    <w:pPr>
      <w:spacing w:line="500" w:lineRule="exact"/>
      <w:ind w:left="1588" w:leftChars="832" w:firstLine="433" w:firstLineChars="196"/>
    </w:pPr>
    <w:rPr>
      <w:kern w:val="0"/>
      <w:sz w:val="24"/>
    </w:rPr>
  </w:style>
  <w:style w:type="paragraph" w:customStyle="1" w:styleId="9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8">
    <w:name w:val="List Paragraph"/>
    <w:basedOn w:val="1"/>
    <w:qFormat/>
    <w:uiPriority w:val="34"/>
    <w:pPr>
      <w:ind w:firstLine="420" w:firstLineChars="200"/>
    </w:pPr>
  </w:style>
  <w:style w:type="paragraph" w:customStyle="1" w:styleId="99">
    <w:name w:val="_Style 8"/>
    <w:basedOn w:val="1"/>
    <w:next w:val="98"/>
    <w:qFormat/>
    <w:uiPriority w:val="34"/>
    <w:pPr>
      <w:ind w:firstLine="420" w:firstLineChars="200"/>
    </w:pPr>
    <w:rPr>
      <w:rFonts w:ascii="Calibri" w:hAnsi="Calibri" w:eastAsia="宋体" w:cs="Times New Roman"/>
    </w:rPr>
  </w:style>
  <w:style w:type="character" w:customStyle="1" w:styleId="100">
    <w:name w:val="正文文本 Char"/>
    <w:basedOn w:val="42"/>
    <w:link w:val="17"/>
    <w:qFormat/>
    <w:uiPriority w:val="0"/>
    <w:rPr>
      <w:rFonts w:hint="eastAsia" w:ascii="宋体" w:hAnsi="宋体" w:eastAsia="宋体" w:cs="宋体"/>
      <w:kern w:val="2"/>
      <w:sz w:val="24"/>
      <w:szCs w:val="24"/>
      <w:lang w:val="zh-CN" w:bidi="zh-CN"/>
    </w:rPr>
  </w:style>
  <w:style w:type="character" w:customStyle="1" w:styleId="101">
    <w:name w:val="正文文本缩进 Char"/>
    <w:basedOn w:val="42"/>
    <w:link w:val="18"/>
    <w:qFormat/>
    <w:uiPriority w:val="0"/>
    <w:rPr>
      <w:kern w:val="2"/>
      <w:sz w:val="21"/>
      <w:szCs w:val="24"/>
    </w:rPr>
  </w:style>
  <w:style w:type="paragraph" w:customStyle="1" w:styleId="10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103">
    <w:name w:val="正文首行缩进 2 Char"/>
    <w:basedOn w:val="101"/>
    <w:link w:val="19"/>
    <w:qFormat/>
    <w:uiPriority w:val="0"/>
    <w:rPr>
      <w:kern w:val="2"/>
      <w:sz w:val="21"/>
      <w:szCs w:val="24"/>
    </w:rPr>
  </w:style>
  <w:style w:type="paragraph" w:customStyle="1" w:styleId="104">
    <w:name w:val="p1"/>
    <w:basedOn w:val="1"/>
    <w:qFormat/>
    <w:uiPriority w:val="0"/>
    <w:pPr>
      <w:keepNext w:val="0"/>
      <w:keepLines w:val="0"/>
      <w:widowControl w:val="0"/>
      <w:suppressLineNumbers w:val="0"/>
      <w:spacing w:before="0" w:beforeAutospacing="0" w:after="0" w:afterAutospacing="0"/>
      <w:ind w:left="0" w:right="0"/>
      <w:jc w:val="left"/>
    </w:pPr>
    <w:rPr>
      <w:rFonts w:hint="default" w:ascii=".pingfang sc" w:hAnsi=".pingfang sc" w:eastAsia=".pingfang sc" w:cs="Times New Roman"/>
      <w:kern w:val="0"/>
      <w:sz w:val="24"/>
      <w:szCs w:val="24"/>
      <w:lang w:val="en-US" w:eastAsia="zh-CN" w:bidi="ar"/>
    </w:rPr>
  </w:style>
  <w:style w:type="character" w:customStyle="1" w:styleId="105">
    <w:name w:val="s1"/>
    <w:basedOn w:val="42"/>
    <w:qFormat/>
    <w:uiPriority w:val="0"/>
    <w:rPr>
      <w:rFonts w:hint="default" w:ascii="Helvetica Neue" w:hAnsi="Helvetica Neue" w:eastAsia="Helvetica Neue" w:cs="Helvetica Neue"/>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Times New Roman"/>
      </a:majorFont>
      <a:minorFont>
        <a:latin typeface="Times New Roman"/>
        <a:ea typeface="仿宋_GB2312"/>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2A93B-9358-4232-BBA6-343343578B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2956</Words>
  <Characters>16851</Characters>
  <Lines>140</Lines>
  <Paragraphs>39</Paragraphs>
  <TotalTime>1</TotalTime>
  <ScaleCrop>false</ScaleCrop>
  <LinksUpToDate>false</LinksUpToDate>
  <CharactersWithSpaces>19768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2020-04-05T05:23:00Z</dcterms:created>
  <dc:creator>Administrator</dc:creator>
  <cp:lastModifiedBy>因为我是顾娜尔呀</cp:lastModifiedBy>
  <cp:lastPrinted>2020-07-08T02:03:00Z</cp:lastPrinted>
  <dcterms:modified xsi:type="dcterms:W3CDTF">2021-10-12T11:52:13Z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89D819A29D144401B167E5B42C6D1EEC</vt:lpwstr>
  </property>
</Properties>
</file>