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52"/>
        </w:rPr>
      </w:pPr>
    </w:p>
    <w:p>
      <w:pPr>
        <w:spacing w:line="360" w:lineRule="auto"/>
        <w:jc w:val="center"/>
        <w:rPr>
          <w:sz w:val="24"/>
        </w:rPr>
      </w:pPr>
      <w:r>
        <w:rPr>
          <w:rFonts w:eastAsia="Times New Roman"/>
          <w:sz w:val="24"/>
        </w:rPr>
        <w:drawing>
          <wp:inline distT="0" distB="0" distL="0" distR="0">
            <wp:extent cx="5276850" cy="2381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5276850" cy="2381250"/>
                    </a:xfrm>
                    <a:prstGeom prst="rect">
                      <a:avLst/>
                    </a:prstGeom>
                    <a:noFill/>
                    <a:ln w="9525">
                      <a:noFill/>
                      <a:miter lim="800000"/>
                      <a:headEnd/>
                      <a:tailEnd/>
                    </a:ln>
                  </pic:spPr>
                </pic:pic>
              </a:graphicData>
            </a:graphic>
          </wp:inline>
        </w:drawing>
      </w:r>
    </w:p>
    <w:p>
      <w:pPr>
        <w:tabs>
          <w:tab w:val="left" w:pos="1960"/>
          <w:tab w:val="left" w:pos="3480"/>
          <w:tab w:val="left" w:pos="4980"/>
        </w:tabs>
        <w:spacing w:line="360" w:lineRule="auto"/>
        <w:jc w:val="center"/>
        <w:rPr>
          <w:rFonts w:ascii="宋体" w:hAnsi="宋体"/>
          <w:b/>
          <w:sz w:val="52"/>
          <w:szCs w:val="52"/>
        </w:rPr>
      </w:pPr>
      <w:r>
        <w:rPr>
          <w:rFonts w:hint="eastAsia" w:ascii="宋体" w:hAnsi="宋体"/>
          <w:b/>
          <w:sz w:val="52"/>
          <w:szCs w:val="52"/>
        </w:rPr>
        <w:t>新疆农业职业技术学院网络优化与改造升级建设项目（二次）</w:t>
      </w:r>
      <w:r>
        <w:rPr>
          <w:rFonts w:hint="eastAsia" w:ascii="宋体" w:hAnsi="宋体"/>
          <w:b/>
          <w:sz w:val="48"/>
          <w:szCs w:val="48"/>
        </w:rPr>
        <w:t xml:space="preserve">  </w:t>
      </w:r>
    </w:p>
    <w:p>
      <w:pPr>
        <w:tabs>
          <w:tab w:val="left" w:pos="1960"/>
          <w:tab w:val="left" w:pos="3480"/>
          <w:tab w:val="left" w:pos="4980"/>
        </w:tabs>
        <w:spacing w:line="360" w:lineRule="auto"/>
        <w:jc w:val="center"/>
        <w:rPr>
          <w:rFonts w:ascii="宋体" w:hAnsi="宋体"/>
          <w:b/>
          <w:sz w:val="44"/>
          <w:szCs w:val="44"/>
        </w:rPr>
      </w:pPr>
    </w:p>
    <w:p>
      <w:pPr>
        <w:tabs>
          <w:tab w:val="left" w:pos="1960"/>
          <w:tab w:val="left" w:pos="3480"/>
          <w:tab w:val="left" w:pos="4980"/>
        </w:tabs>
        <w:spacing w:line="360" w:lineRule="auto"/>
        <w:jc w:val="center"/>
        <w:rPr>
          <w:rFonts w:ascii="宋体" w:hAnsi="宋体"/>
          <w:b/>
          <w:sz w:val="72"/>
          <w:szCs w:val="72"/>
        </w:rPr>
      </w:pPr>
      <w:r>
        <w:rPr>
          <w:rFonts w:hint="eastAsia" w:ascii="宋体" w:hAnsi="宋体"/>
          <w:b/>
          <w:sz w:val="52"/>
          <w:szCs w:val="52"/>
        </w:rPr>
        <w:t>招标</w:t>
      </w:r>
      <w:r>
        <w:rPr>
          <w:rFonts w:ascii="宋体" w:hAnsi="宋体"/>
          <w:b/>
          <w:sz w:val="52"/>
          <w:szCs w:val="52"/>
        </w:rPr>
        <w:t>文件</w:t>
      </w:r>
    </w:p>
    <w:p>
      <w:pPr>
        <w:spacing w:line="360" w:lineRule="auto"/>
        <w:jc w:val="center"/>
        <w:rPr>
          <w:b/>
          <w:sz w:val="24"/>
        </w:rPr>
      </w:pPr>
      <w:r>
        <w:rPr>
          <w:rFonts w:ascii="宋体" w:hAnsi="宋体"/>
          <w:b/>
          <w:sz w:val="28"/>
          <w:szCs w:val="28"/>
        </w:rPr>
        <w:t>项目编号：WTYZSZC21-0</w:t>
      </w:r>
      <w:r>
        <w:rPr>
          <w:rFonts w:hint="eastAsia" w:ascii="宋体" w:hAnsi="宋体"/>
          <w:b/>
          <w:sz w:val="28"/>
          <w:szCs w:val="28"/>
        </w:rPr>
        <w:t>61-1</w:t>
      </w:r>
    </w:p>
    <w:p>
      <w:pPr>
        <w:pStyle w:val="13"/>
        <w:spacing w:line="360" w:lineRule="auto"/>
        <w:rPr>
          <w:b/>
          <w:sz w:val="24"/>
        </w:rPr>
      </w:pPr>
    </w:p>
    <w:p>
      <w:pPr>
        <w:spacing w:line="360" w:lineRule="auto"/>
      </w:pPr>
    </w:p>
    <w:p>
      <w:pPr>
        <w:pStyle w:val="13"/>
        <w:spacing w:line="360" w:lineRule="auto"/>
        <w:ind w:left="0" w:leftChars="0"/>
      </w:pPr>
    </w:p>
    <w:p>
      <w:pPr>
        <w:spacing w:line="360" w:lineRule="auto"/>
        <w:ind w:firstLine="1687" w:firstLineChars="600"/>
        <w:rPr>
          <w:rFonts w:ascii="宋体" w:hAnsi="宋体" w:cs="宋体"/>
          <w:b/>
          <w:sz w:val="28"/>
          <w:szCs w:val="28"/>
        </w:rPr>
      </w:pPr>
      <w:r>
        <w:rPr>
          <w:rFonts w:hint="eastAsia" w:ascii="宋体" w:hAnsi="宋体" w:cs="宋体"/>
          <w:b/>
          <w:sz w:val="28"/>
          <w:szCs w:val="28"/>
        </w:rPr>
        <w:t>采购人：新疆农业职业技术学院</w:t>
      </w:r>
    </w:p>
    <w:p>
      <w:pPr>
        <w:spacing w:line="360" w:lineRule="auto"/>
        <w:ind w:firstLine="1687" w:firstLineChars="600"/>
        <w:rPr>
          <w:rFonts w:ascii="宋体" w:hAnsi="宋体"/>
          <w:b/>
          <w:sz w:val="28"/>
          <w:szCs w:val="28"/>
        </w:rPr>
      </w:pPr>
      <w:r>
        <w:rPr>
          <w:rFonts w:ascii="宋体" w:hAnsi="宋体"/>
          <w:b/>
          <w:sz w:val="28"/>
          <w:szCs w:val="28"/>
        </w:rPr>
        <w:t>采购代理机构：</w:t>
      </w:r>
      <w:r>
        <w:rPr>
          <w:rFonts w:hint="eastAsia" w:ascii="宋体" w:hAnsi="宋体"/>
          <w:b/>
          <w:sz w:val="28"/>
          <w:szCs w:val="28"/>
        </w:rPr>
        <w:t>新疆天壹中山工程咨询有限公司</w:t>
      </w:r>
    </w:p>
    <w:p>
      <w:pPr>
        <w:spacing w:line="360" w:lineRule="auto"/>
        <w:ind w:firstLine="1687" w:firstLineChars="600"/>
        <w:rPr>
          <w:rFonts w:ascii="宋体" w:hAnsi="宋体"/>
          <w:b/>
          <w:sz w:val="28"/>
          <w:szCs w:val="28"/>
        </w:rPr>
      </w:pPr>
      <w:r>
        <w:rPr>
          <w:rFonts w:ascii="宋体" w:hAnsi="宋体"/>
          <w:b/>
          <w:sz w:val="28"/>
          <w:szCs w:val="28"/>
        </w:rPr>
        <w:t>联系人：</w:t>
      </w:r>
      <w:r>
        <w:rPr>
          <w:rFonts w:hint="eastAsia" w:ascii="宋体" w:hAnsi="宋体"/>
          <w:b/>
          <w:sz w:val="28"/>
          <w:szCs w:val="28"/>
        </w:rPr>
        <w:t>马海苗</w:t>
      </w:r>
    </w:p>
    <w:p>
      <w:pPr>
        <w:spacing w:line="360" w:lineRule="auto"/>
        <w:ind w:firstLine="1687" w:firstLineChars="600"/>
        <w:rPr>
          <w:rFonts w:ascii="Arial" w:hAnsi="Arial" w:cs="Arial"/>
          <w:b/>
          <w:sz w:val="32"/>
          <w:szCs w:val="32"/>
        </w:rPr>
      </w:pPr>
      <w:r>
        <w:rPr>
          <w:rFonts w:ascii="宋体" w:hAnsi="宋体"/>
          <w:b/>
          <w:sz w:val="28"/>
          <w:szCs w:val="28"/>
        </w:rPr>
        <w:t>联系电话：</w:t>
      </w:r>
      <w:r>
        <w:rPr>
          <w:rFonts w:hint="eastAsia" w:ascii="宋体" w:hAnsi="宋体"/>
          <w:b/>
          <w:sz w:val="28"/>
          <w:szCs w:val="28"/>
        </w:rPr>
        <w:t>13379781605、</w:t>
      </w:r>
      <w:r>
        <w:rPr>
          <w:rFonts w:ascii="宋体" w:hAnsi="宋体"/>
          <w:b/>
          <w:sz w:val="28"/>
          <w:szCs w:val="28"/>
        </w:rPr>
        <w:t>18099189059</w:t>
      </w:r>
    </w:p>
    <w:p>
      <w:pPr>
        <w:spacing w:line="360" w:lineRule="auto"/>
        <w:ind w:firstLine="1928" w:firstLineChars="600"/>
        <w:rPr>
          <w:rFonts w:ascii="Arial" w:hAnsi="Arial" w:cs="Arial"/>
          <w:b/>
          <w:sz w:val="32"/>
          <w:szCs w:val="32"/>
        </w:rPr>
      </w:pPr>
    </w:p>
    <w:p>
      <w:pPr>
        <w:spacing w:line="360" w:lineRule="auto"/>
        <w:rPr>
          <w:rFonts w:ascii="Arial" w:hAnsi="Arial" w:cs="Arial" w:eastAsiaTheme="minorEastAsia"/>
          <w:sz w:val="24"/>
          <w:szCs w:val="22"/>
        </w:rPr>
      </w:pPr>
    </w:p>
    <w:p>
      <w:pPr>
        <w:spacing w:line="360" w:lineRule="auto"/>
        <w:jc w:val="center"/>
        <w:rPr>
          <w:rFonts w:ascii="Arial" w:hAnsi="Arial" w:cs="Arial"/>
          <w:b/>
          <w:sz w:val="32"/>
          <w:szCs w:val="32"/>
        </w:rPr>
      </w:pPr>
      <w:r>
        <w:rPr>
          <w:rFonts w:ascii="Arial" w:hAnsi="Arial" w:cs="Arial"/>
          <w:b/>
          <w:sz w:val="32"/>
          <w:szCs w:val="32"/>
        </w:rPr>
        <w:t>目录</w:t>
      </w:r>
    </w:p>
    <w:p>
      <w:pPr>
        <w:pStyle w:val="30"/>
        <w:tabs>
          <w:tab w:val="right" w:leader="dot" w:pos="9683"/>
        </w:tabs>
        <w:spacing w:line="360" w:lineRule="auto"/>
        <w:rPr>
          <w:rFonts w:asciiTheme="minorEastAsia" w:hAnsiTheme="minorEastAsia" w:eastAsiaTheme="minorEastAsia"/>
          <w:sz w:val="28"/>
          <w:szCs w:val="28"/>
        </w:rPr>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"_Toc462223629" </w:instrText>
      </w:r>
      <w:r>
        <w:fldChar w:fldCharType="separate"/>
      </w:r>
      <w:r>
        <w:rPr>
          <w:rStyle w:val="47"/>
          <w:rFonts w:hint="eastAsia" w:cs="Arial" w:asciiTheme="minorEastAsia" w:hAnsiTheme="minorEastAsia" w:eastAsiaTheme="minorEastAsia"/>
          <w:sz w:val="28"/>
          <w:szCs w:val="28"/>
        </w:rPr>
        <w:t>第一章  招标公告</w:t>
      </w:r>
      <w:r>
        <w:rPr>
          <w:rFonts w:asciiTheme="minorEastAsia" w:hAnsiTheme="minorEastAsia" w:eastAsiaTheme="minorEastAsia"/>
          <w:sz w:val="28"/>
          <w:szCs w:val="28"/>
        </w:rPr>
        <w:tab/>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fldChar w:fldCharType="end"/>
      </w:r>
    </w:p>
    <w:p>
      <w:pPr>
        <w:pStyle w:val="30"/>
        <w:tabs>
          <w:tab w:val="right" w:leader="dot" w:pos="9683"/>
        </w:tabs>
        <w:spacing w:line="360" w:lineRule="auto"/>
        <w:rPr>
          <w:rFonts w:asciiTheme="minorEastAsia" w:hAnsiTheme="minorEastAsia" w:eastAsiaTheme="minorEastAsia"/>
          <w:sz w:val="28"/>
          <w:szCs w:val="28"/>
        </w:rPr>
      </w:pPr>
      <w:r>
        <w:fldChar w:fldCharType="begin"/>
      </w:r>
      <w:r>
        <w:instrText xml:space="preserve"> HYPERLINK \l "_Toc462223630" </w:instrText>
      </w:r>
      <w:r>
        <w:fldChar w:fldCharType="separate"/>
      </w:r>
      <w:r>
        <w:rPr>
          <w:rStyle w:val="47"/>
          <w:rFonts w:hint="eastAsia" w:cs="Arial" w:asciiTheme="minorEastAsia" w:hAnsiTheme="minorEastAsia" w:eastAsiaTheme="minorEastAsia"/>
          <w:sz w:val="28"/>
          <w:szCs w:val="28"/>
        </w:rPr>
        <w:t>第二章  投标人须知</w:t>
      </w:r>
      <w:r>
        <w:rPr>
          <w:rFonts w:asciiTheme="minorEastAsia" w:hAnsiTheme="minorEastAsia" w:eastAsiaTheme="minorEastAsia"/>
          <w:sz w:val="28"/>
          <w:szCs w:val="28"/>
        </w:rPr>
        <w:tab/>
      </w:r>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rPr>
        <w:fldChar w:fldCharType="end"/>
      </w:r>
    </w:p>
    <w:p>
      <w:pPr>
        <w:pStyle w:val="30"/>
        <w:tabs>
          <w:tab w:val="right" w:leader="dot" w:pos="9683"/>
        </w:tabs>
        <w:spacing w:line="360" w:lineRule="auto"/>
        <w:rPr>
          <w:rFonts w:asciiTheme="minorEastAsia" w:hAnsiTheme="minorEastAsia" w:eastAsiaTheme="minorEastAsia"/>
          <w:sz w:val="28"/>
          <w:szCs w:val="28"/>
        </w:rPr>
      </w:pPr>
      <w:r>
        <w:fldChar w:fldCharType="begin"/>
      </w:r>
      <w:r>
        <w:instrText xml:space="preserve"> HYPERLINK \l "_Toc462223639" </w:instrText>
      </w:r>
      <w:r>
        <w:fldChar w:fldCharType="separate"/>
      </w:r>
      <w:r>
        <w:rPr>
          <w:rStyle w:val="47"/>
          <w:rFonts w:hint="eastAsia" w:cs="Arial" w:asciiTheme="minorEastAsia" w:hAnsiTheme="minorEastAsia" w:eastAsiaTheme="minorEastAsia"/>
          <w:sz w:val="28"/>
          <w:szCs w:val="28"/>
        </w:rPr>
        <w:t>第三章  项目需求</w:t>
      </w:r>
      <w:r>
        <w:rPr>
          <w:rFonts w:asciiTheme="minorEastAsia" w:hAnsiTheme="minorEastAsia" w:eastAsiaTheme="minorEastAsia"/>
          <w:sz w:val="28"/>
          <w:szCs w:val="28"/>
        </w:rPr>
        <w:tab/>
      </w:r>
      <w:r>
        <w:rPr>
          <w:rFonts w:hint="eastAsia" w:asciiTheme="minorEastAsia" w:hAnsiTheme="minorEastAsia" w:eastAsiaTheme="minorEastAsia"/>
          <w:sz w:val="28"/>
          <w:szCs w:val="28"/>
        </w:rPr>
        <w:t>27</w:t>
      </w:r>
      <w:r>
        <w:rPr>
          <w:rFonts w:hint="eastAsia" w:asciiTheme="minorEastAsia" w:hAnsiTheme="minorEastAsia" w:eastAsiaTheme="minorEastAsia"/>
          <w:sz w:val="28"/>
          <w:szCs w:val="28"/>
        </w:rPr>
        <w:fldChar w:fldCharType="end"/>
      </w:r>
    </w:p>
    <w:p>
      <w:pPr>
        <w:pStyle w:val="30"/>
        <w:tabs>
          <w:tab w:val="right" w:leader="dot" w:pos="9683"/>
        </w:tabs>
        <w:spacing w:line="360" w:lineRule="auto"/>
        <w:rPr>
          <w:rFonts w:asciiTheme="minorEastAsia" w:hAnsiTheme="minorEastAsia" w:eastAsiaTheme="minorEastAsia"/>
          <w:sz w:val="28"/>
          <w:szCs w:val="28"/>
        </w:rPr>
      </w:pPr>
      <w:r>
        <w:fldChar w:fldCharType="begin"/>
      </w:r>
      <w:r>
        <w:instrText xml:space="preserve"> HYPERLINK \l "_Toc462223647" </w:instrText>
      </w:r>
      <w:r>
        <w:fldChar w:fldCharType="separate"/>
      </w:r>
      <w:r>
        <w:rPr>
          <w:rStyle w:val="47"/>
          <w:rFonts w:hint="eastAsia" w:cs="Arial" w:asciiTheme="minorEastAsia" w:hAnsiTheme="minorEastAsia" w:eastAsiaTheme="minorEastAsia"/>
          <w:sz w:val="28"/>
          <w:szCs w:val="28"/>
        </w:rPr>
        <w:t>第四章  合同条款</w:t>
      </w:r>
      <w:r>
        <w:rPr>
          <w:rFonts w:asciiTheme="minorEastAsia" w:hAnsiTheme="minorEastAsia" w:eastAsiaTheme="minorEastAsia"/>
          <w:sz w:val="28"/>
          <w:szCs w:val="28"/>
        </w:rPr>
        <w:tab/>
      </w:r>
      <w:r>
        <w:rPr>
          <w:rFonts w:hint="eastAsia" w:asciiTheme="minorEastAsia" w:hAnsiTheme="minorEastAsia" w:eastAsiaTheme="minorEastAsia"/>
          <w:sz w:val="28"/>
          <w:szCs w:val="28"/>
        </w:rPr>
        <w:t>52</w:t>
      </w:r>
      <w:r>
        <w:rPr>
          <w:rFonts w:hint="eastAsia" w:asciiTheme="minorEastAsia" w:hAnsiTheme="minorEastAsia" w:eastAsiaTheme="minorEastAsia"/>
          <w:sz w:val="28"/>
          <w:szCs w:val="28"/>
        </w:rPr>
        <w:fldChar w:fldCharType="end"/>
      </w:r>
    </w:p>
    <w:p>
      <w:pPr>
        <w:pStyle w:val="30"/>
        <w:tabs>
          <w:tab w:val="right" w:leader="dot" w:pos="9683"/>
        </w:tabs>
        <w:spacing w:line="360" w:lineRule="auto"/>
        <w:rPr>
          <w:rFonts w:asciiTheme="minorEastAsia" w:hAnsiTheme="minorEastAsia" w:eastAsiaTheme="minorEastAsia"/>
          <w:sz w:val="28"/>
          <w:szCs w:val="28"/>
        </w:rPr>
      </w:pPr>
      <w:r>
        <w:fldChar w:fldCharType="begin"/>
      </w:r>
      <w:r>
        <w:instrText xml:space="preserve"> HYPERLINK \l "_Toc462223650" </w:instrText>
      </w:r>
      <w:r>
        <w:fldChar w:fldCharType="separate"/>
      </w:r>
      <w:r>
        <w:rPr>
          <w:rStyle w:val="47"/>
          <w:rFonts w:hint="eastAsia" w:cs="Arial" w:asciiTheme="minorEastAsia" w:hAnsiTheme="minorEastAsia" w:eastAsiaTheme="minorEastAsia"/>
          <w:sz w:val="28"/>
          <w:szCs w:val="28"/>
        </w:rPr>
        <w:t>第五章　附件</w:t>
      </w:r>
      <w:r>
        <w:rPr>
          <w:rFonts w:asciiTheme="minorEastAsia" w:hAnsiTheme="minorEastAsia" w:eastAsiaTheme="minorEastAsia"/>
          <w:sz w:val="28"/>
          <w:szCs w:val="28"/>
        </w:rPr>
        <w:tab/>
      </w:r>
      <w:r>
        <w:rPr>
          <w:rFonts w:hint="eastAsia" w:asciiTheme="minorEastAsia" w:hAnsiTheme="minorEastAsia" w:eastAsiaTheme="minorEastAsia"/>
          <w:sz w:val="28"/>
          <w:szCs w:val="28"/>
        </w:rPr>
        <w:t>56</w:t>
      </w:r>
      <w:r>
        <w:rPr>
          <w:rFonts w:hint="eastAsia" w:asciiTheme="minorEastAsia" w:hAnsiTheme="minorEastAsia" w:eastAsiaTheme="minorEastAsia"/>
          <w:sz w:val="28"/>
          <w:szCs w:val="28"/>
        </w:rPr>
        <w:fldChar w:fldCharType="end"/>
      </w:r>
    </w:p>
    <w:p>
      <w:pPr>
        <w:pStyle w:val="30"/>
        <w:tabs>
          <w:tab w:val="right" w:leader="dot" w:pos="8541"/>
        </w:tabs>
        <w:spacing w:line="360" w:lineRule="auto"/>
        <w:rPr>
          <w:rFonts w:ascii="Arial" w:hAnsi="Arial" w:cs="Arial"/>
          <w:b/>
          <w:sz w:val="24"/>
          <w:szCs w:val="24"/>
        </w:rPr>
      </w:pPr>
      <w:r>
        <w:rPr>
          <w:rFonts w:ascii="Arial" w:hAnsi="Arial" w:cs="Arial"/>
          <w:b/>
          <w:sz w:val="24"/>
          <w:szCs w:val="24"/>
        </w:rPr>
        <w:fldChar w:fldCharType="end"/>
      </w:r>
    </w:p>
    <w:p>
      <w:pPr>
        <w:pStyle w:val="30"/>
        <w:tabs>
          <w:tab w:val="right" w:leader="dot" w:pos="9683"/>
        </w:tabs>
        <w:spacing w:line="360" w:lineRule="auto"/>
        <w:rPr>
          <w:rFonts w:ascii="Arial" w:hAnsi="Arial" w:cs="Arial"/>
          <w:b/>
          <w:sz w:val="24"/>
          <w:szCs w:val="24"/>
        </w:rPr>
      </w:pPr>
      <w:r>
        <w:rPr>
          <w:rFonts w:ascii="Arial" w:hAnsi="Arial" w:cs="Arial"/>
          <w:b/>
          <w:sz w:val="24"/>
          <w:szCs w:val="24"/>
        </w:rPr>
        <w:fldChar w:fldCharType="end"/>
      </w:r>
    </w:p>
    <w:p>
      <w:pPr>
        <w:widowControl/>
        <w:spacing w:line="360" w:lineRule="auto"/>
        <w:jc w:val="center"/>
        <w:rPr>
          <w:rFonts w:ascii="Arial" w:hAnsi="Arial" w:cs="Arial"/>
          <w:b/>
          <w:sz w:val="32"/>
          <w:szCs w:val="32"/>
        </w:rPr>
      </w:pPr>
      <w:r>
        <w:rPr>
          <w:rFonts w:ascii="Arial" w:hAnsi="Arial" w:cs="Arial"/>
          <w:sz w:val="32"/>
          <w:szCs w:val="32"/>
        </w:rPr>
        <w:br w:type="page"/>
      </w:r>
      <w:bookmarkStart w:id="0" w:name="_Toc349573118"/>
      <w:bookmarkStart w:id="1" w:name="_Toc349637917"/>
      <w:bookmarkStart w:id="2" w:name="_Toc298240402"/>
      <w:bookmarkStart w:id="3" w:name="_Toc462223629"/>
      <w:r>
        <w:rPr>
          <w:rFonts w:ascii="Arial" w:hAnsi="Arial" w:cs="Arial"/>
          <w:b/>
          <w:sz w:val="32"/>
          <w:szCs w:val="32"/>
        </w:rPr>
        <w:t>第一</w:t>
      </w:r>
      <w:r>
        <w:rPr>
          <w:rFonts w:hint="eastAsia" w:ascii="Arial" w:hAnsi="Arial" w:cs="Arial"/>
          <w:b/>
          <w:sz w:val="32"/>
          <w:szCs w:val="32"/>
        </w:rPr>
        <w:t>章</w:t>
      </w:r>
    </w:p>
    <w:bookmarkEnd w:id="0"/>
    <w:bookmarkEnd w:id="1"/>
    <w:bookmarkEnd w:id="2"/>
    <w:bookmarkEnd w:id="3"/>
    <w:p>
      <w:pPr>
        <w:widowControl/>
        <w:spacing w:line="360" w:lineRule="auto"/>
        <w:jc w:val="center"/>
        <w:rPr>
          <w:rFonts w:ascii="宋体" w:hAnsi="宋体" w:cs="宋体"/>
          <w:b/>
          <w:sz w:val="32"/>
          <w:szCs w:val="32"/>
        </w:rPr>
      </w:pPr>
      <w:bookmarkStart w:id="4" w:name="_Toc349637918"/>
      <w:bookmarkStart w:id="5" w:name="_Toc349573119"/>
      <w:bookmarkStart w:id="6" w:name="_Toc267301280"/>
      <w:bookmarkStart w:id="7" w:name="_Toc298240403"/>
      <w:bookmarkStart w:id="8" w:name="_Toc462223630"/>
      <w:r>
        <w:rPr>
          <w:rFonts w:hint="eastAsia" w:ascii="宋体" w:hAnsi="宋体" w:cs="宋体"/>
          <w:b/>
          <w:sz w:val="32"/>
          <w:szCs w:val="32"/>
        </w:rPr>
        <w:t>新疆农业职业技术学院网络优化与改造升级建设项目（二次）</w:t>
      </w:r>
    </w:p>
    <w:p>
      <w:pPr>
        <w:widowControl/>
        <w:spacing w:line="360" w:lineRule="auto"/>
        <w:jc w:val="center"/>
        <w:rPr>
          <w:rFonts w:ascii="宋体" w:hAnsi="宋体" w:cs="宋体"/>
          <w:b/>
          <w:sz w:val="32"/>
          <w:szCs w:val="32"/>
        </w:rPr>
      </w:pPr>
      <w:r>
        <w:rPr>
          <w:rFonts w:hint="eastAsia" w:ascii="宋体" w:hAnsi="宋体" w:cs="宋体"/>
          <w:b/>
          <w:sz w:val="32"/>
          <w:szCs w:val="32"/>
        </w:rPr>
        <w:t>公开招标公告</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color w:val="000000"/>
        </w:rPr>
        <w:t>项目概况</w:t>
      </w:r>
    </w:p>
    <w:p>
      <w:pPr>
        <w:pStyle w:val="38"/>
        <w:spacing w:before="75" w:after="75"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新疆农业职业技术学院网络优化与改造升级建设项目（二次）招标项目</w:t>
      </w:r>
      <w:r>
        <w:rPr>
          <w:rFonts w:hint="eastAsia" w:cs="宋体" w:asciiTheme="minorEastAsia" w:hAnsiTheme="minorEastAsia" w:eastAsiaTheme="minorEastAsia"/>
          <w:color w:val="000000"/>
        </w:rPr>
        <w:t>的潜在投标人应在乌鲁木齐林森国际（克拉玛依西街364号）16楼获取招标文件，</w:t>
      </w:r>
      <w:r>
        <w:rPr>
          <w:rFonts w:hint="eastAsia" w:cs="宋体" w:asciiTheme="minorEastAsia" w:hAnsiTheme="minorEastAsia" w:eastAsiaTheme="minorEastAsia"/>
        </w:rPr>
        <w:t>并于2021年10月</w:t>
      </w:r>
      <w:r>
        <w:rPr>
          <w:rFonts w:hint="eastAsia" w:cs="宋体" w:asciiTheme="minorEastAsia" w:hAnsiTheme="minorEastAsia" w:eastAsiaTheme="minorEastAsia"/>
          <w:lang w:val="en-US" w:eastAsia="zh-CN"/>
        </w:rPr>
        <w:t>27</w:t>
      </w:r>
      <w:r>
        <w:rPr>
          <w:rFonts w:hint="eastAsia" w:cs="宋体" w:asciiTheme="minorEastAsia" w:hAnsiTheme="minorEastAsia" w:eastAsiaTheme="minorEastAsia"/>
        </w:rPr>
        <w:t>日11:00（北京时间）前递交投标文件。</w:t>
      </w:r>
      <w:bookmarkStart w:id="113" w:name="_GoBack"/>
      <w:bookmarkEnd w:id="113"/>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一、项目基本情况</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项目编号：WTYZSZC21-061-1</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项目名称：新疆农业职业技术学院网络优化与改造升级建设项目（二次）</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采购方式：公开招标</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预算金额（元）：3658600</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最高限价（元）：3658600</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采购需求：</w:t>
      </w:r>
    </w:p>
    <w:p>
      <w:pPr>
        <w:widowControl/>
        <w:spacing w:before="77" w:after="77" w:line="360" w:lineRule="auto"/>
        <w:ind w:left="479" w:leftChars="228"/>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标项名称:新疆农业职业技术学院网络优化与改造升级建设项目（二次）</w:t>
      </w:r>
      <w:r>
        <w:rPr>
          <w:rFonts w:cs="宋体" w:asciiTheme="minorEastAsia" w:hAnsiTheme="minorEastAsia" w:eastAsiaTheme="minorEastAsia"/>
          <w:color w:val="000000"/>
          <w:kern w:val="0"/>
          <w:sz w:val="24"/>
          <w:szCs w:val="24"/>
        </w:rPr>
        <w:br w:type="textWrapping"/>
      </w:r>
      <w:r>
        <w:rPr>
          <w:rFonts w:cs="宋体" w:asciiTheme="minorEastAsia" w:hAnsiTheme="minorEastAsia" w:eastAsiaTheme="minorEastAsia"/>
          <w:color w:val="000000"/>
          <w:kern w:val="0"/>
          <w:sz w:val="24"/>
          <w:szCs w:val="24"/>
        </w:rPr>
        <w:t>数量:不限</w:t>
      </w:r>
      <w:r>
        <w:rPr>
          <w:rFonts w:cs="宋体" w:asciiTheme="minorEastAsia" w:hAnsiTheme="minorEastAsia" w:eastAsiaTheme="minorEastAsia"/>
          <w:color w:val="000000"/>
          <w:kern w:val="0"/>
          <w:sz w:val="24"/>
          <w:szCs w:val="24"/>
        </w:rPr>
        <w:br w:type="textWrapping"/>
      </w:r>
      <w:r>
        <w:rPr>
          <w:rFonts w:cs="宋体" w:asciiTheme="minorEastAsia" w:hAnsiTheme="minorEastAsia" w:eastAsiaTheme="minorEastAsia"/>
          <w:color w:val="000000"/>
          <w:kern w:val="0"/>
          <w:sz w:val="24"/>
          <w:szCs w:val="24"/>
        </w:rPr>
        <w:t>预算金额（元）:3658600</w:t>
      </w:r>
      <w:r>
        <w:rPr>
          <w:rFonts w:cs="宋体" w:asciiTheme="minorEastAsia" w:hAnsiTheme="minorEastAsia" w:eastAsiaTheme="minorEastAsia"/>
          <w:color w:val="000000"/>
          <w:kern w:val="0"/>
          <w:sz w:val="24"/>
          <w:szCs w:val="24"/>
        </w:rPr>
        <w:br w:type="textWrapping"/>
      </w:r>
      <w:r>
        <w:rPr>
          <w:rFonts w:cs="宋体" w:asciiTheme="minorEastAsia" w:hAnsiTheme="minorEastAsia" w:eastAsiaTheme="minorEastAsia"/>
          <w:color w:val="000000"/>
          <w:kern w:val="0"/>
          <w:sz w:val="24"/>
          <w:szCs w:val="24"/>
        </w:rPr>
        <w:t>简要规格描述或项目基本概况介绍、用途：详见招标文件</w:t>
      </w:r>
      <w:r>
        <w:rPr>
          <w:rFonts w:cs="宋体" w:asciiTheme="minorEastAsia" w:hAnsiTheme="minorEastAsia" w:eastAsiaTheme="minorEastAsia"/>
          <w:color w:val="000000"/>
          <w:kern w:val="0"/>
          <w:sz w:val="24"/>
          <w:szCs w:val="24"/>
        </w:rPr>
        <w:br w:type="textWrapping"/>
      </w:r>
      <w:r>
        <w:rPr>
          <w:rFonts w:cs="宋体" w:asciiTheme="minorEastAsia" w:hAnsiTheme="minorEastAsia" w:eastAsiaTheme="minorEastAsia"/>
          <w:color w:val="000000"/>
          <w:kern w:val="0"/>
          <w:sz w:val="24"/>
          <w:szCs w:val="24"/>
        </w:rPr>
        <w:t>备注：</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合同履约期限：标项 1，详见招标文件</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本项目（否）接受联合体投标。</w:t>
      </w:r>
    </w:p>
    <w:p>
      <w:pPr>
        <w:widowControl/>
        <w:spacing w:before="77" w:after="77" w:line="360" w:lineRule="auto"/>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二、申请人的资格要求：</w:t>
      </w:r>
    </w:p>
    <w:p>
      <w:pPr>
        <w:widowControl/>
        <w:spacing w:before="260" w:after="260" w:line="360" w:lineRule="auto"/>
        <w:ind w:firstLine="490"/>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1、落实政府采购政策需满足的资格要求：详见政府采购法；</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2、投标人须符合《中华人民共和国政府采购法》第二十二条规定,并提供《中华人民共和国政府采购法实施条例》第十七条所要求的材料；</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①</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投标人提供有效的统一社会信用代码的营业执照，投标人必须是中华人民共和国境内注册的，具有独立承担民事责任的能力；</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②</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财务状况报告：投标人提供2020年度经第三方权威机构出具的完整的财务审计报告或自发布公告之日起基本开户银行出具的资信证明；</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③</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依法缴纳税收：投标人提供自投标截止之日前半年内任意一个月依法缴纳税收的凭据，依法免税的投标人，应提供充足的证明材料；</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④</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依法缴纳社保：投标人提供自投标截止之日前半年内任意一个月依法缴纳社会保障资金的凭据；</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⑤</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投标人具备履行合同所必需的设备和专业技术能力的证明材料；</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⑥</w:t>
      </w:r>
      <w:r>
        <w:rPr>
          <w:rFonts w:asciiTheme="minorEastAsia" w:hAnsiTheme="minorEastAsia" w:eastAsiaTheme="minorEastAsia"/>
          <w:color w:val="000000"/>
          <w:kern w:val="0"/>
          <w:sz w:val="24"/>
          <w:szCs w:val="24"/>
        </w:rPr>
        <w:t xml:space="preserve"> </w:t>
      </w:r>
      <w:r>
        <w:rPr>
          <w:rFonts w:cs="宋体" w:asciiTheme="minorEastAsia" w:hAnsiTheme="minorEastAsia" w:eastAsiaTheme="minorEastAsia"/>
          <w:color w:val="000000"/>
          <w:kern w:val="0"/>
          <w:sz w:val="24"/>
          <w:szCs w:val="24"/>
        </w:rPr>
        <w:t>投标人提供参加政府采购活动前 3 年内在经营活动中没有重大违法记录的书面声明（截至开标日成立不满 3 年的投标人，可提供自成立以来无重大违法记录的书面声明）。</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3、投标人提供法定代表人授权委托书及被授权人身份证原件；</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投标人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打印件须显示时间）。被列入以上条款尚在处罚期内的将拒绝其参本次采购活动；</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5、本项目不接受联合体投标；</w:t>
      </w:r>
    </w:p>
    <w:p>
      <w:pPr>
        <w:widowControl/>
        <w:spacing w:before="77" w:after="77" w:line="360" w:lineRule="auto"/>
        <w:ind w:firstLine="49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6、单位负责人为同一人或者存在直接控股、管理关系的不同投标人，不得同时参加本项目的竞争。</w:t>
      </w:r>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三、获取招标文件</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时间：2021年09月27日至2021年10月08日，每天上午10:00至13:30，下午16:00至19:00（北京时间，法定节假日除外）</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地点：乌鲁木齐林森国际（克拉玛依西街364号）16楼</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方式：线下获取</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售价（元）：300</w:t>
      </w:r>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四、提交投标文件截止时间、开标时间和地点</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提交投标文件截止时间：2021年10月</w:t>
      </w:r>
      <w:r>
        <w:rPr>
          <w:rFonts w:hint="eastAsia" w:cs="宋体" w:asciiTheme="minorEastAsia" w:hAnsiTheme="minorEastAsia" w:eastAsiaTheme="minorEastAsia"/>
          <w:color w:val="000000"/>
          <w:kern w:val="0"/>
          <w:sz w:val="24"/>
          <w:szCs w:val="24"/>
          <w:lang w:val="en-US" w:eastAsia="zh-CN"/>
        </w:rPr>
        <w:t>27</w:t>
      </w:r>
      <w:r>
        <w:rPr>
          <w:rFonts w:cs="宋体" w:asciiTheme="minorEastAsia" w:hAnsiTheme="minorEastAsia" w:eastAsiaTheme="minorEastAsia"/>
          <w:color w:val="000000"/>
          <w:kern w:val="0"/>
          <w:sz w:val="24"/>
          <w:szCs w:val="24"/>
        </w:rPr>
        <w:t>日 11:00（北京时间）</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投标地点：乌鲁木齐林森国际（克拉玛依西街364号）16楼</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开标时间：2021年10月</w:t>
      </w:r>
      <w:r>
        <w:rPr>
          <w:rFonts w:hint="eastAsia" w:cs="宋体" w:asciiTheme="minorEastAsia" w:hAnsiTheme="minorEastAsia" w:eastAsiaTheme="minorEastAsia"/>
          <w:color w:val="000000"/>
          <w:kern w:val="0"/>
          <w:sz w:val="24"/>
          <w:szCs w:val="24"/>
          <w:lang w:val="en-US" w:eastAsia="zh-CN"/>
        </w:rPr>
        <w:t>27</w:t>
      </w:r>
      <w:r>
        <w:rPr>
          <w:rFonts w:cs="宋体" w:asciiTheme="minorEastAsia" w:hAnsiTheme="minorEastAsia" w:eastAsiaTheme="minorEastAsia"/>
          <w:color w:val="000000"/>
          <w:kern w:val="0"/>
          <w:sz w:val="24"/>
          <w:szCs w:val="24"/>
        </w:rPr>
        <w:t>日 11:00</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开标地点：乌鲁木齐林森国际（克拉玛依西街364号）16楼</w:t>
      </w:r>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五、公告期限</w:t>
      </w:r>
    </w:p>
    <w:p>
      <w:pPr>
        <w:widowControl/>
        <w:spacing w:before="77" w:after="77" w:line="360" w:lineRule="auto"/>
        <w:ind w:firstLine="480"/>
        <w:jc w:val="left"/>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自本公告发布之日起5个工作日。</w:t>
      </w:r>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六、其他补充事宜</w:t>
      </w:r>
    </w:p>
    <w:p>
      <w:pPr>
        <w:widowControl/>
        <w:spacing w:before="77" w:after="77" w:line="360" w:lineRule="auto"/>
        <w:ind w:firstLine="480" w:firstLineChars="200"/>
        <w:jc w:val="left"/>
        <w:rPr>
          <w:rFonts w:cs="Arial" w:asciiTheme="minorEastAsia" w:hAnsiTheme="minorEastAsia" w:eastAsiaTheme="minorEastAsia"/>
          <w:color w:val="000000"/>
          <w:kern w:val="0"/>
          <w:sz w:val="24"/>
          <w:szCs w:val="24"/>
        </w:rPr>
      </w:pPr>
      <w:r>
        <w:rPr>
          <w:rFonts w:cs="Arial" w:asciiTheme="minorEastAsia" w:hAnsiTheme="minorEastAsia" w:eastAsiaTheme="minorEastAsia"/>
          <w:color w:val="000000"/>
          <w:kern w:val="0"/>
          <w:sz w:val="24"/>
          <w:szCs w:val="24"/>
        </w:rPr>
        <w:t>报名时须提供的资料：</w:t>
      </w:r>
    </w:p>
    <w:p>
      <w:pPr>
        <w:widowControl/>
        <w:spacing w:before="77" w:after="77" w:line="360" w:lineRule="auto"/>
        <w:ind w:firstLine="480" w:firstLineChars="200"/>
        <w:jc w:val="left"/>
        <w:rPr>
          <w:rFonts w:cs="Arial"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①</w:t>
      </w:r>
      <w:r>
        <w:rPr>
          <w:rFonts w:cs="Arial" w:asciiTheme="minorEastAsia" w:hAnsiTheme="minorEastAsia" w:eastAsiaTheme="minorEastAsia"/>
          <w:color w:val="000000"/>
          <w:kern w:val="0"/>
          <w:sz w:val="24"/>
          <w:szCs w:val="24"/>
        </w:rPr>
        <w:t xml:space="preserve"> 提供有效的营业执照；</w:t>
      </w:r>
    </w:p>
    <w:p>
      <w:pPr>
        <w:widowControl/>
        <w:spacing w:before="77" w:after="77" w:line="360" w:lineRule="auto"/>
        <w:ind w:firstLine="480" w:firstLineChars="200"/>
        <w:jc w:val="left"/>
        <w:rPr>
          <w:rFonts w:cs="Arial"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②</w:t>
      </w:r>
      <w:r>
        <w:rPr>
          <w:rFonts w:cs="Arial" w:asciiTheme="minorEastAsia" w:hAnsiTheme="minorEastAsia" w:eastAsiaTheme="minorEastAsia"/>
          <w:color w:val="000000"/>
          <w:kern w:val="0"/>
          <w:sz w:val="24"/>
          <w:szCs w:val="24"/>
        </w:rPr>
        <w:t xml:space="preserve"> 被委托人报名时提供法定代表人授权委托书及被授权人身份证；法定代表人报名时提供法定代表人身份证明和身份证；</w:t>
      </w:r>
    </w:p>
    <w:p>
      <w:pPr>
        <w:widowControl/>
        <w:spacing w:before="77" w:after="77" w:line="360" w:lineRule="auto"/>
        <w:ind w:firstLine="480" w:firstLineChars="200"/>
        <w:jc w:val="left"/>
        <w:rPr>
          <w:rFonts w:cs="Arial"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③</w:t>
      </w:r>
      <w:r>
        <w:rPr>
          <w:rFonts w:cs="Arial" w:asciiTheme="minorEastAsia" w:hAnsiTheme="minorEastAsia" w:eastAsiaTheme="minorEastAsia"/>
          <w:color w:val="000000"/>
          <w:kern w:val="0"/>
          <w:sz w:val="24"/>
          <w:szCs w:val="24"/>
        </w:rPr>
        <w:t xml:space="preserve"> 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打印件须显示时间）。被列入以上条款尚在处罚期内的将拒绝其参本次采购活动。</w:t>
      </w:r>
    </w:p>
    <w:p>
      <w:pPr>
        <w:widowControl/>
        <w:spacing w:before="77" w:after="77" w:line="360" w:lineRule="auto"/>
        <w:ind w:firstLine="482" w:firstLineChars="200"/>
        <w:jc w:val="left"/>
        <w:rPr>
          <w:rFonts w:cs="Arial" w:asciiTheme="minorEastAsia" w:hAnsiTheme="minorEastAsia" w:eastAsiaTheme="minorEastAsia"/>
          <w:b/>
          <w:color w:val="000000"/>
          <w:kern w:val="0"/>
          <w:sz w:val="24"/>
          <w:szCs w:val="24"/>
        </w:rPr>
      </w:pPr>
      <w:r>
        <w:rPr>
          <w:rFonts w:cs="Arial" w:asciiTheme="minorEastAsia" w:hAnsiTheme="minorEastAsia" w:eastAsiaTheme="minorEastAsia"/>
          <w:b/>
          <w:color w:val="000000"/>
          <w:kern w:val="0"/>
          <w:sz w:val="24"/>
          <w:szCs w:val="24"/>
        </w:rPr>
        <w:t>以上资料提交原件审核，复印件一套加盖公章由招标代理公司留档，资料不全者，一律谢绝报名（报名费以现金方式缴纳）。</w:t>
      </w:r>
    </w:p>
    <w:p>
      <w:pPr>
        <w:widowControl/>
        <w:spacing w:before="260" w:after="260" w:line="360" w:lineRule="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bCs/>
          <w:color w:val="000000"/>
          <w:kern w:val="0"/>
          <w:sz w:val="24"/>
          <w:szCs w:val="24"/>
        </w:rPr>
        <w:t>七、对本次采购提出询问，请按以下方式联系</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1.采购人信息</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称：新疆农业职业技术学院</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址：文化东路29号</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联系方式：0994-2702189</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2.采购代理机构信息</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名 称：新疆天壹中山工程咨询有限公司</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地 址：乌鲁木齐林森国际（克拉玛依西街364号）16楼</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联系方式：13379781605、18099189059</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3.项目联系方式</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项目联系人：马海苗</w:t>
      </w:r>
    </w:p>
    <w:p>
      <w:pPr>
        <w:widowControl/>
        <w:spacing w:before="77" w:after="77" w:line="360" w:lineRule="auto"/>
        <w:ind w:firstLine="480"/>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电 话：13379781605、18099189059</w:t>
      </w:r>
    </w:p>
    <w:p>
      <w:pPr>
        <w:widowControl/>
        <w:spacing w:before="60" w:after="60" w:line="360" w:lineRule="auto"/>
        <w:ind w:firstLine="480"/>
        <w:jc w:val="left"/>
        <w:rPr>
          <w:rFonts w:cs="宋体" w:asciiTheme="minorEastAsia" w:hAnsiTheme="minorEastAsia" w:eastAsiaTheme="minorEastAsia"/>
          <w:color w:val="000000"/>
          <w:kern w:val="0"/>
          <w:sz w:val="24"/>
          <w:szCs w:val="24"/>
        </w:rPr>
      </w:pPr>
    </w:p>
    <w:p>
      <w:pPr>
        <w:pStyle w:val="38"/>
        <w:spacing w:before="75" w:after="75" w:line="360" w:lineRule="auto"/>
        <w:rPr>
          <w:rFonts w:ascii="宋体" w:hAnsi="宋体" w:eastAsia="宋体" w:cs="宋体"/>
          <w:color w:val="000000"/>
        </w:rPr>
      </w:pPr>
    </w:p>
    <w:p>
      <w:pPr>
        <w:pStyle w:val="38"/>
        <w:spacing w:before="75" w:beforeAutospacing="0" w:after="75" w:afterAutospacing="0" w:line="360" w:lineRule="auto"/>
        <w:rPr>
          <w:rFonts w:ascii="宋体" w:hAnsi="宋体" w:eastAsia="宋体" w:cs="宋体"/>
          <w:color w:val="000000"/>
        </w:rPr>
      </w:pPr>
    </w:p>
    <w:p>
      <w:pPr>
        <w:pStyle w:val="38"/>
        <w:spacing w:before="75" w:beforeAutospacing="0" w:after="75" w:afterAutospacing="0" w:line="360" w:lineRule="auto"/>
        <w:rPr>
          <w:rFonts w:ascii="宋体" w:hAnsi="宋体" w:eastAsia="宋体" w:cs="宋体"/>
          <w:color w:val="000000"/>
        </w:rPr>
      </w:pPr>
    </w:p>
    <w:p>
      <w:pPr>
        <w:pStyle w:val="38"/>
        <w:spacing w:before="75" w:beforeAutospacing="0" w:after="75" w:afterAutospacing="0" w:line="360" w:lineRule="auto"/>
        <w:ind w:firstLine="482" w:firstLineChars="200"/>
        <w:rPr>
          <w:rFonts w:ascii="宋体" w:hAnsi="宋体" w:eastAsia="宋体" w:cs="宋体"/>
          <w:b/>
          <w:bCs/>
        </w:rPr>
      </w:pPr>
      <w:r>
        <w:rPr>
          <w:rFonts w:hint="eastAsia" w:ascii="宋体" w:hAnsi="宋体" w:eastAsia="宋体" w:cs="宋体"/>
          <w:b/>
          <w:bCs/>
          <w:color w:val="000000"/>
        </w:rPr>
        <w:t>  </w:t>
      </w:r>
    </w:p>
    <w:p>
      <w:pPr>
        <w:spacing w:line="360" w:lineRule="auto"/>
      </w:pPr>
    </w:p>
    <w:p>
      <w:pPr>
        <w:spacing w:line="360" w:lineRule="auto"/>
        <w:rPr>
          <w:rFonts w:ascii="宋体" w:hAnsi="宋体" w:cs="宋体"/>
        </w:rPr>
      </w:pPr>
    </w:p>
    <w:p>
      <w:pPr>
        <w:spacing w:line="360" w:lineRule="auto"/>
        <w:rPr>
          <w:rFonts w:ascii="宋体" w:hAnsi="宋体" w:cs="宋体"/>
        </w:rPr>
      </w:pPr>
    </w:p>
    <w:p>
      <w:pPr>
        <w:pStyle w:val="38"/>
        <w:spacing w:before="75" w:beforeAutospacing="0" w:after="75" w:afterAutospacing="0" w:line="360" w:lineRule="auto"/>
        <w:rPr>
          <w:rStyle w:val="43"/>
          <w:rFonts w:ascii="宋体" w:hAnsi="宋体" w:eastAsia="宋体" w:cs="宋体"/>
          <w:b w:val="0"/>
          <w:color w:val="000000"/>
        </w:rPr>
      </w:pPr>
    </w:p>
    <w:p>
      <w:pPr>
        <w:widowControl/>
        <w:spacing w:line="360" w:lineRule="auto"/>
        <w:ind w:firstLine="480" w:firstLineChars="200"/>
        <w:jc w:val="left"/>
        <w:rPr>
          <w:rFonts w:ascii="宋体" w:hAnsi="宋体" w:cs="宋体"/>
          <w:sz w:val="24"/>
          <w:szCs w:val="24"/>
        </w:rPr>
      </w:pPr>
    </w:p>
    <w:p>
      <w:pPr>
        <w:pStyle w:val="13"/>
        <w:spacing w:line="360" w:lineRule="auto"/>
        <w:rPr>
          <w:rFonts w:ascii="宋体" w:hAnsi="宋体" w:cs="宋体"/>
        </w:rPr>
      </w:pPr>
    </w:p>
    <w:p/>
    <w:p>
      <w:pPr>
        <w:spacing w:line="360" w:lineRule="auto"/>
        <w:rPr>
          <w:rFonts w:ascii="宋体" w:hAnsi="宋体" w:cs="宋体"/>
          <w:b/>
          <w:sz w:val="32"/>
          <w:szCs w:val="32"/>
        </w:rPr>
      </w:pPr>
    </w:p>
    <w:p>
      <w:pPr>
        <w:pStyle w:val="2"/>
      </w:pPr>
    </w:p>
    <w:p/>
    <w:p>
      <w:pPr>
        <w:pStyle w:val="2"/>
      </w:pPr>
    </w:p>
    <w:p>
      <w:pPr>
        <w:spacing w:line="360" w:lineRule="auto"/>
        <w:jc w:val="center"/>
        <w:rPr>
          <w:rFonts w:ascii="宋体" w:hAnsi="宋体" w:cs="宋体"/>
          <w:b/>
          <w:sz w:val="32"/>
          <w:szCs w:val="32"/>
        </w:rPr>
      </w:pPr>
      <w:r>
        <w:rPr>
          <w:rFonts w:hint="eastAsia" w:ascii="宋体" w:hAnsi="宋体" w:cs="宋体"/>
          <w:b/>
          <w:sz w:val="32"/>
          <w:szCs w:val="32"/>
        </w:rPr>
        <w:t>第二章  投标人须知</w:t>
      </w:r>
      <w:bookmarkEnd w:id="4"/>
      <w:bookmarkEnd w:id="5"/>
      <w:bookmarkEnd w:id="6"/>
      <w:bookmarkEnd w:id="7"/>
      <w:bookmarkEnd w:id="8"/>
      <w:bookmarkStart w:id="9" w:name="_Toc298240404"/>
      <w:bookmarkStart w:id="10" w:name="_Toc349573120"/>
      <w:bookmarkStart w:id="11" w:name="_Toc267301281"/>
      <w:bookmarkStart w:id="12" w:name="_Toc349637919"/>
    </w:p>
    <w:p>
      <w:pPr>
        <w:spacing w:line="360" w:lineRule="auto"/>
        <w:jc w:val="center"/>
        <w:rPr>
          <w:rFonts w:ascii="宋体" w:hAnsi="宋体" w:cs="宋体"/>
          <w:b/>
          <w:sz w:val="28"/>
          <w:szCs w:val="28"/>
        </w:rPr>
      </w:pPr>
      <w:bookmarkStart w:id="13" w:name="_Toc462223631"/>
      <w:r>
        <w:rPr>
          <w:rFonts w:hint="eastAsia" w:ascii="宋体" w:hAnsi="宋体" w:cs="宋体"/>
          <w:b/>
          <w:sz w:val="28"/>
          <w:szCs w:val="28"/>
        </w:rPr>
        <w:t>投标须知前附表</w:t>
      </w:r>
      <w:bookmarkEnd w:id="9"/>
      <w:bookmarkEnd w:id="10"/>
      <w:bookmarkEnd w:id="11"/>
      <w:bookmarkEnd w:id="12"/>
      <w:bookmarkEnd w:id="13"/>
    </w:p>
    <w:tbl>
      <w:tblPr>
        <w:tblStyle w:val="4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8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eastAsiaTheme="minorEastAsia"/>
                <w:color w:val="000000"/>
                <w:sz w:val="24"/>
                <w:szCs w:val="24"/>
              </w:rPr>
            </w:pPr>
            <w:r>
              <w:rPr>
                <w:rFonts w:hint="eastAsia" w:ascii="宋体" w:hAnsi="宋体" w:cs="宋体"/>
                <w:sz w:val="24"/>
                <w:szCs w:val="24"/>
              </w:rPr>
              <w:t>项目名称：</w:t>
            </w:r>
            <w:r>
              <w:rPr>
                <w:rFonts w:hint="eastAsia" w:cs="Arial" w:asciiTheme="minorEastAsia" w:hAnsiTheme="minorEastAsia" w:eastAsiaTheme="minorEastAsia"/>
                <w:sz w:val="24"/>
                <w:szCs w:val="24"/>
              </w:rPr>
              <w:t>新疆农业职业技术学院网络优化与改造升级建设项目（二次）</w:t>
            </w:r>
          </w:p>
          <w:p>
            <w:pPr>
              <w:spacing w:line="360" w:lineRule="auto"/>
              <w:rPr>
                <w:rFonts w:ascii="宋体" w:hAnsi="宋体" w:cs="宋体" w:eastAsiaTheme="minorEastAsia"/>
                <w:sz w:val="24"/>
                <w:szCs w:val="24"/>
              </w:rPr>
            </w:pPr>
            <w:r>
              <w:rPr>
                <w:rFonts w:hint="eastAsia" w:ascii="宋体" w:hAnsi="宋体" w:cs="宋体"/>
                <w:sz w:val="24"/>
                <w:szCs w:val="24"/>
              </w:rPr>
              <w:t>项目编号：</w:t>
            </w:r>
            <w:r>
              <w:rPr>
                <w:rFonts w:cs="宋体" w:asciiTheme="minorEastAsia" w:hAnsiTheme="minorEastAsia" w:eastAsiaTheme="minorEastAsia"/>
                <w:color w:val="000000"/>
                <w:sz w:val="24"/>
                <w:szCs w:val="24"/>
              </w:rPr>
              <w:t>WTYZSZC21-0</w:t>
            </w:r>
            <w:r>
              <w:rPr>
                <w:rFonts w:hint="eastAsia" w:cs="宋体" w:asciiTheme="minorEastAsia" w:hAnsiTheme="minorEastAsia" w:eastAsiaTheme="minorEastAsia"/>
                <w:color w:val="000000"/>
                <w:sz w:val="24"/>
                <w:szCs w:val="24"/>
              </w:rPr>
              <w:t>61-1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采购人名称：新疆农业职业技术学院</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联系人：王江</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联系电话：</w:t>
            </w:r>
            <w:r>
              <w:rPr>
                <w:rFonts w:cs="Arial" w:asciiTheme="minorEastAsia" w:hAnsiTheme="minorEastAsia" w:eastAsiaTheme="minorEastAsia"/>
                <w:sz w:val="24"/>
                <w:szCs w:val="24"/>
              </w:rPr>
              <w:t>0994-2702189</w:t>
            </w:r>
          </w:p>
          <w:p>
            <w:pPr>
              <w:pStyle w:val="38"/>
              <w:spacing w:before="75" w:beforeAutospacing="0" w:after="75" w:afterAutospacing="0" w:line="360" w:lineRule="auto"/>
              <w:rPr>
                <w:rFonts w:cs="宋体" w:asciiTheme="minorEastAsia" w:hAnsiTheme="minorEastAsia" w:eastAsiaTheme="minorEastAsia"/>
                <w:color w:val="000000"/>
              </w:rPr>
            </w:pPr>
            <w:r>
              <w:rPr>
                <w:rFonts w:cs="宋体" w:asciiTheme="minorEastAsia" w:hAnsiTheme="minorEastAsia" w:eastAsiaTheme="minorEastAsia"/>
                <w:color w:val="000000"/>
              </w:rPr>
              <w:t>地 址：</w:t>
            </w:r>
            <w:r>
              <w:rPr>
                <w:rFonts w:hint="eastAsia" w:cs="宋体" w:asciiTheme="minorEastAsia" w:hAnsiTheme="minorEastAsia" w:eastAsiaTheme="minorEastAsia"/>
                <w:color w:val="000000"/>
              </w:rPr>
              <w:t>文化东路29号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3</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8"/>
                <w:sz w:val="24"/>
                <w:szCs w:val="24"/>
              </w:rPr>
            </w:pPr>
            <w:r>
              <w:rPr>
                <w:rFonts w:hint="eastAsia" w:ascii="宋体" w:hAnsi="宋体" w:cs="宋体"/>
                <w:spacing w:val="8"/>
                <w:sz w:val="24"/>
                <w:szCs w:val="24"/>
              </w:rPr>
              <w:t>招标代理机构名称：新疆天壹中山工程咨询有限公司</w:t>
            </w:r>
          </w:p>
          <w:p>
            <w:pPr>
              <w:spacing w:line="360" w:lineRule="auto"/>
              <w:rPr>
                <w:rFonts w:ascii="宋体" w:hAnsi="宋体" w:cs="宋体"/>
                <w:spacing w:val="8"/>
                <w:sz w:val="24"/>
                <w:szCs w:val="24"/>
              </w:rPr>
            </w:pPr>
            <w:r>
              <w:rPr>
                <w:rFonts w:hint="eastAsia" w:ascii="宋体" w:hAnsi="宋体" w:cs="宋体"/>
                <w:spacing w:val="8"/>
                <w:sz w:val="24"/>
                <w:szCs w:val="24"/>
              </w:rPr>
              <w:t>联系人：</w:t>
            </w:r>
            <w:r>
              <w:rPr>
                <w:rFonts w:hint="eastAsia" w:cs="宋体" w:asciiTheme="minorEastAsia" w:hAnsiTheme="minorEastAsia" w:eastAsiaTheme="minorEastAsia"/>
                <w:color w:val="000000"/>
                <w:kern w:val="0"/>
                <w:sz w:val="24"/>
                <w:szCs w:val="24"/>
              </w:rPr>
              <w:t>马海苗</w:t>
            </w:r>
          </w:p>
          <w:p>
            <w:pPr>
              <w:spacing w:line="360" w:lineRule="auto"/>
              <w:rPr>
                <w:rFonts w:ascii="宋体" w:hAnsi="宋体" w:cs="宋体"/>
                <w:spacing w:val="8"/>
                <w:sz w:val="24"/>
                <w:szCs w:val="24"/>
              </w:rPr>
            </w:pPr>
            <w:r>
              <w:rPr>
                <w:rFonts w:hint="eastAsia" w:ascii="宋体" w:hAnsi="宋体" w:cs="宋体"/>
                <w:spacing w:val="8"/>
                <w:sz w:val="24"/>
                <w:szCs w:val="24"/>
              </w:rPr>
              <w:t>联系电话：</w:t>
            </w:r>
            <w:r>
              <w:rPr>
                <w:rFonts w:hint="eastAsia" w:cs="宋体" w:asciiTheme="minorEastAsia" w:hAnsiTheme="minorEastAsia" w:eastAsiaTheme="minorEastAsia"/>
                <w:color w:val="000000"/>
                <w:kern w:val="0"/>
                <w:sz w:val="24"/>
                <w:szCs w:val="24"/>
              </w:rPr>
              <w:t>13379781605、18099189059</w:t>
            </w:r>
          </w:p>
          <w:p>
            <w:pPr>
              <w:spacing w:line="360" w:lineRule="auto"/>
              <w:rPr>
                <w:rFonts w:ascii="宋体" w:hAnsi="宋体" w:cs="宋体"/>
                <w:spacing w:val="8"/>
                <w:sz w:val="24"/>
                <w:szCs w:val="24"/>
              </w:rPr>
            </w:pPr>
            <w:r>
              <w:rPr>
                <w:rFonts w:hint="eastAsia" w:ascii="宋体" w:hAnsi="宋体" w:cs="宋体"/>
                <w:spacing w:val="8"/>
                <w:sz w:val="24"/>
                <w:szCs w:val="24"/>
              </w:rPr>
              <w:t>地址：乌鲁木齐林森国际（克拉玛依西街364号）16楼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pacing w:val="8"/>
                <w:sz w:val="24"/>
                <w:szCs w:val="24"/>
              </w:rPr>
            </w:pPr>
            <w:r>
              <w:rPr>
                <w:rFonts w:hint="eastAsia" w:ascii="宋体" w:hAnsi="宋体" w:cs="宋体"/>
                <w:spacing w:val="8"/>
                <w:sz w:val="24"/>
                <w:szCs w:val="24"/>
              </w:rPr>
              <w:t>投标保证金金额：70000元（柒万元整）</w:t>
            </w:r>
          </w:p>
          <w:p>
            <w:pPr>
              <w:spacing w:line="360" w:lineRule="auto"/>
              <w:ind w:firstLine="480" w:firstLineChars="200"/>
              <w:rPr>
                <w:rFonts w:ascii="宋体" w:hAnsi="宋体"/>
                <w:sz w:val="24"/>
              </w:rPr>
            </w:pPr>
            <w:r>
              <w:rPr>
                <w:rFonts w:hint="eastAsia" w:ascii="宋体" w:hAnsi="宋体"/>
                <w:sz w:val="24"/>
              </w:rPr>
              <w:t>投标人必须从单位基本账户以电汇等非现金方式缴纳投标保证金，且账户名称必须与投标人在报名时登记的单位名称一致,不得以分公司、办事处或其他机构名义缴纳。</w:t>
            </w:r>
            <w:r>
              <w:rPr>
                <w:rFonts w:hint="eastAsia" w:cs="Arial" w:asciiTheme="minorEastAsia" w:hAnsiTheme="minorEastAsia" w:eastAsiaTheme="minorEastAsia"/>
                <w:sz w:val="24"/>
                <w:szCs w:val="24"/>
              </w:rPr>
              <w:t>并注明“</w:t>
            </w:r>
            <w:r>
              <w:rPr>
                <w:rFonts w:cs="Arial" w:asciiTheme="minorEastAsia" w:hAnsiTheme="minorEastAsia" w:eastAsiaTheme="minorEastAsia"/>
                <w:sz w:val="24"/>
                <w:szCs w:val="24"/>
              </w:rPr>
              <w:t>WTYZSZC21-0</w:t>
            </w:r>
            <w:r>
              <w:rPr>
                <w:rFonts w:hint="eastAsia" w:cs="Arial" w:asciiTheme="minorEastAsia" w:hAnsiTheme="minorEastAsia" w:eastAsiaTheme="minorEastAsia"/>
                <w:sz w:val="24"/>
                <w:szCs w:val="24"/>
              </w:rPr>
              <w:t>61-1保证金”字样，否则，因款项用途不明导致报价无效等后果由投标单位自行承担：</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开户名称：新疆天壹中山工程咨询有限公司</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 xml:space="preserve">开户行：工行乌鲁木齐克拉玛依西路支行 </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账   号：3002014219200019549</w:t>
            </w:r>
          </w:p>
          <w:p>
            <w:pPr>
              <w:spacing w:line="360" w:lineRule="auto"/>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行   号：102881001423</w:t>
            </w:r>
          </w:p>
          <w:p>
            <w:pPr>
              <w:spacing w:line="360" w:lineRule="auto"/>
              <w:rPr>
                <w:rFonts w:ascii="宋体" w:hAnsi="宋体"/>
                <w:color w:val="000000"/>
                <w:sz w:val="24"/>
              </w:rPr>
            </w:pPr>
            <w:r>
              <w:rPr>
                <w:rFonts w:hint="eastAsia" w:ascii="宋体" w:hAnsi="宋体"/>
                <w:color w:val="000000"/>
                <w:sz w:val="24"/>
              </w:rPr>
              <w:t>投标保证金截止时间：投标文件的递交截止时间之前（以到账时间为准）。</w:t>
            </w:r>
          </w:p>
          <w:p>
            <w:pPr>
              <w:spacing w:line="360" w:lineRule="auto"/>
              <w:rPr>
                <w:rFonts w:ascii="宋体" w:hAnsi="宋体" w:cs="宋体"/>
                <w:color w:val="000000"/>
                <w:sz w:val="24"/>
              </w:rPr>
            </w:pPr>
            <w:r>
              <w:rPr>
                <w:rFonts w:hint="eastAsia" w:ascii="宋体" w:hAnsi="宋体" w:cs="宋体"/>
                <w:b/>
                <w:bCs/>
                <w:sz w:val="24"/>
                <w:szCs w:val="24"/>
              </w:rPr>
              <w:t>注：投标人打完保证金之后带加盖公章的纸质版汇款凭证，到新疆天壹中山工程咨询有限公司换收据。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响应语言：中文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spacing w:line="360" w:lineRule="auto"/>
              <w:jc w:val="center"/>
              <w:rPr>
                <w:rFonts w:ascii="宋体" w:hAnsi="宋体" w:cs="宋体"/>
                <w:color w:val="000000"/>
                <w:spacing w:val="8"/>
                <w:sz w:val="24"/>
                <w:szCs w:val="24"/>
              </w:rPr>
            </w:pPr>
            <w:r>
              <w:rPr>
                <w:rFonts w:hint="eastAsia" w:ascii="宋体" w:hAnsi="宋体" w:cs="宋体"/>
                <w:color w:val="000000"/>
                <w:spacing w:val="8"/>
                <w:sz w:val="24"/>
                <w:szCs w:val="24"/>
              </w:rPr>
              <w:t>6</w:t>
            </w:r>
          </w:p>
        </w:tc>
        <w:tc>
          <w:tcPr>
            <w:tcW w:w="8493" w:type="dxa"/>
            <w:tcBorders>
              <w:top w:val="single" w:color="auto" w:sz="4" w:space="0"/>
              <w:left w:val="single" w:color="auto" w:sz="4" w:space="0"/>
              <w:bottom w:val="single" w:color="auto" w:sz="4" w:space="0"/>
              <w:right w:val="single" w:color="auto" w:sz="4" w:space="0"/>
            </w:tcBorders>
            <w:vAlign w:val="center"/>
          </w:tcPr>
          <w:p>
            <w:pPr>
              <w:pStyle w:val="99"/>
              <w:spacing w:line="360" w:lineRule="auto"/>
              <w:ind w:firstLine="0" w:firstLineChars="0"/>
              <w:rPr>
                <w:rFonts w:ascii="宋体" w:hAnsi="宋体" w:cs="宋体"/>
                <w:bCs/>
                <w:sz w:val="24"/>
                <w:szCs w:val="24"/>
              </w:rPr>
            </w:pPr>
            <w:r>
              <w:rPr>
                <w:rFonts w:hint="eastAsia" w:ascii="宋体" w:hAnsi="宋体" w:cs="宋体"/>
                <w:bCs/>
                <w:sz w:val="24"/>
                <w:szCs w:val="24"/>
              </w:rPr>
              <w:t>投标人的资格要求：</w:t>
            </w:r>
          </w:p>
          <w:p>
            <w:pPr>
              <w:pStyle w:val="38"/>
              <w:spacing w:before="255" w:beforeAutospacing="0" w:after="255" w:afterAutospacing="0" w:line="360" w:lineRule="auto"/>
              <w:jc w:val="both"/>
              <w:rPr>
                <w:rFonts w:cs="宋体" w:asciiTheme="minorEastAsia" w:hAnsiTheme="minorEastAsia" w:eastAsiaTheme="minorEastAsia"/>
              </w:rPr>
            </w:pPr>
            <w:r>
              <w:rPr>
                <w:rFonts w:hint="eastAsia" w:cs="宋体" w:asciiTheme="minorEastAsia" w:hAnsiTheme="minorEastAsia" w:eastAsiaTheme="minorEastAsia"/>
              </w:rPr>
              <w:t>1、落实政府采购政策需满足的资格要求：详见政府采购法；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2、投标人须符合《中华人民共和国政府采购法》第二十二条规定,并提供《中华人民共和国政府采购法实施条例》第十七条所要求的材料；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① 投标人提供有效的统一社会信用代码的营业执照，投标人必须是中华人民共和国境内注册的，具有独立承担民事责任的能力；</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② 财务状况报告：投标人提供2020年度经第三方权威机构出具的完整的财务审计报告或自发布公告之日起基本开户银行出具的资信证明；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③ 依法缴纳税收：投标人提供自投标截止之日前半年内任意一个月依法缴纳税收的凭据，依法免税的投标人，应提供充足的证明材料；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④ 依法缴纳社保：投标人提供自投标截止之日前半年内任意一个月依法缴纳社会保障资金的凭据；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⑤ 投标人具备履行合同所必需的设备和专业技术能力的证明材料；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⑥ 投标人提供参加政府采购活动前 3 年内在经营活动中没有重大违法记录的书面声明（截至开标日成立不满 3 年的投标人，可提供自成立以来无重大违法记录的书面声明）。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3、投标人提供法定代表人授权委托书及被授权人身份证原件；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4、投标人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w:t>
            </w:r>
            <w:r>
              <w:rPr>
                <w:rFonts w:hint="eastAsia" w:ascii="宋体" w:hAnsi="宋体" w:eastAsia="宋体" w:cs="宋体"/>
                <w:color w:val="000000"/>
              </w:rPr>
              <w:t xml:space="preserve"> 打印件须显示时间</w:t>
            </w:r>
            <w:r>
              <w:rPr>
                <w:rFonts w:hint="eastAsia" w:cs="宋体" w:asciiTheme="minorEastAsia" w:hAnsiTheme="minorEastAsia" w:eastAsiaTheme="minorEastAsia"/>
              </w:rPr>
              <w:t>）。被列入以上条款尚在处罚期内的将拒绝其参本次采购活动；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5、本项目不接受联合体投标；</w:t>
            </w:r>
          </w:p>
          <w:p>
            <w:pPr>
              <w:pStyle w:val="38"/>
              <w:spacing w:before="75" w:beforeAutospacing="0" w:after="75" w:afterAutospacing="0" w:line="360" w:lineRule="auto"/>
              <w:rPr>
                <w:rFonts w:ascii="宋体" w:hAnsi="宋体" w:eastAsia="宋体" w:cs="宋体"/>
              </w:rPr>
            </w:pPr>
            <w:r>
              <w:rPr>
                <w:rFonts w:hint="eastAsia" w:cs="宋体" w:asciiTheme="minorEastAsia" w:hAnsiTheme="minorEastAsia" w:eastAsiaTheme="minorEastAsia"/>
              </w:rPr>
              <w:t>6、单位负责人为同一人或者存在直接控股、管理关系的不同投标人，不得同时参加本项目的竞争。 </w:t>
            </w:r>
            <w:r>
              <w:rPr>
                <w:rFonts w:hint="eastAsia" w:ascii="宋体" w:hAnsi="宋体" w:eastAsia="宋体" w:cs="宋体"/>
                <w:color w:val="00000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投标有效期：60天（如不满足将导致废标）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8493" w:type="dxa"/>
            <w:tcBorders>
              <w:top w:val="single" w:color="auto" w:sz="4" w:space="0"/>
              <w:left w:val="single" w:color="auto" w:sz="4" w:space="0"/>
              <w:bottom w:val="single" w:color="auto" w:sz="4" w:space="0"/>
              <w:right w:val="single" w:color="auto" w:sz="4" w:space="0"/>
            </w:tcBorders>
            <w:vAlign w:val="center"/>
          </w:tcPr>
          <w:p>
            <w:pPr>
              <w:pStyle w:val="109"/>
              <w:snapToGrid w:val="0"/>
              <w:spacing w:line="360" w:lineRule="auto"/>
              <w:jc w:val="both"/>
              <w:rPr>
                <w:rFonts w:ascii="宋体" w:hAnsi="宋体" w:cs="宋体"/>
                <w:color w:val="auto"/>
              </w:rPr>
            </w:pPr>
            <w:r>
              <w:rPr>
                <w:rFonts w:hint="eastAsia" w:cs="Arial" w:asciiTheme="minorEastAsia" w:hAnsiTheme="minorEastAsia" w:eastAsiaTheme="minorEastAsia"/>
                <w:color w:val="auto"/>
                <w:kern w:val="2"/>
              </w:rPr>
              <w:t>工期：90个日历天。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8493" w:type="dxa"/>
            <w:tcBorders>
              <w:top w:val="single" w:color="auto" w:sz="4" w:space="0"/>
              <w:left w:val="single" w:color="auto" w:sz="4" w:space="0"/>
              <w:bottom w:val="single" w:color="auto" w:sz="4" w:space="0"/>
              <w:right w:val="single" w:color="auto" w:sz="4" w:space="0"/>
            </w:tcBorders>
            <w:vAlign w:val="center"/>
          </w:tcPr>
          <w:p>
            <w:pPr>
              <w:pStyle w:val="109"/>
              <w:snapToGrid w:val="0"/>
              <w:spacing w:line="360" w:lineRule="auto"/>
              <w:rPr>
                <w:rFonts w:ascii="宋体" w:hAnsi="宋体" w:cs="宋体"/>
                <w:color w:val="auto"/>
              </w:rPr>
            </w:pPr>
            <w:r>
              <w:rPr>
                <w:rFonts w:hint="eastAsia" w:ascii="宋体" w:hAnsi="宋体" w:cs="宋体"/>
                <w:color w:val="auto"/>
              </w:rPr>
              <w:t>采购预算：3658600元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10</w:t>
            </w:r>
          </w:p>
        </w:tc>
        <w:tc>
          <w:tcPr>
            <w:tcW w:w="8493" w:type="dxa"/>
            <w:tcBorders>
              <w:top w:val="single" w:color="auto" w:sz="4" w:space="0"/>
              <w:left w:val="single" w:color="auto" w:sz="4" w:space="0"/>
              <w:bottom w:val="single" w:color="auto" w:sz="4" w:space="0"/>
              <w:right w:val="single" w:color="auto" w:sz="4" w:space="0"/>
            </w:tcBorders>
            <w:vAlign w:val="center"/>
          </w:tcPr>
          <w:p>
            <w:pPr>
              <w:pStyle w:val="109"/>
              <w:snapToGrid w:val="0"/>
              <w:spacing w:line="360" w:lineRule="auto"/>
              <w:jc w:val="both"/>
              <w:rPr>
                <w:rFonts w:ascii="宋体" w:hAnsi="宋体" w:cs="宋体"/>
                <w:color w:val="auto"/>
              </w:rPr>
            </w:pPr>
            <w:r>
              <w:rPr>
                <w:rFonts w:hint="eastAsia" w:cs="Arial" w:asciiTheme="minorEastAsia" w:hAnsiTheme="minorEastAsia" w:eastAsiaTheme="minorEastAsia"/>
                <w:color w:val="auto"/>
              </w:rPr>
              <w:t>付款方式：双方签订合同后，支付合同总价款的30%，中标单位按合同规定供货，安装调试验收合格后，凭验收合格证明及开具的完税发票，经采购人核实后支付合同总价款的67%，剩余3%作为质量保证金，质保期结束无任何质量问题后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11</w:t>
            </w:r>
          </w:p>
        </w:tc>
        <w:tc>
          <w:tcPr>
            <w:tcW w:w="8493" w:type="dxa"/>
            <w:tcBorders>
              <w:top w:val="single" w:color="auto" w:sz="4" w:space="0"/>
              <w:left w:val="single" w:color="auto" w:sz="4" w:space="0"/>
              <w:bottom w:val="single" w:color="auto" w:sz="4" w:space="0"/>
              <w:right w:val="single" w:color="auto" w:sz="4" w:space="0"/>
            </w:tcBorders>
            <w:vAlign w:val="center"/>
          </w:tcPr>
          <w:p>
            <w:pPr>
              <w:pStyle w:val="109"/>
              <w:snapToGrid w:val="0"/>
              <w:spacing w:line="360" w:lineRule="auto"/>
              <w:rPr>
                <w:rFonts w:ascii="宋体" w:hAnsi="宋体" w:cs="宋体"/>
                <w:color w:val="auto"/>
              </w:rPr>
            </w:pPr>
            <w:r>
              <w:rPr>
                <w:rFonts w:hint="eastAsia" w:ascii="宋体" w:hAnsi="宋体" w:cs="宋体"/>
                <w:color w:val="auto"/>
              </w:rPr>
              <w:t>质保期：3年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12</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相同品牌产品参加投标处理办法：</w:t>
            </w:r>
          </w:p>
          <w:p>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80" w:firstLineChars="200"/>
              <w:rPr>
                <w:rFonts w:ascii="宋体" w:hAnsi="宋体" w:cs="宋体"/>
              </w:rPr>
            </w:pPr>
            <w:r>
              <w:rPr>
                <w:rFonts w:hint="eastAsia" w:ascii="宋体" w:hAnsi="宋体" w:cs="宋体"/>
                <w:color w:val="000000"/>
                <w:kern w:val="0"/>
                <w:sz w:val="24"/>
                <w:szCs w:val="24"/>
              </w:rPr>
              <w:t>非单一产品采购项目，采购人应当根据采购项目技术构成、产品价格比重等合理确定核心产品，并在招标文件中载明。多家投标人提供的核心产品品牌相同的，按前款规定处理。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cs="Arial" w:asciiTheme="minorEastAsia" w:hAnsiTheme="minorEastAsia" w:eastAsiaTheme="minorEastAsia"/>
                <w:color w:val="000000"/>
                <w:sz w:val="24"/>
                <w:szCs w:val="24"/>
              </w:rPr>
              <w:t>*采购人将对投标人进行资格审查。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color w:val="000000"/>
                <w:sz w:val="24"/>
                <w:szCs w:val="24"/>
              </w:rPr>
            </w:pPr>
            <w:r>
              <w:rPr>
                <w:rFonts w:hint="eastAsia" w:ascii="宋体" w:hAnsi="宋体" w:cs="宋体"/>
                <w:b/>
                <w:bCs/>
                <w:color w:val="000000"/>
                <w:sz w:val="24"/>
                <w:szCs w:val="24"/>
              </w:rPr>
              <w:t>*资格审查：</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1、投标人须符合《中华人民共和国政府采购法》第二十二条规定,并提供《中华人民共和国政府采购法实施条例》第十七条所要求的材料；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①投标人提供有效的统一社会信用代码的营业执照，投标人必须是中华人民共和国境内注册的，具有独立承担民事责任的能力；</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② 财务状况报告：投标人提供2020年度经第三方权威机构出具的完整的财务审计报告或自发布公告之日起基本开户银行出具的资信证明；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③ 依法缴纳税收：投标人提供自投标截止之日前半年内任意一个月依法缴纳税收的凭据，依法免税的投标人，应提供充足的证明材料；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④ 依法缴纳社保：投标人提供自投标截止之日前半年内任意一个月依法缴纳社会保障资金的凭据；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⑤ 投标人具备履行合同所必需的设备和专业技术能力的证明材料；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⑥ 投标人提供参加政府采购活动前 3 年内在经营活动中没有重大违法记录的书面声明（截至开标日成立不满 3 年的投标人，可提供自成立以来无重大违法记录的书面声明）。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2、投标人提供法定代表人授权委托书及被授权人身份证原件； </w:t>
            </w:r>
          </w:p>
          <w:p>
            <w:pPr>
              <w:pStyle w:val="38"/>
              <w:spacing w:before="75" w:beforeAutospacing="0" w:after="75" w:afterAutospacing="0" w:line="360" w:lineRule="auto"/>
              <w:rPr>
                <w:rFonts w:cs="宋体" w:asciiTheme="minorEastAsia" w:hAnsiTheme="minorEastAsia" w:eastAsiaTheme="minorEastAsia"/>
              </w:rPr>
            </w:pPr>
            <w:r>
              <w:rPr>
                <w:rFonts w:hint="eastAsia" w:cs="宋体" w:asciiTheme="minorEastAsia" w:hAnsiTheme="minorEastAsia" w:eastAsiaTheme="minorEastAsia"/>
              </w:rPr>
              <w:t>3、投标人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w:t>
            </w:r>
            <w:r>
              <w:rPr>
                <w:rFonts w:hint="eastAsia" w:ascii="宋体" w:hAnsi="宋体" w:eastAsia="宋体" w:cs="宋体"/>
                <w:color w:val="000000"/>
              </w:rPr>
              <w:t xml:space="preserve"> 打印件须显示时间</w:t>
            </w:r>
            <w:r>
              <w:rPr>
                <w:rFonts w:hint="eastAsia" w:cs="宋体" w:asciiTheme="minorEastAsia" w:hAnsiTheme="minorEastAsia" w:eastAsiaTheme="minorEastAsia"/>
              </w:rPr>
              <w:t>）。被列入以上条款尚在处罚期内的将拒绝其参本次采购活动；   </w:t>
            </w:r>
          </w:p>
          <w:p>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4、投标保证金收据。</w:t>
            </w:r>
          </w:p>
          <w:p>
            <w:pPr>
              <w:pStyle w:val="13"/>
              <w:spacing w:line="360" w:lineRule="auto"/>
              <w:ind w:left="0" w:leftChars="0"/>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营业执照、保证金收据、法定代表人授权委托书及被授权人身份证（如为法定代表人投标，提供法定代表人身份证明和身份证）为原件单独提交审核；其他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为复印件单独提交审核（资格审查文件开标会议现场提交供采购人检查），并将所有资格审查复印件胶装在投标文件中，不合格或缺少一项将被认为资格审查不合格，将取消其竞标资格。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投标文件：正本1份，副本4份，开标一览表1份，电子版U盘1份（电子版必须是签字、盖章后的扫描件）。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投标文件递交截止时间：2021年10月</w:t>
            </w:r>
            <w:r>
              <w:rPr>
                <w:rFonts w:hint="eastAsia" w:ascii="宋体" w:hAnsi="宋体" w:cs="宋体"/>
                <w:sz w:val="24"/>
                <w:szCs w:val="24"/>
                <w:lang w:val="en-US" w:eastAsia="zh-CN"/>
              </w:rPr>
              <w:t>27</w:t>
            </w:r>
            <w:r>
              <w:rPr>
                <w:rFonts w:hint="eastAsia" w:ascii="宋体" w:hAnsi="宋体" w:cs="宋体"/>
                <w:sz w:val="24"/>
                <w:szCs w:val="24"/>
              </w:rPr>
              <w:t>日11时00分（北京时间）</w:t>
            </w:r>
          </w:p>
          <w:p>
            <w:pPr>
              <w:spacing w:line="360" w:lineRule="auto"/>
              <w:rPr>
                <w:rFonts w:ascii="宋体" w:hAnsi="宋体" w:cs="宋体"/>
                <w:sz w:val="24"/>
                <w:szCs w:val="24"/>
              </w:rPr>
            </w:pPr>
            <w:r>
              <w:rPr>
                <w:rFonts w:hint="eastAsia" w:ascii="宋体" w:hAnsi="宋体" w:cs="宋体"/>
                <w:sz w:val="24"/>
                <w:szCs w:val="24"/>
              </w:rPr>
              <w:t>投标文件以密封形式递交至：乌鲁木齐林森国际（克拉玛依西街364号）16楼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开标日期：2021年10月</w:t>
            </w:r>
            <w:r>
              <w:rPr>
                <w:rFonts w:hint="eastAsia" w:ascii="宋体" w:hAnsi="宋体" w:cs="宋体"/>
                <w:sz w:val="24"/>
                <w:szCs w:val="24"/>
                <w:lang w:val="en-US" w:eastAsia="zh-CN"/>
              </w:rPr>
              <w:t>27</w:t>
            </w:r>
            <w:r>
              <w:rPr>
                <w:rFonts w:hint="eastAsia" w:ascii="宋体" w:hAnsi="宋体" w:cs="宋体"/>
                <w:sz w:val="24"/>
                <w:szCs w:val="24"/>
              </w:rPr>
              <w:t>日11时00分（北京时间）</w:t>
            </w:r>
          </w:p>
          <w:p>
            <w:pPr>
              <w:spacing w:line="360" w:lineRule="auto"/>
              <w:rPr>
                <w:rFonts w:ascii="宋体" w:hAnsi="宋体" w:cs="宋体"/>
                <w:sz w:val="24"/>
                <w:szCs w:val="24"/>
              </w:rPr>
            </w:pPr>
            <w:r>
              <w:rPr>
                <w:rFonts w:hint="eastAsia" w:ascii="宋体" w:hAnsi="宋体" w:cs="宋体"/>
                <w:sz w:val="24"/>
                <w:szCs w:val="24"/>
              </w:rPr>
              <w:t>开标地点：乌鲁木齐林森国际（克拉玛依西街364号）16楼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18</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投标人要求澄清招标文件的截止时间：</w:t>
            </w:r>
          </w:p>
          <w:p>
            <w:pPr>
              <w:spacing w:line="360" w:lineRule="auto"/>
              <w:rPr>
                <w:rFonts w:ascii="宋体" w:hAnsi="宋体" w:cs="宋体"/>
                <w:color w:val="000000"/>
                <w:sz w:val="24"/>
                <w:szCs w:val="24"/>
              </w:rPr>
            </w:pPr>
            <w:r>
              <w:rPr>
                <w:rFonts w:hint="eastAsia" w:ascii="宋体" w:hAnsi="宋体" w:cs="宋体"/>
                <w:sz w:val="24"/>
                <w:szCs w:val="24"/>
              </w:rPr>
              <w:t>递交投标文件截止之日3天前。如未收到投标单位的书面要求，视为投标人完全认同招标文件内容，不得再对招标文件内容提出质疑或疑问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19</w:t>
            </w:r>
          </w:p>
        </w:tc>
        <w:tc>
          <w:tcPr>
            <w:tcW w:w="84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s="宋体"/>
                <w:bCs/>
                <w:sz w:val="24"/>
                <w:szCs w:val="24"/>
              </w:rPr>
            </w:pPr>
            <w:r>
              <w:rPr>
                <w:rFonts w:hint="eastAsia" w:ascii="宋体" w:hAnsi="宋体" w:cs="宋体"/>
                <w:bCs/>
                <w:sz w:val="24"/>
                <w:szCs w:val="24"/>
              </w:rPr>
              <w:t>特别说明：</w:t>
            </w:r>
          </w:p>
          <w:p>
            <w:pPr>
              <w:snapToGrid w:val="0"/>
              <w:spacing w:line="360" w:lineRule="auto"/>
              <w:ind w:right="105" w:rightChars="50"/>
              <w:rPr>
                <w:rFonts w:ascii="宋体" w:hAnsi="宋体" w:cs="宋体"/>
                <w:bCs/>
                <w:sz w:val="24"/>
                <w:szCs w:val="24"/>
              </w:rPr>
            </w:pPr>
            <w:r>
              <w:rPr>
                <w:rFonts w:hint="eastAsia" w:ascii="宋体" w:hAnsi="宋体" w:cs="宋体"/>
                <w:bCs/>
                <w:sz w:val="24"/>
                <w:szCs w:val="24"/>
              </w:rPr>
              <w:t>1、评标办法：综合评分法</w:t>
            </w:r>
          </w:p>
          <w:p>
            <w:pPr>
              <w:snapToGrid w:val="0"/>
              <w:spacing w:line="360" w:lineRule="auto"/>
              <w:ind w:right="105" w:rightChars="50"/>
              <w:rPr>
                <w:rFonts w:ascii="宋体" w:hAnsi="宋体" w:cs="宋体"/>
                <w:bCs/>
                <w:sz w:val="24"/>
                <w:szCs w:val="24"/>
              </w:rPr>
            </w:pPr>
            <w:r>
              <w:rPr>
                <w:rFonts w:hint="eastAsia" w:ascii="宋体" w:hAnsi="宋体" w:cs="宋体"/>
                <w:bCs/>
                <w:sz w:val="24"/>
                <w:szCs w:val="24"/>
              </w:rPr>
              <w:t>2、为保证本项目质量，良好的售后服务，最低报价不作为中标的唯一依据。</w:t>
            </w:r>
          </w:p>
          <w:p>
            <w:pPr>
              <w:spacing w:line="360" w:lineRule="auto"/>
              <w:rPr>
                <w:rFonts w:ascii="宋体" w:hAnsi="宋体" w:cs="宋体"/>
                <w:color w:val="000000"/>
                <w:sz w:val="24"/>
                <w:szCs w:val="24"/>
              </w:rPr>
            </w:pPr>
            <w:r>
              <w:rPr>
                <w:rFonts w:hint="eastAsia" w:ascii="宋体" w:hAnsi="宋体" w:cs="宋体"/>
                <w:sz w:val="24"/>
                <w:szCs w:val="24"/>
              </w:rPr>
              <w:t>3、采购人若发现中标候选人在投标过程中提供虚假证明文件，故意隐瞒公司不良信誉和财务状况，以及存在可能对合同圆满履行造成风险的其他因素等，则按规定取消其成交资格，监管部门依法进行处理。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20</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一、小微企业（监狱企业、残疾人福利性单位视同小微企业）价格扣除</w:t>
            </w:r>
          </w:p>
          <w:p>
            <w:pPr>
              <w:spacing w:line="360" w:lineRule="auto"/>
              <w:rPr>
                <w:rFonts w:ascii="宋体" w:hAnsi="宋体" w:cs="宋体"/>
                <w:color w:val="000000"/>
                <w:sz w:val="24"/>
                <w:szCs w:val="24"/>
              </w:rPr>
            </w:pPr>
            <w:r>
              <w:rPr>
                <w:rFonts w:hint="eastAsia" w:ascii="宋体" w:hAnsi="宋体" w:cs="宋体"/>
                <w:color w:val="000000"/>
                <w:sz w:val="24"/>
                <w:szCs w:val="24"/>
              </w:rPr>
              <w:t>1、根据</w:t>
            </w:r>
            <w:r>
              <w:rPr>
                <w:rFonts w:hint="eastAsia" w:ascii="宋体" w:hAnsi="宋体"/>
                <w:kern w:val="0"/>
                <w:sz w:val="24"/>
              </w:rPr>
              <w:t>《政府采购促进中小企业发展管理办法》（财库﹝</w:t>
            </w:r>
            <w:r>
              <w:rPr>
                <w:rFonts w:ascii="宋体" w:hAnsi="宋体"/>
                <w:kern w:val="0"/>
                <w:sz w:val="24"/>
              </w:rPr>
              <w:t>2020</w:t>
            </w:r>
            <w:r>
              <w:rPr>
                <w:rFonts w:hint="eastAsia" w:ascii="宋体" w:hAnsi="宋体"/>
                <w:kern w:val="0"/>
                <w:sz w:val="24"/>
              </w:rPr>
              <w:t>﹞</w:t>
            </w:r>
            <w:r>
              <w:rPr>
                <w:rFonts w:ascii="宋体" w:hAnsi="宋体"/>
                <w:kern w:val="0"/>
                <w:sz w:val="24"/>
              </w:rPr>
              <w:t xml:space="preserve">46 </w:t>
            </w:r>
            <w:r>
              <w:rPr>
                <w:rFonts w:hint="eastAsia" w:ascii="宋体" w:hAnsi="宋体"/>
                <w:kern w:val="0"/>
                <w:sz w:val="24"/>
              </w:rPr>
              <w:t>号）</w:t>
            </w:r>
            <w:r>
              <w:rPr>
                <w:rFonts w:hint="eastAsia" w:ascii="宋体" w:hAnsi="宋体" w:cs="宋体"/>
                <w:color w:val="000000"/>
                <w:sz w:val="24"/>
                <w:szCs w:val="24"/>
              </w:rPr>
              <w:t>的规定，对小型和微型企业产品的价格给予 6%的价格扣除，用扣除后的价格参与评审。</w:t>
            </w:r>
          </w:p>
          <w:p>
            <w:pPr>
              <w:spacing w:line="360" w:lineRule="auto"/>
              <w:rPr>
                <w:rFonts w:ascii="宋体" w:hAnsi="宋体" w:cs="宋体"/>
                <w:color w:val="000000"/>
                <w:sz w:val="24"/>
                <w:szCs w:val="24"/>
              </w:rPr>
            </w:pPr>
            <w:r>
              <w:rPr>
                <w:rFonts w:hint="eastAsia" w:ascii="宋体" w:hAnsi="宋体" w:cs="宋体"/>
                <w:color w:val="000000"/>
                <w:sz w:val="24"/>
                <w:szCs w:val="24"/>
              </w:rPr>
              <w:t>2、参加政府采购活动的中小微企业应当提供《中小企业声明函》、《残疾人福利性单位声明函》原件。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21</w:t>
            </w:r>
          </w:p>
        </w:tc>
        <w:tc>
          <w:tcPr>
            <w:tcW w:w="8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1、若所列产品属于政府强制采购的节能产品，须提供政府最新一期的节能清单。</w:t>
            </w:r>
          </w:p>
          <w:p>
            <w:pPr>
              <w:spacing w:line="360" w:lineRule="auto"/>
              <w:rPr>
                <w:rFonts w:ascii="宋体" w:hAnsi="宋体" w:cs="宋体"/>
                <w:color w:val="000000"/>
                <w:sz w:val="24"/>
                <w:szCs w:val="24"/>
              </w:rPr>
            </w:pPr>
            <w:r>
              <w:rPr>
                <w:rFonts w:hint="eastAsia" w:ascii="宋体" w:hAnsi="宋体" w:cs="宋体"/>
                <w:color w:val="000000"/>
                <w:sz w:val="24"/>
                <w:szCs w:val="24"/>
              </w:rPr>
              <w:t>2、节能政策：在技术、服务等指标同等条件下，优先采购属于国家公布的节能清单中产品。</w:t>
            </w:r>
          </w:p>
          <w:p>
            <w:pPr>
              <w:spacing w:line="360" w:lineRule="auto"/>
              <w:rPr>
                <w:rFonts w:ascii="宋体" w:hAnsi="宋体" w:cs="宋体"/>
                <w:color w:val="000000"/>
                <w:sz w:val="24"/>
                <w:szCs w:val="24"/>
              </w:rPr>
            </w:pPr>
            <w:r>
              <w:rPr>
                <w:rFonts w:hint="eastAsia" w:ascii="宋体" w:hAnsi="宋体" w:cs="宋体"/>
                <w:color w:val="000000"/>
                <w:sz w:val="24"/>
                <w:szCs w:val="24"/>
              </w:rPr>
              <w:t>3、环保政策：在性能、技术、服务等指标同等条件下，优先采购国家公布的环保产品清单中的产品。</w:t>
            </w:r>
          </w:p>
          <w:p>
            <w:pPr>
              <w:snapToGrid w:val="0"/>
              <w:spacing w:line="360" w:lineRule="auto"/>
              <w:ind w:right="105" w:rightChars="50"/>
              <w:rPr>
                <w:rFonts w:ascii="宋体" w:hAnsi="宋体" w:cs="宋体"/>
                <w:bCs/>
                <w:sz w:val="24"/>
                <w:szCs w:val="24"/>
              </w:rPr>
            </w:pPr>
            <w:r>
              <w:rPr>
                <w:rFonts w:hint="eastAsia" w:ascii="宋体" w:hAnsi="宋体" w:cs="宋体"/>
                <w:color w:val="000000"/>
                <w:sz w:val="24"/>
                <w:szCs w:val="24"/>
              </w:rPr>
              <w:t>4、扶持不发达地区和少数民族地区政策，按现行有效政策执行。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适用于本投标人须知的额外增加的变动：代理服务费由中标方向新疆天壹中山工程咨询有限公司支付，招标代理服务收费按差额定率累进法计算，（不含税）。</w:t>
            </w:r>
          </w:p>
        </w:tc>
      </w:tr>
    </w:tbl>
    <w:p>
      <w:pPr>
        <w:pStyle w:val="25"/>
        <w:snapToGrid w:val="0"/>
        <w:spacing w:before="100" w:beforeAutospacing="1" w:after="100" w:afterAutospacing="1" w:line="360" w:lineRule="auto"/>
        <w:ind w:left="0"/>
        <w:jc w:val="center"/>
        <w:rPr>
          <w:rFonts w:ascii="宋体" w:hAnsi="宋体"/>
          <w:b/>
          <w:bCs/>
          <w:sz w:val="28"/>
          <w:szCs w:val="28"/>
        </w:rPr>
      </w:pPr>
    </w:p>
    <w:p>
      <w:pPr>
        <w:pStyle w:val="19"/>
      </w:pPr>
    </w:p>
    <w:p>
      <w:pPr>
        <w:pStyle w:val="19"/>
      </w:pPr>
    </w:p>
    <w:p>
      <w:pPr>
        <w:pStyle w:val="19"/>
      </w:pPr>
    </w:p>
    <w:p>
      <w:pPr>
        <w:pStyle w:val="19"/>
      </w:pPr>
    </w:p>
    <w:p>
      <w:pPr>
        <w:pStyle w:val="19"/>
      </w:pPr>
    </w:p>
    <w:p>
      <w:pPr>
        <w:pStyle w:val="25"/>
        <w:snapToGrid w:val="0"/>
        <w:spacing w:before="100" w:beforeAutospacing="1" w:after="100" w:afterAutospacing="1" w:line="360" w:lineRule="auto"/>
        <w:ind w:left="0"/>
        <w:jc w:val="center"/>
        <w:rPr>
          <w:rFonts w:ascii="宋体" w:hAnsi="宋体"/>
          <w:b/>
          <w:bCs/>
          <w:sz w:val="28"/>
          <w:szCs w:val="28"/>
        </w:rPr>
      </w:pPr>
      <w:r>
        <w:rPr>
          <w:rFonts w:ascii="宋体" w:hAnsi="宋体"/>
          <w:b/>
          <w:bCs/>
          <w:sz w:val="28"/>
          <w:szCs w:val="28"/>
        </w:rPr>
        <w:t>（一）总则</w:t>
      </w:r>
    </w:p>
    <w:p>
      <w:pPr>
        <w:pStyle w:val="19"/>
        <w:spacing w:line="360" w:lineRule="auto"/>
        <w:rPr>
          <w:rFonts w:ascii="宋体" w:hAnsi="宋体" w:eastAsia="宋体"/>
        </w:rPr>
      </w:pPr>
      <w:r>
        <w:rPr>
          <w:rFonts w:ascii="宋体" w:hAnsi="宋体" w:eastAsia="宋体"/>
        </w:rPr>
        <w:t>1、</w:t>
      </w:r>
      <w:r>
        <w:rPr>
          <w:rFonts w:hint="eastAsia" w:ascii="宋体" w:hAnsi="宋体" w:eastAsia="宋体"/>
        </w:rPr>
        <w:t>项目</w:t>
      </w:r>
      <w:r>
        <w:rPr>
          <w:rFonts w:ascii="宋体" w:hAnsi="宋体" w:eastAsia="宋体"/>
        </w:rPr>
        <w:t>概况（</w:t>
      </w:r>
      <w:r>
        <w:rPr>
          <w:rFonts w:hint="eastAsia" w:ascii="宋体" w:hAnsi="宋体" w:eastAsia="宋体"/>
        </w:rPr>
        <w:t>见“投标须知前附表”</w:t>
      </w:r>
      <w:r>
        <w:rPr>
          <w:rFonts w:ascii="宋体" w:hAnsi="宋体" w:eastAsia="宋体"/>
        </w:rPr>
        <w:t>）</w:t>
      </w:r>
    </w:p>
    <w:p>
      <w:pPr>
        <w:spacing w:line="360" w:lineRule="auto"/>
        <w:rPr>
          <w:rFonts w:ascii="宋体" w:hAnsi="宋体"/>
          <w:sz w:val="24"/>
          <w:szCs w:val="28"/>
        </w:rPr>
      </w:pPr>
      <w:r>
        <w:rPr>
          <w:rFonts w:ascii="宋体" w:hAnsi="宋体"/>
          <w:bCs/>
          <w:sz w:val="24"/>
          <w:szCs w:val="28"/>
        </w:rPr>
        <w:t>2、</w:t>
      </w:r>
      <w:r>
        <w:rPr>
          <w:rFonts w:ascii="宋体" w:hAnsi="宋体"/>
          <w:sz w:val="24"/>
          <w:szCs w:val="28"/>
        </w:rPr>
        <w:t>有关单位和机构</w:t>
      </w:r>
    </w:p>
    <w:p>
      <w:pPr>
        <w:widowControl/>
        <w:spacing w:before="60" w:after="60" w:line="360" w:lineRule="auto"/>
        <w:ind w:firstLine="240" w:firstLineChars="100"/>
        <w:jc w:val="left"/>
        <w:rPr>
          <w:rFonts w:cs="宋体" w:asciiTheme="minorEastAsia" w:hAnsiTheme="minorEastAsia" w:eastAsiaTheme="minorEastAsia"/>
          <w:color w:val="000000"/>
          <w:kern w:val="0"/>
          <w:sz w:val="24"/>
          <w:szCs w:val="24"/>
        </w:rPr>
      </w:pPr>
      <w:r>
        <w:rPr>
          <w:rFonts w:hint="eastAsia" w:ascii="宋体" w:hAnsi="宋体"/>
          <w:sz w:val="24"/>
          <w:szCs w:val="28"/>
        </w:rPr>
        <w:t xml:space="preserve">2.1 </w:t>
      </w:r>
      <w:r>
        <w:rPr>
          <w:rFonts w:ascii="宋体" w:hAnsi="宋体"/>
          <w:sz w:val="24"/>
          <w:szCs w:val="28"/>
        </w:rPr>
        <w:t>招标人：</w:t>
      </w:r>
      <w:r>
        <w:rPr>
          <w:rFonts w:hint="eastAsia" w:cs="宋体" w:asciiTheme="minorEastAsia" w:hAnsiTheme="minorEastAsia" w:eastAsiaTheme="minorEastAsia"/>
          <w:color w:val="000000"/>
          <w:kern w:val="0"/>
          <w:sz w:val="24"/>
          <w:szCs w:val="24"/>
        </w:rPr>
        <w:t>新疆农业职业技术学院</w:t>
      </w:r>
    </w:p>
    <w:p>
      <w:pPr>
        <w:spacing w:line="360" w:lineRule="auto"/>
        <w:ind w:firstLine="240" w:firstLineChars="100"/>
        <w:rPr>
          <w:rFonts w:ascii="宋体" w:hAnsi="宋体"/>
          <w:sz w:val="24"/>
          <w:szCs w:val="28"/>
        </w:rPr>
      </w:pPr>
      <w:r>
        <w:rPr>
          <w:rFonts w:ascii="宋体" w:hAnsi="宋体"/>
          <w:sz w:val="24"/>
          <w:szCs w:val="28"/>
        </w:rPr>
        <w:t>2.</w:t>
      </w:r>
      <w:r>
        <w:rPr>
          <w:rFonts w:hint="eastAsia" w:ascii="宋体" w:hAnsi="宋体"/>
          <w:sz w:val="24"/>
          <w:szCs w:val="28"/>
        </w:rPr>
        <w:t xml:space="preserve">2 </w:t>
      </w:r>
      <w:r>
        <w:rPr>
          <w:rFonts w:ascii="宋体" w:hAnsi="宋体"/>
          <w:sz w:val="24"/>
          <w:szCs w:val="28"/>
        </w:rPr>
        <w:t>招标代理机构：</w:t>
      </w:r>
      <w:bookmarkStart w:id="14" w:name="_Toc41382531"/>
      <w:bookmarkStart w:id="15" w:name="_Toc56937784"/>
      <w:bookmarkStart w:id="16" w:name="_Toc40854917"/>
      <w:r>
        <w:rPr>
          <w:rFonts w:hint="eastAsia" w:ascii="宋体" w:hAnsi="宋体"/>
          <w:sz w:val="24"/>
        </w:rPr>
        <w:t>新疆天壹中山工程咨询有限公司</w:t>
      </w:r>
    </w:p>
    <w:p>
      <w:pPr>
        <w:spacing w:line="360" w:lineRule="auto"/>
        <w:rPr>
          <w:rFonts w:ascii="宋体" w:hAnsi="宋体"/>
          <w:sz w:val="24"/>
        </w:rPr>
      </w:pPr>
      <w:r>
        <w:rPr>
          <w:rFonts w:hint="eastAsia" w:ascii="宋体" w:hAnsi="宋体"/>
          <w:bCs/>
          <w:sz w:val="24"/>
        </w:rPr>
        <w:t>3</w:t>
      </w:r>
      <w:r>
        <w:rPr>
          <w:rFonts w:ascii="宋体" w:hAnsi="宋体"/>
          <w:bCs/>
          <w:sz w:val="24"/>
        </w:rPr>
        <w:t>、</w:t>
      </w:r>
      <w:r>
        <w:rPr>
          <w:rFonts w:ascii="宋体" w:hAnsi="宋体"/>
          <w:sz w:val="24"/>
        </w:rPr>
        <w:t>招标方式</w:t>
      </w:r>
      <w:bookmarkEnd w:id="14"/>
      <w:bookmarkEnd w:id="15"/>
      <w:bookmarkEnd w:id="16"/>
    </w:p>
    <w:p>
      <w:pPr>
        <w:spacing w:line="360" w:lineRule="auto"/>
        <w:ind w:firstLine="240" w:firstLineChars="100"/>
        <w:rPr>
          <w:rFonts w:ascii="宋体" w:hAnsi="宋体"/>
          <w:sz w:val="24"/>
        </w:rPr>
      </w:pPr>
      <w:r>
        <w:rPr>
          <w:rFonts w:hint="eastAsia" w:ascii="宋体" w:hAnsi="宋体"/>
          <w:sz w:val="24"/>
        </w:rPr>
        <w:t xml:space="preserve">3.1 </w:t>
      </w:r>
      <w:r>
        <w:rPr>
          <w:rFonts w:ascii="宋体" w:hAnsi="宋体"/>
          <w:sz w:val="24"/>
        </w:rPr>
        <w:t>本次招标实行</w:t>
      </w:r>
      <w:r>
        <w:rPr>
          <w:rFonts w:hint="eastAsia" w:ascii="宋体" w:hAnsi="宋体"/>
          <w:sz w:val="24"/>
        </w:rPr>
        <w:t>公开</w:t>
      </w:r>
      <w:r>
        <w:rPr>
          <w:rFonts w:ascii="宋体" w:hAnsi="宋体"/>
          <w:sz w:val="24"/>
        </w:rPr>
        <w:t>招标。</w:t>
      </w:r>
    </w:p>
    <w:p>
      <w:pPr>
        <w:adjustRightInd w:val="0"/>
        <w:snapToGrid w:val="0"/>
        <w:spacing w:line="360" w:lineRule="auto"/>
        <w:rPr>
          <w:rFonts w:ascii="宋体" w:hAnsi="宋体"/>
          <w:sz w:val="24"/>
        </w:rPr>
      </w:pPr>
      <w:bookmarkStart w:id="17" w:name="_Toc56937785"/>
      <w:bookmarkStart w:id="18" w:name="_Toc40854918"/>
      <w:bookmarkStart w:id="19" w:name="_Toc41382532"/>
      <w:r>
        <w:rPr>
          <w:rFonts w:hint="eastAsia" w:ascii="宋体" w:hAnsi="宋体"/>
          <w:bCs/>
          <w:sz w:val="24"/>
        </w:rPr>
        <w:t>4</w:t>
      </w:r>
      <w:r>
        <w:rPr>
          <w:rFonts w:ascii="宋体" w:hAnsi="宋体"/>
          <w:bCs/>
          <w:sz w:val="24"/>
        </w:rPr>
        <w:t>、</w:t>
      </w:r>
      <w:r>
        <w:rPr>
          <w:rFonts w:ascii="宋体" w:hAnsi="宋体"/>
          <w:sz w:val="24"/>
        </w:rPr>
        <w:t>投标人</w:t>
      </w:r>
      <w:bookmarkEnd w:id="17"/>
      <w:bookmarkEnd w:id="18"/>
      <w:bookmarkEnd w:id="19"/>
      <w:r>
        <w:rPr>
          <w:rFonts w:ascii="宋体" w:hAnsi="宋体"/>
          <w:sz w:val="24"/>
        </w:rPr>
        <w:t>资格</w:t>
      </w:r>
    </w:p>
    <w:p>
      <w:pPr>
        <w:pStyle w:val="38"/>
        <w:spacing w:before="255" w:beforeAutospacing="0" w:after="255" w:afterAutospacing="0" w:line="360" w:lineRule="auto"/>
        <w:ind w:firstLine="240" w:firstLineChars="100"/>
        <w:jc w:val="both"/>
        <w:rPr>
          <w:rFonts w:cs="宋体" w:asciiTheme="minorEastAsia" w:hAnsiTheme="minorEastAsia" w:eastAsiaTheme="minorEastAsia"/>
        </w:rPr>
      </w:pPr>
      <w:bookmarkStart w:id="20" w:name="_Toc56937786"/>
      <w:bookmarkStart w:id="21" w:name="_Toc41382533"/>
      <w:bookmarkStart w:id="22" w:name="_Toc40854919"/>
      <w:r>
        <w:rPr>
          <w:rFonts w:hint="eastAsia" w:cs="宋体" w:asciiTheme="minorEastAsia" w:hAnsiTheme="minorEastAsia" w:eastAsiaTheme="minorEastAsia"/>
        </w:rPr>
        <w:t>4.1落实政府采购政策需满足的资格要求：详见政府采购法； </w:t>
      </w:r>
    </w:p>
    <w:p>
      <w:pPr>
        <w:pStyle w:val="38"/>
        <w:spacing w:before="75" w:beforeAutospacing="0" w:after="75" w:afterAutospacing="0" w:line="360" w:lineRule="auto"/>
        <w:ind w:firstLine="240" w:firstLineChars="100"/>
        <w:rPr>
          <w:rFonts w:cs="宋体" w:asciiTheme="minorEastAsia" w:hAnsiTheme="minorEastAsia" w:eastAsiaTheme="minorEastAsia"/>
        </w:rPr>
      </w:pPr>
      <w:r>
        <w:rPr>
          <w:rFonts w:hint="eastAsia" w:cs="宋体" w:asciiTheme="minorEastAsia" w:hAnsiTheme="minorEastAsia" w:eastAsiaTheme="minorEastAsia"/>
        </w:rPr>
        <w:t>4.2投标人须符合《中华人民共和国政府采购法》第二十二条规定,并提供《中华人民共和国政府采购法实施条例》第十七条所要求的材料；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①投标人提供有效的统一社会信用代码的营业执照，投标人必须是中华人民共和国境内注册的，具有独立承担民事责任的能力；</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② 财务状况报告：投标人提供2020年度经第三方权威机构出具的完整的财务审计报告或自发布公告之日起基本开户银行出具的资信证明；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③ 依法缴纳税收：投标人提供自投标截止之日前半年内任意一个月依法缴纳税收的凭据，依法免税的投标人，应提供充足的证明材料；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④ 依法缴纳社保：投标人提供自投标截止之日前半年内任意一个月依法缴纳社会保障资金的凭据；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⑤ 投标人具备履行合同所必需的设备和专业技术能力的证明材料；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⑥ 投标人提供参加政府采购活动前 3 年内在经营活动中没有重大违法记录的书面声明（截至开标日成立不满 3 年的投标人，可提供自成立以来无重大违法记录的书面声明）。 </w:t>
      </w:r>
    </w:p>
    <w:p>
      <w:pPr>
        <w:pStyle w:val="38"/>
        <w:spacing w:before="75" w:beforeAutospacing="0" w:after="75" w:afterAutospacing="0" w:line="360" w:lineRule="auto"/>
        <w:ind w:firstLine="240" w:firstLineChars="100"/>
        <w:rPr>
          <w:rFonts w:cs="宋体" w:asciiTheme="minorEastAsia" w:hAnsiTheme="minorEastAsia" w:eastAsiaTheme="minorEastAsia"/>
        </w:rPr>
      </w:pPr>
      <w:r>
        <w:rPr>
          <w:rFonts w:hint="eastAsia" w:cs="宋体" w:asciiTheme="minorEastAsia" w:hAnsiTheme="minorEastAsia" w:eastAsiaTheme="minorEastAsia"/>
        </w:rPr>
        <w:t>4.3投标人提供法定代表人授权委托书及被授权人身份证原件； </w:t>
      </w:r>
    </w:p>
    <w:p>
      <w:pPr>
        <w:pStyle w:val="38"/>
        <w:spacing w:before="75" w:beforeAutospacing="0" w:after="75" w:afterAutospacing="0" w:line="360" w:lineRule="auto"/>
        <w:ind w:firstLine="240" w:firstLineChars="100"/>
        <w:rPr>
          <w:rFonts w:cs="宋体" w:asciiTheme="minorEastAsia" w:hAnsiTheme="minorEastAsia" w:eastAsiaTheme="minorEastAsia"/>
        </w:rPr>
      </w:pPr>
      <w:r>
        <w:rPr>
          <w:rFonts w:hint="eastAsia" w:cs="宋体" w:asciiTheme="minorEastAsia" w:hAnsiTheme="minorEastAsia" w:eastAsiaTheme="minorEastAsia"/>
        </w:rPr>
        <w:t>4.4投标人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w:t>
      </w:r>
      <w:r>
        <w:rPr>
          <w:rFonts w:hint="eastAsia" w:ascii="宋体" w:hAnsi="宋体" w:eastAsia="宋体" w:cs="宋体"/>
          <w:color w:val="000000"/>
        </w:rPr>
        <w:t>打印件须显示时间</w:t>
      </w:r>
      <w:r>
        <w:rPr>
          <w:rFonts w:hint="eastAsia" w:cs="宋体" w:asciiTheme="minorEastAsia" w:hAnsiTheme="minorEastAsia" w:eastAsiaTheme="minorEastAsia"/>
        </w:rPr>
        <w:t>）。被列入以上条款尚在处罚期内的将拒绝其参本次采购活动；  </w:t>
      </w:r>
    </w:p>
    <w:p>
      <w:pPr>
        <w:pStyle w:val="38"/>
        <w:spacing w:before="75" w:beforeAutospacing="0" w:after="75" w:afterAutospacing="0" w:line="360" w:lineRule="auto"/>
        <w:ind w:firstLine="240" w:firstLineChars="100"/>
        <w:rPr>
          <w:rFonts w:cs="宋体" w:asciiTheme="minorEastAsia" w:hAnsiTheme="minorEastAsia" w:eastAsiaTheme="minorEastAsia"/>
        </w:rPr>
      </w:pPr>
      <w:r>
        <w:rPr>
          <w:rFonts w:hint="eastAsia" w:cs="宋体" w:asciiTheme="minorEastAsia" w:hAnsiTheme="minorEastAsia" w:eastAsiaTheme="minorEastAsia"/>
        </w:rPr>
        <w:t>4.5本项目不接受联合体投标；</w:t>
      </w:r>
    </w:p>
    <w:p>
      <w:pPr>
        <w:pStyle w:val="38"/>
        <w:spacing w:before="255" w:beforeAutospacing="0" w:after="255" w:afterAutospacing="0" w:line="360" w:lineRule="auto"/>
        <w:ind w:firstLine="240" w:firstLineChars="100"/>
        <w:jc w:val="both"/>
        <w:rPr>
          <w:rFonts w:ascii="宋体" w:hAnsi="宋体" w:eastAsia="宋体" w:cs="宋体"/>
        </w:rPr>
      </w:pPr>
      <w:r>
        <w:rPr>
          <w:rFonts w:hint="eastAsia" w:cs="宋体" w:asciiTheme="minorEastAsia" w:hAnsiTheme="minorEastAsia" w:eastAsiaTheme="minorEastAsia"/>
        </w:rPr>
        <w:t>4.6单位负责人为同一人或者存在直接控股、管理关系的不同投标人，不得同时参加本项目的竞争。</w:t>
      </w:r>
      <w:r>
        <w:rPr>
          <w:rFonts w:hint="eastAsia" w:ascii="宋体" w:hAnsi="宋体" w:eastAsia="宋体" w:cs="宋体"/>
        </w:rPr>
        <w:t> </w:t>
      </w:r>
    </w:p>
    <w:p>
      <w:pPr>
        <w:widowControl/>
        <w:spacing w:before="63" w:after="63" w:line="360" w:lineRule="auto"/>
        <w:jc w:val="left"/>
        <w:rPr>
          <w:rFonts w:ascii="宋体" w:hAnsi="宋体" w:cs="Arial"/>
          <w:color w:val="000000"/>
          <w:kern w:val="0"/>
          <w:sz w:val="24"/>
          <w:szCs w:val="22"/>
        </w:rPr>
      </w:pPr>
      <w:r>
        <w:rPr>
          <w:rFonts w:hint="eastAsia" w:ascii="宋体" w:hAnsi="宋体" w:cs="Arial"/>
          <w:color w:val="000000"/>
          <w:kern w:val="0"/>
          <w:sz w:val="24"/>
          <w:szCs w:val="22"/>
        </w:rPr>
        <w:t>5、投标费用</w:t>
      </w:r>
      <w:bookmarkEnd w:id="20"/>
      <w:bookmarkEnd w:id="21"/>
      <w:bookmarkEnd w:id="22"/>
    </w:p>
    <w:p>
      <w:pPr>
        <w:widowControl/>
        <w:spacing w:before="63" w:after="63" w:line="360" w:lineRule="auto"/>
        <w:ind w:firstLine="480" w:firstLineChars="200"/>
        <w:jc w:val="left"/>
        <w:rPr>
          <w:rFonts w:ascii="宋体" w:hAnsi="宋体"/>
          <w:sz w:val="24"/>
        </w:rPr>
      </w:pPr>
      <w:r>
        <w:rPr>
          <w:rFonts w:hint="eastAsia" w:ascii="宋体" w:hAnsi="宋体" w:cs="Arial"/>
          <w:color w:val="000000"/>
          <w:kern w:val="0"/>
          <w:sz w:val="24"/>
          <w:szCs w:val="22"/>
        </w:rPr>
        <w:t>5.1投标人在投标活动中的有关准备工作、编制和递交投标文件等所发生的一切费用均由投标人自行负责，无论招标过程的处理方式和最后</w:t>
      </w:r>
      <w:r>
        <w:rPr>
          <w:rFonts w:ascii="宋体" w:hAnsi="宋体"/>
          <w:sz w:val="24"/>
        </w:rPr>
        <w:t>决标结果如何，招标人对投标人不承担任何费用。</w:t>
      </w:r>
      <w:bookmarkStart w:id="23" w:name="_Toc40854920"/>
      <w:bookmarkStart w:id="24" w:name="_Toc41382534"/>
      <w:bookmarkStart w:id="25" w:name="_Toc56937787"/>
    </w:p>
    <w:bookmarkEnd w:id="23"/>
    <w:bookmarkEnd w:id="24"/>
    <w:bookmarkEnd w:id="25"/>
    <w:p>
      <w:pPr>
        <w:pStyle w:val="25"/>
        <w:snapToGrid w:val="0"/>
        <w:spacing w:line="360" w:lineRule="auto"/>
        <w:jc w:val="left"/>
        <w:rPr>
          <w:rFonts w:ascii="宋体" w:hAnsi="宋体"/>
        </w:rPr>
      </w:pPr>
      <w:bookmarkStart w:id="26" w:name="_Toc56937789"/>
      <w:bookmarkStart w:id="27" w:name="_Toc41382536"/>
      <w:bookmarkStart w:id="28" w:name="_Toc40854922"/>
      <w:r>
        <w:rPr>
          <w:rFonts w:hint="eastAsia" w:ascii="宋体" w:hAnsi="宋体"/>
          <w:bCs/>
        </w:rPr>
        <w:t>6</w:t>
      </w:r>
      <w:r>
        <w:rPr>
          <w:rFonts w:ascii="宋体" w:hAnsi="宋体"/>
          <w:bCs/>
        </w:rPr>
        <w:t>、</w:t>
      </w:r>
      <w:r>
        <w:rPr>
          <w:rFonts w:hint="eastAsia" w:ascii="宋体" w:hAnsi="宋体"/>
        </w:rPr>
        <w:t>项目</w:t>
      </w:r>
      <w:r>
        <w:rPr>
          <w:rFonts w:ascii="宋体" w:hAnsi="宋体"/>
        </w:rPr>
        <w:t>要求</w:t>
      </w:r>
      <w:bookmarkEnd w:id="26"/>
      <w:bookmarkEnd w:id="27"/>
      <w:bookmarkEnd w:id="28"/>
    </w:p>
    <w:p>
      <w:pPr>
        <w:pStyle w:val="25"/>
        <w:snapToGrid w:val="0"/>
        <w:spacing w:line="360" w:lineRule="auto"/>
        <w:ind w:firstLine="240" w:firstLineChars="100"/>
        <w:jc w:val="left"/>
        <w:rPr>
          <w:rFonts w:ascii="宋体" w:hAnsi="宋体"/>
          <w:color w:val="000000"/>
        </w:rPr>
      </w:pPr>
      <w:r>
        <w:rPr>
          <w:rFonts w:hint="eastAsia" w:ascii="宋体" w:hAnsi="宋体"/>
          <w:szCs w:val="28"/>
        </w:rPr>
        <w:t>6</w:t>
      </w:r>
      <w:r>
        <w:rPr>
          <w:rFonts w:ascii="宋体" w:hAnsi="宋体"/>
          <w:szCs w:val="28"/>
        </w:rPr>
        <w:t>.1</w:t>
      </w:r>
      <w:bookmarkStart w:id="29" w:name="_Toc56937791"/>
      <w:bookmarkStart w:id="30" w:name="_Toc41382538"/>
      <w:r>
        <w:rPr>
          <w:rFonts w:hint="eastAsia" w:ascii="宋体" w:hAnsi="宋体"/>
        </w:rPr>
        <w:t>项目地点</w:t>
      </w:r>
      <w:r>
        <w:rPr>
          <w:rFonts w:ascii="宋体" w:hAnsi="宋体"/>
          <w:color w:val="000000"/>
        </w:rPr>
        <w:t>：</w:t>
      </w:r>
      <w:bookmarkEnd w:id="29"/>
      <w:bookmarkEnd w:id="30"/>
      <w:r>
        <w:rPr>
          <w:rFonts w:hint="eastAsia" w:ascii="宋体" w:hAnsi="宋体"/>
          <w:color w:val="000000"/>
        </w:rPr>
        <w:t>新疆农业职业技术学院指定地点</w:t>
      </w:r>
      <w:bookmarkStart w:id="31" w:name="_Toc40854924"/>
      <w:bookmarkStart w:id="32" w:name="_Toc41382539"/>
      <w:bookmarkStart w:id="33" w:name="_Toc56937792"/>
      <w:r>
        <w:rPr>
          <w:rFonts w:hint="eastAsia" w:ascii="宋体" w:hAnsi="宋体"/>
          <w:color w:val="000000"/>
        </w:rPr>
        <w:t>。</w:t>
      </w:r>
    </w:p>
    <w:p>
      <w:pPr>
        <w:pStyle w:val="25"/>
        <w:snapToGrid w:val="0"/>
        <w:spacing w:before="100" w:beforeAutospacing="1" w:after="100" w:afterAutospacing="1" w:line="360" w:lineRule="auto"/>
        <w:jc w:val="center"/>
        <w:rPr>
          <w:rFonts w:ascii="宋体" w:hAnsi="宋体"/>
          <w:b/>
          <w:bCs/>
          <w:sz w:val="28"/>
          <w:szCs w:val="28"/>
        </w:rPr>
      </w:pPr>
      <w:r>
        <w:rPr>
          <w:rFonts w:hint="eastAsia" w:ascii="宋体" w:hAnsi="宋体"/>
          <w:b/>
          <w:bCs/>
          <w:sz w:val="28"/>
          <w:szCs w:val="28"/>
        </w:rPr>
        <w:t>（二）招标文件</w:t>
      </w:r>
      <w:bookmarkEnd w:id="31"/>
      <w:bookmarkEnd w:id="32"/>
      <w:bookmarkEnd w:id="33"/>
      <w:bookmarkStart w:id="34" w:name="_Toc40854925"/>
      <w:bookmarkStart w:id="35" w:name="_Toc41382540"/>
      <w:bookmarkStart w:id="36" w:name="_Toc56937793"/>
    </w:p>
    <w:p>
      <w:pPr>
        <w:pStyle w:val="25"/>
        <w:tabs>
          <w:tab w:val="left" w:pos="1260"/>
        </w:tabs>
        <w:snapToGrid w:val="0"/>
        <w:spacing w:line="360" w:lineRule="auto"/>
        <w:rPr>
          <w:rFonts w:ascii="宋体" w:hAnsi="宋体"/>
        </w:rPr>
      </w:pPr>
      <w:r>
        <w:rPr>
          <w:rFonts w:hint="eastAsia" w:ascii="宋体" w:hAnsi="宋体"/>
          <w:bCs/>
        </w:rPr>
        <w:t>7</w:t>
      </w:r>
      <w:r>
        <w:rPr>
          <w:rFonts w:ascii="宋体" w:hAnsi="宋体"/>
          <w:bCs/>
        </w:rPr>
        <w:t>、</w:t>
      </w:r>
      <w:r>
        <w:rPr>
          <w:rFonts w:ascii="宋体" w:hAnsi="宋体"/>
        </w:rPr>
        <w:t>招标文件的组成</w:t>
      </w:r>
      <w:bookmarkEnd w:id="34"/>
      <w:bookmarkEnd w:id="35"/>
      <w:bookmarkEnd w:id="36"/>
    </w:p>
    <w:p>
      <w:pPr>
        <w:spacing w:line="360" w:lineRule="auto"/>
        <w:ind w:firstLine="240" w:firstLineChars="100"/>
        <w:rPr>
          <w:rFonts w:ascii="宋体" w:hAnsi="宋体"/>
          <w:sz w:val="24"/>
          <w:szCs w:val="28"/>
        </w:rPr>
      </w:pPr>
      <w:bookmarkStart w:id="37" w:name="_Toc40854927"/>
      <w:bookmarkStart w:id="38" w:name="_Toc56937795"/>
      <w:bookmarkStart w:id="39" w:name="_Toc41382542"/>
      <w:r>
        <w:rPr>
          <w:rFonts w:hint="eastAsia" w:ascii="宋体" w:hAnsi="宋体"/>
          <w:sz w:val="24"/>
          <w:szCs w:val="28"/>
        </w:rPr>
        <w:t>7.1招标文件由本文件及由招标人按招标文件有关规定发出的招标文件补充构成。</w:t>
      </w:r>
    </w:p>
    <w:p>
      <w:pPr>
        <w:spacing w:line="360" w:lineRule="auto"/>
        <w:ind w:firstLine="240" w:firstLineChars="100"/>
        <w:rPr>
          <w:rFonts w:ascii="宋体" w:hAnsi="宋体"/>
          <w:sz w:val="24"/>
          <w:szCs w:val="28"/>
        </w:rPr>
      </w:pPr>
      <w:r>
        <w:rPr>
          <w:rFonts w:hint="eastAsia" w:ascii="宋体" w:hAnsi="宋体"/>
          <w:sz w:val="24"/>
          <w:szCs w:val="28"/>
        </w:rPr>
        <w:t>7.2 招标文件的澄清、修改、招标答疑会纪要等书面材料在本招标项目中均称招标文件补充。</w:t>
      </w:r>
    </w:p>
    <w:p>
      <w:pPr>
        <w:spacing w:line="360" w:lineRule="auto"/>
        <w:ind w:firstLine="240" w:firstLineChars="100"/>
        <w:rPr>
          <w:rFonts w:ascii="宋体" w:hAnsi="宋体"/>
          <w:sz w:val="24"/>
          <w:szCs w:val="28"/>
        </w:rPr>
      </w:pPr>
      <w:r>
        <w:rPr>
          <w:rFonts w:hint="eastAsia" w:ascii="宋体" w:hAnsi="宋体"/>
          <w:sz w:val="24"/>
          <w:szCs w:val="28"/>
        </w:rPr>
        <w:t>7.3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pacing w:line="360" w:lineRule="auto"/>
        <w:ind w:firstLine="240" w:firstLineChars="100"/>
        <w:rPr>
          <w:rFonts w:ascii="宋体" w:hAnsi="宋体"/>
          <w:sz w:val="24"/>
          <w:szCs w:val="28"/>
        </w:rPr>
      </w:pPr>
      <w:r>
        <w:rPr>
          <w:rFonts w:hint="eastAsia" w:ascii="宋体" w:hAnsi="宋体"/>
          <w:sz w:val="24"/>
          <w:szCs w:val="28"/>
        </w:rPr>
        <w:t>7.4 投标人应认真审阅和理解招标文件所有内容，尤其应注意有“废标”、“拒绝评审”字样的条款，否则引起的后果由投标人自负。</w:t>
      </w:r>
    </w:p>
    <w:p>
      <w:pPr>
        <w:pStyle w:val="33"/>
        <w:spacing w:line="360" w:lineRule="auto"/>
        <w:ind w:left="480" w:hanging="480"/>
        <w:rPr>
          <w:rFonts w:ascii="宋体" w:hAnsi="宋体" w:cs="Times New Roman"/>
          <w:b w:val="0"/>
          <w:szCs w:val="28"/>
        </w:rPr>
      </w:pPr>
      <w:r>
        <w:rPr>
          <w:rFonts w:hint="eastAsia" w:ascii="宋体" w:hAnsi="宋体" w:cs="Times New Roman"/>
          <w:b w:val="0"/>
          <w:szCs w:val="28"/>
        </w:rPr>
        <w:t>8、招标文件的修改</w:t>
      </w:r>
      <w:bookmarkEnd w:id="37"/>
      <w:bookmarkEnd w:id="38"/>
      <w:bookmarkEnd w:id="39"/>
    </w:p>
    <w:p>
      <w:pPr>
        <w:spacing w:line="360" w:lineRule="auto"/>
        <w:ind w:firstLine="240" w:firstLineChars="100"/>
        <w:rPr>
          <w:rFonts w:ascii="宋体" w:hAnsi="宋体"/>
          <w:sz w:val="24"/>
          <w:szCs w:val="28"/>
        </w:rPr>
      </w:pPr>
      <w:r>
        <w:rPr>
          <w:rFonts w:hint="eastAsia" w:ascii="宋体" w:hAnsi="宋体"/>
          <w:sz w:val="24"/>
          <w:szCs w:val="28"/>
        </w:rPr>
        <w:t>8.1招标人在投标截止日前15天的任何时候，可因任何原因，对招标文件进行修改。这种修改可能是招标人主动作出的，也可能是为了解答投标人要求澄清的问题而作出的。招标人对招标文件的修改，以向投标人发出招标补充文件的方式作出。</w:t>
      </w:r>
    </w:p>
    <w:p>
      <w:pPr>
        <w:spacing w:line="360" w:lineRule="auto"/>
        <w:ind w:firstLine="240" w:firstLineChars="100"/>
        <w:rPr>
          <w:rFonts w:ascii="宋体" w:hAnsi="宋体"/>
          <w:sz w:val="24"/>
          <w:szCs w:val="28"/>
        </w:rPr>
      </w:pPr>
      <w:r>
        <w:rPr>
          <w:rFonts w:hint="eastAsia" w:ascii="宋体" w:hAnsi="宋体"/>
          <w:sz w:val="24"/>
          <w:szCs w:val="28"/>
        </w:rPr>
        <w:t>8.2招标补充文件将以书面的方式发给所有获得招标文件的投标人，并对他们起约束作用。</w:t>
      </w:r>
    </w:p>
    <w:p>
      <w:pPr>
        <w:spacing w:line="360" w:lineRule="auto"/>
        <w:ind w:firstLine="240" w:firstLineChars="100"/>
        <w:rPr>
          <w:rFonts w:ascii="宋体" w:hAnsi="宋体"/>
          <w:sz w:val="24"/>
          <w:szCs w:val="28"/>
        </w:rPr>
      </w:pPr>
      <w:r>
        <w:rPr>
          <w:rFonts w:hint="eastAsia" w:ascii="宋体" w:hAnsi="宋体"/>
          <w:sz w:val="24"/>
          <w:szCs w:val="28"/>
        </w:rPr>
        <w:t>8.3如果招标人对招标文件进行了修改，为使投标人有合理的时间将修改通知内容考虑进去，招标人可以酌情延长递交投标文件的截止日期，具体时间将在通知中写明。</w:t>
      </w:r>
      <w:bookmarkStart w:id="40" w:name="_Toc41382543"/>
      <w:bookmarkStart w:id="41" w:name="_Toc40854928"/>
      <w:bookmarkStart w:id="42" w:name="_Toc56937796"/>
    </w:p>
    <w:p>
      <w:pPr>
        <w:spacing w:line="360" w:lineRule="auto"/>
        <w:rPr>
          <w:rFonts w:ascii="宋体" w:hAnsi="宋体"/>
          <w:sz w:val="24"/>
          <w:szCs w:val="28"/>
        </w:rPr>
      </w:pPr>
      <w:r>
        <w:rPr>
          <w:rFonts w:hint="eastAsia" w:ascii="宋体" w:hAnsi="宋体"/>
          <w:sz w:val="24"/>
          <w:szCs w:val="28"/>
        </w:rPr>
        <w:t>9、招标文件的效力</w:t>
      </w:r>
      <w:bookmarkEnd w:id="40"/>
      <w:bookmarkEnd w:id="41"/>
      <w:bookmarkEnd w:id="42"/>
    </w:p>
    <w:p>
      <w:pPr>
        <w:spacing w:line="360" w:lineRule="auto"/>
        <w:rPr>
          <w:rFonts w:ascii="宋体" w:hAnsi="宋体"/>
          <w:sz w:val="24"/>
          <w:szCs w:val="28"/>
        </w:rPr>
      </w:pPr>
      <w:r>
        <w:rPr>
          <w:rFonts w:hint="eastAsia" w:ascii="宋体" w:hAnsi="宋体"/>
          <w:sz w:val="24"/>
          <w:szCs w:val="28"/>
        </w:rPr>
        <w:t xml:space="preserve">    招标文件是项目招标和投标的有效依据，也是中标后签订承包合同的依据，同时也是合同的组成文件，对招投标双方均具有约束力。凡不遵守招标文件规定的投标或对招标文件的实质性内容不响应者，将可能被拒绝或以无效标处理。</w:t>
      </w:r>
      <w:bookmarkStart w:id="43" w:name="_Toc40854929"/>
      <w:bookmarkStart w:id="44" w:name="_Toc56937797"/>
      <w:bookmarkStart w:id="45" w:name="_Toc41382544"/>
    </w:p>
    <w:p>
      <w:pPr>
        <w:pStyle w:val="20"/>
        <w:snapToGrid w:val="0"/>
        <w:spacing w:line="360" w:lineRule="auto"/>
        <w:ind w:firstLine="0"/>
        <w:jc w:val="center"/>
        <w:rPr>
          <w:b/>
          <w:bCs/>
          <w:szCs w:val="28"/>
        </w:rPr>
      </w:pPr>
      <w:r>
        <w:rPr>
          <w:rFonts w:hint="eastAsia"/>
          <w:b/>
          <w:bCs/>
          <w:szCs w:val="28"/>
        </w:rPr>
        <w:t>（三）投标文件</w:t>
      </w:r>
      <w:bookmarkEnd w:id="43"/>
      <w:bookmarkEnd w:id="44"/>
      <w:bookmarkEnd w:id="45"/>
      <w:bookmarkStart w:id="46" w:name="_Toc56937798"/>
      <w:bookmarkStart w:id="47" w:name="_Toc41382545"/>
      <w:bookmarkStart w:id="48" w:name="_Toc40854930"/>
    </w:p>
    <w:p>
      <w:pPr>
        <w:spacing w:line="360" w:lineRule="auto"/>
        <w:rPr>
          <w:rFonts w:ascii="宋体" w:hAnsi="宋体"/>
          <w:sz w:val="24"/>
          <w:szCs w:val="28"/>
        </w:rPr>
      </w:pPr>
      <w:r>
        <w:rPr>
          <w:rFonts w:hint="eastAsia" w:ascii="宋体" w:hAnsi="宋体"/>
          <w:sz w:val="24"/>
          <w:szCs w:val="28"/>
        </w:rPr>
        <w:t>10、投标文件的语言及度量衡及货币单位</w:t>
      </w:r>
      <w:bookmarkEnd w:id="46"/>
      <w:bookmarkEnd w:id="47"/>
      <w:bookmarkEnd w:id="48"/>
    </w:p>
    <w:p>
      <w:pPr>
        <w:spacing w:line="360" w:lineRule="auto"/>
        <w:ind w:firstLine="240" w:firstLineChars="100"/>
        <w:rPr>
          <w:rFonts w:ascii="宋体" w:hAnsi="宋体"/>
          <w:sz w:val="24"/>
          <w:szCs w:val="28"/>
        </w:rPr>
      </w:pPr>
      <w:r>
        <w:rPr>
          <w:rFonts w:hint="eastAsia" w:ascii="宋体" w:hAnsi="宋体"/>
          <w:sz w:val="24"/>
          <w:szCs w:val="28"/>
        </w:rPr>
        <w:t>10.1投标文件和与投标有关的所有文件均应使用中文。</w:t>
      </w:r>
    </w:p>
    <w:p>
      <w:pPr>
        <w:spacing w:line="360" w:lineRule="auto"/>
        <w:ind w:firstLine="240" w:firstLineChars="100"/>
        <w:rPr>
          <w:rFonts w:ascii="宋体" w:hAnsi="宋体"/>
          <w:sz w:val="24"/>
          <w:szCs w:val="28"/>
        </w:rPr>
      </w:pPr>
      <w:r>
        <w:rPr>
          <w:rFonts w:hint="eastAsia" w:ascii="宋体" w:hAnsi="宋体"/>
          <w:sz w:val="24"/>
          <w:szCs w:val="28"/>
        </w:rPr>
        <w:t>10.2除技术规格中另有规定外，投标文件使用的度量衡单位，均采用中华人民共和国法定计量单位。</w:t>
      </w:r>
      <w:bookmarkStart w:id="49" w:name="_Toc40854931"/>
      <w:bookmarkStart w:id="50" w:name="_Toc56937799"/>
      <w:bookmarkStart w:id="51" w:name="_Toc41382546"/>
    </w:p>
    <w:p>
      <w:pPr>
        <w:spacing w:line="360" w:lineRule="auto"/>
        <w:ind w:firstLine="240" w:firstLineChars="100"/>
        <w:rPr>
          <w:rFonts w:ascii="宋体" w:hAnsi="宋体"/>
          <w:sz w:val="24"/>
          <w:szCs w:val="28"/>
        </w:rPr>
      </w:pPr>
      <w:r>
        <w:rPr>
          <w:rFonts w:hint="eastAsia" w:ascii="宋体" w:hAnsi="宋体"/>
          <w:sz w:val="24"/>
          <w:szCs w:val="28"/>
        </w:rPr>
        <w:t>10.3投标货币为人民币。</w:t>
      </w:r>
    </w:p>
    <w:p>
      <w:pPr>
        <w:spacing w:line="360" w:lineRule="auto"/>
        <w:rPr>
          <w:rFonts w:ascii="宋体" w:hAnsi="宋体"/>
          <w:sz w:val="24"/>
          <w:szCs w:val="28"/>
        </w:rPr>
      </w:pPr>
      <w:r>
        <w:rPr>
          <w:rFonts w:hint="eastAsia" w:ascii="宋体" w:hAnsi="宋体"/>
          <w:sz w:val="24"/>
          <w:szCs w:val="28"/>
        </w:rPr>
        <w:t>11、投标文件的组成</w:t>
      </w:r>
      <w:bookmarkEnd w:id="49"/>
      <w:bookmarkEnd w:id="50"/>
      <w:bookmarkEnd w:id="51"/>
      <w:r>
        <w:rPr>
          <w:rFonts w:hint="eastAsia" w:ascii="宋体" w:hAnsi="宋体"/>
          <w:sz w:val="24"/>
          <w:szCs w:val="28"/>
        </w:rPr>
        <w:t>（投标人编写的投标文件应包括商务标内容及技术标内容两部分）</w:t>
      </w:r>
    </w:p>
    <w:p>
      <w:pPr>
        <w:spacing w:line="360" w:lineRule="auto"/>
        <w:ind w:firstLine="240" w:firstLineChars="100"/>
        <w:rPr>
          <w:rFonts w:ascii="宋体" w:hAnsi="宋体"/>
          <w:sz w:val="24"/>
          <w:szCs w:val="28"/>
        </w:rPr>
      </w:pPr>
      <w:r>
        <w:rPr>
          <w:rFonts w:hint="eastAsia" w:ascii="宋体" w:hAnsi="宋体"/>
          <w:sz w:val="24"/>
          <w:szCs w:val="28"/>
        </w:rPr>
        <w:t>投标方应仔细阅读招标文件中的所有内容，按照招标文件及招标技术要求，详细编制投标文件，并保证投标文件的正确性和真实性。不按招标文件的要求提供的投标文件可能导致被拒绝。投标文件组成如下：</w:t>
      </w:r>
    </w:p>
    <w:p>
      <w:pPr>
        <w:spacing w:line="360" w:lineRule="auto"/>
        <w:ind w:firstLine="240" w:firstLineChars="100"/>
        <w:rPr>
          <w:rFonts w:ascii="宋体" w:hAnsi="宋体"/>
          <w:sz w:val="24"/>
          <w:szCs w:val="28"/>
        </w:rPr>
      </w:pPr>
      <w:r>
        <w:rPr>
          <w:rFonts w:hint="eastAsia" w:ascii="宋体" w:hAnsi="宋体"/>
          <w:sz w:val="24"/>
          <w:szCs w:val="28"/>
        </w:rPr>
        <w:t>11.1 投标文件内容</w:t>
      </w:r>
    </w:p>
    <w:p>
      <w:pPr>
        <w:spacing w:line="360" w:lineRule="auto"/>
        <w:ind w:firstLine="240" w:firstLineChars="100"/>
        <w:rPr>
          <w:rFonts w:ascii="宋体" w:hAnsi="宋体"/>
          <w:sz w:val="24"/>
          <w:szCs w:val="28"/>
        </w:rPr>
      </w:pPr>
      <w:r>
        <w:rPr>
          <w:rFonts w:hint="eastAsia" w:ascii="宋体" w:hAnsi="宋体"/>
          <w:sz w:val="24"/>
          <w:szCs w:val="28"/>
        </w:rPr>
        <w:t>1）投标函</w:t>
      </w:r>
    </w:p>
    <w:p>
      <w:pPr>
        <w:snapToGrid w:val="0"/>
        <w:spacing w:line="360" w:lineRule="auto"/>
        <w:ind w:firstLine="240" w:firstLineChars="100"/>
        <w:rPr>
          <w:rFonts w:ascii="宋体" w:hAnsi="宋体"/>
          <w:sz w:val="24"/>
        </w:rPr>
      </w:pPr>
      <w:r>
        <w:rPr>
          <w:rFonts w:hint="eastAsia" w:ascii="宋体" w:hAnsi="宋体"/>
          <w:sz w:val="24"/>
        </w:rPr>
        <w:t>2）法定代表人身份证明</w:t>
      </w:r>
    </w:p>
    <w:p>
      <w:pPr>
        <w:snapToGrid w:val="0"/>
        <w:spacing w:line="360" w:lineRule="auto"/>
        <w:ind w:firstLine="240" w:firstLineChars="100"/>
        <w:rPr>
          <w:rFonts w:ascii="宋体" w:hAnsi="宋体"/>
          <w:sz w:val="24"/>
        </w:rPr>
      </w:pPr>
      <w:r>
        <w:rPr>
          <w:rFonts w:hint="eastAsia" w:ascii="宋体" w:hAnsi="宋体"/>
          <w:sz w:val="24"/>
        </w:rPr>
        <w:t>3）法定代表人授权委托书</w:t>
      </w:r>
    </w:p>
    <w:p>
      <w:pPr>
        <w:snapToGrid w:val="0"/>
        <w:spacing w:line="360" w:lineRule="auto"/>
        <w:ind w:firstLine="240" w:firstLineChars="100"/>
        <w:rPr>
          <w:rFonts w:ascii="宋体" w:hAnsi="宋体"/>
          <w:sz w:val="24"/>
        </w:rPr>
      </w:pPr>
      <w:r>
        <w:rPr>
          <w:rFonts w:hint="eastAsia" w:ascii="宋体" w:hAnsi="宋体"/>
          <w:sz w:val="24"/>
        </w:rPr>
        <w:t>4）投标人资质证明文件</w:t>
      </w:r>
    </w:p>
    <w:p>
      <w:pPr>
        <w:snapToGrid w:val="0"/>
        <w:spacing w:line="360" w:lineRule="auto"/>
        <w:ind w:firstLine="240" w:firstLineChars="100"/>
        <w:rPr>
          <w:rFonts w:ascii="宋体" w:hAnsi="宋体"/>
          <w:sz w:val="24"/>
        </w:rPr>
      </w:pPr>
      <w:r>
        <w:rPr>
          <w:rFonts w:hint="eastAsia" w:ascii="宋体" w:hAnsi="宋体"/>
          <w:sz w:val="24"/>
        </w:rPr>
        <w:t>5）投标报价表</w:t>
      </w:r>
    </w:p>
    <w:p>
      <w:pPr>
        <w:snapToGrid w:val="0"/>
        <w:spacing w:line="360" w:lineRule="auto"/>
        <w:ind w:firstLine="240" w:firstLineChars="100"/>
        <w:rPr>
          <w:rFonts w:ascii="宋体" w:hAnsi="宋体"/>
          <w:sz w:val="24"/>
        </w:rPr>
      </w:pPr>
      <w:r>
        <w:rPr>
          <w:rFonts w:hint="eastAsia" w:ascii="宋体" w:hAnsi="宋体"/>
          <w:sz w:val="24"/>
        </w:rPr>
        <w:t>6）商务偏离表</w:t>
      </w:r>
    </w:p>
    <w:p>
      <w:pPr>
        <w:snapToGrid w:val="0"/>
        <w:spacing w:line="360" w:lineRule="auto"/>
        <w:ind w:firstLine="240" w:firstLineChars="100"/>
        <w:rPr>
          <w:rFonts w:ascii="宋体" w:hAnsi="宋体"/>
          <w:sz w:val="24"/>
        </w:rPr>
      </w:pPr>
      <w:r>
        <w:rPr>
          <w:rFonts w:hint="eastAsia" w:ascii="宋体" w:hAnsi="宋体"/>
          <w:sz w:val="24"/>
        </w:rPr>
        <w:t>7）技术偏离表</w:t>
      </w:r>
    </w:p>
    <w:p>
      <w:pPr>
        <w:snapToGrid w:val="0"/>
        <w:spacing w:line="360" w:lineRule="auto"/>
        <w:ind w:firstLine="240" w:firstLineChars="100"/>
        <w:rPr>
          <w:rFonts w:ascii="宋体" w:hAnsi="宋体"/>
          <w:sz w:val="24"/>
        </w:rPr>
      </w:pPr>
      <w:r>
        <w:rPr>
          <w:rFonts w:hint="eastAsia" w:ascii="宋体" w:hAnsi="宋体"/>
          <w:sz w:val="24"/>
        </w:rPr>
        <w:t>8）公司业绩一览表</w:t>
      </w:r>
    </w:p>
    <w:p>
      <w:pPr>
        <w:snapToGrid w:val="0"/>
        <w:spacing w:line="360" w:lineRule="auto"/>
        <w:ind w:firstLine="240" w:firstLineChars="100"/>
        <w:rPr>
          <w:rFonts w:ascii="宋体" w:hAnsi="宋体"/>
          <w:sz w:val="24"/>
        </w:rPr>
      </w:pPr>
      <w:r>
        <w:rPr>
          <w:rFonts w:hint="eastAsia" w:ascii="宋体" w:hAnsi="宋体"/>
          <w:sz w:val="24"/>
        </w:rPr>
        <w:t>9）优惠条件承诺书</w:t>
      </w:r>
    </w:p>
    <w:p>
      <w:pPr>
        <w:snapToGrid w:val="0"/>
        <w:spacing w:line="360" w:lineRule="auto"/>
        <w:ind w:firstLine="240" w:firstLineChars="100"/>
        <w:rPr>
          <w:rFonts w:ascii="宋体" w:hAnsi="宋体"/>
          <w:sz w:val="24"/>
        </w:rPr>
      </w:pPr>
      <w:r>
        <w:rPr>
          <w:rFonts w:hint="eastAsia" w:ascii="宋体" w:hAnsi="宋体"/>
          <w:sz w:val="24"/>
        </w:rPr>
        <w:t>10）售后服务承诺</w:t>
      </w:r>
    </w:p>
    <w:p>
      <w:pPr>
        <w:snapToGrid w:val="0"/>
        <w:spacing w:line="360" w:lineRule="auto"/>
        <w:ind w:firstLine="240" w:firstLineChars="100"/>
        <w:rPr>
          <w:rFonts w:ascii="宋体" w:hAnsi="宋体"/>
          <w:sz w:val="24"/>
        </w:rPr>
      </w:pPr>
      <w:r>
        <w:rPr>
          <w:rFonts w:hint="eastAsia" w:ascii="宋体" w:hAnsi="宋体"/>
          <w:sz w:val="24"/>
        </w:rPr>
        <w:t>11) 无重大违法记录声明</w:t>
      </w:r>
    </w:p>
    <w:p>
      <w:pPr>
        <w:snapToGrid w:val="0"/>
        <w:spacing w:line="360" w:lineRule="auto"/>
        <w:ind w:firstLine="240" w:firstLineChars="100"/>
        <w:rPr>
          <w:rFonts w:ascii="宋体" w:hAnsi="宋体"/>
          <w:sz w:val="24"/>
        </w:rPr>
      </w:pPr>
      <w:r>
        <w:rPr>
          <w:rFonts w:hint="eastAsia" w:ascii="宋体" w:hAnsi="宋体"/>
          <w:sz w:val="24"/>
        </w:rPr>
        <w:t>12）供应商反商业贿赂承诺书</w:t>
      </w:r>
    </w:p>
    <w:p>
      <w:pPr>
        <w:snapToGrid w:val="0"/>
        <w:spacing w:line="360" w:lineRule="auto"/>
        <w:ind w:firstLine="240" w:firstLineChars="100"/>
        <w:rPr>
          <w:rFonts w:ascii="宋体" w:hAnsi="宋体"/>
          <w:sz w:val="24"/>
        </w:rPr>
      </w:pPr>
      <w:r>
        <w:rPr>
          <w:rFonts w:hint="eastAsia" w:ascii="宋体" w:hAnsi="宋体"/>
          <w:sz w:val="24"/>
        </w:rPr>
        <w:t>13）中小微企业证明文件等（如有）</w:t>
      </w:r>
    </w:p>
    <w:p>
      <w:pPr>
        <w:snapToGrid w:val="0"/>
        <w:spacing w:line="360" w:lineRule="auto"/>
        <w:ind w:firstLine="240" w:firstLineChars="100"/>
        <w:rPr>
          <w:rFonts w:ascii="宋体" w:hAnsi="宋体"/>
          <w:sz w:val="24"/>
        </w:rPr>
      </w:pPr>
      <w:r>
        <w:rPr>
          <w:rFonts w:hint="eastAsia" w:ascii="宋体" w:hAnsi="宋体"/>
          <w:sz w:val="24"/>
        </w:rPr>
        <w:t>14）投标保证金收据复印件</w:t>
      </w:r>
    </w:p>
    <w:p>
      <w:pPr>
        <w:snapToGrid w:val="0"/>
        <w:spacing w:line="360" w:lineRule="auto"/>
        <w:ind w:firstLine="240" w:firstLineChars="100"/>
        <w:rPr>
          <w:rFonts w:ascii="宋体" w:hAnsi="宋体"/>
          <w:sz w:val="24"/>
        </w:rPr>
      </w:pPr>
      <w:r>
        <w:rPr>
          <w:rFonts w:hint="eastAsia" w:ascii="宋体" w:hAnsi="宋体"/>
          <w:sz w:val="24"/>
        </w:rPr>
        <w:t>15）投标人认为有必要提交的其他相关证明材料</w:t>
      </w:r>
    </w:p>
    <w:p>
      <w:pPr>
        <w:tabs>
          <w:tab w:val="left" w:pos="540"/>
          <w:tab w:val="left" w:pos="720"/>
        </w:tabs>
        <w:autoSpaceDE w:val="0"/>
        <w:autoSpaceDN w:val="0"/>
        <w:spacing w:line="360" w:lineRule="auto"/>
        <w:textAlignment w:val="bottom"/>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投标文件的书写要求、签署及份数</w:t>
      </w:r>
    </w:p>
    <w:p>
      <w:pPr>
        <w:spacing w:line="360" w:lineRule="auto"/>
        <w:ind w:firstLine="240" w:firstLineChars="100"/>
        <w:rPr>
          <w:rFonts w:ascii="宋体" w:hAnsi="宋体"/>
          <w:sz w:val="24"/>
        </w:rPr>
      </w:pPr>
      <w:r>
        <w:rPr>
          <w:rFonts w:hint="eastAsia" w:ascii="宋体" w:hAnsi="宋体"/>
          <w:sz w:val="24"/>
        </w:rPr>
        <w:t>12.1 投标文件必须采用A4纸打印并胶装。</w:t>
      </w:r>
    </w:p>
    <w:p>
      <w:pPr>
        <w:spacing w:line="360" w:lineRule="auto"/>
        <w:ind w:firstLine="240" w:firstLineChars="100"/>
        <w:rPr>
          <w:rFonts w:ascii="宋体" w:hAnsi="宋体"/>
          <w:sz w:val="24"/>
        </w:rPr>
      </w:pPr>
      <w:r>
        <w:rPr>
          <w:rFonts w:hint="eastAsia" w:ascii="宋体" w:hAnsi="宋体"/>
          <w:sz w:val="24"/>
        </w:rPr>
        <w:t>12.2 投标文件的书写应清楚工整，修改处应由投标人全权代表签章。</w:t>
      </w:r>
    </w:p>
    <w:p>
      <w:pPr>
        <w:spacing w:line="360" w:lineRule="auto"/>
        <w:ind w:firstLine="240" w:firstLineChars="100"/>
        <w:rPr>
          <w:rFonts w:ascii="宋体" w:hAnsi="宋体"/>
          <w:sz w:val="24"/>
        </w:rPr>
      </w:pPr>
      <w:r>
        <w:rPr>
          <w:rFonts w:hint="eastAsia" w:ascii="宋体" w:hAnsi="宋体"/>
          <w:sz w:val="24"/>
        </w:rPr>
        <w:t>12.3字迹潦草、表达不清、未按要求填写或可能导致非唯一理解的投标文件可能被定为废标。</w:t>
      </w:r>
    </w:p>
    <w:p>
      <w:pPr>
        <w:spacing w:line="360" w:lineRule="auto"/>
        <w:ind w:firstLine="240" w:firstLineChars="100"/>
        <w:rPr>
          <w:rFonts w:ascii="宋体" w:hAnsi="宋体"/>
          <w:sz w:val="24"/>
        </w:rPr>
      </w:pPr>
      <w:r>
        <w:rPr>
          <w:rFonts w:hint="eastAsia" w:ascii="宋体" w:hAnsi="宋体"/>
          <w:sz w:val="24"/>
        </w:rPr>
        <w:t>12.4投标文件应由企业法定代表人或法定代表人授权代表在凡规定签章处逐一签署及加盖单位的公章，未按要求加盖公章、法定代表人章、签字的投标文件将被视为废标。</w:t>
      </w:r>
    </w:p>
    <w:p>
      <w:pPr>
        <w:spacing w:line="360" w:lineRule="auto"/>
        <w:ind w:firstLine="240" w:firstLineChars="100"/>
        <w:rPr>
          <w:rFonts w:ascii="宋体" w:hAnsi="宋体"/>
          <w:sz w:val="24"/>
        </w:rPr>
      </w:pPr>
      <w:r>
        <w:rPr>
          <w:rFonts w:hint="eastAsia" w:ascii="宋体" w:hAnsi="宋体"/>
          <w:sz w:val="24"/>
        </w:rPr>
        <w:t>12.5投标文件的份数：</w:t>
      </w:r>
      <w:r>
        <w:rPr>
          <w:rFonts w:hint="eastAsia" w:ascii="宋体" w:hAnsi="宋体" w:cs="宋体"/>
          <w:color w:val="000000"/>
          <w:sz w:val="24"/>
          <w:szCs w:val="24"/>
        </w:rPr>
        <w:t>正本1份，副本4份。</w:t>
      </w:r>
      <w:r>
        <w:rPr>
          <w:rFonts w:hint="eastAsia" w:ascii="宋体" w:hAnsi="宋体"/>
          <w:sz w:val="24"/>
        </w:rPr>
        <w:t>并在投标文件封面右上角注明正本 、副本字样，一旦正本和副本不符，以正本为准。参考资料不限量。</w:t>
      </w:r>
    </w:p>
    <w:p>
      <w:pPr>
        <w:spacing w:line="360" w:lineRule="auto"/>
        <w:rPr>
          <w:rFonts w:ascii="宋体" w:hAnsi="宋体"/>
          <w:sz w:val="24"/>
        </w:rPr>
      </w:pPr>
      <w:r>
        <w:rPr>
          <w:rFonts w:ascii="宋体" w:hAnsi="宋体"/>
          <w:bCs/>
          <w:sz w:val="24"/>
        </w:rPr>
        <w:t>1</w:t>
      </w:r>
      <w:r>
        <w:rPr>
          <w:rFonts w:hint="eastAsia" w:ascii="宋体" w:hAnsi="宋体"/>
          <w:bCs/>
          <w:sz w:val="24"/>
        </w:rPr>
        <w:t>3</w:t>
      </w:r>
      <w:r>
        <w:rPr>
          <w:rFonts w:ascii="宋体" w:hAnsi="宋体"/>
          <w:bCs/>
          <w:sz w:val="24"/>
        </w:rPr>
        <w:t>、</w:t>
      </w:r>
      <w:r>
        <w:rPr>
          <w:rFonts w:ascii="宋体" w:hAnsi="宋体"/>
          <w:sz w:val="24"/>
        </w:rPr>
        <w:t>投标报价：</w:t>
      </w:r>
    </w:p>
    <w:p>
      <w:pPr>
        <w:pStyle w:val="25"/>
        <w:snapToGrid w:val="0"/>
        <w:spacing w:line="360" w:lineRule="auto"/>
        <w:ind w:firstLine="240" w:firstLineChars="100"/>
        <w:rPr>
          <w:rFonts w:ascii="宋体" w:cs="宋体"/>
          <w:lang w:val="zh-CN"/>
        </w:rPr>
      </w:pPr>
      <w:r>
        <w:rPr>
          <w:rFonts w:hint="eastAsia" w:ascii="宋体" w:hAnsi="宋体"/>
        </w:rPr>
        <w:t>13.1</w:t>
      </w:r>
      <w:r>
        <w:rPr>
          <w:rFonts w:hint="eastAsia" w:ascii="宋体" w:cs="宋体"/>
          <w:lang w:val="zh-CN"/>
        </w:rPr>
        <w:t>工程投标计价方式已在投标人须知前附表第项列清单</w:t>
      </w:r>
    </w:p>
    <w:p>
      <w:pPr>
        <w:spacing w:line="360" w:lineRule="auto"/>
        <w:ind w:firstLine="480" w:firstLineChars="200"/>
        <w:rPr>
          <w:rFonts w:ascii="宋体" w:hAnsi="宋体"/>
          <w:sz w:val="24"/>
        </w:rPr>
      </w:pPr>
      <w:r>
        <w:rPr>
          <w:rFonts w:hint="eastAsia" w:ascii="宋体" w:hAnsi="宋体"/>
          <w:sz w:val="24"/>
        </w:rPr>
        <w:t>a. 投标报价中综合单价应包含材料费、人工费、辅材费、管理费、利润、风险金、检测调试费、措施费、规费、税金及质保期内维修费等一切费用；</w:t>
      </w:r>
    </w:p>
    <w:p>
      <w:pPr>
        <w:spacing w:line="360" w:lineRule="auto"/>
        <w:ind w:firstLine="480" w:firstLineChars="200"/>
        <w:rPr>
          <w:rFonts w:ascii="宋体" w:hAnsi="宋体"/>
          <w:sz w:val="24"/>
        </w:rPr>
      </w:pPr>
      <w:r>
        <w:rPr>
          <w:rFonts w:hint="eastAsia" w:ascii="宋体" w:hAnsi="宋体"/>
          <w:sz w:val="24"/>
        </w:rPr>
        <w:t>b. 投标报价还应包括外购件、外协件、配套件、原材料及生产制造、油漆、包装 、保险、海关税、增值税、管理、运杂、服务等所有与本次招标有关的费用；</w:t>
      </w:r>
    </w:p>
    <w:p>
      <w:pPr>
        <w:spacing w:line="360" w:lineRule="auto"/>
        <w:ind w:firstLine="480" w:firstLineChars="200"/>
        <w:rPr>
          <w:rFonts w:ascii="宋体" w:hAnsi="宋体"/>
          <w:sz w:val="24"/>
        </w:rPr>
      </w:pPr>
      <w:r>
        <w:rPr>
          <w:rFonts w:hint="eastAsia" w:ascii="宋体" w:hAnsi="宋体"/>
          <w:sz w:val="24"/>
        </w:rPr>
        <w:t>c. 报价明细表中特别要求的调试、培训、售后服务、人员技术培训等所有费用。</w:t>
      </w:r>
    </w:p>
    <w:p>
      <w:pPr>
        <w:spacing w:line="360" w:lineRule="auto"/>
        <w:ind w:firstLine="240" w:firstLineChars="100"/>
        <w:rPr>
          <w:rFonts w:ascii="宋体" w:hAnsi="宋体"/>
          <w:sz w:val="24"/>
        </w:rPr>
      </w:pPr>
      <w:r>
        <w:rPr>
          <w:rFonts w:hint="eastAsia" w:ascii="宋体" w:hAnsi="宋体"/>
          <w:sz w:val="24"/>
        </w:rPr>
        <w:t>13.2投标人应在招标文件所附相应的《投标报价明细表》中标明所服务的单价和总价。如单价和总价不符，以单价累计为准。</w:t>
      </w:r>
    </w:p>
    <w:p>
      <w:pPr>
        <w:spacing w:line="360" w:lineRule="auto"/>
        <w:ind w:firstLine="240" w:firstLineChars="100"/>
        <w:rPr>
          <w:rFonts w:ascii="宋体" w:hAnsi="宋体"/>
          <w:sz w:val="24"/>
        </w:rPr>
      </w:pPr>
      <w:r>
        <w:rPr>
          <w:rFonts w:hint="eastAsia" w:ascii="宋体" w:hAnsi="宋体"/>
          <w:sz w:val="24"/>
        </w:rPr>
        <w:t>13.3投标人应对《服务内容、投标设备名称、型号规格、数量及报价明细表》中全部产品分项逐一进行报价，投标人提供的产品必须为全新的、先进的、成熟的、完整的和安全可靠的，且产品技术经济性能符合技术规范的要求。只投其中部分产品影响到产品匹配或组合的标书可能会被定为废标。</w:t>
      </w:r>
    </w:p>
    <w:p>
      <w:pPr>
        <w:spacing w:line="360" w:lineRule="auto"/>
        <w:ind w:firstLine="240" w:firstLineChars="100"/>
        <w:rPr>
          <w:rFonts w:ascii="宋体" w:hAnsi="宋体"/>
          <w:sz w:val="24"/>
        </w:rPr>
      </w:pPr>
      <w:r>
        <w:rPr>
          <w:rFonts w:hint="eastAsia" w:ascii="宋体" w:hAnsi="宋体"/>
          <w:sz w:val="24"/>
        </w:rPr>
        <w:t>13.4《投标报价一览表》和《投标报价明细表》中的产品材料总价应一致，《投标报价一览表》和《投标报价明细表》不一致时以《投标报价明细表》为准。</w:t>
      </w:r>
    </w:p>
    <w:p>
      <w:pPr>
        <w:spacing w:line="360" w:lineRule="auto"/>
        <w:ind w:firstLine="240" w:firstLineChars="100"/>
        <w:rPr>
          <w:rFonts w:ascii="宋体" w:hAnsi="宋体"/>
          <w:sz w:val="24"/>
        </w:rPr>
      </w:pPr>
      <w:r>
        <w:rPr>
          <w:rFonts w:hint="eastAsia" w:ascii="宋体" w:hAnsi="宋体"/>
          <w:sz w:val="24"/>
        </w:rPr>
        <w:t>13.5任何有选择报价将不予接受，在同等条件下的每种产品及服务只允许有一个报价。</w:t>
      </w:r>
    </w:p>
    <w:p>
      <w:pPr>
        <w:pStyle w:val="25"/>
        <w:snapToGrid w:val="0"/>
        <w:spacing w:line="360" w:lineRule="auto"/>
        <w:rPr>
          <w:rFonts w:ascii="宋体" w:hAnsi="宋体"/>
          <w:szCs w:val="24"/>
        </w:rPr>
      </w:pPr>
      <w:r>
        <w:rPr>
          <w:rFonts w:ascii="宋体" w:hAnsi="宋体"/>
          <w:bCs/>
          <w:szCs w:val="24"/>
        </w:rPr>
        <w:t>1</w:t>
      </w:r>
      <w:r>
        <w:rPr>
          <w:rFonts w:hint="eastAsia" w:ascii="宋体" w:hAnsi="宋体"/>
          <w:bCs/>
          <w:szCs w:val="24"/>
        </w:rPr>
        <w:t>4</w:t>
      </w:r>
      <w:r>
        <w:rPr>
          <w:rFonts w:ascii="宋体" w:hAnsi="宋体"/>
          <w:bCs/>
          <w:szCs w:val="24"/>
        </w:rPr>
        <w:t>、</w:t>
      </w:r>
      <w:r>
        <w:rPr>
          <w:rFonts w:ascii="宋体" w:hAnsi="宋体"/>
          <w:szCs w:val="24"/>
        </w:rPr>
        <w:t>投标保证金</w:t>
      </w:r>
    </w:p>
    <w:p>
      <w:pPr>
        <w:snapToGrid w:val="0"/>
        <w:spacing w:line="360" w:lineRule="auto"/>
        <w:ind w:firstLine="240" w:firstLineChars="100"/>
        <w:rPr>
          <w:rFonts w:ascii="宋体" w:hAnsi="宋体"/>
          <w:sz w:val="24"/>
          <w:szCs w:val="28"/>
        </w:rPr>
      </w:pPr>
      <w:r>
        <w:rPr>
          <w:rFonts w:hint="eastAsia" w:ascii="宋体" w:hAnsi="宋体"/>
          <w:sz w:val="24"/>
          <w:szCs w:val="28"/>
        </w:rPr>
        <w:t>14</w:t>
      </w:r>
      <w:r>
        <w:rPr>
          <w:rFonts w:ascii="宋体" w:hAnsi="宋体"/>
          <w:sz w:val="24"/>
          <w:szCs w:val="28"/>
        </w:rPr>
        <w:t>.1 投标人应提交投标保证金，并作为其投标的一部分。</w:t>
      </w:r>
      <w:r>
        <w:rPr>
          <w:rFonts w:hint="eastAsia" w:ascii="宋体" w:hAnsi="宋体"/>
          <w:sz w:val="24"/>
          <w:szCs w:val="28"/>
        </w:rPr>
        <w:t>投标保证金的金额见《投标人须知前附表》。</w:t>
      </w:r>
    </w:p>
    <w:p>
      <w:pPr>
        <w:snapToGrid w:val="0"/>
        <w:spacing w:line="360" w:lineRule="auto"/>
        <w:ind w:firstLine="240" w:firstLineChars="100"/>
        <w:rPr>
          <w:rFonts w:ascii="宋体" w:hAnsi="宋体"/>
          <w:sz w:val="24"/>
          <w:szCs w:val="28"/>
        </w:rPr>
      </w:pPr>
      <w:r>
        <w:rPr>
          <w:rFonts w:hint="eastAsia" w:ascii="宋体" w:hAnsi="宋体"/>
          <w:sz w:val="24"/>
          <w:szCs w:val="28"/>
        </w:rPr>
        <w:t xml:space="preserve">14.2 </w:t>
      </w:r>
      <w:r>
        <w:rPr>
          <w:rFonts w:ascii="宋体" w:hAnsi="宋体"/>
          <w:sz w:val="24"/>
          <w:szCs w:val="28"/>
        </w:rPr>
        <w:t>投标保证金是为了保护</w:t>
      </w:r>
      <w:r>
        <w:rPr>
          <w:rFonts w:hint="eastAsia" w:ascii="宋体" w:hAnsi="宋体"/>
          <w:sz w:val="24"/>
          <w:szCs w:val="28"/>
        </w:rPr>
        <w:t>招标人和招标机构</w:t>
      </w:r>
      <w:r>
        <w:rPr>
          <w:rFonts w:ascii="宋体" w:hAnsi="宋体"/>
          <w:sz w:val="24"/>
          <w:szCs w:val="28"/>
        </w:rPr>
        <w:t>免遭因投标人的</w:t>
      </w:r>
      <w:r>
        <w:rPr>
          <w:rFonts w:hint="eastAsia" w:ascii="宋体" w:hAnsi="宋体"/>
          <w:sz w:val="24"/>
          <w:szCs w:val="28"/>
        </w:rPr>
        <w:t>违规、违约</w:t>
      </w:r>
      <w:r>
        <w:rPr>
          <w:rFonts w:ascii="宋体" w:hAnsi="宋体"/>
          <w:sz w:val="24"/>
          <w:szCs w:val="28"/>
        </w:rPr>
        <w:t>行为而</w:t>
      </w:r>
      <w:r>
        <w:rPr>
          <w:rFonts w:hint="eastAsia" w:ascii="宋体" w:hAnsi="宋体"/>
          <w:sz w:val="24"/>
          <w:szCs w:val="28"/>
        </w:rPr>
        <w:t>引起</w:t>
      </w:r>
      <w:r>
        <w:rPr>
          <w:rFonts w:ascii="宋体" w:hAnsi="宋体"/>
          <w:sz w:val="24"/>
          <w:szCs w:val="28"/>
        </w:rPr>
        <w:t>的</w:t>
      </w:r>
      <w:r>
        <w:rPr>
          <w:rFonts w:hint="eastAsia" w:ascii="宋体" w:hAnsi="宋体"/>
          <w:sz w:val="24"/>
          <w:szCs w:val="28"/>
        </w:rPr>
        <w:t>风险</w:t>
      </w:r>
      <w:r>
        <w:rPr>
          <w:rFonts w:ascii="宋体" w:hAnsi="宋体"/>
          <w:sz w:val="24"/>
          <w:szCs w:val="28"/>
        </w:rPr>
        <w:t>，</w:t>
      </w:r>
      <w:r>
        <w:rPr>
          <w:rFonts w:hint="eastAsia" w:ascii="宋体" w:hAnsi="宋体"/>
          <w:sz w:val="24"/>
          <w:szCs w:val="28"/>
        </w:rPr>
        <w:t>招标人/招标机构</w:t>
      </w:r>
      <w:r>
        <w:rPr>
          <w:rFonts w:ascii="宋体" w:hAnsi="宋体"/>
          <w:sz w:val="24"/>
          <w:szCs w:val="28"/>
        </w:rPr>
        <w:t>在受到损害时可根据本须知的有关规定</w:t>
      </w:r>
      <w:r>
        <w:rPr>
          <w:rFonts w:hint="eastAsia" w:ascii="宋体" w:hAnsi="宋体"/>
          <w:sz w:val="24"/>
          <w:szCs w:val="28"/>
        </w:rPr>
        <w:t>没收</w:t>
      </w:r>
      <w:r>
        <w:rPr>
          <w:rFonts w:ascii="宋体" w:hAnsi="宋体"/>
          <w:sz w:val="24"/>
          <w:szCs w:val="28"/>
        </w:rPr>
        <w:t>投标人的投标保证金。</w:t>
      </w:r>
    </w:p>
    <w:p>
      <w:pPr>
        <w:snapToGrid w:val="0"/>
        <w:spacing w:line="360" w:lineRule="auto"/>
        <w:ind w:firstLine="240" w:firstLineChars="100"/>
        <w:rPr>
          <w:rFonts w:ascii="宋体" w:hAnsi="宋体"/>
          <w:sz w:val="24"/>
          <w:szCs w:val="28"/>
        </w:rPr>
      </w:pPr>
      <w:r>
        <w:rPr>
          <w:rFonts w:hint="eastAsia" w:ascii="宋体" w:hAnsi="宋体"/>
          <w:sz w:val="24"/>
          <w:szCs w:val="28"/>
        </w:rPr>
        <w:t>14</w:t>
      </w:r>
      <w:r>
        <w:rPr>
          <w:rFonts w:ascii="宋体" w:hAnsi="宋体"/>
          <w:sz w:val="24"/>
          <w:szCs w:val="28"/>
        </w:rPr>
        <w:t>.</w:t>
      </w:r>
      <w:r>
        <w:rPr>
          <w:rFonts w:hint="eastAsia" w:ascii="宋体" w:hAnsi="宋体"/>
          <w:sz w:val="24"/>
          <w:szCs w:val="28"/>
        </w:rPr>
        <w:t>3</w:t>
      </w:r>
      <w:r>
        <w:rPr>
          <w:rFonts w:ascii="宋体" w:hAnsi="宋体"/>
          <w:sz w:val="24"/>
          <w:szCs w:val="28"/>
        </w:rPr>
        <w:t xml:space="preserve"> 投标保证金</w:t>
      </w:r>
      <w:r>
        <w:rPr>
          <w:rFonts w:hint="eastAsia" w:ascii="宋体" w:hAnsi="宋体"/>
          <w:sz w:val="24"/>
          <w:szCs w:val="28"/>
        </w:rPr>
        <w:t>以电汇等非现金方式缴纳</w:t>
      </w:r>
      <w:r>
        <w:rPr>
          <w:rFonts w:ascii="宋体" w:hAnsi="宋体"/>
          <w:sz w:val="24"/>
          <w:szCs w:val="28"/>
        </w:rPr>
        <w:t>。</w:t>
      </w:r>
    </w:p>
    <w:p>
      <w:pPr>
        <w:snapToGrid w:val="0"/>
        <w:spacing w:line="360" w:lineRule="auto"/>
        <w:ind w:firstLine="240" w:firstLineChars="100"/>
        <w:rPr>
          <w:rFonts w:ascii="宋体" w:hAnsi="宋体"/>
          <w:sz w:val="24"/>
          <w:szCs w:val="28"/>
        </w:rPr>
      </w:pPr>
      <w:r>
        <w:rPr>
          <w:rFonts w:hint="eastAsia" w:ascii="宋体" w:hAnsi="宋体"/>
          <w:sz w:val="24"/>
          <w:szCs w:val="28"/>
        </w:rPr>
        <w:t>14</w:t>
      </w:r>
      <w:r>
        <w:rPr>
          <w:rFonts w:ascii="宋体" w:hAnsi="宋体"/>
          <w:sz w:val="24"/>
          <w:szCs w:val="28"/>
        </w:rPr>
        <w:t>.</w:t>
      </w:r>
      <w:r>
        <w:rPr>
          <w:rFonts w:hint="eastAsia" w:ascii="宋体" w:hAnsi="宋体"/>
          <w:sz w:val="24"/>
          <w:szCs w:val="28"/>
        </w:rPr>
        <w:t>4</w:t>
      </w:r>
      <w:r>
        <w:rPr>
          <w:rFonts w:ascii="宋体" w:hAnsi="宋体"/>
          <w:sz w:val="24"/>
          <w:szCs w:val="28"/>
        </w:rPr>
        <w:t xml:space="preserve"> 凡</w:t>
      </w:r>
      <w:r>
        <w:rPr>
          <w:rFonts w:hint="eastAsia" w:ascii="宋体" w:hAnsi="宋体"/>
          <w:sz w:val="24"/>
          <w:szCs w:val="28"/>
        </w:rPr>
        <w:t>未提交</w:t>
      </w:r>
      <w:r>
        <w:rPr>
          <w:rFonts w:ascii="宋体" w:hAnsi="宋体"/>
          <w:sz w:val="24"/>
          <w:szCs w:val="28"/>
        </w:rPr>
        <w:t>投标保证金的投标，将视为非实质性响应性投标</w:t>
      </w:r>
      <w:r>
        <w:rPr>
          <w:rFonts w:hint="eastAsia" w:ascii="宋体" w:hAnsi="宋体"/>
          <w:sz w:val="24"/>
          <w:szCs w:val="28"/>
        </w:rPr>
        <w:t>而</w:t>
      </w:r>
      <w:r>
        <w:rPr>
          <w:rFonts w:ascii="宋体" w:hAnsi="宋体"/>
          <w:sz w:val="24"/>
          <w:szCs w:val="28"/>
        </w:rPr>
        <w:t>被拒绝。</w:t>
      </w:r>
    </w:p>
    <w:p>
      <w:pPr>
        <w:snapToGrid w:val="0"/>
        <w:spacing w:line="360" w:lineRule="auto"/>
        <w:ind w:firstLine="240" w:firstLineChars="100"/>
        <w:rPr>
          <w:rFonts w:ascii="宋体" w:hAnsi="宋体"/>
          <w:sz w:val="24"/>
          <w:szCs w:val="28"/>
        </w:rPr>
      </w:pPr>
      <w:r>
        <w:rPr>
          <w:rFonts w:hint="eastAsia" w:ascii="宋体" w:hAnsi="宋体"/>
          <w:sz w:val="24"/>
          <w:szCs w:val="28"/>
        </w:rPr>
        <w:t>14</w:t>
      </w:r>
      <w:r>
        <w:rPr>
          <w:rFonts w:ascii="宋体" w:hAnsi="宋体"/>
          <w:sz w:val="24"/>
          <w:szCs w:val="28"/>
        </w:rPr>
        <w:t>.</w:t>
      </w:r>
      <w:r>
        <w:rPr>
          <w:rFonts w:hint="eastAsia" w:ascii="宋体" w:hAnsi="宋体"/>
          <w:sz w:val="24"/>
          <w:szCs w:val="28"/>
        </w:rPr>
        <w:t>5</w:t>
      </w:r>
      <w:r>
        <w:rPr>
          <w:rFonts w:hint="eastAsia" w:ascii="宋体" w:hAnsi="宋体" w:cs="宋体"/>
          <w:kern w:val="0"/>
          <w:sz w:val="24"/>
        </w:rPr>
        <w:t>投标保证金的退付</w:t>
      </w:r>
    </w:p>
    <w:p>
      <w:pPr>
        <w:widowControl/>
        <w:spacing w:line="360" w:lineRule="auto"/>
        <w:ind w:firstLine="360" w:firstLineChars="150"/>
        <w:rPr>
          <w:rFonts w:ascii="宋体" w:hAnsi="宋体" w:cs="宋体"/>
          <w:kern w:val="0"/>
          <w:sz w:val="24"/>
        </w:rPr>
      </w:pPr>
      <w:r>
        <w:rPr>
          <w:rFonts w:hint="eastAsia" w:ascii="宋体" w:hAnsi="宋体"/>
          <w:sz w:val="24"/>
        </w:rPr>
        <w:t>14.5.1</w:t>
      </w:r>
      <w:r>
        <w:rPr>
          <w:rFonts w:hint="eastAsia" w:ascii="宋体" w:hAnsi="宋体" w:cs="宋体"/>
          <w:kern w:val="0"/>
          <w:sz w:val="24"/>
        </w:rPr>
        <w:t>投标人在投标截止时间前撤回已提交的投标文件的，我公司应当自收到投标人书面撤回通知之日起5个工作日内，由我公司退还，但因供应商自身原因导致无法及时退还的除外。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14.5.2</w:t>
      </w:r>
      <w:r>
        <w:rPr>
          <w:rFonts w:hint="eastAsia" w:ascii="宋体" w:hAnsi="宋体" w:cs="宋体"/>
          <w:kern w:val="0"/>
          <w:sz w:val="24"/>
        </w:rPr>
        <w:t>未中标投标人的投标保证金，在中标通知书发出之日起5个工作日内，由我公司退还，但因供应商自身原因导致无法及时退还的除外。</w:t>
      </w:r>
    </w:p>
    <w:p>
      <w:pPr>
        <w:widowControl/>
        <w:spacing w:line="360" w:lineRule="auto"/>
        <w:ind w:firstLine="360" w:firstLineChars="150"/>
        <w:rPr>
          <w:rFonts w:ascii="宋体" w:hAnsi="宋体" w:cs="宋体"/>
          <w:kern w:val="0"/>
          <w:sz w:val="24"/>
        </w:rPr>
      </w:pPr>
      <w:r>
        <w:rPr>
          <w:rFonts w:hint="eastAsia" w:ascii="宋体" w:hAnsi="宋体"/>
          <w:sz w:val="24"/>
        </w:rPr>
        <w:t>14.5.3</w:t>
      </w:r>
      <w:r>
        <w:rPr>
          <w:rFonts w:hint="eastAsia" w:ascii="宋体" w:hAnsi="宋体" w:cs="宋体"/>
          <w:kern w:val="0"/>
          <w:sz w:val="24"/>
        </w:rPr>
        <w:t>中标投标人的投标保证金,中标单位与采购人签订合同之日起5个工作日内，由我公司退还，但因供应商自身原因导致无法及时退还的除外。</w:t>
      </w:r>
    </w:p>
    <w:p>
      <w:pPr>
        <w:snapToGrid w:val="0"/>
        <w:spacing w:line="360" w:lineRule="auto"/>
        <w:ind w:firstLine="240" w:firstLineChars="100"/>
        <w:rPr>
          <w:rFonts w:ascii="宋体" w:hAnsi="宋体"/>
          <w:sz w:val="24"/>
          <w:szCs w:val="28"/>
        </w:rPr>
      </w:pPr>
      <w:r>
        <w:rPr>
          <w:rFonts w:hint="eastAsia" w:ascii="宋体" w:hAnsi="宋体"/>
          <w:sz w:val="24"/>
          <w:szCs w:val="28"/>
        </w:rPr>
        <w:t>14</w:t>
      </w:r>
      <w:r>
        <w:rPr>
          <w:rFonts w:ascii="宋体" w:hAnsi="宋体"/>
          <w:sz w:val="24"/>
          <w:szCs w:val="28"/>
        </w:rPr>
        <w:t>.</w:t>
      </w:r>
      <w:r>
        <w:rPr>
          <w:rFonts w:hint="eastAsia" w:ascii="宋体" w:hAnsi="宋体"/>
          <w:sz w:val="24"/>
          <w:szCs w:val="28"/>
        </w:rPr>
        <w:t>6</w:t>
      </w:r>
      <w:r>
        <w:rPr>
          <w:rFonts w:ascii="宋体" w:hAnsi="宋体"/>
          <w:sz w:val="24"/>
          <w:szCs w:val="28"/>
        </w:rPr>
        <w:t xml:space="preserve"> 下列任何情况发生时，投标保证金将</w:t>
      </w:r>
      <w:r>
        <w:rPr>
          <w:rFonts w:hint="eastAsia" w:ascii="宋体" w:hAnsi="宋体"/>
          <w:sz w:val="24"/>
          <w:szCs w:val="28"/>
        </w:rPr>
        <w:t>可能</w:t>
      </w:r>
      <w:r>
        <w:rPr>
          <w:rFonts w:ascii="宋体" w:hAnsi="宋体"/>
          <w:sz w:val="24"/>
          <w:szCs w:val="28"/>
        </w:rPr>
        <w:t>被没收</w:t>
      </w:r>
      <w:r>
        <w:rPr>
          <w:rFonts w:hint="eastAsia" w:ascii="宋体" w:hAnsi="宋体"/>
          <w:sz w:val="24"/>
          <w:szCs w:val="28"/>
        </w:rPr>
        <w:t>：</w:t>
      </w:r>
    </w:p>
    <w:p>
      <w:pPr>
        <w:snapToGrid w:val="0"/>
        <w:spacing w:line="360" w:lineRule="auto"/>
        <w:ind w:firstLine="480" w:firstLineChars="200"/>
        <w:rPr>
          <w:rFonts w:ascii="宋体" w:hAnsi="宋体"/>
          <w:sz w:val="24"/>
          <w:szCs w:val="28"/>
        </w:rPr>
      </w:pPr>
      <w:r>
        <w:rPr>
          <w:rFonts w:hint="eastAsia" w:ascii="宋体" w:hAnsi="宋体"/>
          <w:sz w:val="24"/>
          <w:szCs w:val="28"/>
        </w:rPr>
        <w:t xml:space="preserve">14.6.1 </w:t>
      </w:r>
      <w:r>
        <w:rPr>
          <w:rFonts w:ascii="宋体" w:hAnsi="宋体"/>
          <w:sz w:val="24"/>
          <w:szCs w:val="28"/>
        </w:rPr>
        <w:t>投标人在规定的投标有效期内撤回其投标；</w:t>
      </w:r>
    </w:p>
    <w:p>
      <w:pPr>
        <w:snapToGrid w:val="0"/>
        <w:spacing w:line="360" w:lineRule="auto"/>
        <w:ind w:firstLine="480" w:firstLineChars="200"/>
        <w:rPr>
          <w:rFonts w:ascii="宋体" w:hAnsi="宋体"/>
          <w:sz w:val="24"/>
          <w:szCs w:val="28"/>
        </w:rPr>
      </w:pPr>
      <w:r>
        <w:rPr>
          <w:rFonts w:hint="eastAsia" w:ascii="宋体" w:hAnsi="宋体"/>
          <w:sz w:val="24"/>
          <w:szCs w:val="28"/>
        </w:rPr>
        <w:t>14.6.2 投标人在投标截止时间后对投标文件做实质性修改；</w:t>
      </w:r>
    </w:p>
    <w:p>
      <w:pPr>
        <w:snapToGrid w:val="0"/>
        <w:spacing w:line="360" w:lineRule="auto"/>
        <w:ind w:firstLine="480" w:firstLineChars="200"/>
        <w:rPr>
          <w:rFonts w:ascii="宋体" w:hAnsi="宋体"/>
          <w:sz w:val="24"/>
          <w:szCs w:val="28"/>
        </w:rPr>
      </w:pPr>
      <w:r>
        <w:rPr>
          <w:rFonts w:hint="eastAsia" w:ascii="宋体" w:hAnsi="宋体"/>
          <w:sz w:val="24"/>
          <w:szCs w:val="28"/>
        </w:rPr>
        <w:t>14.6.3 中标人拒绝按规定与招标人签订合同；</w:t>
      </w:r>
    </w:p>
    <w:p>
      <w:pPr>
        <w:snapToGrid w:val="0"/>
        <w:spacing w:line="360" w:lineRule="auto"/>
        <w:ind w:firstLine="480" w:firstLineChars="200"/>
        <w:rPr>
          <w:rFonts w:ascii="宋体" w:hAnsi="宋体"/>
          <w:sz w:val="24"/>
          <w:szCs w:val="28"/>
        </w:rPr>
      </w:pPr>
      <w:r>
        <w:rPr>
          <w:rFonts w:hint="eastAsia" w:ascii="宋体" w:hAnsi="宋体"/>
          <w:sz w:val="24"/>
          <w:szCs w:val="28"/>
        </w:rPr>
        <w:t xml:space="preserve">14.6.4 </w:t>
      </w:r>
      <w:r>
        <w:rPr>
          <w:rFonts w:ascii="宋体" w:hAnsi="宋体"/>
          <w:sz w:val="24"/>
          <w:szCs w:val="28"/>
        </w:rPr>
        <w:t>中标人在投标</w:t>
      </w:r>
      <w:r>
        <w:rPr>
          <w:rFonts w:hint="eastAsia" w:ascii="宋体" w:hAnsi="宋体"/>
          <w:sz w:val="24"/>
          <w:szCs w:val="28"/>
        </w:rPr>
        <w:t>文件</w:t>
      </w:r>
      <w:r>
        <w:rPr>
          <w:rFonts w:ascii="宋体" w:hAnsi="宋体"/>
          <w:sz w:val="24"/>
          <w:szCs w:val="28"/>
        </w:rPr>
        <w:t>审查、澄清、比较及授予合同方面给予</w:t>
      </w:r>
      <w:r>
        <w:rPr>
          <w:rFonts w:hint="eastAsia" w:ascii="宋体" w:hAnsi="宋体"/>
          <w:sz w:val="24"/>
          <w:szCs w:val="28"/>
        </w:rPr>
        <w:t>招标人</w:t>
      </w:r>
      <w:r>
        <w:rPr>
          <w:rFonts w:ascii="宋体" w:hAnsi="宋体"/>
          <w:sz w:val="24"/>
          <w:szCs w:val="28"/>
        </w:rPr>
        <w:t>以任何形式的压力或不利影响；</w:t>
      </w:r>
    </w:p>
    <w:p>
      <w:pPr>
        <w:spacing w:line="360" w:lineRule="auto"/>
        <w:rPr>
          <w:rFonts w:ascii="宋体" w:hAnsi="宋体"/>
          <w:b/>
          <w:bCs/>
          <w:sz w:val="24"/>
        </w:rPr>
      </w:pPr>
      <w:r>
        <w:rPr>
          <w:rFonts w:ascii="宋体" w:hAnsi="宋体"/>
          <w:bCs/>
          <w:sz w:val="24"/>
        </w:rPr>
        <w:t>1</w:t>
      </w:r>
      <w:r>
        <w:rPr>
          <w:rFonts w:hint="eastAsia" w:ascii="宋体" w:hAnsi="宋体"/>
          <w:bCs/>
          <w:sz w:val="24"/>
        </w:rPr>
        <w:t>5</w:t>
      </w:r>
      <w:r>
        <w:rPr>
          <w:rFonts w:ascii="宋体" w:hAnsi="宋体"/>
          <w:bCs/>
          <w:sz w:val="24"/>
        </w:rPr>
        <w:t>、</w:t>
      </w:r>
      <w:r>
        <w:rPr>
          <w:rFonts w:ascii="宋体" w:hAnsi="宋体"/>
          <w:sz w:val="24"/>
        </w:rPr>
        <w:t>投标文件的修改与撤回</w:t>
      </w:r>
    </w:p>
    <w:p>
      <w:pPr>
        <w:spacing w:line="360" w:lineRule="auto"/>
        <w:rPr>
          <w:rFonts w:ascii="宋体" w:hAnsi="宋体"/>
          <w:sz w:val="24"/>
          <w:szCs w:val="28"/>
        </w:rPr>
      </w:pPr>
      <w:r>
        <w:rPr>
          <w:rFonts w:ascii="宋体" w:hAnsi="宋体"/>
          <w:sz w:val="24"/>
          <w:szCs w:val="28"/>
        </w:rPr>
        <w:t>1</w:t>
      </w:r>
      <w:r>
        <w:rPr>
          <w:rFonts w:hint="eastAsia" w:ascii="宋体" w:hAnsi="宋体"/>
          <w:sz w:val="24"/>
          <w:szCs w:val="28"/>
        </w:rPr>
        <w:t>5</w:t>
      </w:r>
      <w:r>
        <w:rPr>
          <w:rFonts w:ascii="宋体" w:hAnsi="宋体"/>
          <w:sz w:val="24"/>
          <w:szCs w:val="28"/>
        </w:rPr>
        <w:t>.1 投标人可以在递交投标文件以后，修改或撤回其投标文件。</w:t>
      </w:r>
      <w:r>
        <w:rPr>
          <w:rFonts w:ascii="宋体" w:hAnsi="宋体"/>
          <w:sz w:val="24"/>
          <w:szCs w:val="18"/>
        </w:rPr>
        <w:t>但必须以书面形式提出，并经授权的投标文件签字人签署。更改、撤回的确认书必须在送交投标文件截止期以前送达招标人，</w:t>
      </w:r>
      <w:r>
        <w:rPr>
          <w:rFonts w:ascii="宋体" w:hAnsi="宋体"/>
          <w:sz w:val="24"/>
          <w:szCs w:val="28"/>
        </w:rPr>
        <w:t>并得到招标人的书面形式的确认。  </w:t>
      </w:r>
    </w:p>
    <w:p>
      <w:pPr>
        <w:spacing w:line="360" w:lineRule="auto"/>
        <w:ind w:firstLine="240" w:firstLineChars="100"/>
        <w:rPr>
          <w:rFonts w:ascii="宋体" w:hAnsi="宋体"/>
          <w:sz w:val="24"/>
          <w:szCs w:val="28"/>
        </w:rPr>
      </w:pPr>
      <w:r>
        <w:rPr>
          <w:rFonts w:ascii="宋体" w:hAnsi="宋体"/>
          <w:sz w:val="24"/>
          <w:szCs w:val="28"/>
        </w:rPr>
        <w:t>1</w:t>
      </w:r>
      <w:r>
        <w:rPr>
          <w:rFonts w:hint="eastAsia" w:ascii="宋体" w:hAnsi="宋体"/>
          <w:sz w:val="24"/>
          <w:szCs w:val="28"/>
        </w:rPr>
        <w:t>5</w:t>
      </w:r>
      <w:r>
        <w:rPr>
          <w:rFonts w:ascii="宋体" w:hAnsi="宋体"/>
          <w:sz w:val="24"/>
          <w:szCs w:val="28"/>
        </w:rPr>
        <w:t>.2 </w:t>
      </w:r>
      <w:r>
        <w:rPr>
          <w:rFonts w:ascii="宋体" w:hAnsi="宋体"/>
          <w:sz w:val="24"/>
          <w:szCs w:val="18"/>
        </w:rPr>
        <w:t>更改的投标文件应同样按照投标文件送交规定的要求进行编制、密封、标记和发送</w:t>
      </w:r>
      <w:r>
        <w:rPr>
          <w:rFonts w:ascii="宋体" w:hAnsi="宋体"/>
          <w:sz w:val="24"/>
          <w:szCs w:val="28"/>
        </w:rPr>
        <w:t>，另外还应在外层封皮上标明“修改”或“撤回”字样。  </w:t>
      </w:r>
    </w:p>
    <w:p>
      <w:pPr>
        <w:spacing w:line="360" w:lineRule="auto"/>
        <w:rPr>
          <w:rFonts w:ascii="宋体" w:hAnsi="宋体"/>
          <w:sz w:val="24"/>
          <w:szCs w:val="28"/>
        </w:rPr>
      </w:pPr>
      <w:r>
        <w:rPr>
          <w:rFonts w:ascii="宋体" w:hAnsi="宋体"/>
          <w:sz w:val="24"/>
          <w:szCs w:val="28"/>
        </w:rPr>
        <w:t xml:space="preserve">  1</w:t>
      </w:r>
      <w:r>
        <w:rPr>
          <w:rFonts w:hint="eastAsia" w:ascii="宋体" w:hAnsi="宋体"/>
          <w:sz w:val="24"/>
          <w:szCs w:val="28"/>
        </w:rPr>
        <w:t>5</w:t>
      </w:r>
      <w:r>
        <w:rPr>
          <w:rFonts w:ascii="宋体" w:hAnsi="宋体"/>
          <w:sz w:val="24"/>
          <w:szCs w:val="28"/>
        </w:rPr>
        <w:t>.3 在投标截止时间后，投标人不能更改投标文件。</w:t>
      </w:r>
    </w:p>
    <w:p>
      <w:pPr>
        <w:spacing w:line="360" w:lineRule="auto"/>
        <w:ind w:firstLine="240" w:firstLineChars="100"/>
        <w:rPr>
          <w:rFonts w:ascii="宋体" w:hAnsi="宋体"/>
          <w:sz w:val="24"/>
        </w:rPr>
      </w:pPr>
      <w:r>
        <w:rPr>
          <w:rFonts w:ascii="宋体" w:hAnsi="宋体"/>
          <w:sz w:val="24"/>
          <w:szCs w:val="28"/>
        </w:rPr>
        <w:t>1</w:t>
      </w:r>
      <w:r>
        <w:rPr>
          <w:rFonts w:hint="eastAsia" w:ascii="宋体" w:hAnsi="宋体"/>
          <w:sz w:val="24"/>
          <w:szCs w:val="28"/>
        </w:rPr>
        <w:t>5</w:t>
      </w:r>
      <w:r>
        <w:rPr>
          <w:rFonts w:ascii="宋体" w:hAnsi="宋体"/>
          <w:sz w:val="24"/>
          <w:szCs w:val="28"/>
        </w:rPr>
        <w:t>.4</w:t>
      </w:r>
      <w:r>
        <w:rPr>
          <w:rFonts w:ascii="宋体" w:hAnsi="宋体"/>
          <w:sz w:val="24"/>
        </w:rPr>
        <w:t> 在投标截止时间与投标文件有效期终止日之间的这段期间内，投标人不能撤回投标文件，否则其投标保证金将被没收。</w:t>
      </w:r>
    </w:p>
    <w:p>
      <w:pPr>
        <w:spacing w:line="360" w:lineRule="auto"/>
        <w:rPr>
          <w:rFonts w:ascii="宋体" w:hAnsi="宋体"/>
          <w:sz w:val="24"/>
        </w:rPr>
      </w:pPr>
      <w:r>
        <w:rPr>
          <w:rFonts w:ascii="宋体" w:hAnsi="宋体"/>
          <w:bCs/>
          <w:sz w:val="24"/>
        </w:rPr>
        <w:t>1</w:t>
      </w:r>
      <w:r>
        <w:rPr>
          <w:rFonts w:hint="eastAsia" w:ascii="宋体" w:hAnsi="宋体"/>
          <w:bCs/>
          <w:sz w:val="24"/>
        </w:rPr>
        <w:t>6</w:t>
      </w:r>
      <w:r>
        <w:rPr>
          <w:rFonts w:ascii="宋体" w:hAnsi="宋体"/>
          <w:bCs/>
          <w:sz w:val="24"/>
        </w:rPr>
        <w:t>、</w:t>
      </w:r>
      <w:r>
        <w:rPr>
          <w:rFonts w:hint="eastAsia" w:ascii="宋体" w:hAnsi="宋体"/>
          <w:sz w:val="24"/>
        </w:rPr>
        <w:t>投标文件</w:t>
      </w:r>
      <w:r>
        <w:rPr>
          <w:rFonts w:ascii="宋体" w:hAnsi="宋体"/>
          <w:sz w:val="24"/>
        </w:rPr>
        <w:t>的效力</w:t>
      </w:r>
    </w:p>
    <w:p>
      <w:pPr>
        <w:tabs>
          <w:tab w:val="left" w:pos="720"/>
        </w:tabs>
        <w:snapToGrid w:val="0"/>
        <w:spacing w:line="360" w:lineRule="auto"/>
        <w:ind w:firstLine="240" w:firstLineChars="100"/>
        <w:rPr>
          <w:rFonts w:ascii="宋体" w:hAnsi="宋体"/>
          <w:sz w:val="24"/>
          <w:szCs w:val="28"/>
        </w:rPr>
      </w:pPr>
      <w:r>
        <w:rPr>
          <w:rFonts w:ascii="宋体" w:hAnsi="宋体"/>
          <w:sz w:val="24"/>
          <w:szCs w:val="28"/>
        </w:rPr>
        <w:t>1</w:t>
      </w:r>
      <w:r>
        <w:rPr>
          <w:rFonts w:hint="eastAsia" w:ascii="宋体" w:hAnsi="宋体"/>
          <w:sz w:val="24"/>
          <w:szCs w:val="28"/>
        </w:rPr>
        <w:t>6</w:t>
      </w:r>
      <w:r>
        <w:rPr>
          <w:rFonts w:ascii="宋体" w:hAnsi="宋体"/>
          <w:sz w:val="24"/>
          <w:szCs w:val="28"/>
        </w:rPr>
        <w:t>.1</w:t>
      </w:r>
      <w:r>
        <w:rPr>
          <w:rFonts w:hint="eastAsia" w:ascii="宋体" w:hAnsi="宋体"/>
          <w:sz w:val="24"/>
          <w:szCs w:val="28"/>
        </w:rPr>
        <w:t>投标文件</w:t>
      </w:r>
      <w:r>
        <w:rPr>
          <w:rFonts w:ascii="宋体" w:hAnsi="宋体"/>
          <w:sz w:val="24"/>
          <w:szCs w:val="28"/>
        </w:rPr>
        <w:t>的有效期</w:t>
      </w:r>
    </w:p>
    <w:p>
      <w:pPr>
        <w:snapToGrid w:val="0"/>
        <w:spacing w:line="360" w:lineRule="auto"/>
        <w:ind w:firstLine="480" w:firstLineChars="200"/>
        <w:rPr>
          <w:rFonts w:ascii="宋体" w:hAnsi="宋体"/>
          <w:sz w:val="24"/>
          <w:szCs w:val="28"/>
        </w:rPr>
      </w:pPr>
      <w:r>
        <w:rPr>
          <w:rFonts w:ascii="宋体" w:hAnsi="宋体"/>
          <w:sz w:val="24"/>
          <w:szCs w:val="28"/>
        </w:rPr>
        <w:t>（1）</w:t>
      </w:r>
      <w:r>
        <w:rPr>
          <w:rFonts w:hint="eastAsia" w:ascii="宋体" w:hAnsi="宋体"/>
          <w:sz w:val="24"/>
          <w:szCs w:val="28"/>
        </w:rPr>
        <w:t>投标文件</w:t>
      </w:r>
      <w:r>
        <w:rPr>
          <w:rFonts w:ascii="宋体" w:hAnsi="宋体"/>
          <w:sz w:val="24"/>
          <w:szCs w:val="28"/>
        </w:rPr>
        <w:t>的有效期始于本招标文件规定的投标截止时间；</w:t>
      </w:r>
    </w:p>
    <w:p>
      <w:pPr>
        <w:snapToGrid w:val="0"/>
        <w:spacing w:line="360" w:lineRule="auto"/>
        <w:ind w:firstLine="480" w:firstLineChars="200"/>
        <w:rPr>
          <w:rFonts w:ascii="宋体" w:hAnsi="宋体"/>
          <w:sz w:val="24"/>
          <w:szCs w:val="28"/>
        </w:rPr>
      </w:pPr>
      <w:r>
        <w:rPr>
          <w:rFonts w:ascii="宋体" w:hAnsi="宋体"/>
          <w:sz w:val="24"/>
          <w:szCs w:val="28"/>
        </w:rPr>
        <w:t>（2）中标人的投标有效期至</w:t>
      </w:r>
      <w:r>
        <w:rPr>
          <w:rFonts w:hint="eastAsia" w:ascii="宋体" w:hAnsi="宋体"/>
          <w:sz w:val="24"/>
          <w:szCs w:val="28"/>
        </w:rPr>
        <w:t>货物送达并验收合格</w:t>
      </w:r>
      <w:r>
        <w:rPr>
          <w:rFonts w:ascii="宋体" w:hAnsi="宋体"/>
          <w:sz w:val="24"/>
          <w:szCs w:val="28"/>
        </w:rPr>
        <w:t>后终止；</w:t>
      </w:r>
    </w:p>
    <w:p>
      <w:pPr>
        <w:snapToGrid w:val="0"/>
        <w:spacing w:line="360" w:lineRule="auto"/>
        <w:ind w:firstLine="480" w:firstLineChars="200"/>
        <w:rPr>
          <w:rFonts w:ascii="宋体" w:hAnsi="宋体"/>
          <w:sz w:val="24"/>
          <w:szCs w:val="28"/>
        </w:rPr>
      </w:pPr>
      <w:r>
        <w:rPr>
          <w:rFonts w:ascii="宋体" w:hAnsi="宋体"/>
          <w:sz w:val="24"/>
          <w:szCs w:val="28"/>
        </w:rPr>
        <w:t>（3）未中标人的投标有效期限自本款第（1）条之日起</w:t>
      </w:r>
      <w:r>
        <w:rPr>
          <w:rFonts w:hint="eastAsia" w:ascii="宋体" w:hAnsi="宋体"/>
          <w:bCs/>
          <w:sz w:val="24"/>
          <w:szCs w:val="28"/>
        </w:rPr>
        <w:t>60</w:t>
      </w:r>
      <w:r>
        <w:rPr>
          <w:rFonts w:ascii="宋体" w:hAnsi="宋体"/>
          <w:sz w:val="24"/>
          <w:szCs w:val="28"/>
        </w:rPr>
        <w:t>个日历天内有效。</w:t>
      </w:r>
    </w:p>
    <w:p>
      <w:pPr>
        <w:snapToGrid w:val="0"/>
        <w:spacing w:line="360" w:lineRule="auto"/>
        <w:ind w:firstLine="480" w:firstLineChars="200"/>
        <w:rPr>
          <w:rFonts w:ascii="宋体" w:hAnsi="宋体"/>
          <w:sz w:val="24"/>
          <w:szCs w:val="18"/>
        </w:rPr>
      </w:pPr>
      <w:r>
        <w:rPr>
          <w:rFonts w:ascii="宋体" w:hAnsi="宋体"/>
          <w:sz w:val="24"/>
          <w:szCs w:val="18"/>
        </w:rPr>
        <w:t>（4）在原定投标文件有效期期满之前，如果出现特殊情况，招标人可以向投标人提出延长其投标文件有效期的要求，这种要求和答复应以书面形式进行。投标人可以拒绝这种要求而不失去</w:t>
      </w:r>
      <w:r>
        <w:rPr>
          <w:rFonts w:hint="eastAsia" w:ascii="宋体" w:hAnsi="宋体"/>
          <w:sz w:val="24"/>
          <w:szCs w:val="18"/>
        </w:rPr>
        <w:t>其</w:t>
      </w:r>
      <w:r>
        <w:rPr>
          <w:rFonts w:ascii="宋体" w:hAnsi="宋体"/>
          <w:sz w:val="24"/>
          <w:szCs w:val="18"/>
        </w:rPr>
        <w:t>投标保证金。同意延期的投标人，不需要也不允许修改</w:t>
      </w:r>
      <w:r>
        <w:rPr>
          <w:rFonts w:hint="eastAsia" w:ascii="宋体" w:hAnsi="宋体"/>
          <w:sz w:val="24"/>
          <w:szCs w:val="18"/>
        </w:rPr>
        <w:t>其</w:t>
      </w:r>
      <w:r>
        <w:rPr>
          <w:rFonts w:ascii="宋体" w:hAnsi="宋体"/>
          <w:sz w:val="24"/>
          <w:szCs w:val="18"/>
        </w:rPr>
        <w:t>投标文件，但必须相应地延长投标保证金的有效期，在延长期内，本招标文件中关于投标保证金的退还与没收的规定仍然适用。</w:t>
      </w:r>
    </w:p>
    <w:p>
      <w:pPr>
        <w:pStyle w:val="25"/>
        <w:snapToGrid w:val="0"/>
        <w:spacing w:line="360" w:lineRule="auto"/>
        <w:ind w:firstLine="240" w:firstLineChars="100"/>
        <w:rPr>
          <w:rFonts w:ascii="宋体" w:hAnsi="宋体"/>
          <w:szCs w:val="28"/>
        </w:rPr>
      </w:pPr>
      <w:r>
        <w:rPr>
          <w:rFonts w:ascii="宋体" w:hAnsi="宋体"/>
          <w:szCs w:val="28"/>
        </w:rPr>
        <w:t xml:space="preserve"> 1</w:t>
      </w:r>
      <w:r>
        <w:rPr>
          <w:rFonts w:hint="eastAsia" w:ascii="宋体" w:hAnsi="宋体"/>
          <w:szCs w:val="28"/>
        </w:rPr>
        <w:t>6</w:t>
      </w:r>
      <w:r>
        <w:rPr>
          <w:rFonts w:ascii="宋体" w:hAnsi="宋体"/>
          <w:szCs w:val="28"/>
        </w:rPr>
        <w:t>.2有下列情况之一者，</w:t>
      </w:r>
      <w:r>
        <w:rPr>
          <w:rFonts w:hint="eastAsia" w:ascii="宋体" w:hAnsi="宋体"/>
          <w:szCs w:val="28"/>
        </w:rPr>
        <w:t>投标文件</w:t>
      </w:r>
      <w:r>
        <w:rPr>
          <w:rFonts w:ascii="宋体" w:hAnsi="宋体"/>
          <w:szCs w:val="28"/>
        </w:rPr>
        <w:t>无效：</w:t>
      </w:r>
    </w:p>
    <w:p>
      <w:pPr>
        <w:spacing w:line="360" w:lineRule="auto"/>
        <w:ind w:firstLine="480" w:firstLineChars="200"/>
        <w:rPr>
          <w:rFonts w:ascii="宋体" w:hAnsi="宋体" w:cs="宋体"/>
          <w:color w:val="000000"/>
          <w:kern w:val="0"/>
          <w:sz w:val="24"/>
        </w:rPr>
      </w:pPr>
      <w:r>
        <w:rPr>
          <w:rFonts w:ascii="宋体" w:hAnsi="宋体"/>
          <w:sz w:val="24"/>
        </w:rPr>
        <w:t>（1）</w:t>
      </w:r>
      <w:r>
        <w:rPr>
          <w:rFonts w:hint="eastAsia" w:ascii="宋体" w:hAnsi="宋体" w:cs="宋体"/>
          <w:color w:val="000000"/>
          <w:kern w:val="0"/>
          <w:sz w:val="24"/>
        </w:rPr>
        <w:t>投标文件没有按招标文件要求密封。</w:t>
      </w:r>
    </w:p>
    <w:p>
      <w:pPr>
        <w:spacing w:line="360" w:lineRule="auto"/>
        <w:ind w:firstLine="480" w:firstLineChars="200"/>
        <w:rPr>
          <w:rFonts w:ascii="宋体" w:hAnsi="宋体" w:cs="宋体"/>
          <w:color w:val="000000"/>
          <w:kern w:val="0"/>
          <w:sz w:val="24"/>
        </w:rPr>
      </w:pPr>
      <w:r>
        <w:rPr>
          <w:rFonts w:ascii="宋体" w:hAnsi="宋体"/>
          <w:sz w:val="24"/>
        </w:rPr>
        <w:t>（2）</w:t>
      </w:r>
      <w:r>
        <w:rPr>
          <w:rFonts w:hint="eastAsia" w:ascii="宋体" w:hAnsi="宋体" w:cs="宋体"/>
          <w:color w:val="000000"/>
          <w:kern w:val="0"/>
          <w:sz w:val="24"/>
        </w:rPr>
        <w:t>投标文件没有按招标文件规定的要求编制。</w:t>
      </w:r>
    </w:p>
    <w:p>
      <w:pPr>
        <w:spacing w:line="360" w:lineRule="auto"/>
        <w:ind w:firstLine="480" w:firstLineChars="200"/>
        <w:rPr>
          <w:rFonts w:ascii="宋体" w:hAnsi="宋体"/>
          <w:sz w:val="24"/>
        </w:rPr>
      </w:pPr>
      <w:r>
        <w:rPr>
          <w:rFonts w:ascii="宋体" w:hAnsi="宋体"/>
          <w:sz w:val="24"/>
        </w:rPr>
        <w:t>（3）</w:t>
      </w:r>
      <w:r>
        <w:rPr>
          <w:rFonts w:hint="eastAsia" w:ascii="宋体" w:hAnsi="宋体" w:cs="宋体"/>
          <w:color w:val="000000"/>
          <w:kern w:val="0"/>
          <w:sz w:val="24"/>
        </w:rPr>
        <w:t>投标文件中法定代表人或授权委托人没有签字和没有加盖单位公章。</w:t>
      </w:r>
    </w:p>
    <w:p>
      <w:pPr>
        <w:spacing w:line="360" w:lineRule="auto"/>
        <w:ind w:firstLine="480" w:firstLineChars="200"/>
        <w:rPr>
          <w:rFonts w:ascii="宋体" w:hAnsi="宋体"/>
          <w:sz w:val="24"/>
        </w:rPr>
      </w:pPr>
      <w:r>
        <w:rPr>
          <w:rFonts w:ascii="宋体" w:hAnsi="宋体"/>
          <w:sz w:val="24"/>
        </w:rPr>
        <w:t>（4）</w:t>
      </w:r>
      <w:r>
        <w:rPr>
          <w:rFonts w:hint="eastAsia" w:ascii="宋体" w:hAnsi="宋体" w:cs="宋体"/>
          <w:kern w:val="0"/>
          <w:sz w:val="24"/>
        </w:rPr>
        <w:t>投标文件送达时间超过投标的截止时间。</w:t>
      </w:r>
    </w:p>
    <w:p>
      <w:pPr>
        <w:spacing w:line="360" w:lineRule="auto"/>
        <w:ind w:firstLine="480" w:firstLineChars="200"/>
        <w:rPr>
          <w:rFonts w:ascii="宋体" w:hAnsi="宋体"/>
          <w:sz w:val="24"/>
        </w:rPr>
      </w:pPr>
      <w:r>
        <w:rPr>
          <w:rFonts w:ascii="宋体" w:hAnsi="宋体"/>
          <w:sz w:val="24"/>
        </w:rPr>
        <w:t>（5）</w:t>
      </w:r>
      <w:r>
        <w:rPr>
          <w:rFonts w:hint="eastAsia" w:ascii="宋体" w:hAnsi="宋体" w:cs="宋体"/>
          <w:color w:val="000000"/>
          <w:kern w:val="0"/>
          <w:sz w:val="24"/>
        </w:rPr>
        <w:t>投标人递交两份或两份以上内容不同的投标文件。</w:t>
      </w:r>
    </w:p>
    <w:p>
      <w:pPr>
        <w:spacing w:line="360" w:lineRule="auto"/>
        <w:ind w:firstLine="480" w:firstLineChars="200"/>
        <w:rPr>
          <w:rFonts w:ascii="宋体" w:hAnsi="宋体"/>
          <w:sz w:val="24"/>
        </w:rPr>
      </w:pPr>
      <w:r>
        <w:rPr>
          <w:rFonts w:ascii="宋体" w:hAnsi="宋体"/>
          <w:sz w:val="24"/>
        </w:rPr>
        <w:t>（6）</w:t>
      </w:r>
      <w:r>
        <w:rPr>
          <w:rFonts w:hint="eastAsia" w:ascii="宋体" w:hAnsi="宋体" w:cs="宋体"/>
          <w:color w:val="000000"/>
          <w:kern w:val="0"/>
          <w:sz w:val="24"/>
        </w:rPr>
        <w:t>投标人的法定代表人或授权委托人没有参加开标会议。</w:t>
      </w:r>
    </w:p>
    <w:p>
      <w:pPr>
        <w:spacing w:line="360" w:lineRule="auto"/>
        <w:ind w:firstLine="480" w:firstLineChars="200"/>
        <w:rPr>
          <w:rFonts w:ascii="宋体" w:hAnsi="宋体" w:cs="宋体"/>
          <w:color w:val="000000"/>
          <w:kern w:val="0"/>
          <w:sz w:val="24"/>
        </w:rPr>
      </w:pPr>
      <w:r>
        <w:rPr>
          <w:rFonts w:ascii="宋体" w:hAnsi="宋体"/>
          <w:sz w:val="24"/>
          <w:szCs w:val="18"/>
        </w:rPr>
        <w:t>（7）</w:t>
      </w:r>
      <w:r>
        <w:rPr>
          <w:rFonts w:hint="eastAsia" w:ascii="宋体" w:hAnsi="宋体" w:cs="宋体"/>
          <w:color w:val="000000"/>
          <w:kern w:val="0"/>
          <w:sz w:val="24"/>
        </w:rPr>
        <w:t>投标人的投标资格不满足国家有关规定和招标文件的要求。</w:t>
      </w:r>
    </w:p>
    <w:p>
      <w:pPr>
        <w:spacing w:line="360" w:lineRule="auto"/>
        <w:ind w:firstLine="480" w:firstLineChars="200"/>
        <w:rPr>
          <w:rFonts w:ascii="宋体" w:hAnsi="宋体" w:cs="宋体"/>
          <w:color w:val="000000"/>
          <w:kern w:val="0"/>
          <w:sz w:val="24"/>
        </w:rPr>
      </w:pPr>
      <w:r>
        <w:rPr>
          <w:rFonts w:ascii="宋体" w:hAnsi="宋体"/>
          <w:sz w:val="24"/>
          <w:szCs w:val="18"/>
        </w:rPr>
        <w:t>（8）</w:t>
      </w:r>
      <w:r>
        <w:rPr>
          <w:rFonts w:hint="eastAsia" w:ascii="宋体" w:hAnsi="宋体" w:cs="宋体"/>
          <w:color w:val="000000"/>
          <w:kern w:val="0"/>
          <w:sz w:val="24"/>
        </w:rPr>
        <w:t>没有按招标文件的要求提供投标保证金收据原件和复印件。</w:t>
      </w:r>
    </w:p>
    <w:p>
      <w:pPr>
        <w:spacing w:line="360" w:lineRule="auto"/>
        <w:ind w:firstLine="480" w:firstLineChars="200"/>
        <w:rPr>
          <w:rFonts w:ascii="宋体" w:hAnsi="宋体" w:cs="宋体"/>
          <w:color w:val="000000"/>
          <w:kern w:val="0"/>
          <w:sz w:val="24"/>
        </w:rPr>
      </w:pPr>
      <w:r>
        <w:rPr>
          <w:rFonts w:ascii="宋体" w:hAnsi="宋体"/>
          <w:sz w:val="24"/>
          <w:szCs w:val="18"/>
        </w:rPr>
        <w:t>（9）</w:t>
      </w:r>
      <w:r>
        <w:rPr>
          <w:rFonts w:hint="eastAsia" w:ascii="宋体" w:hAnsi="宋体" w:cs="宋体"/>
          <w:color w:val="000000"/>
          <w:kern w:val="0"/>
          <w:sz w:val="24"/>
        </w:rPr>
        <w:t>投标文件附有招标人不能接受的条款。</w:t>
      </w:r>
    </w:p>
    <w:p>
      <w:pPr>
        <w:spacing w:line="360" w:lineRule="auto"/>
        <w:ind w:firstLine="480" w:firstLineChars="200"/>
        <w:rPr>
          <w:rFonts w:ascii="宋体" w:hAnsi="宋体"/>
          <w:sz w:val="24"/>
          <w:szCs w:val="21"/>
        </w:rPr>
      </w:pPr>
      <w:r>
        <w:rPr>
          <w:rFonts w:ascii="宋体" w:hAnsi="宋体"/>
          <w:sz w:val="24"/>
          <w:szCs w:val="18"/>
        </w:rPr>
        <w:t>（10）</w:t>
      </w:r>
      <w:r>
        <w:rPr>
          <w:rFonts w:hint="eastAsia" w:ascii="宋体" w:hAnsi="宋体" w:cs="宋体"/>
          <w:color w:val="000000"/>
          <w:kern w:val="0"/>
          <w:sz w:val="24"/>
        </w:rPr>
        <w:t>与招标文件有重大偏离的投标文件。</w:t>
      </w:r>
    </w:p>
    <w:p>
      <w:pPr>
        <w:spacing w:line="360" w:lineRule="auto"/>
        <w:ind w:firstLine="480" w:firstLineChars="200"/>
        <w:rPr>
          <w:rFonts w:ascii="宋体" w:hAnsi="宋体" w:cs="宋体"/>
          <w:color w:val="000000"/>
          <w:kern w:val="0"/>
          <w:sz w:val="24"/>
        </w:rPr>
      </w:pPr>
      <w:r>
        <w:rPr>
          <w:rFonts w:ascii="宋体" w:hAnsi="宋体"/>
          <w:sz w:val="24"/>
          <w:szCs w:val="18"/>
        </w:rPr>
        <w:t>（11）</w:t>
      </w:r>
      <w:r>
        <w:rPr>
          <w:rFonts w:hint="eastAsia" w:ascii="宋体" w:hAnsi="宋体" w:cs="宋体"/>
          <w:color w:val="000000"/>
          <w:kern w:val="0"/>
          <w:sz w:val="24"/>
        </w:rPr>
        <w:t>投标报价超过预算金额或最高限价。</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（12）</w:t>
      </w:r>
      <w:r>
        <w:rPr>
          <w:rFonts w:hint="eastAsia" w:ascii="宋体" w:hAnsi="宋体" w:cs="宋体"/>
          <w:color w:val="000000"/>
          <w:kern w:val="0"/>
          <w:sz w:val="24"/>
          <w:szCs w:val="22"/>
        </w:rPr>
        <w:t>不满足招标文件规定的其他实质性要求。</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（13）</w:t>
      </w:r>
      <w:r>
        <w:rPr>
          <w:rFonts w:hint="eastAsia" w:ascii="宋体" w:hAnsi="宋体" w:cs="宋体"/>
          <w:color w:val="000000"/>
          <w:kern w:val="0"/>
          <w:sz w:val="24"/>
          <w:szCs w:val="22"/>
        </w:rPr>
        <w:t>投标文件中没有包含无线和有线网络建设和优化技术方案（含地勘报告）。</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（14）</w:t>
      </w:r>
      <w:r>
        <w:rPr>
          <w:rFonts w:hint="eastAsia" w:ascii="宋体" w:hAnsi="宋体" w:cs="宋体"/>
          <w:color w:val="000000"/>
          <w:kern w:val="0"/>
          <w:sz w:val="24"/>
          <w:szCs w:val="22"/>
        </w:rPr>
        <w:t>投标文件中没有包含核心机房的割接和改造升级方案。</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、投标文件的递交</w:t>
      </w:r>
    </w:p>
    <w:p>
      <w:pPr>
        <w:spacing w:line="360" w:lineRule="auto"/>
        <w:ind w:firstLine="240" w:firstLineChars="100"/>
        <w:rPr>
          <w:rFonts w:ascii="宋体" w:hAnsi="宋体"/>
          <w:sz w:val="24"/>
          <w:szCs w:val="21"/>
        </w:rPr>
      </w:pPr>
      <w:r>
        <w:rPr>
          <w:rFonts w:hint="eastAsia" w:ascii="宋体" w:hAnsi="宋体"/>
          <w:sz w:val="24"/>
          <w:szCs w:val="21"/>
        </w:rPr>
        <w:t>17.1 投标文件的密封与标记</w:t>
      </w:r>
    </w:p>
    <w:p>
      <w:pPr>
        <w:spacing w:line="360" w:lineRule="auto"/>
        <w:ind w:firstLine="480" w:firstLineChars="200"/>
        <w:rPr>
          <w:rFonts w:ascii="宋体" w:hAnsi="宋体"/>
          <w:sz w:val="24"/>
          <w:szCs w:val="21"/>
        </w:rPr>
      </w:pPr>
      <w:r>
        <w:rPr>
          <w:rFonts w:hint="eastAsia" w:ascii="宋体" w:hAnsi="宋体"/>
          <w:sz w:val="24"/>
          <w:szCs w:val="21"/>
        </w:rPr>
        <w:t>投标人应将投标文件</w:t>
      </w:r>
      <w:r>
        <w:rPr>
          <w:rFonts w:hint="eastAsia" w:ascii="宋体" w:hAnsi="宋体" w:cs="宋体"/>
          <w:color w:val="000000"/>
          <w:sz w:val="24"/>
          <w:szCs w:val="24"/>
        </w:rPr>
        <w:t>：正本1份，副本4份，开标一览表1份，电子版U盘1份（电子版必须是签字、盖章后的扫描件），</w:t>
      </w:r>
      <w:r>
        <w:rPr>
          <w:rFonts w:hint="eastAsia" w:ascii="宋体" w:hAnsi="宋体"/>
          <w:sz w:val="24"/>
          <w:szCs w:val="21"/>
        </w:rPr>
        <w:t>分别装入信袋内加以密封，分别在信袋上标正本、副本、</w:t>
      </w:r>
      <w:r>
        <w:rPr>
          <w:rFonts w:hint="eastAsia" w:ascii="宋体" w:hAnsi="宋体" w:cs="宋体"/>
          <w:color w:val="000000"/>
          <w:sz w:val="24"/>
          <w:szCs w:val="24"/>
        </w:rPr>
        <w:t>开标一览表、电子U盘</w:t>
      </w:r>
      <w:r>
        <w:rPr>
          <w:rFonts w:hint="eastAsia" w:ascii="宋体" w:hAnsi="宋体"/>
          <w:sz w:val="24"/>
          <w:szCs w:val="21"/>
        </w:rPr>
        <w:t>，并在密封处压口加盖公章和法定代表人章。</w:t>
      </w:r>
    </w:p>
    <w:p>
      <w:pPr>
        <w:spacing w:line="360" w:lineRule="auto"/>
        <w:ind w:firstLine="240" w:firstLineChars="100"/>
        <w:rPr>
          <w:rFonts w:ascii="宋体" w:hAnsi="宋体"/>
          <w:sz w:val="24"/>
          <w:szCs w:val="21"/>
        </w:rPr>
      </w:pPr>
      <w:r>
        <w:rPr>
          <w:rFonts w:hint="eastAsia" w:ascii="宋体" w:hAnsi="宋体"/>
          <w:sz w:val="24"/>
          <w:szCs w:val="21"/>
        </w:rPr>
        <w:t>17.2 所有投标文件信袋及包装物上均应贴上封条，封皮上应写明：</w:t>
      </w:r>
    </w:p>
    <w:p>
      <w:pPr>
        <w:numPr>
          <w:ilvl w:val="0"/>
          <w:numId w:val="1"/>
        </w:numPr>
        <w:tabs>
          <w:tab w:val="left" w:pos="900"/>
          <w:tab w:val="clear" w:pos="1138"/>
        </w:tabs>
        <w:spacing w:line="360" w:lineRule="auto"/>
        <w:rPr>
          <w:rFonts w:ascii="宋体" w:hAnsi="宋体"/>
          <w:sz w:val="24"/>
          <w:szCs w:val="21"/>
        </w:rPr>
      </w:pPr>
      <w:r>
        <w:rPr>
          <w:rFonts w:hint="eastAsia" w:ascii="宋体" w:hAnsi="宋体"/>
          <w:sz w:val="24"/>
          <w:szCs w:val="21"/>
        </w:rPr>
        <w:t>招标单位：</w:t>
      </w:r>
    </w:p>
    <w:p>
      <w:pPr>
        <w:numPr>
          <w:ilvl w:val="0"/>
          <w:numId w:val="1"/>
        </w:numPr>
        <w:tabs>
          <w:tab w:val="left" w:pos="900"/>
          <w:tab w:val="clear" w:pos="1138"/>
        </w:tabs>
        <w:spacing w:line="360" w:lineRule="auto"/>
        <w:rPr>
          <w:rFonts w:ascii="宋体" w:hAnsi="宋体"/>
          <w:sz w:val="24"/>
          <w:szCs w:val="21"/>
        </w:rPr>
      </w:pPr>
      <w:r>
        <w:rPr>
          <w:rFonts w:hint="eastAsia" w:ascii="宋体" w:hAnsi="宋体"/>
          <w:sz w:val="24"/>
          <w:szCs w:val="21"/>
        </w:rPr>
        <w:t>项目名称：</w:t>
      </w:r>
    </w:p>
    <w:p>
      <w:pPr>
        <w:tabs>
          <w:tab w:val="left" w:pos="900"/>
        </w:tabs>
        <w:spacing w:line="360" w:lineRule="auto"/>
        <w:ind w:left="418"/>
        <w:rPr>
          <w:rFonts w:ascii="宋体" w:hAnsi="宋体"/>
          <w:sz w:val="24"/>
          <w:szCs w:val="21"/>
        </w:rPr>
      </w:pPr>
      <w:r>
        <w:rPr>
          <w:rFonts w:hint="eastAsia" w:ascii="宋体" w:hAnsi="宋体"/>
          <w:sz w:val="24"/>
          <w:szCs w:val="21"/>
        </w:rPr>
        <w:t>（3）投标企业名称、地址、联系人、联系电话；</w:t>
      </w:r>
    </w:p>
    <w:p>
      <w:pPr>
        <w:spacing w:line="360" w:lineRule="auto"/>
        <w:ind w:left="319" w:firstLine="99"/>
        <w:rPr>
          <w:rFonts w:ascii="宋体" w:hAnsi="宋体"/>
          <w:sz w:val="24"/>
          <w:szCs w:val="21"/>
        </w:rPr>
      </w:pPr>
      <w:r>
        <w:rPr>
          <w:rFonts w:hint="eastAsia" w:ascii="宋体" w:hAnsi="宋体"/>
          <w:sz w:val="24"/>
          <w:szCs w:val="21"/>
        </w:rPr>
        <w:t>（4）注明开标前不得启封、正本或副本或</w:t>
      </w:r>
      <w:r>
        <w:rPr>
          <w:rFonts w:hint="eastAsia" w:ascii="宋体" w:hAnsi="宋体" w:cs="宋体"/>
          <w:color w:val="000000"/>
          <w:sz w:val="24"/>
          <w:szCs w:val="24"/>
        </w:rPr>
        <w:t>开标一览表</w:t>
      </w:r>
      <w:r>
        <w:rPr>
          <w:rFonts w:hint="eastAsia" w:ascii="宋体" w:hAnsi="宋体"/>
          <w:sz w:val="24"/>
          <w:szCs w:val="21"/>
        </w:rPr>
        <w:t>或</w:t>
      </w:r>
      <w:r>
        <w:rPr>
          <w:rFonts w:hint="eastAsia" w:ascii="宋体" w:hAnsi="宋体" w:cs="宋体"/>
          <w:color w:val="000000"/>
          <w:sz w:val="24"/>
          <w:szCs w:val="24"/>
        </w:rPr>
        <w:t>电子U盘</w:t>
      </w:r>
      <w:r>
        <w:rPr>
          <w:rFonts w:hint="eastAsia" w:ascii="宋体" w:hAnsi="宋体"/>
          <w:sz w:val="24"/>
          <w:szCs w:val="21"/>
        </w:rPr>
        <w:t>字样。</w:t>
      </w:r>
    </w:p>
    <w:p>
      <w:pPr>
        <w:spacing w:line="360" w:lineRule="auto"/>
        <w:ind w:firstLine="240" w:firstLineChars="100"/>
        <w:rPr>
          <w:rFonts w:ascii="宋体" w:hAnsi="宋体"/>
          <w:sz w:val="24"/>
          <w:szCs w:val="21"/>
        </w:rPr>
      </w:pPr>
      <w:r>
        <w:rPr>
          <w:rFonts w:hint="eastAsia" w:ascii="宋体" w:hAnsi="宋体"/>
          <w:sz w:val="24"/>
          <w:szCs w:val="21"/>
        </w:rPr>
        <w:t>17.3 未按本须知要求密封、标记和投递的投标文件，予以废标，招标机构不对其后果负责。</w:t>
      </w:r>
    </w:p>
    <w:p>
      <w:pPr>
        <w:spacing w:line="360" w:lineRule="auto"/>
        <w:jc w:val="center"/>
        <w:rPr>
          <w:rFonts w:ascii="宋体" w:hAnsi="宋体"/>
          <w:b/>
          <w:bCs/>
          <w:sz w:val="28"/>
          <w:szCs w:val="28"/>
        </w:rPr>
      </w:pPr>
      <w:r>
        <w:rPr>
          <w:rFonts w:hint="eastAsia" w:ascii="宋体" w:hAnsi="宋体"/>
          <w:b/>
          <w:bCs/>
          <w:sz w:val="28"/>
          <w:szCs w:val="28"/>
        </w:rPr>
        <w:t>（四）开标</w:t>
      </w:r>
    </w:p>
    <w:p>
      <w:pPr>
        <w:spacing w:line="360" w:lineRule="auto"/>
        <w:rPr>
          <w:rFonts w:ascii="宋体" w:hAnsi="宋体"/>
          <w:sz w:val="24"/>
        </w:rPr>
      </w:pPr>
      <w:r>
        <w:rPr>
          <w:rFonts w:hint="eastAsia" w:ascii="宋体" w:hAnsi="宋体"/>
          <w:bCs/>
          <w:sz w:val="24"/>
        </w:rPr>
        <w:t>18</w:t>
      </w:r>
      <w:r>
        <w:rPr>
          <w:rFonts w:ascii="宋体" w:hAnsi="宋体"/>
          <w:bCs/>
          <w:sz w:val="24"/>
        </w:rPr>
        <w:t>、</w:t>
      </w:r>
      <w:r>
        <w:rPr>
          <w:rFonts w:ascii="宋体" w:hAnsi="宋体"/>
          <w:sz w:val="24"/>
        </w:rPr>
        <w:t>开标</w:t>
      </w:r>
    </w:p>
    <w:p>
      <w:pPr>
        <w:spacing w:line="360" w:lineRule="auto"/>
        <w:ind w:firstLine="240" w:firstLineChars="100"/>
        <w:rPr>
          <w:rFonts w:ascii="宋体" w:hAnsi="宋体"/>
          <w:sz w:val="24"/>
          <w:szCs w:val="21"/>
        </w:rPr>
      </w:pPr>
      <w:r>
        <w:rPr>
          <w:rFonts w:hint="eastAsia" w:ascii="宋体" w:hAnsi="宋体"/>
          <w:sz w:val="24"/>
          <w:szCs w:val="21"/>
        </w:rPr>
        <w:t>18.1开标会主持人介绍参加会议的人员。</w:t>
      </w:r>
    </w:p>
    <w:p>
      <w:pPr>
        <w:autoSpaceDE w:val="0"/>
        <w:autoSpaceDN w:val="0"/>
        <w:spacing w:line="360" w:lineRule="auto"/>
        <w:ind w:firstLine="240" w:firstLineChars="100"/>
        <w:jc w:val="left"/>
        <w:textAlignment w:val="bottom"/>
        <w:rPr>
          <w:rFonts w:ascii="宋体" w:hAnsi="宋体"/>
          <w:color w:val="000000"/>
          <w:sz w:val="24"/>
        </w:rPr>
      </w:pPr>
      <w:r>
        <w:rPr>
          <w:rFonts w:hint="eastAsia" w:ascii="宋体" w:hAnsi="宋体"/>
          <w:sz w:val="24"/>
          <w:szCs w:val="21"/>
        </w:rPr>
        <w:t>18.2 招标机构在投标人须知前附表中规定的时间和地点召开开标会，届时请投标方派代表</w:t>
      </w:r>
      <w:r>
        <w:rPr>
          <w:rFonts w:hint="eastAsia" w:ascii="宋体" w:hAnsi="宋体"/>
          <w:color w:val="000000"/>
          <w:sz w:val="24"/>
          <w:szCs w:val="21"/>
        </w:rPr>
        <w:t>参加。请参加开标的投标人代表签名报到，同时要求必须携带如下证件供采购人检查：</w:t>
      </w:r>
    </w:p>
    <w:p>
      <w:pPr>
        <w:pStyle w:val="38"/>
        <w:spacing w:before="75" w:beforeAutospacing="0" w:after="75" w:afterAutospacing="0" w:line="360" w:lineRule="auto"/>
        <w:ind w:firstLine="240" w:firstLineChars="100"/>
        <w:rPr>
          <w:rFonts w:cs="宋体" w:asciiTheme="minorEastAsia" w:hAnsiTheme="minorEastAsia" w:eastAsiaTheme="minorEastAsia"/>
        </w:rPr>
      </w:pPr>
      <w:r>
        <w:rPr>
          <w:rFonts w:hint="eastAsia" w:cs="宋体" w:asciiTheme="minorEastAsia" w:hAnsiTheme="minorEastAsia" w:eastAsiaTheme="minorEastAsia"/>
        </w:rPr>
        <w:t>（1）投标人须符合《中华人民共和国政府采购法》第二十二条规定,并提供《中华人民共和国政府采购法实施条例》第十七条所要求的材料；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①投标人提供有效的统一社会信用代码的营业执照，投标人必须是中华人民共和国境内注册的，具有独立承担民事责任的能力；</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② 财务状况报告：投标人提供2020年度经第三方权威机构出具的完整的财务审计报告或自发布公告之日起基本开户银行出具的资信证明；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③ 依法缴纳税收：投标人提供自投标截止之日前半年内任意一个月依法缴纳税收的凭据，依法免税的投标人，应提供充足的证明材料；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④ 依法缴纳社保：投标人提供自投标截止之日前半年内任意一个月依法缴纳社会保障资金的凭据；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⑤ 投标人具备履行合同所必需的设备和专业技术能力的证明材料；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⑥ 投标人提供参加政府采购活动前 3 年内在经营活动中没有重大违法记录的书面声明（截至开标日成立不满 3 年的投标人，可提供自成立以来无重大违法记录的书面声明）。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（2）投标人提供法定代表人授权委托书及被授权人身份证原件；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3）投标人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招标公告发布之日起至投标截止时间从上述网站中打印，</w:t>
      </w:r>
      <w:r>
        <w:rPr>
          <w:rFonts w:hint="eastAsia" w:ascii="宋体" w:hAnsi="宋体" w:eastAsia="宋体" w:cs="宋体"/>
          <w:color w:val="000000"/>
        </w:rPr>
        <w:t>打印件须显示时间</w:t>
      </w:r>
      <w:r>
        <w:rPr>
          <w:rFonts w:hint="eastAsia" w:cs="宋体" w:asciiTheme="minorEastAsia" w:hAnsiTheme="minorEastAsia" w:eastAsiaTheme="minorEastAsia"/>
        </w:rPr>
        <w:t>）。被列入以上条款尚在处罚期内的将拒绝其参本次采购活动；  </w:t>
      </w:r>
    </w:p>
    <w:p>
      <w:pPr>
        <w:pStyle w:val="38"/>
        <w:spacing w:before="75" w:beforeAutospacing="0" w:after="75" w:afterAutospacing="0"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（4）投标保证金收据。</w:t>
      </w:r>
    </w:p>
    <w:p>
      <w:pPr>
        <w:autoSpaceDE w:val="0"/>
        <w:autoSpaceDN w:val="0"/>
        <w:spacing w:line="360" w:lineRule="auto"/>
        <w:ind w:firstLine="472" w:firstLineChars="196"/>
        <w:jc w:val="left"/>
        <w:textAlignment w:val="bottom"/>
        <w:rPr>
          <w:rFonts w:ascii="宋体" w:hAnsi="宋体"/>
          <w:b/>
          <w:sz w:val="24"/>
        </w:rPr>
      </w:pPr>
      <w:r>
        <w:rPr>
          <w:rFonts w:hint="eastAsia" w:asciiTheme="minorEastAsia" w:hAnsiTheme="minorEastAsia" w:eastAsiaTheme="minorEastAsia"/>
          <w:b/>
          <w:color w:val="000000"/>
          <w:sz w:val="24"/>
          <w:szCs w:val="24"/>
        </w:rPr>
        <w:t>注：</w:t>
      </w:r>
      <w:r>
        <w:rPr>
          <w:rFonts w:hint="eastAsia" w:ascii="宋体" w:hAnsi="宋体"/>
          <w:b/>
          <w:sz w:val="24"/>
        </w:rPr>
        <w:t>营业执照、保证金收据、法定代表人授权委托书及被授权人身份证（如为法定代表人投标，提供法定代表人身份证明和身份证）为原件单独提交审核；其他</w:t>
      </w:r>
      <w:r>
        <w:rPr>
          <w:rFonts w:hint="eastAsia" w:ascii="宋体" w:hAnsi="宋体" w:cs="宋体"/>
          <w:b/>
          <w:bCs/>
          <w:color w:val="000000"/>
          <w:sz w:val="24"/>
          <w:szCs w:val="24"/>
        </w:rPr>
        <w:t>资格审查</w:t>
      </w:r>
      <w:r>
        <w:rPr>
          <w:rFonts w:hint="eastAsia" w:ascii="宋体" w:hAnsi="宋体"/>
          <w:b/>
          <w:sz w:val="24"/>
        </w:rPr>
        <w:t>为复印件单独提交审核（资格审查文件开标会议现场提交供采购人检查），并将所有资格审查复印件胶装在投标文件中，不合格或缺少一项将被认为资格审查不合格，将取消其竞标资格。</w:t>
      </w:r>
    </w:p>
    <w:p>
      <w:pPr>
        <w:autoSpaceDE w:val="0"/>
        <w:autoSpaceDN w:val="0"/>
        <w:spacing w:line="360" w:lineRule="auto"/>
        <w:ind w:firstLine="240" w:firstLineChars="100"/>
        <w:jc w:val="left"/>
        <w:textAlignment w:val="bottom"/>
        <w:rPr>
          <w:rFonts w:ascii="宋体" w:hAnsi="宋体"/>
          <w:sz w:val="24"/>
          <w:szCs w:val="21"/>
        </w:rPr>
      </w:pPr>
      <w:r>
        <w:rPr>
          <w:rFonts w:hint="eastAsia" w:ascii="宋体" w:hAnsi="宋体"/>
          <w:sz w:val="24"/>
          <w:szCs w:val="21"/>
        </w:rPr>
        <w:t>如证件不齐者或无效视为不响应招标文件要求，予以废标。</w:t>
      </w:r>
    </w:p>
    <w:p>
      <w:pPr>
        <w:spacing w:line="360" w:lineRule="auto"/>
        <w:ind w:firstLine="240" w:firstLineChars="100"/>
        <w:rPr>
          <w:rFonts w:ascii="宋体" w:hAnsi="宋体"/>
          <w:sz w:val="24"/>
          <w:szCs w:val="21"/>
        </w:rPr>
      </w:pPr>
      <w:r>
        <w:rPr>
          <w:rFonts w:hint="eastAsia" w:ascii="宋体" w:hAnsi="宋体"/>
          <w:sz w:val="24"/>
          <w:szCs w:val="21"/>
        </w:rPr>
        <w:t xml:space="preserve">18.3 </w:t>
      </w:r>
      <w:r>
        <w:rPr>
          <w:rFonts w:ascii="宋体" w:hAnsi="宋体"/>
          <w:sz w:val="24"/>
          <w:szCs w:val="21"/>
        </w:rPr>
        <w:t>投标最低报价，不作为是否中标的依据</w:t>
      </w:r>
      <w:r>
        <w:rPr>
          <w:rFonts w:hint="eastAsia" w:ascii="宋体" w:hAnsi="宋体"/>
          <w:sz w:val="24"/>
          <w:szCs w:val="21"/>
        </w:rPr>
        <w:t>。</w:t>
      </w:r>
    </w:p>
    <w:p>
      <w:pPr>
        <w:spacing w:line="360" w:lineRule="auto"/>
        <w:ind w:firstLine="240" w:firstLineChars="100"/>
        <w:rPr>
          <w:rFonts w:ascii="宋体" w:hAnsi="宋体"/>
          <w:sz w:val="24"/>
          <w:szCs w:val="21"/>
        </w:rPr>
      </w:pPr>
      <w:r>
        <w:rPr>
          <w:rFonts w:hint="eastAsia" w:ascii="宋体" w:hAnsi="宋体"/>
          <w:sz w:val="24"/>
          <w:szCs w:val="21"/>
        </w:rPr>
        <w:t>18.4 投标人代表宣读投标文件送达时间和密封情况是否完好。</w:t>
      </w:r>
    </w:p>
    <w:p>
      <w:pPr>
        <w:spacing w:line="360" w:lineRule="auto"/>
        <w:ind w:firstLine="240" w:firstLineChars="100"/>
        <w:rPr>
          <w:rFonts w:ascii="宋体" w:hAnsi="宋体"/>
          <w:sz w:val="24"/>
          <w:szCs w:val="21"/>
        </w:rPr>
      </w:pPr>
      <w:r>
        <w:rPr>
          <w:rFonts w:hint="eastAsia" w:ascii="宋体" w:hAnsi="宋体"/>
          <w:sz w:val="24"/>
          <w:szCs w:val="21"/>
        </w:rPr>
        <w:t>18.5 开标会主持人宣布投标文件送达时间是否符合招标文件要求。</w:t>
      </w:r>
    </w:p>
    <w:p>
      <w:pPr>
        <w:spacing w:line="360" w:lineRule="auto"/>
        <w:ind w:firstLine="240" w:firstLineChars="100"/>
        <w:rPr>
          <w:rFonts w:ascii="宋体" w:hAnsi="宋体"/>
          <w:sz w:val="24"/>
          <w:szCs w:val="21"/>
        </w:rPr>
      </w:pPr>
      <w:r>
        <w:rPr>
          <w:rFonts w:hint="eastAsia" w:ascii="宋体" w:hAnsi="宋体"/>
          <w:sz w:val="24"/>
          <w:szCs w:val="21"/>
        </w:rPr>
        <w:t>18.6 监督人、投标人代表对投标文件是否按招标文件规定密封与标志进行核查。</w:t>
      </w:r>
    </w:p>
    <w:p>
      <w:pPr>
        <w:spacing w:line="360" w:lineRule="auto"/>
        <w:ind w:firstLine="240" w:firstLineChars="100"/>
        <w:rPr>
          <w:rFonts w:ascii="宋体" w:hAnsi="宋体"/>
          <w:sz w:val="24"/>
          <w:szCs w:val="21"/>
        </w:rPr>
      </w:pPr>
      <w:r>
        <w:rPr>
          <w:rFonts w:hint="eastAsia" w:ascii="宋体" w:hAnsi="宋体"/>
          <w:sz w:val="24"/>
          <w:szCs w:val="21"/>
        </w:rPr>
        <w:t>18.8唱标人启封开标一览表宣读投标人名称、投标报价、供货期。</w:t>
      </w:r>
    </w:p>
    <w:p>
      <w:pPr>
        <w:spacing w:line="360" w:lineRule="auto"/>
        <w:ind w:firstLine="240" w:firstLineChars="100"/>
        <w:rPr>
          <w:rFonts w:ascii="宋体" w:hAnsi="宋体"/>
          <w:sz w:val="24"/>
          <w:szCs w:val="21"/>
        </w:rPr>
      </w:pPr>
      <w:r>
        <w:rPr>
          <w:rFonts w:hint="eastAsia" w:ascii="宋体" w:hAnsi="宋体"/>
          <w:sz w:val="24"/>
          <w:szCs w:val="21"/>
        </w:rPr>
        <w:t>18.9投标人休会，进入评标阶段。</w:t>
      </w:r>
    </w:p>
    <w:p>
      <w:pPr>
        <w:spacing w:line="360" w:lineRule="auto"/>
        <w:ind w:firstLine="562" w:firstLineChars="200"/>
        <w:jc w:val="center"/>
        <w:rPr>
          <w:rFonts w:ascii="宋体" w:hAnsi="宋体"/>
          <w:b/>
          <w:bCs/>
          <w:sz w:val="28"/>
          <w:szCs w:val="28"/>
        </w:rPr>
      </w:pPr>
      <w:r>
        <w:rPr>
          <w:rFonts w:hint="eastAsia" w:ascii="宋体" w:hAnsi="宋体"/>
          <w:b/>
          <w:bCs/>
          <w:sz w:val="28"/>
          <w:szCs w:val="28"/>
        </w:rPr>
        <w:t>（五）评标</w:t>
      </w:r>
    </w:p>
    <w:p>
      <w:pPr>
        <w:pStyle w:val="23"/>
        <w:spacing w:line="360" w:lineRule="auto"/>
        <w:rPr>
          <w:rFonts w:hAnsi="宋体"/>
          <w:bCs/>
          <w:sz w:val="24"/>
        </w:rPr>
      </w:pPr>
      <w:r>
        <w:rPr>
          <w:rFonts w:hint="eastAsia" w:hAnsi="宋体"/>
          <w:sz w:val="24"/>
        </w:rPr>
        <w:t>19</w:t>
      </w:r>
      <w:r>
        <w:rPr>
          <w:rFonts w:hAnsi="宋体"/>
          <w:sz w:val="24"/>
        </w:rPr>
        <w:t>、</w:t>
      </w:r>
      <w:r>
        <w:rPr>
          <w:rFonts w:hAnsi="宋体"/>
          <w:bCs/>
          <w:sz w:val="24"/>
        </w:rPr>
        <w:t>评标会议</w:t>
      </w:r>
    </w:p>
    <w:p>
      <w:pPr>
        <w:pStyle w:val="23"/>
        <w:spacing w:line="360" w:lineRule="auto"/>
        <w:rPr>
          <w:rFonts w:hAnsi="宋体"/>
          <w:sz w:val="24"/>
        </w:rPr>
      </w:pPr>
      <w:r>
        <w:rPr>
          <w:rFonts w:hint="eastAsia" w:hAnsi="宋体"/>
          <w:sz w:val="24"/>
        </w:rPr>
        <w:t xml:space="preserve">  19</w:t>
      </w:r>
      <w:r>
        <w:rPr>
          <w:rFonts w:hAnsi="宋体"/>
          <w:sz w:val="24"/>
        </w:rPr>
        <w:t>.1开标会议结束后，召开评标会议，评标会议采用保密方式进行。</w:t>
      </w:r>
      <w:r>
        <w:rPr>
          <w:rFonts w:hAnsi="宋体"/>
          <w:sz w:val="24"/>
          <w:szCs w:val="18"/>
        </w:rPr>
        <w:t>评标工作由招标人按有关规定组建的评标委员会负责。评标委员会组成，其成员不少于五人，其中招标人的代表占三分之一，专业技术人员不少于三分之二</w:t>
      </w:r>
      <w:r>
        <w:rPr>
          <w:rFonts w:hint="eastAsia" w:hAnsi="宋体"/>
          <w:sz w:val="24"/>
          <w:szCs w:val="18"/>
        </w:rPr>
        <w:t>（</w:t>
      </w:r>
      <w:r>
        <w:rPr>
          <w:rFonts w:hAnsi="宋体"/>
          <w:sz w:val="24"/>
          <w:szCs w:val="18"/>
        </w:rPr>
        <w:t>具体人员确定按有关规定</w:t>
      </w:r>
      <w:r>
        <w:rPr>
          <w:rFonts w:hint="eastAsia" w:hAnsi="宋体"/>
          <w:sz w:val="24"/>
          <w:szCs w:val="18"/>
        </w:rPr>
        <w:t>）</w:t>
      </w:r>
      <w:r>
        <w:rPr>
          <w:rFonts w:hAnsi="宋体"/>
          <w:sz w:val="24"/>
          <w:szCs w:val="18"/>
        </w:rPr>
        <w:t>。</w:t>
      </w:r>
    </w:p>
    <w:p>
      <w:pPr>
        <w:spacing w:line="360" w:lineRule="auto"/>
        <w:rPr>
          <w:rFonts w:ascii="宋体" w:hAnsi="宋体"/>
          <w:sz w:val="24"/>
        </w:rPr>
      </w:pPr>
      <w:r>
        <w:rPr>
          <w:rFonts w:hint="eastAsia" w:ascii="宋体" w:hAnsi="宋体"/>
          <w:sz w:val="24"/>
        </w:rPr>
        <w:t xml:space="preserve">  19</w:t>
      </w:r>
      <w:r>
        <w:rPr>
          <w:rFonts w:ascii="宋体" w:hAnsi="宋体"/>
          <w:sz w:val="24"/>
        </w:rPr>
        <w:t>.2评标委员会由招标人依据有关规定组织。</w:t>
      </w:r>
    </w:p>
    <w:p>
      <w:pPr>
        <w:spacing w:line="360" w:lineRule="auto"/>
        <w:rPr>
          <w:rFonts w:ascii="宋体" w:hAnsi="宋体"/>
          <w:sz w:val="24"/>
        </w:rPr>
      </w:pPr>
      <w:r>
        <w:rPr>
          <w:rFonts w:ascii="宋体" w:hAnsi="宋体"/>
          <w:bCs/>
          <w:sz w:val="24"/>
        </w:rPr>
        <w:t>2</w:t>
      </w:r>
      <w:r>
        <w:rPr>
          <w:rFonts w:hint="eastAsia" w:ascii="宋体" w:hAnsi="宋体"/>
          <w:bCs/>
          <w:sz w:val="24"/>
        </w:rPr>
        <w:t>0</w:t>
      </w:r>
      <w:r>
        <w:rPr>
          <w:rFonts w:ascii="宋体" w:hAnsi="宋体"/>
          <w:bCs/>
          <w:sz w:val="24"/>
        </w:rPr>
        <w:t>、</w:t>
      </w:r>
      <w:r>
        <w:rPr>
          <w:rFonts w:ascii="宋体" w:hAnsi="宋体"/>
          <w:sz w:val="24"/>
        </w:rPr>
        <w:t>评标过程的</w:t>
      </w:r>
      <w:r>
        <w:rPr>
          <w:rFonts w:hint="eastAsia" w:ascii="宋体" w:hAnsi="宋体"/>
          <w:sz w:val="24"/>
        </w:rPr>
        <w:t>纪律和</w:t>
      </w:r>
      <w:r>
        <w:rPr>
          <w:rFonts w:ascii="宋体" w:hAnsi="宋体"/>
          <w:sz w:val="24"/>
        </w:rPr>
        <w:t>保密</w:t>
      </w:r>
      <w:r>
        <w:rPr>
          <w:rFonts w:hint="eastAsia" w:ascii="宋体" w:hAnsi="宋体"/>
          <w:sz w:val="24"/>
        </w:rPr>
        <w:t>性</w:t>
      </w:r>
    </w:p>
    <w:p>
      <w:pPr>
        <w:snapToGrid w:val="0"/>
        <w:spacing w:line="360" w:lineRule="auto"/>
        <w:ind w:firstLine="240" w:firstLineChars="100"/>
        <w:rPr>
          <w:rFonts w:ascii="宋体" w:hAnsi="宋体"/>
          <w:sz w:val="24"/>
        </w:rPr>
      </w:pPr>
      <w:r>
        <w:rPr>
          <w:rFonts w:hint="eastAsia" w:ascii="宋体" w:hAnsi="宋体"/>
          <w:sz w:val="24"/>
        </w:rPr>
        <w:t>20</w:t>
      </w:r>
      <w:r>
        <w:rPr>
          <w:rFonts w:ascii="宋体" w:hAnsi="宋体"/>
          <w:sz w:val="24"/>
        </w:rPr>
        <w:t xml:space="preserve">.1 </w:t>
      </w:r>
      <w:r>
        <w:rPr>
          <w:rFonts w:hint="eastAsia" w:ascii="宋体" w:hAnsi="宋体"/>
          <w:sz w:val="24"/>
        </w:rPr>
        <w:t>从投标截止时间开始</w:t>
      </w:r>
      <w:r>
        <w:rPr>
          <w:rFonts w:ascii="宋体" w:hAnsi="宋体"/>
          <w:sz w:val="24"/>
        </w:rPr>
        <w:t>，直至招标人授予合同时止，凡与审查、澄清、评价和比较投标的有关资料以及授标意见等均不得向</w:t>
      </w:r>
      <w:r>
        <w:rPr>
          <w:rFonts w:hint="eastAsia" w:ascii="宋体" w:hAnsi="宋体"/>
          <w:sz w:val="24"/>
        </w:rPr>
        <w:t>投标人和</w:t>
      </w:r>
      <w:r>
        <w:rPr>
          <w:rFonts w:ascii="宋体" w:hAnsi="宋体"/>
          <w:sz w:val="24"/>
        </w:rPr>
        <w:t>无关人员透露。</w:t>
      </w:r>
    </w:p>
    <w:p>
      <w:pPr>
        <w:snapToGrid w:val="0"/>
        <w:spacing w:line="360" w:lineRule="auto"/>
        <w:ind w:firstLine="240" w:firstLineChars="100"/>
        <w:rPr>
          <w:rFonts w:ascii="宋体" w:hAnsi="宋体"/>
          <w:sz w:val="24"/>
        </w:rPr>
      </w:pPr>
      <w:r>
        <w:rPr>
          <w:rFonts w:hint="eastAsia" w:ascii="宋体" w:hAnsi="宋体"/>
          <w:sz w:val="24"/>
        </w:rPr>
        <w:t>20.2 招标机构和招标人将采取必要的措施，保证评标在严格保密的情况下进行。</w:t>
      </w:r>
    </w:p>
    <w:p>
      <w:pPr>
        <w:pStyle w:val="23"/>
        <w:adjustRightInd w:val="0"/>
        <w:snapToGrid w:val="0"/>
        <w:spacing w:line="360" w:lineRule="auto"/>
        <w:ind w:firstLine="240" w:firstLineChars="1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3</w:t>
      </w:r>
      <w:r>
        <w:rPr>
          <w:rFonts w:hAnsi="宋体"/>
          <w:sz w:val="24"/>
          <w:szCs w:val="24"/>
        </w:rPr>
        <w:t xml:space="preserve"> 参与评标的人员应严格遵守国家有关保密的法律、法规和规定，严格自律，并接受</w:t>
      </w:r>
      <w:r>
        <w:rPr>
          <w:rFonts w:hint="eastAsia" w:hAnsi="宋体"/>
          <w:sz w:val="24"/>
          <w:szCs w:val="24"/>
        </w:rPr>
        <w:t>行政监督</w:t>
      </w:r>
      <w:r>
        <w:rPr>
          <w:rFonts w:hAnsi="宋体"/>
          <w:sz w:val="24"/>
          <w:szCs w:val="24"/>
        </w:rPr>
        <w:t>部门</w:t>
      </w:r>
      <w:r>
        <w:rPr>
          <w:rFonts w:hint="eastAsia" w:hAnsi="宋体"/>
          <w:sz w:val="24"/>
          <w:szCs w:val="24"/>
        </w:rPr>
        <w:t>的</w:t>
      </w:r>
      <w:r>
        <w:rPr>
          <w:rFonts w:hAnsi="宋体"/>
          <w:sz w:val="24"/>
          <w:szCs w:val="24"/>
        </w:rPr>
        <w:t>监督</w:t>
      </w:r>
      <w:r>
        <w:rPr>
          <w:rFonts w:hint="eastAsia" w:hAnsi="宋体"/>
          <w:sz w:val="24"/>
          <w:szCs w:val="24"/>
        </w:rPr>
        <w:t>和检查</w:t>
      </w:r>
      <w:r>
        <w:rPr>
          <w:rFonts w:hAnsi="宋体"/>
          <w:sz w:val="24"/>
          <w:szCs w:val="24"/>
        </w:rPr>
        <w:t>。</w:t>
      </w:r>
    </w:p>
    <w:p>
      <w:pPr>
        <w:pStyle w:val="23"/>
        <w:adjustRightInd w:val="0"/>
        <w:snapToGrid w:val="0"/>
        <w:spacing w:line="360" w:lineRule="auto"/>
        <w:ind w:firstLine="240" w:firstLineChars="1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4</w:t>
      </w:r>
      <w:r>
        <w:rPr>
          <w:rFonts w:hAnsi="宋体"/>
          <w:sz w:val="24"/>
          <w:szCs w:val="24"/>
        </w:rPr>
        <w:t xml:space="preserve"> 投标人</w:t>
      </w:r>
      <w:r>
        <w:rPr>
          <w:rFonts w:hint="eastAsia" w:hAnsi="宋体"/>
          <w:sz w:val="24"/>
          <w:szCs w:val="24"/>
        </w:rPr>
        <w:t>提交</w:t>
      </w:r>
      <w:r>
        <w:rPr>
          <w:rFonts w:hAnsi="宋体"/>
          <w:sz w:val="24"/>
          <w:szCs w:val="24"/>
        </w:rPr>
        <w:t>的关于资质、业绩等的文件和材料必须真实准确，不得弄虚作假。</w:t>
      </w:r>
    </w:p>
    <w:p>
      <w:pPr>
        <w:pStyle w:val="23"/>
        <w:adjustRightInd w:val="0"/>
        <w:snapToGrid w:val="0"/>
        <w:spacing w:line="360" w:lineRule="auto"/>
        <w:ind w:firstLine="240" w:firstLineChars="1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5</w:t>
      </w:r>
      <w:r>
        <w:rPr>
          <w:rFonts w:hAnsi="宋体"/>
          <w:sz w:val="24"/>
          <w:szCs w:val="24"/>
        </w:rPr>
        <w:t xml:space="preserve"> 投标人不得串通作弊，哄抬标价，致使定标困难或无法定标。</w:t>
      </w:r>
    </w:p>
    <w:p>
      <w:pPr>
        <w:pStyle w:val="23"/>
        <w:adjustRightInd w:val="0"/>
        <w:snapToGrid w:val="0"/>
        <w:spacing w:line="360" w:lineRule="auto"/>
        <w:ind w:firstLine="240" w:firstLineChars="1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6</w:t>
      </w:r>
      <w:r>
        <w:rPr>
          <w:rFonts w:hAnsi="宋体"/>
          <w:sz w:val="24"/>
          <w:szCs w:val="24"/>
        </w:rPr>
        <w:t xml:space="preserve"> 投标</w:t>
      </w:r>
      <w:r>
        <w:rPr>
          <w:rFonts w:hint="eastAsia" w:hAnsi="宋体"/>
          <w:sz w:val="24"/>
          <w:szCs w:val="24"/>
        </w:rPr>
        <w:t>人</w:t>
      </w:r>
      <w:r>
        <w:rPr>
          <w:rFonts w:hAnsi="宋体"/>
          <w:sz w:val="24"/>
          <w:szCs w:val="24"/>
        </w:rPr>
        <w:t>不得采用不正当手段妨碍、排挤其它投标人，扰乱招标</w:t>
      </w:r>
      <w:r>
        <w:rPr>
          <w:rFonts w:hint="eastAsia" w:hAnsi="宋体"/>
          <w:sz w:val="24"/>
          <w:szCs w:val="24"/>
        </w:rPr>
        <w:t>活动</w:t>
      </w:r>
      <w:r>
        <w:rPr>
          <w:rFonts w:hAnsi="宋体"/>
          <w:sz w:val="24"/>
          <w:szCs w:val="24"/>
        </w:rPr>
        <w:t>，破坏公平竞争。</w:t>
      </w:r>
    </w:p>
    <w:p>
      <w:pPr>
        <w:pStyle w:val="23"/>
        <w:adjustRightInd w:val="0"/>
        <w:snapToGrid w:val="0"/>
        <w:spacing w:line="360" w:lineRule="auto"/>
        <w:ind w:firstLine="240" w:firstLineChars="100"/>
        <w:rPr>
          <w:rFonts w:hAnsi="宋体"/>
          <w:sz w:val="24"/>
          <w:szCs w:val="24"/>
        </w:rPr>
      </w:pPr>
      <w:r>
        <w:rPr>
          <w:rFonts w:hint="eastAsia" w:hAnsi="宋体"/>
          <w:sz w:val="24"/>
          <w:szCs w:val="24"/>
        </w:rPr>
        <w:t>20</w:t>
      </w:r>
      <w:r>
        <w:rPr>
          <w:rFonts w:hAnsi="宋体"/>
          <w:sz w:val="24"/>
          <w:szCs w:val="24"/>
        </w:rPr>
        <w:t>.</w:t>
      </w:r>
      <w:r>
        <w:rPr>
          <w:rFonts w:hint="eastAsia" w:hAnsi="宋体"/>
          <w:sz w:val="24"/>
          <w:szCs w:val="24"/>
        </w:rPr>
        <w:t>7</w:t>
      </w:r>
      <w:r>
        <w:rPr>
          <w:rFonts w:hAnsi="宋体"/>
          <w:sz w:val="24"/>
          <w:szCs w:val="24"/>
        </w:rPr>
        <w:t xml:space="preserve"> 投标人不得以任何形式打听和搜集评标机密，不得以任何形式干扰评标或投标工作。</w:t>
      </w:r>
    </w:p>
    <w:p>
      <w:pPr>
        <w:snapToGrid w:val="0"/>
        <w:spacing w:line="360" w:lineRule="auto"/>
        <w:ind w:firstLine="240" w:firstLineChars="100"/>
        <w:rPr>
          <w:rFonts w:ascii="宋体" w:hAnsi="宋体"/>
          <w:sz w:val="24"/>
        </w:rPr>
      </w:pPr>
      <w:r>
        <w:rPr>
          <w:rFonts w:hint="eastAsia" w:ascii="宋体" w:hAnsi="宋体"/>
          <w:sz w:val="24"/>
        </w:rPr>
        <w:t>20.8 投标人若违反前述要求，其投标将被废除，投标保证金将被没收，</w:t>
      </w:r>
      <w:r>
        <w:rPr>
          <w:rFonts w:ascii="宋体" w:hAnsi="宋体"/>
          <w:sz w:val="24"/>
        </w:rPr>
        <w:t>没收</w:t>
      </w:r>
      <w:r>
        <w:rPr>
          <w:rFonts w:hint="eastAsia" w:ascii="宋体" w:hAnsi="宋体"/>
          <w:sz w:val="24"/>
        </w:rPr>
        <w:t>的</w:t>
      </w:r>
      <w:r>
        <w:rPr>
          <w:rFonts w:ascii="宋体" w:hAnsi="宋体"/>
          <w:sz w:val="24"/>
        </w:rPr>
        <w:t>投标保证金</w:t>
      </w:r>
      <w:r>
        <w:rPr>
          <w:rFonts w:hint="eastAsia" w:ascii="宋体" w:hAnsi="宋体"/>
          <w:sz w:val="24"/>
        </w:rPr>
        <w:t>归招标人和招标机构所有。</w:t>
      </w:r>
    </w:p>
    <w:p>
      <w:pPr>
        <w:spacing w:line="360" w:lineRule="auto"/>
        <w:rPr>
          <w:rFonts w:ascii="宋体" w:hAnsi="宋体"/>
          <w:sz w:val="24"/>
        </w:rPr>
      </w:pPr>
      <w:r>
        <w:rPr>
          <w:rFonts w:ascii="宋体" w:hAnsi="宋体"/>
          <w:bCs/>
          <w:sz w:val="24"/>
        </w:rPr>
        <w:t>2</w:t>
      </w:r>
      <w:r>
        <w:rPr>
          <w:rFonts w:hint="eastAsia" w:ascii="宋体" w:hAnsi="宋体"/>
          <w:bCs/>
          <w:sz w:val="24"/>
        </w:rPr>
        <w:t>1</w:t>
      </w:r>
      <w:r>
        <w:rPr>
          <w:rFonts w:ascii="宋体" w:hAnsi="宋体"/>
          <w:bCs/>
          <w:sz w:val="24"/>
        </w:rPr>
        <w:t>、</w:t>
      </w:r>
      <w:r>
        <w:rPr>
          <w:rFonts w:ascii="宋体" w:hAnsi="宋体"/>
          <w:sz w:val="24"/>
        </w:rPr>
        <w:t>投标文件的澄清</w:t>
      </w:r>
    </w:p>
    <w:p>
      <w:pPr>
        <w:snapToGrid w:val="0"/>
        <w:spacing w:line="360" w:lineRule="auto"/>
        <w:ind w:firstLine="240" w:firstLineChars="100"/>
        <w:rPr>
          <w:rFonts w:ascii="宋体" w:hAnsi="宋体"/>
          <w:sz w:val="24"/>
        </w:rPr>
      </w:pPr>
      <w:r>
        <w:rPr>
          <w:rFonts w:hint="eastAsia" w:ascii="宋体" w:hAnsi="宋体"/>
          <w:sz w:val="24"/>
        </w:rPr>
        <w:t>21</w:t>
      </w:r>
      <w:r>
        <w:rPr>
          <w:rFonts w:ascii="宋体" w:hAnsi="宋体"/>
          <w:sz w:val="24"/>
        </w:rPr>
        <w:t>.1 为有助于对投标</w:t>
      </w:r>
      <w:r>
        <w:rPr>
          <w:rFonts w:hint="eastAsia" w:ascii="宋体" w:hAnsi="宋体"/>
          <w:sz w:val="24"/>
        </w:rPr>
        <w:t>文件</w:t>
      </w:r>
      <w:r>
        <w:rPr>
          <w:rFonts w:ascii="宋体" w:hAnsi="宋体"/>
          <w:sz w:val="24"/>
        </w:rPr>
        <w:t>的审查、评价和比较，招标人</w:t>
      </w:r>
      <w:r>
        <w:rPr>
          <w:rFonts w:hint="eastAsia" w:ascii="宋体" w:hAnsi="宋体"/>
          <w:sz w:val="24"/>
        </w:rPr>
        <w:t>/招标机构</w:t>
      </w:r>
      <w:r>
        <w:rPr>
          <w:rFonts w:ascii="宋体" w:hAnsi="宋体"/>
          <w:sz w:val="24"/>
        </w:rPr>
        <w:t>可分别要求投标人对其投标</w:t>
      </w:r>
      <w:r>
        <w:rPr>
          <w:rFonts w:hint="eastAsia" w:ascii="宋体" w:hAnsi="宋体"/>
          <w:sz w:val="24"/>
        </w:rPr>
        <w:t>文件</w:t>
      </w:r>
      <w:r>
        <w:rPr>
          <w:rFonts w:ascii="宋体" w:hAnsi="宋体"/>
          <w:sz w:val="24"/>
        </w:rPr>
        <w:t>进行澄清，有关澄清的答复</w:t>
      </w:r>
      <w:r>
        <w:rPr>
          <w:rFonts w:hint="eastAsia" w:ascii="宋体" w:hAnsi="宋体"/>
          <w:sz w:val="24"/>
        </w:rPr>
        <w:t>由投标人整理后在规定的时间内</w:t>
      </w:r>
      <w:r>
        <w:rPr>
          <w:rFonts w:ascii="宋体" w:hAnsi="宋体"/>
          <w:sz w:val="24"/>
        </w:rPr>
        <w:t>以书面形式提交</w:t>
      </w:r>
      <w:r>
        <w:rPr>
          <w:rFonts w:hint="eastAsia" w:ascii="宋体" w:hAnsi="宋体"/>
          <w:sz w:val="24"/>
        </w:rPr>
        <w:t>.</w:t>
      </w:r>
      <w:r>
        <w:rPr>
          <w:rFonts w:ascii="宋体" w:hAnsi="宋体"/>
          <w:sz w:val="24"/>
        </w:rPr>
        <w:t>但不得寻求</w:t>
      </w:r>
      <w:r>
        <w:rPr>
          <w:rFonts w:hint="eastAsia" w:ascii="宋体" w:hAnsi="宋体"/>
          <w:sz w:val="24"/>
        </w:rPr>
        <w:t>、</w:t>
      </w:r>
      <w:r>
        <w:rPr>
          <w:rFonts w:ascii="宋体" w:hAnsi="宋体"/>
          <w:sz w:val="24"/>
        </w:rPr>
        <w:t>提供或允许对投标价格或实质性内容做任何更改。</w:t>
      </w:r>
      <w:r>
        <w:rPr>
          <w:rFonts w:hint="eastAsia" w:ascii="宋体" w:hAnsi="宋体"/>
          <w:sz w:val="24"/>
        </w:rPr>
        <w:t>澄清答复应由投标人法定代表人或其授权代表签署后在规定的时间内送达招标机构。</w:t>
      </w:r>
    </w:p>
    <w:p>
      <w:pPr>
        <w:snapToGrid w:val="0"/>
        <w:spacing w:line="360" w:lineRule="auto"/>
        <w:ind w:firstLine="240" w:firstLineChars="100"/>
        <w:rPr>
          <w:rFonts w:ascii="宋体" w:hAnsi="宋体"/>
          <w:sz w:val="24"/>
        </w:rPr>
      </w:pPr>
      <w:r>
        <w:rPr>
          <w:rFonts w:hint="eastAsia" w:ascii="宋体" w:hAnsi="宋体"/>
          <w:sz w:val="24"/>
        </w:rPr>
        <w:t>21.2 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snapToGrid w:val="0"/>
        <w:spacing w:line="360" w:lineRule="auto"/>
        <w:ind w:firstLine="240" w:firstLineChars="100"/>
        <w:rPr>
          <w:rFonts w:ascii="宋体" w:hAnsi="宋体"/>
          <w:sz w:val="24"/>
        </w:rPr>
      </w:pPr>
      <w:r>
        <w:rPr>
          <w:rFonts w:hint="eastAsia" w:ascii="宋体" w:hAnsi="宋体"/>
          <w:sz w:val="24"/>
        </w:rPr>
        <w:t>21.3 如果投标人在投标文件中未对招标文件中的条款、数据等提出偏离或澄清，将被视同投标人同意招标文件的全部或部分要求。</w:t>
      </w:r>
      <w:bookmarkStart w:id="52" w:name="_Toc228180131"/>
      <w:bookmarkStart w:id="53" w:name="_Toc438371769"/>
      <w:bookmarkStart w:id="54" w:name="_Toc438371400"/>
      <w:bookmarkStart w:id="55" w:name="_Toc438354318"/>
      <w:bookmarkStart w:id="56" w:name="_Toc438370547"/>
      <w:bookmarkStart w:id="57" w:name="_Toc438371217"/>
      <w:bookmarkStart w:id="58" w:name="_Toc438371582"/>
    </w:p>
    <w:p>
      <w:pPr>
        <w:spacing w:line="360" w:lineRule="auto"/>
        <w:rPr>
          <w:rFonts w:ascii="宋体" w:hAnsi="宋体"/>
          <w:bCs/>
          <w:sz w:val="24"/>
        </w:rPr>
      </w:pPr>
      <w:r>
        <w:rPr>
          <w:rFonts w:hint="eastAsia" w:ascii="宋体" w:hAnsi="宋体"/>
          <w:bCs/>
          <w:sz w:val="24"/>
        </w:rPr>
        <w:t>22、评标的程序和方法</w:t>
      </w:r>
      <w:bookmarkEnd w:id="52"/>
    </w:p>
    <w:p>
      <w:pPr>
        <w:adjustRightInd w:val="0"/>
        <w:snapToGrid w:val="0"/>
        <w:spacing w:line="360" w:lineRule="auto"/>
        <w:ind w:firstLine="235" w:firstLineChars="98"/>
        <w:rPr>
          <w:rFonts w:ascii="宋体" w:hAnsi="宋体"/>
          <w:sz w:val="24"/>
        </w:rPr>
      </w:pPr>
      <w:bookmarkStart w:id="59" w:name="_Toc400536586"/>
      <w:bookmarkStart w:id="60" w:name="_Toc327439480"/>
      <w:r>
        <w:rPr>
          <w:rFonts w:hint="eastAsia" w:ascii="宋体" w:hAnsi="宋体"/>
          <w:sz w:val="24"/>
        </w:rPr>
        <w:t>22.1评标程序</w:t>
      </w:r>
      <w:bookmarkEnd w:id="59"/>
      <w:bookmarkEnd w:id="60"/>
    </w:p>
    <w:p>
      <w:pPr>
        <w:adjustRightInd w:val="0"/>
        <w:snapToGrid w:val="0"/>
        <w:spacing w:line="360" w:lineRule="auto"/>
        <w:ind w:firstLine="480" w:firstLineChars="200"/>
        <w:rPr>
          <w:rFonts w:ascii="宋体" w:hAnsi="宋体"/>
          <w:b/>
          <w:sz w:val="24"/>
        </w:rPr>
      </w:pPr>
      <w:r>
        <w:rPr>
          <w:rFonts w:hint="eastAsia" w:ascii="宋体" w:hAnsi="宋体" w:cs="宋体"/>
          <w:sz w:val="24"/>
          <w:lang w:val="zh-CN"/>
        </w:rPr>
        <w:t>（1）采购人或者采购代理机构应当依法对投标人的投标文件进行资质审查，依据招标文件的规定，对投标文件中提供的资格证明材料进行审查，审查合格者进入符合性审查，审查不合格者将被宣布其为无效投标。</w:t>
      </w:r>
    </w:p>
    <w:p>
      <w:pPr>
        <w:adjustRightInd w:val="0"/>
        <w:snapToGrid w:val="0"/>
        <w:spacing w:line="360" w:lineRule="auto"/>
        <w:ind w:firstLine="480"/>
        <w:rPr>
          <w:rFonts w:ascii="宋体" w:hAnsi="宋体" w:cs="宋体"/>
          <w:sz w:val="24"/>
          <w:lang w:val="zh-CN"/>
        </w:rPr>
      </w:pPr>
      <w:r>
        <w:rPr>
          <w:rFonts w:hint="eastAsia" w:ascii="宋体" w:hAnsi="宋体" w:cs="宋体"/>
          <w:sz w:val="24"/>
          <w:lang w:val="zh-CN"/>
        </w:rPr>
        <w:t>（2）评标委员会对资格审查合格的投标文件进行符合性审查。依据招标文件的规定，对投标文件中的投标保证金、投标文件的有效性、完整性和对招标文件的响应程度进行审查，以确定是否对招标文件做出实质性的响应。对于未响应招标文件的投标商将不再进行商务和技术部分评价；</w:t>
      </w:r>
    </w:p>
    <w:p>
      <w:pPr>
        <w:adjustRightInd w:val="0"/>
        <w:snapToGrid w:val="0"/>
        <w:spacing w:line="360" w:lineRule="auto"/>
        <w:ind w:firstLine="480" w:firstLineChars="200"/>
        <w:rPr>
          <w:rFonts w:ascii="宋体" w:hAnsi="宋体"/>
          <w:sz w:val="24"/>
        </w:rPr>
      </w:pPr>
      <w:r>
        <w:rPr>
          <w:rFonts w:hint="eastAsia" w:ascii="宋体" w:hAnsi="宋体" w:cs="宋体"/>
          <w:sz w:val="24"/>
          <w:lang w:val="zh-CN"/>
        </w:rPr>
        <w:t>（3）经</w:t>
      </w:r>
      <w:r>
        <w:rPr>
          <w:rFonts w:hint="eastAsia" w:ascii="宋体" w:hAnsi="宋体"/>
          <w:sz w:val="24"/>
        </w:rPr>
        <w:t>资质审查和符合性审查合格的投标文件（投标人不得少于 3 家），评标委员会将对其商务和技术部分作进一步的综合比较和评价，以综合得分最高的投标人作为中标候选供应商或者中标供应商。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360" w:lineRule="auto"/>
        <w:ind w:firstLine="480" w:firstLineChars="200"/>
        <w:rPr>
          <w:rFonts w:ascii="宋体" w:hAnsi="宋体"/>
          <w:bCs/>
          <w:sz w:val="24"/>
        </w:rPr>
      </w:pPr>
      <w:r>
        <w:rPr>
          <w:rFonts w:hint="eastAsia" w:ascii="宋体" w:hAnsi="宋体"/>
          <w:bCs/>
          <w:sz w:val="24"/>
        </w:rPr>
        <w:t>（4）评标委员会对确定为实质上响应的投标进行政策功能评价，如涉及以下内容，具体标准为：</w:t>
      </w:r>
    </w:p>
    <w:p>
      <w:pPr>
        <w:adjustRightInd w:val="0"/>
        <w:snapToGrid w:val="0"/>
        <w:spacing w:line="360" w:lineRule="auto"/>
        <w:ind w:firstLine="480" w:firstLineChars="200"/>
        <w:rPr>
          <w:rFonts w:ascii="宋体" w:hAnsi="宋体"/>
          <w:bCs/>
          <w:sz w:val="24"/>
        </w:rPr>
      </w:pPr>
      <w:r>
        <w:rPr>
          <w:rFonts w:hint="eastAsia" w:ascii="宋体" w:hAnsi="宋体"/>
          <w:bCs/>
          <w:sz w:val="24"/>
        </w:rPr>
        <w:t>1）评标委员会对于节能、环保产品或小型、微型企业或监狱企业的价格扣除，审核投标人填写的《政府采购政策情况表》。</w:t>
      </w:r>
    </w:p>
    <w:p>
      <w:pPr>
        <w:adjustRightInd w:val="0"/>
        <w:snapToGrid w:val="0"/>
        <w:spacing w:line="360" w:lineRule="auto"/>
        <w:ind w:firstLine="480" w:firstLineChars="200"/>
        <w:rPr>
          <w:rFonts w:ascii="宋体" w:hAnsi="宋体"/>
          <w:bCs/>
          <w:sz w:val="24"/>
        </w:rPr>
      </w:pPr>
      <w:r>
        <w:rPr>
          <w:rFonts w:hint="eastAsia" w:ascii="宋体" w:hAnsi="宋体"/>
          <w:bCs/>
          <w:sz w:val="24"/>
        </w:rPr>
        <w:t>2）对于非专门面向中小微企业、监狱企业、残疾人福利性单位采购的项目，依照《政府采购促进中小企业发展管理办法》（财库﹝2020﹞46 号）的规定，凡符合要求的有效投标人，按照6%比例给予相应的价格扣除。</w:t>
      </w:r>
    </w:p>
    <w:p>
      <w:pPr>
        <w:adjustRightInd w:val="0"/>
        <w:snapToGrid w:val="0"/>
        <w:spacing w:line="360" w:lineRule="auto"/>
        <w:ind w:firstLine="480" w:firstLineChars="200"/>
        <w:rPr>
          <w:rFonts w:ascii="宋体" w:hAnsi="宋体"/>
          <w:bCs/>
          <w:sz w:val="24"/>
        </w:rPr>
      </w:pPr>
      <w:r>
        <w:rPr>
          <w:rFonts w:hint="eastAsia" w:ascii="宋体" w:hAnsi="宋体"/>
          <w:bCs/>
          <w:sz w:val="24"/>
        </w:rPr>
        <w:t>评标价＝总投标报价—小型和微型企业产品的价格×6%</w:t>
      </w:r>
    </w:p>
    <w:p>
      <w:pPr>
        <w:adjustRightInd w:val="0"/>
        <w:snapToGrid w:val="0"/>
        <w:spacing w:line="360" w:lineRule="auto"/>
        <w:rPr>
          <w:rFonts w:ascii="宋体" w:hAnsi="宋体"/>
          <w:bCs/>
          <w:sz w:val="24"/>
        </w:rPr>
      </w:pPr>
      <w:r>
        <w:rPr>
          <w:rFonts w:hint="eastAsia" w:ascii="宋体" w:hAnsi="宋体"/>
          <w:bCs/>
          <w:sz w:val="24"/>
        </w:rPr>
        <w:t>注：①上述评标价仅用于计算价格评分，中标金额以实际投标价为准。</w:t>
      </w:r>
    </w:p>
    <w:p>
      <w:pPr>
        <w:adjustRightInd w:val="0"/>
        <w:snapToGrid w:val="0"/>
        <w:spacing w:line="360" w:lineRule="auto"/>
        <w:ind w:firstLine="480" w:firstLineChars="200"/>
        <w:rPr>
          <w:rFonts w:ascii="宋体" w:hAnsi="宋体"/>
          <w:bCs/>
          <w:sz w:val="24"/>
        </w:rPr>
      </w:pPr>
      <w:r>
        <w:rPr>
          <w:rFonts w:hint="eastAsia" w:ascii="宋体" w:hAnsi="宋体"/>
          <w:bCs/>
          <w:sz w:val="24"/>
        </w:rPr>
        <w:t>②小微企业、监狱企业、残疾人福利性单位是指投标人及其所投产品的制造商均为小微企业、监狱企业、残疾人福利性单位。</w:t>
      </w:r>
    </w:p>
    <w:p>
      <w:pPr>
        <w:adjustRightInd w:val="0"/>
        <w:snapToGrid w:val="0"/>
        <w:spacing w:line="360" w:lineRule="auto"/>
        <w:ind w:firstLine="480" w:firstLineChars="200"/>
        <w:rPr>
          <w:rFonts w:ascii="宋体" w:hAnsi="宋体"/>
          <w:bCs/>
          <w:sz w:val="24"/>
        </w:rPr>
      </w:pPr>
      <w:r>
        <w:rPr>
          <w:rFonts w:hint="eastAsia" w:ascii="宋体" w:hAnsi="宋体"/>
          <w:bCs/>
          <w:sz w:val="24"/>
        </w:rPr>
        <w:t>③ 在技术、服务等指标同等条件下，结合具有环境标志、节能、自主创新的产品报价占总项目的比例，优先采购具有环境标志、节能、自主创新的产品。环境标志产品是指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pPr>
        <w:adjustRightInd w:val="0"/>
        <w:snapToGrid w:val="0"/>
        <w:spacing w:line="360" w:lineRule="auto"/>
        <w:ind w:firstLine="482"/>
        <w:rPr>
          <w:rFonts w:ascii="宋体" w:hAnsi="宋体"/>
          <w:b/>
          <w:sz w:val="24"/>
        </w:rPr>
      </w:pPr>
      <w:r>
        <w:rPr>
          <w:rFonts w:hint="eastAsia" w:ascii="宋体" w:hAnsi="宋体"/>
          <w:b/>
          <w:bCs/>
          <w:sz w:val="24"/>
        </w:rPr>
        <w:t>（5）</w:t>
      </w:r>
      <w:r>
        <w:rPr>
          <w:rFonts w:hint="eastAsia" w:ascii="宋体" w:hAnsi="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宋体" w:hAnsi="宋体"/>
          <w:sz w:val="24"/>
        </w:rPr>
      </w:pPr>
      <w:r>
        <w:rPr>
          <w:rFonts w:hint="eastAsia" w:ascii="宋体" w:hAnsi="宋体"/>
          <w:sz w:val="24"/>
        </w:rPr>
        <w:t xml:space="preserve">  22.2评标方法</w:t>
      </w:r>
    </w:p>
    <w:p>
      <w:pPr>
        <w:pStyle w:val="19"/>
      </w:pPr>
    </w:p>
    <w:p>
      <w:pPr>
        <w:pStyle w:val="19"/>
      </w:pPr>
    </w:p>
    <w:p>
      <w:pPr>
        <w:pStyle w:val="19"/>
      </w:pPr>
    </w:p>
    <w:p>
      <w:pPr>
        <w:pStyle w:val="19"/>
      </w:pPr>
    </w:p>
    <w:p>
      <w:pPr>
        <w:pStyle w:val="19"/>
      </w:pPr>
    </w:p>
    <w:p>
      <w:pPr>
        <w:pStyle w:val="19"/>
      </w:pPr>
    </w:p>
    <w:p>
      <w:pPr>
        <w:pStyle w:val="19"/>
      </w:pPr>
    </w:p>
    <w:tbl>
      <w:tblPr>
        <w:tblStyle w:val="40"/>
        <w:tblW w:w="9066" w:type="dxa"/>
        <w:jc w:val="center"/>
        <w:tblLayout w:type="fixed"/>
        <w:tblCellMar>
          <w:top w:w="0" w:type="dxa"/>
          <w:left w:w="108" w:type="dxa"/>
          <w:bottom w:w="0" w:type="dxa"/>
          <w:right w:w="108" w:type="dxa"/>
        </w:tblCellMar>
      </w:tblPr>
      <w:tblGrid>
        <w:gridCol w:w="704"/>
        <w:gridCol w:w="4807"/>
        <w:gridCol w:w="720"/>
        <w:gridCol w:w="567"/>
        <w:gridCol w:w="567"/>
        <w:gridCol w:w="567"/>
        <w:gridCol w:w="567"/>
        <w:gridCol w:w="567"/>
      </w:tblGrid>
      <w:tr>
        <w:tblPrEx>
          <w:tblCellMar>
            <w:top w:w="0" w:type="dxa"/>
            <w:left w:w="108" w:type="dxa"/>
            <w:bottom w:w="0" w:type="dxa"/>
            <w:right w:w="108" w:type="dxa"/>
          </w:tblCellMar>
        </w:tblPrEx>
        <w:trPr>
          <w:trHeight w:val="468" w:hRule="atLeast"/>
          <w:jc w:val="center"/>
        </w:trPr>
        <w:tc>
          <w:tcPr>
            <w:tcW w:w="9066" w:type="dxa"/>
            <w:gridSpan w:val="8"/>
            <w:tcBorders>
              <w:top w:val="nil"/>
              <w:left w:val="nil"/>
              <w:bottom w:val="single" w:color="auto" w:sz="4" w:space="0"/>
              <w:right w:val="nil"/>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符合性审查</w:t>
            </w:r>
          </w:p>
        </w:tc>
      </w:tr>
      <w:tr>
        <w:tblPrEx>
          <w:tblCellMar>
            <w:top w:w="0" w:type="dxa"/>
            <w:left w:w="108" w:type="dxa"/>
            <w:bottom w:w="0" w:type="dxa"/>
            <w:right w:w="108" w:type="dxa"/>
          </w:tblCellMar>
        </w:tblPrEx>
        <w:trPr>
          <w:trHeight w:val="555" w:hRule="atLeast"/>
          <w:jc w:val="center"/>
        </w:trPr>
        <w:tc>
          <w:tcPr>
            <w:tcW w:w="704"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48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评  比  内  容</w:t>
            </w:r>
          </w:p>
        </w:tc>
        <w:tc>
          <w:tcPr>
            <w:tcW w:w="1287" w:type="dxa"/>
            <w:gridSpan w:val="2"/>
            <w:tcBorders>
              <w:top w:val="single" w:color="auto" w:sz="4" w:space="0"/>
              <w:left w:val="nil"/>
              <w:bottom w:val="nil"/>
              <w:right w:val="single" w:color="000000"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投标人A</w:t>
            </w:r>
          </w:p>
        </w:tc>
        <w:tc>
          <w:tcPr>
            <w:tcW w:w="1134" w:type="dxa"/>
            <w:gridSpan w:val="2"/>
            <w:tcBorders>
              <w:top w:val="single" w:color="auto" w:sz="4" w:space="0"/>
              <w:left w:val="nil"/>
              <w:bottom w:val="nil"/>
              <w:right w:val="single" w:color="000000"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投标人B</w:t>
            </w:r>
          </w:p>
        </w:tc>
        <w:tc>
          <w:tcPr>
            <w:tcW w:w="1134" w:type="dxa"/>
            <w:gridSpan w:val="2"/>
            <w:tcBorders>
              <w:top w:val="single" w:color="auto" w:sz="4" w:space="0"/>
              <w:left w:val="nil"/>
              <w:bottom w:val="nil"/>
              <w:right w:val="single" w:color="000000"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w:t>
            </w:r>
          </w:p>
        </w:tc>
      </w:tr>
      <w:tr>
        <w:tblPrEx>
          <w:tblCellMar>
            <w:top w:w="0" w:type="dxa"/>
            <w:left w:w="108" w:type="dxa"/>
            <w:bottom w:w="0" w:type="dxa"/>
            <w:right w:w="108" w:type="dxa"/>
          </w:tblCellMar>
        </w:tblPrEx>
        <w:trPr>
          <w:trHeight w:val="265" w:hRule="atLeast"/>
          <w:jc w:val="center"/>
        </w:trPr>
        <w:tc>
          <w:tcPr>
            <w:tcW w:w="704"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b/>
                <w:bCs/>
                <w:kern w:val="0"/>
                <w:sz w:val="24"/>
              </w:rPr>
            </w:pPr>
          </w:p>
        </w:tc>
        <w:tc>
          <w:tcPr>
            <w:tcW w:w="48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color w:val="000000"/>
                <w:kern w:val="0"/>
                <w:sz w:val="24"/>
              </w:rPr>
            </w:pPr>
          </w:p>
        </w:tc>
        <w:tc>
          <w:tcPr>
            <w:tcW w:w="7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否</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否</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w:t>
            </w:r>
          </w:p>
        </w:tc>
        <w:tc>
          <w:tcPr>
            <w:tcW w:w="56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否</w:t>
            </w:r>
          </w:p>
        </w:tc>
      </w:tr>
      <w:tr>
        <w:tblPrEx>
          <w:tblCellMar>
            <w:top w:w="0" w:type="dxa"/>
            <w:left w:w="108" w:type="dxa"/>
            <w:bottom w:w="0" w:type="dxa"/>
            <w:right w:w="108" w:type="dxa"/>
          </w:tblCellMar>
        </w:tblPrEx>
        <w:trPr>
          <w:trHeight w:val="499"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1</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投标文件是否按招标文件要求密封。</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20"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2</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投标文件是否按招标文件规定的要求编制。</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846"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投标文件中法定代表人或授权委托人是否签字和是否加盖单位公章。</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689"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宋体" w:hAnsi="宋体" w:cs="宋体"/>
                <w:kern w:val="0"/>
                <w:sz w:val="24"/>
              </w:rPr>
              <w:t>投标文件送达时间是否没有超过投标的截止时间。</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3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投标人是否没有递交两份或两份以上内容不同的投标文件。</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46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投标人的法定代表人或授权委托人是否参加开标会议。</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630"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投标人的投标资格是否满足国家有关规定和招标文件的要求。</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是否按招标文件的要求提供投标保证金收据原件和复印件。</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　</w:t>
            </w: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9</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投标文件没有附有招标人不能接受的条款。</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10</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没有与招标文件有重大偏离的投标文件。</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11</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投标报价是否没有超过预算金额或最高限价。</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12</w:t>
            </w:r>
          </w:p>
        </w:tc>
        <w:tc>
          <w:tcPr>
            <w:tcW w:w="480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szCs w:val="22"/>
              </w:rPr>
            </w:pPr>
            <w:r>
              <w:rPr>
                <w:rFonts w:hint="eastAsia" w:ascii="宋体" w:hAnsi="宋体" w:cs="宋体"/>
                <w:color w:val="000000"/>
                <w:kern w:val="0"/>
                <w:sz w:val="24"/>
                <w:szCs w:val="22"/>
              </w:rPr>
              <w:t>是否满足招标文件规定的其他实质性要求。</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13</w:t>
            </w:r>
          </w:p>
        </w:tc>
        <w:tc>
          <w:tcPr>
            <w:tcW w:w="4807" w:type="dxa"/>
            <w:tcBorders>
              <w:top w:val="single" w:color="auto" w:sz="4" w:space="0"/>
              <w:left w:val="nil"/>
              <w:bottom w:val="single" w:color="auto" w:sz="4" w:space="0"/>
              <w:right w:val="single" w:color="auto" w:sz="4" w:space="0"/>
            </w:tcBorders>
          </w:tcPr>
          <w:p>
            <w:pPr>
              <w:widowControl/>
              <w:spacing w:line="360" w:lineRule="auto"/>
              <w:ind w:left="240" w:hanging="240" w:hangingChars="100"/>
              <w:rPr>
                <w:rFonts w:ascii="宋体" w:hAnsi="宋体" w:cs="宋体"/>
                <w:color w:val="000000"/>
                <w:kern w:val="0"/>
                <w:sz w:val="24"/>
                <w:szCs w:val="22"/>
              </w:rPr>
            </w:pPr>
            <w:r>
              <w:rPr>
                <w:rFonts w:hint="eastAsia" w:ascii="宋体" w:hAnsi="宋体" w:cs="宋体"/>
                <w:color w:val="000000"/>
                <w:kern w:val="0"/>
                <w:sz w:val="24"/>
                <w:szCs w:val="22"/>
              </w:rPr>
              <w:t>投标文件中是否包含无线和有线网络建设和优化技术方案（含地勘报告）。</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675" w:hRule="atLeast"/>
          <w:jc w:val="center"/>
        </w:trPr>
        <w:tc>
          <w:tcPr>
            <w:tcW w:w="70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14</w:t>
            </w:r>
          </w:p>
        </w:tc>
        <w:tc>
          <w:tcPr>
            <w:tcW w:w="4807" w:type="dxa"/>
            <w:tcBorders>
              <w:top w:val="single" w:color="auto" w:sz="4" w:space="0"/>
              <w:left w:val="nil"/>
              <w:bottom w:val="single" w:color="auto" w:sz="4" w:space="0"/>
              <w:right w:val="single" w:color="auto" w:sz="4" w:space="0"/>
            </w:tcBorders>
          </w:tcPr>
          <w:p>
            <w:pPr>
              <w:widowControl/>
              <w:spacing w:line="360" w:lineRule="auto"/>
              <w:rPr>
                <w:rFonts w:ascii="宋体" w:hAnsi="宋体" w:cs="宋体"/>
                <w:color w:val="000000"/>
                <w:kern w:val="0"/>
                <w:sz w:val="24"/>
                <w:szCs w:val="22"/>
              </w:rPr>
            </w:pPr>
            <w:r>
              <w:rPr>
                <w:rFonts w:hint="eastAsia" w:ascii="宋体" w:hAnsi="宋体" w:cs="宋体"/>
                <w:color w:val="000000"/>
                <w:kern w:val="0"/>
                <w:sz w:val="24"/>
                <w:szCs w:val="22"/>
              </w:rPr>
              <w:t>投标文件中是否包含核心机房的割接和改造升级方案。</w:t>
            </w:r>
          </w:p>
        </w:tc>
        <w:tc>
          <w:tcPr>
            <w:tcW w:w="72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584" w:hRule="atLeast"/>
          <w:jc w:val="center"/>
        </w:trPr>
        <w:tc>
          <w:tcPr>
            <w:tcW w:w="5511"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是否符合通过</w:t>
            </w:r>
          </w:p>
        </w:tc>
        <w:tc>
          <w:tcPr>
            <w:tcW w:w="1287"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　</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75" w:hRule="atLeast"/>
          <w:jc w:val="center"/>
        </w:trPr>
        <w:tc>
          <w:tcPr>
            <w:tcW w:w="9066" w:type="dxa"/>
            <w:gridSpan w:val="8"/>
            <w:tcBorders>
              <w:top w:val="single" w:color="auto" w:sz="4" w:space="0"/>
              <w:left w:val="nil"/>
              <w:bottom w:val="nil"/>
              <w:right w:val="nil"/>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备注：1、上述各项中用“√”表示符合或不符合；不符合则视为无效投标。</w:t>
            </w:r>
          </w:p>
        </w:tc>
      </w:tr>
      <w:tr>
        <w:tblPrEx>
          <w:tblCellMar>
            <w:top w:w="0" w:type="dxa"/>
            <w:left w:w="108" w:type="dxa"/>
            <w:bottom w:w="0" w:type="dxa"/>
            <w:right w:w="108" w:type="dxa"/>
          </w:tblCellMar>
        </w:tblPrEx>
        <w:trPr>
          <w:trHeight w:val="465" w:hRule="atLeast"/>
          <w:jc w:val="center"/>
        </w:trPr>
        <w:tc>
          <w:tcPr>
            <w:tcW w:w="5511" w:type="dxa"/>
            <w:gridSpan w:val="2"/>
            <w:tcBorders>
              <w:top w:val="nil"/>
              <w:left w:val="nil"/>
              <w:bottom w:val="nil"/>
              <w:right w:val="nil"/>
            </w:tcBorders>
            <w:noWrap/>
            <w:vAlign w:val="center"/>
          </w:tcPr>
          <w:p>
            <w:pPr>
              <w:widowControl/>
              <w:spacing w:line="360" w:lineRule="auto"/>
              <w:jc w:val="left"/>
              <w:rPr>
                <w:rFonts w:ascii="宋体" w:hAnsi="宋体" w:cs="宋体"/>
                <w:kern w:val="0"/>
                <w:sz w:val="24"/>
              </w:rPr>
            </w:pPr>
            <w:r>
              <w:rPr>
                <w:rFonts w:hint="eastAsia" w:ascii="宋体" w:hAnsi="宋体" w:cs="宋体"/>
                <w:kern w:val="0"/>
                <w:sz w:val="24"/>
              </w:rPr>
              <w:t>评标小组签字：</w:t>
            </w:r>
          </w:p>
        </w:tc>
        <w:tc>
          <w:tcPr>
            <w:tcW w:w="720" w:type="dxa"/>
            <w:tcBorders>
              <w:top w:val="nil"/>
              <w:left w:val="nil"/>
              <w:bottom w:val="nil"/>
              <w:right w:val="nil"/>
            </w:tcBorders>
            <w:noWrap/>
            <w:vAlign w:val="center"/>
          </w:tcPr>
          <w:p>
            <w:pPr>
              <w:widowControl/>
              <w:spacing w:line="360" w:lineRule="auto"/>
              <w:jc w:val="left"/>
              <w:rPr>
                <w:rFonts w:ascii="宋体" w:hAnsi="宋体" w:cs="宋体"/>
                <w:kern w:val="0"/>
                <w:sz w:val="24"/>
              </w:rPr>
            </w:pPr>
          </w:p>
        </w:tc>
        <w:tc>
          <w:tcPr>
            <w:tcW w:w="567" w:type="dxa"/>
            <w:tcBorders>
              <w:top w:val="nil"/>
              <w:left w:val="nil"/>
              <w:bottom w:val="nil"/>
              <w:right w:val="nil"/>
            </w:tcBorders>
            <w:noWrap/>
            <w:vAlign w:val="center"/>
          </w:tcPr>
          <w:p>
            <w:pPr>
              <w:widowControl/>
              <w:spacing w:line="360" w:lineRule="auto"/>
              <w:jc w:val="left"/>
              <w:rPr>
                <w:rFonts w:ascii="宋体" w:hAnsi="宋体" w:cs="宋体"/>
                <w:kern w:val="0"/>
                <w:sz w:val="24"/>
              </w:rPr>
            </w:pPr>
          </w:p>
        </w:tc>
        <w:tc>
          <w:tcPr>
            <w:tcW w:w="567" w:type="dxa"/>
            <w:tcBorders>
              <w:top w:val="nil"/>
              <w:left w:val="nil"/>
              <w:bottom w:val="nil"/>
              <w:right w:val="nil"/>
            </w:tcBorders>
            <w:noWrap/>
            <w:vAlign w:val="center"/>
          </w:tcPr>
          <w:p>
            <w:pPr>
              <w:widowControl/>
              <w:spacing w:line="360" w:lineRule="auto"/>
              <w:jc w:val="left"/>
              <w:rPr>
                <w:rFonts w:ascii="宋体" w:hAnsi="宋体" w:cs="宋体"/>
                <w:kern w:val="0"/>
                <w:sz w:val="24"/>
              </w:rPr>
            </w:pPr>
          </w:p>
        </w:tc>
        <w:tc>
          <w:tcPr>
            <w:tcW w:w="567" w:type="dxa"/>
            <w:tcBorders>
              <w:top w:val="nil"/>
              <w:left w:val="nil"/>
              <w:bottom w:val="nil"/>
              <w:right w:val="nil"/>
            </w:tcBorders>
            <w:noWrap/>
            <w:vAlign w:val="center"/>
          </w:tcPr>
          <w:p>
            <w:pPr>
              <w:widowControl/>
              <w:spacing w:line="360" w:lineRule="auto"/>
              <w:jc w:val="left"/>
              <w:rPr>
                <w:rFonts w:ascii="宋体" w:hAnsi="宋体" w:cs="宋体"/>
                <w:kern w:val="0"/>
                <w:sz w:val="24"/>
              </w:rPr>
            </w:pPr>
          </w:p>
        </w:tc>
        <w:tc>
          <w:tcPr>
            <w:tcW w:w="567" w:type="dxa"/>
            <w:tcBorders>
              <w:top w:val="nil"/>
              <w:left w:val="nil"/>
              <w:bottom w:val="nil"/>
              <w:right w:val="nil"/>
            </w:tcBorders>
            <w:vAlign w:val="center"/>
          </w:tcPr>
          <w:p>
            <w:pPr>
              <w:widowControl/>
              <w:spacing w:line="360" w:lineRule="auto"/>
              <w:jc w:val="left"/>
              <w:rPr>
                <w:rFonts w:ascii="宋体" w:hAnsi="宋体" w:cs="宋体"/>
                <w:b/>
                <w:bCs/>
                <w:kern w:val="0"/>
                <w:sz w:val="24"/>
              </w:rPr>
            </w:pPr>
          </w:p>
        </w:tc>
        <w:tc>
          <w:tcPr>
            <w:tcW w:w="567" w:type="dxa"/>
            <w:tcBorders>
              <w:top w:val="nil"/>
              <w:left w:val="nil"/>
              <w:bottom w:val="nil"/>
              <w:right w:val="nil"/>
            </w:tcBorders>
            <w:noWrap/>
            <w:vAlign w:val="center"/>
          </w:tcPr>
          <w:p>
            <w:pPr>
              <w:widowControl/>
              <w:spacing w:line="360" w:lineRule="auto"/>
              <w:jc w:val="left"/>
              <w:rPr>
                <w:rFonts w:ascii="宋体" w:hAnsi="宋体" w:cs="宋体"/>
                <w:kern w:val="0"/>
                <w:sz w:val="24"/>
              </w:rPr>
            </w:pPr>
          </w:p>
        </w:tc>
      </w:tr>
    </w:tbl>
    <w:p>
      <w:pPr>
        <w:spacing w:line="360" w:lineRule="auto"/>
        <w:rPr>
          <w:rFonts w:ascii="宋体" w:hAnsi="宋体"/>
          <w:color w:val="C00000"/>
          <w:sz w:val="24"/>
        </w:rPr>
      </w:pPr>
    </w:p>
    <w:tbl>
      <w:tblPr>
        <w:tblStyle w:val="40"/>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33" w:type="dxa"/>
            <w:vAlign w:val="center"/>
          </w:tcPr>
          <w:p>
            <w:pPr>
              <w:spacing w:line="360" w:lineRule="auto"/>
              <w:jc w:val="center"/>
              <w:rPr>
                <w:rFonts w:ascii="宋体" w:hAnsi="宋体"/>
                <w:b/>
                <w:bCs/>
                <w:sz w:val="24"/>
              </w:rPr>
            </w:pPr>
            <w:r>
              <w:rPr>
                <w:rFonts w:hint="eastAsia" w:ascii="宋体" w:hAnsi="宋体"/>
                <w:b/>
                <w:bCs/>
                <w:sz w:val="24"/>
              </w:rPr>
              <w:t>评分项目</w:t>
            </w:r>
          </w:p>
        </w:tc>
        <w:tc>
          <w:tcPr>
            <w:tcW w:w="8517" w:type="dxa"/>
            <w:vAlign w:val="center"/>
          </w:tcPr>
          <w:p>
            <w:pPr>
              <w:spacing w:line="360" w:lineRule="auto"/>
              <w:jc w:val="center"/>
              <w:rPr>
                <w:rFonts w:ascii="宋体" w:hAnsi="宋体"/>
                <w:b/>
                <w:bCs/>
                <w:sz w:val="24"/>
              </w:rPr>
            </w:pPr>
            <w:r>
              <w:rPr>
                <w:rFonts w:hint="eastAsia" w:ascii="宋体" w:hAnsi="宋体"/>
                <w:b/>
                <w:bCs/>
                <w:sz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33" w:type="dxa"/>
            <w:vAlign w:val="center"/>
          </w:tcPr>
          <w:p>
            <w:pPr>
              <w:spacing w:line="360" w:lineRule="auto"/>
              <w:jc w:val="center"/>
              <w:rPr>
                <w:rFonts w:ascii="宋体" w:hAnsi="宋体"/>
                <w:sz w:val="24"/>
              </w:rPr>
            </w:pPr>
            <w:r>
              <w:rPr>
                <w:rFonts w:hint="eastAsia" w:ascii="宋体" w:hAnsi="宋体"/>
                <w:sz w:val="24"/>
              </w:rPr>
              <w:t>投标报价</w:t>
            </w:r>
          </w:p>
          <w:p>
            <w:pPr>
              <w:spacing w:line="360" w:lineRule="auto"/>
              <w:jc w:val="center"/>
              <w:rPr>
                <w:rFonts w:ascii="宋体" w:hAnsi="宋体"/>
                <w:sz w:val="24"/>
              </w:rPr>
            </w:pPr>
            <w:r>
              <w:rPr>
                <w:rFonts w:hint="eastAsia" w:ascii="宋体" w:hAnsi="宋体"/>
                <w:sz w:val="24"/>
              </w:rPr>
              <w:t>(30分)</w:t>
            </w:r>
          </w:p>
        </w:tc>
        <w:tc>
          <w:tcPr>
            <w:tcW w:w="8517" w:type="dxa"/>
            <w:vAlign w:val="center"/>
          </w:tcPr>
          <w:p>
            <w:pPr>
              <w:spacing w:line="360" w:lineRule="auto"/>
              <w:rPr>
                <w:rFonts w:ascii="宋体" w:hAnsi="宋体"/>
                <w:sz w:val="24"/>
              </w:rPr>
            </w:pPr>
            <w:r>
              <w:rPr>
                <w:rFonts w:hint="eastAsia" w:ascii="宋体" w:hAnsi="宋体"/>
                <w:sz w:val="24"/>
              </w:rPr>
              <w:t>在价格评分时，满足招标文件要求且合理的最低报价为投标基准价，其价格分为满分。其他投标人的价格分统一按照下列公式计算:</w:t>
            </w:r>
          </w:p>
          <w:p>
            <w:pPr>
              <w:spacing w:line="360" w:lineRule="auto"/>
              <w:rPr>
                <w:rFonts w:ascii="宋体" w:hAnsi="宋体"/>
                <w:sz w:val="24"/>
              </w:rPr>
            </w:pPr>
            <w:r>
              <w:rPr>
                <w:rFonts w:hint="eastAsia" w:ascii="宋体" w:hAnsi="宋体"/>
                <w:sz w:val="24"/>
              </w:rPr>
              <w:t>投标报价得分=（投标基准价/投标报价）×价格权值×100%。（小数点后保留二位小数,按四舍五入取值)。</w:t>
            </w:r>
          </w:p>
          <w:p>
            <w:pPr>
              <w:spacing w:line="360" w:lineRule="auto"/>
              <w:rPr>
                <w:rFonts w:ascii="宋体" w:hAnsi="宋体"/>
                <w:sz w:val="24"/>
              </w:rPr>
            </w:pPr>
            <w:r>
              <w:rPr>
                <w:rFonts w:hint="eastAsia" w:ascii="宋体" w:hAnsi="宋体"/>
                <w:b/>
                <w:bCs/>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3" w:type="dxa"/>
            <w:vAlign w:val="center"/>
          </w:tcPr>
          <w:p>
            <w:pPr>
              <w:spacing w:line="360" w:lineRule="auto"/>
              <w:jc w:val="center"/>
              <w:rPr>
                <w:rFonts w:ascii="宋体" w:hAnsi="宋体"/>
                <w:sz w:val="24"/>
              </w:rPr>
            </w:pPr>
            <w:r>
              <w:rPr>
                <w:rFonts w:hint="eastAsia" w:ascii="宋体" w:hAnsi="宋体"/>
                <w:sz w:val="24"/>
              </w:rPr>
              <w:t>商务</w:t>
            </w:r>
          </w:p>
          <w:p>
            <w:pPr>
              <w:spacing w:line="360" w:lineRule="auto"/>
              <w:jc w:val="center"/>
              <w:rPr>
                <w:rFonts w:ascii="宋体" w:hAnsi="宋体"/>
                <w:sz w:val="24"/>
              </w:rPr>
            </w:pPr>
            <w:r>
              <w:rPr>
                <w:rFonts w:hint="eastAsia" w:ascii="宋体" w:hAnsi="宋体"/>
                <w:sz w:val="24"/>
              </w:rPr>
              <w:t>（20分）</w:t>
            </w:r>
          </w:p>
        </w:tc>
        <w:tc>
          <w:tcPr>
            <w:tcW w:w="8517" w:type="dxa"/>
            <w:vAlign w:val="center"/>
          </w:tcPr>
          <w:p>
            <w:pPr>
              <w:spacing w:line="360" w:lineRule="auto"/>
              <w:rPr>
                <w:rFonts w:ascii="宋体" w:hAnsi="宋体"/>
                <w:sz w:val="24"/>
              </w:rPr>
            </w:pPr>
            <w:r>
              <w:rPr>
                <w:rFonts w:hint="eastAsia" w:ascii="宋体" w:hAnsi="宋体"/>
                <w:sz w:val="24"/>
              </w:rPr>
              <w:t>1、投标人需提供自2018年1月1日起至今所承担过类似项目业绩，提供一项得0.5分，</w:t>
            </w:r>
            <w:r>
              <w:rPr>
                <w:rFonts w:hint="eastAsia"/>
                <w:sz w:val="24"/>
                <w:szCs w:val="22"/>
              </w:rPr>
              <w:t>提供完整合同复印件（包含设备采购清单）和中标通知书复印件，业绩证明材料需清晰可辨认，未提供业绩证明材料或材料不全不清晰的本项不得分，</w:t>
            </w:r>
            <w:r>
              <w:rPr>
                <w:rFonts w:hint="eastAsia" w:ascii="宋体" w:hAnsi="宋体"/>
                <w:sz w:val="24"/>
              </w:rPr>
              <w:t>最多得2分；（满分2分）</w:t>
            </w:r>
          </w:p>
          <w:p>
            <w:pPr>
              <w:spacing w:line="360" w:lineRule="auto"/>
              <w:rPr>
                <w:rFonts w:ascii="宋体" w:hAnsi="宋体"/>
                <w:sz w:val="24"/>
              </w:rPr>
            </w:pPr>
            <w:r>
              <w:rPr>
                <w:rFonts w:hint="eastAsia" w:ascii="宋体" w:hAnsi="宋体"/>
                <w:sz w:val="24"/>
              </w:rPr>
              <w:t>2、投标人提供认证系统近年来在高校用户案例证明4个，需提供用户盖章证明文件，证明材料需清晰可辨认，得1分，每多提供一个加0.5分，最多加1分；（满分2分)</w:t>
            </w:r>
          </w:p>
          <w:p>
            <w:pPr>
              <w:spacing w:line="360" w:lineRule="auto"/>
              <w:rPr>
                <w:rFonts w:hint="eastAsia" w:ascii="宋体" w:hAnsi="宋体"/>
                <w:sz w:val="24"/>
              </w:rPr>
            </w:pPr>
            <w:r>
              <w:rPr>
                <w:rFonts w:hint="eastAsia" w:ascii="宋体" w:hAnsi="宋体"/>
                <w:sz w:val="24"/>
              </w:rPr>
              <w:t>3、本项目“网络设备及无线设备”所有产品为方便运维，要求提供统一品牌产品，提供证明资料得1分，不提供不得分；（满分1分）</w:t>
            </w:r>
          </w:p>
          <w:p>
            <w:pPr>
              <w:spacing w:line="360" w:lineRule="auto"/>
              <w:rPr>
                <w:rFonts w:ascii="宋体" w:hAnsi="宋体"/>
                <w:sz w:val="24"/>
              </w:rPr>
            </w:pPr>
            <w:r>
              <w:rPr>
                <w:rFonts w:hint="eastAsia" w:ascii="宋体" w:hAnsi="宋体"/>
                <w:sz w:val="24"/>
              </w:rPr>
              <w:t>4、投标人提供综合布线主要产品供应厂家的以下证明材料：中国合格评定国家认可委员会实验室认可证书；ISO9001:2015质量管理体系证书，提供一项得0.5分；（满分1分）</w:t>
            </w:r>
          </w:p>
          <w:p>
            <w:pPr>
              <w:spacing w:line="360" w:lineRule="auto"/>
              <w:rPr>
                <w:rFonts w:ascii="宋体" w:hAnsi="宋体"/>
                <w:sz w:val="24"/>
              </w:rPr>
            </w:pPr>
            <w:r>
              <w:rPr>
                <w:rFonts w:hint="eastAsia" w:ascii="宋体" w:hAnsi="宋体"/>
                <w:sz w:val="24"/>
              </w:rPr>
              <w:t>5、投标人供应的基础材料中“六类非屏蔽低烟无卤网线”需要提供以下证明材料：（1）提供国家认可的第三方权威检验机构</w:t>
            </w:r>
            <w:r>
              <w:rPr>
                <w:rFonts w:hint="eastAsia" w:ascii="宋体" w:hAnsi="宋体"/>
                <w:sz w:val="24"/>
                <w:szCs w:val="24"/>
              </w:rPr>
              <w:t>出具的线缆单体和</w:t>
            </w:r>
            <w:r>
              <w:rPr>
                <w:rFonts w:hint="eastAsia" w:ascii="宋体" w:hAnsi="宋体"/>
                <w:color w:val="000000"/>
                <w:sz w:val="24"/>
                <w:szCs w:val="24"/>
              </w:rPr>
              <w:t>链路信道测试报告（0.5分）；（2）</w:t>
            </w:r>
            <w:r>
              <w:rPr>
                <w:rFonts w:hint="eastAsia" w:ascii="宋体" w:hAnsi="宋体"/>
                <w:color w:val="000000"/>
                <w:sz w:val="24"/>
              </w:rPr>
              <w:t>提供国家认可的第三方权威检验机构出具</w:t>
            </w:r>
            <w:r>
              <w:rPr>
                <w:rFonts w:hint="eastAsia" w:ascii="宋体" w:hAnsi="宋体"/>
                <w:sz w:val="24"/>
              </w:rPr>
              <w:t>的满足IEC 60332-1:2004（或IEC 60332-1:2009） 标准的</w:t>
            </w:r>
            <w:r>
              <w:rPr>
                <w:rFonts w:hint="eastAsia" w:ascii="宋体" w:hAnsi="宋体"/>
                <w:sz w:val="24"/>
                <w:szCs w:val="24"/>
              </w:rPr>
              <w:t>线缆燃烧检验报告</w:t>
            </w:r>
            <w:r>
              <w:rPr>
                <w:rFonts w:hint="eastAsia" w:ascii="宋体" w:hAnsi="宋体"/>
                <w:sz w:val="24"/>
              </w:rPr>
              <w:t>（</w:t>
            </w:r>
            <w:r>
              <w:rPr>
                <w:rFonts w:hint="eastAsia" w:ascii="宋体" w:hAnsi="宋体"/>
                <w:color w:val="000000"/>
                <w:sz w:val="24"/>
                <w:szCs w:val="24"/>
              </w:rPr>
              <w:t>0.5</w:t>
            </w:r>
            <w:r>
              <w:rPr>
                <w:rFonts w:hint="eastAsia" w:ascii="宋体" w:hAnsi="宋体"/>
                <w:sz w:val="24"/>
              </w:rPr>
              <w:t>分）；（3）</w:t>
            </w:r>
            <w:r>
              <w:rPr>
                <w:rFonts w:hint="eastAsia" w:ascii="宋体" w:hAnsi="宋体" w:cs="宋体"/>
                <w:sz w:val="24"/>
                <w:szCs w:val="24"/>
              </w:rPr>
              <w:t>国家认可的第三方权威检验机构出具的100米六节点信道认证报告（</w:t>
            </w:r>
            <w:r>
              <w:rPr>
                <w:rFonts w:hint="eastAsia" w:ascii="宋体" w:hAnsi="宋体"/>
                <w:color w:val="000000"/>
                <w:sz w:val="24"/>
                <w:szCs w:val="24"/>
              </w:rPr>
              <w:t>0.5</w:t>
            </w:r>
            <w:r>
              <w:rPr>
                <w:rFonts w:hint="eastAsia" w:ascii="宋体" w:hAnsi="宋体" w:cs="宋体"/>
                <w:sz w:val="24"/>
                <w:szCs w:val="24"/>
              </w:rPr>
              <w:t>分）</w:t>
            </w:r>
            <w:r>
              <w:rPr>
                <w:rFonts w:hint="eastAsia" w:ascii="宋体" w:hAnsi="宋体"/>
                <w:sz w:val="24"/>
              </w:rPr>
              <w:t>。</w:t>
            </w:r>
            <w:r>
              <w:rPr>
                <w:rFonts w:hint="eastAsia" w:ascii="宋体" w:hAnsi="宋体"/>
                <w:color w:val="000000"/>
                <w:sz w:val="24"/>
              </w:rPr>
              <w:t>基础材料中“六类数据模块”需要提供以下证明材料：（1）国家认可的第三方权威检验机构</w:t>
            </w:r>
            <w:r>
              <w:rPr>
                <w:rFonts w:hint="eastAsia" w:ascii="宋体" w:hAnsi="宋体"/>
                <w:color w:val="000000"/>
                <w:sz w:val="24"/>
                <w:szCs w:val="24"/>
              </w:rPr>
              <w:t>出具的</w:t>
            </w:r>
            <w:r>
              <w:rPr>
                <w:rFonts w:hint="eastAsia" w:ascii="宋体" w:hAnsi="宋体" w:cs="FZLTHJW--GB1-0"/>
                <w:kern w:val="0"/>
                <w:sz w:val="24"/>
                <w:szCs w:val="24"/>
              </w:rPr>
              <w:t>模块单体和链路</w:t>
            </w:r>
            <w:r>
              <w:rPr>
                <w:rFonts w:hint="eastAsia" w:ascii="宋体" w:hAnsi="宋体"/>
                <w:color w:val="000000"/>
                <w:sz w:val="24"/>
                <w:szCs w:val="24"/>
              </w:rPr>
              <w:t>测试报告（0.5分）；（2）</w:t>
            </w:r>
            <w:r>
              <w:rPr>
                <w:rFonts w:hint="eastAsia" w:ascii="宋体" w:hAnsi="宋体"/>
                <w:color w:val="000000"/>
                <w:sz w:val="24"/>
              </w:rPr>
              <w:t>国家认可的第三方权威检验机构</w:t>
            </w:r>
            <w:r>
              <w:rPr>
                <w:rFonts w:hint="eastAsia" w:ascii="宋体" w:hAnsi="宋体"/>
                <w:color w:val="000000"/>
                <w:sz w:val="24"/>
                <w:szCs w:val="24"/>
              </w:rPr>
              <w:t>出具的100米六节点信道检测报告（0.5分）。</w:t>
            </w:r>
            <w:r>
              <w:rPr>
                <w:rFonts w:hint="eastAsia" w:ascii="宋体" w:hAnsi="宋体"/>
                <w:color w:val="000000"/>
                <w:sz w:val="24"/>
              </w:rPr>
              <w:t>基础材料中“</w:t>
            </w:r>
            <w:r>
              <w:rPr>
                <w:rFonts w:hint="eastAsia" w:ascii="宋体" w:hAnsi="宋体"/>
                <w:sz w:val="24"/>
                <w:szCs w:val="24"/>
              </w:rPr>
              <w:t>96芯LC高密度光纤配线架</w:t>
            </w:r>
            <w:r>
              <w:rPr>
                <w:rFonts w:hint="eastAsia" w:ascii="宋体" w:hAnsi="宋体"/>
                <w:color w:val="000000"/>
                <w:sz w:val="24"/>
              </w:rPr>
              <w:t>”需要提供以下证明材料：国家认可的第三方权威检验机构</w:t>
            </w:r>
            <w:r>
              <w:rPr>
                <w:rFonts w:hint="eastAsia" w:ascii="宋体" w:hAnsi="宋体"/>
                <w:color w:val="000000"/>
                <w:sz w:val="24"/>
                <w:szCs w:val="24"/>
              </w:rPr>
              <w:t>出具的单体和链路信道测试报告（0.5分），证明材料缺少1个扣0.5分，缺少2个，本项不得分；</w:t>
            </w:r>
            <w:r>
              <w:rPr>
                <w:rFonts w:hint="eastAsia" w:ascii="宋体" w:hAnsi="宋体"/>
                <w:sz w:val="24"/>
              </w:rPr>
              <w:t>（满分3分）</w:t>
            </w:r>
          </w:p>
          <w:p>
            <w:pPr>
              <w:spacing w:line="360" w:lineRule="auto"/>
              <w:rPr>
                <w:rFonts w:ascii="宋体" w:hAnsi="宋体"/>
                <w:sz w:val="24"/>
              </w:rPr>
            </w:pPr>
            <w:r>
              <w:rPr>
                <w:rFonts w:hint="eastAsia" w:ascii="宋体" w:hAnsi="宋体"/>
                <w:sz w:val="24"/>
              </w:rPr>
              <w:t>6、投标人提供ISO:20000服务管理体系认证；CCRC信息安全服务资质，提供一项得0.5分；（满分1分）</w:t>
            </w:r>
          </w:p>
          <w:p>
            <w:pPr>
              <w:spacing w:line="360" w:lineRule="auto"/>
              <w:rPr>
                <w:rFonts w:hint="eastAsia" w:ascii="宋体" w:hAnsi="宋体"/>
                <w:sz w:val="24"/>
              </w:rPr>
            </w:pPr>
            <w:r>
              <w:rPr>
                <w:rFonts w:hint="eastAsia" w:ascii="宋体" w:hAnsi="宋体"/>
                <w:sz w:val="24"/>
              </w:rPr>
              <w:t>7、投标人提供的网络核心产品的生产厂商具备：质量管理体系ISO9001；信息安全管理体系认证证书ISO27001，提供一项得0.5分；（满分1分）</w:t>
            </w:r>
          </w:p>
          <w:p>
            <w:pPr>
              <w:spacing w:line="360" w:lineRule="auto"/>
              <w:rPr>
                <w:rFonts w:ascii="宋体" w:hAnsi="宋体"/>
                <w:sz w:val="24"/>
              </w:rPr>
            </w:pPr>
            <w:r>
              <w:rPr>
                <w:rFonts w:hint="eastAsia" w:ascii="宋体" w:hAnsi="宋体"/>
                <w:sz w:val="24"/>
                <w:szCs w:val="22"/>
              </w:rPr>
              <w:t>8、</w:t>
            </w:r>
            <w:r>
              <w:rPr>
                <w:rFonts w:hint="eastAsia" w:ascii="宋体" w:hAnsi="宋体"/>
                <w:sz w:val="24"/>
              </w:rPr>
              <w:t>投标人</w:t>
            </w:r>
            <w:r>
              <w:rPr>
                <w:rFonts w:hint="eastAsia" w:ascii="宋体" w:hAnsi="宋体" w:cs="宋体"/>
                <w:color w:val="000000" w:themeColor="text1"/>
                <w:kern w:val="0"/>
                <w:sz w:val="24"/>
                <w:szCs w:val="24"/>
              </w:rPr>
              <w:t>具有网络专家级别认证工程师（如CCIE、H3CIE等）</w:t>
            </w:r>
            <w:r>
              <w:rPr>
                <w:rFonts w:hint="eastAsia" w:ascii="宋体" w:hAnsi="宋体"/>
                <w:sz w:val="24"/>
                <w:szCs w:val="22"/>
              </w:rPr>
              <w:t>每提供一人得2分，最多得4分；（满分4分）（提供相关证书证明文件</w:t>
            </w:r>
            <w:r>
              <w:rPr>
                <w:rFonts w:hint="eastAsia" w:ascii="宋体" w:hAnsi="宋体" w:cs="宋体"/>
                <w:color w:val="000000" w:themeColor="text1"/>
                <w:kern w:val="0"/>
                <w:sz w:val="24"/>
                <w:szCs w:val="24"/>
              </w:rPr>
              <w:t>、</w:t>
            </w:r>
            <w:r>
              <w:rPr>
                <w:rFonts w:hint="eastAsia" w:ascii="宋体" w:hAnsi="宋体"/>
                <w:sz w:val="24"/>
                <w:szCs w:val="22"/>
              </w:rPr>
              <w:t>2021年1月至</w:t>
            </w:r>
            <w:r>
              <w:rPr>
                <w:rFonts w:hint="eastAsia" w:ascii="宋体" w:hAnsi="宋体"/>
                <w:sz w:val="24"/>
              </w:rPr>
              <w:t>今社保证明）</w:t>
            </w:r>
          </w:p>
          <w:p>
            <w:pPr>
              <w:spacing w:line="360" w:lineRule="auto"/>
              <w:rPr>
                <w:rFonts w:ascii="宋体" w:hAnsi="宋体"/>
                <w:sz w:val="24"/>
              </w:rPr>
            </w:pPr>
            <w:r>
              <w:rPr>
                <w:rFonts w:hint="eastAsia" w:ascii="宋体" w:hAnsi="宋体"/>
                <w:sz w:val="24"/>
              </w:rPr>
              <w:t>9、投标人具有高级网络工程师（路由交换机或WLAN领域）每提供一人得1分；最多得3分，该项工程师不得与第8条商务评分办法中提供证明材料为同一人。（满分3分）（提供相关证书证明文件、2021年1月至今社保证明）</w:t>
            </w:r>
          </w:p>
          <w:p>
            <w:pPr>
              <w:spacing w:line="360" w:lineRule="auto"/>
              <w:rPr>
                <w:rFonts w:ascii="宋体" w:hAnsi="宋体"/>
                <w:sz w:val="24"/>
              </w:rPr>
            </w:pPr>
            <w:r>
              <w:rPr>
                <w:rFonts w:hint="eastAsia" w:ascii="宋体" w:hAnsi="宋体"/>
                <w:sz w:val="24"/>
              </w:rPr>
              <w:t>10、有目录索引、编页、排版等制作规范得1分，每有一处错误或材料缺失扣0.5分，扣完为止；证件复印正文内容清晰得1分，有一个证件或一页不清晰扣0.5分，扣完为止。(满分2分)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33" w:type="dxa"/>
            <w:vAlign w:val="center"/>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技术</w:t>
            </w:r>
          </w:p>
          <w:p>
            <w:pPr>
              <w:spacing w:line="360" w:lineRule="auto"/>
              <w:rPr>
                <w:rFonts w:ascii="宋体" w:hAnsi="宋体"/>
                <w:sz w:val="24"/>
              </w:rPr>
            </w:pPr>
            <w:r>
              <w:rPr>
                <w:rFonts w:hint="eastAsia" w:ascii="宋体" w:hAnsi="宋体" w:cs="宋体"/>
                <w:sz w:val="24"/>
              </w:rPr>
              <w:t>（50分）</w:t>
            </w:r>
          </w:p>
        </w:tc>
        <w:tc>
          <w:tcPr>
            <w:tcW w:w="8517" w:type="dxa"/>
            <w:vAlign w:val="center"/>
          </w:tcPr>
          <w:p>
            <w:pPr>
              <w:spacing w:line="360" w:lineRule="auto"/>
              <w:rPr>
                <w:rFonts w:ascii="宋体" w:hAnsi="宋体"/>
                <w:sz w:val="24"/>
              </w:rPr>
            </w:pPr>
            <w:r>
              <w:rPr>
                <w:rFonts w:hint="eastAsia" w:ascii="宋体" w:hAnsi="宋体"/>
                <w:sz w:val="24"/>
              </w:rPr>
              <w:t>1、投标文件技术参数优于招标文件中要求响应的技术参数，每一条加1分，最多加4分；（满分4分）</w:t>
            </w:r>
          </w:p>
          <w:p>
            <w:pPr>
              <w:spacing w:line="360" w:lineRule="auto"/>
              <w:rPr>
                <w:rFonts w:ascii="宋体" w:hAnsi="宋体"/>
                <w:sz w:val="24"/>
              </w:rPr>
            </w:pPr>
            <w:r>
              <w:rPr>
                <w:rFonts w:hint="eastAsia" w:ascii="宋体" w:hAnsi="宋体"/>
                <w:sz w:val="24"/>
              </w:rPr>
              <w:t>2、为方便统一管理无线网络设备，要求本次所投无线控制器可以与现有无线环境实现冗余备份或虚拟化堆叠，可以针对全校的无线AP做到统一配置、统一管理，满足得4分；或者使用替代方案，实现品牌异构，对本次建设的无线环境可以实现冗余备份或虚拟化堆叠，满足得3分，</w:t>
            </w:r>
            <w:r>
              <w:rPr>
                <w:rFonts w:hint="eastAsia" w:ascii="宋体" w:hAnsi="宋体" w:cs="宋体"/>
                <w:color w:val="000000"/>
                <w:kern w:val="0"/>
                <w:sz w:val="24"/>
                <w:szCs w:val="24"/>
              </w:rPr>
              <w:t>不能满足不得分</w:t>
            </w:r>
            <w:r>
              <w:rPr>
                <w:rFonts w:hint="eastAsia" w:ascii="宋体" w:hAnsi="宋体"/>
                <w:sz w:val="24"/>
              </w:rPr>
              <w:t>；（满分4分)</w:t>
            </w:r>
          </w:p>
          <w:p>
            <w:pPr>
              <w:spacing w:line="360" w:lineRule="auto"/>
              <w:rPr>
                <w:rFonts w:ascii="宋体" w:hAnsi="宋体"/>
                <w:sz w:val="24"/>
              </w:rPr>
            </w:pPr>
            <w:r>
              <w:rPr>
                <w:rFonts w:hint="eastAsia" w:ascii="宋体" w:hAnsi="宋体"/>
                <w:sz w:val="24"/>
              </w:rPr>
              <w:t>3、投标人确保所投无线产品成熟、先进、可靠，提供软件成熟度CMMI5级证书的并加盖公章得2分，不提供不得分；（满分2分)</w:t>
            </w:r>
          </w:p>
          <w:p>
            <w:pPr>
              <w:spacing w:line="360" w:lineRule="auto"/>
              <w:rPr>
                <w:rFonts w:asciiTheme="minorEastAsia" w:hAnsiTheme="minorEastAsia" w:eastAsiaTheme="minorEastAsia"/>
                <w:sz w:val="24"/>
                <w:szCs w:val="22"/>
              </w:rPr>
            </w:pPr>
            <w:r>
              <w:rPr>
                <w:rFonts w:hint="eastAsia" w:ascii="宋体" w:hAnsi="宋体"/>
                <w:sz w:val="24"/>
              </w:rPr>
              <w:t>4、为确保项目顺利实施，投标人应制定项目质量管理与保障措施，根据所提供的项目质量管理与保障措施方案内容进行比较，</w:t>
            </w:r>
            <w:r>
              <w:rPr>
                <w:rFonts w:hint="eastAsia" w:asciiTheme="minorEastAsia" w:hAnsiTheme="minorEastAsia" w:eastAsiaTheme="minorEastAsia"/>
                <w:sz w:val="24"/>
                <w:szCs w:val="22"/>
              </w:rPr>
              <w:t>方案可行易于实现得6-5 分；方案基本可行得4-2 分；方案不易实现得1-0分；（满分6分）</w:t>
            </w:r>
          </w:p>
          <w:p>
            <w:pPr>
              <w:spacing w:line="360" w:lineRule="auto"/>
              <w:rPr>
                <w:rFonts w:ascii="宋体" w:hAnsi="宋体"/>
                <w:sz w:val="24"/>
              </w:rPr>
            </w:pPr>
            <w:r>
              <w:rPr>
                <w:rFonts w:hint="eastAsia" w:ascii="宋体" w:hAnsi="宋体"/>
                <w:sz w:val="24"/>
              </w:rPr>
              <w:t>5、投标人需根据学校实际环境进行针对性出具无线和有线网络地勘报告，报告需科学合理且符合学校真实场景。投标人应对本项目的整体背景、目标、范围、需求、涉及招标人现状情况整体理解有详细的描述，对招标人现有的网络现状理解准确。技术方案涵盖系统总体架构及组成，各组成部分功能以及相互关系逻辑结构清晰；对技术方案的设计合理性、技术先进性、方案完整性、实用性、规范性、可扩展性等指标进行评分，</w:t>
            </w:r>
            <w:r>
              <w:rPr>
                <w:rFonts w:hint="eastAsia" w:asciiTheme="minorEastAsia" w:hAnsiTheme="minorEastAsia" w:eastAsiaTheme="minorEastAsia"/>
                <w:sz w:val="24"/>
                <w:szCs w:val="22"/>
              </w:rPr>
              <w:t>结合项目要求</w:t>
            </w:r>
            <w:r>
              <w:rPr>
                <w:rFonts w:hint="eastAsia" w:ascii="宋体" w:hAnsi="宋体"/>
                <w:sz w:val="24"/>
              </w:rPr>
              <w:t>，项目整体服务方案完整、合理得10-7分，项目整体服务方案基本完整、合理得6-3分，项目整体服务方案缺失多、合理性差得2-0分；（满分10分)</w:t>
            </w:r>
          </w:p>
          <w:p>
            <w:pPr>
              <w:spacing w:line="360" w:lineRule="auto"/>
              <w:rPr>
                <w:rFonts w:asciiTheme="minorEastAsia" w:hAnsiTheme="minorEastAsia" w:eastAsiaTheme="minorEastAsia"/>
                <w:sz w:val="24"/>
                <w:szCs w:val="22"/>
              </w:rPr>
            </w:pPr>
            <w:r>
              <w:rPr>
                <w:rFonts w:hint="eastAsia" w:ascii="宋体" w:hAnsi="宋体"/>
                <w:sz w:val="24"/>
              </w:rPr>
              <w:t>6、投标人为确保对招标人正在运行的网络进行可靠升级和改造，需要投标人针对招标人现网进行了解，出具现网拓扑图与切实可行的割接和改造升级方案，有割接时的应急预案和回退（恢复）措施。</w:t>
            </w:r>
            <w:r>
              <w:rPr>
                <w:rFonts w:hint="eastAsia" w:asciiTheme="minorEastAsia" w:hAnsiTheme="minorEastAsia" w:eastAsiaTheme="minorEastAsia"/>
                <w:sz w:val="24"/>
                <w:szCs w:val="22"/>
              </w:rPr>
              <w:t>贴合用户需求、方案完整可行得</w:t>
            </w:r>
            <w:r>
              <w:rPr>
                <w:rFonts w:asciiTheme="minorEastAsia" w:hAnsiTheme="minorEastAsia" w:eastAsiaTheme="minorEastAsia"/>
                <w:sz w:val="24"/>
                <w:szCs w:val="22"/>
              </w:rPr>
              <w:t>10-7</w:t>
            </w:r>
            <w:r>
              <w:rPr>
                <w:rFonts w:hint="eastAsia" w:asciiTheme="minorEastAsia" w:hAnsiTheme="minorEastAsia" w:eastAsiaTheme="minorEastAsia"/>
                <w:sz w:val="24"/>
                <w:szCs w:val="22"/>
              </w:rPr>
              <w:t>分；方案基本贴合用户需求、具备可行性得</w:t>
            </w:r>
            <w:r>
              <w:rPr>
                <w:rFonts w:hint="eastAsia" w:ascii="宋体" w:hAnsi="宋体"/>
                <w:sz w:val="24"/>
              </w:rPr>
              <w:t>6-3</w:t>
            </w:r>
            <w:r>
              <w:rPr>
                <w:rFonts w:hint="eastAsia" w:asciiTheme="minorEastAsia" w:hAnsiTheme="minorEastAsia" w:eastAsiaTheme="minorEastAsia"/>
                <w:sz w:val="24"/>
                <w:szCs w:val="22"/>
              </w:rPr>
              <w:t xml:space="preserve"> 分；方案不能响应用户需求得</w:t>
            </w:r>
            <w:r>
              <w:rPr>
                <w:rFonts w:hint="eastAsia" w:ascii="宋体" w:hAnsi="宋体"/>
                <w:sz w:val="24"/>
              </w:rPr>
              <w:t>2-0分</w:t>
            </w:r>
            <w:r>
              <w:rPr>
                <w:rFonts w:hint="eastAsia" w:asciiTheme="minorEastAsia" w:hAnsiTheme="minorEastAsia" w:eastAsiaTheme="minorEastAsia"/>
                <w:sz w:val="24"/>
                <w:szCs w:val="22"/>
              </w:rPr>
              <w:t>；（满分10分）</w:t>
            </w:r>
          </w:p>
          <w:p>
            <w:pPr>
              <w:spacing w:line="360" w:lineRule="auto"/>
              <w:rPr>
                <w:rFonts w:asciiTheme="minorEastAsia" w:hAnsiTheme="minorEastAsia" w:eastAsiaTheme="minorEastAsia"/>
                <w:sz w:val="24"/>
                <w:szCs w:val="22"/>
              </w:rPr>
            </w:pPr>
            <w:r>
              <w:rPr>
                <w:rFonts w:hint="eastAsia" w:ascii="宋体" w:hAnsi="宋体"/>
                <w:sz w:val="24"/>
              </w:rPr>
              <w:t>7、投标人需提供应急服务方案，内容详细、科学、合理、切实可行，且提供能有效应对不可抗力事件的远程应急方案，在项目交付时遇到不可抗力事件，应远程对平台进行实施、部署、运维，并为保证信息安全，远程连接需采用安全加密隧道，操作过程可留档并留存相关行为用于审计,根据所提供应急服务方案内容进行比较，</w:t>
            </w:r>
            <w:r>
              <w:rPr>
                <w:rFonts w:hint="eastAsia" w:asciiTheme="minorEastAsia" w:hAnsiTheme="minorEastAsia" w:eastAsiaTheme="minorEastAsia"/>
                <w:sz w:val="24"/>
                <w:szCs w:val="22"/>
              </w:rPr>
              <w:t>方案完整可行得5</w:t>
            </w:r>
            <w:r>
              <w:rPr>
                <w:rFonts w:asciiTheme="minorEastAsia" w:hAnsiTheme="minorEastAsia" w:eastAsiaTheme="minorEastAsia"/>
                <w:sz w:val="24"/>
                <w:szCs w:val="22"/>
              </w:rPr>
              <w:t>-</w:t>
            </w:r>
            <w:r>
              <w:rPr>
                <w:rFonts w:hint="eastAsia" w:asciiTheme="minorEastAsia" w:hAnsiTheme="minorEastAsia" w:eastAsiaTheme="minorEastAsia"/>
                <w:sz w:val="24"/>
                <w:szCs w:val="22"/>
              </w:rPr>
              <w:t>4分；方案基本贴合用户需求、具备可行性得</w:t>
            </w:r>
            <w:r>
              <w:rPr>
                <w:rFonts w:hint="eastAsia" w:ascii="宋体" w:hAnsi="宋体"/>
                <w:sz w:val="24"/>
              </w:rPr>
              <w:t>3-1</w:t>
            </w:r>
            <w:r>
              <w:rPr>
                <w:rFonts w:hint="eastAsia" w:asciiTheme="minorEastAsia" w:hAnsiTheme="minorEastAsia" w:eastAsiaTheme="minorEastAsia"/>
                <w:sz w:val="24"/>
                <w:szCs w:val="22"/>
              </w:rPr>
              <w:t xml:space="preserve"> 分；方案不能响应用户需求得</w:t>
            </w:r>
            <w:r>
              <w:rPr>
                <w:rFonts w:hint="eastAsia" w:ascii="宋体" w:hAnsi="宋体"/>
                <w:sz w:val="24"/>
              </w:rPr>
              <w:t>0分</w:t>
            </w:r>
            <w:r>
              <w:rPr>
                <w:rFonts w:hint="eastAsia" w:asciiTheme="minorEastAsia" w:hAnsiTheme="minorEastAsia" w:eastAsiaTheme="minorEastAsia"/>
                <w:sz w:val="24"/>
                <w:szCs w:val="22"/>
              </w:rPr>
              <w:t>；（满分5分）</w:t>
            </w:r>
          </w:p>
          <w:p>
            <w:pPr>
              <w:spacing w:line="360" w:lineRule="auto"/>
              <w:rPr>
                <w:rFonts w:ascii="宋体" w:hAnsi="宋体"/>
                <w:sz w:val="24"/>
              </w:rPr>
            </w:pPr>
            <w:r>
              <w:rPr>
                <w:rFonts w:hint="eastAsia" w:ascii="宋体" w:hAnsi="宋体"/>
                <w:sz w:val="24"/>
              </w:rPr>
              <w:t>8、投标人提供详细的技术培训方案，具有专业的技术人员负责培训。方案完整、技术人员3人得4分；方案基本完整、技术人员2人得2分，其余不得分；（满分4分）</w:t>
            </w:r>
          </w:p>
          <w:p>
            <w:pPr>
              <w:spacing w:line="360" w:lineRule="auto"/>
            </w:pPr>
            <w:r>
              <w:rPr>
                <w:rFonts w:hint="eastAsia" w:ascii="宋体" w:hAnsi="宋体"/>
                <w:sz w:val="24"/>
              </w:rPr>
              <w:t>9、投标人根据本次项目实际需求提供售后服务方案，并提交售后服务承诺函，售后服务方案应能满足本项目的部署需求。根据售后服务方案的完整性、响应时间、质保承诺、售后服务体系、服务情况等，参考其它相关行业功能并能够提出建设性建议，具有完善的备品备件服务体系。完善得5-4 分，基本满足需求3-2分，偏离用户需求或不满足需求得1-0分；（满分5分）</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评标委员会对投标报价评审按照下述评标方法进行评定。</w:t>
      </w:r>
    </w:p>
    <w:p>
      <w:pPr>
        <w:spacing w:line="360" w:lineRule="auto"/>
        <w:ind w:firstLine="480" w:firstLineChars="200"/>
        <w:rPr>
          <w:rFonts w:ascii="宋体" w:hAnsi="宋体"/>
          <w:sz w:val="24"/>
        </w:rPr>
      </w:pPr>
      <w:r>
        <w:rPr>
          <w:rFonts w:hint="eastAsia" w:ascii="宋体" w:hAnsi="宋体"/>
          <w:sz w:val="24"/>
        </w:rPr>
        <w:t>投标报价得分=（评标基准价/投标报价）×价格权重×100</w:t>
      </w:r>
    </w:p>
    <w:p>
      <w:pPr>
        <w:spacing w:line="360" w:lineRule="auto"/>
        <w:rPr>
          <w:rFonts w:ascii="宋体" w:hAnsi="宋体"/>
          <w:sz w:val="24"/>
        </w:rPr>
      </w:pPr>
      <w:r>
        <w:rPr>
          <w:rFonts w:hint="eastAsia" w:ascii="宋体" w:hAnsi="宋体"/>
          <w:sz w:val="24"/>
        </w:rPr>
        <w:t>总得分=商务标得分+技术标得分+投标报价得分</w:t>
      </w:r>
    </w:p>
    <w:p>
      <w:pPr>
        <w:spacing w:line="360" w:lineRule="auto"/>
        <w:rPr>
          <w:rFonts w:ascii="宋体" w:hAnsi="宋体"/>
          <w:sz w:val="24"/>
        </w:rPr>
      </w:pPr>
      <w:r>
        <w:rPr>
          <w:rFonts w:hint="eastAsia" w:ascii="宋体" w:hAnsi="宋体"/>
          <w:sz w:val="24"/>
        </w:rPr>
        <w:t>评标委员会按照投标人最终得分由高到底顺序确定出各投标人排名顺序。</w:t>
      </w:r>
    </w:p>
    <w:p>
      <w:pPr>
        <w:spacing w:line="360" w:lineRule="auto"/>
        <w:ind w:firstLine="240" w:firstLineChars="100"/>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2</w:t>
      </w:r>
      <w:r>
        <w:rPr>
          <w:rFonts w:ascii="宋体" w:hAnsi="宋体"/>
          <w:sz w:val="24"/>
        </w:rPr>
        <w:t xml:space="preserve"> 对资格证明文件有伪造或隐瞒事实的，将视为未实质上响应招标文件要求而取消资格，并没收投标保证金</w:t>
      </w:r>
      <w:r>
        <w:rPr>
          <w:rFonts w:hint="eastAsia" w:ascii="宋体" w:hAnsi="宋体"/>
          <w:sz w:val="24"/>
        </w:rPr>
        <w:t>，</w:t>
      </w:r>
      <w:r>
        <w:rPr>
          <w:rFonts w:ascii="宋体" w:hAnsi="宋体"/>
          <w:sz w:val="24"/>
        </w:rPr>
        <w:t>没收</w:t>
      </w:r>
      <w:r>
        <w:rPr>
          <w:rFonts w:hint="eastAsia" w:ascii="宋体" w:hAnsi="宋体"/>
          <w:sz w:val="24"/>
        </w:rPr>
        <w:t>的</w:t>
      </w:r>
      <w:r>
        <w:rPr>
          <w:rFonts w:ascii="宋体" w:hAnsi="宋体"/>
          <w:sz w:val="24"/>
        </w:rPr>
        <w:t>投标保证金</w:t>
      </w:r>
      <w:r>
        <w:rPr>
          <w:rFonts w:hint="eastAsia" w:ascii="宋体" w:hAnsi="宋体"/>
          <w:sz w:val="24"/>
        </w:rPr>
        <w:t>归招标人和招标机构所有</w:t>
      </w:r>
      <w:r>
        <w:rPr>
          <w:rFonts w:ascii="宋体" w:hAnsi="宋体"/>
          <w:sz w:val="24"/>
        </w:rPr>
        <w:t>。</w:t>
      </w:r>
    </w:p>
    <w:p>
      <w:pPr>
        <w:spacing w:line="360" w:lineRule="auto"/>
        <w:ind w:firstLine="240" w:firstLineChars="100"/>
        <w:rPr>
          <w:rFonts w:ascii="宋体" w:hAnsi="宋体"/>
          <w:sz w:val="24"/>
        </w:rPr>
      </w:pPr>
      <w:r>
        <w:rPr>
          <w:rFonts w:hint="eastAsia" w:ascii="宋体" w:hAnsi="宋体"/>
          <w:sz w:val="24"/>
        </w:rPr>
        <w:t>22.3 细微偏差</w:t>
      </w:r>
    </w:p>
    <w:p>
      <w:pPr>
        <w:spacing w:line="360" w:lineRule="auto"/>
        <w:ind w:firstLine="480" w:firstLineChars="200"/>
        <w:rPr>
          <w:rFonts w:ascii="宋体" w:hAnsi="宋体"/>
          <w:sz w:val="24"/>
        </w:rPr>
      </w:pPr>
      <w:r>
        <w:rPr>
          <w:rFonts w:hint="eastAsia" w:ascii="宋体" w:hAnsi="宋体"/>
          <w:sz w:val="24"/>
        </w:rPr>
        <w:t>22.3.1 评标委员会将对投标文件中存在的个别漏项或提供了不完整的技术信息和数据、含义不明确、对同类问题表述不一致或者有明显文字和计算错误的内容等加以记录、汇总。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ascii="宋体" w:hAnsi="宋体"/>
          <w:sz w:val="24"/>
        </w:rPr>
      </w:pPr>
      <w:r>
        <w:rPr>
          <w:rFonts w:hint="eastAsia" w:ascii="宋体" w:hAnsi="宋体"/>
          <w:sz w:val="24"/>
        </w:rPr>
        <w:t>22.3.2 前述内容评标委员会将在投标文件澄清阶段要求投标人予以澄清或补正。</w:t>
      </w:r>
    </w:p>
    <w:p>
      <w:pPr>
        <w:spacing w:line="360" w:lineRule="auto"/>
        <w:rPr>
          <w:rFonts w:ascii="宋体" w:hAnsi="宋体"/>
          <w:sz w:val="24"/>
        </w:rPr>
      </w:pPr>
      <w:bookmarkStart w:id="61" w:name="_Toc228180132"/>
      <w:r>
        <w:rPr>
          <w:rFonts w:hint="eastAsia" w:ascii="宋体" w:hAnsi="宋体"/>
          <w:sz w:val="24"/>
        </w:rPr>
        <w:t>23、 投标文件的澄清</w:t>
      </w:r>
      <w:bookmarkEnd w:id="53"/>
      <w:bookmarkEnd w:id="54"/>
      <w:bookmarkEnd w:id="55"/>
      <w:bookmarkEnd w:id="56"/>
      <w:bookmarkEnd w:id="57"/>
      <w:bookmarkEnd w:id="58"/>
      <w:bookmarkEnd w:id="61"/>
    </w:p>
    <w:p>
      <w:pPr>
        <w:spacing w:line="360" w:lineRule="auto"/>
        <w:ind w:firstLine="240" w:firstLineChars="100"/>
        <w:rPr>
          <w:rFonts w:ascii="宋体" w:hAnsi="宋体"/>
          <w:sz w:val="24"/>
        </w:rPr>
      </w:pPr>
      <w:r>
        <w:rPr>
          <w:rFonts w:hint="eastAsia" w:ascii="宋体" w:hAnsi="宋体"/>
          <w:sz w:val="24"/>
        </w:rPr>
        <w:t>23</w:t>
      </w:r>
      <w:r>
        <w:rPr>
          <w:rFonts w:ascii="宋体" w:hAnsi="宋体"/>
          <w:sz w:val="24"/>
        </w:rPr>
        <w:t>.1 为有助于对投标</w:t>
      </w:r>
      <w:r>
        <w:rPr>
          <w:rFonts w:hint="eastAsia" w:ascii="宋体" w:hAnsi="宋体"/>
          <w:sz w:val="24"/>
        </w:rPr>
        <w:t>文件</w:t>
      </w:r>
      <w:r>
        <w:rPr>
          <w:rFonts w:ascii="宋体" w:hAnsi="宋体"/>
          <w:sz w:val="24"/>
        </w:rPr>
        <w:t>的审查、评价和比较，招标人</w:t>
      </w:r>
      <w:r>
        <w:rPr>
          <w:rFonts w:hint="eastAsia" w:ascii="宋体" w:hAnsi="宋体"/>
          <w:sz w:val="24"/>
        </w:rPr>
        <w:t>/招标机构</w:t>
      </w:r>
      <w:r>
        <w:rPr>
          <w:rFonts w:ascii="宋体" w:hAnsi="宋体"/>
          <w:sz w:val="24"/>
        </w:rPr>
        <w:t>可分别要求投标人对其投标</w:t>
      </w:r>
      <w:r>
        <w:rPr>
          <w:rFonts w:hint="eastAsia" w:ascii="宋体" w:hAnsi="宋体"/>
          <w:sz w:val="24"/>
        </w:rPr>
        <w:t>文件</w:t>
      </w:r>
      <w:r>
        <w:rPr>
          <w:rFonts w:ascii="宋体" w:hAnsi="宋体"/>
          <w:sz w:val="24"/>
        </w:rPr>
        <w:t>进行澄清，有关澄清的答复</w:t>
      </w:r>
      <w:r>
        <w:rPr>
          <w:rFonts w:hint="eastAsia" w:ascii="宋体" w:hAnsi="宋体"/>
          <w:sz w:val="24"/>
        </w:rPr>
        <w:t>由投标人整理后在规定的时间内</w:t>
      </w:r>
      <w:r>
        <w:rPr>
          <w:rFonts w:ascii="宋体" w:hAnsi="宋体"/>
          <w:sz w:val="24"/>
        </w:rPr>
        <w:t>以书面形式提交</w:t>
      </w:r>
      <w:r>
        <w:rPr>
          <w:rFonts w:hint="eastAsia" w:ascii="宋体" w:hAnsi="宋体"/>
          <w:sz w:val="24"/>
        </w:rPr>
        <w:t>.</w:t>
      </w:r>
      <w:r>
        <w:rPr>
          <w:rFonts w:ascii="宋体" w:hAnsi="宋体"/>
          <w:sz w:val="24"/>
        </w:rPr>
        <w:t>但不得寻求</w:t>
      </w:r>
      <w:r>
        <w:rPr>
          <w:rFonts w:hint="eastAsia" w:ascii="宋体" w:hAnsi="宋体"/>
          <w:sz w:val="24"/>
        </w:rPr>
        <w:t>、</w:t>
      </w:r>
      <w:r>
        <w:rPr>
          <w:rFonts w:ascii="宋体" w:hAnsi="宋体"/>
          <w:sz w:val="24"/>
        </w:rPr>
        <w:t>提供或允许对投标价格或实质性内容做任何更改。</w:t>
      </w:r>
      <w:r>
        <w:rPr>
          <w:rFonts w:hint="eastAsia" w:ascii="宋体" w:hAnsi="宋体"/>
          <w:sz w:val="24"/>
        </w:rPr>
        <w:t>澄清答复应由投标人法定代表人或其授权代表签署后在规定的时间内送达招标机构。</w:t>
      </w:r>
    </w:p>
    <w:p>
      <w:pPr>
        <w:spacing w:line="360" w:lineRule="auto"/>
        <w:ind w:firstLine="240" w:firstLineChars="100"/>
        <w:rPr>
          <w:rFonts w:ascii="宋体" w:hAnsi="宋体"/>
          <w:sz w:val="24"/>
        </w:rPr>
      </w:pPr>
      <w:r>
        <w:rPr>
          <w:rFonts w:hint="eastAsia" w:ascii="宋体" w:hAnsi="宋体"/>
          <w:sz w:val="24"/>
        </w:rPr>
        <w:t>23.2 投标人澄清的答复文件将取代投标文件中被澄清的部分，从而构成投标文件的组成部分。但不允许更改投标报价或投标的其它实质性内容（除非招标人另有约定、按照投标人须知中规定校核发现的算术错误不在此列）。</w:t>
      </w:r>
    </w:p>
    <w:p>
      <w:pPr>
        <w:spacing w:line="360" w:lineRule="auto"/>
        <w:ind w:firstLine="240" w:firstLineChars="100"/>
        <w:rPr>
          <w:rFonts w:ascii="宋体" w:hAnsi="宋体"/>
          <w:sz w:val="24"/>
        </w:rPr>
      </w:pPr>
      <w:r>
        <w:rPr>
          <w:rFonts w:hint="eastAsia" w:ascii="宋体" w:hAnsi="宋体"/>
          <w:sz w:val="24"/>
        </w:rPr>
        <w:t>23.3 如果投标人在投标文件中未对招标文件中的条款、数据等提出偏离或澄清，将被视同投标人同意招标文件的全部或部分要求。</w:t>
      </w:r>
    </w:p>
    <w:p>
      <w:pPr>
        <w:spacing w:line="360" w:lineRule="auto"/>
        <w:rPr>
          <w:rFonts w:ascii="宋体" w:hAnsi="宋体"/>
          <w:sz w:val="24"/>
        </w:rPr>
      </w:pPr>
      <w:bookmarkStart w:id="62" w:name="_Toc228180133"/>
      <w:r>
        <w:rPr>
          <w:rFonts w:hint="eastAsia" w:ascii="宋体" w:hAnsi="宋体"/>
          <w:sz w:val="24"/>
        </w:rPr>
        <w:t>24、 详细评审</w:t>
      </w:r>
      <w:bookmarkEnd w:id="62"/>
    </w:p>
    <w:p>
      <w:pPr>
        <w:spacing w:line="360" w:lineRule="auto"/>
        <w:ind w:firstLine="240" w:firstLineChars="100"/>
        <w:rPr>
          <w:rFonts w:ascii="宋体" w:hAnsi="宋体"/>
          <w:sz w:val="24"/>
        </w:rPr>
      </w:pPr>
      <w:r>
        <w:rPr>
          <w:rFonts w:hint="eastAsia" w:ascii="宋体" w:hAnsi="宋体"/>
          <w:sz w:val="24"/>
        </w:rPr>
        <w:t>24</w:t>
      </w:r>
      <w:r>
        <w:rPr>
          <w:rFonts w:ascii="宋体" w:hAnsi="宋体"/>
          <w:sz w:val="24"/>
        </w:rPr>
        <w:t>.1</w:t>
      </w:r>
      <w:r>
        <w:rPr>
          <w:rFonts w:hint="eastAsia" w:ascii="宋体" w:hAnsi="宋体"/>
          <w:sz w:val="24"/>
        </w:rPr>
        <w:t xml:space="preserve"> 评标委员会对各投标文件的各个部分作进一步评审、比较，并按照招标文件规定的评标办法对投标人进行综合评议并打分。</w:t>
      </w:r>
    </w:p>
    <w:p>
      <w:pPr>
        <w:spacing w:line="360" w:lineRule="auto"/>
        <w:rPr>
          <w:rFonts w:ascii="宋体" w:hAnsi="宋体"/>
          <w:sz w:val="24"/>
        </w:rPr>
      </w:pPr>
      <w:r>
        <w:rPr>
          <w:rFonts w:hint="eastAsia" w:ascii="宋体" w:hAnsi="宋体"/>
          <w:sz w:val="24"/>
        </w:rPr>
        <w:t>25、 详细评审的依据是招标文件、投标文件和投标人的答疑澄清等内容。</w:t>
      </w:r>
    </w:p>
    <w:p>
      <w:pPr>
        <w:spacing w:line="360" w:lineRule="auto"/>
        <w:rPr>
          <w:rFonts w:ascii="宋体" w:hAnsi="宋体"/>
          <w:sz w:val="24"/>
        </w:rPr>
      </w:pPr>
      <w:r>
        <w:rPr>
          <w:rFonts w:hint="eastAsia" w:ascii="宋体" w:hAnsi="宋体"/>
          <w:sz w:val="24"/>
        </w:rPr>
        <w:t>26、 评标办法：</w:t>
      </w:r>
    </w:p>
    <w:p>
      <w:pPr>
        <w:spacing w:line="360" w:lineRule="auto"/>
        <w:ind w:firstLine="240" w:firstLineChars="100"/>
        <w:rPr>
          <w:rFonts w:ascii="宋体" w:hAnsi="宋体"/>
          <w:sz w:val="24"/>
        </w:rPr>
      </w:pPr>
      <w:r>
        <w:rPr>
          <w:rFonts w:hint="eastAsia" w:ascii="宋体" w:hAnsi="宋体"/>
          <w:sz w:val="24"/>
        </w:rPr>
        <w:t>26.1本次评标采用综合评分法进行评分（见评标标准）。</w:t>
      </w:r>
    </w:p>
    <w:p>
      <w:pPr>
        <w:spacing w:line="360" w:lineRule="auto"/>
        <w:rPr>
          <w:rFonts w:ascii="宋体" w:hAnsi="宋体"/>
          <w:sz w:val="24"/>
        </w:rPr>
      </w:pPr>
      <w:r>
        <w:rPr>
          <w:rFonts w:hint="eastAsia" w:ascii="宋体" w:hAnsi="宋体"/>
          <w:sz w:val="24"/>
        </w:rPr>
        <w:t>27、定标原则</w:t>
      </w:r>
    </w:p>
    <w:p>
      <w:pPr>
        <w:spacing w:line="360" w:lineRule="auto"/>
        <w:ind w:firstLine="240" w:firstLineChars="100"/>
        <w:rPr>
          <w:rFonts w:ascii="宋体" w:hAnsi="宋体"/>
          <w:sz w:val="24"/>
        </w:rPr>
      </w:pPr>
      <w:r>
        <w:rPr>
          <w:rFonts w:hint="eastAsia" w:ascii="宋体" w:hAnsi="宋体"/>
          <w:sz w:val="24"/>
        </w:rPr>
        <w:t>27.1本项目招标人按照  27.1.2  条款确定中标人</w:t>
      </w:r>
    </w:p>
    <w:p>
      <w:pPr>
        <w:spacing w:line="360" w:lineRule="auto"/>
        <w:ind w:firstLine="480" w:firstLineChars="200"/>
        <w:rPr>
          <w:rFonts w:ascii="宋体" w:hAnsi="宋体"/>
          <w:sz w:val="24"/>
        </w:rPr>
      </w:pPr>
      <w:r>
        <w:rPr>
          <w:rFonts w:hint="eastAsia" w:ascii="宋体" w:hAnsi="宋体"/>
          <w:sz w:val="24"/>
        </w:rPr>
        <w:t>27.1.1招标人将从评标委员会推荐的（第1名、第2名、第3名）3名中标侯选人中确定中标人。</w:t>
      </w:r>
    </w:p>
    <w:p>
      <w:pPr>
        <w:spacing w:line="360" w:lineRule="auto"/>
        <w:ind w:firstLine="480" w:firstLineChars="200"/>
        <w:rPr>
          <w:rFonts w:ascii="宋体" w:hAnsi="宋体"/>
          <w:sz w:val="24"/>
        </w:rPr>
      </w:pPr>
      <w:r>
        <w:rPr>
          <w:rFonts w:hint="eastAsia" w:ascii="宋体" w:hAnsi="宋体"/>
          <w:sz w:val="24"/>
        </w:rPr>
        <w:t>27.1.2招标人确定中标人原则：排名第一的中标侯选人为中标人。排名第一的中标侯选人放弃中标、因不可抗力提出不能履行合同，确定排名第二的中标侯选人为中标人。</w:t>
      </w:r>
    </w:p>
    <w:p>
      <w:pPr>
        <w:spacing w:line="360" w:lineRule="auto"/>
        <w:ind w:firstLine="480" w:firstLineChars="200"/>
        <w:rPr>
          <w:rFonts w:ascii="宋体" w:hAnsi="宋体"/>
          <w:sz w:val="24"/>
        </w:rPr>
      </w:pPr>
      <w:r>
        <w:rPr>
          <w:rFonts w:hint="eastAsia" w:ascii="宋体" w:hAnsi="宋体"/>
          <w:sz w:val="24"/>
        </w:rPr>
        <w:t>27.1.3招标人授权评标委员会直接确定中标人即得分最高的投标人为中标人</w:t>
      </w:r>
    </w:p>
    <w:p>
      <w:pPr>
        <w:spacing w:line="360" w:lineRule="auto"/>
        <w:rPr>
          <w:rFonts w:ascii="宋体" w:hAnsi="宋体"/>
          <w:sz w:val="24"/>
        </w:rPr>
      </w:pPr>
      <w:bookmarkStart w:id="63" w:name="_Hlt115349797"/>
      <w:bookmarkEnd w:id="63"/>
      <w:bookmarkStart w:id="64" w:name="_Hlt115349748"/>
      <w:bookmarkEnd w:id="64"/>
      <w:bookmarkStart w:id="65" w:name="_Toc438354324"/>
      <w:bookmarkStart w:id="66" w:name="_Toc438371775"/>
      <w:bookmarkStart w:id="67" w:name="_Toc228180135"/>
      <w:bookmarkStart w:id="68" w:name="_Toc438371223"/>
      <w:bookmarkStart w:id="69" w:name="_Toc438371406"/>
      <w:bookmarkStart w:id="70" w:name="_Toc438371588"/>
      <w:bookmarkStart w:id="71" w:name="_Toc438370553"/>
      <w:r>
        <w:rPr>
          <w:rFonts w:hint="eastAsia" w:ascii="宋体" w:hAnsi="宋体"/>
          <w:sz w:val="24"/>
        </w:rPr>
        <w:t>28、 招标人授标时更改采购货物数量的权利</w:t>
      </w:r>
      <w:bookmarkEnd w:id="65"/>
      <w:bookmarkEnd w:id="66"/>
      <w:bookmarkEnd w:id="67"/>
      <w:bookmarkEnd w:id="68"/>
      <w:bookmarkEnd w:id="69"/>
      <w:bookmarkEnd w:id="70"/>
      <w:bookmarkEnd w:id="71"/>
    </w:p>
    <w:p>
      <w:pPr>
        <w:spacing w:line="360" w:lineRule="auto"/>
        <w:ind w:firstLine="240" w:firstLineChars="100"/>
        <w:rPr>
          <w:rFonts w:ascii="宋体" w:hAnsi="宋体"/>
          <w:sz w:val="24"/>
        </w:rPr>
      </w:pPr>
      <w:r>
        <w:rPr>
          <w:rFonts w:hint="eastAsia" w:ascii="宋体" w:hAnsi="宋体"/>
          <w:sz w:val="24"/>
        </w:rPr>
        <w:t>28</w:t>
      </w:r>
      <w:r>
        <w:rPr>
          <w:rFonts w:ascii="宋体" w:hAnsi="宋体"/>
          <w:sz w:val="24"/>
        </w:rPr>
        <w:t>.1 招标人在授予合同时有权对货物数量和服务予以增加或减少，但不得对单价做改变。</w:t>
      </w:r>
    </w:p>
    <w:p>
      <w:pPr>
        <w:spacing w:line="360" w:lineRule="auto"/>
        <w:rPr>
          <w:rFonts w:ascii="宋体" w:hAnsi="宋体"/>
          <w:sz w:val="24"/>
        </w:rPr>
      </w:pPr>
      <w:bookmarkStart w:id="72" w:name="_Hlt115349803"/>
      <w:bookmarkEnd w:id="72"/>
      <w:bookmarkStart w:id="73" w:name="_Toc438371225"/>
      <w:bookmarkStart w:id="74" w:name="_Toc228180136"/>
      <w:bookmarkStart w:id="75" w:name="_Toc438370555"/>
      <w:bookmarkStart w:id="76" w:name="_Toc438371408"/>
      <w:bookmarkStart w:id="77" w:name="_Toc438354326"/>
      <w:bookmarkStart w:id="78" w:name="_Toc438371777"/>
      <w:bookmarkStart w:id="79" w:name="_Toc438371590"/>
      <w:r>
        <w:rPr>
          <w:rFonts w:hint="eastAsia" w:ascii="宋体" w:hAnsi="宋体"/>
          <w:sz w:val="24"/>
        </w:rPr>
        <w:t>29、 中标通知书</w:t>
      </w:r>
      <w:bookmarkEnd w:id="73"/>
      <w:bookmarkEnd w:id="74"/>
      <w:bookmarkEnd w:id="75"/>
      <w:bookmarkEnd w:id="76"/>
      <w:bookmarkEnd w:id="77"/>
      <w:bookmarkEnd w:id="78"/>
      <w:bookmarkEnd w:id="79"/>
    </w:p>
    <w:p>
      <w:pPr>
        <w:spacing w:line="360" w:lineRule="auto"/>
        <w:ind w:firstLine="240" w:firstLineChars="100"/>
        <w:rPr>
          <w:rFonts w:ascii="宋体" w:hAnsi="宋体"/>
          <w:sz w:val="24"/>
        </w:rPr>
      </w:pPr>
      <w:r>
        <w:rPr>
          <w:rFonts w:hint="eastAsia" w:ascii="宋体" w:hAnsi="宋体"/>
          <w:sz w:val="24"/>
        </w:rPr>
        <w:t>29</w:t>
      </w:r>
      <w:r>
        <w:rPr>
          <w:rFonts w:ascii="宋体" w:hAnsi="宋体"/>
          <w:sz w:val="24"/>
        </w:rPr>
        <w:t>.1招标</w:t>
      </w:r>
      <w:r>
        <w:rPr>
          <w:rFonts w:hint="eastAsia" w:ascii="宋体" w:hAnsi="宋体"/>
          <w:sz w:val="24"/>
        </w:rPr>
        <w:t>人及招标机构</w:t>
      </w:r>
      <w:r>
        <w:rPr>
          <w:rFonts w:ascii="宋体" w:hAnsi="宋体"/>
          <w:sz w:val="24"/>
        </w:rPr>
        <w:t>将</w:t>
      </w:r>
      <w:r>
        <w:rPr>
          <w:rFonts w:hint="eastAsia" w:ascii="宋体" w:hAnsi="宋体"/>
          <w:sz w:val="24"/>
        </w:rPr>
        <w:t>以</w:t>
      </w:r>
      <w:r>
        <w:rPr>
          <w:rFonts w:ascii="宋体" w:hAnsi="宋体"/>
          <w:sz w:val="24"/>
        </w:rPr>
        <w:t>书面</w:t>
      </w:r>
      <w:r>
        <w:rPr>
          <w:rFonts w:hint="eastAsia" w:ascii="宋体" w:hAnsi="宋体"/>
          <w:sz w:val="24"/>
        </w:rPr>
        <w:t>《中标通知书》的形式告知</w:t>
      </w:r>
      <w:r>
        <w:rPr>
          <w:rFonts w:ascii="宋体" w:hAnsi="宋体"/>
          <w:sz w:val="24"/>
        </w:rPr>
        <w:t>中标</w:t>
      </w:r>
      <w:r>
        <w:rPr>
          <w:rFonts w:hint="eastAsia" w:ascii="宋体" w:hAnsi="宋体"/>
          <w:sz w:val="24"/>
        </w:rPr>
        <w:t>人其中标</w:t>
      </w:r>
      <w:r>
        <w:rPr>
          <w:rFonts w:ascii="宋体" w:hAnsi="宋体"/>
          <w:sz w:val="24"/>
        </w:rPr>
        <w:t>。</w:t>
      </w:r>
    </w:p>
    <w:p>
      <w:pPr>
        <w:spacing w:line="360" w:lineRule="auto"/>
        <w:ind w:firstLine="240" w:firstLineChars="100"/>
        <w:rPr>
          <w:rFonts w:ascii="宋体" w:hAnsi="宋体"/>
          <w:sz w:val="24"/>
        </w:rPr>
      </w:pPr>
      <w:r>
        <w:rPr>
          <w:rFonts w:hint="eastAsia" w:ascii="宋体" w:hAnsi="宋体"/>
          <w:sz w:val="24"/>
        </w:rPr>
        <w:t>29</w:t>
      </w:r>
      <w:r>
        <w:rPr>
          <w:rFonts w:ascii="宋体" w:hAnsi="宋体"/>
          <w:sz w:val="24"/>
        </w:rPr>
        <w:t xml:space="preserve">.2 </w:t>
      </w:r>
      <w:r>
        <w:rPr>
          <w:rFonts w:hint="eastAsia" w:ascii="宋体" w:hAnsi="宋体"/>
          <w:sz w:val="24"/>
        </w:rPr>
        <w:t>《</w:t>
      </w:r>
      <w:r>
        <w:rPr>
          <w:rFonts w:ascii="宋体" w:hAnsi="宋体"/>
          <w:sz w:val="24"/>
        </w:rPr>
        <w:t>中标通知书</w:t>
      </w:r>
      <w:r>
        <w:rPr>
          <w:rFonts w:hint="eastAsia" w:ascii="宋体" w:hAnsi="宋体"/>
          <w:sz w:val="24"/>
        </w:rPr>
        <w:t>》</w:t>
      </w:r>
      <w:r>
        <w:rPr>
          <w:rFonts w:ascii="宋体" w:hAnsi="宋体"/>
          <w:sz w:val="24"/>
        </w:rPr>
        <w:t>是合同的组成部分。</w:t>
      </w:r>
    </w:p>
    <w:p>
      <w:pPr>
        <w:spacing w:line="360" w:lineRule="auto"/>
        <w:rPr>
          <w:rFonts w:ascii="宋体" w:hAnsi="宋体"/>
          <w:sz w:val="24"/>
        </w:rPr>
      </w:pPr>
      <w:bookmarkStart w:id="80" w:name="_Toc438371591"/>
      <w:bookmarkStart w:id="81" w:name="_Toc438370556"/>
      <w:bookmarkStart w:id="82" w:name="_Toc438371226"/>
      <w:bookmarkStart w:id="83" w:name="_Toc438371778"/>
      <w:bookmarkStart w:id="84" w:name="_Toc228180137"/>
      <w:bookmarkStart w:id="85" w:name="_Toc438354327"/>
      <w:bookmarkStart w:id="86" w:name="_Toc438371409"/>
      <w:r>
        <w:rPr>
          <w:rFonts w:hint="eastAsia" w:ascii="宋体" w:hAnsi="宋体"/>
          <w:sz w:val="24"/>
        </w:rPr>
        <w:t>30、签订合同</w:t>
      </w:r>
      <w:bookmarkEnd w:id="80"/>
      <w:bookmarkEnd w:id="81"/>
      <w:bookmarkEnd w:id="82"/>
      <w:bookmarkEnd w:id="83"/>
      <w:bookmarkEnd w:id="84"/>
      <w:bookmarkEnd w:id="85"/>
      <w:bookmarkEnd w:id="86"/>
    </w:p>
    <w:p>
      <w:pPr>
        <w:spacing w:line="360" w:lineRule="auto"/>
        <w:ind w:firstLine="240" w:firstLineChars="100"/>
        <w:rPr>
          <w:rFonts w:ascii="宋体" w:hAnsi="宋体"/>
          <w:sz w:val="24"/>
        </w:rPr>
      </w:pPr>
      <w:r>
        <w:rPr>
          <w:rFonts w:hint="eastAsia" w:ascii="宋体" w:hAnsi="宋体"/>
          <w:sz w:val="24"/>
        </w:rPr>
        <w:t>30</w:t>
      </w:r>
      <w:r>
        <w:rPr>
          <w:rFonts w:ascii="宋体" w:hAnsi="宋体"/>
          <w:sz w:val="24"/>
        </w:rPr>
        <w:t>.1 中标人在收到中标通知书后，即应</w:t>
      </w:r>
      <w:r>
        <w:rPr>
          <w:rFonts w:hint="eastAsia" w:ascii="宋体" w:hAnsi="宋体"/>
          <w:sz w:val="24"/>
        </w:rPr>
        <w:t>按招标机构要求</w:t>
      </w:r>
      <w:r>
        <w:rPr>
          <w:rFonts w:ascii="宋体" w:hAnsi="宋体"/>
          <w:sz w:val="24"/>
        </w:rPr>
        <w:t>派代表</w:t>
      </w:r>
      <w:r>
        <w:rPr>
          <w:rFonts w:hint="eastAsia" w:ascii="宋体" w:hAnsi="宋体"/>
          <w:sz w:val="24"/>
        </w:rPr>
        <w:t>到指定地点与招标人</w:t>
      </w:r>
      <w:r>
        <w:rPr>
          <w:rFonts w:ascii="宋体" w:hAnsi="宋体"/>
          <w:sz w:val="24"/>
        </w:rPr>
        <w:t>签</w:t>
      </w:r>
      <w:r>
        <w:rPr>
          <w:rFonts w:hint="eastAsia" w:ascii="宋体" w:hAnsi="宋体"/>
          <w:sz w:val="24"/>
        </w:rPr>
        <w:t>定</w:t>
      </w:r>
      <w:r>
        <w:rPr>
          <w:rFonts w:ascii="宋体" w:hAnsi="宋体"/>
          <w:sz w:val="24"/>
        </w:rPr>
        <w:t>合同。</w:t>
      </w:r>
    </w:p>
    <w:p>
      <w:pPr>
        <w:spacing w:line="360" w:lineRule="auto"/>
        <w:rPr>
          <w:rFonts w:ascii="宋体" w:hAnsi="宋体"/>
          <w:sz w:val="24"/>
        </w:rPr>
      </w:pPr>
      <w:bookmarkStart w:id="87" w:name="_Hlt439147638"/>
      <w:bookmarkEnd w:id="87"/>
      <w:bookmarkStart w:id="88" w:name="_Toc438371593"/>
      <w:bookmarkStart w:id="89" w:name="_Toc438371780"/>
      <w:bookmarkStart w:id="90" w:name="_Toc438371411"/>
      <w:bookmarkStart w:id="91" w:name="_Toc438371228"/>
      <w:bookmarkStart w:id="92" w:name="_Toc438354329"/>
      <w:bookmarkStart w:id="93" w:name="_Toc438370558"/>
      <w:bookmarkStart w:id="94" w:name="_Toc228180138"/>
      <w:r>
        <w:rPr>
          <w:rFonts w:hint="eastAsia" w:ascii="宋体" w:hAnsi="宋体"/>
          <w:sz w:val="24"/>
        </w:rPr>
        <w:t xml:space="preserve">31、 </w:t>
      </w:r>
      <w:bookmarkEnd w:id="88"/>
      <w:bookmarkEnd w:id="89"/>
      <w:bookmarkEnd w:id="90"/>
      <w:bookmarkEnd w:id="91"/>
      <w:bookmarkEnd w:id="92"/>
      <w:bookmarkEnd w:id="93"/>
      <w:r>
        <w:rPr>
          <w:rFonts w:hint="eastAsia" w:ascii="宋体" w:hAnsi="宋体"/>
          <w:sz w:val="24"/>
        </w:rPr>
        <w:t>合同的组成</w:t>
      </w:r>
      <w:bookmarkEnd w:id="94"/>
    </w:p>
    <w:p>
      <w:pPr>
        <w:spacing w:line="360" w:lineRule="auto"/>
        <w:ind w:firstLine="240" w:firstLineChars="100"/>
        <w:rPr>
          <w:rFonts w:ascii="宋体" w:hAnsi="宋体"/>
          <w:sz w:val="24"/>
        </w:rPr>
      </w:pPr>
      <w:r>
        <w:rPr>
          <w:rFonts w:hint="eastAsia" w:ascii="宋体" w:hAnsi="宋体"/>
          <w:sz w:val="24"/>
        </w:rPr>
        <w:t>31</w:t>
      </w:r>
      <w:r>
        <w:rPr>
          <w:rFonts w:ascii="宋体" w:hAnsi="宋体"/>
          <w:sz w:val="24"/>
        </w:rPr>
        <w:t xml:space="preserve">.1 </w:t>
      </w:r>
      <w:r>
        <w:rPr>
          <w:rFonts w:hint="eastAsia" w:ascii="宋体" w:hAnsi="宋体"/>
          <w:sz w:val="24"/>
        </w:rPr>
        <w:t>下列文件均为合同不可分割的组成部分：</w:t>
      </w:r>
    </w:p>
    <w:p>
      <w:pPr>
        <w:spacing w:line="360" w:lineRule="auto"/>
        <w:ind w:firstLine="480" w:firstLineChars="200"/>
        <w:rPr>
          <w:rFonts w:ascii="宋体" w:hAnsi="宋体"/>
          <w:sz w:val="24"/>
        </w:rPr>
      </w:pPr>
      <w:r>
        <w:rPr>
          <w:rFonts w:hint="eastAsia" w:ascii="宋体" w:hAnsi="宋体"/>
          <w:sz w:val="24"/>
        </w:rPr>
        <w:t>⑴ 中标通知书；</w:t>
      </w:r>
    </w:p>
    <w:p>
      <w:pPr>
        <w:spacing w:line="360" w:lineRule="auto"/>
        <w:ind w:firstLine="480" w:firstLineChars="200"/>
        <w:rPr>
          <w:rFonts w:ascii="宋体" w:hAnsi="宋体"/>
          <w:sz w:val="24"/>
        </w:rPr>
      </w:pPr>
      <w:r>
        <w:rPr>
          <w:rFonts w:hint="eastAsia" w:ascii="宋体" w:hAnsi="宋体"/>
          <w:sz w:val="24"/>
        </w:rPr>
        <w:t>⑵ 合同书；</w:t>
      </w:r>
    </w:p>
    <w:p>
      <w:pPr>
        <w:spacing w:line="360" w:lineRule="auto"/>
        <w:ind w:firstLine="480" w:firstLineChars="200"/>
        <w:rPr>
          <w:rFonts w:ascii="宋体" w:hAnsi="宋体"/>
          <w:sz w:val="24"/>
        </w:rPr>
      </w:pPr>
      <w:r>
        <w:rPr>
          <w:rFonts w:hint="eastAsia" w:ascii="宋体" w:hAnsi="宋体"/>
          <w:sz w:val="24"/>
        </w:rPr>
        <w:t>⑶ 评标答疑澄清记录；</w:t>
      </w:r>
    </w:p>
    <w:p>
      <w:pPr>
        <w:spacing w:line="360" w:lineRule="auto"/>
        <w:ind w:firstLine="480" w:firstLineChars="200"/>
        <w:rPr>
          <w:rFonts w:ascii="宋体" w:hAnsi="宋体"/>
          <w:sz w:val="24"/>
        </w:rPr>
      </w:pPr>
      <w:r>
        <w:rPr>
          <w:rFonts w:hint="eastAsia" w:ascii="宋体" w:hAnsi="宋体"/>
          <w:sz w:val="24"/>
        </w:rPr>
        <w:t>⑷ 投标文件；</w:t>
      </w:r>
    </w:p>
    <w:p>
      <w:pPr>
        <w:spacing w:line="360" w:lineRule="auto"/>
        <w:ind w:firstLine="480" w:firstLineChars="200"/>
        <w:rPr>
          <w:rFonts w:ascii="宋体" w:hAnsi="宋体"/>
          <w:sz w:val="24"/>
        </w:rPr>
      </w:pPr>
      <w:r>
        <w:rPr>
          <w:rFonts w:hint="eastAsia" w:ascii="宋体" w:hAnsi="宋体"/>
          <w:sz w:val="24"/>
        </w:rPr>
        <w:t>⑸ 招标文件；</w:t>
      </w:r>
    </w:p>
    <w:p>
      <w:pPr>
        <w:spacing w:line="360" w:lineRule="auto"/>
        <w:ind w:firstLine="480" w:firstLineChars="200"/>
        <w:rPr>
          <w:rFonts w:ascii="宋体" w:hAnsi="宋体"/>
          <w:sz w:val="24"/>
        </w:rPr>
      </w:pPr>
      <w:r>
        <w:rPr>
          <w:rFonts w:hint="eastAsia" w:ascii="宋体" w:hAnsi="宋体"/>
          <w:sz w:val="24"/>
        </w:rPr>
        <w:t>⑹ 标准、规范和有关技术资料</w:t>
      </w:r>
    </w:p>
    <w:p>
      <w:pPr>
        <w:spacing w:line="360" w:lineRule="auto"/>
        <w:rPr>
          <w:rFonts w:ascii="宋体" w:hAnsi="宋体"/>
          <w:sz w:val="24"/>
        </w:rPr>
      </w:pPr>
      <w:r>
        <w:rPr>
          <w:rFonts w:hint="eastAsia" w:ascii="宋体" w:hAnsi="宋体"/>
          <w:sz w:val="24"/>
        </w:rPr>
        <w:t>上述文件中的内容如有不一致之处，按上述先后顺序解释。</w:t>
      </w:r>
    </w:p>
    <w:p>
      <w:pPr>
        <w:spacing w:line="360" w:lineRule="auto"/>
        <w:rPr>
          <w:rFonts w:ascii="宋体" w:hAnsi="宋体"/>
          <w:sz w:val="24"/>
        </w:rPr>
      </w:pPr>
      <w:bookmarkStart w:id="95" w:name="_Toc228180139"/>
      <w:r>
        <w:rPr>
          <w:rFonts w:hint="eastAsia" w:ascii="宋体" w:hAnsi="宋体"/>
          <w:sz w:val="24"/>
        </w:rPr>
        <w:t>32、 中标服务费</w:t>
      </w:r>
      <w:bookmarkEnd w:id="95"/>
    </w:p>
    <w:p>
      <w:pPr>
        <w:spacing w:line="360" w:lineRule="auto"/>
        <w:ind w:firstLine="240" w:firstLineChars="100"/>
        <w:rPr>
          <w:rFonts w:ascii="宋体" w:hAnsi="宋体"/>
          <w:sz w:val="24"/>
        </w:rPr>
      </w:pPr>
      <w:r>
        <w:rPr>
          <w:rFonts w:hint="eastAsia" w:ascii="宋体" w:hAnsi="宋体"/>
          <w:sz w:val="24"/>
        </w:rPr>
        <w:t>32.1中标服务费收费标准依据国家发展计划委员会文件（计价格[2002]1980号文） 执行。</w:t>
      </w:r>
    </w:p>
    <w:p>
      <w:pPr>
        <w:spacing w:line="360" w:lineRule="auto"/>
        <w:rPr>
          <w:rFonts w:ascii="宋体" w:hAnsi="宋体"/>
          <w:sz w:val="24"/>
        </w:rPr>
      </w:pPr>
      <w:bookmarkStart w:id="96" w:name="_Toc228180140"/>
      <w:r>
        <w:rPr>
          <w:rFonts w:hint="eastAsia" w:ascii="宋体" w:hAnsi="宋体"/>
          <w:sz w:val="24"/>
        </w:rPr>
        <w:t>33、其它</w:t>
      </w:r>
      <w:bookmarkEnd w:id="96"/>
    </w:p>
    <w:p>
      <w:pPr>
        <w:spacing w:line="360" w:lineRule="auto"/>
        <w:ind w:firstLine="240" w:firstLineChars="100"/>
        <w:rPr>
          <w:rFonts w:ascii="宋体" w:hAnsi="宋体"/>
          <w:sz w:val="24"/>
        </w:rPr>
      </w:pPr>
      <w:r>
        <w:rPr>
          <w:rFonts w:hint="eastAsia" w:ascii="宋体" w:hAnsi="宋体"/>
          <w:sz w:val="24"/>
        </w:rPr>
        <w:t>33.1 本文件是根据《中华人民共和国招标投标法》、《评标委员会和评标方法暂行规定》等规定编制的，解释权属招标机构。</w:t>
      </w:r>
    </w:p>
    <w:p>
      <w:pPr>
        <w:tabs>
          <w:tab w:val="left" w:pos="2520"/>
        </w:tabs>
        <w:snapToGrid w:val="0"/>
        <w:spacing w:before="100" w:beforeAutospacing="1" w:after="100" w:afterAutospacing="1" w:line="360" w:lineRule="auto"/>
        <w:jc w:val="center"/>
        <w:rPr>
          <w:rFonts w:ascii="宋体" w:hAnsi="宋体"/>
          <w:b/>
          <w:bCs/>
          <w:sz w:val="28"/>
          <w:szCs w:val="28"/>
        </w:rPr>
      </w:pPr>
      <w:r>
        <w:rPr>
          <w:rFonts w:hint="eastAsia" w:ascii="宋体" w:hAnsi="宋体"/>
          <w:b/>
          <w:bCs/>
          <w:sz w:val="28"/>
          <w:szCs w:val="28"/>
        </w:rPr>
        <w:t>（</w:t>
      </w:r>
      <w:r>
        <w:rPr>
          <w:rFonts w:ascii="宋体" w:hAnsi="宋体"/>
          <w:b/>
          <w:bCs/>
          <w:sz w:val="28"/>
          <w:szCs w:val="28"/>
        </w:rPr>
        <w:t>六）合同的授予</w:t>
      </w:r>
    </w:p>
    <w:p>
      <w:pPr>
        <w:snapToGrid w:val="0"/>
        <w:spacing w:line="360" w:lineRule="auto"/>
        <w:rPr>
          <w:rFonts w:ascii="宋体" w:hAnsi="宋体"/>
          <w:sz w:val="24"/>
        </w:rPr>
      </w:pPr>
      <w:r>
        <w:rPr>
          <w:rFonts w:hint="eastAsia" w:ascii="宋体" w:hAnsi="宋体"/>
          <w:bCs/>
          <w:sz w:val="24"/>
        </w:rPr>
        <w:t>34</w:t>
      </w:r>
      <w:r>
        <w:rPr>
          <w:rFonts w:ascii="宋体" w:hAnsi="宋体"/>
          <w:bCs/>
          <w:sz w:val="24"/>
        </w:rPr>
        <w:t>、</w:t>
      </w:r>
      <w:r>
        <w:rPr>
          <w:rFonts w:ascii="宋体" w:hAnsi="宋体"/>
          <w:sz w:val="24"/>
        </w:rPr>
        <w:t>合同授予标准</w:t>
      </w:r>
    </w:p>
    <w:p>
      <w:pPr>
        <w:spacing w:line="360" w:lineRule="auto"/>
        <w:rPr>
          <w:rFonts w:ascii="宋体" w:hAnsi="宋体"/>
          <w:sz w:val="24"/>
        </w:rPr>
      </w:pPr>
      <w:r>
        <w:rPr>
          <w:rFonts w:hint="eastAsia" w:ascii="宋体" w:hAnsi="宋体"/>
          <w:sz w:val="24"/>
        </w:rPr>
        <w:t xml:space="preserve">  34</w:t>
      </w:r>
      <w:r>
        <w:rPr>
          <w:rFonts w:ascii="宋体" w:hAnsi="宋体"/>
          <w:sz w:val="24"/>
        </w:rPr>
        <w:t>.</w:t>
      </w:r>
      <w:r>
        <w:rPr>
          <w:rFonts w:ascii="宋体" w:hAnsi="宋体"/>
          <w:sz w:val="24"/>
          <w:szCs w:val="28"/>
        </w:rPr>
        <w:t>1</w:t>
      </w:r>
      <w:r>
        <w:rPr>
          <w:rFonts w:ascii="宋体" w:hAnsi="宋体"/>
          <w:sz w:val="24"/>
        </w:rPr>
        <w:t>本</w:t>
      </w:r>
      <w:r>
        <w:rPr>
          <w:rFonts w:hint="eastAsia" w:ascii="宋体" w:hAnsi="宋体"/>
          <w:sz w:val="24"/>
        </w:rPr>
        <w:t>项目</w:t>
      </w:r>
      <w:r>
        <w:rPr>
          <w:rFonts w:ascii="宋体" w:hAnsi="宋体"/>
          <w:sz w:val="24"/>
        </w:rPr>
        <w:t>的合同将授予按本须知第2</w:t>
      </w:r>
      <w:r>
        <w:rPr>
          <w:rFonts w:hint="eastAsia" w:ascii="宋体" w:hAnsi="宋体"/>
          <w:sz w:val="24"/>
        </w:rPr>
        <w:t>7</w:t>
      </w:r>
      <w:r>
        <w:rPr>
          <w:rFonts w:ascii="宋体" w:hAnsi="宋体"/>
          <w:sz w:val="24"/>
        </w:rPr>
        <w:t>.</w:t>
      </w:r>
      <w:r>
        <w:rPr>
          <w:rFonts w:hint="eastAsia" w:ascii="宋体" w:hAnsi="宋体"/>
          <w:sz w:val="24"/>
        </w:rPr>
        <w:t>1</w:t>
      </w:r>
      <w:r>
        <w:rPr>
          <w:rFonts w:ascii="宋体" w:hAnsi="宋体"/>
          <w:sz w:val="24"/>
        </w:rPr>
        <w:t>条款所确定的中标人。</w:t>
      </w:r>
    </w:p>
    <w:p>
      <w:pPr>
        <w:spacing w:line="360" w:lineRule="auto"/>
        <w:rPr>
          <w:rFonts w:ascii="宋体" w:hAnsi="宋体"/>
          <w:sz w:val="24"/>
        </w:rPr>
      </w:pPr>
      <w:r>
        <w:rPr>
          <w:rFonts w:hint="eastAsia" w:ascii="宋体" w:hAnsi="宋体"/>
          <w:bCs/>
          <w:sz w:val="24"/>
        </w:rPr>
        <w:t>35</w:t>
      </w:r>
      <w:r>
        <w:rPr>
          <w:rFonts w:ascii="宋体" w:hAnsi="宋体"/>
          <w:bCs/>
          <w:sz w:val="24"/>
        </w:rPr>
        <w:t>、</w:t>
      </w:r>
      <w:r>
        <w:rPr>
          <w:rFonts w:ascii="宋体" w:hAnsi="宋体"/>
          <w:sz w:val="24"/>
        </w:rPr>
        <w:t>授予合同（签约）</w:t>
      </w:r>
    </w:p>
    <w:p>
      <w:pPr>
        <w:pStyle w:val="25"/>
        <w:snapToGrid w:val="0"/>
        <w:spacing w:line="360" w:lineRule="auto"/>
        <w:rPr>
          <w:rFonts w:ascii="宋体" w:hAnsi="宋体"/>
          <w:szCs w:val="18"/>
        </w:rPr>
      </w:pPr>
      <w:r>
        <w:rPr>
          <w:rFonts w:hint="eastAsia" w:ascii="宋体" w:hAnsi="宋体"/>
          <w:szCs w:val="28"/>
        </w:rPr>
        <w:t xml:space="preserve">  35</w:t>
      </w:r>
      <w:r>
        <w:rPr>
          <w:rFonts w:ascii="宋体" w:hAnsi="宋体"/>
          <w:szCs w:val="28"/>
        </w:rPr>
        <w:t>.1</w:t>
      </w:r>
      <w:r>
        <w:rPr>
          <w:rFonts w:ascii="宋体" w:hAnsi="宋体"/>
          <w:szCs w:val="18"/>
        </w:rPr>
        <w:t>招标人将把合同授予能够最大限度地满足招标文件中规定的各项综合评价标准的投标人（即评标综合得分最高者）。</w:t>
      </w:r>
    </w:p>
    <w:p>
      <w:pPr>
        <w:pStyle w:val="25"/>
        <w:snapToGrid w:val="0"/>
        <w:spacing w:line="360" w:lineRule="auto"/>
        <w:rPr>
          <w:rFonts w:ascii="宋体" w:hAnsi="宋体"/>
          <w:szCs w:val="28"/>
        </w:rPr>
      </w:pPr>
      <w:r>
        <w:rPr>
          <w:rFonts w:hint="eastAsia" w:ascii="宋体" w:hAnsi="宋体"/>
          <w:szCs w:val="28"/>
        </w:rPr>
        <w:t xml:space="preserve">  35</w:t>
      </w:r>
      <w:r>
        <w:rPr>
          <w:rFonts w:ascii="宋体" w:hAnsi="宋体"/>
          <w:szCs w:val="28"/>
        </w:rPr>
        <w:t>.2投标人自接到中标通知书后</w:t>
      </w:r>
      <w:r>
        <w:rPr>
          <w:rFonts w:hint="eastAsia" w:ascii="宋体" w:hAnsi="宋体"/>
          <w:szCs w:val="28"/>
        </w:rPr>
        <w:t>5</w:t>
      </w:r>
      <w:r>
        <w:rPr>
          <w:rFonts w:ascii="宋体" w:hAnsi="宋体"/>
          <w:szCs w:val="28"/>
        </w:rPr>
        <w:t>天内，必须依照《中华人民共和国民法典》、招标文件、</w:t>
      </w:r>
      <w:r>
        <w:rPr>
          <w:rFonts w:hint="eastAsia" w:ascii="宋体" w:hAnsi="宋体"/>
          <w:szCs w:val="28"/>
        </w:rPr>
        <w:t>投标文件</w:t>
      </w:r>
      <w:r>
        <w:rPr>
          <w:rFonts w:ascii="宋体" w:hAnsi="宋体"/>
          <w:szCs w:val="28"/>
        </w:rPr>
        <w:t>各项条款、</w:t>
      </w:r>
      <w:r>
        <w:rPr>
          <w:rFonts w:hint="eastAsia" w:ascii="宋体" w:hAnsi="宋体"/>
          <w:szCs w:val="28"/>
        </w:rPr>
        <w:t>评</w:t>
      </w:r>
      <w:r>
        <w:rPr>
          <w:rFonts w:ascii="宋体" w:hAnsi="宋体"/>
          <w:szCs w:val="28"/>
        </w:rPr>
        <w:t>标记录等，与招标人签订合同。</w:t>
      </w:r>
    </w:p>
    <w:p>
      <w:pPr>
        <w:snapToGrid w:val="0"/>
        <w:spacing w:line="360" w:lineRule="auto"/>
        <w:rPr>
          <w:rFonts w:ascii="宋体" w:hAnsi="宋体"/>
          <w:sz w:val="24"/>
          <w:szCs w:val="28"/>
        </w:rPr>
      </w:pPr>
      <w:r>
        <w:rPr>
          <w:rFonts w:hint="eastAsia" w:ascii="宋体" w:hAnsi="宋体"/>
          <w:sz w:val="24"/>
          <w:szCs w:val="28"/>
        </w:rPr>
        <w:t xml:space="preserve">  35</w:t>
      </w:r>
      <w:r>
        <w:rPr>
          <w:rFonts w:ascii="宋体" w:hAnsi="宋体"/>
          <w:sz w:val="24"/>
          <w:szCs w:val="28"/>
        </w:rPr>
        <w:t>.3 中标人如不遵守招标文件或</w:t>
      </w:r>
      <w:r>
        <w:rPr>
          <w:rFonts w:hint="eastAsia" w:ascii="宋体" w:hAnsi="宋体"/>
          <w:sz w:val="24"/>
          <w:szCs w:val="28"/>
        </w:rPr>
        <w:t>投标文件</w:t>
      </w:r>
      <w:r>
        <w:rPr>
          <w:rFonts w:ascii="宋体" w:hAnsi="宋体"/>
          <w:sz w:val="24"/>
          <w:szCs w:val="28"/>
        </w:rPr>
        <w:t>各项条款的要约与承诺，在接到中标通知书后借故拖延，拒签合同的，招标人将依据国家招标投标的有关规定，废除授标，投标担保不予退还，给招标人造成损失的超过投标担保数额的，还应当对超过部分予以赔偿，同时依法承担相应法律责任。</w:t>
      </w:r>
    </w:p>
    <w:p>
      <w:pPr>
        <w:spacing w:line="360" w:lineRule="auto"/>
        <w:rPr>
          <w:rFonts w:ascii="宋体" w:hAnsi="宋体"/>
          <w:sz w:val="24"/>
        </w:rPr>
      </w:pPr>
      <w:r>
        <w:rPr>
          <w:rFonts w:hint="eastAsia" w:ascii="宋体" w:hAnsi="宋体"/>
          <w:bCs/>
          <w:sz w:val="24"/>
        </w:rPr>
        <w:t>36</w:t>
      </w:r>
      <w:r>
        <w:rPr>
          <w:rFonts w:ascii="宋体" w:hAnsi="宋体"/>
          <w:bCs/>
          <w:sz w:val="24"/>
        </w:rPr>
        <w:t>、</w:t>
      </w:r>
      <w:r>
        <w:rPr>
          <w:rFonts w:ascii="宋体" w:hAnsi="宋体"/>
          <w:sz w:val="24"/>
        </w:rPr>
        <w:t>招标结束</w:t>
      </w:r>
    </w:p>
    <w:p>
      <w:pPr>
        <w:pStyle w:val="25"/>
        <w:spacing w:line="360" w:lineRule="auto"/>
        <w:ind w:left="0"/>
        <w:rPr>
          <w:rFonts w:ascii="宋体" w:hAnsi="宋体"/>
          <w:szCs w:val="28"/>
        </w:rPr>
      </w:pPr>
      <w:r>
        <w:rPr>
          <w:rFonts w:hint="eastAsia" w:ascii="宋体" w:hAnsi="宋体"/>
          <w:szCs w:val="28"/>
        </w:rPr>
        <w:t xml:space="preserve">  36</w:t>
      </w:r>
      <w:r>
        <w:rPr>
          <w:rFonts w:ascii="宋体" w:hAnsi="宋体"/>
          <w:szCs w:val="28"/>
        </w:rPr>
        <w:t>.1中标人与招标人签订买卖合同后即为招标结束。</w:t>
      </w:r>
    </w:p>
    <w:p>
      <w:pPr>
        <w:spacing w:line="360" w:lineRule="auto"/>
        <w:ind w:firstLine="240" w:firstLineChars="100"/>
        <w:rPr>
          <w:rFonts w:ascii="宋体" w:hAnsi="宋体"/>
          <w:b/>
          <w:bCs/>
          <w:sz w:val="24"/>
        </w:rPr>
      </w:pPr>
      <w:r>
        <w:rPr>
          <w:rFonts w:hint="eastAsia" w:ascii="宋体" w:hAnsi="宋体"/>
          <w:sz w:val="24"/>
        </w:rPr>
        <w:t>36</w:t>
      </w:r>
      <w:r>
        <w:rPr>
          <w:rFonts w:ascii="宋体" w:hAnsi="宋体"/>
          <w:sz w:val="24"/>
        </w:rPr>
        <w:t xml:space="preserve">.2 </w:t>
      </w:r>
      <w:r>
        <w:rPr>
          <w:rFonts w:hint="eastAsia" w:ascii="宋体" w:hAnsi="宋体"/>
          <w:sz w:val="24"/>
        </w:rPr>
        <w:t>招标束后，</w:t>
      </w:r>
      <w:r>
        <w:rPr>
          <w:rFonts w:ascii="宋体" w:hAnsi="宋体"/>
          <w:sz w:val="24"/>
        </w:rPr>
        <w:t>招标人退还未中标人的投标保证金。投标人在投标过程中所发生的一切费用，均由投标人自行承担。</w:t>
      </w:r>
    </w:p>
    <w:p>
      <w:pPr>
        <w:spacing w:line="360" w:lineRule="auto"/>
        <w:jc w:val="center"/>
        <w:rPr>
          <w:rFonts w:hAnsi="宋体"/>
          <w:b/>
          <w:sz w:val="32"/>
          <w:szCs w:val="32"/>
        </w:rPr>
      </w:pPr>
    </w:p>
    <w:p>
      <w:pPr>
        <w:pStyle w:val="19"/>
      </w:pPr>
    </w:p>
    <w:p>
      <w:pPr>
        <w:rPr>
          <w:rFonts w:hAnsi="宋体"/>
          <w:b/>
          <w:sz w:val="32"/>
          <w:szCs w:val="32"/>
        </w:rPr>
      </w:pPr>
      <w:r>
        <w:rPr>
          <w:rFonts w:hAnsi="宋体"/>
          <w:b/>
          <w:sz w:val="32"/>
          <w:szCs w:val="32"/>
        </w:rPr>
        <w:br w:type="page"/>
      </w:r>
    </w:p>
    <w:p>
      <w:pPr>
        <w:jc w:val="center"/>
        <w:rPr>
          <w:rFonts w:hAnsi="宋体"/>
          <w:b/>
          <w:sz w:val="32"/>
          <w:szCs w:val="32"/>
        </w:rPr>
      </w:pPr>
      <w:r>
        <w:rPr>
          <w:rFonts w:hAnsi="宋体"/>
          <w:b/>
          <w:sz w:val="32"/>
          <w:szCs w:val="32"/>
        </w:rPr>
        <w:t>第</w:t>
      </w:r>
      <w:r>
        <w:rPr>
          <w:rFonts w:hint="eastAsia" w:hAnsi="宋体"/>
          <w:b/>
          <w:sz w:val="32"/>
          <w:szCs w:val="32"/>
        </w:rPr>
        <w:t>三章  项目需求</w:t>
      </w:r>
    </w:p>
    <w:p>
      <w:pPr>
        <w:spacing w:line="360" w:lineRule="auto"/>
        <w:rPr>
          <w:b/>
          <w:bCs/>
          <w:sz w:val="28"/>
          <w:szCs w:val="28"/>
        </w:rPr>
      </w:pPr>
      <w:r>
        <w:rPr>
          <w:rFonts w:hint="eastAsia"/>
          <w:b/>
          <w:bCs/>
          <w:sz w:val="28"/>
          <w:szCs w:val="28"/>
        </w:rPr>
        <w:t>一、项目介绍</w:t>
      </w:r>
    </w:p>
    <w:p>
      <w:pPr>
        <w:spacing w:line="360" w:lineRule="auto"/>
        <w:ind w:firstLine="480" w:firstLineChars="200"/>
        <w:rPr>
          <w:sz w:val="24"/>
          <w:szCs w:val="24"/>
        </w:rPr>
      </w:pPr>
      <w:r>
        <w:rPr>
          <w:rFonts w:hint="eastAsia"/>
          <w:sz w:val="24"/>
          <w:szCs w:val="24"/>
        </w:rPr>
        <w:t>新疆农业职业技术学院校园网建于2006年，目前有</w:t>
      </w:r>
      <w:r>
        <w:rPr>
          <w:sz w:val="24"/>
          <w:szCs w:val="24"/>
        </w:rPr>
        <w:t>3</w:t>
      </w:r>
      <w:r>
        <w:rPr>
          <w:rFonts w:hint="eastAsia"/>
          <w:sz w:val="24"/>
          <w:szCs w:val="24"/>
        </w:rPr>
        <w:t>个校区，分别是校本部，东泉校区，屯河校区。各校区的校园网互通互联均通过中心机房，中心机房在校本部图书馆五楼。随着我校信息化应用水平的不断提高，现有网络已逐渐不能满足现代化教学、科研和办公的需要。由于受前期超五类综合布线系统和网络设备性能的限制，网速难以提升，另一方面，校园广播、、安防监控、无线网络等各个工程都是不同阶段独立施工，单独布线，导致各楼宇水平桥架与垂直桥架已满，部门楼宇线缆散乱，为后期的工程带来极大不便，同时又缺乏扩展性。</w:t>
      </w:r>
    </w:p>
    <w:p>
      <w:pPr>
        <w:spacing w:line="360" w:lineRule="auto"/>
        <w:ind w:firstLine="480" w:firstLineChars="200"/>
        <w:rPr>
          <w:sz w:val="24"/>
          <w:szCs w:val="24"/>
        </w:rPr>
      </w:pPr>
      <w:r>
        <w:rPr>
          <w:sz w:val="24"/>
          <w:szCs w:val="24"/>
        </w:rPr>
        <w:t>本次</w:t>
      </w:r>
      <w:r>
        <w:rPr>
          <w:rFonts w:hint="eastAsia"/>
          <w:sz w:val="24"/>
          <w:szCs w:val="24"/>
        </w:rPr>
        <w:t>建设项目</w:t>
      </w:r>
      <w:r>
        <w:rPr>
          <w:sz w:val="24"/>
          <w:szCs w:val="24"/>
        </w:rPr>
        <w:t>充分考虑以上问题及以后的信息化发展，为以后的扩展留出接口。</w:t>
      </w:r>
    </w:p>
    <w:p>
      <w:pPr>
        <w:spacing w:line="360" w:lineRule="auto"/>
        <w:rPr>
          <w:b/>
          <w:bCs/>
          <w:sz w:val="28"/>
          <w:szCs w:val="28"/>
        </w:rPr>
      </w:pPr>
      <w:r>
        <w:rPr>
          <w:rFonts w:hint="eastAsia"/>
          <w:b/>
          <w:bCs/>
          <w:sz w:val="28"/>
          <w:szCs w:val="28"/>
        </w:rPr>
        <w:t>二、建设内容</w:t>
      </w:r>
    </w:p>
    <w:p>
      <w:pPr>
        <w:spacing w:line="360" w:lineRule="auto"/>
        <w:ind w:left="630"/>
        <w:rPr>
          <w:sz w:val="24"/>
          <w:szCs w:val="24"/>
        </w:rPr>
      </w:pPr>
      <w:r>
        <w:rPr>
          <w:rFonts w:hint="eastAsia"/>
          <w:sz w:val="24"/>
          <w:szCs w:val="24"/>
        </w:rPr>
        <w:t>1、有线网络</w:t>
      </w:r>
    </w:p>
    <w:p>
      <w:pPr>
        <w:spacing w:line="360" w:lineRule="auto"/>
        <w:ind w:firstLine="420"/>
        <w:rPr>
          <w:sz w:val="24"/>
          <w:szCs w:val="24"/>
        </w:rPr>
      </w:pPr>
      <w:r>
        <w:rPr>
          <w:rFonts w:hint="eastAsia"/>
          <w:sz w:val="24"/>
          <w:szCs w:val="24"/>
        </w:rPr>
        <w:t>目前校本部内有入地光缆，可达到万兆主干要求。此次网络升级与改造项目对目前三个校区内教学、办公等场所全部重新进行综合布线，实现千兆到桌面。</w:t>
      </w:r>
    </w:p>
    <w:p>
      <w:pPr>
        <w:spacing w:line="360" w:lineRule="auto"/>
        <w:ind w:firstLine="480" w:firstLineChars="200"/>
        <w:rPr>
          <w:rFonts w:eastAsiaTheme="minorEastAsia"/>
          <w:sz w:val="24"/>
          <w:szCs w:val="24"/>
        </w:rPr>
      </w:pPr>
      <w:r>
        <w:rPr>
          <w:rFonts w:hint="eastAsia"/>
          <w:sz w:val="24"/>
          <w:szCs w:val="24"/>
        </w:rPr>
        <w:t>目前校本部有师资楼、图书馆、2号教学楼、3号教学楼、8号教学楼、实验实训楼、动物分院、信息楼、旧图书馆、学生处、后勤处、招就办、专家公寓、学生公寓值班室等，一个中心机房，共计1000处信息点位。</w:t>
      </w:r>
    </w:p>
    <w:p>
      <w:pPr>
        <w:spacing w:line="360" w:lineRule="auto"/>
        <w:ind w:firstLine="480" w:firstLineChars="200"/>
        <w:rPr>
          <w:rFonts w:eastAsiaTheme="minorEastAsia"/>
          <w:sz w:val="24"/>
          <w:szCs w:val="24"/>
        </w:rPr>
      </w:pPr>
      <w:r>
        <w:rPr>
          <w:rFonts w:hint="eastAsia"/>
          <w:sz w:val="24"/>
          <w:szCs w:val="24"/>
        </w:rPr>
        <w:t>东泉校区有2号老教学楼、礼堂、育苗基地、彩钢教室、养殖基地、食堂、4栋宿舍楼等200处信息点。</w:t>
      </w:r>
    </w:p>
    <w:p>
      <w:pPr>
        <w:spacing w:line="360" w:lineRule="auto"/>
        <w:ind w:firstLine="480" w:firstLineChars="200"/>
        <w:rPr>
          <w:sz w:val="24"/>
          <w:szCs w:val="24"/>
        </w:rPr>
      </w:pPr>
      <w:r>
        <w:rPr>
          <w:rFonts w:hint="eastAsia"/>
          <w:sz w:val="24"/>
          <w:szCs w:val="24"/>
        </w:rPr>
        <w:t>屯河校区有敬业楼、永清楼、6栋宿舍楼、图书馆、礼堂、学保科、后勤办等300处信息点。</w:t>
      </w:r>
    </w:p>
    <w:p>
      <w:pPr>
        <w:spacing w:line="360" w:lineRule="auto"/>
        <w:ind w:firstLine="480" w:firstLineChars="200"/>
        <w:rPr>
          <w:sz w:val="24"/>
          <w:szCs w:val="24"/>
        </w:rPr>
      </w:pPr>
      <w:r>
        <w:rPr>
          <w:rFonts w:hint="eastAsia"/>
          <w:sz w:val="24"/>
          <w:szCs w:val="24"/>
        </w:rPr>
        <w:t>2、无线网络</w:t>
      </w:r>
    </w:p>
    <w:p>
      <w:pPr>
        <w:spacing w:line="360" w:lineRule="auto"/>
        <w:ind w:firstLine="420"/>
        <w:rPr>
          <w:sz w:val="24"/>
          <w:szCs w:val="24"/>
        </w:rPr>
      </w:pPr>
      <w:r>
        <w:rPr>
          <w:rFonts w:hint="eastAsia"/>
          <w:sz w:val="24"/>
          <w:szCs w:val="24"/>
        </w:rPr>
        <w:t>本次室内无线网络建设AP254个。室外无线12个AP需要移位。对整体无线网络进行优化，无线网络信道优化、信道强度优化等。</w:t>
      </w:r>
    </w:p>
    <w:p>
      <w:pPr>
        <w:spacing w:line="360" w:lineRule="auto"/>
        <w:ind w:firstLine="480" w:firstLineChars="200"/>
        <w:rPr>
          <w:sz w:val="24"/>
          <w:szCs w:val="24"/>
        </w:rPr>
      </w:pPr>
      <w:r>
        <w:rPr>
          <w:rFonts w:hint="eastAsia"/>
          <w:sz w:val="24"/>
          <w:szCs w:val="24"/>
        </w:rPr>
        <w:t>3、室外光缆建设</w:t>
      </w:r>
    </w:p>
    <w:p>
      <w:pPr>
        <w:spacing w:line="360" w:lineRule="auto"/>
        <w:ind w:firstLine="480" w:firstLineChars="200"/>
        <w:rPr>
          <w:sz w:val="24"/>
          <w:szCs w:val="24"/>
        </w:rPr>
      </w:pPr>
      <w:r>
        <w:rPr>
          <w:rFonts w:hint="eastAsia"/>
          <w:sz w:val="24"/>
          <w:szCs w:val="24"/>
        </w:rPr>
        <w:t>东泉校区育苗基地、彩钢教室、养殖基地、食堂、4栋宿舍楼等需要与东泉礼堂之间敷设架空光缆。</w:t>
      </w:r>
    </w:p>
    <w:p>
      <w:pPr>
        <w:numPr>
          <w:ilvl w:val="0"/>
          <w:numId w:val="2"/>
        </w:numPr>
        <w:spacing w:line="360" w:lineRule="auto"/>
        <w:ind w:firstLine="480" w:firstLineChars="200"/>
        <w:rPr>
          <w:sz w:val="24"/>
          <w:szCs w:val="24"/>
        </w:rPr>
      </w:pPr>
      <w:r>
        <w:rPr>
          <w:rFonts w:hint="eastAsia"/>
          <w:sz w:val="24"/>
          <w:szCs w:val="24"/>
        </w:rPr>
        <w:t>机房物理环境建设</w:t>
      </w:r>
    </w:p>
    <w:p>
      <w:pPr>
        <w:spacing w:line="360" w:lineRule="auto"/>
        <w:ind w:firstLine="560"/>
        <w:rPr>
          <w:sz w:val="24"/>
          <w:szCs w:val="24"/>
        </w:rPr>
      </w:pPr>
      <w:r>
        <w:rPr>
          <w:rFonts w:hint="eastAsia"/>
          <w:sz w:val="24"/>
          <w:szCs w:val="24"/>
        </w:rPr>
        <w:t>屯河校区、东泉校区分校区机房需要进行环境改造，满足网络设备运行的标准环境要求。校本部原中心机房进行改造，满足机房日常维护人员工作、学习等要求。</w:t>
      </w:r>
    </w:p>
    <w:p>
      <w:pPr>
        <w:numPr>
          <w:ilvl w:val="0"/>
          <w:numId w:val="2"/>
        </w:numPr>
        <w:spacing w:line="360" w:lineRule="auto"/>
        <w:ind w:firstLine="480" w:firstLineChars="200"/>
        <w:rPr>
          <w:sz w:val="24"/>
          <w:szCs w:val="24"/>
        </w:rPr>
      </w:pPr>
      <w:r>
        <w:rPr>
          <w:rFonts w:hint="eastAsia"/>
          <w:sz w:val="24"/>
          <w:szCs w:val="24"/>
        </w:rPr>
        <w:t>网络拓扑优化</w:t>
      </w:r>
    </w:p>
    <w:p>
      <w:pPr>
        <w:spacing w:line="360" w:lineRule="auto"/>
        <w:ind w:firstLine="560"/>
        <w:rPr>
          <w:sz w:val="24"/>
          <w:szCs w:val="24"/>
        </w:rPr>
      </w:pPr>
      <w:r>
        <w:rPr>
          <w:rFonts w:hint="eastAsia"/>
          <w:sz w:val="24"/>
          <w:szCs w:val="24"/>
        </w:rPr>
        <w:t>在需要优化的拓扑节点增加汇聚交换机，相应网络设备配置进行优化调整，实现高速、稳定、可扩展。同时对IP地址规划进行重新设计，配合好网络优化要求。</w:t>
      </w:r>
    </w:p>
    <w:p>
      <w:pPr>
        <w:numPr>
          <w:ilvl w:val="0"/>
          <w:numId w:val="2"/>
        </w:numPr>
        <w:spacing w:line="360" w:lineRule="auto"/>
        <w:ind w:firstLine="480" w:firstLineChars="200"/>
        <w:rPr>
          <w:sz w:val="24"/>
          <w:szCs w:val="24"/>
        </w:rPr>
      </w:pPr>
      <w:r>
        <w:rPr>
          <w:rFonts w:hint="eastAsia"/>
          <w:sz w:val="24"/>
          <w:szCs w:val="24"/>
        </w:rPr>
        <w:t>认证优化</w:t>
      </w:r>
    </w:p>
    <w:p>
      <w:pPr>
        <w:spacing w:line="360" w:lineRule="auto"/>
        <w:ind w:left="420" w:leftChars="200"/>
        <w:rPr>
          <w:sz w:val="24"/>
          <w:szCs w:val="24"/>
        </w:rPr>
      </w:pPr>
      <w:r>
        <w:rPr>
          <w:rFonts w:hint="eastAsia"/>
          <w:sz w:val="24"/>
          <w:szCs w:val="24"/>
        </w:rPr>
        <w:t>认证上网管理方式可定制、可对接大数据中心。</w:t>
      </w:r>
    </w:p>
    <w:p>
      <w:pPr>
        <w:numPr>
          <w:ilvl w:val="0"/>
          <w:numId w:val="2"/>
        </w:numPr>
        <w:spacing w:line="360" w:lineRule="auto"/>
        <w:ind w:firstLine="480" w:firstLineChars="200"/>
        <w:rPr>
          <w:sz w:val="24"/>
          <w:szCs w:val="24"/>
        </w:rPr>
      </w:pPr>
      <w:r>
        <w:rPr>
          <w:rFonts w:hint="eastAsia"/>
          <w:sz w:val="24"/>
          <w:szCs w:val="24"/>
        </w:rPr>
        <w:t>线缆整理</w:t>
      </w:r>
    </w:p>
    <w:p>
      <w:pPr>
        <w:spacing w:line="360" w:lineRule="auto"/>
        <w:ind w:firstLine="480" w:firstLineChars="200"/>
        <w:rPr>
          <w:sz w:val="24"/>
          <w:szCs w:val="24"/>
        </w:rPr>
      </w:pPr>
      <w:r>
        <w:rPr>
          <w:rFonts w:hint="eastAsia"/>
          <w:sz w:val="24"/>
          <w:szCs w:val="24"/>
        </w:rPr>
        <w:t>中心机房光纤、网线整理，原有综合布线老旧无用线缆拆除，原接入层交换机机柜线路整理，原有网络设备处的配电设施进行安全整改。</w:t>
      </w:r>
    </w:p>
    <w:p>
      <w:pPr>
        <w:pStyle w:val="28"/>
      </w:pPr>
      <w:r>
        <w:rPr>
          <w:rFonts w:hint="eastAsia"/>
          <w:b/>
          <w:bCs/>
          <w:sz w:val="28"/>
          <w:szCs w:val="28"/>
        </w:rPr>
        <w:t>三、项目清单</w:t>
      </w:r>
    </w:p>
    <w:p>
      <w:pPr>
        <w:spacing w:line="360" w:lineRule="auto"/>
        <w:jc w:val="center"/>
        <w:rPr>
          <w:sz w:val="24"/>
          <w:szCs w:val="24"/>
        </w:rPr>
      </w:pPr>
    </w:p>
    <w:tbl>
      <w:tblPr>
        <w:tblStyle w:val="41"/>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52"/>
        <w:gridCol w:w="3884"/>
        <w:gridCol w:w="911"/>
        <w:gridCol w:w="93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2" w:type="dxa"/>
            <w:gridSpan w:val="6"/>
          </w:tcPr>
          <w:p>
            <w:pPr>
              <w:jc w:val="center"/>
              <w:outlineLvl w:val="1"/>
              <w:rPr>
                <w:rFonts w:ascii="新宋体" w:hAnsi="新宋体" w:eastAsia="新宋体" w:cs="Arial"/>
                <w:b/>
                <w:bCs/>
                <w:sz w:val="20"/>
              </w:rPr>
            </w:pPr>
            <w:r>
              <w:rPr>
                <w:rFonts w:hint="eastAsia" w:ascii="新宋体" w:hAnsi="新宋体" w:eastAsia="新宋体" w:cs="Arial"/>
                <w:b/>
                <w:bCs/>
                <w:sz w:val="20"/>
              </w:rPr>
              <w:t>一、网络设备清单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tcPr>
          <w:p>
            <w:pPr>
              <w:jc w:val="left"/>
              <w:outlineLvl w:val="1"/>
              <w:rPr>
                <w:rFonts w:ascii="新宋体" w:hAnsi="新宋体" w:eastAsia="新宋体" w:cs="Arial"/>
                <w:sz w:val="20"/>
              </w:rPr>
            </w:pPr>
            <w:r>
              <w:rPr>
                <w:rFonts w:hint="eastAsia" w:ascii="新宋体" w:hAnsi="新宋体" w:eastAsia="新宋体" w:cs="Arial"/>
                <w:sz w:val="20"/>
              </w:rPr>
              <w:t>序号</w:t>
            </w:r>
          </w:p>
        </w:tc>
        <w:tc>
          <w:tcPr>
            <w:tcW w:w="1652" w:type="dxa"/>
          </w:tcPr>
          <w:p>
            <w:pPr>
              <w:jc w:val="left"/>
              <w:outlineLvl w:val="1"/>
              <w:rPr>
                <w:rFonts w:ascii="新宋体" w:hAnsi="新宋体" w:eastAsia="新宋体" w:cs="Arial"/>
                <w:sz w:val="20"/>
              </w:rPr>
            </w:pPr>
            <w:r>
              <w:rPr>
                <w:rFonts w:hint="eastAsia" w:ascii="新宋体" w:hAnsi="新宋体" w:eastAsia="新宋体" w:cs="Arial"/>
                <w:sz w:val="20"/>
              </w:rPr>
              <w:t>产品名称</w:t>
            </w:r>
          </w:p>
        </w:tc>
        <w:tc>
          <w:tcPr>
            <w:tcW w:w="3884" w:type="dxa"/>
          </w:tcPr>
          <w:p>
            <w:pPr>
              <w:jc w:val="center"/>
              <w:outlineLvl w:val="1"/>
              <w:rPr>
                <w:rFonts w:ascii="新宋体" w:hAnsi="新宋体" w:eastAsia="新宋体" w:cs="Arial"/>
                <w:sz w:val="20"/>
              </w:rPr>
            </w:pPr>
          </w:p>
        </w:tc>
        <w:tc>
          <w:tcPr>
            <w:tcW w:w="911" w:type="dxa"/>
          </w:tcPr>
          <w:p>
            <w:pPr>
              <w:jc w:val="center"/>
              <w:outlineLvl w:val="1"/>
              <w:rPr>
                <w:rFonts w:ascii="新宋体" w:hAnsi="新宋体" w:eastAsia="新宋体" w:cs="Arial"/>
                <w:sz w:val="20"/>
              </w:rPr>
            </w:pPr>
            <w:r>
              <w:rPr>
                <w:rFonts w:hint="eastAsia" w:ascii="新宋体" w:hAnsi="新宋体" w:eastAsia="新宋体" w:cs="Arial"/>
                <w:sz w:val="20"/>
              </w:rPr>
              <w:t>数量</w:t>
            </w:r>
          </w:p>
        </w:tc>
        <w:tc>
          <w:tcPr>
            <w:tcW w:w="935" w:type="dxa"/>
          </w:tcPr>
          <w:p>
            <w:pPr>
              <w:jc w:val="center"/>
              <w:outlineLvl w:val="1"/>
              <w:rPr>
                <w:rFonts w:ascii="新宋体" w:hAnsi="新宋体" w:eastAsia="新宋体" w:cs="Arial"/>
                <w:sz w:val="20"/>
              </w:rPr>
            </w:pPr>
            <w:r>
              <w:rPr>
                <w:rFonts w:hint="eastAsia" w:ascii="新宋体" w:hAnsi="新宋体" w:eastAsia="新宋体" w:cs="Arial"/>
                <w:sz w:val="20"/>
              </w:rPr>
              <w:t>单位</w:t>
            </w:r>
          </w:p>
        </w:tc>
        <w:tc>
          <w:tcPr>
            <w:tcW w:w="1050" w:type="dxa"/>
          </w:tcPr>
          <w:p>
            <w:pPr>
              <w:outlineLvl w:val="1"/>
              <w:rPr>
                <w:rFonts w:ascii="新宋体" w:hAnsi="新宋体" w:eastAsia="新宋体" w:cs="Arial"/>
                <w:sz w:val="20"/>
              </w:rPr>
            </w:pPr>
            <w:r>
              <w:rPr>
                <w:rFonts w:hint="eastAsia" w:ascii="新宋体" w:hAnsi="新宋体" w:eastAsia="新宋体" w:cs="Arial"/>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1</w:t>
            </w:r>
          </w:p>
        </w:tc>
        <w:tc>
          <w:tcPr>
            <w:tcW w:w="1652" w:type="dxa"/>
            <w:vAlign w:val="center"/>
          </w:tcPr>
          <w:p>
            <w:pPr>
              <w:rPr>
                <w:sz w:val="20"/>
              </w:rPr>
            </w:pPr>
            <w:r>
              <w:rPr>
                <w:rFonts w:hint="eastAsia"/>
                <w:sz w:val="20"/>
              </w:rPr>
              <w:t>全校核心交换机</w:t>
            </w:r>
          </w:p>
        </w:tc>
        <w:tc>
          <w:tcPr>
            <w:tcW w:w="3884" w:type="dxa"/>
          </w:tcPr>
          <w:p>
            <w:pPr>
              <w:rPr>
                <w:rFonts w:hint="default" w:eastAsia="宋体"/>
                <w:sz w:val="20"/>
                <w:highlight w:val="none"/>
                <w:lang w:val="en-US" w:eastAsia="zh-CN"/>
              </w:rPr>
            </w:pPr>
            <w:r>
              <w:rPr>
                <w:rFonts w:hint="eastAsia"/>
                <w:color w:val="000000"/>
                <w:sz w:val="20"/>
                <w:highlight w:val="none"/>
              </w:rPr>
              <w:t>交换容量≥600Tbps，包转发率≥</w:t>
            </w:r>
            <w:r>
              <w:rPr>
                <w:rFonts w:hint="eastAsia"/>
                <w:color w:val="000000"/>
                <w:sz w:val="20"/>
                <w:highlight w:val="none"/>
                <w:lang w:val="en-US" w:eastAsia="zh-CN"/>
              </w:rPr>
              <w:t>192</w:t>
            </w:r>
            <w:r>
              <w:rPr>
                <w:rFonts w:hint="eastAsia"/>
                <w:color w:val="000000"/>
                <w:sz w:val="20"/>
                <w:highlight w:val="none"/>
              </w:rPr>
              <w:t>000Mpps；业务槽位≥8；独立交换网模块≥4；支持IPv4静态路由、RIP V1/V2、OSPF、BGP、ISIS，支持RIPng、OSPFv3、BGP4+、IS-ISv6协议，支持IPv6策略路由，支持DHCPv6功能、IPv6 portal功能、IPv6管理功能，支持基于IPv4\IPv6的VRRP功能；支持点到多点端口镜像；支持横向虚拟化技术，将多台设备虚拟为一台，主控引擎≥2，独立交换网板≥4， 交流电源≥4，</w:t>
            </w:r>
            <w:r>
              <w:rPr>
                <w:rFonts w:hint="eastAsia"/>
                <w:color w:val="auto"/>
                <w:sz w:val="20"/>
                <w:highlight w:val="none"/>
              </w:rPr>
              <w:t>40G以太网光接口≥1</w:t>
            </w:r>
            <w:r>
              <w:rPr>
                <w:rFonts w:hint="eastAsia"/>
                <w:color w:val="auto"/>
                <w:sz w:val="20"/>
                <w:highlight w:val="none"/>
                <w:lang w:val="en-US" w:eastAsia="zh-CN"/>
              </w:rPr>
              <w:t>6</w:t>
            </w:r>
            <w:r>
              <w:rPr>
                <w:rFonts w:hint="eastAsia"/>
                <w:color w:val="auto"/>
                <w:sz w:val="20"/>
                <w:highlight w:val="none"/>
              </w:rPr>
              <w:t>，万兆以太光接口≥</w:t>
            </w:r>
            <w:r>
              <w:rPr>
                <w:rFonts w:hint="eastAsia"/>
                <w:color w:val="auto"/>
                <w:sz w:val="20"/>
                <w:highlight w:val="none"/>
                <w:lang w:val="en-US" w:eastAsia="zh-CN"/>
              </w:rPr>
              <w:t>24</w:t>
            </w:r>
            <w:r>
              <w:rPr>
                <w:rFonts w:hint="eastAsia"/>
                <w:color w:val="auto"/>
                <w:sz w:val="20"/>
                <w:highlight w:val="none"/>
              </w:rPr>
              <w:t>，千兆光接口≥20，千兆电接口≥2</w:t>
            </w:r>
            <w:r>
              <w:rPr>
                <w:rFonts w:hint="eastAsia"/>
                <w:color w:val="auto"/>
                <w:sz w:val="20"/>
                <w:highlight w:val="none"/>
                <w:lang w:val="en-US" w:eastAsia="zh-CN"/>
              </w:rPr>
              <w:t>0</w:t>
            </w:r>
            <w:r>
              <w:rPr>
                <w:rFonts w:hint="eastAsia"/>
                <w:color w:val="auto"/>
                <w:sz w:val="20"/>
                <w:highlight w:val="none"/>
              </w:rPr>
              <w:t>，40G</w:t>
            </w:r>
            <w:r>
              <w:rPr>
                <w:rFonts w:hint="eastAsia"/>
                <w:color w:val="000000"/>
                <w:sz w:val="20"/>
                <w:highlight w:val="none"/>
              </w:rPr>
              <w:t>多模光模块≥2，</w:t>
            </w:r>
            <w:r>
              <w:rPr>
                <w:rFonts w:hint="eastAsia"/>
                <w:color w:val="000000"/>
                <w:sz w:val="20"/>
                <w:highlight w:val="none"/>
                <w:lang w:val="en-US" w:eastAsia="zh-CN"/>
              </w:rPr>
              <w:t>40G单模光模块</w:t>
            </w:r>
            <w:r>
              <w:rPr>
                <w:rFonts w:hint="eastAsia"/>
                <w:color w:val="000000"/>
                <w:sz w:val="20"/>
                <w:highlight w:val="none"/>
              </w:rPr>
              <w:t>≥</w:t>
            </w:r>
            <w:r>
              <w:rPr>
                <w:rFonts w:hint="eastAsia"/>
                <w:color w:val="000000"/>
                <w:sz w:val="20"/>
                <w:highlight w:val="none"/>
                <w:lang w:val="en-US" w:eastAsia="zh-CN"/>
              </w:rPr>
              <w:t>14，</w:t>
            </w:r>
            <w:r>
              <w:rPr>
                <w:rFonts w:hint="eastAsia"/>
                <w:color w:val="000000"/>
                <w:sz w:val="20"/>
                <w:highlight w:val="none"/>
              </w:rPr>
              <w:t>万兆单模光模块≥</w:t>
            </w:r>
            <w:r>
              <w:rPr>
                <w:rFonts w:hint="eastAsia"/>
                <w:color w:val="000000"/>
                <w:sz w:val="20"/>
                <w:highlight w:val="none"/>
                <w:lang w:val="en-US" w:eastAsia="zh-CN"/>
              </w:rPr>
              <w:t>24</w:t>
            </w:r>
          </w:p>
        </w:tc>
        <w:tc>
          <w:tcPr>
            <w:tcW w:w="911" w:type="dxa"/>
            <w:vAlign w:val="center"/>
          </w:tcPr>
          <w:p>
            <w:pPr>
              <w:jc w:val="center"/>
              <w:rPr>
                <w:sz w:val="20"/>
                <w:highlight w:val="none"/>
              </w:rPr>
            </w:pPr>
            <w:r>
              <w:rPr>
                <w:rFonts w:hint="eastAsia"/>
                <w:sz w:val="20"/>
                <w:highlight w:val="none"/>
              </w:rPr>
              <w:t>2</w:t>
            </w:r>
          </w:p>
        </w:tc>
        <w:tc>
          <w:tcPr>
            <w:tcW w:w="935" w:type="dxa"/>
            <w:vAlign w:val="center"/>
          </w:tcPr>
          <w:p>
            <w:pPr>
              <w:jc w:val="center"/>
              <w:rPr>
                <w:sz w:val="20"/>
                <w:highlight w:val="none"/>
              </w:rPr>
            </w:pPr>
            <w:r>
              <w:rPr>
                <w:rFonts w:hint="eastAsia"/>
                <w:sz w:val="20"/>
                <w:highlight w:val="none"/>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2</w:t>
            </w:r>
          </w:p>
        </w:tc>
        <w:tc>
          <w:tcPr>
            <w:tcW w:w="1652" w:type="dxa"/>
            <w:vAlign w:val="center"/>
          </w:tcPr>
          <w:p>
            <w:pPr>
              <w:rPr>
                <w:sz w:val="20"/>
              </w:rPr>
            </w:pPr>
            <w:r>
              <w:rPr>
                <w:rFonts w:hint="eastAsia"/>
                <w:sz w:val="20"/>
              </w:rPr>
              <w:t>数据中心汇聚交换机</w:t>
            </w:r>
          </w:p>
        </w:tc>
        <w:tc>
          <w:tcPr>
            <w:tcW w:w="3884" w:type="dxa"/>
          </w:tcPr>
          <w:p>
            <w:pPr>
              <w:rPr>
                <w:sz w:val="20"/>
                <w:highlight w:val="none"/>
              </w:rPr>
            </w:pPr>
            <w:r>
              <w:rPr>
                <w:rFonts w:hint="eastAsia"/>
                <w:sz w:val="20"/>
                <w:highlight w:val="none"/>
              </w:rPr>
              <w:t>万兆光接口≥48，40GB光接口≥4，万兆多模光模块≥</w:t>
            </w:r>
            <w:r>
              <w:rPr>
                <w:rFonts w:hint="eastAsia"/>
                <w:sz w:val="20"/>
                <w:highlight w:val="none"/>
                <w:lang w:val="en-US" w:eastAsia="zh-CN"/>
              </w:rPr>
              <w:t>24</w:t>
            </w:r>
            <w:r>
              <w:rPr>
                <w:rFonts w:hint="eastAsia"/>
                <w:sz w:val="20"/>
                <w:highlight w:val="none"/>
              </w:rPr>
              <w:t>，40G多模光模块≥2，交换容量≥2.5Tbps，包转发率≥1600Mpps，模块化双电源，模块化双风扇。支持基于端口的VLAN，支持基于协议的VLAN；支持基于MAC的VLAN，支持IPv4静态路由、RIP V1/V2、OSPF；支持IPv6静态路由、RIPng。</w:t>
            </w:r>
          </w:p>
        </w:tc>
        <w:tc>
          <w:tcPr>
            <w:tcW w:w="911" w:type="dxa"/>
            <w:vAlign w:val="center"/>
          </w:tcPr>
          <w:p>
            <w:pPr>
              <w:jc w:val="center"/>
              <w:rPr>
                <w:sz w:val="20"/>
                <w:highlight w:val="none"/>
              </w:rPr>
            </w:pPr>
            <w:r>
              <w:rPr>
                <w:rFonts w:hint="eastAsia"/>
                <w:sz w:val="20"/>
                <w:highlight w:val="none"/>
              </w:rPr>
              <w:t>1</w:t>
            </w:r>
          </w:p>
        </w:tc>
        <w:tc>
          <w:tcPr>
            <w:tcW w:w="935" w:type="dxa"/>
            <w:vAlign w:val="center"/>
          </w:tcPr>
          <w:p>
            <w:pPr>
              <w:jc w:val="center"/>
              <w:rPr>
                <w:rFonts w:eastAsiaTheme="minorEastAsia"/>
                <w:sz w:val="20"/>
                <w:highlight w:val="none"/>
              </w:rPr>
            </w:pPr>
            <w:r>
              <w:rPr>
                <w:rFonts w:hint="eastAsia"/>
                <w:sz w:val="20"/>
                <w:highlight w:val="none"/>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3</w:t>
            </w:r>
          </w:p>
        </w:tc>
        <w:tc>
          <w:tcPr>
            <w:tcW w:w="1652" w:type="dxa"/>
            <w:vAlign w:val="center"/>
          </w:tcPr>
          <w:p>
            <w:pPr>
              <w:rPr>
                <w:sz w:val="20"/>
              </w:rPr>
            </w:pPr>
            <w:r>
              <w:rPr>
                <w:rFonts w:hint="eastAsia"/>
                <w:sz w:val="20"/>
              </w:rPr>
              <w:t>楼宇汇聚交换机</w:t>
            </w:r>
          </w:p>
        </w:tc>
        <w:tc>
          <w:tcPr>
            <w:tcW w:w="3884" w:type="dxa"/>
          </w:tcPr>
          <w:p>
            <w:pPr>
              <w:rPr>
                <w:sz w:val="20"/>
                <w:highlight w:val="none"/>
              </w:rPr>
            </w:pPr>
            <w:r>
              <w:rPr>
                <w:rFonts w:hint="eastAsia"/>
                <w:sz w:val="20"/>
                <w:highlight w:val="none"/>
              </w:rPr>
              <w:t>万兆光接口≥24，40GB光接口≥2，。双250W电源，交换容量</w:t>
            </w:r>
            <w:r>
              <w:rPr>
                <w:rFonts w:hint="eastAsia" w:ascii="新宋体" w:hAnsi="新宋体" w:eastAsia="新宋体" w:cs="Arial"/>
                <w:sz w:val="20"/>
                <w:highlight w:val="none"/>
              </w:rPr>
              <w:t>≥</w:t>
            </w:r>
            <w:r>
              <w:rPr>
                <w:rFonts w:hint="eastAsia"/>
                <w:sz w:val="20"/>
                <w:highlight w:val="none"/>
              </w:rPr>
              <w:t>2.5Tbps，包转发率</w:t>
            </w:r>
            <w:r>
              <w:rPr>
                <w:rFonts w:hint="eastAsia" w:ascii="新宋体" w:hAnsi="新宋体" w:eastAsia="新宋体" w:cs="Arial"/>
                <w:sz w:val="20"/>
                <w:highlight w:val="none"/>
              </w:rPr>
              <w:t>≥</w:t>
            </w:r>
            <w:r>
              <w:rPr>
                <w:rFonts w:hint="eastAsia" w:eastAsia="新宋体"/>
                <w:sz w:val="20"/>
                <w:highlight w:val="none"/>
              </w:rPr>
              <w:t>56</w:t>
            </w:r>
            <w:r>
              <w:rPr>
                <w:rFonts w:hint="eastAsia"/>
                <w:sz w:val="20"/>
                <w:highlight w:val="none"/>
              </w:rPr>
              <w:t>0Mpps，40G单模光模块≥</w:t>
            </w:r>
            <w:r>
              <w:rPr>
                <w:rFonts w:hint="eastAsia"/>
                <w:sz w:val="20"/>
                <w:highlight w:val="none"/>
                <w:lang w:val="en-US" w:eastAsia="zh-CN"/>
              </w:rPr>
              <w:t>2，</w:t>
            </w:r>
            <w:r>
              <w:rPr>
                <w:rFonts w:hint="eastAsia"/>
                <w:sz w:val="20"/>
                <w:highlight w:val="none"/>
              </w:rPr>
              <w:t>支持基于端口的VLAN，支持基于协议的VLAN；支持基于MAC的VLAN，支持IPv4静态路由、RIP V1/V2、OSPF；支持IPv6静态路由、RIPng。</w:t>
            </w:r>
          </w:p>
        </w:tc>
        <w:tc>
          <w:tcPr>
            <w:tcW w:w="911" w:type="dxa"/>
            <w:vAlign w:val="center"/>
          </w:tcPr>
          <w:p>
            <w:pPr>
              <w:jc w:val="center"/>
              <w:rPr>
                <w:rFonts w:hint="eastAsia" w:eastAsia="宋体"/>
                <w:sz w:val="20"/>
                <w:highlight w:val="none"/>
                <w:lang w:eastAsia="zh-CN"/>
              </w:rPr>
            </w:pPr>
            <w:r>
              <w:rPr>
                <w:rFonts w:hint="eastAsia"/>
                <w:sz w:val="20"/>
                <w:highlight w:val="none"/>
                <w:lang w:val="en-US" w:eastAsia="zh-CN"/>
              </w:rPr>
              <w:t>6</w:t>
            </w:r>
          </w:p>
        </w:tc>
        <w:tc>
          <w:tcPr>
            <w:tcW w:w="935" w:type="dxa"/>
            <w:vAlign w:val="center"/>
          </w:tcPr>
          <w:p>
            <w:pPr>
              <w:jc w:val="center"/>
              <w:rPr>
                <w:rFonts w:eastAsiaTheme="minorEastAsia"/>
                <w:sz w:val="20"/>
                <w:highlight w:val="none"/>
              </w:rPr>
            </w:pPr>
            <w:r>
              <w:rPr>
                <w:rFonts w:hint="eastAsia"/>
                <w:sz w:val="20"/>
                <w:highlight w:val="none"/>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4</w:t>
            </w:r>
          </w:p>
        </w:tc>
        <w:tc>
          <w:tcPr>
            <w:tcW w:w="1652" w:type="dxa"/>
            <w:vAlign w:val="center"/>
          </w:tcPr>
          <w:p>
            <w:pPr>
              <w:rPr>
                <w:sz w:val="20"/>
              </w:rPr>
            </w:pPr>
            <w:r>
              <w:rPr>
                <w:rFonts w:hint="eastAsia"/>
                <w:sz w:val="20"/>
              </w:rPr>
              <w:t>24端口多速率POE交换机</w:t>
            </w:r>
          </w:p>
        </w:tc>
        <w:tc>
          <w:tcPr>
            <w:tcW w:w="3884" w:type="dxa"/>
          </w:tcPr>
          <w:p>
            <w:pPr>
              <w:rPr>
                <w:sz w:val="20"/>
              </w:rPr>
            </w:pPr>
            <w:r>
              <w:rPr>
                <w:rFonts w:hint="eastAsia"/>
                <w:sz w:val="20"/>
              </w:rPr>
              <w:t>交换容量≥2.4Tbps，包转发率≥300Mpps，1G/2.5G/5GBase-T端口（支持UPOE供电）≥24，万兆光口≥4，720W交流电源≥2，万兆单模光模块≥2，支持基于端口的VLAN，支持基于协议的VLAN；支持基于MAC的VLAN，支持IPv4静态路由、RIP V1/V2、OSPF；支持IPv6静态路由、RIPng。</w:t>
            </w:r>
          </w:p>
        </w:tc>
        <w:tc>
          <w:tcPr>
            <w:tcW w:w="911" w:type="dxa"/>
            <w:vAlign w:val="center"/>
          </w:tcPr>
          <w:p>
            <w:pPr>
              <w:jc w:val="center"/>
              <w:rPr>
                <w:rFonts w:eastAsiaTheme="minorEastAsia"/>
                <w:sz w:val="20"/>
              </w:rPr>
            </w:pPr>
            <w:r>
              <w:rPr>
                <w:rFonts w:hint="eastAsia"/>
                <w:sz w:val="20"/>
              </w:rPr>
              <w:t>5</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5</w:t>
            </w:r>
          </w:p>
        </w:tc>
        <w:tc>
          <w:tcPr>
            <w:tcW w:w="1652" w:type="dxa"/>
            <w:vAlign w:val="center"/>
          </w:tcPr>
          <w:p>
            <w:pPr>
              <w:rPr>
                <w:sz w:val="20"/>
              </w:rPr>
            </w:pPr>
            <w:r>
              <w:rPr>
                <w:rFonts w:hint="eastAsia"/>
                <w:sz w:val="20"/>
              </w:rPr>
              <w:t>24口POE交换机</w:t>
            </w:r>
          </w:p>
        </w:tc>
        <w:tc>
          <w:tcPr>
            <w:tcW w:w="3884" w:type="dxa"/>
          </w:tcPr>
          <w:p>
            <w:pPr>
              <w:rPr>
                <w:sz w:val="20"/>
              </w:rPr>
            </w:pPr>
            <w:r>
              <w:rPr>
                <w:rFonts w:hint="eastAsia"/>
                <w:sz w:val="20"/>
              </w:rPr>
              <w:t>支持24个10/100/1000BASE-T PoE+电口</w:t>
            </w:r>
            <w:r>
              <w:rPr>
                <w:rFonts w:hint="eastAsia"/>
                <w:color w:val="000000"/>
                <w:sz w:val="20"/>
              </w:rPr>
              <w:t>万兆光口≥4</w:t>
            </w:r>
            <w:r>
              <w:rPr>
                <w:rFonts w:hint="eastAsia"/>
                <w:sz w:val="20"/>
              </w:rPr>
              <w:t>,支持AC/DC，万兆单模光模块2个，交换容量</w:t>
            </w:r>
            <w:r>
              <w:rPr>
                <w:rFonts w:hint="eastAsia" w:ascii="新宋体" w:hAnsi="新宋体" w:eastAsia="新宋体" w:cs="Arial"/>
                <w:sz w:val="20"/>
              </w:rPr>
              <w:t>≥</w:t>
            </w:r>
            <w:r>
              <w:rPr>
                <w:rFonts w:hint="eastAsia"/>
                <w:sz w:val="20"/>
              </w:rPr>
              <w:t>330Gps，包转发率</w:t>
            </w:r>
            <w:r>
              <w:rPr>
                <w:rFonts w:hint="eastAsia" w:ascii="新宋体" w:hAnsi="新宋体" w:eastAsia="新宋体" w:cs="Arial"/>
                <w:sz w:val="20"/>
              </w:rPr>
              <w:t>≥</w:t>
            </w:r>
            <w:r>
              <w:rPr>
                <w:rFonts w:hint="eastAsia" w:eastAsia="新宋体"/>
                <w:sz w:val="20"/>
              </w:rPr>
              <w:t>10</w:t>
            </w:r>
            <w:r>
              <w:rPr>
                <w:rFonts w:hint="eastAsia"/>
                <w:sz w:val="20"/>
              </w:rPr>
              <w:t>0Mpps，支持基于端口的VLAN，支持基于协议的VLAN；支持基于MAC的VLAN，支持IPv4静态路由、RIP V1/V2、OSPF；支持IPv6静态路由、RIPng。</w:t>
            </w:r>
          </w:p>
        </w:tc>
        <w:tc>
          <w:tcPr>
            <w:tcW w:w="911" w:type="dxa"/>
            <w:vAlign w:val="center"/>
          </w:tcPr>
          <w:p>
            <w:pPr>
              <w:jc w:val="center"/>
              <w:rPr>
                <w:rFonts w:eastAsiaTheme="minorEastAsia"/>
                <w:sz w:val="20"/>
              </w:rPr>
            </w:pPr>
            <w:r>
              <w:rPr>
                <w:rFonts w:hint="eastAsia"/>
                <w:sz w:val="20"/>
              </w:rPr>
              <w:t>17</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6</w:t>
            </w:r>
          </w:p>
        </w:tc>
        <w:tc>
          <w:tcPr>
            <w:tcW w:w="1652" w:type="dxa"/>
            <w:vAlign w:val="center"/>
          </w:tcPr>
          <w:p>
            <w:pPr>
              <w:rPr>
                <w:sz w:val="20"/>
              </w:rPr>
            </w:pPr>
            <w:r>
              <w:rPr>
                <w:rFonts w:hint="eastAsia"/>
                <w:sz w:val="20"/>
              </w:rPr>
              <w:t>8端口接入交换机</w:t>
            </w:r>
          </w:p>
        </w:tc>
        <w:tc>
          <w:tcPr>
            <w:tcW w:w="3884" w:type="dxa"/>
          </w:tcPr>
          <w:p>
            <w:pPr>
              <w:rPr>
                <w:sz w:val="20"/>
              </w:rPr>
            </w:pPr>
            <w:r>
              <w:rPr>
                <w:rFonts w:hint="eastAsia"/>
                <w:sz w:val="20"/>
              </w:rPr>
              <w:t>交换容量≥250Gbps，包转发率≥25Mpps，千兆电口≥8，千兆光口≥2，支持基于端口的VLAN，支持基于协议的VLAN；支持SNMP V1/V2c/V3。</w:t>
            </w:r>
          </w:p>
        </w:tc>
        <w:tc>
          <w:tcPr>
            <w:tcW w:w="911" w:type="dxa"/>
            <w:vAlign w:val="center"/>
          </w:tcPr>
          <w:p>
            <w:pPr>
              <w:jc w:val="center"/>
              <w:rPr>
                <w:rFonts w:eastAsiaTheme="minorEastAsia"/>
                <w:sz w:val="20"/>
              </w:rPr>
            </w:pPr>
            <w:r>
              <w:rPr>
                <w:rFonts w:hint="eastAsia"/>
                <w:sz w:val="20"/>
              </w:rPr>
              <w:t>26</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7</w:t>
            </w:r>
          </w:p>
        </w:tc>
        <w:tc>
          <w:tcPr>
            <w:tcW w:w="1652" w:type="dxa"/>
            <w:vAlign w:val="center"/>
          </w:tcPr>
          <w:p>
            <w:pPr>
              <w:rPr>
                <w:sz w:val="20"/>
              </w:rPr>
            </w:pPr>
            <w:r>
              <w:rPr>
                <w:rFonts w:hint="eastAsia"/>
                <w:sz w:val="20"/>
              </w:rPr>
              <w:t>24端口接入交换机</w:t>
            </w:r>
          </w:p>
        </w:tc>
        <w:tc>
          <w:tcPr>
            <w:tcW w:w="3884" w:type="dxa"/>
          </w:tcPr>
          <w:p>
            <w:pPr>
              <w:rPr>
                <w:sz w:val="20"/>
              </w:rPr>
            </w:pPr>
            <w:r>
              <w:rPr>
                <w:rFonts w:hint="eastAsia"/>
                <w:sz w:val="20"/>
              </w:rPr>
              <w:t>支持24个10/100/1000BASE-T电口,支持4个1G/10G BASE-X SFP+端口,万兆单模光模块</w:t>
            </w:r>
            <w:r>
              <w:rPr>
                <w:rFonts w:hint="eastAsia" w:ascii="新宋体" w:hAnsi="新宋体" w:eastAsia="新宋体" w:cs="Arial"/>
                <w:sz w:val="20"/>
              </w:rPr>
              <w:t>≥</w:t>
            </w:r>
            <w:r>
              <w:rPr>
                <w:rFonts w:hint="eastAsia"/>
                <w:sz w:val="20"/>
              </w:rPr>
              <w:t>2个，交换容量</w:t>
            </w:r>
            <w:r>
              <w:rPr>
                <w:rFonts w:hint="eastAsia" w:ascii="新宋体" w:hAnsi="新宋体" w:eastAsia="新宋体" w:cs="Arial"/>
                <w:sz w:val="20"/>
              </w:rPr>
              <w:t>≥</w:t>
            </w:r>
            <w:r>
              <w:rPr>
                <w:rFonts w:hint="eastAsia"/>
                <w:sz w:val="20"/>
              </w:rPr>
              <w:t>330Gbps，包转发率</w:t>
            </w:r>
            <w:r>
              <w:rPr>
                <w:rFonts w:hint="eastAsia" w:ascii="新宋体" w:hAnsi="新宋体" w:eastAsia="新宋体" w:cs="Arial"/>
                <w:sz w:val="20"/>
              </w:rPr>
              <w:t>≥</w:t>
            </w:r>
            <w:r>
              <w:rPr>
                <w:rFonts w:hint="eastAsia"/>
                <w:sz w:val="20"/>
              </w:rPr>
              <w:t>100Mpps，支持基于端口的VLAN，支持基于协议的VLAN；支持基于MAC的VLAN，支持IPv4静态路由、RIP V1/V2、OSPF；支持IPv6静态路由、RIPng。</w:t>
            </w:r>
          </w:p>
        </w:tc>
        <w:tc>
          <w:tcPr>
            <w:tcW w:w="911" w:type="dxa"/>
            <w:vAlign w:val="center"/>
          </w:tcPr>
          <w:p>
            <w:pPr>
              <w:jc w:val="center"/>
              <w:rPr>
                <w:sz w:val="20"/>
              </w:rPr>
            </w:pPr>
            <w:r>
              <w:rPr>
                <w:rFonts w:hint="eastAsia"/>
                <w:sz w:val="20"/>
              </w:rPr>
              <w:t>9</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8</w:t>
            </w:r>
          </w:p>
        </w:tc>
        <w:tc>
          <w:tcPr>
            <w:tcW w:w="1652" w:type="dxa"/>
            <w:vAlign w:val="center"/>
          </w:tcPr>
          <w:p>
            <w:pPr>
              <w:rPr>
                <w:sz w:val="20"/>
              </w:rPr>
            </w:pPr>
            <w:r>
              <w:rPr>
                <w:rFonts w:hint="eastAsia"/>
                <w:sz w:val="20"/>
              </w:rPr>
              <w:t>48端口接入交换机</w:t>
            </w:r>
          </w:p>
        </w:tc>
        <w:tc>
          <w:tcPr>
            <w:tcW w:w="3884" w:type="dxa"/>
          </w:tcPr>
          <w:p>
            <w:pPr>
              <w:rPr>
                <w:sz w:val="20"/>
              </w:rPr>
            </w:pPr>
            <w:r>
              <w:rPr>
                <w:rFonts w:hint="eastAsia"/>
                <w:sz w:val="20"/>
              </w:rPr>
              <w:t>支持48个10/100/1000BASE-T电口,4个1G/10G BASE-X SFP+端口,万兆单模光模块</w:t>
            </w:r>
            <w:r>
              <w:rPr>
                <w:rFonts w:hint="eastAsia" w:ascii="新宋体" w:hAnsi="新宋体" w:eastAsia="新宋体" w:cs="Arial"/>
                <w:sz w:val="20"/>
              </w:rPr>
              <w:t>≥</w:t>
            </w:r>
            <w:r>
              <w:rPr>
                <w:rFonts w:hint="eastAsia"/>
                <w:sz w:val="20"/>
              </w:rPr>
              <w:t>2个，交换容量</w:t>
            </w:r>
            <w:r>
              <w:rPr>
                <w:rFonts w:hint="eastAsia" w:ascii="新宋体" w:hAnsi="新宋体" w:eastAsia="新宋体" w:cs="Arial"/>
                <w:sz w:val="20"/>
              </w:rPr>
              <w:t>≥</w:t>
            </w:r>
            <w:r>
              <w:rPr>
                <w:rFonts w:hint="eastAsia"/>
                <w:sz w:val="20"/>
              </w:rPr>
              <w:t>430Gbps，包转发率</w:t>
            </w:r>
            <w:r>
              <w:rPr>
                <w:rFonts w:hint="eastAsia" w:ascii="新宋体" w:hAnsi="新宋体" w:eastAsia="新宋体" w:cs="Arial"/>
                <w:sz w:val="20"/>
              </w:rPr>
              <w:t>≥</w:t>
            </w:r>
            <w:r>
              <w:rPr>
                <w:rFonts w:hint="eastAsia"/>
                <w:sz w:val="20"/>
              </w:rPr>
              <w:t>140Mpps，支持基于端口的VLAN，支持基于协议的VLAN；核心产品支持基于MAC的VLAN，支持IPv4静态路由、RIP V1/V2、OSPF；支持IPv6静态路由、RIPng。</w:t>
            </w:r>
          </w:p>
        </w:tc>
        <w:tc>
          <w:tcPr>
            <w:tcW w:w="911" w:type="dxa"/>
            <w:vAlign w:val="center"/>
          </w:tcPr>
          <w:p>
            <w:pPr>
              <w:jc w:val="center"/>
              <w:rPr>
                <w:rFonts w:eastAsiaTheme="minorEastAsia"/>
                <w:sz w:val="20"/>
              </w:rPr>
            </w:pPr>
            <w:r>
              <w:rPr>
                <w:rFonts w:hint="eastAsia"/>
                <w:sz w:val="20"/>
              </w:rPr>
              <w:t>23</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9</w:t>
            </w:r>
          </w:p>
        </w:tc>
        <w:tc>
          <w:tcPr>
            <w:tcW w:w="1652" w:type="dxa"/>
            <w:vAlign w:val="center"/>
          </w:tcPr>
          <w:p>
            <w:pPr>
              <w:rPr>
                <w:rFonts w:eastAsiaTheme="minorEastAsia"/>
                <w:sz w:val="20"/>
              </w:rPr>
            </w:pPr>
            <w:r>
              <w:rPr>
                <w:rFonts w:hint="eastAsia"/>
                <w:sz w:val="20"/>
              </w:rPr>
              <w:t>AP（一）</w:t>
            </w:r>
          </w:p>
        </w:tc>
        <w:tc>
          <w:tcPr>
            <w:tcW w:w="3884" w:type="dxa"/>
          </w:tcPr>
          <w:p>
            <w:pPr>
              <w:rPr>
                <w:sz w:val="20"/>
              </w:rPr>
            </w:pPr>
            <w:r>
              <w:rPr>
                <w:rFonts w:hint="eastAsia"/>
                <w:sz w:val="20"/>
              </w:rPr>
              <w:t>双频四流802.11ax/ac/n无线接入点，采用整机双频4流设计，可同时工作在802.11a/b/g/n/ac/ac wave2/ax模式，整机协商速率≥1.7Gbps，其中5G射频速率≥1.2G，2.4G速率≥0.5G，≥1个10/100/1000Mbps电口</w:t>
            </w:r>
          </w:p>
        </w:tc>
        <w:tc>
          <w:tcPr>
            <w:tcW w:w="911" w:type="dxa"/>
            <w:vAlign w:val="center"/>
          </w:tcPr>
          <w:p>
            <w:pPr>
              <w:jc w:val="center"/>
              <w:rPr>
                <w:rFonts w:eastAsiaTheme="minorEastAsia"/>
                <w:sz w:val="20"/>
              </w:rPr>
            </w:pPr>
            <w:r>
              <w:rPr>
                <w:rFonts w:hint="eastAsia"/>
                <w:sz w:val="20"/>
              </w:rPr>
              <w:t>75</w:t>
            </w:r>
          </w:p>
        </w:tc>
        <w:tc>
          <w:tcPr>
            <w:tcW w:w="935" w:type="dxa"/>
            <w:vAlign w:val="center"/>
          </w:tcPr>
          <w:p>
            <w:pPr>
              <w:jc w:val="center"/>
              <w:rPr>
                <w:rFonts w:eastAsiaTheme="minorEastAsia"/>
                <w:sz w:val="20"/>
              </w:rPr>
            </w:pPr>
            <w:r>
              <w:rPr>
                <w:rFonts w:hint="eastAsia"/>
                <w:sz w:val="20"/>
              </w:rPr>
              <w:t>个</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10</w:t>
            </w:r>
          </w:p>
        </w:tc>
        <w:tc>
          <w:tcPr>
            <w:tcW w:w="1652" w:type="dxa"/>
            <w:vAlign w:val="center"/>
          </w:tcPr>
          <w:p>
            <w:pPr>
              <w:rPr>
                <w:rFonts w:eastAsiaTheme="minorEastAsia"/>
                <w:sz w:val="20"/>
              </w:rPr>
            </w:pPr>
            <w:r>
              <w:rPr>
                <w:rFonts w:hint="eastAsia"/>
                <w:sz w:val="20"/>
              </w:rPr>
              <w:t>AP（二）</w:t>
            </w:r>
          </w:p>
        </w:tc>
        <w:tc>
          <w:tcPr>
            <w:tcW w:w="3884" w:type="dxa"/>
          </w:tcPr>
          <w:p>
            <w:pPr>
              <w:jc w:val="left"/>
              <w:rPr>
                <w:sz w:val="20"/>
              </w:rPr>
            </w:pPr>
            <w:r>
              <w:rPr>
                <w:rFonts w:hint="eastAsia"/>
                <w:sz w:val="20"/>
              </w:rPr>
              <w:t>双频4流设计，可同时工作在802.11a/b/g/n/ac/ac wave2/ax模式，整机协商速率≥1.7Gbps，其中5G射频速率≥1.2G，2.4G速率≥0.5G，支持86盒、壁挂安装方式，≥1个10/100/1000Mbps(RJ45)上行千兆接口；≥4个10/100/1000Mbps(RJ45)下行千兆接口</w:t>
            </w:r>
          </w:p>
        </w:tc>
        <w:tc>
          <w:tcPr>
            <w:tcW w:w="911" w:type="dxa"/>
            <w:vAlign w:val="center"/>
          </w:tcPr>
          <w:p>
            <w:pPr>
              <w:jc w:val="center"/>
              <w:rPr>
                <w:rFonts w:eastAsiaTheme="minorEastAsia"/>
                <w:sz w:val="20"/>
              </w:rPr>
            </w:pPr>
            <w:r>
              <w:rPr>
                <w:rFonts w:hint="eastAsia"/>
                <w:sz w:val="20"/>
              </w:rPr>
              <w:t>130</w:t>
            </w:r>
          </w:p>
        </w:tc>
        <w:tc>
          <w:tcPr>
            <w:tcW w:w="935" w:type="dxa"/>
            <w:vAlign w:val="center"/>
          </w:tcPr>
          <w:p>
            <w:pPr>
              <w:jc w:val="center"/>
              <w:rPr>
                <w:rFonts w:eastAsiaTheme="minorEastAsia"/>
                <w:sz w:val="20"/>
              </w:rPr>
            </w:pPr>
            <w:r>
              <w:rPr>
                <w:rFonts w:hint="eastAsia"/>
                <w:sz w:val="20"/>
              </w:rPr>
              <w:t>个</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11</w:t>
            </w:r>
          </w:p>
        </w:tc>
        <w:tc>
          <w:tcPr>
            <w:tcW w:w="1652" w:type="dxa"/>
            <w:vAlign w:val="center"/>
          </w:tcPr>
          <w:p>
            <w:pPr>
              <w:rPr>
                <w:rFonts w:eastAsiaTheme="minorEastAsia"/>
                <w:sz w:val="20"/>
              </w:rPr>
            </w:pPr>
            <w:r>
              <w:rPr>
                <w:rFonts w:hint="eastAsia"/>
                <w:sz w:val="20"/>
              </w:rPr>
              <w:t>AP（三）</w:t>
            </w:r>
          </w:p>
        </w:tc>
        <w:tc>
          <w:tcPr>
            <w:tcW w:w="3884" w:type="dxa"/>
          </w:tcPr>
          <w:p>
            <w:pPr>
              <w:rPr>
                <w:rFonts w:eastAsiaTheme="minorEastAsia"/>
                <w:sz w:val="20"/>
              </w:rPr>
            </w:pPr>
            <w:r>
              <w:rPr>
                <w:rFonts w:hint="eastAsia"/>
                <w:sz w:val="20"/>
              </w:rPr>
              <w:t>采用三射频设计，可工作在802.11a/b/g/n/ac/ac wave2/ax模式，整机最大速率≥10Gbps，整机5GHz射频空间流≥8,2.4GHz射频空间流≥2，≥2个接口，其中1个100/1000M/2.5G电口，1个10M/100M/1000M电口</w:t>
            </w:r>
          </w:p>
        </w:tc>
        <w:tc>
          <w:tcPr>
            <w:tcW w:w="911" w:type="dxa"/>
            <w:vAlign w:val="center"/>
          </w:tcPr>
          <w:p>
            <w:pPr>
              <w:jc w:val="center"/>
              <w:rPr>
                <w:rFonts w:eastAsiaTheme="minorEastAsia"/>
                <w:sz w:val="20"/>
              </w:rPr>
            </w:pPr>
            <w:r>
              <w:rPr>
                <w:rFonts w:hint="eastAsia"/>
                <w:sz w:val="20"/>
              </w:rPr>
              <w:t>60</w:t>
            </w:r>
          </w:p>
        </w:tc>
        <w:tc>
          <w:tcPr>
            <w:tcW w:w="935" w:type="dxa"/>
            <w:vAlign w:val="center"/>
          </w:tcPr>
          <w:p>
            <w:pPr>
              <w:jc w:val="center"/>
              <w:rPr>
                <w:rFonts w:eastAsiaTheme="minorEastAsia"/>
                <w:sz w:val="20"/>
              </w:rPr>
            </w:pPr>
            <w:r>
              <w:rPr>
                <w:rFonts w:hint="eastAsia"/>
                <w:sz w:val="20"/>
              </w:rPr>
              <w:t>个</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rPr>
                <w:sz w:val="20"/>
              </w:rPr>
            </w:pPr>
            <w:r>
              <w:rPr>
                <w:rFonts w:hint="eastAsia"/>
                <w:sz w:val="20"/>
              </w:rPr>
              <w:t>12</w:t>
            </w:r>
          </w:p>
        </w:tc>
        <w:tc>
          <w:tcPr>
            <w:tcW w:w="1652" w:type="dxa"/>
            <w:vAlign w:val="center"/>
          </w:tcPr>
          <w:p>
            <w:pPr>
              <w:rPr>
                <w:sz w:val="20"/>
              </w:rPr>
            </w:pPr>
            <w:r>
              <w:rPr>
                <w:rFonts w:hint="eastAsia"/>
                <w:sz w:val="20"/>
              </w:rPr>
              <w:t>无线控制器</w:t>
            </w:r>
          </w:p>
        </w:tc>
        <w:tc>
          <w:tcPr>
            <w:tcW w:w="3884" w:type="dxa"/>
          </w:tcPr>
          <w:p>
            <w:pPr>
              <w:rPr>
                <w:sz w:val="20"/>
              </w:rPr>
            </w:pPr>
            <w:r>
              <w:rPr>
                <w:rFonts w:hint="eastAsia"/>
                <w:sz w:val="20"/>
              </w:rPr>
              <w:t>设备支持常规AP最大数量≥2000，要求本次配置无线授权数量≥256；数据转发性能≥40Gbps，千兆电端口≥8个，SFP端口≥8个，SFP+接口≥4；万兆多模模块≥2，应支持双电源备份，并支持交流供和直流二种供电方式。支持电源模块热插拔，支持1+1热备，对外呈现一个IP地址，简化网络拓扑；对外统一管理界面，简化运维；</w:t>
            </w:r>
          </w:p>
          <w:p>
            <w:pPr>
              <w:rPr>
                <w:sz w:val="20"/>
              </w:rPr>
            </w:pPr>
            <w:r>
              <w:rPr>
                <w:rFonts w:hint="eastAsia"/>
                <w:sz w:val="20"/>
              </w:rPr>
              <w:t>要求为专用无线盒式设备，高度≤2U，禁止通过交换机或其它方式扩展来实现无线功能。</w:t>
            </w:r>
          </w:p>
          <w:p>
            <w:pPr>
              <w:rPr>
                <w:sz w:val="20"/>
              </w:rPr>
            </w:pPr>
            <w:r>
              <w:rPr>
                <w:rFonts w:hint="eastAsia"/>
                <w:sz w:val="20"/>
              </w:rPr>
              <w:t>支持标准IETF 5415 CAPWAP协议，AP和AC之间支持L2/L3层网络拓扑，为提高网络安全，AP与控制器之间能够支持DTLS对CAPWAP隧道进行加密处理。要求提供工信部或下属实验室出具的第三方测试报告；</w:t>
            </w:r>
          </w:p>
          <w:p>
            <w:pPr>
              <w:rPr>
                <w:sz w:val="20"/>
              </w:rPr>
            </w:pPr>
            <w:r>
              <w:rPr>
                <w:rFonts w:hint="eastAsia"/>
                <w:sz w:val="20"/>
              </w:rPr>
              <w:t>支持防PSK暴力破解，当用户密码错误超过预设的阀值之后，能够将该用户加入动态黑名单，一段时间内禁止其接入网络，要求提供工信部或下属实验室出具的第三方测试报告；</w:t>
            </w:r>
          </w:p>
          <w:p>
            <w:pPr>
              <w:rPr>
                <w:sz w:val="20"/>
              </w:rPr>
            </w:pPr>
            <w:r>
              <w:rPr>
                <w:rFonts w:hint="eastAsia"/>
                <w:sz w:val="20"/>
              </w:rPr>
              <w:t>AC、AP支持802.1X用户在大规模组网AC间快速漫游支持dot1x认证AC间快速漫游，终端漫游到新的AC后无需再次进行认证。减轻服务器压力同时保证终端快速接入，可支持10台以上的AC间快速漫游。</w:t>
            </w:r>
          </w:p>
        </w:tc>
        <w:tc>
          <w:tcPr>
            <w:tcW w:w="911" w:type="dxa"/>
            <w:vAlign w:val="center"/>
          </w:tcPr>
          <w:p>
            <w:pPr>
              <w:jc w:val="center"/>
              <w:rPr>
                <w:sz w:val="20"/>
              </w:rPr>
            </w:pPr>
            <w:r>
              <w:rPr>
                <w:rFonts w:hint="eastAsia"/>
                <w:sz w:val="20"/>
              </w:rPr>
              <w:t>1</w:t>
            </w:r>
          </w:p>
        </w:tc>
        <w:tc>
          <w:tcPr>
            <w:tcW w:w="935" w:type="dxa"/>
            <w:vAlign w:val="center"/>
          </w:tcPr>
          <w:p>
            <w:pPr>
              <w:jc w:val="center"/>
              <w:rPr>
                <w:rFonts w:eastAsiaTheme="minorEastAsia"/>
                <w:sz w:val="20"/>
              </w:rPr>
            </w:pPr>
            <w:r>
              <w:rPr>
                <w:rFonts w:hint="eastAsia"/>
                <w:sz w:val="20"/>
              </w:rPr>
              <w:t>台</w:t>
            </w:r>
          </w:p>
        </w:tc>
        <w:tc>
          <w:tcPr>
            <w:tcW w:w="1050" w:type="dxa"/>
            <w:vAlign w:val="center"/>
          </w:tcPr>
          <w:p>
            <w:pPr>
              <w:jc w:val="center"/>
              <w:rPr>
                <w:sz w:val="20"/>
              </w:rPr>
            </w:pPr>
            <w:r>
              <w:rPr>
                <w:rFonts w:hint="eastAsia"/>
                <w:sz w:val="20"/>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pPr>
              <w:rPr>
                <w:rFonts w:eastAsiaTheme="minorEastAsia"/>
                <w:sz w:val="20"/>
              </w:rPr>
            </w:pPr>
            <w:r>
              <w:rPr>
                <w:rFonts w:hint="eastAsia"/>
                <w:sz w:val="20"/>
              </w:rPr>
              <w:t>13</w:t>
            </w:r>
          </w:p>
        </w:tc>
        <w:tc>
          <w:tcPr>
            <w:tcW w:w="1652" w:type="dxa"/>
            <w:vAlign w:val="center"/>
          </w:tcPr>
          <w:p>
            <w:pPr>
              <w:rPr>
                <w:sz w:val="20"/>
              </w:rPr>
            </w:pPr>
            <w:r>
              <w:rPr>
                <w:rFonts w:hint="eastAsia"/>
                <w:sz w:val="20"/>
              </w:rPr>
              <w:t>认证系统</w:t>
            </w:r>
          </w:p>
        </w:tc>
        <w:tc>
          <w:tcPr>
            <w:tcW w:w="3884" w:type="dxa"/>
          </w:tcPr>
          <w:p>
            <w:pPr>
              <w:jc w:val="left"/>
            </w:pPr>
            <w:r>
              <w:rPr>
                <w:rFonts w:hint="eastAsia"/>
              </w:rPr>
              <w:t>P</w:t>
            </w:r>
            <w:r>
              <w:rPr>
                <w:rFonts w:hint="eastAsia"/>
                <w:sz w:val="20"/>
              </w:rPr>
              <w:t>PPoE认证，Web portal认证，DHCP+Portal认证、802.1x认证，IPoE认证，L2TP认证，MAC认证、VLAN认证；支持≥10000 并发用户，注册用户不少于60万；实现用户/用户组管理、交费/充值业务管理、资费策略管理、帐务管理、工单和故障单管理、查询统计、系统管理、权限管理等各种功能能够兼容业内主流BRAS设备、AC、AP设备，支持所有BRAS的功能应用；所有系统均是纯软件设计，均采用标准的协议进行开发；使用ORACLE、MySql、Sql Server数据库，使用模块化设计，应用模块可以分离部署；提供无任何版权争议的数据库产品及足够的License。认证模块需要采用Redis高性能数据库架构设计。能够对接招标单位现有数据中心。</w:t>
            </w:r>
          </w:p>
        </w:tc>
        <w:tc>
          <w:tcPr>
            <w:tcW w:w="911" w:type="dxa"/>
          </w:tcPr>
          <w:p>
            <w:pPr>
              <w:rPr>
                <w:rFonts w:eastAsiaTheme="minorEastAsia"/>
                <w:sz w:val="20"/>
              </w:rPr>
            </w:pPr>
            <w:r>
              <w:rPr>
                <w:rFonts w:hint="eastAsia"/>
                <w:sz w:val="20"/>
              </w:rPr>
              <w:t>1</w:t>
            </w:r>
          </w:p>
        </w:tc>
        <w:tc>
          <w:tcPr>
            <w:tcW w:w="935" w:type="dxa"/>
          </w:tcPr>
          <w:p>
            <w:pPr>
              <w:jc w:val="center"/>
              <w:outlineLvl w:val="1"/>
              <w:rPr>
                <w:rFonts w:ascii="新宋体" w:hAnsi="新宋体" w:eastAsia="新宋体" w:cs="Arial"/>
                <w:sz w:val="20"/>
              </w:rPr>
            </w:pPr>
            <w:r>
              <w:rPr>
                <w:rFonts w:hint="eastAsia" w:ascii="新宋体" w:hAnsi="新宋体" w:eastAsia="新宋体" w:cs="Arial"/>
                <w:sz w:val="20"/>
              </w:rPr>
              <w:t>套</w:t>
            </w:r>
          </w:p>
        </w:tc>
        <w:tc>
          <w:tcPr>
            <w:tcW w:w="1050" w:type="dxa"/>
          </w:tcPr>
          <w:p>
            <w:pPr>
              <w:jc w:val="center"/>
              <w:outlineLvl w:val="1"/>
              <w:rPr>
                <w:rFonts w:ascii="新宋体" w:hAnsi="新宋体" w:eastAsia="新宋体" w:cs="Arial"/>
                <w:sz w:val="20"/>
              </w:rPr>
            </w:pPr>
          </w:p>
        </w:tc>
      </w:tr>
    </w:tbl>
    <w:p/>
    <w:tbl>
      <w:tblPr>
        <w:tblStyle w:val="41"/>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0"/>
        <w:gridCol w:w="4612"/>
        <w:gridCol w:w="120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3" w:type="dxa"/>
            <w:gridSpan w:val="5"/>
            <w:vAlign w:val="center"/>
          </w:tcPr>
          <w:p>
            <w:pPr>
              <w:jc w:val="center"/>
              <w:rPr>
                <w:sz w:val="20"/>
              </w:rPr>
            </w:pPr>
            <w:r>
              <w:rPr>
                <w:rFonts w:hint="eastAsia"/>
                <w:b/>
                <w:bCs/>
                <w:sz w:val="20"/>
              </w:rPr>
              <w:t>二、服务清单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jc w:val="center"/>
              <w:rPr>
                <w:rFonts w:asciiTheme="minorHAnsi" w:hAnsiTheme="minorHAnsi" w:eastAsiaTheme="minorEastAsia" w:cstheme="minorBidi"/>
                <w:sz w:val="20"/>
              </w:rPr>
            </w:pPr>
            <w:r>
              <w:rPr>
                <w:rFonts w:hint="eastAsia"/>
                <w:sz w:val="20"/>
              </w:rPr>
              <w:t>序号</w:t>
            </w:r>
          </w:p>
        </w:tc>
        <w:tc>
          <w:tcPr>
            <w:tcW w:w="1410" w:type="dxa"/>
            <w:vAlign w:val="center"/>
          </w:tcPr>
          <w:p>
            <w:pPr>
              <w:jc w:val="center"/>
              <w:rPr>
                <w:rFonts w:asciiTheme="minorHAnsi" w:hAnsiTheme="minorHAnsi" w:eastAsiaTheme="minorEastAsia" w:cstheme="minorBidi"/>
                <w:sz w:val="20"/>
              </w:rPr>
            </w:pPr>
            <w:r>
              <w:rPr>
                <w:rFonts w:hint="eastAsia"/>
                <w:sz w:val="20"/>
              </w:rPr>
              <w:t>服务项目</w:t>
            </w:r>
          </w:p>
        </w:tc>
        <w:tc>
          <w:tcPr>
            <w:tcW w:w="4612" w:type="dxa"/>
            <w:vAlign w:val="center"/>
          </w:tcPr>
          <w:p>
            <w:pPr>
              <w:jc w:val="center"/>
              <w:rPr>
                <w:rFonts w:asciiTheme="minorHAnsi" w:hAnsiTheme="minorHAnsi" w:eastAsiaTheme="minorEastAsia" w:cstheme="minorBidi"/>
                <w:sz w:val="20"/>
              </w:rPr>
            </w:pPr>
            <w:r>
              <w:rPr>
                <w:rFonts w:hint="eastAsia"/>
                <w:sz w:val="20"/>
              </w:rPr>
              <w:t>服务描述</w:t>
            </w:r>
          </w:p>
        </w:tc>
        <w:tc>
          <w:tcPr>
            <w:tcW w:w="1200" w:type="dxa"/>
            <w:vAlign w:val="center"/>
          </w:tcPr>
          <w:p>
            <w:pPr>
              <w:jc w:val="center"/>
              <w:rPr>
                <w:rFonts w:asciiTheme="minorHAnsi" w:hAnsiTheme="minorHAnsi" w:eastAsiaTheme="minorEastAsia" w:cstheme="minorBidi"/>
                <w:sz w:val="20"/>
              </w:rPr>
            </w:pPr>
            <w:r>
              <w:rPr>
                <w:rFonts w:hint="eastAsia"/>
                <w:sz w:val="20"/>
              </w:rPr>
              <w:t>单位</w:t>
            </w:r>
          </w:p>
        </w:tc>
        <w:tc>
          <w:tcPr>
            <w:tcW w:w="1153" w:type="dxa"/>
          </w:tcPr>
          <w:p>
            <w:pPr>
              <w:jc w:val="center"/>
              <w:rPr>
                <w:rFonts w:asciiTheme="minorHAnsi" w:hAnsiTheme="minorHAnsi" w:eastAsiaTheme="minorEastAsia" w:cstheme="minorBidi"/>
                <w:sz w:val="20"/>
              </w:rPr>
            </w:pPr>
            <w:r>
              <w:rPr>
                <w:rFonts w:hint="eastAsia"/>
                <w:sz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jc w:val="center"/>
              <w:rPr>
                <w:sz w:val="20"/>
              </w:rPr>
            </w:pPr>
            <w:r>
              <w:rPr>
                <w:rFonts w:hint="eastAsia"/>
                <w:sz w:val="20"/>
              </w:rPr>
              <w:t>1</w:t>
            </w:r>
          </w:p>
        </w:tc>
        <w:tc>
          <w:tcPr>
            <w:tcW w:w="1410" w:type="dxa"/>
            <w:vAlign w:val="center"/>
          </w:tcPr>
          <w:p>
            <w:pPr>
              <w:rPr>
                <w:sz w:val="20"/>
              </w:rPr>
            </w:pPr>
            <w:r>
              <w:rPr>
                <w:rFonts w:hint="eastAsia"/>
                <w:sz w:val="20"/>
              </w:rPr>
              <w:t>全校整体网络改造及优化</w:t>
            </w:r>
          </w:p>
        </w:tc>
        <w:tc>
          <w:tcPr>
            <w:tcW w:w="4612" w:type="dxa"/>
            <w:vAlign w:val="center"/>
          </w:tcPr>
          <w:p>
            <w:pPr>
              <w:rPr>
                <w:sz w:val="20"/>
              </w:rPr>
            </w:pPr>
            <w:r>
              <w:rPr>
                <w:rFonts w:hint="eastAsia"/>
                <w:sz w:val="20"/>
              </w:rPr>
              <w:t>对校方现有的有线无线网络进行整体优化，拓扑结构优化，设备配置优化。核心交换机替换，核心配置调优，优化路由策略及链路配比；各汇聚节点的网络调优及路由策略配置；接入层替换及配置优化，完善现网网管平台配置及策略等。原信息楼网络机房设备清点造册。校内各楼宇网络链路、光纤链路标记。</w:t>
            </w:r>
          </w:p>
        </w:tc>
        <w:tc>
          <w:tcPr>
            <w:tcW w:w="1200" w:type="dxa"/>
            <w:vAlign w:val="center"/>
          </w:tcPr>
          <w:p>
            <w:pPr>
              <w:jc w:val="center"/>
              <w:rPr>
                <w:sz w:val="20"/>
              </w:rPr>
            </w:pPr>
            <w:r>
              <w:rPr>
                <w:rFonts w:hint="eastAsia"/>
                <w:sz w:val="20"/>
              </w:rPr>
              <w:t>批</w:t>
            </w:r>
          </w:p>
        </w:tc>
        <w:tc>
          <w:tcPr>
            <w:tcW w:w="1153" w:type="dxa"/>
            <w:vAlign w:val="center"/>
          </w:tcPr>
          <w:p>
            <w:pPr>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 w:type="dxa"/>
            <w:vAlign w:val="center"/>
          </w:tcPr>
          <w:p>
            <w:pPr>
              <w:jc w:val="center"/>
              <w:rPr>
                <w:sz w:val="20"/>
              </w:rPr>
            </w:pPr>
            <w:r>
              <w:rPr>
                <w:rFonts w:hint="eastAsia"/>
                <w:sz w:val="20"/>
              </w:rPr>
              <w:t>2</w:t>
            </w:r>
          </w:p>
        </w:tc>
        <w:tc>
          <w:tcPr>
            <w:tcW w:w="1410" w:type="dxa"/>
            <w:vAlign w:val="center"/>
          </w:tcPr>
          <w:p>
            <w:pPr>
              <w:rPr>
                <w:sz w:val="20"/>
              </w:rPr>
            </w:pPr>
            <w:r>
              <w:rPr>
                <w:rFonts w:hint="eastAsia"/>
                <w:sz w:val="20"/>
              </w:rPr>
              <w:t>整体无线网络优化服务</w:t>
            </w:r>
          </w:p>
        </w:tc>
        <w:tc>
          <w:tcPr>
            <w:tcW w:w="4612" w:type="dxa"/>
            <w:vAlign w:val="center"/>
          </w:tcPr>
          <w:p>
            <w:pPr>
              <w:rPr>
                <w:sz w:val="20"/>
              </w:rPr>
            </w:pPr>
            <w:r>
              <w:rPr>
                <w:rFonts w:hint="eastAsia"/>
                <w:sz w:val="20"/>
              </w:rPr>
              <w:t>对本次招标网络设备安装调试，测试并接入到校方原有的网络管理平台内。对本次招标无线AP及无线控制器进行调试，，出具测试报告。对学校已有无线AP进行优化，合理规划信道、信号强度、VLAN规划等。对三个校区所有无线AP按照教室编号或办公室编号或名称进行注册名修改，并在AP上贴上标签。</w:t>
            </w:r>
          </w:p>
        </w:tc>
        <w:tc>
          <w:tcPr>
            <w:tcW w:w="1200" w:type="dxa"/>
            <w:vAlign w:val="center"/>
          </w:tcPr>
          <w:p>
            <w:pPr>
              <w:jc w:val="center"/>
              <w:rPr>
                <w:sz w:val="20"/>
              </w:rPr>
            </w:pPr>
            <w:r>
              <w:rPr>
                <w:rFonts w:hint="eastAsia"/>
                <w:sz w:val="20"/>
              </w:rPr>
              <w:t>批</w:t>
            </w:r>
          </w:p>
        </w:tc>
        <w:tc>
          <w:tcPr>
            <w:tcW w:w="1153" w:type="dxa"/>
            <w:vAlign w:val="center"/>
          </w:tcPr>
          <w:p>
            <w:pPr>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jc w:val="center"/>
              <w:rPr>
                <w:sz w:val="20"/>
              </w:rPr>
            </w:pPr>
            <w:r>
              <w:rPr>
                <w:sz w:val="20"/>
              </w:rPr>
              <w:t>3</w:t>
            </w:r>
          </w:p>
        </w:tc>
        <w:tc>
          <w:tcPr>
            <w:tcW w:w="1410" w:type="dxa"/>
            <w:vAlign w:val="center"/>
          </w:tcPr>
          <w:p>
            <w:pPr>
              <w:rPr>
                <w:sz w:val="20"/>
              </w:rPr>
            </w:pPr>
            <w:r>
              <w:rPr>
                <w:rFonts w:hint="eastAsia"/>
                <w:sz w:val="20"/>
              </w:rPr>
              <w:t>现场技术支持服务</w:t>
            </w:r>
          </w:p>
        </w:tc>
        <w:tc>
          <w:tcPr>
            <w:tcW w:w="4612" w:type="dxa"/>
            <w:vAlign w:val="center"/>
          </w:tcPr>
          <w:p>
            <w:pPr>
              <w:rPr>
                <w:sz w:val="20"/>
              </w:rPr>
            </w:pPr>
            <w:r>
              <w:rPr>
                <w:rFonts w:hint="eastAsia"/>
                <w:sz w:val="20"/>
              </w:rPr>
              <w:t>提供对校本部、东泉校区、屯河校区不少于</w:t>
            </w:r>
            <w:r>
              <w:rPr>
                <w:sz w:val="20"/>
              </w:rPr>
              <w:t>200</w:t>
            </w:r>
            <w:r>
              <w:rPr>
                <w:rFonts w:hint="eastAsia"/>
                <w:sz w:val="20"/>
              </w:rPr>
              <w:t>天时的现场技术支持服务，投标人提供的技术服务人员需满足本次招投标高级网络工程师或</w:t>
            </w:r>
            <w:r>
              <w:rPr>
                <w:sz w:val="20"/>
              </w:rPr>
              <w:t>WLAN</w:t>
            </w:r>
            <w:r>
              <w:rPr>
                <w:rFonts w:hint="eastAsia"/>
                <w:sz w:val="20"/>
              </w:rPr>
              <w:t>高级工程师级别及以上，提供</w:t>
            </w:r>
            <w:r>
              <w:rPr>
                <w:sz w:val="20"/>
              </w:rPr>
              <w:t>7*24</w:t>
            </w:r>
            <w:r>
              <w:rPr>
                <w:rFonts w:hint="eastAsia"/>
                <w:sz w:val="20"/>
              </w:rPr>
              <w:t>小时的远程技术支持服务，能做到</w:t>
            </w:r>
            <w:r>
              <w:rPr>
                <w:sz w:val="20"/>
              </w:rPr>
              <w:t>0.5</w:t>
            </w:r>
            <w:r>
              <w:rPr>
                <w:rFonts w:hint="eastAsia"/>
                <w:sz w:val="20"/>
              </w:rPr>
              <w:t>小时响应，</w:t>
            </w:r>
            <w:r>
              <w:rPr>
                <w:sz w:val="20"/>
              </w:rPr>
              <w:t>1</w:t>
            </w:r>
            <w:r>
              <w:rPr>
                <w:rFonts w:hint="eastAsia"/>
                <w:sz w:val="20"/>
              </w:rPr>
              <w:t>小时之内到达用户现场，</w:t>
            </w:r>
            <w:r>
              <w:rPr>
                <w:sz w:val="20"/>
              </w:rPr>
              <w:t>4</w:t>
            </w:r>
            <w:r>
              <w:rPr>
                <w:rFonts w:hint="eastAsia"/>
                <w:sz w:val="20"/>
              </w:rPr>
              <w:t>小时内完成紧急故障处理。</w:t>
            </w:r>
          </w:p>
        </w:tc>
        <w:tc>
          <w:tcPr>
            <w:tcW w:w="1200" w:type="dxa"/>
            <w:vAlign w:val="center"/>
          </w:tcPr>
          <w:p>
            <w:pPr>
              <w:jc w:val="center"/>
              <w:rPr>
                <w:sz w:val="20"/>
              </w:rPr>
            </w:pPr>
            <w:r>
              <w:rPr>
                <w:rFonts w:hint="eastAsia"/>
                <w:sz w:val="20"/>
              </w:rPr>
              <w:t>批</w:t>
            </w:r>
          </w:p>
        </w:tc>
        <w:tc>
          <w:tcPr>
            <w:tcW w:w="1153" w:type="dxa"/>
            <w:vAlign w:val="center"/>
          </w:tcPr>
          <w:p>
            <w:pPr>
              <w:jc w:val="center"/>
              <w:rPr>
                <w:sz w:val="20"/>
              </w:rPr>
            </w:pPr>
            <w:r>
              <w:rPr>
                <w:sz w:val="20"/>
              </w:rPr>
              <w:t>1</w:t>
            </w:r>
          </w:p>
        </w:tc>
      </w:tr>
    </w:tbl>
    <w:tbl>
      <w:tblPr>
        <w:tblStyle w:val="40"/>
        <w:tblpPr w:leftFromText="180" w:rightFromText="180" w:vertAnchor="text" w:horzAnchor="page" w:tblpX="1319" w:tblpY="205"/>
        <w:tblOverlap w:val="never"/>
        <w:tblW w:w="9572" w:type="dxa"/>
        <w:tblInd w:w="0" w:type="dxa"/>
        <w:tblLayout w:type="fixed"/>
        <w:tblCellMar>
          <w:top w:w="0" w:type="dxa"/>
          <w:left w:w="0" w:type="dxa"/>
          <w:bottom w:w="0" w:type="dxa"/>
          <w:right w:w="0" w:type="dxa"/>
        </w:tblCellMar>
      </w:tblPr>
      <w:tblGrid>
        <w:gridCol w:w="801"/>
        <w:gridCol w:w="1917"/>
        <w:gridCol w:w="5093"/>
        <w:gridCol w:w="669"/>
        <w:gridCol w:w="1092"/>
      </w:tblGrid>
      <w:tr>
        <w:tblPrEx>
          <w:tblCellMar>
            <w:top w:w="0" w:type="dxa"/>
            <w:left w:w="0" w:type="dxa"/>
            <w:bottom w:w="0" w:type="dxa"/>
            <w:right w:w="0" w:type="dxa"/>
          </w:tblCellMar>
        </w:tblPrEx>
        <w:trPr>
          <w:trHeight w:val="630" w:hRule="atLeast"/>
        </w:trPr>
        <w:tc>
          <w:tcPr>
            <w:tcW w:w="9572" w:type="dxa"/>
            <w:gridSpan w:val="5"/>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eastAsiaTheme="minorEastAsia"/>
                <w:b/>
                <w:color w:val="000000"/>
                <w:sz w:val="20"/>
              </w:rPr>
            </w:pPr>
            <w:r>
              <w:rPr>
                <w:rFonts w:hint="eastAsia"/>
                <w:b/>
                <w:color w:val="000000"/>
                <w:sz w:val="20"/>
              </w:rPr>
              <w:t>二、基础材料清单</w:t>
            </w:r>
          </w:p>
        </w:tc>
      </w:tr>
      <w:tr>
        <w:tblPrEx>
          <w:tblCellMar>
            <w:top w:w="0" w:type="dxa"/>
            <w:left w:w="0" w:type="dxa"/>
            <w:bottom w:w="0" w:type="dxa"/>
            <w:right w:w="0" w:type="dxa"/>
          </w:tblCellMar>
        </w:tblPrEx>
        <w:trPr>
          <w:trHeight w:val="630" w:hRule="atLeast"/>
        </w:trPr>
        <w:tc>
          <w:tcPr>
            <w:tcW w:w="801"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jc w:val="center"/>
              <w:rPr>
                <w:b/>
                <w:color w:val="000000"/>
                <w:kern w:val="0"/>
                <w:sz w:val="20"/>
              </w:rPr>
            </w:pPr>
            <w:r>
              <w:rPr>
                <w:rFonts w:hint="eastAsia"/>
                <w:b/>
                <w:color w:val="000000"/>
                <w:sz w:val="20"/>
              </w:rPr>
              <w:t>序号</w:t>
            </w:r>
          </w:p>
        </w:tc>
        <w:tc>
          <w:tcPr>
            <w:tcW w:w="191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b/>
                <w:color w:val="000000"/>
                <w:sz w:val="20"/>
              </w:rPr>
            </w:pPr>
            <w:r>
              <w:rPr>
                <w:rFonts w:hint="eastAsia"/>
                <w:b/>
                <w:color w:val="000000"/>
                <w:sz w:val="20"/>
              </w:rPr>
              <w:t>名 称</w:t>
            </w:r>
          </w:p>
        </w:tc>
        <w:tc>
          <w:tcPr>
            <w:tcW w:w="5093"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b/>
                <w:color w:val="000000"/>
                <w:sz w:val="20"/>
              </w:rPr>
            </w:pPr>
            <w:r>
              <w:rPr>
                <w:rFonts w:hint="eastAsia"/>
                <w:b/>
                <w:color w:val="000000"/>
                <w:sz w:val="20"/>
              </w:rPr>
              <w:t>规格及参数</w:t>
            </w:r>
          </w:p>
        </w:tc>
        <w:tc>
          <w:tcPr>
            <w:tcW w:w="66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b/>
                <w:color w:val="000000"/>
                <w:sz w:val="20"/>
              </w:rPr>
            </w:pPr>
            <w:r>
              <w:rPr>
                <w:rFonts w:hint="eastAsia"/>
                <w:b/>
                <w:color w:val="000000"/>
                <w:sz w:val="20"/>
              </w:rPr>
              <w:t>数量</w:t>
            </w:r>
          </w:p>
        </w:tc>
        <w:tc>
          <w:tcPr>
            <w:tcW w:w="109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b/>
                <w:color w:val="000000"/>
                <w:sz w:val="20"/>
              </w:rPr>
            </w:pPr>
            <w:r>
              <w:rPr>
                <w:rFonts w:hint="eastAsia"/>
                <w:b/>
                <w:color w:val="000000"/>
                <w:sz w:val="20"/>
              </w:rPr>
              <w:t>单位</w:t>
            </w:r>
          </w:p>
        </w:tc>
      </w:tr>
      <w:tr>
        <w:tblPrEx>
          <w:tblCellMar>
            <w:top w:w="0" w:type="dxa"/>
            <w:left w:w="0" w:type="dxa"/>
            <w:bottom w:w="0" w:type="dxa"/>
            <w:right w:w="0" w:type="dxa"/>
          </w:tblCellMar>
        </w:tblPrEx>
        <w:trPr>
          <w:trHeight w:val="341" w:hRule="atLeast"/>
        </w:trPr>
        <w:tc>
          <w:tcPr>
            <w:tcW w:w="801"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rPr>
            </w:pPr>
          </w:p>
        </w:tc>
        <w:tc>
          <w:tcPr>
            <w:tcW w:w="1917"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rPr>
            </w:pPr>
          </w:p>
        </w:tc>
        <w:tc>
          <w:tcPr>
            <w:tcW w:w="509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rPr>
            </w:pPr>
          </w:p>
        </w:tc>
        <w:tc>
          <w:tcPr>
            <w:tcW w:w="669"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rPr>
            </w:pPr>
          </w:p>
        </w:tc>
        <w:tc>
          <w:tcPr>
            <w:tcW w:w="1092"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rPr>
            </w:pPr>
          </w:p>
        </w:tc>
      </w:tr>
      <w:tr>
        <w:tblPrEx>
          <w:tblCellMar>
            <w:top w:w="0" w:type="dxa"/>
            <w:left w:w="0" w:type="dxa"/>
            <w:bottom w:w="0" w:type="dxa"/>
            <w:right w:w="0" w:type="dxa"/>
          </w:tblCellMar>
        </w:tblPrEx>
        <w:trPr>
          <w:trHeight w:val="43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1</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双口信息面板</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rPr>
                <w:sz w:val="20"/>
              </w:rPr>
            </w:pPr>
            <w:r>
              <w:rPr>
                <w:rFonts w:hint="eastAsia"/>
                <w:sz w:val="20"/>
              </w:rPr>
              <w:t>1、采用优质PC料，光泽度高，柔韧性好，耐冲击，抗老化；</w:t>
            </w:r>
          </w:p>
          <w:p>
            <w:pPr>
              <w:spacing w:line="240" w:lineRule="exact"/>
              <w:rPr>
                <w:sz w:val="20"/>
              </w:rPr>
            </w:pPr>
            <w:r>
              <w:rPr>
                <w:rFonts w:hint="eastAsia"/>
                <w:sz w:val="20"/>
              </w:rPr>
              <w:t>2、面板表面不可见螺钉孔，美观大方；</w:t>
            </w:r>
          </w:p>
          <w:p>
            <w:pPr>
              <w:spacing w:line="240" w:lineRule="exact"/>
              <w:rPr>
                <w:sz w:val="20"/>
              </w:rPr>
            </w:pPr>
            <w:r>
              <w:rPr>
                <w:rFonts w:hint="eastAsia"/>
                <w:sz w:val="20"/>
              </w:rPr>
              <w:t>3、扣位式面板设计防止施工时污染面板；</w:t>
            </w:r>
          </w:p>
          <w:p>
            <w:pPr>
              <w:spacing w:line="240" w:lineRule="exact"/>
              <w:rPr>
                <w:sz w:val="20"/>
              </w:rPr>
            </w:pPr>
            <w:r>
              <w:rPr>
                <w:rFonts w:hint="eastAsia"/>
                <w:sz w:val="20"/>
              </w:rPr>
              <w:t>4、面板防火级别：UL-94V2；</w:t>
            </w:r>
          </w:p>
          <w:p>
            <w:pPr>
              <w:spacing w:line="240" w:lineRule="exact"/>
              <w:rPr>
                <w:sz w:val="20"/>
              </w:rPr>
            </w:pPr>
            <w:r>
              <w:rPr>
                <w:rFonts w:hint="eastAsia"/>
                <w:sz w:val="20"/>
              </w:rPr>
              <w:t>5、可提供1口、2口、3、4口平面和斜面面板；</w:t>
            </w:r>
          </w:p>
          <w:p>
            <w:pPr>
              <w:spacing w:line="240" w:lineRule="exact"/>
              <w:rPr>
                <w:sz w:val="20"/>
              </w:rPr>
            </w:pPr>
            <w:r>
              <w:rPr>
                <w:rFonts w:hint="eastAsia"/>
                <w:sz w:val="20"/>
              </w:rPr>
              <w:t>6、所有面板均带防护门，适应于不同的恶劣施工环境，并且方便跳线插拔；</w:t>
            </w:r>
          </w:p>
          <w:p>
            <w:pPr>
              <w:spacing w:line="240" w:lineRule="exact"/>
              <w:rPr>
                <w:sz w:val="20"/>
              </w:rPr>
            </w:pPr>
            <w:r>
              <w:rPr>
                <w:rFonts w:hint="eastAsia"/>
                <w:sz w:val="20"/>
              </w:rPr>
              <w:t>7、信息口有标识标签，方便管理；</w:t>
            </w:r>
          </w:p>
          <w:p>
            <w:pPr>
              <w:spacing w:line="240" w:lineRule="exact"/>
              <w:rPr>
                <w:sz w:val="20"/>
              </w:rPr>
            </w:pPr>
            <w:r>
              <w:rPr>
                <w:rFonts w:hint="eastAsia"/>
                <w:sz w:val="20"/>
              </w:rPr>
              <w:t>8、兼容屏蔽与非屏蔽模块；</w:t>
            </w:r>
          </w:p>
          <w:p>
            <w:pPr>
              <w:spacing w:line="240" w:lineRule="exact"/>
              <w:rPr>
                <w:sz w:val="20"/>
              </w:rPr>
            </w:pPr>
            <w:r>
              <w:rPr>
                <w:rFonts w:hint="eastAsia"/>
                <w:sz w:val="20"/>
              </w:rPr>
              <w:t>9、符合中国PEP环保认证；</w:t>
            </w:r>
          </w:p>
          <w:p>
            <w:pPr>
              <w:spacing w:line="240" w:lineRule="exact"/>
              <w:rPr>
                <w:sz w:val="20"/>
              </w:rPr>
            </w:pPr>
            <w:r>
              <w:rPr>
                <w:rFonts w:hint="eastAsia"/>
                <w:sz w:val="20"/>
              </w:rPr>
              <w:t>10、提供</w:t>
            </w:r>
            <w:r>
              <w:fldChar w:fldCharType="begin"/>
            </w:r>
            <w:r>
              <w:instrText xml:space="preserve"> HYPERLINK "http://www.cqvip.com/Main/Detail.aspx?id=25203065" \t "https://xueshu.baidu.com/usercenter/paper/_blank" </w:instrText>
            </w:r>
            <w:r>
              <w:fldChar w:fldCharType="separate"/>
            </w:r>
            <w:r>
              <w:rPr>
                <w:rFonts w:hint="eastAsia"/>
                <w:sz w:val="20"/>
              </w:rPr>
              <w:t>国家认可的第三方权威检验机构</w:t>
            </w:r>
            <w:r>
              <w:rPr>
                <w:rFonts w:hint="eastAsia"/>
                <w:sz w:val="20"/>
              </w:rPr>
              <w:fldChar w:fldCharType="end"/>
            </w:r>
            <w:r>
              <w:rPr>
                <w:rFonts w:hint="eastAsia"/>
                <w:sz w:val="20"/>
              </w:rPr>
              <w:t>出具的检验报告。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750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个</w:t>
            </w:r>
          </w:p>
        </w:tc>
      </w:tr>
      <w:tr>
        <w:tblPrEx>
          <w:tblCellMar>
            <w:top w:w="0" w:type="dxa"/>
            <w:left w:w="0" w:type="dxa"/>
            <w:bottom w:w="0" w:type="dxa"/>
            <w:right w:w="0" w:type="dxa"/>
          </w:tblCellMar>
        </w:tblPrEx>
        <w:trPr>
          <w:trHeight w:val="43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6类非屏蔽双绞线</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18"/>
                <w:szCs w:val="18"/>
              </w:rPr>
            </w:pPr>
            <w:r>
              <w:rPr>
                <w:rFonts w:hint="eastAsia"/>
                <w:color w:val="000000"/>
                <w:sz w:val="18"/>
                <w:szCs w:val="18"/>
              </w:rPr>
              <w:t>六类4对非屏蔽低烟无卤双绞线，产品结构：U/UTP，十字骨架</w:t>
            </w:r>
          </w:p>
          <w:p>
            <w:pPr>
              <w:spacing w:line="240" w:lineRule="exact"/>
              <w:jc w:val="left"/>
              <w:rPr>
                <w:color w:val="000000"/>
                <w:sz w:val="18"/>
                <w:szCs w:val="18"/>
              </w:rPr>
            </w:pPr>
            <w:r>
              <w:rPr>
                <w:rFonts w:hint="eastAsia"/>
                <w:color w:val="000000"/>
                <w:sz w:val="18"/>
                <w:szCs w:val="18"/>
              </w:rPr>
              <w:t>3、导体线规23AWG。</w:t>
            </w:r>
          </w:p>
          <w:p>
            <w:pPr>
              <w:spacing w:line="240" w:lineRule="exact"/>
              <w:jc w:val="left"/>
              <w:rPr>
                <w:color w:val="000000"/>
                <w:sz w:val="18"/>
                <w:szCs w:val="18"/>
              </w:rPr>
            </w:pPr>
            <w:r>
              <w:rPr>
                <w:rFonts w:hint="eastAsia"/>
                <w:color w:val="000000"/>
                <w:sz w:val="18"/>
                <w:szCs w:val="18"/>
              </w:rPr>
              <w:t>4、导体材质：99.99%无氧铜</w:t>
            </w:r>
          </w:p>
          <w:p>
            <w:pPr>
              <w:spacing w:line="240" w:lineRule="exact"/>
              <w:jc w:val="left"/>
              <w:rPr>
                <w:color w:val="000000"/>
                <w:sz w:val="18"/>
                <w:szCs w:val="18"/>
              </w:rPr>
            </w:pPr>
            <w:r>
              <w:rPr>
                <w:rFonts w:hint="eastAsia"/>
                <w:color w:val="000000"/>
                <w:sz w:val="18"/>
                <w:szCs w:val="18"/>
              </w:rPr>
              <w:t>5、导体电阻≤98.6Ω/km(20℃), 电阻不平衡≤ 2.5%，特性阻抗:100 ±15 Ohm；</w:t>
            </w:r>
          </w:p>
          <w:p>
            <w:pPr>
              <w:spacing w:line="240" w:lineRule="exact"/>
              <w:jc w:val="left"/>
              <w:rPr>
                <w:color w:val="000000"/>
                <w:sz w:val="18"/>
                <w:szCs w:val="18"/>
              </w:rPr>
            </w:pPr>
            <w:r>
              <w:rPr>
                <w:rFonts w:hint="eastAsia"/>
                <w:color w:val="000000"/>
                <w:sz w:val="18"/>
                <w:szCs w:val="18"/>
              </w:rPr>
              <w:t>6、传播延迟值：&lt;536 ns/100m；延迟偏差：≤45 ns；</w:t>
            </w:r>
          </w:p>
          <w:p>
            <w:pPr>
              <w:spacing w:line="240" w:lineRule="exact"/>
              <w:jc w:val="left"/>
              <w:rPr>
                <w:color w:val="000000"/>
                <w:sz w:val="18"/>
                <w:szCs w:val="18"/>
              </w:rPr>
            </w:pPr>
            <w:r>
              <w:rPr>
                <w:rFonts w:hint="eastAsia"/>
                <w:color w:val="000000"/>
                <w:sz w:val="18"/>
                <w:szCs w:val="18"/>
              </w:rPr>
              <w:t>7、介电强度1.0 KV DC持续1min不击穿,绝缘阻抗≥5000MΩ*km；</w:t>
            </w:r>
          </w:p>
          <w:p>
            <w:pPr>
              <w:spacing w:line="240" w:lineRule="exact"/>
              <w:jc w:val="left"/>
              <w:rPr>
                <w:color w:val="000000"/>
                <w:sz w:val="18"/>
                <w:szCs w:val="18"/>
              </w:rPr>
            </w:pPr>
            <w:r>
              <w:rPr>
                <w:rFonts w:hint="eastAsia"/>
                <w:color w:val="000000"/>
                <w:sz w:val="18"/>
                <w:szCs w:val="18"/>
              </w:rPr>
              <w:t>8、传播速度NVP（相速度）≥66%</w:t>
            </w:r>
          </w:p>
          <w:p>
            <w:pPr>
              <w:spacing w:line="240" w:lineRule="exact"/>
              <w:jc w:val="left"/>
              <w:rPr>
                <w:color w:val="000000"/>
                <w:sz w:val="18"/>
                <w:szCs w:val="18"/>
              </w:rPr>
            </w:pPr>
            <w:r>
              <w:rPr>
                <w:rFonts w:hint="eastAsia"/>
                <w:color w:val="000000"/>
                <w:sz w:val="18"/>
                <w:szCs w:val="18"/>
              </w:rPr>
              <w:t>9、最小弯曲半径：32mm（操作），64mm（安装），最大拉力：100N</w:t>
            </w:r>
          </w:p>
          <w:p>
            <w:pPr>
              <w:spacing w:line="240" w:lineRule="exact"/>
              <w:jc w:val="left"/>
              <w:rPr>
                <w:color w:val="000000"/>
                <w:sz w:val="18"/>
                <w:szCs w:val="18"/>
              </w:rPr>
            </w:pPr>
            <w:r>
              <w:rPr>
                <w:rFonts w:hint="eastAsia"/>
                <w:color w:val="000000"/>
                <w:sz w:val="18"/>
                <w:szCs w:val="18"/>
              </w:rPr>
              <w:t>10、包装方式：305m/箱</w:t>
            </w:r>
          </w:p>
          <w:p>
            <w:pPr>
              <w:spacing w:line="240" w:lineRule="exact"/>
              <w:jc w:val="left"/>
              <w:rPr>
                <w:color w:val="000000"/>
                <w:sz w:val="18"/>
                <w:szCs w:val="18"/>
              </w:rPr>
            </w:pPr>
            <w:r>
              <w:rPr>
                <w:rFonts w:hint="eastAsia"/>
                <w:color w:val="000000"/>
                <w:sz w:val="18"/>
                <w:szCs w:val="18"/>
              </w:rPr>
              <w:t>11、工作温度：-20-60℃</w:t>
            </w:r>
          </w:p>
          <w:p>
            <w:pPr>
              <w:spacing w:line="240" w:lineRule="exact"/>
              <w:jc w:val="left"/>
              <w:rPr>
                <w:color w:val="000000"/>
                <w:sz w:val="18"/>
                <w:szCs w:val="18"/>
              </w:rPr>
            </w:pPr>
            <w:r>
              <w:rPr>
                <w:rFonts w:hint="eastAsia"/>
                <w:color w:val="000000"/>
                <w:sz w:val="18"/>
                <w:szCs w:val="18"/>
              </w:rPr>
              <w:t>12、执行标准：TIA/EIA568C、ISO/IEC11801，EN50173，YD/T926，提供检测报告。</w:t>
            </w:r>
          </w:p>
          <w:p>
            <w:pPr>
              <w:spacing w:line="240" w:lineRule="exact"/>
              <w:jc w:val="left"/>
              <w:rPr>
                <w:color w:val="000000"/>
                <w:sz w:val="18"/>
                <w:szCs w:val="18"/>
              </w:rPr>
            </w:pPr>
            <w:r>
              <w:rPr>
                <w:rFonts w:hint="eastAsia"/>
                <w:color w:val="000000"/>
                <w:sz w:val="18"/>
                <w:szCs w:val="18"/>
              </w:rPr>
              <w:t>13、防火等级为IEC60332-1（GB/T18380）单根阻燃标准可特制CM，CMR，CMP产品，满足低烟无卤核心参数：烟密度≥90%，PH值≥5.0，电导率≤1</w:t>
            </w:r>
          </w:p>
          <w:p>
            <w:pPr>
              <w:spacing w:line="240" w:lineRule="exact"/>
              <w:jc w:val="left"/>
              <w:rPr>
                <w:color w:val="000000"/>
                <w:sz w:val="18"/>
                <w:szCs w:val="18"/>
              </w:rPr>
            </w:pPr>
            <w:r>
              <w:rPr>
                <w:rFonts w:hint="eastAsia"/>
                <w:color w:val="000000"/>
                <w:sz w:val="18"/>
                <w:szCs w:val="18"/>
              </w:rPr>
              <w:t>14、六类双绞线采用低烟无卤（LSZH）护套，并达到“国家电线电缆质量监督检验中心” IEC 60332-1:2009 标准。</w:t>
            </w:r>
          </w:p>
          <w:p>
            <w:pPr>
              <w:spacing w:line="240" w:lineRule="exact"/>
              <w:jc w:val="left"/>
              <w:rPr>
                <w:color w:val="000000"/>
                <w:sz w:val="18"/>
                <w:szCs w:val="18"/>
              </w:rPr>
            </w:pPr>
            <w:r>
              <w:rPr>
                <w:rFonts w:hint="eastAsia"/>
                <w:color w:val="000000"/>
                <w:sz w:val="18"/>
                <w:szCs w:val="18"/>
              </w:rPr>
              <w:t>15、提供国家认可的第三方权威检验机构出具的六类线缆单体和链路测试报告，线缆燃烧测试报告。</w:t>
            </w:r>
          </w:p>
          <w:p>
            <w:pPr>
              <w:spacing w:line="240" w:lineRule="exact"/>
              <w:jc w:val="left"/>
              <w:rPr>
                <w:sz w:val="20"/>
              </w:rPr>
            </w:pPr>
            <w:r>
              <w:rPr>
                <w:rFonts w:hint="eastAsia"/>
                <w:color w:val="000000"/>
                <w:sz w:val="18"/>
                <w:szCs w:val="18"/>
              </w:rPr>
              <w:t>16、提供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出具的100米六节点信道测试报告。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360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箱</w:t>
            </w:r>
          </w:p>
        </w:tc>
      </w:tr>
      <w:tr>
        <w:tblPrEx>
          <w:tblCellMar>
            <w:top w:w="0" w:type="dxa"/>
            <w:left w:w="0" w:type="dxa"/>
            <w:bottom w:w="0" w:type="dxa"/>
            <w:right w:w="0" w:type="dxa"/>
          </w:tblCellMar>
        </w:tblPrEx>
        <w:trPr>
          <w:trHeight w:val="43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86型明装底盒</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rPr>
                <w:sz w:val="20"/>
              </w:rPr>
            </w:pPr>
            <w:r>
              <w:rPr>
                <w:rFonts w:hint="eastAsia"/>
                <w:color w:val="000000"/>
                <w:sz w:val="18"/>
                <w:szCs w:val="18"/>
              </w:rPr>
              <w:t>86明装塑料底盒，86mm*86mm，白色</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750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个</w:t>
            </w:r>
          </w:p>
        </w:tc>
      </w:tr>
      <w:tr>
        <w:tblPrEx>
          <w:tblCellMar>
            <w:top w:w="0" w:type="dxa"/>
            <w:left w:w="0" w:type="dxa"/>
            <w:bottom w:w="0" w:type="dxa"/>
            <w:right w:w="0" w:type="dxa"/>
          </w:tblCellMar>
        </w:tblPrEx>
        <w:trPr>
          <w:trHeight w:val="497"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6类数据模块</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18"/>
                <w:szCs w:val="18"/>
              </w:rPr>
            </w:pPr>
            <w:r>
              <w:rPr>
                <w:rFonts w:hint="eastAsia"/>
                <w:color w:val="000000"/>
                <w:sz w:val="18"/>
                <w:szCs w:val="18"/>
              </w:rPr>
              <w:t xml:space="preserve">六类非屏蔽RJ45信息模块(打线式)，180度IDC打线方式，保证最短距离的开绞绞距，透明防尘盖设计，适用不通恶劣环境，支持250MHZ带宽。   </w:t>
            </w:r>
          </w:p>
          <w:p>
            <w:pPr>
              <w:spacing w:line="240" w:lineRule="exact"/>
              <w:jc w:val="left"/>
              <w:rPr>
                <w:color w:val="000000"/>
                <w:sz w:val="18"/>
                <w:szCs w:val="18"/>
              </w:rPr>
            </w:pPr>
            <w:r>
              <w:rPr>
                <w:rFonts w:hint="eastAsia"/>
                <w:color w:val="000000"/>
                <w:sz w:val="18"/>
                <w:szCs w:val="18"/>
              </w:rPr>
              <w:t>1、主体材料采用符合UL94V-0的高强度PC料。</w:t>
            </w:r>
          </w:p>
          <w:p>
            <w:pPr>
              <w:spacing w:line="240" w:lineRule="exact"/>
              <w:jc w:val="left"/>
              <w:rPr>
                <w:color w:val="000000"/>
                <w:sz w:val="18"/>
                <w:szCs w:val="18"/>
              </w:rPr>
            </w:pPr>
            <w:r>
              <w:rPr>
                <w:rFonts w:hint="eastAsia"/>
                <w:color w:val="000000"/>
                <w:sz w:val="18"/>
                <w:szCs w:val="18"/>
              </w:rPr>
              <w:t>2、插头插座可重复插拔次数≥750次，IDC卡接次数≥25次；</w:t>
            </w:r>
          </w:p>
          <w:p>
            <w:pPr>
              <w:spacing w:line="240" w:lineRule="exact"/>
              <w:jc w:val="left"/>
              <w:rPr>
                <w:color w:val="000000"/>
                <w:sz w:val="18"/>
                <w:szCs w:val="18"/>
              </w:rPr>
            </w:pPr>
            <w:r>
              <w:rPr>
                <w:rFonts w:hint="eastAsia"/>
                <w:color w:val="000000"/>
                <w:sz w:val="18"/>
                <w:szCs w:val="18"/>
              </w:rPr>
              <w:t>3、插拨力：≤20N</w:t>
            </w:r>
          </w:p>
          <w:p>
            <w:pPr>
              <w:spacing w:line="240" w:lineRule="exact"/>
              <w:jc w:val="left"/>
              <w:rPr>
                <w:color w:val="000000"/>
                <w:sz w:val="18"/>
                <w:szCs w:val="18"/>
              </w:rPr>
            </w:pPr>
            <w:r>
              <w:rPr>
                <w:rFonts w:hint="eastAsia"/>
                <w:color w:val="000000"/>
                <w:sz w:val="18"/>
                <w:szCs w:val="18"/>
              </w:rPr>
              <w:t>4、簧片磷青铜镀金≥50µm,保证性能及使用寿命；</w:t>
            </w:r>
          </w:p>
          <w:p>
            <w:pPr>
              <w:spacing w:line="240" w:lineRule="exact"/>
              <w:jc w:val="left"/>
              <w:rPr>
                <w:color w:val="000000"/>
                <w:sz w:val="18"/>
                <w:szCs w:val="18"/>
              </w:rPr>
            </w:pPr>
            <w:r>
              <w:rPr>
                <w:rFonts w:hint="eastAsia"/>
                <w:color w:val="000000"/>
                <w:sz w:val="18"/>
                <w:szCs w:val="18"/>
              </w:rPr>
              <w:t>5、触针采用磷青铜，高硬度，高弹性，工作寿命长。</w:t>
            </w:r>
          </w:p>
          <w:p>
            <w:pPr>
              <w:spacing w:line="240" w:lineRule="exact"/>
              <w:jc w:val="left"/>
              <w:rPr>
                <w:color w:val="000000"/>
                <w:sz w:val="18"/>
                <w:szCs w:val="18"/>
              </w:rPr>
            </w:pPr>
            <w:r>
              <w:rPr>
                <w:rFonts w:hint="eastAsia"/>
                <w:color w:val="000000"/>
                <w:sz w:val="18"/>
                <w:szCs w:val="18"/>
              </w:rPr>
              <w:t>6、匹配线规：22－26AWG；</w:t>
            </w:r>
          </w:p>
          <w:p>
            <w:pPr>
              <w:spacing w:line="240" w:lineRule="exact"/>
              <w:jc w:val="left"/>
              <w:rPr>
                <w:color w:val="000000"/>
                <w:sz w:val="18"/>
                <w:szCs w:val="18"/>
              </w:rPr>
            </w:pPr>
            <w:r>
              <w:rPr>
                <w:rFonts w:hint="eastAsia"/>
                <w:color w:val="000000"/>
                <w:sz w:val="18"/>
                <w:szCs w:val="18"/>
              </w:rPr>
              <w:t>7、快捷打线设计，使用简易打线工具即可快速安装，提供568A/B标准打线方法。</w:t>
            </w:r>
          </w:p>
          <w:p>
            <w:pPr>
              <w:spacing w:line="240" w:lineRule="exact"/>
              <w:jc w:val="left"/>
              <w:rPr>
                <w:color w:val="000000"/>
                <w:sz w:val="18"/>
                <w:szCs w:val="18"/>
              </w:rPr>
            </w:pPr>
            <w:r>
              <w:rPr>
                <w:rFonts w:hint="eastAsia"/>
                <w:color w:val="000000"/>
                <w:sz w:val="18"/>
                <w:szCs w:val="18"/>
              </w:rPr>
              <w:t>8、耐压强度DC:1000V（AC:750V）1 Min 无击穿和飞狐现象。</w:t>
            </w:r>
          </w:p>
          <w:p>
            <w:pPr>
              <w:spacing w:line="240" w:lineRule="exact"/>
              <w:jc w:val="left"/>
              <w:rPr>
                <w:color w:val="000000"/>
                <w:sz w:val="18"/>
                <w:szCs w:val="18"/>
              </w:rPr>
            </w:pPr>
            <w:r>
              <w:rPr>
                <w:rFonts w:hint="eastAsia"/>
                <w:color w:val="000000"/>
                <w:sz w:val="18"/>
                <w:szCs w:val="18"/>
              </w:rPr>
              <w:t>10、各项性能指标达到或超过ANSI/TIA/EIA-568C-3和ISO/IEC11801规定的技术规范，提供检测报告。</w:t>
            </w:r>
          </w:p>
          <w:p>
            <w:pPr>
              <w:spacing w:line="240" w:lineRule="exact"/>
              <w:jc w:val="left"/>
              <w:rPr>
                <w:color w:val="000000"/>
                <w:sz w:val="18"/>
                <w:szCs w:val="18"/>
              </w:rPr>
            </w:pPr>
            <w:r>
              <w:rPr>
                <w:rFonts w:hint="eastAsia"/>
                <w:color w:val="000000"/>
                <w:sz w:val="18"/>
                <w:szCs w:val="18"/>
              </w:rPr>
              <w:t>11、工作温度：-20-60℃</w:t>
            </w:r>
          </w:p>
          <w:p>
            <w:pPr>
              <w:spacing w:line="240" w:lineRule="exact"/>
              <w:jc w:val="left"/>
              <w:rPr>
                <w:color w:val="000000"/>
                <w:sz w:val="18"/>
                <w:szCs w:val="18"/>
              </w:rPr>
            </w:pPr>
            <w:r>
              <w:rPr>
                <w:rFonts w:hint="eastAsia"/>
                <w:color w:val="000000"/>
                <w:sz w:val="18"/>
                <w:szCs w:val="18"/>
              </w:rPr>
              <w:t>12、提供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出具的六类模块单体和链路测试报告；</w:t>
            </w:r>
          </w:p>
          <w:p>
            <w:pPr>
              <w:spacing w:line="240" w:lineRule="exact"/>
              <w:jc w:val="left"/>
              <w:rPr>
                <w:sz w:val="20"/>
              </w:rPr>
            </w:pPr>
            <w:r>
              <w:rPr>
                <w:rFonts w:hint="eastAsia"/>
                <w:color w:val="000000"/>
                <w:sz w:val="18"/>
                <w:szCs w:val="18"/>
              </w:rPr>
              <w:t>13、提供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出具的100米六节点信道测试报告。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1500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个</w:t>
            </w:r>
          </w:p>
        </w:tc>
      </w:tr>
      <w:tr>
        <w:tblPrEx>
          <w:tblCellMar>
            <w:top w:w="0" w:type="dxa"/>
            <w:left w:w="0" w:type="dxa"/>
            <w:bottom w:w="0" w:type="dxa"/>
            <w:right w:w="0" w:type="dxa"/>
          </w:tblCellMar>
        </w:tblPrEx>
        <w:trPr>
          <w:trHeight w:val="497"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5</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6类非屏蔽24口数据配线架</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18"/>
                <w:szCs w:val="18"/>
              </w:rPr>
            </w:pPr>
            <w:r>
              <w:rPr>
                <w:rFonts w:hint="eastAsia"/>
                <w:color w:val="000000"/>
                <w:sz w:val="18"/>
                <w:szCs w:val="18"/>
              </w:rPr>
              <w:t xml:space="preserve">24口六类非屏蔽模块式空配线架，含4个塑料理线托盘，含24个六类非屏蔽模块                            </w:t>
            </w:r>
          </w:p>
          <w:p>
            <w:pPr>
              <w:spacing w:line="240" w:lineRule="exact"/>
              <w:jc w:val="left"/>
              <w:rPr>
                <w:sz w:val="20"/>
              </w:rPr>
            </w:pPr>
            <w:r>
              <w:rPr>
                <w:rFonts w:hint="eastAsia"/>
                <w:sz w:val="20"/>
              </w:rPr>
              <w:t>1、采用冷轧钢板材料，经过静电粉末喷涂处理。</w:t>
            </w:r>
          </w:p>
          <w:p>
            <w:pPr>
              <w:spacing w:line="240" w:lineRule="exact"/>
              <w:jc w:val="left"/>
              <w:rPr>
                <w:sz w:val="20"/>
              </w:rPr>
            </w:pPr>
            <w:r>
              <w:rPr>
                <w:rFonts w:hint="eastAsia"/>
                <w:sz w:val="20"/>
              </w:rPr>
              <w:t>2、整体钢板厚1.2mm，机械性能强</w:t>
            </w:r>
          </w:p>
          <w:p>
            <w:pPr>
              <w:spacing w:line="240" w:lineRule="exact"/>
              <w:jc w:val="left"/>
              <w:rPr>
                <w:sz w:val="20"/>
              </w:rPr>
            </w:pPr>
            <w:r>
              <w:rPr>
                <w:rFonts w:hint="eastAsia"/>
                <w:sz w:val="20"/>
              </w:rPr>
              <w:t>3、模块化组合，含24个六类非屏蔽模块</w:t>
            </w:r>
          </w:p>
          <w:p>
            <w:pPr>
              <w:spacing w:line="240" w:lineRule="exact"/>
              <w:jc w:val="left"/>
              <w:rPr>
                <w:sz w:val="20"/>
              </w:rPr>
            </w:pPr>
            <w:r>
              <w:rPr>
                <w:rFonts w:hint="eastAsia"/>
                <w:sz w:val="20"/>
              </w:rPr>
              <w:t>4、配线架背面配有理线托盘，用于捆扎、管理线缆，避免线缆与模块端接触，使布线系统整洁美观。</w:t>
            </w:r>
          </w:p>
          <w:p>
            <w:pPr>
              <w:spacing w:line="240" w:lineRule="exact"/>
              <w:jc w:val="left"/>
              <w:rPr>
                <w:sz w:val="20"/>
              </w:rPr>
            </w:pPr>
            <w:r>
              <w:rPr>
                <w:rFonts w:hint="eastAsia"/>
                <w:sz w:val="20"/>
              </w:rPr>
              <w:t>5、正面直观的标签区为书写标签，提供方便的管理。</w:t>
            </w:r>
          </w:p>
          <w:p>
            <w:pPr>
              <w:spacing w:line="240" w:lineRule="exact"/>
              <w:jc w:val="left"/>
              <w:rPr>
                <w:sz w:val="20"/>
              </w:rPr>
            </w:pPr>
            <w:r>
              <w:rPr>
                <w:rFonts w:hint="eastAsia"/>
                <w:sz w:val="20"/>
              </w:rPr>
              <w:t>6、对于各种线缆提供灵活、有效和安全的管理，兼容5类6类非屏蔽模块</w:t>
            </w:r>
          </w:p>
          <w:p>
            <w:pPr>
              <w:spacing w:line="240" w:lineRule="exact"/>
              <w:jc w:val="left"/>
              <w:rPr>
                <w:sz w:val="20"/>
              </w:rPr>
            </w:pPr>
            <w:r>
              <w:rPr>
                <w:rFonts w:hint="eastAsia"/>
                <w:sz w:val="20"/>
              </w:rPr>
              <w:t>7、工作温度：-20到60℃</w:t>
            </w:r>
          </w:p>
          <w:p>
            <w:pPr>
              <w:spacing w:line="240" w:lineRule="exact"/>
              <w:jc w:val="left"/>
              <w:rPr>
                <w:color w:val="000000"/>
                <w:sz w:val="20"/>
              </w:rPr>
            </w:pPr>
            <w:r>
              <w:rPr>
                <w:rFonts w:hint="eastAsia"/>
                <w:sz w:val="20"/>
              </w:rPr>
              <w:t xml:space="preserve">8、提供第三方权威机构出具的单体和链路测试报告；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40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个</w:t>
            </w:r>
          </w:p>
        </w:tc>
      </w:tr>
      <w:tr>
        <w:tblPrEx>
          <w:tblCellMar>
            <w:top w:w="0" w:type="dxa"/>
            <w:left w:w="0" w:type="dxa"/>
            <w:bottom w:w="0" w:type="dxa"/>
            <w:right w:w="0" w:type="dxa"/>
          </w:tblCellMar>
        </w:tblPrEx>
        <w:trPr>
          <w:trHeight w:val="449"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6</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理线器</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18"/>
                <w:szCs w:val="18"/>
              </w:rPr>
              <w:t>1U 琴键式理线架器，黑色                                                                         1、采用全塑胶ABS料，弹性好，强度高；</w:t>
            </w:r>
            <w:r>
              <w:rPr>
                <w:rFonts w:hint="eastAsia"/>
                <w:color w:val="000000"/>
                <w:sz w:val="18"/>
                <w:szCs w:val="18"/>
              </w:rPr>
              <w:br w:type="textWrapping"/>
            </w:r>
            <w:r>
              <w:rPr>
                <w:rFonts w:hint="eastAsia"/>
                <w:color w:val="000000"/>
                <w:sz w:val="18"/>
                <w:szCs w:val="18"/>
              </w:rPr>
              <w:t>2、配有防尘盖，有助与跳线的保护，并能使配线架美观大方；</w:t>
            </w:r>
            <w:r>
              <w:rPr>
                <w:rFonts w:hint="eastAsia"/>
                <w:color w:val="000000"/>
                <w:sz w:val="18"/>
                <w:szCs w:val="18"/>
              </w:rPr>
              <w:br w:type="textWrapping"/>
            </w:r>
            <w:r>
              <w:rPr>
                <w:rFonts w:hint="eastAsia"/>
                <w:color w:val="000000"/>
                <w:sz w:val="18"/>
                <w:szCs w:val="18"/>
              </w:rPr>
              <w:t xml:space="preserve">3、理线器容纳最多可达到48根4对线缆；   </w:t>
            </w:r>
            <w:r>
              <w:rPr>
                <w:rFonts w:hint="eastAsia"/>
                <w:color w:val="000000"/>
                <w:sz w:val="18"/>
                <w:szCs w:val="18"/>
              </w:rPr>
              <w:br w:type="textWrapping"/>
            </w:r>
            <w:r>
              <w:rPr>
                <w:rFonts w:hint="eastAsia"/>
                <w:color w:val="000000"/>
                <w:sz w:val="18"/>
                <w:szCs w:val="18"/>
              </w:rPr>
              <w:t>4、盖板可上下翻转，极易取下，方便理线操作                                                                 5、提供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出具的检验报告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40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个</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7</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6类非屏蔽数据跳线</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18"/>
                <w:szCs w:val="18"/>
              </w:rPr>
            </w:pPr>
            <w:r>
              <w:rPr>
                <w:rFonts w:hint="eastAsia"/>
                <w:color w:val="000000"/>
                <w:sz w:val="18"/>
                <w:szCs w:val="18"/>
              </w:rPr>
              <w:t>六类RJ45非屏蔽数据跳线，PVC，2米                                             1、水晶头簧片表面镀金50μ，保证了良好的接触与信号传输性能；</w:t>
            </w:r>
          </w:p>
          <w:p>
            <w:pPr>
              <w:spacing w:line="240" w:lineRule="exact"/>
              <w:rPr>
                <w:color w:val="000000"/>
                <w:sz w:val="18"/>
                <w:szCs w:val="18"/>
              </w:rPr>
            </w:pPr>
            <w:r>
              <w:rPr>
                <w:rFonts w:hint="eastAsia"/>
                <w:color w:val="000000"/>
                <w:sz w:val="18"/>
                <w:szCs w:val="18"/>
              </w:rPr>
              <w:t>2、水晶头采用多件套设置，避免线对间干扰，提升电气性能；</w:t>
            </w:r>
          </w:p>
          <w:p>
            <w:pPr>
              <w:spacing w:line="240" w:lineRule="exact"/>
              <w:rPr>
                <w:color w:val="000000"/>
                <w:sz w:val="18"/>
                <w:szCs w:val="18"/>
              </w:rPr>
            </w:pPr>
            <w:r>
              <w:rPr>
                <w:rFonts w:hint="eastAsia"/>
                <w:color w:val="000000"/>
                <w:sz w:val="18"/>
                <w:szCs w:val="18"/>
              </w:rPr>
              <w:t>3、提供不同的颜色、长度的跳线，对于线缆管理非常方便；</w:t>
            </w:r>
          </w:p>
          <w:p>
            <w:pPr>
              <w:spacing w:line="240" w:lineRule="exact"/>
              <w:rPr>
                <w:color w:val="000000"/>
                <w:sz w:val="18"/>
                <w:szCs w:val="18"/>
              </w:rPr>
            </w:pPr>
            <w:r>
              <w:rPr>
                <w:rFonts w:hint="eastAsia"/>
                <w:color w:val="000000"/>
                <w:sz w:val="18"/>
                <w:szCs w:val="18"/>
              </w:rPr>
              <w:t>4、采用多股双绞线软导体电缆，保证一定的弯曲半径；</w:t>
            </w:r>
          </w:p>
          <w:p>
            <w:pPr>
              <w:spacing w:line="240" w:lineRule="exact"/>
              <w:rPr>
                <w:color w:val="000000"/>
                <w:sz w:val="18"/>
                <w:szCs w:val="18"/>
              </w:rPr>
            </w:pPr>
            <w:r>
              <w:rPr>
                <w:rFonts w:hint="eastAsia"/>
                <w:color w:val="000000"/>
                <w:sz w:val="18"/>
                <w:szCs w:val="18"/>
              </w:rPr>
              <w:t>5、通过注塑工艺保证软线与水晶头的牢靠连接，保证了最大拉拔力100N；</w:t>
            </w:r>
          </w:p>
          <w:p>
            <w:pPr>
              <w:spacing w:line="240" w:lineRule="exact"/>
              <w:rPr>
                <w:color w:val="000000"/>
                <w:sz w:val="18"/>
                <w:szCs w:val="18"/>
              </w:rPr>
            </w:pPr>
            <w:r>
              <w:rPr>
                <w:rFonts w:hint="eastAsia"/>
                <w:color w:val="000000"/>
                <w:sz w:val="18"/>
                <w:szCs w:val="18"/>
              </w:rPr>
              <w:t>6、采用专业测试设备（Fluke）对成品跳线进行100%跳线标准检测，摒除因跳线引起的瓶颈问题；</w:t>
            </w:r>
          </w:p>
          <w:p>
            <w:pPr>
              <w:spacing w:line="240" w:lineRule="exact"/>
              <w:rPr>
                <w:color w:val="000000"/>
                <w:sz w:val="18"/>
                <w:szCs w:val="18"/>
              </w:rPr>
            </w:pPr>
            <w:r>
              <w:rPr>
                <w:rFonts w:hint="eastAsia"/>
                <w:color w:val="000000"/>
                <w:sz w:val="18"/>
                <w:szCs w:val="18"/>
              </w:rPr>
              <w:t>7、插拔次数大于等于1500次；</w:t>
            </w:r>
          </w:p>
          <w:p>
            <w:pPr>
              <w:spacing w:line="240" w:lineRule="exact"/>
              <w:rPr>
                <w:color w:val="000000"/>
                <w:sz w:val="18"/>
                <w:szCs w:val="18"/>
              </w:rPr>
            </w:pPr>
            <w:r>
              <w:rPr>
                <w:rFonts w:hint="eastAsia"/>
                <w:color w:val="000000"/>
                <w:sz w:val="18"/>
                <w:szCs w:val="18"/>
              </w:rPr>
              <w:t xml:space="preserve">8、传输带宽六类250MHz； </w:t>
            </w:r>
          </w:p>
          <w:p>
            <w:pPr>
              <w:spacing w:line="240" w:lineRule="exact"/>
              <w:rPr>
                <w:color w:val="000000"/>
                <w:sz w:val="18"/>
                <w:szCs w:val="18"/>
              </w:rPr>
            </w:pPr>
            <w:r>
              <w:rPr>
                <w:rFonts w:hint="eastAsia"/>
                <w:color w:val="000000"/>
                <w:sz w:val="18"/>
                <w:szCs w:val="18"/>
              </w:rPr>
              <w:t>9、标准：符合TIA/EIA-568C、ISO11801、EN50173标准；</w:t>
            </w:r>
          </w:p>
          <w:p>
            <w:pPr>
              <w:spacing w:line="240" w:lineRule="exact"/>
              <w:rPr>
                <w:color w:val="000000"/>
                <w:sz w:val="18"/>
                <w:szCs w:val="18"/>
              </w:rPr>
            </w:pPr>
            <w:r>
              <w:rPr>
                <w:rFonts w:hint="eastAsia"/>
                <w:color w:val="000000"/>
                <w:sz w:val="18"/>
                <w:szCs w:val="18"/>
              </w:rPr>
              <w:t>10、护套材料：PVC(聚氯乙烯)或LSZH；</w:t>
            </w:r>
          </w:p>
          <w:p>
            <w:pPr>
              <w:spacing w:line="240" w:lineRule="exact"/>
              <w:rPr>
                <w:color w:val="000000"/>
                <w:sz w:val="18"/>
                <w:szCs w:val="18"/>
              </w:rPr>
            </w:pPr>
            <w:r>
              <w:rPr>
                <w:rFonts w:hint="eastAsia"/>
                <w:color w:val="000000"/>
                <w:sz w:val="18"/>
                <w:szCs w:val="18"/>
              </w:rPr>
              <w:t>11、工作温度：-20到60℃；</w:t>
            </w:r>
          </w:p>
          <w:p>
            <w:pPr>
              <w:spacing w:line="240" w:lineRule="exact"/>
              <w:rPr>
                <w:color w:val="000000"/>
                <w:sz w:val="20"/>
              </w:rPr>
            </w:pPr>
            <w:r>
              <w:rPr>
                <w:rFonts w:hint="eastAsia"/>
                <w:color w:val="000000"/>
                <w:sz w:val="18"/>
                <w:szCs w:val="18"/>
              </w:rPr>
              <w:t>12、提供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出具的六类线缆单体测试报告。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1500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8</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42U网络机柜</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18"/>
                <w:szCs w:val="18"/>
              </w:rPr>
              <w:t>42U 19"标准网络机柜，600*600*2000mm，前后金属网孔门，前门单开，后门双开网孔门，含脚轮4个，风扇2个，层板3块，选用冷轧钢板，表面采用静电喷涂工艺，防锈美观，黑色                                                                                                                             1、侧门和前后门均可拆卸；</w:t>
            </w:r>
            <w:r>
              <w:rPr>
                <w:rFonts w:hint="eastAsia"/>
                <w:color w:val="000000"/>
                <w:sz w:val="18"/>
                <w:szCs w:val="18"/>
              </w:rPr>
              <w:br w:type="textWrapping"/>
            </w:r>
            <w:r>
              <w:rPr>
                <w:rFonts w:hint="eastAsia"/>
                <w:color w:val="000000"/>
                <w:sz w:val="18"/>
                <w:szCs w:val="18"/>
              </w:rPr>
              <w:t>2、配线架等设备可通过立柱自动完成接地；</w:t>
            </w:r>
            <w:r>
              <w:rPr>
                <w:rFonts w:hint="eastAsia"/>
                <w:color w:val="000000"/>
                <w:sz w:val="18"/>
                <w:szCs w:val="18"/>
              </w:rPr>
              <w:br w:type="textWrapping"/>
            </w:r>
            <w:r>
              <w:rPr>
                <w:rFonts w:hint="eastAsia"/>
                <w:color w:val="000000"/>
                <w:sz w:val="18"/>
                <w:szCs w:val="18"/>
              </w:rPr>
              <w:t>3、侧门及前后门带钥匙锁设计；</w:t>
            </w:r>
            <w:r>
              <w:rPr>
                <w:rFonts w:hint="eastAsia"/>
                <w:color w:val="000000"/>
                <w:sz w:val="18"/>
                <w:szCs w:val="18"/>
              </w:rPr>
              <w:br w:type="textWrapping"/>
            </w:r>
            <w:r>
              <w:rPr>
                <w:rFonts w:hint="eastAsia"/>
                <w:color w:val="000000"/>
                <w:sz w:val="18"/>
                <w:szCs w:val="18"/>
              </w:rPr>
              <w:t>4、立柱可支持前后调节；</w:t>
            </w:r>
            <w:r>
              <w:rPr>
                <w:rFonts w:hint="eastAsia"/>
                <w:color w:val="000000"/>
                <w:sz w:val="18"/>
                <w:szCs w:val="18"/>
              </w:rPr>
              <w:br w:type="textWrapping"/>
            </w:r>
            <w:r>
              <w:rPr>
                <w:rFonts w:hint="eastAsia"/>
                <w:color w:val="000000"/>
                <w:sz w:val="18"/>
                <w:szCs w:val="18"/>
              </w:rPr>
              <w:t>5、机柜顶部和底部预制敲落孔，方便进线管理；</w:t>
            </w:r>
            <w:r>
              <w:rPr>
                <w:rFonts w:hint="eastAsia"/>
                <w:color w:val="000000"/>
                <w:sz w:val="18"/>
                <w:szCs w:val="18"/>
              </w:rPr>
              <w:br w:type="textWrapping"/>
            </w:r>
            <w:r>
              <w:rPr>
                <w:rFonts w:hint="eastAsia"/>
                <w:color w:val="000000"/>
                <w:sz w:val="18"/>
                <w:szCs w:val="18"/>
              </w:rPr>
              <w:t>6、框架立柱 1.5mm；</w:t>
            </w:r>
            <w:r>
              <w:rPr>
                <w:rFonts w:hint="eastAsia"/>
                <w:color w:val="000000"/>
                <w:sz w:val="18"/>
                <w:szCs w:val="18"/>
              </w:rPr>
              <w:br w:type="textWrapping"/>
            </w:r>
            <w:r>
              <w:rPr>
                <w:rFonts w:hint="eastAsia"/>
                <w:color w:val="000000"/>
                <w:sz w:val="18"/>
                <w:szCs w:val="18"/>
              </w:rPr>
              <w:t>7、功能立柱 1.5mm；</w:t>
            </w:r>
            <w:r>
              <w:rPr>
                <w:rFonts w:hint="eastAsia"/>
                <w:color w:val="000000"/>
                <w:sz w:val="18"/>
                <w:szCs w:val="18"/>
              </w:rPr>
              <w:br w:type="textWrapping"/>
            </w:r>
            <w:r>
              <w:rPr>
                <w:rFonts w:hint="eastAsia"/>
                <w:color w:val="000000"/>
                <w:sz w:val="18"/>
                <w:szCs w:val="18"/>
              </w:rPr>
              <w:t>8、前门：单开金属网孔门；</w:t>
            </w:r>
            <w:r>
              <w:rPr>
                <w:rFonts w:hint="eastAsia"/>
                <w:color w:val="000000"/>
                <w:sz w:val="18"/>
                <w:szCs w:val="18"/>
              </w:rPr>
              <w:br w:type="textWrapping"/>
            </w:r>
            <w:r>
              <w:rPr>
                <w:rFonts w:hint="eastAsia"/>
                <w:color w:val="000000"/>
                <w:sz w:val="18"/>
                <w:szCs w:val="18"/>
              </w:rPr>
              <w:t>9、后门/侧门：0.8mm金属板；</w:t>
            </w:r>
            <w:r>
              <w:rPr>
                <w:rFonts w:hint="eastAsia"/>
                <w:color w:val="000000"/>
                <w:sz w:val="18"/>
                <w:szCs w:val="18"/>
              </w:rPr>
              <w:br w:type="textWrapping"/>
            </w:r>
            <w:r>
              <w:rPr>
                <w:rFonts w:hint="eastAsia"/>
                <w:color w:val="000000"/>
                <w:sz w:val="18"/>
                <w:szCs w:val="18"/>
              </w:rPr>
              <w:t>10、层板/托盘：1.2mm金属板；</w:t>
            </w:r>
            <w:r>
              <w:rPr>
                <w:rFonts w:hint="eastAsia"/>
                <w:color w:val="000000"/>
                <w:sz w:val="18"/>
                <w:szCs w:val="18"/>
              </w:rPr>
              <w:br w:type="textWrapping"/>
            </w:r>
            <w:r>
              <w:rPr>
                <w:rFonts w:hint="eastAsia"/>
                <w:color w:val="000000"/>
                <w:sz w:val="18"/>
                <w:szCs w:val="18"/>
              </w:rPr>
              <w:t>11、颜色：黑色RAL9011；</w:t>
            </w:r>
            <w:r>
              <w:rPr>
                <w:rFonts w:hint="eastAsia"/>
                <w:color w:val="000000"/>
                <w:sz w:val="18"/>
                <w:szCs w:val="18"/>
              </w:rPr>
              <w:br w:type="textWrapping"/>
            </w:r>
            <w:r>
              <w:rPr>
                <w:rFonts w:hint="eastAsia"/>
                <w:color w:val="000000"/>
                <w:sz w:val="18"/>
                <w:szCs w:val="18"/>
              </w:rPr>
              <w:t xml:space="preserve">12、承重：600kg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2</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台</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9</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9U壁挂式网络机柜</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18"/>
                <w:szCs w:val="18"/>
              </w:rPr>
              <w:t>9U 19"标准壁挂式网络机柜，600*450*500mm，前玻璃门，前门单开，选用冷轧钢板，表面采用静电喷涂工艺，防锈美观，黑色                                                                           1、侧门和前门均可拆卸；</w:t>
            </w:r>
            <w:r>
              <w:rPr>
                <w:rFonts w:hint="eastAsia"/>
                <w:color w:val="000000"/>
                <w:sz w:val="18"/>
                <w:szCs w:val="18"/>
              </w:rPr>
              <w:br w:type="textWrapping"/>
            </w:r>
            <w:r>
              <w:rPr>
                <w:rFonts w:hint="eastAsia"/>
                <w:color w:val="000000"/>
                <w:sz w:val="18"/>
                <w:szCs w:val="18"/>
              </w:rPr>
              <w:t>2、侧门及前门带钥匙锁设计；</w:t>
            </w:r>
            <w:r>
              <w:rPr>
                <w:rFonts w:hint="eastAsia"/>
                <w:color w:val="000000"/>
                <w:sz w:val="18"/>
                <w:szCs w:val="18"/>
              </w:rPr>
              <w:br w:type="textWrapping"/>
            </w:r>
            <w:r>
              <w:rPr>
                <w:rFonts w:hint="eastAsia"/>
                <w:color w:val="000000"/>
                <w:sz w:val="18"/>
                <w:szCs w:val="18"/>
              </w:rPr>
              <w:t>3、立柱可支持前后调节；</w:t>
            </w:r>
            <w:r>
              <w:rPr>
                <w:rFonts w:hint="eastAsia"/>
                <w:color w:val="000000"/>
                <w:sz w:val="18"/>
                <w:szCs w:val="18"/>
              </w:rPr>
              <w:br w:type="textWrapping"/>
            </w:r>
            <w:r>
              <w:rPr>
                <w:rFonts w:hint="eastAsia"/>
                <w:color w:val="000000"/>
                <w:sz w:val="18"/>
                <w:szCs w:val="18"/>
              </w:rPr>
              <w:t>4、机柜顶部和底部预制敲落孔，方便进线管理；</w:t>
            </w:r>
            <w:r>
              <w:rPr>
                <w:rFonts w:hint="eastAsia"/>
                <w:color w:val="000000"/>
                <w:sz w:val="18"/>
                <w:szCs w:val="18"/>
              </w:rPr>
              <w:br w:type="textWrapping"/>
            </w:r>
            <w:r>
              <w:rPr>
                <w:rFonts w:hint="eastAsia"/>
                <w:color w:val="000000"/>
                <w:sz w:val="18"/>
                <w:szCs w:val="18"/>
              </w:rPr>
              <w:t>5、框架立柱 1.2mm；</w:t>
            </w:r>
            <w:r>
              <w:rPr>
                <w:rFonts w:hint="eastAsia"/>
                <w:color w:val="000000"/>
                <w:sz w:val="18"/>
                <w:szCs w:val="18"/>
              </w:rPr>
              <w:br w:type="textWrapping"/>
            </w:r>
            <w:r>
              <w:rPr>
                <w:rFonts w:hint="eastAsia"/>
                <w:color w:val="000000"/>
                <w:sz w:val="18"/>
                <w:szCs w:val="18"/>
              </w:rPr>
              <w:t>6、功能立柱 1.5mm；</w:t>
            </w:r>
            <w:r>
              <w:rPr>
                <w:rFonts w:hint="eastAsia"/>
                <w:color w:val="000000"/>
                <w:sz w:val="18"/>
                <w:szCs w:val="18"/>
              </w:rPr>
              <w:br w:type="textWrapping"/>
            </w:r>
            <w:r>
              <w:rPr>
                <w:rFonts w:hint="eastAsia"/>
                <w:color w:val="000000"/>
                <w:sz w:val="18"/>
                <w:szCs w:val="18"/>
              </w:rPr>
              <w:t>7、前门：单开5mm厚钢化玻璃门；</w:t>
            </w:r>
            <w:r>
              <w:rPr>
                <w:rFonts w:hint="eastAsia"/>
                <w:color w:val="000000"/>
                <w:sz w:val="18"/>
                <w:szCs w:val="18"/>
              </w:rPr>
              <w:br w:type="textWrapping"/>
            </w:r>
            <w:r>
              <w:rPr>
                <w:rFonts w:hint="eastAsia"/>
                <w:color w:val="000000"/>
                <w:sz w:val="18"/>
                <w:szCs w:val="18"/>
              </w:rPr>
              <w:t>8、侧门/后门：0.8mm金属板/1.5mm金属板；</w:t>
            </w:r>
            <w:r>
              <w:rPr>
                <w:rFonts w:hint="eastAsia"/>
                <w:color w:val="000000"/>
                <w:sz w:val="18"/>
                <w:szCs w:val="18"/>
              </w:rPr>
              <w:br w:type="textWrapping"/>
            </w:r>
            <w:r>
              <w:rPr>
                <w:rFonts w:hint="eastAsia"/>
                <w:color w:val="000000"/>
                <w:sz w:val="18"/>
                <w:szCs w:val="18"/>
              </w:rPr>
              <w:t>9、颜色：黑色RAL9011；</w:t>
            </w:r>
            <w:r>
              <w:rPr>
                <w:rFonts w:hint="eastAsia"/>
                <w:color w:val="000000"/>
                <w:sz w:val="18"/>
                <w:szCs w:val="18"/>
              </w:rPr>
              <w:br w:type="textWrapping"/>
            </w:r>
            <w:r>
              <w:rPr>
                <w:rFonts w:hint="eastAsia"/>
                <w:color w:val="000000"/>
                <w:sz w:val="18"/>
                <w:szCs w:val="18"/>
              </w:rPr>
              <w:t xml:space="preserve">10、承重：65kg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49</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台</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10</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rFonts w:eastAsiaTheme="minorEastAsia"/>
                <w:color w:val="000000"/>
                <w:sz w:val="20"/>
              </w:rPr>
            </w:pPr>
            <w:r>
              <w:rPr>
                <w:rFonts w:hint="eastAsia"/>
                <w:color w:val="000000"/>
                <w:sz w:val="20"/>
              </w:rPr>
              <w:t>PDU插座</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rPr>
                <w:rFonts w:eastAsiaTheme="minorEastAsia"/>
                <w:color w:val="000000"/>
                <w:sz w:val="20"/>
              </w:rPr>
            </w:pPr>
            <w:r>
              <w:rPr>
                <w:rFonts w:hint="eastAsia"/>
                <w:color w:val="000000"/>
                <w:sz w:val="20"/>
              </w:rPr>
              <w:t>8位水平PDU，10A输入，接线盒接线方式，GB1002标准，8位国标10A三扁输出，水平安装方式，带电源指示灯，黑色</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65</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个</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11</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光纤跳线1</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FC-LC双芯万兆单模光纤跳线，OM3，LSZH，5米</w:t>
            </w:r>
          </w:p>
          <w:p>
            <w:pPr>
              <w:tabs>
                <w:tab w:val="left" w:pos="977"/>
              </w:tabs>
              <w:spacing w:line="240" w:lineRule="exact"/>
              <w:jc w:val="left"/>
              <w:rPr>
                <w:color w:val="000000"/>
                <w:sz w:val="20"/>
              </w:rPr>
            </w:pPr>
            <w:r>
              <w:rPr>
                <w:rFonts w:hint="eastAsia"/>
                <w:color w:val="000000"/>
                <w:sz w:val="20"/>
              </w:rPr>
              <w:t>1、 工业标准100%光学测试—确保可靠性；</w:t>
            </w:r>
            <w:r>
              <w:rPr>
                <w:rFonts w:hint="eastAsia"/>
                <w:color w:val="000000"/>
                <w:sz w:val="20"/>
              </w:rPr>
              <w:br w:type="textWrapping"/>
            </w:r>
            <w:r>
              <w:rPr>
                <w:rFonts w:hint="eastAsia"/>
                <w:color w:val="000000"/>
                <w:sz w:val="20"/>
              </w:rPr>
              <w:t>2、 低插入损耗，高回波损耗性能高于标准要求；</w:t>
            </w:r>
            <w:r>
              <w:rPr>
                <w:rFonts w:hint="eastAsia"/>
                <w:color w:val="000000"/>
                <w:sz w:val="20"/>
              </w:rPr>
              <w:br w:type="textWrapping"/>
            </w:r>
            <w:r>
              <w:rPr>
                <w:rFonts w:hint="eastAsia"/>
                <w:color w:val="000000"/>
                <w:sz w:val="20"/>
              </w:rPr>
              <w:t>3、 高质量陶瓷套管提供低插入损耗和耐用性；</w:t>
            </w:r>
            <w:r>
              <w:rPr>
                <w:rFonts w:hint="eastAsia"/>
                <w:color w:val="000000"/>
                <w:sz w:val="20"/>
              </w:rPr>
              <w:br w:type="textWrapping"/>
            </w:r>
            <w:r>
              <w:rPr>
                <w:rFonts w:hint="eastAsia"/>
                <w:color w:val="000000"/>
                <w:sz w:val="20"/>
              </w:rPr>
              <w:t>4、 光纤为G657A2抗弯曲光纤，最小弯曲半径都是7.5mm。</w:t>
            </w:r>
            <w:r>
              <w:rPr>
                <w:rFonts w:hint="eastAsia"/>
                <w:color w:val="000000"/>
                <w:sz w:val="20"/>
              </w:rPr>
              <w:br w:type="textWrapping"/>
            </w:r>
            <w:r>
              <w:rPr>
                <w:rFonts w:hint="eastAsia"/>
                <w:color w:val="000000"/>
                <w:sz w:val="20"/>
              </w:rPr>
              <w:t>5、 插入损耗：≤0.25dB, 回波损耗：≥55dB</w:t>
            </w:r>
            <w:r>
              <w:rPr>
                <w:rFonts w:hint="eastAsia"/>
                <w:color w:val="000000"/>
                <w:sz w:val="20"/>
              </w:rPr>
              <w:br w:type="textWrapping"/>
            </w:r>
            <w:r>
              <w:rPr>
                <w:rFonts w:hint="eastAsia"/>
                <w:color w:val="000000"/>
                <w:sz w:val="20"/>
              </w:rPr>
              <w:t>6、 震动实验附加损耗≤0.1 dB</w:t>
            </w:r>
            <w:r>
              <w:rPr>
                <w:rFonts w:hint="eastAsia"/>
                <w:color w:val="000000"/>
                <w:sz w:val="20"/>
              </w:rPr>
              <w:br w:type="textWrapping"/>
            </w:r>
            <w:r>
              <w:rPr>
                <w:rFonts w:hint="eastAsia"/>
                <w:color w:val="000000"/>
                <w:sz w:val="20"/>
              </w:rPr>
              <w:t xml:space="preserve">7、 温度循环附加损耗≤0.1 dB      </w:t>
            </w:r>
            <w:r>
              <w:rPr>
                <w:rFonts w:hint="eastAsia"/>
                <w:color w:val="000000"/>
                <w:sz w:val="20"/>
              </w:rPr>
              <w:br w:type="textWrapping"/>
            </w:r>
            <w:r>
              <w:rPr>
                <w:rFonts w:hint="eastAsia"/>
                <w:color w:val="000000"/>
                <w:sz w:val="20"/>
              </w:rPr>
              <w:t>8、 符合相关标准：ISO11801,TIA/EIA-568-B.2,IEC-60793</w:t>
            </w:r>
            <w:r>
              <w:rPr>
                <w:rFonts w:hint="eastAsia"/>
                <w:color w:val="000000"/>
                <w:sz w:val="20"/>
              </w:rPr>
              <w:br w:type="textWrapping"/>
            </w:r>
            <w:r>
              <w:rPr>
                <w:rFonts w:hint="eastAsia"/>
                <w:color w:val="000000"/>
                <w:sz w:val="20"/>
              </w:rPr>
              <w:t xml:space="preserve">9、 </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 xml:space="preserve">测试报告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20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12</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rFonts w:eastAsiaTheme="minorEastAsia"/>
                <w:color w:val="000000"/>
                <w:sz w:val="20"/>
              </w:rPr>
            </w:pPr>
            <w:r>
              <w:rPr>
                <w:rFonts w:hint="eastAsia"/>
                <w:color w:val="000000"/>
                <w:sz w:val="20"/>
              </w:rPr>
              <w:t>光纤跳线2</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FC-LC双芯万兆单模光纤跳线，OM3，LSZH，3米</w:t>
            </w:r>
          </w:p>
          <w:p>
            <w:pPr>
              <w:tabs>
                <w:tab w:val="left" w:pos="977"/>
              </w:tabs>
              <w:spacing w:line="240" w:lineRule="exact"/>
              <w:jc w:val="left"/>
              <w:rPr>
                <w:color w:val="000000"/>
                <w:sz w:val="20"/>
              </w:rPr>
            </w:pPr>
            <w:r>
              <w:rPr>
                <w:rFonts w:hint="eastAsia"/>
                <w:color w:val="000000"/>
                <w:sz w:val="20"/>
              </w:rPr>
              <w:t>1、 工业标准100%光学测试—确保可靠性；</w:t>
            </w:r>
            <w:r>
              <w:rPr>
                <w:rFonts w:hint="eastAsia"/>
                <w:color w:val="000000"/>
                <w:sz w:val="20"/>
              </w:rPr>
              <w:br w:type="textWrapping"/>
            </w:r>
            <w:r>
              <w:rPr>
                <w:rFonts w:hint="eastAsia"/>
                <w:color w:val="000000"/>
                <w:sz w:val="20"/>
              </w:rPr>
              <w:t>2、 低插入损耗，高回波损耗性能高于标准要求；</w:t>
            </w:r>
            <w:r>
              <w:rPr>
                <w:rFonts w:hint="eastAsia"/>
                <w:color w:val="000000"/>
                <w:sz w:val="20"/>
              </w:rPr>
              <w:br w:type="textWrapping"/>
            </w:r>
            <w:r>
              <w:rPr>
                <w:rFonts w:hint="eastAsia"/>
                <w:color w:val="000000"/>
                <w:sz w:val="20"/>
              </w:rPr>
              <w:t>3、 高质量陶瓷套管提供低插入损耗和耐用性；</w:t>
            </w:r>
            <w:r>
              <w:rPr>
                <w:rFonts w:hint="eastAsia"/>
                <w:color w:val="000000"/>
                <w:sz w:val="20"/>
              </w:rPr>
              <w:br w:type="textWrapping"/>
            </w:r>
            <w:r>
              <w:rPr>
                <w:rFonts w:hint="eastAsia"/>
                <w:color w:val="000000"/>
                <w:sz w:val="20"/>
              </w:rPr>
              <w:t>4、 光纤为G657A2抗弯曲光纤，最小弯曲半径都是7.5mm。</w:t>
            </w:r>
            <w:r>
              <w:rPr>
                <w:rFonts w:hint="eastAsia"/>
                <w:color w:val="000000"/>
                <w:sz w:val="20"/>
              </w:rPr>
              <w:br w:type="textWrapping"/>
            </w:r>
            <w:r>
              <w:rPr>
                <w:rFonts w:hint="eastAsia"/>
                <w:color w:val="000000"/>
                <w:sz w:val="20"/>
              </w:rPr>
              <w:t>5、 插入损耗：≤0.25dB, 回波损耗：≥55dB</w:t>
            </w:r>
            <w:r>
              <w:rPr>
                <w:rFonts w:hint="eastAsia"/>
                <w:color w:val="000000"/>
                <w:sz w:val="20"/>
              </w:rPr>
              <w:br w:type="textWrapping"/>
            </w:r>
            <w:r>
              <w:rPr>
                <w:rFonts w:hint="eastAsia"/>
                <w:color w:val="000000"/>
                <w:sz w:val="20"/>
              </w:rPr>
              <w:t>6、 震动实验附加损耗≤0.1 dB</w:t>
            </w:r>
            <w:r>
              <w:rPr>
                <w:rFonts w:hint="eastAsia"/>
                <w:color w:val="000000"/>
                <w:sz w:val="20"/>
              </w:rPr>
              <w:br w:type="textWrapping"/>
            </w:r>
            <w:r>
              <w:rPr>
                <w:rFonts w:hint="eastAsia"/>
                <w:color w:val="000000"/>
                <w:sz w:val="20"/>
              </w:rPr>
              <w:t xml:space="preserve">7、 温度循环附加损耗≤0.1 dB      </w:t>
            </w:r>
            <w:r>
              <w:rPr>
                <w:rFonts w:hint="eastAsia"/>
                <w:color w:val="000000"/>
                <w:sz w:val="20"/>
              </w:rPr>
              <w:br w:type="textWrapping"/>
            </w:r>
            <w:r>
              <w:rPr>
                <w:rFonts w:hint="eastAsia"/>
                <w:color w:val="000000"/>
                <w:sz w:val="20"/>
              </w:rPr>
              <w:t>8、 符合相关标准：ISO11801,TIA/EIA-568-B.2,IEC-60793</w:t>
            </w:r>
            <w:r>
              <w:rPr>
                <w:rFonts w:hint="eastAsia"/>
                <w:color w:val="000000"/>
                <w:sz w:val="20"/>
              </w:rPr>
              <w:br w:type="textWrapping"/>
            </w:r>
            <w:r>
              <w:rPr>
                <w:rFonts w:hint="eastAsia"/>
                <w:color w:val="000000"/>
                <w:sz w:val="20"/>
              </w:rPr>
              <w:t>9、</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70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13</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光纤跳线3</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LC-LC双芯万兆单模光纤跳线，OM3，LSZH，5米</w:t>
            </w:r>
          </w:p>
          <w:p>
            <w:pPr>
              <w:tabs>
                <w:tab w:val="left" w:pos="977"/>
              </w:tabs>
              <w:spacing w:line="240" w:lineRule="exact"/>
              <w:jc w:val="left"/>
              <w:rPr>
                <w:color w:val="000000"/>
                <w:sz w:val="20"/>
              </w:rPr>
            </w:pPr>
            <w:r>
              <w:rPr>
                <w:rFonts w:hint="eastAsia"/>
                <w:color w:val="000000"/>
                <w:sz w:val="20"/>
              </w:rPr>
              <w:t>1、 工业标准100%光学测试—确保可靠性；</w:t>
            </w:r>
            <w:r>
              <w:rPr>
                <w:rFonts w:hint="eastAsia"/>
                <w:color w:val="000000"/>
                <w:sz w:val="20"/>
              </w:rPr>
              <w:br w:type="textWrapping"/>
            </w:r>
            <w:r>
              <w:rPr>
                <w:rFonts w:hint="eastAsia"/>
                <w:color w:val="000000"/>
                <w:sz w:val="20"/>
              </w:rPr>
              <w:t>2、 低插入损耗，高回波损耗性能高于标准要求；</w:t>
            </w:r>
            <w:r>
              <w:rPr>
                <w:rFonts w:hint="eastAsia"/>
                <w:color w:val="000000"/>
                <w:sz w:val="20"/>
              </w:rPr>
              <w:br w:type="textWrapping"/>
            </w:r>
            <w:r>
              <w:rPr>
                <w:rFonts w:hint="eastAsia"/>
                <w:color w:val="000000"/>
                <w:sz w:val="20"/>
              </w:rPr>
              <w:t>3、 高质量陶瓷套管提供低插入损耗和耐用性；</w:t>
            </w:r>
            <w:r>
              <w:rPr>
                <w:rFonts w:hint="eastAsia"/>
                <w:color w:val="000000"/>
                <w:sz w:val="20"/>
              </w:rPr>
              <w:br w:type="textWrapping"/>
            </w:r>
            <w:r>
              <w:rPr>
                <w:rFonts w:hint="eastAsia"/>
                <w:color w:val="000000"/>
                <w:sz w:val="20"/>
              </w:rPr>
              <w:t>4、 光纤为G657A2抗弯曲光纤，最小弯曲半径都是7.5mm。</w:t>
            </w:r>
            <w:r>
              <w:rPr>
                <w:rFonts w:hint="eastAsia"/>
                <w:color w:val="000000"/>
                <w:sz w:val="20"/>
              </w:rPr>
              <w:br w:type="textWrapping"/>
            </w:r>
            <w:r>
              <w:rPr>
                <w:rFonts w:hint="eastAsia"/>
                <w:color w:val="000000"/>
                <w:sz w:val="20"/>
              </w:rPr>
              <w:t>5、 插入损耗：≤0.25dB, 回波损耗：≥55dB</w:t>
            </w:r>
            <w:r>
              <w:rPr>
                <w:rFonts w:hint="eastAsia"/>
                <w:color w:val="000000"/>
                <w:sz w:val="20"/>
              </w:rPr>
              <w:br w:type="textWrapping"/>
            </w:r>
            <w:r>
              <w:rPr>
                <w:rFonts w:hint="eastAsia"/>
                <w:color w:val="000000"/>
                <w:sz w:val="20"/>
              </w:rPr>
              <w:t>6、 震动实验附加损耗≤0.1 dB</w:t>
            </w:r>
            <w:r>
              <w:rPr>
                <w:rFonts w:hint="eastAsia"/>
                <w:color w:val="000000"/>
                <w:sz w:val="20"/>
              </w:rPr>
              <w:br w:type="textWrapping"/>
            </w:r>
            <w:r>
              <w:rPr>
                <w:rFonts w:hint="eastAsia"/>
                <w:color w:val="000000"/>
                <w:sz w:val="20"/>
              </w:rPr>
              <w:t xml:space="preserve">7、 温度循环附加损耗≤0.1 dB      </w:t>
            </w:r>
            <w:r>
              <w:rPr>
                <w:rFonts w:hint="eastAsia"/>
                <w:color w:val="000000"/>
                <w:sz w:val="20"/>
              </w:rPr>
              <w:br w:type="textWrapping"/>
            </w:r>
            <w:r>
              <w:rPr>
                <w:rFonts w:hint="eastAsia"/>
                <w:color w:val="000000"/>
                <w:sz w:val="20"/>
              </w:rPr>
              <w:t>8、 符合相关标准：ISO11801,TIA/EIA-568-B.2,IEC-60793</w:t>
            </w:r>
            <w:r>
              <w:rPr>
                <w:rFonts w:hint="eastAsia"/>
                <w:color w:val="000000"/>
                <w:sz w:val="20"/>
              </w:rPr>
              <w:br w:type="textWrapping"/>
            </w:r>
            <w:r>
              <w:rPr>
                <w:rFonts w:hint="eastAsia"/>
                <w:color w:val="000000"/>
                <w:sz w:val="20"/>
              </w:rPr>
              <w:t xml:space="preserve">9、 </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40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14</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光纤跳线4</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LC-LC双芯万兆单模光纤跳线，OM3，LSZH，3米</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50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15</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光纤跳线5</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LC-LC双芯万兆多模光纤跳线，OM3，LSZH，10米</w:t>
            </w:r>
          </w:p>
          <w:p>
            <w:pPr>
              <w:tabs>
                <w:tab w:val="left" w:pos="977"/>
              </w:tabs>
              <w:spacing w:line="240" w:lineRule="exact"/>
              <w:jc w:val="left"/>
              <w:rPr>
                <w:color w:val="000000"/>
                <w:sz w:val="20"/>
              </w:rPr>
            </w:pPr>
            <w:r>
              <w:rPr>
                <w:rFonts w:hint="eastAsia"/>
                <w:color w:val="000000"/>
                <w:sz w:val="20"/>
              </w:rPr>
              <w:t>1、 工业标准100%光学测试—确保可靠性；</w:t>
            </w:r>
            <w:r>
              <w:rPr>
                <w:rFonts w:hint="eastAsia"/>
                <w:color w:val="000000"/>
                <w:sz w:val="20"/>
              </w:rPr>
              <w:br w:type="textWrapping"/>
            </w:r>
            <w:r>
              <w:rPr>
                <w:rFonts w:hint="eastAsia"/>
                <w:color w:val="000000"/>
                <w:sz w:val="20"/>
              </w:rPr>
              <w:t>2、 低插入损耗，高回波损耗性能高于标准要求；</w:t>
            </w:r>
            <w:r>
              <w:rPr>
                <w:rFonts w:hint="eastAsia"/>
                <w:color w:val="000000"/>
                <w:sz w:val="20"/>
              </w:rPr>
              <w:br w:type="textWrapping"/>
            </w:r>
            <w:r>
              <w:rPr>
                <w:rFonts w:hint="eastAsia"/>
                <w:color w:val="000000"/>
                <w:sz w:val="20"/>
              </w:rPr>
              <w:t>3、 高质量陶瓷套管提供低插入损耗和耐用性；</w:t>
            </w:r>
            <w:r>
              <w:rPr>
                <w:rFonts w:hint="eastAsia"/>
                <w:color w:val="000000"/>
                <w:sz w:val="20"/>
              </w:rPr>
              <w:br w:type="textWrapping"/>
            </w:r>
            <w:r>
              <w:rPr>
                <w:rFonts w:hint="eastAsia"/>
                <w:color w:val="000000"/>
                <w:sz w:val="20"/>
              </w:rPr>
              <w:t>4、 光纤为G657A2抗弯曲光纤，最小弯曲半径都是7.5mm。</w:t>
            </w:r>
            <w:r>
              <w:rPr>
                <w:rFonts w:hint="eastAsia"/>
                <w:color w:val="000000"/>
                <w:sz w:val="20"/>
              </w:rPr>
              <w:br w:type="textWrapping"/>
            </w:r>
            <w:r>
              <w:rPr>
                <w:rFonts w:hint="eastAsia"/>
                <w:color w:val="000000"/>
                <w:sz w:val="20"/>
              </w:rPr>
              <w:t>5、 插入损耗：≤0.25dB, 回波损耗：≥55dB</w:t>
            </w:r>
            <w:r>
              <w:rPr>
                <w:rFonts w:hint="eastAsia"/>
                <w:color w:val="000000"/>
                <w:sz w:val="20"/>
              </w:rPr>
              <w:br w:type="textWrapping"/>
            </w:r>
            <w:r>
              <w:rPr>
                <w:rFonts w:hint="eastAsia"/>
                <w:color w:val="000000"/>
                <w:sz w:val="20"/>
              </w:rPr>
              <w:t>6、 震动实验附加损耗≤0.1 dB</w:t>
            </w:r>
            <w:r>
              <w:rPr>
                <w:rFonts w:hint="eastAsia"/>
                <w:color w:val="000000"/>
                <w:sz w:val="20"/>
              </w:rPr>
              <w:br w:type="textWrapping"/>
            </w:r>
            <w:r>
              <w:rPr>
                <w:rFonts w:hint="eastAsia"/>
                <w:color w:val="000000"/>
                <w:sz w:val="20"/>
              </w:rPr>
              <w:t xml:space="preserve">7、 温度循环附加损耗≤0.1 dB      </w:t>
            </w:r>
            <w:r>
              <w:rPr>
                <w:rFonts w:hint="eastAsia"/>
                <w:color w:val="000000"/>
                <w:sz w:val="20"/>
              </w:rPr>
              <w:br w:type="textWrapping"/>
            </w:r>
            <w:r>
              <w:rPr>
                <w:rFonts w:hint="eastAsia"/>
                <w:color w:val="000000"/>
                <w:sz w:val="20"/>
              </w:rPr>
              <w:t>8、 符合相关标准：ISO11801,TIA/EIA-568-B.2,IEC-60793</w:t>
            </w:r>
            <w:r>
              <w:rPr>
                <w:rFonts w:hint="eastAsia"/>
                <w:color w:val="000000"/>
                <w:sz w:val="20"/>
              </w:rPr>
              <w:br w:type="textWrapping"/>
            </w:r>
            <w:r>
              <w:rPr>
                <w:rFonts w:hint="eastAsia"/>
                <w:color w:val="000000"/>
                <w:sz w:val="20"/>
              </w:rPr>
              <w:t xml:space="preserve">9、 </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20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16</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光纤跳线6</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left" w:pos="977"/>
              </w:tabs>
              <w:spacing w:line="240" w:lineRule="exact"/>
              <w:jc w:val="left"/>
              <w:rPr>
                <w:color w:val="000000"/>
                <w:sz w:val="20"/>
              </w:rPr>
            </w:pPr>
            <w:r>
              <w:rPr>
                <w:rFonts w:hint="eastAsia"/>
                <w:color w:val="000000"/>
                <w:sz w:val="20"/>
              </w:rPr>
              <w:t>LC-LC双芯万兆多模光纤跳线，OM3，LSZH，20米</w:t>
            </w:r>
          </w:p>
          <w:p>
            <w:pPr>
              <w:tabs>
                <w:tab w:val="left" w:pos="977"/>
              </w:tabs>
              <w:spacing w:line="240" w:lineRule="exact"/>
              <w:jc w:val="left"/>
              <w:rPr>
                <w:color w:val="000000"/>
                <w:sz w:val="20"/>
              </w:rPr>
            </w:pPr>
            <w:r>
              <w:rPr>
                <w:rFonts w:hint="eastAsia"/>
                <w:color w:val="000000"/>
                <w:sz w:val="20"/>
              </w:rPr>
              <w:t>1、 工业标准100%光学测试—确保可靠性；</w:t>
            </w:r>
            <w:r>
              <w:rPr>
                <w:rFonts w:hint="eastAsia"/>
                <w:color w:val="000000"/>
                <w:sz w:val="20"/>
              </w:rPr>
              <w:br w:type="textWrapping"/>
            </w:r>
            <w:r>
              <w:rPr>
                <w:rFonts w:hint="eastAsia"/>
                <w:color w:val="000000"/>
                <w:sz w:val="20"/>
              </w:rPr>
              <w:t>2、 低插入损耗，高回波损耗性能高于标准要求；</w:t>
            </w:r>
            <w:r>
              <w:rPr>
                <w:rFonts w:hint="eastAsia"/>
                <w:color w:val="000000"/>
                <w:sz w:val="20"/>
              </w:rPr>
              <w:br w:type="textWrapping"/>
            </w:r>
            <w:r>
              <w:rPr>
                <w:rFonts w:hint="eastAsia"/>
                <w:color w:val="000000"/>
                <w:sz w:val="20"/>
              </w:rPr>
              <w:t>3、 高质量陶瓷套管提供低插入损耗和耐用性；</w:t>
            </w:r>
            <w:r>
              <w:rPr>
                <w:rFonts w:hint="eastAsia"/>
                <w:color w:val="000000"/>
                <w:sz w:val="20"/>
              </w:rPr>
              <w:br w:type="textWrapping"/>
            </w:r>
            <w:r>
              <w:rPr>
                <w:rFonts w:hint="eastAsia"/>
                <w:color w:val="000000"/>
                <w:sz w:val="20"/>
              </w:rPr>
              <w:t>4、 光纤为G657A2抗弯曲光纤，最小弯曲半径都是7.5mm。</w:t>
            </w:r>
            <w:r>
              <w:rPr>
                <w:rFonts w:hint="eastAsia"/>
                <w:color w:val="000000"/>
                <w:sz w:val="20"/>
              </w:rPr>
              <w:br w:type="textWrapping"/>
            </w:r>
            <w:r>
              <w:rPr>
                <w:rFonts w:hint="eastAsia"/>
                <w:color w:val="000000"/>
                <w:sz w:val="20"/>
              </w:rPr>
              <w:t>5、 插入损耗：≤0.25dB, 回波损耗：≥55dB</w:t>
            </w:r>
            <w:r>
              <w:rPr>
                <w:rFonts w:hint="eastAsia"/>
                <w:color w:val="000000"/>
                <w:sz w:val="20"/>
              </w:rPr>
              <w:br w:type="textWrapping"/>
            </w:r>
            <w:r>
              <w:rPr>
                <w:rFonts w:hint="eastAsia"/>
                <w:color w:val="000000"/>
                <w:sz w:val="20"/>
              </w:rPr>
              <w:t>6、 震动实验附加损耗≤0.1 dB</w:t>
            </w:r>
            <w:r>
              <w:rPr>
                <w:rFonts w:hint="eastAsia"/>
                <w:color w:val="000000"/>
                <w:sz w:val="20"/>
              </w:rPr>
              <w:br w:type="textWrapping"/>
            </w:r>
            <w:r>
              <w:rPr>
                <w:rFonts w:hint="eastAsia"/>
                <w:color w:val="000000"/>
                <w:sz w:val="20"/>
              </w:rPr>
              <w:t xml:space="preserve">7、 温度循环附加损耗≤0.1 dB      </w:t>
            </w:r>
            <w:r>
              <w:rPr>
                <w:rFonts w:hint="eastAsia"/>
                <w:color w:val="000000"/>
                <w:sz w:val="20"/>
              </w:rPr>
              <w:br w:type="textWrapping"/>
            </w:r>
            <w:r>
              <w:rPr>
                <w:rFonts w:hint="eastAsia"/>
                <w:color w:val="000000"/>
                <w:sz w:val="20"/>
              </w:rPr>
              <w:t>8、 符合相关标准：ISO11801,TIA/EIA-568-B.2,IEC-60793</w:t>
            </w:r>
            <w:r>
              <w:rPr>
                <w:rFonts w:hint="eastAsia"/>
                <w:color w:val="000000"/>
                <w:sz w:val="20"/>
              </w:rPr>
              <w:br w:type="textWrapping"/>
            </w:r>
            <w:r>
              <w:rPr>
                <w:rFonts w:hint="eastAsia"/>
                <w:color w:val="000000"/>
                <w:sz w:val="20"/>
              </w:rPr>
              <w:t>9、</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sz w:val="20"/>
              </w:rPr>
            </w:pPr>
            <w:r>
              <w:rPr>
                <w:rFonts w:hint="eastAsia"/>
                <w:color w:val="000000"/>
                <w:sz w:val="20"/>
              </w:rPr>
              <w:t>20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对</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17</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96芯LC机架式光纤配线架</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18"/>
                <w:szCs w:val="18"/>
              </w:rPr>
              <w:t>19"模块化抽屉式空光纤配线架，限位开关停止在30°坡度，全新一代的快速卡扣式安装，无需螺丝，可自由组合模块组，最大容量：可配96芯LC适配器（法兰），最多可安装4组模块组，1U                                                                                                                 1、全新一代的快速卡扣式设计，无需螺丝，免螺丝快速安装；</w:t>
            </w:r>
            <w:r>
              <w:rPr>
                <w:rFonts w:hint="eastAsia"/>
                <w:color w:val="000000"/>
                <w:sz w:val="18"/>
                <w:szCs w:val="18"/>
              </w:rPr>
              <w:br w:type="textWrapping"/>
            </w:r>
            <w:r>
              <w:rPr>
                <w:rFonts w:hint="eastAsia"/>
                <w:color w:val="000000"/>
                <w:sz w:val="18"/>
                <w:szCs w:val="18"/>
              </w:rPr>
              <w:t>2、模块化抽屉,限位开工停止30度坡度，带8个线缆入口，提供紧固件，安全又方便操作和维护；</w:t>
            </w:r>
            <w:r>
              <w:rPr>
                <w:rFonts w:hint="eastAsia"/>
                <w:color w:val="000000"/>
                <w:sz w:val="18"/>
                <w:szCs w:val="18"/>
              </w:rPr>
              <w:br w:type="textWrapping"/>
            </w:r>
            <w:r>
              <w:rPr>
                <w:rFonts w:hint="eastAsia"/>
                <w:color w:val="000000"/>
                <w:sz w:val="18"/>
                <w:szCs w:val="18"/>
              </w:rPr>
              <w:t>3、通过透明的亚克力盖板，对配线架内的熔接和绕线一目了然，方便安装和维护</w:t>
            </w:r>
            <w:r>
              <w:rPr>
                <w:rFonts w:hint="eastAsia"/>
                <w:color w:val="000000"/>
                <w:sz w:val="18"/>
                <w:szCs w:val="18"/>
              </w:rPr>
              <w:br w:type="textWrapping"/>
            </w:r>
            <w:r>
              <w:rPr>
                <w:rFonts w:hint="eastAsia"/>
                <w:color w:val="000000"/>
                <w:sz w:val="18"/>
                <w:szCs w:val="18"/>
              </w:rPr>
              <w:t>4、带8个线缆入口,提供紧固套件,提供PG9和PG13.5各一个</w:t>
            </w:r>
            <w:r>
              <w:rPr>
                <w:rFonts w:hint="eastAsia"/>
                <w:color w:val="000000"/>
                <w:sz w:val="18"/>
                <w:szCs w:val="18"/>
              </w:rPr>
              <w:br w:type="textWrapping"/>
            </w:r>
            <w:r>
              <w:rPr>
                <w:rFonts w:hint="eastAsia"/>
                <w:color w:val="000000"/>
                <w:sz w:val="18"/>
                <w:szCs w:val="18"/>
              </w:rPr>
              <w:t>5、可自由组合ST，SC和LC模块组,适用不同接口的运用</w:t>
            </w:r>
            <w:r>
              <w:rPr>
                <w:rFonts w:hint="eastAsia"/>
                <w:color w:val="000000"/>
                <w:sz w:val="18"/>
                <w:szCs w:val="18"/>
              </w:rPr>
              <w:br w:type="textWrapping"/>
            </w:r>
            <w:r>
              <w:rPr>
                <w:rFonts w:hint="eastAsia"/>
                <w:color w:val="000000"/>
                <w:sz w:val="18"/>
                <w:szCs w:val="18"/>
              </w:rPr>
              <w:t>6、并可更换模块盒实现光铜混合</w:t>
            </w:r>
            <w:r>
              <w:rPr>
                <w:rFonts w:hint="eastAsia"/>
                <w:color w:val="000000"/>
                <w:sz w:val="18"/>
                <w:szCs w:val="18"/>
              </w:rPr>
              <w:br w:type="textWrapping"/>
            </w:r>
            <w:r>
              <w:rPr>
                <w:rFonts w:hint="eastAsia"/>
                <w:color w:val="000000"/>
                <w:sz w:val="18"/>
                <w:szCs w:val="18"/>
              </w:rPr>
              <w:t>7、最大容量：376芯MTP适配器；96 芯 LC 适配器；48 芯 SC 适配器；24 芯 ST 适配器</w:t>
            </w:r>
            <w:r>
              <w:rPr>
                <w:rFonts w:hint="eastAsia"/>
                <w:color w:val="000000"/>
                <w:sz w:val="18"/>
                <w:szCs w:val="18"/>
              </w:rPr>
              <w:br w:type="textWrapping"/>
            </w:r>
            <w:r>
              <w:rPr>
                <w:rFonts w:hint="eastAsia"/>
                <w:color w:val="000000"/>
                <w:sz w:val="18"/>
                <w:szCs w:val="18"/>
              </w:rPr>
              <w:t>8、端口专用标识，方便运维</w:t>
            </w:r>
            <w:r>
              <w:rPr>
                <w:rFonts w:hint="eastAsia"/>
                <w:color w:val="000000"/>
                <w:sz w:val="18"/>
                <w:szCs w:val="18"/>
              </w:rPr>
              <w:br w:type="textWrapping"/>
            </w:r>
            <w:r>
              <w:rPr>
                <w:rFonts w:hint="eastAsia"/>
                <w:color w:val="000000"/>
                <w:sz w:val="18"/>
                <w:szCs w:val="18"/>
              </w:rPr>
              <w:t>9、执行标准：ISO/IEC11801，EN50173</w:t>
            </w:r>
            <w:r>
              <w:rPr>
                <w:rFonts w:hint="eastAsia"/>
                <w:color w:val="000000"/>
                <w:sz w:val="18"/>
                <w:szCs w:val="18"/>
              </w:rPr>
              <w:br w:type="textWrapping"/>
            </w:r>
            <w:r>
              <w:rPr>
                <w:rFonts w:hint="eastAsia"/>
                <w:color w:val="000000"/>
                <w:sz w:val="18"/>
                <w:szCs w:val="18"/>
              </w:rPr>
              <w:t>10、提供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9</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台</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18</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24芯LC高密度适配器模块组（法兰）</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18"/>
                <w:szCs w:val="18"/>
              </w:rPr>
              <w:t>24芯LC高密度适配器模块组，单模双工，蓝色，24芯LC/组                                                        1、采用高精度氧化锆和高磨光磷青铜套管，确保良好的物理承接力和插接能；</w:t>
            </w:r>
            <w:r>
              <w:rPr>
                <w:rFonts w:hint="eastAsia"/>
                <w:color w:val="000000"/>
                <w:sz w:val="18"/>
                <w:szCs w:val="18"/>
              </w:rPr>
              <w:br w:type="textWrapping"/>
            </w:r>
            <w:r>
              <w:rPr>
                <w:rFonts w:hint="eastAsia"/>
                <w:color w:val="000000"/>
                <w:sz w:val="18"/>
                <w:szCs w:val="18"/>
              </w:rPr>
              <w:t xml:space="preserve">2、陶瓷插套由高精度研磨机磨制，表面抛光技术，确保极低的插入损耗和反射损耗，插入损耗 &lt; 0.3dB； </w:t>
            </w:r>
            <w:r>
              <w:rPr>
                <w:rFonts w:hint="eastAsia"/>
                <w:color w:val="000000"/>
                <w:sz w:val="18"/>
                <w:szCs w:val="18"/>
              </w:rPr>
              <w:br w:type="textWrapping"/>
            </w:r>
            <w:r>
              <w:rPr>
                <w:rFonts w:hint="eastAsia"/>
                <w:color w:val="000000"/>
                <w:sz w:val="18"/>
                <w:szCs w:val="18"/>
              </w:rPr>
              <w:t>3、环境温度变化时性能保持稳定，因此连接器的温度特性很好，在-40℃~+80℃，插入损耗变化≤0.1dB；</w:t>
            </w:r>
            <w:r>
              <w:rPr>
                <w:rFonts w:hint="eastAsia"/>
                <w:color w:val="000000"/>
                <w:sz w:val="18"/>
                <w:szCs w:val="18"/>
              </w:rPr>
              <w:br w:type="textWrapping"/>
            </w:r>
            <w:r>
              <w:rPr>
                <w:rFonts w:hint="eastAsia"/>
                <w:color w:val="000000"/>
                <w:sz w:val="18"/>
                <w:szCs w:val="18"/>
              </w:rPr>
              <w:t>4、提供多种接头，分别有SC、ST、LC、MTP，适用于多模和单模连接器，应用于光纤通信系统；</w:t>
            </w:r>
            <w:r>
              <w:rPr>
                <w:rFonts w:hint="eastAsia"/>
                <w:color w:val="000000"/>
                <w:sz w:val="18"/>
                <w:szCs w:val="18"/>
              </w:rPr>
              <w:br w:type="textWrapping"/>
            </w:r>
            <w:r>
              <w:rPr>
                <w:rFonts w:hint="eastAsia"/>
                <w:color w:val="000000"/>
                <w:sz w:val="18"/>
                <w:szCs w:val="18"/>
              </w:rPr>
              <w:t>5、单模适配器为蓝色，多模适配器为灰色，通过颜色管理方便客户区分不同网络；</w:t>
            </w:r>
            <w:r>
              <w:rPr>
                <w:rFonts w:hint="eastAsia"/>
                <w:color w:val="000000"/>
                <w:sz w:val="18"/>
                <w:szCs w:val="18"/>
              </w:rPr>
              <w:br w:type="textWrapping"/>
            </w:r>
            <w:r>
              <w:rPr>
                <w:rFonts w:hint="eastAsia"/>
                <w:color w:val="000000"/>
                <w:sz w:val="18"/>
                <w:szCs w:val="18"/>
              </w:rPr>
              <w:t>6、ST 6芯一组，SC有 6芯和12芯一组，LC有6芯、12芯、24芯一组，MTP有4端口一组，方便客户随意搭配；</w:t>
            </w:r>
            <w:r>
              <w:rPr>
                <w:rFonts w:hint="eastAsia"/>
                <w:color w:val="000000"/>
                <w:sz w:val="18"/>
                <w:szCs w:val="18"/>
              </w:rPr>
              <w:br w:type="textWrapping"/>
            </w:r>
            <w:r>
              <w:rPr>
                <w:rFonts w:hint="eastAsia"/>
                <w:color w:val="000000"/>
                <w:sz w:val="18"/>
                <w:szCs w:val="18"/>
              </w:rPr>
              <w:t>7、提供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36</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组</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19</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12芯室外单模光缆</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rPr>
                <w:color w:val="000000"/>
                <w:sz w:val="20"/>
              </w:rPr>
            </w:pPr>
            <w:r>
              <w:rPr>
                <w:rFonts w:hint="eastAsia"/>
                <w:color w:val="000000"/>
                <w:sz w:val="20"/>
              </w:rPr>
              <w:t xml:space="preserve">12芯室外单模光缆 9/125，GYTS，LSZH，黑色，OS2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8000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米</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20</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themeColor="text1"/>
                <w:sz w:val="20"/>
              </w:rPr>
            </w:pPr>
            <w:r>
              <w:rPr>
                <w:rFonts w:hint="eastAsia"/>
                <w:color w:val="000000" w:themeColor="text1"/>
                <w:sz w:val="20"/>
              </w:rPr>
              <w:t>LC单模光纤尾纤</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themeColor="text1"/>
                <w:sz w:val="20"/>
              </w:rPr>
            </w:pPr>
            <w:r>
              <w:rPr>
                <w:rFonts w:hint="eastAsia"/>
                <w:color w:val="000000"/>
                <w:kern w:val="0"/>
                <w:sz w:val="18"/>
                <w:szCs w:val="18"/>
              </w:rPr>
              <w:t>LC单模尾纤，OS2，LSZH，1米，黄色                                                                 1、 工业标准100%光学测试—确保可靠性；</w:t>
            </w:r>
            <w:r>
              <w:rPr>
                <w:rFonts w:hint="eastAsia"/>
                <w:color w:val="000000"/>
                <w:kern w:val="0"/>
                <w:sz w:val="18"/>
                <w:szCs w:val="18"/>
              </w:rPr>
              <w:br w:type="textWrapping"/>
            </w:r>
            <w:r>
              <w:rPr>
                <w:rFonts w:hint="eastAsia"/>
                <w:color w:val="000000"/>
                <w:kern w:val="0"/>
                <w:sz w:val="18"/>
                <w:szCs w:val="18"/>
              </w:rPr>
              <w:t>2、 低插入损耗，高回波损耗性能高于标准要求；</w:t>
            </w:r>
            <w:r>
              <w:rPr>
                <w:rFonts w:hint="eastAsia"/>
                <w:color w:val="000000"/>
                <w:kern w:val="0"/>
                <w:sz w:val="18"/>
                <w:szCs w:val="18"/>
              </w:rPr>
              <w:br w:type="textWrapping"/>
            </w:r>
            <w:r>
              <w:rPr>
                <w:rFonts w:hint="eastAsia"/>
                <w:color w:val="000000"/>
                <w:kern w:val="0"/>
                <w:sz w:val="18"/>
                <w:szCs w:val="18"/>
              </w:rPr>
              <w:t>3、 高质量陶瓷插芯提供低插入损耗和高同心度；</w:t>
            </w:r>
            <w:r>
              <w:rPr>
                <w:rFonts w:hint="eastAsia"/>
                <w:color w:val="000000"/>
                <w:kern w:val="0"/>
                <w:sz w:val="18"/>
                <w:szCs w:val="18"/>
              </w:rPr>
              <w:br w:type="textWrapping"/>
            </w:r>
            <w:r>
              <w:rPr>
                <w:rFonts w:hint="eastAsia"/>
                <w:color w:val="000000"/>
                <w:kern w:val="0"/>
                <w:sz w:val="18"/>
                <w:szCs w:val="18"/>
              </w:rPr>
              <w:t>4、 光纤为G657A2抗弯曲光纤，最小弯曲半径都是7.5mm。</w:t>
            </w:r>
            <w:r>
              <w:rPr>
                <w:rFonts w:hint="eastAsia"/>
                <w:color w:val="000000"/>
                <w:kern w:val="0"/>
                <w:sz w:val="18"/>
                <w:szCs w:val="18"/>
              </w:rPr>
              <w:br w:type="textWrapping"/>
            </w:r>
            <w:r>
              <w:rPr>
                <w:rFonts w:hint="eastAsia"/>
                <w:color w:val="000000"/>
                <w:kern w:val="0"/>
                <w:sz w:val="18"/>
                <w:szCs w:val="18"/>
              </w:rPr>
              <w:t>5、 对紧套光缆和光纤配件进行颜色管理，方便施工和维护</w:t>
            </w:r>
            <w:r>
              <w:rPr>
                <w:rFonts w:hint="eastAsia"/>
                <w:color w:val="000000"/>
                <w:kern w:val="0"/>
                <w:sz w:val="18"/>
                <w:szCs w:val="18"/>
              </w:rPr>
              <w:br w:type="textWrapping"/>
            </w:r>
            <w:r>
              <w:rPr>
                <w:rFonts w:hint="eastAsia"/>
                <w:color w:val="000000"/>
                <w:kern w:val="0"/>
                <w:sz w:val="18"/>
                <w:szCs w:val="18"/>
              </w:rPr>
              <w:t>6、 全部采用UPC精密研磨工艺，保证了低插入损耗和高回波损耗性能</w:t>
            </w:r>
            <w:r>
              <w:rPr>
                <w:rFonts w:hint="eastAsia"/>
                <w:color w:val="000000"/>
                <w:kern w:val="0"/>
                <w:sz w:val="18"/>
                <w:szCs w:val="18"/>
              </w:rPr>
              <w:br w:type="textWrapping"/>
            </w:r>
            <w:r>
              <w:rPr>
                <w:rFonts w:hint="eastAsia"/>
                <w:color w:val="000000"/>
                <w:kern w:val="0"/>
                <w:sz w:val="18"/>
                <w:szCs w:val="18"/>
              </w:rPr>
              <w:t>7、 插入损耗：≤0.25dB, 回波损耗：≥55dB</w:t>
            </w:r>
            <w:r>
              <w:rPr>
                <w:rFonts w:hint="eastAsia"/>
                <w:color w:val="000000"/>
                <w:kern w:val="0"/>
                <w:sz w:val="18"/>
                <w:szCs w:val="18"/>
              </w:rPr>
              <w:br w:type="textWrapping"/>
            </w:r>
            <w:r>
              <w:rPr>
                <w:rFonts w:hint="eastAsia"/>
                <w:color w:val="000000"/>
                <w:kern w:val="0"/>
                <w:sz w:val="18"/>
                <w:szCs w:val="18"/>
              </w:rPr>
              <w:t>8、 震动实验附加损耗≤0.1 dB</w:t>
            </w:r>
            <w:r>
              <w:rPr>
                <w:rFonts w:hint="eastAsia"/>
                <w:color w:val="000000"/>
                <w:kern w:val="0"/>
                <w:sz w:val="18"/>
                <w:szCs w:val="18"/>
              </w:rPr>
              <w:br w:type="textWrapping"/>
            </w:r>
            <w:r>
              <w:rPr>
                <w:rFonts w:hint="eastAsia"/>
                <w:color w:val="000000"/>
                <w:kern w:val="0"/>
                <w:sz w:val="18"/>
                <w:szCs w:val="18"/>
              </w:rPr>
              <w:t xml:space="preserve">9、 温度循环附加损耗≤0.1 dB      </w:t>
            </w:r>
            <w:r>
              <w:rPr>
                <w:rFonts w:hint="eastAsia"/>
                <w:color w:val="000000"/>
                <w:kern w:val="0"/>
                <w:sz w:val="18"/>
                <w:szCs w:val="18"/>
              </w:rPr>
              <w:br w:type="textWrapping"/>
            </w:r>
            <w:r>
              <w:rPr>
                <w:rFonts w:hint="eastAsia"/>
                <w:color w:val="000000"/>
                <w:kern w:val="0"/>
                <w:sz w:val="18"/>
                <w:szCs w:val="18"/>
              </w:rPr>
              <w:t>10、 符合相关标准：ISO11801,TIA/EIA-568-B.2,IEC-60793</w:t>
            </w:r>
            <w:r>
              <w:rPr>
                <w:rFonts w:hint="eastAsia"/>
                <w:color w:val="000000"/>
                <w:kern w:val="0"/>
                <w:sz w:val="18"/>
                <w:szCs w:val="18"/>
              </w:rPr>
              <w:br w:type="textWrapping"/>
            </w:r>
            <w:r>
              <w:rPr>
                <w:rFonts w:hint="eastAsia"/>
                <w:color w:val="000000" w:themeColor="text1"/>
                <w:sz w:val="18"/>
                <w:szCs w:val="18"/>
              </w:rPr>
              <w:t xml:space="preserve">11、 </w:t>
            </w:r>
            <w:r>
              <w:rPr>
                <w:rFonts w:hint="eastAsia"/>
                <w:color w:val="000000"/>
                <w:sz w:val="18"/>
                <w:szCs w:val="18"/>
              </w:rPr>
              <w:t>提供</w:t>
            </w:r>
            <w:r>
              <w:fldChar w:fldCharType="begin"/>
            </w:r>
            <w:r>
              <w:instrText xml:space="preserve"> HYPERLINK "http://www.cqvip.com/Main/Detail.aspx?id=25203065" \t "https://xueshu.baidu.com/usercenter/paper/_blank" </w:instrText>
            </w:r>
            <w:r>
              <w:fldChar w:fldCharType="separate"/>
            </w:r>
            <w:r>
              <w:rPr>
                <w:rFonts w:hint="eastAsia"/>
                <w:color w:val="000000"/>
                <w:sz w:val="18"/>
                <w:szCs w:val="18"/>
              </w:rPr>
              <w:t>国家认可的第三方权威检验机构</w:t>
            </w:r>
            <w:r>
              <w:rPr>
                <w:rFonts w:hint="eastAsia"/>
                <w:color w:val="000000"/>
                <w:sz w:val="18"/>
                <w:szCs w:val="18"/>
              </w:rPr>
              <w:fldChar w:fldCharType="end"/>
            </w:r>
            <w:r>
              <w:rPr>
                <w:rFonts w:hint="eastAsia"/>
                <w:color w:val="000000"/>
                <w:sz w:val="18"/>
                <w:szCs w:val="18"/>
              </w:rPr>
              <w:t>出具的</w:t>
            </w:r>
            <w:r>
              <w:rPr>
                <w:rFonts w:hint="eastAsia"/>
                <w:color w:val="000000"/>
                <w:sz w:val="20"/>
              </w:rPr>
              <w:t>测试报告</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themeColor="text1"/>
                <w:sz w:val="20"/>
              </w:rPr>
            </w:pPr>
            <w:r>
              <w:rPr>
                <w:rFonts w:hint="eastAsia"/>
                <w:color w:val="000000" w:themeColor="text1"/>
                <w:sz w:val="20"/>
              </w:rPr>
              <w:t>根</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color w:val="000000" w:themeColor="text1"/>
                <w:sz w:val="20"/>
              </w:rPr>
            </w:pPr>
            <w:r>
              <w:rPr>
                <w:rFonts w:hint="eastAsia"/>
                <w:color w:val="000000" w:themeColor="text1"/>
                <w:sz w:val="20"/>
              </w:rPr>
              <w:t>400</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21</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jc w:val="left"/>
              <w:rPr>
                <w:color w:val="000000"/>
                <w:sz w:val="20"/>
              </w:rPr>
            </w:pPr>
            <w:r>
              <w:rPr>
                <w:rFonts w:hint="eastAsia"/>
                <w:color w:val="000000"/>
                <w:sz w:val="20"/>
              </w:rPr>
              <w:t>6类非屏蔽水晶头</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rPr>
                <w:color w:val="000000"/>
                <w:sz w:val="20"/>
              </w:rPr>
            </w:pPr>
            <w:r>
              <w:rPr>
                <w:rFonts w:hint="eastAsia"/>
                <w:color w:val="000000"/>
                <w:sz w:val="20"/>
              </w:rPr>
              <w:t>CAT6,6类RG45水晶头</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25</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盒</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22</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网络固线器</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ABS阻燃塑料 8MM*12根 无限叠加 含底座（底座自带配套螺丝）</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800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23</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光纤尾纤槽道</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 xml:space="preserve">ABS阻燃塑料 120*100mm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200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24</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光纤尾纤槽道盖板</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 xml:space="preserve">ABS阻燃塑料 120*100mm </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200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81"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25</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光纤尾纤槽道配件</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三通、出线口、弯头、接头</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463"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26</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PVC 线槽1</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39*18 PVC明装线槽</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8060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87"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27</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金属 桥架</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50*100 厚度1.0mm 镀锌金属桥架</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1471</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79"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28</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吊筋φ8mm</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φ8mm   3米-5米带螺纹钢筋</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195</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77"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29</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横担</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3cm*15cm金属片</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760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335"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30</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吊筋螺丝</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rPr>
                <w:color w:val="000000"/>
                <w:sz w:val="20"/>
              </w:rPr>
            </w:pP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1632</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套</w:t>
            </w:r>
          </w:p>
        </w:tc>
      </w:tr>
      <w:tr>
        <w:tblPrEx>
          <w:tblCellMar>
            <w:top w:w="0" w:type="dxa"/>
            <w:left w:w="0" w:type="dxa"/>
            <w:bottom w:w="0" w:type="dxa"/>
            <w:right w:w="0" w:type="dxa"/>
          </w:tblCellMar>
        </w:tblPrEx>
        <w:trPr>
          <w:trHeight w:val="413"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31</w:t>
            </w:r>
          </w:p>
        </w:tc>
        <w:tc>
          <w:tcPr>
            <w:tcW w:w="1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 xml:space="preserve">KBG管 </w:t>
            </w:r>
          </w:p>
        </w:tc>
        <w:tc>
          <w:tcPr>
            <w:tcW w:w="5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KDG管 φ25 金属穿线管  厚度1.0</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625</w:t>
            </w:r>
          </w:p>
        </w:tc>
        <w:tc>
          <w:tcPr>
            <w:tcW w:w="1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73"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32</w:t>
            </w:r>
          </w:p>
        </w:tc>
        <w:tc>
          <w:tcPr>
            <w:tcW w:w="19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锁母</w:t>
            </w:r>
          </w:p>
        </w:tc>
        <w:tc>
          <w:tcPr>
            <w:tcW w:w="509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φ25 金属KDG管配套锁母</w:t>
            </w:r>
          </w:p>
        </w:tc>
        <w:tc>
          <w:tcPr>
            <w:tcW w:w="66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520</w:t>
            </w:r>
          </w:p>
        </w:tc>
        <w:tc>
          <w:tcPr>
            <w:tcW w:w="10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446"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33</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波纹管φ25</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φ25 塑料波纹管</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19</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卷</w:t>
            </w:r>
          </w:p>
        </w:tc>
      </w:tr>
      <w:tr>
        <w:tblPrEx>
          <w:tblCellMar>
            <w:top w:w="0" w:type="dxa"/>
            <w:left w:w="0" w:type="dxa"/>
            <w:bottom w:w="0" w:type="dxa"/>
            <w:right w:w="0" w:type="dxa"/>
          </w:tblCellMar>
        </w:tblPrEx>
        <w:trPr>
          <w:trHeight w:val="396"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34</w:t>
            </w:r>
          </w:p>
        </w:tc>
        <w:tc>
          <w:tcPr>
            <w:tcW w:w="1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过墙洞垂直桥架φ50</w:t>
            </w:r>
          </w:p>
        </w:tc>
        <w:tc>
          <w:tcPr>
            <w:tcW w:w="5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rPr>
                <w:color w:val="000000"/>
                <w:sz w:val="20"/>
              </w:rPr>
            </w:pP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90</w:t>
            </w:r>
          </w:p>
        </w:tc>
        <w:tc>
          <w:tcPr>
            <w:tcW w:w="1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322"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35</w:t>
            </w:r>
          </w:p>
        </w:tc>
        <w:tc>
          <w:tcPr>
            <w:tcW w:w="19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线槽阴阳角直接堵头</w:t>
            </w:r>
          </w:p>
        </w:tc>
        <w:tc>
          <w:tcPr>
            <w:tcW w:w="509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 xml:space="preserve">4cm 8cm 线槽接口 直角 三通 </w:t>
            </w:r>
          </w:p>
        </w:tc>
        <w:tc>
          <w:tcPr>
            <w:tcW w:w="669"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w:t>
            </w:r>
          </w:p>
        </w:tc>
        <w:tc>
          <w:tcPr>
            <w:tcW w:w="1092"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批</w:t>
            </w:r>
          </w:p>
        </w:tc>
      </w:tr>
      <w:tr>
        <w:tblPrEx>
          <w:tblCellMar>
            <w:top w:w="0" w:type="dxa"/>
            <w:left w:w="0" w:type="dxa"/>
            <w:bottom w:w="0" w:type="dxa"/>
            <w:right w:w="0" w:type="dxa"/>
          </w:tblCellMar>
        </w:tblPrEx>
        <w:trPr>
          <w:trHeight w:val="385"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36</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PVC 线槽2</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8CM  80*50cm   PVC 线槽</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550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426"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37</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钢丝</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Style w:val="80"/>
                <w:rFonts w:hint="default"/>
                <w:color w:val="000000" w:themeColor="text1"/>
                <w:sz w:val="20"/>
              </w:rPr>
              <w:t>φ</w:t>
            </w:r>
            <w:r>
              <w:rPr>
                <w:rStyle w:val="171"/>
                <w:rFonts w:hint="default"/>
                <w:color w:val="000000" w:themeColor="text1"/>
                <w:sz w:val="20"/>
              </w:rPr>
              <w:t>10mm 多股钢丝绳</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4000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339"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38</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吊耳</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rPr>
                <w:color w:val="000000"/>
                <w:sz w:val="20"/>
              </w:rPr>
            </w:pP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2500</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280"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39</w:t>
            </w:r>
          </w:p>
        </w:tc>
        <w:tc>
          <w:tcPr>
            <w:tcW w:w="1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立杆基础</w:t>
            </w:r>
          </w:p>
        </w:tc>
        <w:tc>
          <w:tcPr>
            <w:tcW w:w="5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深度2米 上口宽600*2000 下口600*600 立杆坑 朝向与拉线方向垂直</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40</w:t>
            </w:r>
          </w:p>
        </w:tc>
        <w:tc>
          <w:tcPr>
            <w:tcW w:w="1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个</w:t>
            </w:r>
          </w:p>
        </w:tc>
      </w:tr>
      <w:tr>
        <w:tblPrEx>
          <w:tblCellMar>
            <w:top w:w="0" w:type="dxa"/>
            <w:left w:w="0" w:type="dxa"/>
            <w:bottom w:w="0" w:type="dxa"/>
            <w:right w:w="0" w:type="dxa"/>
          </w:tblCellMar>
        </w:tblPrEx>
        <w:trPr>
          <w:trHeight w:val="397"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40</w:t>
            </w:r>
          </w:p>
        </w:tc>
        <w:tc>
          <w:tcPr>
            <w:tcW w:w="19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熔纤</w:t>
            </w:r>
          </w:p>
        </w:tc>
        <w:tc>
          <w:tcPr>
            <w:tcW w:w="5093" w:type="dxa"/>
            <w:tcBorders>
              <w:top w:val="single" w:color="auto" w:sz="4" w:space="0"/>
              <w:left w:val="single" w:color="auto" w:sz="4" w:space="0"/>
              <w:bottom w:val="single" w:color="auto" w:sz="4" w:space="0"/>
              <w:right w:val="single" w:color="auto" w:sz="4" w:space="0"/>
            </w:tcBorders>
            <w:shd w:val="clear" w:color="FFFFFF" w:fill="FFFFFF"/>
            <w:noWrap/>
            <w:tcMar>
              <w:top w:w="15" w:type="dxa"/>
              <w:left w:w="15" w:type="dxa"/>
              <w:bottom w:w="0" w:type="dxa"/>
              <w:right w:w="15" w:type="dxa"/>
            </w:tcMar>
            <w:vAlign w:val="center"/>
          </w:tcPr>
          <w:p>
            <w:pPr>
              <w:rPr>
                <w:sz w:val="20"/>
              </w:rPr>
            </w:pPr>
          </w:p>
        </w:tc>
        <w:tc>
          <w:tcPr>
            <w:tcW w:w="6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color w:val="000000"/>
                <w:sz w:val="20"/>
              </w:rPr>
              <w:t>800</w:t>
            </w:r>
          </w:p>
        </w:tc>
        <w:tc>
          <w:tcPr>
            <w:tcW w:w="10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芯</w:t>
            </w:r>
          </w:p>
        </w:tc>
      </w:tr>
      <w:tr>
        <w:tblPrEx>
          <w:tblCellMar>
            <w:top w:w="0" w:type="dxa"/>
            <w:left w:w="0" w:type="dxa"/>
            <w:bottom w:w="0" w:type="dxa"/>
            <w:right w:w="0" w:type="dxa"/>
          </w:tblCellMar>
        </w:tblPrEx>
        <w:trPr>
          <w:trHeight w:val="510"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41</w:t>
            </w:r>
          </w:p>
        </w:tc>
        <w:tc>
          <w:tcPr>
            <w:tcW w:w="1917"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辅材</w:t>
            </w:r>
          </w:p>
        </w:tc>
        <w:tc>
          <w:tcPr>
            <w:tcW w:w="5093" w:type="dxa"/>
            <w:tcBorders>
              <w:top w:val="single" w:color="auto" w:sz="4" w:space="0"/>
              <w:left w:val="nil"/>
              <w:bottom w:val="single" w:color="auto" w:sz="4" w:space="0"/>
              <w:right w:val="single" w:color="auto" w:sz="4" w:space="0"/>
            </w:tcBorders>
            <w:shd w:val="clear" w:color="FFFFFF" w:fill="FFFFFF"/>
            <w:noWrap/>
            <w:tcMar>
              <w:top w:w="15" w:type="dxa"/>
              <w:left w:w="15" w:type="dxa"/>
              <w:bottom w:w="0" w:type="dxa"/>
              <w:right w:w="15" w:type="dxa"/>
            </w:tcMar>
            <w:vAlign w:val="center"/>
          </w:tcPr>
          <w:p>
            <w:pPr>
              <w:widowControl/>
              <w:jc w:val="left"/>
              <w:textAlignment w:val="center"/>
              <w:rPr>
                <w:sz w:val="20"/>
              </w:rPr>
            </w:pPr>
            <w:r>
              <w:rPr>
                <w:rFonts w:hint="eastAsia" w:ascii="宋体" w:hAnsi="宋体" w:cs="宋体"/>
                <w:color w:val="000000"/>
                <w:kern w:val="0"/>
                <w:sz w:val="20"/>
              </w:rPr>
              <w:t>扎带、标签、软管、胶布、螺栓、自攻螺丝、膨胀管</w:t>
            </w:r>
          </w:p>
        </w:tc>
        <w:tc>
          <w:tcPr>
            <w:tcW w:w="669"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w:t>
            </w:r>
          </w:p>
        </w:tc>
        <w:tc>
          <w:tcPr>
            <w:tcW w:w="1092"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批</w:t>
            </w:r>
          </w:p>
        </w:tc>
      </w:tr>
      <w:tr>
        <w:tblPrEx>
          <w:tblCellMar>
            <w:top w:w="0" w:type="dxa"/>
            <w:left w:w="0" w:type="dxa"/>
            <w:bottom w:w="0" w:type="dxa"/>
            <w:right w:w="0" w:type="dxa"/>
          </w:tblCellMar>
        </w:tblPrEx>
        <w:trPr>
          <w:trHeight w:val="389"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42</w:t>
            </w:r>
          </w:p>
        </w:tc>
        <w:tc>
          <w:tcPr>
            <w:tcW w:w="19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电源线</w:t>
            </w:r>
          </w:p>
        </w:tc>
        <w:tc>
          <w:tcPr>
            <w:tcW w:w="5093" w:type="dxa"/>
            <w:tcBorders>
              <w:top w:val="nil"/>
              <w:left w:val="nil"/>
              <w:bottom w:val="single" w:color="auto" w:sz="4" w:space="0"/>
              <w:right w:val="single" w:color="auto" w:sz="4" w:space="0"/>
            </w:tcBorders>
            <w:shd w:val="clear" w:color="FFFFFF" w:fill="FFFFFF"/>
            <w:noWrap/>
            <w:tcMar>
              <w:top w:w="15" w:type="dxa"/>
              <w:left w:w="15" w:type="dxa"/>
              <w:bottom w:w="0" w:type="dxa"/>
              <w:right w:w="15" w:type="dxa"/>
            </w:tcMar>
            <w:vAlign w:val="center"/>
          </w:tcPr>
          <w:p>
            <w:pPr>
              <w:widowControl/>
              <w:textAlignment w:val="center"/>
              <w:rPr>
                <w:sz w:val="20"/>
              </w:rPr>
            </w:pPr>
            <w:r>
              <w:rPr>
                <w:rFonts w:ascii="Calibri" w:hAnsi="Calibri" w:cs="Calibri"/>
                <w:color w:val="000000"/>
                <w:kern w:val="0"/>
                <w:sz w:val="20"/>
              </w:rPr>
              <w:t>YJV/RVV3*4</w:t>
            </w:r>
            <w:r>
              <w:rPr>
                <w:rStyle w:val="177"/>
                <w:rFonts w:hint="default"/>
                <w:sz w:val="20"/>
              </w:rPr>
              <w:t>电缆</w:t>
            </w:r>
          </w:p>
        </w:tc>
        <w:tc>
          <w:tcPr>
            <w:tcW w:w="6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300</w:t>
            </w:r>
          </w:p>
        </w:tc>
        <w:tc>
          <w:tcPr>
            <w:tcW w:w="10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413"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43</w:t>
            </w:r>
          </w:p>
        </w:tc>
        <w:tc>
          <w:tcPr>
            <w:tcW w:w="19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电源线</w:t>
            </w:r>
          </w:p>
        </w:tc>
        <w:tc>
          <w:tcPr>
            <w:tcW w:w="5093" w:type="dxa"/>
            <w:tcBorders>
              <w:top w:val="nil"/>
              <w:left w:val="nil"/>
              <w:bottom w:val="single" w:color="auto" w:sz="4" w:space="0"/>
              <w:right w:val="single" w:color="auto" w:sz="4" w:space="0"/>
            </w:tcBorders>
            <w:shd w:val="clear" w:color="FFFFFF" w:fill="FFFFFF"/>
            <w:noWrap/>
            <w:tcMar>
              <w:top w:w="15" w:type="dxa"/>
              <w:left w:w="15" w:type="dxa"/>
              <w:bottom w:w="0" w:type="dxa"/>
              <w:right w:w="15" w:type="dxa"/>
            </w:tcMar>
            <w:vAlign w:val="center"/>
          </w:tcPr>
          <w:p>
            <w:pPr>
              <w:widowControl/>
              <w:textAlignment w:val="center"/>
              <w:rPr>
                <w:sz w:val="20"/>
              </w:rPr>
            </w:pPr>
            <w:r>
              <w:rPr>
                <w:rFonts w:ascii="Calibri" w:hAnsi="Calibri" w:cs="Calibri"/>
                <w:color w:val="000000"/>
                <w:kern w:val="0"/>
                <w:sz w:val="20"/>
              </w:rPr>
              <w:t>YJV/RVV3*6</w:t>
            </w:r>
            <w:r>
              <w:rPr>
                <w:rStyle w:val="177"/>
                <w:rFonts w:hint="default"/>
                <w:sz w:val="20"/>
              </w:rPr>
              <w:t>电缆</w:t>
            </w:r>
          </w:p>
        </w:tc>
        <w:tc>
          <w:tcPr>
            <w:tcW w:w="6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150</w:t>
            </w:r>
          </w:p>
        </w:tc>
        <w:tc>
          <w:tcPr>
            <w:tcW w:w="10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米</w:t>
            </w:r>
          </w:p>
        </w:tc>
      </w:tr>
      <w:tr>
        <w:tblPrEx>
          <w:tblCellMar>
            <w:top w:w="0" w:type="dxa"/>
            <w:left w:w="0" w:type="dxa"/>
            <w:bottom w:w="0" w:type="dxa"/>
            <w:right w:w="0" w:type="dxa"/>
          </w:tblCellMar>
        </w:tblPrEx>
        <w:trPr>
          <w:trHeight w:val="420" w:hRule="atLeast"/>
        </w:trPr>
        <w:tc>
          <w:tcPr>
            <w:tcW w:w="801" w:type="dxa"/>
            <w:tcBorders>
              <w:top w:val="nil"/>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44</w:t>
            </w:r>
          </w:p>
        </w:tc>
        <w:tc>
          <w:tcPr>
            <w:tcW w:w="1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配电箱</w:t>
            </w:r>
          </w:p>
        </w:tc>
        <w:tc>
          <w:tcPr>
            <w:tcW w:w="509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挂墙式专用明装配电箱 2P50A 以上空开2个，2P20A空开2个</w:t>
            </w:r>
          </w:p>
        </w:tc>
        <w:tc>
          <w:tcPr>
            <w:tcW w:w="6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7</w:t>
            </w:r>
          </w:p>
        </w:tc>
        <w:tc>
          <w:tcPr>
            <w:tcW w:w="1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套</w:t>
            </w:r>
          </w:p>
        </w:tc>
      </w:tr>
      <w:tr>
        <w:tblPrEx>
          <w:tblCellMar>
            <w:top w:w="0" w:type="dxa"/>
            <w:left w:w="0" w:type="dxa"/>
            <w:bottom w:w="0" w:type="dxa"/>
            <w:right w:w="0" w:type="dxa"/>
          </w:tblCellMar>
        </w:tblPrEx>
        <w:trPr>
          <w:trHeight w:val="404"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eastAsiaTheme="minorEastAsia"/>
                <w:sz w:val="20"/>
              </w:rPr>
            </w:pPr>
            <w:r>
              <w:rPr>
                <w:rFonts w:hint="eastAsia"/>
                <w:sz w:val="20"/>
              </w:rPr>
              <w:t>45</w:t>
            </w:r>
          </w:p>
        </w:tc>
        <w:tc>
          <w:tcPr>
            <w:tcW w:w="1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color w:val="000000"/>
                <w:sz w:val="20"/>
              </w:rPr>
              <w:t>ODF架</w:t>
            </w:r>
          </w:p>
        </w:tc>
        <w:tc>
          <w:tcPr>
            <w:tcW w:w="5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spacing w:line="240" w:lineRule="exact"/>
              <w:rPr>
                <w:color w:val="000000"/>
                <w:sz w:val="20"/>
              </w:rPr>
            </w:pPr>
            <w:r>
              <w:rPr>
                <w:rFonts w:hint="eastAsia"/>
                <w:sz w:val="20"/>
              </w:rPr>
              <w:t>规格：标准1U、2U或4U产品  2、硬件结构：多层导轨式滑动托盘组成；1U产品，自带箱内水平理线环；4U产品，自带箱内水平理线环和箱外垂直理线环，刷式进缆配置</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10</w:t>
            </w:r>
          </w:p>
        </w:tc>
        <w:tc>
          <w:tcPr>
            <w:tcW w:w="1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eastAsiaTheme="minorEastAsia"/>
                <w:color w:val="000000"/>
                <w:sz w:val="20"/>
              </w:rPr>
            </w:pPr>
            <w:r>
              <w:rPr>
                <w:rFonts w:hint="eastAsia"/>
                <w:color w:val="000000"/>
                <w:sz w:val="20"/>
              </w:rPr>
              <w:t>个</w:t>
            </w:r>
          </w:p>
        </w:tc>
      </w:tr>
      <w:tr>
        <w:tblPrEx>
          <w:tblCellMar>
            <w:top w:w="0" w:type="dxa"/>
            <w:left w:w="0" w:type="dxa"/>
            <w:bottom w:w="0" w:type="dxa"/>
            <w:right w:w="0" w:type="dxa"/>
          </w:tblCellMar>
        </w:tblPrEx>
        <w:trPr>
          <w:trHeight w:val="404" w:hRule="atLeast"/>
        </w:trPr>
        <w:tc>
          <w:tcPr>
            <w:tcW w:w="80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sz w:val="20"/>
              </w:rPr>
            </w:pPr>
            <w:r>
              <w:rPr>
                <w:rFonts w:hint="eastAsia"/>
                <w:sz w:val="20"/>
              </w:rPr>
              <w:t>46</w:t>
            </w:r>
          </w:p>
        </w:tc>
        <w:tc>
          <w:tcPr>
            <w:tcW w:w="19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color w:val="000000"/>
                <w:sz w:val="20"/>
              </w:rPr>
            </w:pPr>
            <w:r>
              <w:rPr>
                <w:rFonts w:hint="eastAsia" w:ascii="宋体" w:hAnsi="宋体" w:cs="宋体"/>
                <w:color w:val="000000"/>
                <w:kern w:val="0"/>
                <w:sz w:val="20"/>
              </w:rPr>
              <w:t>油木杆8米</w:t>
            </w:r>
          </w:p>
        </w:tc>
        <w:tc>
          <w:tcPr>
            <w:tcW w:w="5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left"/>
              <w:textAlignment w:val="center"/>
              <w:rPr>
                <w:sz w:val="20"/>
              </w:rPr>
            </w:pPr>
            <w:r>
              <w:rPr>
                <w:rFonts w:hint="eastAsia" w:ascii="宋体" w:hAnsi="宋体" w:cs="宋体"/>
                <w:color w:val="000000"/>
                <w:kern w:val="0"/>
                <w:sz w:val="20"/>
              </w:rPr>
              <w:t>防腐涂油处理8-9米木质立杆</w:t>
            </w:r>
          </w:p>
        </w:tc>
        <w:tc>
          <w:tcPr>
            <w:tcW w:w="6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40</w:t>
            </w:r>
          </w:p>
        </w:tc>
        <w:tc>
          <w:tcPr>
            <w:tcW w:w="10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color w:val="000000"/>
                <w:sz w:val="20"/>
              </w:rPr>
            </w:pPr>
            <w:r>
              <w:rPr>
                <w:rFonts w:hint="eastAsia" w:ascii="宋体" w:hAnsi="宋体" w:cs="宋体"/>
                <w:color w:val="000000"/>
                <w:kern w:val="0"/>
                <w:sz w:val="20"/>
              </w:rPr>
              <w:t>根</w:t>
            </w:r>
          </w:p>
        </w:tc>
      </w:tr>
    </w:tbl>
    <w:p>
      <w:pPr>
        <w:pStyle w:val="28"/>
      </w:pPr>
    </w:p>
    <w:tbl>
      <w:tblPr>
        <w:tblStyle w:val="41"/>
        <w:tblpPr w:leftFromText="180" w:rightFromText="180" w:vertAnchor="text" w:horzAnchor="page" w:tblpX="1384" w:tblpY="807"/>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24"/>
        <w:gridCol w:w="4234"/>
        <w:gridCol w:w="125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3" w:type="dxa"/>
            <w:gridSpan w:val="5"/>
            <w:vAlign w:val="center"/>
          </w:tcPr>
          <w:p>
            <w:pPr>
              <w:jc w:val="center"/>
              <w:rPr>
                <w:rFonts w:cstheme="minorBidi"/>
                <w:sz w:val="20"/>
              </w:rPr>
            </w:pPr>
            <w:r>
              <w:rPr>
                <w:rFonts w:hint="eastAsia" w:cstheme="minorBidi"/>
                <w:b/>
                <w:bCs/>
                <w:sz w:val="20"/>
              </w:rPr>
              <w:t>三、人工清单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rFonts w:asciiTheme="minorHAnsi" w:hAnsiTheme="minorHAnsi" w:eastAsiaTheme="minorEastAsia" w:cstheme="minorBidi"/>
                <w:sz w:val="20"/>
              </w:rPr>
            </w:pPr>
            <w:r>
              <w:rPr>
                <w:rFonts w:hint="eastAsia"/>
                <w:sz w:val="20"/>
              </w:rPr>
              <w:t>序号</w:t>
            </w:r>
          </w:p>
        </w:tc>
        <w:tc>
          <w:tcPr>
            <w:tcW w:w="1524" w:type="dxa"/>
            <w:vAlign w:val="center"/>
          </w:tcPr>
          <w:p>
            <w:pPr>
              <w:jc w:val="center"/>
              <w:rPr>
                <w:rFonts w:asciiTheme="minorHAnsi" w:hAnsiTheme="minorHAnsi" w:eastAsiaTheme="minorEastAsia" w:cstheme="minorBidi"/>
                <w:sz w:val="20"/>
              </w:rPr>
            </w:pPr>
            <w:r>
              <w:rPr>
                <w:rFonts w:hint="eastAsia"/>
                <w:sz w:val="20"/>
              </w:rPr>
              <w:t>项目</w:t>
            </w:r>
          </w:p>
        </w:tc>
        <w:tc>
          <w:tcPr>
            <w:tcW w:w="4234" w:type="dxa"/>
            <w:vAlign w:val="center"/>
          </w:tcPr>
          <w:p>
            <w:pPr>
              <w:jc w:val="center"/>
              <w:rPr>
                <w:rFonts w:asciiTheme="minorHAnsi" w:hAnsiTheme="minorHAnsi" w:eastAsiaTheme="minorEastAsia" w:cstheme="minorBidi"/>
                <w:sz w:val="20"/>
              </w:rPr>
            </w:pPr>
            <w:r>
              <w:rPr>
                <w:rFonts w:hint="eastAsia" w:cstheme="minorBidi"/>
                <w:sz w:val="20"/>
              </w:rPr>
              <w:t>内容</w:t>
            </w:r>
          </w:p>
        </w:tc>
        <w:tc>
          <w:tcPr>
            <w:tcW w:w="1257" w:type="dxa"/>
            <w:vAlign w:val="center"/>
          </w:tcPr>
          <w:p>
            <w:pPr>
              <w:jc w:val="center"/>
              <w:rPr>
                <w:rFonts w:asciiTheme="minorHAnsi" w:hAnsiTheme="minorHAnsi" w:eastAsiaTheme="minorEastAsia" w:cstheme="minorBidi"/>
                <w:sz w:val="20"/>
              </w:rPr>
            </w:pPr>
            <w:r>
              <w:rPr>
                <w:rFonts w:hint="eastAsia"/>
                <w:sz w:val="20"/>
              </w:rPr>
              <w:t>数量</w:t>
            </w:r>
          </w:p>
        </w:tc>
        <w:tc>
          <w:tcPr>
            <w:tcW w:w="1362" w:type="dxa"/>
          </w:tcPr>
          <w:p>
            <w:pPr>
              <w:jc w:val="center"/>
              <w:rPr>
                <w:rFonts w:asciiTheme="minorHAnsi" w:hAnsiTheme="minorHAnsi" w:eastAsiaTheme="minorEastAsia" w:cstheme="minorBidi"/>
                <w:sz w:val="20"/>
              </w:rPr>
            </w:pPr>
            <w:r>
              <w:rPr>
                <w:rFonts w:hint="eastAsia" w:cstheme="minorBidi"/>
                <w:sz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1</w:t>
            </w:r>
          </w:p>
        </w:tc>
        <w:tc>
          <w:tcPr>
            <w:tcW w:w="1524" w:type="dxa"/>
            <w:vAlign w:val="center"/>
          </w:tcPr>
          <w:p>
            <w:pPr>
              <w:rPr>
                <w:sz w:val="20"/>
              </w:rPr>
            </w:pPr>
            <w:r>
              <w:rPr>
                <w:rFonts w:hint="eastAsia"/>
                <w:sz w:val="20"/>
              </w:rPr>
              <w:t>布线人工</w:t>
            </w:r>
          </w:p>
        </w:tc>
        <w:tc>
          <w:tcPr>
            <w:tcW w:w="4234" w:type="dxa"/>
            <w:vAlign w:val="center"/>
          </w:tcPr>
          <w:p>
            <w:pPr>
              <w:rPr>
                <w:rFonts w:eastAsiaTheme="minorEastAsia"/>
                <w:sz w:val="20"/>
              </w:rPr>
            </w:pPr>
            <w:r>
              <w:rPr>
                <w:rFonts w:hint="eastAsia"/>
                <w:sz w:val="20"/>
              </w:rPr>
              <w:t>所有有线、无线信息点布线</w:t>
            </w:r>
          </w:p>
        </w:tc>
        <w:tc>
          <w:tcPr>
            <w:tcW w:w="1257" w:type="dxa"/>
            <w:vAlign w:val="center"/>
          </w:tcPr>
          <w:p>
            <w:pPr>
              <w:jc w:val="center"/>
              <w:rPr>
                <w:rFonts w:eastAsiaTheme="minorEastAsia"/>
                <w:sz w:val="20"/>
              </w:rPr>
            </w:pPr>
            <w:r>
              <w:rPr>
                <w:rFonts w:hint="eastAsia"/>
                <w:sz w:val="20"/>
              </w:rPr>
              <w:t>1500</w:t>
            </w:r>
          </w:p>
        </w:tc>
        <w:tc>
          <w:tcPr>
            <w:tcW w:w="1362" w:type="dxa"/>
            <w:vAlign w:val="center"/>
          </w:tcPr>
          <w:p>
            <w:pPr>
              <w:jc w:val="center"/>
              <w:rPr>
                <w:sz w:val="20"/>
              </w:rPr>
            </w:pPr>
            <w:r>
              <w:rPr>
                <w:rFonts w:hint="eastAsia"/>
                <w:sz w:val="2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jc w:val="center"/>
              <w:rPr>
                <w:sz w:val="20"/>
              </w:rPr>
            </w:pPr>
            <w:r>
              <w:rPr>
                <w:rFonts w:hint="eastAsia"/>
                <w:sz w:val="20"/>
              </w:rPr>
              <w:t>2</w:t>
            </w:r>
          </w:p>
        </w:tc>
        <w:tc>
          <w:tcPr>
            <w:tcW w:w="1524" w:type="dxa"/>
            <w:vAlign w:val="center"/>
          </w:tcPr>
          <w:p>
            <w:pPr>
              <w:rPr>
                <w:sz w:val="20"/>
              </w:rPr>
            </w:pPr>
            <w:r>
              <w:rPr>
                <w:rFonts w:hint="eastAsia"/>
                <w:sz w:val="20"/>
              </w:rPr>
              <w:t>AP安装1</w:t>
            </w:r>
          </w:p>
        </w:tc>
        <w:tc>
          <w:tcPr>
            <w:tcW w:w="4234" w:type="dxa"/>
            <w:vAlign w:val="center"/>
          </w:tcPr>
          <w:p>
            <w:pPr>
              <w:rPr>
                <w:sz w:val="20"/>
              </w:rPr>
            </w:pPr>
            <w:r>
              <w:rPr>
                <w:rFonts w:hint="eastAsia"/>
                <w:sz w:val="20"/>
              </w:rPr>
              <w:t>所有室内无线AP安装</w:t>
            </w:r>
          </w:p>
        </w:tc>
        <w:tc>
          <w:tcPr>
            <w:tcW w:w="1257" w:type="dxa"/>
            <w:vAlign w:val="center"/>
          </w:tcPr>
          <w:p>
            <w:pPr>
              <w:jc w:val="center"/>
              <w:rPr>
                <w:sz w:val="20"/>
              </w:rPr>
            </w:pPr>
            <w:r>
              <w:rPr>
                <w:rFonts w:hint="eastAsia"/>
                <w:sz w:val="20"/>
              </w:rPr>
              <w:t>254</w:t>
            </w:r>
          </w:p>
        </w:tc>
        <w:tc>
          <w:tcPr>
            <w:tcW w:w="1362" w:type="dxa"/>
            <w:vAlign w:val="center"/>
          </w:tcPr>
          <w:p>
            <w:pPr>
              <w:jc w:val="center"/>
              <w:rPr>
                <w:sz w:val="20"/>
              </w:rPr>
            </w:pPr>
            <w:r>
              <w:rPr>
                <w:rFonts w:hint="eastAsia"/>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3</w:t>
            </w:r>
          </w:p>
        </w:tc>
        <w:tc>
          <w:tcPr>
            <w:tcW w:w="1524" w:type="dxa"/>
            <w:vAlign w:val="center"/>
          </w:tcPr>
          <w:p>
            <w:pPr>
              <w:rPr>
                <w:sz w:val="20"/>
              </w:rPr>
            </w:pPr>
            <w:r>
              <w:rPr>
                <w:rFonts w:hint="eastAsia"/>
                <w:sz w:val="20"/>
              </w:rPr>
              <w:t>室外AP安装</w:t>
            </w:r>
          </w:p>
        </w:tc>
        <w:tc>
          <w:tcPr>
            <w:tcW w:w="4234" w:type="dxa"/>
            <w:vAlign w:val="center"/>
          </w:tcPr>
          <w:p>
            <w:pPr>
              <w:rPr>
                <w:sz w:val="20"/>
              </w:rPr>
            </w:pPr>
            <w:r>
              <w:rPr>
                <w:rFonts w:hint="eastAsia"/>
                <w:sz w:val="20"/>
              </w:rPr>
              <w:t>含线材、立杆、人工等</w:t>
            </w:r>
          </w:p>
        </w:tc>
        <w:tc>
          <w:tcPr>
            <w:tcW w:w="1257" w:type="dxa"/>
            <w:vAlign w:val="center"/>
          </w:tcPr>
          <w:p>
            <w:pPr>
              <w:widowControl/>
              <w:jc w:val="center"/>
              <w:textAlignment w:val="center"/>
              <w:rPr>
                <w:sz w:val="20"/>
              </w:rPr>
            </w:pPr>
            <w:r>
              <w:rPr>
                <w:rFonts w:hint="eastAsia"/>
                <w:sz w:val="20"/>
              </w:rPr>
              <w:t>12</w:t>
            </w:r>
          </w:p>
        </w:tc>
        <w:tc>
          <w:tcPr>
            <w:tcW w:w="1362" w:type="dxa"/>
            <w:vAlign w:val="center"/>
          </w:tcPr>
          <w:p>
            <w:pPr>
              <w:widowControl/>
              <w:jc w:val="center"/>
              <w:textAlignment w:val="center"/>
              <w:rPr>
                <w:sz w:val="20"/>
              </w:rPr>
            </w:pPr>
            <w:r>
              <w:rPr>
                <w:rFonts w:hint="eastAsia"/>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4</w:t>
            </w:r>
          </w:p>
        </w:tc>
        <w:tc>
          <w:tcPr>
            <w:tcW w:w="1524" w:type="dxa"/>
            <w:vAlign w:val="center"/>
          </w:tcPr>
          <w:p>
            <w:pPr>
              <w:rPr>
                <w:sz w:val="20"/>
              </w:rPr>
            </w:pPr>
            <w:r>
              <w:rPr>
                <w:rFonts w:hint="eastAsia"/>
                <w:sz w:val="20"/>
              </w:rPr>
              <w:t>桥架安装</w:t>
            </w:r>
          </w:p>
        </w:tc>
        <w:tc>
          <w:tcPr>
            <w:tcW w:w="4234" w:type="dxa"/>
            <w:vAlign w:val="center"/>
          </w:tcPr>
          <w:p>
            <w:pPr>
              <w:rPr>
                <w:sz w:val="20"/>
              </w:rPr>
            </w:pPr>
          </w:p>
        </w:tc>
        <w:tc>
          <w:tcPr>
            <w:tcW w:w="1257" w:type="dxa"/>
            <w:vAlign w:val="center"/>
          </w:tcPr>
          <w:p>
            <w:pPr>
              <w:widowControl/>
              <w:jc w:val="center"/>
              <w:textAlignment w:val="center"/>
              <w:rPr>
                <w:sz w:val="20"/>
              </w:rPr>
            </w:pPr>
            <w:r>
              <w:rPr>
                <w:rFonts w:hint="eastAsia" w:ascii="宋体" w:hAnsi="宋体" w:cs="宋体"/>
                <w:color w:val="000000"/>
                <w:kern w:val="0"/>
                <w:sz w:val="20"/>
              </w:rPr>
              <w:t>1471</w:t>
            </w:r>
          </w:p>
        </w:tc>
        <w:tc>
          <w:tcPr>
            <w:tcW w:w="1362" w:type="dxa"/>
            <w:vAlign w:val="center"/>
          </w:tcPr>
          <w:p>
            <w:pPr>
              <w:widowControl/>
              <w:jc w:val="center"/>
              <w:textAlignment w:val="center"/>
              <w:rPr>
                <w:sz w:val="20"/>
              </w:rPr>
            </w:pPr>
            <w:r>
              <w:rPr>
                <w:rFonts w:hint="eastAsia" w:ascii="宋体" w:hAnsi="宋体" w:cs="宋体"/>
                <w:color w:val="000000"/>
                <w:kern w:val="0"/>
                <w:sz w:val="20"/>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5</w:t>
            </w:r>
          </w:p>
        </w:tc>
        <w:tc>
          <w:tcPr>
            <w:tcW w:w="1524" w:type="dxa"/>
            <w:vAlign w:val="center"/>
          </w:tcPr>
          <w:p>
            <w:pPr>
              <w:rPr>
                <w:sz w:val="20"/>
              </w:rPr>
            </w:pPr>
            <w:r>
              <w:rPr>
                <w:rFonts w:hint="eastAsia"/>
                <w:sz w:val="20"/>
              </w:rPr>
              <w:t>过墙洞垂直桥架φ50</w:t>
            </w:r>
          </w:p>
        </w:tc>
        <w:tc>
          <w:tcPr>
            <w:tcW w:w="4234" w:type="dxa"/>
            <w:vAlign w:val="center"/>
          </w:tcPr>
          <w:p>
            <w:pPr>
              <w:rPr>
                <w:sz w:val="20"/>
              </w:rPr>
            </w:pPr>
          </w:p>
        </w:tc>
        <w:tc>
          <w:tcPr>
            <w:tcW w:w="1257" w:type="dxa"/>
            <w:vAlign w:val="center"/>
          </w:tcPr>
          <w:p>
            <w:pPr>
              <w:widowControl/>
              <w:jc w:val="center"/>
              <w:textAlignment w:val="center"/>
              <w:rPr>
                <w:sz w:val="20"/>
              </w:rPr>
            </w:pPr>
            <w:r>
              <w:rPr>
                <w:rFonts w:hint="eastAsia" w:ascii="宋体" w:hAnsi="宋体" w:cs="宋体"/>
                <w:color w:val="000000"/>
                <w:kern w:val="0"/>
                <w:sz w:val="20"/>
              </w:rPr>
              <w:t>90</w:t>
            </w:r>
          </w:p>
        </w:tc>
        <w:tc>
          <w:tcPr>
            <w:tcW w:w="1362" w:type="dxa"/>
            <w:vAlign w:val="center"/>
          </w:tcPr>
          <w:p>
            <w:pPr>
              <w:widowControl/>
              <w:jc w:val="center"/>
              <w:textAlignment w:val="center"/>
              <w:rPr>
                <w:sz w:val="20"/>
              </w:rPr>
            </w:pPr>
            <w:r>
              <w:rPr>
                <w:rFonts w:hint="eastAsia" w:ascii="宋体" w:hAnsi="宋体" w:cs="宋体"/>
                <w:color w:val="000000"/>
                <w:kern w:val="0"/>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jc w:val="center"/>
              <w:rPr>
                <w:sz w:val="20"/>
              </w:rPr>
            </w:pPr>
            <w:r>
              <w:rPr>
                <w:rFonts w:hint="eastAsia"/>
                <w:sz w:val="20"/>
              </w:rPr>
              <w:t>6</w:t>
            </w:r>
          </w:p>
        </w:tc>
        <w:tc>
          <w:tcPr>
            <w:tcW w:w="1524" w:type="dxa"/>
            <w:vAlign w:val="center"/>
          </w:tcPr>
          <w:p>
            <w:pPr>
              <w:rPr>
                <w:sz w:val="20"/>
              </w:rPr>
            </w:pPr>
            <w:r>
              <w:rPr>
                <w:rFonts w:hint="eastAsia" w:ascii="宋体" w:hAnsi="宋体" w:cs="宋体"/>
                <w:color w:val="000000"/>
                <w:kern w:val="0"/>
                <w:sz w:val="20"/>
              </w:rPr>
              <w:t>室外光缆施工</w:t>
            </w:r>
          </w:p>
        </w:tc>
        <w:tc>
          <w:tcPr>
            <w:tcW w:w="4234" w:type="dxa"/>
            <w:vAlign w:val="center"/>
          </w:tcPr>
          <w:p>
            <w:pPr>
              <w:rPr>
                <w:sz w:val="20"/>
              </w:rPr>
            </w:pPr>
          </w:p>
        </w:tc>
        <w:tc>
          <w:tcPr>
            <w:tcW w:w="1257" w:type="dxa"/>
            <w:vAlign w:val="center"/>
          </w:tcPr>
          <w:p>
            <w:pPr>
              <w:widowControl/>
              <w:jc w:val="center"/>
              <w:textAlignment w:val="center"/>
              <w:rPr>
                <w:sz w:val="20"/>
              </w:rPr>
            </w:pPr>
            <w:r>
              <w:rPr>
                <w:rFonts w:hint="eastAsia" w:ascii="宋体" w:hAnsi="宋体" w:cs="宋体"/>
                <w:color w:val="000000"/>
                <w:kern w:val="0"/>
                <w:sz w:val="20"/>
              </w:rPr>
              <w:t>4000</w:t>
            </w:r>
          </w:p>
        </w:tc>
        <w:tc>
          <w:tcPr>
            <w:tcW w:w="1362" w:type="dxa"/>
            <w:vAlign w:val="center"/>
          </w:tcPr>
          <w:p>
            <w:pPr>
              <w:widowControl/>
              <w:jc w:val="center"/>
              <w:textAlignment w:val="center"/>
              <w:rPr>
                <w:sz w:val="20"/>
              </w:rPr>
            </w:pPr>
            <w:r>
              <w:rPr>
                <w:rFonts w:hint="eastAsia" w:ascii="宋体" w:hAnsi="宋体" w:cs="宋体"/>
                <w:color w:val="000000"/>
                <w:kern w:val="0"/>
                <w:sz w:val="20"/>
              </w:rPr>
              <w:t>米</w:t>
            </w:r>
          </w:p>
        </w:tc>
      </w:tr>
    </w:tbl>
    <w:p>
      <w:pPr>
        <w:spacing w:line="360" w:lineRule="auto"/>
        <w:jc w:val="center"/>
        <w:rPr>
          <w:sz w:val="24"/>
          <w:szCs w:val="24"/>
        </w:rPr>
      </w:pPr>
    </w:p>
    <w:tbl>
      <w:tblPr>
        <w:tblStyle w:val="41"/>
        <w:tblpPr w:leftFromText="180" w:rightFromText="180" w:vertAnchor="text" w:horzAnchor="page" w:tblpX="1384" w:tblpY="470"/>
        <w:tblOverlap w:val="never"/>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535"/>
        <w:gridCol w:w="4211"/>
        <w:gridCol w:w="1269"/>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5"/>
            <w:vAlign w:val="center"/>
          </w:tcPr>
          <w:p>
            <w:pPr>
              <w:jc w:val="center"/>
              <w:rPr>
                <w:b/>
                <w:bCs/>
                <w:sz w:val="20"/>
              </w:rPr>
            </w:pPr>
            <w:r>
              <w:rPr>
                <w:rFonts w:hint="eastAsia"/>
                <w:b/>
                <w:bCs/>
                <w:sz w:val="20"/>
              </w:rPr>
              <w:t>四、机房改造清单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rFonts w:asciiTheme="minorHAnsi" w:hAnsiTheme="minorHAnsi" w:eastAsiaTheme="minorEastAsia" w:cstheme="minorBidi"/>
                <w:sz w:val="20"/>
              </w:rPr>
            </w:pPr>
            <w:r>
              <w:rPr>
                <w:rFonts w:hint="eastAsia"/>
                <w:sz w:val="20"/>
              </w:rPr>
              <w:t>序号</w:t>
            </w:r>
          </w:p>
        </w:tc>
        <w:tc>
          <w:tcPr>
            <w:tcW w:w="1535" w:type="dxa"/>
            <w:vAlign w:val="center"/>
          </w:tcPr>
          <w:p>
            <w:pPr>
              <w:jc w:val="center"/>
              <w:rPr>
                <w:rFonts w:asciiTheme="minorHAnsi" w:hAnsiTheme="minorHAnsi" w:eastAsiaTheme="minorEastAsia" w:cstheme="minorBidi"/>
                <w:sz w:val="20"/>
              </w:rPr>
            </w:pPr>
            <w:r>
              <w:rPr>
                <w:rFonts w:hint="eastAsia"/>
                <w:sz w:val="20"/>
              </w:rPr>
              <w:t>项目</w:t>
            </w:r>
          </w:p>
        </w:tc>
        <w:tc>
          <w:tcPr>
            <w:tcW w:w="4211" w:type="dxa"/>
            <w:vAlign w:val="center"/>
          </w:tcPr>
          <w:p>
            <w:pPr>
              <w:jc w:val="center"/>
              <w:rPr>
                <w:rFonts w:asciiTheme="minorHAnsi" w:hAnsiTheme="minorHAnsi" w:eastAsiaTheme="minorEastAsia" w:cstheme="minorBidi"/>
                <w:sz w:val="20"/>
              </w:rPr>
            </w:pPr>
            <w:r>
              <w:rPr>
                <w:rFonts w:hint="eastAsia" w:cstheme="minorBidi"/>
                <w:sz w:val="20"/>
              </w:rPr>
              <w:t>内容</w:t>
            </w:r>
          </w:p>
        </w:tc>
        <w:tc>
          <w:tcPr>
            <w:tcW w:w="1269" w:type="dxa"/>
            <w:vAlign w:val="center"/>
          </w:tcPr>
          <w:p>
            <w:pPr>
              <w:jc w:val="center"/>
              <w:rPr>
                <w:rFonts w:asciiTheme="minorHAnsi" w:hAnsiTheme="minorHAnsi" w:eastAsiaTheme="minorEastAsia" w:cstheme="minorBidi"/>
                <w:sz w:val="20"/>
              </w:rPr>
            </w:pPr>
            <w:r>
              <w:rPr>
                <w:rFonts w:hint="eastAsia"/>
                <w:sz w:val="20"/>
              </w:rPr>
              <w:t>数量</w:t>
            </w:r>
          </w:p>
        </w:tc>
        <w:tc>
          <w:tcPr>
            <w:tcW w:w="1385" w:type="dxa"/>
          </w:tcPr>
          <w:p>
            <w:pPr>
              <w:jc w:val="center"/>
              <w:rPr>
                <w:rFonts w:asciiTheme="minorHAnsi" w:hAnsiTheme="minorHAnsi" w:eastAsiaTheme="minorEastAsia" w:cstheme="minorBidi"/>
                <w:sz w:val="20"/>
              </w:rPr>
            </w:pPr>
            <w:r>
              <w:rPr>
                <w:rFonts w:hint="eastAsia" w:cstheme="minorBidi"/>
                <w:sz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1</w:t>
            </w:r>
          </w:p>
        </w:tc>
        <w:tc>
          <w:tcPr>
            <w:tcW w:w="1535" w:type="dxa"/>
            <w:vAlign w:val="center"/>
          </w:tcPr>
          <w:p>
            <w:pPr>
              <w:rPr>
                <w:sz w:val="20"/>
              </w:rPr>
            </w:pPr>
            <w:r>
              <w:rPr>
                <w:rFonts w:hint="eastAsia"/>
                <w:sz w:val="20"/>
              </w:rPr>
              <w:t>线缆整理、拆除、迁移</w:t>
            </w:r>
          </w:p>
        </w:tc>
        <w:tc>
          <w:tcPr>
            <w:tcW w:w="4211" w:type="dxa"/>
            <w:vAlign w:val="center"/>
          </w:tcPr>
          <w:p>
            <w:pPr>
              <w:rPr>
                <w:rFonts w:eastAsiaTheme="minorEastAsia"/>
                <w:sz w:val="20"/>
              </w:rPr>
            </w:pPr>
            <w:r>
              <w:rPr>
                <w:rFonts w:hint="eastAsia"/>
                <w:sz w:val="20"/>
              </w:rPr>
              <w:t>校本部原有老旧线缆拆除、保留网线整理、保留机柜线路整理、迁移等。</w:t>
            </w:r>
          </w:p>
        </w:tc>
        <w:tc>
          <w:tcPr>
            <w:tcW w:w="1269" w:type="dxa"/>
            <w:vAlign w:val="center"/>
          </w:tcPr>
          <w:p>
            <w:pPr>
              <w:jc w:val="center"/>
              <w:rPr>
                <w:rFonts w:eastAsiaTheme="minorEastAsia"/>
                <w:sz w:val="20"/>
              </w:rPr>
            </w:pPr>
            <w:r>
              <w:rPr>
                <w:rFonts w:hint="eastAsia"/>
                <w:sz w:val="20"/>
              </w:rPr>
              <w:t>1</w:t>
            </w:r>
          </w:p>
        </w:tc>
        <w:tc>
          <w:tcPr>
            <w:tcW w:w="1385" w:type="dxa"/>
            <w:vAlign w:val="center"/>
          </w:tcPr>
          <w:p>
            <w:pPr>
              <w:jc w:val="center"/>
              <w:rPr>
                <w:sz w:val="20"/>
              </w:rPr>
            </w:pPr>
            <w:r>
              <w:rPr>
                <w:rFonts w:hint="eastAsia"/>
                <w:sz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vAlign w:val="center"/>
          </w:tcPr>
          <w:p>
            <w:pPr>
              <w:jc w:val="center"/>
              <w:rPr>
                <w:sz w:val="20"/>
              </w:rPr>
            </w:pPr>
            <w:r>
              <w:rPr>
                <w:rFonts w:hint="eastAsia"/>
                <w:sz w:val="20"/>
              </w:rPr>
              <w:t>2</w:t>
            </w:r>
          </w:p>
        </w:tc>
        <w:tc>
          <w:tcPr>
            <w:tcW w:w="1535" w:type="dxa"/>
            <w:vAlign w:val="center"/>
          </w:tcPr>
          <w:p>
            <w:pPr>
              <w:rPr>
                <w:sz w:val="20"/>
              </w:rPr>
            </w:pPr>
            <w:r>
              <w:rPr>
                <w:rFonts w:hint="eastAsia"/>
                <w:sz w:val="20"/>
              </w:rPr>
              <w:t>中心机房</w:t>
            </w:r>
          </w:p>
        </w:tc>
        <w:tc>
          <w:tcPr>
            <w:tcW w:w="4211" w:type="dxa"/>
            <w:vAlign w:val="center"/>
          </w:tcPr>
          <w:p>
            <w:pPr>
              <w:rPr>
                <w:sz w:val="20"/>
              </w:rPr>
            </w:pPr>
            <w:r>
              <w:rPr>
                <w:rFonts w:hint="eastAsia"/>
                <w:sz w:val="20"/>
              </w:rPr>
              <w:t>机房网线整理、空调维修，光纤跳纤梳理、铺设上走线跳纤疏导槽及理线架与新系统割接</w:t>
            </w:r>
          </w:p>
        </w:tc>
        <w:tc>
          <w:tcPr>
            <w:tcW w:w="1269" w:type="dxa"/>
            <w:vAlign w:val="center"/>
          </w:tcPr>
          <w:p>
            <w:pPr>
              <w:jc w:val="center"/>
              <w:rPr>
                <w:sz w:val="20"/>
              </w:rPr>
            </w:pPr>
            <w:r>
              <w:rPr>
                <w:rFonts w:hint="eastAsia"/>
                <w:sz w:val="20"/>
              </w:rPr>
              <w:t>1</w:t>
            </w:r>
          </w:p>
        </w:tc>
        <w:tc>
          <w:tcPr>
            <w:tcW w:w="1385" w:type="dxa"/>
            <w:vAlign w:val="center"/>
          </w:tcPr>
          <w:p>
            <w:pPr>
              <w:jc w:val="center"/>
              <w:rPr>
                <w:sz w:val="20"/>
              </w:rPr>
            </w:pPr>
            <w:r>
              <w:rPr>
                <w:rFonts w:hint="eastAsia"/>
                <w:sz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3</w:t>
            </w:r>
          </w:p>
        </w:tc>
        <w:tc>
          <w:tcPr>
            <w:tcW w:w="1535" w:type="dxa"/>
            <w:vAlign w:val="center"/>
          </w:tcPr>
          <w:p>
            <w:pPr>
              <w:rPr>
                <w:color w:val="000000" w:themeColor="text1"/>
                <w:sz w:val="20"/>
              </w:rPr>
            </w:pPr>
            <w:r>
              <w:rPr>
                <w:rFonts w:hint="eastAsia"/>
                <w:color w:val="000000" w:themeColor="text1"/>
                <w:sz w:val="20"/>
              </w:rPr>
              <w:t>信息楼机房</w:t>
            </w:r>
          </w:p>
        </w:tc>
        <w:tc>
          <w:tcPr>
            <w:tcW w:w="4211" w:type="dxa"/>
            <w:vAlign w:val="center"/>
          </w:tcPr>
          <w:p>
            <w:pPr>
              <w:numPr>
                <w:ilvl w:val="0"/>
                <w:numId w:val="3"/>
              </w:numPr>
              <w:jc w:val="left"/>
              <w:rPr>
                <w:color w:val="000000" w:themeColor="text1"/>
              </w:rPr>
            </w:pPr>
            <w:r>
              <w:rPr>
                <w:rFonts w:hint="eastAsia"/>
                <w:color w:val="000000" w:themeColor="text1"/>
              </w:rPr>
              <w:t>拆除所有原来的网络设备及机柜、配电柜和空调，拆除原有老旧的防静电地板，拆除隔墙，吊顶。</w:t>
            </w:r>
          </w:p>
          <w:p>
            <w:pPr>
              <w:numPr>
                <w:ilvl w:val="0"/>
                <w:numId w:val="3"/>
              </w:numPr>
              <w:jc w:val="left"/>
              <w:rPr>
                <w:color w:val="000000" w:themeColor="text1"/>
              </w:rPr>
            </w:pPr>
            <w:r>
              <w:rPr>
                <w:rFonts w:hint="eastAsia"/>
                <w:color w:val="000000" w:themeColor="text1"/>
              </w:rPr>
              <w:t>恢复原被封闭的窗户，恢复网络、水电暖、照明电路，制作塑钢隔断墙，重新吊顶，空调维修、清洗及移位</w:t>
            </w:r>
          </w:p>
          <w:p>
            <w:pPr>
              <w:numPr>
                <w:ilvl w:val="0"/>
                <w:numId w:val="3"/>
              </w:numPr>
              <w:jc w:val="left"/>
              <w:rPr>
                <w:color w:val="000000" w:themeColor="text1"/>
              </w:rPr>
            </w:pPr>
            <w:r>
              <w:rPr>
                <w:rFonts w:hint="eastAsia"/>
                <w:color w:val="000000" w:themeColor="text1"/>
              </w:rPr>
              <w:t>4层仓储货架120cm*cm*200cm 14个,200cm*60cm*105cm接待台桌1张，可折叠移动课桌140cm*55cm*75cm 12张,轮子可上锁，可折叠椅子24个。</w:t>
            </w:r>
          </w:p>
          <w:p>
            <w:pPr>
              <w:numPr>
                <w:ilvl w:val="0"/>
                <w:numId w:val="3"/>
              </w:numPr>
              <w:jc w:val="left"/>
              <w:rPr>
                <w:color w:val="000000" w:themeColor="text1"/>
              </w:rPr>
            </w:pPr>
            <w:r>
              <w:rPr>
                <w:rFonts w:hint="eastAsia"/>
                <w:color w:val="000000" w:themeColor="text1"/>
              </w:rPr>
              <w:t>60*60LED灯8个。</w:t>
            </w:r>
          </w:p>
          <w:p>
            <w:pPr>
              <w:pStyle w:val="2"/>
              <w:rPr>
                <w:color w:val="000000" w:themeColor="text1"/>
              </w:rPr>
            </w:pPr>
            <w:r>
              <w:rPr>
                <w:rFonts w:hint="eastAsia" w:ascii="Times New Roman" w:hAnsi="Times New Roman"/>
                <w:color w:val="000000" w:themeColor="text1"/>
                <w:sz w:val="20"/>
              </w:rPr>
              <w:t>房屋面积约为：（</w:t>
            </w:r>
            <w:r>
              <w:rPr>
                <w:rFonts w:ascii="Times New Roman" w:hAnsi="Times New Roman"/>
                <w:color w:val="000000" w:themeColor="text1"/>
                <w:sz w:val="20"/>
              </w:rPr>
              <w:t>10.8*6.2</w:t>
            </w:r>
            <w:r>
              <w:rPr>
                <w:rFonts w:hint="eastAsia" w:ascii="Times New Roman" w:hAnsi="Times New Roman"/>
                <w:color w:val="000000" w:themeColor="text1"/>
                <w:sz w:val="20"/>
              </w:rPr>
              <w:t>）</w:t>
            </w:r>
          </w:p>
          <w:p>
            <w:pPr>
              <w:pStyle w:val="2"/>
              <w:rPr>
                <w:color w:val="000000" w:themeColor="text1"/>
              </w:rPr>
            </w:pPr>
            <w:r>
              <w:rPr>
                <w:rFonts w:hint="eastAsia"/>
                <w:color w:val="000000" w:themeColor="text1"/>
                <w:sz w:val="20"/>
              </w:rPr>
              <w:t>具体要求详见技术要求及规格参数。</w:t>
            </w:r>
          </w:p>
        </w:tc>
        <w:tc>
          <w:tcPr>
            <w:tcW w:w="1269" w:type="dxa"/>
            <w:vAlign w:val="center"/>
          </w:tcPr>
          <w:p>
            <w:pPr>
              <w:widowControl/>
              <w:jc w:val="center"/>
              <w:textAlignment w:val="center"/>
              <w:rPr>
                <w:sz w:val="20"/>
              </w:rPr>
            </w:pPr>
            <w:r>
              <w:rPr>
                <w:rFonts w:hint="eastAsia"/>
                <w:sz w:val="20"/>
              </w:rPr>
              <w:t>1</w:t>
            </w:r>
          </w:p>
        </w:tc>
        <w:tc>
          <w:tcPr>
            <w:tcW w:w="1385" w:type="dxa"/>
            <w:vAlign w:val="center"/>
          </w:tcPr>
          <w:p>
            <w:pPr>
              <w:widowControl/>
              <w:jc w:val="center"/>
              <w:textAlignment w:val="center"/>
              <w:rPr>
                <w:sz w:val="20"/>
              </w:rPr>
            </w:pPr>
            <w:r>
              <w:rPr>
                <w:rFonts w:hint="eastAsia"/>
                <w:sz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4</w:t>
            </w:r>
          </w:p>
        </w:tc>
        <w:tc>
          <w:tcPr>
            <w:tcW w:w="1535" w:type="dxa"/>
            <w:vAlign w:val="center"/>
          </w:tcPr>
          <w:p>
            <w:pPr>
              <w:rPr>
                <w:sz w:val="20"/>
              </w:rPr>
            </w:pPr>
            <w:r>
              <w:rPr>
                <w:rFonts w:hint="eastAsia"/>
                <w:sz w:val="20"/>
              </w:rPr>
              <w:t>屯河校区汇聚机房</w:t>
            </w:r>
          </w:p>
        </w:tc>
        <w:tc>
          <w:tcPr>
            <w:tcW w:w="4211" w:type="dxa"/>
            <w:vAlign w:val="center"/>
          </w:tcPr>
          <w:p>
            <w:r>
              <w:rPr>
                <w:rFonts w:hint="eastAsia"/>
              </w:rPr>
              <w:t>制作塑钢隔断、电路、屯河校区光缆汇聚点迁移，汇聚机柜及设备迁移，原汇聚点保留网线整理</w:t>
            </w:r>
          </w:p>
          <w:p>
            <w:pPr>
              <w:pStyle w:val="2"/>
            </w:pPr>
            <w:r>
              <w:rPr>
                <w:rFonts w:hint="eastAsia"/>
                <w:color w:val="000000" w:themeColor="text1"/>
                <w:sz w:val="20"/>
              </w:rPr>
              <w:t>具体要求详见技术要求及规格参数。</w:t>
            </w:r>
          </w:p>
        </w:tc>
        <w:tc>
          <w:tcPr>
            <w:tcW w:w="1269" w:type="dxa"/>
            <w:vAlign w:val="center"/>
          </w:tcPr>
          <w:p>
            <w:pPr>
              <w:widowControl/>
              <w:jc w:val="center"/>
              <w:textAlignment w:val="center"/>
              <w:rPr>
                <w:sz w:val="20"/>
              </w:rPr>
            </w:pPr>
            <w:r>
              <w:rPr>
                <w:rFonts w:hint="eastAsia" w:ascii="宋体" w:hAnsi="宋体" w:cs="宋体"/>
                <w:color w:val="000000"/>
                <w:kern w:val="0"/>
                <w:sz w:val="20"/>
              </w:rPr>
              <w:t>1</w:t>
            </w:r>
          </w:p>
        </w:tc>
        <w:tc>
          <w:tcPr>
            <w:tcW w:w="1385" w:type="dxa"/>
            <w:vAlign w:val="center"/>
          </w:tcPr>
          <w:p>
            <w:pPr>
              <w:widowControl/>
              <w:jc w:val="center"/>
              <w:textAlignment w:val="center"/>
              <w:rPr>
                <w:sz w:val="20"/>
              </w:rPr>
            </w:pPr>
            <w:r>
              <w:rPr>
                <w:rFonts w:hint="eastAsia" w:ascii="宋体" w:hAnsi="宋体" w:cs="宋体"/>
                <w:color w:val="000000"/>
                <w:kern w:val="0"/>
                <w:sz w:val="20"/>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pPr>
              <w:jc w:val="center"/>
              <w:rPr>
                <w:sz w:val="20"/>
              </w:rPr>
            </w:pPr>
            <w:r>
              <w:rPr>
                <w:rFonts w:hint="eastAsia"/>
                <w:sz w:val="20"/>
              </w:rPr>
              <w:t>5</w:t>
            </w:r>
          </w:p>
        </w:tc>
        <w:tc>
          <w:tcPr>
            <w:tcW w:w="1535" w:type="dxa"/>
            <w:vAlign w:val="center"/>
          </w:tcPr>
          <w:p>
            <w:pPr>
              <w:rPr>
                <w:sz w:val="20"/>
              </w:rPr>
            </w:pPr>
            <w:r>
              <w:rPr>
                <w:rFonts w:hint="eastAsia"/>
                <w:sz w:val="20"/>
              </w:rPr>
              <w:t>东泉校区汇聚机房</w:t>
            </w:r>
          </w:p>
        </w:tc>
        <w:tc>
          <w:tcPr>
            <w:tcW w:w="4211" w:type="dxa"/>
            <w:vAlign w:val="center"/>
          </w:tcPr>
          <w:p>
            <w:r>
              <w:t>原木质门窗，更换为塑钢窗5扇及防盗门一套，做吊顶、防静电地板、隔断、网络布线、照明、电路，粉刷翻新墙面</w:t>
            </w:r>
          </w:p>
          <w:p>
            <w:r>
              <w:t>宽3.7，长11.2 高3.44   窗户  尺寸大概1.5*0.8 </w:t>
            </w:r>
          </w:p>
          <w:p>
            <w:pPr>
              <w:pStyle w:val="2"/>
            </w:pPr>
            <w:r>
              <w:rPr>
                <w:rFonts w:hint="eastAsia"/>
                <w:color w:val="000000" w:themeColor="text1"/>
                <w:sz w:val="20"/>
              </w:rPr>
              <w:t>具体要求详见技术要求及规格参数。</w:t>
            </w:r>
          </w:p>
        </w:tc>
        <w:tc>
          <w:tcPr>
            <w:tcW w:w="1269" w:type="dxa"/>
            <w:vAlign w:val="center"/>
          </w:tcPr>
          <w:p>
            <w:pPr>
              <w:widowControl/>
              <w:jc w:val="center"/>
              <w:textAlignment w:val="center"/>
              <w:rPr>
                <w:sz w:val="20"/>
              </w:rPr>
            </w:pPr>
            <w:r>
              <w:rPr>
                <w:rFonts w:hint="eastAsia" w:ascii="宋体" w:hAnsi="宋体" w:cs="宋体"/>
                <w:color w:val="000000"/>
                <w:kern w:val="0"/>
                <w:sz w:val="20"/>
              </w:rPr>
              <w:t>1</w:t>
            </w:r>
          </w:p>
        </w:tc>
        <w:tc>
          <w:tcPr>
            <w:tcW w:w="1385" w:type="dxa"/>
            <w:vAlign w:val="center"/>
          </w:tcPr>
          <w:p>
            <w:pPr>
              <w:widowControl/>
              <w:jc w:val="center"/>
              <w:textAlignment w:val="center"/>
              <w:rPr>
                <w:sz w:val="20"/>
              </w:rPr>
            </w:pPr>
            <w:r>
              <w:rPr>
                <w:rFonts w:hint="eastAsia" w:ascii="宋体" w:hAnsi="宋体" w:cs="宋体"/>
                <w:color w:val="000000"/>
                <w:kern w:val="0"/>
                <w:sz w:val="20"/>
              </w:rPr>
              <w:t>批</w:t>
            </w:r>
          </w:p>
        </w:tc>
      </w:tr>
    </w:tbl>
    <w:p>
      <w:pPr>
        <w:pStyle w:val="123"/>
        <w:ind w:firstLine="562"/>
        <w:rPr>
          <w:b/>
          <w:sz w:val="28"/>
        </w:rPr>
      </w:pPr>
    </w:p>
    <w:p>
      <w:pPr>
        <w:pStyle w:val="123"/>
        <w:ind w:firstLine="562"/>
        <w:rPr>
          <w:b/>
          <w:sz w:val="28"/>
        </w:rPr>
      </w:pPr>
    </w:p>
    <w:p>
      <w:pPr>
        <w:pStyle w:val="123"/>
        <w:ind w:firstLine="562"/>
        <w:rPr>
          <w:b/>
          <w:sz w:val="28"/>
        </w:rPr>
      </w:pPr>
      <w:r>
        <w:rPr>
          <w:rFonts w:hint="eastAsia"/>
          <w:b/>
          <w:sz w:val="28"/>
        </w:rPr>
        <w:t>四、技术要求及规格参数</w:t>
      </w:r>
    </w:p>
    <w:p>
      <w:pPr>
        <w:pStyle w:val="3"/>
        <w:spacing w:line="360" w:lineRule="auto"/>
        <w:ind w:left="0" w:firstLine="482" w:firstLineChars="200"/>
        <w:jc w:val="left"/>
        <w:rPr>
          <w:sz w:val="24"/>
          <w:szCs w:val="24"/>
        </w:rPr>
      </w:pPr>
      <w:r>
        <w:rPr>
          <w:rFonts w:hint="eastAsia"/>
          <w:sz w:val="24"/>
          <w:szCs w:val="24"/>
        </w:rPr>
        <w:t>（一）技术标准</w:t>
      </w:r>
    </w:p>
    <w:p>
      <w:pPr>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本次基础网络升级改造项目的施工遵循国际、国家最新的智能化系统建设标准、规范，主要参考的标准为：</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《智能建筑设计标准》（GB50314-2015）</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《智能建筑工程质量验收规范》（GB50339-2013）</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《综合布线系统工程设计规范》（GB/T50311-2016）</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《综合布线系统工程验收规范》（GB/T50312-2007）</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《建筑物电子信息系统防雷技术规范》（GB50343-2012）</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《广播电视卫星地球站工程设计规范》（GY/T5041-2012）</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《有线电视网络工程施工及验收规范》（GY5073-2005）</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《安全防范工程技术规范》(GB50348-2004）</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《视频安防监控系统工程设计规范》(GB50395-2007）</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《入侵报警系统技术要求》(GA/T368-2001)）</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《民用闭路监视电视系统工程技术规范》(GB50198-2011）</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《安全防范系统验收规则》（GA308-2001）</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《通信局（站）防雷与接地工程设计规范》（GB50689-2011）</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《民用建筑电气设计规范》(JGJ/T16-2006)</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《数据中心设计规范》（GB50174-2017）</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《电子计算机场地通用规范》（GBT2887-2011）</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《火灾自动报警系统设计规范》（GB50116-2013）</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《电气装置安装工程接地装置施工及验收规范》（GB50169-2006)</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《火灾自动报警系统施工验收规范》（GB50166-2007）</w:t>
      </w:r>
    </w:p>
    <w:p>
      <w:pPr>
        <w:pStyle w:val="113"/>
        <w:numPr>
          <w:ilvl w:val="0"/>
          <w:numId w:val="4"/>
        </w:numPr>
        <w:adjustRightInd w:val="0"/>
        <w:snapToGrid w:val="0"/>
        <w:spacing w:line="360" w:lineRule="auto"/>
        <w:ind w:firstLineChars="0"/>
        <w:jc w:val="left"/>
        <w:rPr>
          <w:rFonts w:asciiTheme="minorEastAsia" w:hAnsiTheme="minorEastAsia" w:cstheme="minorEastAsia"/>
          <w:sz w:val="24"/>
          <w:szCs w:val="24"/>
        </w:rPr>
      </w:pPr>
      <w:r>
        <w:rPr>
          <w:rFonts w:hint="eastAsia" w:asciiTheme="minorEastAsia" w:hAnsiTheme="minorEastAsia" w:cstheme="minorEastAsia"/>
          <w:sz w:val="24"/>
          <w:szCs w:val="24"/>
        </w:rPr>
        <w:t>《建筑电气工程施工质量验收规范》（GB50303-2015）</w:t>
      </w:r>
    </w:p>
    <w:p>
      <w:pPr>
        <w:pStyle w:val="3"/>
        <w:spacing w:line="360" w:lineRule="auto"/>
        <w:ind w:left="0" w:firstLine="482" w:firstLineChars="200"/>
        <w:jc w:val="left"/>
        <w:rPr>
          <w:sz w:val="24"/>
          <w:szCs w:val="24"/>
        </w:rPr>
      </w:pPr>
      <w:r>
        <w:rPr>
          <w:rFonts w:hint="eastAsia"/>
          <w:sz w:val="24"/>
          <w:szCs w:val="24"/>
        </w:rPr>
        <w:t>（二）工程质量要求</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投标人必须保证提供的货物符合工程货物清单中的所有参数、功能要求，保证其提供的货物为全新、先进产品。</w:t>
      </w:r>
    </w:p>
    <w:p>
      <w:pPr>
        <w:spacing w:line="360" w:lineRule="auto"/>
        <w:ind w:firstLine="480"/>
        <w:rPr>
          <w:rFonts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sz w:val="24"/>
          <w:szCs w:val="24"/>
        </w:rPr>
        <w:t>本项目所选主要设备品牌在行业应具有很好的应用。</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投标人必须采用先进的施工安装工艺，采用先进的、可行的、有针对性的施工质量管理及保障措施。</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总体工程质量要求：符合国家相关标准，合格。</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智能化弱电桥架、水平管路、</w:t>
      </w:r>
      <w:r>
        <w:rPr>
          <w:rFonts w:hint="eastAsia" w:asciiTheme="minorEastAsia" w:hAnsiTheme="minorEastAsia" w:cstheme="minorEastAsia"/>
          <w:kern w:val="0"/>
          <w:sz w:val="24"/>
          <w:szCs w:val="24"/>
        </w:rPr>
        <w:t>垂直管路</w:t>
      </w:r>
      <w:r>
        <w:rPr>
          <w:rFonts w:hint="eastAsia" w:asciiTheme="minorEastAsia" w:hAnsiTheme="minorEastAsia" w:eastAsiaTheme="minorEastAsia" w:cstheme="minorEastAsia"/>
          <w:kern w:val="0"/>
          <w:sz w:val="24"/>
          <w:szCs w:val="24"/>
        </w:rPr>
        <w:t>及86底盒（</w:t>
      </w:r>
      <w:r>
        <w:rPr>
          <w:rFonts w:hint="eastAsia" w:asciiTheme="minorEastAsia" w:hAnsiTheme="minorEastAsia" w:eastAsiaTheme="minorEastAsia" w:cstheme="minorEastAsia"/>
          <w:i/>
          <w:kern w:val="0"/>
          <w:sz w:val="24"/>
          <w:szCs w:val="24"/>
        </w:rPr>
        <w:t>含预留点位所需预埋管</w:t>
      </w:r>
      <w:r>
        <w:rPr>
          <w:rFonts w:hint="eastAsia" w:asciiTheme="minorEastAsia" w:hAnsiTheme="minorEastAsia" w:eastAsiaTheme="minorEastAsia" w:cstheme="minorEastAsia"/>
          <w:iCs/>
          <w:kern w:val="0"/>
          <w:sz w:val="24"/>
          <w:szCs w:val="24"/>
        </w:rPr>
        <w:t>）均</w:t>
      </w:r>
      <w:r>
        <w:rPr>
          <w:rFonts w:hint="eastAsia" w:asciiTheme="minorEastAsia" w:hAnsiTheme="minorEastAsia" w:eastAsiaTheme="minorEastAsia" w:cstheme="minorEastAsia"/>
          <w:kern w:val="0"/>
          <w:sz w:val="24"/>
          <w:szCs w:val="24"/>
        </w:rPr>
        <w:t>由中标单位负责实施。桥架及86底盒由中标方施工单位自己完成。若有需要剃线槽中标方自行完成。</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弱电综合布线系统施工、设备安装所产生的费用由投标人负责。施工过程中，如确需要打直径大于100mm的楼板洞和穿墙洞由弱电综合布线专业提出，经结构设计工程师或甲方基建方书面确认后，通知业主后，再由投标单位完成。小于100mm的楼板洞和穿墙洞由投标公司按规范要求自行施工完成。</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投标单位涉及到的楼板洞和墙洞的防火枕的填充，原则以“谁施工、谁封堵”的方式确定责任方，材料满足3C及消防部门的认证。</w:t>
      </w:r>
    </w:p>
    <w:p>
      <w:pPr>
        <w:pStyle w:val="6"/>
        <w:keepNext w:val="0"/>
        <w:keepLines w:val="0"/>
        <w:spacing w:line="360" w:lineRule="auto"/>
        <w:rPr>
          <w:rFonts w:asciiTheme="minorEastAsia" w:hAnsiTheme="minorEastAsia" w:eastAsiaTheme="minorEastAsia" w:cstheme="minorEastAsia"/>
          <w:b w:val="0"/>
          <w:kern w:val="0"/>
          <w:sz w:val="24"/>
          <w:szCs w:val="24"/>
        </w:rPr>
      </w:pPr>
      <w:r>
        <w:rPr>
          <w:rFonts w:hint="eastAsia" w:asciiTheme="minorEastAsia" w:hAnsiTheme="minorEastAsia" w:eastAsiaTheme="minorEastAsia" w:cstheme="minorEastAsia"/>
          <w:b w:val="0"/>
          <w:kern w:val="0"/>
          <w:sz w:val="24"/>
          <w:szCs w:val="24"/>
        </w:rPr>
        <w:t>投标单位施工中涉及到的楼顶吊顶拆卸和安装，有投标单位自行施工完成，并保证吊顶完整和平整，不得损坏。</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大开间及开阔区域内，综合布线系统的线路敷设和信息点面板安装需满足区域内实际使用需求，在大开间及开阔区域内隔断或工作位确定位置后，确定走线路由和信息点位置，投标方负责埋管及86底盒，负责线路敷设、模块端接及面板安装，并且外露部分要与装修风格一致。如有需要，在大开间或开阔区域要沿工作位墙面敷设线槽，由投标方完成。</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所有线缆两端及重要节点需挂牌标注，光纤、电源线、网线两端使用机打标签进行标注。网络设备使用统一规格的机打标签进行标注。</w:t>
      </w:r>
    </w:p>
    <w:p>
      <w:pPr>
        <w:autoSpaceDE w:val="0"/>
        <w:autoSpaceDN w:val="0"/>
        <w:spacing w:line="360" w:lineRule="auto"/>
        <w:ind w:firstLine="48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施工内容中涉及到</w:t>
      </w:r>
      <w:r>
        <w:rPr>
          <w:rFonts w:hint="eastAsia" w:asciiTheme="minorEastAsia" w:hAnsiTheme="minorEastAsia" w:cstheme="minorEastAsia"/>
          <w:kern w:val="0"/>
          <w:sz w:val="24"/>
          <w:szCs w:val="24"/>
        </w:rPr>
        <w:t>的其他</w:t>
      </w:r>
      <w:r>
        <w:rPr>
          <w:rFonts w:hint="eastAsia" w:asciiTheme="minorEastAsia" w:hAnsiTheme="minorEastAsia" w:eastAsiaTheme="minorEastAsia" w:cstheme="minorEastAsia"/>
          <w:kern w:val="0"/>
          <w:sz w:val="24"/>
          <w:szCs w:val="24"/>
        </w:rPr>
        <w:t>前序工作由投标方负责完成。</w:t>
      </w:r>
    </w:p>
    <w:p>
      <w:pPr>
        <w:autoSpaceDE w:val="0"/>
        <w:autoSpaceDN w:val="0"/>
        <w:spacing w:line="360" w:lineRule="auto"/>
        <w:ind w:firstLine="482" w:firstLineChars="200"/>
        <w:contextualSpacing/>
        <w:rPr>
          <w:b/>
          <w:bCs/>
          <w:sz w:val="24"/>
          <w:szCs w:val="24"/>
        </w:rPr>
      </w:pPr>
      <w:r>
        <w:rPr>
          <w:rFonts w:hint="eastAsia"/>
          <w:b/>
          <w:bCs/>
          <w:sz w:val="24"/>
          <w:szCs w:val="24"/>
        </w:rPr>
        <w:t>（三）技术方案要求</w:t>
      </w:r>
    </w:p>
    <w:p>
      <w:pPr>
        <w:autoSpaceDE w:val="0"/>
        <w:autoSpaceDN w:val="0"/>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技术方案（包含但不仅限于以下内容）：设计理念及思路、系统设计计算依据、产品性能描述</w:t>
      </w:r>
      <w:r>
        <w:rPr>
          <w:rFonts w:hint="eastAsia" w:asciiTheme="minorEastAsia" w:hAnsiTheme="minorEastAsia" w:cstheme="minorEastAsia"/>
          <w:sz w:val="24"/>
          <w:szCs w:val="24"/>
        </w:rPr>
        <w:t>、项目关键部分设计</w:t>
      </w:r>
      <w:r>
        <w:rPr>
          <w:rFonts w:hint="eastAsia" w:asciiTheme="minorEastAsia" w:hAnsiTheme="minorEastAsia" w:eastAsiaTheme="minorEastAsia" w:cstheme="minorEastAsia"/>
          <w:sz w:val="24"/>
          <w:szCs w:val="24"/>
        </w:rPr>
        <w:t>等。</w:t>
      </w:r>
    </w:p>
    <w:p>
      <w:pPr>
        <w:autoSpaceDE w:val="0"/>
        <w:autoSpaceDN w:val="0"/>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施工组织设计，根据本项目的特点制定详细的施工组织设计方案，需有针对性的提出施工组织计划、人员配置情况及各类施工保障措施。</w:t>
      </w:r>
    </w:p>
    <w:p>
      <w:pPr>
        <w:pStyle w:val="3"/>
        <w:spacing w:line="360" w:lineRule="auto"/>
        <w:ind w:left="0" w:firstLine="482" w:firstLineChars="200"/>
        <w:rPr>
          <w:sz w:val="24"/>
          <w:szCs w:val="24"/>
        </w:rPr>
      </w:pPr>
      <w:r>
        <w:rPr>
          <w:rFonts w:hint="eastAsia"/>
          <w:sz w:val="24"/>
          <w:szCs w:val="24"/>
        </w:rPr>
        <w:t>（四）工期及进度要求</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提交详细的施工进度计划，施工进度计划的编制应当符合国家法律规定和一般工程实践惯例，施工进度计划经批准后实施。施工进度计划是控制工程进度的依据，招标人和监理人有权按照施工进度计划检查工程进度情况。中标单位需按照业主规定的时间节点安装、调试产品，按业主要求施工进度进行施工，需满足业主使用要求。</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本项目总工期要求：</w:t>
      </w:r>
      <w:r>
        <w:rPr>
          <w:rFonts w:hint="eastAsia" w:asciiTheme="minorEastAsia" w:hAnsiTheme="minorEastAsia" w:cstheme="minorEastAsia"/>
          <w:b/>
          <w:bCs/>
          <w:sz w:val="24"/>
          <w:szCs w:val="24"/>
        </w:rPr>
        <w:t>9</w:t>
      </w:r>
      <w:r>
        <w:rPr>
          <w:rFonts w:hint="eastAsia" w:asciiTheme="minorEastAsia" w:hAnsiTheme="minorEastAsia" w:eastAsiaTheme="minorEastAsia" w:cstheme="minorEastAsia"/>
          <w:b/>
          <w:bCs/>
          <w:sz w:val="24"/>
          <w:szCs w:val="24"/>
        </w:rPr>
        <w:t>0个日历天</w:t>
      </w:r>
      <w:r>
        <w:rPr>
          <w:rFonts w:hint="eastAsia" w:asciiTheme="minorEastAsia" w:hAnsiTheme="minorEastAsia" w:eastAsiaTheme="minorEastAsia" w:cstheme="minorEastAsia"/>
          <w:sz w:val="24"/>
          <w:szCs w:val="24"/>
        </w:rPr>
        <w:t>。</w:t>
      </w:r>
    </w:p>
    <w:p>
      <w:pPr>
        <w:spacing w:line="360" w:lineRule="auto"/>
        <w:ind w:firstLine="480"/>
        <w:rPr>
          <w:b/>
          <w:bCs/>
          <w:sz w:val="24"/>
          <w:szCs w:val="24"/>
        </w:rPr>
      </w:pPr>
      <w:r>
        <w:rPr>
          <w:rFonts w:hint="eastAsia" w:asciiTheme="minorEastAsia" w:hAnsiTheme="minorEastAsia" w:cstheme="minorEastAsia"/>
          <w:b/>
          <w:bCs/>
          <w:sz w:val="24"/>
          <w:szCs w:val="24"/>
        </w:rPr>
        <w:t>（五）</w:t>
      </w:r>
      <w:r>
        <w:rPr>
          <w:rFonts w:hint="eastAsia"/>
          <w:b/>
          <w:bCs/>
          <w:sz w:val="24"/>
          <w:szCs w:val="24"/>
        </w:rPr>
        <w:t>验收标准及要求</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项目验收，根据设备安装及调试的施工进度，对隐蔽工程、分项工程和竣工工程进行验收。</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验收条件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本项目经隐蔽工程检验、安装调试完成、子系统调试(含子系统联调)、初检合格、技术培训、试运行、整改后，由系统集成商向业主提出验收申请，经业主同意后进行。</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系统竣工验收的前提条件：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1)系统安装调试、试运行后的正常连续投运时间不少于1个月。</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2)运行管理人员已完成技术培训，具备独立上岗能力，管理制度健全。</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3)进行了系统检测，检测结论为合格。</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4)图纸资料、技术文件及记录完整。</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验收依据</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验收标准应依据有关国际标准、国家规范、合同等。</w:t>
      </w:r>
    </w:p>
    <w:p>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cstheme="minorEastAsia"/>
          <w:b/>
          <w:bCs/>
          <w:sz w:val="24"/>
          <w:szCs w:val="24"/>
        </w:rPr>
        <w:t>3、</w:t>
      </w:r>
      <w:r>
        <w:rPr>
          <w:rFonts w:hint="eastAsia" w:asciiTheme="minorEastAsia" w:hAnsiTheme="minorEastAsia" w:eastAsiaTheme="minorEastAsia" w:cstheme="minorEastAsia"/>
          <w:b/>
          <w:bCs/>
          <w:sz w:val="24"/>
          <w:szCs w:val="24"/>
        </w:rPr>
        <w:t>验收内容</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本项目验收的内容包括施工验收、设备验收和项目图纸资料审查三部分。</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eastAsiaTheme="minorEastAsia" w:cstheme="minorEastAsia"/>
          <w:sz w:val="24"/>
          <w:szCs w:val="24"/>
        </w:rPr>
        <w:t>施工验收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施工验收由验收机构指定的施工验收组或人员具体负责检查验收。对隐蔽工程验收记录和设备安装质量验收记录进行检查；并按规定的抽查比例、检测内容进行抽查。</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施工质量的依据是《建筑电气安装工程施工质量验收规范》中的相关规定。</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施工验收的内容有：对隐蔽工程随工验收的复核；对现场设备安装质量的抽查。</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对隐蔽工程随工验收的复核：重点是复核土建施工单位提供的弱电系统接地电阻测试数据，接地电阻是否符合GB/T 50198 标准的要求；系统是否做了等电位连接；以及其他隐蔽工程的验收结果。</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eastAsiaTheme="minorEastAsia" w:cstheme="minorEastAsia"/>
          <w:sz w:val="24"/>
          <w:szCs w:val="24"/>
        </w:rPr>
        <w:t>对现场设备安装质量的抽查:按《规范》所规定的抽查比例、检测内容进行抽查。并对管线、接线盒、桥架、控制盘、柜、操作台、机柜、等地安装质量进行抽查和复核。</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eastAsiaTheme="minorEastAsia" w:cstheme="minorEastAsia"/>
          <w:sz w:val="24"/>
          <w:szCs w:val="24"/>
        </w:rPr>
        <w:t>检查综合布线中前端设备安装是否符合设计要求。</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eastAsiaTheme="minorEastAsia" w:cstheme="minorEastAsia"/>
          <w:sz w:val="24"/>
          <w:szCs w:val="24"/>
        </w:rPr>
        <w:t>技术验收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技术验收由验收机构指定的技术验收组或人员具体负责检查验收。对分项工程的初检结果和子系统的试运行记录进行检查；并按抽检比例进行抽检测试。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技术验收的依据是根据国家规范中的相关规定、设计方案和工程合同。</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对工程的各子系统逐项进行验收。并填写相关验收表格。</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对机房应检查环境条件、通信设施、自身安全防范、照明、供电(包括不停电电源)、防火、防雷保护等措施是否到位。</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6、</w:t>
      </w:r>
      <w:r>
        <w:rPr>
          <w:rFonts w:hint="eastAsia" w:asciiTheme="minorEastAsia" w:hAnsiTheme="minorEastAsia" w:eastAsiaTheme="minorEastAsia" w:cstheme="minorEastAsia"/>
          <w:sz w:val="24"/>
          <w:szCs w:val="24"/>
        </w:rPr>
        <w:t>图纸、资料审查</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对施工深化设计图纸、交付资料进行审查验收。</w:t>
      </w:r>
    </w:p>
    <w:p>
      <w:pPr>
        <w:pStyle w:val="3"/>
        <w:spacing w:line="360" w:lineRule="auto"/>
        <w:ind w:left="426" w:leftChars="203" w:firstLine="0"/>
        <w:rPr>
          <w:sz w:val="24"/>
          <w:szCs w:val="24"/>
        </w:rPr>
      </w:pPr>
      <w:r>
        <w:rPr>
          <w:rFonts w:hint="eastAsia"/>
          <w:sz w:val="24"/>
          <w:szCs w:val="24"/>
        </w:rPr>
        <w:t>（六）资料交付</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设计文件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工程合同，技术要求；</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深化设计图纸。</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施工文件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项目竣工图纸，施工平面图。包括:系统结构图、各网络拓扑图</w:t>
      </w:r>
      <w:r>
        <w:rPr>
          <w:rFonts w:hint="eastAsia" w:asciiTheme="minorEastAsia" w:hAnsiTheme="minorEastAsia" w:cstheme="minorEastAsia"/>
          <w:sz w:val="24"/>
          <w:szCs w:val="24"/>
        </w:rPr>
        <w:t>等；</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设备清单。</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检测记录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工程检测记录，包括隐蔽工程检测记录、施工质量检查记录；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设备功能检查记录；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系统试运行记录；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eastAsiaTheme="minorEastAsia" w:cstheme="minorEastAsia"/>
          <w:sz w:val="24"/>
          <w:szCs w:val="24"/>
        </w:rPr>
        <w:t>系统检测报告。</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4、</w:t>
      </w:r>
      <w:r>
        <w:rPr>
          <w:rFonts w:hint="eastAsia" w:asciiTheme="minorEastAsia" w:hAnsiTheme="minorEastAsia" w:eastAsiaTheme="minorEastAsia" w:cstheme="minorEastAsia"/>
          <w:sz w:val="24"/>
          <w:szCs w:val="24"/>
        </w:rPr>
        <w:t>运行文件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设备系统的产品说明书；</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操作手册；</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维护手册。</w:t>
      </w:r>
    </w:p>
    <w:p>
      <w:pPr>
        <w:pStyle w:val="5"/>
        <w:adjustRightInd w:val="0"/>
        <w:snapToGrid w:val="0"/>
        <w:spacing w:before="0" w:after="0"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5、</w:t>
      </w:r>
      <w:r>
        <w:rPr>
          <w:rFonts w:hint="eastAsia" w:asciiTheme="minorEastAsia" w:hAnsiTheme="minorEastAsia" w:eastAsiaTheme="minorEastAsia" w:cstheme="minorEastAsia"/>
          <w:sz w:val="24"/>
          <w:szCs w:val="24"/>
        </w:rPr>
        <w:t>其它文件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eastAsiaTheme="minorEastAsia" w:cstheme="minorEastAsia"/>
          <w:sz w:val="24"/>
          <w:szCs w:val="24"/>
        </w:rPr>
        <w:t>系统设备出厂检测报告；</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eastAsiaTheme="minorEastAsia" w:cstheme="minorEastAsia"/>
          <w:sz w:val="24"/>
          <w:szCs w:val="24"/>
        </w:rPr>
        <w:t>设备进场验收记录；</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cstheme="minorEastAsia"/>
          <w:sz w:val="24"/>
          <w:szCs w:val="24"/>
        </w:rPr>
        <w:t>（3）</w:t>
      </w:r>
      <w:r>
        <w:rPr>
          <w:rFonts w:hint="eastAsia" w:asciiTheme="minorEastAsia" w:hAnsiTheme="minorEastAsia" w:eastAsiaTheme="minorEastAsia" w:cstheme="minorEastAsia"/>
          <w:sz w:val="24"/>
          <w:szCs w:val="24"/>
        </w:rPr>
        <w:t>不合格项处理报告等。</w:t>
      </w:r>
    </w:p>
    <w:p>
      <w:pPr>
        <w:pStyle w:val="3"/>
        <w:spacing w:line="360" w:lineRule="auto"/>
        <w:ind w:left="426" w:leftChars="203" w:firstLine="0"/>
        <w:rPr>
          <w:sz w:val="24"/>
          <w:szCs w:val="24"/>
        </w:rPr>
      </w:pPr>
      <w:r>
        <w:rPr>
          <w:rFonts w:hint="eastAsia"/>
          <w:sz w:val="24"/>
          <w:szCs w:val="24"/>
        </w:rPr>
        <w:t>（七）售后服务及保修</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1、投标人必须在本地有分支机构，可以提供本地化售后服务。</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对本项目提供竣工验收合格后3年的免费整体工程质保服务，在质保期结束前3个月内，投标人可以提供质保期外的有偿服务计划供招标人选择；综合布线系统产品保质期不低于25年。厂家开具原厂售后服务承诺书。</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3、在项目建设过程中、试运行阶段、竣工验收后，投标人必须在不同阶段为招标人及运营管理人员提供与本项目相关的免费培训服务；</w:t>
      </w:r>
    </w:p>
    <w:p>
      <w:pPr>
        <w:pStyle w:val="3"/>
        <w:spacing w:line="360" w:lineRule="auto"/>
        <w:ind w:left="426" w:leftChars="203" w:firstLine="0"/>
        <w:rPr>
          <w:sz w:val="24"/>
          <w:szCs w:val="24"/>
        </w:rPr>
      </w:pPr>
      <w:r>
        <w:rPr>
          <w:rFonts w:hint="eastAsia"/>
          <w:sz w:val="24"/>
          <w:szCs w:val="24"/>
        </w:rPr>
        <w:t>（八）综合布线系统总体技术要求</w:t>
      </w:r>
    </w:p>
    <w:p>
      <w:pPr>
        <w:spacing w:line="360" w:lineRule="auto"/>
        <w:ind w:firstLine="482" w:firstLineChars="201"/>
        <w:rPr>
          <w:rFonts w:ascii="宋体" w:hAnsi="宋体" w:cs="宋体"/>
          <w:sz w:val="24"/>
          <w:szCs w:val="24"/>
        </w:rPr>
      </w:pPr>
      <w:r>
        <w:rPr>
          <w:rFonts w:hint="eastAsia" w:ascii="宋体" w:hAnsi="宋体" w:cs="宋体"/>
          <w:sz w:val="24"/>
          <w:szCs w:val="24"/>
        </w:rPr>
        <w:t>1、应完全遵循国家（国际）的有关建筑物综合布线系统及网络和通讯工程的设计和施工规范（标准）以及测试和验收规范，应保证系统整体链路特性的一致性，所有通信链路必须满足国际标准ISO11801:2002 Ed2.0对其的技术要求。主要产品元件（线缆，跳线，模块和配线架）及组成的永久链路和信道，需经国际第三方检测机构（DELTA或UL）或及国内权威机构（如信息产业部）测试，测试报告合格。</w:t>
      </w:r>
    </w:p>
    <w:p>
      <w:pPr>
        <w:pStyle w:val="2"/>
        <w:spacing w:line="360" w:lineRule="auto"/>
      </w:pPr>
      <w:r>
        <w:rPr>
          <w:rFonts w:hint="eastAsia" w:ascii="宋体" w:hAnsi="宋体" w:cs="宋体"/>
          <w:szCs w:val="24"/>
        </w:rPr>
        <w:t xml:space="preserve">  1、综合布线系统采用模块化结构，保证系统能很容易的扩充和升级。系统中任何一个信息点都能够连接不同类型的计算机设备和其它信息设备。对任一个分支单元的改动都不会影响系统的其它单元。能在设备布局和需要发生变化时实施灵活的线路管理。</w:t>
      </w:r>
    </w:p>
    <w:p>
      <w:pPr>
        <w:spacing w:line="360" w:lineRule="auto"/>
        <w:ind w:firstLine="484" w:firstLineChars="202"/>
        <w:rPr>
          <w:rFonts w:ascii="宋体" w:hAnsi="宋体" w:cs="宋体"/>
          <w:sz w:val="24"/>
          <w:szCs w:val="24"/>
        </w:rPr>
      </w:pPr>
      <w:r>
        <w:rPr>
          <w:rFonts w:hint="eastAsia" w:ascii="宋体" w:hAnsi="宋体" w:cs="宋体"/>
          <w:sz w:val="24"/>
          <w:szCs w:val="24"/>
        </w:rPr>
        <w:t>2、系统应采用标准模块化的接插件方式，进行完全结构化布线，以使得整个综合布线系统是基于开放功能的子系统，易在配线上进行话音、数据、多媒体等应用的互换和重新组合以及扩充和未来系统的技术更新和性能升级。</w:t>
      </w:r>
    </w:p>
    <w:p>
      <w:pPr>
        <w:spacing w:line="360" w:lineRule="auto"/>
        <w:ind w:firstLine="482" w:firstLineChars="201"/>
        <w:rPr>
          <w:rFonts w:ascii="宋体" w:hAnsi="宋体" w:cs="宋体"/>
          <w:sz w:val="24"/>
          <w:szCs w:val="24"/>
        </w:rPr>
      </w:pPr>
      <w:r>
        <w:rPr>
          <w:rFonts w:hint="eastAsia" w:ascii="宋体" w:hAnsi="宋体" w:cs="宋体"/>
          <w:sz w:val="24"/>
          <w:szCs w:val="24"/>
        </w:rPr>
        <w:t>3、 系统应具有很强的灵活性。保证工作区的信息插座具有通用性，其用途无须限制为话音、数据或多媒体终端。</w:t>
      </w:r>
    </w:p>
    <w:p>
      <w:pPr>
        <w:spacing w:line="360" w:lineRule="auto"/>
        <w:ind w:firstLine="482" w:firstLineChars="201"/>
        <w:rPr>
          <w:rFonts w:ascii="宋体" w:hAnsi="宋体" w:cs="宋体"/>
          <w:sz w:val="24"/>
          <w:szCs w:val="24"/>
        </w:rPr>
      </w:pPr>
      <w:r>
        <w:rPr>
          <w:rFonts w:hint="eastAsia" w:ascii="宋体" w:hAnsi="宋体" w:cs="宋体"/>
          <w:sz w:val="24"/>
          <w:szCs w:val="24"/>
        </w:rPr>
        <w:t>4、整个布线系统在工程验收后由投标人提供至少25年的系统质量保证。</w:t>
      </w:r>
    </w:p>
    <w:p>
      <w:pPr>
        <w:spacing w:line="360" w:lineRule="auto"/>
        <w:ind w:firstLine="482" w:firstLineChars="201"/>
        <w:rPr>
          <w:rFonts w:ascii="宋体" w:hAnsi="宋体" w:cs="宋体"/>
          <w:b/>
          <w:sz w:val="24"/>
          <w:szCs w:val="24"/>
        </w:rPr>
      </w:pPr>
      <w:r>
        <w:rPr>
          <w:rFonts w:hint="eastAsia" w:ascii="宋体" w:hAnsi="宋体" w:cs="宋体"/>
          <w:bCs/>
          <w:sz w:val="24"/>
          <w:szCs w:val="24"/>
        </w:rPr>
        <w:t>5、投标人所提供的布线产品应是制造商生产的标准产品系列，所选品牌必须为全系列产品，并端到端只准使用同一品牌的产品，包括各种线缆、配线架、模块和面板、连接器等。</w:t>
      </w:r>
    </w:p>
    <w:p>
      <w:pPr>
        <w:spacing w:line="360" w:lineRule="auto"/>
        <w:ind w:firstLine="480"/>
        <w:rPr>
          <w:rFonts w:ascii="宋体" w:hAnsi="宋体" w:cs="宋体"/>
          <w:sz w:val="24"/>
          <w:szCs w:val="24"/>
        </w:rPr>
      </w:pPr>
      <w:r>
        <w:rPr>
          <w:rFonts w:hint="eastAsia" w:ascii="宋体" w:hAnsi="宋体" w:cs="宋体"/>
          <w:sz w:val="24"/>
          <w:szCs w:val="24"/>
        </w:rPr>
        <w:t>6、要求综合布线系统保证实现信息安全、可靠地传输；</w:t>
      </w:r>
    </w:p>
    <w:p>
      <w:pPr>
        <w:spacing w:line="360" w:lineRule="auto"/>
        <w:ind w:firstLine="480"/>
        <w:rPr>
          <w:rFonts w:ascii="宋体" w:hAnsi="宋体" w:cs="宋体"/>
          <w:sz w:val="24"/>
          <w:szCs w:val="24"/>
        </w:rPr>
      </w:pPr>
      <w:r>
        <w:rPr>
          <w:rFonts w:hint="eastAsia" w:ascii="宋体" w:hAnsi="宋体" w:cs="宋体"/>
          <w:sz w:val="24"/>
          <w:szCs w:val="24"/>
        </w:rPr>
        <w:t>7、综合布线系统要有足够的冗余度，能适应发展的要求；</w:t>
      </w:r>
    </w:p>
    <w:p>
      <w:pPr>
        <w:spacing w:line="360" w:lineRule="auto"/>
        <w:ind w:firstLine="480"/>
        <w:rPr>
          <w:rFonts w:ascii="宋体" w:hAnsi="宋体" w:cs="宋体"/>
          <w:sz w:val="24"/>
          <w:szCs w:val="24"/>
        </w:rPr>
      </w:pPr>
      <w:r>
        <w:rPr>
          <w:rFonts w:hint="eastAsia" w:ascii="宋体" w:hAnsi="宋体" w:cs="宋体"/>
          <w:sz w:val="24"/>
          <w:szCs w:val="24"/>
        </w:rPr>
        <w:t>8、综合布线系统能够适应较复杂的空间使用环境，保证不受高频电气设备、空间电磁波辐射干扰，并保证在综合布线系统中传输的各类信号之间互不干扰。</w:t>
      </w:r>
    </w:p>
    <w:p>
      <w:pPr>
        <w:spacing w:line="360" w:lineRule="auto"/>
        <w:ind w:firstLine="480"/>
        <w:rPr>
          <w:rFonts w:ascii="宋体" w:hAnsi="宋体" w:cs="宋体"/>
          <w:sz w:val="24"/>
          <w:szCs w:val="24"/>
        </w:rPr>
      </w:pPr>
      <w:r>
        <w:rPr>
          <w:rFonts w:hint="eastAsia" w:ascii="宋体" w:hAnsi="宋体" w:cs="宋体"/>
          <w:sz w:val="24"/>
          <w:szCs w:val="24"/>
        </w:rPr>
        <w:t>9、综合布线系统需提供较强的系统管理能力，可以有效地进行系统管理、系统维护、系统故障的排除。</w:t>
      </w:r>
    </w:p>
    <w:p>
      <w:pPr>
        <w:spacing w:line="360" w:lineRule="auto"/>
        <w:ind w:firstLine="480"/>
        <w:rPr>
          <w:rFonts w:ascii="宋体" w:hAnsi="宋体" w:cs="宋体"/>
          <w:sz w:val="24"/>
          <w:szCs w:val="24"/>
        </w:rPr>
      </w:pPr>
      <w:r>
        <w:rPr>
          <w:rFonts w:hint="eastAsia" w:ascii="宋体" w:hAnsi="宋体" w:cs="宋体"/>
          <w:sz w:val="24"/>
          <w:szCs w:val="24"/>
        </w:rPr>
        <w:t>10、投标产品中六类非屏蔽信息模块、信息面板、六类非屏蔽线缆、24口模块式配线架、六类非屏蔽原厂数据跳线、光纤配线架、室内外通用单模光缆、光纤跳线等设备需提供信息产业部通信产品质量检测中心出具的检测报告、产品图片等技术证明文件。</w:t>
      </w:r>
    </w:p>
    <w:p>
      <w:pPr>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11、应根据《综合布线系统工程设计规范》（GB 50311-2016）要求，所提供的布线产品符合最新的国际标准ISO/IEC11801及TIA/EIA568B标准，充分保证计算机网络的高速，可靠的信息传输要求。</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（九）基础材料技术要求</w:t>
      </w:r>
    </w:p>
    <w:p>
      <w:pPr>
        <w:spacing w:line="360" w:lineRule="auto"/>
        <w:ind w:firstLine="482" w:firstLineChars="200"/>
        <w:rPr>
          <w:b/>
          <w:sz w:val="24"/>
          <w:szCs w:val="24"/>
        </w:rPr>
      </w:pPr>
      <w:r>
        <w:rPr>
          <w:rFonts w:hint="eastAsia"/>
          <w:b/>
          <w:sz w:val="24"/>
          <w:szCs w:val="24"/>
        </w:rPr>
        <w:t>9.1 六类非屏蔽24口数据配线架</w:t>
      </w:r>
    </w:p>
    <w:p>
      <w:pPr>
        <w:spacing w:line="360" w:lineRule="auto"/>
        <w:ind w:firstLine="480" w:firstLineChars="200"/>
        <w:rPr>
          <w:sz w:val="24"/>
          <w:szCs w:val="24"/>
        </w:rPr>
      </w:pPr>
      <w:r>
        <w:rPr>
          <w:rFonts w:hint="eastAsia"/>
          <w:sz w:val="24"/>
          <w:szCs w:val="24"/>
        </w:rPr>
        <w:t>1、采用冷轧钢板材料，经过静电粉末喷涂处理。</w:t>
      </w:r>
    </w:p>
    <w:p>
      <w:pPr>
        <w:spacing w:line="360" w:lineRule="auto"/>
        <w:ind w:firstLine="480" w:firstLineChars="200"/>
        <w:rPr>
          <w:color w:val="000000" w:themeColor="text1"/>
          <w:sz w:val="24"/>
          <w:szCs w:val="24"/>
        </w:rPr>
      </w:pPr>
      <w:r>
        <w:rPr>
          <w:rFonts w:hint="eastAsia"/>
          <w:sz w:val="24"/>
          <w:szCs w:val="24"/>
        </w:rPr>
        <w:t>2、整体钢板厚1.</w:t>
      </w:r>
      <w:r>
        <w:rPr>
          <w:rFonts w:hint="eastAsia"/>
          <w:color w:val="000000" w:themeColor="text1"/>
          <w:sz w:val="24"/>
          <w:szCs w:val="24"/>
        </w:rPr>
        <w:t>2mm，机械性能强</w:t>
      </w:r>
    </w:p>
    <w:p>
      <w:pPr>
        <w:spacing w:line="360" w:lineRule="auto"/>
        <w:ind w:firstLine="480" w:firstLineChars="200"/>
        <w:rPr>
          <w:color w:val="000000" w:themeColor="text1"/>
          <w:sz w:val="24"/>
          <w:szCs w:val="24"/>
        </w:rPr>
      </w:pPr>
      <w:r>
        <w:rPr>
          <w:rFonts w:hint="eastAsia"/>
          <w:color w:val="000000" w:themeColor="text1"/>
          <w:sz w:val="24"/>
          <w:szCs w:val="24"/>
        </w:rPr>
        <w:t>3、模块化组合，</w:t>
      </w:r>
      <w:r>
        <w:rPr>
          <w:rFonts w:hint="eastAsia" w:asciiTheme="minorEastAsia" w:hAnsiTheme="minorEastAsia" w:eastAsiaTheme="minorEastAsia"/>
          <w:color w:val="000000" w:themeColor="text1"/>
          <w:sz w:val="24"/>
        </w:rPr>
        <w:t>含24个六类非屏蔽模块</w:t>
      </w:r>
    </w:p>
    <w:p>
      <w:pPr>
        <w:spacing w:line="360" w:lineRule="auto"/>
        <w:ind w:firstLine="480" w:firstLineChars="200"/>
        <w:rPr>
          <w:color w:val="000000" w:themeColor="text1"/>
          <w:sz w:val="24"/>
          <w:szCs w:val="24"/>
        </w:rPr>
      </w:pPr>
      <w:r>
        <w:rPr>
          <w:rFonts w:hint="eastAsia"/>
          <w:color w:val="000000" w:themeColor="text1"/>
          <w:sz w:val="24"/>
          <w:szCs w:val="24"/>
        </w:rPr>
        <w:t>4、配线架背面配有理线托盘，用于捆扎、管理线缆，避免线缆与模块端接触，使布线系统整洁美观。</w:t>
      </w:r>
    </w:p>
    <w:p>
      <w:pPr>
        <w:spacing w:line="360" w:lineRule="auto"/>
        <w:ind w:firstLine="480" w:firstLineChars="200"/>
        <w:rPr>
          <w:color w:val="000000" w:themeColor="text1"/>
          <w:sz w:val="24"/>
          <w:szCs w:val="24"/>
        </w:rPr>
      </w:pPr>
      <w:r>
        <w:rPr>
          <w:rFonts w:hint="eastAsia"/>
          <w:color w:val="000000" w:themeColor="text1"/>
          <w:sz w:val="24"/>
          <w:szCs w:val="24"/>
        </w:rPr>
        <w:t>5、正面直观的标签区为书写标签，提供方便的管理。</w:t>
      </w:r>
    </w:p>
    <w:p>
      <w:pPr>
        <w:spacing w:line="360" w:lineRule="auto"/>
        <w:ind w:firstLine="480" w:firstLineChars="200"/>
        <w:rPr>
          <w:color w:val="000000" w:themeColor="text1"/>
          <w:sz w:val="24"/>
          <w:szCs w:val="24"/>
        </w:rPr>
      </w:pPr>
      <w:r>
        <w:rPr>
          <w:rFonts w:hint="eastAsia"/>
          <w:color w:val="000000" w:themeColor="text1"/>
          <w:sz w:val="24"/>
          <w:szCs w:val="24"/>
        </w:rPr>
        <w:t>6、对于各种线缆提供灵活、有效和安全的管理，兼容5类6类非屏蔽模块</w:t>
      </w:r>
    </w:p>
    <w:p>
      <w:pPr>
        <w:spacing w:line="360" w:lineRule="auto"/>
        <w:ind w:firstLine="480" w:firstLineChars="200"/>
        <w:rPr>
          <w:color w:val="000000" w:themeColor="text1"/>
          <w:sz w:val="24"/>
          <w:szCs w:val="24"/>
        </w:rPr>
      </w:pPr>
      <w:r>
        <w:rPr>
          <w:rFonts w:hint="eastAsia"/>
          <w:color w:val="000000" w:themeColor="text1"/>
          <w:sz w:val="24"/>
          <w:szCs w:val="24"/>
        </w:rPr>
        <w:t>7、工作温度：-20到60℃</w:t>
      </w:r>
    </w:p>
    <w:p>
      <w:pPr>
        <w:spacing w:line="360" w:lineRule="auto"/>
        <w:ind w:firstLine="480" w:firstLineChars="200"/>
        <w:rPr>
          <w:sz w:val="24"/>
          <w:szCs w:val="24"/>
        </w:rPr>
      </w:pPr>
      <w:r>
        <w:rPr>
          <w:rFonts w:hint="eastAsia"/>
          <w:sz w:val="24"/>
          <w:szCs w:val="24"/>
        </w:rPr>
        <w:t>8、提供国家认可的第三方权威检验机构出具的单体检验报告；</w:t>
      </w:r>
    </w:p>
    <w:p>
      <w:pPr>
        <w:spacing w:line="360" w:lineRule="auto"/>
        <w:ind w:firstLine="480" w:firstLineChars="200"/>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具有国家认可的第三方权威检验机构出具的链路及信道检验报告</w:t>
      </w:r>
    </w:p>
    <w:p>
      <w:pPr>
        <w:spacing w:line="360" w:lineRule="auto"/>
        <w:ind w:firstLine="480" w:firstLineChars="200"/>
        <w:rPr>
          <w:sz w:val="24"/>
          <w:szCs w:val="24"/>
        </w:rPr>
      </w:pPr>
      <w:r>
        <w:rPr>
          <w:rFonts w:hint="eastAsia"/>
          <w:sz w:val="24"/>
          <w:szCs w:val="24"/>
        </w:rPr>
        <w:t>10、</w:t>
      </w:r>
      <w:r>
        <w:rPr>
          <w:rFonts w:hint="eastAsia" w:asciiTheme="minorEastAsia" w:hAnsiTheme="minorEastAsia" w:eastAsiaTheme="minorEastAsia" w:cstheme="minorEastAsia"/>
          <w:sz w:val="24"/>
          <w:szCs w:val="24"/>
          <w:lang w:val="zh-CN"/>
        </w:rPr>
        <w:t>★</w:t>
      </w:r>
      <w:r>
        <w:rPr>
          <w:rFonts w:hint="eastAsia"/>
          <w:sz w:val="24"/>
          <w:szCs w:val="24"/>
        </w:rPr>
        <w:t>提供</w:t>
      </w:r>
      <w:r>
        <w:fldChar w:fldCharType="begin"/>
      </w:r>
      <w:r>
        <w:instrText xml:space="preserve"> HYPERLINK "http://www.cqvip.com/Main/Detail.aspx?id=25203065" \t "https://xueshu.baidu.com/usercenter/paper/_blank" </w:instrText>
      </w:r>
      <w:r>
        <w:fldChar w:fldCharType="separate"/>
      </w:r>
      <w:r>
        <w:rPr>
          <w:rFonts w:hint="eastAsia"/>
          <w:sz w:val="24"/>
          <w:szCs w:val="24"/>
        </w:rPr>
        <w:t>国家认可的第三方权威检验机构</w:t>
      </w:r>
      <w:r>
        <w:rPr>
          <w:rFonts w:hint="eastAsia"/>
          <w:sz w:val="24"/>
          <w:szCs w:val="24"/>
        </w:rPr>
        <w:fldChar w:fldCharType="end"/>
      </w:r>
      <w:r>
        <w:rPr>
          <w:rFonts w:hint="eastAsia"/>
          <w:sz w:val="24"/>
          <w:szCs w:val="24"/>
        </w:rPr>
        <w:t>出具的100米六节点信道检验报告。</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9.2六类非屏蔽低烟无卤网线</w:t>
      </w:r>
    </w:p>
    <w:p>
      <w:pPr>
        <w:numPr>
          <w:ilvl w:val="0"/>
          <w:numId w:val="5"/>
        </w:num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产品结构：U/UTP，十字骨架</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3、导体线规23AWG。</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4、导体材质：99.99%无氧铜</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5、导体电阻≤98.6Ω/km(20℃), 电阻不平衡≤ 2.5%，特性阻抗:100 ±15 Ohm；</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6、传播延迟值：&lt;536 ns/100m；延迟偏差：≤45 ns；</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7、介电强度1.0 KV DC持续1min不击穿,绝缘阻抗≥5000MΩ*km；</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8、传播速度NVP（相速度）≥66%</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9、最小弯曲半径：32mm（操作），64mm（安装），最大拉力：100N</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10、包装方式：305m/箱</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11、工作温度：-20-60℃</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12、执行标准：TIA/EIA568C、ISO/IEC11801，EN50173，YD/T926，提供检测报告。</w:t>
      </w:r>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13、防火等级为IEC60332-1（GB/T18380）单根阻燃标准可特制CM，CMR，CMP产品，满足低烟无卤核心参数：烟密度≥90%，PH值≥5.0，电导率≤1</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9.3六类数据模块</w:t>
      </w:r>
    </w:p>
    <w:p>
      <w:pPr>
        <w:spacing w:line="360" w:lineRule="auto"/>
        <w:ind w:firstLine="480" w:firstLineChars="200"/>
        <w:rPr>
          <w:sz w:val="24"/>
          <w:szCs w:val="24"/>
        </w:rPr>
      </w:pPr>
      <w:r>
        <w:rPr>
          <w:rFonts w:hint="eastAsia"/>
          <w:sz w:val="24"/>
          <w:szCs w:val="24"/>
        </w:rPr>
        <w:t>1、</w:t>
      </w:r>
      <w:r>
        <w:rPr>
          <w:rFonts w:hint="eastAsia" w:asciiTheme="minorEastAsia" w:hAnsiTheme="minorEastAsia" w:eastAsiaTheme="minorEastAsia" w:cstheme="minorEastAsia"/>
          <w:sz w:val="24"/>
          <w:szCs w:val="24"/>
          <w:lang w:val="zh-CN"/>
        </w:rPr>
        <w:t>★</w:t>
      </w:r>
      <w:r>
        <w:rPr>
          <w:rFonts w:hint="eastAsia"/>
          <w:sz w:val="24"/>
          <w:szCs w:val="24"/>
        </w:rPr>
        <w:t>主体材料采用符合UL94V-0的高强度PC料。</w:t>
      </w:r>
    </w:p>
    <w:p>
      <w:pPr>
        <w:spacing w:line="360" w:lineRule="auto"/>
        <w:ind w:firstLine="480" w:firstLineChars="200"/>
        <w:rPr>
          <w:sz w:val="24"/>
          <w:szCs w:val="24"/>
        </w:rPr>
      </w:pPr>
      <w:r>
        <w:rPr>
          <w:rFonts w:hint="eastAsia"/>
          <w:sz w:val="24"/>
          <w:szCs w:val="24"/>
        </w:rPr>
        <w:t>2、插头插座可重复插拔次数≥750次，IDC卡接次数≥25次；</w:t>
      </w:r>
    </w:p>
    <w:p>
      <w:pPr>
        <w:spacing w:line="360" w:lineRule="auto"/>
        <w:ind w:firstLine="480" w:firstLineChars="200"/>
        <w:rPr>
          <w:sz w:val="24"/>
          <w:szCs w:val="24"/>
        </w:rPr>
      </w:pPr>
      <w:r>
        <w:rPr>
          <w:rFonts w:hint="eastAsia"/>
          <w:sz w:val="24"/>
          <w:szCs w:val="24"/>
        </w:rPr>
        <w:t>3、插拨力：≤20N</w:t>
      </w:r>
    </w:p>
    <w:p>
      <w:pPr>
        <w:spacing w:line="360" w:lineRule="auto"/>
        <w:ind w:firstLine="480" w:firstLineChars="200"/>
        <w:rPr>
          <w:sz w:val="24"/>
          <w:szCs w:val="24"/>
        </w:rPr>
      </w:pPr>
      <w:r>
        <w:rPr>
          <w:rFonts w:hint="eastAsia"/>
          <w:sz w:val="24"/>
          <w:szCs w:val="24"/>
        </w:rPr>
        <w:t>4、簧片磷青铜镀金≥50µm,保证性能及使用寿命；</w:t>
      </w:r>
    </w:p>
    <w:p>
      <w:pPr>
        <w:spacing w:line="360" w:lineRule="auto"/>
        <w:ind w:firstLine="480" w:firstLineChars="200"/>
        <w:rPr>
          <w:sz w:val="24"/>
          <w:szCs w:val="24"/>
        </w:rPr>
      </w:pPr>
      <w:r>
        <w:rPr>
          <w:rFonts w:hint="eastAsia"/>
          <w:sz w:val="24"/>
          <w:szCs w:val="24"/>
        </w:rPr>
        <w:t>5、触针采用磷青铜，高硬度，高弹性，工作寿命长。</w:t>
      </w:r>
    </w:p>
    <w:p>
      <w:pPr>
        <w:spacing w:line="360" w:lineRule="auto"/>
        <w:ind w:firstLine="480" w:firstLineChars="200"/>
        <w:rPr>
          <w:sz w:val="24"/>
          <w:szCs w:val="24"/>
        </w:rPr>
      </w:pPr>
      <w:r>
        <w:rPr>
          <w:rFonts w:hint="eastAsia"/>
          <w:sz w:val="24"/>
          <w:szCs w:val="24"/>
        </w:rPr>
        <w:t>6、匹配线规：22－26AWG；</w:t>
      </w:r>
    </w:p>
    <w:p>
      <w:pPr>
        <w:spacing w:line="360" w:lineRule="auto"/>
        <w:ind w:firstLine="480" w:firstLineChars="200"/>
        <w:rPr>
          <w:sz w:val="24"/>
          <w:szCs w:val="24"/>
        </w:rPr>
      </w:pPr>
      <w:r>
        <w:rPr>
          <w:rFonts w:hint="eastAsia"/>
          <w:sz w:val="24"/>
          <w:szCs w:val="24"/>
        </w:rPr>
        <w:t>7、快捷打线设计，使用简易打线工具即可快速安装，提供568A/B标准打线方法。</w:t>
      </w:r>
    </w:p>
    <w:p>
      <w:pPr>
        <w:spacing w:line="360" w:lineRule="auto"/>
        <w:ind w:firstLine="480" w:firstLineChars="200"/>
        <w:rPr>
          <w:sz w:val="24"/>
          <w:szCs w:val="24"/>
        </w:rPr>
      </w:pPr>
      <w:r>
        <w:rPr>
          <w:rFonts w:hint="eastAsia"/>
          <w:sz w:val="24"/>
          <w:szCs w:val="24"/>
        </w:rPr>
        <w:t>8、耐压强度DC:1000V（AC:750V）1 Min 无击穿和飞狐现象。</w:t>
      </w:r>
    </w:p>
    <w:p>
      <w:pPr>
        <w:spacing w:line="360" w:lineRule="auto"/>
        <w:ind w:firstLine="480" w:firstLineChars="200"/>
        <w:rPr>
          <w:sz w:val="24"/>
          <w:szCs w:val="24"/>
        </w:rPr>
      </w:pPr>
      <w:r>
        <w:rPr>
          <w:rFonts w:hint="eastAsia"/>
          <w:sz w:val="24"/>
          <w:szCs w:val="24"/>
        </w:rPr>
        <w:t>10、各项性能指标达到或超过ANSI/TIA/EIA-568C-3和ISO/IEC11801规定的技术规范，提供检测报告。</w:t>
      </w:r>
    </w:p>
    <w:p>
      <w:pPr>
        <w:spacing w:line="360" w:lineRule="auto"/>
        <w:ind w:firstLine="480" w:firstLineChars="200"/>
        <w:rPr>
          <w:sz w:val="24"/>
          <w:szCs w:val="24"/>
        </w:rPr>
      </w:pPr>
      <w:r>
        <w:rPr>
          <w:rFonts w:hint="eastAsia"/>
          <w:sz w:val="24"/>
          <w:szCs w:val="24"/>
        </w:rPr>
        <w:t>11、工作温度：-20-60℃</w:t>
      </w:r>
    </w:p>
    <w:p>
      <w:pPr>
        <w:spacing w:line="360" w:lineRule="auto"/>
        <w:ind w:firstLine="480" w:firstLineChars="200"/>
        <w:rPr>
          <w:sz w:val="24"/>
          <w:szCs w:val="24"/>
        </w:rPr>
      </w:pPr>
    </w:p>
    <w:p>
      <w:pPr>
        <w:spacing w:line="360" w:lineRule="auto"/>
        <w:ind w:firstLine="482" w:firstLineChars="200"/>
        <w:rPr>
          <w:b/>
          <w:sz w:val="24"/>
          <w:szCs w:val="24"/>
        </w:rPr>
      </w:pPr>
      <w:r>
        <w:rPr>
          <w:rFonts w:hint="eastAsia"/>
          <w:b/>
          <w:sz w:val="24"/>
          <w:szCs w:val="24"/>
        </w:rPr>
        <w:t>9.4六类水晶头</w:t>
      </w:r>
    </w:p>
    <w:p>
      <w:pPr>
        <w:spacing w:line="360" w:lineRule="auto"/>
        <w:ind w:firstLine="480" w:firstLineChars="200"/>
        <w:rPr>
          <w:sz w:val="24"/>
          <w:szCs w:val="24"/>
        </w:rPr>
      </w:pPr>
      <w:r>
        <w:rPr>
          <w:rFonts w:hint="eastAsia"/>
          <w:sz w:val="24"/>
          <w:szCs w:val="24"/>
        </w:rPr>
        <w:t>1、六类非屏蔽水晶头(100/包）</w:t>
      </w:r>
    </w:p>
    <w:p>
      <w:pPr>
        <w:spacing w:line="360" w:lineRule="auto"/>
        <w:ind w:firstLine="480" w:firstLineChars="200"/>
        <w:rPr>
          <w:sz w:val="24"/>
          <w:szCs w:val="24"/>
        </w:rPr>
      </w:pPr>
      <w:r>
        <w:rPr>
          <w:rFonts w:hint="eastAsia"/>
          <w:sz w:val="24"/>
          <w:szCs w:val="24"/>
        </w:rPr>
        <w:t>2、水晶头：采用高透明度FCC水晶头，弹片弯折次数大于20次；镀金厚度大于50U，插拔次数大于1000次</w:t>
      </w:r>
    </w:p>
    <w:p>
      <w:pPr>
        <w:pStyle w:val="5"/>
        <w:spacing w:before="0" w:after="0" w:line="360" w:lineRule="auto"/>
      </w:pPr>
    </w:p>
    <w:p>
      <w:pPr>
        <w:spacing w:line="360" w:lineRule="auto"/>
        <w:ind w:firstLine="482" w:firstLineChars="200"/>
        <w:rPr>
          <w:b/>
          <w:sz w:val="24"/>
          <w:szCs w:val="24"/>
        </w:rPr>
      </w:pPr>
      <w:r>
        <w:rPr>
          <w:rFonts w:hint="eastAsia"/>
          <w:b/>
          <w:sz w:val="24"/>
          <w:szCs w:val="24"/>
        </w:rPr>
        <w:t>9.5 86型明装底盒</w:t>
      </w:r>
    </w:p>
    <w:p>
      <w:pPr>
        <w:spacing w:line="360" w:lineRule="auto"/>
        <w:ind w:firstLine="480" w:firstLineChars="200"/>
        <w:rPr>
          <w:sz w:val="24"/>
          <w:szCs w:val="24"/>
        </w:rPr>
      </w:pPr>
      <w:r>
        <w:rPr>
          <w:rFonts w:hint="eastAsia"/>
          <w:sz w:val="24"/>
          <w:szCs w:val="24"/>
        </w:rPr>
        <w:t>1、86型明装底盒采用优质PC料，白色，光泽度高，柔韧性好，耐冲击，抗老化；</w:t>
      </w:r>
    </w:p>
    <w:p>
      <w:pPr>
        <w:spacing w:line="360" w:lineRule="auto"/>
        <w:ind w:firstLine="480" w:firstLineChars="200"/>
        <w:rPr>
          <w:sz w:val="24"/>
          <w:szCs w:val="24"/>
        </w:rPr>
      </w:pPr>
      <w:r>
        <w:rPr>
          <w:rFonts w:hint="eastAsia"/>
          <w:sz w:val="24"/>
          <w:szCs w:val="24"/>
        </w:rPr>
        <w:t>2、上下进线槽同时接入不同规格的线槽口25*19或40*19；</w:t>
      </w:r>
    </w:p>
    <w:p>
      <w:pPr>
        <w:spacing w:line="360" w:lineRule="auto"/>
        <w:ind w:firstLine="480" w:firstLineChars="200"/>
        <w:rPr>
          <w:sz w:val="24"/>
          <w:szCs w:val="24"/>
        </w:rPr>
      </w:pPr>
      <w:r>
        <w:rPr>
          <w:rFonts w:hint="eastAsia"/>
          <w:sz w:val="24"/>
          <w:szCs w:val="24"/>
        </w:rPr>
        <w:t>3、面板安装孔距60mm;</w:t>
      </w:r>
    </w:p>
    <w:p>
      <w:pPr>
        <w:spacing w:line="360" w:lineRule="auto"/>
        <w:ind w:firstLine="480" w:firstLineChars="200"/>
        <w:rPr>
          <w:sz w:val="24"/>
          <w:szCs w:val="24"/>
        </w:rPr>
      </w:pPr>
      <w:r>
        <w:rPr>
          <w:rFonts w:hint="eastAsia"/>
          <w:sz w:val="24"/>
          <w:szCs w:val="24"/>
        </w:rPr>
        <w:t>4、防火级别：UL-94V0</w:t>
      </w:r>
    </w:p>
    <w:p>
      <w:pPr>
        <w:spacing w:line="360" w:lineRule="auto"/>
        <w:ind w:firstLine="480" w:firstLineChars="200"/>
      </w:pPr>
      <w:r>
        <w:rPr>
          <w:rFonts w:hint="eastAsia"/>
          <w:sz w:val="24"/>
          <w:szCs w:val="24"/>
        </w:rPr>
        <w:t>5、可微调螺丝孔距；</w:t>
      </w:r>
    </w:p>
    <w:p>
      <w:pPr>
        <w:spacing w:line="360" w:lineRule="auto"/>
        <w:ind w:firstLine="480" w:firstLineChars="200"/>
        <w:rPr>
          <w:sz w:val="24"/>
          <w:szCs w:val="24"/>
        </w:rPr>
      </w:pPr>
    </w:p>
    <w:p>
      <w:pPr>
        <w:spacing w:line="360" w:lineRule="auto"/>
        <w:ind w:firstLine="482" w:firstLineChars="200"/>
        <w:rPr>
          <w:b/>
          <w:sz w:val="24"/>
          <w:szCs w:val="24"/>
        </w:rPr>
      </w:pPr>
      <w:r>
        <w:rPr>
          <w:rFonts w:hint="eastAsia"/>
          <w:b/>
          <w:sz w:val="24"/>
          <w:szCs w:val="24"/>
        </w:rPr>
        <w:t>9.7 PDU插座</w:t>
      </w:r>
    </w:p>
    <w:p>
      <w:pPr>
        <w:spacing w:line="360" w:lineRule="auto"/>
        <w:ind w:firstLine="480" w:firstLineChars="200"/>
        <w:rPr>
          <w:sz w:val="24"/>
          <w:szCs w:val="24"/>
        </w:rPr>
      </w:pPr>
      <w:r>
        <w:rPr>
          <w:rFonts w:hint="eastAsia"/>
          <w:sz w:val="24"/>
          <w:szCs w:val="24"/>
        </w:rPr>
        <w:t>8位水平PDU，10A输入，接线盒接线方式，GB1002 标准，8位国标10A三扁输出，水平安装方式，带电源指示灯，黑色，提供原厂安全检测报告。</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9.8 PVC线槽</w:t>
      </w:r>
    </w:p>
    <w:p>
      <w:pPr>
        <w:spacing w:line="360" w:lineRule="auto"/>
        <w:ind w:firstLine="480" w:firstLineChars="200"/>
        <w:rPr>
          <w:sz w:val="24"/>
          <w:szCs w:val="24"/>
        </w:rPr>
      </w:pPr>
      <w:r>
        <w:rPr>
          <w:rFonts w:hint="eastAsia"/>
          <w:sz w:val="24"/>
          <w:szCs w:val="24"/>
        </w:rPr>
        <w:t>39*18 cmPVC      80*50cm PVC明装线槽</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 xml:space="preserve">9.9六类非屏蔽跳线(2米) </w:t>
      </w:r>
    </w:p>
    <w:p>
      <w:pPr>
        <w:spacing w:line="360" w:lineRule="auto"/>
        <w:ind w:firstLine="480" w:firstLineChars="200"/>
        <w:rPr>
          <w:color w:val="000000" w:themeColor="text1"/>
          <w:sz w:val="24"/>
          <w:szCs w:val="24"/>
        </w:rPr>
      </w:pPr>
      <w:r>
        <w:rPr>
          <w:rFonts w:hint="eastAsia"/>
          <w:color w:val="000000" w:themeColor="text1"/>
          <w:sz w:val="24"/>
          <w:szCs w:val="24"/>
        </w:rPr>
        <w:t>1、水晶头簧片表面镀金50μ，保证了良好的接触与信号传输性能；</w:t>
      </w:r>
    </w:p>
    <w:p>
      <w:pPr>
        <w:spacing w:line="360" w:lineRule="auto"/>
        <w:ind w:firstLine="480" w:firstLineChars="200"/>
        <w:rPr>
          <w:color w:val="000000" w:themeColor="text1"/>
          <w:sz w:val="24"/>
          <w:szCs w:val="24"/>
        </w:rPr>
      </w:pPr>
      <w:r>
        <w:rPr>
          <w:rFonts w:hint="eastAsia"/>
          <w:color w:val="000000" w:themeColor="text1"/>
          <w:sz w:val="24"/>
          <w:szCs w:val="24"/>
        </w:rPr>
        <w:t>2、水晶头采用多件套设置，避免线对间干扰，提升电气性能；</w:t>
      </w:r>
    </w:p>
    <w:p>
      <w:pPr>
        <w:spacing w:line="360" w:lineRule="auto"/>
        <w:ind w:firstLine="480" w:firstLineChars="200"/>
        <w:rPr>
          <w:color w:val="000000" w:themeColor="text1"/>
          <w:sz w:val="24"/>
          <w:szCs w:val="24"/>
        </w:rPr>
      </w:pPr>
      <w:r>
        <w:rPr>
          <w:rFonts w:hint="eastAsia"/>
          <w:color w:val="000000" w:themeColor="text1"/>
          <w:sz w:val="24"/>
          <w:szCs w:val="24"/>
        </w:rPr>
        <w:t>3、提供不同的颜色、长度的跳线，对于线缆管理非常方便；</w:t>
      </w:r>
    </w:p>
    <w:p>
      <w:pPr>
        <w:spacing w:line="360" w:lineRule="auto"/>
        <w:ind w:firstLine="480" w:firstLineChars="200"/>
        <w:rPr>
          <w:color w:val="000000" w:themeColor="text1"/>
          <w:sz w:val="24"/>
          <w:szCs w:val="24"/>
        </w:rPr>
      </w:pPr>
      <w:r>
        <w:rPr>
          <w:rFonts w:hint="eastAsia"/>
          <w:color w:val="000000" w:themeColor="text1"/>
          <w:sz w:val="24"/>
          <w:szCs w:val="24"/>
        </w:rPr>
        <w:t>4、采用多股双绞线软导体电缆，保证一定的弯曲半径；</w:t>
      </w:r>
    </w:p>
    <w:p>
      <w:pPr>
        <w:spacing w:line="360" w:lineRule="auto"/>
        <w:ind w:firstLine="480" w:firstLineChars="200"/>
        <w:rPr>
          <w:color w:val="000000" w:themeColor="text1"/>
          <w:sz w:val="24"/>
          <w:szCs w:val="24"/>
        </w:rPr>
      </w:pPr>
      <w:r>
        <w:rPr>
          <w:rFonts w:hint="eastAsia"/>
          <w:color w:val="000000" w:themeColor="text1"/>
          <w:sz w:val="24"/>
          <w:szCs w:val="24"/>
        </w:rPr>
        <w:t>5、通过注塑工艺保证软线与水晶头的牢靠连接，保证了最大拉拔力100N；</w:t>
      </w:r>
    </w:p>
    <w:p>
      <w:pPr>
        <w:spacing w:line="360" w:lineRule="auto"/>
        <w:ind w:firstLine="480" w:firstLineChars="200"/>
        <w:rPr>
          <w:color w:val="000000" w:themeColor="text1"/>
          <w:sz w:val="24"/>
          <w:szCs w:val="24"/>
        </w:rPr>
      </w:pPr>
      <w:r>
        <w:rPr>
          <w:rFonts w:hint="eastAsia"/>
          <w:color w:val="000000" w:themeColor="text1"/>
          <w:sz w:val="24"/>
          <w:szCs w:val="24"/>
        </w:rPr>
        <w:t>6、采用专业测试设备（Fluke）对成品跳线进行100%跳线标准检测，摒除因跳线引起的瓶颈问题；</w:t>
      </w:r>
    </w:p>
    <w:p>
      <w:pPr>
        <w:spacing w:line="360" w:lineRule="auto"/>
        <w:ind w:firstLine="480" w:firstLineChars="200"/>
        <w:rPr>
          <w:color w:val="000000" w:themeColor="text1"/>
          <w:sz w:val="24"/>
          <w:szCs w:val="24"/>
        </w:rPr>
      </w:pPr>
      <w:r>
        <w:rPr>
          <w:rFonts w:hint="eastAsia"/>
          <w:color w:val="000000" w:themeColor="text1"/>
          <w:sz w:val="24"/>
          <w:szCs w:val="24"/>
        </w:rPr>
        <w:t>7、插拔次数大于等于1500次；</w:t>
      </w:r>
    </w:p>
    <w:p>
      <w:pPr>
        <w:spacing w:line="360" w:lineRule="auto"/>
        <w:ind w:firstLine="480" w:firstLineChars="200"/>
        <w:rPr>
          <w:color w:val="000000" w:themeColor="text1"/>
          <w:sz w:val="24"/>
          <w:szCs w:val="24"/>
        </w:rPr>
      </w:pPr>
      <w:r>
        <w:rPr>
          <w:rFonts w:hint="eastAsia"/>
          <w:color w:val="000000" w:themeColor="text1"/>
          <w:sz w:val="24"/>
          <w:szCs w:val="24"/>
        </w:rPr>
        <w:t xml:space="preserve">8、传输带宽六类250MHz； </w:t>
      </w:r>
    </w:p>
    <w:p>
      <w:pPr>
        <w:spacing w:line="360" w:lineRule="auto"/>
        <w:ind w:firstLine="480" w:firstLineChars="200"/>
        <w:rPr>
          <w:color w:val="000000" w:themeColor="text1"/>
          <w:sz w:val="24"/>
          <w:szCs w:val="24"/>
        </w:rPr>
      </w:pPr>
      <w:r>
        <w:rPr>
          <w:rFonts w:hint="eastAsia"/>
          <w:color w:val="000000" w:themeColor="text1"/>
          <w:sz w:val="24"/>
          <w:szCs w:val="24"/>
        </w:rPr>
        <w:t>9、标准：符合TIA/EIA-568C、ISO11801、EN50173标准；</w:t>
      </w:r>
    </w:p>
    <w:p>
      <w:pPr>
        <w:spacing w:line="360" w:lineRule="auto"/>
        <w:ind w:firstLine="480" w:firstLineChars="200"/>
        <w:rPr>
          <w:color w:val="000000" w:themeColor="text1"/>
          <w:sz w:val="24"/>
          <w:szCs w:val="24"/>
        </w:rPr>
      </w:pPr>
      <w:r>
        <w:rPr>
          <w:rFonts w:hint="eastAsia"/>
          <w:color w:val="000000" w:themeColor="text1"/>
          <w:sz w:val="24"/>
          <w:szCs w:val="24"/>
        </w:rPr>
        <w:t>10、护套材料：PVC(聚氯乙烯)或LSZH；</w:t>
      </w:r>
    </w:p>
    <w:p>
      <w:pPr>
        <w:spacing w:line="360" w:lineRule="auto"/>
        <w:ind w:firstLine="480" w:firstLineChars="200"/>
        <w:rPr>
          <w:color w:val="000000" w:themeColor="text1"/>
          <w:sz w:val="24"/>
          <w:szCs w:val="24"/>
        </w:rPr>
      </w:pPr>
      <w:r>
        <w:rPr>
          <w:rFonts w:hint="eastAsia"/>
          <w:color w:val="000000" w:themeColor="text1"/>
          <w:sz w:val="24"/>
          <w:szCs w:val="24"/>
        </w:rPr>
        <w:t>11、工作温度：-20到60℃；</w:t>
      </w:r>
    </w:p>
    <w:p>
      <w:pPr>
        <w:spacing w:line="360" w:lineRule="auto"/>
        <w:ind w:firstLine="480" w:firstLineChars="200"/>
        <w:rPr>
          <w:color w:val="000000" w:themeColor="text1"/>
          <w:sz w:val="24"/>
          <w:szCs w:val="24"/>
        </w:rPr>
      </w:pPr>
      <w:r>
        <w:rPr>
          <w:rFonts w:hint="eastAsia"/>
          <w:color w:val="000000" w:themeColor="text1"/>
          <w:sz w:val="24"/>
          <w:szCs w:val="24"/>
        </w:rPr>
        <w:t>12、提供</w:t>
      </w:r>
      <w:r>
        <w:fldChar w:fldCharType="begin"/>
      </w:r>
      <w:r>
        <w:instrText xml:space="preserve"> HYPERLINK "http://www.cqvip.com/Main/Detail.aspx?id=25203065" \t "https://xueshu.baidu.com/usercenter/paper/_blank" </w:instrText>
      </w:r>
      <w:r>
        <w:fldChar w:fldCharType="separate"/>
      </w:r>
      <w:r>
        <w:rPr>
          <w:rFonts w:hint="eastAsia"/>
          <w:color w:val="000000" w:themeColor="text1"/>
          <w:sz w:val="24"/>
          <w:szCs w:val="24"/>
        </w:rPr>
        <w:t>国家认可的第三方权威检验机构</w:t>
      </w:r>
      <w:r>
        <w:rPr>
          <w:rFonts w:hint="eastAsia"/>
          <w:color w:val="000000" w:themeColor="text1"/>
          <w:sz w:val="24"/>
          <w:szCs w:val="24"/>
        </w:rPr>
        <w:fldChar w:fldCharType="end"/>
      </w:r>
      <w:r>
        <w:rPr>
          <w:rFonts w:hint="eastAsia"/>
          <w:color w:val="000000" w:themeColor="text1"/>
          <w:sz w:val="24"/>
          <w:szCs w:val="24"/>
        </w:rPr>
        <w:t>出具的</w:t>
      </w:r>
      <w:r>
        <w:rPr>
          <w:rFonts w:hint="eastAsia" w:asciiTheme="minorEastAsia" w:hAnsiTheme="minorEastAsia" w:eastAsiaTheme="minorEastAsia" w:cstheme="minorEastAsia"/>
          <w:color w:val="000000" w:themeColor="text1"/>
          <w:sz w:val="24"/>
          <w:szCs w:val="24"/>
        </w:rPr>
        <w:t>六类线缆</w:t>
      </w:r>
      <w:r>
        <w:rPr>
          <w:rFonts w:hint="eastAsia"/>
          <w:color w:val="000000" w:themeColor="text1"/>
          <w:sz w:val="24"/>
          <w:szCs w:val="24"/>
        </w:rPr>
        <w:t>单体</w:t>
      </w:r>
      <w:r>
        <w:rPr>
          <w:rFonts w:hint="eastAsia"/>
          <w:sz w:val="24"/>
          <w:szCs w:val="24"/>
        </w:rPr>
        <w:t>检验报告</w:t>
      </w:r>
      <w:r>
        <w:rPr>
          <w:rFonts w:hint="eastAsia"/>
          <w:color w:val="000000" w:themeColor="text1"/>
          <w:sz w:val="24"/>
          <w:szCs w:val="24"/>
        </w:rPr>
        <w:t>。</w:t>
      </w:r>
    </w:p>
    <w:p>
      <w:pPr>
        <w:spacing w:line="360" w:lineRule="auto"/>
        <w:ind w:firstLine="480" w:firstLineChars="200"/>
        <w:rPr>
          <w:color w:val="000000" w:themeColor="text1"/>
          <w:sz w:val="24"/>
          <w:szCs w:val="24"/>
        </w:rPr>
      </w:pPr>
      <w:r>
        <w:rPr>
          <w:rFonts w:hint="eastAsia"/>
          <w:color w:val="000000" w:themeColor="text1"/>
          <w:sz w:val="24"/>
          <w:szCs w:val="24"/>
        </w:rPr>
        <w:t>13、</w:t>
      </w:r>
      <w:r>
        <w:rPr>
          <w:rFonts w:hint="eastAsia" w:cs="宋体" w:asciiTheme="minorEastAsia" w:hAnsiTheme="minorEastAsia"/>
          <w:color w:val="000000" w:themeColor="text1"/>
          <w:sz w:val="24"/>
          <w:szCs w:val="24"/>
          <w:lang w:val="zh-CN"/>
        </w:rPr>
        <w:t>★</w:t>
      </w:r>
      <w:r>
        <w:rPr>
          <w:rFonts w:hint="eastAsia"/>
          <w:color w:val="000000" w:themeColor="text1"/>
          <w:sz w:val="24"/>
          <w:szCs w:val="24"/>
        </w:rPr>
        <w:t>获得</w:t>
      </w:r>
      <w:r>
        <w:rPr>
          <w:rFonts w:hint="eastAsia" w:ascii="宋体" w:hAnsi="宋体"/>
          <w:color w:val="000000" w:themeColor="text1"/>
          <w:sz w:val="24"/>
          <w:szCs w:val="24"/>
        </w:rPr>
        <w:t>国家认可的第三方权威检验机构</w:t>
      </w:r>
      <w:r>
        <w:rPr>
          <w:rFonts w:hint="eastAsia"/>
          <w:color w:val="000000" w:themeColor="text1"/>
          <w:sz w:val="24"/>
          <w:szCs w:val="24"/>
        </w:rPr>
        <w:t>出具的100米六节点信道</w:t>
      </w:r>
      <w:r>
        <w:rPr>
          <w:rFonts w:hint="eastAsia"/>
          <w:sz w:val="24"/>
          <w:szCs w:val="24"/>
        </w:rPr>
        <w:t>检验报告。</w:t>
      </w:r>
    </w:p>
    <w:p>
      <w:pPr>
        <w:pStyle w:val="2"/>
      </w:pP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9.10信息面板</w:t>
      </w:r>
    </w:p>
    <w:p>
      <w:pPr>
        <w:spacing w:line="360" w:lineRule="auto"/>
        <w:ind w:firstLine="480" w:firstLineChars="200"/>
        <w:rPr>
          <w:sz w:val="24"/>
          <w:szCs w:val="24"/>
        </w:rPr>
      </w:pPr>
      <w:r>
        <w:rPr>
          <w:rFonts w:hint="eastAsia"/>
          <w:sz w:val="24"/>
          <w:szCs w:val="24"/>
        </w:rPr>
        <w:t>1、采用优质PC料，光泽度高，柔韧性好，耐冲击，抗老化；</w:t>
      </w:r>
    </w:p>
    <w:p>
      <w:pPr>
        <w:spacing w:line="360" w:lineRule="auto"/>
        <w:ind w:firstLine="480" w:firstLineChars="200"/>
        <w:rPr>
          <w:sz w:val="24"/>
          <w:szCs w:val="24"/>
        </w:rPr>
      </w:pPr>
      <w:r>
        <w:rPr>
          <w:rFonts w:hint="eastAsia"/>
          <w:sz w:val="24"/>
          <w:szCs w:val="24"/>
        </w:rPr>
        <w:t>2、面板表面不可见螺钉孔，美观大方；</w:t>
      </w:r>
    </w:p>
    <w:p>
      <w:pPr>
        <w:spacing w:line="360" w:lineRule="auto"/>
        <w:ind w:firstLine="480" w:firstLineChars="200"/>
        <w:rPr>
          <w:sz w:val="24"/>
          <w:szCs w:val="24"/>
        </w:rPr>
      </w:pPr>
      <w:r>
        <w:rPr>
          <w:rFonts w:hint="eastAsia"/>
          <w:sz w:val="24"/>
          <w:szCs w:val="24"/>
        </w:rPr>
        <w:t>3、扣位式面板设计防止施工时污染面板；</w:t>
      </w:r>
    </w:p>
    <w:p>
      <w:pPr>
        <w:spacing w:line="360" w:lineRule="auto"/>
        <w:ind w:firstLine="480" w:firstLineChars="200"/>
        <w:rPr>
          <w:sz w:val="24"/>
          <w:szCs w:val="24"/>
        </w:rPr>
      </w:pPr>
      <w:r>
        <w:rPr>
          <w:rFonts w:hint="eastAsia"/>
          <w:sz w:val="24"/>
          <w:szCs w:val="24"/>
        </w:rPr>
        <w:t>4、面板防火级别：UL-94V2；</w:t>
      </w:r>
    </w:p>
    <w:p>
      <w:pPr>
        <w:spacing w:line="360" w:lineRule="auto"/>
        <w:ind w:firstLine="480" w:firstLineChars="200"/>
        <w:rPr>
          <w:sz w:val="24"/>
          <w:szCs w:val="24"/>
        </w:rPr>
      </w:pPr>
      <w:r>
        <w:rPr>
          <w:rFonts w:hint="eastAsia"/>
          <w:sz w:val="24"/>
          <w:szCs w:val="24"/>
        </w:rPr>
        <w:t>5、可提供1口、2口、3、4口平面和斜面面板；</w:t>
      </w:r>
    </w:p>
    <w:p>
      <w:pPr>
        <w:spacing w:line="360" w:lineRule="auto"/>
        <w:ind w:firstLine="480" w:firstLineChars="200"/>
        <w:rPr>
          <w:sz w:val="24"/>
          <w:szCs w:val="24"/>
        </w:rPr>
      </w:pPr>
      <w:r>
        <w:rPr>
          <w:rFonts w:hint="eastAsia"/>
          <w:sz w:val="24"/>
          <w:szCs w:val="24"/>
        </w:rPr>
        <w:t>6、所有面板均带防护门，适应于不同的恶劣施工环境，并且方便跳线插拔；</w:t>
      </w:r>
    </w:p>
    <w:p>
      <w:pPr>
        <w:spacing w:line="360" w:lineRule="auto"/>
        <w:ind w:firstLine="480" w:firstLineChars="200"/>
        <w:rPr>
          <w:sz w:val="24"/>
          <w:szCs w:val="24"/>
        </w:rPr>
      </w:pPr>
      <w:r>
        <w:rPr>
          <w:rFonts w:hint="eastAsia"/>
          <w:sz w:val="24"/>
          <w:szCs w:val="24"/>
        </w:rPr>
        <w:t>7、信息口有标识标签，方便管理；</w:t>
      </w:r>
    </w:p>
    <w:p>
      <w:pPr>
        <w:spacing w:line="360" w:lineRule="auto"/>
        <w:ind w:firstLine="480" w:firstLineChars="200"/>
        <w:rPr>
          <w:sz w:val="24"/>
          <w:szCs w:val="24"/>
        </w:rPr>
      </w:pPr>
      <w:r>
        <w:rPr>
          <w:rFonts w:hint="eastAsia"/>
          <w:sz w:val="24"/>
          <w:szCs w:val="24"/>
        </w:rPr>
        <w:t>8、兼容屏蔽与非屏蔽模块；</w:t>
      </w:r>
    </w:p>
    <w:p>
      <w:pPr>
        <w:spacing w:line="360" w:lineRule="auto"/>
        <w:ind w:firstLine="480" w:firstLineChars="200"/>
        <w:rPr>
          <w:sz w:val="24"/>
          <w:szCs w:val="24"/>
        </w:rPr>
      </w:pPr>
      <w:r>
        <w:rPr>
          <w:rFonts w:hint="eastAsia"/>
          <w:sz w:val="24"/>
          <w:szCs w:val="24"/>
        </w:rPr>
        <w:t>9、符合中国PEP环保认证；</w:t>
      </w:r>
    </w:p>
    <w:p>
      <w:pPr>
        <w:spacing w:line="360" w:lineRule="auto"/>
        <w:ind w:firstLine="480" w:firstLineChars="200"/>
        <w:rPr>
          <w:sz w:val="24"/>
          <w:szCs w:val="24"/>
        </w:rPr>
      </w:pPr>
      <w:r>
        <w:rPr>
          <w:rFonts w:hint="eastAsia"/>
          <w:sz w:val="24"/>
          <w:szCs w:val="24"/>
        </w:rPr>
        <w:t>10、提供</w:t>
      </w:r>
      <w:r>
        <w:fldChar w:fldCharType="begin"/>
      </w:r>
      <w:r>
        <w:instrText xml:space="preserve"> HYPERLINK "http://www.cqvip.com/Main/Detail.aspx?id=25203065" \t "https://xueshu.baidu.com/usercenter/paper/_blank" </w:instrText>
      </w:r>
      <w:r>
        <w:fldChar w:fldCharType="separate"/>
      </w:r>
      <w:r>
        <w:rPr>
          <w:rFonts w:hint="eastAsia"/>
          <w:color w:val="000000" w:themeColor="text1"/>
          <w:sz w:val="24"/>
          <w:szCs w:val="24"/>
        </w:rPr>
        <w:t>国家认可的第三方权威检验机构</w:t>
      </w:r>
      <w:r>
        <w:rPr>
          <w:rFonts w:hint="eastAsia"/>
          <w:color w:val="000000" w:themeColor="text1"/>
          <w:sz w:val="24"/>
          <w:szCs w:val="24"/>
        </w:rPr>
        <w:fldChar w:fldCharType="end"/>
      </w:r>
      <w:r>
        <w:rPr>
          <w:rFonts w:hint="eastAsia"/>
          <w:sz w:val="24"/>
          <w:szCs w:val="24"/>
        </w:rPr>
        <w:t>出具的检验报告。</w:t>
      </w:r>
    </w:p>
    <w:p>
      <w:pPr>
        <w:pStyle w:val="2"/>
      </w:pPr>
    </w:p>
    <w:p>
      <w:pPr>
        <w:spacing w:line="360" w:lineRule="auto"/>
        <w:ind w:firstLine="480" w:firstLineChars="200"/>
        <w:rPr>
          <w:sz w:val="24"/>
          <w:szCs w:val="24"/>
        </w:rPr>
      </w:pPr>
    </w:p>
    <w:p>
      <w:pPr>
        <w:spacing w:line="360" w:lineRule="auto"/>
        <w:ind w:firstLine="482" w:firstLineChars="200"/>
        <w:rPr>
          <w:b/>
          <w:sz w:val="24"/>
          <w:szCs w:val="24"/>
        </w:rPr>
      </w:pPr>
      <w:r>
        <w:rPr>
          <w:rFonts w:hint="eastAsia"/>
          <w:b/>
          <w:sz w:val="24"/>
          <w:szCs w:val="24"/>
        </w:rPr>
        <w:t>9.11电源线</w:t>
      </w:r>
    </w:p>
    <w:p>
      <w:pPr>
        <w:spacing w:line="360" w:lineRule="auto"/>
        <w:ind w:firstLine="480" w:firstLineChars="200"/>
        <w:rPr>
          <w:sz w:val="24"/>
          <w:szCs w:val="24"/>
        </w:rPr>
      </w:pPr>
      <w:r>
        <w:rPr>
          <w:rFonts w:hint="eastAsia"/>
          <w:sz w:val="24"/>
          <w:szCs w:val="24"/>
        </w:rPr>
        <w:t>YJV/RVV3*4  RVV3*6平方三芯国标需提供检测报告知名品牌电缆</w:t>
      </w:r>
    </w:p>
    <w:p>
      <w:pPr>
        <w:spacing w:line="360" w:lineRule="auto"/>
        <w:ind w:firstLine="480" w:firstLineChars="200"/>
        <w:rPr>
          <w:sz w:val="24"/>
          <w:szCs w:val="24"/>
        </w:rPr>
      </w:pPr>
    </w:p>
    <w:p>
      <w:pPr>
        <w:spacing w:line="360" w:lineRule="auto"/>
        <w:ind w:firstLine="482" w:firstLineChars="200"/>
        <w:rPr>
          <w:b/>
          <w:sz w:val="24"/>
          <w:szCs w:val="24"/>
        </w:rPr>
      </w:pPr>
      <w:r>
        <w:rPr>
          <w:rFonts w:hint="eastAsia"/>
          <w:b/>
          <w:sz w:val="24"/>
          <w:szCs w:val="24"/>
        </w:rPr>
        <w:t>9.12辅材</w:t>
      </w:r>
    </w:p>
    <w:p>
      <w:pPr>
        <w:spacing w:line="360" w:lineRule="auto"/>
        <w:ind w:firstLine="480" w:firstLineChars="200"/>
        <w:rPr>
          <w:sz w:val="24"/>
          <w:szCs w:val="24"/>
        </w:rPr>
      </w:pPr>
      <w:r>
        <w:rPr>
          <w:rFonts w:hint="eastAsia"/>
          <w:sz w:val="24"/>
          <w:szCs w:val="24"/>
        </w:rPr>
        <w:t>扎带、标签、软管、胶布、螺栓、自攻螺丝、膨胀管</w:t>
      </w:r>
    </w:p>
    <w:p>
      <w:pPr>
        <w:spacing w:line="360" w:lineRule="auto"/>
        <w:ind w:firstLine="480" w:firstLineChars="200"/>
        <w:rPr>
          <w:sz w:val="24"/>
          <w:szCs w:val="24"/>
        </w:rPr>
      </w:pPr>
    </w:p>
    <w:p>
      <w:pPr>
        <w:spacing w:line="360" w:lineRule="auto"/>
        <w:ind w:left="479" w:leftChars="228"/>
        <w:jc w:val="left"/>
        <w:rPr>
          <w:sz w:val="24"/>
          <w:szCs w:val="24"/>
        </w:rPr>
      </w:pPr>
      <w:r>
        <w:rPr>
          <w:rFonts w:hint="eastAsia"/>
          <w:b/>
          <w:sz w:val="24"/>
          <w:szCs w:val="24"/>
        </w:rPr>
        <w:t>9.13 96芯LC机架式光纤配线架</w:t>
      </w:r>
      <w:r>
        <w:rPr>
          <w:rFonts w:hint="eastAsia"/>
          <w:sz w:val="24"/>
          <w:szCs w:val="24"/>
        </w:rPr>
        <w:t>1、快速卡扣式设计安装，无需螺丝，免螺丝快速安装；</w:t>
      </w:r>
    </w:p>
    <w:p>
      <w:pPr>
        <w:spacing w:line="360" w:lineRule="auto"/>
        <w:ind w:firstLine="480" w:firstLineChars="200"/>
        <w:rPr>
          <w:sz w:val="24"/>
          <w:szCs w:val="24"/>
        </w:rPr>
      </w:pPr>
      <w:r>
        <w:rPr>
          <w:rFonts w:hint="eastAsia"/>
          <w:sz w:val="24"/>
          <w:szCs w:val="24"/>
        </w:rPr>
        <w:t>2、模块化抽屉，限位开工停止在30度坡度，带8个线缆入口，提供紧固件，安全又方便操作和维护；</w:t>
      </w:r>
    </w:p>
    <w:p>
      <w:pPr>
        <w:spacing w:line="360" w:lineRule="auto"/>
        <w:ind w:firstLine="480" w:firstLineChars="200"/>
        <w:rPr>
          <w:sz w:val="24"/>
          <w:szCs w:val="24"/>
        </w:rPr>
      </w:pPr>
      <w:r>
        <w:rPr>
          <w:rFonts w:hint="eastAsia"/>
          <w:sz w:val="24"/>
          <w:szCs w:val="24"/>
        </w:rPr>
        <w:t>3、通过透明的亚克力盖板，对配线架内的熔接和绕线一目了然，方便安装和维护；</w:t>
      </w:r>
    </w:p>
    <w:p>
      <w:pPr>
        <w:spacing w:line="360" w:lineRule="auto"/>
        <w:ind w:firstLine="480" w:firstLineChars="200"/>
        <w:rPr>
          <w:sz w:val="24"/>
          <w:szCs w:val="24"/>
        </w:rPr>
      </w:pPr>
      <w:r>
        <w:rPr>
          <w:rFonts w:hint="eastAsia"/>
          <w:sz w:val="24"/>
          <w:szCs w:val="24"/>
        </w:rPr>
        <w:t>4、带8个线缆入口,提供紧固套件,提供PG9和PG13.5各一个；</w:t>
      </w:r>
    </w:p>
    <w:p>
      <w:pPr>
        <w:spacing w:line="360" w:lineRule="auto"/>
        <w:ind w:firstLine="480" w:firstLineChars="200"/>
        <w:rPr>
          <w:sz w:val="24"/>
          <w:szCs w:val="24"/>
        </w:rPr>
      </w:pPr>
      <w:r>
        <w:rPr>
          <w:rFonts w:hint="eastAsia"/>
          <w:sz w:val="24"/>
          <w:szCs w:val="24"/>
        </w:rPr>
        <w:t>5、可自由组合ST，SC和LC模块组,适用不同接口的运用；</w:t>
      </w:r>
    </w:p>
    <w:p>
      <w:pPr>
        <w:spacing w:line="360" w:lineRule="auto"/>
        <w:ind w:left="479" w:leftChars="228"/>
        <w:jc w:val="left"/>
        <w:rPr>
          <w:sz w:val="24"/>
          <w:szCs w:val="24"/>
        </w:rPr>
      </w:pPr>
      <w:r>
        <w:rPr>
          <w:rFonts w:hint="eastAsia"/>
          <w:sz w:val="24"/>
          <w:szCs w:val="24"/>
        </w:rPr>
        <w:t>6、并可更换模块盒实现光铜混合；</w:t>
      </w:r>
    </w:p>
    <w:p>
      <w:pPr>
        <w:spacing w:line="360" w:lineRule="auto"/>
        <w:ind w:left="479" w:leftChars="228"/>
        <w:jc w:val="left"/>
        <w:rPr>
          <w:sz w:val="24"/>
          <w:szCs w:val="24"/>
        </w:rPr>
      </w:pPr>
      <w:r>
        <w:rPr>
          <w:rFonts w:hint="eastAsia"/>
          <w:sz w:val="24"/>
          <w:szCs w:val="24"/>
        </w:rPr>
        <w:t>7、最大容量：376芯MTP适配器；96 芯 LC 适配器；48 芯 SC 适配器；24 芯 ST 适配器；</w:t>
      </w:r>
    </w:p>
    <w:p>
      <w:pPr>
        <w:spacing w:line="360" w:lineRule="auto"/>
        <w:ind w:left="479" w:leftChars="228"/>
        <w:jc w:val="left"/>
        <w:rPr>
          <w:sz w:val="24"/>
          <w:szCs w:val="24"/>
        </w:rPr>
      </w:pPr>
      <w:r>
        <w:rPr>
          <w:rFonts w:hint="eastAsia"/>
          <w:sz w:val="24"/>
          <w:szCs w:val="24"/>
        </w:rPr>
        <w:t>8、端口专用标识，方便运维；</w:t>
      </w:r>
    </w:p>
    <w:p>
      <w:pPr>
        <w:spacing w:line="360" w:lineRule="auto"/>
        <w:ind w:left="479" w:leftChars="228"/>
        <w:jc w:val="left"/>
        <w:rPr>
          <w:sz w:val="24"/>
          <w:szCs w:val="24"/>
        </w:rPr>
      </w:pPr>
      <w:r>
        <w:rPr>
          <w:rFonts w:hint="eastAsia"/>
          <w:sz w:val="24"/>
          <w:szCs w:val="24"/>
        </w:rPr>
        <w:t>9、执行标准：ISO/IEC11801，EN50173；</w:t>
      </w:r>
    </w:p>
    <w:p>
      <w:pPr>
        <w:spacing w:line="360" w:lineRule="auto"/>
        <w:ind w:left="479" w:leftChars="228"/>
        <w:jc w:val="left"/>
        <w:rPr>
          <w:sz w:val="24"/>
          <w:szCs w:val="24"/>
        </w:rPr>
      </w:pPr>
      <w:r>
        <w:rPr>
          <w:rFonts w:hint="eastAsia"/>
          <w:sz w:val="24"/>
          <w:szCs w:val="24"/>
        </w:rPr>
        <w:t>10、提供</w:t>
      </w:r>
      <w:r>
        <w:fldChar w:fldCharType="begin"/>
      </w:r>
      <w:r>
        <w:instrText xml:space="preserve"> HYPERLINK "http://www.cqvip.com/Main/Detail.aspx?id=25203065" \t "https://xueshu.baidu.com/usercenter/paper/_blank" </w:instrText>
      </w:r>
      <w:r>
        <w:fldChar w:fldCharType="separate"/>
      </w:r>
      <w:r>
        <w:rPr>
          <w:rFonts w:hint="eastAsia"/>
          <w:color w:val="000000" w:themeColor="text1"/>
          <w:sz w:val="24"/>
          <w:szCs w:val="24"/>
        </w:rPr>
        <w:t>国家认可的第三方权威检验机构</w:t>
      </w:r>
      <w:r>
        <w:rPr>
          <w:rFonts w:hint="eastAsia"/>
          <w:color w:val="000000" w:themeColor="text1"/>
          <w:sz w:val="24"/>
          <w:szCs w:val="24"/>
        </w:rPr>
        <w:fldChar w:fldCharType="end"/>
      </w:r>
      <w:r>
        <w:rPr>
          <w:rFonts w:hint="eastAsia"/>
          <w:color w:val="000000" w:themeColor="text1"/>
          <w:sz w:val="24"/>
          <w:szCs w:val="24"/>
        </w:rPr>
        <w:t>出具</w:t>
      </w:r>
      <w:r>
        <w:rPr>
          <w:rFonts w:hint="eastAsia"/>
          <w:sz w:val="24"/>
          <w:szCs w:val="24"/>
        </w:rPr>
        <w:t>的检验报告</w:t>
      </w:r>
    </w:p>
    <w:p>
      <w:pPr>
        <w:spacing w:line="360" w:lineRule="auto"/>
        <w:ind w:left="479" w:leftChars="228"/>
        <w:jc w:val="left"/>
        <w:rPr>
          <w:sz w:val="24"/>
          <w:szCs w:val="24"/>
        </w:rPr>
      </w:pPr>
      <w:r>
        <w:rPr>
          <w:rFonts w:hint="eastAsia"/>
          <w:sz w:val="24"/>
          <w:szCs w:val="24"/>
        </w:rPr>
        <w:t>11、提供产品图片</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9.14 24芯LC高密度适配器模块组（法兰）</w:t>
      </w:r>
    </w:p>
    <w:p>
      <w:pPr>
        <w:spacing w:line="360" w:lineRule="auto"/>
        <w:ind w:firstLine="480" w:firstLineChars="200"/>
        <w:rPr>
          <w:bCs/>
          <w:sz w:val="24"/>
          <w:szCs w:val="24"/>
        </w:rPr>
      </w:pPr>
      <w:r>
        <w:rPr>
          <w:rFonts w:hint="eastAsia"/>
          <w:bCs/>
          <w:sz w:val="24"/>
          <w:szCs w:val="24"/>
        </w:rPr>
        <w:t>1、采用高精度氧化锆和高磨光磷青铜套管，确保良好的物理承接力和插接能；</w:t>
      </w:r>
    </w:p>
    <w:p>
      <w:pPr>
        <w:spacing w:line="360" w:lineRule="auto"/>
        <w:ind w:firstLine="480" w:firstLineChars="200"/>
        <w:rPr>
          <w:bCs/>
          <w:sz w:val="24"/>
          <w:szCs w:val="24"/>
        </w:rPr>
      </w:pPr>
      <w:r>
        <w:rPr>
          <w:rFonts w:hint="eastAsia"/>
          <w:bCs/>
          <w:sz w:val="24"/>
          <w:szCs w:val="24"/>
        </w:rPr>
        <w:t xml:space="preserve">2、 陶瓷插套由高精度研磨机磨制，表面抛光技术，确保极低的插入损耗和反射损耗，插入损耗 &lt; 0.3dB； </w:t>
      </w:r>
    </w:p>
    <w:p>
      <w:pPr>
        <w:spacing w:line="360" w:lineRule="auto"/>
        <w:ind w:firstLine="480" w:firstLineChars="200"/>
        <w:rPr>
          <w:bCs/>
          <w:sz w:val="24"/>
          <w:szCs w:val="24"/>
        </w:rPr>
      </w:pPr>
      <w:r>
        <w:rPr>
          <w:rFonts w:hint="eastAsia"/>
          <w:bCs/>
          <w:sz w:val="24"/>
          <w:szCs w:val="24"/>
        </w:rPr>
        <w:t>3、环境温度变化时性能保持稳定，因此连接器的温度特性很好，在-40℃~+80℃，插入损耗变化≤0.1dB.</w:t>
      </w:r>
    </w:p>
    <w:p>
      <w:pPr>
        <w:spacing w:line="360" w:lineRule="auto"/>
        <w:ind w:firstLine="480" w:firstLineChars="200"/>
        <w:rPr>
          <w:bCs/>
          <w:sz w:val="24"/>
          <w:szCs w:val="24"/>
        </w:rPr>
      </w:pPr>
      <w:r>
        <w:rPr>
          <w:rFonts w:hint="eastAsia"/>
          <w:bCs/>
          <w:sz w:val="24"/>
          <w:szCs w:val="24"/>
        </w:rPr>
        <w:t>4、提供多种接头，分别有SC、ST、LC、MTP，适用于多模和单模连接器，应用于光纤通信系统。</w:t>
      </w:r>
    </w:p>
    <w:p>
      <w:pPr>
        <w:spacing w:line="360" w:lineRule="auto"/>
        <w:ind w:firstLine="480" w:firstLineChars="200"/>
        <w:rPr>
          <w:bCs/>
          <w:sz w:val="24"/>
          <w:szCs w:val="24"/>
        </w:rPr>
      </w:pPr>
      <w:r>
        <w:rPr>
          <w:rFonts w:hint="eastAsia"/>
          <w:bCs/>
          <w:sz w:val="24"/>
          <w:szCs w:val="24"/>
        </w:rPr>
        <w:t>5、单模适配器为蓝色，多模适配器为灰色，通过颜色管理区分不同网络。</w:t>
      </w:r>
    </w:p>
    <w:p>
      <w:pPr>
        <w:spacing w:line="360" w:lineRule="auto"/>
        <w:ind w:firstLine="480" w:firstLineChars="200"/>
        <w:rPr>
          <w:bCs/>
          <w:sz w:val="24"/>
          <w:szCs w:val="24"/>
        </w:rPr>
      </w:pPr>
      <w:r>
        <w:rPr>
          <w:rFonts w:hint="eastAsia"/>
          <w:bCs/>
          <w:sz w:val="24"/>
          <w:szCs w:val="24"/>
        </w:rPr>
        <w:t>6、 ST 6芯一组，SC有 6芯和12芯一组，LC有6芯、12芯、24芯一组，MTP有4端口一组，随意搭配</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9.15理线器</w:t>
      </w:r>
    </w:p>
    <w:p>
      <w:pPr>
        <w:spacing w:line="360" w:lineRule="auto"/>
        <w:ind w:firstLine="480" w:firstLineChars="200"/>
        <w:rPr>
          <w:sz w:val="24"/>
          <w:szCs w:val="24"/>
        </w:rPr>
      </w:pPr>
      <w:r>
        <w:rPr>
          <w:rFonts w:hint="eastAsia"/>
          <w:sz w:val="24"/>
          <w:szCs w:val="24"/>
        </w:rPr>
        <w:t>1、采用全塑胶ABS料，弹性好，强度高；</w:t>
      </w:r>
    </w:p>
    <w:p>
      <w:pPr>
        <w:spacing w:line="360" w:lineRule="auto"/>
        <w:ind w:firstLine="480" w:firstLineChars="200"/>
        <w:rPr>
          <w:sz w:val="24"/>
          <w:szCs w:val="24"/>
        </w:rPr>
      </w:pPr>
      <w:r>
        <w:rPr>
          <w:rFonts w:hint="eastAsia"/>
          <w:sz w:val="24"/>
          <w:szCs w:val="24"/>
        </w:rPr>
        <w:t>2、配有防尘盖，有助与跳线的保护，并能使配线架美观大方；</w:t>
      </w:r>
    </w:p>
    <w:p>
      <w:pPr>
        <w:spacing w:line="360" w:lineRule="auto"/>
        <w:ind w:firstLine="480" w:firstLineChars="200"/>
        <w:rPr>
          <w:sz w:val="24"/>
          <w:szCs w:val="24"/>
        </w:rPr>
      </w:pPr>
      <w:r>
        <w:rPr>
          <w:rFonts w:hint="eastAsia"/>
          <w:sz w:val="24"/>
          <w:szCs w:val="24"/>
        </w:rPr>
        <w:t xml:space="preserve">3、理线器容纳最多可达到48根4对线缆；      </w:t>
      </w:r>
    </w:p>
    <w:p>
      <w:pPr>
        <w:spacing w:line="360" w:lineRule="auto"/>
        <w:ind w:left="479" w:leftChars="228"/>
        <w:jc w:val="left"/>
        <w:rPr>
          <w:sz w:val="24"/>
          <w:szCs w:val="24"/>
        </w:rPr>
      </w:pPr>
      <w:r>
        <w:rPr>
          <w:rFonts w:hint="eastAsia"/>
          <w:sz w:val="24"/>
          <w:szCs w:val="24"/>
        </w:rPr>
        <w:t>4、盖板可上下翻转，极易取下，方便理线操作；                                             5、提供</w:t>
      </w:r>
      <w:r>
        <w:fldChar w:fldCharType="begin"/>
      </w:r>
      <w:r>
        <w:instrText xml:space="preserve"> HYPERLINK "http://www.cqvip.com/Main/Detail.aspx?id=25203065" \t "https://xueshu.baidu.com/usercenter/paper/_blank" </w:instrText>
      </w:r>
      <w:r>
        <w:fldChar w:fldCharType="separate"/>
      </w:r>
      <w:r>
        <w:rPr>
          <w:rFonts w:hint="eastAsia"/>
          <w:color w:val="000000" w:themeColor="text1"/>
          <w:sz w:val="24"/>
          <w:szCs w:val="24"/>
        </w:rPr>
        <w:t>国家认可的第三方权威检验机构</w:t>
      </w:r>
      <w:r>
        <w:rPr>
          <w:rFonts w:hint="eastAsia"/>
          <w:color w:val="000000" w:themeColor="text1"/>
          <w:sz w:val="24"/>
          <w:szCs w:val="24"/>
        </w:rPr>
        <w:fldChar w:fldCharType="end"/>
      </w:r>
      <w:r>
        <w:rPr>
          <w:rFonts w:hint="eastAsia"/>
          <w:color w:val="000000" w:themeColor="text1"/>
          <w:sz w:val="24"/>
          <w:szCs w:val="24"/>
        </w:rPr>
        <w:t>出具</w:t>
      </w:r>
      <w:r>
        <w:rPr>
          <w:rFonts w:hint="eastAsia"/>
          <w:sz w:val="24"/>
          <w:szCs w:val="24"/>
        </w:rPr>
        <w:t>的检验报告</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 xml:space="preserve">9.1642U网络机柜 </w:t>
      </w:r>
    </w:p>
    <w:p>
      <w:pPr>
        <w:spacing w:line="360" w:lineRule="auto"/>
        <w:ind w:firstLine="480" w:firstLineChars="200"/>
        <w:rPr>
          <w:sz w:val="24"/>
          <w:szCs w:val="24"/>
        </w:rPr>
      </w:pPr>
      <w:r>
        <w:rPr>
          <w:rFonts w:hint="eastAsia"/>
          <w:sz w:val="24"/>
          <w:szCs w:val="24"/>
        </w:rPr>
        <w:t>42U 19"标准网络机柜，600*600*2000mm，前后金属网孔门，前门单开，后门双开网孔门，含脚轮4个，风扇2个，层板3块，选用冷轧钢板，表面采用静电喷涂工艺，防锈美观，黑色。</w:t>
      </w:r>
    </w:p>
    <w:p>
      <w:pPr>
        <w:ind w:firstLine="480" w:firstLineChars="200"/>
        <w:rPr>
          <w:sz w:val="24"/>
          <w:szCs w:val="24"/>
        </w:rPr>
      </w:pPr>
      <w:r>
        <w:rPr>
          <w:rFonts w:hint="eastAsia"/>
          <w:sz w:val="24"/>
          <w:szCs w:val="24"/>
        </w:rPr>
        <w:t>1、侧门和前后门均可拆卸；</w:t>
      </w:r>
    </w:p>
    <w:p>
      <w:pPr>
        <w:spacing w:line="360" w:lineRule="auto"/>
        <w:ind w:firstLine="480" w:firstLineChars="200"/>
        <w:rPr>
          <w:sz w:val="24"/>
          <w:szCs w:val="24"/>
        </w:rPr>
      </w:pPr>
      <w:r>
        <w:rPr>
          <w:rFonts w:hint="eastAsia"/>
          <w:sz w:val="24"/>
          <w:szCs w:val="24"/>
        </w:rPr>
        <w:t>2、配线架等设备可通过立柱自动完成接地；</w:t>
      </w:r>
    </w:p>
    <w:p>
      <w:pPr>
        <w:spacing w:line="360" w:lineRule="auto"/>
        <w:ind w:firstLine="480" w:firstLineChars="200"/>
        <w:rPr>
          <w:sz w:val="24"/>
          <w:szCs w:val="24"/>
        </w:rPr>
      </w:pPr>
      <w:r>
        <w:rPr>
          <w:rFonts w:hint="eastAsia"/>
          <w:sz w:val="24"/>
          <w:szCs w:val="24"/>
        </w:rPr>
        <w:t>3、侧门及前后门带钥匙锁设计；</w:t>
      </w:r>
    </w:p>
    <w:p>
      <w:pPr>
        <w:spacing w:line="360" w:lineRule="auto"/>
        <w:ind w:firstLine="480" w:firstLineChars="200"/>
        <w:rPr>
          <w:sz w:val="24"/>
          <w:szCs w:val="24"/>
        </w:rPr>
      </w:pPr>
      <w:r>
        <w:rPr>
          <w:rFonts w:hint="eastAsia"/>
          <w:sz w:val="24"/>
          <w:szCs w:val="24"/>
        </w:rPr>
        <w:t>4、立柱可支持前后调节；</w:t>
      </w:r>
    </w:p>
    <w:p>
      <w:pPr>
        <w:spacing w:line="360" w:lineRule="auto"/>
        <w:ind w:firstLine="480" w:firstLineChars="200"/>
        <w:rPr>
          <w:sz w:val="24"/>
          <w:szCs w:val="24"/>
        </w:rPr>
      </w:pPr>
      <w:r>
        <w:rPr>
          <w:rFonts w:hint="eastAsia"/>
          <w:sz w:val="24"/>
          <w:szCs w:val="24"/>
        </w:rPr>
        <w:t>5、机柜顶部和底部预制敲落孔，方便进线管理；</w:t>
      </w:r>
    </w:p>
    <w:p>
      <w:pPr>
        <w:spacing w:line="360" w:lineRule="auto"/>
        <w:ind w:firstLine="480" w:firstLineChars="200"/>
        <w:rPr>
          <w:sz w:val="24"/>
          <w:szCs w:val="24"/>
        </w:rPr>
      </w:pPr>
      <w:r>
        <w:rPr>
          <w:rFonts w:hint="eastAsia"/>
          <w:sz w:val="24"/>
          <w:szCs w:val="24"/>
        </w:rPr>
        <w:t>6、框架立柱 1.5mm；</w:t>
      </w:r>
    </w:p>
    <w:p>
      <w:pPr>
        <w:spacing w:line="360" w:lineRule="auto"/>
        <w:ind w:firstLine="480" w:firstLineChars="200"/>
        <w:rPr>
          <w:sz w:val="24"/>
          <w:szCs w:val="24"/>
        </w:rPr>
      </w:pPr>
      <w:r>
        <w:rPr>
          <w:rFonts w:hint="eastAsia"/>
          <w:sz w:val="24"/>
          <w:szCs w:val="24"/>
        </w:rPr>
        <w:t>7、功能立柱 1.5mm；</w:t>
      </w:r>
    </w:p>
    <w:p>
      <w:pPr>
        <w:spacing w:line="360" w:lineRule="auto"/>
        <w:ind w:firstLine="480" w:firstLineChars="200"/>
        <w:rPr>
          <w:sz w:val="24"/>
          <w:szCs w:val="24"/>
        </w:rPr>
      </w:pPr>
      <w:r>
        <w:rPr>
          <w:rFonts w:hint="eastAsia"/>
          <w:sz w:val="24"/>
          <w:szCs w:val="24"/>
        </w:rPr>
        <w:t>8、前门：单开金属网孔门；</w:t>
      </w:r>
    </w:p>
    <w:p>
      <w:pPr>
        <w:spacing w:line="360" w:lineRule="auto"/>
        <w:ind w:firstLine="480" w:firstLineChars="200"/>
        <w:rPr>
          <w:sz w:val="24"/>
          <w:szCs w:val="24"/>
        </w:rPr>
      </w:pPr>
      <w:r>
        <w:rPr>
          <w:rFonts w:hint="eastAsia"/>
          <w:sz w:val="24"/>
          <w:szCs w:val="24"/>
        </w:rPr>
        <w:t>9、后门/侧门：0.8mm金属板；</w:t>
      </w:r>
    </w:p>
    <w:p>
      <w:pPr>
        <w:spacing w:line="360" w:lineRule="auto"/>
        <w:ind w:firstLine="480" w:firstLineChars="200"/>
        <w:rPr>
          <w:sz w:val="24"/>
          <w:szCs w:val="24"/>
        </w:rPr>
      </w:pPr>
      <w:r>
        <w:rPr>
          <w:rFonts w:hint="eastAsia"/>
          <w:sz w:val="24"/>
          <w:szCs w:val="24"/>
        </w:rPr>
        <w:t>10、层板/托盘：1.2mm金属板；</w:t>
      </w:r>
    </w:p>
    <w:p>
      <w:pPr>
        <w:spacing w:line="360" w:lineRule="auto"/>
        <w:ind w:firstLine="480" w:firstLineChars="200"/>
        <w:rPr>
          <w:sz w:val="24"/>
          <w:szCs w:val="24"/>
        </w:rPr>
      </w:pPr>
      <w:r>
        <w:rPr>
          <w:rFonts w:hint="eastAsia"/>
          <w:sz w:val="24"/>
          <w:szCs w:val="24"/>
        </w:rPr>
        <w:t>11、颜色：黑色RAL9011；</w:t>
      </w:r>
    </w:p>
    <w:p>
      <w:pPr>
        <w:spacing w:line="360" w:lineRule="auto"/>
        <w:ind w:firstLine="480" w:firstLineChars="200"/>
        <w:rPr>
          <w:sz w:val="24"/>
          <w:szCs w:val="24"/>
        </w:rPr>
      </w:pPr>
      <w:r>
        <w:rPr>
          <w:rFonts w:hint="eastAsia"/>
          <w:sz w:val="24"/>
          <w:szCs w:val="24"/>
        </w:rPr>
        <w:t xml:space="preserve">12、承重：600kg  </w:t>
      </w:r>
    </w:p>
    <w:p>
      <w:pPr>
        <w:spacing w:line="360" w:lineRule="auto"/>
        <w:ind w:firstLine="480" w:firstLineChars="200"/>
        <w:rPr>
          <w:sz w:val="24"/>
          <w:szCs w:val="24"/>
        </w:rPr>
      </w:pPr>
      <w:r>
        <w:rPr>
          <w:rFonts w:hint="eastAsia"/>
          <w:sz w:val="24"/>
          <w:szCs w:val="24"/>
        </w:rPr>
        <w:t xml:space="preserve">13机柜底座采用规格为5CM的角钢，厚度为4MM，角钢材质Q235B，镀锌工艺。 </w:t>
      </w:r>
    </w:p>
    <w:p>
      <w:pPr>
        <w:spacing w:line="360" w:lineRule="auto"/>
        <w:ind w:firstLine="480" w:firstLineChars="200"/>
        <w:rPr>
          <w:sz w:val="24"/>
          <w:szCs w:val="24"/>
        </w:rPr>
      </w:pPr>
      <w:r>
        <w:rPr>
          <w:rFonts w:hint="eastAsia"/>
          <w:sz w:val="24"/>
          <w:szCs w:val="24"/>
        </w:rPr>
        <w:t>14、机柜底座要求四边包封，材质采用厚度为1.2MM镀锌薄板</w:t>
      </w:r>
    </w:p>
    <w:p>
      <w:pPr>
        <w:spacing w:line="360" w:lineRule="auto"/>
        <w:ind w:firstLine="480" w:firstLineChars="200"/>
        <w:rPr>
          <w:sz w:val="24"/>
          <w:szCs w:val="24"/>
        </w:rPr>
      </w:pPr>
      <w:r>
        <w:rPr>
          <w:rFonts w:hint="eastAsia"/>
          <w:sz w:val="24"/>
          <w:szCs w:val="24"/>
        </w:rPr>
        <w:t>15、每个机柜底座需要角钢（Q235B）6.5米，镀锌薄板0.75平方，防锈漆0.2KG</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9.17</w:t>
      </w:r>
      <w:r>
        <w:rPr>
          <w:rFonts w:hint="eastAsia"/>
          <w:b/>
          <w:bCs/>
          <w:sz w:val="24"/>
          <w:szCs w:val="24"/>
        </w:rPr>
        <w:t>9U</w:t>
      </w:r>
      <w:r>
        <w:rPr>
          <w:rFonts w:hint="eastAsia"/>
          <w:b/>
          <w:sz w:val="24"/>
          <w:szCs w:val="24"/>
        </w:rPr>
        <w:t>网络机柜</w:t>
      </w:r>
    </w:p>
    <w:p>
      <w:pPr>
        <w:tabs>
          <w:tab w:val="left" w:pos="479"/>
        </w:tabs>
        <w:spacing w:line="360" w:lineRule="auto"/>
        <w:ind w:firstLine="480" w:firstLineChars="200"/>
        <w:rPr>
          <w:bCs/>
          <w:sz w:val="24"/>
          <w:szCs w:val="24"/>
        </w:rPr>
      </w:pPr>
      <w:r>
        <w:rPr>
          <w:rFonts w:hint="eastAsia"/>
          <w:bCs/>
          <w:sz w:val="24"/>
          <w:szCs w:val="24"/>
        </w:rPr>
        <w:t xml:space="preserve">9U 19"标准壁挂式网络机柜，600*450*500mm，前玻璃门，前门单开，选用冷轧钢板，表面采用静电喷涂工艺，防锈美观，黑色                                                                           </w:t>
      </w:r>
    </w:p>
    <w:p>
      <w:pPr>
        <w:tabs>
          <w:tab w:val="left" w:pos="479"/>
        </w:tabs>
        <w:spacing w:line="360" w:lineRule="auto"/>
        <w:ind w:firstLine="480" w:firstLineChars="200"/>
        <w:rPr>
          <w:bCs/>
          <w:sz w:val="24"/>
          <w:szCs w:val="24"/>
        </w:rPr>
      </w:pPr>
      <w:r>
        <w:rPr>
          <w:rFonts w:hint="eastAsia"/>
          <w:bCs/>
          <w:sz w:val="24"/>
          <w:szCs w:val="24"/>
        </w:rPr>
        <w:t>1、侧门和前门均可拆卸；</w:t>
      </w:r>
    </w:p>
    <w:p>
      <w:pPr>
        <w:tabs>
          <w:tab w:val="left" w:pos="479"/>
        </w:tabs>
        <w:spacing w:line="360" w:lineRule="auto"/>
        <w:ind w:firstLine="480" w:firstLineChars="200"/>
        <w:rPr>
          <w:bCs/>
          <w:sz w:val="24"/>
          <w:szCs w:val="24"/>
        </w:rPr>
      </w:pPr>
      <w:r>
        <w:rPr>
          <w:rFonts w:hint="eastAsia"/>
          <w:bCs/>
          <w:sz w:val="24"/>
          <w:szCs w:val="24"/>
        </w:rPr>
        <w:t>2、侧门及前门带钥匙锁设计；</w:t>
      </w:r>
    </w:p>
    <w:p>
      <w:pPr>
        <w:tabs>
          <w:tab w:val="left" w:pos="479"/>
        </w:tabs>
        <w:spacing w:line="360" w:lineRule="auto"/>
        <w:ind w:firstLine="480" w:firstLineChars="200"/>
        <w:rPr>
          <w:bCs/>
          <w:sz w:val="24"/>
          <w:szCs w:val="24"/>
        </w:rPr>
      </w:pPr>
      <w:r>
        <w:rPr>
          <w:rFonts w:hint="eastAsia"/>
          <w:bCs/>
          <w:sz w:val="24"/>
          <w:szCs w:val="24"/>
        </w:rPr>
        <w:t>3、立柱可支持前后调节；</w:t>
      </w:r>
    </w:p>
    <w:p>
      <w:pPr>
        <w:tabs>
          <w:tab w:val="left" w:pos="479"/>
        </w:tabs>
        <w:spacing w:line="360" w:lineRule="auto"/>
        <w:ind w:firstLine="480" w:firstLineChars="200"/>
        <w:rPr>
          <w:bCs/>
          <w:sz w:val="24"/>
          <w:szCs w:val="24"/>
        </w:rPr>
      </w:pPr>
      <w:r>
        <w:rPr>
          <w:rFonts w:hint="eastAsia"/>
          <w:bCs/>
          <w:sz w:val="24"/>
          <w:szCs w:val="24"/>
        </w:rPr>
        <w:t>4、机柜顶部和底部预制敲落孔，方便进线管理；</w:t>
      </w:r>
    </w:p>
    <w:p>
      <w:pPr>
        <w:tabs>
          <w:tab w:val="left" w:pos="479"/>
        </w:tabs>
        <w:spacing w:line="360" w:lineRule="auto"/>
        <w:ind w:firstLine="480" w:firstLineChars="200"/>
        <w:rPr>
          <w:bCs/>
          <w:sz w:val="24"/>
          <w:szCs w:val="24"/>
        </w:rPr>
      </w:pPr>
      <w:r>
        <w:rPr>
          <w:rFonts w:hint="eastAsia"/>
          <w:bCs/>
          <w:sz w:val="24"/>
          <w:szCs w:val="24"/>
        </w:rPr>
        <w:t>6、框架立柱 1.2mm；</w:t>
      </w:r>
    </w:p>
    <w:p>
      <w:pPr>
        <w:tabs>
          <w:tab w:val="left" w:pos="479"/>
        </w:tabs>
        <w:spacing w:line="360" w:lineRule="auto"/>
        <w:ind w:firstLine="480" w:firstLineChars="200"/>
        <w:rPr>
          <w:bCs/>
          <w:sz w:val="24"/>
          <w:szCs w:val="24"/>
        </w:rPr>
      </w:pPr>
      <w:r>
        <w:rPr>
          <w:rFonts w:hint="eastAsia"/>
          <w:bCs/>
          <w:sz w:val="24"/>
          <w:szCs w:val="24"/>
        </w:rPr>
        <w:t>7、功能立柱 1.5mm；</w:t>
      </w:r>
    </w:p>
    <w:p>
      <w:pPr>
        <w:tabs>
          <w:tab w:val="left" w:pos="479"/>
        </w:tabs>
        <w:spacing w:line="360" w:lineRule="auto"/>
        <w:ind w:firstLine="480" w:firstLineChars="200"/>
        <w:rPr>
          <w:bCs/>
          <w:sz w:val="24"/>
          <w:szCs w:val="24"/>
        </w:rPr>
      </w:pPr>
      <w:r>
        <w:rPr>
          <w:rFonts w:hint="eastAsia"/>
          <w:bCs/>
          <w:sz w:val="24"/>
          <w:szCs w:val="24"/>
        </w:rPr>
        <w:t>8、前门：单开5mm厚钢化玻璃门；</w:t>
      </w:r>
    </w:p>
    <w:p>
      <w:pPr>
        <w:tabs>
          <w:tab w:val="left" w:pos="479"/>
        </w:tabs>
        <w:spacing w:line="360" w:lineRule="auto"/>
        <w:ind w:firstLine="480" w:firstLineChars="200"/>
        <w:rPr>
          <w:bCs/>
          <w:sz w:val="24"/>
          <w:szCs w:val="24"/>
        </w:rPr>
      </w:pPr>
      <w:r>
        <w:rPr>
          <w:rFonts w:hint="eastAsia"/>
          <w:bCs/>
          <w:sz w:val="24"/>
          <w:szCs w:val="24"/>
        </w:rPr>
        <w:t>9、侧门/后门：0.8mm金属板/1.5mm金属板；</w:t>
      </w:r>
    </w:p>
    <w:p>
      <w:pPr>
        <w:tabs>
          <w:tab w:val="left" w:pos="479"/>
        </w:tabs>
        <w:spacing w:line="360" w:lineRule="auto"/>
        <w:ind w:firstLine="480" w:firstLineChars="200"/>
        <w:rPr>
          <w:bCs/>
          <w:sz w:val="24"/>
          <w:szCs w:val="24"/>
        </w:rPr>
      </w:pPr>
      <w:r>
        <w:rPr>
          <w:rFonts w:hint="eastAsia"/>
          <w:bCs/>
          <w:sz w:val="24"/>
          <w:szCs w:val="24"/>
        </w:rPr>
        <w:t>10、颜色：黑色RAL9011；</w:t>
      </w:r>
    </w:p>
    <w:p>
      <w:pPr>
        <w:tabs>
          <w:tab w:val="left" w:pos="479"/>
        </w:tabs>
        <w:spacing w:line="360" w:lineRule="auto"/>
        <w:ind w:firstLine="480" w:firstLineChars="200"/>
        <w:rPr>
          <w:rFonts w:eastAsiaTheme="minorEastAsia"/>
          <w:bCs/>
          <w:sz w:val="24"/>
          <w:szCs w:val="24"/>
        </w:rPr>
      </w:pPr>
      <w:r>
        <w:rPr>
          <w:rFonts w:hint="eastAsia"/>
          <w:bCs/>
          <w:sz w:val="24"/>
          <w:szCs w:val="24"/>
        </w:rPr>
        <w:t xml:space="preserve">11、承重：65kg </w:t>
      </w:r>
    </w:p>
    <w:p>
      <w:pPr>
        <w:spacing w:line="360" w:lineRule="auto"/>
        <w:ind w:firstLine="482" w:firstLineChars="200"/>
        <w:rPr>
          <w:b/>
          <w:sz w:val="24"/>
          <w:szCs w:val="24"/>
        </w:rPr>
      </w:pPr>
    </w:p>
    <w:p>
      <w:pPr>
        <w:spacing w:line="360" w:lineRule="auto"/>
        <w:ind w:firstLine="482" w:firstLineChars="200"/>
        <w:rPr>
          <w:b/>
          <w:sz w:val="24"/>
          <w:szCs w:val="24"/>
        </w:rPr>
      </w:pPr>
      <w:r>
        <w:rPr>
          <w:rFonts w:hint="eastAsia"/>
          <w:b/>
          <w:sz w:val="24"/>
          <w:szCs w:val="24"/>
        </w:rPr>
        <w:t>9.18 各型光纤跳线</w:t>
      </w:r>
    </w:p>
    <w:p>
      <w:pPr>
        <w:tabs>
          <w:tab w:val="left" w:pos="479"/>
        </w:tabs>
        <w:spacing w:line="360" w:lineRule="auto"/>
        <w:ind w:firstLine="480" w:firstLineChars="200"/>
        <w:rPr>
          <w:bCs/>
          <w:sz w:val="24"/>
          <w:szCs w:val="24"/>
        </w:rPr>
      </w:pPr>
      <w:r>
        <w:rPr>
          <w:bCs/>
          <w:sz w:val="24"/>
          <w:szCs w:val="24"/>
        </w:rPr>
        <w:t>1、 工业标准100%光学测试—确保可靠性；</w:t>
      </w:r>
    </w:p>
    <w:p>
      <w:pPr>
        <w:tabs>
          <w:tab w:val="left" w:pos="479"/>
        </w:tabs>
        <w:spacing w:line="360" w:lineRule="auto"/>
        <w:ind w:firstLine="630" w:firstLineChars="300"/>
        <w:rPr>
          <w:szCs w:val="22"/>
        </w:rPr>
      </w:pPr>
      <w:r>
        <w:rPr>
          <w:szCs w:val="22"/>
        </w:rPr>
        <w:t>2、 低插入损耗，高回波损耗性能高于标准要求；</w:t>
      </w:r>
    </w:p>
    <w:p>
      <w:pPr>
        <w:tabs>
          <w:tab w:val="left" w:pos="479"/>
        </w:tabs>
        <w:spacing w:line="360" w:lineRule="auto"/>
        <w:ind w:firstLine="480" w:firstLineChars="200"/>
        <w:rPr>
          <w:bCs/>
          <w:sz w:val="24"/>
          <w:szCs w:val="24"/>
        </w:rPr>
      </w:pPr>
      <w:r>
        <w:rPr>
          <w:bCs/>
          <w:sz w:val="24"/>
          <w:szCs w:val="24"/>
        </w:rPr>
        <w:t>3、 高质量陶瓷套管提供低插入损耗和耐用性；</w:t>
      </w:r>
    </w:p>
    <w:p>
      <w:pPr>
        <w:tabs>
          <w:tab w:val="left" w:pos="479"/>
        </w:tabs>
        <w:spacing w:line="360" w:lineRule="auto"/>
        <w:ind w:firstLine="480" w:firstLineChars="200"/>
        <w:rPr>
          <w:bCs/>
          <w:sz w:val="24"/>
          <w:szCs w:val="24"/>
        </w:rPr>
      </w:pPr>
      <w:r>
        <w:rPr>
          <w:bCs/>
          <w:sz w:val="24"/>
          <w:szCs w:val="24"/>
        </w:rPr>
        <w:t>4、 光纤为G657A2抗弯曲光纤，最小弯曲半径都是7.5mm。</w:t>
      </w:r>
    </w:p>
    <w:p>
      <w:pPr>
        <w:tabs>
          <w:tab w:val="left" w:pos="479"/>
        </w:tabs>
        <w:spacing w:line="360" w:lineRule="auto"/>
        <w:ind w:firstLine="480" w:firstLineChars="200"/>
        <w:rPr>
          <w:bCs/>
          <w:sz w:val="24"/>
          <w:szCs w:val="24"/>
        </w:rPr>
      </w:pPr>
      <w:r>
        <w:rPr>
          <w:bCs/>
          <w:sz w:val="24"/>
          <w:szCs w:val="24"/>
        </w:rPr>
        <w:t>5、 插入损耗：≤0.25dB, 回波损耗：≥55dB</w:t>
      </w:r>
    </w:p>
    <w:p>
      <w:pPr>
        <w:tabs>
          <w:tab w:val="left" w:pos="479"/>
        </w:tabs>
        <w:spacing w:line="360" w:lineRule="auto"/>
        <w:ind w:firstLine="480" w:firstLineChars="200"/>
        <w:rPr>
          <w:bCs/>
          <w:sz w:val="24"/>
          <w:szCs w:val="24"/>
        </w:rPr>
      </w:pPr>
      <w:r>
        <w:rPr>
          <w:bCs/>
          <w:sz w:val="24"/>
          <w:szCs w:val="24"/>
        </w:rPr>
        <w:t>6、 震动实验附加损耗≤0.1 dB</w:t>
      </w:r>
    </w:p>
    <w:p>
      <w:pPr>
        <w:tabs>
          <w:tab w:val="left" w:pos="479"/>
        </w:tabs>
        <w:spacing w:line="360" w:lineRule="auto"/>
        <w:ind w:firstLine="480" w:firstLineChars="200"/>
        <w:rPr>
          <w:bCs/>
          <w:sz w:val="24"/>
          <w:szCs w:val="24"/>
        </w:rPr>
      </w:pPr>
      <w:r>
        <w:rPr>
          <w:bCs/>
          <w:sz w:val="24"/>
          <w:szCs w:val="24"/>
        </w:rPr>
        <w:t xml:space="preserve">7、 温度循环附加损耗≤0.1 dB      </w:t>
      </w:r>
    </w:p>
    <w:p>
      <w:pPr>
        <w:tabs>
          <w:tab w:val="left" w:pos="479"/>
        </w:tabs>
        <w:spacing w:line="360" w:lineRule="auto"/>
        <w:ind w:firstLine="480" w:firstLineChars="200"/>
        <w:rPr>
          <w:bCs/>
          <w:sz w:val="24"/>
          <w:szCs w:val="24"/>
        </w:rPr>
      </w:pPr>
      <w:r>
        <w:rPr>
          <w:bCs/>
          <w:sz w:val="24"/>
          <w:szCs w:val="24"/>
        </w:rPr>
        <w:t>8、 符合相关标准：ISO11801,TIA/EIA-568-B.2,IEC-60793</w:t>
      </w:r>
    </w:p>
    <w:p>
      <w:pPr>
        <w:tabs>
          <w:tab w:val="left" w:pos="479"/>
        </w:tabs>
        <w:spacing w:line="360" w:lineRule="auto"/>
        <w:ind w:firstLine="480" w:firstLineChars="200"/>
        <w:rPr>
          <w:bCs/>
          <w:sz w:val="24"/>
          <w:szCs w:val="24"/>
        </w:rPr>
      </w:pPr>
      <w:r>
        <w:rPr>
          <w:bCs/>
          <w:sz w:val="24"/>
          <w:szCs w:val="24"/>
        </w:rPr>
        <w:t xml:space="preserve">9、 </w:t>
      </w:r>
      <w:r>
        <w:rPr>
          <w:rFonts w:hint="eastAsia"/>
          <w:sz w:val="24"/>
          <w:szCs w:val="24"/>
        </w:rPr>
        <w:t>提供</w:t>
      </w:r>
      <w:r>
        <w:fldChar w:fldCharType="begin"/>
      </w:r>
      <w:r>
        <w:instrText xml:space="preserve"> HYPERLINK "http://www.cqvip.com/Main/Detail.aspx?id=25203065" \t "https://xueshu.baidu.com/usercenter/paper/_blank" </w:instrText>
      </w:r>
      <w:r>
        <w:fldChar w:fldCharType="separate"/>
      </w:r>
      <w:r>
        <w:rPr>
          <w:rFonts w:hint="eastAsia"/>
          <w:color w:val="000000" w:themeColor="text1"/>
          <w:sz w:val="24"/>
          <w:szCs w:val="24"/>
        </w:rPr>
        <w:t>国家认可的第三方权威检验机构</w:t>
      </w:r>
      <w:r>
        <w:rPr>
          <w:rFonts w:hint="eastAsia"/>
          <w:color w:val="000000" w:themeColor="text1"/>
          <w:sz w:val="24"/>
          <w:szCs w:val="24"/>
        </w:rPr>
        <w:fldChar w:fldCharType="end"/>
      </w:r>
      <w:r>
        <w:rPr>
          <w:rFonts w:hint="eastAsia"/>
          <w:color w:val="000000" w:themeColor="text1"/>
          <w:sz w:val="24"/>
          <w:szCs w:val="24"/>
        </w:rPr>
        <w:t>出具</w:t>
      </w:r>
      <w:r>
        <w:rPr>
          <w:rFonts w:hint="eastAsia"/>
          <w:sz w:val="24"/>
          <w:szCs w:val="24"/>
        </w:rPr>
        <w:t>的检验报告</w:t>
      </w:r>
    </w:p>
    <w:p>
      <w:pPr>
        <w:spacing w:line="360" w:lineRule="auto"/>
        <w:ind w:firstLine="480" w:firstLineChars="200"/>
        <w:rPr>
          <w:sz w:val="24"/>
          <w:szCs w:val="24"/>
        </w:rPr>
      </w:pPr>
    </w:p>
    <w:p>
      <w:pPr>
        <w:spacing w:line="360" w:lineRule="auto"/>
        <w:ind w:firstLine="482" w:firstLineChars="200"/>
        <w:rPr>
          <w:sz w:val="24"/>
          <w:szCs w:val="24"/>
        </w:rPr>
      </w:pPr>
      <w:r>
        <w:rPr>
          <w:rFonts w:hint="eastAsia"/>
          <w:b/>
          <w:sz w:val="24"/>
          <w:szCs w:val="24"/>
        </w:rPr>
        <w:t>9.19  12芯单模室外光缆</w:t>
      </w:r>
    </w:p>
    <w:p>
      <w:pPr>
        <w:spacing w:line="360" w:lineRule="auto"/>
        <w:ind w:firstLine="480" w:firstLineChars="200"/>
        <w:rPr>
          <w:sz w:val="24"/>
          <w:szCs w:val="24"/>
        </w:rPr>
      </w:pPr>
      <w:r>
        <w:rPr>
          <w:rFonts w:hint="eastAsia"/>
          <w:sz w:val="24"/>
          <w:szCs w:val="24"/>
        </w:rPr>
        <w:t>1、符合标准：阻燃性符合IEC 60332-1-2、无卤素符合IEC 60754-1、无腐蚀性符合IEC60754-2、低烟标准符合IEC 61034、阻水性能符合IEC 60794-1-2 F5</w:t>
      </w:r>
    </w:p>
    <w:p>
      <w:pPr>
        <w:spacing w:line="360" w:lineRule="auto"/>
        <w:ind w:firstLine="480" w:firstLineChars="200"/>
        <w:rPr>
          <w:sz w:val="24"/>
          <w:szCs w:val="24"/>
        </w:rPr>
      </w:pPr>
      <w:r>
        <w:rPr>
          <w:rFonts w:hint="eastAsia"/>
          <w:sz w:val="24"/>
          <w:szCs w:val="24"/>
        </w:rPr>
        <w:t>2、层绞式松套管室内/室外通用型阻燃光缆，适用于建筑物之间/建筑物内部主干的管道和其他纵向的管道/桥架的应用</w:t>
      </w:r>
    </w:p>
    <w:p>
      <w:pPr>
        <w:spacing w:line="360" w:lineRule="auto"/>
        <w:ind w:firstLine="480" w:firstLineChars="200"/>
        <w:rPr>
          <w:sz w:val="24"/>
          <w:szCs w:val="24"/>
        </w:rPr>
      </w:pPr>
      <w:r>
        <w:rPr>
          <w:rFonts w:hint="eastAsia"/>
          <w:sz w:val="24"/>
          <w:szCs w:val="24"/>
        </w:rPr>
        <w:t>3、采用G652.D（OS2零水峰）单模纤芯</w:t>
      </w:r>
    </w:p>
    <w:p>
      <w:pPr>
        <w:spacing w:line="360" w:lineRule="auto"/>
        <w:ind w:firstLine="480" w:firstLineChars="200"/>
        <w:rPr>
          <w:sz w:val="24"/>
          <w:szCs w:val="24"/>
        </w:rPr>
      </w:pPr>
      <w:r>
        <w:rPr>
          <w:rFonts w:hint="eastAsia"/>
          <w:sz w:val="24"/>
          <w:szCs w:val="24"/>
        </w:rPr>
        <w:t>4、衰耗：1310/0.36、1550/0.22</w:t>
      </w:r>
    </w:p>
    <w:p>
      <w:pPr>
        <w:spacing w:line="360" w:lineRule="auto"/>
        <w:ind w:firstLine="480" w:firstLineChars="200"/>
        <w:rPr>
          <w:sz w:val="24"/>
          <w:szCs w:val="24"/>
        </w:rPr>
      </w:pPr>
      <w:r>
        <w:rPr>
          <w:rFonts w:hint="eastAsia"/>
          <w:sz w:val="24"/>
          <w:szCs w:val="24"/>
        </w:rPr>
        <w:t>5、最大允许张力：长期600N、短期1500N；最大允许侧压力：长期300N、短期1000N；最小弯曲半径：动态20倍光缆外径、静态10倍光缆外径</w:t>
      </w:r>
    </w:p>
    <w:p>
      <w:pPr>
        <w:spacing w:line="360" w:lineRule="auto"/>
        <w:ind w:firstLine="480" w:firstLineChars="200"/>
        <w:rPr>
          <w:sz w:val="24"/>
          <w:szCs w:val="24"/>
        </w:rPr>
      </w:pPr>
      <w:r>
        <w:rPr>
          <w:rFonts w:hint="eastAsia"/>
          <w:sz w:val="24"/>
          <w:szCs w:val="24"/>
        </w:rPr>
        <w:t>6、全非金属结构，外径小，重量轻，便于安装敷设；缆芯内填充阻水材料，有效阻挡水分渗入缆芯</w:t>
      </w:r>
    </w:p>
    <w:p>
      <w:pPr>
        <w:spacing w:line="360" w:lineRule="auto"/>
        <w:ind w:firstLine="482" w:firstLineChars="200"/>
        <w:rPr>
          <w:b/>
          <w:sz w:val="24"/>
          <w:szCs w:val="24"/>
        </w:rPr>
      </w:pPr>
    </w:p>
    <w:p>
      <w:pPr>
        <w:spacing w:line="360" w:lineRule="auto"/>
        <w:ind w:firstLine="482" w:firstLineChars="200"/>
        <w:rPr>
          <w:sz w:val="24"/>
          <w:szCs w:val="24"/>
        </w:rPr>
      </w:pPr>
      <w:r>
        <w:rPr>
          <w:rFonts w:hint="eastAsia"/>
          <w:b/>
          <w:sz w:val="24"/>
          <w:szCs w:val="24"/>
        </w:rPr>
        <w:t>9.20  ODF架</w:t>
      </w:r>
    </w:p>
    <w:p>
      <w:pPr>
        <w:spacing w:line="360" w:lineRule="auto"/>
        <w:ind w:firstLine="480" w:firstLineChars="200"/>
        <w:rPr>
          <w:sz w:val="24"/>
          <w:szCs w:val="24"/>
        </w:rPr>
      </w:pPr>
      <w:r>
        <w:rPr>
          <w:rFonts w:hint="eastAsia"/>
          <w:sz w:val="24"/>
          <w:szCs w:val="24"/>
        </w:rPr>
        <w:t>1、规格：标准1U、2U或4U产品  2、硬件结构：多层导轨式滑动托盘组成；1U产品，自带箱内水平理线环；4U产品，自带箱内水平理线环和箱外垂直理线环，刷式进缆配置</w:t>
      </w:r>
    </w:p>
    <w:p>
      <w:pPr>
        <w:spacing w:line="360" w:lineRule="auto"/>
        <w:ind w:firstLine="482" w:firstLineChars="200"/>
        <w:rPr>
          <w:sz w:val="24"/>
          <w:szCs w:val="24"/>
        </w:rPr>
      </w:pPr>
      <w:r>
        <w:rPr>
          <w:rFonts w:hint="eastAsia"/>
          <w:b/>
          <w:sz w:val="24"/>
          <w:szCs w:val="24"/>
        </w:rPr>
        <w:t>9.21 光纤耦合器</w:t>
      </w:r>
    </w:p>
    <w:p>
      <w:pPr>
        <w:spacing w:line="360" w:lineRule="auto"/>
        <w:ind w:firstLine="480" w:firstLineChars="200"/>
        <w:rPr>
          <w:sz w:val="24"/>
          <w:szCs w:val="24"/>
        </w:rPr>
      </w:pPr>
      <w:r>
        <w:rPr>
          <w:rFonts w:hint="eastAsia"/>
          <w:sz w:val="24"/>
          <w:szCs w:val="24"/>
        </w:rPr>
        <w:t>类型：双工LC，单模类型；</w:t>
      </w:r>
    </w:p>
    <w:p>
      <w:pPr>
        <w:spacing w:line="360" w:lineRule="auto"/>
        <w:ind w:firstLine="480" w:firstLineChars="200"/>
        <w:rPr>
          <w:sz w:val="24"/>
          <w:szCs w:val="24"/>
        </w:rPr>
      </w:pPr>
      <w:r>
        <w:rPr>
          <w:rFonts w:hint="eastAsia"/>
          <w:sz w:val="24"/>
          <w:szCs w:val="24"/>
        </w:rPr>
        <w:t>物理性能：插拔寿命≥1000次；</w:t>
      </w:r>
    </w:p>
    <w:p>
      <w:pPr>
        <w:spacing w:line="360" w:lineRule="auto"/>
        <w:ind w:firstLine="480" w:firstLineChars="200"/>
        <w:rPr>
          <w:sz w:val="24"/>
          <w:szCs w:val="24"/>
        </w:rPr>
      </w:pPr>
      <w:r>
        <w:rPr>
          <w:rFonts w:hint="eastAsia"/>
          <w:sz w:val="24"/>
          <w:szCs w:val="24"/>
        </w:rPr>
        <w:t>光性能：衰减变化&lt;0.03dB 插入损耗典型值：0.1dB</w:t>
      </w:r>
    </w:p>
    <w:p>
      <w:pPr>
        <w:pStyle w:val="5"/>
        <w:numPr>
          <w:ilvl w:val="0"/>
          <w:numId w:val="6"/>
        </w:numPr>
        <w:spacing w:line="360" w:lineRule="auto"/>
        <w:ind w:firstLine="482" w:firstLineChars="200"/>
        <w:rPr>
          <w:sz w:val="24"/>
          <w:szCs w:val="24"/>
        </w:rPr>
      </w:pPr>
      <w:r>
        <w:rPr>
          <w:rFonts w:hint="eastAsia"/>
          <w:sz w:val="24"/>
          <w:szCs w:val="24"/>
        </w:rPr>
        <w:t>网络设备技术要求</w:t>
      </w:r>
    </w:p>
    <w:p>
      <w:pPr>
        <w:jc w:val="left"/>
        <w:outlineLvl w:val="1"/>
        <w:rPr>
          <w:b/>
          <w:sz w:val="24"/>
          <w:szCs w:val="24"/>
        </w:rPr>
      </w:pPr>
      <w:r>
        <w:rPr>
          <w:rFonts w:hint="eastAsia"/>
          <w:b/>
          <w:sz w:val="24"/>
          <w:szCs w:val="24"/>
        </w:rPr>
        <w:t>10.1全校核心交换机</w:t>
      </w:r>
    </w:p>
    <w:tbl>
      <w:tblPr>
        <w:tblStyle w:val="40"/>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9"/>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2169"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Theme="minorEastAsia" w:hAnsiTheme="minorEastAsia"/>
                <w:b/>
                <w:sz w:val="24"/>
                <w:szCs w:val="24"/>
              </w:rPr>
            </w:pPr>
            <w:r>
              <w:rPr>
                <w:rFonts w:hint="eastAsia" w:asciiTheme="minorEastAsia" w:hAnsiTheme="minorEastAsia"/>
                <w:b/>
                <w:sz w:val="24"/>
                <w:szCs w:val="24"/>
              </w:rPr>
              <w:t>功能及技术</w:t>
            </w:r>
          </w:p>
          <w:p>
            <w:pPr>
              <w:tabs>
                <w:tab w:val="left" w:pos="6195"/>
              </w:tabs>
              <w:spacing w:line="360" w:lineRule="auto"/>
              <w:jc w:val="center"/>
              <w:rPr>
                <w:rFonts w:asciiTheme="minorEastAsia" w:hAnsiTheme="minorEastAsia"/>
                <w:b/>
                <w:sz w:val="24"/>
                <w:szCs w:val="24"/>
              </w:rPr>
            </w:pPr>
            <w:r>
              <w:rPr>
                <w:rFonts w:hint="eastAsia" w:asciiTheme="minorEastAsia" w:hAnsiTheme="minorEastAsia"/>
                <w:b/>
                <w:sz w:val="24"/>
                <w:szCs w:val="24"/>
              </w:rPr>
              <w:t>指标</w:t>
            </w:r>
          </w:p>
        </w:tc>
        <w:tc>
          <w:tcPr>
            <w:tcW w:w="7015"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Theme="minorEastAsia" w:hAnsiTheme="minorEastAsia"/>
                <w:b/>
                <w:sz w:val="24"/>
                <w:szCs w:val="24"/>
              </w:rPr>
            </w:pPr>
            <w:r>
              <w:rPr>
                <w:rFonts w:hint="eastAsia" w:asciiTheme="minorEastAsia" w:hAnsiTheme="minorEastAsia"/>
                <w:b/>
                <w:sz w:val="24"/>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tcPr>
          <w:p>
            <w:pPr>
              <w:tabs>
                <w:tab w:val="left" w:pos="420"/>
              </w:tabs>
              <w:spacing w:before="40" w:after="40"/>
              <w:ind w:left="284" w:hanging="284"/>
              <w:rPr>
                <w:rFonts w:cs="Arial" w:asciiTheme="minorEastAsia" w:hAnsiTheme="minorEastAsia"/>
                <w:sz w:val="24"/>
                <w:szCs w:val="24"/>
                <w:highlight w:val="none"/>
              </w:rPr>
            </w:pPr>
            <w:r>
              <w:rPr>
                <w:rFonts w:hint="eastAsia" w:cs="宋体" w:asciiTheme="minorEastAsia" w:hAnsiTheme="minorEastAsia"/>
                <w:sz w:val="24"/>
                <w:szCs w:val="24"/>
                <w:highlight w:val="none"/>
                <w:lang w:val="zh-CN"/>
              </w:rPr>
              <w:t>性能指标</w:t>
            </w:r>
          </w:p>
        </w:tc>
        <w:tc>
          <w:tcPr>
            <w:tcW w:w="7015" w:type="dxa"/>
            <w:tcMar>
              <w:top w:w="0" w:type="dxa"/>
              <w:left w:w="108" w:type="dxa"/>
              <w:bottom w:w="0" w:type="dxa"/>
              <w:right w:w="108" w:type="dxa"/>
            </w:tcMar>
          </w:tcPr>
          <w:p>
            <w:pPr>
              <w:tabs>
                <w:tab w:val="left" w:pos="420"/>
              </w:tabs>
              <w:spacing w:before="40" w:after="40"/>
              <w:rPr>
                <w:rFonts w:cs="Arial" w:asciiTheme="minorEastAsia" w:hAnsiTheme="minorEastAsia"/>
                <w:sz w:val="24"/>
                <w:szCs w:val="24"/>
                <w:highlight w:val="none"/>
              </w:rPr>
            </w:pPr>
            <w:r>
              <w:rPr>
                <w:rFonts w:hint="eastAsia" w:cs="宋体" w:asciiTheme="minorEastAsia" w:hAnsiTheme="minorEastAsia"/>
                <w:sz w:val="24"/>
                <w:szCs w:val="24"/>
                <w:highlight w:val="none"/>
                <w:lang w:val="zh-CN"/>
              </w:rPr>
              <w:t>★</w:t>
            </w:r>
            <w:r>
              <w:rPr>
                <w:rFonts w:hint="eastAsia" w:cs="Arial" w:asciiTheme="minorEastAsia" w:hAnsiTheme="minorEastAsia"/>
                <w:sz w:val="24"/>
                <w:szCs w:val="24"/>
                <w:highlight w:val="none"/>
              </w:rPr>
              <w:t>交换容量≥600Tbps，包转发率≥</w:t>
            </w:r>
            <w:r>
              <w:rPr>
                <w:rFonts w:hint="eastAsia" w:cs="Arial" w:asciiTheme="minorEastAsia" w:hAnsiTheme="minorEastAsia"/>
                <w:sz w:val="24"/>
                <w:szCs w:val="24"/>
                <w:highlight w:val="none"/>
                <w:lang w:val="en-US" w:eastAsia="zh-CN"/>
              </w:rPr>
              <w:t>192</w:t>
            </w:r>
            <w:r>
              <w:rPr>
                <w:rFonts w:cs="Arial" w:asciiTheme="minorEastAsia" w:hAnsiTheme="minorEastAsia"/>
                <w:sz w:val="24"/>
                <w:szCs w:val="24"/>
                <w:highlight w:val="none"/>
              </w:rPr>
              <w:t>000</w:t>
            </w:r>
            <w:r>
              <w:rPr>
                <w:rFonts w:hint="eastAsia" w:cs="Arial" w:asciiTheme="minorEastAsia" w:hAnsiTheme="minorEastAsia"/>
                <w:sz w:val="24"/>
                <w:szCs w:val="24"/>
                <w:highlight w:val="none"/>
              </w:rPr>
              <w:t>Mpps（提供官网截图，官网若有多个指标，以小指标为准）；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tcPr>
          <w:p>
            <w:pPr>
              <w:tabs>
                <w:tab w:val="left" w:pos="420"/>
              </w:tabs>
              <w:spacing w:before="40" w:after="40"/>
              <w:ind w:left="284" w:hanging="284"/>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业务槽位</w:t>
            </w:r>
          </w:p>
        </w:tc>
        <w:tc>
          <w:tcPr>
            <w:tcW w:w="7015" w:type="dxa"/>
            <w:tcMar>
              <w:top w:w="0" w:type="dxa"/>
              <w:left w:w="108" w:type="dxa"/>
              <w:bottom w:w="0" w:type="dxa"/>
              <w:right w:w="108" w:type="dxa"/>
            </w:tcMar>
          </w:tcPr>
          <w:p>
            <w:pPr>
              <w:tabs>
                <w:tab w:val="left" w:pos="420"/>
              </w:tabs>
              <w:spacing w:before="40" w:after="40"/>
              <w:rPr>
                <w:rFonts w:cs="Arial" w:asciiTheme="minorEastAsia" w:hAnsiTheme="minorEastAsia"/>
                <w:sz w:val="24"/>
                <w:szCs w:val="24"/>
                <w:highlight w:val="none"/>
              </w:rPr>
            </w:pPr>
            <w:r>
              <w:rPr>
                <w:rFonts w:hint="eastAsia" w:cs="宋体" w:asciiTheme="minorEastAsia" w:hAnsiTheme="minorEastAsia"/>
                <w:sz w:val="24"/>
                <w:szCs w:val="24"/>
                <w:highlight w:val="none"/>
                <w:lang w:val="zh-CN"/>
              </w:rPr>
              <w:t>★</w:t>
            </w:r>
            <w:r>
              <w:rPr>
                <w:rFonts w:hint="eastAsia" w:cs="Arial" w:asciiTheme="minorEastAsia" w:hAnsiTheme="minorEastAsia"/>
                <w:sz w:val="24"/>
                <w:szCs w:val="24"/>
                <w:highlight w:val="none"/>
              </w:rPr>
              <w:t>业务槽位≥8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交换网冗余</w:t>
            </w:r>
          </w:p>
        </w:tc>
        <w:tc>
          <w:tcPr>
            <w:tcW w:w="7015"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★独立交换网模块≥</w:t>
            </w:r>
            <w:r>
              <w:rPr>
                <w:rFonts w:hint="eastAsia" w:cs="宋体" w:asciiTheme="minorEastAsia" w:hAnsiTheme="minorEastAsia"/>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二层功能</w:t>
            </w:r>
          </w:p>
        </w:tc>
        <w:tc>
          <w:tcPr>
            <w:tcW w:w="7015"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支持ERPS以太环保护协议（G.8032）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vMerge w:val="restart"/>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三层功能</w:t>
            </w:r>
          </w:p>
        </w:tc>
        <w:tc>
          <w:tcPr>
            <w:tcW w:w="7015" w:type="dxa"/>
            <w:tcMar>
              <w:top w:w="0" w:type="dxa"/>
              <w:left w:w="108" w:type="dxa"/>
              <w:bottom w:w="0" w:type="dxa"/>
              <w:right w:w="108" w:type="dxa"/>
            </w:tcMar>
          </w:tcPr>
          <w:p>
            <w:pPr>
              <w:rPr>
                <w:sz w:val="24"/>
                <w:szCs w:val="24"/>
                <w:highlight w:val="none"/>
              </w:rPr>
            </w:pPr>
            <w:r>
              <w:rPr>
                <w:rFonts w:hint="eastAsia"/>
                <w:sz w:val="24"/>
                <w:szCs w:val="24"/>
                <w:highlight w:val="none"/>
              </w:rPr>
              <w:t xml:space="preserve">支持L3 VPN，支持L2 VPN，支持VLPS，支持TE，支持MCE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vMerge w:val="continue"/>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p>
        </w:tc>
        <w:tc>
          <w:tcPr>
            <w:tcW w:w="7015" w:type="dxa"/>
            <w:tcMar>
              <w:top w:w="0" w:type="dxa"/>
              <w:left w:w="108" w:type="dxa"/>
              <w:bottom w:w="0" w:type="dxa"/>
              <w:right w:w="108" w:type="dxa"/>
            </w:tcMar>
          </w:tcPr>
          <w:p>
            <w:pPr>
              <w:rPr>
                <w:sz w:val="24"/>
                <w:szCs w:val="24"/>
                <w:highlight w:val="none"/>
              </w:rPr>
            </w:pPr>
            <w:r>
              <w:rPr>
                <w:rFonts w:hint="eastAsia"/>
                <w:sz w:val="24"/>
                <w:szCs w:val="24"/>
                <w:highlight w:val="none"/>
              </w:rPr>
              <w:t xml:space="preserve">支持MPLS功能，提供第三方权威机构测试报告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vMerge w:val="continue"/>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p>
        </w:tc>
        <w:tc>
          <w:tcPr>
            <w:tcW w:w="7015" w:type="dxa"/>
            <w:tcMar>
              <w:top w:w="0" w:type="dxa"/>
              <w:left w:w="108" w:type="dxa"/>
              <w:bottom w:w="0" w:type="dxa"/>
              <w:right w:w="108" w:type="dxa"/>
            </w:tcMar>
          </w:tcPr>
          <w:p>
            <w:pPr>
              <w:rPr>
                <w:sz w:val="24"/>
                <w:szCs w:val="24"/>
                <w:highlight w:val="none"/>
              </w:rPr>
            </w:pPr>
            <w:r>
              <w:rPr>
                <w:rFonts w:hint="eastAsia" w:cs="宋体" w:asciiTheme="minorEastAsia" w:hAnsiTheme="minorEastAsia"/>
                <w:sz w:val="24"/>
                <w:szCs w:val="24"/>
                <w:highlight w:val="none"/>
                <w:lang w:val="zh-CN"/>
              </w:rPr>
              <w:t>★</w:t>
            </w:r>
            <w:r>
              <w:rPr>
                <w:rFonts w:hint="eastAsia"/>
                <w:sz w:val="24"/>
                <w:szCs w:val="24"/>
                <w:highlight w:val="none"/>
              </w:rPr>
              <w:t>支持SAVI，IPv6网络安全功能，检查ND及DHCPv6源地址，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可视化管理</w:t>
            </w:r>
          </w:p>
        </w:tc>
        <w:tc>
          <w:tcPr>
            <w:tcW w:w="7015" w:type="dxa"/>
            <w:tcMar>
              <w:top w:w="0" w:type="dxa"/>
              <w:left w:w="108" w:type="dxa"/>
              <w:bottom w:w="0" w:type="dxa"/>
              <w:right w:w="108" w:type="dxa"/>
            </w:tcMar>
          </w:tcPr>
          <w:p>
            <w:pPr>
              <w:rPr>
                <w:sz w:val="24"/>
                <w:szCs w:val="24"/>
                <w:highlight w:val="none"/>
              </w:rPr>
            </w:pPr>
            <w:r>
              <w:rPr>
                <w:rFonts w:hint="eastAsia"/>
                <w:sz w:val="24"/>
                <w:szCs w:val="24"/>
                <w:highlight w:val="none"/>
              </w:rPr>
              <w:t>支持sFlow流量分析功能，能够对端口上的流量进行统计分析，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169"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虚拟化</w:t>
            </w:r>
          </w:p>
        </w:tc>
        <w:tc>
          <w:tcPr>
            <w:tcW w:w="7015" w:type="dxa"/>
            <w:tcMar>
              <w:top w:w="0" w:type="dxa"/>
              <w:left w:w="108" w:type="dxa"/>
              <w:bottom w:w="0" w:type="dxa"/>
              <w:right w:w="108" w:type="dxa"/>
            </w:tcMar>
            <w:vAlign w:val="center"/>
          </w:tcPr>
          <w:p>
            <w:pPr>
              <w:rPr>
                <w:sz w:val="24"/>
                <w:szCs w:val="24"/>
                <w:highlight w:val="none"/>
              </w:rPr>
            </w:pPr>
            <w:r>
              <w:rPr>
                <w:rFonts w:hint="eastAsia" w:cs="宋体" w:asciiTheme="minorEastAsia" w:hAnsiTheme="minorEastAsia"/>
                <w:sz w:val="24"/>
                <w:szCs w:val="24"/>
                <w:highlight w:val="none"/>
                <w:lang w:val="zh-CN"/>
              </w:rPr>
              <w:t>★支持横向虚拟化技术，将多台设备虚拟为一台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spacing w:line="300" w:lineRule="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路由功能</w:t>
            </w:r>
          </w:p>
        </w:tc>
        <w:tc>
          <w:tcPr>
            <w:tcW w:w="7015" w:type="dxa"/>
            <w:tcMar>
              <w:top w:w="0" w:type="dxa"/>
              <w:left w:w="108" w:type="dxa"/>
              <w:bottom w:w="0" w:type="dxa"/>
              <w:right w:w="108" w:type="dxa"/>
            </w:tcMar>
            <w:vAlign w:val="center"/>
          </w:tcPr>
          <w:p>
            <w:pPr>
              <w:pStyle w:val="173"/>
              <w:spacing w:line="300" w:lineRule="auto"/>
              <w:jc w:val="both"/>
              <w:rPr>
                <w:rFonts w:hint="default" w:asciiTheme="minorEastAsia" w:hAnsiTheme="minorEastAsia"/>
                <w:szCs w:val="24"/>
                <w:highlight w:val="none"/>
              </w:rPr>
            </w:pPr>
            <w:r>
              <w:rPr>
                <w:rFonts w:asciiTheme="minorEastAsia" w:hAnsiTheme="minorEastAsia"/>
                <w:szCs w:val="24"/>
                <w:highlight w:val="none"/>
              </w:rPr>
              <w:t>支持RIPng、OSPFv3、BGP4+、IS-ISv6协议，支持IPv6策略路由，支持DHCPv6功能、IPv6 portal功能、IPv6管理功能，支持基于IPv4\IPv6的VRRP功能；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端口镜像</w:t>
            </w:r>
          </w:p>
        </w:tc>
        <w:tc>
          <w:tcPr>
            <w:tcW w:w="7015" w:type="dxa"/>
            <w:tcMar>
              <w:top w:w="0" w:type="dxa"/>
              <w:left w:w="108" w:type="dxa"/>
              <w:bottom w:w="0" w:type="dxa"/>
              <w:right w:w="108" w:type="dxa"/>
            </w:tcMar>
            <w:vAlign w:val="center"/>
          </w:tcPr>
          <w:p>
            <w:pPr>
              <w:widowControl/>
              <w:spacing w:line="30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支持点到多点端口镜像；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tcPr>
          <w:p>
            <w:pPr>
              <w:tabs>
                <w:tab w:val="left" w:pos="420"/>
              </w:tabs>
              <w:spacing w:before="40" w:after="40"/>
              <w:ind w:left="28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配置要求</w:t>
            </w:r>
          </w:p>
        </w:tc>
        <w:tc>
          <w:tcPr>
            <w:tcW w:w="7015" w:type="dxa"/>
            <w:tcMar>
              <w:top w:w="0" w:type="dxa"/>
              <w:left w:w="108" w:type="dxa"/>
              <w:bottom w:w="0" w:type="dxa"/>
              <w:right w:w="108" w:type="dxa"/>
            </w:tcMar>
          </w:tcPr>
          <w:p>
            <w:pPr>
              <w:tabs>
                <w:tab w:val="left" w:pos="420"/>
              </w:tabs>
              <w:spacing w:before="40" w:after="40"/>
              <w:rPr>
                <w:rFonts w:cs="Arial" w:asciiTheme="minorEastAsia" w:hAnsiTheme="minorEastAsia"/>
                <w:sz w:val="24"/>
                <w:szCs w:val="24"/>
                <w:highlight w:val="none"/>
              </w:rPr>
            </w:pPr>
            <w:r>
              <w:rPr>
                <w:rFonts w:hint="eastAsia" w:cs="Arial" w:asciiTheme="minorEastAsia" w:hAnsiTheme="minorEastAsia"/>
                <w:b/>
                <w:sz w:val="24"/>
                <w:szCs w:val="24"/>
                <w:highlight w:val="none"/>
              </w:rPr>
              <w:t>★</w:t>
            </w:r>
            <w:r>
              <w:rPr>
                <w:rFonts w:hint="eastAsia" w:cs="Arial" w:asciiTheme="minorEastAsia" w:hAnsiTheme="minorEastAsia"/>
                <w:sz w:val="24"/>
                <w:szCs w:val="24"/>
                <w:highlight w:val="none"/>
              </w:rPr>
              <w:t>主控引擎≥2，独立交换网板≥4， 交流电源≥4，</w:t>
            </w:r>
            <w:r>
              <w:rPr>
                <w:rFonts w:ascii="宋体" w:hAnsi="宋体" w:eastAsia="宋体" w:cs="宋体"/>
                <w:sz w:val="24"/>
                <w:szCs w:val="24"/>
                <w:highlight w:val="none"/>
              </w:rPr>
              <w:t>40G以太网光接口≥16，万兆以太光接口≥24，千兆光接口≥20，千兆电接口≥20，40G多模光模块≥2，40G单模光模块≥14，万兆单模光模块≥24</w:t>
            </w:r>
            <w:r>
              <w:rPr>
                <w:rFonts w:hint="eastAsia" w:cs="Arial" w:asciiTheme="minorEastAsia" w:hAnsiTheme="minorEastAsia"/>
                <w:sz w:val="24"/>
                <w:szCs w:val="24"/>
                <w:highlight w:val="none"/>
              </w:rPr>
              <w:t>，</w:t>
            </w:r>
            <w:r>
              <w:rPr>
                <w:rFonts w:ascii="新宋体" w:hAnsi="新宋体" w:eastAsia="新宋体" w:cs="Arial"/>
                <w:sz w:val="24"/>
                <w:szCs w:val="24"/>
                <w:highlight w:val="none"/>
              </w:rPr>
              <w:t>配置相应软件及安装滑轨等</w:t>
            </w:r>
            <w:r>
              <w:rPr>
                <w:rFonts w:hint="eastAsia" w:cs="Arial" w:asciiTheme="minorEastAsia" w:hAnsi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2169"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售后服务</w:t>
            </w:r>
          </w:p>
        </w:tc>
        <w:tc>
          <w:tcPr>
            <w:tcW w:w="7015"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highlight w:val="none"/>
              </w:rPr>
            </w:pPr>
            <w:r>
              <w:rPr>
                <w:rFonts w:hint="eastAsia" w:cs="Arial" w:asciiTheme="minorEastAsia" w:hAnsiTheme="minorEastAsia"/>
                <w:sz w:val="24"/>
                <w:szCs w:val="24"/>
                <w:highlight w:val="none"/>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169"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其他要求</w:t>
            </w:r>
          </w:p>
        </w:tc>
        <w:tc>
          <w:tcPr>
            <w:tcW w:w="7015" w:type="dxa"/>
            <w:tcMar>
              <w:top w:w="0" w:type="dxa"/>
              <w:left w:w="108" w:type="dxa"/>
              <w:bottom w:w="0" w:type="dxa"/>
              <w:right w:w="108" w:type="dxa"/>
            </w:tcMar>
            <w:vAlign w:val="center"/>
          </w:tcPr>
          <w:p>
            <w:pPr>
              <w:widowControl/>
              <w:jc w:val="left"/>
              <w:rPr>
                <w:rFonts w:cs="Arial" w:asciiTheme="minorEastAsia" w:hAnsiTheme="minorEastAsia"/>
                <w:sz w:val="24"/>
                <w:szCs w:val="24"/>
                <w:highlight w:val="none"/>
              </w:rPr>
            </w:pPr>
            <w:r>
              <w:rPr>
                <w:rFonts w:hint="eastAsia" w:ascii="新宋体" w:hAnsi="新宋体" w:eastAsia="新宋体" w:cs="Arial"/>
                <w:sz w:val="24"/>
                <w:szCs w:val="24"/>
                <w:highlight w:val="none"/>
              </w:rPr>
              <w:t>产品具备工信部入网证及检测报告；</w:t>
            </w:r>
          </w:p>
        </w:tc>
      </w:tr>
    </w:tbl>
    <w:p>
      <w:pPr>
        <w:rPr>
          <w:sz w:val="24"/>
          <w:szCs w:val="24"/>
          <w:highlight w:val="none"/>
        </w:rPr>
      </w:pPr>
    </w:p>
    <w:p>
      <w:pPr>
        <w:jc w:val="left"/>
        <w:outlineLvl w:val="1"/>
        <w:rPr>
          <w:b/>
          <w:sz w:val="24"/>
          <w:szCs w:val="24"/>
          <w:highlight w:val="none"/>
        </w:rPr>
      </w:pPr>
      <w:r>
        <w:rPr>
          <w:rFonts w:hint="eastAsia"/>
          <w:b/>
          <w:sz w:val="24"/>
          <w:szCs w:val="24"/>
          <w:highlight w:val="none"/>
        </w:rPr>
        <w:t>10.</w:t>
      </w:r>
      <w:r>
        <w:rPr>
          <w:b/>
          <w:sz w:val="24"/>
          <w:szCs w:val="24"/>
          <w:highlight w:val="none"/>
        </w:rPr>
        <w:t>2</w:t>
      </w:r>
      <w:r>
        <w:rPr>
          <w:rFonts w:hint="eastAsia"/>
          <w:b/>
          <w:sz w:val="24"/>
          <w:szCs w:val="24"/>
          <w:highlight w:val="none"/>
        </w:rPr>
        <w:t>数据中心汇聚交换机</w:t>
      </w:r>
    </w:p>
    <w:tbl>
      <w:tblPr>
        <w:tblStyle w:val="41"/>
        <w:tblW w:w="9173"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7F7F7F" w:themeFill="background1" w:themeFillShade="80"/>
          </w:tcPr>
          <w:p>
            <w:pPr>
              <w:tabs>
                <w:tab w:val="left" w:pos="6195"/>
              </w:tabs>
              <w:spacing w:line="360" w:lineRule="auto"/>
              <w:jc w:val="center"/>
              <w:rPr>
                <w:rFonts w:ascii="新宋体" w:hAnsi="新宋体" w:eastAsia="新宋体"/>
                <w:b/>
                <w:sz w:val="24"/>
                <w:szCs w:val="24"/>
                <w:highlight w:val="none"/>
              </w:rPr>
            </w:pPr>
            <w:r>
              <w:rPr>
                <w:rFonts w:hint="eastAsia" w:ascii="新宋体" w:hAnsi="新宋体" w:eastAsia="新宋体"/>
                <w:b/>
                <w:sz w:val="24"/>
                <w:szCs w:val="24"/>
                <w:highlight w:val="none"/>
              </w:rPr>
              <w:t>功能及技术</w:t>
            </w:r>
          </w:p>
          <w:p>
            <w:pPr>
              <w:tabs>
                <w:tab w:val="left" w:pos="6195"/>
              </w:tabs>
              <w:spacing w:line="360" w:lineRule="auto"/>
              <w:jc w:val="center"/>
              <w:rPr>
                <w:rFonts w:ascii="新宋体" w:hAnsi="新宋体" w:eastAsia="新宋体"/>
                <w:b/>
                <w:sz w:val="24"/>
                <w:szCs w:val="24"/>
                <w:highlight w:val="none"/>
              </w:rPr>
            </w:pPr>
            <w:r>
              <w:rPr>
                <w:rFonts w:hint="eastAsia" w:ascii="新宋体" w:hAnsi="新宋体" w:eastAsia="新宋体"/>
                <w:b/>
                <w:sz w:val="24"/>
                <w:szCs w:val="24"/>
                <w:highlight w:val="none"/>
              </w:rPr>
              <w:t>指标</w:t>
            </w:r>
          </w:p>
        </w:tc>
        <w:tc>
          <w:tcPr>
            <w:tcW w:w="7677" w:type="dxa"/>
            <w:shd w:val="clear" w:color="auto" w:fill="7F7F7F" w:themeFill="background1" w:themeFillShade="80"/>
          </w:tcPr>
          <w:p>
            <w:pPr>
              <w:tabs>
                <w:tab w:val="left" w:pos="6195"/>
              </w:tabs>
              <w:spacing w:line="360" w:lineRule="auto"/>
              <w:jc w:val="center"/>
              <w:rPr>
                <w:rFonts w:ascii="新宋体" w:hAnsi="新宋体" w:eastAsia="新宋体"/>
                <w:b/>
                <w:sz w:val="24"/>
                <w:szCs w:val="24"/>
                <w:highlight w:val="none"/>
              </w:rPr>
            </w:pPr>
            <w:r>
              <w:rPr>
                <w:rFonts w:ascii="新宋体" w:hAnsi="新宋体" w:eastAsia="新宋体"/>
                <w:b/>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产品性能</w:t>
            </w:r>
          </w:p>
        </w:tc>
        <w:tc>
          <w:tcPr>
            <w:tcW w:w="7677" w:type="dxa"/>
          </w:tcPr>
          <w:p>
            <w:pPr>
              <w:rPr>
                <w:rFonts w:ascii="新宋体" w:hAnsi="新宋体" w:eastAsia="新宋体"/>
                <w:sz w:val="24"/>
                <w:szCs w:val="24"/>
                <w:highlight w:val="none"/>
              </w:rPr>
            </w:pPr>
            <w:r>
              <w:rPr>
                <w:rFonts w:hint="eastAsia" w:cs="Arial" w:asciiTheme="minorEastAsia" w:hAnsiTheme="minorEastAsia"/>
                <w:b/>
                <w:sz w:val="24"/>
                <w:szCs w:val="24"/>
                <w:highlight w:val="none"/>
              </w:rPr>
              <w:t>★</w:t>
            </w:r>
            <w:r>
              <w:rPr>
                <w:rFonts w:hint="eastAsia" w:ascii="新宋体" w:hAnsi="新宋体" w:eastAsia="新宋体"/>
                <w:sz w:val="24"/>
                <w:szCs w:val="24"/>
                <w:highlight w:val="none"/>
              </w:rPr>
              <w:t>交换容量≥2.5Tbps，包转发率≥1600Mpps（</w:t>
            </w:r>
            <w:r>
              <w:rPr>
                <w:rFonts w:hint="eastAsia" w:cs="Arial" w:asciiTheme="minorEastAsia" w:hAnsiTheme="minorEastAsia"/>
                <w:sz w:val="24"/>
                <w:szCs w:val="24"/>
                <w:highlight w:val="none"/>
              </w:rPr>
              <w:t>提供官网截图，</w:t>
            </w:r>
            <w:r>
              <w:rPr>
                <w:rFonts w:hint="eastAsia" w:ascii="新宋体" w:hAnsi="新宋体" w:eastAsia="新宋体"/>
                <w:sz w:val="24"/>
                <w:szCs w:val="24"/>
                <w:highlight w:val="none"/>
              </w:rPr>
              <w:t>官网有多个指标，以小指标为准）；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接口要求</w:t>
            </w:r>
          </w:p>
        </w:tc>
        <w:tc>
          <w:tcPr>
            <w:tcW w:w="7677" w:type="dxa"/>
          </w:tcPr>
          <w:p>
            <w:pPr>
              <w:rPr>
                <w:rFonts w:ascii="新宋体" w:hAnsi="新宋体" w:eastAsia="新宋体"/>
                <w:sz w:val="24"/>
                <w:szCs w:val="24"/>
                <w:highlight w:val="none"/>
              </w:rPr>
            </w:pPr>
            <w:r>
              <w:rPr>
                <w:rFonts w:hint="eastAsia" w:cs="Arial" w:asciiTheme="minorEastAsia" w:hAnsiTheme="minorEastAsia"/>
                <w:b/>
                <w:sz w:val="24"/>
                <w:szCs w:val="24"/>
                <w:highlight w:val="none"/>
              </w:rPr>
              <w:t>★</w:t>
            </w:r>
            <w:r>
              <w:rPr>
                <w:rFonts w:hint="eastAsia" w:ascii="新宋体" w:hAnsi="新宋体" w:eastAsia="新宋体"/>
                <w:sz w:val="24"/>
                <w:szCs w:val="24"/>
                <w:highlight w:val="none"/>
              </w:rPr>
              <w:t>万兆光接口≥48，40GB光接口≥4，万兆多模光模块≥</w:t>
            </w:r>
            <w:r>
              <w:rPr>
                <w:rFonts w:hint="eastAsia" w:ascii="新宋体" w:hAnsi="新宋体" w:eastAsia="新宋体"/>
                <w:sz w:val="24"/>
                <w:szCs w:val="24"/>
                <w:highlight w:val="none"/>
                <w:lang w:val="en-US" w:eastAsia="zh-CN"/>
              </w:rPr>
              <w:t>24</w:t>
            </w:r>
            <w:r>
              <w:rPr>
                <w:rFonts w:hint="eastAsia" w:ascii="新宋体" w:hAnsi="新宋体" w:eastAsia="新宋体"/>
                <w:sz w:val="24"/>
                <w:szCs w:val="24"/>
                <w:highlight w:val="none"/>
              </w:rPr>
              <w:t>，</w:t>
            </w:r>
            <w:r>
              <w:rPr>
                <w:rFonts w:ascii="新宋体" w:hAnsi="新宋体" w:eastAsia="新宋体"/>
                <w:sz w:val="24"/>
                <w:szCs w:val="24"/>
                <w:highlight w:val="none"/>
              </w:rPr>
              <w:t>40G</w:t>
            </w:r>
            <w:r>
              <w:rPr>
                <w:rFonts w:hint="eastAsia" w:ascii="新宋体" w:hAnsi="新宋体" w:eastAsia="新宋体"/>
                <w:sz w:val="24"/>
                <w:szCs w:val="24"/>
                <w:highlight w:val="none"/>
              </w:rPr>
              <w:t>多</w:t>
            </w:r>
            <w:r>
              <w:rPr>
                <w:rFonts w:ascii="新宋体" w:hAnsi="新宋体" w:eastAsia="新宋体"/>
                <w:sz w:val="24"/>
                <w:szCs w:val="24"/>
                <w:highlight w:val="none"/>
              </w:rPr>
              <w:t>模光模块≥</w:t>
            </w:r>
            <w:r>
              <w:rPr>
                <w:rFonts w:hint="eastAsia" w:ascii="新宋体" w:hAnsi="新宋体" w:eastAsia="新宋体"/>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电源/风扇</w:t>
            </w:r>
          </w:p>
        </w:tc>
        <w:tc>
          <w:tcPr>
            <w:tcW w:w="7677"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模块化双电源，模块化双风扇</w:t>
            </w:r>
            <w:r>
              <w:rPr>
                <w:rFonts w:hint="eastAsia" w:ascii="新宋体" w:hAnsi="新宋体" w:eastAsia="新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路由功能</w:t>
            </w:r>
          </w:p>
        </w:tc>
        <w:tc>
          <w:tcPr>
            <w:tcW w:w="7677"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支持IPv4静态路由、RIP V1/V2、OSPF、BGP，支持IPv6静态路由、RIPng、OSPFv3、BGP4+，支持IPv4和IPv6环境下的策略路由，支持IPv6手动隧道、6to4隧道和ISATAP隧道。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可靠性</w:t>
            </w:r>
          </w:p>
        </w:tc>
        <w:tc>
          <w:tcPr>
            <w:tcW w:w="7677"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支持VRRPv2/v3（虚拟路由冗余协议)；支持RRPP（快速环网保护协议），环网故障恢复时间不超过200ms。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center"/>
          </w:tcPr>
          <w:p>
            <w:pPr>
              <w:tabs>
                <w:tab w:val="left" w:pos="420"/>
              </w:tabs>
              <w:spacing w:before="40" w:after="40"/>
              <w:ind w:left="70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售后服务</w:t>
            </w:r>
          </w:p>
        </w:tc>
        <w:tc>
          <w:tcPr>
            <w:tcW w:w="7677" w:type="dxa"/>
            <w:vAlign w:val="center"/>
          </w:tcPr>
          <w:p>
            <w:pPr>
              <w:tabs>
                <w:tab w:val="left" w:pos="420"/>
              </w:tabs>
              <w:spacing w:before="40" w:after="40"/>
              <w:rPr>
                <w:rFonts w:cs="Arial" w:asciiTheme="minorEastAsia" w:hAnsiTheme="minorEastAsia"/>
                <w:sz w:val="24"/>
                <w:szCs w:val="24"/>
                <w:highlight w:val="none"/>
              </w:rPr>
            </w:pPr>
            <w:r>
              <w:rPr>
                <w:rFonts w:hint="eastAsia" w:cs="Arial" w:asciiTheme="minorEastAsia" w:hAnsiTheme="minorEastAsia"/>
                <w:sz w:val="24"/>
                <w:szCs w:val="24"/>
                <w:highlight w:val="none"/>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center"/>
          </w:tcPr>
          <w:p>
            <w:pPr>
              <w:tabs>
                <w:tab w:val="left" w:pos="420"/>
              </w:tabs>
              <w:spacing w:before="40" w:after="40"/>
              <w:ind w:left="70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其他要求</w:t>
            </w:r>
          </w:p>
        </w:tc>
        <w:tc>
          <w:tcPr>
            <w:tcW w:w="7677" w:type="dxa"/>
            <w:vAlign w:val="center"/>
          </w:tcPr>
          <w:p>
            <w:pPr>
              <w:widowControl/>
              <w:jc w:val="left"/>
              <w:rPr>
                <w:rFonts w:cs="Arial" w:asciiTheme="minorEastAsia" w:hAnsiTheme="minorEastAsia"/>
                <w:sz w:val="24"/>
                <w:szCs w:val="24"/>
                <w:highlight w:val="none"/>
              </w:rPr>
            </w:pPr>
            <w:r>
              <w:rPr>
                <w:rFonts w:hint="eastAsia" w:ascii="新宋体" w:hAnsi="新宋体" w:eastAsia="新宋体" w:cs="Arial"/>
                <w:sz w:val="24"/>
                <w:szCs w:val="24"/>
                <w:highlight w:val="none"/>
              </w:rPr>
              <w:t>产品具备工信部入网证及检测报告；</w:t>
            </w:r>
          </w:p>
        </w:tc>
      </w:tr>
    </w:tbl>
    <w:p>
      <w:pPr>
        <w:jc w:val="left"/>
        <w:outlineLvl w:val="1"/>
        <w:rPr>
          <w:b/>
          <w:sz w:val="24"/>
          <w:szCs w:val="24"/>
          <w:highlight w:val="none"/>
        </w:rPr>
      </w:pPr>
      <w:r>
        <w:rPr>
          <w:rFonts w:hint="eastAsia"/>
          <w:b/>
          <w:sz w:val="24"/>
          <w:szCs w:val="24"/>
          <w:highlight w:val="none"/>
        </w:rPr>
        <w:t>10.</w:t>
      </w:r>
      <w:r>
        <w:rPr>
          <w:b/>
          <w:sz w:val="24"/>
          <w:szCs w:val="24"/>
          <w:highlight w:val="none"/>
        </w:rPr>
        <w:t>3楼宇汇聚交换机</w:t>
      </w:r>
    </w:p>
    <w:tbl>
      <w:tblPr>
        <w:tblStyle w:val="41"/>
        <w:tblW w:w="918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7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7F7F7F" w:themeFill="background1" w:themeFillShade="80"/>
          </w:tcPr>
          <w:p>
            <w:pPr>
              <w:tabs>
                <w:tab w:val="left" w:pos="6195"/>
              </w:tabs>
              <w:spacing w:line="360" w:lineRule="auto"/>
              <w:jc w:val="center"/>
              <w:rPr>
                <w:rFonts w:ascii="新宋体" w:hAnsi="新宋体" w:eastAsia="新宋体"/>
                <w:b/>
                <w:sz w:val="24"/>
                <w:szCs w:val="24"/>
                <w:highlight w:val="none"/>
              </w:rPr>
            </w:pPr>
            <w:r>
              <w:rPr>
                <w:rFonts w:hint="eastAsia" w:ascii="新宋体" w:hAnsi="新宋体" w:eastAsia="新宋体"/>
                <w:b/>
                <w:sz w:val="24"/>
                <w:szCs w:val="24"/>
                <w:highlight w:val="none"/>
              </w:rPr>
              <w:t>功能及技术</w:t>
            </w:r>
          </w:p>
          <w:p>
            <w:pPr>
              <w:tabs>
                <w:tab w:val="left" w:pos="6195"/>
              </w:tabs>
              <w:spacing w:line="360" w:lineRule="auto"/>
              <w:jc w:val="center"/>
              <w:rPr>
                <w:rFonts w:ascii="新宋体" w:hAnsi="新宋体" w:eastAsia="新宋体"/>
                <w:b/>
                <w:sz w:val="24"/>
                <w:szCs w:val="24"/>
                <w:highlight w:val="none"/>
              </w:rPr>
            </w:pPr>
            <w:r>
              <w:rPr>
                <w:rFonts w:hint="eastAsia" w:ascii="新宋体" w:hAnsi="新宋体" w:eastAsia="新宋体"/>
                <w:b/>
                <w:sz w:val="24"/>
                <w:szCs w:val="24"/>
                <w:highlight w:val="none"/>
              </w:rPr>
              <w:t>指标</w:t>
            </w:r>
          </w:p>
        </w:tc>
        <w:tc>
          <w:tcPr>
            <w:tcW w:w="7689" w:type="dxa"/>
            <w:shd w:val="clear" w:color="auto" w:fill="7F7F7F" w:themeFill="background1" w:themeFillShade="80"/>
          </w:tcPr>
          <w:p>
            <w:pPr>
              <w:tabs>
                <w:tab w:val="left" w:pos="6195"/>
              </w:tabs>
              <w:spacing w:line="360" w:lineRule="auto"/>
              <w:jc w:val="center"/>
              <w:rPr>
                <w:rFonts w:ascii="新宋体" w:hAnsi="新宋体" w:eastAsia="新宋体"/>
                <w:b/>
                <w:sz w:val="24"/>
                <w:szCs w:val="24"/>
                <w:highlight w:val="none"/>
              </w:rPr>
            </w:pPr>
            <w:r>
              <w:rPr>
                <w:rFonts w:ascii="新宋体" w:hAnsi="新宋体" w:eastAsia="新宋体"/>
                <w:b/>
                <w:sz w:val="24"/>
                <w:szCs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产品性能</w:t>
            </w:r>
          </w:p>
        </w:tc>
        <w:tc>
          <w:tcPr>
            <w:tcW w:w="7689" w:type="dxa"/>
          </w:tcPr>
          <w:p>
            <w:pPr>
              <w:rPr>
                <w:rFonts w:ascii="新宋体" w:hAnsi="新宋体" w:eastAsia="新宋体"/>
                <w:sz w:val="24"/>
                <w:szCs w:val="24"/>
                <w:highlight w:val="none"/>
              </w:rPr>
            </w:pPr>
            <w:r>
              <w:rPr>
                <w:rFonts w:hint="eastAsia" w:cs="Arial" w:asciiTheme="minorEastAsia" w:hAnsiTheme="minorEastAsia"/>
                <w:b/>
                <w:sz w:val="24"/>
                <w:szCs w:val="24"/>
                <w:highlight w:val="none"/>
              </w:rPr>
              <w:t>★</w:t>
            </w:r>
            <w:r>
              <w:rPr>
                <w:rFonts w:hint="eastAsia" w:ascii="新宋体" w:hAnsi="新宋体" w:eastAsia="新宋体"/>
                <w:sz w:val="24"/>
                <w:szCs w:val="24"/>
                <w:highlight w:val="none"/>
              </w:rPr>
              <w:t>交换容量≥2.50Tbps，包转发率≥560Mpps（官网有多个指标，以小指标为准）；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接口要求</w:t>
            </w:r>
          </w:p>
        </w:tc>
        <w:tc>
          <w:tcPr>
            <w:tcW w:w="7689" w:type="dxa"/>
          </w:tcPr>
          <w:p>
            <w:pPr>
              <w:rPr>
                <w:rFonts w:hint="eastAsia" w:ascii="新宋体" w:hAnsi="新宋体" w:eastAsia="宋体"/>
                <w:sz w:val="24"/>
                <w:szCs w:val="24"/>
                <w:highlight w:val="none"/>
                <w:lang w:eastAsia="zh-CN"/>
              </w:rPr>
            </w:pPr>
            <w:r>
              <w:rPr>
                <w:rFonts w:hint="eastAsia" w:cs="Arial" w:asciiTheme="minorEastAsia" w:hAnsiTheme="minorEastAsia"/>
                <w:b/>
                <w:sz w:val="24"/>
                <w:szCs w:val="24"/>
                <w:highlight w:val="none"/>
              </w:rPr>
              <w:t>★</w:t>
            </w:r>
            <w:r>
              <w:rPr>
                <w:rFonts w:hint="eastAsia" w:ascii="新宋体" w:hAnsi="新宋体" w:eastAsia="新宋体"/>
                <w:sz w:val="24"/>
                <w:szCs w:val="24"/>
                <w:highlight w:val="none"/>
              </w:rPr>
              <w:t>万兆光接口≥</w:t>
            </w:r>
            <w:r>
              <w:rPr>
                <w:rFonts w:ascii="新宋体" w:hAnsi="新宋体" w:eastAsia="新宋体"/>
                <w:sz w:val="24"/>
                <w:szCs w:val="24"/>
                <w:highlight w:val="none"/>
              </w:rPr>
              <w:t>2</w:t>
            </w:r>
            <w:r>
              <w:rPr>
                <w:rFonts w:hint="eastAsia" w:ascii="新宋体" w:hAnsi="新宋体" w:eastAsia="新宋体"/>
                <w:sz w:val="24"/>
                <w:szCs w:val="24"/>
                <w:highlight w:val="none"/>
              </w:rPr>
              <w:t>4，40GB光接口≥</w:t>
            </w:r>
            <w:r>
              <w:rPr>
                <w:rFonts w:hint="eastAsia" w:ascii="新宋体" w:hAnsi="新宋体" w:eastAsia="新宋体"/>
                <w:sz w:val="24"/>
                <w:szCs w:val="24"/>
                <w:highlight w:val="none"/>
                <w:lang w:val="en-US" w:eastAsia="zh-CN"/>
              </w:rPr>
              <w:t>4，</w:t>
            </w:r>
            <w:r>
              <w:rPr>
                <w:rFonts w:ascii="宋体" w:hAnsi="宋体" w:eastAsia="宋体" w:cs="宋体"/>
                <w:sz w:val="24"/>
                <w:szCs w:val="24"/>
                <w:highlight w:val="none"/>
              </w:rPr>
              <w:t>40G单模光模块≥</w:t>
            </w:r>
            <w:r>
              <w:rPr>
                <w:rFonts w:hint="eastAsia" w:ascii="宋体" w:hAnsi="宋体" w:cs="宋体"/>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电源/风扇</w:t>
            </w:r>
          </w:p>
        </w:tc>
        <w:tc>
          <w:tcPr>
            <w:tcW w:w="7689"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模块化双电源，模块化双风扇</w:t>
            </w:r>
            <w:r>
              <w:rPr>
                <w:rFonts w:hint="eastAsia" w:ascii="新宋体" w:hAnsi="新宋体" w:eastAsia="新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堆叠</w:t>
            </w:r>
          </w:p>
        </w:tc>
        <w:tc>
          <w:tcPr>
            <w:tcW w:w="7689" w:type="dxa"/>
          </w:tcPr>
          <w:p>
            <w:pPr>
              <w:rPr>
                <w:rFonts w:ascii="新宋体" w:hAnsi="新宋体" w:eastAsia="新宋体" w:cs="Arial"/>
                <w:sz w:val="24"/>
                <w:szCs w:val="24"/>
                <w:highlight w:val="none"/>
              </w:rPr>
            </w:pPr>
            <w:r>
              <w:rPr>
                <w:rFonts w:hint="eastAsia" w:ascii="新宋体" w:hAnsi="新宋体" w:eastAsia="新宋体" w:cs="Arial"/>
                <w:sz w:val="24"/>
                <w:szCs w:val="24"/>
                <w:highlight w:val="none"/>
              </w:rPr>
              <w:t>最大堆叠带宽≥320G，支持通过标准以太端口进行堆叠；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sz w:val="24"/>
                <w:szCs w:val="24"/>
                <w:highlight w:val="none"/>
              </w:rPr>
              <w:t>路由功能</w:t>
            </w:r>
          </w:p>
        </w:tc>
        <w:tc>
          <w:tcPr>
            <w:tcW w:w="7689"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支持IPv4静态路由、RIP V1/V2、OSPF、BGP，支持IPv6静态路由、RIPng、OSPFv3、BGP4+，支持IPv4和IPv6环境下的策略路由，支持IPv6手动隧道、6to4隧道和ISATAP隧道。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可靠性</w:t>
            </w:r>
          </w:p>
        </w:tc>
        <w:tc>
          <w:tcPr>
            <w:tcW w:w="7689" w:type="dxa"/>
          </w:tcPr>
          <w:p>
            <w:pPr>
              <w:rPr>
                <w:rFonts w:ascii="新宋体" w:hAnsi="新宋体" w:eastAsia="新宋体"/>
                <w:sz w:val="24"/>
                <w:szCs w:val="24"/>
                <w:highlight w:val="none"/>
              </w:rPr>
            </w:pPr>
            <w:r>
              <w:rPr>
                <w:rFonts w:hint="eastAsia" w:ascii="新宋体" w:hAnsi="新宋体" w:eastAsia="新宋体" w:cs="宋体"/>
                <w:sz w:val="24"/>
                <w:szCs w:val="24"/>
                <w:highlight w:val="none"/>
              </w:rPr>
              <w:t>支持VRRPv2/v3（虚拟路由冗余协议)；支持RRPP（快速环网保护协议），环网故障恢复时间不超过200ms。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center"/>
          </w:tcPr>
          <w:p>
            <w:pPr>
              <w:tabs>
                <w:tab w:val="left" w:pos="420"/>
              </w:tabs>
              <w:spacing w:before="40" w:after="40"/>
              <w:ind w:left="70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售后服务</w:t>
            </w:r>
          </w:p>
        </w:tc>
        <w:tc>
          <w:tcPr>
            <w:tcW w:w="7689" w:type="dxa"/>
            <w:vAlign w:val="center"/>
          </w:tcPr>
          <w:p>
            <w:pPr>
              <w:tabs>
                <w:tab w:val="left" w:pos="420"/>
              </w:tabs>
              <w:spacing w:before="40" w:after="40"/>
              <w:rPr>
                <w:rFonts w:cs="Arial" w:asciiTheme="minorEastAsia" w:hAnsiTheme="minorEastAsia"/>
                <w:sz w:val="24"/>
                <w:szCs w:val="24"/>
                <w:highlight w:val="none"/>
              </w:rPr>
            </w:pPr>
            <w:r>
              <w:rPr>
                <w:rFonts w:hint="eastAsia" w:cs="Arial" w:asciiTheme="minorEastAsia" w:hAnsiTheme="minorEastAsia"/>
                <w:sz w:val="24"/>
                <w:szCs w:val="24"/>
                <w:highlight w:val="none"/>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center"/>
          </w:tcPr>
          <w:p>
            <w:pPr>
              <w:tabs>
                <w:tab w:val="left" w:pos="420"/>
              </w:tabs>
              <w:spacing w:before="40" w:after="40"/>
              <w:ind w:left="704" w:hanging="284"/>
              <w:rPr>
                <w:rFonts w:cs="Arial" w:asciiTheme="minorEastAsia" w:hAnsiTheme="minorEastAsia"/>
                <w:sz w:val="24"/>
                <w:szCs w:val="24"/>
                <w:highlight w:val="none"/>
              </w:rPr>
            </w:pPr>
            <w:r>
              <w:rPr>
                <w:rFonts w:hint="eastAsia" w:cs="Arial" w:asciiTheme="minorEastAsia" w:hAnsiTheme="minorEastAsia"/>
                <w:sz w:val="24"/>
                <w:szCs w:val="24"/>
                <w:highlight w:val="none"/>
              </w:rPr>
              <w:t>其他要求</w:t>
            </w:r>
          </w:p>
        </w:tc>
        <w:tc>
          <w:tcPr>
            <w:tcW w:w="7689" w:type="dxa"/>
            <w:vAlign w:val="center"/>
          </w:tcPr>
          <w:p>
            <w:pPr>
              <w:widowControl/>
              <w:jc w:val="left"/>
              <w:rPr>
                <w:rFonts w:cs="Arial" w:asciiTheme="minorEastAsia" w:hAnsiTheme="minorEastAsia"/>
                <w:sz w:val="24"/>
                <w:szCs w:val="24"/>
                <w:highlight w:val="none"/>
              </w:rPr>
            </w:pPr>
            <w:r>
              <w:rPr>
                <w:rFonts w:hint="eastAsia" w:ascii="新宋体" w:hAnsi="新宋体" w:eastAsia="新宋体" w:cs="Arial"/>
                <w:sz w:val="24"/>
                <w:szCs w:val="24"/>
                <w:highlight w:val="none"/>
              </w:rPr>
              <w:t>产品具备工信部入网证及检测报告；</w:t>
            </w:r>
          </w:p>
        </w:tc>
      </w:tr>
    </w:tbl>
    <w:p>
      <w:pPr>
        <w:pStyle w:val="2"/>
        <w:rPr>
          <w:highlight w:val="none"/>
        </w:rPr>
      </w:pPr>
    </w:p>
    <w:p>
      <w:pPr>
        <w:jc w:val="left"/>
        <w:outlineLvl w:val="1"/>
        <w:rPr>
          <w:b/>
          <w:sz w:val="24"/>
          <w:szCs w:val="24"/>
        </w:rPr>
      </w:pPr>
      <w:r>
        <w:rPr>
          <w:rFonts w:hint="eastAsia"/>
          <w:b/>
          <w:sz w:val="24"/>
          <w:szCs w:val="24"/>
          <w:highlight w:val="none"/>
        </w:rPr>
        <w:t>10.4  24端口多速率POE交</w:t>
      </w:r>
      <w:r>
        <w:rPr>
          <w:rFonts w:hint="eastAsia"/>
          <w:b/>
          <w:sz w:val="24"/>
          <w:szCs w:val="24"/>
        </w:rPr>
        <w:t>换机</w:t>
      </w:r>
    </w:p>
    <w:tbl>
      <w:tblPr>
        <w:tblStyle w:val="40"/>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0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2809" w:type="dxa"/>
            <w:shd w:val="clear" w:color="auto" w:fill="A5A5A5" w:themeFill="background1" w:themeFillShade="A6"/>
            <w:tcMar>
              <w:top w:w="0" w:type="dxa"/>
              <w:left w:w="108" w:type="dxa"/>
              <w:bottom w:w="0" w:type="dxa"/>
              <w:right w:w="108" w:type="dxa"/>
            </w:tcMar>
          </w:tcPr>
          <w:p>
            <w:pPr>
              <w:tabs>
                <w:tab w:val="left" w:pos="6195"/>
              </w:tabs>
              <w:spacing w:line="360" w:lineRule="auto"/>
              <w:ind w:firstLine="422"/>
              <w:jc w:val="center"/>
              <w:rPr>
                <w:rFonts w:ascii="新宋体" w:hAnsi="新宋体" w:eastAsia="新宋体"/>
                <w:b/>
                <w:sz w:val="24"/>
                <w:szCs w:val="24"/>
              </w:rPr>
            </w:pPr>
            <w:r>
              <w:rPr>
                <w:rFonts w:hint="eastAsia" w:ascii="新宋体" w:hAnsi="新宋体" w:eastAsia="新宋体"/>
                <w:b/>
                <w:sz w:val="24"/>
                <w:szCs w:val="24"/>
              </w:rPr>
              <w:t>功能及技术指标</w:t>
            </w:r>
          </w:p>
        </w:tc>
        <w:tc>
          <w:tcPr>
            <w:tcW w:w="6312" w:type="dxa"/>
            <w:shd w:val="clear" w:color="auto" w:fill="A5A5A5" w:themeFill="background1" w:themeFillShade="A6"/>
            <w:tcMar>
              <w:top w:w="0" w:type="dxa"/>
              <w:left w:w="108" w:type="dxa"/>
              <w:bottom w:w="0" w:type="dxa"/>
              <w:right w:w="108" w:type="dxa"/>
            </w:tcMar>
          </w:tcPr>
          <w:p>
            <w:pPr>
              <w:tabs>
                <w:tab w:val="left" w:pos="6195"/>
              </w:tabs>
              <w:spacing w:line="360" w:lineRule="auto"/>
              <w:ind w:firstLine="422"/>
              <w:jc w:val="center"/>
              <w:rPr>
                <w:rFonts w:ascii="新宋体" w:hAnsi="新宋体" w:eastAsia="新宋体"/>
                <w:b/>
                <w:sz w:val="24"/>
                <w:szCs w:val="24"/>
              </w:rPr>
            </w:pPr>
            <w:r>
              <w:rPr>
                <w:rFonts w:hint="eastAsia" w:ascii="新宋体" w:hAnsi="新宋体" w:eastAsia="新宋体"/>
                <w:b/>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产品</w:t>
            </w:r>
            <w:r>
              <w:rPr>
                <w:rFonts w:ascii="新宋体" w:hAnsi="新宋体" w:eastAsia="新宋体" w:cs="宋体"/>
                <w:sz w:val="24"/>
                <w:szCs w:val="24"/>
              </w:rPr>
              <w:t>性能</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Arial"/>
                <w:sz w:val="24"/>
                <w:szCs w:val="24"/>
              </w:rPr>
              <w:t>交换容量≥</w:t>
            </w:r>
            <w:r>
              <w:rPr>
                <w:rFonts w:hint="eastAsia" w:ascii="新宋体" w:hAnsi="新宋体" w:eastAsia="新宋体" w:cs="宋体"/>
                <w:sz w:val="24"/>
                <w:szCs w:val="24"/>
              </w:rPr>
              <w:t>2.5Tbps</w:t>
            </w:r>
            <w:r>
              <w:rPr>
                <w:rFonts w:hint="eastAsia" w:ascii="新宋体" w:hAnsi="新宋体" w:eastAsia="新宋体" w:cs="Arial"/>
                <w:sz w:val="24"/>
                <w:szCs w:val="24"/>
              </w:rPr>
              <w:t>，包转发率≥3</w:t>
            </w:r>
            <w:r>
              <w:rPr>
                <w:rFonts w:ascii="新宋体" w:hAnsi="新宋体" w:eastAsia="新宋体" w:cs="Arial"/>
                <w:sz w:val="24"/>
                <w:szCs w:val="24"/>
              </w:rPr>
              <w:t>0</w:t>
            </w:r>
            <w:r>
              <w:rPr>
                <w:rFonts w:hint="eastAsia" w:ascii="新宋体" w:hAnsi="新宋体" w:eastAsia="新宋体" w:cs="Arial"/>
                <w:sz w:val="24"/>
                <w:szCs w:val="24"/>
              </w:rPr>
              <w:t>0Mpps（官网有多个指标，以小指标为准）；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tcBorders>
              <w:top w:val="single" w:color="auto" w:sz="4" w:space="0"/>
              <w:left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电源</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宋体"/>
                <w:sz w:val="24"/>
                <w:szCs w:val="24"/>
              </w:rPr>
              <w:t>模块化双电源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接口要求</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rPr>
              <w:t>★</w:t>
            </w:r>
            <w:r>
              <w:rPr>
                <w:rFonts w:ascii="新宋体" w:hAnsi="新宋体" w:eastAsia="新宋体" w:cs="宋体"/>
                <w:sz w:val="24"/>
                <w:szCs w:val="24"/>
              </w:rPr>
              <w:t>1G/2.5G/5GBase-T</w:t>
            </w:r>
            <w:r>
              <w:rPr>
                <w:rFonts w:hint="eastAsia" w:ascii="新宋体" w:hAnsi="新宋体" w:eastAsia="新宋体" w:cs="宋体"/>
                <w:sz w:val="24"/>
                <w:szCs w:val="24"/>
              </w:rPr>
              <w:t>端口（支持UPOE供电）≥24，万兆</w:t>
            </w:r>
            <w:r>
              <w:rPr>
                <w:rFonts w:ascii="新宋体" w:hAnsi="新宋体" w:eastAsia="新宋体" w:cs="宋体"/>
                <w:sz w:val="24"/>
                <w:szCs w:val="24"/>
              </w:rPr>
              <w:t>光口≥</w:t>
            </w:r>
            <w:r>
              <w:rPr>
                <w:rFonts w:hint="eastAsia" w:ascii="新宋体" w:hAnsi="新宋体" w:eastAsia="新宋体" w:cs="宋体"/>
                <w:sz w:val="24"/>
                <w:szCs w:val="24"/>
              </w:rPr>
              <w:t>4，720</w:t>
            </w:r>
            <w:r>
              <w:rPr>
                <w:rFonts w:ascii="新宋体" w:hAnsi="新宋体" w:eastAsia="新宋体" w:cs="宋体"/>
                <w:sz w:val="24"/>
                <w:szCs w:val="24"/>
              </w:rPr>
              <w:t>W</w:t>
            </w:r>
            <w:r>
              <w:rPr>
                <w:rFonts w:hint="eastAsia" w:ascii="新宋体" w:hAnsi="新宋体" w:eastAsia="新宋体" w:cs="宋体"/>
                <w:sz w:val="24"/>
                <w:szCs w:val="24"/>
              </w:rPr>
              <w:t>交流</w:t>
            </w:r>
            <w:r>
              <w:rPr>
                <w:rFonts w:ascii="新宋体" w:hAnsi="新宋体" w:eastAsia="新宋体" w:cs="宋体"/>
                <w:sz w:val="24"/>
                <w:szCs w:val="24"/>
              </w:rPr>
              <w:t>电源≥2</w:t>
            </w:r>
            <w:r>
              <w:rPr>
                <w:rFonts w:hint="eastAsia" w:ascii="新宋体" w:hAnsi="新宋体" w:eastAsia="新宋体" w:cs="宋体"/>
                <w:sz w:val="24"/>
                <w:szCs w:val="24"/>
              </w:rPr>
              <w:t>，</w:t>
            </w:r>
            <w:r>
              <w:rPr>
                <w:rFonts w:ascii="新宋体" w:hAnsi="新宋体" w:eastAsia="新宋体" w:cs="宋体"/>
                <w:sz w:val="24"/>
                <w:szCs w:val="24"/>
              </w:rPr>
              <w:t>万兆单模光模块≥2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VLAN特性</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支持基于端口的VLAN，支持基于协议的VLAN；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最大VLAN数(不是VLAN ID)</w:t>
            </w:r>
            <w:r>
              <w:rPr>
                <w:rFonts w:hint="eastAsia" w:ascii="新宋体" w:hAnsi="新宋体" w:eastAsia="新宋体" w:cs="Arial"/>
                <w:sz w:val="24"/>
                <w:szCs w:val="24"/>
              </w:rPr>
              <w:t xml:space="preserve"> ≥</w:t>
            </w:r>
            <w:r>
              <w:rPr>
                <w:rFonts w:hint="eastAsia" w:ascii="新宋体" w:hAnsi="新宋体" w:eastAsia="新宋体" w:cs="宋体"/>
                <w:sz w:val="24"/>
                <w:szCs w:val="24"/>
              </w:rPr>
              <w:t>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链路聚合</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支持最多16个端口聚合；支持最多128个聚合组；支持LACP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ind w:left="27" w:leftChars="13"/>
              <w:rPr>
                <w:rFonts w:ascii="新宋体" w:hAnsi="新宋体" w:eastAsia="新宋体" w:cs="宋体"/>
                <w:sz w:val="24"/>
                <w:szCs w:val="24"/>
              </w:rPr>
            </w:pPr>
            <w:r>
              <w:rPr>
                <w:rFonts w:hint="eastAsia" w:ascii="新宋体" w:hAnsi="新宋体" w:eastAsia="新宋体" w:cs="宋体"/>
                <w:sz w:val="24"/>
                <w:szCs w:val="24"/>
              </w:rPr>
              <w:t>路由协议</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支持IPv4静态路由、RIP V1/V2、OSPF、BGP、ISIS、支持IPV6静态路由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管理和维护</w:t>
            </w:r>
          </w:p>
        </w:tc>
        <w:tc>
          <w:tcPr>
            <w:tcW w:w="631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支持SNMP V1/V2/V3、RMON、SSHV2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2809"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31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809"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6312"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809"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312" w:type="dxa"/>
            <w:tcMar>
              <w:top w:w="0" w:type="dxa"/>
              <w:left w:w="108" w:type="dxa"/>
              <w:bottom w:w="0" w:type="dxa"/>
              <w:right w:w="108" w:type="dxa"/>
            </w:tcMar>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r>
        <w:rPr>
          <w:rFonts w:hint="eastAsia"/>
          <w:b/>
          <w:sz w:val="24"/>
          <w:szCs w:val="24"/>
        </w:rPr>
        <w:t>10.5  2</w:t>
      </w:r>
      <w:r>
        <w:rPr>
          <w:b/>
          <w:sz w:val="24"/>
          <w:szCs w:val="24"/>
        </w:rPr>
        <w:t>4口POE交换机</w:t>
      </w:r>
    </w:p>
    <w:tbl>
      <w:tblPr>
        <w:tblStyle w:val="40"/>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3"/>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1983"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功能及技术指标</w:t>
            </w:r>
          </w:p>
        </w:tc>
        <w:tc>
          <w:tcPr>
            <w:tcW w:w="6984"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产品</w:t>
            </w:r>
            <w:r>
              <w:rPr>
                <w:rFonts w:ascii="新宋体" w:hAnsi="新宋体" w:eastAsia="新宋体" w:cs="宋体"/>
                <w:sz w:val="24"/>
                <w:szCs w:val="24"/>
              </w:rPr>
              <w:t>性能</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Arial"/>
                <w:sz w:val="24"/>
                <w:szCs w:val="24"/>
              </w:rPr>
              <w:t>交换容量≥</w:t>
            </w:r>
            <w:r>
              <w:rPr>
                <w:rFonts w:ascii="新宋体" w:hAnsi="新宋体" w:eastAsia="新宋体" w:cs="宋体"/>
                <w:sz w:val="24"/>
                <w:szCs w:val="24"/>
              </w:rPr>
              <w:t>330G</w:t>
            </w:r>
            <w:r>
              <w:rPr>
                <w:rFonts w:hint="eastAsia" w:ascii="新宋体" w:hAnsi="新宋体" w:eastAsia="新宋体" w:cs="宋体"/>
                <w:sz w:val="24"/>
                <w:szCs w:val="24"/>
              </w:rPr>
              <w:t>bps</w:t>
            </w:r>
            <w:r>
              <w:rPr>
                <w:rFonts w:hint="eastAsia" w:ascii="新宋体" w:hAnsi="新宋体" w:eastAsia="新宋体" w:cs="Arial"/>
                <w:sz w:val="24"/>
                <w:szCs w:val="24"/>
              </w:rPr>
              <w:t>，包转发率≥10</w:t>
            </w:r>
            <w:r>
              <w:rPr>
                <w:rFonts w:ascii="新宋体" w:hAnsi="新宋体" w:eastAsia="新宋体" w:cs="Arial"/>
                <w:sz w:val="24"/>
                <w:szCs w:val="24"/>
              </w:rPr>
              <w:t>0</w:t>
            </w:r>
            <w:r>
              <w:rPr>
                <w:rFonts w:hint="eastAsia" w:ascii="新宋体" w:hAnsi="新宋体" w:eastAsia="新宋体" w:cs="Arial"/>
                <w:sz w:val="24"/>
                <w:szCs w:val="24"/>
              </w:rPr>
              <w:t>Mpps（官网有多个指标，以小指标为准）；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接口要求</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ascii="新宋体" w:hAnsi="新宋体" w:eastAsia="新宋体" w:cs="宋体"/>
                <w:sz w:val="24"/>
                <w:szCs w:val="24"/>
              </w:rPr>
              <w:t>千兆电口(要求均支持</w:t>
            </w:r>
            <w:r>
              <w:rPr>
                <w:rFonts w:hint="eastAsia" w:ascii="新宋体" w:hAnsi="新宋体" w:eastAsia="新宋体" w:cs="宋体"/>
                <w:sz w:val="24"/>
                <w:szCs w:val="24"/>
              </w:rPr>
              <w:t>P</w:t>
            </w:r>
            <w:r>
              <w:rPr>
                <w:rFonts w:ascii="新宋体" w:hAnsi="新宋体" w:eastAsia="新宋体" w:cs="宋体"/>
                <w:sz w:val="24"/>
                <w:szCs w:val="24"/>
              </w:rPr>
              <w:t>OE</w:t>
            </w:r>
            <w:r>
              <w:rPr>
                <w:rFonts w:hint="eastAsia" w:ascii="新宋体" w:hAnsi="新宋体" w:eastAsia="新宋体" w:cs="宋体"/>
                <w:sz w:val="24"/>
                <w:szCs w:val="24"/>
              </w:rPr>
              <w:t>+供电</w:t>
            </w:r>
            <w:r>
              <w:rPr>
                <w:rFonts w:ascii="新宋体" w:hAnsi="新宋体" w:eastAsia="新宋体" w:cs="宋体"/>
                <w:sz w:val="24"/>
                <w:szCs w:val="24"/>
              </w:rPr>
              <w:t>)</w:t>
            </w:r>
            <w:r>
              <w:rPr>
                <w:rFonts w:hint="eastAsia" w:ascii="新宋体" w:hAnsi="新宋体" w:eastAsia="新宋体" w:cs="宋体"/>
                <w:sz w:val="24"/>
                <w:szCs w:val="24"/>
              </w:rPr>
              <w:t>≥24，万兆</w:t>
            </w:r>
            <w:r>
              <w:rPr>
                <w:rFonts w:ascii="新宋体" w:hAnsi="新宋体" w:eastAsia="新宋体" w:cs="宋体"/>
                <w:sz w:val="24"/>
                <w:szCs w:val="24"/>
              </w:rPr>
              <w:t>光口≥</w:t>
            </w:r>
            <w:r>
              <w:rPr>
                <w:rFonts w:hint="eastAsia" w:ascii="新宋体" w:hAnsi="新宋体" w:eastAsia="新宋体" w:cs="宋体"/>
                <w:sz w:val="24"/>
                <w:szCs w:val="24"/>
              </w:rPr>
              <w:t>4，整机P</w:t>
            </w:r>
            <w:r>
              <w:rPr>
                <w:rFonts w:ascii="新宋体" w:hAnsi="新宋体" w:eastAsia="新宋体" w:cs="宋体"/>
                <w:sz w:val="24"/>
                <w:szCs w:val="24"/>
              </w:rPr>
              <w:t>OE</w:t>
            </w:r>
            <w:r>
              <w:rPr>
                <w:rFonts w:hint="eastAsia" w:ascii="新宋体" w:hAnsi="新宋体" w:eastAsia="新宋体" w:cs="宋体"/>
                <w:sz w:val="24"/>
                <w:szCs w:val="24"/>
              </w:rPr>
              <w:t>输出功率≥3</w:t>
            </w:r>
            <w:r>
              <w:rPr>
                <w:rFonts w:ascii="新宋体" w:hAnsi="新宋体" w:eastAsia="新宋体" w:cs="宋体"/>
                <w:sz w:val="24"/>
                <w:szCs w:val="24"/>
              </w:rPr>
              <w:t xml:space="preserve">70W </w:t>
            </w:r>
            <w:r>
              <w:rPr>
                <w:rFonts w:hint="eastAsia" w:ascii="新宋体" w:hAnsi="新宋体" w:eastAsia="新宋体" w:cs="宋体"/>
                <w:sz w:val="24"/>
                <w:szCs w:val="24"/>
              </w:rPr>
              <w:t>，万兆</w:t>
            </w:r>
            <w:r>
              <w:rPr>
                <w:rFonts w:ascii="新宋体" w:hAnsi="新宋体" w:eastAsia="新宋体" w:cs="宋体"/>
                <w:sz w:val="24"/>
                <w:szCs w:val="24"/>
              </w:rPr>
              <w:t>单模光模块≥2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VLAN特性</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支持基于端口的VLAN，支持基于协议的VLAN；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最大VLAN数(不是VLAN ID)</w:t>
            </w:r>
            <w:r>
              <w:rPr>
                <w:rFonts w:hint="eastAsia" w:ascii="新宋体" w:hAnsi="新宋体" w:eastAsia="新宋体" w:cs="Arial"/>
                <w:sz w:val="24"/>
                <w:szCs w:val="24"/>
              </w:rPr>
              <w:t xml:space="preserve"> ≥</w:t>
            </w:r>
            <w:r>
              <w:rPr>
                <w:rFonts w:hint="eastAsia" w:ascii="新宋体" w:hAnsi="新宋体" w:eastAsia="新宋体" w:cs="宋体"/>
                <w:sz w:val="24"/>
                <w:szCs w:val="24"/>
              </w:rPr>
              <w:t>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链路聚合</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支持最多16个端口聚合；支持最多128个聚合组；支持LACP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路由协议</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支持IPv4静态路由、RIP V1/V2、OSPF、BGP、ISIS、支持IPV6静态路由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管理和维护</w:t>
            </w:r>
          </w:p>
        </w:tc>
        <w:tc>
          <w:tcPr>
            <w:tcW w:w="6984"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支持SNMP V1/V2/V3、RMON、SSHV2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83"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4"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83"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6984"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83"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984" w:type="dxa"/>
            <w:tcMar>
              <w:top w:w="0" w:type="dxa"/>
              <w:left w:w="108" w:type="dxa"/>
              <w:bottom w:w="0" w:type="dxa"/>
              <w:right w:w="108" w:type="dxa"/>
            </w:tcMar>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r>
        <w:rPr>
          <w:rFonts w:hint="eastAsia"/>
          <w:b/>
          <w:sz w:val="24"/>
          <w:szCs w:val="24"/>
        </w:rPr>
        <w:t>10.6  8端口接入交换机</w:t>
      </w:r>
    </w:p>
    <w:tbl>
      <w:tblPr>
        <w:tblStyle w:val="40"/>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5"/>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1905"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功能及技术指标</w:t>
            </w:r>
          </w:p>
        </w:tc>
        <w:tc>
          <w:tcPr>
            <w:tcW w:w="6989"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产品</w:t>
            </w:r>
            <w:r>
              <w:rPr>
                <w:rFonts w:ascii="新宋体" w:hAnsi="新宋体" w:eastAsia="新宋体" w:cs="宋体"/>
                <w:sz w:val="24"/>
                <w:szCs w:val="24"/>
              </w:rPr>
              <w:t>性能</w:t>
            </w: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Arial"/>
                <w:sz w:val="24"/>
                <w:szCs w:val="24"/>
              </w:rPr>
              <w:t>交换容量≥</w:t>
            </w:r>
            <w:r>
              <w:rPr>
                <w:rFonts w:ascii="新宋体" w:hAnsi="新宋体" w:eastAsia="新宋体" w:cs="宋体"/>
                <w:sz w:val="24"/>
                <w:szCs w:val="24"/>
              </w:rPr>
              <w:t>250G</w:t>
            </w:r>
            <w:r>
              <w:rPr>
                <w:rFonts w:hint="eastAsia" w:ascii="新宋体" w:hAnsi="新宋体" w:eastAsia="新宋体" w:cs="宋体"/>
                <w:sz w:val="24"/>
                <w:szCs w:val="24"/>
              </w:rPr>
              <w:t>bps</w:t>
            </w:r>
            <w:r>
              <w:rPr>
                <w:rFonts w:hint="eastAsia" w:ascii="新宋体" w:hAnsi="新宋体" w:eastAsia="新宋体" w:cs="Arial"/>
                <w:sz w:val="24"/>
                <w:szCs w:val="24"/>
              </w:rPr>
              <w:t>，包转发率≥2</w:t>
            </w:r>
            <w:r>
              <w:rPr>
                <w:rFonts w:ascii="新宋体" w:hAnsi="新宋体" w:eastAsia="新宋体" w:cs="Arial"/>
                <w:sz w:val="24"/>
                <w:szCs w:val="24"/>
              </w:rPr>
              <w:t>5</w:t>
            </w:r>
            <w:r>
              <w:rPr>
                <w:rFonts w:hint="eastAsia" w:ascii="新宋体" w:hAnsi="新宋体" w:eastAsia="新宋体" w:cs="Arial"/>
                <w:sz w:val="24"/>
                <w:szCs w:val="24"/>
              </w:rPr>
              <w:t>Mpps（官网有多个指标，以小指标为准）；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接口要求</w:t>
            </w: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ascii="新宋体" w:hAnsi="新宋体" w:eastAsia="新宋体" w:cs="宋体"/>
                <w:sz w:val="24"/>
                <w:szCs w:val="24"/>
              </w:rPr>
              <w:t>千兆电口</w:t>
            </w:r>
            <w:r>
              <w:rPr>
                <w:rFonts w:hint="eastAsia" w:ascii="新宋体" w:hAnsi="新宋体" w:eastAsia="新宋体" w:cs="宋体"/>
                <w:sz w:val="24"/>
                <w:szCs w:val="24"/>
              </w:rPr>
              <w:t>≥</w:t>
            </w:r>
            <w:r>
              <w:rPr>
                <w:rFonts w:ascii="新宋体" w:hAnsi="新宋体" w:eastAsia="新宋体" w:cs="宋体"/>
                <w:sz w:val="24"/>
                <w:szCs w:val="24"/>
              </w:rPr>
              <w:t>8</w:t>
            </w:r>
            <w:r>
              <w:rPr>
                <w:rFonts w:hint="eastAsia" w:ascii="新宋体" w:hAnsi="新宋体" w:eastAsia="新宋体" w:cs="宋体"/>
                <w:sz w:val="24"/>
                <w:szCs w:val="24"/>
              </w:rPr>
              <w:t>，千兆</w:t>
            </w:r>
            <w:r>
              <w:rPr>
                <w:rFonts w:ascii="新宋体" w:hAnsi="新宋体" w:eastAsia="新宋体" w:cs="宋体"/>
                <w:sz w:val="24"/>
                <w:szCs w:val="24"/>
              </w:rPr>
              <w:t>光口≥2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VLAN特性</w:t>
            </w: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支持基于端口的VLAN，支持基于协议的VLAN；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最大VLAN数(不是VLAN ID)</w:t>
            </w:r>
            <w:r>
              <w:rPr>
                <w:rFonts w:hint="eastAsia" w:ascii="新宋体" w:hAnsi="新宋体" w:eastAsia="新宋体" w:cs="Arial"/>
                <w:sz w:val="24"/>
                <w:szCs w:val="24"/>
              </w:rPr>
              <w:t xml:space="preserve"> ≥</w:t>
            </w:r>
            <w:r>
              <w:rPr>
                <w:rFonts w:hint="eastAsia" w:ascii="新宋体" w:hAnsi="新宋体" w:eastAsia="新宋体" w:cs="宋体"/>
                <w:sz w:val="24"/>
                <w:szCs w:val="24"/>
              </w:rPr>
              <w:t>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管理和维护</w:t>
            </w:r>
          </w:p>
        </w:tc>
        <w:tc>
          <w:tcPr>
            <w:tcW w:w="6989"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支持SNMP V1/V2/V3、RMON、SSHV2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5"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8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05"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6989"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05"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989" w:type="dxa"/>
            <w:tcMar>
              <w:top w:w="0" w:type="dxa"/>
              <w:left w:w="108" w:type="dxa"/>
              <w:bottom w:w="0" w:type="dxa"/>
              <w:right w:w="108" w:type="dxa"/>
            </w:tcMar>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r>
        <w:rPr>
          <w:rFonts w:hint="eastAsia"/>
          <w:b/>
          <w:sz w:val="24"/>
          <w:szCs w:val="24"/>
        </w:rPr>
        <w:t>10.7  2</w:t>
      </w:r>
      <w:r>
        <w:rPr>
          <w:b/>
          <w:sz w:val="24"/>
          <w:szCs w:val="24"/>
        </w:rPr>
        <w:t>4口接入交换机</w:t>
      </w:r>
    </w:p>
    <w:tbl>
      <w:tblPr>
        <w:tblStyle w:val="4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08"/>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1908"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功能及技术指标</w:t>
            </w:r>
          </w:p>
        </w:tc>
        <w:tc>
          <w:tcPr>
            <w:tcW w:w="7018"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产品</w:t>
            </w:r>
            <w:r>
              <w:rPr>
                <w:rFonts w:ascii="新宋体" w:hAnsi="新宋体" w:eastAsia="新宋体" w:cs="宋体"/>
                <w:sz w:val="24"/>
                <w:szCs w:val="24"/>
              </w:rPr>
              <w:t>性能</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Arial"/>
                <w:sz w:val="24"/>
                <w:szCs w:val="24"/>
              </w:rPr>
              <w:t>交换容量≥</w:t>
            </w:r>
            <w:r>
              <w:rPr>
                <w:rFonts w:ascii="新宋体" w:hAnsi="新宋体" w:eastAsia="新宋体" w:cs="宋体"/>
                <w:sz w:val="24"/>
                <w:szCs w:val="24"/>
              </w:rPr>
              <w:t>330G</w:t>
            </w:r>
            <w:r>
              <w:rPr>
                <w:rFonts w:hint="eastAsia" w:ascii="新宋体" w:hAnsi="新宋体" w:eastAsia="新宋体" w:cs="宋体"/>
                <w:sz w:val="24"/>
                <w:szCs w:val="24"/>
              </w:rPr>
              <w:t>bps</w:t>
            </w:r>
            <w:r>
              <w:rPr>
                <w:rFonts w:hint="eastAsia" w:ascii="新宋体" w:hAnsi="新宋体" w:eastAsia="新宋体" w:cs="Arial"/>
                <w:sz w:val="24"/>
                <w:szCs w:val="24"/>
              </w:rPr>
              <w:t>，包转发率≥</w:t>
            </w:r>
            <w:r>
              <w:rPr>
                <w:rFonts w:ascii="新宋体" w:hAnsi="新宋体" w:eastAsia="新宋体" w:cs="Arial"/>
                <w:sz w:val="24"/>
                <w:szCs w:val="24"/>
              </w:rPr>
              <w:t>100</w:t>
            </w:r>
            <w:r>
              <w:rPr>
                <w:rFonts w:hint="eastAsia" w:ascii="新宋体" w:hAnsi="新宋体" w:eastAsia="新宋体" w:cs="Arial"/>
                <w:sz w:val="24"/>
                <w:szCs w:val="24"/>
              </w:rPr>
              <w:t>Mpps（官网有多个指标，以小指标为准）；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接口要求</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ascii="新宋体" w:hAnsi="新宋体" w:eastAsia="新宋体" w:cs="宋体"/>
                <w:sz w:val="24"/>
                <w:szCs w:val="24"/>
              </w:rPr>
              <w:t>千兆电口</w:t>
            </w:r>
            <w:r>
              <w:rPr>
                <w:rFonts w:hint="eastAsia" w:ascii="新宋体" w:hAnsi="新宋体" w:eastAsia="新宋体" w:cs="宋体"/>
                <w:sz w:val="24"/>
                <w:szCs w:val="24"/>
              </w:rPr>
              <w:t>≥24，万兆</w:t>
            </w:r>
            <w:r>
              <w:rPr>
                <w:rFonts w:ascii="新宋体" w:hAnsi="新宋体" w:eastAsia="新宋体" w:cs="宋体"/>
                <w:sz w:val="24"/>
                <w:szCs w:val="24"/>
              </w:rPr>
              <w:t>光口≥4</w:t>
            </w:r>
            <w:r>
              <w:rPr>
                <w:rFonts w:hint="eastAsia" w:ascii="新宋体" w:hAnsi="新宋体" w:eastAsia="新宋体" w:cs="宋体"/>
                <w:sz w:val="24"/>
                <w:szCs w:val="24"/>
              </w:rPr>
              <w:t>，万兆</w:t>
            </w:r>
            <w:r>
              <w:rPr>
                <w:rFonts w:ascii="新宋体" w:hAnsi="新宋体" w:eastAsia="新宋体" w:cs="宋体"/>
                <w:sz w:val="24"/>
                <w:szCs w:val="24"/>
              </w:rPr>
              <w:t>单模光模块≥2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VLAN特性</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支持基于端口的VLAN，支持基于协议的VLAN；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最大VLAN数(不是VLAN ID)</w:t>
            </w:r>
            <w:r>
              <w:rPr>
                <w:rFonts w:hint="eastAsia" w:ascii="新宋体" w:hAnsi="新宋体" w:eastAsia="新宋体" w:cs="Arial"/>
                <w:sz w:val="24"/>
                <w:szCs w:val="24"/>
              </w:rPr>
              <w:t xml:space="preserve"> ≥</w:t>
            </w:r>
            <w:r>
              <w:rPr>
                <w:rFonts w:hint="eastAsia" w:ascii="新宋体" w:hAnsi="新宋体" w:eastAsia="新宋体" w:cs="宋体"/>
                <w:sz w:val="24"/>
                <w:szCs w:val="24"/>
              </w:rPr>
              <w:t>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链路聚合</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支持最多16个端口聚合；支持最多128个聚合组；支持LACP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路由协议</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支持IPv4静态路由、RIP V1/V2、OSPF、BGP、ISIS、支持IPV6静态路由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管理和维护</w:t>
            </w:r>
          </w:p>
        </w:tc>
        <w:tc>
          <w:tcPr>
            <w:tcW w:w="7018"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支持SNMP V1/V2/V3、RMON、SSHV2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908"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701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08"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7018"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908"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7018" w:type="dxa"/>
            <w:tcMar>
              <w:top w:w="0" w:type="dxa"/>
              <w:left w:w="108" w:type="dxa"/>
              <w:bottom w:w="0" w:type="dxa"/>
              <w:right w:w="108" w:type="dxa"/>
            </w:tcMar>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r>
        <w:rPr>
          <w:rFonts w:hint="eastAsia"/>
          <w:b/>
          <w:sz w:val="24"/>
          <w:szCs w:val="24"/>
        </w:rPr>
        <w:t>10.8  4</w:t>
      </w:r>
      <w:r>
        <w:rPr>
          <w:b/>
          <w:sz w:val="24"/>
          <w:szCs w:val="24"/>
        </w:rPr>
        <w:t>8端口接入交换机</w:t>
      </w:r>
    </w:p>
    <w:tbl>
      <w:tblPr>
        <w:tblStyle w:val="40"/>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2"/>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Header/>
          <w:jc w:val="center"/>
        </w:trPr>
        <w:tc>
          <w:tcPr>
            <w:tcW w:w="1862"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功能及技术指标</w:t>
            </w:r>
          </w:p>
        </w:tc>
        <w:tc>
          <w:tcPr>
            <w:tcW w:w="6972" w:type="dxa"/>
            <w:shd w:val="clear" w:color="auto" w:fill="A5A5A5" w:themeFill="background1" w:themeFillShade="A6"/>
            <w:tcMar>
              <w:top w:w="0" w:type="dxa"/>
              <w:left w:w="108" w:type="dxa"/>
              <w:bottom w:w="0" w:type="dxa"/>
              <w:right w:w="108" w:type="dxa"/>
            </w:tcMar>
          </w:tcPr>
          <w:p>
            <w:pPr>
              <w:tabs>
                <w:tab w:val="left" w:pos="6195"/>
              </w:tabs>
              <w:spacing w:line="360" w:lineRule="auto"/>
              <w:jc w:val="center"/>
              <w:rPr>
                <w:rFonts w:ascii="新宋体" w:hAnsi="新宋体" w:eastAsia="新宋体"/>
                <w:b/>
                <w:sz w:val="24"/>
                <w:szCs w:val="24"/>
              </w:rPr>
            </w:pPr>
            <w:r>
              <w:rPr>
                <w:rFonts w:hint="eastAsia" w:ascii="新宋体" w:hAnsi="新宋体" w:eastAsia="新宋体"/>
                <w:b/>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产品</w:t>
            </w:r>
            <w:r>
              <w:rPr>
                <w:rFonts w:ascii="新宋体" w:hAnsi="新宋体" w:eastAsia="新宋体" w:cs="宋体"/>
                <w:sz w:val="24"/>
                <w:szCs w:val="24"/>
              </w:rPr>
              <w:t>性能</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hint="eastAsia" w:ascii="新宋体" w:hAnsi="新宋体" w:eastAsia="新宋体" w:cs="Arial"/>
                <w:sz w:val="24"/>
                <w:szCs w:val="24"/>
              </w:rPr>
              <w:t>交换容量≥</w:t>
            </w:r>
            <w:r>
              <w:rPr>
                <w:rFonts w:ascii="新宋体" w:hAnsi="新宋体" w:eastAsia="新宋体" w:cs="宋体"/>
                <w:sz w:val="24"/>
                <w:szCs w:val="24"/>
              </w:rPr>
              <w:t>430G</w:t>
            </w:r>
            <w:r>
              <w:rPr>
                <w:rFonts w:hint="eastAsia" w:ascii="新宋体" w:hAnsi="新宋体" w:eastAsia="新宋体" w:cs="宋体"/>
                <w:sz w:val="24"/>
                <w:szCs w:val="24"/>
              </w:rPr>
              <w:t>bps</w:t>
            </w:r>
            <w:r>
              <w:rPr>
                <w:rFonts w:hint="eastAsia" w:ascii="新宋体" w:hAnsi="新宋体" w:eastAsia="新宋体" w:cs="Arial"/>
                <w:sz w:val="24"/>
                <w:szCs w:val="24"/>
              </w:rPr>
              <w:t>，包转发率≥</w:t>
            </w:r>
            <w:r>
              <w:rPr>
                <w:rFonts w:ascii="新宋体" w:hAnsi="新宋体" w:eastAsia="新宋体" w:cs="Arial"/>
                <w:sz w:val="24"/>
                <w:szCs w:val="24"/>
              </w:rPr>
              <w:t>140</w:t>
            </w:r>
            <w:r>
              <w:rPr>
                <w:rFonts w:hint="eastAsia" w:ascii="新宋体" w:hAnsi="新宋体" w:eastAsia="新宋体" w:cs="Arial"/>
                <w:sz w:val="24"/>
                <w:szCs w:val="24"/>
              </w:rPr>
              <w:t>Mpps（官网有多个指标，以小指标为准）；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接口要求</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cs="宋体" w:asciiTheme="minorEastAsia" w:hAnsiTheme="minorEastAsia"/>
                <w:sz w:val="24"/>
                <w:szCs w:val="24"/>
                <w:lang w:val="zh-CN"/>
              </w:rPr>
              <w:t>★</w:t>
            </w:r>
            <w:r>
              <w:rPr>
                <w:rFonts w:ascii="新宋体" w:hAnsi="新宋体" w:eastAsia="新宋体" w:cs="宋体"/>
                <w:sz w:val="24"/>
                <w:szCs w:val="24"/>
              </w:rPr>
              <w:t>千兆电口</w:t>
            </w:r>
            <w:r>
              <w:rPr>
                <w:rFonts w:hint="eastAsia" w:ascii="新宋体" w:hAnsi="新宋体" w:eastAsia="新宋体" w:cs="宋体"/>
                <w:sz w:val="24"/>
                <w:szCs w:val="24"/>
              </w:rPr>
              <w:t>≥</w:t>
            </w:r>
            <w:r>
              <w:rPr>
                <w:rFonts w:ascii="新宋体" w:hAnsi="新宋体" w:eastAsia="新宋体" w:cs="宋体"/>
                <w:sz w:val="24"/>
                <w:szCs w:val="24"/>
              </w:rPr>
              <w:t>48</w:t>
            </w:r>
            <w:r>
              <w:rPr>
                <w:rFonts w:hint="eastAsia" w:ascii="新宋体" w:hAnsi="新宋体" w:eastAsia="新宋体" w:cs="宋体"/>
                <w:sz w:val="24"/>
                <w:szCs w:val="24"/>
              </w:rPr>
              <w:t>，万兆</w:t>
            </w:r>
            <w:r>
              <w:rPr>
                <w:rFonts w:ascii="新宋体" w:hAnsi="新宋体" w:eastAsia="新宋体" w:cs="宋体"/>
                <w:sz w:val="24"/>
                <w:szCs w:val="24"/>
              </w:rPr>
              <w:t>光口≥4</w:t>
            </w:r>
            <w:r>
              <w:rPr>
                <w:rFonts w:hint="eastAsia" w:ascii="新宋体" w:hAnsi="新宋体" w:eastAsia="新宋体" w:cs="宋体"/>
                <w:sz w:val="24"/>
                <w:szCs w:val="24"/>
              </w:rPr>
              <w:t>，万</w:t>
            </w:r>
            <w:r>
              <w:rPr>
                <w:rFonts w:ascii="新宋体" w:hAnsi="新宋体" w:eastAsia="新宋体" w:cs="宋体"/>
                <w:sz w:val="24"/>
                <w:szCs w:val="24"/>
              </w:rPr>
              <w:t>兆单模光模块≥2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VLAN特性</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支持基于端口的VLAN，支持基于协议的VLAN；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支持基于MAC的VLAN；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最大VLAN数(不是VLAN ID)</w:t>
            </w:r>
            <w:r>
              <w:rPr>
                <w:rFonts w:hint="eastAsia" w:ascii="新宋体" w:hAnsi="新宋体" w:eastAsia="新宋体" w:cs="Arial"/>
                <w:sz w:val="24"/>
                <w:szCs w:val="24"/>
              </w:rPr>
              <w:t xml:space="preserve"> ≥</w:t>
            </w:r>
            <w:r>
              <w:rPr>
                <w:rFonts w:hint="eastAsia" w:ascii="新宋体" w:hAnsi="新宋体" w:eastAsia="新宋体" w:cs="宋体"/>
                <w:sz w:val="24"/>
                <w:szCs w:val="24"/>
              </w:rPr>
              <w:t>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链路聚合</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支持最多16个端口聚合；支持最多128个聚合组；支持LACP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路由协议</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支持IPv4静态路由、RIP V1/V2、OSPF、BGP、ISIS、支持IPV6静态路由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vMerge w:val="restart"/>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管理和维护</w:t>
            </w:r>
          </w:p>
        </w:tc>
        <w:tc>
          <w:tcPr>
            <w:tcW w:w="6972" w:type="dxa"/>
            <w:tcBorders>
              <w:top w:val="nil"/>
              <w:left w:val="nil"/>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支持SNMP V1/V2/V3、RMON、SSHV2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 w:hRule="atLeast"/>
          <w:jc w:val="center"/>
        </w:trPr>
        <w:tc>
          <w:tcPr>
            <w:tcW w:w="1862" w:type="dxa"/>
            <w:vMerge w:val="continue"/>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p>
        </w:tc>
        <w:tc>
          <w:tcPr>
            <w:tcW w:w="697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rPr>
                <w:rFonts w:ascii="新宋体" w:hAnsi="新宋体" w:eastAsia="新宋体" w:cs="宋体"/>
                <w:sz w:val="24"/>
                <w:szCs w:val="24"/>
              </w:rPr>
            </w:pPr>
            <w:r>
              <w:rPr>
                <w:rFonts w:hint="eastAsia" w:ascii="新宋体" w:hAnsi="新宋体" w:eastAsia="新宋体" w:cs="宋体"/>
                <w:sz w:val="24"/>
                <w:szCs w:val="24"/>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862"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6972" w:type="dxa"/>
            <w:tcMar>
              <w:top w:w="0" w:type="dxa"/>
              <w:left w:w="108" w:type="dxa"/>
              <w:bottom w:w="0" w:type="dxa"/>
              <w:right w:w="108" w:type="dxa"/>
            </w:tcMar>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862" w:type="dxa"/>
            <w:tcMar>
              <w:top w:w="0" w:type="dxa"/>
              <w:left w:w="108" w:type="dxa"/>
              <w:bottom w:w="0" w:type="dxa"/>
              <w:right w:w="108" w:type="dxa"/>
            </w:tcMar>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972" w:type="dxa"/>
            <w:tcMar>
              <w:top w:w="0" w:type="dxa"/>
              <w:left w:w="108" w:type="dxa"/>
              <w:bottom w:w="0" w:type="dxa"/>
              <w:right w:w="108" w:type="dxa"/>
            </w:tcMar>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rFonts w:eastAsiaTheme="minorEastAsia"/>
          <w:b/>
          <w:sz w:val="24"/>
          <w:szCs w:val="24"/>
        </w:rPr>
      </w:pPr>
      <w:r>
        <w:rPr>
          <w:rFonts w:hint="eastAsia"/>
          <w:b/>
          <w:sz w:val="24"/>
          <w:szCs w:val="24"/>
        </w:rPr>
        <w:t>1</w:t>
      </w:r>
      <w:r>
        <w:rPr>
          <w:b/>
          <w:sz w:val="24"/>
          <w:szCs w:val="24"/>
        </w:rPr>
        <w:t>0</w:t>
      </w:r>
      <w:r>
        <w:rPr>
          <w:rFonts w:hint="eastAsia"/>
          <w:b/>
          <w:sz w:val="24"/>
          <w:szCs w:val="24"/>
        </w:rPr>
        <w:t>.9  A</w:t>
      </w:r>
      <w:r>
        <w:rPr>
          <w:b/>
          <w:sz w:val="24"/>
          <w:szCs w:val="24"/>
        </w:rPr>
        <w:t>P</w:t>
      </w:r>
      <w:r>
        <w:rPr>
          <w:rFonts w:hint="eastAsia"/>
          <w:b/>
          <w:sz w:val="24"/>
          <w:szCs w:val="24"/>
        </w:rPr>
        <w:t>（一）</w:t>
      </w:r>
    </w:p>
    <w:tbl>
      <w:tblPr>
        <w:tblStyle w:val="40"/>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842"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功能及技术指标</w:t>
            </w:r>
          </w:p>
        </w:tc>
        <w:tc>
          <w:tcPr>
            <w:tcW w:w="6875"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工作模式</w:t>
            </w:r>
          </w:p>
        </w:tc>
        <w:tc>
          <w:tcPr>
            <w:tcW w:w="6875" w:type="dxa"/>
            <w:tcBorders>
              <w:top w:val="single" w:color="auto" w:sz="4" w:space="0"/>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rPr>
              <w:t>★</w:t>
            </w:r>
            <w:r>
              <w:rPr>
                <w:rFonts w:hint="eastAsia"/>
                <w:sz w:val="24"/>
                <w:szCs w:val="24"/>
              </w:rPr>
              <w:t>采用整机双频4流设计，可同时工作在802.11a/b/g/n/ac/ac wave2/ax模式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42"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协商速率</w:t>
            </w:r>
          </w:p>
        </w:tc>
        <w:tc>
          <w:tcPr>
            <w:tcW w:w="6875"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整机协商速率≥1.7Gbps，其中5G射频速率≥1.2G，2.4G速率≥0.5G，提供官网截图，并加盖投标单位公章。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42"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接口设计</w:t>
            </w:r>
          </w:p>
        </w:tc>
        <w:tc>
          <w:tcPr>
            <w:tcW w:w="6875"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≥1个10/100/1000Mbps电口，提供官网截图证明，并加盖投标单位公章。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6" w:hRule="atLeast"/>
          <w:jc w:val="center"/>
        </w:trPr>
        <w:tc>
          <w:tcPr>
            <w:tcW w:w="1842"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售后服务</w:t>
            </w:r>
          </w:p>
        </w:tc>
        <w:tc>
          <w:tcPr>
            <w:tcW w:w="6875" w:type="dxa"/>
            <w:tcBorders>
              <w:top w:val="nil"/>
              <w:left w:val="nil"/>
              <w:bottom w:val="single" w:color="auto" w:sz="4" w:space="0"/>
              <w:right w:val="single" w:color="auto" w:sz="4" w:space="0"/>
            </w:tcBorders>
            <w:shd w:val="clear" w:color="auto" w:fill="FFFFFF" w:themeFill="background1"/>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其他要求</w:t>
            </w:r>
          </w:p>
        </w:tc>
        <w:tc>
          <w:tcPr>
            <w:tcW w:w="68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rFonts w:eastAsiaTheme="minorEastAsia"/>
          <w:b/>
          <w:sz w:val="24"/>
          <w:szCs w:val="24"/>
        </w:rPr>
      </w:pPr>
      <w:r>
        <w:rPr>
          <w:rFonts w:hint="eastAsia"/>
          <w:b/>
          <w:sz w:val="24"/>
          <w:szCs w:val="24"/>
        </w:rPr>
        <w:t>10.10  A</w:t>
      </w:r>
      <w:r>
        <w:rPr>
          <w:b/>
          <w:sz w:val="24"/>
          <w:szCs w:val="24"/>
        </w:rPr>
        <w:t>P</w:t>
      </w:r>
      <w:r>
        <w:rPr>
          <w:rFonts w:hint="eastAsia"/>
          <w:b/>
          <w:sz w:val="24"/>
          <w:szCs w:val="24"/>
        </w:rPr>
        <w:t>（二）</w:t>
      </w:r>
    </w:p>
    <w:tbl>
      <w:tblPr>
        <w:tblStyle w:val="40"/>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773"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功能及技术指标</w:t>
            </w:r>
          </w:p>
        </w:tc>
        <w:tc>
          <w:tcPr>
            <w:tcW w:w="6853"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工作模式</w:t>
            </w:r>
          </w:p>
        </w:tc>
        <w:tc>
          <w:tcPr>
            <w:tcW w:w="6853" w:type="dxa"/>
            <w:tcBorders>
              <w:top w:val="single" w:color="auto" w:sz="4" w:space="0"/>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★采用整机双频4流设计，可同时工作在802.11a/b/g/n/ac/ac wave2/ax模式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协商速率</w:t>
            </w:r>
          </w:p>
        </w:tc>
        <w:tc>
          <w:tcPr>
            <w:tcW w:w="6853"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★整机协商速率≥1.7Gbps，其中5G射频速率≥1.2G，2.4G速率≥0.5G。提供官网截图，并加盖投标单位公章。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安装方式</w:t>
            </w:r>
          </w:p>
        </w:tc>
        <w:tc>
          <w:tcPr>
            <w:tcW w:w="6853"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支持86盒、壁挂安装方式，提供官网截图，并加盖投标单位公章。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接口设计</w:t>
            </w:r>
          </w:p>
        </w:tc>
        <w:tc>
          <w:tcPr>
            <w:tcW w:w="6853"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≥1个10/100/1000Mbps(RJ45)上行千兆接口；≥4个10/100/1000Mbps(RJ45)下行千兆接口，提供官网截图，并加盖投标单位公章。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售后服务</w:t>
            </w:r>
          </w:p>
        </w:tc>
        <w:tc>
          <w:tcPr>
            <w:tcW w:w="6853" w:type="dxa"/>
            <w:tcBorders>
              <w:top w:val="nil"/>
              <w:left w:val="nil"/>
              <w:bottom w:val="single" w:color="auto" w:sz="4" w:space="0"/>
              <w:right w:val="single" w:color="auto" w:sz="4" w:space="0"/>
            </w:tcBorders>
            <w:shd w:val="clear" w:color="auto" w:fill="FFFFFF" w:themeFill="background1"/>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773"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其他要求</w:t>
            </w:r>
          </w:p>
        </w:tc>
        <w:tc>
          <w:tcPr>
            <w:tcW w:w="6853" w:type="dxa"/>
            <w:tcBorders>
              <w:top w:val="nil"/>
              <w:left w:val="nil"/>
              <w:bottom w:val="single" w:color="auto" w:sz="4" w:space="0"/>
              <w:right w:val="single" w:color="auto" w:sz="4" w:space="0"/>
            </w:tcBorders>
            <w:shd w:val="clear" w:color="auto" w:fill="FFFFFF" w:themeFill="background1"/>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rFonts w:eastAsiaTheme="minorEastAsia"/>
          <w:b/>
          <w:sz w:val="24"/>
          <w:szCs w:val="24"/>
        </w:rPr>
      </w:pPr>
      <w:r>
        <w:rPr>
          <w:b/>
          <w:sz w:val="24"/>
          <w:szCs w:val="24"/>
        </w:rPr>
        <w:t>1</w:t>
      </w:r>
      <w:r>
        <w:rPr>
          <w:rFonts w:hint="eastAsia"/>
          <w:b/>
          <w:sz w:val="24"/>
          <w:szCs w:val="24"/>
        </w:rPr>
        <w:t>0.11  A</w:t>
      </w:r>
      <w:r>
        <w:rPr>
          <w:b/>
          <w:sz w:val="24"/>
          <w:szCs w:val="24"/>
        </w:rPr>
        <w:t>P</w:t>
      </w:r>
      <w:r>
        <w:rPr>
          <w:rFonts w:hint="eastAsia"/>
          <w:b/>
          <w:sz w:val="24"/>
          <w:szCs w:val="24"/>
        </w:rPr>
        <w:t>（三）</w:t>
      </w:r>
    </w:p>
    <w:tbl>
      <w:tblPr>
        <w:tblStyle w:val="40"/>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879"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功能及技术指标</w:t>
            </w:r>
          </w:p>
        </w:tc>
        <w:tc>
          <w:tcPr>
            <w:tcW w:w="6600"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工作模式</w:t>
            </w:r>
          </w:p>
        </w:tc>
        <w:tc>
          <w:tcPr>
            <w:tcW w:w="6600" w:type="dxa"/>
            <w:tcBorders>
              <w:top w:val="single" w:color="auto" w:sz="4" w:space="0"/>
              <w:left w:val="nil"/>
              <w:bottom w:val="single" w:color="auto" w:sz="4" w:space="0"/>
              <w:right w:val="single" w:color="auto" w:sz="4" w:space="0"/>
            </w:tcBorders>
            <w:shd w:val="clear" w:color="auto" w:fill="FFFFFF" w:themeFill="background1"/>
            <w:vAlign w:val="center"/>
          </w:tcPr>
          <w:p>
            <w:pPr>
              <w:widowControl/>
              <w:jc w:val="left"/>
              <w:rPr>
                <w:rFonts w:ascii="新宋体" w:hAnsi="新宋体" w:eastAsia="新宋体" w:cs="宋体"/>
                <w:color w:val="000000"/>
                <w:kern w:val="0"/>
                <w:sz w:val="24"/>
                <w:szCs w:val="24"/>
              </w:rPr>
            </w:pPr>
            <w:r>
              <w:rPr>
                <w:rFonts w:hint="eastAsia" w:cs="宋体" w:asciiTheme="minorEastAsia" w:hAnsiTheme="minorEastAsia"/>
                <w:sz w:val="24"/>
                <w:szCs w:val="24"/>
              </w:rPr>
              <w:t>★</w:t>
            </w:r>
            <w:r>
              <w:rPr>
                <w:rFonts w:hint="eastAsia" w:ascii="新宋体" w:hAnsi="新宋体" w:eastAsia="新宋体" w:cs="宋体"/>
                <w:color w:val="000000"/>
                <w:kern w:val="0"/>
                <w:sz w:val="24"/>
                <w:szCs w:val="24"/>
              </w:rPr>
              <w:t>采用三射频设计，可工作在802.11a/b/g/n/ac/ac wave2/ax模式，提供官网截图证明，</w:t>
            </w:r>
            <w:r>
              <w:rPr>
                <w:rFonts w:hint="eastAsia"/>
                <w:sz w:val="24"/>
                <w:szCs w:val="24"/>
              </w:rPr>
              <w:t>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协商速率</w:t>
            </w:r>
          </w:p>
        </w:tc>
        <w:tc>
          <w:tcPr>
            <w:tcW w:w="6600" w:type="dxa"/>
            <w:tcBorders>
              <w:top w:val="nil"/>
              <w:left w:val="nil"/>
              <w:bottom w:val="single" w:color="auto" w:sz="4" w:space="0"/>
              <w:right w:val="single" w:color="auto" w:sz="4" w:space="0"/>
            </w:tcBorders>
            <w:shd w:val="clear" w:color="auto" w:fill="FFFFFF" w:themeFill="background1"/>
            <w:vAlign w:val="center"/>
          </w:tcPr>
          <w:p>
            <w:pPr>
              <w:widowControl/>
              <w:jc w:val="left"/>
              <w:rPr>
                <w:rFonts w:ascii="新宋体" w:hAnsi="新宋体" w:eastAsia="新宋体" w:cs="宋体"/>
                <w:color w:val="000000"/>
                <w:kern w:val="0"/>
                <w:sz w:val="24"/>
                <w:szCs w:val="24"/>
              </w:rPr>
            </w:pPr>
            <w:r>
              <w:rPr>
                <w:rFonts w:hint="eastAsia" w:cs="宋体" w:asciiTheme="minorEastAsia" w:hAnsiTheme="minorEastAsia"/>
                <w:sz w:val="24"/>
                <w:szCs w:val="24"/>
                <w:lang w:val="zh-CN"/>
              </w:rPr>
              <w:t>★</w:t>
            </w:r>
            <w:r>
              <w:rPr>
                <w:rFonts w:hint="eastAsia" w:ascii="新宋体" w:hAnsi="新宋体" w:eastAsia="新宋体" w:cs="宋体"/>
                <w:color w:val="000000"/>
                <w:kern w:val="0"/>
                <w:sz w:val="24"/>
                <w:szCs w:val="24"/>
              </w:rPr>
              <w:t>整机最大速率≥10Gbps，提供官网截图，</w:t>
            </w:r>
            <w:r>
              <w:rPr>
                <w:rFonts w:hint="eastAsia"/>
                <w:sz w:val="24"/>
                <w:szCs w:val="24"/>
              </w:rPr>
              <w:t>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空间流数</w:t>
            </w:r>
          </w:p>
        </w:tc>
        <w:tc>
          <w:tcPr>
            <w:tcW w:w="6600" w:type="dxa"/>
            <w:tcBorders>
              <w:top w:val="nil"/>
              <w:left w:val="nil"/>
              <w:bottom w:val="single" w:color="auto" w:sz="4" w:space="0"/>
              <w:right w:val="single" w:color="auto" w:sz="4" w:space="0"/>
            </w:tcBorders>
            <w:shd w:val="clear" w:color="auto" w:fill="FFFFFF" w:themeFill="background1"/>
            <w:vAlign w:val="center"/>
          </w:tcPr>
          <w:p>
            <w:pPr>
              <w:widowControl/>
              <w:jc w:val="left"/>
              <w:rPr>
                <w:rFonts w:ascii="新宋体" w:hAnsi="新宋体" w:eastAsia="新宋体" w:cs="宋体"/>
                <w:color w:val="000000"/>
                <w:kern w:val="0"/>
                <w:sz w:val="24"/>
                <w:szCs w:val="24"/>
              </w:rPr>
            </w:pPr>
            <w:r>
              <w:rPr>
                <w:rFonts w:hint="eastAsia" w:cs="宋体" w:asciiTheme="minorEastAsia" w:hAnsiTheme="minorEastAsia"/>
                <w:sz w:val="24"/>
                <w:szCs w:val="24"/>
                <w:lang w:val="zh-CN"/>
              </w:rPr>
              <w:t>★</w:t>
            </w:r>
            <w:r>
              <w:rPr>
                <w:rFonts w:hint="eastAsia" w:ascii="新宋体" w:hAnsi="新宋体" w:eastAsia="新宋体" w:cs="宋体"/>
                <w:color w:val="000000"/>
                <w:kern w:val="0"/>
                <w:sz w:val="24"/>
                <w:szCs w:val="24"/>
              </w:rPr>
              <w:t>为保证高密用户接入，整机5GHz射频空间流≥8,2.4GHz射频空间流≥2，提供官网截图，</w:t>
            </w:r>
            <w:r>
              <w:rPr>
                <w:rFonts w:hint="eastAsia"/>
                <w:sz w:val="24"/>
                <w:szCs w:val="24"/>
              </w:rPr>
              <w:t>并加盖投标单位公章</w:t>
            </w:r>
            <w:r>
              <w:rPr>
                <w:rFonts w:hint="eastAsia" w:ascii="新宋体" w:hAnsi="新宋体" w:eastAsia="新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center"/>
              <w:rPr>
                <w:rFonts w:ascii="新宋体" w:hAnsi="新宋体" w:eastAsia="新宋体" w:cs="宋体"/>
                <w:bCs/>
                <w:color w:val="000000"/>
                <w:kern w:val="0"/>
                <w:sz w:val="24"/>
                <w:szCs w:val="24"/>
              </w:rPr>
            </w:pPr>
            <w:r>
              <w:rPr>
                <w:rFonts w:hint="eastAsia" w:ascii="新宋体" w:hAnsi="新宋体" w:eastAsia="新宋体" w:cs="宋体"/>
                <w:bCs/>
                <w:color w:val="000000"/>
                <w:kern w:val="0"/>
                <w:sz w:val="24"/>
                <w:szCs w:val="24"/>
              </w:rPr>
              <w:t>接口设计</w:t>
            </w:r>
          </w:p>
        </w:tc>
        <w:tc>
          <w:tcPr>
            <w:tcW w:w="6600" w:type="dxa"/>
            <w:tcBorders>
              <w:top w:val="nil"/>
              <w:left w:val="nil"/>
              <w:bottom w:val="single" w:color="auto" w:sz="4" w:space="0"/>
              <w:right w:val="single" w:color="auto" w:sz="4" w:space="0"/>
            </w:tcBorders>
            <w:shd w:val="clear" w:color="auto" w:fill="FFFFFF" w:themeFill="background1"/>
            <w:vAlign w:val="center"/>
          </w:tcPr>
          <w:p>
            <w:pPr>
              <w:widowControl/>
              <w:jc w:val="left"/>
              <w:rPr>
                <w:rFonts w:ascii="新宋体" w:hAnsi="新宋体" w:eastAsia="新宋体" w:cs="宋体"/>
                <w:color w:val="000000"/>
                <w:kern w:val="0"/>
                <w:sz w:val="24"/>
                <w:szCs w:val="24"/>
              </w:rPr>
            </w:pPr>
            <w:r>
              <w:rPr>
                <w:rFonts w:hint="eastAsia" w:cs="宋体" w:asciiTheme="minorEastAsia" w:hAnsiTheme="minorEastAsia"/>
                <w:sz w:val="24"/>
                <w:szCs w:val="24"/>
                <w:lang w:val="zh-CN"/>
              </w:rPr>
              <w:t>★</w:t>
            </w:r>
            <w:r>
              <w:rPr>
                <w:rFonts w:hint="eastAsia" w:ascii="新宋体" w:hAnsi="新宋体" w:eastAsia="新宋体" w:cs="宋体"/>
                <w:color w:val="000000"/>
                <w:kern w:val="0"/>
                <w:sz w:val="24"/>
                <w:szCs w:val="24"/>
              </w:rPr>
              <w:t>≥2个接口，其中1个100/1000M/2.5G电口，1个10M/100M/1000M电口，提供官网截图证明，</w:t>
            </w:r>
            <w:r>
              <w:rPr>
                <w:rFonts w:hint="eastAsia"/>
                <w:sz w:val="24"/>
                <w:szCs w:val="24"/>
              </w:rPr>
              <w:t>并加盖投标单位公章。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售后服务</w:t>
            </w:r>
          </w:p>
        </w:tc>
        <w:tc>
          <w:tcPr>
            <w:tcW w:w="6600" w:type="dxa"/>
            <w:tcBorders>
              <w:top w:val="nil"/>
              <w:left w:val="nil"/>
              <w:bottom w:val="single" w:color="auto" w:sz="4" w:space="0"/>
              <w:right w:val="single" w:color="auto" w:sz="4" w:space="0"/>
            </w:tcBorders>
            <w:shd w:val="clear" w:color="auto" w:fill="FFFFFF" w:themeFill="background1"/>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1879"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jc w:val="center"/>
              <w:rPr>
                <w:rFonts w:cs="Arial" w:asciiTheme="minorEastAsia" w:hAnsiTheme="minorEastAsia"/>
                <w:sz w:val="24"/>
                <w:szCs w:val="24"/>
              </w:rPr>
            </w:pPr>
            <w:r>
              <w:rPr>
                <w:rFonts w:hint="eastAsia" w:cs="Arial" w:asciiTheme="minorEastAsia" w:hAnsiTheme="minorEastAsia"/>
                <w:sz w:val="24"/>
                <w:szCs w:val="24"/>
              </w:rPr>
              <w:t>其他要求</w:t>
            </w:r>
          </w:p>
        </w:tc>
        <w:tc>
          <w:tcPr>
            <w:tcW w:w="6600" w:type="dxa"/>
            <w:tcBorders>
              <w:top w:val="nil"/>
              <w:left w:val="nil"/>
              <w:bottom w:val="single" w:color="auto" w:sz="4" w:space="0"/>
              <w:right w:val="single" w:color="auto" w:sz="4" w:space="0"/>
            </w:tcBorders>
            <w:shd w:val="clear" w:color="auto" w:fill="FFFFFF" w:themeFill="background1"/>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r>
        <w:rPr>
          <w:rFonts w:hint="eastAsia"/>
          <w:b/>
          <w:sz w:val="24"/>
          <w:szCs w:val="24"/>
        </w:rPr>
        <w:t xml:space="preserve">10.12 </w:t>
      </w:r>
      <w:r>
        <w:rPr>
          <w:b/>
          <w:sz w:val="24"/>
          <w:szCs w:val="24"/>
        </w:rPr>
        <w:t>无线控制器</w:t>
      </w:r>
    </w:p>
    <w:tbl>
      <w:tblPr>
        <w:tblStyle w:val="40"/>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2110"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功能及技术指标</w:t>
            </w:r>
          </w:p>
        </w:tc>
        <w:tc>
          <w:tcPr>
            <w:tcW w:w="6600"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tcBorders>
              <w:top w:val="single" w:color="auto" w:sz="4" w:space="0"/>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管理AP数</w:t>
            </w:r>
          </w:p>
        </w:tc>
        <w:tc>
          <w:tcPr>
            <w:tcW w:w="6600" w:type="dxa"/>
            <w:tcBorders>
              <w:top w:val="single" w:color="auto" w:sz="4" w:space="0"/>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支持常规AP最大数量≥2048，本次配置无线授权数量≥2</w:t>
            </w:r>
            <w:r>
              <w:rPr>
                <w:sz w:val="24"/>
                <w:szCs w:val="24"/>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转发性能</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数据转发性能≥40Gbps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tcBorders>
              <w:top w:val="nil"/>
              <w:left w:val="single" w:color="auto" w:sz="4" w:space="0"/>
              <w:bottom w:val="single" w:color="auto" w:sz="4" w:space="0"/>
              <w:right w:val="single" w:color="auto" w:sz="4" w:space="0"/>
            </w:tcBorders>
            <w:shd w:val="clear" w:color="auto" w:fill="FFFFFF" w:themeFill="background1"/>
          </w:tcPr>
          <w:p>
            <w:pPr>
              <w:jc w:val="center"/>
              <w:rPr>
                <w:sz w:val="24"/>
                <w:szCs w:val="24"/>
              </w:rPr>
            </w:pPr>
            <w:r>
              <w:rPr>
                <w:rFonts w:hint="eastAsia"/>
                <w:sz w:val="24"/>
                <w:szCs w:val="24"/>
              </w:rPr>
              <w:t>端口要求</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cs="宋体" w:asciiTheme="minorEastAsia" w:hAnsiTheme="minorEastAsia"/>
                <w:sz w:val="24"/>
                <w:szCs w:val="24"/>
                <w:lang w:val="zh-CN"/>
              </w:rPr>
              <w:t>★</w:t>
            </w:r>
            <w:r>
              <w:rPr>
                <w:rFonts w:hint="eastAsia"/>
                <w:sz w:val="24"/>
                <w:szCs w:val="24"/>
              </w:rPr>
              <w:t>千兆电端口≥8个，千兆光端口≥8个，万兆光口≥2个，多模万兆光模块≥2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vMerge w:val="restart"/>
            <w:tcBorders>
              <w:top w:val="nil"/>
              <w:left w:val="single" w:color="auto" w:sz="4" w:space="0"/>
              <w:right w:val="single" w:color="auto" w:sz="4" w:space="0"/>
            </w:tcBorders>
            <w:shd w:val="clear" w:color="auto" w:fill="FFFFFF" w:themeFill="background1"/>
          </w:tcPr>
          <w:p>
            <w:pPr>
              <w:jc w:val="center"/>
              <w:rPr>
                <w:sz w:val="24"/>
                <w:szCs w:val="24"/>
              </w:rPr>
            </w:pPr>
          </w:p>
          <w:p>
            <w:pPr>
              <w:jc w:val="center"/>
              <w:rPr>
                <w:sz w:val="24"/>
                <w:szCs w:val="24"/>
              </w:rPr>
            </w:pPr>
          </w:p>
          <w:p>
            <w:pPr>
              <w:jc w:val="center"/>
              <w:rPr>
                <w:sz w:val="24"/>
                <w:szCs w:val="24"/>
              </w:rPr>
            </w:pPr>
            <w:r>
              <w:rPr>
                <w:rFonts w:hint="eastAsia"/>
                <w:sz w:val="24"/>
                <w:szCs w:val="24"/>
              </w:rPr>
              <w:t>组网能力</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支持标准IETF 5415 CAPWAP协议，AP和AC之间支持L2/L3层网络拓扑，为提高网络安全，AP与控制器之间能够支持DTLS对CAPWAP隧道进行加密处理。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vMerge w:val="continue"/>
            <w:tcBorders>
              <w:left w:val="single" w:color="auto" w:sz="4" w:space="0"/>
              <w:bottom w:val="single" w:color="auto" w:sz="4" w:space="0"/>
              <w:right w:val="single" w:color="auto" w:sz="4" w:space="0"/>
            </w:tcBorders>
            <w:shd w:val="clear" w:color="auto" w:fill="FFFFFF" w:themeFill="background1"/>
          </w:tcPr>
          <w:p>
            <w:pPr>
              <w:rPr>
                <w:sz w:val="24"/>
                <w:szCs w:val="24"/>
              </w:rPr>
            </w:pP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支持防PSK暴力破解，当用户密码错误超过预设的阀值之后，能够将该用户加入动态黑名单，一段时间内禁止其接入网络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vMerge w:val="restart"/>
            <w:tcBorders>
              <w:top w:val="nil"/>
              <w:left w:val="single" w:color="auto" w:sz="4" w:space="0"/>
              <w:right w:val="single" w:color="auto" w:sz="4" w:space="0"/>
            </w:tcBorders>
            <w:shd w:val="clear" w:color="auto" w:fill="FFFFFF" w:themeFill="background1"/>
          </w:tcPr>
          <w:p>
            <w:pPr>
              <w:rPr>
                <w:sz w:val="24"/>
                <w:szCs w:val="24"/>
              </w:rPr>
            </w:pPr>
          </w:p>
          <w:p>
            <w:pPr>
              <w:rPr>
                <w:sz w:val="24"/>
                <w:szCs w:val="24"/>
              </w:rPr>
            </w:pPr>
          </w:p>
          <w:p>
            <w:pPr>
              <w:rPr>
                <w:sz w:val="24"/>
                <w:szCs w:val="24"/>
              </w:rPr>
            </w:pPr>
          </w:p>
          <w:p>
            <w:pPr>
              <w:rPr>
                <w:sz w:val="24"/>
                <w:szCs w:val="24"/>
              </w:rPr>
            </w:pPr>
            <w:r>
              <w:rPr>
                <w:rFonts w:hint="eastAsia"/>
                <w:sz w:val="24"/>
                <w:szCs w:val="24"/>
              </w:rPr>
              <w:t>可靠性</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支持CPU 防攻击功能：AC支持专门针对CPU的保护机制，能够针对发往CPU处理的报文，进行流量控制，保护无线控制器在各种环境下稳定工作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vMerge w:val="continue"/>
            <w:tcBorders>
              <w:left w:val="single" w:color="auto" w:sz="4" w:space="0"/>
              <w:right w:val="single" w:color="auto" w:sz="4" w:space="0"/>
            </w:tcBorders>
            <w:shd w:val="clear" w:color="auto" w:fill="FFFFFF" w:themeFill="background1"/>
          </w:tcPr>
          <w:p>
            <w:pPr>
              <w:rPr>
                <w:sz w:val="24"/>
                <w:szCs w:val="24"/>
              </w:rPr>
            </w:pP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AC、AP支持MAC认证逃生功能，为提高无线网络认证可靠性，无线控制器支持MAC认证逃生功能。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vMerge w:val="continue"/>
            <w:tcBorders>
              <w:left w:val="single" w:color="auto" w:sz="4" w:space="0"/>
              <w:bottom w:val="single" w:color="auto" w:sz="4" w:space="0"/>
              <w:right w:val="single" w:color="auto" w:sz="4" w:space="0"/>
            </w:tcBorders>
            <w:shd w:val="clear" w:color="auto" w:fill="FFFFFF" w:themeFill="background1"/>
          </w:tcPr>
          <w:p>
            <w:pPr>
              <w:rPr>
                <w:sz w:val="24"/>
                <w:szCs w:val="24"/>
              </w:rPr>
            </w:pP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为保障IPV4网络过渡到IPV6网络的安全性，设备需支持IPV6 SAVI功能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售后服务</w:t>
            </w:r>
          </w:p>
        </w:tc>
        <w:tc>
          <w:tcPr>
            <w:tcW w:w="6600" w:type="dxa"/>
            <w:tcBorders>
              <w:top w:val="nil"/>
              <w:left w:val="nil"/>
              <w:bottom w:val="single" w:color="auto" w:sz="4" w:space="0"/>
              <w:right w:val="single" w:color="auto" w:sz="4" w:space="0"/>
            </w:tcBorders>
            <w:shd w:val="clear" w:color="auto" w:fill="FFFFFF" w:themeFill="background1"/>
            <w:vAlign w:val="center"/>
          </w:tcPr>
          <w:p>
            <w:pPr>
              <w:tabs>
                <w:tab w:val="left" w:pos="420"/>
              </w:tabs>
              <w:spacing w:before="40" w:after="40"/>
              <w:rPr>
                <w:rFonts w:cs="Arial" w:asciiTheme="minorEastAsia" w:hAnsiTheme="minorEastAsia"/>
                <w:sz w:val="24"/>
                <w:szCs w:val="24"/>
              </w:rPr>
            </w:pPr>
            <w:r>
              <w:rPr>
                <w:rFonts w:hint="eastAsia" w:cs="Arial" w:asciiTheme="minorEastAsia" w:hAnsiTheme="minorEastAsia"/>
                <w:sz w:val="24"/>
                <w:szCs w:val="24"/>
              </w:rPr>
              <w:t>默认自带原厂3年现场保修服务；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110" w:type="dxa"/>
            <w:tcBorders>
              <w:top w:val="nil"/>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600" w:type="dxa"/>
            <w:tcBorders>
              <w:top w:val="nil"/>
              <w:left w:val="nil"/>
              <w:bottom w:val="single" w:color="auto" w:sz="4" w:space="0"/>
              <w:right w:val="single" w:color="auto" w:sz="4" w:space="0"/>
            </w:tcBorders>
            <w:shd w:val="clear" w:color="auto" w:fill="FFFFFF" w:themeFill="background1"/>
            <w:vAlign w:val="center"/>
          </w:tcPr>
          <w:p>
            <w:pPr>
              <w:widowControl/>
              <w:jc w:val="left"/>
              <w:rPr>
                <w:rFonts w:cs="Arial" w:asciiTheme="minorEastAsia" w:hAnsiTheme="minorEastAsia"/>
                <w:sz w:val="24"/>
                <w:szCs w:val="24"/>
              </w:rPr>
            </w:pPr>
            <w:r>
              <w:rPr>
                <w:rFonts w:hint="eastAsia" w:ascii="新宋体" w:hAnsi="新宋体" w:eastAsia="新宋体" w:cs="Arial"/>
                <w:sz w:val="24"/>
                <w:szCs w:val="24"/>
              </w:rPr>
              <w:t>产品具备工信部入网证及检测报告；</w:t>
            </w:r>
          </w:p>
        </w:tc>
      </w:tr>
    </w:tbl>
    <w:p>
      <w:pPr>
        <w:jc w:val="left"/>
        <w:outlineLvl w:val="1"/>
        <w:rPr>
          <w:b/>
          <w:sz w:val="24"/>
          <w:szCs w:val="24"/>
        </w:rPr>
      </w:pPr>
    </w:p>
    <w:p>
      <w:pPr>
        <w:tabs>
          <w:tab w:val="left" w:pos="2959"/>
        </w:tabs>
        <w:jc w:val="left"/>
        <w:outlineLvl w:val="1"/>
        <w:rPr>
          <w:rFonts w:eastAsiaTheme="minorEastAsia"/>
          <w:b/>
          <w:sz w:val="24"/>
          <w:szCs w:val="24"/>
        </w:rPr>
      </w:pPr>
      <w:r>
        <w:rPr>
          <w:rFonts w:hint="eastAsia"/>
          <w:b/>
          <w:sz w:val="24"/>
          <w:szCs w:val="24"/>
        </w:rPr>
        <w:t>10.13 认证系统</w:t>
      </w:r>
      <w:r>
        <w:rPr>
          <w:rFonts w:hint="eastAsia"/>
          <w:b/>
          <w:sz w:val="24"/>
          <w:szCs w:val="24"/>
        </w:rPr>
        <w:tab/>
      </w:r>
    </w:p>
    <w:tbl>
      <w:tblPr>
        <w:tblStyle w:val="4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2052"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功能及技术指标</w:t>
            </w:r>
          </w:p>
        </w:tc>
        <w:tc>
          <w:tcPr>
            <w:tcW w:w="6600" w:type="dxa"/>
            <w:shd w:val="clear" w:color="auto" w:fill="A5A5A5" w:themeFill="background1" w:themeFillShade="A6"/>
            <w:vAlign w:val="center"/>
          </w:tcPr>
          <w:p>
            <w:pPr>
              <w:widowControl/>
              <w:jc w:val="center"/>
              <w:rPr>
                <w:rFonts w:ascii="新宋体" w:hAnsi="新宋体" w:eastAsia="新宋体" w:cs="宋体"/>
                <w:b/>
                <w:bCs/>
                <w:kern w:val="0"/>
                <w:sz w:val="24"/>
                <w:szCs w:val="24"/>
              </w:rPr>
            </w:pPr>
            <w:r>
              <w:rPr>
                <w:rFonts w:hint="eastAsia" w:ascii="新宋体" w:hAnsi="新宋体" w:eastAsia="新宋体" w:cs="宋体"/>
                <w:b/>
                <w:bCs/>
                <w:kern w:val="0"/>
                <w:sz w:val="24"/>
                <w:szCs w:val="24"/>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tcPr>
          <w:p>
            <w:pPr>
              <w:rPr>
                <w:sz w:val="24"/>
                <w:szCs w:val="24"/>
              </w:rPr>
            </w:pPr>
            <w:r>
              <w:rPr>
                <w:rFonts w:hint="eastAsia"/>
                <w:sz w:val="24"/>
                <w:szCs w:val="24"/>
              </w:rPr>
              <w:t>认证方式</w:t>
            </w:r>
          </w:p>
        </w:tc>
        <w:tc>
          <w:tcPr>
            <w:tcW w:w="6600" w:type="dxa"/>
            <w:tcBorders>
              <w:top w:val="single" w:color="auto" w:sz="4" w:space="0"/>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★PPPoE认证，Web portal认证，DHCP+Portal认证、802.1x认证，IPoE认证，L2TP认证，MAC认证、VLAN认证；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052" w:type="dxa"/>
            <w:tcBorders>
              <w:top w:val="nil"/>
              <w:left w:val="single" w:color="auto" w:sz="4" w:space="0"/>
              <w:bottom w:val="single" w:color="auto" w:sz="4" w:space="0"/>
              <w:right w:val="single" w:color="auto" w:sz="4" w:space="0"/>
            </w:tcBorders>
            <w:shd w:val="clear" w:color="auto" w:fill="FFFFFF" w:themeFill="background1"/>
          </w:tcPr>
          <w:p>
            <w:pPr>
              <w:rPr>
                <w:sz w:val="24"/>
                <w:szCs w:val="24"/>
              </w:rPr>
            </w:pPr>
            <w:r>
              <w:rPr>
                <w:rFonts w:hint="eastAsia"/>
                <w:sz w:val="24"/>
                <w:szCs w:val="24"/>
              </w:rPr>
              <w:t>用户数量</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★支持≥10000 并发用户，注册用户不少于60万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jc w:val="center"/>
        </w:trPr>
        <w:tc>
          <w:tcPr>
            <w:tcW w:w="2052" w:type="dxa"/>
            <w:tcBorders>
              <w:top w:val="nil"/>
              <w:left w:val="single" w:color="auto" w:sz="4" w:space="0"/>
              <w:bottom w:val="single" w:color="auto" w:sz="4" w:space="0"/>
              <w:right w:val="single" w:color="auto" w:sz="4" w:space="0"/>
            </w:tcBorders>
            <w:shd w:val="clear" w:color="auto" w:fill="FFFFFF" w:themeFill="background1"/>
          </w:tcPr>
          <w:p>
            <w:pPr>
              <w:rPr>
                <w:sz w:val="24"/>
                <w:szCs w:val="24"/>
              </w:rPr>
            </w:pPr>
            <w:r>
              <w:rPr>
                <w:rFonts w:hint="eastAsia"/>
                <w:sz w:val="24"/>
                <w:szCs w:val="24"/>
              </w:rPr>
              <w:t>策略平台</w:t>
            </w:r>
          </w:p>
        </w:tc>
        <w:tc>
          <w:tcPr>
            <w:tcW w:w="6600" w:type="dxa"/>
            <w:tcBorders>
              <w:top w:val="nil"/>
              <w:left w:val="nil"/>
              <w:bottom w:val="single" w:color="auto" w:sz="4" w:space="0"/>
              <w:right w:val="single" w:color="auto" w:sz="4" w:space="0"/>
            </w:tcBorders>
            <w:shd w:val="clear" w:color="auto" w:fill="FFFFFF" w:themeFill="background1"/>
          </w:tcPr>
          <w:p>
            <w:pPr>
              <w:rPr>
                <w:sz w:val="24"/>
                <w:szCs w:val="24"/>
              </w:rPr>
            </w:pPr>
            <w:r>
              <w:rPr>
                <w:rFonts w:hint="eastAsia"/>
                <w:sz w:val="24"/>
                <w:szCs w:val="24"/>
              </w:rPr>
              <w:t>★实现用户/用户组管理、交费/充值业务管理、资费策略管理、帐务管理、工单和故障单管理、查询统计、系统管理、权限管理等各种功能。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052" w:type="dxa"/>
            <w:tcBorders>
              <w:top w:val="nil"/>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兼容性</w:t>
            </w:r>
          </w:p>
        </w:tc>
        <w:tc>
          <w:tcPr>
            <w:tcW w:w="6600" w:type="dxa"/>
            <w:tcBorders>
              <w:top w:val="nil"/>
              <w:left w:val="nil"/>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能够兼容业内主流BRAS设备、AC、AP设备，支持所有BRAS的功能应用；所有系统均是纯软件设计，均采用标准的协议进行开发；使用ORACLE、MySql、Sql Server数据库，使用模块化设计，应用模块可以分离部署；提供无任何版权争议的数据库产品及足够的License。认证模块需要采用Redis高性能数据库架构设计。★可对接招标单位数据中心，可向认证系统数据库导入用户基本数据。也可向数据中心推送认证数据或认证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052" w:type="dxa"/>
            <w:tcBorders>
              <w:top w:val="nil"/>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功能描述</w:t>
            </w:r>
          </w:p>
        </w:tc>
        <w:tc>
          <w:tcPr>
            <w:tcW w:w="6600" w:type="dxa"/>
            <w:tcBorders>
              <w:top w:val="nil"/>
              <w:left w:val="nil"/>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★支持根据用户需求自定义上下行计费流量比例，支持自定义流量统计单元1000或者1024；提供证明文件。</w:t>
            </w:r>
          </w:p>
          <w:p>
            <w:pPr>
              <w:rPr>
                <w:sz w:val="24"/>
                <w:szCs w:val="24"/>
              </w:rPr>
            </w:pPr>
            <w:r>
              <w:rPr>
                <w:rFonts w:hint="eastAsia"/>
                <w:sz w:val="24"/>
                <w:szCs w:val="24"/>
              </w:rPr>
              <w:t>支持定时备份功能，支持本地备份，异地备份，确保数据安全性。</w:t>
            </w:r>
          </w:p>
          <w:p>
            <w:pPr>
              <w:rPr>
                <w:sz w:val="24"/>
                <w:szCs w:val="24"/>
              </w:rPr>
            </w:pPr>
            <w:r>
              <w:rPr>
                <w:rFonts w:hint="eastAsia"/>
                <w:sz w:val="24"/>
                <w:szCs w:val="24"/>
              </w:rPr>
              <w:t>实现无线有线统一帐号的一体化认证计费，实现无线用户漫游无感知认证</w:t>
            </w:r>
          </w:p>
          <w:p>
            <w:pPr>
              <w:rPr>
                <w:sz w:val="24"/>
                <w:szCs w:val="24"/>
              </w:rPr>
            </w:pPr>
            <w:r>
              <w:rPr>
                <w:rFonts w:hint="eastAsia"/>
                <w:sz w:val="24"/>
                <w:szCs w:val="24"/>
              </w:rPr>
              <w:t>支持不同用户ip地址、不同vlan、不同运营商出口不同的控制策略和计费策略；支持不同用户终端（智能终端或者PC）不同的控制策略和计费方式；</w:t>
            </w:r>
          </w:p>
          <w:p>
            <w:pPr>
              <w:rPr>
                <w:sz w:val="24"/>
                <w:szCs w:val="24"/>
              </w:rPr>
            </w:pPr>
            <w:r>
              <w:rPr>
                <w:rFonts w:hint="eastAsia"/>
                <w:sz w:val="24"/>
                <w:szCs w:val="24"/>
              </w:rPr>
              <w:t>★支持用户恶意拨号限制，用户拨号次数超出设置阀值，限制用户在设定时间内不允许拨号；提供截图证明，盖原厂公章；支持NAS设备异常时Radius能重建在线功能，要求支持不重建、无条件重建或者仅带有用户IP时重建，提供证明截图文件；</w:t>
            </w:r>
          </w:p>
          <w:p>
            <w:pPr>
              <w:rPr>
                <w:sz w:val="24"/>
                <w:szCs w:val="24"/>
              </w:rPr>
            </w:pPr>
            <w:r>
              <w:rPr>
                <w:rFonts w:hint="eastAsia"/>
                <w:sz w:val="24"/>
                <w:szCs w:val="24"/>
              </w:rPr>
              <w:t>支持在用户输入账号中存在大小写字母时，Radius能够全部转化为小写字母账号；提供证明截图文件。提供用户自助服务系统，可供用户自助查询上网明细、缴扣费明细、用户资料等信息，实现用户账户自助冻结和解冻，用户自助修改资费政策等；</w:t>
            </w:r>
          </w:p>
          <w:p>
            <w:pPr>
              <w:rPr>
                <w:sz w:val="24"/>
                <w:szCs w:val="24"/>
              </w:rPr>
            </w:pPr>
            <w:r>
              <w:rPr>
                <w:rFonts w:hint="eastAsia"/>
                <w:sz w:val="24"/>
                <w:szCs w:val="24"/>
              </w:rPr>
              <w:t>自服务模块可以短信或邮箱找回密码，支持用户账号激活功能；</w:t>
            </w:r>
          </w:p>
          <w:p>
            <w:pPr>
              <w:rPr>
                <w:sz w:val="24"/>
                <w:szCs w:val="24"/>
              </w:rPr>
            </w:pPr>
            <w:r>
              <w:rPr>
                <w:rFonts w:hint="eastAsia"/>
                <w:sz w:val="24"/>
                <w:szCs w:val="24"/>
              </w:rPr>
              <w:t>可精确记录认证用户的详细访问记录，包括用户的MAC，源IP、用户名、目的IP、连接时间、产生流量等；系统应有完整的日志功能，详细记录系统本身的访问、性能和管理员操作日志以及用户开销户日志等；</w:t>
            </w:r>
          </w:p>
          <w:p>
            <w:pPr>
              <w:rPr>
                <w:sz w:val="24"/>
                <w:szCs w:val="24"/>
              </w:rPr>
            </w:pPr>
            <w:r>
              <w:rPr>
                <w:rFonts w:hint="eastAsia"/>
                <w:sz w:val="24"/>
                <w:szCs w:val="24"/>
              </w:rPr>
              <w:t>需具有管理员日志功能，所有管理员的操作都可记录、查询；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jc w:val="center"/>
        </w:trPr>
        <w:tc>
          <w:tcPr>
            <w:tcW w:w="205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tabs>
                <w:tab w:val="left" w:pos="420"/>
              </w:tabs>
              <w:spacing w:before="40" w:after="40"/>
              <w:ind w:left="284" w:hanging="284"/>
              <w:rPr>
                <w:rFonts w:cs="Arial" w:asciiTheme="minorEastAsia" w:hAnsiTheme="minorEastAsia"/>
                <w:sz w:val="24"/>
                <w:szCs w:val="24"/>
              </w:rPr>
            </w:pPr>
            <w:r>
              <w:rPr>
                <w:rFonts w:hint="eastAsia" w:cs="Arial" w:asciiTheme="minorEastAsia" w:hAnsiTheme="minorEastAsia"/>
                <w:sz w:val="24"/>
                <w:szCs w:val="24"/>
              </w:rPr>
              <w:t>其他要求</w:t>
            </w:r>
          </w:p>
        </w:tc>
        <w:tc>
          <w:tcPr>
            <w:tcW w:w="660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rPr>
                <w:sz w:val="24"/>
                <w:szCs w:val="24"/>
              </w:rPr>
            </w:pPr>
            <w:r>
              <w:rPr>
                <w:rFonts w:hint="eastAsia"/>
                <w:sz w:val="24"/>
                <w:szCs w:val="24"/>
              </w:rPr>
              <w:t>★提供信息系统安全等级保护证书；</w:t>
            </w:r>
          </w:p>
          <w:p>
            <w:pPr>
              <w:rPr>
                <w:sz w:val="24"/>
                <w:szCs w:val="24"/>
              </w:rPr>
            </w:pPr>
            <w:r>
              <w:rPr>
                <w:rFonts w:hint="eastAsia"/>
                <w:sz w:val="24"/>
                <w:szCs w:val="24"/>
              </w:rPr>
              <w:t>★计算机信息系统安全专用产品相关证书；</w:t>
            </w:r>
          </w:p>
          <w:p>
            <w:pPr>
              <w:rPr>
                <w:sz w:val="24"/>
                <w:szCs w:val="24"/>
              </w:rPr>
            </w:pPr>
            <w:r>
              <w:rPr>
                <w:rFonts w:hint="eastAsia"/>
                <w:sz w:val="24"/>
                <w:szCs w:val="24"/>
              </w:rPr>
              <w:t>★信息安全产品检测中心出具的检测检验报告；</w:t>
            </w:r>
          </w:p>
          <w:p>
            <w:pPr>
              <w:rPr>
                <w:sz w:val="24"/>
                <w:szCs w:val="24"/>
              </w:rPr>
            </w:pPr>
            <w:r>
              <w:rPr>
                <w:rFonts w:hint="eastAsia"/>
                <w:sz w:val="24"/>
                <w:szCs w:val="24"/>
              </w:rPr>
              <w:t>★Portal系统软件著作证书；</w:t>
            </w:r>
          </w:p>
          <w:p>
            <w:pPr>
              <w:rPr>
                <w:sz w:val="24"/>
                <w:szCs w:val="24"/>
              </w:rPr>
            </w:pPr>
            <w:r>
              <w:rPr>
                <w:rFonts w:hint="eastAsia"/>
                <w:sz w:val="24"/>
                <w:szCs w:val="24"/>
              </w:rPr>
              <w:t>★提供用户管理系统的软件著作权证书。</w:t>
            </w:r>
          </w:p>
          <w:p>
            <w:pPr>
              <w:rPr>
                <w:rFonts w:asciiTheme="minorHAnsi" w:hAnsiTheme="minorHAnsi" w:eastAsiaTheme="minorEastAsia" w:cstheme="minorBidi"/>
                <w:sz w:val="24"/>
                <w:szCs w:val="24"/>
              </w:rPr>
            </w:pPr>
            <w:r>
              <w:rPr>
                <w:rFonts w:hint="eastAsia"/>
                <w:sz w:val="24"/>
                <w:szCs w:val="24"/>
              </w:rPr>
              <w:t>以上证书提供原厂商公章盖章证明复印件（原件备查）</w:t>
            </w:r>
          </w:p>
        </w:tc>
      </w:tr>
    </w:tbl>
    <w:p>
      <w:pPr>
        <w:rPr>
          <w:sz w:val="24"/>
          <w:szCs w:val="24"/>
        </w:rPr>
      </w:pPr>
    </w:p>
    <w:p>
      <w:pPr>
        <w:rPr>
          <w:b/>
          <w:bCs/>
          <w:sz w:val="24"/>
          <w:szCs w:val="24"/>
        </w:rPr>
      </w:pPr>
    </w:p>
    <w:p>
      <w:pPr>
        <w:numPr>
          <w:ilvl w:val="0"/>
          <w:numId w:val="6"/>
        </w:numPr>
        <w:ind w:firstLine="482" w:firstLineChars="200"/>
        <w:rPr>
          <w:b/>
          <w:bCs/>
          <w:sz w:val="24"/>
          <w:szCs w:val="24"/>
        </w:rPr>
      </w:pPr>
      <w:r>
        <w:rPr>
          <w:rFonts w:hint="eastAsia"/>
          <w:b/>
          <w:bCs/>
          <w:sz w:val="24"/>
          <w:szCs w:val="24"/>
        </w:rPr>
        <w:t>机房改造清单的具体要求</w:t>
      </w:r>
    </w:p>
    <w:p>
      <w:pPr>
        <w:pStyle w:val="2"/>
        <w:ind w:left="420" w:leftChars="200"/>
      </w:pPr>
    </w:p>
    <w:p>
      <w:pPr>
        <w:spacing w:line="360" w:lineRule="auto"/>
        <w:ind w:firstLine="480"/>
        <w:rPr>
          <w:rFonts w:ascii="宋体" w:hAnsi="宋体" w:cs="宋体"/>
          <w:sz w:val="24"/>
          <w:szCs w:val="24"/>
        </w:rPr>
      </w:pPr>
      <w:r>
        <w:rPr>
          <w:rFonts w:hint="eastAsia" w:ascii="宋体" w:hAnsi="宋体" w:cs="宋体"/>
          <w:sz w:val="24"/>
          <w:szCs w:val="24"/>
        </w:rPr>
        <w:t>1、中心机房具体要求</w:t>
      </w:r>
    </w:p>
    <w:p>
      <w:pPr>
        <w:spacing w:line="360" w:lineRule="auto"/>
        <w:ind w:firstLine="480"/>
        <w:rPr>
          <w:rFonts w:ascii="宋体" w:hAnsi="宋体" w:cs="宋体"/>
          <w:sz w:val="24"/>
          <w:szCs w:val="24"/>
        </w:rPr>
      </w:pPr>
      <w:r>
        <w:rPr>
          <w:rFonts w:hint="eastAsia" w:ascii="宋体" w:hAnsi="宋体" w:cs="宋体"/>
          <w:sz w:val="24"/>
          <w:szCs w:val="24"/>
        </w:rPr>
        <w:t>（1）机房所有机柜线路的整理包括光纤跳纤梳理、铺设上走线跳纤疏导槽及理线架与新系统割接　</w:t>
      </w:r>
    </w:p>
    <w:p>
      <w:pPr>
        <w:spacing w:line="360" w:lineRule="auto"/>
        <w:ind w:firstLine="480"/>
        <w:rPr>
          <w:rFonts w:ascii="宋体" w:hAnsi="宋体" w:cs="宋体"/>
          <w:sz w:val="24"/>
          <w:szCs w:val="24"/>
        </w:rPr>
      </w:pPr>
      <w:r>
        <w:rPr>
          <w:rFonts w:hint="eastAsia" w:ascii="宋体" w:hAnsi="宋体" w:cs="宋体"/>
          <w:sz w:val="24"/>
          <w:szCs w:val="24"/>
        </w:rPr>
        <w:t>（2）25KV精密空调三台维修，每年四次的空调维护（维护内容包括每一季度进行空调滤网的更换，水槽清洗、室外机的清洗，压力检测等）</w:t>
      </w:r>
    </w:p>
    <w:p>
      <w:pPr>
        <w:spacing w:line="360" w:lineRule="auto"/>
        <w:ind w:firstLine="480"/>
        <w:rPr>
          <w:rFonts w:ascii="宋体" w:hAnsi="宋体" w:cs="宋体"/>
          <w:sz w:val="24"/>
          <w:szCs w:val="24"/>
        </w:rPr>
      </w:pPr>
      <w:r>
        <w:rPr>
          <w:rFonts w:hint="eastAsia" w:ascii="宋体" w:hAnsi="宋体" w:cs="宋体"/>
          <w:sz w:val="24"/>
          <w:szCs w:val="24"/>
        </w:rPr>
        <w:t>2、信息楼机房具体要求</w:t>
      </w:r>
    </w:p>
    <w:p>
      <w:pPr>
        <w:spacing w:line="360" w:lineRule="auto"/>
        <w:ind w:firstLine="480"/>
        <w:rPr>
          <w:rFonts w:ascii="宋体" w:hAnsi="宋体" w:cs="宋体"/>
          <w:sz w:val="24"/>
          <w:szCs w:val="24"/>
        </w:rPr>
      </w:pPr>
      <w:r>
        <w:rPr>
          <w:rFonts w:hint="eastAsia" w:ascii="宋体" w:hAnsi="宋体" w:cs="宋体"/>
          <w:sz w:val="24"/>
          <w:szCs w:val="24"/>
        </w:rPr>
        <w:t xml:space="preserve">（1）房屋面积10.8*6.2  </w:t>
      </w:r>
    </w:p>
    <w:p>
      <w:pPr>
        <w:spacing w:line="360" w:lineRule="auto"/>
        <w:ind w:firstLine="480"/>
        <w:rPr>
          <w:rFonts w:ascii="宋体" w:hAnsi="宋体" w:cs="宋体"/>
          <w:sz w:val="24"/>
          <w:szCs w:val="24"/>
        </w:rPr>
      </w:pPr>
      <w:r>
        <w:rPr>
          <w:rFonts w:hint="eastAsia" w:ascii="宋体" w:hAnsi="宋体" w:cs="宋体"/>
          <w:sz w:val="24"/>
          <w:szCs w:val="24"/>
        </w:rPr>
        <w:t xml:space="preserve">（2）过道约8米需要做塑钢玻璃隔断，开一扇门  </w:t>
      </w:r>
    </w:p>
    <w:p>
      <w:pPr>
        <w:spacing w:line="360" w:lineRule="auto"/>
        <w:ind w:firstLine="480"/>
        <w:rPr>
          <w:rFonts w:ascii="宋体" w:hAnsi="宋体" w:cs="宋体"/>
          <w:sz w:val="24"/>
          <w:szCs w:val="24"/>
        </w:rPr>
      </w:pPr>
      <w:r>
        <w:rPr>
          <w:rFonts w:hint="eastAsia" w:ascii="宋体" w:hAnsi="宋体" w:cs="宋体"/>
          <w:sz w:val="24"/>
          <w:szCs w:val="24"/>
        </w:rPr>
        <w:t>（3）中间的房间有约5米*3.9米的一面石膏板墙要拆除，有2扇窗户，需要加固和密封。</w:t>
      </w:r>
    </w:p>
    <w:p>
      <w:pPr>
        <w:spacing w:line="360" w:lineRule="auto"/>
        <w:ind w:firstLine="480"/>
        <w:rPr>
          <w:rFonts w:ascii="宋体" w:hAnsi="宋体" w:cs="宋体"/>
          <w:sz w:val="24"/>
          <w:szCs w:val="24"/>
        </w:rPr>
      </w:pPr>
      <w:r>
        <w:rPr>
          <w:rFonts w:hint="eastAsia" w:ascii="宋体" w:hAnsi="宋体" w:cs="宋体"/>
          <w:sz w:val="24"/>
          <w:szCs w:val="24"/>
        </w:rPr>
        <w:t>（4）总共有4个窗户，宽1.5-2米，需要做统一的窗台。宽度15-20cm不等。4个窗户配窗帘。</w:t>
      </w:r>
    </w:p>
    <w:p>
      <w:pPr>
        <w:spacing w:line="360" w:lineRule="auto"/>
        <w:ind w:firstLine="480"/>
        <w:rPr>
          <w:rFonts w:ascii="宋体" w:hAnsi="宋体" w:cs="宋体"/>
          <w:sz w:val="24"/>
          <w:szCs w:val="24"/>
        </w:rPr>
      </w:pPr>
      <w:r>
        <w:rPr>
          <w:rFonts w:hint="eastAsia" w:ascii="宋体" w:hAnsi="宋体" w:cs="宋体"/>
          <w:sz w:val="24"/>
          <w:szCs w:val="24"/>
        </w:rPr>
        <w:t>（5）保留原有玻璃隔断，修复隔断框架外包，原有吊装拉门已经损坏，需要安装一个门，或者整体改成其他材质隔断，配塑钢门，透光好，两种方案都可以。</w:t>
      </w:r>
    </w:p>
    <w:p>
      <w:pPr>
        <w:spacing w:line="360" w:lineRule="auto"/>
        <w:ind w:firstLine="480"/>
        <w:rPr>
          <w:rFonts w:ascii="宋体" w:hAnsi="宋体" w:cs="宋体"/>
          <w:sz w:val="24"/>
          <w:szCs w:val="24"/>
        </w:rPr>
      </w:pPr>
      <w:r>
        <w:rPr>
          <w:rFonts w:hint="eastAsia" w:ascii="宋体" w:hAnsi="宋体" w:cs="宋体"/>
          <w:sz w:val="24"/>
          <w:szCs w:val="24"/>
        </w:rPr>
        <w:t>（6）室内家具清单中已经要求，质量符合国家相关标准。</w:t>
      </w:r>
    </w:p>
    <w:p>
      <w:pPr>
        <w:spacing w:line="360" w:lineRule="auto"/>
        <w:ind w:firstLine="480"/>
        <w:rPr>
          <w:rFonts w:ascii="宋体" w:hAnsi="宋体" w:cs="宋体"/>
          <w:sz w:val="24"/>
          <w:szCs w:val="24"/>
        </w:rPr>
      </w:pPr>
      <w:r>
        <w:rPr>
          <w:rFonts w:hint="eastAsia" w:ascii="宋体" w:hAnsi="宋体" w:cs="宋体"/>
          <w:sz w:val="24"/>
          <w:szCs w:val="24"/>
        </w:rPr>
        <w:t>（7）地面全部拆除，包含原有地下敷设的网线和电线全部拆除。</w:t>
      </w:r>
    </w:p>
    <w:p>
      <w:pPr>
        <w:spacing w:line="360" w:lineRule="auto"/>
        <w:ind w:firstLine="480"/>
        <w:rPr>
          <w:rFonts w:ascii="宋体" w:hAnsi="宋体" w:cs="宋体"/>
          <w:sz w:val="24"/>
          <w:szCs w:val="24"/>
        </w:rPr>
      </w:pPr>
      <w:r>
        <w:rPr>
          <w:rFonts w:hint="eastAsia" w:ascii="宋体" w:hAnsi="宋体" w:cs="宋体"/>
          <w:sz w:val="24"/>
          <w:szCs w:val="24"/>
        </w:rPr>
        <w:t>（8）矿棉板吊顶，60*60LED灯8个。</w:t>
      </w:r>
    </w:p>
    <w:p>
      <w:pPr>
        <w:spacing w:line="360" w:lineRule="auto"/>
        <w:ind w:firstLine="480"/>
        <w:rPr>
          <w:rFonts w:ascii="宋体" w:hAnsi="宋体" w:cs="宋体"/>
          <w:sz w:val="24"/>
          <w:szCs w:val="24"/>
        </w:rPr>
      </w:pPr>
      <w:r>
        <w:rPr>
          <w:rFonts w:hint="eastAsia" w:ascii="宋体" w:hAnsi="宋体" w:cs="宋体"/>
          <w:sz w:val="24"/>
          <w:szCs w:val="24"/>
        </w:rPr>
        <w:t>（9）室内更换小门一个，更换为塑钢材质。小门尺寸约0.9*2.15，小窗拆除封死。</w:t>
      </w:r>
    </w:p>
    <w:p>
      <w:pPr>
        <w:spacing w:line="360" w:lineRule="auto"/>
        <w:ind w:firstLine="480"/>
        <w:rPr>
          <w:rFonts w:ascii="宋体" w:hAnsi="宋体" w:cs="宋体"/>
          <w:sz w:val="24"/>
          <w:szCs w:val="24"/>
        </w:rPr>
      </w:pPr>
      <w:r>
        <w:rPr>
          <w:rFonts w:hint="eastAsia" w:ascii="宋体" w:hAnsi="宋体" w:cs="宋体"/>
          <w:sz w:val="24"/>
          <w:szCs w:val="24"/>
        </w:rPr>
        <w:t>（10）室内暖气恢复，4个窗户下各一处。</w:t>
      </w:r>
    </w:p>
    <w:p>
      <w:pPr>
        <w:spacing w:line="360" w:lineRule="auto"/>
        <w:ind w:firstLine="480"/>
        <w:rPr>
          <w:rFonts w:ascii="宋体" w:hAnsi="宋体" w:cs="宋体"/>
          <w:sz w:val="24"/>
          <w:szCs w:val="24"/>
        </w:rPr>
      </w:pPr>
      <w:r>
        <w:rPr>
          <w:rFonts w:hint="eastAsia" w:ascii="宋体" w:hAnsi="宋体" w:cs="宋体"/>
          <w:sz w:val="24"/>
          <w:szCs w:val="24"/>
        </w:rPr>
        <w:t>（11）室内原有本楼内网络设备按照要求移位，原有保留线缆移位。</w:t>
      </w:r>
    </w:p>
    <w:p>
      <w:pPr>
        <w:spacing w:line="360" w:lineRule="auto"/>
        <w:ind w:firstLine="480"/>
        <w:rPr>
          <w:rFonts w:ascii="宋体" w:hAnsi="宋体" w:cs="宋体"/>
          <w:sz w:val="24"/>
          <w:szCs w:val="24"/>
        </w:rPr>
      </w:pPr>
      <w:r>
        <w:rPr>
          <w:rFonts w:hint="eastAsia" w:ascii="宋体" w:hAnsi="宋体" w:cs="宋体"/>
          <w:sz w:val="24"/>
          <w:szCs w:val="24"/>
        </w:rPr>
        <w:t xml:space="preserve">（12）原有配电柜和配电箱拆除  </w:t>
      </w:r>
    </w:p>
    <w:p>
      <w:pPr>
        <w:spacing w:line="360" w:lineRule="auto"/>
        <w:ind w:firstLine="480"/>
        <w:rPr>
          <w:rFonts w:ascii="宋体" w:hAnsi="宋体" w:cs="宋体"/>
          <w:sz w:val="24"/>
          <w:szCs w:val="24"/>
        </w:rPr>
      </w:pPr>
      <w:r>
        <w:rPr>
          <w:rFonts w:hint="eastAsia" w:ascii="宋体" w:hAnsi="宋体" w:cs="宋体"/>
          <w:sz w:val="24"/>
          <w:szCs w:val="24"/>
        </w:rPr>
        <w:t>（13）3台5P柜式空调维修、每年两次的空调维护及外机清洗，1台空调室外机移位重新安装，1台空调移至东泉校区机房安装。</w:t>
      </w:r>
    </w:p>
    <w:p>
      <w:pPr>
        <w:spacing w:line="360" w:lineRule="auto"/>
        <w:ind w:firstLine="480"/>
        <w:rPr>
          <w:rFonts w:ascii="宋体" w:hAnsi="宋体" w:cs="宋体"/>
          <w:sz w:val="24"/>
          <w:szCs w:val="24"/>
        </w:rPr>
      </w:pPr>
      <w:r>
        <w:rPr>
          <w:rFonts w:hint="eastAsia" w:ascii="宋体" w:hAnsi="宋体" w:cs="宋体"/>
          <w:sz w:val="24"/>
          <w:szCs w:val="24"/>
        </w:rPr>
        <w:t>（14）室内物品清理，装修完成后，分类清点造册搬回。</w:t>
      </w:r>
    </w:p>
    <w:p>
      <w:pPr>
        <w:spacing w:line="360" w:lineRule="auto"/>
        <w:ind w:firstLine="480"/>
        <w:rPr>
          <w:rFonts w:ascii="宋体" w:hAnsi="宋体" w:cs="宋体"/>
          <w:sz w:val="24"/>
          <w:szCs w:val="24"/>
        </w:rPr>
      </w:pPr>
      <w:r>
        <w:rPr>
          <w:rFonts w:hint="eastAsia" w:ascii="宋体" w:hAnsi="宋体" w:cs="宋体"/>
          <w:sz w:val="24"/>
          <w:szCs w:val="24"/>
        </w:rPr>
        <w:t>（15）最内间有约3米*3.9米隔断，透光面积不少于3平方，采光好，带塑钢门。</w:t>
      </w:r>
    </w:p>
    <w:p>
      <w:pPr>
        <w:spacing w:line="360" w:lineRule="auto"/>
        <w:ind w:firstLine="480"/>
        <w:rPr>
          <w:rFonts w:ascii="宋体" w:hAnsi="宋体" w:cs="宋体"/>
          <w:sz w:val="24"/>
          <w:szCs w:val="24"/>
        </w:rPr>
      </w:pPr>
      <w:r>
        <w:rPr>
          <w:rFonts w:hint="eastAsia" w:ascii="宋体" w:hAnsi="宋体" w:cs="宋体"/>
          <w:sz w:val="24"/>
          <w:szCs w:val="24"/>
        </w:rPr>
        <w:t>（16）所有不用机柜需要拆解，包含其它需要拆解的金属结构物件。</w:t>
      </w:r>
    </w:p>
    <w:p>
      <w:pPr>
        <w:spacing w:line="360" w:lineRule="auto"/>
        <w:ind w:firstLine="480"/>
        <w:rPr>
          <w:rFonts w:ascii="宋体" w:hAnsi="宋体" w:cs="宋体"/>
          <w:sz w:val="24"/>
          <w:szCs w:val="24"/>
        </w:rPr>
      </w:pPr>
      <w:r>
        <w:rPr>
          <w:rFonts w:hint="eastAsia" w:ascii="宋体" w:hAnsi="宋体" w:cs="宋体"/>
          <w:sz w:val="24"/>
          <w:szCs w:val="24"/>
        </w:rPr>
        <w:t>（17）地上安装电源插座，满足学生学习要求，数量约20处。</w:t>
      </w:r>
    </w:p>
    <w:p>
      <w:pPr>
        <w:spacing w:line="360" w:lineRule="auto"/>
        <w:ind w:firstLine="480"/>
        <w:rPr>
          <w:rFonts w:ascii="宋体" w:hAnsi="宋体" w:cs="宋体"/>
          <w:sz w:val="24"/>
          <w:szCs w:val="24"/>
        </w:rPr>
      </w:pPr>
      <w:r>
        <w:rPr>
          <w:rFonts w:hint="eastAsia" w:ascii="宋体" w:hAnsi="宋体" w:cs="宋体"/>
          <w:sz w:val="24"/>
          <w:szCs w:val="24"/>
        </w:rPr>
        <w:t>（18）其他未列出的，但属于装修必备项目，自行增加。</w:t>
      </w:r>
    </w:p>
    <w:p>
      <w:pPr>
        <w:spacing w:line="360" w:lineRule="auto"/>
        <w:ind w:firstLine="480"/>
        <w:rPr>
          <w:rFonts w:ascii="宋体" w:hAnsi="宋体" w:cs="宋体"/>
          <w:sz w:val="24"/>
          <w:szCs w:val="24"/>
        </w:rPr>
      </w:pPr>
      <w:r>
        <w:rPr>
          <w:rFonts w:hint="eastAsia" w:ascii="宋体" w:hAnsi="宋体" w:cs="宋体"/>
          <w:sz w:val="24"/>
          <w:szCs w:val="24"/>
        </w:rPr>
        <w:t>（19）拆除所有原来的网络设备及机柜、配电柜和空调，拆除原有老旧的防静电地板，拆除隔墙，吊顶。</w:t>
      </w:r>
    </w:p>
    <w:p>
      <w:pPr>
        <w:spacing w:line="360" w:lineRule="auto"/>
        <w:ind w:firstLine="480"/>
        <w:rPr>
          <w:rFonts w:ascii="宋体" w:hAnsi="宋体" w:cs="宋体"/>
          <w:sz w:val="24"/>
          <w:szCs w:val="24"/>
        </w:rPr>
      </w:pPr>
      <w:r>
        <w:rPr>
          <w:rFonts w:hint="eastAsia" w:ascii="宋体" w:hAnsi="宋体" w:cs="宋体"/>
          <w:sz w:val="24"/>
          <w:szCs w:val="24"/>
        </w:rPr>
        <w:t>（20）4层仓储货架120cm*cm*200cm 14个,200cm*60cm*105cm接待台桌1张，可折叠移动课桌140cm*55cm*75cm 12张,轮子可上锁，可折叠椅子28个。</w:t>
      </w:r>
    </w:p>
    <w:p>
      <w:pPr>
        <w:numPr>
          <w:ilvl w:val="0"/>
          <w:numId w:val="5"/>
        </w:numPr>
        <w:spacing w:line="360" w:lineRule="auto"/>
        <w:ind w:firstLine="480" w:firstLineChars="200"/>
        <w:rPr>
          <w:rFonts w:ascii="宋体" w:hAnsi="宋体" w:cs="宋体"/>
          <w:sz w:val="24"/>
          <w:szCs w:val="24"/>
        </w:rPr>
      </w:pPr>
      <w:r>
        <w:rPr>
          <w:rFonts w:hint="eastAsia" w:ascii="宋体" w:hAnsi="宋体" w:cs="宋体"/>
          <w:sz w:val="24"/>
          <w:szCs w:val="24"/>
        </w:rPr>
        <w:t>屯河校区汇聚机房</w:t>
      </w:r>
    </w:p>
    <w:p>
      <w:pPr>
        <w:spacing w:line="360" w:lineRule="auto"/>
        <w:ind w:firstLine="480" w:firstLineChars="200"/>
        <w:rPr>
          <w:rFonts w:ascii="宋体" w:hAnsi="宋体" w:cs="宋体"/>
          <w:sz w:val="24"/>
          <w:szCs w:val="24"/>
        </w:rPr>
      </w:pPr>
      <w:r>
        <w:rPr>
          <w:rFonts w:hint="eastAsia" w:ascii="宋体" w:hAnsi="宋体" w:cs="宋体"/>
          <w:sz w:val="24"/>
          <w:szCs w:val="24"/>
        </w:rPr>
        <w:t>（1）制作塑钢隔断，面积约9平方。</w:t>
      </w:r>
    </w:p>
    <w:p>
      <w:pPr>
        <w:spacing w:line="360" w:lineRule="auto"/>
        <w:ind w:firstLine="480" w:firstLineChars="200"/>
        <w:rPr>
          <w:rFonts w:ascii="宋体" w:hAnsi="宋体" w:cs="宋体"/>
          <w:sz w:val="24"/>
          <w:szCs w:val="24"/>
        </w:rPr>
      </w:pPr>
      <w:r>
        <w:rPr>
          <w:rFonts w:hint="eastAsia" w:ascii="宋体" w:hAnsi="宋体" w:cs="宋体"/>
          <w:sz w:val="24"/>
          <w:szCs w:val="24"/>
        </w:rPr>
        <w:t>（2）配电箱一套（含一总控5路输出）为照明、机柜等设备供电.</w:t>
      </w:r>
    </w:p>
    <w:p>
      <w:pPr>
        <w:spacing w:line="360" w:lineRule="auto"/>
        <w:ind w:firstLine="480" w:firstLineChars="200"/>
        <w:rPr>
          <w:rFonts w:ascii="宋体" w:hAnsi="宋体" w:cs="宋体"/>
          <w:sz w:val="24"/>
          <w:szCs w:val="24"/>
        </w:rPr>
      </w:pPr>
      <w:r>
        <w:rPr>
          <w:rFonts w:hint="eastAsia" w:ascii="宋体" w:hAnsi="宋体" w:cs="宋体"/>
          <w:sz w:val="24"/>
          <w:szCs w:val="24"/>
        </w:rPr>
        <w:t>（3）屯河校区光缆汇聚点迁移，汇聚机柜及设备迁移，原汇聚点保留网线整理1批。</w:t>
      </w:r>
    </w:p>
    <w:p>
      <w:pPr>
        <w:spacing w:line="360" w:lineRule="auto"/>
        <w:ind w:firstLine="480"/>
        <w:rPr>
          <w:rFonts w:ascii="宋体" w:hAnsi="宋体" w:cs="宋体"/>
          <w:sz w:val="24"/>
          <w:szCs w:val="24"/>
        </w:rPr>
      </w:pPr>
      <w:r>
        <w:rPr>
          <w:rFonts w:hint="eastAsia" w:ascii="宋体" w:hAnsi="宋体" w:cs="宋体"/>
          <w:sz w:val="24"/>
          <w:szCs w:val="24"/>
        </w:rPr>
        <w:t>4、东泉校区汇聚机房</w:t>
      </w:r>
    </w:p>
    <w:p>
      <w:pPr>
        <w:spacing w:line="360" w:lineRule="auto"/>
        <w:ind w:firstLine="480" w:firstLineChars="200"/>
        <w:rPr>
          <w:rFonts w:ascii="宋体" w:hAnsi="宋体" w:cs="宋体"/>
          <w:sz w:val="24"/>
          <w:szCs w:val="24"/>
        </w:rPr>
      </w:pPr>
      <w:r>
        <w:rPr>
          <w:rFonts w:hint="eastAsia" w:ascii="宋体" w:hAnsi="宋体" w:cs="宋体"/>
          <w:sz w:val="24"/>
          <w:szCs w:val="24"/>
        </w:rPr>
        <w:t>（1）原木质门窗，更换为塑钢窗及防盗门。</w:t>
      </w:r>
    </w:p>
    <w:p>
      <w:pPr>
        <w:spacing w:line="360" w:lineRule="auto"/>
        <w:ind w:firstLine="480" w:firstLineChars="200"/>
        <w:rPr>
          <w:rFonts w:ascii="宋体" w:hAnsi="宋体" w:cs="宋体"/>
          <w:sz w:val="24"/>
          <w:szCs w:val="24"/>
        </w:rPr>
      </w:pPr>
      <w:r>
        <w:rPr>
          <w:rFonts w:hint="eastAsia" w:ascii="宋体" w:hAnsi="宋体" w:cs="宋体"/>
          <w:sz w:val="24"/>
          <w:szCs w:val="24"/>
        </w:rPr>
        <w:t>（2）做矿棉板吊顶（600*600）、平板LED照明灯具（600*600）8个、瓷面防静电地板、塑钢材质隔断3.7*3.44。</w:t>
      </w:r>
    </w:p>
    <w:p>
      <w:pPr>
        <w:spacing w:line="360" w:lineRule="auto"/>
        <w:ind w:firstLine="480" w:firstLineChars="200"/>
        <w:rPr>
          <w:rFonts w:ascii="宋体" w:hAnsi="宋体" w:cs="宋体"/>
          <w:sz w:val="24"/>
          <w:szCs w:val="24"/>
        </w:rPr>
      </w:pPr>
      <w:r>
        <w:rPr>
          <w:rFonts w:hint="eastAsia" w:ascii="宋体" w:hAnsi="宋体" w:cs="宋体"/>
          <w:sz w:val="24"/>
          <w:szCs w:val="24"/>
        </w:rPr>
        <w:t>（3）网络信息点5处。</w:t>
      </w:r>
    </w:p>
    <w:p>
      <w:pPr>
        <w:spacing w:line="360" w:lineRule="auto"/>
        <w:ind w:firstLine="480" w:firstLineChars="200"/>
        <w:rPr>
          <w:rFonts w:ascii="宋体" w:hAnsi="宋体" w:cs="宋体"/>
          <w:sz w:val="24"/>
          <w:szCs w:val="24"/>
        </w:rPr>
      </w:pPr>
      <w:r>
        <w:rPr>
          <w:rFonts w:hint="eastAsia" w:ascii="宋体" w:hAnsi="宋体" w:cs="宋体"/>
          <w:sz w:val="24"/>
          <w:szCs w:val="24"/>
        </w:rPr>
        <w:t>（4）配电箱一套（一总控 8路输出）机柜、照明、空调供电、地面6处供电插板、墙面粉刷翻新刷乳胶漆、静电地板下地面做防尘漆处理。</w:t>
      </w:r>
    </w:p>
    <w:p>
      <w:pPr>
        <w:pStyle w:val="123"/>
        <w:ind w:firstLine="0" w:firstLineChars="0"/>
        <w:rPr>
          <w:b/>
          <w:sz w:val="28"/>
        </w:rPr>
      </w:pPr>
      <w:r>
        <w:rPr>
          <w:rFonts w:hint="eastAsia"/>
          <w:b/>
          <w:sz w:val="28"/>
        </w:rPr>
        <w:t>五</w:t>
      </w:r>
      <w:r>
        <w:rPr>
          <w:b/>
          <w:sz w:val="28"/>
        </w:rPr>
        <w:t>、其他要求：</w:t>
      </w:r>
    </w:p>
    <w:p>
      <w:pPr>
        <w:snapToGrid w:val="0"/>
        <w:spacing w:line="360" w:lineRule="auto"/>
        <w:ind w:firstLine="480" w:firstLineChars="200"/>
        <w:rPr>
          <w:rFonts w:ascii="宋体" w:hAnsi="宋体"/>
          <w:color w:val="000000"/>
          <w:sz w:val="24"/>
          <w:szCs w:val="24"/>
        </w:rPr>
      </w:pPr>
      <w:r>
        <w:rPr>
          <w:rFonts w:ascii="宋体" w:hAnsi="宋体"/>
          <w:color w:val="000000"/>
          <w:sz w:val="24"/>
          <w:szCs w:val="24"/>
        </w:rPr>
        <w:t>投标人免费提供安装、调试、培训。</w:t>
      </w:r>
    </w:p>
    <w:p>
      <w:pPr>
        <w:pStyle w:val="123"/>
        <w:ind w:firstLine="0" w:firstLineChars="0"/>
        <w:rPr>
          <w:b/>
          <w:sz w:val="28"/>
        </w:rPr>
      </w:pPr>
      <w:r>
        <w:rPr>
          <w:rFonts w:hint="eastAsia"/>
          <w:b/>
          <w:sz w:val="28"/>
        </w:rPr>
        <w:t>六</w:t>
      </w:r>
      <w:r>
        <w:rPr>
          <w:b/>
          <w:sz w:val="28"/>
        </w:rPr>
        <w:t>、交货地点</w:t>
      </w:r>
    </w:p>
    <w:p>
      <w:pPr>
        <w:snapToGrid w:val="0"/>
        <w:spacing w:line="360" w:lineRule="auto"/>
        <w:ind w:firstLine="480" w:firstLineChars="200"/>
        <w:rPr>
          <w:rFonts w:ascii="宋体" w:hAnsi="宋体"/>
          <w:color w:val="000000"/>
          <w:sz w:val="24"/>
          <w:szCs w:val="24"/>
        </w:rPr>
      </w:pPr>
      <w:r>
        <w:rPr>
          <w:rFonts w:ascii="宋体" w:hAnsi="宋体"/>
          <w:color w:val="000000"/>
          <w:sz w:val="24"/>
          <w:szCs w:val="24"/>
        </w:rPr>
        <w:t>新疆农业职业技术学院。</w:t>
      </w:r>
    </w:p>
    <w:p>
      <w:pPr>
        <w:pStyle w:val="123"/>
        <w:ind w:firstLine="0" w:firstLineChars="0"/>
        <w:rPr>
          <w:b/>
          <w:sz w:val="28"/>
        </w:rPr>
      </w:pPr>
      <w:r>
        <w:rPr>
          <w:rFonts w:hint="eastAsia"/>
          <w:b/>
          <w:sz w:val="28"/>
        </w:rPr>
        <w:t>七、验收方式</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1、中标人必须保证所供应货物的有效期、质保期应满足采购人要求</w:t>
      </w:r>
      <w:r>
        <w:rPr>
          <w:rFonts w:hint="eastAsia" w:ascii="宋体" w:hAnsi="宋体" w:cs="宋体"/>
          <w:bCs/>
          <w:sz w:val="24"/>
          <w:szCs w:val="24"/>
        </w:rPr>
        <w:t>。</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2、采购人按质量标准和具体要求，对所有货物进行逐件核验（包装、产品名称、文号、批号、商标、规格、生产日期、失效日期、贮存条件、防伪标识、作用与用途、用法与用量、企业名称等）。采购人经核验发现该批货物不符合具体要求的，于到货之日起5个工作日内电话或书面通知中标人并退回，所产生的费用由中标人负责。</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3、供货方应提供质量合格检定证明文件、储藏运输条件说明、使用说明等，并将产品说明资料（原装彩印）作为投标文件附件一并提供。产品说明书内注意事项与包装说明必须一致。</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4、在采购人查验货物时如数量少于定货数量，以采购人实际收到的数量为准，按采购人要求决定是否补发；如数量多于定货数量，由采购人根据需要决定接受或退货。</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5、货物在运输过程中出现的破损或失效由中标人负责。</w:t>
      </w:r>
    </w:p>
    <w:p>
      <w:pPr>
        <w:pStyle w:val="123"/>
        <w:ind w:firstLine="0" w:firstLineChars="0"/>
        <w:rPr>
          <w:b/>
          <w:sz w:val="28"/>
        </w:rPr>
      </w:pPr>
      <w:r>
        <w:rPr>
          <w:rFonts w:hint="eastAsia"/>
          <w:b/>
          <w:sz w:val="28"/>
        </w:rPr>
        <w:t>八、质量责任</w:t>
      </w:r>
    </w:p>
    <w:p>
      <w:pPr>
        <w:snapToGrid w:val="0"/>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1、采购人在货物的使用过程中，如发现质量、效果差的，采购人有权停止采购该中标产品，将库存产品做退货处理，其采购合同未执行数量由其余中标人履行。其造成的一切损失由中标人自行承担。</w:t>
      </w:r>
    </w:p>
    <w:p>
      <w:pPr>
        <w:snapToGrid w:val="0"/>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2、若在产品的使用过程中，发现中标人所提供的全部产品出现质量问题，采购人有权停止采购该产品，终止该中标人的采购合同，并追究其违约责任。</w:t>
      </w:r>
    </w:p>
    <w:p>
      <w:pPr>
        <w:pStyle w:val="123"/>
        <w:ind w:firstLine="0" w:firstLineChars="0"/>
        <w:rPr>
          <w:b/>
          <w:sz w:val="28"/>
        </w:rPr>
      </w:pPr>
      <w:bookmarkStart w:id="97" w:name="_Toc468628452"/>
      <w:r>
        <w:rPr>
          <w:rFonts w:hint="eastAsia"/>
          <w:b/>
          <w:sz w:val="28"/>
        </w:rPr>
        <w:t>九、质量保证及售后服务</w:t>
      </w:r>
      <w:bookmarkEnd w:id="97"/>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（一）培训：采购人根据中标人的承诺，协商培训时间、地点及方式。 </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（二）优惠承诺：按照投标人承诺为准。</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（三）投标人需要其他详细阐明的：</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1、所投货物的免费质量保证期：按生产商及国家有关规定。</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2、质保期内服务基本要求：</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2.1中标人应在产品的质保期内保证产品的质量。</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2.2质保期内中标人接到采购人产品出现问题的通知后，至少满足24小时内到达产品使用现场，进行处理。除不可抗力和使用方责任外，费用全部由中标人承担。质保期内经采购方认定不符合质量要求的，按合同约定承担违约责任，中标人应及时收回不合格产品，所产生的费用由厂家自行负责，采购方应立即停止合同。</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2.3中标人免费提供技术咨询和相关宣传资料。如采购人需要，中标人应免费提供有关知识培训。</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3、质保期外服务基本要求：</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中标人接到使用方产品出现问题的通知后，24小时内到达产品现场，进行处理，并提供异常反应处理方案。</w:t>
      </w:r>
    </w:p>
    <w:p>
      <w:pPr>
        <w:pStyle w:val="4"/>
        <w:spacing w:beforeLines="50" w:afterLines="50" w:line="360" w:lineRule="auto"/>
        <w:rPr>
          <w:rFonts w:ascii="宋体" w:hAnsi="宋体" w:eastAsia="宋体" w:cs="宋体"/>
          <w:sz w:val="28"/>
          <w:szCs w:val="28"/>
        </w:rPr>
      </w:pPr>
      <w:r>
        <w:rPr>
          <w:rFonts w:hint="eastAsia" w:ascii="宋体" w:hAnsi="宋体" w:eastAsia="宋体" w:cs="宋体"/>
          <w:sz w:val="28"/>
          <w:szCs w:val="28"/>
        </w:rPr>
        <w:t>十、知识产权</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pStyle w:val="4"/>
        <w:spacing w:beforeLines="50" w:afterLines="50" w:line="360" w:lineRule="auto"/>
        <w:rPr>
          <w:rFonts w:cs="宋体" w:asciiTheme="majorEastAsia" w:hAnsiTheme="majorEastAsia" w:eastAsiaTheme="majorEastAsia"/>
          <w:sz w:val="28"/>
          <w:szCs w:val="28"/>
        </w:rPr>
      </w:pPr>
      <w:bookmarkStart w:id="98" w:name="_Toc267320053"/>
      <w:bookmarkStart w:id="99" w:name="_Toc468628454"/>
      <w:r>
        <w:rPr>
          <w:rFonts w:hint="eastAsia" w:cs="宋体" w:asciiTheme="majorEastAsia" w:hAnsiTheme="majorEastAsia" w:eastAsiaTheme="majorEastAsia"/>
          <w:sz w:val="28"/>
          <w:szCs w:val="28"/>
        </w:rPr>
        <w:t>十一、培训</w:t>
      </w:r>
      <w:bookmarkEnd w:id="98"/>
      <w:bookmarkEnd w:id="99"/>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供应商应对其提供产品的使用和操作应尽培训义务。供应商应按采购人要求提供免费培训，使采购人使用人员能够正常使用。</w:t>
      </w:r>
    </w:p>
    <w:p>
      <w:pPr>
        <w:pStyle w:val="4"/>
        <w:spacing w:beforeLines="50" w:afterLines="50" w:line="360" w:lineRule="auto"/>
        <w:rPr>
          <w:rFonts w:cs="宋体" w:asciiTheme="minorEastAsia" w:hAnsiTheme="minorEastAsia" w:eastAsiaTheme="minorEastAsia"/>
          <w:sz w:val="28"/>
          <w:szCs w:val="28"/>
        </w:rPr>
      </w:pPr>
      <w:bookmarkStart w:id="100" w:name="_Toc267320054"/>
      <w:bookmarkStart w:id="101" w:name="_Toc468628455"/>
      <w:r>
        <w:rPr>
          <w:rFonts w:hint="eastAsia" w:cs="宋体" w:asciiTheme="minorEastAsia" w:hAnsiTheme="minorEastAsia" w:eastAsiaTheme="minorEastAsia"/>
          <w:sz w:val="28"/>
          <w:szCs w:val="28"/>
        </w:rPr>
        <w:t>十二、其他</w:t>
      </w:r>
      <w:bookmarkEnd w:id="100"/>
      <w:bookmarkEnd w:id="101"/>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（一）投标人必须在投标文件中对以上条款和服务承诺明确列出，承诺内容必须达到本篇及招标文件其他条款的要求。</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（二）其他未尽事宜由供需双方在采购合同中详细约定。</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（三）若中标人不能按招标文件规定的交货期正常交货，采购人有权终止采购合同，取消其中标资格。</w:t>
      </w:r>
    </w:p>
    <w:p>
      <w:pPr>
        <w:snapToGrid w:val="0"/>
        <w:spacing w:beforeLines="50" w:afterLines="50" w:line="360" w:lineRule="auto"/>
        <w:ind w:firstLine="480" w:firstLineChars="200"/>
        <w:rPr>
          <w:rFonts w:ascii="宋体" w:hAnsi="宋体" w:cs="宋体"/>
          <w:kern w:val="0"/>
          <w:sz w:val="24"/>
          <w:szCs w:val="24"/>
        </w:rPr>
      </w:pPr>
      <w:r>
        <w:rPr>
          <w:rFonts w:hint="eastAsia" w:ascii="宋体" w:hAnsi="宋体" w:cs="宋体"/>
          <w:kern w:val="0"/>
          <w:sz w:val="24"/>
          <w:szCs w:val="24"/>
        </w:rPr>
        <w:t>（四）采购人根据国家政策调整情况，享有本次采购货物品种、类别、数量调整的权利。</w:t>
      </w:r>
    </w:p>
    <w:p>
      <w:pPr>
        <w:autoSpaceDE w:val="0"/>
        <w:autoSpaceDN w:val="0"/>
        <w:adjustRightInd w:val="0"/>
        <w:spacing w:line="360" w:lineRule="auto"/>
        <w:ind w:firstLine="480" w:firstLineChars="200"/>
        <w:jc w:val="left"/>
        <w:rPr>
          <w:rFonts w:ascii="Arial" w:hAnsi="Arial" w:cs="Arial"/>
          <w:b/>
          <w:sz w:val="32"/>
          <w:szCs w:val="32"/>
        </w:rPr>
      </w:pPr>
      <w:r>
        <w:rPr>
          <w:rFonts w:hint="eastAsia" w:ascii="宋体" w:hAnsi="宋体" w:cs="宋体"/>
          <w:kern w:val="0"/>
          <w:sz w:val="24"/>
          <w:szCs w:val="24"/>
        </w:rPr>
        <w:t>（五）采购人有权对中标人供应的每一个批次的产品进行产品质量的抽检和效果评价，经检测和评价不符合国家相关标准和要求的，对产-品进行退货、中止合同且上报监督部门对其进行处罚。</w:t>
      </w:r>
    </w:p>
    <w:p>
      <w:pPr>
        <w:pStyle w:val="173"/>
        <w:rPr>
          <w:rFonts w:hint="default"/>
        </w:rPr>
      </w:pPr>
    </w:p>
    <w:p>
      <w:pPr>
        <w:pStyle w:val="173"/>
        <w:rPr>
          <w:rFonts w:hint="default"/>
        </w:rPr>
      </w:pPr>
    </w:p>
    <w:p>
      <w:pPr>
        <w:pStyle w:val="173"/>
        <w:rPr>
          <w:rFonts w:hint="default"/>
        </w:rPr>
      </w:pPr>
    </w:p>
    <w:p>
      <w:pPr>
        <w:autoSpaceDE w:val="0"/>
        <w:autoSpaceDN w:val="0"/>
        <w:adjustRightInd w:val="0"/>
        <w:spacing w:line="360" w:lineRule="auto"/>
        <w:jc w:val="center"/>
        <w:rPr>
          <w:rFonts w:ascii="Arial" w:hAnsi="Arial" w:cs="Arial"/>
          <w:b/>
          <w:sz w:val="32"/>
          <w:szCs w:val="32"/>
        </w:rPr>
      </w:pPr>
    </w:p>
    <w:p>
      <w:pPr>
        <w:autoSpaceDE w:val="0"/>
        <w:autoSpaceDN w:val="0"/>
        <w:adjustRightInd w:val="0"/>
        <w:spacing w:line="360" w:lineRule="auto"/>
        <w:jc w:val="center"/>
        <w:rPr>
          <w:sz w:val="24"/>
        </w:rPr>
      </w:pPr>
      <w:r>
        <w:rPr>
          <w:rFonts w:ascii="Arial" w:hAnsi="Arial" w:cs="Arial"/>
          <w:b/>
          <w:sz w:val="32"/>
          <w:szCs w:val="32"/>
        </w:rPr>
        <w:t>第四</w:t>
      </w:r>
      <w:r>
        <w:rPr>
          <w:rFonts w:hint="eastAsia" w:ascii="Arial" w:hAnsi="Arial" w:cs="Arial"/>
          <w:b/>
          <w:sz w:val="32"/>
          <w:szCs w:val="32"/>
        </w:rPr>
        <w:t xml:space="preserve">章  </w:t>
      </w:r>
      <w:r>
        <w:rPr>
          <w:rFonts w:ascii="Arial" w:hAnsi="Arial" w:cs="Arial"/>
          <w:b/>
          <w:sz w:val="32"/>
          <w:szCs w:val="32"/>
        </w:rPr>
        <w:t>合同条款</w:t>
      </w:r>
      <w:bookmarkStart w:id="102" w:name="_Toc455412769"/>
      <w:bookmarkStart w:id="103" w:name="_Toc381724073"/>
      <w:r>
        <w:rPr>
          <w:rFonts w:hint="eastAsia" w:ascii="Arial" w:hAnsi="Arial" w:cs="Arial"/>
          <w:b/>
          <w:sz w:val="32"/>
          <w:szCs w:val="32"/>
        </w:rPr>
        <w:t>（仅供参考）</w:t>
      </w:r>
    </w:p>
    <w:bookmarkEnd w:id="102"/>
    <w:bookmarkEnd w:id="103"/>
    <w:p>
      <w:pPr>
        <w:spacing w:line="360" w:lineRule="auto"/>
        <w:rPr>
          <w:rFonts w:ascii="宋体" w:hAnsi="宋体"/>
          <w:sz w:val="24"/>
        </w:rPr>
      </w:pPr>
      <w:r>
        <w:rPr>
          <w:rFonts w:hint="eastAsia" w:ascii="宋体" w:hAnsi="宋体"/>
          <w:sz w:val="24"/>
        </w:rPr>
        <w:t>1、定义</w:t>
      </w:r>
    </w:p>
    <w:p>
      <w:pPr>
        <w:spacing w:line="360" w:lineRule="auto"/>
        <w:ind w:firstLine="240" w:firstLineChars="100"/>
        <w:rPr>
          <w:rFonts w:ascii="宋体" w:hAnsi="宋体"/>
          <w:sz w:val="24"/>
        </w:rPr>
      </w:pPr>
      <w:r>
        <w:rPr>
          <w:rFonts w:hint="eastAsia" w:ascii="宋体" w:hAnsi="宋体"/>
          <w:sz w:val="24"/>
        </w:rPr>
        <w:t>1.1 “合同”系指甲方和乙方(以下简称合同双方)已达成的协议，即由双方签订的合同格式文件，包括所有的招标文件、投标文件、答疑纪录、澄清说明、附件、附录和组成合同的所有其他文件。</w:t>
      </w:r>
    </w:p>
    <w:p>
      <w:pPr>
        <w:spacing w:line="360" w:lineRule="auto"/>
        <w:ind w:firstLine="240" w:firstLineChars="100"/>
        <w:rPr>
          <w:rFonts w:ascii="宋体" w:hAnsi="宋体"/>
          <w:sz w:val="24"/>
        </w:rPr>
      </w:pPr>
      <w:r>
        <w:rPr>
          <w:rFonts w:hint="eastAsia" w:ascii="宋体" w:hAnsi="宋体"/>
          <w:sz w:val="24"/>
        </w:rPr>
        <w:t>1.2 “合同价格”系指根据合同规定，在乙方全面正确地履行合同义务时，甲方应支付给乙方的款项。</w:t>
      </w:r>
    </w:p>
    <w:p>
      <w:pPr>
        <w:spacing w:line="360" w:lineRule="auto"/>
        <w:ind w:firstLine="240" w:firstLineChars="100"/>
        <w:rPr>
          <w:rFonts w:ascii="宋体" w:hAnsi="宋体"/>
          <w:sz w:val="24"/>
        </w:rPr>
      </w:pPr>
      <w:r>
        <w:rPr>
          <w:rFonts w:hint="eastAsia" w:ascii="宋体" w:hAnsi="宋体"/>
          <w:sz w:val="24"/>
        </w:rPr>
        <w:t>1.3 “货物”系指乙方按合同要求相关设备。</w:t>
      </w:r>
    </w:p>
    <w:p>
      <w:pPr>
        <w:spacing w:line="360" w:lineRule="auto"/>
        <w:ind w:firstLine="240" w:firstLineChars="100"/>
        <w:rPr>
          <w:rFonts w:ascii="宋体" w:hAnsi="宋体"/>
          <w:sz w:val="24"/>
        </w:rPr>
      </w:pPr>
      <w:r>
        <w:rPr>
          <w:rFonts w:hint="eastAsia" w:ascii="宋体" w:hAnsi="宋体"/>
          <w:sz w:val="24"/>
        </w:rPr>
        <w:t>1.4 “服务”系指合同规定乙方必须承担的类似售后义务</w:t>
      </w:r>
    </w:p>
    <w:p>
      <w:pPr>
        <w:spacing w:line="360" w:lineRule="auto"/>
        <w:ind w:firstLine="240" w:firstLineChars="100"/>
        <w:rPr>
          <w:rFonts w:ascii="宋体" w:hAnsi="宋体"/>
          <w:sz w:val="24"/>
        </w:rPr>
      </w:pPr>
      <w:r>
        <w:rPr>
          <w:rFonts w:hint="eastAsia" w:ascii="宋体" w:hAnsi="宋体"/>
          <w:sz w:val="24"/>
        </w:rPr>
        <w:t>1.5 “甲方”、“买方”、“招标方”均系指通过招标采购，接受合同货物及服务的各行政事业单位、社会团体等采购单位及社会代理公司。</w:t>
      </w:r>
    </w:p>
    <w:p>
      <w:pPr>
        <w:spacing w:line="360" w:lineRule="auto"/>
        <w:ind w:firstLine="240" w:firstLineChars="100"/>
        <w:rPr>
          <w:rFonts w:ascii="宋体" w:hAnsi="宋体"/>
          <w:sz w:val="24"/>
        </w:rPr>
      </w:pPr>
      <w:r>
        <w:rPr>
          <w:rFonts w:hint="eastAsia" w:ascii="宋体" w:hAnsi="宋体"/>
          <w:sz w:val="24"/>
        </w:rPr>
        <w:t>1.6 “乙方”、“卖方”系指中标后提供合同货物和服务的经济实体。</w:t>
      </w:r>
    </w:p>
    <w:p>
      <w:pPr>
        <w:spacing w:line="360" w:lineRule="auto"/>
        <w:ind w:firstLine="240" w:firstLineChars="100"/>
        <w:rPr>
          <w:rFonts w:ascii="宋体" w:hAnsi="宋体"/>
          <w:sz w:val="24"/>
        </w:rPr>
      </w:pPr>
      <w:r>
        <w:rPr>
          <w:rFonts w:hint="eastAsia" w:ascii="宋体" w:hAnsi="宋体"/>
          <w:sz w:val="24"/>
        </w:rPr>
        <w:t>1.7 “现场”系指本次活动的服务地点。</w:t>
      </w:r>
    </w:p>
    <w:p>
      <w:pPr>
        <w:spacing w:line="360" w:lineRule="auto"/>
        <w:ind w:firstLine="240" w:firstLineChars="100"/>
        <w:rPr>
          <w:rFonts w:ascii="宋体" w:hAnsi="宋体"/>
          <w:sz w:val="24"/>
        </w:rPr>
      </w:pPr>
      <w:r>
        <w:rPr>
          <w:rFonts w:hint="eastAsia" w:ascii="宋体" w:hAnsi="宋体"/>
          <w:sz w:val="24"/>
        </w:rPr>
        <w:t>1.8 “验收”系指甲方依据技术规格规定接受合同货物所依据的程序和条件。</w:t>
      </w:r>
    </w:p>
    <w:p>
      <w:pPr>
        <w:spacing w:line="360" w:lineRule="auto"/>
        <w:rPr>
          <w:rFonts w:ascii="宋体" w:hAnsi="宋体"/>
          <w:sz w:val="24"/>
        </w:rPr>
      </w:pPr>
      <w:r>
        <w:rPr>
          <w:rFonts w:hint="eastAsia" w:ascii="宋体" w:hAnsi="宋体"/>
          <w:sz w:val="24"/>
        </w:rPr>
        <w:t>2、适用范围</w:t>
      </w:r>
    </w:p>
    <w:p>
      <w:pPr>
        <w:spacing w:line="360" w:lineRule="auto"/>
        <w:ind w:firstLine="240" w:firstLineChars="100"/>
        <w:rPr>
          <w:rFonts w:ascii="宋体" w:hAnsi="宋体"/>
          <w:sz w:val="24"/>
        </w:rPr>
      </w:pPr>
      <w:r>
        <w:rPr>
          <w:rFonts w:hint="eastAsia" w:ascii="宋体" w:hAnsi="宋体"/>
          <w:sz w:val="24"/>
        </w:rPr>
        <w:t>2.1 本合同条款仅适用于本次招标活动。</w:t>
      </w:r>
    </w:p>
    <w:p>
      <w:pPr>
        <w:spacing w:line="360" w:lineRule="auto"/>
        <w:rPr>
          <w:rFonts w:ascii="宋体" w:hAnsi="宋体"/>
          <w:sz w:val="24"/>
        </w:rPr>
      </w:pPr>
      <w:r>
        <w:rPr>
          <w:rFonts w:hint="eastAsia" w:ascii="宋体" w:hAnsi="宋体"/>
          <w:sz w:val="24"/>
        </w:rPr>
        <w:t>3、原产地</w:t>
      </w:r>
    </w:p>
    <w:p>
      <w:pPr>
        <w:spacing w:line="360" w:lineRule="auto"/>
        <w:ind w:firstLine="240" w:firstLineChars="100"/>
        <w:rPr>
          <w:rFonts w:ascii="宋体" w:hAnsi="宋体"/>
          <w:sz w:val="24"/>
        </w:rPr>
      </w:pPr>
      <w:r>
        <w:rPr>
          <w:rFonts w:hint="eastAsia" w:ascii="宋体" w:hAnsi="宋体"/>
          <w:sz w:val="24"/>
        </w:rPr>
        <w:t>3.1 原产地系指货物的生产地，或提供辅助服务的来源地。</w:t>
      </w:r>
    </w:p>
    <w:p>
      <w:pPr>
        <w:spacing w:line="360" w:lineRule="auto"/>
        <w:rPr>
          <w:rFonts w:ascii="宋体" w:hAnsi="宋体"/>
          <w:sz w:val="24"/>
        </w:rPr>
      </w:pPr>
      <w:r>
        <w:rPr>
          <w:rFonts w:hint="eastAsia" w:ascii="宋体" w:hAnsi="宋体"/>
          <w:sz w:val="24"/>
        </w:rPr>
        <w:t>4、技术规格和标准</w:t>
      </w:r>
    </w:p>
    <w:p>
      <w:pPr>
        <w:spacing w:line="360" w:lineRule="auto"/>
        <w:ind w:firstLine="240" w:firstLineChars="100"/>
        <w:rPr>
          <w:rFonts w:ascii="宋体" w:hAnsi="宋体"/>
          <w:sz w:val="24"/>
        </w:rPr>
      </w:pPr>
      <w:r>
        <w:rPr>
          <w:rFonts w:hint="eastAsia" w:ascii="宋体" w:hAnsi="宋体"/>
          <w:sz w:val="24"/>
        </w:rPr>
        <w:t>4.1本合同项下所供货物的技术规格应与本招标文件技术规格规定的标准相一致。若技术规格中无相应规定，货物则应符合相应的国家标准或有关权威部门最新颁布的相应的正式标准。</w:t>
      </w:r>
    </w:p>
    <w:p>
      <w:pPr>
        <w:spacing w:line="360" w:lineRule="auto"/>
        <w:rPr>
          <w:rFonts w:ascii="宋体" w:hAnsi="宋体"/>
          <w:sz w:val="24"/>
        </w:rPr>
      </w:pPr>
      <w:r>
        <w:rPr>
          <w:rFonts w:hint="eastAsia" w:ascii="宋体" w:hAnsi="宋体"/>
          <w:sz w:val="24"/>
        </w:rPr>
        <w:t>5、专利权</w:t>
      </w:r>
    </w:p>
    <w:p>
      <w:pPr>
        <w:spacing w:line="360" w:lineRule="auto"/>
        <w:ind w:firstLine="240" w:firstLineChars="100"/>
        <w:rPr>
          <w:rFonts w:ascii="宋体" w:hAnsi="宋体"/>
          <w:sz w:val="24"/>
        </w:rPr>
      </w:pPr>
      <w:r>
        <w:rPr>
          <w:rFonts w:hint="eastAsia" w:ascii="宋体" w:hAnsi="宋体"/>
          <w:sz w:val="24"/>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360" w:lineRule="auto"/>
        <w:rPr>
          <w:rFonts w:ascii="宋体" w:hAnsi="宋体"/>
          <w:sz w:val="24"/>
        </w:rPr>
      </w:pPr>
      <w:r>
        <w:rPr>
          <w:rFonts w:hint="eastAsia" w:ascii="宋体" w:hAnsi="宋体"/>
          <w:sz w:val="24"/>
        </w:rPr>
        <w:t>6、包装</w:t>
      </w:r>
    </w:p>
    <w:p>
      <w:pPr>
        <w:spacing w:line="360" w:lineRule="auto"/>
        <w:ind w:firstLine="240" w:firstLineChars="100"/>
        <w:rPr>
          <w:rFonts w:ascii="宋体" w:hAnsi="宋体"/>
          <w:sz w:val="24"/>
        </w:rPr>
      </w:pPr>
      <w:r>
        <w:rPr>
          <w:rFonts w:hint="eastAsia" w:ascii="宋体" w:hAnsi="宋体"/>
          <w:sz w:val="24"/>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360" w:lineRule="auto"/>
        <w:ind w:firstLine="240" w:firstLineChars="100"/>
        <w:rPr>
          <w:rFonts w:ascii="宋体" w:hAnsi="宋体"/>
          <w:sz w:val="24"/>
        </w:rPr>
      </w:pPr>
      <w:r>
        <w:rPr>
          <w:rFonts w:hint="eastAsia" w:ascii="宋体" w:hAnsi="宋体"/>
          <w:sz w:val="24"/>
        </w:rPr>
        <w:t>6.2 每件包装应附有详细装箱单和质量证书各两套，一套在包装箱里，一套在包装箱外。</w:t>
      </w:r>
    </w:p>
    <w:p>
      <w:pPr>
        <w:spacing w:line="360" w:lineRule="auto"/>
        <w:rPr>
          <w:rFonts w:ascii="宋体" w:hAnsi="宋体"/>
          <w:sz w:val="24"/>
        </w:rPr>
      </w:pPr>
      <w:r>
        <w:rPr>
          <w:rFonts w:hint="eastAsia" w:ascii="宋体" w:hAnsi="宋体"/>
          <w:sz w:val="24"/>
        </w:rPr>
        <w:t>7、保险</w:t>
      </w:r>
    </w:p>
    <w:p>
      <w:pPr>
        <w:spacing w:line="360" w:lineRule="auto"/>
        <w:ind w:firstLine="240" w:firstLineChars="100"/>
        <w:rPr>
          <w:rFonts w:ascii="宋体" w:hAnsi="宋体"/>
          <w:sz w:val="24"/>
        </w:rPr>
      </w:pPr>
      <w:r>
        <w:rPr>
          <w:rFonts w:hint="eastAsia" w:ascii="宋体" w:hAnsi="宋体"/>
          <w:sz w:val="24"/>
        </w:rPr>
        <w:t>7.1在合同价条件下，由乙方负责办理保险。</w:t>
      </w:r>
    </w:p>
    <w:p>
      <w:pPr>
        <w:spacing w:line="360" w:lineRule="auto"/>
        <w:rPr>
          <w:rFonts w:ascii="宋体" w:hAnsi="宋体"/>
          <w:sz w:val="24"/>
        </w:rPr>
      </w:pPr>
      <w:r>
        <w:rPr>
          <w:rFonts w:hint="eastAsia" w:ascii="宋体" w:hAnsi="宋体"/>
          <w:sz w:val="24"/>
        </w:rPr>
        <w:t>8、合同价款的支付方式</w:t>
      </w:r>
    </w:p>
    <w:p>
      <w:pPr>
        <w:overflowPunct w:val="0"/>
        <w:spacing w:line="360" w:lineRule="auto"/>
        <w:ind w:firstLine="240" w:firstLineChars="100"/>
        <w:rPr>
          <w:rFonts w:ascii="宋体" w:hAnsi="宋体"/>
          <w:sz w:val="24"/>
        </w:rPr>
      </w:pPr>
      <w:r>
        <w:rPr>
          <w:rFonts w:hint="eastAsia" w:ascii="宋体" w:hAnsi="宋体"/>
          <w:sz w:val="24"/>
        </w:rPr>
        <w:t>8.1 除另有规定者外，本合同价款将由采购人直接向乙方支付。</w:t>
      </w:r>
    </w:p>
    <w:p>
      <w:pPr>
        <w:spacing w:line="360" w:lineRule="auto"/>
        <w:rPr>
          <w:rFonts w:ascii="宋体" w:hAnsi="宋体"/>
          <w:sz w:val="24"/>
        </w:rPr>
      </w:pPr>
      <w:r>
        <w:rPr>
          <w:rFonts w:hint="eastAsia" w:ascii="宋体" w:hAnsi="宋体"/>
          <w:sz w:val="24"/>
        </w:rPr>
        <w:t>9、质量保证</w:t>
      </w:r>
    </w:p>
    <w:p>
      <w:pPr>
        <w:overflowPunct w:val="0"/>
        <w:spacing w:line="360" w:lineRule="auto"/>
        <w:ind w:firstLine="240" w:firstLineChars="100"/>
        <w:rPr>
          <w:rFonts w:ascii="宋体" w:hAnsi="宋体"/>
          <w:sz w:val="24"/>
        </w:rPr>
      </w:pPr>
      <w:r>
        <w:rPr>
          <w:rFonts w:hint="eastAsia" w:ascii="宋体" w:hAnsi="宋体"/>
          <w:sz w:val="24"/>
        </w:rPr>
        <w:t>9.1 在服务最终验收后的质量保证期之内，乙方应对自身缺陷而产生的任何不足或故障负责，费用由乙方负担。</w:t>
      </w:r>
    </w:p>
    <w:p>
      <w:pPr>
        <w:overflowPunct w:val="0"/>
        <w:spacing w:line="360" w:lineRule="auto"/>
        <w:ind w:firstLine="240" w:firstLineChars="100"/>
        <w:rPr>
          <w:rFonts w:ascii="宋体" w:hAnsi="宋体"/>
          <w:sz w:val="24"/>
        </w:rPr>
      </w:pPr>
      <w:r>
        <w:rPr>
          <w:rFonts w:hint="eastAsia" w:ascii="宋体" w:hAnsi="宋体"/>
          <w:sz w:val="24"/>
        </w:rPr>
        <w:t>9.2上述内容以外的保修和售后服务内容为乙方在响应性文件中所承诺的内容。</w:t>
      </w:r>
    </w:p>
    <w:p>
      <w:pPr>
        <w:spacing w:line="360" w:lineRule="auto"/>
        <w:rPr>
          <w:rFonts w:ascii="宋体" w:hAnsi="宋体"/>
          <w:color w:val="000000"/>
          <w:sz w:val="24"/>
        </w:rPr>
      </w:pPr>
      <w:r>
        <w:rPr>
          <w:rFonts w:hint="eastAsia" w:ascii="宋体" w:hAnsi="宋体"/>
          <w:color w:val="000000"/>
          <w:sz w:val="24"/>
        </w:rPr>
        <w:t>10、履约保证金（无）</w:t>
      </w:r>
    </w:p>
    <w:p>
      <w:pPr>
        <w:spacing w:line="360" w:lineRule="auto"/>
        <w:rPr>
          <w:rFonts w:ascii="宋体" w:hAnsi="宋体"/>
          <w:sz w:val="24"/>
        </w:rPr>
      </w:pPr>
      <w:r>
        <w:rPr>
          <w:rFonts w:hint="eastAsia" w:ascii="宋体" w:hAnsi="宋体"/>
          <w:sz w:val="24"/>
        </w:rPr>
        <w:t>11、延期交货与核定损失额</w:t>
      </w:r>
    </w:p>
    <w:p>
      <w:pPr>
        <w:spacing w:line="360" w:lineRule="auto"/>
        <w:ind w:firstLine="240" w:firstLineChars="100"/>
        <w:rPr>
          <w:rFonts w:ascii="宋体" w:hAnsi="宋体"/>
          <w:sz w:val="24"/>
        </w:rPr>
      </w:pPr>
      <w:r>
        <w:rPr>
          <w:rFonts w:hint="eastAsia" w:ascii="宋体" w:hAnsi="宋体"/>
          <w:sz w:val="24"/>
        </w:rPr>
        <w:t>11.1  乙方应按照“投标报价表”规定提供服务，并交付甲方验收使用。</w:t>
      </w:r>
    </w:p>
    <w:p>
      <w:pPr>
        <w:spacing w:line="360" w:lineRule="auto"/>
        <w:rPr>
          <w:rFonts w:ascii="宋体" w:hAnsi="宋体"/>
          <w:sz w:val="24"/>
        </w:rPr>
      </w:pPr>
      <w:r>
        <w:rPr>
          <w:rFonts w:hint="eastAsia" w:ascii="宋体" w:hAnsi="宋体"/>
          <w:sz w:val="24"/>
        </w:rPr>
        <w:t xml:space="preserve">  11.2 如果乙方无正当理由拖延交货，未得到甲方书面同意，将受到以下制裁：</w:t>
      </w:r>
      <w:r>
        <w:rPr>
          <w:rFonts w:hint="eastAsia" w:ascii="宋体" w:hAnsi="宋体"/>
          <w:bCs/>
          <w:sz w:val="24"/>
        </w:rPr>
        <w:t>不予退还履约保证金，加收误期赔偿或终止合同</w:t>
      </w:r>
      <w:r>
        <w:rPr>
          <w:rFonts w:hint="eastAsia" w:ascii="宋体" w:hAnsi="宋体"/>
          <w:sz w:val="24"/>
        </w:rPr>
        <w:t>。</w:t>
      </w:r>
    </w:p>
    <w:p>
      <w:pPr>
        <w:spacing w:line="360" w:lineRule="auto"/>
        <w:ind w:firstLine="240" w:firstLineChars="100"/>
        <w:rPr>
          <w:rFonts w:ascii="宋体" w:hAnsi="宋体"/>
          <w:sz w:val="24"/>
        </w:rPr>
      </w:pPr>
      <w:r>
        <w:rPr>
          <w:rFonts w:hint="eastAsia" w:ascii="宋体" w:hAnsi="宋体"/>
          <w:sz w:val="24"/>
        </w:rPr>
        <w:t>11.3如果乙方未能按合同规定的时间按期交货(不可抗力除外)，在乙方同意支付核定损失额的条件下，甲方将同意延长交货期。核定损失额的支付将从未付款或从履约保证金中扣除。核定损失额比率为每迟交1天，按迟交货物金额的0.5%，不满1天按1天计算，直到扣完为止。如果乙方在达到核定损失额的最高限额后仍不能交货，甲方有权因乙方违约终止合同，而乙方仍有义务支付上述迟交核定损失金额。</w:t>
      </w:r>
    </w:p>
    <w:p>
      <w:pPr>
        <w:spacing w:line="360" w:lineRule="auto"/>
        <w:rPr>
          <w:rFonts w:ascii="宋体" w:hAnsi="宋体"/>
          <w:sz w:val="24"/>
        </w:rPr>
      </w:pPr>
      <w:r>
        <w:rPr>
          <w:rFonts w:hint="eastAsia" w:ascii="宋体" w:hAnsi="宋体"/>
          <w:sz w:val="24"/>
        </w:rPr>
        <w:t>12、不可抗力</w:t>
      </w:r>
    </w:p>
    <w:p>
      <w:pPr>
        <w:spacing w:line="360" w:lineRule="auto"/>
        <w:ind w:firstLine="240" w:firstLineChars="100"/>
        <w:rPr>
          <w:rFonts w:ascii="宋体" w:hAnsi="宋体"/>
          <w:sz w:val="24"/>
        </w:rPr>
      </w:pPr>
      <w:r>
        <w:rPr>
          <w:rFonts w:hint="eastAsia" w:ascii="宋体" w:hAnsi="宋体"/>
          <w:sz w:val="24"/>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360" w:lineRule="auto"/>
        <w:ind w:firstLine="240" w:firstLineChars="100"/>
        <w:rPr>
          <w:rFonts w:ascii="宋体" w:hAnsi="宋体"/>
          <w:sz w:val="24"/>
        </w:rPr>
      </w:pPr>
      <w:r>
        <w:rPr>
          <w:rFonts w:hint="eastAsia" w:ascii="宋体" w:hAnsi="宋体"/>
          <w:sz w:val="24"/>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rPr>
          <w:rFonts w:ascii="宋体" w:hAnsi="宋体"/>
          <w:sz w:val="24"/>
        </w:rPr>
      </w:pPr>
      <w:r>
        <w:rPr>
          <w:rFonts w:hint="eastAsia" w:ascii="宋体" w:hAnsi="宋体"/>
          <w:sz w:val="24"/>
        </w:rPr>
        <w:t>13、仲裁</w:t>
      </w:r>
    </w:p>
    <w:p>
      <w:pPr>
        <w:spacing w:line="360" w:lineRule="auto"/>
        <w:ind w:firstLine="240" w:firstLineChars="100"/>
        <w:rPr>
          <w:rFonts w:ascii="宋体" w:hAnsi="宋体"/>
          <w:sz w:val="24"/>
        </w:rPr>
      </w:pPr>
      <w:r>
        <w:rPr>
          <w:rFonts w:hint="eastAsia" w:ascii="宋体" w:hAnsi="宋体"/>
          <w:sz w:val="24"/>
        </w:rPr>
        <w:t>本项目如有合同争议，解决方式优先选择公安厅机关所在地人民法院，不施行仲裁。</w:t>
      </w:r>
    </w:p>
    <w:p>
      <w:pPr>
        <w:spacing w:line="360" w:lineRule="auto"/>
        <w:rPr>
          <w:rFonts w:ascii="宋体" w:hAnsi="宋体"/>
          <w:sz w:val="24"/>
        </w:rPr>
      </w:pPr>
      <w:r>
        <w:rPr>
          <w:rFonts w:hint="eastAsia" w:ascii="宋体" w:hAnsi="宋体"/>
          <w:sz w:val="24"/>
        </w:rPr>
        <w:t>14、违约终止合同</w:t>
      </w:r>
    </w:p>
    <w:p>
      <w:pPr>
        <w:spacing w:line="360" w:lineRule="auto"/>
        <w:ind w:firstLine="240" w:firstLineChars="100"/>
        <w:rPr>
          <w:rFonts w:ascii="宋体" w:hAnsi="宋体"/>
          <w:sz w:val="24"/>
        </w:rPr>
      </w:pPr>
      <w:r>
        <w:rPr>
          <w:rFonts w:hint="eastAsia" w:ascii="宋体" w:hAnsi="宋体"/>
          <w:sz w:val="24"/>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360" w:lineRule="auto"/>
        <w:rPr>
          <w:rFonts w:ascii="宋体" w:hAnsi="宋体"/>
          <w:sz w:val="24"/>
        </w:rPr>
      </w:pPr>
      <w:r>
        <w:rPr>
          <w:rFonts w:hint="eastAsia" w:ascii="宋体" w:hAnsi="宋体"/>
          <w:sz w:val="24"/>
        </w:rPr>
        <w:t xml:space="preserve">    (1)如果乙方未能在合同规定的期限内或甲方准许的任何延期内交付部分或全部货物。</w:t>
      </w:r>
    </w:p>
    <w:p>
      <w:pPr>
        <w:spacing w:line="360" w:lineRule="auto"/>
        <w:rPr>
          <w:rFonts w:ascii="宋体" w:hAnsi="宋体"/>
          <w:sz w:val="24"/>
        </w:rPr>
      </w:pPr>
      <w:r>
        <w:rPr>
          <w:rFonts w:hint="eastAsia" w:ascii="宋体" w:hAnsi="宋体"/>
          <w:sz w:val="24"/>
        </w:rPr>
        <w:t xml:space="preserve">    (2)乙方未能履行合同项下的其它义务。</w:t>
      </w:r>
    </w:p>
    <w:p>
      <w:pPr>
        <w:spacing w:line="360" w:lineRule="auto"/>
        <w:ind w:firstLine="240" w:firstLineChars="100"/>
        <w:rPr>
          <w:rFonts w:ascii="宋体" w:hAnsi="宋体"/>
          <w:sz w:val="24"/>
        </w:rPr>
      </w:pPr>
      <w:r>
        <w:rPr>
          <w:rFonts w:hint="eastAsia" w:ascii="宋体" w:hAnsi="宋体"/>
          <w:sz w:val="24"/>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360" w:lineRule="auto"/>
        <w:rPr>
          <w:rFonts w:ascii="宋体" w:hAnsi="宋体"/>
          <w:sz w:val="24"/>
        </w:rPr>
      </w:pPr>
      <w:r>
        <w:rPr>
          <w:rFonts w:hint="eastAsia" w:ascii="宋体" w:hAnsi="宋体"/>
          <w:sz w:val="24"/>
        </w:rPr>
        <w:t>15、变更指示</w:t>
      </w:r>
    </w:p>
    <w:p>
      <w:pPr>
        <w:overflowPunct w:val="0"/>
        <w:spacing w:line="360" w:lineRule="auto"/>
        <w:ind w:firstLine="240" w:firstLineChars="100"/>
        <w:rPr>
          <w:rFonts w:ascii="宋体" w:hAnsi="宋体"/>
          <w:sz w:val="24"/>
        </w:rPr>
      </w:pPr>
      <w:r>
        <w:rPr>
          <w:rFonts w:hint="eastAsia" w:ascii="宋体" w:hAnsi="宋体"/>
          <w:sz w:val="24"/>
        </w:rPr>
        <w:t>15.1甲方可以随时向乙方发出书面指示，在合同总体范围内对如下一点或几点提出变更：</w:t>
      </w:r>
    </w:p>
    <w:p>
      <w:pPr>
        <w:overflowPunct w:val="0"/>
        <w:spacing w:line="360" w:lineRule="auto"/>
        <w:rPr>
          <w:rFonts w:ascii="宋体" w:hAnsi="宋体"/>
          <w:sz w:val="24"/>
        </w:rPr>
      </w:pPr>
      <w:r>
        <w:rPr>
          <w:rFonts w:hint="eastAsia" w:ascii="宋体" w:hAnsi="宋体"/>
          <w:spacing w:val="-2"/>
          <w:sz w:val="24"/>
        </w:rPr>
        <w:t>（1）</w:t>
      </w:r>
      <w:r>
        <w:rPr>
          <w:rFonts w:hint="eastAsia" w:ascii="宋体" w:hAnsi="宋体"/>
          <w:sz w:val="24"/>
        </w:rPr>
        <w:t>合同项下需为甲方特殊制定的服务项目；</w:t>
      </w:r>
    </w:p>
    <w:p>
      <w:pPr>
        <w:overflowPunct w:val="0"/>
        <w:spacing w:line="360" w:lineRule="auto"/>
        <w:rPr>
          <w:rFonts w:ascii="宋体" w:hAnsi="宋体"/>
          <w:sz w:val="24"/>
        </w:rPr>
      </w:pPr>
      <w:r>
        <w:rPr>
          <w:rFonts w:hint="eastAsia" w:ascii="宋体" w:hAnsi="宋体"/>
          <w:spacing w:val="-2"/>
          <w:sz w:val="24"/>
        </w:rPr>
        <w:t xml:space="preserve">（2） </w:t>
      </w:r>
      <w:r>
        <w:rPr>
          <w:rFonts w:hint="eastAsia" w:ascii="宋体" w:hAnsi="宋体"/>
          <w:sz w:val="24"/>
        </w:rPr>
        <w:t>服务地点；</w:t>
      </w:r>
    </w:p>
    <w:p>
      <w:pPr>
        <w:overflowPunct w:val="0"/>
        <w:spacing w:line="360" w:lineRule="auto"/>
        <w:rPr>
          <w:rFonts w:ascii="宋体" w:hAnsi="宋体"/>
          <w:sz w:val="24"/>
        </w:rPr>
      </w:pPr>
      <w:r>
        <w:rPr>
          <w:rFonts w:hint="eastAsia" w:ascii="宋体" w:hAnsi="宋体"/>
          <w:spacing w:val="-2"/>
          <w:sz w:val="24"/>
        </w:rPr>
        <w:t xml:space="preserve">（3） </w:t>
      </w:r>
      <w:r>
        <w:rPr>
          <w:rFonts w:hint="eastAsia" w:ascii="宋体" w:hAnsi="宋体"/>
          <w:sz w:val="24"/>
        </w:rPr>
        <w:t>乙方须提供的服务。</w:t>
      </w:r>
    </w:p>
    <w:p>
      <w:pPr>
        <w:overflowPunct w:val="0"/>
        <w:spacing w:line="360" w:lineRule="auto"/>
        <w:ind w:firstLine="240" w:firstLineChars="100"/>
        <w:rPr>
          <w:rFonts w:ascii="宋体" w:hAnsi="宋体"/>
          <w:sz w:val="24"/>
        </w:rPr>
      </w:pPr>
      <w:r>
        <w:rPr>
          <w:rFonts w:hint="eastAsia" w:ascii="宋体" w:hAnsi="宋体"/>
          <w:sz w:val="24"/>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360" w:lineRule="auto"/>
        <w:rPr>
          <w:rFonts w:ascii="宋体" w:hAnsi="宋体"/>
          <w:sz w:val="24"/>
        </w:rPr>
      </w:pPr>
      <w:r>
        <w:rPr>
          <w:rFonts w:hint="eastAsia" w:ascii="宋体" w:hAnsi="宋体"/>
          <w:sz w:val="24"/>
        </w:rPr>
        <w:t>16、合同修改</w:t>
      </w:r>
    </w:p>
    <w:p>
      <w:pPr>
        <w:spacing w:line="360" w:lineRule="auto"/>
        <w:ind w:firstLine="240" w:firstLineChars="100"/>
        <w:rPr>
          <w:rFonts w:ascii="宋体" w:hAnsi="宋体"/>
          <w:sz w:val="24"/>
        </w:rPr>
      </w:pPr>
      <w:r>
        <w:rPr>
          <w:rFonts w:hint="eastAsia" w:ascii="宋体" w:hAnsi="宋体"/>
          <w:sz w:val="24"/>
        </w:rPr>
        <w:t>16.1　欲对合同条款做出任何改动或偏离，均须由甲乙双方签署书面的合同修改书。</w:t>
      </w:r>
    </w:p>
    <w:p>
      <w:pPr>
        <w:spacing w:line="360" w:lineRule="auto"/>
        <w:rPr>
          <w:rFonts w:ascii="宋体" w:hAnsi="宋体"/>
          <w:sz w:val="24"/>
        </w:rPr>
      </w:pPr>
      <w:r>
        <w:rPr>
          <w:rFonts w:hint="eastAsia" w:ascii="宋体" w:hAnsi="宋体"/>
          <w:sz w:val="24"/>
        </w:rPr>
        <w:t>17、转让与分包</w:t>
      </w:r>
    </w:p>
    <w:p>
      <w:pPr>
        <w:spacing w:line="360" w:lineRule="auto"/>
        <w:ind w:firstLine="240" w:firstLineChars="100"/>
        <w:rPr>
          <w:rFonts w:ascii="宋体" w:hAnsi="宋体"/>
          <w:sz w:val="24"/>
        </w:rPr>
      </w:pPr>
      <w:r>
        <w:rPr>
          <w:rFonts w:hint="eastAsia" w:ascii="宋体" w:hAnsi="宋体"/>
          <w:sz w:val="24"/>
        </w:rPr>
        <w:t>17.1除甲方事先同意外，乙方不得部分转让或全部转让其应履行的合同项下的义务。</w:t>
      </w:r>
    </w:p>
    <w:p>
      <w:pPr>
        <w:spacing w:line="360" w:lineRule="auto"/>
        <w:ind w:firstLine="240" w:firstLineChars="100"/>
        <w:rPr>
          <w:rFonts w:ascii="宋体" w:hAnsi="宋体"/>
          <w:sz w:val="24"/>
        </w:rPr>
      </w:pPr>
      <w:r>
        <w:rPr>
          <w:rFonts w:hint="eastAsia" w:ascii="宋体" w:hAnsi="宋体"/>
          <w:sz w:val="24"/>
        </w:rPr>
        <w:t>17.2乙方应书面通知甲方本合同项下所授予的所有分包合同。但该通知不解除乙方承担的本合同项下的任何责任或义务。</w:t>
      </w:r>
    </w:p>
    <w:p>
      <w:pPr>
        <w:spacing w:line="360" w:lineRule="auto"/>
        <w:rPr>
          <w:rFonts w:ascii="宋体" w:hAnsi="宋体"/>
          <w:sz w:val="24"/>
        </w:rPr>
      </w:pPr>
      <w:r>
        <w:rPr>
          <w:rFonts w:hint="eastAsia" w:ascii="宋体" w:hAnsi="宋体"/>
          <w:sz w:val="24"/>
        </w:rPr>
        <w:t>18、适用法律</w:t>
      </w:r>
    </w:p>
    <w:p>
      <w:pPr>
        <w:spacing w:line="360" w:lineRule="auto"/>
        <w:ind w:firstLine="240" w:firstLineChars="100"/>
        <w:rPr>
          <w:rFonts w:ascii="宋体" w:hAnsi="宋体"/>
          <w:sz w:val="24"/>
        </w:rPr>
      </w:pPr>
      <w:r>
        <w:rPr>
          <w:rFonts w:hint="eastAsia" w:ascii="宋体" w:hAnsi="宋体"/>
          <w:sz w:val="24"/>
        </w:rPr>
        <w:t>18.1　本合同应按中华人民共和国的相关法律解释。</w:t>
      </w:r>
    </w:p>
    <w:p>
      <w:pPr>
        <w:spacing w:line="360" w:lineRule="auto"/>
        <w:rPr>
          <w:rFonts w:ascii="宋体" w:hAnsi="宋体"/>
          <w:sz w:val="24"/>
        </w:rPr>
      </w:pPr>
      <w:r>
        <w:rPr>
          <w:rFonts w:hint="eastAsia" w:ascii="宋体" w:hAnsi="宋体"/>
          <w:sz w:val="24"/>
        </w:rPr>
        <w:t>19、通知</w:t>
      </w:r>
    </w:p>
    <w:p>
      <w:pPr>
        <w:spacing w:line="360" w:lineRule="auto"/>
        <w:ind w:firstLine="240" w:firstLineChars="100"/>
        <w:rPr>
          <w:rFonts w:ascii="宋体" w:hAnsi="宋体"/>
          <w:sz w:val="24"/>
        </w:rPr>
      </w:pPr>
      <w:r>
        <w:rPr>
          <w:rFonts w:hint="eastAsia" w:ascii="宋体" w:hAnsi="宋体"/>
          <w:sz w:val="24"/>
        </w:rPr>
        <w:t>19.1本合同任何一方给另一方的通知都应以书面或电传、电报、传真的形式发送，而另一方应以书面形式确认并发送到对方明确的地址。</w:t>
      </w:r>
    </w:p>
    <w:p>
      <w:pPr>
        <w:spacing w:line="360" w:lineRule="auto"/>
        <w:rPr>
          <w:rFonts w:ascii="宋体" w:hAnsi="宋体"/>
          <w:sz w:val="24"/>
        </w:rPr>
      </w:pPr>
      <w:r>
        <w:rPr>
          <w:rFonts w:hint="eastAsia" w:ascii="宋体" w:hAnsi="宋体"/>
          <w:sz w:val="24"/>
        </w:rPr>
        <w:t>20、合同文件及资料的使用</w:t>
      </w:r>
    </w:p>
    <w:p>
      <w:pPr>
        <w:spacing w:line="360" w:lineRule="auto"/>
        <w:ind w:firstLine="240" w:firstLineChars="100"/>
        <w:rPr>
          <w:rFonts w:ascii="宋体" w:hAnsi="宋体"/>
          <w:sz w:val="24"/>
        </w:rPr>
      </w:pPr>
      <w:r>
        <w:rPr>
          <w:rFonts w:hint="eastAsia" w:ascii="宋体" w:hAnsi="宋体"/>
          <w:sz w:val="24"/>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360" w:lineRule="auto"/>
        <w:ind w:firstLine="240" w:firstLineChars="100"/>
        <w:rPr>
          <w:rFonts w:ascii="宋体" w:hAnsi="宋体"/>
          <w:sz w:val="24"/>
        </w:rPr>
      </w:pPr>
      <w:r>
        <w:rPr>
          <w:rFonts w:hint="eastAsia" w:ascii="宋体" w:hAnsi="宋体"/>
          <w:sz w:val="24"/>
        </w:rPr>
        <w:t>20.2除非执行合同需要，在事先末得到甲方同意的情况下，乙方不得将与本合同有关的任何文件和资料给第三方使用。</w:t>
      </w:r>
    </w:p>
    <w:p>
      <w:pPr>
        <w:spacing w:line="360" w:lineRule="auto"/>
        <w:ind w:firstLine="240" w:firstLineChars="100"/>
        <w:rPr>
          <w:rFonts w:ascii="宋体" w:hAnsi="宋体"/>
          <w:sz w:val="24"/>
        </w:rPr>
      </w:pPr>
      <w:r>
        <w:rPr>
          <w:rFonts w:hint="eastAsia" w:ascii="宋体" w:hAnsi="宋体"/>
          <w:sz w:val="24"/>
        </w:rPr>
        <w:t>20.3除合同本身以外，若甲方要求，乙方应于其合同义务履行完毕以后将这些资料(包括所有副本)退还甲方。</w:t>
      </w:r>
    </w:p>
    <w:p>
      <w:pPr>
        <w:spacing w:line="360" w:lineRule="auto"/>
        <w:rPr>
          <w:rFonts w:ascii="宋体" w:hAnsi="宋体"/>
          <w:sz w:val="24"/>
        </w:rPr>
      </w:pPr>
      <w:r>
        <w:rPr>
          <w:rFonts w:hint="eastAsia" w:ascii="宋体" w:hAnsi="宋体"/>
          <w:sz w:val="24"/>
        </w:rPr>
        <w:t>21、合同生效及其他</w:t>
      </w:r>
    </w:p>
    <w:p>
      <w:pPr>
        <w:spacing w:line="360" w:lineRule="auto"/>
        <w:ind w:firstLine="240" w:firstLineChars="100"/>
        <w:rPr>
          <w:rFonts w:ascii="宋体" w:hAnsi="宋体"/>
          <w:sz w:val="24"/>
        </w:rPr>
      </w:pPr>
      <w:r>
        <w:rPr>
          <w:rFonts w:hint="eastAsia" w:ascii="宋体" w:hAnsi="宋体"/>
          <w:sz w:val="24"/>
        </w:rPr>
        <w:t>21.1　本合同应在甲方和乙方签字并加盖鉴证章后生效。</w:t>
      </w:r>
    </w:p>
    <w:p>
      <w:pPr>
        <w:spacing w:line="360" w:lineRule="auto"/>
        <w:ind w:firstLine="240" w:firstLineChars="100"/>
        <w:rPr>
          <w:rFonts w:ascii="宋体" w:hAnsi="宋体"/>
          <w:sz w:val="24"/>
        </w:rPr>
      </w:pPr>
      <w:r>
        <w:rPr>
          <w:rFonts w:hint="eastAsia" w:ascii="宋体" w:hAnsi="宋体"/>
          <w:sz w:val="24"/>
        </w:rPr>
        <w:t>21.2　乙方须按技术规格中的规定，向甲方提供与合同项下本次招标的相关服务。</w:t>
      </w:r>
    </w:p>
    <w:p>
      <w:pPr>
        <w:spacing w:line="360" w:lineRule="auto"/>
        <w:ind w:firstLine="240" w:firstLineChars="100"/>
        <w:rPr>
          <w:rFonts w:ascii="宋体" w:hAnsi="宋体"/>
          <w:sz w:val="24"/>
        </w:rPr>
      </w:pPr>
      <w:r>
        <w:rPr>
          <w:rFonts w:hint="eastAsia" w:ascii="宋体" w:hAnsi="宋体"/>
          <w:sz w:val="24"/>
        </w:rPr>
        <w:t>21.3　商务合同应包括甲方最后确认的价格条款和付款方式。</w:t>
      </w:r>
    </w:p>
    <w:p>
      <w:pPr>
        <w:spacing w:line="360" w:lineRule="auto"/>
        <w:ind w:firstLine="240" w:firstLineChars="100"/>
        <w:rPr>
          <w:rFonts w:ascii="宋体" w:hAnsi="宋体"/>
          <w:spacing w:val="-6"/>
          <w:sz w:val="24"/>
        </w:rPr>
      </w:pPr>
      <w:r>
        <w:rPr>
          <w:rFonts w:hint="eastAsia" w:ascii="宋体" w:hAnsi="宋体"/>
          <w:sz w:val="24"/>
        </w:rPr>
        <w:t>21.4　</w:t>
      </w:r>
      <w:r>
        <w:rPr>
          <w:rFonts w:hint="eastAsia" w:ascii="宋体" w:hAnsi="宋体"/>
          <w:spacing w:val="-6"/>
          <w:sz w:val="24"/>
        </w:rPr>
        <w:t>下述文件将作为合同附件，为本合同不可分割的组成部分，并与本合具有同等效力：</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bCs/>
          <w:sz w:val="24"/>
        </w:rPr>
        <w:t>招标文件</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（2）中标通知书；</w:t>
      </w:r>
    </w:p>
    <w:p>
      <w:pPr>
        <w:spacing w:line="360" w:lineRule="auto"/>
        <w:ind w:firstLine="480" w:firstLineChars="200"/>
        <w:rPr>
          <w:rFonts w:ascii="宋体" w:hAnsi="宋体"/>
          <w:sz w:val="24"/>
        </w:rPr>
      </w:pPr>
      <w:r>
        <w:rPr>
          <w:rFonts w:hint="eastAsia" w:ascii="宋体" w:hAnsi="宋体"/>
          <w:sz w:val="24"/>
        </w:rPr>
        <w:t>（3）中标方的投标文件及招标过程中的书面答疑记录。</w:t>
      </w:r>
    </w:p>
    <w:p>
      <w:pPr>
        <w:spacing w:line="360" w:lineRule="auto"/>
        <w:rPr>
          <w:rFonts w:hAnsi="宋体"/>
          <w:b/>
          <w:sz w:val="32"/>
          <w:szCs w:val="32"/>
        </w:rPr>
      </w:pPr>
    </w:p>
    <w:p>
      <w:pPr>
        <w:spacing w:line="360" w:lineRule="auto"/>
        <w:rPr>
          <w:rFonts w:hAnsi="宋体"/>
          <w:b/>
          <w:sz w:val="32"/>
          <w:szCs w:val="32"/>
        </w:rPr>
      </w:pPr>
    </w:p>
    <w:p>
      <w:pPr>
        <w:spacing w:line="360" w:lineRule="auto"/>
        <w:rPr>
          <w:rFonts w:hAnsi="宋体"/>
          <w:b/>
          <w:sz w:val="32"/>
          <w:szCs w:val="32"/>
        </w:rPr>
      </w:pPr>
    </w:p>
    <w:p>
      <w:pPr>
        <w:spacing w:line="360" w:lineRule="auto"/>
        <w:rPr>
          <w:rFonts w:hAnsi="宋体"/>
          <w:b/>
          <w:sz w:val="32"/>
          <w:szCs w:val="32"/>
        </w:rPr>
      </w:pPr>
    </w:p>
    <w:p>
      <w:pPr>
        <w:spacing w:line="360" w:lineRule="auto"/>
        <w:rPr>
          <w:rFonts w:hAnsi="宋体"/>
          <w:b/>
          <w:sz w:val="32"/>
          <w:szCs w:val="32"/>
        </w:rPr>
      </w:pPr>
    </w:p>
    <w:p>
      <w:pPr>
        <w:spacing w:line="360" w:lineRule="auto"/>
        <w:rPr>
          <w:rFonts w:hAnsi="宋体"/>
          <w:b/>
          <w:sz w:val="32"/>
          <w:szCs w:val="32"/>
        </w:rPr>
      </w:pPr>
    </w:p>
    <w:p>
      <w:pPr>
        <w:spacing w:line="360" w:lineRule="auto"/>
        <w:rPr>
          <w:rFonts w:hAnsi="宋体"/>
          <w:b/>
          <w:sz w:val="32"/>
          <w:szCs w:val="32"/>
        </w:rPr>
      </w:pPr>
    </w:p>
    <w:p>
      <w:pPr>
        <w:pStyle w:val="3"/>
        <w:spacing w:after="100" w:afterAutospacing="1" w:line="360" w:lineRule="auto"/>
        <w:jc w:val="center"/>
        <w:rPr>
          <w:rFonts w:ascii="Arial" w:hAnsi="Arial" w:cs="Arial"/>
          <w:sz w:val="32"/>
          <w:szCs w:val="32"/>
        </w:rPr>
      </w:pPr>
      <w:r>
        <w:rPr>
          <w:rFonts w:hint="eastAsia" w:ascii="Arial" w:hAnsi="Arial" w:cs="Arial"/>
          <w:sz w:val="32"/>
          <w:szCs w:val="32"/>
        </w:rPr>
        <w:t>第五章  附件</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附件1: 投标函</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附件2：法定代表人身份证明</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附件3：法定代表人授权委托书</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附件4：投标报价表（开标一览表）</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附件5：商务偏离表</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附件6：技术偏离表</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附件7：公司业绩一览表</w:t>
      </w:r>
    </w:p>
    <w:p>
      <w:pPr>
        <w:spacing w:line="360" w:lineRule="auto"/>
        <w:ind w:firstLine="480" w:firstLineChars="200"/>
        <w:rPr>
          <w:rFonts w:ascii="宋体" w:hAnsi="宋体"/>
          <w:color w:val="000000"/>
          <w:sz w:val="24"/>
        </w:rPr>
      </w:pPr>
      <w:r>
        <w:rPr>
          <w:rFonts w:hint="eastAsia" w:ascii="宋体" w:hAnsi="宋体"/>
          <w:color w:val="000000"/>
          <w:sz w:val="24"/>
        </w:rPr>
        <w:t>附件8：优惠条件承诺书</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 xml:space="preserve">附件9：售后服务承诺 </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附件10：无重大违法记录声明</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 11：供应商反商业贿赂承诺书</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附件12：中小微企业证明文件等（如有）</w:t>
      </w:r>
    </w:p>
    <w:p>
      <w:pPr>
        <w:spacing w:line="360" w:lineRule="auto"/>
        <w:ind w:firstLine="480" w:firstLineChars="200"/>
        <w:rPr>
          <w:rFonts w:ascii="宋体" w:hAnsi="宋体"/>
          <w:color w:val="000000"/>
          <w:sz w:val="24"/>
        </w:rPr>
      </w:pPr>
      <w:r>
        <w:rPr>
          <w:rFonts w:hint="eastAsia" w:ascii="宋体" w:hAnsi="宋体"/>
          <w:color w:val="000000"/>
          <w:sz w:val="24"/>
        </w:rPr>
        <w:t>附件13：投标保证金提交证明</w:t>
      </w:r>
    </w:p>
    <w:p>
      <w:pPr>
        <w:spacing w:line="360" w:lineRule="auto"/>
        <w:ind w:firstLine="480" w:firstLineChars="200"/>
        <w:textAlignment w:val="baseline"/>
        <w:rPr>
          <w:rFonts w:ascii="宋体" w:hAnsi="宋体"/>
          <w:color w:val="000000"/>
          <w:sz w:val="24"/>
        </w:rPr>
        <w:sectPr>
          <w:headerReference r:id="rId4" w:type="first"/>
          <w:headerReference r:id="rId3" w:type="default"/>
          <w:footerReference r:id="rId5" w:type="default"/>
          <w:pgSz w:w="11907" w:h="16840"/>
          <w:pgMar w:top="1440" w:right="1247" w:bottom="1440" w:left="1361" w:header="851" w:footer="799" w:gutter="0"/>
          <w:pgNumType w:start="1"/>
          <w:cols w:space="425" w:num="1"/>
          <w:titlePg/>
          <w:docGrid w:linePitch="409" w:charSpace="0"/>
        </w:sectPr>
      </w:pPr>
      <w:r>
        <w:rPr>
          <w:rFonts w:hint="eastAsia" w:ascii="宋体" w:hAnsi="宋体"/>
          <w:color w:val="000000"/>
          <w:sz w:val="24"/>
        </w:rPr>
        <w:t>附件14：投标人认为有必要提交的其他相关证明材料</w:t>
      </w:r>
    </w:p>
    <w:p>
      <w:pPr>
        <w:spacing w:line="360" w:lineRule="auto"/>
        <w:rPr>
          <w:rFonts w:ascii="宋体" w:hAnsi="宋体"/>
          <w:b/>
          <w:color w:val="000000"/>
          <w:sz w:val="32"/>
          <w:szCs w:val="32"/>
        </w:rPr>
      </w:pPr>
      <w:r>
        <w:rPr>
          <w:rFonts w:hint="eastAsia" w:ascii="宋体" w:hAnsi="宋体"/>
          <w:b/>
          <w:color w:val="000000"/>
          <w:sz w:val="32"/>
          <w:szCs w:val="32"/>
        </w:rPr>
        <w:t>附件1：</w:t>
      </w:r>
    </w:p>
    <w:p>
      <w:pPr>
        <w:spacing w:line="360" w:lineRule="auto"/>
        <w:jc w:val="center"/>
        <w:rPr>
          <w:rFonts w:ascii="宋体" w:hAnsi="宋体"/>
          <w:b/>
          <w:color w:val="000000"/>
          <w:sz w:val="32"/>
          <w:szCs w:val="32"/>
        </w:rPr>
      </w:pPr>
      <w:r>
        <w:rPr>
          <w:rFonts w:hint="eastAsia" w:ascii="宋体" w:hAnsi="宋体"/>
          <w:b/>
          <w:color w:val="000000"/>
          <w:sz w:val="32"/>
          <w:szCs w:val="32"/>
        </w:rPr>
        <w:t>投标函</w:t>
      </w:r>
    </w:p>
    <w:p>
      <w:pPr>
        <w:spacing w:line="360" w:lineRule="auto"/>
        <w:rPr>
          <w:rFonts w:ascii="宋体" w:hAnsi="宋体"/>
          <w:color w:val="000000"/>
          <w:sz w:val="24"/>
        </w:rPr>
      </w:pPr>
      <w:r>
        <w:rPr>
          <w:rFonts w:hint="eastAsia" w:ascii="宋体" w:hAnsi="宋体"/>
          <w:bCs/>
          <w:color w:val="000000"/>
          <w:sz w:val="24"/>
        </w:rPr>
        <w:t>致：</w:t>
      </w:r>
      <w:r>
        <w:rPr>
          <w:rFonts w:hint="eastAsia" w:ascii="宋体" w:hAnsi="宋体"/>
          <w:color w:val="000000"/>
          <w:sz w:val="24"/>
        </w:rPr>
        <w:t>新疆天壹中山工程咨询有限公司</w:t>
      </w:r>
    </w:p>
    <w:p>
      <w:pPr>
        <w:spacing w:line="360" w:lineRule="auto"/>
        <w:ind w:firstLine="456" w:firstLineChars="200"/>
        <w:rPr>
          <w:rFonts w:ascii="宋体" w:hAnsi="宋体"/>
          <w:color w:val="000000"/>
          <w:sz w:val="24"/>
        </w:rPr>
      </w:pPr>
      <w:r>
        <w:rPr>
          <w:rFonts w:hint="eastAsia" w:ascii="宋体" w:hAnsi="宋体"/>
          <w:color w:val="000000"/>
          <w:spacing w:val="-6"/>
          <w:sz w:val="24"/>
        </w:rPr>
        <w:t>根据贵方</w:t>
      </w:r>
      <w:r>
        <w:rPr>
          <w:rFonts w:hint="eastAsia" w:ascii="宋体" w:hAnsi="宋体"/>
          <w:color w:val="000000"/>
          <w:spacing w:val="-6"/>
          <w:sz w:val="24"/>
          <w:u w:val="single"/>
        </w:rPr>
        <w:t xml:space="preserve">           </w:t>
      </w:r>
      <w:r>
        <w:rPr>
          <w:rFonts w:hint="eastAsia" w:ascii="宋体" w:hAnsi="宋体"/>
          <w:color w:val="000000"/>
          <w:spacing w:val="-6"/>
          <w:sz w:val="24"/>
        </w:rPr>
        <w:t>项目</w:t>
      </w:r>
      <w:r>
        <w:rPr>
          <w:rFonts w:hint="eastAsia" w:ascii="宋体" w:hAnsi="宋体"/>
          <w:color w:val="000000"/>
          <w:sz w:val="24"/>
        </w:rPr>
        <w:t>的</w:t>
      </w:r>
      <w:r>
        <w:rPr>
          <w:rFonts w:hint="eastAsia" w:ascii="宋体" w:hAnsi="宋体"/>
          <w:color w:val="000000"/>
          <w:spacing w:val="-6"/>
          <w:sz w:val="24"/>
        </w:rPr>
        <w:t>招标采购</w:t>
      </w:r>
      <w:r>
        <w:rPr>
          <w:rFonts w:hint="eastAsia" w:ascii="宋体" w:hAnsi="宋体"/>
          <w:color w:val="000000"/>
          <w:sz w:val="24"/>
        </w:rPr>
        <w:t>(项目编号:    )，正式授权的下述签字人</w:t>
      </w:r>
      <w:r>
        <w:rPr>
          <w:rFonts w:hint="eastAsia" w:ascii="宋体" w:hAnsi="宋体"/>
          <w:color w:val="000000"/>
          <w:sz w:val="24"/>
          <w:u w:val="single"/>
        </w:rPr>
        <w:t xml:space="preserve">     （</w:t>
      </w:r>
      <w:r>
        <w:rPr>
          <w:rFonts w:hint="eastAsia" w:ascii="宋体" w:hAnsi="宋体"/>
          <w:color w:val="000000"/>
          <w:sz w:val="24"/>
        </w:rPr>
        <w:t xml:space="preserve">姓名和职务）代表投标人  </w:t>
      </w:r>
      <w:r>
        <w:rPr>
          <w:rFonts w:hint="eastAsia" w:ascii="宋体" w:hAnsi="宋体"/>
          <w:color w:val="000000"/>
          <w:sz w:val="24"/>
          <w:u w:val="single"/>
        </w:rPr>
        <w:t xml:space="preserve"> （投标人名称）</w:t>
      </w:r>
      <w:r>
        <w:rPr>
          <w:rFonts w:hint="eastAsia" w:ascii="宋体" w:hAnsi="宋体"/>
          <w:color w:val="000000"/>
          <w:sz w:val="24"/>
        </w:rPr>
        <w:t xml:space="preserve">，提交下述文件正本1份，副本4份， 开标一览表1份，电子版U盘1份。   </w:t>
      </w:r>
    </w:p>
    <w:p>
      <w:pPr>
        <w:spacing w:line="360" w:lineRule="auto"/>
        <w:ind w:firstLine="480" w:firstLineChars="200"/>
        <w:rPr>
          <w:rFonts w:ascii="宋体" w:hAnsi="宋体"/>
          <w:color w:val="000000"/>
          <w:sz w:val="24"/>
        </w:rPr>
      </w:pPr>
      <w:r>
        <w:rPr>
          <w:rFonts w:hint="eastAsia" w:ascii="宋体" w:hAnsi="宋体"/>
          <w:color w:val="000000"/>
          <w:sz w:val="24"/>
        </w:rPr>
        <w:t>1.投标函</w:t>
      </w:r>
    </w:p>
    <w:p>
      <w:pPr>
        <w:spacing w:line="360" w:lineRule="auto"/>
        <w:ind w:firstLine="480" w:firstLineChars="200"/>
        <w:rPr>
          <w:rFonts w:ascii="宋体" w:hAnsi="宋体"/>
          <w:color w:val="000000"/>
          <w:sz w:val="24"/>
        </w:rPr>
      </w:pPr>
      <w:r>
        <w:rPr>
          <w:rFonts w:hint="eastAsia" w:ascii="宋体" w:hAnsi="宋体"/>
          <w:color w:val="000000"/>
          <w:sz w:val="24"/>
        </w:rPr>
        <w:t>2.开标一览表</w:t>
      </w:r>
    </w:p>
    <w:p>
      <w:pPr>
        <w:spacing w:line="360" w:lineRule="auto"/>
        <w:ind w:firstLine="480" w:firstLineChars="200"/>
        <w:rPr>
          <w:rFonts w:ascii="宋体" w:hAnsi="宋体"/>
          <w:color w:val="000000"/>
          <w:sz w:val="24"/>
        </w:rPr>
      </w:pPr>
      <w:r>
        <w:rPr>
          <w:rFonts w:hint="eastAsia" w:ascii="宋体" w:hAnsi="宋体"/>
          <w:color w:val="000000"/>
          <w:sz w:val="24"/>
        </w:rPr>
        <w:t>3.投标报价表</w:t>
      </w:r>
    </w:p>
    <w:p>
      <w:pPr>
        <w:spacing w:line="360" w:lineRule="auto"/>
        <w:ind w:firstLine="480" w:firstLineChars="200"/>
        <w:rPr>
          <w:rFonts w:ascii="宋体" w:hAnsi="宋体"/>
          <w:color w:val="000000"/>
          <w:sz w:val="24"/>
        </w:rPr>
      </w:pPr>
      <w:r>
        <w:rPr>
          <w:rFonts w:hint="eastAsia" w:ascii="宋体" w:hAnsi="宋体"/>
          <w:color w:val="000000"/>
          <w:sz w:val="24"/>
        </w:rPr>
        <w:t>4.投标保证金</w:t>
      </w:r>
    </w:p>
    <w:p>
      <w:pPr>
        <w:spacing w:line="360" w:lineRule="auto"/>
        <w:ind w:firstLine="480" w:firstLineChars="200"/>
        <w:rPr>
          <w:rFonts w:ascii="宋体" w:hAnsi="宋体"/>
          <w:color w:val="000000"/>
          <w:sz w:val="24"/>
        </w:rPr>
      </w:pPr>
      <w:r>
        <w:rPr>
          <w:rFonts w:hint="eastAsia" w:ascii="宋体" w:hAnsi="宋体"/>
          <w:color w:val="000000"/>
          <w:sz w:val="24"/>
        </w:rPr>
        <w:t>5.按招标文件要求投标人提交的全部文件</w:t>
      </w:r>
    </w:p>
    <w:p>
      <w:pPr>
        <w:spacing w:line="360" w:lineRule="auto"/>
        <w:rPr>
          <w:rFonts w:ascii="宋体" w:hAnsi="宋体"/>
          <w:color w:val="000000"/>
          <w:sz w:val="24"/>
        </w:rPr>
      </w:pPr>
      <w:r>
        <w:rPr>
          <w:rFonts w:hint="eastAsia" w:ascii="宋体" w:hAnsi="宋体"/>
          <w:color w:val="000000"/>
          <w:sz w:val="24"/>
        </w:rPr>
        <w:t xml:space="preserve">    据此函，签字人兹宣布同意如下条款：</w:t>
      </w:r>
    </w:p>
    <w:p>
      <w:pPr>
        <w:numPr>
          <w:ilvl w:val="0"/>
          <w:numId w:val="7"/>
        </w:numPr>
        <w:spacing w:line="360" w:lineRule="auto"/>
        <w:rPr>
          <w:rFonts w:ascii="宋体" w:hAnsi="宋体"/>
          <w:color w:val="000000"/>
          <w:sz w:val="24"/>
        </w:rPr>
      </w:pPr>
      <w:r>
        <w:rPr>
          <w:rFonts w:hint="eastAsia" w:ascii="宋体" w:hAnsi="宋体"/>
          <w:color w:val="000000"/>
          <w:sz w:val="24"/>
        </w:rPr>
        <w:t xml:space="preserve"> 所附投标价格表中规定的应提供和交付的货物、服务投标总价为</w:t>
      </w:r>
      <w:r>
        <w:rPr>
          <w:rFonts w:hint="eastAsia" w:ascii="宋体" w:hAnsi="宋体"/>
          <w:color w:val="000000"/>
          <w:sz w:val="24"/>
          <w:u w:val="single"/>
        </w:rPr>
        <w:t xml:space="preserve">    （</w:t>
      </w:r>
      <w:r>
        <w:rPr>
          <w:rFonts w:hint="eastAsia" w:ascii="宋体" w:hAnsi="宋体"/>
          <w:color w:val="000000"/>
          <w:sz w:val="24"/>
        </w:rPr>
        <w:t>大写），</w:t>
      </w:r>
      <w:r>
        <w:rPr>
          <w:rFonts w:hint="eastAsia" w:ascii="宋体" w:hAnsi="宋体"/>
          <w:color w:val="000000"/>
          <w:sz w:val="24"/>
          <w:u w:val="single"/>
        </w:rPr>
        <w:t xml:space="preserve">（小写）   </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⑵ 我们将按招标文件的规定履行合同责任和义务。</w:t>
      </w:r>
    </w:p>
    <w:p>
      <w:pPr>
        <w:spacing w:line="360" w:lineRule="auto"/>
        <w:ind w:firstLine="480" w:firstLineChars="200"/>
        <w:rPr>
          <w:rFonts w:ascii="宋体" w:hAnsi="宋体"/>
          <w:color w:val="000000"/>
          <w:sz w:val="24"/>
        </w:rPr>
      </w:pPr>
      <w:r>
        <w:rPr>
          <w:rFonts w:hint="eastAsia" w:ascii="宋体" w:hAnsi="宋体"/>
          <w:color w:val="000000"/>
          <w:sz w:val="24"/>
        </w:rPr>
        <w:t>⑶ 我们已详细审查全部招标文件，包括修改意见（如有则附）以及全部参考资料和有关附件。我们完全理解并同意放弃对这方面有不明及误解而要求招标方解释和承担责任的权利。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sz w:val="24"/>
        </w:rPr>
      </w:pPr>
      <w:r>
        <w:rPr>
          <w:rFonts w:hint="eastAsia" w:ascii="宋体" w:hAnsi="宋体"/>
          <w:color w:val="000000"/>
          <w:sz w:val="24"/>
        </w:rPr>
        <w:t>⑷ 在投标人须知规定的投标有效期内遵循本投标文件，并在投标须知规定的投标有效期期满之前具有约束力。</w:t>
      </w:r>
    </w:p>
    <w:p>
      <w:pPr>
        <w:spacing w:line="360" w:lineRule="auto"/>
        <w:ind w:firstLine="480" w:firstLineChars="200"/>
        <w:rPr>
          <w:rFonts w:ascii="宋体" w:hAnsi="宋体"/>
          <w:color w:val="000000"/>
          <w:sz w:val="24"/>
        </w:rPr>
      </w:pPr>
      <w:r>
        <w:rPr>
          <w:rFonts w:hint="eastAsia" w:ascii="宋体" w:hAnsi="宋体"/>
          <w:color w:val="000000"/>
          <w:sz w:val="24"/>
        </w:rPr>
        <w:t>⑸ 如果在规定的投标有效期内撤回投标，我们的投标保证金可被贵方没收。</w:t>
      </w:r>
    </w:p>
    <w:p>
      <w:pPr>
        <w:spacing w:line="360" w:lineRule="auto"/>
        <w:ind w:firstLine="480" w:firstLineChars="200"/>
        <w:rPr>
          <w:rFonts w:ascii="宋体" w:hAnsi="宋体"/>
          <w:color w:val="000000"/>
          <w:sz w:val="24"/>
        </w:rPr>
      </w:pPr>
      <w:r>
        <w:rPr>
          <w:rFonts w:hint="eastAsia" w:ascii="宋体" w:hAnsi="宋体"/>
          <w:color w:val="000000"/>
          <w:sz w:val="24"/>
        </w:rPr>
        <w:t>⑹ 同意提供贵方可能要求的与本投标有关的任何证据或资料。</w:t>
      </w:r>
    </w:p>
    <w:p>
      <w:pPr>
        <w:spacing w:line="360" w:lineRule="auto"/>
        <w:ind w:firstLine="480" w:firstLineChars="200"/>
        <w:rPr>
          <w:rFonts w:ascii="宋体" w:hAnsi="宋体"/>
          <w:color w:val="000000"/>
          <w:sz w:val="24"/>
        </w:rPr>
      </w:pPr>
      <w:r>
        <w:rPr>
          <w:rFonts w:hint="eastAsia" w:ascii="宋体" w:hAnsi="宋体"/>
          <w:color w:val="000000"/>
          <w:sz w:val="24"/>
        </w:rPr>
        <w:t>⑺ 我们同意提供按照招标单位可能出示的与其投标有关的一切数据或资料。</w:t>
      </w:r>
    </w:p>
    <w:p>
      <w:pPr>
        <w:spacing w:line="360" w:lineRule="auto"/>
        <w:ind w:firstLine="480" w:firstLineChars="200"/>
        <w:rPr>
          <w:rFonts w:ascii="宋体" w:hAnsi="宋体"/>
          <w:color w:val="000000"/>
          <w:sz w:val="24"/>
        </w:rPr>
      </w:pPr>
      <w:r>
        <w:rPr>
          <w:rFonts w:hint="eastAsia" w:ascii="宋体" w:hAnsi="宋体"/>
          <w:color w:val="000000"/>
          <w:sz w:val="24"/>
        </w:rPr>
        <w:t>⑻ 我们理解贵方不一定要接受最低报价的投标或收到的任何投标。</w:t>
      </w:r>
    </w:p>
    <w:p>
      <w:pPr>
        <w:spacing w:line="360" w:lineRule="auto"/>
        <w:ind w:firstLine="480" w:firstLineChars="200"/>
        <w:rPr>
          <w:rFonts w:ascii="宋体" w:hAnsi="宋体"/>
          <w:color w:val="000000"/>
          <w:sz w:val="24"/>
          <w:u w:val="single"/>
        </w:rPr>
      </w:pPr>
      <w:r>
        <w:rPr>
          <w:rFonts w:hint="eastAsia" w:ascii="宋体" w:hAnsi="宋体"/>
          <w:color w:val="000000"/>
          <w:sz w:val="24"/>
        </w:rPr>
        <w:t>⑼ 与本投标有关的一切正式往来通讯请寄至：</w:t>
      </w:r>
    </w:p>
    <w:p>
      <w:pPr>
        <w:spacing w:line="360" w:lineRule="auto"/>
        <w:ind w:firstLine="480" w:firstLineChars="200"/>
        <w:rPr>
          <w:rFonts w:ascii="宋体" w:hAnsi="宋体"/>
          <w:color w:val="000000"/>
          <w:sz w:val="24"/>
          <w:u w:val="single"/>
        </w:rPr>
      </w:pPr>
      <w:r>
        <w:rPr>
          <w:rFonts w:hint="eastAsia" w:ascii="宋体" w:hAnsi="宋体"/>
          <w:color w:val="000000"/>
          <w:sz w:val="24"/>
        </w:rPr>
        <w:t>电话：传真：</w:t>
      </w: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rPr>
          <w:rFonts w:ascii="宋体" w:hAnsi="宋体"/>
          <w:b/>
          <w:sz w:val="32"/>
          <w:szCs w:val="32"/>
        </w:rPr>
      </w:pPr>
      <w:r>
        <w:rPr>
          <w:rFonts w:hint="eastAsia" w:ascii="宋体" w:hAnsi="宋体"/>
          <w:b/>
          <w:sz w:val="32"/>
          <w:szCs w:val="32"/>
        </w:rPr>
        <w:t>附件2：</w:t>
      </w:r>
      <w:bookmarkStart w:id="104" w:name="_Toc139965362"/>
    </w:p>
    <w:p>
      <w:pPr>
        <w:spacing w:line="360" w:lineRule="auto"/>
        <w:jc w:val="center"/>
        <w:rPr>
          <w:rFonts w:ascii="宋体"/>
          <w:b/>
          <w:sz w:val="32"/>
          <w:szCs w:val="32"/>
        </w:rPr>
      </w:pPr>
      <w:bookmarkStart w:id="105" w:name="_Toc327439494"/>
      <w:r>
        <w:rPr>
          <w:rFonts w:hint="eastAsia" w:ascii="宋体" w:hAnsi="宋体"/>
          <w:b/>
          <w:sz w:val="32"/>
          <w:szCs w:val="32"/>
        </w:rPr>
        <w:t>法定代表人身份证明</w:t>
      </w:r>
    </w:p>
    <w:p>
      <w:pPr>
        <w:spacing w:line="360" w:lineRule="auto"/>
        <w:ind w:firstLine="480" w:firstLineChars="200"/>
        <w:rPr>
          <w:rFonts w:ascii="宋体"/>
          <w:sz w:val="24"/>
        </w:rPr>
      </w:pPr>
      <w:r>
        <w:rPr>
          <w:rFonts w:hint="eastAsia" w:ascii="宋体" w:hAnsi="宋体"/>
          <w:sz w:val="24"/>
        </w:rPr>
        <w:t>投标人名称：</w:t>
      </w:r>
    </w:p>
    <w:p>
      <w:pPr>
        <w:spacing w:line="360" w:lineRule="auto"/>
        <w:ind w:firstLine="480" w:firstLineChars="200"/>
        <w:rPr>
          <w:rFonts w:ascii="宋体"/>
          <w:sz w:val="24"/>
        </w:rPr>
      </w:pPr>
      <w:r>
        <w:rPr>
          <w:rFonts w:hint="eastAsia" w:ascii="宋体" w:hAnsi="宋体"/>
          <w:sz w:val="24"/>
        </w:rPr>
        <w:t>单位性质：</w:t>
      </w:r>
    </w:p>
    <w:p>
      <w:pPr>
        <w:spacing w:line="360" w:lineRule="auto"/>
        <w:ind w:firstLine="480" w:firstLineChars="200"/>
        <w:rPr>
          <w:rFonts w:ascii="宋体"/>
          <w:sz w:val="24"/>
        </w:rPr>
      </w:pPr>
      <w:r>
        <w:rPr>
          <w:rFonts w:hint="eastAsia" w:ascii="宋体" w:hAnsi="宋体"/>
          <w:sz w:val="24"/>
        </w:rPr>
        <w:t>地址：</w:t>
      </w:r>
    </w:p>
    <w:p>
      <w:pPr>
        <w:spacing w:line="360" w:lineRule="auto"/>
        <w:ind w:firstLine="480" w:firstLineChars="200"/>
        <w:rPr>
          <w:rFonts w:ascii="宋体"/>
          <w:sz w:val="24"/>
        </w:rPr>
      </w:pPr>
      <w:r>
        <w:rPr>
          <w:rFonts w:hint="eastAsia" w:ascii="宋体" w:hAnsi="宋体"/>
          <w:sz w:val="24"/>
        </w:rPr>
        <w:t>成立时间：  年   月   日</w:t>
      </w:r>
    </w:p>
    <w:p>
      <w:pPr>
        <w:spacing w:line="360" w:lineRule="auto"/>
        <w:ind w:firstLine="480" w:firstLineChars="200"/>
        <w:rPr>
          <w:rFonts w:ascii="宋体"/>
          <w:sz w:val="24"/>
        </w:rPr>
      </w:pPr>
      <w:r>
        <w:rPr>
          <w:rFonts w:hint="eastAsia" w:ascii="宋体" w:hAnsi="宋体"/>
          <w:sz w:val="24"/>
        </w:rPr>
        <w:t>经营期限：</w:t>
      </w:r>
    </w:p>
    <w:p>
      <w:pPr>
        <w:spacing w:line="360" w:lineRule="auto"/>
        <w:ind w:firstLine="480" w:firstLineChars="200"/>
        <w:rPr>
          <w:rFonts w:ascii="宋体"/>
          <w:sz w:val="24"/>
        </w:rPr>
      </w:pPr>
      <w:r>
        <w:rPr>
          <w:rFonts w:hint="eastAsia" w:ascii="宋体" w:hAnsi="宋体"/>
          <w:sz w:val="24"/>
        </w:rPr>
        <w:t>姓名：    性别：    年龄：    职务：</w:t>
      </w:r>
    </w:p>
    <w:p>
      <w:pPr>
        <w:spacing w:line="360" w:lineRule="auto"/>
        <w:ind w:firstLine="480" w:firstLineChars="200"/>
        <w:rPr>
          <w:rFonts w:ascii="宋体"/>
          <w:sz w:val="24"/>
        </w:rPr>
      </w:pPr>
      <w:r>
        <w:rPr>
          <w:rFonts w:hint="eastAsia" w:ascii="宋体" w:hAnsi="宋体"/>
          <w:sz w:val="24"/>
        </w:rPr>
        <w:t>身份证号码：</w:t>
      </w:r>
    </w:p>
    <w:p>
      <w:pPr>
        <w:spacing w:line="360" w:lineRule="auto"/>
        <w:ind w:firstLine="480" w:firstLineChars="200"/>
        <w:rPr>
          <w:rFonts w:ascii="宋体"/>
          <w:sz w:val="24"/>
        </w:rPr>
      </w:pPr>
      <w:r>
        <w:rPr>
          <w:rFonts w:hint="eastAsia" w:ascii="宋体" w:hAnsi="宋体"/>
          <w:sz w:val="24"/>
        </w:rPr>
        <w:t xml:space="preserve">系 </w:t>
      </w:r>
      <w:r>
        <w:rPr>
          <w:rFonts w:hint="eastAsia" w:ascii="宋体" w:hAnsi="宋体"/>
          <w:sz w:val="24"/>
          <w:u w:val="single"/>
        </w:rPr>
        <w:t xml:space="preserve">          （</w:t>
      </w:r>
      <w:r>
        <w:rPr>
          <w:rFonts w:hint="eastAsia" w:ascii="宋体" w:hAnsi="宋体"/>
          <w:sz w:val="24"/>
        </w:rPr>
        <w:t>供应商名称）的法定代表人。</w:t>
      </w:r>
    </w:p>
    <w:p>
      <w:pPr>
        <w:spacing w:line="360" w:lineRule="auto"/>
        <w:ind w:firstLine="960" w:firstLineChars="400"/>
        <w:rPr>
          <w:rFonts w:ascii="宋体"/>
          <w:sz w:val="24"/>
        </w:rPr>
      </w:pPr>
      <w:r>
        <w:rPr>
          <w:rFonts w:hint="eastAsia" w:ascii="宋体" w:hAnsi="宋体"/>
          <w:sz w:val="24"/>
        </w:rPr>
        <w:t>特此证明。</w:t>
      </w:r>
    </w:p>
    <w:p>
      <w:pPr>
        <w:spacing w:line="360" w:lineRule="auto"/>
        <w:jc w:val="center"/>
        <w:rPr>
          <w:rFonts w:ascii="宋体" w:hAnsi="宋体"/>
          <w:b/>
          <w:sz w:val="32"/>
          <w:szCs w:val="32"/>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rPr>
          <w:rFonts w:ascii="宋体" w:hAnsi="宋体"/>
          <w:b/>
          <w:sz w:val="32"/>
          <w:szCs w:val="32"/>
        </w:rPr>
      </w:pPr>
      <w:r>
        <w:rPr>
          <w:rFonts w:hint="eastAsia" w:ascii="宋体" w:hAnsi="宋体"/>
          <w:b/>
          <w:sz w:val="32"/>
          <w:szCs w:val="32"/>
        </w:rPr>
        <w:t>附件3：</w:t>
      </w:r>
    </w:p>
    <w:p>
      <w:pPr>
        <w:spacing w:line="360" w:lineRule="auto"/>
        <w:jc w:val="center"/>
        <w:rPr>
          <w:rFonts w:ascii="宋体" w:hAnsi="宋体"/>
          <w:b/>
          <w:sz w:val="32"/>
          <w:szCs w:val="32"/>
        </w:rPr>
      </w:pPr>
      <w:r>
        <w:rPr>
          <w:rFonts w:hint="eastAsia" w:ascii="宋体" w:hAnsi="宋体"/>
          <w:b/>
          <w:sz w:val="32"/>
          <w:szCs w:val="32"/>
        </w:rPr>
        <w:t>法定代表人授权委托书</w:t>
      </w:r>
    </w:p>
    <w:p>
      <w:pPr>
        <w:spacing w:line="360" w:lineRule="auto"/>
        <w:jc w:val="center"/>
        <w:rPr>
          <w:rFonts w:ascii="宋体" w:hAnsi="宋体"/>
          <w:sz w:val="24"/>
        </w:rPr>
      </w:pPr>
    </w:p>
    <w:p>
      <w:pPr>
        <w:spacing w:line="360" w:lineRule="auto"/>
        <w:ind w:firstLine="480" w:firstLineChars="200"/>
        <w:jc w:val="left"/>
        <w:rPr>
          <w:rFonts w:ascii="宋体" w:hAnsi="宋体"/>
          <w:color w:val="000000"/>
          <w:sz w:val="24"/>
          <w:u w:val="single"/>
        </w:rPr>
      </w:pPr>
      <w:r>
        <w:rPr>
          <w:rFonts w:hint="eastAsia" w:ascii="宋体" w:hAnsi="宋体"/>
          <w:color w:val="000000"/>
          <w:sz w:val="24"/>
        </w:rPr>
        <w:t>本授权书声明：我单位的 （法定代表人代表姓名、职务）代表本单位授权 （被授权人的姓名、职务）为本单位的合法代理人，就 项目的投标及合同的执行、完成，以本单位的名义处理一切与之有关的事务。</w:t>
      </w:r>
    </w:p>
    <w:p>
      <w:pPr>
        <w:spacing w:line="360" w:lineRule="auto"/>
        <w:ind w:firstLine="538"/>
        <w:jc w:val="left"/>
        <w:rPr>
          <w:rFonts w:ascii="宋体" w:hAnsi="宋体"/>
          <w:color w:val="000000"/>
          <w:sz w:val="24"/>
        </w:rPr>
      </w:pPr>
      <w:r>
        <w:rPr>
          <w:rFonts w:hint="eastAsia" w:ascii="宋体" w:hAnsi="宋体"/>
          <w:color w:val="000000"/>
          <w:sz w:val="24"/>
        </w:rPr>
        <w:t>本授权书于年月日签字生效，特此声明。</w:t>
      </w:r>
    </w:p>
    <w:p>
      <w:pPr>
        <w:spacing w:line="360" w:lineRule="auto"/>
        <w:ind w:firstLine="538"/>
        <w:jc w:val="left"/>
        <w:rPr>
          <w:rFonts w:ascii="宋体" w:hAnsi="宋体"/>
          <w:color w:val="000000"/>
          <w:sz w:val="24"/>
        </w:rPr>
      </w:pPr>
    </w:p>
    <w:p>
      <w:pPr>
        <w:spacing w:line="360" w:lineRule="auto"/>
        <w:ind w:firstLine="538"/>
        <w:jc w:val="left"/>
        <w:rPr>
          <w:rFonts w:ascii="宋体" w:hAnsi="宋体"/>
          <w:color w:val="000000"/>
          <w:sz w:val="24"/>
        </w:rPr>
      </w:pPr>
    </w:p>
    <w:p>
      <w:pPr>
        <w:spacing w:afterLines="50" w:line="360" w:lineRule="auto"/>
        <w:ind w:firstLine="437"/>
        <w:rPr>
          <w:rFonts w:ascii="宋体" w:hAnsi="宋体"/>
          <w:color w:val="000000"/>
          <w:sz w:val="24"/>
          <w:u w:val="single"/>
        </w:rPr>
      </w:pPr>
      <w:r>
        <w:rPr>
          <w:rFonts w:hint="eastAsia" w:ascii="宋体" w:hAnsi="宋体"/>
          <w:color w:val="000000"/>
          <w:sz w:val="24"/>
        </w:rPr>
        <w:t>投标人名称（公章）：</w:t>
      </w:r>
    </w:p>
    <w:p>
      <w:pPr>
        <w:spacing w:afterLines="50" w:line="360" w:lineRule="auto"/>
        <w:ind w:firstLine="437"/>
        <w:rPr>
          <w:rFonts w:ascii="宋体" w:hAnsi="宋体"/>
          <w:color w:val="000000"/>
          <w:sz w:val="24"/>
        </w:rPr>
      </w:pPr>
      <w:r>
        <w:rPr>
          <w:rFonts w:hint="eastAsia" w:ascii="宋体" w:hAnsi="宋体"/>
          <w:color w:val="000000"/>
          <w:sz w:val="24"/>
        </w:rPr>
        <w:t>法定代表人签字：</w:t>
      </w:r>
    </w:p>
    <w:p>
      <w:pPr>
        <w:spacing w:afterLines="50" w:line="360" w:lineRule="auto"/>
        <w:ind w:firstLine="437"/>
        <w:rPr>
          <w:rFonts w:ascii="宋体" w:hAnsi="宋体"/>
          <w:color w:val="000000"/>
          <w:sz w:val="24"/>
          <w:u w:val="single"/>
        </w:rPr>
      </w:pPr>
      <w:r>
        <w:rPr>
          <w:rFonts w:hint="eastAsia" w:ascii="宋体" w:hAnsi="宋体"/>
          <w:color w:val="000000"/>
          <w:sz w:val="24"/>
        </w:rPr>
        <w:t>授权代表人签字：</w:t>
      </w:r>
    </w:p>
    <w:p>
      <w:pPr>
        <w:spacing w:line="360" w:lineRule="auto"/>
        <w:ind w:firstLine="470" w:firstLineChars="196"/>
        <w:rPr>
          <w:rFonts w:ascii="宋体" w:hAnsi="宋体"/>
          <w:sz w:val="24"/>
        </w:rPr>
      </w:pPr>
      <w:r>
        <w:rPr>
          <w:rFonts w:hint="eastAsia" w:ascii="宋体" w:hAnsi="宋体"/>
          <w:color w:val="000000"/>
          <w:sz w:val="24"/>
        </w:rPr>
        <w:t>日期： 年  月  日</w:t>
      </w:r>
    </w:p>
    <w:p>
      <w:pPr>
        <w:spacing w:line="360" w:lineRule="auto"/>
        <w:jc w:val="right"/>
        <w:rPr>
          <w:rFonts w:ascii="宋体" w:hAnsi="宋体"/>
          <w:sz w:val="24"/>
        </w:rPr>
      </w:pPr>
    </w:p>
    <w:tbl>
      <w:tblPr>
        <w:tblStyle w:val="40"/>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sz w:val="24"/>
              </w:rPr>
            </w:pPr>
            <w:r>
              <w:rPr>
                <w:rFonts w:hint="eastAsia" w:ascii="宋体" w:hAnsi="宋体"/>
                <w:b/>
                <w:sz w:val="24"/>
              </w:rPr>
              <w:t>法定代表人身份证</w:t>
            </w:r>
          </w:p>
          <w:p>
            <w:pPr>
              <w:spacing w:afterLines="50" w:line="360" w:lineRule="auto"/>
              <w:jc w:val="center"/>
              <w:rPr>
                <w:rFonts w:ascii="宋体" w:hAnsi="宋体"/>
                <w:b/>
                <w:sz w:val="24"/>
              </w:rPr>
            </w:pPr>
            <w:r>
              <w:rPr>
                <w:rFonts w:hint="eastAsia" w:ascii="宋体" w:hAnsi="宋体"/>
                <w:b/>
                <w:sz w:val="24"/>
              </w:rPr>
              <w:t>复印件（正、反面）</w:t>
            </w:r>
          </w:p>
        </w:tc>
        <w:tc>
          <w:tcPr>
            <w:tcW w:w="4610" w:type="dxa"/>
            <w:vAlign w:val="center"/>
          </w:tcPr>
          <w:p>
            <w:pPr>
              <w:spacing w:afterLines="50" w:line="360" w:lineRule="auto"/>
              <w:jc w:val="center"/>
              <w:rPr>
                <w:rFonts w:ascii="宋体" w:hAnsi="宋体"/>
                <w:b/>
                <w:sz w:val="24"/>
              </w:rPr>
            </w:pPr>
            <w:r>
              <w:rPr>
                <w:rFonts w:hint="eastAsia" w:ascii="宋体" w:hAnsi="宋体"/>
                <w:b/>
                <w:sz w:val="24"/>
              </w:rPr>
              <w:t>被授权人身份证</w:t>
            </w:r>
          </w:p>
          <w:p>
            <w:pPr>
              <w:spacing w:afterLines="50" w:line="360" w:lineRule="auto"/>
              <w:jc w:val="center"/>
              <w:rPr>
                <w:rFonts w:ascii="宋体" w:hAnsi="宋体"/>
                <w:b/>
                <w:sz w:val="24"/>
              </w:rPr>
            </w:pPr>
            <w:r>
              <w:rPr>
                <w:rFonts w:hint="eastAsia" w:ascii="宋体" w:hAnsi="宋体"/>
                <w:b/>
                <w:sz w:val="24"/>
              </w:rPr>
              <w:t>复印件（正、反面）</w:t>
            </w:r>
          </w:p>
        </w:tc>
      </w:tr>
    </w:tbl>
    <w:p>
      <w:pPr>
        <w:pStyle w:val="4"/>
        <w:spacing w:line="360" w:lineRule="auto"/>
        <w:rPr>
          <w:rFonts w:hAnsi="宋体"/>
          <w:spacing w:val="10"/>
          <w:sz w:val="24"/>
          <w:szCs w:val="24"/>
        </w:rPr>
      </w:pPr>
    </w:p>
    <w:p>
      <w:pPr>
        <w:spacing w:line="360" w:lineRule="auto"/>
      </w:pPr>
    </w:p>
    <w:p>
      <w:pPr>
        <w:spacing w:line="360" w:lineRule="auto"/>
      </w:pPr>
    </w:p>
    <w:p>
      <w:pPr>
        <w:spacing w:line="360" w:lineRule="auto"/>
      </w:pPr>
    </w:p>
    <w:p>
      <w:pPr>
        <w:spacing w:line="360" w:lineRule="auto"/>
      </w:pPr>
    </w:p>
    <w:p>
      <w:pPr>
        <w:spacing w:line="360" w:lineRule="auto"/>
        <w:sectPr>
          <w:headerReference r:id="rId6" w:type="default"/>
          <w:pgSz w:w="11907" w:h="16840"/>
          <w:pgMar w:top="1440" w:right="1247" w:bottom="1440" w:left="1361" w:header="851" w:footer="992" w:gutter="0"/>
          <w:pgNumType w:fmt="numberInDash"/>
          <w:cols w:space="720" w:num="1"/>
          <w:docGrid w:linePitch="312" w:charSpace="0"/>
        </w:sectPr>
      </w:pPr>
    </w:p>
    <w:bookmarkEnd w:id="104"/>
    <w:bookmarkEnd w:id="105"/>
    <w:p>
      <w:pPr>
        <w:spacing w:line="360" w:lineRule="auto"/>
        <w:jc w:val="left"/>
        <w:rPr>
          <w:rFonts w:ascii="宋体" w:hAnsi="宋体"/>
          <w:b/>
          <w:color w:val="000000"/>
          <w:sz w:val="32"/>
          <w:szCs w:val="32"/>
        </w:rPr>
      </w:pPr>
      <w:r>
        <w:rPr>
          <w:rFonts w:hint="eastAsia" w:ascii="宋体" w:hAnsi="宋体"/>
          <w:b/>
          <w:color w:val="000000"/>
          <w:sz w:val="32"/>
          <w:szCs w:val="32"/>
        </w:rPr>
        <w:t>附件4：</w:t>
      </w:r>
    </w:p>
    <w:p>
      <w:pPr>
        <w:spacing w:line="360" w:lineRule="auto"/>
        <w:jc w:val="center"/>
        <w:rPr>
          <w:rFonts w:ascii="宋体" w:hAnsi="宋体"/>
          <w:b/>
          <w:color w:val="000000"/>
          <w:sz w:val="32"/>
          <w:szCs w:val="32"/>
        </w:rPr>
      </w:pPr>
      <w:r>
        <w:rPr>
          <w:rFonts w:hint="eastAsia" w:ascii="宋体" w:hAnsi="宋体"/>
          <w:b/>
          <w:color w:val="000000"/>
          <w:sz w:val="32"/>
          <w:szCs w:val="32"/>
        </w:rPr>
        <w:t>投标报价表（开标一览表）</w:t>
      </w:r>
    </w:p>
    <w:p>
      <w:pPr>
        <w:tabs>
          <w:tab w:val="left" w:pos="9360"/>
        </w:tabs>
        <w:spacing w:line="360" w:lineRule="auto"/>
        <w:jc w:val="left"/>
        <w:rPr>
          <w:rFonts w:ascii="宋体" w:hAnsi="宋体"/>
          <w:color w:val="000000"/>
          <w:sz w:val="24"/>
        </w:rPr>
      </w:pPr>
      <w:r>
        <w:rPr>
          <w:rFonts w:hint="eastAsia" w:ascii="宋体" w:hAnsi="宋体"/>
          <w:color w:val="000000"/>
          <w:sz w:val="24"/>
        </w:rPr>
        <w:t>投标人名称：                 项目编号：                 币种：</w:t>
      </w:r>
      <w:r>
        <w:rPr>
          <w:rFonts w:hint="eastAsia" w:ascii="宋体" w:hAnsi="宋体"/>
          <w:color w:val="000000"/>
          <w:sz w:val="24"/>
          <w:u w:val="single"/>
        </w:rPr>
        <w:t>人民币</w:t>
      </w:r>
    </w:p>
    <w:tbl>
      <w:tblPr>
        <w:tblStyle w:val="40"/>
        <w:tblW w:w="143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1216"/>
        <w:gridCol w:w="870"/>
        <w:gridCol w:w="1944"/>
        <w:gridCol w:w="1394"/>
        <w:gridCol w:w="1625"/>
        <w:gridCol w:w="1625"/>
        <w:gridCol w:w="1625"/>
        <w:gridCol w:w="1562"/>
        <w:gridCol w:w="7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1819" w:type="dxa"/>
            <w:vAlign w:val="center"/>
          </w:tcPr>
          <w:p>
            <w:pPr>
              <w:spacing w:line="360" w:lineRule="auto"/>
              <w:jc w:val="center"/>
              <w:rPr>
                <w:rFonts w:ascii="宋体" w:hAnsi="宋体"/>
                <w:sz w:val="24"/>
              </w:rPr>
            </w:pPr>
            <w:r>
              <w:rPr>
                <w:rFonts w:hint="eastAsia" w:ascii="宋体" w:hAnsi="宋体"/>
                <w:sz w:val="24"/>
              </w:rPr>
              <w:t>序号</w:t>
            </w:r>
          </w:p>
        </w:tc>
        <w:tc>
          <w:tcPr>
            <w:tcW w:w="1216" w:type="dxa"/>
            <w:vAlign w:val="center"/>
          </w:tcPr>
          <w:p>
            <w:pPr>
              <w:spacing w:line="360" w:lineRule="auto"/>
              <w:jc w:val="center"/>
              <w:rPr>
                <w:rFonts w:ascii="宋体" w:hAnsi="宋体"/>
                <w:sz w:val="24"/>
              </w:rPr>
            </w:pPr>
            <w:r>
              <w:rPr>
                <w:rFonts w:hint="eastAsia" w:ascii="宋体" w:hAnsi="宋体"/>
                <w:sz w:val="24"/>
              </w:rPr>
              <w:t>货物名称</w:t>
            </w:r>
          </w:p>
        </w:tc>
        <w:tc>
          <w:tcPr>
            <w:tcW w:w="870" w:type="dxa"/>
            <w:vAlign w:val="center"/>
          </w:tcPr>
          <w:p>
            <w:pPr>
              <w:spacing w:line="360" w:lineRule="auto"/>
              <w:jc w:val="center"/>
              <w:rPr>
                <w:rFonts w:ascii="宋体" w:hAnsi="宋体"/>
                <w:sz w:val="24"/>
              </w:rPr>
            </w:pPr>
            <w:r>
              <w:rPr>
                <w:rFonts w:hint="eastAsia" w:ascii="宋体" w:hAnsi="宋体"/>
                <w:sz w:val="24"/>
              </w:rPr>
              <w:t>品牌</w:t>
            </w:r>
          </w:p>
        </w:tc>
        <w:tc>
          <w:tcPr>
            <w:tcW w:w="1944" w:type="dxa"/>
            <w:vAlign w:val="center"/>
          </w:tcPr>
          <w:p>
            <w:pPr>
              <w:spacing w:line="360" w:lineRule="auto"/>
              <w:jc w:val="center"/>
              <w:rPr>
                <w:rFonts w:ascii="宋体" w:hAnsi="宋体"/>
                <w:sz w:val="24"/>
              </w:rPr>
            </w:pPr>
            <w:r>
              <w:rPr>
                <w:rFonts w:hint="eastAsia" w:ascii="宋体" w:hAnsi="宋体"/>
                <w:sz w:val="24"/>
              </w:rPr>
              <w:t>型号、规格</w:t>
            </w:r>
          </w:p>
        </w:tc>
        <w:tc>
          <w:tcPr>
            <w:tcW w:w="1394" w:type="dxa"/>
            <w:vAlign w:val="center"/>
          </w:tcPr>
          <w:p>
            <w:pPr>
              <w:spacing w:line="360" w:lineRule="auto"/>
              <w:jc w:val="center"/>
              <w:rPr>
                <w:rFonts w:ascii="宋体" w:hAnsi="宋体"/>
                <w:sz w:val="24"/>
              </w:rPr>
            </w:pPr>
            <w:r>
              <w:rPr>
                <w:rFonts w:hint="eastAsia" w:ascii="宋体" w:hAnsi="宋体"/>
                <w:sz w:val="24"/>
              </w:rPr>
              <w:t>单价（元）</w:t>
            </w:r>
          </w:p>
        </w:tc>
        <w:tc>
          <w:tcPr>
            <w:tcW w:w="1625" w:type="dxa"/>
            <w:vAlign w:val="center"/>
          </w:tcPr>
          <w:p>
            <w:pPr>
              <w:spacing w:line="360" w:lineRule="auto"/>
              <w:jc w:val="center"/>
              <w:rPr>
                <w:rFonts w:ascii="宋体" w:hAnsi="宋体"/>
                <w:sz w:val="24"/>
              </w:rPr>
            </w:pPr>
            <w:r>
              <w:rPr>
                <w:rFonts w:hint="eastAsia" w:ascii="宋体" w:hAnsi="宋体"/>
                <w:sz w:val="24"/>
              </w:rPr>
              <w:t>数量</w:t>
            </w:r>
          </w:p>
        </w:tc>
        <w:tc>
          <w:tcPr>
            <w:tcW w:w="1625" w:type="dxa"/>
            <w:vAlign w:val="center"/>
          </w:tcPr>
          <w:p>
            <w:pPr>
              <w:spacing w:line="360" w:lineRule="auto"/>
              <w:jc w:val="center"/>
              <w:rPr>
                <w:rFonts w:ascii="宋体" w:hAnsi="宋体"/>
                <w:sz w:val="24"/>
              </w:rPr>
            </w:pPr>
            <w:r>
              <w:rPr>
                <w:rFonts w:hint="eastAsia" w:ascii="宋体" w:hAnsi="宋体"/>
                <w:sz w:val="24"/>
              </w:rPr>
              <w:t>总价（元）</w:t>
            </w:r>
          </w:p>
        </w:tc>
        <w:tc>
          <w:tcPr>
            <w:tcW w:w="1625" w:type="dxa"/>
            <w:vAlign w:val="center"/>
          </w:tcPr>
          <w:p>
            <w:pPr>
              <w:spacing w:line="360" w:lineRule="auto"/>
              <w:jc w:val="center"/>
              <w:rPr>
                <w:rFonts w:ascii="宋体" w:hAnsi="宋体"/>
                <w:sz w:val="24"/>
              </w:rPr>
            </w:pPr>
            <w:r>
              <w:rPr>
                <w:rFonts w:hint="eastAsia" w:ascii="宋体" w:hAnsi="宋体"/>
                <w:sz w:val="24"/>
              </w:rPr>
              <w:t>交货日期</w:t>
            </w:r>
          </w:p>
        </w:tc>
        <w:tc>
          <w:tcPr>
            <w:tcW w:w="1562" w:type="dxa"/>
            <w:vAlign w:val="center"/>
          </w:tcPr>
          <w:p>
            <w:pPr>
              <w:spacing w:line="360" w:lineRule="auto"/>
              <w:jc w:val="center"/>
              <w:rPr>
                <w:rFonts w:ascii="宋体" w:hAnsi="宋体"/>
                <w:sz w:val="24"/>
              </w:rPr>
            </w:pPr>
            <w:r>
              <w:rPr>
                <w:rFonts w:hint="eastAsia" w:ascii="宋体" w:hAnsi="宋体"/>
                <w:spacing w:val="10"/>
                <w:sz w:val="24"/>
              </w:rPr>
              <w:t>生产厂家</w:t>
            </w:r>
          </w:p>
        </w:tc>
        <w:tc>
          <w:tcPr>
            <w:tcW w:w="700"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restart"/>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819" w:type="dxa"/>
            <w:vAlign w:val="center"/>
          </w:tcPr>
          <w:p>
            <w:pPr>
              <w:spacing w:line="360" w:lineRule="auto"/>
              <w:jc w:val="center"/>
              <w:rPr>
                <w:rFonts w:ascii="宋体" w:hAnsi="宋体"/>
                <w:sz w:val="24"/>
              </w:rPr>
            </w:pPr>
          </w:p>
        </w:tc>
        <w:tc>
          <w:tcPr>
            <w:tcW w:w="1216" w:type="dxa"/>
            <w:vAlign w:val="center"/>
          </w:tcPr>
          <w:p>
            <w:pPr>
              <w:spacing w:line="360" w:lineRule="auto"/>
              <w:jc w:val="center"/>
              <w:rPr>
                <w:rFonts w:ascii="宋体" w:hAnsi="宋体"/>
                <w:sz w:val="24"/>
              </w:rPr>
            </w:pPr>
          </w:p>
        </w:tc>
        <w:tc>
          <w:tcPr>
            <w:tcW w:w="870" w:type="dxa"/>
            <w:vAlign w:val="center"/>
          </w:tcPr>
          <w:p>
            <w:pPr>
              <w:spacing w:line="360" w:lineRule="auto"/>
              <w:jc w:val="center"/>
              <w:rPr>
                <w:rFonts w:ascii="宋体" w:hAnsi="宋体"/>
                <w:sz w:val="24"/>
              </w:rPr>
            </w:pPr>
          </w:p>
        </w:tc>
        <w:tc>
          <w:tcPr>
            <w:tcW w:w="1944" w:type="dxa"/>
            <w:vAlign w:val="center"/>
          </w:tcPr>
          <w:p>
            <w:pPr>
              <w:spacing w:line="360" w:lineRule="auto"/>
              <w:jc w:val="center"/>
              <w:rPr>
                <w:rFonts w:ascii="宋体" w:hAnsi="宋体"/>
                <w:sz w:val="24"/>
              </w:rPr>
            </w:pPr>
          </w:p>
        </w:tc>
        <w:tc>
          <w:tcPr>
            <w:tcW w:w="1394" w:type="dxa"/>
            <w:vAlign w:val="center"/>
          </w:tcPr>
          <w:p>
            <w:pPr>
              <w:spacing w:line="360" w:lineRule="auto"/>
              <w:jc w:val="center"/>
              <w:rPr>
                <w:rFonts w:ascii="宋体" w:hAnsi="宋体"/>
                <w:sz w:val="24"/>
              </w:rPr>
            </w:pPr>
          </w:p>
        </w:tc>
        <w:tc>
          <w:tcPr>
            <w:tcW w:w="1625" w:type="dxa"/>
          </w:tcPr>
          <w:p>
            <w:pPr>
              <w:spacing w:line="360" w:lineRule="auto"/>
              <w:jc w:val="center"/>
              <w:rPr>
                <w:rFonts w:ascii="宋体" w:hAnsi="宋体"/>
                <w:b/>
                <w:sz w:val="24"/>
                <w:u w:val="single"/>
              </w:rPr>
            </w:pPr>
          </w:p>
        </w:tc>
        <w:tc>
          <w:tcPr>
            <w:tcW w:w="1625" w:type="dxa"/>
          </w:tcPr>
          <w:p>
            <w:pPr>
              <w:spacing w:line="360" w:lineRule="auto"/>
              <w:jc w:val="center"/>
              <w:rPr>
                <w:rFonts w:ascii="宋体" w:hAnsi="宋体"/>
                <w:b/>
                <w:sz w:val="24"/>
                <w:u w:val="single"/>
              </w:rPr>
            </w:pPr>
          </w:p>
        </w:tc>
        <w:tc>
          <w:tcPr>
            <w:tcW w:w="1625" w:type="dxa"/>
            <w:vMerge w:val="continue"/>
            <w:vAlign w:val="center"/>
          </w:tcPr>
          <w:p>
            <w:pPr>
              <w:spacing w:line="360" w:lineRule="auto"/>
              <w:jc w:val="center"/>
              <w:rPr>
                <w:rFonts w:ascii="宋体" w:hAnsi="宋体"/>
                <w:b/>
                <w:sz w:val="24"/>
                <w:u w:val="single"/>
              </w:rPr>
            </w:pPr>
          </w:p>
        </w:tc>
        <w:tc>
          <w:tcPr>
            <w:tcW w:w="1562" w:type="dxa"/>
            <w:vAlign w:val="center"/>
          </w:tcPr>
          <w:p>
            <w:pPr>
              <w:spacing w:line="360" w:lineRule="auto"/>
              <w:jc w:val="center"/>
              <w:rPr>
                <w:rFonts w:ascii="宋体" w:hAnsi="宋体"/>
                <w:sz w:val="24"/>
              </w:rPr>
            </w:pPr>
          </w:p>
        </w:tc>
        <w:tc>
          <w:tcPr>
            <w:tcW w:w="700" w:type="dxa"/>
            <w:vAlign w:val="center"/>
          </w:tcPr>
          <w:p>
            <w:pPr>
              <w:spacing w:line="360" w:lineRule="auto"/>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exact"/>
          <w:jc w:val="center"/>
        </w:trPr>
        <w:tc>
          <w:tcPr>
            <w:tcW w:w="14380" w:type="dxa"/>
            <w:gridSpan w:val="10"/>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投标人名称（公章）：               法定代表人或授权代表人（签字）：                 </w:t>
            </w:r>
            <w:r>
              <w:rPr>
                <w:rFonts w:hint="eastAsia" w:ascii="宋体" w:hAnsi="宋体"/>
                <w:bCs/>
                <w:sz w:val="24"/>
              </w:rPr>
              <w:t>日期：  年    月    日</w:t>
            </w:r>
          </w:p>
          <w:p>
            <w:pPr>
              <w:spacing w:line="360" w:lineRule="auto"/>
              <w:rPr>
                <w:rFonts w:ascii="宋体" w:hAnsi="宋体"/>
                <w:sz w:val="24"/>
              </w:rPr>
            </w:pPr>
            <w:r>
              <w:rPr>
                <w:rFonts w:hint="eastAsia" w:ascii="宋体" w:hAnsi="宋体"/>
                <w:sz w:val="24"/>
              </w:rPr>
              <w:t>投标报价</w:t>
            </w:r>
            <w:r>
              <w:rPr>
                <w:rFonts w:hint="eastAsia" w:ascii="宋体" w:hAnsi="宋体"/>
                <w:spacing w:val="4"/>
                <w:sz w:val="24"/>
              </w:rPr>
              <w:t>合计</w:t>
            </w:r>
            <w:r>
              <w:rPr>
                <w:rFonts w:hint="eastAsia" w:ascii="宋体" w:hAnsi="宋体"/>
                <w:sz w:val="24"/>
              </w:rPr>
              <w:t>（大写、小写）：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jc w:val="center"/>
        </w:trPr>
        <w:tc>
          <w:tcPr>
            <w:tcW w:w="14380" w:type="dxa"/>
            <w:gridSpan w:val="10"/>
          </w:tcPr>
          <w:p>
            <w:pPr>
              <w:pStyle w:val="23"/>
              <w:spacing w:line="360" w:lineRule="auto"/>
              <w:ind w:right="-15"/>
              <w:rPr>
                <w:rFonts w:hAnsi="宋体" w:cs="宋体"/>
                <w:b/>
                <w:sz w:val="24"/>
                <w:szCs w:val="24"/>
              </w:rPr>
            </w:pPr>
            <w:r>
              <w:rPr>
                <w:rFonts w:hint="eastAsia" w:hAnsi="宋体" w:cs="宋体"/>
                <w:b/>
                <w:sz w:val="24"/>
                <w:szCs w:val="24"/>
              </w:rPr>
              <w:t>备注：1、各投标人必须对投标报价进行合计，以满足唱标需要。</w:t>
            </w:r>
          </w:p>
          <w:p>
            <w:pPr>
              <w:pStyle w:val="23"/>
              <w:spacing w:line="360" w:lineRule="auto"/>
              <w:ind w:right="-15" w:firstLine="723" w:firstLineChars="300"/>
              <w:rPr>
                <w:rFonts w:hAnsi="宋体" w:cs="宋体"/>
                <w:b/>
                <w:bCs/>
                <w:sz w:val="24"/>
                <w:szCs w:val="24"/>
              </w:rPr>
            </w:pPr>
            <w:r>
              <w:rPr>
                <w:rFonts w:hint="eastAsia" w:hAnsi="宋体" w:cs="宋体"/>
                <w:b/>
                <w:sz w:val="24"/>
                <w:szCs w:val="24"/>
              </w:rPr>
              <w:t>2、报价时须写明货物品牌、型号、规格、生产厂家及严格按照投标报价表填写报价信息，否则予以废标。</w:t>
            </w:r>
          </w:p>
        </w:tc>
      </w:tr>
    </w:tbl>
    <w:p>
      <w:pPr>
        <w:spacing w:line="360" w:lineRule="auto"/>
        <w:jc w:val="center"/>
        <w:rPr>
          <w:rFonts w:ascii="宋体" w:hAnsi="宋体"/>
          <w:b/>
          <w:color w:val="C00000"/>
          <w:sz w:val="28"/>
          <w:szCs w:val="28"/>
        </w:rPr>
      </w:pPr>
    </w:p>
    <w:p>
      <w:pPr>
        <w:spacing w:line="360" w:lineRule="auto"/>
        <w:rPr>
          <w:rFonts w:ascii="宋体" w:hAnsi="宋体"/>
          <w:b/>
          <w:sz w:val="24"/>
        </w:rPr>
        <w:sectPr>
          <w:headerReference r:id="rId7" w:type="default"/>
          <w:pgSz w:w="16840" w:h="11907" w:orient="landscape"/>
          <w:pgMar w:top="1361" w:right="1440" w:bottom="1247" w:left="1440" w:header="851" w:footer="992" w:gutter="0"/>
          <w:pgNumType w:fmt="numberInDash"/>
          <w:cols w:space="720" w:num="1"/>
          <w:docGrid w:linePitch="312" w:charSpace="0"/>
        </w:sectPr>
      </w:pPr>
    </w:p>
    <w:p>
      <w:pPr>
        <w:spacing w:line="360" w:lineRule="auto"/>
        <w:rPr>
          <w:rFonts w:ascii="宋体" w:hAnsi="宋体"/>
          <w:b/>
          <w:sz w:val="32"/>
          <w:szCs w:val="32"/>
        </w:rPr>
      </w:pPr>
      <w:r>
        <w:rPr>
          <w:rFonts w:hint="eastAsia" w:ascii="宋体" w:hAnsi="宋体"/>
          <w:b/>
          <w:sz w:val="32"/>
          <w:szCs w:val="32"/>
        </w:rPr>
        <w:t>附件5：</w:t>
      </w:r>
    </w:p>
    <w:p>
      <w:pPr>
        <w:spacing w:line="360" w:lineRule="auto"/>
        <w:jc w:val="center"/>
        <w:rPr>
          <w:rFonts w:ascii="宋体" w:hAnsi="宋体"/>
          <w:b/>
          <w:sz w:val="32"/>
          <w:szCs w:val="32"/>
        </w:rPr>
      </w:pPr>
      <w:r>
        <w:rPr>
          <w:rFonts w:hint="eastAsia" w:ascii="宋体" w:hAnsi="宋体"/>
          <w:b/>
          <w:sz w:val="32"/>
          <w:szCs w:val="32"/>
        </w:rPr>
        <w:t>商务偏离表</w:t>
      </w:r>
    </w:p>
    <w:p>
      <w:pPr>
        <w:spacing w:line="360" w:lineRule="auto"/>
        <w:jc w:val="center"/>
        <w:rPr>
          <w:rFonts w:ascii="宋体" w:hAnsi="宋体"/>
          <w:b/>
          <w:sz w:val="24"/>
        </w:rPr>
      </w:pPr>
    </w:p>
    <w:tbl>
      <w:tblPr>
        <w:tblStyle w:val="40"/>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招标文件条目号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r>
              <w:rPr>
                <w:rFonts w:hint="eastAsia" w:ascii="宋体" w:hAnsi="宋体"/>
                <w:bCs/>
                <w:color w:val="000000"/>
                <w:sz w:val="24"/>
              </w:rPr>
              <w:t>招标文件的商务条款</w:t>
            </w:r>
          </w:p>
        </w:tc>
        <w:tc>
          <w:tcPr>
            <w:tcW w:w="2345" w:type="dxa"/>
            <w:vAlign w:val="center"/>
          </w:tcPr>
          <w:p>
            <w:pPr>
              <w:spacing w:line="360" w:lineRule="auto"/>
              <w:jc w:val="center"/>
              <w:rPr>
                <w:rFonts w:ascii="宋体" w:hAnsi="宋体"/>
                <w:bCs/>
                <w:color w:val="000000"/>
                <w:sz w:val="24"/>
              </w:rPr>
            </w:pPr>
            <w:r>
              <w:rPr>
                <w:rFonts w:hint="eastAsia" w:ascii="宋体" w:hAnsi="宋体"/>
                <w:bCs/>
                <w:color w:val="000000"/>
                <w:sz w:val="24"/>
              </w:rPr>
              <w:t>投标文件的商务条款</w:t>
            </w:r>
          </w:p>
        </w:tc>
        <w:tc>
          <w:tcPr>
            <w:tcW w:w="1274" w:type="dxa"/>
            <w:tcBorders>
              <w:righ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偏离情况</w:t>
            </w:r>
          </w:p>
        </w:tc>
        <w:tc>
          <w:tcPr>
            <w:tcW w:w="900" w:type="dxa"/>
            <w:tcBorders>
              <w:left w:val="single" w:color="auto" w:sz="4" w:space="0"/>
            </w:tcBorders>
            <w:vAlign w:val="center"/>
          </w:tcPr>
          <w:p>
            <w:pPr>
              <w:spacing w:line="360" w:lineRule="auto"/>
              <w:jc w:val="center"/>
              <w:rPr>
                <w:rFonts w:ascii="宋体" w:hAnsi="宋体"/>
                <w:bCs/>
                <w:color w:val="000000"/>
                <w:sz w:val="24"/>
              </w:rPr>
            </w:pPr>
            <w:r>
              <w:rPr>
                <w:rFonts w:hint="eastAsia" w:ascii="宋体" w:hAnsi="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sz w:val="24"/>
              </w:rPr>
            </w:pPr>
          </w:p>
        </w:tc>
        <w:tc>
          <w:tcPr>
            <w:tcW w:w="2345" w:type="dxa"/>
            <w:vAlign w:val="center"/>
          </w:tcPr>
          <w:p>
            <w:pPr>
              <w:spacing w:line="360" w:lineRule="auto"/>
              <w:jc w:val="center"/>
              <w:rPr>
                <w:rFonts w:ascii="宋体" w:hAnsi="宋体"/>
                <w:bCs/>
                <w:color w:val="000000"/>
                <w:sz w:val="24"/>
              </w:rPr>
            </w:pPr>
          </w:p>
        </w:tc>
        <w:tc>
          <w:tcPr>
            <w:tcW w:w="1274" w:type="dxa"/>
            <w:tcBorders>
              <w:right w:val="single" w:color="auto" w:sz="4" w:space="0"/>
            </w:tcBorders>
            <w:vAlign w:val="center"/>
          </w:tcPr>
          <w:p>
            <w:pPr>
              <w:spacing w:line="360" w:lineRule="auto"/>
              <w:jc w:val="center"/>
              <w:rPr>
                <w:rFonts w:ascii="宋体" w:hAnsi="宋体"/>
                <w:bCs/>
                <w:color w:val="000000"/>
                <w:sz w:val="24"/>
              </w:rPr>
            </w:pPr>
          </w:p>
        </w:tc>
        <w:tc>
          <w:tcPr>
            <w:tcW w:w="900" w:type="dxa"/>
            <w:tcBorders>
              <w:left w:val="single" w:color="auto" w:sz="4" w:space="0"/>
            </w:tcBorders>
            <w:vAlign w:val="center"/>
          </w:tcPr>
          <w:p>
            <w:pPr>
              <w:spacing w:line="360" w:lineRule="auto"/>
              <w:jc w:val="center"/>
              <w:rPr>
                <w:rFonts w:ascii="宋体" w:hAnsi="宋体"/>
                <w:bCs/>
                <w:color w:val="000000"/>
                <w:sz w:val="24"/>
              </w:rPr>
            </w:pPr>
          </w:p>
        </w:tc>
      </w:tr>
    </w:tbl>
    <w:p>
      <w:pPr>
        <w:spacing w:line="360" w:lineRule="auto"/>
        <w:rPr>
          <w:rFonts w:ascii="宋体" w:hAnsi="宋体"/>
          <w:sz w:val="24"/>
        </w:rPr>
      </w:pPr>
      <w:r>
        <w:rPr>
          <w:rFonts w:hint="eastAsia" w:ascii="宋体" w:hAnsi="宋体"/>
          <w:sz w:val="24"/>
        </w:rPr>
        <w:t>注：除本商务偏离表中所列的偏离内容外，其他所有商务条款均应完全响应“招标文件”中的要求。</w:t>
      </w:r>
    </w:p>
    <w:p>
      <w:pPr>
        <w:spacing w:line="360" w:lineRule="auto"/>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color w:val="000000"/>
          <w:sz w:val="24"/>
          <w:u w:val="single"/>
        </w:rPr>
      </w:pPr>
      <w:bookmarkStart w:id="106" w:name="_Toc327439493"/>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ind w:firstLine="5880" w:firstLineChars="2450"/>
        <w:rPr>
          <w:rFonts w:ascii="宋体" w:hAnsi="宋体"/>
          <w:bCs/>
          <w:sz w:val="24"/>
          <w:u w:val="single"/>
        </w:rPr>
      </w:pPr>
    </w:p>
    <w:p>
      <w:pPr>
        <w:snapToGrid w:val="0"/>
        <w:spacing w:line="360" w:lineRule="auto"/>
        <w:rPr>
          <w:rFonts w:ascii="宋体" w:hAnsi="宋体"/>
          <w:bCs/>
          <w:sz w:val="24"/>
          <w:u w:val="single"/>
        </w:rPr>
      </w:pPr>
    </w:p>
    <w:p>
      <w:pPr>
        <w:spacing w:line="360" w:lineRule="auto"/>
        <w:ind w:right="600"/>
        <w:rPr>
          <w:rFonts w:ascii="宋体" w:hAnsi="宋体"/>
          <w:b/>
          <w:sz w:val="24"/>
        </w:rPr>
      </w:pPr>
    </w:p>
    <w:p>
      <w:pPr>
        <w:spacing w:line="360" w:lineRule="auto"/>
        <w:ind w:right="600"/>
        <w:rPr>
          <w:rFonts w:ascii="宋体" w:hAnsi="宋体"/>
          <w:b/>
          <w:sz w:val="24"/>
        </w:rPr>
      </w:pPr>
    </w:p>
    <w:p>
      <w:pPr>
        <w:spacing w:line="360" w:lineRule="auto"/>
        <w:ind w:right="600"/>
        <w:rPr>
          <w:rFonts w:ascii="宋体" w:hAnsi="宋体"/>
          <w:b/>
          <w:sz w:val="24"/>
        </w:rPr>
      </w:pPr>
    </w:p>
    <w:p>
      <w:pPr>
        <w:spacing w:line="360" w:lineRule="auto"/>
        <w:ind w:right="600"/>
        <w:rPr>
          <w:rFonts w:ascii="宋体" w:hAnsi="宋体"/>
          <w:b/>
          <w:sz w:val="32"/>
          <w:szCs w:val="32"/>
        </w:rPr>
      </w:pPr>
      <w:r>
        <w:rPr>
          <w:rFonts w:hint="eastAsia" w:ascii="宋体" w:hAnsi="宋体"/>
          <w:b/>
          <w:sz w:val="32"/>
          <w:szCs w:val="32"/>
        </w:rPr>
        <w:t>附件6：</w:t>
      </w:r>
    </w:p>
    <w:p>
      <w:pPr>
        <w:snapToGrid w:val="0"/>
        <w:spacing w:line="360" w:lineRule="auto"/>
        <w:jc w:val="center"/>
        <w:rPr>
          <w:rFonts w:ascii="宋体" w:hAnsi="宋体"/>
          <w:b/>
          <w:sz w:val="32"/>
          <w:szCs w:val="32"/>
        </w:rPr>
      </w:pPr>
      <w:r>
        <w:rPr>
          <w:rFonts w:hint="eastAsia" w:ascii="宋体" w:hAnsi="宋体"/>
          <w:b/>
          <w:sz w:val="32"/>
          <w:szCs w:val="32"/>
        </w:rPr>
        <w:t>技术偏离表</w:t>
      </w:r>
    </w:p>
    <w:tbl>
      <w:tblPr>
        <w:tblStyle w:val="40"/>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r>
              <w:rPr>
                <w:rFonts w:hint="eastAsia" w:ascii="宋体" w:hAnsi="宋体"/>
                <w:color w:val="000000"/>
                <w:sz w:val="24"/>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r>
              <w:rPr>
                <w:rFonts w:hint="eastAsia" w:ascii="宋体" w:hAnsi="宋体"/>
                <w:color w:val="000000"/>
                <w:sz w:val="24"/>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r>
              <w:rPr>
                <w:rFonts w:hint="eastAsia" w:ascii="宋体" w:hAnsi="宋体"/>
                <w:color w:val="000000"/>
                <w:sz w:val="24"/>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360" w:lineRule="auto"/>
              <w:jc w:val="center"/>
              <w:rPr>
                <w:rFonts w:hAnsi="宋体" w:cs="Courier New"/>
                <w:color w:val="000000"/>
                <w:sz w:val="24"/>
              </w:rPr>
            </w:pPr>
            <w:r>
              <w:rPr>
                <w:rFonts w:hint="eastAsia" w:hAnsi="宋体" w:cs="Courier New"/>
                <w:color w:val="000000"/>
                <w:sz w:val="24"/>
              </w:rPr>
              <w:t>招标文件技术要求</w:t>
            </w:r>
          </w:p>
          <w:p>
            <w:pPr>
              <w:spacing w:line="360" w:lineRule="auto"/>
              <w:jc w:val="center"/>
              <w:rPr>
                <w:rFonts w:ascii="宋体" w:hAnsi="宋体"/>
                <w:color w:val="000000"/>
                <w:sz w:val="24"/>
              </w:rPr>
            </w:pPr>
            <w:r>
              <w:rPr>
                <w:rFonts w:hint="eastAsia" w:hAnsi="宋体"/>
                <w:color w:val="000000"/>
                <w:sz w:val="24"/>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360" w:lineRule="auto"/>
              <w:jc w:val="center"/>
              <w:rPr>
                <w:rFonts w:hAnsi="宋体" w:cs="Courier New"/>
                <w:color w:val="000000"/>
                <w:sz w:val="24"/>
              </w:rPr>
            </w:pPr>
            <w:r>
              <w:rPr>
                <w:rFonts w:hint="eastAsia" w:hAnsi="宋体" w:cs="Courier New"/>
                <w:color w:val="000000"/>
                <w:sz w:val="24"/>
              </w:rPr>
              <w:t>投标文件的技术响</w:t>
            </w:r>
          </w:p>
          <w:p>
            <w:pPr>
              <w:spacing w:line="360" w:lineRule="auto"/>
              <w:jc w:val="center"/>
              <w:rPr>
                <w:rFonts w:ascii="宋体" w:hAnsi="宋体"/>
                <w:color w:val="000000"/>
                <w:sz w:val="24"/>
              </w:rPr>
            </w:pPr>
            <w:r>
              <w:rPr>
                <w:rFonts w:hint="eastAsia" w:hAnsi="宋体"/>
                <w:color w:val="000000"/>
                <w:sz w:val="24"/>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color w:val="000000"/>
                <w:sz w:val="24"/>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sz w:val="24"/>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sz w:val="24"/>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sz w:val="24"/>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sz w:val="24"/>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sz w:val="24"/>
              </w:rPr>
            </w:pPr>
          </w:p>
        </w:tc>
      </w:tr>
    </w:tbl>
    <w:p>
      <w:pPr>
        <w:snapToGrid w:val="0"/>
        <w:spacing w:line="360" w:lineRule="auto"/>
        <w:jc w:val="center"/>
        <w:rPr>
          <w:rFonts w:ascii="宋体" w:hAnsi="宋体"/>
          <w:b/>
          <w:sz w:val="30"/>
          <w:szCs w:val="30"/>
        </w:rPr>
      </w:pPr>
    </w:p>
    <w:p>
      <w:pPr>
        <w:pStyle w:val="23"/>
        <w:spacing w:line="360" w:lineRule="auto"/>
        <w:jc w:val="center"/>
        <w:rPr>
          <w:rFonts w:hAnsi="宋体"/>
          <w:b/>
          <w:sz w:val="18"/>
        </w:rPr>
      </w:pPr>
    </w:p>
    <w:p>
      <w:pPr>
        <w:pStyle w:val="33"/>
        <w:spacing w:line="360" w:lineRule="auto"/>
        <w:ind w:left="482" w:hanging="482"/>
        <w:rPr>
          <w:rFonts w:ascii="宋体" w:hAnsi="宋体"/>
        </w:rPr>
      </w:pPr>
    </w:p>
    <w:p>
      <w:pPr>
        <w:pStyle w:val="33"/>
        <w:spacing w:line="360" w:lineRule="auto"/>
        <w:ind w:left="482" w:hanging="482"/>
        <w:rPr>
          <w:rFonts w:ascii="宋体" w:hAnsi="宋体"/>
        </w:rPr>
      </w:pPr>
    </w:p>
    <w:p>
      <w:pPr>
        <w:spacing w:line="360" w:lineRule="auto"/>
        <w:rPr>
          <w:rFonts w:ascii="宋体" w:hAnsi="宋体"/>
          <w:bCs/>
          <w:sz w:val="24"/>
        </w:rPr>
      </w:pPr>
    </w:p>
    <w:p>
      <w:pPr>
        <w:spacing w:line="360" w:lineRule="auto"/>
        <w:rPr>
          <w:rFonts w:ascii="宋体" w:hAnsi="宋体"/>
          <w:bCs/>
          <w:sz w:val="24"/>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ind w:firstLine="480" w:firstLineChars="200"/>
        <w:rPr>
          <w:rFonts w:ascii="宋体" w:hAnsi="宋体"/>
          <w:color w:val="000000"/>
          <w:sz w:val="24"/>
          <w:u w:val="single"/>
        </w:rPr>
      </w:pPr>
    </w:p>
    <w:p>
      <w:pPr>
        <w:spacing w:line="360" w:lineRule="auto"/>
        <w:rPr>
          <w:rFonts w:ascii="宋体" w:hAnsi="宋体"/>
          <w:b/>
          <w:bCs/>
        </w:rPr>
      </w:pPr>
    </w:p>
    <w:bookmarkEnd w:id="106"/>
    <w:p>
      <w:pPr>
        <w:pStyle w:val="5"/>
        <w:tabs>
          <w:tab w:val="left" w:pos="1260"/>
        </w:tabs>
        <w:spacing w:line="360" w:lineRule="auto"/>
        <w:rPr>
          <w:rFonts w:hAnsi="宋体"/>
        </w:rPr>
        <w:sectPr>
          <w:pgSz w:w="11907" w:h="16840"/>
          <w:pgMar w:top="1440" w:right="1247" w:bottom="1440" w:left="1361" w:header="851" w:footer="992" w:gutter="0"/>
          <w:pgNumType w:fmt="numberInDash"/>
          <w:cols w:space="720" w:num="1"/>
          <w:docGrid w:linePitch="312" w:charSpace="0"/>
        </w:sectPr>
      </w:pPr>
      <w:bookmarkStart w:id="107" w:name="_Toc400536597"/>
      <w:bookmarkStart w:id="108" w:name="_Toc258923314"/>
    </w:p>
    <w:p>
      <w:pPr>
        <w:spacing w:line="360" w:lineRule="auto"/>
        <w:rPr>
          <w:b/>
          <w:sz w:val="32"/>
          <w:szCs w:val="32"/>
        </w:rPr>
      </w:pPr>
      <w:r>
        <w:rPr>
          <w:rFonts w:hint="eastAsia" w:ascii="宋体" w:hAnsi="宋体"/>
          <w:b/>
          <w:sz w:val="32"/>
          <w:szCs w:val="32"/>
        </w:rPr>
        <w:t>附件7：</w:t>
      </w:r>
    </w:p>
    <w:p>
      <w:pPr>
        <w:spacing w:line="360" w:lineRule="auto"/>
        <w:jc w:val="center"/>
        <w:rPr>
          <w:b/>
          <w:sz w:val="32"/>
          <w:szCs w:val="32"/>
        </w:rPr>
      </w:pPr>
      <w:r>
        <w:rPr>
          <w:rFonts w:hint="eastAsia"/>
          <w:b/>
          <w:sz w:val="32"/>
          <w:szCs w:val="32"/>
        </w:rPr>
        <w:t>公司业绩一览表</w:t>
      </w:r>
      <w:bookmarkEnd w:id="107"/>
      <w:bookmarkEnd w:id="108"/>
    </w:p>
    <w:p>
      <w:pPr>
        <w:spacing w:line="360" w:lineRule="auto"/>
        <w:jc w:val="center"/>
        <w:rPr>
          <w:rFonts w:ascii="宋体" w:hAnsi="宋体"/>
        </w:rPr>
      </w:pPr>
    </w:p>
    <w:tbl>
      <w:tblPr>
        <w:tblStyle w:val="40"/>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rPr>
            </w:pPr>
          </w:p>
        </w:tc>
      </w:tr>
    </w:tbl>
    <w:p>
      <w:pPr>
        <w:spacing w:line="360" w:lineRule="auto"/>
        <w:rPr>
          <w:rFonts w:ascii="宋体" w:hAnsi="宋体"/>
          <w:sz w:val="24"/>
        </w:rPr>
      </w:pPr>
    </w:p>
    <w:p>
      <w:pPr>
        <w:spacing w:line="360" w:lineRule="auto"/>
        <w:rPr>
          <w:rFonts w:ascii="宋体" w:hAnsi="宋体"/>
          <w:b/>
          <w:sz w:val="28"/>
        </w:rPr>
      </w:pPr>
    </w:p>
    <w:p>
      <w:pPr>
        <w:spacing w:line="360" w:lineRule="auto"/>
        <w:rPr>
          <w:rFonts w:ascii="宋体" w:hAnsi="宋体"/>
          <w:b/>
          <w:sz w:val="28"/>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rPr>
          <w:rFonts w:ascii="宋体" w:hAnsi="宋体"/>
          <w:b/>
          <w:bCs/>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32"/>
          <w:szCs w:val="32"/>
        </w:rPr>
      </w:pPr>
      <w:r>
        <w:rPr>
          <w:rFonts w:hint="eastAsia" w:ascii="宋体" w:hAnsi="宋体"/>
          <w:b/>
          <w:sz w:val="32"/>
          <w:szCs w:val="32"/>
        </w:rPr>
        <w:t>附件8：</w:t>
      </w:r>
    </w:p>
    <w:p>
      <w:pPr>
        <w:spacing w:line="360" w:lineRule="auto"/>
        <w:jc w:val="center"/>
        <w:rPr>
          <w:b/>
          <w:sz w:val="32"/>
          <w:szCs w:val="32"/>
        </w:rPr>
      </w:pPr>
      <w:bookmarkStart w:id="109" w:name="_Toc400536598"/>
      <w:bookmarkStart w:id="110" w:name="_Toc258923315"/>
      <w:r>
        <w:rPr>
          <w:rFonts w:hint="eastAsia"/>
          <w:b/>
          <w:sz w:val="32"/>
          <w:szCs w:val="32"/>
        </w:rPr>
        <w:t>优惠条件承诺书</w:t>
      </w:r>
      <w:bookmarkEnd w:id="109"/>
      <w:bookmarkEnd w:id="110"/>
    </w:p>
    <w:p>
      <w:pPr>
        <w:spacing w:line="360" w:lineRule="auto"/>
        <w:jc w:val="center"/>
        <w:rPr>
          <w:b/>
          <w:sz w:val="30"/>
          <w:szCs w:val="30"/>
        </w:rPr>
      </w:pPr>
    </w:p>
    <w:p>
      <w:pPr>
        <w:spacing w:line="360" w:lineRule="auto"/>
        <w:rPr>
          <w:rFonts w:ascii="宋体" w:hAnsi="宋体"/>
          <w:sz w:val="24"/>
        </w:rPr>
      </w:pPr>
      <w:r>
        <w:rPr>
          <w:rFonts w:hint="eastAsia" w:ascii="宋体" w:hAnsi="宋体"/>
          <w:sz w:val="24"/>
        </w:rPr>
        <w:t>致：新疆天壹中山工程咨询有限公司</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经仔细阅读你们的招标文件，对所投标项目向贵单位特作如下优惠条件承诺：</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（1）</w:t>
      </w:r>
      <w:r>
        <w:rPr>
          <w:rFonts w:ascii="宋体" w:hAnsi="宋体"/>
          <w:color w:val="000000"/>
          <w:sz w:val="24"/>
        </w:rPr>
        <w:t>．．．．．．</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（2）．．．．．．</w:t>
      </w:r>
    </w:p>
    <w:p>
      <w:pPr>
        <w:spacing w:line="360" w:lineRule="auto"/>
        <w:ind w:firstLine="360" w:firstLineChars="150"/>
        <w:textAlignment w:val="baseline"/>
        <w:rPr>
          <w:rFonts w:ascii="宋体" w:hAnsi="宋体"/>
          <w:color w:val="000000"/>
          <w:sz w:val="24"/>
        </w:rPr>
      </w:pPr>
      <w:r>
        <w:rPr>
          <w:rFonts w:hint="eastAsia" w:ascii="宋体" w:hAnsi="宋体"/>
          <w:color w:val="000000"/>
          <w:sz w:val="24"/>
        </w:rPr>
        <w:t>（3）．．．．．．</w:t>
      </w:r>
    </w:p>
    <w:p>
      <w:pPr>
        <w:spacing w:line="360" w:lineRule="auto"/>
        <w:ind w:firstLine="480" w:firstLineChars="200"/>
        <w:textAlignment w:val="baseline"/>
        <w:rPr>
          <w:rFonts w:ascii="宋体" w:hAnsi="宋体"/>
          <w:color w:val="000000"/>
          <w:sz w:val="24"/>
        </w:rPr>
      </w:pPr>
      <w:r>
        <w:rPr>
          <w:rFonts w:hint="eastAsia" w:ascii="宋体" w:hAnsi="宋体"/>
          <w:color w:val="000000"/>
          <w:sz w:val="24"/>
        </w:rPr>
        <w:t>．．．．．．</w:t>
      </w:r>
    </w:p>
    <w:p>
      <w:pPr>
        <w:spacing w:line="360" w:lineRule="auto"/>
        <w:textAlignment w:val="baseline"/>
        <w:rPr>
          <w:rFonts w:ascii="宋体" w:hAnsi="宋体"/>
          <w:color w:val="000000"/>
          <w:sz w:val="24"/>
        </w:rPr>
      </w:pPr>
      <w:r>
        <w:rPr>
          <w:rFonts w:hint="eastAsia" w:ascii="宋体" w:hAnsi="宋体"/>
          <w:color w:val="000000"/>
          <w:sz w:val="24"/>
        </w:rPr>
        <w:t>特此承诺！</w:t>
      </w:r>
    </w:p>
    <w:p>
      <w:pPr>
        <w:spacing w:line="360" w:lineRule="auto"/>
        <w:textAlignment w:val="baseline"/>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u w:val="single"/>
        </w:rPr>
      </w:pPr>
      <w:r>
        <w:rPr>
          <w:rFonts w:hint="eastAsia" w:ascii="宋体" w:hAnsi="宋体"/>
          <w:color w:val="000000"/>
          <w:sz w:val="24"/>
        </w:rPr>
        <w:t>投标人名称（公章）：</w:t>
      </w:r>
    </w:p>
    <w:p>
      <w:pPr>
        <w:spacing w:line="360" w:lineRule="auto"/>
        <w:rPr>
          <w:rFonts w:ascii="宋体" w:hAnsi="宋体"/>
          <w:color w:val="000000"/>
          <w:sz w:val="24"/>
        </w:rPr>
      </w:pPr>
      <w:r>
        <w:rPr>
          <w:rFonts w:hint="eastAsia" w:ascii="宋体" w:hAnsi="宋体"/>
          <w:bCs/>
          <w:color w:val="000000"/>
          <w:sz w:val="24"/>
        </w:rPr>
        <w:t>法定代表人或授权代表人（签字）：</w:t>
      </w:r>
    </w:p>
    <w:p>
      <w:pPr>
        <w:spacing w:line="360" w:lineRule="auto"/>
        <w:rPr>
          <w:rFonts w:ascii="宋体" w:hAnsi="宋体"/>
          <w:color w:val="000000"/>
          <w:sz w:val="24"/>
        </w:rPr>
      </w:pPr>
      <w:r>
        <w:rPr>
          <w:rFonts w:hint="eastAsia" w:ascii="宋体" w:hAnsi="宋体"/>
          <w:color w:val="000000"/>
          <w:sz w:val="24"/>
        </w:rPr>
        <w:t>职务：</w:t>
      </w:r>
    </w:p>
    <w:p>
      <w:pPr>
        <w:spacing w:line="360" w:lineRule="auto"/>
        <w:rPr>
          <w:rFonts w:ascii="宋体" w:hAnsi="宋体"/>
          <w:color w:val="000000"/>
          <w:sz w:val="24"/>
        </w:rPr>
      </w:pPr>
      <w:r>
        <w:rPr>
          <w:rFonts w:hint="eastAsia" w:ascii="宋体" w:hAnsi="宋体"/>
          <w:color w:val="000000"/>
          <w:sz w:val="24"/>
        </w:rPr>
        <w:t>地址：</w:t>
      </w:r>
    </w:p>
    <w:p>
      <w:pPr>
        <w:spacing w:line="360" w:lineRule="auto"/>
        <w:rPr>
          <w:rFonts w:ascii="宋体" w:hAnsi="宋体"/>
          <w:color w:val="000000"/>
          <w:sz w:val="24"/>
        </w:rPr>
      </w:pPr>
      <w:r>
        <w:rPr>
          <w:rFonts w:hint="eastAsia" w:ascii="宋体" w:hAnsi="宋体"/>
          <w:color w:val="000000"/>
          <w:sz w:val="24"/>
        </w:rPr>
        <w:t>电话：</w:t>
      </w:r>
    </w:p>
    <w:p>
      <w:pPr>
        <w:spacing w:line="360" w:lineRule="auto"/>
        <w:rPr>
          <w:rFonts w:ascii="宋体" w:hAnsi="宋体"/>
          <w:color w:val="000000"/>
          <w:sz w:val="24"/>
          <w:u w:val="single"/>
        </w:rPr>
      </w:pPr>
      <w:r>
        <w:rPr>
          <w:rFonts w:hint="eastAsia" w:ascii="宋体" w:hAnsi="宋体"/>
          <w:color w:val="000000"/>
          <w:sz w:val="24"/>
        </w:rPr>
        <w:t>传真：</w:t>
      </w:r>
    </w:p>
    <w:p>
      <w:pPr>
        <w:spacing w:line="360" w:lineRule="auto"/>
        <w:ind w:right="480"/>
        <w:rPr>
          <w:rFonts w:ascii="宋体" w:hAnsi="宋体"/>
          <w:color w:val="000000"/>
          <w:sz w:val="24"/>
        </w:rPr>
      </w:pPr>
      <w:r>
        <w:rPr>
          <w:rFonts w:hint="eastAsia" w:ascii="宋体" w:hAnsi="宋体"/>
          <w:color w:val="000000"/>
          <w:sz w:val="24"/>
        </w:rPr>
        <w:t>日期：  年  月  日</w:t>
      </w:r>
    </w:p>
    <w:p>
      <w:pPr>
        <w:spacing w:line="360" w:lineRule="auto"/>
        <w:rPr>
          <w:rFonts w:ascii="宋体" w:hAnsi="宋体"/>
          <w:b/>
          <w:sz w:val="24"/>
        </w:rPr>
      </w:pPr>
    </w:p>
    <w:p>
      <w:pPr>
        <w:spacing w:line="360" w:lineRule="auto"/>
        <w:rPr>
          <w:rFonts w:ascii="宋体" w:hAnsi="宋体"/>
          <w:b/>
          <w:sz w:val="32"/>
          <w:szCs w:val="32"/>
        </w:rPr>
      </w:pPr>
      <w:r>
        <w:rPr>
          <w:rFonts w:ascii="宋体" w:hAnsi="宋体"/>
          <w:b/>
        </w:rPr>
        <w:br w:type="page"/>
      </w:r>
      <w:r>
        <w:rPr>
          <w:rFonts w:hint="eastAsia" w:ascii="宋体" w:hAnsi="宋体"/>
          <w:b/>
          <w:sz w:val="32"/>
          <w:szCs w:val="32"/>
        </w:rPr>
        <w:t>附件9：</w:t>
      </w:r>
    </w:p>
    <w:p>
      <w:pPr>
        <w:spacing w:line="360" w:lineRule="auto"/>
        <w:jc w:val="center"/>
        <w:rPr>
          <w:b/>
          <w:sz w:val="32"/>
          <w:szCs w:val="32"/>
        </w:rPr>
      </w:pPr>
      <w:bookmarkStart w:id="111" w:name="_Toc258923316"/>
      <w:bookmarkStart w:id="112" w:name="_Toc400536599"/>
      <w:r>
        <w:rPr>
          <w:rFonts w:hint="eastAsia"/>
          <w:b/>
          <w:sz w:val="32"/>
          <w:szCs w:val="32"/>
        </w:rPr>
        <w:t>售后服务承诺</w:t>
      </w:r>
      <w:bookmarkEnd w:id="111"/>
      <w:bookmarkEnd w:id="112"/>
    </w:p>
    <w:p>
      <w:pPr>
        <w:spacing w:line="360" w:lineRule="auto"/>
        <w:rPr>
          <w:rFonts w:ascii="宋体" w:hAnsi="宋体"/>
        </w:rPr>
      </w:pPr>
    </w:p>
    <w:p>
      <w:pPr>
        <w:spacing w:line="360" w:lineRule="auto"/>
        <w:ind w:firstLine="960" w:firstLineChars="400"/>
        <w:rPr>
          <w:rFonts w:ascii="宋体" w:hAnsi="宋体"/>
          <w:sz w:val="24"/>
        </w:rPr>
      </w:pPr>
    </w:p>
    <w:p>
      <w:pPr>
        <w:spacing w:line="360" w:lineRule="auto"/>
        <w:ind w:firstLine="3220" w:firstLineChars="1150"/>
        <w:rPr>
          <w:rFonts w:ascii="宋体" w:hAnsi="宋体"/>
          <w:sz w:val="28"/>
          <w:szCs w:val="28"/>
        </w:rPr>
      </w:pPr>
    </w:p>
    <w:p>
      <w:pPr>
        <w:spacing w:line="360" w:lineRule="auto"/>
        <w:ind w:firstLine="3220" w:firstLineChars="1150"/>
        <w:rPr>
          <w:rFonts w:ascii="宋体" w:hAnsi="宋体"/>
          <w:sz w:val="28"/>
          <w:szCs w:val="28"/>
        </w:rPr>
      </w:pPr>
    </w:p>
    <w:p>
      <w:pPr>
        <w:spacing w:line="360" w:lineRule="auto"/>
        <w:ind w:firstLine="3360" w:firstLineChars="1200"/>
        <w:rPr>
          <w:rFonts w:ascii="宋体" w:hAnsi="宋体"/>
          <w:b/>
          <w:sz w:val="28"/>
          <w:szCs w:val="28"/>
        </w:rPr>
      </w:pPr>
      <w:r>
        <w:rPr>
          <w:rFonts w:hint="eastAsia" w:ascii="宋体" w:hAnsi="宋体"/>
          <w:sz w:val="28"/>
          <w:szCs w:val="28"/>
        </w:rPr>
        <w:t>格式自拟</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sz w:val="32"/>
          <w:szCs w:val="32"/>
        </w:rPr>
      </w:pPr>
    </w:p>
    <w:p>
      <w:pPr>
        <w:spacing w:line="360" w:lineRule="auto"/>
        <w:rPr>
          <w:rFonts w:ascii="宋体" w:hAnsi="宋体"/>
          <w:b/>
          <w:bCs/>
          <w:sz w:val="32"/>
          <w:szCs w:val="32"/>
        </w:rPr>
      </w:pPr>
      <w:r>
        <w:rPr>
          <w:rFonts w:hint="eastAsia" w:ascii="宋体" w:hAnsi="宋体"/>
          <w:b/>
          <w:sz w:val="32"/>
          <w:szCs w:val="32"/>
        </w:rPr>
        <w:t>附件10：</w:t>
      </w:r>
    </w:p>
    <w:p>
      <w:pPr>
        <w:spacing w:line="360" w:lineRule="auto"/>
        <w:jc w:val="center"/>
        <w:rPr>
          <w:rFonts w:ascii="宋体" w:hAnsi="宋体"/>
          <w:b/>
          <w:bCs/>
          <w:sz w:val="32"/>
          <w:szCs w:val="32"/>
        </w:rPr>
      </w:pPr>
      <w:r>
        <w:rPr>
          <w:rFonts w:hint="eastAsia" w:ascii="宋体" w:hAnsi="宋体"/>
          <w:b/>
          <w:bCs/>
          <w:sz w:val="32"/>
          <w:szCs w:val="32"/>
        </w:rPr>
        <w:t>无重大违法记录声明</w:t>
      </w:r>
    </w:p>
    <w:p>
      <w:pPr>
        <w:spacing w:line="360" w:lineRule="auto"/>
        <w:jc w:val="center"/>
        <w:rPr>
          <w:rFonts w:ascii="宋体" w:hAnsi="宋体"/>
          <w:b/>
          <w:bCs/>
          <w:sz w:val="30"/>
          <w:szCs w:val="30"/>
        </w:rPr>
      </w:pPr>
    </w:p>
    <w:p>
      <w:pPr>
        <w:spacing w:line="360" w:lineRule="auto"/>
        <w:rPr>
          <w:rFonts w:ascii="宋体" w:hAnsi="宋体"/>
          <w:sz w:val="24"/>
        </w:rPr>
      </w:pPr>
      <w:r>
        <w:rPr>
          <w:rFonts w:hint="eastAsia" w:ascii="宋体" w:hAnsi="宋体"/>
          <w:sz w:val="24"/>
        </w:rPr>
        <w:t>致：新疆天壹中山工程咨询有限公司</w:t>
      </w:r>
    </w:p>
    <w:p>
      <w:pPr>
        <w:spacing w:line="360" w:lineRule="auto"/>
        <w:ind w:firstLine="480"/>
        <w:rPr>
          <w:rFonts w:ascii="宋体" w:hAnsi="宋体"/>
          <w:bCs/>
          <w:sz w:val="24"/>
        </w:rPr>
      </w:pPr>
      <w:r>
        <w:rPr>
          <w:rFonts w:hint="eastAsia" w:ascii="宋体" w:hAnsi="宋体"/>
          <w:bCs/>
          <w:sz w:val="24"/>
        </w:rPr>
        <w:t>我单位参加政府采购活动前三年内，在经营活动中没有重大违法记录。</w:t>
      </w:r>
    </w:p>
    <w:p>
      <w:pPr>
        <w:spacing w:line="360" w:lineRule="auto"/>
        <w:ind w:firstLine="480"/>
        <w:rPr>
          <w:rFonts w:ascii="宋体" w:hAnsi="宋体"/>
          <w:bCs/>
          <w:sz w:val="24"/>
        </w:rPr>
      </w:pPr>
      <w:r>
        <w:rPr>
          <w:rFonts w:hint="eastAsia" w:ascii="宋体" w:hAnsi="宋体"/>
          <w:bCs/>
          <w:sz w:val="24"/>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sz w:val="24"/>
        </w:rPr>
      </w:pPr>
    </w:p>
    <w:p>
      <w:pPr>
        <w:spacing w:line="360" w:lineRule="auto"/>
        <w:ind w:firstLine="480"/>
        <w:rPr>
          <w:rFonts w:ascii="宋体" w:hAnsi="宋体"/>
          <w:bCs/>
          <w:sz w:val="24"/>
        </w:rPr>
      </w:pPr>
    </w:p>
    <w:p>
      <w:pPr>
        <w:spacing w:line="360" w:lineRule="auto"/>
        <w:ind w:firstLine="480"/>
        <w:rPr>
          <w:rFonts w:ascii="宋体" w:hAnsi="宋体"/>
          <w:bCs/>
          <w:sz w:val="24"/>
        </w:rPr>
      </w:pPr>
      <w:r>
        <w:rPr>
          <w:rFonts w:hint="eastAsia" w:ascii="宋体" w:hAnsi="宋体"/>
          <w:bCs/>
          <w:sz w:val="24"/>
        </w:rPr>
        <w:t>特此声明!</w:t>
      </w:r>
    </w:p>
    <w:p>
      <w:pPr>
        <w:spacing w:line="360" w:lineRule="auto"/>
        <w:ind w:firstLine="480"/>
        <w:rPr>
          <w:rFonts w:ascii="宋体" w:hAnsi="宋体"/>
          <w:bCs/>
          <w:sz w:val="24"/>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rPr>
          <w:rFonts w:ascii="宋体" w:hAnsi="宋体"/>
          <w:bCs/>
          <w:sz w:val="36"/>
          <w:szCs w:val="36"/>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rPr>
          <w:rFonts w:ascii="宋体" w:hAnsi="宋体"/>
          <w:color w:val="000000"/>
          <w:sz w:val="24"/>
          <w:u w:val="single"/>
        </w:rPr>
      </w:pPr>
    </w:p>
    <w:p>
      <w:pPr>
        <w:spacing w:line="360" w:lineRule="auto"/>
        <w:jc w:val="center"/>
        <w:rPr>
          <w:rFonts w:ascii="宋体" w:hAnsi="宋体"/>
          <w:b/>
          <w:sz w:val="28"/>
          <w:szCs w:val="28"/>
        </w:rPr>
      </w:pPr>
    </w:p>
    <w:p>
      <w:pPr>
        <w:spacing w:line="360" w:lineRule="auto"/>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rPr>
          <w:rFonts w:ascii="宋体" w:hAnsi="宋体"/>
          <w:b/>
          <w:bCs/>
          <w:sz w:val="32"/>
          <w:szCs w:val="32"/>
        </w:rPr>
      </w:pPr>
      <w:r>
        <w:rPr>
          <w:rFonts w:hint="eastAsia" w:ascii="宋体" w:hAnsi="宋体"/>
          <w:b/>
          <w:sz w:val="32"/>
          <w:szCs w:val="32"/>
        </w:rPr>
        <w:t>附件11：</w:t>
      </w:r>
    </w:p>
    <w:p>
      <w:pPr>
        <w:spacing w:line="360" w:lineRule="auto"/>
        <w:jc w:val="center"/>
        <w:rPr>
          <w:rFonts w:ascii="宋体" w:hAnsi="宋体"/>
          <w:b/>
          <w:sz w:val="32"/>
          <w:szCs w:val="32"/>
        </w:rPr>
      </w:pPr>
      <w:r>
        <w:rPr>
          <w:rFonts w:ascii="宋体" w:hAnsi="宋体"/>
          <w:b/>
          <w:sz w:val="32"/>
          <w:szCs w:val="32"/>
        </w:rPr>
        <w:t>供应商反商业贿赂承诺书</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432"/>
        <w:jc w:val="left"/>
        <w:rPr>
          <w:rFonts w:ascii="宋体" w:hAnsi="宋体" w:cs="Courier New"/>
          <w:b/>
          <w:bCs/>
          <w:kern w:val="0"/>
          <w:sz w:val="24"/>
        </w:rPr>
      </w:pPr>
      <w:r>
        <w:rPr>
          <w:rFonts w:ascii="宋体" w:hAnsi="宋体"/>
          <w:kern w:val="0"/>
          <w:sz w:val="24"/>
        </w:rPr>
        <w:t>我公司承诺在</w:t>
      </w:r>
      <w:r>
        <w:rPr>
          <w:rFonts w:ascii="宋体" w:hAnsi="宋体"/>
          <w:kern w:val="0"/>
          <w:sz w:val="24"/>
          <w:u w:val="single"/>
        </w:rPr>
        <w:t>（项目编号、项目名称）</w:t>
      </w:r>
      <w:r>
        <w:rPr>
          <w:rFonts w:ascii="宋体" w:hAnsi="宋体"/>
          <w:kern w:val="0"/>
          <w:sz w:val="24"/>
        </w:rPr>
        <w:t>招标活动中，不给予国家工作人员以及中介机构工作人员及其亲属各种形式的商业贿（包括送礼金礼品、有价证券、购物券、回扣、佣金、咨询费、</w:t>
      </w:r>
      <w:r>
        <w:rPr>
          <w:rFonts w:hint="eastAsia" w:ascii="宋体" w:hAnsi="宋体" w:cs="Courier New"/>
          <w:kern w:val="0"/>
          <w:sz w:val="24"/>
        </w:rPr>
        <w:t>劳</w:t>
      </w:r>
      <w:r>
        <w:rPr>
          <w:rFonts w:ascii="宋体" w:hAnsi="宋体"/>
          <w:kern w:val="0"/>
          <w:sz w:val="24"/>
        </w:rPr>
        <w:t>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897"/>
        <w:jc w:val="left"/>
        <w:rPr>
          <w:rFonts w:ascii="宋体" w:hAnsi="宋体" w:cs="Courier New"/>
          <w:b/>
          <w:bCs/>
          <w:kern w:val="0"/>
          <w:sz w:val="24"/>
        </w:rPr>
      </w:pPr>
      <w:r>
        <w:rPr>
          <w:rFonts w:ascii="宋体" w:hAnsi="宋体"/>
          <w:kern w:val="0"/>
          <w:sz w:val="24"/>
        </w:rPr>
        <w:t>法定代表人：</w:t>
      </w:r>
    </w:p>
    <w:p>
      <w:pPr>
        <w:autoSpaceDE w:val="0"/>
        <w:autoSpaceDN w:val="0"/>
        <w:adjustRightInd w:val="0"/>
        <w:spacing w:line="360" w:lineRule="auto"/>
        <w:ind w:firstLine="897"/>
        <w:jc w:val="left"/>
        <w:rPr>
          <w:rFonts w:ascii="宋体" w:hAnsi="宋体" w:cs="Courier New"/>
          <w:b/>
          <w:bCs/>
          <w:kern w:val="0"/>
          <w:sz w:val="24"/>
        </w:rPr>
      </w:pPr>
      <w:r>
        <w:rPr>
          <w:rFonts w:hint="eastAsia" w:ascii="宋体" w:hAnsi="宋体"/>
          <w:kern w:val="0"/>
          <w:sz w:val="24"/>
        </w:rPr>
        <w:t>法定代表人</w:t>
      </w:r>
      <w:r>
        <w:rPr>
          <w:rFonts w:ascii="宋体" w:hAnsi="宋体"/>
          <w:kern w:val="0"/>
          <w:sz w:val="24"/>
        </w:rPr>
        <w:t>授权代表：</w:t>
      </w:r>
    </w:p>
    <w:p>
      <w:pPr>
        <w:autoSpaceDE w:val="0"/>
        <w:autoSpaceDN w:val="0"/>
        <w:adjustRightInd w:val="0"/>
        <w:spacing w:line="360" w:lineRule="auto"/>
        <w:ind w:firstLine="897"/>
        <w:jc w:val="left"/>
        <w:rPr>
          <w:rFonts w:ascii="宋体" w:hAnsi="宋体" w:cs="Courier New"/>
          <w:b/>
          <w:bCs/>
          <w:kern w:val="0"/>
          <w:sz w:val="24"/>
        </w:rPr>
      </w:pPr>
      <w:r>
        <w:rPr>
          <w:rFonts w:ascii="宋体" w:hAnsi="宋体"/>
          <w:kern w:val="0"/>
          <w:sz w:val="24"/>
        </w:rPr>
        <w:t>项目经办人：</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480"/>
        <w:jc w:val="left"/>
        <w:rPr>
          <w:rFonts w:ascii="宋体" w:hAnsi="宋体" w:cs="Courier New"/>
          <w:b/>
          <w:bCs/>
          <w:kern w:val="0"/>
          <w:sz w:val="24"/>
        </w:rPr>
      </w:pPr>
      <w:r>
        <w:rPr>
          <w:rFonts w:ascii="宋体" w:hAnsi="宋体"/>
          <w:kern w:val="0"/>
          <w:sz w:val="24"/>
        </w:rPr>
        <w:t>我公司承诺在参加本次投标前三年内，无以下行为：</w:t>
      </w:r>
    </w:p>
    <w:p>
      <w:pPr>
        <w:autoSpaceDE w:val="0"/>
        <w:autoSpaceDN w:val="0"/>
        <w:adjustRightInd w:val="0"/>
        <w:spacing w:line="360" w:lineRule="auto"/>
        <w:ind w:firstLine="480"/>
        <w:jc w:val="left"/>
        <w:rPr>
          <w:rFonts w:ascii="宋体" w:hAnsi="宋体" w:cs="Courier New"/>
          <w:b/>
          <w:bCs/>
          <w:kern w:val="0"/>
          <w:sz w:val="24"/>
        </w:rPr>
      </w:pPr>
      <w:r>
        <w:rPr>
          <w:rFonts w:ascii="宋体" w:hAnsi="宋体"/>
          <w:kern w:val="0"/>
          <w:sz w:val="24"/>
        </w:rPr>
        <w:t>重大违法行为；</w:t>
      </w:r>
    </w:p>
    <w:p>
      <w:pPr>
        <w:autoSpaceDE w:val="0"/>
        <w:autoSpaceDN w:val="0"/>
        <w:adjustRightInd w:val="0"/>
        <w:spacing w:line="360" w:lineRule="auto"/>
        <w:ind w:firstLine="480"/>
        <w:jc w:val="left"/>
        <w:rPr>
          <w:rFonts w:ascii="宋体" w:hAnsi="宋体" w:cs="Courier New"/>
          <w:b/>
          <w:bCs/>
          <w:kern w:val="0"/>
          <w:sz w:val="24"/>
        </w:rPr>
      </w:pPr>
      <w:r>
        <w:rPr>
          <w:rFonts w:ascii="宋体" w:hAnsi="宋体"/>
          <w:kern w:val="0"/>
          <w:sz w:val="24"/>
        </w:rPr>
        <w:t>商业贿行为；</w:t>
      </w:r>
    </w:p>
    <w:p>
      <w:pPr>
        <w:autoSpaceDE w:val="0"/>
        <w:autoSpaceDN w:val="0"/>
        <w:adjustRightInd w:val="0"/>
        <w:spacing w:line="360" w:lineRule="auto"/>
        <w:ind w:firstLine="480"/>
        <w:jc w:val="left"/>
        <w:rPr>
          <w:rFonts w:ascii="宋体" w:hAnsi="宋体" w:cs="Courier New"/>
          <w:b/>
          <w:bCs/>
          <w:kern w:val="0"/>
          <w:sz w:val="24"/>
        </w:rPr>
      </w:pPr>
      <w:r>
        <w:rPr>
          <w:rFonts w:ascii="宋体" w:hAnsi="宋体"/>
          <w:kern w:val="0"/>
          <w:sz w:val="24"/>
        </w:rPr>
        <w:t>政府采购法《第七十七条》，列入不良行为记录名单的各种行为；</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cs="Courier New"/>
          <w:b/>
          <w:bCs/>
          <w:kern w:val="0"/>
          <w:sz w:val="24"/>
        </w:rPr>
      </w:pPr>
      <w:r>
        <w:rPr>
          <w:rFonts w:ascii="宋体" w:hAnsi="宋体"/>
          <w:kern w:val="0"/>
          <w:sz w:val="24"/>
        </w:rPr>
        <w:t>如有上述行为，我公司及项目参与人员自愿放弃本次项目的投标、报价资格，若为预中标、成交人，也自愿放弃中标、成交资格</w:t>
      </w:r>
    </w:p>
    <w:p>
      <w:pPr>
        <w:autoSpaceDE w:val="0"/>
        <w:autoSpaceDN w:val="0"/>
        <w:adjustRightInd w:val="0"/>
        <w:spacing w:line="360" w:lineRule="auto"/>
        <w:ind w:firstLine="480"/>
        <w:jc w:val="left"/>
        <w:rPr>
          <w:rFonts w:ascii="宋体" w:hAnsi="宋体" w:cs="Courier New"/>
          <w:b/>
          <w:bCs/>
          <w:kern w:val="0"/>
          <w:sz w:val="24"/>
        </w:rPr>
      </w:pPr>
    </w:p>
    <w:p>
      <w:pPr>
        <w:spacing w:line="360" w:lineRule="auto"/>
        <w:rPr>
          <w:rFonts w:ascii="宋体" w:hAnsi="宋体"/>
          <w:sz w:val="24"/>
        </w:rPr>
      </w:pPr>
    </w:p>
    <w:p>
      <w:pPr>
        <w:spacing w:line="360" w:lineRule="auto"/>
        <w:ind w:firstLine="480" w:firstLineChars="200"/>
        <w:rPr>
          <w:rFonts w:ascii="宋体" w:hAnsi="宋体"/>
          <w:color w:val="000000"/>
          <w:sz w:val="24"/>
          <w:u w:val="single"/>
        </w:rPr>
      </w:pPr>
      <w:r>
        <w:rPr>
          <w:rFonts w:hint="eastAsia" w:ascii="宋体" w:hAnsi="宋体"/>
          <w:color w:val="000000"/>
          <w:sz w:val="24"/>
        </w:rPr>
        <w:t>投标人名称（公章）：</w:t>
      </w:r>
    </w:p>
    <w:p>
      <w:pPr>
        <w:spacing w:line="360" w:lineRule="auto"/>
        <w:ind w:firstLine="480" w:firstLineChars="200"/>
        <w:rPr>
          <w:rFonts w:ascii="宋体" w:hAnsi="宋体"/>
          <w:color w:val="000000"/>
          <w:sz w:val="24"/>
          <w:u w:val="single"/>
        </w:rPr>
      </w:pPr>
      <w:r>
        <w:rPr>
          <w:rFonts w:hint="eastAsia" w:ascii="宋体" w:hAnsi="宋体"/>
          <w:color w:val="000000"/>
          <w:sz w:val="24"/>
        </w:rPr>
        <w:t>法定代表人或授权代表人（签字）：</w:t>
      </w:r>
    </w:p>
    <w:p>
      <w:pPr>
        <w:spacing w:line="360" w:lineRule="auto"/>
        <w:ind w:firstLine="480" w:firstLineChars="200"/>
        <w:rPr>
          <w:rFonts w:ascii="宋体" w:hAnsi="宋体"/>
          <w:color w:val="000000"/>
          <w:sz w:val="24"/>
          <w:u w:val="single"/>
        </w:rPr>
      </w:pPr>
      <w:r>
        <w:rPr>
          <w:rFonts w:hint="eastAsia" w:ascii="宋体" w:hAnsi="宋体"/>
          <w:bCs/>
          <w:color w:val="000000"/>
          <w:sz w:val="24"/>
        </w:rPr>
        <w:t>日期：  年  月  日</w:t>
      </w:r>
    </w:p>
    <w:p>
      <w:pPr>
        <w:spacing w:line="360" w:lineRule="auto"/>
        <w:rPr>
          <w:rFonts w:ascii="Arial" w:hAnsi="Arial" w:cs="Arial"/>
          <w:sz w:val="24"/>
        </w:rPr>
      </w:pPr>
    </w:p>
    <w:p>
      <w:pPr>
        <w:spacing w:line="360" w:lineRule="auto"/>
        <w:rPr>
          <w:rFonts w:ascii="Arial" w:hAnsi="Arial" w:cs="Arial"/>
          <w:sz w:val="24"/>
        </w:rPr>
      </w:pPr>
    </w:p>
    <w:p>
      <w:pPr>
        <w:spacing w:line="360" w:lineRule="auto"/>
        <w:rPr>
          <w:rFonts w:ascii="宋体" w:hAnsi="宋体"/>
          <w:b/>
          <w:color w:val="000000"/>
          <w:sz w:val="30"/>
          <w:szCs w:val="30"/>
        </w:rPr>
      </w:pPr>
    </w:p>
    <w:p>
      <w:pPr>
        <w:widowControl/>
        <w:spacing w:line="360" w:lineRule="auto"/>
        <w:rPr>
          <w:rFonts w:ascii="宋体" w:hAnsi="宋体"/>
          <w:b/>
          <w:color w:val="000000"/>
          <w:sz w:val="30"/>
          <w:szCs w:val="30"/>
        </w:rPr>
      </w:pPr>
    </w:p>
    <w:p>
      <w:pPr>
        <w:widowControl/>
        <w:spacing w:line="360" w:lineRule="auto"/>
        <w:rPr>
          <w:rFonts w:ascii="宋体" w:hAnsi="宋体"/>
          <w:b/>
          <w:sz w:val="30"/>
          <w:szCs w:val="30"/>
        </w:rPr>
      </w:pPr>
      <w:r>
        <w:rPr>
          <w:rFonts w:hint="eastAsia" w:ascii="宋体" w:hAnsi="宋体"/>
          <w:b/>
          <w:sz w:val="32"/>
          <w:szCs w:val="32"/>
        </w:rPr>
        <w:t>附件12：</w:t>
      </w:r>
    </w:p>
    <w:p>
      <w:pPr>
        <w:autoSpaceDE w:val="0"/>
        <w:autoSpaceDN w:val="0"/>
        <w:adjustRightInd w:val="0"/>
        <w:spacing w:line="360" w:lineRule="auto"/>
        <w:ind w:firstLine="480"/>
        <w:jc w:val="center"/>
        <w:rPr>
          <w:rFonts w:ascii="宋体" w:hAnsi="宋体"/>
          <w:b/>
          <w:kern w:val="0"/>
          <w:sz w:val="32"/>
          <w:szCs w:val="32"/>
        </w:rPr>
      </w:pPr>
      <w:r>
        <w:rPr>
          <w:rFonts w:hint="eastAsia" w:ascii="宋体" w:hAnsi="宋体"/>
          <w:b/>
          <w:kern w:val="0"/>
          <w:sz w:val="32"/>
          <w:szCs w:val="32"/>
        </w:rPr>
        <w:t>中小企业声明函（货物）</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本公司（联合体）郑重声明，根据《政府采购促进中小企业发展管理办法》（财库﹝</w:t>
      </w:r>
      <w:r>
        <w:rPr>
          <w:rFonts w:ascii="宋体" w:hAnsi="宋体"/>
          <w:kern w:val="0"/>
          <w:sz w:val="24"/>
        </w:rPr>
        <w:t>2020</w:t>
      </w:r>
      <w:r>
        <w:rPr>
          <w:rFonts w:hint="eastAsia" w:ascii="宋体" w:hAnsi="宋体"/>
          <w:kern w:val="0"/>
          <w:sz w:val="24"/>
        </w:rPr>
        <w:t>﹞</w:t>
      </w:r>
      <w:r>
        <w:rPr>
          <w:rFonts w:ascii="宋体" w:hAnsi="宋体"/>
          <w:kern w:val="0"/>
          <w:sz w:val="24"/>
        </w:rPr>
        <w:t xml:space="preserve">46 </w:t>
      </w:r>
      <w:r>
        <w:rPr>
          <w:rFonts w:hint="eastAsia" w:ascii="宋体" w:hAnsi="宋体"/>
          <w:kern w:val="0"/>
          <w:sz w:val="24"/>
        </w:rPr>
        <w:t>号）的规定，本公司（联合体）参加</w:t>
      </w:r>
      <w:r>
        <w:rPr>
          <w:rFonts w:hint="eastAsia" w:ascii="宋体" w:hAnsi="宋体"/>
          <w:kern w:val="0"/>
          <w:sz w:val="24"/>
          <w:u w:val="single"/>
        </w:rPr>
        <w:t>（单位名称）</w:t>
      </w:r>
      <w:r>
        <w:rPr>
          <w:rFonts w:hint="eastAsia" w:ascii="宋体" w:hAnsi="宋体"/>
          <w:kern w:val="0"/>
          <w:sz w:val="24"/>
        </w:rPr>
        <w:t>的</w:t>
      </w:r>
      <w:r>
        <w:rPr>
          <w:rFonts w:hint="eastAsia" w:ascii="宋体" w:hAnsi="宋体"/>
          <w:kern w:val="0"/>
          <w:sz w:val="24"/>
          <w:u w:val="single"/>
        </w:rPr>
        <w:t>（项目名称）</w:t>
      </w:r>
      <w:r>
        <w:rPr>
          <w:rFonts w:hint="eastAsia" w:ascii="宋体" w:hAnsi="宋体"/>
          <w:kern w:val="0"/>
          <w:sz w:val="24"/>
        </w:rPr>
        <w:t>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jc w:val="left"/>
        <w:rPr>
          <w:rFonts w:ascii="宋体" w:hAnsi="宋体"/>
          <w:kern w:val="0"/>
          <w:sz w:val="24"/>
          <w:u w:val="single"/>
        </w:rPr>
      </w:pPr>
      <w:r>
        <w:rPr>
          <w:rFonts w:ascii="宋体" w:hAnsi="宋体"/>
          <w:kern w:val="0"/>
          <w:sz w:val="24"/>
        </w:rPr>
        <w:t xml:space="preserve">1.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u w:val="single"/>
        </w:rPr>
      </w:pPr>
      <w:r>
        <w:rPr>
          <w:rFonts w:ascii="宋体" w:hAnsi="宋体"/>
          <w:kern w:val="0"/>
          <w:sz w:val="24"/>
        </w:rPr>
        <w:t xml:space="preserve">2. </w:t>
      </w:r>
      <w:r>
        <w:rPr>
          <w:rFonts w:hint="eastAsia" w:ascii="宋体" w:hAnsi="宋体"/>
          <w:kern w:val="0"/>
          <w:sz w:val="24"/>
          <w:u w:val="single"/>
        </w:rPr>
        <w:t>（标的名称）</w:t>
      </w:r>
      <w:r>
        <w:rPr>
          <w:rFonts w:hint="eastAsia" w:ascii="宋体" w:hAnsi="宋体"/>
          <w:kern w:val="0"/>
          <w:sz w:val="24"/>
        </w:rPr>
        <w:t>，属于</w:t>
      </w:r>
      <w:r>
        <w:rPr>
          <w:rFonts w:hint="eastAsia" w:ascii="宋体" w:hAnsi="宋体"/>
          <w:kern w:val="0"/>
          <w:sz w:val="24"/>
          <w:u w:val="single"/>
        </w:rPr>
        <w:t>（采购文件中明确的所属行业）行业</w:t>
      </w:r>
      <w:r>
        <w:rPr>
          <w:rFonts w:hint="eastAsia" w:ascii="宋体" w:hAnsi="宋体"/>
          <w:kern w:val="0"/>
          <w:sz w:val="24"/>
        </w:rPr>
        <w:t>；制造商为</w:t>
      </w:r>
      <w:r>
        <w:rPr>
          <w:rFonts w:hint="eastAsia" w:ascii="宋体" w:hAnsi="宋体"/>
          <w:kern w:val="0"/>
          <w:sz w:val="24"/>
          <w:u w:val="single"/>
        </w:rPr>
        <w:t>（企业名称），</w:t>
      </w:r>
      <w:r>
        <w:rPr>
          <w:rFonts w:hint="eastAsia" w:ascii="宋体" w:hAnsi="宋体"/>
          <w:kern w:val="0"/>
          <w:sz w:val="24"/>
        </w:rPr>
        <w:t>从业人员人，营业收入为万元，资产总额为万元，属于</w:t>
      </w:r>
      <w:r>
        <w:rPr>
          <w:rFonts w:hint="eastAsia" w:ascii="宋体" w:hAnsi="宋体"/>
          <w:kern w:val="0"/>
          <w:sz w:val="24"/>
          <w:u w:val="single"/>
        </w:rPr>
        <w:t>（中型企业、小型</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u w:val="single"/>
        </w:rPr>
        <w:t>企业、微型企业）</w:t>
      </w: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kern w:val="0"/>
          <w:sz w:val="24"/>
        </w:rPr>
      </w:pPr>
      <w:r>
        <w:rPr>
          <w:rFonts w:hint="eastAsia" w:ascii="宋体" w:hAnsi="宋体"/>
          <w:kern w:val="0"/>
          <w:sz w:val="24"/>
        </w:rPr>
        <w:t>本企业对上述声明内容的真实性负责。如有虚假，将依法承担相应责任。</w:t>
      </w: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480"/>
        <w:jc w:val="left"/>
        <w:rPr>
          <w:rFonts w:ascii="宋体" w:hAnsi="宋体"/>
          <w:kern w:val="0"/>
          <w:sz w:val="24"/>
        </w:rPr>
      </w:pP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企业名称（盖章）：</w:t>
      </w:r>
    </w:p>
    <w:p>
      <w:pPr>
        <w:autoSpaceDE w:val="0"/>
        <w:autoSpaceDN w:val="0"/>
        <w:adjustRightInd w:val="0"/>
        <w:spacing w:line="360" w:lineRule="auto"/>
        <w:ind w:firstLine="6480" w:firstLineChars="2700"/>
        <w:jc w:val="left"/>
        <w:rPr>
          <w:rFonts w:ascii="宋体" w:hAnsi="宋体"/>
          <w:kern w:val="0"/>
          <w:sz w:val="24"/>
        </w:rPr>
      </w:pPr>
      <w:r>
        <w:rPr>
          <w:rFonts w:hint="eastAsia" w:ascii="宋体" w:hAnsi="宋体"/>
          <w:kern w:val="0"/>
          <w:sz w:val="24"/>
        </w:rPr>
        <w:t>日期：</w:t>
      </w:r>
    </w:p>
    <w:p>
      <w:pPr>
        <w:spacing w:line="360" w:lineRule="auto"/>
        <w:jc w:val="left"/>
        <w:outlineLvl w:val="0"/>
        <w:rPr>
          <w:rFonts w:ascii="宋体" w:hAnsi="宋体"/>
          <w:szCs w:val="21"/>
        </w:rPr>
      </w:pP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widowControl/>
        <w:ind w:firstLine="480" w:firstLineChars="200"/>
        <w:jc w:val="left"/>
        <w:rPr>
          <w:sz w:val="24"/>
          <w:szCs w:val="24"/>
        </w:rPr>
      </w:pPr>
      <w:r>
        <w:rPr>
          <w:rFonts w:hint="eastAsia" w:ascii="宋体" w:hAnsi="宋体" w:cs="宋体"/>
          <w:color w:val="000000"/>
          <w:kern w:val="0"/>
          <w:sz w:val="24"/>
          <w:szCs w:val="24"/>
        </w:rPr>
        <w:t>从业人员、营业收入、资产总额填报上一年度数据，无上一年度数据的新成立企业可不填报。</w:t>
      </w:r>
    </w:p>
    <w:p>
      <w:pPr>
        <w:spacing w:line="360" w:lineRule="auto"/>
        <w:rPr>
          <w:rFonts w:ascii="宋体" w:hAnsi="宋体"/>
          <w:color w:val="000000"/>
          <w:sz w:val="28"/>
          <w:szCs w:val="28"/>
        </w:rPr>
      </w:pPr>
    </w:p>
    <w:p>
      <w:pPr>
        <w:spacing w:line="360" w:lineRule="auto"/>
        <w:rPr>
          <w:rFonts w:ascii="宋体" w:hAnsi="宋体"/>
          <w:color w:val="000000"/>
          <w:sz w:val="28"/>
          <w:szCs w:val="28"/>
        </w:rPr>
      </w:pPr>
    </w:p>
    <w:p>
      <w:pPr>
        <w:widowControl/>
        <w:spacing w:line="360" w:lineRule="auto"/>
        <w:rPr>
          <w:rFonts w:ascii="宋体" w:hAnsi="宋体"/>
          <w:color w:val="000000"/>
          <w:sz w:val="28"/>
          <w:szCs w:val="28"/>
        </w:rPr>
      </w:pPr>
    </w:p>
    <w:p>
      <w:pPr>
        <w:pStyle w:val="2"/>
      </w:pPr>
    </w:p>
    <w:p/>
    <w:p>
      <w:pPr>
        <w:widowControl/>
        <w:spacing w:line="360" w:lineRule="auto"/>
        <w:rPr>
          <w:rFonts w:ascii="宋体" w:hAnsi="宋体"/>
          <w:b/>
          <w:sz w:val="30"/>
          <w:szCs w:val="30"/>
        </w:rPr>
      </w:pPr>
      <w:r>
        <w:rPr>
          <w:rFonts w:hint="eastAsia" w:ascii="宋体" w:hAnsi="宋体"/>
          <w:b/>
          <w:sz w:val="32"/>
          <w:szCs w:val="32"/>
        </w:rPr>
        <w:t>附件13：</w:t>
      </w:r>
    </w:p>
    <w:p>
      <w:pPr>
        <w:spacing w:line="360" w:lineRule="auto"/>
        <w:rPr>
          <w:rFonts w:ascii="宋体" w:hAnsi="宋体"/>
          <w:color w:val="000000"/>
          <w:sz w:val="28"/>
          <w:szCs w:val="28"/>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投标保证金提交证明</w:t>
      </w:r>
    </w:p>
    <w:p>
      <w:pPr>
        <w:spacing w:line="360" w:lineRule="auto"/>
        <w:rPr>
          <w:sz w:val="30"/>
          <w:szCs w:val="30"/>
        </w:rPr>
      </w:pPr>
      <w:r>
        <w:rPr>
          <w:sz w:val="30"/>
          <w:szCs w:val="30"/>
        </w:rPr>
        <w:pict>
          <v:shape id="Text Box 3" o:spid="_x0000_s1026" o:spt="202" type="#_x0000_t202" style="position:absolute;left:0pt;margin-left:18pt;margin-top:19.8pt;height:164.5pt;width:3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">
            <v:path/>
            <v:fill focussize="0,0"/>
            <v:stroke joinstyle="miter"/>
            <v:imagedata o:title=""/>
            <o:lock v:ext="edit"/>
            <v:textbox>
              <w:txbxContent>
                <w:p>
                  <w:pPr>
                    <w:rPr>
                      <w:sz w:val="30"/>
                      <w:szCs w:val="30"/>
                    </w:rPr>
                  </w:pPr>
                </w:p>
                <w:p>
                  <w:pPr>
                    <w:rPr>
                      <w:sz w:val="30"/>
                      <w:szCs w:val="30"/>
                    </w:rPr>
                  </w:pPr>
                </w:p>
                <w:p>
                  <w:pPr>
                    <w:rPr>
                      <w:sz w:val="30"/>
                      <w:szCs w:val="30"/>
                    </w:rPr>
                  </w:pPr>
                </w:p>
                <w:p>
                  <w:pPr>
                    <w:rPr>
                      <w:sz w:val="30"/>
                      <w:szCs w:val="30"/>
                    </w:rPr>
                  </w:pPr>
                </w:p>
                <w:p>
                  <w:pPr>
                    <w:jc w:val="center"/>
                    <w:rPr>
                      <w:sz w:val="30"/>
                      <w:szCs w:val="30"/>
                    </w:rPr>
                  </w:pPr>
                  <w:r>
                    <w:rPr>
                      <w:rFonts w:hint="eastAsia"/>
                      <w:sz w:val="30"/>
                      <w:szCs w:val="30"/>
                    </w:rPr>
                    <w:t>投标保证金收据复印件</w:t>
                  </w:r>
                </w:p>
              </w:txbxContent>
            </v:textbox>
          </v:shape>
        </w:pic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napToGrid w:val="0"/>
        <w:spacing w:line="360" w:lineRule="auto"/>
        <w:ind w:firstLine="482" w:firstLineChars="200"/>
        <w:jc w:val="left"/>
        <w:rPr>
          <w:rFonts w:ascii="宋体" w:hAnsi="宋体"/>
          <w:b/>
          <w:sz w:val="24"/>
        </w:rPr>
      </w:pPr>
    </w:p>
    <w:p>
      <w:pPr>
        <w:snapToGrid w:val="0"/>
        <w:spacing w:line="360" w:lineRule="auto"/>
        <w:ind w:firstLine="482" w:firstLineChars="200"/>
        <w:jc w:val="left"/>
        <w:rPr>
          <w:rFonts w:ascii="宋体" w:hAnsi="宋体"/>
          <w:b/>
          <w:sz w:val="24"/>
        </w:rPr>
      </w:pPr>
    </w:p>
    <w:p>
      <w:pPr>
        <w:spacing w:line="360" w:lineRule="auto"/>
        <w:jc w:val="center"/>
        <w:rPr>
          <w:rFonts w:ascii="宋体" w:hAnsi="宋体"/>
          <w:b/>
          <w:color w:val="000000"/>
          <w:sz w:val="28"/>
          <w:szCs w:val="28"/>
        </w:rPr>
      </w:pPr>
      <w:r>
        <w:rPr>
          <w:rFonts w:hint="eastAsia" w:ascii="宋体" w:hAnsi="宋体"/>
          <w:b/>
          <w:color w:val="000000"/>
          <w:sz w:val="28"/>
          <w:szCs w:val="28"/>
        </w:rPr>
        <w:t>（投标人须将招标代理机构开具的财务收款收据复印件附在此处，该收款收据的原件必须在开标时提交至开标现场以备查验）</w:t>
      </w:r>
    </w:p>
    <w:p>
      <w:pPr>
        <w:snapToGrid w:val="0"/>
        <w:spacing w:line="360" w:lineRule="auto"/>
        <w:jc w:val="left"/>
        <w:rPr>
          <w:rFonts w:ascii="宋体" w:hAnsi="宋体"/>
          <w:b/>
          <w:sz w:val="24"/>
        </w:rPr>
      </w:pPr>
    </w:p>
    <w:p>
      <w:pPr>
        <w:spacing w:line="360" w:lineRule="auto"/>
        <w:jc w:val="center"/>
        <w:rPr>
          <w:rFonts w:ascii="仿宋_GB2312" w:hAnsi="宋体" w:eastAsia="仿宋_GB2312"/>
          <w:b/>
          <w:color w:val="000000"/>
          <w:sz w:val="28"/>
          <w:szCs w:val="28"/>
        </w:rPr>
      </w:pPr>
    </w:p>
    <w:p>
      <w:pPr>
        <w:spacing w:line="360" w:lineRule="auto"/>
        <w:jc w:val="center"/>
        <w:rPr>
          <w:rFonts w:ascii="仿宋_GB2312" w:hAnsi="宋体" w:eastAsia="仿宋_GB2312"/>
          <w:b/>
          <w:color w:val="000000"/>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附件14：</w:t>
      </w:r>
    </w:p>
    <w:p>
      <w:pPr>
        <w:widowControl/>
        <w:spacing w:line="360" w:lineRule="auto"/>
        <w:jc w:val="center"/>
        <w:rPr>
          <w:rFonts w:ascii="宋体" w:hAnsi="宋体"/>
          <w:b/>
          <w:sz w:val="32"/>
          <w:szCs w:val="32"/>
        </w:rPr>
      </w:pPr>
    </w:p>
    <w:p>
      <w:pPr>
        <w:widowControl/>
        <w:spacing w:line="360" w:lineRule="auto"/>
        <w:jc w:val="center"/>
        <w:rPr>
          <w:rFonts w:ascii="宋体" w:hAnsi="宋体"/>
          <w:b/>
          <w:sz w:val="32"/>
          <w:szCs w:val="32"/>
        </w:rPr>
      </w:pPr>
      <w:r>
        <w:rPr>
          <w:rFonts w:hint="eastAsia" w:ascii="宋体" w:hAnsi="宋体"/>
          <w:b/>
          <w:sz w:val="32"/>
          <w:szCs w:val="32"/>
        </w:rPr>
        <w:t>投标人认为有必要提交的其他相关证明材料</w:t>
      </w:r>
    </w:p>
    <w:p>
      <w:pPr>
        <w:spacing w:line="360" w:lineRule="auto"/>
        <w:rPr>
          <w:rFonts w:hAnsi="宋体"/>
          <w:b/>
          <w:sz w:val="32"/>
          <w:szCs w:val="32"/>
        </w:rPr>
      </w:pPr>
    </w:p>
    <w:p>
      <w:pPr>
        <w:spacing w:line="360" w:lineRule="auto"/>
      </w:pPr>
    </w:p>
    <w:sectPr>
      <w:headerReference r:id="rId8" w:type="default"/>
      <w:footerReference r:id="rId9" w:type="default"/>
      <w:pgSz w:w="11907" w:h="16840"/>
      <w:pgMar w:top="1440" w:right="1247" w:bottom="1440" w:left="1361" w:header="851" w:footer="992" w:gutter="0"/>
      <w:pgNumType w:fmt="numberInDash" w:start="63"/>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长城仿宋">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FZLTHJW--GB1-0">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26080"/>
    </w:sdtPr>
    <w:sdtContent>
      <w:p>
        <w:pPr>
          <w:pStyle w:val="28"/>
          <w:jc w:val="center"/>
        </w:pPr>
        <w:r>
          <w:fldChar w:fldCharType="begin"/>
        </w:r>
        <w:r>
          <w:instrText xml:space="preserve"> PAGE   \* MERGEFORMAT </w:instrText>
        </w:r>
        <w:r>
          <w:fldChar w:fldCharType="separate"/>
        </w:r>
        <w:r>
          <w:rPr>
            <w:lang w:val="zh-CN"/>
          </w:rPr>
          <w:t>-</w:t>
        </w:r>
        <w:r>
          <w:t xml:space="preserve"> 71 -</w:t>
        </w:r>
        <w:r>
          <w:rPr>
            <w:lang w:val="zh-CN"/>
          </w:rPr>
          <w:fldChar w:fldCharType="end"/>
        </w:r>
      </w:p>
    </w:sdtContent>
  </w:sdt>
  <w:p>
    <w:pPr>
      <w:pStyle w:val="28"/>
      <w:tabs>
        <w:tab w:val="center" w:pos="4140"/>
        <w:tab w:val="right" w:pos="83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140"/>
        <w:tab w:val="right" w:pos="8300"/>
        <w:tab w:val="clear" w:pos="4153"/>
        <w:tab w:val="clear" w:pos="8306"/>
      </w:tabs>
      <w:jc w:val="center"/>
    </w:pPr>
    <w:r>
      <w:fldChar w:fldCharType="begin"/>
    </w:r>
    <w:r>
      <w:instrText xml:space="preserve"> PAGE   \* MERGEFORMAT </w:instrText>
    </w:r>
    <w:r>
      <w:fldChar w:fldCharType="separate"/>
    </w:r>
    <w:r>
      <w:rPr>
        <w:lang w:val="zh-CN"/>
      </w:rPr>
      <w:t>-</w:t>
    </w:r>
    <w:r>
      <w:t xml:space="preserve"> 69 -</w:t>
    </w:r>
    <w: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thickThinSmallGap" w:color="622423" w:sz="24" w:space="1"/>
      </w:pBdr>
      <w:tabs>
        <w:tab w:val="center" w:pos="4140"/>
        <w:tab w:val="right" w:pos="8300"/>
        <w:tab w:val="clear" w:pos="4153"/>
        <w:tab w:val="clear" w:pos="8306"/>
      </w:tabs>
      <w:rPr>
        <w:rFonts w:ascii="Cambria" w:hAnsi="Cambria"/>
        <w:sz w:val="32"/>
        <w:szCs w:val="32"/>
      </w:rPr>
    </w:pPr>
    <w:r>
      <w:rPr>
        <w:rFonts w:ascii="Cambria" w:hAnsi="Cambria"/>
        <w:vanish/>
        <w:sz w:val="32"/>
        <w:szCs w:val="32"/>
        <w:highlight w:val="yellow"/>
      </w:rPr>
      <w:t>&lt;</w:t>
    </w:r>
    <w:r>
      <w:rPr>
        <w:rFonts w:ascii="Cambria" w:hAnsi="Cambria"/>
        <w:sz w:val="32"/>
        <w:szCs w:val="32"/>
        <w:lang w:val="zh-CN"/>
      </w:rPr>
      <w:t>[</w:t>
    </w:r>
    <w:r>
      <w:rPr>
        <w:rFonts w:hint="eastAsia" w:ascii="宋体" w:hAnsi="宋体"/>
        <w:b/>
        <w:sz w:val="28"/>
        <w:szCs w:val="28"/>
      </w:rPr>
      <w:t>新疆天壹中山工程咨询有限公司</w:t>
    </w:r>
    <w:r>
      <w:rPr>
        <w:rFonts w:ascii="Cambria" w:hAnsi="Cambria"/>
        <w:sz w:val="32"/>
        <w:szCs w:val="32"/>
        <w:lang w:val="zh-CN"/>
      </w:rPr>
      <w:t>]</w:t>
    </w:r>
    <w:r>
      <w:rPr>
        <w:rFonts w:ascii="Cambria" w:hAnsi="Cambria"/>
        <w:vanish/>
        <w:sz w:val="32"/>
        <w:szCs w:val="32"/>
        <w:highlight w:val="yellow"/>
      </w:rPr>
      <w:t>&gt;</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EnclosedParen"/>
      <w:lvlText w:val="%1"/>
      <w:lvlJc w:val="left"/>
      <w:pPr>
        <w:ind w:left="840" w:hanging="360"/>
      </w:pPr>
      <w:rPr>
        <w:rFonts w:hint="default"/>
      </w:rPr>
    </w:lvl>
    <w:lvl w:ilvl="1" w:tentative="0">
      <w:start w:val="1"/>
      <w:numFmt w:val="lowerLetter"/>
      <w:lvlRestart w:val="0"/>
      <w:lvlText w:val="%2)"/>
      <w:lvlJc w:val="left"/>
      <w:pPr>
        <w:ind w:left="1320" w:hanging="420"/>
      </w:pPr>
    </w:lvl>
    <w:lvl w:ilvl="2" w:tentative="0">
      <w:start w:val="1"/>
      <w:numFmt w:val="lowerRoman"/>
      <w:lvlRestart w:val="0"/>
      <w:lvlText w:val="%3."/>
      <w:lvlJc w:val="right"/>
      <w:pPr>
        <w:ind w:left="1740" w:hanging="420"/>
      </w:pPr>
    </w:lvl>
    <w:lvl w:ilvl="3" w:tentative="0">
      <w:start w:val="1"/>
      <w:numFmt w:val="decimal"/>
      <w:lvlRestart w:val="0"/>
      <w:lvlText w:val="%4."/>
      <w:lvlJc w:val="left"/>
      <w:pPr>
        <w:ind w:left="2160" w:hanging="420"/>
      </w:pPr>
    </w:lvl>
    <w:lvl w:ilvl="4" w:tentative="0">
      <w:start w:val="1"/>
      <w:numFmt w:val="lowerLetter"/>
      <w:lvlRestart w:val="0"/>
      <w:lvlText w:val="%5)"/>
      <w:lvlJc w:val="left"/>
      <w:pPr>
        <w:ind w:left="2580" w:hanging="420"/>
      </w:pPr>
    </w:lvl>
    <w:lvl w:ilvl="5" w:tentative="0">
      <w:start w:val="1"/>
      <w:numFmt w:val="lowerRoman"/>
      <w:lvlRestart w:val="0"/>
      <w:lvlText w:val="%6."/>
      <w:lvlJc w:val="right"/>
      <w:pPr>
        <w:ind w:left="3000" w:hanging="420"/>
      </w:pPr>
    </w:lvl>
    <w:lvl w:ilvl="6" w:tentative="0">
      <w:start w:val="1"/>
      <w:numFmt w:val="decimal"/>
      <w:lvlRestart w:val="0"/>
      <w:lvlText w:val="%7."/>
      <w:lvlJc w:val="left"/>
      <w:pPr>
        <w:ind w:left="3420" w:hanging="420"/>
      </w:pPr>
    </w:lvl>
    <w:lvl w:ilvl="7" w:tentative="0">
      <w:start w:val="1"/>
      <w:numFmt w:val="lowerLetter"/>
      <w:lvlRestart w:val="0"/>
      <w:lvlText w:val="%8)"/>
      <w:lvlJc w:val="left"/>
      <w:pPr>
        <w:ind w:left="3840" w:hanging="420"/>
      </w:pPr>
    </w:lvl>
    <w:lvl w:ilvl="8" w:tentative="0">
      <w:start w:val="1"/>
      <w:numFmt w:val="lowerRoman"/>
      <w:lvlRestart w:val="0"/>
      <w:lvlText w:val="%9."/>
      <w:lvlJc w:val="right"/>
      <w:pPr>
        <w:ind w:left="4260" w:hanging="420"/>
      </w:pPr>
    </w:lvl>
  </w:abstractNum>
  <w:abstractNum w:abstractNumId="1">
    <w:nsid w:val="00000009"/>
    <w:multiLevelType w:val="multilevel"/>
    <w:tmpl w:val="00000009"/>
    <w:lvl w:ilvl="0" w:tentative="0">
      <w:start w:val="1"/>
      <w:numFmt w:val="decimal"/>
      <w:lvlText w:val="（%1）"/>
      <w:lvlJc w:val="left"/>
      <w:pPr>
        <w:tabs>
          <w:tab w:val="left" w:pos="1138"/>
        </w:tabs>
        <w:ind w:left="1138" w:hanging="720"/>
      </w:pPr>
      <w:rPr>
        <w:rFonts w:hint="eastAsia"/>
      </w:rPr>
    </w:lvl>
    <w:lvl w:ilvl="1" w:tentative="0">
      <w:start w:val="1"/>
      <w:numFmt w:val="lowerLetter"/>
      <w:lvlText w:val="%2)"/>
      <w:lvlJc w:val="left"/>
      <w:pPr>
        <w:tabs>
          <w:tab w:val="left" w:pos="1258"/>
        </w:tabs>
        <w:ind w:left="1258" w:hanging="420"/>
      </w:pPr>
    </w:lvl>
    <w:lvl w:ilvl="2" w:tentative="0">
      <w:start w:val="1"/>
      <w:numFmt w:val="lowerRoman"/>
      <w:lvlText w:val="%3."/>
      <w:lvlJc w:val="right"/>
      <w:pPr>
        <w:tabs>
          <w:tab w:val="left" w:pos="1678"/>
        </w:tabs>
        <w:ind w:left="1678" w:hanging="420"/>
      </w:pPr>
    </w:lvl>
    <w:lvl w:ilvl="3" w:tentative="0">
      <w:start w:val="1"/>
      <w:numFmt w:val="decimal"/>
      <w:lvlText w:val="%4."/>
      <w:lvlJc w:val="left"/>
      <w:pPr>
        <w:tabs>
          <w:tab w:val="left" w:pos="2098"/>
        </w:tabs>
        <w:ind w:left="2098" w:hanging="420"/>
      </w:pPr>
    </w:lvl>
    <w:lvl w:ilvl="4" w:tentative="0">
      <w:start w:val="1"/>
      <w:numFmt w:val="lowerLetter"/>
      <w:lvlText w:val="%5)"/>
      <w:lvlJc w:val="left"/>
      <w:pPr>
        <w:tabs>
          <w:tab w:val="left" w:pos="2518"/>
        </w:tabs>
        <w:ind w:left="2518" w:hanging="420"/>
      </w:pPr>
    </w:lvl>
    <w:lvl w:ilvl="5" w:tentative="0">
      <w:start w:val="1"/>
      <w:numFmt w:val="lowerRoman"/>
      <w:lvlText w:val="%6."/>
      <w:lvlJc w:val="right"/>
      <w:pPr>
        <w:tabs>
          <w:tab w:val="left" w:pos="2938"/>
        </w:tabs>
        <w:ind w:left="2938" w:hanging="420"/>
      </w:pPr>
    </w:lvl>
    <w:lvl w:ilvl="6" w:tentative="0">
      <w:start w:val="1"/>
      <w:numFmt w:val="decimal"/>
      <w:lvlText w:val="%7."/>
      <w:lvlJc w:val="left"/>
      <w:pPr>
        <w:tabs>
          <w:tab w:val="left" w:pos="3358"/>
        </w:tabs>
        <w:ind w:left="3358" w:hanging="420"/>
      </w:pPr>
    </w:lvl>
    <w:lvl w:ilvl="7" w:tentative="0">
      <w:start w:val="1"/>
      <w:numFmt w:val="lowerLetter"/>
      <w:lvlText w:val="%8)"/>
      <w:lvlJc w:val="left"/>
      <w:pPr>
        <w:tabs>
          <w:tab w:val="left" w:pos="3778"/>
        </w:tabs>
        <w:ind w:left="3778" w:hanging="420"/>
      </w:pPr>
    </w:lvl>
    <w:lvl w:ilvl="8" w:tentative="0">
      <w:start w:val="1"/>
      <w:numFmt w:val="lowerRoman"/>
      <w:lvlText w:val="%9."/>
      <w:lvlJc w:val="right"/>
      <w:pPr>
        <w:tabs>
          <w:tab w:val="left" w:pos="4198"/>
        </w:tabs>
        <w:ind w:left="4198" w:hanging="420"/>
      </w:pPr>
    </w:lvl>
  </w:abstractNum>
  <w:abstractNum w:abstractNumId="2">
    <w:nsid w:val="2DB437A1"/>
    <w:multiLevelType w:val="singleLevel"/>
    <w:tmpl w:val="2DB437A1"/>
    <w:lvl w:ilvl="0" w:tentative="0">
      <w:start w:val="4"/>
      <w:numFmt w:val="decimal"/>
      <w:suff w:val="nothing"/>
      <w:lvlText w:val="%1、"/>
      <w:lvlJc w:val="left"/>
    </w:lvl>
  </w:abstractNum>
  <w:abstractNum w:abstractNumId="3">
    <w:nsid w:val="31130A0F"/>
    <w:multiLevelType w:val="singleLevel"/>
    <w:tmpl w:val="31130A0F"/>
    <w:lvl w:ilvl="0" w:tentative="0">
      <w:start w:val="1"/>
      <w:numFmt w:val="decimal"/>
      <w:suff w:val="nothing"/>
      <w:lvlText w:val="%1、"/>
      <w:lvlJc w:val="left"/>
    </w:lvl>
  </w:abstractNum>
  <w:abstractNum w:abstractNumId="4">
    <w:nsid w:val="35A6BA7D"/>
    <w:multiLevelType w:val="singleLevel"/>
    <w:tmpl w:val="35A6BA7D"/>
    <w:lvl w:ilvl="0" w:tentative="0">
      <w:start w:val="10"/>
      <w:numFmt w:val="chineseCounting"/>
      <w:suff w:val="nothing"/>
      <w:lvlText w:val="（%1）"/>
      <w:lvlJc w:val="left"/>
      <w:rPr>
        <w:rFonts w:hint="eastAsia"/>
      </w:rPr>
    </w:lvl>
  </w:abstractNum>
  <w:abstractNum w:abstractNumId="5">
    <w:nsid w:val="7C634370"/>
    <w:multiLevelType w:val="multilevel"/>
    <w:tmpl w:val="7C634370"/>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6">
    <w:nsid w:val="7CA0B04C"/>
    <w:multiLevelType w:val="singleLevel"/>
    <w:tmpl w:val="7CA0B04C"/>
    <w:lvl w:ilvl="0" w:tentative="0">
      <w:start w:val="1"/>
      <w:numFmt w:val="decimal"/>
      <w:suff w:val="nothing"/>
      <w:lvlText w:val="%1、"/>
      <w:lvlJc w:val="left"/>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0740B"/>
    <w:rsid w:val="00002DAC"/>
    <w:rsid w:val="00006ABE"/>
    <w:rsid w:val="00024804"/>
    <w:rsid w:val="000270C4"/>
    <w:rsid w:val="0003553E"/>
    <w:rsid w:val="000441ED"/>
    <w:rsid w:val="00045F15"/>
    <w:rsid w:val="00046790"/>
    <w:rsid w:val="0005315F"/>
    <w:rsid w:val="00072D23"/>
    <w:rsid w:val="00082E7C"/>
    <w:rsid w:val="0008668B"/>
    <w:rsid w:val="00091890"/>
    <w:rsid w:val="000A321F"/>
    <w:rsid w:val="000B4F65"/>
    <w:rsid w:val="000C2C65"/>
    <w:rsid w:val="000D6428"/>
    <w:rsid w:val="000E1B63"/>
    <w:rsid w:val="000E5F67"/>
    <w:rsid w:val="000E7EB9"/>
    <w:rsid w:val="0010413B"/>
    <w:rsid w:val="0010740B"/>
    <w:rsid w:val="001075B2"/>
    <w:rsid w:val="00126E53"/>
    <w:rsid w:val="00133011"/>
    <w:rsid w:val="00140424"/>
    <w:rsid w:val="00147C07"/>
    <w:rsid w:val="0017173E"/>
    <w:rsid w:val="0017530E"/>
    <w:rsid w:val="00180BFB"/>
    <w:rsid w:val="001943D1"/>
    <w:rsid w:val="001A3850"/>
    <w:rsid w:val="001C0D5B"/>
    <w:rsid w:val="001C28BA"/>
    <w:rsid w:val="001D4137"/>
    <w:rsid w:val="001E0D60"/>
    <w:rsid w:val="002027FC"/>
    <w:rsid w:val="002059E1"/>
    <w:rsid w:val="00211183"/>
    <w:rsid w:val="00213EF6"/>
    <w:rsid w:val="00216861"/>
    <w:rsid w:val="00234042"/>
    <w:rsid w:val="00236074"/>
    <w:rsid w:val="002370DD"/>
    <w:rsid w:val="002372E9"/>
    <w:rsid w:val="00237A32"/>
    <w:rsid w:val="00243734"/>
    <w:rsid w:val="002479C1"/>
    <w:rsid w:val="00254E44"/>
    <w:rsid w:val="00267321"/>
    <w:rsid w:val="0028035B"/>
    <w:rsid w:val="00281495"/>
    <w:rsid w:val="00283A25"/>
    <w:rsid w:val="00284EB2"/>
    <w:rsid w:val="00285158"/>
    <w:rsid w:val="00287C22"/>
    <w:rsid w:val="00291760"/>
    <w:rsid w:val="002937C8"/>
    <w:rsid w:val="002B4A7D"/>
    <w:rsid w:val="002B4D0A"/>
    <w:rsid w:val="002B5CA4"/>
    <w:rsid w:val="002C6E1A"/>
    <w:rsid w:val="002D2912"/>
    <w:rsid w:val="002D77B2"/>
    <w:rsid w:val="002E3D09"/>
    <w:rsid w:val="002F0349"/>
    <w:rsid w:val="002F359D"/>
    <w:rsid w:val="002F7C41"/>
    <w:rsid w:val="0030713F"/>
    <w:rsid w:val="00307DD7"/>
    <w:rsid w:val="00311B3C"/>
    <w:rsid w:val="003212AA"/>
    <w:rsid w:val="00322269"/>
    <w:rsid w:val="003252EB"/>
    <w:rsid w:val="0033699C"/>
    <w:rsid w:val="003419E6"/>
    <w:rsid w:val="003445B3"/>
    <w:rsid w:val="00353A83"/>
    <w:rsid w:val="00355AFE"/>
    <w:rsid w:val="00357625"/>
    <w:rsid w:val="003760BC"/>
    <w:rsid w:val="00376BEC"/>
    <w:rsid w:val="00382866"/>
    <w:rsid w:val="0038692F"/>
    <w:rsid w:val="00390972"/>
    <w:rsid w:val="003927AA"/>
    <w:rsid w:val="00395A0D"/>
    <w:rsid w:val="00397596"/>
    <w:rsid w:val="003B0CC8"/>
    <w:rsid w:val="003D2EED"/>
    <w:rsid w:val="003D4046"/>
    <w:rsid w:val="003D6A45"/>
    <w:rsid w:val="003D72C1"/>
    <w:rsid w:val="003E07DB"/>
    <w:rsid w:val="003E39B3"/>
    <w:rsid w:val="003F3248"/>
    <w:rsid w:val="003F485D"/>
    <w:rsid w:val="003F77F9"/>
    <w:rsid w:val="00412DF0"/>
    <w:rsid w:val="0041761A"/>
    <w:rsid w:val="00431629"/>
    <w:rsid w:val="00432452"/>
    <w:rsid w:val="00435995"/>
    <w:rsid w:val="004634FA"/>
    <w:rsid w:val="00465320"/>
    <w:rsid w:val="004745B1"/>
    <w:rsid w:val="00475DC0"/>
    <w:rsid w:val="004802DA"/>
    <w:rsid w:val="00485C87"/>
    <w:rsid w:val="00490AAC"/>
    <w:rsid w:val="004A10F1"/>
    <w:rsid w:val="004B0B75"/>
    <w:rsid w:val="004C6538"/>
    <w:rsid w:val="004D1C64"/>
    <w:rsid w:val="004D3142"/>
    <w:rsid w:val="004E0722"/>
    <w:rsid w:val="004F0B90"/>
    <w:rsid w:val="004F24D7"/>
    <w:rsid w:val="004F41B4"/>
    <w:rsid w:val="005021C5"/>
    <w:rsid w:val="00506D58"/>
    <w:rsid w:val="00507285"/>
    <w:rsid w:val="00511AEB"/>
    <w:rsid w:val="005126EC"/>
    <w:rsid w:val="00515DFF"/>
    <w:rsid w:val="005236A4"/>
    <w:rsid w:val="00530815"/>
    <w:rsid w:val="00533C18"/>
    <w:rsid w:val="005374CC"/>
    <w:rsid w:val="00544879"/>
    <w:rsid w:val="00550566"/>
    <w:rsid w:val="00567D7F"/>
    <w:rsid w:val="0057083C"/>
    <w:rsid w:val="0057205E"/>
    <w:rsid w:val="00575553"/>
    <w:rsid w:val="00575BEE"/>
    <w:rsid w:val="00585F4C"/>
    <w:rsid w:val="0058642D"/>
    <w:rsid w:val="00586BEB"/>
    <w:rsid w:val="00590D0F"/>
    <w:rsid w:val="005A2F32"/>
    <w:rsid w:val="005A3981"/>
    <w:rsid w:val="005A5E25"/>
    <w:rsid w:val="005B4AA9"/>
    <w:rsid w:val="005C45F9"/>
    <w:rsid w:val="005D7C99"/>
    <w:rsid w:val="005E026F"/>
    <w:rsid w:val="005E572D"/>
    <w:rsid w:val="005E62DF"/>
    <w:rsid w:val="005F0470"/>
    <w:rsid w:val="005F4B25"/>
    <w:rsid w:val="006047EA"/>
    <w:rsid w:val="00651E9D"/>
    <w:rsid w:val="00652D05"/>
    <w:rsid w:val="00656F91"/>
    <w:rsid w:val="006724A6"/>
    <w:rsid w:val="00676B85"/>
    <w:rsid w:val="006777D2"/>
    <w:rsid w:val="00677B9D"/>
    <w:rsid w:val="00684EFF"/>
    <w:rsid w:val="006942A6"/>
    <w:rsid w:val="006B67DA"/>
    <w:rsid w:val="006D1F77"/>
    <w:rsid w:val="006D5618"/>
    <w:rsid w:val="006E3B1E"/>
    <w:rsid w:val="006E48F9"/>
    <w:rsid w:val="006E563C"/>
    <w:rsid w:val="006E5738"/>
    <w:rsid w:val="006F0A14"/>
    <w:rsid w:val="00704709"/>
    <w:rsid w:val="0071245D"/>
    <w:rsid w:val="007139D7"/>
    <w:rsid w:val="00723952"/>
    <w:rsid w:val="0072410A"/>
    <w:rsid w:val="00724536"/>
    <w:rsid w:val="00734EF4"/>
    <w:rsid w:val="007371EF"/>
    <w:rsid w:val="00754E05"/>
    <w:rsid w:val="007666F7"/>
    <w:rsid w:val="0076794F"/>
    <w:rsid w:val="0077503A"/>
    <w:rsid w:val="00777241"/>
    <w:rsid w:val="0078068B"/>
    <w:rsid w:val="00780A5F"/>
    <w:rsid w:val="0078102A"/>
    <w:rsid w:val="00791D6C"/>
    <w:rsid w:val="007951C9"/>
    <w:rsid w:val="007A2FDC"/>
    <w:rsid w:val="007A4600"/>
    <w:rsid w:val="007A4EF4"/>
    <w:rsid w:val="007A6F7C"/>
    <w:rsid w:val="007B251B"/>
    <w:rsid w:val="007C6901"/>
    <w:rsid w:val="007E0AED"/>
    <w:rsid w:val="007E40AC"/>
    <w:rsid w:val="007F5317"/>
    <w:rsid w:val="008029CC"/>
    <w:rsid w:val="008079EF"/>
    <w:rsid w:val="00810930"/>
    <w:rsid w:val="008167E3"/>
    <w:rsid w:val="00830801"/>
    <w:rsid w:val="00844CF6"/>
    <w:rsid w:val="00852CD3"/>
    <w:rsid w:val="00855891"/>
    <w:rsid w:val="00855A0E"/>
    <w:rsid w:val="00863E1F"/>
    <w:rsid w:val="00863EB5"/>
    <w:rsid w:val="0086449A"/>
    <w:rsid w:val="00876FDE"/>
    <w:rsid w:val="00881F84"/>
    <w:rsid w:val="00882FBF"/>
    <w:rsid w:val="0088509E"/>
    <w:rsid w:val="0088632F"/>
    <w:rsid w:val="00892BBA"/>
    <w:rsid w:val="00894B76"/>
    <w:rsid w:val="0089533C"/>
    <w:rsid w:val="00896C3F"/>
    <w:rsid w:val="008A6C9D"/>
    <w:rsid w:val="008A7899"/>
    <w:rsid w:val="008B0EBE"/>
    <w:rsid w:val="008B662B"/>
    <w:rsid w:val="008C616D"/>
    <w:rsid w:val="008D0D02"/>
    <w:rsid w:val="008D53BE"/>
    <w:rsid w:val="008D7A25"/>
    <w:rsid w:val="008E3B30"/>
    <w:rsid w:val="008E46AF"/>
    <w:rsid w:val="008F1993"/>
    <w:rsid w:val="008F26BD"/>
    <w:rsid w:val="00913537"/>
    <w:rsid w:val="00916E78"/>
    <w:rsid w:val="00927FAE"/>
    <w:rsid w:val="00934756"/>
    <w:rsid w:val="00935659"/>
    <w:rsid w:val="00935733"/>
    <w:rsid w:val="00935FE6"/>
    <w:rsid w:val="0094265F"/>
    <w:rsid w:val="00951A8D"/>
    <w:rsid w:val="009520F8"/>
    <w:rsid w:val="00957080"/>
    <w:rsid w:val="009578BF"/>
    <w:rsid w:val="00961476"/>
    <w:rsid w:val="009632C5"/>
    <w:rsid w:val="00972D9B"/>
    <w:rsid w:val="00980AE2"/>
    <w:rsid w:val="009914A7"/>
    <w:rsid w:val="009A0175"/>
    <w:rsid w:val="009A0799"/>
    <w:rsid w:val="009A42DB"/>
    <w:rsid w:val="009A50B8"/>
    <w:rsid w:val="009B1B96"/>
    <w:rsid w:val="009C3188"/>
    <w:rsid w:val="009C4913"/>
    <w:rsid w:val="009D71A8"/>
    <w:rsid w:val="009E00E7"/>
    <w:rsid w:val="009E59AB"/>
    <w:rsid w:val="009F5668"/>
    <w:rsid w:val="00A06E7F"/>
    <w:rsid w:val="00A150B3"/>
    <w:rsid w:val="00A22238"/>
    <w:rsid w:val="00A3479E"/>
    <w:rsid w:val="00A363FB"/>
    <w:rsid w:val="00A37DE8"/>
    <w:rsid w:val="00A40BCD"/>
    <w:rsid w:val="00A41C9F"/>
    <w:rsid w:val="00A4474E"/>
    <w:rsid w:val="00A45F36"/>
    <w:rsid w:val="00A47D00"/>
    <w:rsid w:val="00A5368F"/>
    <w:rsid w:val="00A56AC6"/>
    <w:rsid w:val="00A60A3D"/>
    <w:rsid w:val="00A71556"/>
    <w:rsid w:val="00A81C2F"/>
    <w:rsid w:val="00A90CE7"/>
    <w:rsid w:val="00A915A0"/>
    <w:rsid w:val="00A9377C"/>
    <w:rsid w:val="00A96747"/>
    <w:rsid w:val="00A97518"/>
    <w:rsid w:val="00AA0DAC"/>
    <w:rsid w:val="00AA1607"/>
    <w:rsid w:val="00AA1F3A"/>
    <w:rsid w:val="00AA5BBE"/>
    <w:rsid w:val="00AB3E44"/>
    <w:rsid w:val="00AB45EF"/>
    <w:rsid w:val="00AB6ECE"/>
    <w:rsid w:val="00AC1870"/>
    <w:rsid w:val="00AD20E2"/>
    <w:rsid w:val="00AF4852"/>
    <w:rsid w:val="00AF5BB1"/>
    <w:rsid w:val="00B00015"/>
    <w:rsid w:val="00B04323"/>
    <w:rsid w:val="00B12768"/>
    <w:rsid w:val="00B147E8"/>
    <w:rsid w:val="00B14A0F"/>
    <w:rsid w:val="00B17651"/>
    <w:rsid w:val="00B17CE3"/>
    <w:rsid w:val="00B20E5C"/>
    <w:rsid w:val="00B3203F"/>
    <w:rsid w:val="00B34A8D"/>
    <w:rsid w:val="00B40CE8"/>
    <w:rsid w:val="00B43AF3"/>
    <w:rsid w:val="00B44E13"/>
    <w:rsid w:val="00B47F01"/>
    <w:rsid w:val="00B54557"/>
    <w:rsid w:val="00B56A46"/>
    <w:rsid w:val="00B605FE"/>
    <w:rsid w:val="00B60690"/>
    <w:rsid w:val="00B612F2"/>
    <w:rsid w:val="00B64728"/>
    <w:rsid w:val="00B71B7B"/>
    <w:rsid w:val="00B75535"/>
    <w:rsid w:val="00B85F8D"/>
    <w:rsid w:val="00B91BC2"/>
    <w:rsid w:val="00B923C3"/>
    <w:rsid w:val="00BA02AC"/>
    <w:rsid w:val="00BA6E99"/>
    <w:rsid w:val="00BB5E78"/>
    <w:rsid w:val="00BE42D2"/>
    <w:rsid w:val="00BF4EB6"/>
    <w:rsid w:val="00BF724D"/>
    <w:rsid w:val="00BF79FE"/>
    <w:rsid w:val="00C018D5"/>
    <w:rsid w:val="00C01A86"/>
    <w:rsid w:val="00C0772D"/>
    <w:rsid w:val="00C07D34"/>
    <w:rsid w:val="00C101DF"/>
    <w:rsid w:val="00C14CFB"/>
    <w:rsid w:val="00C24520"/>
    <w:rsid w:val="00C267DD"/>
    <w:rsid w:val="00C409AD"/>
    <w:rsid w:val="00C42003"/>
    <w:rsid w:val="00C51012"/>
    <w:rsid w:val="00C5107D"/>
    <w:rsid w:val="00C54129"/>
    <w:rsid w:val="00C562F3"/>
    <w:rsid w:val="00C60751"/>
    <w:rsid w:val="00C66B75"/>
    <w:rsid w:val="00C75D05"/>
    <w:rsid w:val="00C8470A"/>
    <w:rsid w:val="00C85F54"/>
    <w:rsid w:val="00C91DDF"/>
    <w:rsid w:val="00C91FF1"/>
    <w:rsid w:val="00CA477A"/>
    <w:rsid w:val="00CB5716"/>
    <w:rsid w:val="00CC35AB"/>
    <w:rsid w:val="00CC7A81"/>
    <w:rsid w:val="00CD3F61"/>
    <w:rsid w:val="00CF7DF1"/>
    <w:rsid w:val="00D05325"/>
    <w:rsid w:val="00D06C74"/>
    <w:rsid w:val="00D1476F"/>
    <w:rsid w:val="00D17727"/>
    <w:rsid w:val="00D2108D"/>
    <w:rsid w:val="00D2257D"/>
    <w:rsid w:val="00D2691C"/>
    <w:rsid w:val="00D31204"/>
    <w:rsid w:val="00D35C31"/>
    <w:rsid w:val="00D6226D"/>
    <w:rsid w:val="00D668E6"/>
    <w:rsid w:val="00D707EF"/>
    <w:rsid w:val="00D70D50"/>
    <w:rsid w:val="00D71ED5"/>
    <w:rsid w:val="00D74A19"/>
    <w:rsid w:val="00D81E24"/>
    <w:rsid w:val="00D82320"/>
    <w:rsid w:val="00D84DDE"/>
    <w:rsid w:val="00D90F14"/>
    <w:rsid w:val="00D95E25"/>
    <w:rsid w:val="00DA358C"/>
    <w:rsid w:val="00DA6C48"/>
    <w:rsid w:val="00DB1AF5"/>
    <w:rsid w:val="00DB404E"/>
    <w:rsid w:val="00DB46BF"/>
    <w:rsid w:val="00DB5FA7"/>
    <w:rsid w:val="00DC6762"/>
    <w:rsid w:val="00DD0ABA"/>
    <w:rsid w:val="00DD5E3A"/>
    <w:rsid w:val="00DE5E8F"/>
    <w:rsid w:val="00DF08D8"/>
    <w:rsid w:val="00DF4674"/>
    <w:rsid w:val="00E01B0F"/>
    <w:rsid w:val="00E022D5"/>
    <w:rsid w:val="00E1208A"/>
    <w:rsid w:val="00E145F0"/>
    <w:rsid w:val="00E207DE"/>
    <w:rsid w:val="00E36362"/>
    <w:rsid w:val="00E440ED"/>
    <w:rsid w:val="00E51064"/>
    <w:rsid w:val="00E510DE"/>
    <w:rsid w:val="00E661A3"/>
    <w:rsid w:val="00E66313"/>
    <w:rsid w:val="00E727C1"/>
    <w:rsid w:val="00E74572"/>
    <w:rsid w:val="00E76C2E"/>
    <w:rsid w:val="00E85203"/>
    <w:rsid w:val="00E9057C"/>
    <w:rsid w:val="00E936FC"/>
    <w:rsid w:val="00E93FAB"/>
    <w:rsid w:val="00E951B1"/>
    <w:rsid w:val="00E96197"/>
    <w:rsid w:val="00EA2EA8"/>
    <w:rsid w:val="00EA390C"/>
    <w:rsid w:val="00EA58B2"/>
    <w:rsid w:val="00ED2524"/>
    <w:rsid w:val="00ED27D8"/>
    <w:rsid w:val="00ED3070"/>
    <w:rsid w:val="00EE1D5B"/>
    <w:rsid w:val="00EE6A79"/>
    <w:rsid w:val="00EF3F59"/>
    <w:rsid w:val="00EF400F"/>
    <w:rsid w:val="00F05E36"/>
    <w:rsid w:val="00F063A0"/>
    <w:rsid w:val="00F06E32"/>
    <w:rsid w:val="00F23878"/>
    <w:rsid w:val="00F25C9A"/>
    <w:rsid w:val="00F276BD"/>
    <w:rsid w:val="00F2771F"/>
    <w:rsid w:val="00F32CB3"/>
    <w:rsid w:val="00F57E85"/>
    <w:rsid w:val="00F60C57"/>
    <w:rsid w:val="00F70935"/>
    <w:rsid w:val="00F8223F"/>
    <w:rsid w:val="00F84896"/>
    <w:rsid w:val="00FB1FEF"/>
    <w:rsid w:val="00FC0C55"/>
    <w:rsid w:val="00FD0D4B"/>
    <w:rsid w:val="00FF1DED"/>
    <w:rsid w:val="00FF2D18"/>
    <w:rsid w:val="01331D5A"/>
    <w:rsid w:val="01C56219"/>
    <w:rsid w:val="01D5613C"/>
    <w:rsid w:val="01F002E6"/>
    <w:rsid w:val="02584179"/>
    <w:rsid w:val="02596078"/>
    <w:rsid w:val="02694E74"/>
    <w:rsid w:val="02945BC9"/>
    <w:rsid w:val="02F90A9A"/>
    <w:rsid w:val="03175B48"/>
    <w:rsid w:val="044A3305"/>
    <w:rsid w:val="05D429DE"/>
    <w:rsid w:val="05ED58B4"/>
    <w:rsid w:val="06D1535C"/>
    <w:rsid w:val="070D02E5"/>
    <w:rsid w:val="073C43CC"/>
    <w:rsid w:val="075438F4"/>
    <w:rsid w:val="07CE6CCB"/>
    <w:rsid w:val="097D5363"/>
    <w:rsid w:val="0A466D0C"/>
    <w:rsid w:val="0AE2570F"/>
    <w:rsid w:val="0C076B85"/>
    <w:rsid w:val="0C193561"/>
    <w:rsid w:val="0C456161"/>
    <w:rsid w:val="0C556899"/>
    <w:rsid w:val="0CE54138"/>
    <w:rsid w:val="0D7F741E"/>
    <w:rsid w:val="0DEB1BBD"/>
    <w:rsid w:val="0E732E15"/>
    <w:rsid w:val="0EA417E3"/>
    <w:rsid w:val="0EE96E00"/>
    <w:rsid w:val="10B14385"/>
    <w:rsid w:val="10D93C93"/>
    <w:rsid w:val="10E22875"/>
    <w:rsid w:val="10F33289"/>
    <w:rsid w:val="116D24E7"/>
    <w:rsid w:val="12F3171A"/>
    <w:rsid w:val="13AB2E0D"/>
    <w:rsid w:val="13D5237C"/>
    <w:rsid w:val="13EC2219"/>
    <w:rsid w:val="15367EF7"/>
    <w:rsid w:val="154A4F8D"/>
    <w:rsid w:val="15753933"/>
    <w:rsid w:val="15AD6A4A"/>
    <w:rsid w:val="16153B61"/>
    <w:rsid w:val="16A64096"/>
    <w:rsid w:val="172E25EF"/>
    <w:rsid w:val="17AD21EA"/>
    <w:rsid w:val="187355CC"/>
    <w:rsid w:val="18770CAB"/>
    <w:rsid w:val="19FB1C01"/>
    <w:rsid w:val="1BD505F2"/>
    <w:rsid w:val="1CD47520"/>
    <w:rsid w:val="1EBD0FE4"/>
    <w:rsid w:val="2009615F"/>
    <w:rsid w:val="20304856"/>
    <w:rsid w:val="215D514D"/>
    <w:rsid w:val="2194648B"/>
    <w:rsid w:val="219E1512"/>
    <w:rsid w:val="232C5F37"/>
    <w:rsid w:val="24F029D2"/>
    <w:rsid w:val="25C45A5E"/>
    <w:rsid w:val="26A06F11"/>
    <w:rsid w:val="26A36A74"/>
    <w:rsid w:val="27FD1A24"/>
    <w:rsid w:val="28237BA4"/>
    <w:rsid w:val="284F1DC9"/>
    <w:rsid w:val="28800B38"/>
    <w:rsid w:val="288A4CC3"/>
    <w:rsid w:val="29122426"/>
    <w:rsid w:val="292C31C9"/>
    <w:rsid w:val="29A44CC5"/>
    <w:rsid w:val="2A1711BC"/>
    <w:rsid w:val="2A1E259A"/>
    <w:rsid w:val="2AF26DA1"/>
    <w:rsid w:val="2AFE0125"/>
    <w:rsid w:val="2C2E6447"/>
    <w:rsid w:val="2C5F0A55"/>
    <w:rsid w:val="2CE8705E"/>
    <w:rsid w:val="2D48036F"/>
    <w:rsid w:val="2D716E28"/>
    <w:rsid w:val="3265385D"/>
    <w:rsid w:val="326D141B"/>
    <w:rsid w:val="343D4582"/>
    <w:rsid w:val="350C1965"/>
    <w:rsid w:val="35174865"/>
    <w:rsid w:val="365C126F"/>
    <w:rsid w:val="367349BC"/>
    <w:rsid w:val="36F96A97"/>
    <w:rsid w:val="3B234DC8"/>
    <w:rsid w:val="3D090424"/>
    <w:rsid w:val="3D2127F0"/>
    <w:rsid w:val="3E756130"/>
    <w:rsid w:val="3E792B20"/>
    <w:rsid w:val="3F6F7C86"/>
    <w:rsid w:val="40A37DA8"/>
    <w:rsid w:val="40C72650"/>
    <w:rsid w:val="41A439FE"/>
    <w:rsid w:val="41E22DC7"/>
    <w:rsid w:val="428F7169"/>
    <w:rsid w:val="42B3061F"/>
    <w:rsid w:val="42F2126C"/>
    <w:rsid w:val="434828C1"/>
    <w:rsid w:val="445D5F15"/>
    <w:rsid w:val="446F4C81"/>
    <w:rsid w:val="44E0275B"/>
    <w:rsid w:val="456C442E"/>
    <w:rsid w:val="45CF6B25"/>
    <w:rsid w:val="460B7941"/>
    <w:rsid w:val="46890337"/>
    <w:rsid w:val="46F90908"/>
    <w:rsid w:val="475816CB"/>
    <w:rsid w:val="478B4A59"/>
    <w:rsid w:val="480B2C86"/>
    <w:rsid w:val="482E3ED1"/>
    <w:rsid w:val="483D3A2C"/>
    <w:rsid w:val="489213A1"/>
    <w:rsid w:val="48FE68E1"/>
    <w:rsid w:val="495B5400"/>
    <w:rsid w:val="49C225CF"/>
    <w:rsid w:val="49F4224F"/>
    <w:rsid w:val="4ACC3D80"/>
    <w:rsid w:val="4B450FC6"/>
    <w:rsid w:val="4B4D45A8"/>
    <w:rsid w:val="4BC576B0"/>
    <w:rsid w:val="4BE8197A"/>
    <w:rsid w:val="4C785B6C"/>
    <w:rsid w:val="4CA80AF0"/>
    <w:rsid w:val="4D255543"/>
    <w:rsid w:val="4E4A7242"/>
    <w:rsid w:val="4EB82020"/>
    <w:rsid w:val="4EBC1EFB"/>
    <w:rsid w:val="4F261755"/>
    <w:rsid w:val="5160437B"/>
    <w:rsid w:val="51DE235A"/>
    <w:rsid w:val="522237B5"/>
    <w:rsid w:val="523B5649"/>
    <w:rsid w:val="53977BC3"/>
    <w:rsid w:val="54687E3F"/>
    <w:rsid w:val="546B0B19"/>
    <w:rsid w:val="55394C8A"/>
    <w:rsid w:val="57217091"/>
    <w:rsid w:val="583C7FA9"/>
    <w:rsid w:val="583E5FD6"/>
    <w:rsid w:val="58945E3A"/>
    <w:rsid w:val="594E2E8B"/>
    <w:rsid w:val="597772B9"/>
    <w:rsid w:val="5B0F2412"/>
    <w:rsid w:val="5B340051"/>
    <w:rsid w:val="5D4D756D"/>
    <w:rsid w:val="5DA24E17"/>
    <w:rsid w:val="5E1C0956"/>
    <w:rsid w:val="5EE27AA2"/>
    <w:rsid w:val="6087075C"/>
    <w:rsid w:val="60A10242"/>
    <w:rsid w:val="61AF1147"/>
    <w:rsid w:val="61D46E29"/>
    <w:rsid w:val="626F3AAB"/>
    <w:rsid w:val="629966D9"/>
    <w:rsid w:val="63FB5E29"/>
    <w:rsid w:val="64F767ED"/>
    <w:rsid w:val="655A325E"/>
    <w:rsid w:val="66F22092"/>
    <w:rsid w:val="671B0295"/>
    <w:rsid w:val="68653AA3"/>
    <w:rsid w:val="687B3C27"/>
    <w:rsid w:val="687D3777"/>
    <w:rsid w:val="68BC49BD"/>
    <w:rsid w:val="68FB084D"/>
    <w:rsid w:val="69192312"/>
    <w:rsid w:val="699021B3"/>
    <w:rsid w:val="6CAA43B3"/>
    <w:rsid w:val="6D201C56"/>
    <w:rsid w:val="6D5B1C21"/>
    <w:rsid w:val="6E1961C0"/>
    <w:rsid w:val="6EA61A6A"/>
    <w:rsid w:val="6EB94208"/>
    <w:rsid w:val="6ED04B50"/>
    <w:rsid w:val="6F2B6D0F"/>
    <w:rsid w:val="6F657145"/>
    <w:rsid w:val="70770123"/>
    <w:rsid w:val="70796B5F"/>
    <w:rsid w:val="710F35DD"/>
    <w:rsid w:val="716259A9"/>
    <w:rsid w:val="71D072DA"/>
    <w:rsid w:val="765E2E38"/>
    <w:rsid w:val="768801F9"/>
    <w:rsid w:val="76C974A1"/>
    <w:rsid w:val="77936E43"/>
    <w:rsid w:val="77DC5CEC"/>
    <w:rsid w:val="78BB3CD4"/>
    <w:rsid w:val="78EE0B2B"/>
    <w:rsid w:val="7B0B4865"/>
    <w:rsid w:val="7B186783"/>
    <w:rsid w:val="7B231963"/>
    <w:rsid w:val="7B3B6393"/>
    <w:rsid w:val="7B76412B"/>
    <w:rsid w:val="7BD73311"/>
    <w:rsid w:val="7CB654CD"/>
    <w:rsid w:val="7E2A53E0"/>
    <w:rsid w:val="7E612BED"/>
    <w:rsid w:val="7E80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1"/>
    <w:qFormat/>
    <w:uiPriority w:val="0"/>
    <w:pPr>
      <w:keepNext/>
      <w:tabs>
        <w:tab w:val="left" w:pos="360"/>
      </w:tabs>
      <w:ind w:left="360" w:hanging="360"/>
      <w:outlineLvl w:val="0"/>
    </w:pPr>
    <w:rPr>
      <w:b/>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5"/>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6"/>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7"/>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8"/>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9"/>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table of authorities"/>
    <w:basedOn w:val="1"/>
    <w:next w:val="1"/>
    <w:unhideWhenUsed/>
    <w:qFormat/>
    <w:uiPriority w:val="99"/>
    <w:pPr>
      <w:ind w:left="420" w:leftChars="200"/>
    </w:pPr>
  </w:style>
  <w:style w:type="paragraph" w:styleId="14">
    <w:name w:val="Normal Indent"/>
    <w:basedOn w:val="1"/>
    <w:link w:val="60"/>
    <w:qFormat/>
    <w:uiPriority w:val="0"/>
    <w:pPr>
      <w:ind w:firstLine="420" w:firstLineChars="200"/>
    </w:pPr>
    <w:rPr>
      <w:rFonts w:asciiTheme="minorHAnsi" w:hAnsiTheme="minorHAnsi" w:eastAsiaTheme="minorEastAsia" w:cstheme="minorBidi"/>
      <w:szCs w:val="24"/>
    </w:r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61"/>
    <w:qFormat/>
    <w:uiPriority w:val="0"/>
    <w:pPr>
      <w:shd w:val="clear" w:color="auto" w:fill="000080"/>
    </w:pPr>
    <w:rPr>
      <w:rFonts w:asciiTheme="minorHAnsi" w:hAnsiTheme="minorHAnsi" w:eastAsiaTheme="minorEastAsia" w:cstheme="minorBidi"/>
      <w:szCs w:val="22"/>
    </w:rPr>
  </w:style>
  <w:style w:type="paragraph" w:styleId="17">
    <w:name w:val="annotation text"/>
    <w:basedOn w:val="1"/>
    <w:link w:val="132"/>
    <w:qFormat/>
    <w:uiPriority w:val="99"/>
    <w:pPr>
      <w:keepLines/>
      <w:widowControl/>
      <w:spacing w:line="200" w:lineRule="atLeast"/>
      <w:ind w:firstLine="460" w:firstLineChars="200"/>
    </w:pPr>
    <w:rPr>
      <w:rFonts w:eastAsiaTheme="minorEastAsia" w:cstheme="minorBidi"/>
      <w:spacing w:val="-5"/>
      <w:kern w:val="0"/>
      <w:sz w:val="16"/>
    </w:rPr>
  </w:style>
  <w:style w:type="paragraph" w:styleId="18">
    <w:name w:val="Salutation"/>
    <w:basedOn w:val="1"/>
    <w:next w:val="1"/>
    <w:link w:val="62"/>
    <w:qFormat/>
    <w:uiPriority w:val="0"/>
    <w:rPr>
      <w:rFonts w:ascii="宋体"/>
      <w:b/>
      <w:sz w:val="28"/>
    </w:rPr>
  </w:style>
  <w:style w:type="paragraph" w:styleId="19">
    <w:name w:val="Body Text"/>
    <w:basedOn w:val="1"/>
    <w:link w:val="50"/>
    <w:qFormat/>
    <w:uiPriority w:val="99"/>
    <w:rPr>
      <w:rFonts w:ascii="Arial" w:hAnsi="Arial" w:cs="Arial" w:eastAsiaTheme="minorEastAsia"/>
      <w:sz w:val="24"/>
      <w:szCs w:val="22"/>
    </w:rPr>
  </w:style>
  <w:style w:type="paragraph" w:styleId="20">
    <w:name w:val="Body Text Indent"/>
    <w:basedOn w:val="1"/>
    <w:link w:val="63"/>
    <w:qFormat/>
    <w:uiPriority w:val="0"/>
    <w:pPr>
      <w:ind w:firstLine="480"/>
    </w:pPr>
    <w:rPr>
      <w:rFonts w:ascii="宋体" w:hAnsi="宋体"/>
      <w:sz w:val="24"/>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0"/>
    <w:pPr>
      <w:ind w:left="840" w:leftChars="400"/>
    </w:pPr>
  </w:style>
  <w:style w:type="paragraph" w:styleId="23">
    <w:name w:val="Plain Text"/>
    <w:basedOn w:val="1"/>
    <w:link w:val="64"/>
    <w:qFormat/>
    <w:uiPriority w:val="0"/>
    <w:rPr>
      <w:rFonts w:ascii="宋体" w:hAnsi="Courier New" w:cstheme="minorBidi"/>
      <w:szCs w:val="22"/>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65"/>
    <w:qFormat/>
    <w:uiPriority w:val="99"/>
    <w:pPr>
      <w:ind w:left="100"/>
    </w:pPr>
    <w:rPr>
      <w:sz w:val="24"/>
    </w:rPr>
  </w:style>
  <w:style w:type="paragraph" w:styleId="26">
    <w:name w:val="Body Text Indent 2"/>
    <w:basedOn w:val="1"/>
    <w:link w:val="66"/>
    <w:qFormat/>
    <w:uiPriority w:val="99"/>
    <w:pPr>
      <w:ind w:firstLine="435"/>
    </w:pPr>
    <w:rPr>
      <w:rFonts w:ascii="宋体" w:hAnsi="宋体" w:eastAsiaTheme="minorEastAsia" w:cstheme="minorBidi"/>
      <w:sz w:val="24"/>
      <w:szCs w:val="22"/>
    </w:rPr>
  </w:style>
  <w:style w:type="paragraph" w:styleId="27">
    <w:name w:val="Balloon Text"/>
    <w:basedOn w:val="1"/>
    <w:link w:val="67"/>
    <w:qFormat/>
    <w:uiPriority w:val="99"/>
    <w:rPr>
      <w:sz w:val="18"/>
      <w:szCs w:val="18"/>
    </w:rPr>
  </w:style>
  <w:style w:type="paragraph" w:styleId="28">
    <w:name w:val="footer"/>
    <w:basedOn w:val="1"/>
    <w:link w:val="68"/>
    <w:unhideWhenUsed/>
    <w:qFormat/>
    <w:uiPriority w:val="0"/>
    <w:pPr>
      <w:tabs>
        <w:tab w:val="center" w:pos="4153"/>
        <w:tab w:val="right" w:pos="8306"/>
      </w:tabs>
      <w:snapToGrid w:val="0"/>
      <w:jc w:val="left"/>
    </w:pPr>
    <w:rPr>
      <w:sz w:val="18"/>
      <w:szCs w:val="18"/>
    </w:rPr>
  </w:style>
  <w:style w:type="paragraph" w:styleId="29">
    <w:name w:val="header"/>
    <w:basedOn w:val="1"/>
    <w:link w:val="69"/>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unhideWhenUsed/>
    <w:qFormat/>
    <w:uiPriority w:val="39"/>
    <w:pPr>
      <w:spacing w:line="360" w:lineRule="auto"/>
      <w:ind w:left="1260" w:leftChars="600" w:firstLine="200" w:firstLineChars="200"/>
    </w:pPr>
    <w:rPr>
      <w:rFonts w:ascii="Calibri" w:hAnsi="Calibri"/>
      <w:sz w:val="24"/>
      <w:szCs w:val="22"/>
    </w:rPr>
  </w:style>
  <w:style w:type="paragraph" w:styleId="32">
    <w:name w:val="toc 6"/>
    <w:basedOn w:val="1"/>
    <w:next w:val="1"/>
    <w:unhideWhenUsed/>
    <w:qFormat/>
    <w:uiPriority w:val="39"/>
    <w:pPr>
      <w:ind w:left="2100" w:leftChars="1000"/>
    </w:pPr>
    <w:rPr>
      <w:rFonts w:ascii="Calibri" w:hAnsi="Calibri"/>
      <w:szCs w:val="22"/>
    </w:rPr>
  </w:style>
  <w:style w:type="paragraph" w:styleId="33">
    <w:name w:val="Body Text Indent 3"/>
    <w:basedOn w:val="1"/>
    <w:link w:val="70"/>
    <w:qFormat/>
    <w:uiPriority w:val="0"/>
    <w:pPr>
      <w:ind w:left="471" w:hanging="471" w:hangingChars="200"/>
    </w:pPr>
    <w:rPr>
      <w:rFonts w:ascii="Arial" w:hAnsi="Arial" w:cs="Arial"/>
      <w:b/>
      <w:bCs/>
      <w:sz w:val="24"/>
    </w:rPr>
  </w:style>
  <w:style w:type="paragraph" w:styleId="34">
    <w:name w:val="toc 2"/>
    <w:basedOn w:val="1"/>
    <w:next w:val="1"/>
    <w:qFormat/>
    <w:uiPriority w:val="0"/>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Body Text 2"/>
    <w:basedOn w:val="1"/>
    <w:link w:val="71"/>
    <w:qFormat/>
    <w:uiPriority w:val="0"/>
    <w:pPr>
      <w:spacing w:line="360" w:lineRule="auto"/>
    </w:pPr>
    <w:rPr>
      <w:b/>
      <w:sz w:val="28"/>
      <w:szCs w:val="21"/>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120" w:after="120" w:line="360" w:lineRule="auto"/>
      <w:jc w:val="left"/>
      <w:textAlignment w:val="baseline"/>
    </w:pPr>
    <w:rPr>
      <w:rFonts w:hint="eastAsia" w:ascii="宋体" w:hAnsi="宋体"/>
      <w:kern w:val="0"/>
      <w:sz w:val="28"/>
      <w:szCs w:val="24"/>
    </w:rPr>
  </w:style>
  <w:style w:type="paragraph" w:styleId="38">
    <w:name w:val="Normal (Web)"/>
    <w:basedOn w:val="1"/>
    <w:link w:val="72"/>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9">
    <w:name w:val="Body Text First Indent"/>
    <w:basedOn w:val="19"/>
    <w:link w:val="73"/>
    <w:qFormat/>
    <w:uiPriority w:val="0"/>
    <w:pPr>
      <w:spacing w:after="120"/>
      <w:ind w:firstLine="420" w:firstLineChars="100"/>
    </w:pPr>
  </w:style>
  <w:style w:type="table" w:styleId="41">
    <w:name w:val="Table Grid"/>
    <w:basedOn w:val="4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33"/>
    </w:rPr>
  </w:style>
  <w:style w:type="character" w:styleId="47">
    <w:name w:val="Hyperlink"/>
    <w:basedOn w:val="42"/>
    <w:qFormat/>
    <w:uiPriority w:val="99"/>
    <w:rPr>
      <w:color w:val="0000FF"/>
      <w:u w:val="single"/>
    </w:rPr>
  </w:style>
  <w:style w:type="character" w:styleId="48">
    <w:name w:val="annotation reference"/>
    <w:basedOn w:val="42"/>
    <w:unhideWhenUsed/>
    <w:qFormat/>
    <w:uiPriority w:val="99"/>
    <w:rPr>
      <w:sz w:val="21"/>
      <w:szCs w:val="21"/>
    </w:rPr>
  </w:style>
  <w:style w:type="character" w:styleId="49">
    <w:name w:val="HTML Sample"/>
    <w:basedOn w:val="42"/>
    <w:semiHidden/>
    <w:unhideWhenUsed/>
    <w:qFormat/>
    <w:uiPriority w:val="99"/>
    <w:rPr>
      <w:rFonts w:ascii="宋体" w:hAnsi="宋体" w:eastAsia="宋体" w:cs="宋体"/>
    </w:rPr>
  </w:style>
  <w:style w:type="character" w:customStyle="1" w:styleId="50">
    <w:name w:val="正文文本 Char1"/>
    <w:basedOn w:val="42"/>
    <w:link w:val="19"/>
    <w:qFormat/>
    <w:uiPriority w:val="99"/>
    <w:rPr>
      <w:rFonts w:ascii="Arial" w:hAnsi="Arial" w:cs="Arial"/>
      <w:sz w:val="24"/>
    </w:rPr>
  </w:style>
  <w:style w:type="character" w:customStyle="1" w:styleId="51">
    <w:name w:val="标题 1 Char"/>
    <w:basedOn w:val="42"/>
    <w:link w:val="3"/>
    <w:qFormat/>
    <w:uiPriority w:val="0"/>
    <w:rPr>
      <w:rFonts w:ascii="Times New Roman" w:hAnsi="Times New Roman" w:eastAsia="宋体" w:cs="Times New Roman"/>
      <w:b/>
      <w:szCs w:val="20"/>
    </w:rPr>
  </w:style>
  <w:style w:type="character" w:customStyle="1" w:styleId="52">
    <w:name w:val="标题 2 Char"/>
    <w:basedOn w:val="42"/>
    <w:link w:val="4"/>
    <w:qFormat/>
    <w:uiPriority w:val="0"/>
    <w:rPr>
      <w:rFonts w:ascii="Arial" w:hAnsi="Arial" w:eastAsia="黑体" w:cs="Times New Roman"/>
      <w:b/>
      <w:sz w:val="32"/>
      <w:szCs w:val="20"/>
    </w:rPr>
  </w:style>
  <w:style w:type="character" w:customStyle="1" w:styleId="53">
    <w:name w:val="标题 3 Char"/>
    <w:basedOn w:val="42"/>
    <w:link w:val="5"/>
    <w:qFormat/>
    <w:uiPriority w:val="9"/>
    <w:rPr>
      <w:rFonts w:ascii="Times New Roman" w:hAnsi="Times New Roman" w:eastAsia="宋体" w:cs="Times New Roman"/>
      <w:b/>
      <w:bCs/>
      <w:sz w:val="32"/>
      <w:szCs w:val="32"/>
    </w:rPr>
  </w:style>
  <w:style w:type="character" w:customStyle="1" w:styleId="54">
    <w:name w:val="标题 4 Char"/>
    <w:basedOn w:val="42"/>
    <w:link w:val="6"/>
    <w:qFormat/>
    <w:uiPriority w:val="0"/>
    <w:rPr>
      <w:rFonts w:ascii="Arial" w:hAnsi="Arial" w:eastAsia="黑体" w:cs="Times New Roman"/>
      <w:b/>
      <w:bCs/>
      <w:sz w:val="28"/>
      <w:szCs w:val="28"/>
    </w:rPr>
  </w:style>
  <w:style w:type="character" w:customStyle="1" w:styleId="55">
    <w:name w:val="标题 5 Char"/>
    <w:basedOn w:val="42"/>
    <w:link w:val="7"/>
    <w:qFormat/>
    <w:uiPriority w:val="0"/>
    <w:rPr>
      <w:rFonts w:ascii="Times New Roman" w:hAnsi="Times New Roman" w:eastAsia="宋体" w:cs="Times New Roman"/>
      <w:b/>
      <w:sz w:val="28"/>
      <w:szCs w:val="20"/>
    </w:rPr>
  </w:style>
  <w:style w:type="character" w:customStyle="1" w:styleId="56">
    <w:name w:val="标题 6 Char"/>
    <w:basedOn w:val="42"/>
    <w:link w:val="8"/>
    <w:qFormat/>
    <w:uiPriority w:val="0"/>
    <w:rPr>
      <w:rFonts w:ascii="Arial" w:hAnsi="Arial" w:eastAsia="黑体" w:cs="Times New Roman"/>
      <w:b/>
      <w:sz w:val="24"/>
      <w:szCs w:val="20"/>
    </w:rPr>
  </w:style>
  <w:style w:type="character" w:customStyle="1" w:styleId="57">
    <w:name w:val="标题 7 Char"/>
    <w:basedOn w:val="42"/>
    <w:link w:val="9"/>
    <w:qFormat/>
    <w:uiPriority w:val="0"/>
    <w:rPr>
      <w:rFonts w:ascii="Times New Roman" w:hAnsi="Times New Roman" w:eastAsia="宋体" w:cs="Times New Roman"/>
      <w:b/>
      <w:sz w:val="24"/>
      <w:szCs w:val="20"/>
    </w:rPr>
  </w:style>
  <w:style w:type="character" w:customStyle="1" w:styleId="58">
    <w:name w:val="标题 8 Char"/>
    <w:basedOn w:val="42"/>
    <w:link w:val="10"/>
    <w:qFormat/>
    <w:uiPriority w:val="0"/>
    <w:rPr>
      <w:rFonts w:ascii="Arial" w:hAnsi="Arial" w:eastAsia="黑体" w:cs="Times New Roman"/>
      <w:sz w:val="24"/>
      <w:szCs w:val="20"/>
    </w:rPr>
  </w:style>
  <w:style w:type="character" w:customStyle="1" w:styleId="59">
    <w:name w:val="标题 9 Char"/>
    <w:basedOn w:val="42"/>
    <w:link w:val="11"/>
    <w:qFormat/>
    <w:uiPriority w:val="0"/>
    <w:rPr>
      <w:rFonts w:ascii="Arial" w:hAnsi="Arial" w:eastAsia="黑体" w:cs="Times New Roman"/>
      <w:szCs w:val="20"/>
    </w:rPr>
  </w:style>
  <w:style w:type="character" w:customStyle="1" w:styleId="60">
    <w:name w:val="正文缩进 Char"/>
    <w:link w:val="14"/>
    <w:qFormat/>
    <w:uiPriority w:val="0"/>
    <w:rPr>
      <w:szCs w:val="24"/>
    </w:rPr>
  </w:style>
  <w:style w:type="character" w:customStyle="1" w:styleId="61">
    <w:name w:val="文档结构图 Char1"/>
    <w:basedOn w:val="42"/>
    <w:link w:val="16"/>
    <w:qFormat/>
    <w:uiPriority w:val="0"/>
    <w:rPr>
      <w:shd w:val="clear" w:color="auto" w:fill="000080"/>
    </w:rPr>
  </w:style>
  <w:style w:type="character" w:customStyle="1" w:styleId="62">
    <w:name w:val="称呼 Char"/>
    <w:basedOn w:val="42"/>
    <w:link w:val="18"/>
    <w:qFormat/>
    <w:uiPriority w:val="0"/>
    <w:rPr>
      <w:rFonts w:ascii="宋体" w:hAnsi="Times New Roman" w:eastAsia="宋体" w:cs="Times New Roman"/>
      <w:b/>
      <w:sz w:val="28"/>
      <w:szCs w:val="20"/>
    </w:rPr>
  </w:style>
  <w:style w:type="character" w:customStyle="1" w:styleId="63">
    <w:name w:val="正文文本缩进 Char"/>
    <w:basedOn w:val="42"/>
    <w:link w:val="20"/>
    <w:qFormat/>
    <w:uiPriority w:val="0"/>
    <w:rPr>
      <w:rFonts w:ascii="宋体" w:hAnsi="宋体" w:eastAsia="宋体" w:cs="Times New Roman"/>
      <w:sz w:val="24"/>
      <w:szCs w:val="20"/>
    </w:rPr>
  </w:style>
  <w:style w:type="character" w:customStyle="1" w:styleId="64">
    <w:name w:val="纯文本 Char1"/>
    <w:basedOn w:val="42"/>
    <w:link w:val="23"/>
    <w:qFormat/>
    <w:uiPriority w:val="0"/>
    <w:rPr>
      <w:rFonts w:ascii="宋体" w:hAnsi="Courier New" w:eastAsia="宋体"/>
    </w:rPr>
  </w:style>
  <w:style w:type="character" w:customStyle="1" w:styleId="65">
    <w:name w:val="日期 Char"/>
    <w:basedOn w:val="42"/>
    <w:link w:val="25"/>
    <w:qFormat/>
    <w:uiPriority w:val="99"/>
    <w:rPr>
      <w:rFonts w:ascii="Times New Roman" w:hAnsi="Times New Roman" w:eastAsia="宋体" w:cs="Times New Roman"/>
      <w:sz w:val="24"/>
      <w:szCs w:val="20"/>
    </w:rPr>
  </w:style>
  <w:style w:type="character" w:customStyle="1" w:styleId="66">
    <w:name w:val="正文文本缩进 2 Char1"/>
    <w:basedOn w:val="42"/>
    <w:link w:val="26"/>
    <w:qFormat/>
    <w:uiPriority w:val="99"/>
    <w:rPr>
      <w:rFonts w:ascii="宋体" w:hAnsi="宋体"/>
      <w:sz w:val="24"/>
    </w:rPr>
  </w:style>
  <w:style w:type="character" w:customStyle="1" w:styleId="67">
    <w:name w:val="批注框文本 Char"/>
    <w:basedOn w:val="42"/>
    <w:link w:val="27"/>
    <w:semiHidden/>
    <w:qFormat/>
    <w:uiPriority w:val="99"/>
    <w:rPr>
      <w:rFonts w:ascii="Times New Roman" w:hAnsi="Times New Roman" w:eastAsia="宋体" w:cs="Times New Roman"/>
      <w:sz w:val="18"/>
      <w:szCs w:val="18"/>
    </w:rPr>
  </w:style>
  <w:style w:type="character" w:customStyle="1" w:styleId="68">
    <w:name w:val="页脚 Char"/>
    <w:basedOn w:val="42"/>
    <w:link w:val="28"/>
    <w:qFormat/>
    <w:uiPriority w:val="0"/>
    <w:rPr>
      <w:rFonts w:ascii="Times New Roman" w:hAnsi="Times New Roman" w:eastAsia="宋体" w:cs="Times New Roman"/>
      <w:sz w:val="18"/>
      <w:szCs w:val="18"/>
    </w:rPr>
  </w:style>
  <w:style w:type="character" w:customStyle="1" w:styleId="69">
    <w:name w:val="页眉 Char"/>
    <w:basedOn w:val="42"/>
    <w:link w:val="29"/>
    <w:qFormat/>
    <w:uiPriority w:val="0"/>
    <w:rPr>
      <w:rFonts w:ascii="Times New Roman" w:hAnsi="Times New Roman" w:eastAsia="宋体" w:cs="Times New Roman"/>
      <w:sz w:val="18"/>
      <w:szCs w:val="18"/>
    </w:rPr>
  </w:style>
  <w:style w:type="character" w:customStyle="1" w:styleId="70">
    <w:name w:val="正文文本缩进 3 Char"/>
    <w:basedOn w:val="42"/>
    <w:link w:val="33"/>
    <w:qFormat/>
    <w:uiPriority w:val="0"/>
    <w:rPr>
      <w:rFonts w:ascii="Arial" w:hAnsi="Arial" w:eastAsia="宋体" w:cs="Arial"/>
      <w:b/>
      <w:bCs/>
      <w:sz w:val="24"/>
      <w:szCs w:val="20"/>
    </w:rPr>
  </w:style>
  <w:style w:type="character" w:customStyle="1" w:styleId="71">
    <w:name w:val="正文文本 2 Char"/>
    <w:basedOn w:val="42"/>
    <w:link w:val="36"/>
    <w:qFormat/>
    <w:uiPriority w:val="0"/>
    <w:rPr>
      <w:rFonts w:ascii="Times New Roman" w:hAnsi="Times New Roman" w:eastAsia="宋体" w:cs="Times New Roman"/>
      <w:b/>
      <w:sz w:val="28"/>
      <w:szCs w:val="21"/>
    </w:rPr>
  </w:style>
  <w:style w:type="character" w:customStyle="1" w:styleId="72">
    <w:name w:val="普通(网站) Char"/>
    <w:link w:val="38"/>
    <w:qFormat/>
    <w:uiPriority w:val="99"/>
    <w:rPr>
      <w:rFonts w:ascii="Arial Unicode MS" w:hAnsi="Arial Unicode MS" w:eastAsia="Arial Unicode MS" w:cs="Arial Unicode MS"/>
      <w:kern w:val="0"/>
      <w:sz w:val="24"/>
      <w:szCs w:val="24"/>
    </w:rPr>
  </w:style>
  <w:style w:type="character" w:customStyle="1" w:styleId="73">
    <w:name w:val="正文首行缩进 Char1"/>
    <w:basedOn w:val="50"/>
    <w:link w:val="39"/>
    <w:qFormat/>
    <w:uiPriority w:val="99"/>
    <w:rPr>
      <w:rFonts w:ascii="Arial" w:hAnsi="Arial" w:cs="Arial"/>
      <w:sz w:val="24"/>
    </w:rPr>
  </w:style>
  <w:style w:type="character" w:customStyle="1" w:styleId="74">
    <w:name w:val="文档结构图 Char"/>
    <w:basedOn w:val="42"/>
    <w:qFormat/>
    <w:uiPriority w:val="0"/>
    <w:rPr>
      <w:rFonts w:ascii="宋体" w:hAnsi="Times New Roman" w:eastAsia="宋体" w:cs="Times New Roman"/>
      <w:sz w:val="18"/>
      <w:szCs w:val="18"/>
    </w:rPr>
  </w:style>
  <w:style w:type="character" w:customStyle="1" w:styleId="75">
    <w:name w:val="正文文本 Char"/>
    <w:basedOn w:val="42"/>
    <w:qFormat/>
    <w:uiPriority w:val="99"/>
    <w:rPr>
      <w:rFonts w:ascii="Times New Roman" w:hAnsi="Times New Roman" w:eastAsia="宋体" w:cs="Times New Roman"/>
      <w:szCs w:val="20"/>
    </w:rPr>
  </w:style>
  <w:style w:type="character" w:customStyle="1" w:styleId="76">
    <w:name w:val="纯文本 Char"/>
    <w:basedOn w:val="42"/>
    <w:qFormat/>
    <w:uiPriority w:val="0"/>
    <w:rPr>
      <w:rFonts w:ascii="宋体" w:hAnsi="Courier New" w:eastAsia="宋体" w:cs="Courier New"/>
      <w:szCs w:val="21"/>
    </w:rPr>
  </w:style>
  <w:style w:type="character" w:customStyle="1" w:styleId="77">
    <w:name w:val="正文文本缩进 2 Char"/>
    <w:basedOn w:val="42"/>
    <w:qFormat/>
    <w:uiPriority w:val="99"/>
    <w:rPr>
      <w:rFonts w:ascii="Times New Roman" w:hAnsi="Times New Roman" w:eastAsia="宋体" w:cs="Times New Roman"/>
      <w:szCs w:val="20"/>
    </w:rPr>
  </w:style>
  <w:style w:type="character" w:customStyle="1" w:styleId="78">
    <w:name w:val="正文首行缩进 Char"/>
    <w:basedOn w:val="75"/>
    <w:qFormat/>
    <w:uiPriority w:val="0"/>
    <w:rPr>
      <w:rFonts w:ascii="Times New Roman" w:hAnsi="Times New Roman" w:eastAsia="宋体" w:cs="Times New Roman"/>
      <w:szCs w:val="20"/>
    </w:rPr>
  </w:style>
  <w:style w:type="character" w:customStyle="1" w:styleId="79">
    <w:name w:val="p21"/>
    <w:qFormat/>
    <w:uiPriority w:val="0"/>
    <w:rPr>
      <w:rFonts w:hint="default" w:ascii="Arial" w:hAnsi="Arial" w:cs="Arial"/>
      <w:color w:val="333333"/>
      <w:sz w:val="18"/>
      <w:szCs w:val="18"/>
      <w:u w:val="none"/>
    </w:rPr>
  </w:style>
  <w:style w:type="character" w:customStyle="1" w:styleId="80">
    <w:name w:val="font21"/>
    <w:basedOn w:val="42"/>
    <w:qFormat/>
    <w:uiPriority w:val="0"/>
    <w:rPr>
      <w:rFonts w:hint="eastAsia" w:ascii="宋体" w:hAnsi="宋体" w:eastAsia="宋体" w:cs="宋体"/>
      <w:color w:val="000000"/>
      <w:sz w:val="22"/>
      <w:szCs w:val="22"/>
      <w:u w:val="none"/>
    </w:rPr>
  </w:style>
  <w:style w:type="character" w:customStyle="1" w:styleId="81">
    <w:name w:val="所标正文 Char Char"/>
    <w:link w:val="82"/>
    <w:qFormat/>
    <w:uiPriority w:val="0"/>
    <w:rPr>
      <w:rFonts w:ascii="仿宋_GB2312" w:hAnsi="Calibri" w:eastAsia="仿宋_GB2312"/>
      <w:sz w:val="30"/>
      <w:szCs w:val="28"/>
    </w:rPr>
  </w:style>
  <w:style w:type="paragraph" w:customStyle="1" w:styleId="82">
    <w:name w:val="所标正文"/>
    <w:basedOn w:val="1"/>
    <w:link w:val="81"/>
    <w:qFormat/>
    <w:uiPriority w:val="0"/>
    <w:pPr>
      <w:spacing w:line="360" w:lineRule="auto"/>
      <w:ind w:firstLine="200" w:firstLineChars="200"/>
    </w:pPr>
    <w:rPr>
      <w:rFonts w:ascii="仿宋_GB2312" w:hAnsi="Calibri" w:eastAsia="仿宋_GB2312" w:cstheme="minorBidi"/>
      <w:sz w:val="30"/>
      <w:szCs w:val="28"/>
    </w:rPr>
  </w:style>
  <w:style w:type="character" w:customStyle="1" w:styleId="83">
    <w:name w:val="正文文字 Char1"/>
    <w:link w:val="84"/>
    <w:qFormat/>
    <w:uiPriority w:val="0"/>
    <w:rPr>
      <w:rFonts w:ascii="宋体" w:eastAsia="宋体"/>
      <w:color w:val="000000"/>
      <w:sz w:val="28"/>
      <w:u w:color="000000"/>
    </w:rPr>
  </w:style>
  <w:style w:type="paragraph" w:customStyle="1" w:styleId="84">
    <w:name w:val="正文文字"/>
    <w:basedOn w:val="1"/>
    <w:link w:val="83"/>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85">
    <w:name w:val="marklong"/>
    <w:basedOn w:val="42"/>
    <w:qFormat/>
    <w:uiPriority w:val="0"/>
  </w:style>
  <w:style w:type="character" w:customStyle="1" w:styleId="86">
    <w:name w:val="unnamed1"/>
    <w:basedOn w:val="42"/>
    <w:qFormat/>
    <w:uiPriority w:val="0"/>
  </w:style>
  <w:style w:type="character" w:customStyle="1" w:styleId="87">
    <w:name w:val="css21"/>
    <w:qFormat/>
    <w:uiPriority w:val="0"/>
    <w:rPr>
      <w:sz w:val="18"/>
      <w:szCs w:val="18"/>
    </w:rPr>
  </w:style>
  <w:style w:type="character" w:customStyle="1" w:styleId="88">
    <w:name w:val="font01"/>
    <w:basedOn w:val="42"/>
    <w:qFormat/>
    <w:uiPriority w:val="0"/>
    <w:rPr>
      <w:rFonts w:hint="eastAsia" w:ascii="宋体" w:hAnsi="宋体" w:eastAsia="宋体" w:cs="宋体"/>
      <w:color w:val="000000"/>
      <w:sz w:val="22"/>
      <w:szCs w:val="22"/>
      <w:u w:val="none"/>
    </w:rPr>
  </w:style>
  <w:style w:type="character" w:customStyle="1" w:styleId="89">
    <w:name w:val="纯文本 Char Char Char Char Char Char"/>
    <w:qFormat/>
    <w:locked/>
    <w:uiPriority w:val="0"/>
    <w:rPr>
      <w:rFonts w:ascii="宋体" w:hAnsi="Courier New" w:eastAsia="宋体"/>
      <w:kern w:val="2"/>
      <w:sz w:val="21"/>
      <w:lang w:val="en-US" w:eastAsia="zh-CN" w:bidi="ar-SA"/>
    </w:rPr>
  </w:style>
  <w:style w:type="character" w:customStyle="1" w:styleId="90">
    <w:name w:val="样式 正文缩进 + 首行缩进:  2 字符 Char"/>
    <w:link w:val="91"/>
    <w:qFormat/>
    <w:uiPriority w:val="0"/>
    <w:rPr>
      <w:sz w:val="24"/>
    </w:rPr>
  </w:style>
  <w:style w:type="paragraph" w:customStyle="1" w:styleId="91">
    <w:name w:val="样式 正文缩进 + 首行缩进:  2 字符"/>
    <w:basedOn w:val="14"/>
    <w:link w:val="90"/>
    <w:qFormat/>
    <w:uiPriority w:val="0"/>
    <w:pPr>
      <w:spacing w:line="360" w:lineRule="auto"/>
      <w:ind w:firstLine="200"/>
    </w:pPr>
    <w:rPr>
      <w:sz w:val="24"/>
      <w:szCs w:val="22"/>
    </w:rPr>
  </w:style>
  <w:style w:type="character" w:customStyle="1" w:styleId="92">
    <w:name w:val="标准段落正文 Char"/>
    <w:link w:val="93"/>
    <w:qFormat/>
    <w:uiPriority w:val="0"/>
    <w:rPr>
      <w:rFonts w:cs="宋体"/>
      <w:sz w:val="24"/>
    </w:rPr>
  </w:style>
  <w:style w:type="paragraph" w:customStyle="1" w:styleId="93">
    <w:name w:val="标准段落正文"/>
    <w:basedOn w:val="1"/>
    <w:link w:val="92"/>
    <w:qFormat/>
    <w:uiPriority w:val="0"/>
    <w:pPr>
      <w:spacing w:line="360" w:lineRule="auto"/>
      <w:ind w:firstLine="482"/>
    </w:pPr>
    <w:rPr>
      <w:rFonts w:cs="宋体" w:asciiTheme="minorHAnsi" w:hAnsiTheme="minorHAnsi" w:eastAsiaTheme="minorEastAsia"/>
      <w:sz w:val="24"/>
      <w:szCs w:val="22"/>
    </w:rPr>
  </w:style>
  <w:style w:type="character" w:customStyle="1" w:styleId="94">
    <w:name w:val="正文文字 Char"/>
    <w:qFormat/>
    <w:uiPriority w:val="0"/>
    <w:rPr>
      <w:rFonts w:ascii="Arial" w:hAnsi="Arial" w:eastAsia="宋体" w:cs="Arial"/>
      <w:kern w:val="2"/>
      <w:sz w:val="24"/>
      <w:lang w:val="en-US" w:eastAsia="zh-CN" w:bidi="ar-SA"/>
    </w:rPr>
  </w:style>
  <w:style w:type="character" w:customStyle="1" w:styleId="95">
    <w:name w:val="书籍标题1"/>
    <w:qFormat/>
    <w:uiPriority w:val="0"/>
    <w:rPr>
      <w:b/>
      <w:bCs/>
      <w:smallCaps/>
      <w:spacing w:val="5"/>
    </w:rPr>
  </w:style>
  <w:style w:type="character" w:customStyle="1" w:styleId="96">
    <w:name w:val="con"/>
    <w:qFormat/>
    <w:uiPriority w:val="0"/>
  </w:style>
  <w:style w:type="character" w:customStyle="1" w:styleId="97">
    <w:name w:val="明显参考1"/>
    <w:qFormat/>
    <w:uiPriority w:val="0"/>
    <w:rPr>
      <w:b/>
      <w:bCs/>
      <w:smallCaps/>
      <w:color w:val="C0504D"/>
      <w:spacing w:val="5"/>
      <w:u w:val="single"/>
    </w:rPr>
  </w:style>
  <w:style w:type="character" w:customStyle="1" w:styleId="98">
    <w:name w:val="grame"/>
    <w:basedOn w:val="42"/>
    <w:qFormat/>
    <w:uiPriority w:val="0"/>
  </w:style>
  <w:style w:type="paragraph" w:customStyle="1" w:styleId="99">
    <w:name w:val="列出段落1"/>
    <w:basedOn w:val="1"/>
    <w:qFormat/>
    <w:uiPriority w:val="34"/>
    <w:pPr>
      <w:ind w:firstLine="420" w:firstLineChars="200"/>
    </w:pPr>
    <w:rPr>
      <w:rFonts w:ascii="Calibri" w:hAnsi="Calibri"/>
      <w:szCs w:val="22"/>
    </w:rPr>
  </w:style>
  <w:style w:type="paragraph" w:customStyle="1" w:styleId="100">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101">
    <w:name w:val="Char"/>
    <w:basedOn w:val="1"/>
    <w:semiHidden/>
    <w:qFormat/>
    <w:uiPriority w:val="0"/>
    <w:rPr>
      <w:rFonts w:ascii="Tahoma" w:hAnsi="Tahoma" w:cs="仿宋_GB2312"/>
      <w:sz w:val="24"/>
      <w:szCs w:val="28"/>
    </w:rPr>
  </w:style>
  <w:style w:type="paragraph" w:customStyle="1" w:styleId="102">
    <w:name w:val="正文缩进1"/>
    <w:basedOn w:val="1"/>
    <w:qFormat/>
    <w:uiPriority w:val="0"/>
    <w:pPr>
      <w:ind w:firstLine="420" w:firstLineChars="200"/>
    </w:pPr>
    <w:rPr>
      <w:rFonts w:ascii="Calibri" w:hAnsi="Calibri"/>
    </w:rPr>
  </w:style>
  <w:style w:type="paragraph" w:customStyle="1" w:styleId="103">
    <w:name w:val="条目3"/>
    <w:basedOn w:val="23"/>
    <w:qFormat/>
    <w:uiPriority w:val="0"/>
  </w:style>
  <w:style w:type="paragraph" w:customStyle="1" w:styleId="10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6">
    <w:name w:val="列出段落11"/>
    <w:basedOn w:val="1"/>
    <w:qFormat/>
    <w:uiPriority w:val="0"/>
    <w:pPr>
      <w:ind w:firstLine="420" w:firstLineChars="200"/>
    </w:pPr>
  </w:style>
  <w:style w:type="paragraph" w:customStyle="1" w:styleId="10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首页大标题"/>
    <w:basedOn w:val="82"/>
    <w:qFormat/>
    <w:uiPriority w:val="0"/>
    <w:pPr>
      <w:ind w:firstLine="0" w:firstLineChars="0"/>
      <w:jc w:val="center"/>
    </w:pPr>
    <w:rPr>
      <w:rFonts w:ascii="黑体" w:eastAsia="黑体"/>
      <w:b/>
      <w:sz w:val="52"/>
    </w:rPr>
  </w:style>
  <w:style w:type="paragraph" w:customStyle="1" w:styleId="10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p0"/>
    <w:basedOn w:val="1"/>
    <w:qFormat/>
    <w:uiPriority w:val="0"/>
    <w:pPr>
      <w:widowControl/>
    </w:pPr>
    <w:rPr>
      <w:kern w:val="0"/>
      <w:szCs w:val="21"/>
    </w:rPr>
  </w:style>
  <w:style w:type="paragraph" w:customStyle="1" w:styleId="111">
    <w:name w:val="条目2"/>
    <w:basedOn w:val="23"/>
    <w:qFormat/>
    <w:uiPriority w:val="0"/>
    <w:pPr>
      <w:tabs>
        <w:tab w:val="left" w:pos="420"/>
      </w:tabs>
      <w:spacing w:line="360" w:lineRule="auto"/>
      <w:ind w:left="420" w:hanging="420"/>
    </w:pPr>
    <w:rPr>
      <w:color w:val="000000"/>
      <w:sz w:val="30"/>
    </w:rPr>
  </w:style>
  <w:style w:type="paragraph" w:customStyle="1" w:styleId="112">
    <w:name w:val="1 Char Char Char Char"/>
    <w:basedOn w:val="1"/>
    <w:qFormat/>
    <w:uiPriority w:val="0"/>
    <w:rPr>
      <w:rFonts w:ascii="Tahoma" w:hAnsi="Tahoma"/>
      <w:sz w:val="24"/>
    </w:rPr>
  </w:style>
  <w:style w:type="paragraph" w:styleId="113">
    <w:name w:val="List Paragraph"/>
    <w:basedOn w:val="1"/>
    <w:link w:val="114"/>
    <w:qFormat/>
    <w:uiPriority w:val="34"/>
    <w:pPr>
      <w:ind w:firstLine="420" w:firstLineChars="200"/>
    </w:pPr>
    <w:rPr>
      <w:rFonts w:asciiTheme="minorHAnsi" w:hAnsiTheme="minorHAnsi" w:eastAsiaTheme="minorEastAsia" w:cstheme="minorBidi"/>
      <w:szCs w:val="22"/>
    </w:rPr>
  </w:style>
  <w:style w:type="character" w:customStyle="1" w:styleId="114">
    <w:name w:val="列出段落 Char"/>
    <w:link w:val="113"/>
    <w:qFormat/>
    <w:uiPriority w:val="34"/>
    <w:rPr>
      <w:kern w:val="2"/>
      <w:sz w:val="21"/>
      <w:szCs w:val="22"/>
    </w:rPr>
  </w:style>
  <w:style w:type="paragraph" w:customStyle="1" w:styleId="115">
    <w:name w:val="宋体小四"/>
    <w:basedOn w:val="1"/>
    <w:qFormat/>
    <w:uiPriority w:val="0"/>
    <w:pPr>
      <w:spacing w:line="360" w:lineRule="auto"/>
      <w:ind w:firstLine="480" w:firstLineChars="200"/>
    </w:pPr>
    <w:rPr>
      <w:rFonts w:ascii="Arial" w:hAnsi="Arial"/>
      <w:sz w:val="24"/>
    </w:rPr>
  </w:style>
  <w:style w:type="paragraph" w:customStyle="1" w:styleId="116">
    <w:name w:val="列出段落2"/>
    <w:basedOn w:val="1"/>
    <w:qFormat/>
    <w:uiPriority w:val="34"/>
    <w:pPr>
      <w:ind w:firstLine="420" w:firstLineChars="200"/>
    </w:pPr>
    <w:rPr>
      <w:rFonts w:asciiTheme="minorHAnsi" w:hAnsiTheme="minorHAnsi" w:cstheme="minorBidi"/>
      <w:szCs w:val="24"/>
    </w:rPr>
  </w:style>
  <w:style w:type="paragraph" w:customStyle="1" w:styleId="117">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8">
    <w:name w:val="样式1"/>
    <w:basedOn w:val="5"/>
    <w:qFormat/>
    <w:uiPriority w:val="99"/>
    <w:pPr>
      <w:spacing w:before="0" w:after="0" w:line="240" w:lineRule="auto"/>
    </w:pPr>
    <w:rPr>
      <w:rFonts w:ascii="宋体" w:hAnsi="宋体"/>
      <w:szCs w:val="21"/>
    </w:rPr>
  </w:style>
  <w:style w:type="paragraph" w:customStyle="1" w:styleId="119">
    <w:name w:val="验收文档-首页主标题"/>
    <w:basedOn w:val="1"/>
    <w:qFormat/>
    <w:uiPriority w:val="0"/>
    <w:pPr>
      <w:jc w:val="center"/>
    </w:pPr>
    <w:rPr>
      <w:rFonts w:ascii="黑体" w:eastAsia="黑体"/>
      <w:sz w:val="52"/>
      <w:szCs w:val="52"/>
    </w:rPr>
  </w:style>
  <w:style w:type="paragraph" w:customStyle="1" w:styleId="120">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21">
    <w:name w:val="正文1125"/>
    <w:basedOn w:val="1"/>
    <w:qFormat/>
    <w:uiPriority w:val="0"/>
    <w:pPr>
      <w:adjustRightInd w:val="0"/>
      <w:snapToGrid w:val="0"/>
      <w:spacing w:afterLines="50"/>
      <w:ind w:firstLine="560" w:firstLineChars="200"/>
    </w:pPr>
    <w:rPr>
      <w:szCs w:val="28"/>
    </w:rPr>
  </w:style>
  <w:style w:type="paragraph" w:customStyle="1" w:styleId="122">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123">
    <w:name w:val="正文1"/>
    <w:basedOn w:val="1"/>
    <w:link w:val="174"/>
    <w:qFormat/>
    <w:uiPriority w:val="0"/>
    <w:pPr>
      <w:topLinePunct/>
      <w:adjustRightInd w:val="0"/>
      <w:snapToGrid w:val="0"/>
      <w:spacing w:line="360" w:lineRule="auto"/>
      <w:ind w:firstLine="480" w:firstLineChars="200"/>
    </w:pPr>
    <w:rPr>
      <w:rFonts w:ascii="宋体" w:hAnsi="宋体"/>
      <w:kern w:val="0"/>
      <w:sz w:val="24"/>
      <w:szCs w:val="28"/>
    </w:rPr>
  </w:style>
  <w:style w:type="paragraph" w:customStyle="1" w:styleId="124">
    <w:name w:val="正 文"/>
    <w:basedOn w:val="1"/>
    <w:qFormat/>
    <w:uiPriority w:val="0"/>
    <w:pPr>
      <w:widowControl/>
      <w:spacing w:beforeLines="50" w:line="360" w:lineRule="auto"/>
      <w:ind w:firstLine="420" w:firstLineChars="200"/>
    </w:pPr>
    <w:rPr>
      <w:rFonts w:ascii="Tahoma" w:hAnsi="Tahoma" w:cs="Tahoma"/>
      <w:color w:val="000000"/>
      <w:sz w:val="24"/>
      <w:szCs w:val="24"/>
    </w:rPr>
  </w:style>
  <w:style w:type="paragraph" w:customStyle="1" w:styleId="125">
    <w:name w:val="列出段落5"/>
    <w:basedOn w:val="1"/>
    <w:unhideWhenUsed/>
    <w:qFormat/>
    <w:uiPriority w:val="99"/>
    <w:pPr>
      <w:ind w:firstLine="420" w:firstLineChars="200"/>
    </w:pPr>
  </w:style>
  <w:style w:type="paragraph" w:customStyle="1" w:styleId="126">
    <w:name w:val="正文-九州云腾"/>
    <w:basedOn w:val="1"/>
    <w:qFormat/>
    <w:uiPriority w:val="0"/>
    <w:pPr>
      <w:spacing w:line="360" w:lineRule="auto"/>
    </w:pPr>
    <w:rPr>
      <w:rFonts w:ascii="宋体" w:hAnsi="宋体"/>
      <w:szCs w:val="21"/>
    </w:rPr>
  </w:style>
  <w:style w:type="paragraph" w:customStyle="1" w:styleId="127">
    <w:name w:val="Comment"/>
    <w:basedOn w:val="1"/>
    <w:qFormat/>
    <w:uiPriority w:val="0"/>
    <w:pPr>
      <w:widowControl/>
      <w:spacing w:after="120"/>
      <w:jc w:val="left"/>
    </w:pPr>
    <w:rPr>
      <w:i/>
      <w:color w:val="000080"/>
      <w:kern w:val="0"/>
      <w:sz w:val="22"/>
      <w:u w:color="000000"/>
    </w:rPr>
  </w:style>
  <w:style w:type="character" w:customStyle="1" w:styleId="128">
    <w:name w:val="bookmark-item"/>
    <w:basedOn w:val="42"/>
    <w:qFormat/>
    <w:uiPriority w:val="0"/>
  </w:style>
  <w:style w:type="character" w:customStyle="1" w:styleId="129">
    <w:name w:val="text1"/>
    <w:qFormat/>
    <w:uiPriority w:val="0"/>
    <w:rPr>
      <w:sz w:val="21"/>
    </w:rPr>
  </w:style>
  <w:style w:type="character" w:customStyle="1" w:styleId="130">
    <w:name w:val="apple-converted-space"/>
    <w:qFormat/>
    <w:uiPriority w:val="0"/>
  </w:style>
  <w:style w:type="character" w:customStyle="1" w:styleId="131">
    <w:name w:val="不明显强调1"/>
    <w:qFormat/>
    <w:uiPriority w:val="19"/>
    <w:rPr>
      <w:i/>
      <w:iCs/>
      <w:color w:val="404040"/>
    </w:rPr>
  </w:style>
  <w:style w:type="character" w:customStyle="1" w:styleId="132">
    <w:name w:val="批注文字 Char1"/>
    <w:link w:val="17"/>
    <w:qFormat/>
    <w:uiPriority w:val="99"/>
    <w:rPr>
      <w:rFonts w:ascii="Times New Roman" w:hAnsi="Times New Roman"/>
      <w:spacing w:val="-5"/>
      <w:sz w:val="16"/>
    </w:rPr>
  </w:style>
  <w:style w:type="character" w:customStyle="1" w:styleId="133">
    <w:name w:val="标题5 Char"/>
    <w:link w:val="134"/>
    <w:qFormat/>
    <w:uiPriority w:val="0"/>
    <w:rPr>
      <w:szCs w:val="24"/>
    </w:rPr>
  </w:style>
  <w:style w:type="paragraph" w:customStyle="1" w:styleId="134">
    <w:name w:val="标题5"/>
    <w:basedOn w:val="1"/>
    <w:link w:val="133"/>
    <w:qFormat/>
    <w:uiPriority w:val="0"/>
    <w:pPr>
      <w:tabs>
        <w:tab w:val="left" w:pos="1080"/>
      </w:tabs>
      <w:spacing w:before="100" w:beforeAutospacing="1" w:after="100" w:afterAutospacing="1"/>
      <w:ind w:left="1080" w:hanging="360"/>
      <w:outlineLvl w:val="4"/>
    </w:pPr>
    <w:rPr>
      <w:rFonts w:asciiTheme="minorHAnsi" w:hAnsiTheme="minorHAnsi" w:eastAsiaTheme="minorEastAsia" w:cstheme="minorBidi"/>
      <w:kern w:val="0"/>
      <w:sz w:val="20"/>
      <w:szCs w:val="24"/>
    </w:rPr>
  </w:style>
  <w:style w:type="character" w:customStyle="1" w:styleId="135">
    <w:name w:val="图题 Char"/>
    <w:link w:val="136"/>
    <w:qFormat/>
    <w:uiPriority w:val="0"/>
    <w:rPr>
      <w:rFonts w:ascii="Times New Roman" w:hAnsi="Times New Roman" w:eastAsia="黑体"/>
      <w:color w:val="000000"/>
      <w:sz w:val="18"/>
      <w:szCs w:val="21"/>
    </w:rPr>
  </w:style>
  <w:style w:type="paragraph" w:customStyle="1" w:styleId="136">
    <w:name w:val="图题"/>
    <w:basedOn w:val="1"/>
    <w:link w:val="135"/>
    <w:qFormat/>
    <w:uiPriority w:val="0"/>
    <w:pPr>
      <w:tabs>
        <w:tab w:val="left" w:pos="2540"/>
      </w:tabs>
      <w:snapToGrid w:val="0"/>
      <w:spacing w:before="80" w:after="80" w:line="360" w:lineRule="auto"/>
      <w:ind w:left="420" w:leftChars="200" w:right="-55" w:rightChars="-26"/>
      <w:jc w:val="center"/>
    </w:pPr>
    <w:rPr>
      <w:rFonts w:eastAsia="黑体" w:cstheme="minorBidi"/>
      <w:color w:val="000000"/>
      <w:kern w:val="0"/>
      <w:sz w:val="18"/>
      <w:szCs w:val="21"/>
    </w:rPr>
  </w:style>
  <w:style w:type="character" w:customStyle="1" w:styleId="137">
    <w:name w:val="彩色列表 - 着色 1 字符"/>
    <w:link w:val="138"/>
    <w:qFormat/>
    <w:locked/>
    <w:uiPriority w:val="34"/>
    <w:rPr>
      <w:rFonts w:ascii="宋体" w:hAnsi="宋体" w:cs="宋体"/>
      <w:sz w:val="24"/>
      <w:szCs w:val="24"/>
    </w:rPr>
  </w:style>
  <w:style w:type="paragraph" w:customStyle="1" w:styleId="138">
    <w:name w:val="彩色列表 - 着色 11"/>
    <w:basedOn w:val="1"/>
    <w:link w:val="137"/>
    <w:qFormat/>
    <w:uiPriority w:val="34"/>
    <w:pPr>
      <w:widowControl/>
      <w:spacing w:line="360" w:lineRule="auto"/>
      <w:ind w:firstLine="420" w:firstLineChars="200"/>
      <w:jc w:val="left"/>
    </w:pPr>
    <w:rPr>
      <w:rFonts w:ascii="宋体" w:hAnsi="宋体" w:cs="宋体" w:eastAsiaTheme="minorEastAsia"/>
      <w:kern w:val="0"/>
      <w:sz w:val="24"/>
      <w:szCs w:val="24"/>
    </w:rPr>
  </w:style>
  <w:style w:type="character" w:customStyle="1" w:styleId="139">
    <w:name w:val="4级标题 Char"/>
    <w:link w:val="140"/>
    <w:qFormat/>
    <w:uiPriority w:val="0"/>
    <w:rPr>
      <w:rFonts w:ascii="黑体" w:hAnsi="黑体"/>
      <w:b/>
      <w:sz w:val="24"/>
      <w:szCs w:val="24"/>
      <w:lang w:eastAsia="en-US" w:bidi="en-US"/>
    </w:rPr>
  </w:style>
  <w:style w:type="paragraph" w:customStyle="1" w:styleId="140">
    <w:name w:val="4级标题"/>
    <w:basedOn w:val="113"/>
    <w:link w:val="139"/>
    <w:qFormat/>
    <w:uiPriority w:val="0"/>
    <w:pPr>
      <w:keepLines/>
      <w:spacing w:beforeLines="50" w:afterLines="50" w:line="360" w:lineRule="auto"/>
      <w:ind w:firstLine="723" w:firstLineChars="300"/>
      <w:contextualSpacing/>
      <w:jc w:val="left"/>
      <w:outlineLvl w:val="3"/>
    </w:pPr>
    <w:rPr>
      <w:rFonts w:ascii="黑体" w:hAnsi="黑体"/>
      <w:b/>
      <w:kern w:val="0"/>
      <w:sz w:val="24"/>
      <w:szCs w:val="24"/>
      <w:lang w:eastAsia="en-US" w:bidi="en-US"/>
    </w:rPr>
  </w:style>
  <w:style w:type="character" w:customStyle="1" w:styleId="141">
    <w:name w:val="正文 1 Char"/>
    <w:link w:val="142"/>
    <w:qFormat/>
    <w:uiPriority w:val="0"/>
    <w:rPr>
      <w:rFonts w:ascii="宋体" w:hAnsi="宋体" w:cs="Arial"/>
    </w:rPr>
  </w:style>
  <w:style w:type="paragraph" w:customStyle="1" w:styleId="142">
    <w:name w:val="正文 1"/>
    <w:basedOn w:val="1"/>
    <w:link w:val="141"/>
    <w:qFormat/>
    <w:uiPriority w:val="0"/>
    <w:pPr>
      <w:widowControl/>
      <w:tabs>
        <w:tab w:val="left" w:pos="840"/>
      </w:tabs>
      <w:snapToGrid w:val="0"/>
      <w:spacing w:before="80" w:after="80" w:line="360" w:lineRule="auto"/>
      <w:ind w:left="420" w:leftChars="200" w:right="210" w:rightChars="100"/>
    </w:pPr>
    <w:rPr>
      <w:rFonts w:ascii="宋体" w:hAnsi="宋体" w:cs="Arial" w:eastAsiaTheme="minorEastAsia"/>
      <w:kern w:val="0"/>
      <w:sz w:val="20"/>
    </w:rPr>
  </w:style>
  <w:style w:type="character" w:customStyle="1" w:styleId="143">
    <w:name w:val="批注文字 Char"/>
    <w:qFormat/>
    <w:uiPriority w:val="0"/>
  </w:style>
  <w:style w:type="paragraph" w:customStyle="1" w:styleId="144">
    <w:name w:val="样式 宋体 小四 加粗 段后: 7.8 磅 行距: 1.5 倍行距"/>
    <w:basedOn w:val="1"/>
    <w:qFormat/>
    <w:uiPriority w:val="0"/>
    <w:pPr>
      <w:spacing w:after="156" w:line="360" w:lineRule="auto"/>
      <w:ind w:firstLine="482" w:firstLineChars="200"/>
    </w:pPr>
    <w:rPr>
      <w:rFonts w:ascii="宋体" w:hAnsi="宋体" w:cs="宋体"/>
      <w:bCs/>
      <w:sz w:val="28"/>
    </w:rPr>
  </w:style>
  <w:style w:type="paragraph" w:customStyle="1" w:styleId="145">
    <w:name w:val="样式3"/>
    <w:basedOn w:val="30"/>
    <w:qFormat/>
    <w:uiPriority w:val="0"/>
    <w:pPr>
      <w:widowControl/>
      <w:spacing w:after="100" w:line="259" w:lineRule="auto"/>
      <w:jc w:val="left"/>
    </w:pPr>
    <w:rPr>
      <w:rFonts w:ascii="Calibri" w:hAnsi="Calibri"/>
      <w:kern w:val="0"/>
      <w:sz w:val="22"/>
      <w:szCs w:val="22"/>
    </w:rPr>
  </w:style>
  <w:style w:type="paragraph" w:customStyle="1" w:styleId="146">
    <w:name w:val="正文段"/>
    <w:basedOn w:val="1"/>
    <w:qFormat/>
    <w:uiPriority w:val="0"/>
    <w:pPr>
      <w:widowControl/>
      <w:adjustRightInd w:val="0"/>
      <w:spacing w:after="240" w:line="360" w:lineRule="atLeast"/>
      <w:ind w:firstLine="200" w:firstLineChars="200"/>
    </w:pPr>
    <w:rPr>
      <w:rFonts w:ascii="宋体"/>
      <w:kern w:val="0"/>
      <w:sz w:val="24"/>
    </w:rPr>
  </w:style>
  <w:style w:type="paragraph" w:customStyle="1" w:styleId="147">
    <w:name w:val="方案标题2"/>
    <w:basedOn w:val="1"/>
    <w:next w:val="1"/>
    <w:qFormat/>
    <w:uiPriority w:val="0"/>
    <w:pPr>
      <w:keepLines/>
      <w:tabs>
        <w:tab w:val="left" w:pos="1440"/>
      </w:tabs>
      <w:adjustRightInd w:val="0"/>
      <w:ind w:left="1440" w:hanging="420"/>
      <w:outlineLvl w:val="1"/>
    </w:pPr>
    <w:rPr>
      <w:rFonts w:ascii="Arial" w:hAnsi="Arial" w:eastAsia="黑体"/>
      <w:snapToGrid w:val="0"/>
      <w:kern w:val="0"/>
      <w:sz w:val="30"/>
    </w:rPr>
  </w:style>
  <w:style w:type="character" w:customStyle="1" w:styleId="148">
    <w:name w:val="批注文字 Char2"/>
    <w:basedOn w:val="42"/>
    <w:semiHidden/>
    <w:qFormat/>
    <w:uiPriority w:val="99"/>
    <w:rPr>
      <w:rFonts w:ascii="Times New Roman" w:hAnsi="Times New Roman" w:eastAsia="宋体" w:cs="Times New Roman"/>
      <w:kern w:val="2"/>
      <w:sz w:val="21"/>
    </w:rPr>
  </w:style>
  <w:style w:type="paragraph" w:customStyle="1" w:styleId="149">
    <w:name w:val="表身（中）"/>
    <w:basedOn w:val="150"/>
    <w:qFormat/>
    <w:uiPriority w:val="0"/>
    <w:pPr>
      <w:jc w:val="center"/>
    </w:pPr>
  </w:style>
  <w:style w:type="paragraph" w:customStyle="1" w:styleId="150">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51">
    <w:name w:val="圆点列举项"/>
    <w:basedOn w:val="142"/>
    <w:qFormat/>
    <w:uiPriority w:val="0"/>
  </w:style>
  <w:style w:type="paragraph" w:customStyle="1" w:styleId="152">
    <w:name w:val="序号列举项"/>
    <w:basedOn w:val="142"/>
    <w:qFormat/>
    <w:uiPriority w:val="0"/>
  </w:style>
  <w:style w:type="paragraph" w:customStyle="1" w:styleId="153">
    <w:name w:val="缺省文本:1"/>
    <w:basedOn w:val="1"/>
    <w:qFormat/>
    <w:uiPriority w:val="0"/>
    <w:pPr>
      <w:tabs>
        <w:tab w:val="left" w:pos="720"/>
      </w:tabs>
      <w:autoSpaceDE w:val="0"/>
      <w:autoSpaceDN w:val="0"/>
      <w:adjustRightInd w:val="0"/>
      <w:ind w:left="720" w:hanging="720"/>
      <w:jc w:val="left"/>
    </w:pPr>
    <w:rPr>
      <w:kern w:val="0"/>
      <w:sz w:val="24"/>
      <w:szCs w:val="24"/>
    </w:rPr>
  </w:style>
  <w:style w:type="paragraph" w:customStyle="1" w:styleId="154">
    <w:name w:val="图片（中）"/>
    <w:basedOn w:val="136"/>
    <w:next w:val="136"/>
    <w:qFormat/>
    <w:uiPriority w:val="0"/>
    <w:pPr>
      <w:keepNext/>
      <w:widowControl/>
      <w:tabs>
        <w:tab w:val="clear" w:pos="2540"/>
      </w:tabs>
      <w:adjustRightInd w:val="0"/>
      <w:spacing w:before="40" w:after="0" w:line="300" w:lineRule="auto"/>
      <w:ind w:left="680" w:leftChars="0" w:right="0" w:rightChars="0"/>
    </w:pPr>
    <w:rPr>
      <w:rFonts w:ascii="Arial" w:hAnsi="Arial"/>
      <w:color w:val="auto"/>
      <w:sz w:val="16"/>
      <w:szCs w:val="20"/>
    </w:rPr>
  </w:style>
  <w:style w:type="paragraph" w:customStyle="1" w:styleId="155">
    <w:name w:val="方案标题3"/>
    <w:basedOn w:val="147"/>
    <w:next w:val="1"/>
    <w:qFormat/>
    <w:uiPriority w:val="0"/>
    <w:pPr>
      <w:tabs>
        <w:tab w:val="left" w:pos="1860"/>
        <w:tab w:val="clear" w:pos="1440"/>
      </w:tabs>
      <w:ind w:left="1860"/>
      <w:outlineLvl w:val="2"/>
    </w:pPr>
    <w:rPr>
      <w:rFonts w:ascii="黑体"/>
    </w:rPr>
  </w:style>
  <w:style w:type="paragraph" w:customStyle="1" w:styleId="156">
    <w:name w:val="样式 标题 4H4h44I4l4list 4mh1lModule heading 1 large (18 poi...1"/>
    <w:basedOn w:val="6"/>
    <w:qFormat/>
    <w:uiPriority w:val="0"/>
    <w:pPr>
      <w:tabs>
        <w:tab w:val="left" w:pos="2280"/>
      </w:tabs>
      <w:spacing w:before="0" w:after="0" w:line="360" w:lineRule="auto"/>
      <w:ind w:left="975" w:hanging="862"/>
    </w:pPr>
    <w:rPr>
      <w:kern w:val="0"/>
    </w:rPr>
  </w:style>
  <w:style w:type="paragraph" w:customStyle="1" w:styleId="157">
    <w:name w:val="Table Paragraph"/>
    <w:basedOn w:val="1"/>
    <w:qFormat/>
    <w:uiPriority w:val="1"/>
    <w:pPr>
      <w:autoSpaceDE w:val="0"/>
      <w:autoSpaceDN w:val="0"/>
      <w:spacing w:line="289" w:lineRule="exact"/>
      <w:jc w:val="center"/>
    </w:pPr>
    <w:rPr>
      <w:rFonts w:ascii="微软雅黑" w:hAnsi="微软雅黑" w:eastAsia="微软雅黑" w:cs="微软雅黑"/>
      <w:kern w:val="0"/>
      <w:sz w:val="22"/>
      <w:szCs w:val="22"/>
      <w:lang w:val="zh-CN" w:bidi="zh-CN"/>
    </w:rPr>
  </w:style>
  <w:style w:type="paragraph" w:customStyle="1" w:styleId="15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59">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rPr>
  </w:style>
  <w:style w:type="paragraph" w:customStyle="1" w:styleId="160">
    <w:name w:val="样式 标题 5H5h5heading 5h51heading 51h52heading 52h53headin..."/>
    <w:basedOn w:val="7"/>
    <w:qFormat/>
    <w:uiPriority w:val="0"/>
    <w:pPr>
      <w:tabs>
        <w:tab w:val="left" w:pos="2700"/>
        <w:tab w:val="clear" w:pos="1440"/>
      </w:tabs>
      <w:spacing w:before="0" w:after="0" w:line="360" w:lineRule="auto"/>
      <w:ind w:left="1236" w:hanging="1009"/>
    </w:pPr>
    <w:rPr>
      <w:bCs/>
      <w:sz w:val="24"/>
      <w:szCs w:val="28"/>
    </w:rPr>
  </w:style>
  <w:style w:type="paragraph" w:customStyle="1" w:styleId="161">
    <w:name w:val="方案标题1"/>
    <w:basedOn w:val="3"/>
    <w:qFormat/>
    <w:uiPriority w:val="0"/>
    <w:pPr>
      <w:keepLines/>
      <w:pageBreakBefore/>
      <w:tabs>
        <w:tab w:val="left" w:pos="900"/>
        <w:tab w:val="clear" w:pos="360"/>
      </w:tabs>
      <w:adjustRightInd w:val="0"/>
      <w:spacing w:beforeLines="50"/>
      <w:ind w:left="-4" w:leftChars="-2" w:firstLine="1"/>
    </w:pPr>
    <w:rPr>
      <w:rFonts w:ascii="宋体" w:hAnsi="宋体"/>
      <w:snapToGrid w:val="0"/>
      <w:kern w:val="0"/>
      <w:sz w:val="28"/>
    </w:rPr>
  </w:style>
  <w:style w:type="paragraph" w:customStyle="1" w:styleId="162">
    <w:name w:val="样式 样式 标题 2H22nd levelh22Header 2l2Heading 2 HiddenHeading 2... +..."/>
    <w:basedOn w:val="1"/>
    <w:qFormat/>
    <w:uiPriority w:val="0"/>
    <w:pPr>
      <w:keepNext/>
      <w:keepLines/>
      <w:tabs>
        <w:tab w:val="left" w:pos="840"/>
      </w:tabs>
      <w:adjustRightInd w:val="0"/>
      <w:spacing w:before="100" w:beforeAutospacing="1" w:afterLines="50"/>
      <w:ind w:left="840"/>
      <w:jc w:val="left"/>
      <w:textAlignment w:val="baseline"/>
      <w:outlineLvl w:val="1"/>
    </w:pPr>
    <w:rPr>
      <w:rFonts w:ascii="宋体" w:hAnsi="宋体" w:cs="宋体"/>
      <w:kern w:val="44"/>
      <w:sz w:val="24"/>
    </w:rPr>
  </w:style>
  <w:style w:type="paragraph" w:customStyle="1" w:styleId="163">
    <w:name w:val="文档正文"/>
    <w:basedOn w:val="1"/>
    <w:qFormat/>
    <w:uiPriority w:val="0"/>
    <w:pPr>
      <w:adjustRightInd w:val="0"/>
      <w:spacing w:line="312" w:lineRule="atLeast"/>
      <w:ind w:firstLine="567"/>
      <w:textAlignment w:val="baseline"/>
    </w:pPr>
    <w:rPr>
      <w:rFonts w:ascii="长城仿宋" w:eastAsia="长城仿宋"/>
      <w:kern w:val="0"/>
      <w:sz w:val="28"/>
      <w:szCs w:val="24"/>
    </w:rPr>
  </w:style>
  <w:style w:type="paragraph" w:customStyle="1" w:styleId="164">
    <w:name w:val="文本正文"/>
    <w:basedOn w:val="1"/>
    <w:qFormat/>
    <w:uiPriority w:val="0"/>
    <w:pPr>
      <w:spacing w:line="360" w:lineRule="auto"/>
      <w:ind w:firstLine="200" w:firstLineChars="200"/>
    </w:pPr>
    <w:rPr>
      <w:rFonts w:ascii="Calibri" w:hAnsi="Calibri"/>
      <w:sz w:val="24"/>
      <w:szCs w:val="22"/>
    </w:rPr>
  </w:style>
  <w:style w:type="paragraph" w:customStyle="1" w:styleId="165">
    <w:name w:val="彩色底纹 - 强调文字颜色 61"/>
    <w:basedOn w:val="3"/>
    <w:next w:val="1"/>
    <w:unhideWhenUsed/>
    <w:qFormat/>
    <w:uiPriority w:val="39"/>
    <w:pPr>
      <w:keepLines/>
      <w:widowControl/>
      <w:tabs>
        <w:tab w:val="clear" w:pos="360"/>
      </w:tabs>
      <w:spacing w:before="240" w:line="259" w:lineRule="auto"/>
      <w:ind w:left="0" w:firstLine="0"/>
      <w:jc w:val="left"/>
      <w:outlineLvl w:val="9"/>
    </w:pPr>
    <w:rPr>
      <w:rFonts w:ascii="Calibri Light" w:hAnsi="Calibri Light"/>
      <w:b w:val="0"/>
      <w:color w:val="2E74B5"/>
      <w:kern w:val="0"/>
      <w:sz w:val="32"/>
      <w:szCs w:val="32"/>
    </w:rPr>
  </w:style>
  <w:style w:type="paragraph" w:customStyle="1" w:styleId="166">
    <w:name w:val="TOC 标题2"/>
    <w:basedOn w:val="3"/>
    <w:next w:val="1"/>
    <w:qFormat/>
    <w:uiPriority w:val="39"/>
    <w:pPr>
      <w:keepLines/>
      <w:widowControl/>
      <w:tabs>
        <w:tab w:val="clear" w:pos="360"/>
      </w:tabs>
      <w:spacing w:before="480" w:line="276" w:lineRule="auto"/>
      <w:ind w:left="0" w:firstLine="0"/>
      <w:jc w:val="left"/>
      <w:outlineLvl w:val="9"/>
    </w:pPr>
    <w:rPr>
      <w:rFonts w:ascii="Calibri Light" w:hAnsi="Calibri Light"/>
      <w:bCs/>
      <w:color w:val="2E74B5"/>
      <w:kern w:val="0"/>
      <w:sz w:val="28"/>
      <w:szCs w:val="28"/>
    </w:rPr>
  </w:style>
  <w:style w:type="paragraph" w:customStyle="1" w:styleId="167">
    <w:name w:val="正文项目"/>
    <w:basedOn w:val="1"/>
    <w:qFormat/>
    <w:uiPriority w:val="0"/>
    <w:pPr>
      <w:spacing w:line="360" w:lineRule="auto"/>
      <w:ind w:left="645" w:hanging="420"/>
    </w:pPr>
    <w:rPr>
      <w:rFonts w:ascii="宋体"/>
      <w:sz w:val="24"/>
      <w:szCs w:val="24"/>
    </w:rPr>
  </w:style>
  <w:style w:type="paragraph" w:customStyle="1" w:styleId="168">
    <w:name w:val="附录"/>
    <w:basedOn w:val="3"/>
    <w:next w:val="1"/>
    <w:qFormat/>
    <w:uiPriority w:val="0"/>
    <w:pPr>
      <w:keepLines/>
      <w:widowControl/>
      <w:tabs>
        <w:tab w:val="left" w:pos="720"/>
        <w:tab w:val="clear" w:pos="360"/>
      </w:tabs>
      <w:spacing w:after="220" w:line="360" w:lineRule="auto"/>
      <w:ind w:left="3119" w:firstLine="0"/>
      <w:jc w:val="center"/>
    </w:pPr>
    <w:rPr>
      <w:spacing w:val="-10"/>
      <w:kern w:val="28"/>
      <w:sz w:val="30"/>
    </w:rPr>
  </w:style>
  <w:style w:type="paragraph" w:customStyle="1" w:styleId="169">
    <w:name w:val="标题 2（绿盟科技）"/>
    <w:basedOn w:val="4"/>
    <w:next w:val="1"/>
    <w:qFormat/>
    <w:uiPriority w:val="0"/>
    <w:pPr>
      <w:tabs>
        <w:tab w:val="left" w:pos="576"/>
      </w:tabs>
      <w:spacing w:line="415" w:lineRule="auto"/>
      <w:ind w:left="1065" w:hanging="420"/>
      <w:jc w:val="left"/>
    </w:pPr>
    <w:rPr>
      <w:kern w:val="0"/>
      <w:szCs w:val="32"/>
    </w:rPr>
  </w:style>
  <w:style w:type="paragraph" w:customStyle="1" w:styleId="170">
    <w:name w:val="无间距"/>
    <w:qFormat/>
    <w:uiPriority w:val="1"/>
    <w:rPr>
      <w:rFonts w:ascii="Calibri" w:hAnsi="Calibri" w:eastAsia="宋体" w:cs="Times New Roman"/>
      <w:sz w:val="22"/>
      <w:szCs w:val="22"/>
      <w:lang w:val="en-US" w:eastAsia="zh-CN" w:bidi="ar-SA"/>
    </w:rPr>
  </w:style>
  <w:style w:type="character" w:customStyle="1" w:styleId="171">
    <w:name w:val="font11"/>
    <w:basedOn w:val="42"/>
    <w:qFormat/>
    <w:uiPriority w:val="0"/>
    <w:rPr>
      <w:rFonts w:hint="eastAsia" w:ascii="宋体" w:hAnsi="宋体" w:eastAsia="宋体" w:cs="宋体"/>
      <w:color w:val="FF0000"/>
      <w:sz w:val="24"/>
      <w:szCs w:val="24"/>
      <w:u w:val="none"/>
    </w:rPr>
  </w:style>
  <w:style w:type="character" w:customStyle="1" w:styleId="172">
    <w:name w:val="font41"/>
    <w:qFormat/>
    <w:uiPriority w:val="0"/>
    <w:rPr>
      <w:rFonts w:hint="eastAsia" w:ascii="宋体" w:hAnsi="宋体" w:eastAsia="宋体" w:cs="宋体"/>
      <w:color w:val="000000"/>
      <w:sz w:val="24"/>
      <w:szCs w:val="24"/>
      <w:u w:val="none"/>
    </w:rPr>
  </w:style>
  <w:style w:type="paragraph" w:customStyle="1" w:styleId="17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74">
    <w:name w:val="正文1 字符"/>
    <w:basedOn w:val="42"/>
    <w:link w:val="123"/>
    <w:qFormat/>
    <w:uiPriority w:val="0"/>
    <w:rPr>
      <w:rFonts w:ascii="宋体" w:hAnsi="宋体" w:eastAsia="宋体" w:cs="Times New Roman"/>
      <w:sz w:val="24"/>
      <w:szCs w:val="28"/>
    </w:rPr>
  </w:style>
  <w:style w:type="character" w:customStyle="1" w:styleId="175">
    <w:name w:val="不明显强调11"/>
    <w:qFormat/>
    <w:uiPriority w:val="19"/>
    <w:rPr>
      <w:i/>
      <w:iCs/>
      <w:color w:val="404040"/>
    </w:rPr>
  </w:style>
  <w:style w:type="paragraph" w:customStyle="1" w:styleId="176">
    <w:name w:val="TOC 标题21"/>
    <w:basedOn w:val="3"/>
    <w:next w:val="1"/>
    <w:qFormat/>
    <w:uiPriority w:val="39"/>
    <w:pPr>
      <w:keepLines/>
      <w:widowControl/>
      <w:tabs>
        <w:tab w:val="clear" w:pos="360"/>
      </w:tabs>
      <w:spacing w:before="480" w:line="276" w:lineRule="auto"/>
      <w:ind w:left="0" w:firstLine="0"/>
      <w:jc w:val="left"/>
      <w:outlineLvl w:val="9"/>
    </w:pPr>
    <w:rPr>
      <w:rFonts w:ascii="Calibri Light" w:hAnsi="Calibri Light"/>
      <w:bCs/>
      <w:color w:val="2E74B5"/>
      <w:kern w:val="0"/>
      <w:sz w:val="28"/>
      <w:szCs w:val="28"/>
    </w:rPr>
  </w:style>
  <w:style w:type="character" w:customStyle="1" w:styleId="177">
    <w:name w:val="font3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A3854-A364-4356-8583-768C5635C3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8397</Words>
  <Characters>47865</Characters>
  <Lines>398</Lines>
  <Paragraphs>112</Paragraphs>
  <TotalTime>13</TotalTime>
  <ScaleCrop>false</ScaleCrop>
  <LinksUpToDate>false</LinksUpToDate>
  <CharactersWithSpaces>56150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2021-05-17T05:54:00Z</dcterms:created>
  <dc:creator>Administrator</dc:creator>
  <cp:lastModifiedBy>  </cp:lastModifiedBy>
  <dcterms:modified xsi:type="dcterms:W3CDTF">2021-10-11T07:58:19Z</dcterms:modified>
  <dc:title>新疆天壹中山工程咨询有限公司</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4B43A121253044EABBEC78E732617CEC</vt:lpwstr>
  </property>
</Properties>
</file>