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/>
        <w:widowControl w:val="0"/>
        <w:spacing w:before="0" w:beforeAutospacing="0" w:after="0" w:afterAutospacing="0"/>
        <w:contextualSpacing/>
        <w:jc w:val="center"/>
        <w:rPr>
          <w:rFonts w:hint="eastAsia" w:cs="Times New Roman"/>
          <w:b/>
          <w:color w:val="000000"/>
          <w:kern w:val="44"/>
          <w:sz w:val="40"/>
          <w:szCs w:val="18"/>
          <w:highlight w:val="none"/>
        </w:rPr>
      </w:pPr>
      <w:bookmarkStart w:id="0" w:name="_Toc256000009"/>
      <w:bookmarkStart w:id="1" w:name="_Toc256000013"/>
      <w:bookmarkStart w:id="2" w:name="_Toc22322_0"/>
      <w:bookmarkStart w:id="3" w:name="_Toc12421_0"/>
      <w:r>
        <w:rPr>
          <w:rFonts w:hint="eastAsia" w:cs="Times New Roman"/>
          <w:b/>
          <w:color w:val="000000"/>
          <w:kern w:val="44"/>
          <w:sz w:val="40"/>
          <w:szCs w:val="18"/>
          <w:highlight w:val="none"/>
          <w:lang w:val="en-US" w:eastAsia="zh-CN"/>
        </w:rPr>
        <w:t>第一包段</w:t>
      </w:r>
      <w:r>
        <w:rPr>
          <w:rFonts w:hint="eastAsia" w:cs="Times New Roman"/>
          <w:b/>
          <w:color w:val="000000"/>
          <w:kern w:val="44"/>
          <w:sz w:val="40"/>
          <w:szCs w:val="18"/>
          <w:highlight w:val="none"/>
        </w:rPr>
        <w:t>采购需求</w:t>
      </w:r>
      <w:bookmarkEnd w:id="0"/>
      <w:bookmarkEnd w:id="1"/>
      <w:bookmarkEnd w:id="2"/>
      <w:bookmarkEnd w:id="3"/>
    </w:p>
    <w:p>
      <w:pPr>
        <w:rPr>
          <w:highlight w:val="red"/>
        </w:rPr>
      </w:pPr>
    </w:p>
    <w:tbl>
      <w:tblPr>
        <w:tblStyle w:val="3"/>
        <w:tblpPr w:leftFromText="180" w:rightFromText="180" w:vertAnchor="text" w:horzAnchor="page" w:tblpX="1077" w:tblpY="225"/>
        <w:tblOverlap w:val="never"/>
        <w:tblW w:w="9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210"/>
        <w:gridCol w:w="685"/>
        <w:gridCol w:w="792"/>
        <w:gridCol w:w="55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98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hAnsi="宋体" w:cs="宋体"/>
                <w:color w:val="000000"/>
                <w:sz w:val="28"/>
                <w:szCs w:val="28"/>
                <w:lang w:val="en-US" w:eastAsia="zh-CN"/>
              </w:rPr>
              <w:t>和田市2021年绿色（蔬菜）高质高效行动项目（第一包段）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规格型号及主要技术参数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太阳能虫情测报灯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具体参数见详细技术参数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太阳能杀虫灯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详细技术参数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一、太阳能虫情测报灯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1）产品规格:太阳能虫情测报灯(JDTC-9)符合GB/T24689.1-2009植物保护机械虫情测报灯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(必须提供符合GB/T24689.1-2009国家标准的国家农机具质量监督检验中心出具的检验报告)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2）采用光、电、数控技术，兼容农作物有害生物监测预警数字化网络平台、兼容 ATCSP。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3）诱集光源:主波长365nm20黑光灯管(主波长365nm，可根据靶标害虫使用不同波长的频振1＃-20灯管)。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4）工作电压:DC24V。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5）功率:250W待机≤5W。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6）灯体尺寸:650mmX650mX2000m7、设计寿命:5年(灯管和电池除外)。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7）灯管启动时间:≤5s。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8）撞击屏:互成120角。单屏尺寸:长595土2m，宽2132mm，厚5m。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9）整体结构采用不锈钢，不锈钢符合GB/T3280-2007、GB/T4237-2007、YB/T5363-2006。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10）晚上自动开灯，白天自动关灯(待机)。在夜间工作状态下，不受瞬间强光照射改变工作状态。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11）远红外虫体处理仓温度控制:工作15分钟后达到85±5℃，处理时间可调(15种处理时间调整)。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12）远红外虫体处理致死率不小于98％，虫体完整率不小于95％。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13）集虫器为八位自动转换系统，保证8个时间段诱集到的昆虫不混淆:。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14）整机功能:光控、雨控、红外虫体处理、分天存放。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15）雨控装置:按外界雨量变化自动控制整灯工作:。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16）排水装置:能有效将雨、虫分离18、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箱体侧面必须有模压成型的品牌标识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17）可增设空温、空湿、地温、地湿、风速、风向、光照度显示自动打印单机累计存储一年或与计算机连接:。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18）太阳能电池板功率:≥300p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(根据当地光辐照强度选配，提供当地年光照时数与相关部件关系的理论依据)。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19）蓄电池:DC24V/180A/免维护(连续二天阴雨天气可正常工作)。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20）根据农技推广法规定，必須经过7个省以上大面积试验示范，试验面积不得小于2836万公(出具省级以上证明材料)。</w:t>
      </w:r>
    </w:p>
    <w:p>
      <w:pPr>
        <w:keepNext w:val="0"/>
        <w:keepLines w:val="0"/>
        <w:pageBreakBefore w:val="0"/>
        <w:widowControl w:val="0"/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21）保养时间随叫随到，保险时间5年。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二、太阳能杀虫灯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太阳能板功率：50Wp；电压：18.7V；单晶硅组件。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储能电池：太阳能专用免维护锂电池，12V/10AH，尺寸：80*67*58mm;重量：585g。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诱虫灯头：整机具有防水耐防腐设计；外壳采用4mm厚ABS阻燃工程塑料；黄色圆形灯头；确保产品的使用寿命；规格尺寸：Φ300*600mm。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锂电池专用控制器：锂电池专用;光控、雨控、时控、过充过放过流电压保护。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灯杆：高度3米、不锈钢灯杆；规格：Φ63mm。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接虫器皿:采用透明ABS材质圆形接虫罐；规格：Φ160*270mm；内设喇叭形内口，防治昆虫飞出；设计可开启堵头、便于尸体的观察和清理。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电源电压（AC）：12V8、工作电流：≤1.09、额定功率：6W10.智能显示器：具备自动计数、温湿度测试功能（可增加）。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8）高压电网：竖丝双层网；网丝直径2mm;电压：4-6KV；确保对幼小害虫都能击杀，不粘虫。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9）源类型：六角螺旋型LED光源+RGB三基色LED灯带结合的高效诱虫光源；功率：5.5W；光谱：280～680nm；LED灯带波长及频率可调；光源寿命：50000小时；光源长度：240mm。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10）保证亮灯大于6小时；保证3个阴雨天可正常工作。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提供权威检测部门检验的检测报告。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5"/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12）保养时间随叫随到，保险时间3-5年。</w:t>
      </w:r>
    </w:p>
    <w:p/>
    <w:p/>
    <w:p>
      <w:pPr>
        <w:pStyle w:val="2"/>
        <w:keepNext/>
        <w:keepLines/>
        <w:pageBreakBefore/>
        <w:widowControl w:val="0"/>
        <w:spacing w:before="0" w:beforeAutospacing="0" w:after="0" w:afterAutospacing="0"/>
        <w:contextualSpacing/>
        <w:jc w:val="center"/>
        <w:rPr>
          <w:rFonts w:hint="eastAsia" w:cs="Times New Roman"/>
          <w:b/>
          <w:color w:val="000000"/>
          <w:kern w:val="44"/>
          <w:sz w:val="40"/>
          <w:szCs w:val="18"/>
          <w:highlight w:val="none"/>
        </w:rPr>
      </w:pPr>
      <w:r>
        <w:rPr>
          <w:rFonts w:hint="eastAsia" w:cs="Times New Roman"/>
          <w:b/>
          <w:color w:val="000000"/>
          <w:kern w:val="44"/>
          <w:sz w:val="40"/>
          <w:szCs w:val="18"/>
          <w:highlight w:val="none"/>
          <w:lang w:val="en-US" w:eastAsia="zh-CN"/>
        </w:rPr>
        <w:t>第二包段</w:t>
      </w:r>
      <w:r>
        <w:rPr>
          <w:rFonts w:hint="eastAsia" w:cs="Times New Roman"/>
          <w:b/>
          <w:color w:val="000000"/>
          <w:kern w:val="44"/>
          <w:sz w:val="40"/>
          <w:szCs w:val="18"/>
          <w:highlight w:val="none"/>
        </w:rPr>
        <w:t>采购需求</w:t>
      </w:r>
    </w:p>
    <w:p>
      <w:pPr>
        <w:rPr>
          <w:highlight w:val="red"/>
        </w:rPr>
      </w:pPr>
    </w:p>
    <w:tbl>
      <w:tblPr>
        <w:tblStyle w:val="3"/>
        <w:tblpPr w:leftFromText="180" w:rightFromText="180" w:vertAnchor="text" w:horzAnchor="page" w:tblpX="1077" w:tblpY="225"/>
        <w:tblOverlap w:val="never"/>
        <w:tblW w:w="9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210"/>
        <w:gridCol w:w="685"/>
        <w:gridCol w:w="792"/>
        <w:gridCol w:w="55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98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和田市2021年绿色（蔬菜）高质高效行动项目（第二包段）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规格型号及主要技术参数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有机肥料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  <w:t>1）产品规格：型号 N+P205+K20≧5%。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  <w:t>2）规格:40kg/袋产品。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  <w:t>3）形态:牛羊粪造粒颗粒，指标含量:总养分≧45%，国家执行标准</w:t>
            </w: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阿维·啶虫脒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4%阿维·啶虫脒</w:t>
            </w:r>
            <w:r>
              <w:rPr>
                <w:rFonts w:hint="eastAsia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 xml:space="preserve"> ；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300毫升*30瓶/件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≧20%氯虫苯甲酰胺</w:t>
            </w:r>
            <w:r>
              <w:rPr>
                <w:rFonts w:hint="default" w:ascii="宋体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（悬浮剂</w:t>
            </w:r>
            <w:r>
              <w:rPr>
                <w:rFonts w:hint="eastAsia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≧20%氯虫苯甲酰胺（悬浮剂）</w:t>
            </w:r>
            <w:r>
              <w:rPr>
                <w:rFonts w:hint="eastAsia" w:hAnsi="宋体" w:eastAsia="宋体" w:cs="宋体"/>
                <w:color w:val="0000FF"/>
                <w:sz w:val="24"/>
                <w:szCs w:val="24"/>
                <w:lang w:val="en-US" w:eastAsia="zh-CN"/>
              </w:rPr>
              <w:t xml:space="preserve">；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100毫升*40瓶/件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E21D9"/>
    <w:multiLevelType w:val="singleLevel"/>
    <w:tmpl w:val="A50E21D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2021-10-27T09:12:20Z</dcterms:created>
  <dc:creator>Administrator</dc:creator>
  <cp:lastModifiedBy>Cindy</cp:lastModifiedBy>
  <dcterms:modified xsi:type="dcterms:W3CDTF">2021-10-27T09:13:43Z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6F87D4F0318E4583AF899007D597F833</vt:lpwstr>
  </property>
</Properties>
</file>