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0" w:leftChars="-200" w:hanging="380" w:hangingChars="86"/>
        <w:jc w:val="center"/>
        <w:rPr>
          <w:b/>
          <w:bCs/>
          <w:sz w:val="44"/>
          <w:szCs w:val="44"/>
        </w:rPr>
      </w:pPr>
    </w:p>
    <w:p>
      <w:pPr>
        <w:jc w:val="center"/>
        <w:rPr>
          <w:rFonts w:hint="eastAsia" w:ascii="宋体" w:hAnsi="宋体"/>
          <w:b/>
          <w:bCs/>
          <w:color w:val="auto"/>
          <w:sz w:val="48"/>
          <w:szCs w:val="48"/>
          <w:lang w:eastAsia="zh-CN"/>
        </w:rPr>
      </w:pPr>
      <w:r>
        <w:rPr>
          <w:rFonts w:hint="eastAsia" w:ascii="宋体" w:hAnsi="宋体"/>
          <w:b/>
          <w:bCs/>
          <w:color w:val="auto"/>
          <w:sz w:val="48"/>
          <w:szCs w:val="48"/>
          <w:lang w:eastAsia="zh-CN"/>
        </w:rPr>
        <w:t>班班通设备采购</w:t>
      </w:r>
    </w:p>
    <w:p>
      <w:pPr>
        <w:jc w:val="center"/>
        <w:rPr>
          <w:rFonts w:ascii="宋体" w:hAnsi="宋体"/>
          <w:color w:val="auto"/>
          <w:sz w:val="48"/>
          <w:szCs w:val="44"/>
        </w:rPr>
      </w:pPr>
    </w:p>
    <w:p>
      <w:pPr>
        <w:jc w:val="center"/>
        <w:rPr>
          <w:rFonts w:ascii="黑体" w:eastAsia="黑体"/>
          <w:color w:val="auto"/>
          <w:sz w:val="96"/>
          <w:szCs w:val="72"/>
        </w:rPr>
      </w:pPr>
    </w:p>
    <w:p>
      <w:pPr>
        <w:pStyle w:val="26"/>
        <w:bidi w:val="0"/>
      </w:pPr>
    </w:p>
    <w:p>
      <w:pPr>
        <w:spacing w:line="300" w:lineRule="auto"/>
        <w:jc w:val="center"/>
        <w:rPr>
          <w:rFonts w:hint="eastAsia" w:ascii="黑体"/>
          <w:b/>
          <w:bCs w:val="0"/>
          <w:color w:val="auto"/>
          <w:sz w:val="56"/>
          <w:szCs w:val="52"/>
        </w:rPr>
      </w:pPr>
    </w:p>
    <w:p>
      <w:pPr>
        <w:spacing w:line="300" w:lineRule="auto"/>
        <w:jc w:val="center"/>
        <w:rPr>
          <w:rFonts w:ascii="黑体"/>
          <w:b/>
          <w:bCs w:val="0"/>
          <w:color w:val="auto"/>
          <w:sz w:val="56"/>
          <w:szCs w:val="52"/>
        </w:rPr>
      </w:pPr>
      <w:r>
        <w:rPr>
          <w:rFonts w:hint="eastAsia" w:ascii="黑体"/>
          <w:b/>
          <w:bCs w:val="0"/>
          <w:color w:val="auto"/>
          <w:sz w:val="56"/>
          <w:szCs w:val="52"/>
        </w:rPr>
        <w:t>竞争性磋商文件</w:t>
      </w:r>
    </w:p>
    <w:p>
      <w:pPr>
        <w:spacing w:line="560" w:lineRule="exact"/>
        <w:jc w:val="center"/>
        <w:rPr>
          <w:rFonts w:ascii="仿宋_GB2312" w:eastAsia="仿宋_GB2312"/>
          <w:color w:val="auto"/>
          <w:sz w:val="32"/>
          <w:szCs w:val="28"/>
        </w:rPr>
      </w:pPr>
    </w:p>
    <w:p>
      <w:pPr>
        <w:spacing w:line="560" w:lineRule="exact"/>
        <w:jc w:val="both"/>
        <w:rPr>
          <w:rFonts w:ascii="宋体" w:hAnsi="宋体"/>
          <w:color w:val="auto"/>
          <w:sz w:val="32"/>
          <w:szCs w:val="28"/>
        </w:rPr>
      </w:pPr>
    </w:p>
    <w:p>
      <w:pPr>
        <w:spacing w:line="560" w:lineRule="exact"/>
        <w:jc w:val="both"/>
        <w:rPr>
          <w:rFonts w:ascii="宋体" w:hAnsi="宋体"/>
          <w:color w:val="auto"/>
          <w:sz w:val="32"/>
          <w:szCs w:val="28"/>
        </w:rPr>
      </w:pPr>
    </w:p>
    <w:p>
      <w:pPr>
        <w:pStyle w:val="26"/>
        <w:bidi w:val="0"/>
      </w:pPr>
    </w:p>
    <w:p>
      <w:pPr>
        <w:pStyle w:val="26"/>
        <w:bidi w:val="0"/>
      </w:pPr>
    </w:p>
    <w:p>
      <w:pPr>
        <w:spacing w:line="560" w:lineRule="exact"/>
        <w:jc w:val="both"/>
        <w:rPr>
          <w:rFonts w:ascii="宋体" w:hAnsi="宋体"/>
          <w:color w:val="auto"/>
          <w:sz w:val="32"/>
          <w:szCs w:val="28"/>
        </w:rPr>
      </w:pPr>
    </w:p>
    <w:p>
      <w:pPr>
        <w:spacing w:line="560" w:lineRule="exact"/>
        <w:jc w:val="both"/>
        <w:rPr>
          <w:rFonts w:ascii="宋体" w:hAnsi="宋体"/>
          <w:color w:val="auto"/>
          <w:sz w:val="32"/>
          <w:szCs w:val="28"/>
        </w:rPr>
      </w:pPr>
    </w:p>
    <w:p>
      <w:pPr>
        <w:spacing w:line="560" w:lineRule="exact"/>
        <w:jc w:val="both"/>
        <w:rPr>
          <w:rFonts w:hint="eastAsia" w:ascii="宋体" w:hAnsi="宋体"/>
          <w:color w:val="auto"/>
          <w:sz w:val="32"/>
          <w:szCs w:val="28"/>
        </w:rPr>
      </w:pPr>
    </w:p>
    <w:p>
      <w:pPr>
        <w:spacing w:line="560" w:lineRule="exact"/>
        <w:jc w:val="both"/>
        <w:rPr>
          <w:rFonts w:hint="eastAsia" w:ascii="宋体" w:hAnsi="宋体"/>
          <w:color w:val="auto"/>
          <w:sz w:val="32"/>
          <w:szCs w:val="28"/>
        </w:rPr>
      </w:pPr>
    </w:p>
    <w:p>
      <w:pPr>
        <w:spacing w:line="560" w:lineRule="exact"/>
        <w:jc w:val="both"/>
        <w:rPr>
          <w:rFonts w:hint="eastAsia" w:ascii="宋体" w:hAnsi="宋体"/>
          <w:color w:val="auto"/>
          <w:sz w:val="32"/>
          <w:szCs w:val="28"/>
          <w:lang w:eastAsia="zh-CN"/>
        </w:rPr>
      </w:pPr>
      <w:r>
        <w:rPr>
          <w:rFonts w:hint="eastAsia" w:ascii="宋体" w:hAnsi="宋体"/>
          <w:color w:val="auto"/>
          <w:sz w:val="32"/>
          <w:szCs w:val="28"/>
        </w:rPr>
        <w:t xml:space="preserve">招 标 人： </w:t>
      </w:r>
      <w:r>
        <w:rPr>
          <w:rFonts w:hint="eastAsia" w:ascii="宋体" w:hAnsi="宋体"/>
          <w:color w:val="auto"/>
          <w:sz w:val="32"/>
          <w:szCs w:val="28"/>
          <w:lang w:eastAsia="zh-CN"/>
        </w:rPr>
        <w:t>库车市教育和教学技术局</w:t>
      </w:r>
    </w:p>
    <w:p>
      <w:pPr>
        <w:spacing w:line="560" w:lineRule="exact"/>
        <w:jc w:val="both"/>
        <w:rPr>
          <w:rFonts w:hint="eastAsia" w:ascii="宋体" w:hAnsi="宋体" w:eastAsiaTheme="minorEastAsia"/>
          <w:color w:val="auto"/>
          <w:sz w:val="32"/>
          <w:szCs w:val="28"/>
          <w:lang w:val="en-US" w:eastAsia="zh-CN"/>
        </w:rPr>
      </w:pPr>
      <w:r>
        <w:rPr>
          <w:rFonts w:hint="eastAsia" w:ascii="宋体" w:hAnsi="宋体"/>
          <w:color w:val="auto"/>
          <w:sz w:val="32"/>
          <w:szCs w:val="28"/>
          <w:lang w:eastAsia="zh-CN"/>
        </w:rPr>
        <w:t>联</w:t>
      </w:r>
      <w:r>
        <w:rPr>
          <w:rFonts w:hint="eastAsia" w:ascii="宋体" w:hAnsi="宋体"/>
          <w:color w:val="auto"/>
          <w:sz w:val="32"/>
          <w:szCs w:val="28"/>
          <w:lang w:val="en-US" w:eastAsia="zh-CN"/>
        </w:rPr>
        <w:t xml:space="preserve"> </w:t>
      </w:r>
      <w:r>
        <w:rPr>
          <w:rFonts w:hint="eastAsia" w:ascii="宋体" w:hAnsi="宋体"/>
          <w:color w:val="auto"/>
          <w:sz w:val="32"/>
          <w:szCs w:val="28"/>
          <w:lang w:eastAsia="zh-CN"/>
        </w:rPr>
        <w:t>系</w:t>
      </w:r>
      <w:r>
        <w:rPr>
          <w:rFonts w:hint="eastAsia" w:ascii="宋体" w:hAnsi="宋体"/>
          <w:color w:val="auto"/>
          <w:sz w:val="32"/>
          <w:szCs w:val="28"/>
          <w:lang w:val="en-US" w:eastAsia="zh-CN"/>
        </w:rPr>
        <w:t xml:space="preserve"> </w:t>
      </w:r>
      <w:r>
        <w:rPr>
          <w:rFonts w:hint="eastAsia" w:ascii="宋体" w:hAnsi="宋体"/>
          <w:color w:val="auto"/>
          <w:sz w:val="32"/>
          <w:szCs w:val="28"/>
          <w:lang w:eastAsia="zh-CN"/>
        </w:rPr>
        <w:t>人：陈长瑞</w:t>
      </w:r>
    </w:p>
    <w:p>
      <w:pPr>
        <w:spacing w:line="560" w:lineRule="exact"/>
        <w:jc w:val="both"/>
        <w:rPr>
          <w:rFonts w:hint="eastAsia" w:ascii="宋体" w:hAnsi="宋体"/>
          <w:color w:val="auto"/>
          <w:sz w:val="32"/>
          <w:szCs w:val="28"/>
          <w:lang w:eastAsia="zh-CN"/>
        </w:rPr>
      </w:pPr>
      <w:r>
        <w:rPr>
          <w:rFonts w:hint="eastAsia" w:ascii="宋体" w:hAnsi="宋体"/>
          <w:color w:val="auto"/>
          <w:sz w:val="32"/>
          <w:szCs w:val="28"/>
        </w:rPr>
        <w:t>代理机构：</w:t>
      </w:r>
      <w:r>
        <w:rPr>
          <w:rFonts w:hint="eastAsia" w:ascii="宋体" w:hAnsi="宋体"/>
          <w:color w:val="auto"/>
          <w:sz w:val="32"/>
          <w:szCs w:val="28"/>
          <w:lang w:eastAsia="zh-CN"/>
        </w:rPr>
        <w:t>新疆星建华汇工程项目管理有限公司</w:t>
      </w:r>
    </w:p>
    <w:p>
      <w:pPr>
        <w:spacing w:line="560" w:lineRule="exact"/>
        <w:jc w:val="both"/>
        <w:rPr>
          <w:rFonts w:hint="eastAsia" w:ascii="宋体" w:hAnsi="宋体"/>
          <w:color w:val="auto"/>
          <w:sz w:val="32"/>
          <w:szCs w:val="32"/>
          <w:lang w:val="en-US" w:eastAsia="zh-CN"/>
        </w:rPr>
      </w:pPr>
      <w:r>
        <w:rPr>
          <w:rFonts w:hint="eastAsia" w:ascii="宋体" w:hAnsi="宋体"/>
          <w:color w:val="auto"/>
          <w:sz w:val="32"/>
          <w:szCs w:val="28"/>
          <w:lang w:eastAsia="zh-CN"/>
        </w:rPr>
        <w:t>联系人：</w:t>
      </w:r>
      <w:r>
        <w:rPr>
          <w:rFonts w:hint="eastAsia" w:ascii="宋体" w:hAnsi="宋体"/>
          <w:color w:val="auto"/>
          <w:sz w:val="32"/>
          <w:szCs w:val="32"/>
          <w:lang w:val="en-US" w:eastAsia="zh-CN"/>
        </w:rPr>
        <w:t>陶明江</w:t>
      </w:r>
    </w:p>
    <w:p>
      <w:pPr>
        <w:pStyle w:val="26"/>
        <w:bidi w:val="0"/>
        <w:rPr>
          <w:rFonts w:hint="eastAsia" w:ascii="宋体" w:hAnsi="宋体" w:eastAsiaTheme="minorEastAsia" w:cstheme="minorBidi"/>
          <w:color w:val="auto"/>
          <w:kern w:val="2"/>
          <w:sz w:val="32"/>
          <w:szCs w:val="28"/>
          <w:lang w:val="en-US" w:eastAsia="zh-CN" w:bidi="ar-SA"/>
        </w:rPr>
      </w:pPr>
      <w:r>
        <w:rPr>
          <w:rFonts w:hint="eastAsia" w:ascii="宋体" w:hAnsi="宋体" w:eastAsiaTheme="minorEastAsia" w:cstheme="minorBidi"/>
          <w:color w:val="auto"/>
          <w:kern w:val="2"/>
          <w:sz w:val="32"/>
          <w:szCs w:val="28"/>
          <w:lang w:val="en-US" w:eastAsia="zh-CN" w:bidi="ar-SA"/>
        </w:rPr>
        <w:t>联系电话：13565102810</w:t>
      </w:r>
    </w:p>
    <w:p>
      <w:pPr>
        <w:pStyle w:val="26"/>
        <w:bidi w:val="0"/>
        <w:rPr>
          <w:rFonts w:hint="eastAsia"/>
          <w:lang w:eastAsia="zh-CN"/>
        </w:rPr>
      </w:pPr>
    </w:p>
    <w:p>
      <w:pPr>
        <w:spacing w:line="560" w:lineRule="exact"/>
        <w:ind w:firstLine="2240" w:firstLineChars="700"/>
        <w:rPr>
          <w:rFonts w:ascii="宋体" w:hAnsi="宋体"/>
          <w:color w:val="auto"/>
          <w:sz w:val="32"/>
          <w:szCs w:val="28"/>
        </w:rPr>
      </w:pPr>
      <w:r>
        <w:rPr>
          <w:rFonts w:hint="eastAsia" w:ascii="宋体" w:hAnsi="宋体"/>
          <w:color w:val="auto"/>
          <w:sz w:val="32"/>
          <w:szCs w:val="28"/>
        </w:rPr>
        <w:tab/>
      </w:r>
    </w:p>
    <w:p>
      <w:pPr>
        <w:jc w:val="both"/>
        <w:rPr>
          <w:rFonts w:ascii="宋体" w:hAnsi="宋体"/>
          <w:color w:val="auto"/>
          <w:sz w:val="32"/>
          <w:szCs w:val="28"/>
        </w:rPr>
      </w:pPr>
    </w:p>
    <w:p>
      <w:pPr>
        <w:jc w:val="center"/>
        <w:outlineLvl w:val="9"/>
        <w:rPr>
          <w:rFonts w:ascii="宋体" w:hAnsi="宋体"/>
          <w:b/>
          <w:bCs/>
          <w:color w:val="auto"/>
          <w:sz w:val="48"/>
          <w:szCs w:val="48"/>
        </w:rPr>
      </w:pPr>
      <w:r>
        <w:rPr>
          <w:rFonts w:hint="eastAsia" w:ascii="宋体" w:hAnsi="宋体"/>
          <w:b/>
          <w:bCs/>
          <w:color w:val="auto"/>
          <w:sz w:val="48"/>
          <w:szCs w:val="48"/>
          <w:lang w:val="en-US" w:eastAsia="zh-CN"/>
        </w:rPr>
        <w:t>竞争性磋商文件</w:t>
      </w:r>
    </w:p>
    <w:p>
      <w:pPr>
        <w:pStyle w:val="11"/>
        <w:bidi w:val="0"/>
        <w:rPr>
          <w:color w:val="auto"/>
        </w:rPr>
      </w:pPr>
    </w:p>
    <w:p>
      <w:pPr>
        <w:rPr>
          <w:color w:val="auto"/>
        </w:rPr>
      </w:pPr>
    </w:p>
    <w:p>
      <w:pPr>
        <w:spacing w:line="360" w:lineRule="auto"/>
        <w:ind w:left="1526" w:leftChars="0" w:hanging="1526" w:hangingChars="477"/>
        <w:outlineLvl w:val="9"/>
        <w:rPr>
          <w:rFonts w:hint="eastAsia" w:ascii="宋体" w:hAnsi="宋体"/>
          <w:color w:val="auto"/>
          <w:sz w:val="32"/>
          <w:szCs w:val="32"/>
          <w:lang w:val="en-US" w:eastAsia="zh-CN"/>
        </w:rPr>
      </w:pPr>
      <w:r>
        <w:rPr>
          <w:rFonts w:hint="eastAsia" w:ascii="宋体" w:hAnsi="宋体"/>
          <w:color w:val="auto"/>
          <w:sz w:val="32"/>
          <w:szCs w:val="32"/>
        </w:rPr>
        <w:t>项目名称：</w:t>
      </w:r>
      <w:r>
        <w:rPr>
          <w:rFonts w:hint="eastAsia" w:ascii="宋体" w:hAnsi="宋体"/>
          <w:color w:val="auto"/>
          <w:sz w:val="32"/>
          <w:szCs w:val="32"/>
          <w:lang w:val="en-US" w:eastAsia="zh-CN"/>
        </w:rPr>
        <w:t>班班通设备采购</w:t>
      </w:r>
    </w:p>
    <w:p>
      <w:pPr>
        <w:spacing w:line="360" w:lineRule="auto"/>
        <w:ind w:left="259" w:leftChars="0" w:hanging="259" w:hangingChars="81"/>
        <w:outlineLvl w:val="9"/>
        <w:rPr>
          <w:rFonts w:hint="eastAsia" w:ascii="宋体" w:hAnsi="宋体" w:eastAsia="宋体"/>
          <w:color w:val="auto"/>
          <w:sz w:val="32"/>
          <w:szCs w:val="32"/>
          <w:lang w:eastAsia="zh-CN"/>
        </w:rPr>
      </w:pPr>
      <w:r>
        <w:rPr>
          <w:rFonts w:hint="eastAsia" w:ascii="宋体" w:hAnsi="宋体"/>
          <w:color w:val="auto"/>
          <w:sz w:val="32"/>
          <w:szCs w:val="32"/>
        </w:rPr>
        <w:t>招   标  人：</w:t>
      </w:r>
      <w:r>
        <w:rPr>
          <w:rFonts w:hint="eastAsia" w:ascii="宋体" w:hAnsi="宋体"/>
          <w:color w:val="auto"/>
          <w:sz w:val="32"/>
          <w:szCs w:val="32"/>
          <w:lang w:val="en-US" w:eastAsia="zh-CN"/>
        </w:rPr>
        <w:t xml:space="preserve">库车市教育和教学技术局 </w:t>
      </w:r>
    </w:p>
    <w:p>
      <w:pPr>
        <w:spacing w:line="360" w:lineRule="auto"/>
        <w:ind w:left="259" w:leftChars="0" w:hanging="259" w:hangingChars="81"/>
        <w:jc w:val="left"/>
        <w:outlineLvl w:val="9"/>
        <w:rPr>
          <w:rFonts w:ascii="宋体" w:hAnsi="宋体"/>
          <w:color w:val="auto"/>
          <w:sz w:val="32"/>
          <w:szCs w:val="32"/>
        </w:rPr>
      </w:pPr>
      <w:r>
        <w:rPr>
          <w:rFonts w:hint="eastAsia" w:ascii="宋体" w:hAnsi="宋体"/>
          <w:color w:val="auto"/>
          <w:sz w:val="32"/>
          <w:szCs w:val="32"/>
        </w:rPr>
        <w:t xml:space="preserve">法定代表人（签章）： </w:t>
      </w:r>
    </w:p>
    <w:p>
      <w:pPr>
        <w:spacing w:line="360" w:lineRule="auto"/>
        <w:ind w:left="259" w:leftChars="0" w:hanging="259" w:hangingChars="81"/>
        <w:jc w:val="left"/>
        <w:outlineLvl w:val="9"/>
        <w:rPr>
          <w:rFonts w:hint="eastAsia" w:ascii="宋体" w:hAnsi="宋体" w:eastAsia="宋体"/>
          <w:color w:val="auto"/>
          <w:sz w:val="32"/>
          <w:szCs w:val="32"/>
          <w:lang w:eastAsia="zh-CN"/>
        </w:rPr>
      </w:pPr>
      <w:r>
        <w:rPr>
          <w:rFonts w:hint="eastAsia" w:ascii="宋体" w:hAnsi="宋体"/>
          <w:color w:val="auto"/>
          <w:sz w:val="32"/>
          <w:szCs w:val="32"/>
        </w:rPr>
        <w:t>联 系 人：</w:t>
      </w:r>
      <w:r>
        <w:rPr>
          <w:rFonts w:hint="eastAsia" w:ascii="宋体" w:hAnsi="宋体"/>
          <w:color w:val="auto"/>
          <w:sz w:val="32"/>
          <w:szCs w:val="32"/>
          <w:lang w:eastAsia="zh-CN"/>
        </w:rPr>
        <w:t>陈长瑞</w:t>
      </w:r>
    </w:p>
    <w:p>
      <w:pPr>
        <w:adjustRightInd w:val="0"/>
        <w:snapToGrid w:val="0"/>
        <w:spacing w:line="360" w:lineRule="auto"/>
        <w:ind w:left="259" w:leftChars="0" w:hanging="259" w:hangingChars="81"/>
        <w:outlineLvl w:val="9"/>
        <w:rPr>
          <w:rFonts w:hint="default" w:ascii="宋体" w:hAnsi="宋体" w:eastAsia="宋体"/>
          <w:color w:val="auto"/>
          <w:sz w:val="32"/>
          <w:szCs w:val="32"/>
          <w:lang w:val="en-US" w:eastAsia="zh-CN"/>
        </w:rPr>
      </w:pPr>
      <w:r>
        <w:rPr>
          <w:rFonts w:hint="eastAsia" w:ascii="宋体" w:hAnsi="宋体"/>
          <w:color w:val="auto"/>
          <w:sz w:val="32"/>
          <w:szCs w:val="32"/>
        </w:rPr>
        <w:t>电  话：</w:t>
      </w:r>
      <w:r>
        <w:rPr>
          <w:rFonts w:hint="eastAsia" w:ascii="宋体" w:hAnsi="宋体"/>
          <w:color w:val="auto"/>
          <w:sz w:val="32"/>
          <w:szCs w:val="32"/>
          <w:lang w:val="en-US" w:eastAsia="zh-CN"/>
        </w:rPr>
        <w:t>0997-7130328</w:t>
      </w:r>
    </w:p>
    <w:p>
      <w:pPr>
        <w:spacing w:line="360" w:lineRule="auto"/>
        <w:ind w:firstLine="480" w:firstLineChars="150"/>
        <w:jc w:val="left"/>
        <w:outlineLvl w:val="9"/>
        <w:rPr>
          <w:rFonts w:hint="eastAsia" w:ascii="宋体" w:hAnsi="宋体"/>
          <w:color w:val="auto"/>
          <w:sz w:val="32"/>
          <w:szCs w:val="32"/>
        </w:rPr>
      </w:pPr>
      <w:r>
        <w:rPr>
          <w:rFonts w:hint="eastAsia" w:ascii="宋体" w:hAnsi="宋体"/>
          <w:color w:val="auto"/>
          <w:sz w:val="32"/>
          <w:szCs w:val="32"/>
        </w:rPr>
        <w:t xml:space="preserve">   </w:t>
      </w:r>
    </w:p>
    <w:p>
      <w:pPr>
        <w:spacing w:line="480" w:lineRule="auto"/>
        <w:ind w:firstLine="480" w:firstLineChars="150"/>
        <w:jc w:val="left"/>
        <w:outlineLvl w:val="9"/>
        <w:rPr>
          <w:rFonts w:ascii="宋体" w:hAnsi="宋体"/>
          <w:color w:val="auto"/>
          <w:sz w:val="32"/>
          <w:szCs w:val="32"/>
        </w:rPr>
      </w:pPr>
    </w:p>
    <w:p>
      <w:pPr>
        <w:spacing w:line="480" w:lineRule="auto"/>
        <w:jc w:val="left"/>
        <w:outlineLvl w:val="9"/>
        <w:rPr>
          <w:rFonts w:ascii="宋体" w:hAnsi="宋体"/>
          <w:color w:val="auto"/>
          <w:sz w:val="32"/>
          <w:szCs w:val="32"/>
        </w:rPr>
      </w:pPr>
    </w:p>
    <w:p>
      <w:pPr>
        <w:spacing w:line="360" w:lineRule="auto"/>
        <w:jc w:val="left"/>
        <w:outlineLvl w:val="9"/>
        <w:rPr>
          <w:rFonts w:hint="eastAsia" w:ascii="宋体" w:hAnsi="宋体" w:eastAsia="宋体"/>
          <w:color w:val="auto"/>
          <w:sz w:val="32"/>
          <w:szCs w:val="32"/>
          <w:lang w:eastAsia="zh-CN"/>
        </w:rPr>
      </w:pPr>
      <w:r>
        <w:rPr>
          <w:rFonts w:hint="eastAsia" w:ascii="宋体" w:hAnsi="宋体"/>
          <w:color w:val="auto"/>
          <w:sz w:val="32"/>
          <w:szCs w:val="32"/>
        </w:rPr>
        <w:t>招标代理机构：</w:t>
      </w:r>
      <w:r>
        <w:rPr>
          <w:rFonts w:hint="eastAsia" w:ascii="宋体" w:hAnsi="宋体"/>
          <w:color w:val="auto"/>
          <w:sz w:val="32"/>
          <w:szCs w:val="32"/>
          <w:lang w:eastAsia="zh-CN"/>
        </w:rPr>
        <w:t>新疆星建华汇工程项目管理有限公司</w:t>
      </w:r>
    </w:p>
    <w:p>
      <w:pPr>
        <w:spacing w:line="360" w:lineRule="auto"/>
        <w:jc w:val="left"/>
        <w:outlineLvl w:val="9"/>
        <w:rPr>
          <w:rFonts w:ascii="宋体" w:hAnsi="宋体"/>
          <w:color w:val="auto"/>
          <w:sz w:val="32"/>
          <w:szCs w:val="32"/>
        </w:rPr>
      </w:pPr>
      <w:r>
        <w:rPr>
          <w:rFonts w:hint="eastAsia" w:ascii="宋体" w:hAnsi="宋体"/>
          <w:color w:val="auto"/>
          <w:spacing w:val="25"/>
          <w:sz w:val="32"/>
          <w:szCs w:val="32"/>
        </w:rPr>
        <w:t>法定代表人</w:t>
      </w:r>
      <w:r>
        <w:rPr>
          <w:rFonts w:hint="eastAsia" w:ascii="宋体" w:hAnsi="宋体"/>
          <w:color w:val="auto"/>
          <w:sz w:val="32"/>
          <w:szCs w:val="32"/>
        </w:rPr>
        <w:t>（签章）</w:t>
      </w:r>
      <w:r>
        <w:rPr>
          <w:rFonts w:hint="eastAsia" w:ascii="宋体" w:hAnsi="宋体"/>
          <w:color w:val="auto"/>
          <w:spacing w:val="25"/>
          <w:sz w:val="32"/>
          <w:szCs w:val="32"/>
        </w:rPr>
        <w:t>：</w:t>
      </w:r>
      <w:r>
        <w:rPr>
          <w:rFonts w:hint="eastAsia" w:ascii="宋体" w:hAnsi="宋体"/>
          <w:color w:val="auto"/>
          <w:sz w:val="32"/>
          <w:szCs w:val="32"/>
        </w:rPr>
        <w:t xml:space="preserve"> </w:t>
      </w:r>
    </w:p>
    <w:p>
      <w:pPr>
        <w:spacing w:line="360" w:lineRule="auto"/>
        <w:ind w:left="0" w:leftChars="0" w:firstLine="0" w:firstLineChars="0"/>
        <w:jc w:val="left"/>
        <w:outlineLvl w:val="9"/>
        <w:rPr>
          <w:rFonts w:hint="eastAsia" w:ascii="宋体" w:hAnsi="宋体" w:eastAsia="宋体"/>
          <w:color w:val="auto"/>
          <w:sz w:val="32"/>
          <w:szCs w:val="32"/>
          <w:lang w:val="en-US" w:eastAsia="zh-CN"/>
        </w:rPr>
      </w:pPr>
      <w:r>
        <w:rPr>
          <w:rFonts w:hint="eastAsia" w:ascii="宋体" w:hAnsi="宋体"/>
          <w:color w:val="auto"/>
          <w:sz w:val="32"/>
          <w:szCs w:val="32"/>
        </w:rPr>
        <w:t>联 系 人：</w:t>
      </w:r>
      <w:r>
        <w:rPr>
          <w:rFonts w:hint="eastAsia" w:ascii="宋体" w:hAnsi="宋体"/>
          <w:color w:val="auto"/>
          <w:sz w:val="32"/>
          <w:szCs w:val="32"/>
          <w:lang w:val="en-US" w:eastAsia="zh-CN"/>
        </w:rPr>
        <w:t>陶明江</w:t>
      </w:r>
    </w:p>
    <w:p>
      <w:pPr>
        <w:spacing w:line="360" w:lineRule="auto"/>
        <w:ind w:left="0" w:leftChars="0" w:firstLine="0" w:firstLineChars="0"/>
        <w:jc w:val="left"/>
        <w:outlineLvl w:val="9"/>
        <w:rPr>
          <w:rFonts w:hint="eastAsia" w:ascii="宋体" w:hAnsi="宋体"/>
          <w:color w:val="auto"/>
          <w:sz w:val="32"/>
          <w:szCs w:val="32"/>
        </w:rPr>
      </w:pPr>
      <w:r>
        <w:rPr>
          <w:rFonts w:hint="eastAsia" w:ascii="宋体" w:hAnsi="宋体"/>
          <w:color w:val="auto"/>
          <w:sz w:val="32"/>
          <w:szCs w:val="32"/>
        </w:rPr>
        <w:t>电  话：</w:t>
      </w:r>
      <w:r>
        <w:rPr>
          <w:rFonts w:hint="eastAsia" w:ascii="宋体" w:hAnsi="宋体"/>
          <w:color w:val="auto"/>
          <w:sz w:val="32"/>
          <w:szCs w:val="32"/>
          <w:lang w:val="en-US" w:eastAsia="zh-CN"/>
        </w:rPr>
        <w:t>13565102810</w:t>
      </w:r>
    </w:p>
    <w:p>
      <w:pPr>
        <w:spacing w:line="360" w:lineRule="auto"/>
        <w:ind w:left="0" w:leftChars="0" w:firstLine="0" w:firstLineChars="0"/>
        <w:jc w:val="left"/>
        <w:outlineLvl w:val="9"/>
        <w:rPr>
          <w:rFonts w:hint="eastAsia" w:ascii="宋体" w:hAnsi="宋体" w:eastAsia="宋体"/>
          <w:color w:val="auto"/>
          <w:sz w:val="32"/>
          <w:szCs w:val="32"/>
          <w:lang w:eastAsia="zh-CN"/>
        </w:rPr>
      </w:pPr>
      <w:r>
        <w:rPr>
          <w:rFonts w:hint="eastAsia" w:ascii="宋体" w:hAnsi="宋体"/>
          <w:color w:val="auto"/>
          <w:sz w:val="32"/>
          <w:szCs w:val="32"/>
        </w:rPr>
        <w:t>联系地址：</w:t>
      </w:r>
      <w:r>
        <w:rPr>
          <w:rFonts w:hint="eastAsia" w:ascii="宋体" w:hAnsi="宋体"/>
          <w:color w:val="auto"/>
          <w:sz w:val="32"/>
          <w:szCs w:val="32"/>
          <w:lang w:eastAsia="zh-CN"/>
        </w:rPr>
        <w:t>库车</w:t>
      </w:r>
      <w:r>
        <w:rPr>
          <w:rFonts w:hint="eastAsia" w:ascii="宋体" w:hAnsi="宋体"/>
          <w:color w:val="auto"/>
          <w:sz w:val="32"/>
          <w:szCs w:val="32"/>
          <w:lang w:val="en-US" w:eastAsia="zh-CN"/>
        </w:rPr>
        <w:t>市</w:t>
      </w:r>
      <w:r>
        <w:rPr>
          <w:rFonts w:hint="eastAsia" w:ascii="宋体" w:hAnsi="宋体"/>
          <w:color w:val="auto"/>
          <w:sz w:val="32"/>
          <w:szCs w:val="32"/>
          <w:lang w:eastAsia="zh-CN"/>
        </w:rPr>
        <w:t>金兹花园物业二楼</w:t>
      </w:r>
    </w:p>
    <w:p>
      <w:pPr>
        <w:pStyle w:val="23"/>
        <w:bidi w:val="0"/>
        <w:rPr>
          <w:rFonts w:hint="eastAsia"/>
          <w:color w:val="auto"/>
        </w:rPr>
      </w:pPr>
    </w:p>
    <w:p>
      <w:pPr>
        <w:pStyle w:val="23"/>
        <w:bidi w:val="0"/>
        <w:rPr>
          <w:rFonts w:hint="eastAsia"/>
          <w:color w:val="auto"/>
        </w:rPr>
      </w:pPr>
    </w:p>
    <w:p>
      <w:pPr>
        <w:pStyle w:val="23"/>
        <w:bidi w:val="0"/>
        <w:rPr>
          <w:rFonts w:hint="eastAsia"/>
          <w:color w:val="auto"/>
        </w:rPr>
      </w:pPr>
    </w:p>
    <w:p>
      <w:pPr>
        <w:pStyle w:val="23"/>
        <w:bidi w:val="0"/>
        <w:rPr>
          <w:rFonts w:hint="eastAsia"/>
          <w:color w:val="auto"/>
        </w:rPr>
      </w:pPr>
    </w:p>
    <w:p>
      <w:pPr>
        <w:pStyle w:val="23"/>
        <w:bidi w:val="0"/>
        <w:jc w:val="center"/>
        <w:rPr>
          <w:rFonts w:hint="eastAsia" w:eastAsia="宋体"/>
          <w:color w:val="auto"/>
          <w:sz w:val="24"/>
          <w:szCs w:val="44"/>
          <w:lang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color w:val="auto"/>
          <w:sz w:val="24"/>
          <w:szCs w:val="44"/>
          <w:lang w:eastAsia="zh-CN"/>
        </w:rPr>
        <w:t>二零二一年</w:t>
      </w:r>
      <w:r>
        <w:rPr>
          <w:rFonts w:hint="eastAsia"/>
          <w:color w:val="auto"/>
          <w:sz w:val="24"/>
          <w:szCs w:val="44"/>
          <w:lang w:val="en-US" w:eastAsia="zh-CN"/>
        </w:rPr>
        <w:t>十</w:t>
      </w:r>
      <w:r>
        <w:rPr>
          <w:rFonts w:hint="eastAsia"/>
          <w:color w:val="auto"/>
          <w:sz w:val="24"/>
          <w:szCs w:val="44"/>
          <w:lang w:eastAsia="zh-CN"/>
        </w:rPr>
        <w:t>月</w:t>
      </w:r>
    </w:p>
    <w:p>
      <w:pPr>
        <w:spacing w:line="500" w:lineRule="exact"/>
        <w:jc w:val="center"/>
        <w:rPr>
          <w:rFonts w:ascii="宋体"/>
          <w:b/>
          <w:bCs/>
          <w:color w:val="auto"/>
          <w:sz w:val="48"/>
          <w:szCs w:val="48"/>
        </w:rPr>
      </w:pPr>
      <w:r>
        <w:rPr>
          <w:rFonts w:hint="eastAsia" w:ascii="宋体" w:hAnsi="宋体" w:cs="宋体"/>
          <w:b/>
          <w:bCs/>
          <w:color w:val="auto"/>
          <w:sz w:val="48"/>
          <w:szCs w:val="48"/>
        </w:rPr>
        <w:t>目录</w:t>
      </w:r>
    </w:p>
    <w:p>
      <w:pPr>
        <w:spacing w:line="500" w:lineRule="exact"/>
        <w:jc w:val="center"/>
        <w:outlineLvl w:val="9"/>
        <w:rPr>
          <w:rFonts w:ascii="宋体"/>
          <w:b/>
          <w:bCs/>
          <w:color w:val="auto"/>
          <w:sz w:val="44"/>
          <w:szCs w:val="44"/>
        </w:rPr>
      </w:pPr>
    </w:p>
    <w:sdt>
      <w:sdtPr>
        <w:rPr>
          <w:rFonts w:ascii="宋体" w:hAnsi="宋体" w:eastAsia="宋体" w:cstheme="minorBidi"/>
          <w:color w:val="auto"/>
          <w:kern w:val="2"/>
          <w:sz w:val="30"/>
          <w:szCs w:val="30"/>
          <w:lang w:val="en-US" w:eastAsia="zh-CN" w:bidi="ar-SA"/>
        </w:rPr>
        <w:id w:val="147464411"/>
        <w15:color w:val="DBDBDB"/>
        <w:docPartObj>
          <w:docPartGallery w:val="Table of Contents"/>
          <w:docPartUnique/>
        </w:docPartObj>
      </w:sdtPr>
      <w:sdtEndPr>
        <w:rPr>
          <w:rFonts w:hint="eastAsia" w:ascii="宋体" w:hAnsi="宋体" w:eastAsia="宋体" w:cs="宋体"/>
          <w:bCs/>
          <w:color w:val="auto"/>
          <w:kern w:val="2"/>
          <w:sz w:val="21"/>
          <w:szCs w:val="30"/>
          <w:lang w:val="en-US" w:eastAsia="zh-CN" w:bidi="ar-SA"/>
        </w:rPr>
      </w:sdtEndPr>
      <w:sdtContent>
        <w:p>
          <w:pPr>
            <w:spacing w:before="0" w:beforeLines="0" w:after="0" w:afterLines="0" w:line="240" w:lineRule="auto"/>
            <w:ind w:left="0" w:leftChars="0" w:right="0" w:rightChars="0" w:firstLine="0" w:firstLineChars="0"/>
            <w:jc w:val="center"/>
            <w:rPr>
              <w:color w:val="auto"/>
              <w:sz w:val="30"/>
              <w:szCs w:val="30"/>
            </w:rPr>
          </w:pPr>
          <w:bookmarkStart w:id="0" w:name="_Hlk39663443"/>
          <w:bookmarkStart w:id="1" w:name="_Hlk39648029"/>
          <w:bookmarkStart w:id="2" w:name="_Hlk13586256"/>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
              <w:bCs/>
              <w:color w:val="auto"/>
              <w:sz w:val="30"/>
              <w:szCs w:val="30"/>
              <w:lang w:eastAsia="zh-CN"/>
            </w:rPr>
            <w:fldChar w:fldCharType="begin"/>
          </w:r>
          <w:r>
            <w:rPr>
              <w:rFonts w:hint="eastAsia" w:ascii="宋体" w:hAnsi="宋体" w:eastAsia="宋体" w:cs="宋体"/>
              <w:b/>
              <w:bCs/>
              <w:color w:val="auto"/>
              <w:sz w:val="30"/>
              <w:szCs w:val="30"/>
              <w:lang w:eastAsia="zh-CN"/>
            </w:rPr>
            <w:instrText xml:space="preserve">TOC \o "1-1" \h \u </w:instrText>
          </w:r>
          <w:r>
            <w:rPr>
              <w:rFonts w:hint="eastAsia" w:ascii="宋体" w:hAnsi="宋体" w:eastAsia="宋体" w:cs="宋体"/>
              <w:b/>
              <w:bCs/>
              <w:color w:val="auto"/>
              <w:sz w:val="30"/>
              <w:szCs w:val="30"/>
              <w:lang w:eastAsia="zh-CN"/>
            </w:rPr>
            <w:fldChar w:fldCharType="separate"/>
          </w: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_Toc17029 </w:instrText>
          </w:r>
          <w:r>
            <w:rPr>
              <w:rFonts w:hint="eastAsia" w:ascii="宋体" w:hAnsi="宋体" w:eastAsia="宋体" w:cs="宋体"/>
              <w:bCs/>
              <w:color w:val="auto"/>
              <w:sz w:val="28"/>
              <w:szCs w:val="28"/>
              <w:lang w:eastAsia="zh-CN"/>
            </w:rPr>
            <w:fldChar w:fldCharType="separate"/>
          </w:r>
          <w:r>
            <w:rPr>
              <w:rFonts w:hint="eastAsia" w:ascii="宋体" w:hAnsi="宋体" w:eastAsia="宋体" w:cs="宋体"/>
              <w:bCs/>
              <w:color w:val="auto"/>
              <w:sz w:val="28"/>
              <w:szCs w:val="28"/>
              <w:lang w:eastAsia="zh-CN"/>
            </w:rPr>
            <w:t>第一章</w:t>
          </w:r>
          <w:r>
            <w:rPr>
              <w:rFonts w:hint="eastAsia" w:eastAsia="黑体"/>
              <w:bCs/>
              <w:color w:val="auto"/>
              <w:sz w:val="28"/>
              <w:szCs w:val="28"/>
              <w:lang w:val="en-US" w:eastAsia="zh-CN"/>
            </w:rPr>
            <w:t xml:space="preserve"> </w:t>
          </w:r>
          <w:r>
            <w:rPr>
              <w:rFonts w:hint="eastAsia"/>
              <w:bCs/>
              <w:color w:val="auto"/>
              <w:sz w:val="28"/>
              <w:szCs w:val="28"/>
            </w:rPr>
            <w:t>竞争性磋商公告</w:t>
          </w:r>
          <w:r>
            <w:rPr>
              <w:color w:val="auto"/>
              <w:sz w:val="28"/>
              <w:szCs w:val="28"/>
            </w:rPr>
            <w:tab/>
          </w:r>
          <w:r>
            <w:rPr>
              <w:color w:val="auto"/>
              <w:sz w:val="28"/>
              <w:szCs w:val="28"/>
            </w:rPr>
            <w:fldChar w:fldCharType="begin"/>
          </w:r>
          <w:r>
            <w:rPr>
              <w:color w:val="auto"/>
              <w:sz w:val="28"/>
              <w:szCs w:val="28"/>
            </w:rPr>
            <w:instrText xml:space="preserve"> PAGEREF _Toc17029 \h </w:instrText>
          </w:r>
          <w:r>
            <w:rPr>
              <w:color w:val="auto"/>
              <w:sz w:val="28"/>
              <w:szCs w:val="28"/>
            </w:rPr>
            <w:fldChar w:fldCharType="separate"/>
          </w:r>
          <w:r>
            <w:rPr>
              <w:color w:val="auto"/>
              <w:sz w:val="28"/>
              <w:szCs w:val="28"/>
            </w:rPr>
            <w:t>1</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_Toc8759 </w:instrText>
          </w:r>
          <w:r>
            <w:rPr>
              <w:rFonts w:hint="eastAsia" w:ascii="宋体" w:hAnsi="宋体" w:eastAsia="宋体" w:cs="宋体"/>
              <w:bCs/>
              <w:color w:val="auto"/>
              <w:sz w:val="28"/>
              <w:szCs w:val="28"/>
              <w:lang w:eastAsia="zh-CN"/>
            </w:rPr>
            <w:fldChar w:fldCharType="separate"/>
          </w:r>
          <w:r>
            <w:rPr>
              <w:rFonts w:hint="eastAsia"/>
              <w:bCs/>
              <w:color w:val="auto"/>
              <w:sz w:val="28"/>
              <w:szCs w:val="28"/>
              <w:lang w:val="en-US" w:eastAsia="zh-CN"/>
            </w:rPr>
            <w:t>第二章 供应商须知</w:t>
          </w:r>
          <w:r>
            <w:rPr>
              <w:color w:val="auto"/>
              <w:sz w:val="28"/>
              <w:szCs w:val="28"/>
            </w:rPr>
            <w:tab/>
          </w:r>
          <w:r>
            <w:rPr>
              <w:color w:val="auto"/>
              <w:sz w:val="28"/>
              <w:szCs w:val="28"/>
            </w:rPr>
            <w:fldChar w:fldCharType="begin"/>
          </w:r>
          <w:r>
            <w:rPr>
              <w:color w:val="auto"/>
              <w:sz w:val="28"/>
              <w:szCs w:val="28"/>
            </w:rPr>
            <w:instrText xml:space="preserve"> PAGEREF _Toc8759 \h </w:instrText>
          </w:r>
          <w:r>
            <w:rPr>
              <w:color w:val="auto"/>
              <w:sz w:val="28"/>
              <w:szCs w:val="28"/>
            </w:rPr>
            <w:fldChar w:fldCharType="separate"/>
          </w:r>
          <w:r>
            <w:rPr>
              <w:color w:val="auto"/>
              <w:sz w:val="28"/>
              <w:szCs w:val="28"/>
            </w:rPr>
            <w:t>2</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_Toc4798 </w:instrText>
          </w:r>
          <w:r>
            <w:rPr>
              <w:rFonts w:hint="eastAsia" w:ascii="宋体" w:hAnsi="宋体" w:eastAsia="宋体" w:cs="宋体"/>
              <w:bCs/>
              <w:color w:val="auto"/>
              <w:sz w:val="28"/>
              <w:szCs w:val="28"/>
              <w:lang w:eastAsia="zh-CN"/>
            </w:rPr>
            <w:fldChar w:fldCharType="separate"/>
          </w:r>
          <w:r>
            <w:rPr>
              <w:rFonts w:hAnsi="宋体"/>
              <w:bCs/>
              <w:color w:val="auto"/>
              <w:sz w:val="28"/>
              <w:szCs w:val="28"/>
            </w:rPr>
            <w:t>第三章</w:t>
          </w:r>
          <w:r>
            <w:rPr>
              <w:rFonts w:hint="eastAsia" w:hAnsi="宋体"/>
              <w:bCs/>
              <w:color w:val="auto"/>
              <w:sz w:val="28"/>
              <w:szCs w:val="28"/>
            </w:rPr>
            <w:t xml:space="preserve">  政府采购合同</w:t>
          </w:r>
          <w:r>
            <w:rPr>
              <w:color w:val="auto"/>
              <w:sz w:val="28"/>
              <w:szCs w:val="28"/>
            </w:rPr>
            <w:tab/>
          </w:r>
          <w:r>
            <w:rPr>
              <w:color w:val="auto"/>
              <w:sz w:val="28"/>
              <w:szCs w:val="28"/>
            </w:rPr>
            <w:fldChar w:fldCharType="begin"/>
          </w:r>
          <w:r>
            <w:rPr>
              <w:color w:val="auto"/>
              <w:sz w:val="28"/>
              <w:szCs w:val="28"/>
            </w:rPr>
            <w:instrText xml:space="preserve"> PAGEREF _Toc4798 \h </w:instrText>
          </w:r>
          <w:r>
            <w:rPr>
              <w:color w:val="auto"/>
              <w:sz w:val="28"/>
              <w:szCs w:val="28"/>
            </w:rPr>
            <w:fldChar w:fldCharType="separate"/>
          </w:r>
          <w:r>
            <w:rPr>
              <w:color w:val="auto"/>
              <w:sz w:val="28"/>
              <w:szCs w:val="28"/>
            </w:rPr>
            <w:t>9</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rFonts w:hint="default"/>
              <w:color w:val="auto"/>
              <w:sz w:val="28"/>
              <w:szCs w:val="28"/>
              <w:lang w:val="en-US"/>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_Toc24004 </w:instrText>
          </w:r>
          <w:r>
            <w:rPr>
              <w:rFonts w:hint="eastAsia" w:ascii="宋体" w:hAnsi="宋体" w:eastAsia="宋体" w:cs="宋体"/>
              <w:bCs/>
              <w:color w:val="auto"/>
              <w:sz w:val="28"/>
              <w:szCs w:val="28"/>
              <w:lang w:eastAsia="zh-CN"/>
            </w:rPr>
            <w:fldChar w:fldCharType="separate"/>
          </w:r>
          <w:r>
            <w:rPr>
              <w:rFonts w:hint="eastAsia" w:hAnsi="宋体"/>
              <w:bCs/>
              <w:color w:val="auto"/>
              <w:sz w:val="28"/>
              <w:szCs w:val="28"/>
            </w:rPr>
            <w:t xml:space="preserve">第四章  </w:t>
          </w:r>
          <w:r>
            <w:rPr>
              <w:rFonts w:hint="eastAsia" w:hAnsi="宋体"/>
              <w:color w:val="auto"/>
              <w:sz w:val="28"/>
              <w:szCs w:val="28"/>
            </w:rPr>
            <w:t>采购项目需求及具体要求</w:t>
          </w:r>
          <w:r>
            <w:rPr>
              <w:color w:val="auto"/>
              <w:sz w:val="28"/>
              <w:szCs w:val="28"/>
            </w:rPr>
            <w:tab/>
          </w:r>
          <w:r>
            <w:rPr>
              <w:rFonts w:hint="eastAsia"/>
              <w:color w:val="auto"/>
              <w:sz w:val="28"/>
              <w:szCs w:val="28"/>
              <w:lang w:val="en-US" w:eastAsia="zh-CN"/>
            </w:rPr>
            <w:t>1</w:t>
          </w:r>
          <w:r>
            <w:rPr>
              <w:rFonts w:hint="eastAsia" w:ascii="宋体" w:hAnsi="宋体" w:eastAsia="宋体" w:cs="宋体"/>
              <w:bCs/>
              <w:color w:val="auto"/>
              <w:sz w:val="28"/>
              <w:szCs w:val="28"/>
              <w:lang w:eastAsia="zh-CN"/>
            </w:rPr>
            <w:fldChar w:fldCharType="end"/>
          </w:r>
          <w:r>
            <w:rPr>
              <w:rFonts w:hint="eastAsia" w:ascii="宋体" w:hAnsi="宋体" w:eastAsia="宋体" w:cs="宋体"/>
              <w:bCs/>
              <w:color w:val="auto"/>
              <w:sz w:val="28"/>
              <w:szCs w:val="28"/>
              <w:lang w:val="en-US" w:eastAsia="zh-CN"/>
            </w:rPr>
            <w:t>1</w:t>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_Toc1167 </w:instrText>
          </w:r>
          <w:r>
            <w:rPr>
              <w:rFonts w:hint="eastAsia" w:ascii="宋体" w:hAnsi="宋体" w:eastAsia="宋体" w:cs="宋体"/>
              <w:bCs/>
              <w:color w:val="auto"/>
              <w:sz w:val="28"/>
              <w:szCs w:val="28"/>
              <w:lang w:eastAsia="zh-CN"/>
            </w:rPr>
            <w:fldChar w:fldCharType="separate"/>
          </w:r>
          <w:r>
            <w:rPr>
              <w:rFonts w:hint="eastAsia" w:ascii="宋体" w:hAnsi="宋体" w:eastAsia="宋体" w:cs="宋体"/>
              <w:color w:val="auto"/>
              <w:sz w:val="28"/>
              <w:szCs w:val="28"/>
              <w:lang w:eastAsia="zh-CN"/>
            </w:rPr>
            <w:t>第五章</w:t>
          </w:r>
          <w:r>
            <w:rPr>
              <w:rFonts w:hint="eastAsia" w:ascii="宋体" w:hAnsi="宋体" w:eastAsia="宋体" w:cs="宋体"/>
              <w:color w:val="auto"/>
              <w:sz w:val="28"/>
              <w:szCs w:val="28"/>
            </w:rPr>
            <w:t xml:space="preserve"> 评审程序、方法和标准</w:t>
          </w:r>
          <w:r>
            <w:rPr>
              <w:color w:val="auto"/>
              <w:sz w:val="28"/>
              <w:szCs w:val="28"/>
            </w:rPr>
            <w:tab/>
          </w:r>
          <w:r>
            <w:rPr>
              <w:color w:val="auto"/>
              <w:sz w:val="28"/>
              <w:szCs w:val="28"/>
            </w:rPr>
            <w:fldChar w:fldCharType="begin"/>
          </w:r>
          <w:r>
            <w:rPr>
              <w:color w:val="auto"/>
              <w:sz w:val="28"/>
              <w:szCs w:val="28"/>
            </w:rPr>
            <w:instrText xml:space="preserve"> PAGEREF _Toc1167 \h </w:instrText>
          </w:r>
          <w:r>
            <w:rPr>
              <w:color w:val="auto"/>
              <w:sz w:val="28"/>
              <w:szCs w:val="28"/>
            </w:rPr>
            <w:fldChar w:fldCharType="separate"/>
          </w:r>
          <w:r>
            <w:rPr>
              <w:color w:val="auto"/>
              <w:sz w:val="28"/>
              <w:szCs w:val="28"/>
            </w:rPr>
            <w:t>12</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_Toc8071 </w:instrText>
          </w:r>
          <w:r>
            <w:rPr>
              <w:rFonts w:hint="eastAsia" w:ascii="宋体" w:hAnsi="宋体" w:eastAsia="宋体" w:cs="宋体"/>
              <w:bCs/>
              <w:color w:val="auto"/>
              <w:sz w:val="28"/>
              <w:szCs w:val="28"/>
              <w:lang w:eastAsia="zh-CN"/>
            </w:rPr>
            <w:fldChar w:fldCharType="separate"/>
          </w:r>
          <w:r>
            <w:rPr>
              <w:rFonts w:hint="eastAsia"/>
              <w:bCs/>
              <w:color w:val="auto"/>
              <w:sz w:val="28"/>
              <w:szCs w:val="28"/>
              <w:highlight w:val="white"/>
              <w:lang w:eastAsia="zh-CN"/>
            </w:rPr>
            <w:t>第六章</w:t>
          </w:r>
          <w:r>
            <w:rPr>
              <w:rFonts w:hint="eastAsia"/>
              <w:color w:val="auto"/>
              <w:sz w:val="28"/>
              <w:szCs w:val="28"/>
              <w:highlight w:val="white"/>
              <w:lang w:val="en-US" w:eastAsia="zh-CN"/>
            </w:rPr>
            <w:t xml:space="preserve"> </w:t>
          </w:r>
          <w:r>
            <w:rPr>
              <w:rFonts w:hint="eastAsia" w:ascii="宋体" w:hAnsi="宋体"/>
              <w:bCs/>
              <w:color w:val="auto"/>
              <w:kern w:val="44"/>
              <w:sz w:val="28"/>
              <w:szCs w:val="28"/>
            </w:rPr>
            <w:t>竞争性磋商须知</w:t>
          </w:r>
          <w:r>
            <w:rPr>
              <w:color w:val="auto"/>
              <w:sz w:val="28"/>
              <w:szCs w:val="28"/>
            </w:rPr>
            <w:tab/>
          </w:r>
          <w:r>
            <w:rPr>
              <w:color w:val="auto"/>
              <w:sz w:val="28"/>
              <w:szCs w:val="28"/>
            </w:rPr>
            <w:fldChar w:fldCharType="begin"/>
          </w:r>
          <w:r>
            <w:rPr>
              <w:color w:val="auto"/>
              <w:sz w:val="28"/>
              <w:szCs w:val="28"/>
            </w:rPr>
            <w:instrText xml:space="preserve"> PAGEREF _Toc8071 \h </w:instrText>
          </w:r>
          <w:r>
            <w:rPr>
              <w:color w:val="auto"/>
              <w:sz w:val="28"/>
              <w:szCs w:val="28"/>
            </w:rPr>
            <w:fldChar w:fldCharType="separate"/>
          </w:r>
          <w:r>
            <w:rPr>
              <w:color w:val="auto"/>
              <w:sz w:val="28"/>
              <w:szCs w:val="28"/>
            </w:rPr>
            <w:t>26</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30"/>
              <w:szCs w:val="30"/>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_Toc27588 </w:instrText>
          </w:r>
          <w:r>
            <w:rPr>
              <w:rFonts w:hint="eastAsia" w:ascii="宋体" w:hAnsi="宋体" w:eastAsia="宋体" w:cs="宋体"/>
              <w:bCs/>
              <w:color w:val="auto"/>
              <w:sz w:val="28"/>
              <w:szCs w:val="28"/>
              <w:lang w:eastAsia="zh-CN"/>
            </w:rPr>
            <w:fldChar w:fldCharType="separate"/>
          </w:r>
          <w:r>
            <w:rPr>
              <w:rFonts w:hint="eastAsia" w:ascii="宋体" w:hAnsi="宋体"/>
              <w:color w:val="auto"/>
              <w:sz w:val="28"/>
              <w:szCs w:val="28"/>
            </w:rPr>
            <w:t>第七章  响应文件格式</w:t>
          </w:r>
          <w:r>
            <w:rPr>
              <w:color w:val="auto"/>
              <w:sz w:val="28"/>
              <w:szCs w:val="28"/>
            </w:rPr>
            <w:tab/>
          </w:r>
          <w:r>
            <w:rPr>
              <w:color w:val="auto"/>
              <w:sz w:val="28"/>
              <w:szCs w:val="28"/>
            </w:rPr>
            <w:fldChar w:fldCharType="begin"/>
          </w:r>
          <w:r>
            <w:rPr>
              <w:color w:val="auto"/>
              <w:sz w:val="28"/>
              <w:szCs w:val="28"/>
            </w:rPr>
            <w:instrText xml:space="preserve"> PAGEREF _Toc27588 \h </w:instrText>
          </w:r>
          <w:r>
            <w:rPr>
              <w:color w:val="auto"/>
              <w:sz w:val="28"/>
              <w:szCs w:val="28"/>
            </w:rPr>
            <w:fldChar w:fldCharType="separate"/>
          </w:r>
          <w:r>
            <w:rPr>
              <w:color w:val="auto"/>
              <w:sz w:val="28"/>
              <w:szCs w:val="28"/>
            </w:rPr>
            <w:t>34</w:t>
          </w:r>
          <w:r>
            <w:rPr>
              <w:color w:val="auto"/>
              <w:sz w:val="28"/>
              <w:szCs w:val="28"/>
            </w:rPr>
            <w:fldChar w:fldCharType="end"/>
          </w:r>
          <w:r>
            <w:rPr>
              <w:rFonts w:hint="eastAsia" w:ascii="宋体" w:hAnsi="宋体" w:eastAsia="宋体" w:cs="宋体"/>
              <w:bCs/>
              <w:color w:val="auto"/>
              <w:sz w:val="28"/>
              <w:szCs w:val="28"/>
              <w:lang w:eastAsia="zh-CN"/>
            </w:rPr>
            <w:fldChar w:fldCharType="end"/>
          </w:r>
        </w:p>
        <w:p>
          <w:pPr>
            <w:widowControl/>
            <w:snapToGrid w:val="0"/>
            <w:spacing w:line="400" w:lineRule="atLeast"/>
            <w:jc w:val="both"/>
            <w:rPr>
              <w:rFonts w:hint="eastAsia" w:ascii="宋体" w:hAnsi="宋体" w:eastAsia="宋体" w:cs="宋体"/>
              <w:b/>
              <w:bCs/>
              <w:color w:val="auto"/>
              <w:sz w:val="30"/>
              <w:szCs w:val="30"/>
              <w:lang w:eastAsia="zh-CN"/>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bCs/>
              <w:color w:val="auto"/>
              <w:sz w:val="30"/>
              <w:szCs w:val="30"/>
              <w:lang w:eastAsia="zh-CN"/>
            </w:rPr>
            <w:fldChar w:fldCharType="end"/>
          </w:r>
        </w:p>
      </w:sdtContent>
    </w:sdt>
    <w:p>
      <w:pPr>
        <w:widowControl/>
        <w:snapToGrid w:val="0"/>
        <w:spacing w:line="400" w:lineRule="atLeast"/>
        <w:ind w:left="29" w:firstLine="560"/>
        <w:jc w:val="center"/>
        <w:outlineLvl w:val="0"/>
        <w:rPr>
          <w:rFonts w:hint="eastAsia" w:ascii="宋体" w:hAnsi="宋体" w:eastAsia="宋体" w:cs="宋体"/>
          <w:b/>
          <w:bCs/>
          <w:color w:val="auto"/>
          <w:sz w:val="48"/>
          <w:szCs w:val="48"/>
          <w:lang w:eastAsia="zh-CN"/>
        </w:rPr>
      </w:pPr>
      <w:bookmarkStart w:id="3" w:name="_Toc17029"/>
    </w:p>
    <w:p>
      <w:pPr>
        <w:widowControl/>
        <w:snapToGrid w:val="0"/>
        <w:spacing w:line="400" w:lineRule="atLeast"/>
        <w:ind w:left="29" w:firstLine="560"/>
        <w:jc w:val="center"/>
        <w:outlineLvl w:val="0"/>
        <w:rPr>
          <w:rFonts w:hint="eastAsia" w:ascii="宋体" w:hAnsi="宋体" w:eastAsia="宋体" w:cs="宋体"/>
          <w:b/>
          <w:bCs/>
          <w:color w:val="auto"/>
          <w:sz w:val="48"/>
          <w:szCs w:val="48"/>
          <w:lang w:eastAsia="zh-CN"/>
        </w:rPr>
      </w:pPr>
    </w:p>
    <w:p>
      <w:pPr>
        <w:widowControl/>
        <w:snapToGrid w:val="0"/>
        <w:spacing w:line="400" w:lineRule="atLeast"/>
        <w:jc w:val="center"/>
        <w:outlineLvl w:val="0"/>
        <w:rPr>
          <w:rFonts w:hint="eastAsia" w:ascii="宋体" w:hAnsi="宋体" w:eastAsia="宋体" w:cs="宋体"/>
          <w:color w:val="auto"/>
          <w:sz w:val="48"/>
          <w:szCs w:val="48"/>
        </w:rPr>
      </w:pPr>
      <w:r>
        <w:rPr>
          <w:rFonts w:hint="eastAsia" w:ascii="宋体" w:hAnsi="宋体" w:eastAsia="宋体" w:cs="宋体"/>
          <w:b/>
          <w:bCs/>
          <w:color w:val="auto"/>
          <w:sz w:val="48"/>
          <w:szCs w:val="48"/>
          <w:lang w:eastAsia="zh-CN"/>
        </w:rPr>
        <w:t>第一章</w:t>
      </w:r>
      <w:r>
        <w:rPr>
          <w:rFonts w:hint="eastAsia" w:ascii="宋体" w:hAnsi="宋体" w:eastAsia="宋体" w:cs="宋体"/>
          <w:b/>
          <w:bCs/>
          <w:color w:val="auto"/>
          <w:sz w:val="48"/>
          <w:szCs w:val="48"/>
          <w:lang w:val="en-US" w:eastAsia="zh-CN"/>
        </w:rPr>
        <w:t xml:space="preserve"> </w:t>
      </w:r>
      <w:r>
        <w:rPr>
          <w:rFonts w:hint="eastAsia" w:ascii="宋体" w:hAnsi="宋体" w:eastAsia="宋体" w:cs="宋体"/>
          <w:b/>
          <w:bCs/>
          <w:color w:val="auto"/>
          <w:sz w:val="48"/>
          <w:szCs w:val="48"/>
        </w:rPr>
        <w:t>竞争性磋商公告</w:t>
      </w:r>
      <w:bookmarkEnd w:id="3"/>
    </w:p>
    <w:bookmarkEnd w:id="0"/>
    <w:bookmarkEnd w:id="1"/>
    <w:bookmarkEnd w:id="2"/>
    <w:p>
      <w:pPr>
        <w:widowControl/>
        <w:shd w:val="clear" w:color="auto" w:fill="FFFFFF"/>
        <w:spacing w:beforeLines="50" w:afterLines="50" w:line="360" w:lineRule="atLeast"/>
        <w:outlineLvl w:val="9"/>
        <w:rPr>
          <w:rFonts w:ascii="宋体"/>
          <w:color w:val="auto"/>
          <w:sz w:val="28"/>
          <w:szCs w:val="28"/>
        </w:rPr>
      </w:pPr>
    </w:p>
    <w:p>
      <w:pPr>
        <w:pStyle w:val="49"/>
        <w:jc w:val="center"/>
        <w:rPr>
          <w:rFonts w:ascii="宋体"/>
          <w:color w:val="auto"/>
          <w:sz w:val="28"/>
          <w:szCs w:val="28"/>
        </w:rPr>
      </w:pPr>
      <w:r>
        <w:rPr>
          <w:rFonts w:hint="eastAsia" w:ascii="宋体" w:hAnsi="宋体"/>
          <w:b/>
          <w:color w:val="000000"/>
          <w:sz w:val="28"/>
          <w:szCs w:val="18"/>
          <w:lang w:val="en-US" w:eastAsia="zh-CN"/>
        </w:rPr>
        <w:t>(详见新疆政府采购网本项目采购公告）</w:t>
      </w:r>
    </w:p>
    <w:p>
      <w:pPr>
        <w:pStyle w:val="49"/>
        <w:rPr>
          <w:rFonts w:ascii="宋体"/>
          <w:color w:val="auto"/>
          <w:sz w:val="28"/>
          <w:szCs w:val="28"/>
        </w:rPr>
      </w:pPr>
    </w:p>
    <w:p>
      <w:pPr>
        <w:jc w:val="center"/>
        <w:outlineLvl w:val="9"/>
        <w:rPr>
          <w:rFonts w:hAnsi="宋体"/>
          <w:bCs/>
          <w:color w:val="auto"/>
          <w:sz w:val="24"/>
        </w:rPr>
      </w:pPr>
      <w:bookmarkStart w:id="4" w:name="_Toc9128"/>
      <w:bookmarkStart w:id="5" w:name="_Hlk38271456"/>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int="eastAsia" w:hAnsi="宋体" w:eastAsiaTheme="minorEastAsia"/>
          <w:bCs/>
          <w:color w:val="auto"/>
          <w:sz w:val="24"/>
          <w:lang w:eastAsia="zh-CN"/>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pStyle w:val="2"/>
        <w:rPr>
          <w:color w:val="auto"/>
        </w:rPr>
        <w:sectPr>
          <w:footerReference r:id="rId5" w:type="default"/>
          <w:pgSz w:w="11906" w:h="16838"/>
          <w:pgMar w:top="1440" w:right="1800" w:bottom="1440" w:left="1800" w:header="851" w:footer="992" w:gutter="0"/>
          <w:pgNumType w:fmt="decimal" w:start="1"/>
          <w:cols w:space="720" w:num="1"/>
          <w:docGrid w:type="lines" w:linePitch="312" w:charSpace="0"/>
        </w:sectPr>
      </w:pPr>
    </w:p>
    <w:p>
      <w:pPr>
        <w:jc w:val="both"/>
        <w:outlineLvl w:val="9"/>
        <w:rPr>
          <w:rFonts w:hAnsi="宋体"/>
          <w:bCs/>
          <w:color w:val="auto"/>
          <w:sz w:val="24"/>
        </w:rPr>
      </w:pPr>
    </w:p>
    <w:p>
      <w:pPr>
        <w:jc w:val="center"/>
        <w:outlineLvl w:val="0"/>
        <w:rPr>
          <w:rFonts w:hint="eastAsia" w:ascii="宋体" w:hAnsi="宋体" w:eastAsia="宋体" w:cs="宋体"/>
          <w:color w:val="auto"/>
          <w:sz w:val="48"/>
          <w:szCs w:val="48"/>
        </w:rPr>
      </w:pPr>
      <w:bookmarkStart w:id="6" w:name="_Toc8759"/>
      <w:r>
        <w:rPr>
          <w:rFonts w:hint="eastAsia" w:ascii="宋体" w:hAnsi="宋体" w:eastAsia="宋体" w:cs="宋体"/>
          <w:b/>
          <w:bCs/>
          <w:color w:val="auto"/>
          <w:sz w:val="48"/>
          <w:szCs w:val="48"/>
          <w:lang w:val="en-US" w:eastAsia="zh-CN"/>
        </w:rPr>
        <w:t>第二章 供应商须知</w:t>
      </w:r>
      <w:bookmarkEnd w:id="4"/>
      <w:bookmarkEnd w:id="6"/>
    </w:p>
    <w:tbl>
      <w:tblPr>
        <w:tblStyle w:val="33"/>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548"/>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lang w:val="en-US" w:eastAsia="zh-CN"/>
              </w:rPr>
              <w:t>条款号</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条 款 名 称</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采购人</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名称：库车市教育和教学技术局</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 xml:space="preserve">地址：库车市教科局（黄河路）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联系人：陈长瑞</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电话：0997-7130328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采购代理机构</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名称：新疆星建华汇工程项目管理有限公司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地址：库车市金兹花园物业二楼</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联系人：陶明江</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电话：13565102810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采购项目名称及项目编号</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lang w:val="en-US" w:eastAsia="zh-CN"/>
              </w:rPr>
            </w:pPr>
            <w:r>
              <w:rPr>
                <w:rFonts w:hint="eastAsia"/>
                <w:lang w:val="en-US" w:eastAsia="zh-CN"/>
              </w:rPr>
              <w:t>班班通设备采购</w:t>
            </w:r>
          </w:p>
          <w:p>
            <w:pPr>
              <w:pStyle w:val="26"/>
              <w:bidi w:val="0"/>
              <w:rPr>
                <w:rFonts w:hint="default"/>
                <w:lang w:val="en-US" w:eastAsia="zh-CN"/>
              </w:rPr>
            </w:pPr>
            <w:r>
              <w:rPr>
                <w:rFonts w:hint="eastAsia" w:ascii="宋体" w:hAnsi="宋体" w:cs="宋体"/>
                <w:b w:val="0"/>
                <w:bCs w:val="0"/>
                <w:color w:val="auto"/>
                <w:spacing w:val="0"/>
                <w:sz w:val="21"/>
                <w:szCs w:val="21"/>
                <w:vertAlign w:val="baseline"/>
                <w:lang w:val="en-US" w:eastAsia="zh-CN"/>
              </w:rPr>
              <w:t>项目编号：</w:t>
            </w:r>
            <w:r>
              <w:rPr>
                <w:rFonts w:ascii="宋体" w:hAnsi="宋体" w:eastAsia="宋体" w:cs="宋体"/>
                <w:sz w:val="24"/>
                <w:szCs w:val="24"/>
              </w:rPr>
              <w:t>KCS2021-WT145-001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资金来源及比例</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上级专项资金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5</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资金落实情况</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6</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采购范围</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lang w:val="en-US" w:eastAsia="zh-CN"/>
              </w:rPr>
              <w:t>交互式触控一体机70寸、</w:t>
            </w:r>
            <w:r>
              <w:rPr>
                <w:rFonts w:hint="eastAsia"/>
                <w:vertAlign w:val="baseline"/>
                <w:lang w:val="en-US" w:eastAsia="zh-CN"/>
              </w:rPr>
              <w:t>组合式推拉黑板</w:t>
            </w:r>
            <w:r>
              <w:rPr>
                <w:rFonts w:hint="eastAsia" w:ascii="宋体" w:hAnsi="宋体" w:cs="宋体"/>
                <w:b w:val="0"/>
                <w:bCs w:val="0"/>
                <w:color w:val="auto"/>
                <w:spacing w:val="0"/>
                <w:sz w:val="21"/>
                <w:szCs w:val="21"/>
                <w:vertAlign w:val="baseline"/>
                <w:lang w:val="en-US" w:eastAsia="zh-CN"/>
              </w:rPr>
              <w:t>（详见第四章采购需求）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7</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采购预算</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210" w:firstLineChars="10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u w:val="none"/>
                <w:vertAlign w:val="baseline"/>
                <w:lang w:val="en-US" w:eastAsia="zh-CN"/>
              </w:rPr>
              <w:t xml:space="preserve"> </w:t>
            </w:r>
            <w:r>
              <w:rPr>
                <w:rFonts w:hint="eastAsia" w:ascii="宋体" w:hAnsi="宋体" w:cs="宋体"/>
                <w:b/>
                <w:bCs/>
                <w:color w:val="auto"/>
                <w:spacing w:val="0"/>
                <w:sz w:val="21"/>
                <w:szCs w:val="21"/>
                <w:u w:val="none"/>
                <w:vertAlign w:val="baseline"/>
                <w:lang w:val="en-US" w:eastAsia="zh-CN"/>
              </w:rPr>
              <w:t>700000元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06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8</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交货期</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default"/>
                <w:color w:val="auto"/>
                <w:lang w:val="en-US" w:eastAsia="zh-CN"/>
              </w:rPr>
            </w:pPr>
            <w:r>
              <w:rPr>
                <w:rFonts w:hint="eastAsia" w:ascii="宋体" w:hAnsi="宋体" w:cs="宋体"/>
                <w:b w:val="0"/>
                <w:bCs w:val="0"/>
                <w:color w:val="auto"/>
                <w:spacing w:val="0"/>
                <w:sz w:val="21"/>
                <w:szCs w:val="21"/>
                <w:u w:val="none"/>
                <w:vertAlign w:val="baseline"/>
                <w:lang w:val="en-US" w:eastAsia="zh-CN"/>
              </w:rPr>
              <w:t>合同签订之日起7日内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06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交货地点</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default"/>
                <w:color w:val="auto"/>
                <w:lang w:val="en-US" w:eastAsia="zh-CN"/>
              </w:rPr>
            </w:pPr>
            <w:r>
              <w:rPr>
                <w:rFonts w:hint="eastAsia" w:ascii="宋体" w:hAnsi="宋体" w:cs="宋体"/>
                <w:b w:val="0"/>
                <w:bCs w:val="0"/>
                <w:color w:val="auto"/>
                <w:spacing w:val="0"/>
                <w:sz w:val="21"/>
                <w:szCs w:val="21"/>
                <w:vertAlign w:val="baseline"/>
                <w:lang w:val="en-US" w:eastAsia="zh-CN"/>
              </w:rPr>
              <w:t>库车市各乡镇学校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9</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质保期限</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u w:val="single"/>
                <w:vertAlign w:val="baseline"/>
                <w:lang w:val="en-US" w:eastAsia="zh-CN"/>
              </w:rPr>
              <w:t xml:space="preserve">  3  </w:t>
            </w:r>
            <w:r>
              <w:rPr>
                <w:rFonts w:hint="eastAsia" w:ascii="宋体" w:hAnsi="宋体" w:cs="宋体"/>
                <w:b w:val="0"/>
                <w:bCs w:val="0"/>
                <w:color w:val="auto"/>
                <w:spacing w:val="0"/>
                <w:sz w:val="21"/>
                <w:szCs w:val="21"/>
                <w:vertAlign w:val="baseline"/>
                <w:lang w:val="en-US" w:eastAsia="zh-CN"/>
              </w:rPr>
              <w:t>年（自交货验收合格之日起计算）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r>
              <w:rPr>
                <w:rFonts w:hint="eastAsia" w:ascii="宋体" w:hAnsi="宋体" w:cs="宋体"/>
                <w:b w:val="0"/>
                <w:bCs w:val="0"/>
                <w:color w:val="auto"/>
                <w:spacing w:val="0"/>
                <w:sz w:val="21"/>
                <w:szCs w:val="21"/>
                <w:vertAlign w:val="baseline"/>
                <w:lang w:val="en-US" w:eastAsia="zh-CN"/>
              </w:rPr>
              <w:t>10</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r>
              <w:rPr>
                <w:rFonts w:hint="eastAsia" w:ascii="宋体" w:hAnsi="宋体" w:cs="宋体"/>
                <w:b w:val="0"/>
                <w:bCs w:val="0"/>
                <w:color w:val="auto"/>
                <w:spacing w:val="0"/>
                <w:sz w:val="21"/>
                <w:szCs w:val="21"/>
                <w:vertAlign w:val="baseline"/>
                <w:lang w:val="en-US" w:eastAsia="zh-CN"/>
              </w:rPr>
              <w:t>质量标准</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r>
              <w:rPr>
                <w:rFonts w:hint="eastAsia" w:ascii="宋体" w:hAnsi="宋体" w:cs="宋体"/>
                <w:b w:val="0"/>
                <w:bCs w:val="0"/>
                <w:color w:val="auto"/>
                <w:spacing w:val="0"/>
                <w:sz w:val="21"/>
                <w:szCs w:val="21"/>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响应供应商资格要求</w:t>
            </w:r>
          </w:p>
        </w:tc>
        <w:tc>
          <w:tcPr>
            <w:tcW w:w="6078" w:type="dxa"/>
            <w:noWrap w:val="0"/>
            <w:vAlign w:val="center"/>
          </w:tcPr>
          <w:p>
            <w:pPr>
              <w:pStyle w:val="31"/>
              <w:ind w:left="0" w:leftChars="0" w:firstLine="0" w:firstLineChars="0"/>
              <w:outlineLvl w:val="9"/>
              <w:rPr>
                <w:rFonts w:hint="eastAsia"/>
                <w:color w:val="0000FF"/>
                <w:szCs w:val="21"/>
                <w:lang w:val="en-US" w:eastAsia="zh-CN"/>
              </w:rPr>
            </w:pPr>
            <w:r>
              <w:rPr>
                <w:rFonts w:hint="eastAsia" w:ascii="宋体" w:hAnsi="宋体"/>
                <w:color w:val="0000FF"/>
                <w:szCs w:val="21"/>
                <w:lang w:val="en-US" w:eastAsia="zh-CN"/>
              </w:rPr>
              <w:t>资质条件：投标单位具备有效的营业执照</w:t>
            </w:r>
            <w:r>
              <w:rPr>
                <w:rFonts w:hint="eastAsia"/>
                <w:color w:val="0000FF"/>
                <w:sz w:val="22"/>
                <w:szCs w:val="20"/>
                <w:lang w:val="en-US" w:eastAsia="zh-CN"/>
              </w:rPr>
              <w:t>（营业执照经营范围需具备本次采购相关内容</w:t>
            </w:r>
            <w:r>
              <w:rPr>
                <w:rFonts w:hint="eastAsia"/>
                <w:color w:val="0000FF"/>
                <w:szCs w:val="21"/>
                <w:lang w:val="en-US" w:eastAsia="zh-CN"/>
              </w:rPr>
              <w:t>）、</w:t>
            </w:r>
            <w:r>
              <w:rPr>
                <w:rFonts w:hint="eastAsia" w:ascii="宋体" w:hAnsi="宋体"/>
                <w:color w:val="0000FF"/>
                <w:szCs w:val="21"/>
                <w:lang w:val="en-US" w:eastAsia="zh-CN"/>
              </w:rPr>
              <w:t>开户许可证</w:t>
            </w:r>
            <w:r>
              <w:rPr>
                <w:rFonts w:hint="eastAsia"/>
                <w:color w:val="0000FF"/>
                <w:szCs w:val="21"/>
                <w:lang w:val="en-US" w:eastAsia="zh-CN"/>
              </w:rPr>
              <w:t>；</w:t>
            </w:r>
          </w:p>
          <w:p>
            <w:pPr>
              <w:pStyle w:val="31"/>
              <w:ind w:left="0" w:leftChars="0" w:firstLine="0" w:firstLineChars="0"/>
              <w:outlineLvl w:val="9"/>
              <w:rPr>
                <w:rFonts w:hint="default" w:ascii="宋体" w:hAnsi="宋体"/>
                <w:color w:val="0000FF"/>
                <w:szCs w:val="21"/>
                <w:lang w:val="en-US" w:eastAsia="zh-CN"/>
              </w:rPr>
            </w:pPr>
            <w:r>
              <w:rPr>
                <w:rFonts w:hint="eastAsia" w:ascii="宋体" w:hAnsi="宋体"/>
                <w:color w:val="0000FF"/>
                <w:szCs w:val="21"/>
                <w:lang w:val="en-US" w:eastAsia="zh-CN"/>
              </w:rPr>
              <w:t>信誉要求：无不良行为记录、提供近6个月完税证明。</w:t>
            </w:r>
          </w:p>
          <w:p>
            <w:pPr>
              <w:pStyle w:val="31"/>
              <w:ind w:left="0" w:leftChars="0" w:firstLine="0" w:firstLineChars="0"/>
              <w:outlineLvl w:val="9"/>
              <w:rPr>
                <w:rFonts w:hint="eastAsia"/>
                <w:color w:val="0000FF"/>
                <w:szCs w:val="21"/>
                <w:lang w:val="en-US" w:eastAsia="zh-CN"/>
              </w:rPr>
            </w:pPr>
            <w:r>
              <w:rPr>
                <w:rFonts w:hint="eastAsia" w:ascii="宋体" w:hAnsi="宋体"/>
                <w:color w:val="0000FF"/>
                <w:szCs w:val="21"/>
                <w:lang w:val="en-US" w:eastAsia="zh-CN"/>
              </w:rPr>
              <w:t>财务要求：提供2020年财务审计报告，成立不足一年的供应商提供近三个月财务报表</w:t>
            </w:r>
            <w:r>
              <w:rPr>
                <w:rFonts w:hint="eastAsia"/>
                <w:color w:val="0000FF"/>
                <w:szCs w:val="21"/>
                <w:lang w:val="en-US" w:eastAsia="zh-CN"/>
              </w:rPr>
              <w:t>。</w:t>
            </w:r>
          </w:p>
          <w:p>
            <w:pPr>
              <w:pStyle w:val="31"/>
              <w:ind w:left="0" w:leftChars="0" w:firstLine="0" w:firstLineChars="0"/>
              <w:outlineLvl w:val="9"/>
              <w:rPr>
                <w:rFonts w:hint="default"/>
                <w:color w:val="0000FF"/>
                <w:szCs w:val="21"/>
                <w:lang w:val="en-US" w:eastAsia="zh-CN"/>
              </w:rPr>
            </w:pPr>
            <w:r>
              <w:rPr>
                <w:rFonts w:hint="eastAsia"/>
                <w:color w:val="0000FF"/>
                <w:szCs w:val="21"/>
                <w:lang w:val="en-US" w:eastAsia="zh-CN"/>
              </w:rPr>
              <w:t>业绩要求：提供近三年（2018年10月-2021年10月）</w:t>
            </w:r>
          </w:p>
          <w:p>
            <w:pPr>
              <w:pStyle w:val="31"/>
              <w:ind w:left="0" w:leftChars="0" w:firstLine="0" w:firstLineChars="0"/>
              <w:outlineLvl w:val="9"/>
              <w:rPr>
                <w:rFonts w:hint="default"/>
                <w:color w:val="0000FF"/>
                <w:szCs w:val="21"/>
                <w:lang w:val="en-US" w:eastAsia="zh-CN"/>
              </w:rPr>
            </w:pPr>
            <w:r>
              <w:rPr>
                <w:rFonts w:hint="eastAsia"/>
                <w:color w:val="0000FF"/>
                <w:szCs w:val="21"/>
                <w:lang w:val="en-US" w:eastAsia="zh-CN"/>
              </w:rPr>
              <w:t>企业业绩（合同或中标通知书）。</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color w:val="auto"/>
                <w:spacing w:val="0"/>
                <w:sz w:val="21"/>
                <w:szCs w:val="21"/>
                <w:vertAlign w:val="baseline"/>
                <w:lang w:val="en-US" w:eastAsia="zh-CN"/>
              </w:rPr>
            </w:pPr>
            <w:r>
              <w:rPr>
                <w:rFonts w:hint="eastAsia" w:ascii="宋体" w:hAnsi="宋体"/>
                <w:color w:val="0000FF"/>
                <w:szCs w:val="21"/>
                <w:lang w:val="en-US" w:eastAsia="zh-CN"/>
              </w:rPr>
              <w:t>其他要求：符合本项目采购公告的相关要求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是否接受联合体</w:t>
            </w:r>
          </w:p>
        </w:tc>
        <w:tc>
          <w:tcPr>
            <w:tcW w:w="60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cs="宋体"/>
                <w:color w:val="auto"/>
                <w:spacing w:val="0"/>
                <w:sz w:val="21"/>
                <w:szCs w:val="21"/>
                <w:vertAlign w:val="baseline"/>
                <w:lang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color w:val="auto"/>
                <w:szCs w:val="21"/>
              </w:rPr>
              <w:fldChar w:fldCharType="end"/>
            </w:r>
            <w:r>
              <w:rPr>
                <w:rFonts w:hint="eastAsia" w:ascii="宋体" w:hAnsi="宋体" w:cs="宋体"/>
                <w:color w:val="auto"/>
                <w:spacing w:val="0"/>
                <w:sz w:val="21"/>
                <w:szCs w:val="21"/>
                <w:vertAlign w:val="baseline"/>
                <w:lang w:eastAsia="zh-CN"/>
              </w:rPr>
              <w:t>不接受</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eastAsia="zh-CN"/>
              </w:rPr>
              <w:t>□</w:t>
            </w:r>
            <w:r>
              <w:rPr>
                <w:rFonts w:hint="eastAsia" w:ascii="宋体" w:hAnsi="宋体" w:cs="宋体"/>
                <w:color w:val="auto"/>
                <w:spacing w:val="0"/>
                <w:sz w:val="21"/>
                <w:szCs w:val="21"/>
                <w:vertAlign w:val="baseline"/>
                <w:lang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响应供应商不得存在的</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其他情形</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磋商文件澄清发出的形式</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15</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实质性要求和条件</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default" w:ascii="宋体" w:hAnsi="宋体" w:cs="宋体"/>
                <w:color w:val="auto"/>
                <w:spacing w:val="0"/>
                <w:sz w:val="21"/>
                <w:szCs w:val="21"/>
                <w:lang w:val="en-US" w:eastAsia="zh-CN"/>
              </w:rPr>
            </w:pPr>
            <w:r>
              <w:rPr>
                <w:rFonts w:hint="eastAsia" w:ascii="宋体" w:hAnsi="宋体" w:cs="宋体"/>
                <w:color w:val="auto"/>
                <w:spacing w:val="0"/>
                <w:sz w:val="21"/>
                <w:szCs w:val="21"/>
                <w:lang w:val="en-US" w:eastAsia="zh-CN"/>
              </w:rPr>
              <w:t>满足采购人的采购需求，具备良好的售后服务，无残次品。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16</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构成磋商文件的其他资料</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磋商文件的补充文件、澄清文件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17</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供应商提出问题的截至时间</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投若有疑问，请于磋商文件规定的截至时间3日前将问题以书面形式提交采购人或采购代理机构。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18</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磋商文件修改发出的形式</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19</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构成投标文件的其他资料</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投标文件的补充材料（不得更改投标文件的实质性内容）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20</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增值税税金的计算方法</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lang w:val="en-US" w:eastAsia="zh-CN"/>
              </w:rPr>
              <w:t>增值税税金按一般计税方法计算，包含在投标报价中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最高投标限价</w:t>
            </w:r>
          </w:p>
        </w:tc>
        <w:tc>
          <w:tcPr>
            <w:tcW w:w="60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color w:val="auto"/>
                <w:spacing w:val="0"/>
                <w:sz w:val="21"/>
                <w:szCs w:val="21"/>
                <w:vertAlign w:val="baseline"/>
                <w:lang w:eastAsia="zh-CN"/>
              </w:rPr>
            </w:pPr>
            <w:r>
              <w:rPr>
                <w:rFonts w:hint="eastAsia" w:ascii="宋体" w:hAnsi="宋体" w:eastAsia="宋体" w:cs="宋体"/>
                <w:color w:val="auto"/>
                <w:spacing w:val="0"/>
                <w:sz w:val="21"/>
                <w:szCs w:val="21"/>
                <w:vertAlign w:val="baseline"/>
                <w:lang w:eastAsia="zh-CN"/>
              </w:rPr>
              <w:t>□</w:t>
            </w:r>
            <w:r>
              <w:rPr>
                <w:rFonts w:hint="eastAsia" w:ascii="宋体" w:hAnsi="宋体" w:cs="宋体"/>
                <w:color w:val="auto"/>
                <w:spacing w:val="0"/>
                <w:sz w:val="21"/>
                <w:szCs w:val="21"/>
                <w:vertAlign w:val="baseli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b/>
                <w:bCs/>
                <w:color w:val="auto"/>
                <w:szCs w:val="21"/>
              </w:rPr>
              <w:fldChar w:fldCharType="begin"/>
            </w:r>
            <w:r>
              <w:rPr>
                <w:b/>
                <w:bCs/>
                <w:color w:val="auto"/>
                <w:szCs w:val="21"/>
              </w:rPr>
              <w:instrText xml:space="preserve"> </w:instrText>
            </w:r>
            <w:r>
              <w:rPr>
                <w:rFonts w:hint="eastAsia"/>
                <w:b/>
                <w:bCs/>
                <w:color w:val="auto"/>
                <w:szCs w:val="21"/>
              </w:rPr>
              <w:instrText xml:space="preserve">eq \o\ac(□,√)</w:instrText>
            </w:r>
            <w:r>
              <w:rPr>
                <w:b/>
                <w:bCs/>
                <w:color w:val="auto"/>
                <w:szCs w:val="21"/>
              </w:rPr>
              <w:fldChar w:fldCharType="end"/>
            </w:r>
            <w:r>
              <w:rPr>
                <w:rFonts w:hint="eastAsia" w:ascii="宋体" w:hAnsi="宋体" w:cs="宋体"/>
                <w:b/>
                <w:bCs/>
                <w:color w:val="auto"/>
                <w:spacing w:val="0"/>
                <w:sz w:val="21"/>
                <w:szCs w:val="21"/>
                <w:vertAlign w:val="baseline"/>
                <w:lang w:val="en-US" w:eastAsia="zh-CN"/>
              </w:rPr>
              <w:t>有，最高投标限价：</w:t>
            </w:r>
            <w:r>
              <w:rPr>
                <w:rFonts w:hint="eastAsia" w:ascii="宋体" w:hAnsi="宋体" w:cs="宋体"/>
                <w:b/>
                <w:bCs/>
                <w:color w:val="auto"/>
                <w:spacing w:val="0"/>
                <w:sz w:val="21"/>
                <w:szCs w:val="21"/>
                <w:u w:val="single"/>
                <w:vertAlign w:val="baseline"/>
                <w:lang w:val="en-US" w:eastAsia="zh-CN"/>
              </w:rPr>
              <w:t>700000元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投标有效期</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投标保证金</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FF0000"/>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投标保证金的金额：</w:t>
            </w:r>
            <w:r>
              <w:rPr>
                <w:rFonts w:hint="eastAsia" w:ascii="宋体" w:hAnsi="宋体" w:cs="宋体"/>
                <w:b w:val="0"/>
                <w:bCs w:val="0"/>
                <w:color w:val="FF0000"/>
                <w:spacing w:val="0"/>
                <w:sz w:val="21"/>
                <w:szCs w:val="21"/>
                <w:vertAlign w:val="baseline"/>
                <w:lang w:val="en-US" w:eastAsia="zh-CN"/>
              </w:rPr>
              <w:t>13000元（大写：壹万叁仟元整）</w:t>
            </w:r>
            <w:bookmarkStart w:id="133" w:name="_GoBack"/>
            <w:bookmarkEnd w:id="133"/>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FF0000"/>
                <w:spacing w:val="0"/>
                <w:sz w:val="21"/>
                <w:szCs w:val="21"/>
                <w:highlight w:val="none"/>
                <w:vertAlign w:val="baseline"/>
                <w:lang w:val="en-US" w:eastAsia="zh-CN"/>
              </w:rPr>
            </w:pPr>
            <w:r>
              <w:rPr>
                <w:rFonts w:hint="eastAsia" w:ascii="宋体" w:hAnsi="宋体" w:cs="宋体"/>
                <w:b w:val="0"/>
                <w:bCs w:val="0"/>
                <w:color w:val="FF0000"/>
                <w:spacing w:val="0"/>
                <w:sz w:val="21"/>
                <w:szCs w:val="21"/>
                <w:vertAlign w:val="baseline"/>
                <w:lang w:val="en-US" w:eastAsia="zh-CN"/>
              </w:rPr>
              <w:t>投标保证金交纳截止时</w:t>
            </w:r>
            <w:r>
              <w:rPr>
                <w:rFonts w:hint="eastAsia" w:ascii="宋体" w:hAnsi="宋体" w:cs="宋体"/>
                <w:b w:val="0"/>
                <w:bCs w:val="0"/>
                <w:color w:val="FF0000"/>
                <w:spacing w:val="0"/>
                <w:sz w:val="21"/>
                <w:szCs w:val="21"/>
                <w:highlight w:val="none"/>
                <w:vertAlign w:val="baseline"/>
                <w:lang w:val="en-US" w:eastAsia="zh-CN"/>
              </w:rPr>
              <w:t>间：投标截止时间前一天19:30前截止</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投标保证金提交方式：</w:t>
            </w:r>
            <w:r>
              <w:rPr>
                <w:rFonts w:hint="eastAsia" w:ascii="宋体" w:hAnsi="宋体" w:cs="宋体"/>
                <w:b/>
                <w:bCs/>
                <w:color w:val="auto"/>
                <w:spacing w:val="0"/>
                <w:sz w:val="21"/>
                <w:szCs w:val="21"/>
                <w:highlight w:val="none"/>
                <w:vertAlign w:val="baseline"/>
                <w:lang w:val="en-US" w:eastAsia="zh-CN"/>
              </w:rPr>
              <w:t>从投标人所在地企业基本账户以电</w:t>
            </w:r>
            <w:r>
              <w:rPr>
                <w:rFonts w:hint="eastAsia" w:ascii="宋体" w:hAnsi="宋体" w:cs="宋体"/>
                <w:b/>
                <w:bCs/>
                <w:color w:val="auto"/>
                <w:spacing w:val="0"/>
                <w:sz w:val="21"/>
                <w:szCs w:val="21"/>
                <w:vertAlign w:val="baseline"/>
                <w:lang w:val="en-US" w:eastAsia="zh-CN"/>
              </w:rPr>
              <w:t>汇或银行转账的方式，汇到指定的投标保证账户；并载明项目名称。</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开户银行：库车县农村信用合作联社天山东路信用社</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 xml:space="preserve">行号：402891300189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开户名称：新疆星建华汇工程项目管理有限公司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帐    号：853030112010104848183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资格审查资料的特殊要求</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投标人代表出席开标会：招标人邀请所有投标人的委托代理人必须按时参加开标会。在招标人按开标程序进行点名时，向招标人提交委托代理人身份证明文件，出示本人身份证，以证明其出席，委托代理人需参与开标全过程，否则视为自动放弃投标处理，投标保证金不予退还。开标前，请各投标人随身携带下列有效证件以备随时查验：</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1、法定代表人到场需提供法定代表人身份证明及法定代表人身份证（公安部门相关证明），委托代理人到场需提供法定代表人授权委托书及委托代理人的身份证原件（公安部门相关证明），法定代表人身份证明或法定代表人授权委托书需单独提供，并与投标文件中所提供的相一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2、《企业营业执照》原件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3、《开户许可证》原件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4、提交投标保证金银行缴存证明凭证</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5、近6个月完税证明</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6、未在处罚期的（1）失信被执行人：信用中国官网（www.creditchina.gov.cn）</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（2）企业经营异常名录：国家企业信用信息公示系统（</w:t>
            </w:r>
            <w:r>
              <w:rPr>
                <w:rFonts w:hint="eastAsia" w:ascii="宋体" w:hAnsi="宋体" w:cs="宋体"/>
                <w:color w:val="auto"/>
                <w:spacing w:val="0"/>
                <w:sz w:val="21"/>
                <w:szCs w:val="21"/>
                <w:vertAlign w:val="baseline"/>
                <w:lang w:val="en-US" w:eastAsia="zh-CN"/>
              </w:rPr>
              <w:fldChar w:fldCharType="begin"/>
            </w:r>
            <w:r>
              <w:rPr>
                <w:rFonts w:hint="eastAsia" w:ascii="宋体" w:hAnsi="宋体" w:cs="宋体"/>
                <w:color w:val="auto"/>
                <w:spacing w:val="0"/>
                <w:sz w:val="21"/>
                <w:szCs w:val="21"/>
                <w:vertAlign w:val="baseline"/>
                <w:lang w:val="en-US" w:eastAsia="zh-CN"/>
              </w:rPr>
              <w:instrText xml:space="preserve"> HYPERLINK "http://www.gsxt.gov.cn/index.html" </w:instrText>
            </w:r>
            <w:r>
              <w:rPr>
                <w:rFonts w:hint="eastAsia" w:ascii="宋体" w:hAnsi="宋体" w:cs="宋体"/>
                <w:color w:val="auto"/>
                <w:spacing w:val="0"/>
                <w:sz w:val="21"/>
                <w:szCs w:val="21"/>
                <w:vertAlign w:val="baseline"/>
                <w:lang w:val="en-US" w:eastAsia="zh-CN"/>
              </w:rPr>
              <w:fldChar w:fldCharType="separate"/>
            </w:r>
            <w:r>
              <w:rPr>
                <w:rFonts w:hint="eastAsia" w:ascii="宋体" w:hAnsi="宋体" w:cs="宋体"/>
                <w:color w:val="auto"/>
                <w:spacing w:val="0"/>
                <w:sz w:val="21"/>
                <w:szCs w:val="21"/>
                <w:vertAlign w:val="baseline"/>
                <w:lang w:val="en-US" w:eastAsia="zh-CN"/>
              </w:rPr>
              <w:t>http://www.gsxt.gov.cn/index.html</w:t>
            </w:r>
            <w:r>
              <w:rPr>
                <w:rFonts w:hint="eastAsia" w:ascii="宋体" w:hAnsi="宋体" w:cs="宋体"/>
                <w:color w:val="auto"/>
                <w:spacing w:val="0"/>
                <w:sz w:val="21"/>
                <w:szCs w:val="21"/>
                <w:vertAlign w:val="baseline"/>
                <w:lang w:val="en-US" w:eastAsia="zh-CN"/>
              </w:rPr>
              <w:fldChar w:fldCharType="end"/>
            </w:r>
            <w:r>
              <w:rPr>
                <w:rFonts w:hint="eastAsia" w:ascii="宋体" w:hAnsi="宋体" w:cs="宋体"/>
                <w:color w:val="auto"/>
                <w:spacing w:val="0"/>
                <w:sz w:val="21"/>
                <w:szCs w:val="21"/>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（3）重大税收违法案件当事人名单：信用中国官网（www.creditchina.gov.cn）</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（4）政府采购严重违法失信行为记录名单：中国政府采购官网（www.ccgp.gov.cn）查询记录加盖单位公章。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上述证件齐全、满足要求的投标人为有效投标人。（以上资料开标现场提供加盖公章复印件一套）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25</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企业信誉要求</w:t>
            </w:r>
          </w:p>
        </w:tc>
        <w:tc>
          <w:tcPr>
            <w:tcW w:w="6078" w:type="dxa"/>
            <w:noWrap w:val="0"/>
            <w:vAlign w:val="center"/>
          </w:tcPr>
          <w:p>
            <w:pPr>
              <w:spacing w:line="360" w:lineRule="exact"/>
              <w:jc w:val="left"/>
              <w:rPr>
                <w:rFonts w:ascii="宋体" w:hAnsi="宋体"/>
                <w:color w:val="auto"/>
                <w:szCs w:val="21"/>
              </w:rPr>
            </w:pPr>
            <w:r>
              <w:rPr>
                <w:rFonts w:hint="eastAsia" w:ascii="宋体" w:hAnsi="宋体"/>
                <w:color w:val="auto"/>
                <w:szCs w:val="21"/>
              </w:rPr>
              <w:t>1、参与</w:t>
            </w:r>
            <w:r>
              <w:rPr>
                <w:rFonts w:hint="eastAsia" w:ascii="宋体" w:hAnsi="宋体"/>
                <w:color w:val="auto"/>
                <w:szCs w:val="21"/>
                <w:lang w:val="en-US" w:eastAsia="zh-CN"/>
              </w:rPr>
              <w:t>本项目</w:t>
            </w:r>
            <w:r>
              <w:rPr>
                <w:rFonts w:hint="eastAsia" w:ascii="宋体" w:hAnsi="宋体"/>
                <w:color w:val="auto"/>
                <w:szCs w:val="21"/>
              </w:rPr>
              <w:t>采购活动的供应商被列入以下失信名单的，不得被推荐为政府采购项目中标候选人。</w:t>
            </w:r>
          </w:p>
          <w:p>
            <w:pPr>
              <w:spacing w:line="360" w:lineRule="exact"/>
              <w:jc w:val="left"/>
              <w:rPr>
                <w:rFonts w:ascii="宋体" w:hAnsi="宋体"/>
                <w:color w:val="auto"/>
                <w:szCs w:val="21"/>
              </w:rPr>
            </w:pPr>
            <w:r>
              <w:rPr>
                <w:rFonts w:hint="eastAsia" w:ascii="宋体" w:hAnsi="宋体"/>
                <w:color w:val="auto"/>
                <w:szCs w:val="21"/>
              </w:rPr>
              <w:t>（1）供应商被列入失信被执行人的；</w:t>
            </w:r>
          </w:p>
          <w:p>
            <w:pPr>
              <w:keepNext w:val="0"/>
              <w:keepLines w:val="0"/>
              <w:pageBreakBefore w:val="0"/>
              <w:widowControl w:val="0"/>
              <w:kinsoku/>
              <w:wordWrap/>
              <w:overflowPunct/>
              <w:topLinePunct w:val="0"/>
              <w:bidi w:val="0"/>
              <w:adjustRightInd/>
              <w:snapToGrid/>
              <w:spacing w:line="240" w:lineRule="auto"/>
              <w:jc w:val="left"/>
              <w:rPr>
                <w:rFonts w:ascii="宋体" w:hAnsi="宋体"/>
                <w:color w:val="auto"/>
                <w:szCs w:val="21"/>
              </w:rPr>
            </w:pPr>
            <w:r>
              <w:rPr>
                <w:rFonts w:hint="eastAsia" w:ascii="宋体" w:hAnsi="宋体"/>
                <w:color w:val="auto"/>
                <w:szCs w:val="21"/>
              </w:rPr>
              <w:t>（2）供应商被列入企业经营异常名录的；</w:t>
            </w:r>
          </w:p>
          <w:p>
            <w:pPr>
              <w:keepNext w:val="0"/>
              <w:keepLines w:val="0"/>
              <w:pageBreakBefore w:val="0"/>
              <w:widowControl w:val="0"/>
              <w:kinsoku/>
              <w:wordWrap/>
              <w:overflowPunct/>
              <w:topLinePunct w:val="0"/>
              <w:bidi w:val="0"/>
              <w:adjustRightInd/>
              <w:snapToGrid/>
              <w:spacing w:line="240" w:lineRule="auto"/>
              <w:jc w:val="left"/>
              <w:rPr>
                <w:rFonts w:ascii="宋体" w:hAnsi="宋体"/>
                <w:color w:val="auto"/>
                <w:szCs w:val="21"/>
              </w:rPr>
            </w:pPr>
            <w:r>
              <w:rPr>
                <w:rFonts w:hint="eastAsia" w:ascii="宋体" w:hAnsi="宋体"/>
                <w:color w:val="auto"/>
                <w:szCs w:val="21"/>
              </w:rPr>
              <w:t>（3）供应商被列入重大税收违法案件当事人名单的；</w:t>
            </w:r>
          </w:p>
          <w:p>
            <w:pPr>
              <w:keepNext w:val="0"/>
              <w:keepLines w:val="0"/>
              <w:pageBreakBefore w:val="0"/>
              <w:widowControl w:val="0"/>
              <w:kinsoku/>
              <w:wordWrap/>
              <w:overflowPunct/>
              <w:topLinePunct w:val="0"/>
              <w:bidi w:val="0"/>
              <w:adjustRightInd/>
              <w:snapToGrid/>
              <w:spacing w:line="240" w:lineRule="auto"/>
              <w:jc w:val="left"/>
              <w:rPr>
                <w:rFonts w:hint="eastAsia" w:ascii="宋体" w:hAnsi="宋体"/>
                <w:color w:val="auto"/>
                <w:szCs w:val="21"/>
              </w:rPr>
            </w:pPr>
            <w:r>
              <w:rPr>
                <w:rFonts w:hint="eastAsia" w:ascii="宋体" w:hAnsi="宋体"/>
                <w:color w:val="auto"/>
                <w:szCs w:val="21"/>
              </w:rPr>
              <w:t>（4）供应商被列入政府采购严重违法失信行为记录名单的；</w:t>
            </w:r>
          </w:p>
          <w:p>
            <w:pPr>
              <w:pStyle w:val="25"/>
              <w:keepNext w:val="0"/>
              <w:keepLines w:val="0"/>
              <w:pageBreakBefore w:val="0"/>
              <w:widowControl w:val="0"/>
              <w:kinsoku/>
              <w:wordWrap/>
              <w:overflowPunct/>
              <w:topLinePunct w:val="0"/>
              <w:bidi w:val="0"/>
              <w:adjustRightInd/>
              <w:snapToGrid/>
              <w:spacing w:line="240" w:lineRule="auto"/>
              <w:jc w:val="left"/>
              <w:rPr>
                <w:rFonts w:hint="eastAsia" w:ascii="宋体" w:hAnsi="宋体" w:cs="宋体"/>
                <w:b w:val="0"/>
                <w:bCs w:val="0"/>
                <w:color w:val="auto"/>
                <w:spacing w:val="0"/>
                <w:sz w:val="21"/>
                <w:szCs w:val="21"/>
                <w:u w:val="none"/>
                <w:vertAlign w:val="baseline"/>
                <w:lang w:val="en-US" w:eastAsia="zh-CN"/>
              </w:rPr>
            </w:pPr>
            <w:r>
              <w:rPr>
                <w:rFonts w:hint="eastAsia"/>
                <w:color w:val="auto"/>
                <w:lang w:eastAsia="zh-CN"/>
              </w:rPr>
              <w:t>（</w:t>
            </w:r>
            <w:r>
              <w:rPr>
                <w:rFonts w:hint="eastAsia"/>
                <w:color w:val="auto"/>
                <w:lang w:val="en-US" w:eastAsia="zh-CN"/>
              </w:rPr>
              <w:t>尚在处罚期的</w:t>
            </w:r>
            <w:r>
              <w:rPr>
                <w:rFonts w:hint="eastAsia"/>
                <w:color w:val="auto"/>
                <w:lang w:eastAsia="zh-CN"/>
              </w:rPr>
              <w:t>）</w:t>
            </w:r>
            <w:r>
              <w:rPr>
                <w:rFonts w:hint="eastAsia" w:ascii="宋体" w:hAnsi="宋体" w:cs="宋体"/>
                <w:b w:val="0"/>
                <w:bCs w:val="0"/>
                <w:color w:val="auto"/>
                <w:spacing w:val="0"/>
                <w:sz w:val="21"/>
                <w:szCs w:val="21"/>
                <w:u w:val="none"/>
                <w:vertAlign w:val="baseline"/>
                <w:lang w:val="en-US" w:eastAsia="zh-CN"/>
              </w:rPr>
              <w:t>；</w:t>
            </w:r>
          </w:p>
          <w:p>
            <w:pPr>
              <w:pStyle w:val="25"/>
              <w:keepNext w:val="0"/>
              <w:keepLines w:val="0"/>
              <w:pageBreakBefore w:val="0"/>
              <w:widowControl w:val="0"/>
              <w:kinsoku/>
              <w:wordWrap/>
              <w:overflowPunct/>
              <w:topLinePunct w:val="0"/>
              <w:bidi w:val="0"/>
              <w:adjustRightInd/>
              <w:snapToGrid/>
              <w:spacing w:line="240" w:lineRule="auto"/>
              <w:jc w:val="left"/>
              <w:rPr>
                <w:rFonts w:hint="eastAsia" w:ascii="宋体" w:hAnsi="宋体" w:cs="宋体"/>
                <w:b w:val="0"/>
                <w:bCs w:val="0"/>
                <w:color w:val="auto"/>
                <w:spacing w:val="0"/>
                <w:sz w:val="21"/>
                <w:szCs w:val="21"/>
                <w:vertAlign w:val="baseline"/>
                <w:lang w:val="en-US" w:eastAsia="zh-CN"/>
              </w:rPr>
            </w:pPr>
            <w:r>
              <w:rPr>
                <w:rFonts w:hint="eastAsia" w:ascii="宋体" w:hAnsi="宋体"/>
                <w:color w:val="auto"/>
                <w:kern w:val="2"/>
                <w:sz w:val="21"/>
                <w:szCs w:val="21"/>
                <w:lang w:val="en-US" w:eastAsia="zh-CN" w:bidi="ar-SA"/>
              </w:rPr>
              <w:t>（5）未签署《无重大违法记录声明书》、《诚信投标承诺书》。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26</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是否</w:t>
            </w:r>
            <w:r>
              <w:rPr>
                <w:rFonts w:hint="eastAsia" w:ascii="宋体" w:hAnsi="宋体" w:eastAsia="宋体" w:cs="宋体"/>
                <w:color w:val="auto"/>
                <w:spacing w:val="0"/>
                <w:sz w:val="21"/>
                <w:szCs w:val="21"/>
                <w:lang w:val="en-US" w:eastAsia="zh-CN"/>
              </w:rPr>
              <w:t>允许</w:t>
            </w:r>
            <w:r>
              <w:rPr>
                <w:rFonts w:hint="eastAsia" w:ascii="宋体" w:hAnsi="宋体" w:cs="宋体"/>
                <w:color w:val="auto"/>
                <w:spacing w:val="0"/>
                <w:sz w:val="21"/>
                <w:szCs w:val="21"/>
                <w:lang w:val="en-US" w:eastAsia="zh-CN"/>
              </w:rPr>
              <w:t>递交备选投标方案</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vertAlign w:val="baseline"/>
                <w:lang w:eastAsia="zh-CN"/>
              </w:rPr>
              <w:t>□</w:t>
            </w:r>
            <w:r>
              <w:rPr>
                <w:rFonts w:hint="eastAsia" w:ascii="宋体" w:hAnsi="宋体" w:eastAsia="宋体" w:cs="宋体"/>
                <w:color w:val="auto"/>
                <w:spacing w:val="0"/>
                <w:sz w:val="21"/>
                <w:szCs w:val="21"/>
                <w:lang w:val="en-US" w:eastAsia="zh-CN"/>
              </w:rPr>
              <w:t>允许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color w:val="auto"/>
                <w:spacing w:val="0"/>
                <w:sz w:val="21"/>
                <w:szCs w:val="21"/>
                <w:lang w:val="en-US"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color w:val="auto"/>
                <w:szCs w:val="21"/>
              </w:rPr>
              <w:fldChar w:fldCharType="end"/>
            </w:r>
            <w:r>
              <w:rPr>
                <w:rFonts w:hint="eastAsia" w:ascii="宋体" w:hAnsi="宋体" w:cs="宋体"/>
                <w:color w:val="auto"/>
                <w:spacing w:val="0"/>
                <w:sz w:val="21"/>
                <w:szCs w:val="21"/>
                <w:vertAlign w:val="baseline"/>
                <w:lang w:val="en-US" w:eastAsia="zh-CN"/>
              </w:rPr>
              <w:t>不</w:t>
            </w:r>
            <w:r>
              <w:rPr>
                <w:rFonts w:hint="eastAsia" w:ascii="宋体" w:hAnsi="宋体" w:eastAsia="宋体" w:cs="宋体"/>
                <w:color w:val="auto"/>
                <w:spacing w:val="0"/>
                <w:sz w:val="21"/>
                <w:szCs w:val="21"/>
                <w:lang w:val="en-US"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27</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投标文件副本份数及其他要求</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color w:val="auto"/>
                <w:lang w:val="en-US" w:eastAsia="zh-CN"/>
              </w:rPr>
            </w:pPr>
            <w:r>
              <w:rPr>
                <w:rFonts w:hint="eastAsia"/>
                <w:color w:val="auto"/>
                <w:lang w:val="en-US" w:eastAsia="zh-CN"/>
              </w:rPr>
              <w:t>投标文件份数：正本壹份，副本贰份</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color w:val="auto"/>
                <w:lang w:val="en-US" w:eastAsia="zh-CN"/>
              </w:rPr>
            </w:pPr>
            <w:r>
              <w:rPr>
                <w:rFonts w:hint="eastAsia"/>
                <w:color w:val="auto"/>
                <w:lang w:val="en-US" w:eastAsia="zh-CN"/>
              </w:rPr>
              <w:t>电子标书：电子版投标文件光盘叁份</w:t>
            </w:r>
          </w:p>
          <w:p>
            <w:pPr>
              <w:pStyle w:val="25"/>
              <w:bidi w:val="0"/>
              <w:jc w:val="left"/>
              <w:rPr>
                <w:rFonts w:hint="eastAsia"/>
                <w:color w:val="auto"/>
                <w:lang w:val="en-US" w:eastAsia="zh-CN"/>
              </w:rPr>
            </w:pPr>
            <w:r>
              <w:rPr>
                <w:rFonts w:hint="eastAsia" w:ascii="宋体" w:hAnsi="宋体"/>
                <w:color w:val="auto"/>
                <w:szCs w:val="21"/>
              </w:rPr>
              <w:t>（纸质投标文件应与电子投标文件一致）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28</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投标文件是否需分册装订</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vertAlign w:val="baseline"/>
                <w:lang w:eastAsia="zh-CN"/>
              </w:rPr>
              <w:t>□</w:t>
            </w:r>
            <w:r>
              <w:rPr>
                <w:rFonts w:hint="eastAsia" w:ascii="宋体" w:hAnsi="宋体" w:cs="宋体"/>
                <w:color w:val="auto"/>
                <w:spacing w:val="0"/>
                <w:sz w:val="21"/>
                <w:szCs w:val="21"/>
                <w:highlight w:val="none"/>
                <w:lang w:val="en-US" w:eastAsia="zh-CN"/>
              </w:rPr>
              <w:t>不需要</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highlight w:val="none"/>
                <w:vertAlign w:val="baseline"/>
                <w:lang w:val="en-US" w:eastAsia="zh-CN"/>
              </w:rPr>
            </w:pPr>
            <w:r>
              <w:rPr>
                <w:color w:val="auto"/>
                <w:szCs w:val="21"/>
                <w:highlight w:val="none"/>
              </w:rPr>
              <w:fldChar w:fldCharType="begin"/>
            </w:r>
            <w:r>
              <w:rPr>
                <w:color w:val="auto"/>
                <w:szCs w:val="21"/>
                <w:highlight w:val="none"/>
              </w:rPr>
              <w:instrText xml:space="preserve"> </w:instrText>
            </w:r>
            <w:r>
              <w:rPr>
                <w:rFonts w:hint="eastAsia"/>
                <w:color w:val="auto"/>
                <w:szCs w:val="21"/>
                <w:highlight w:val="none"/>
              </w:rPr>
              <w:instrText xml:space="preserve">eq \o\ac(□,√)</w:instrText>
            </w:r>
            <w:r>
              <w:rPr>
                <w:color w:val="auto"/>
                <w:szCs w:val="21"/>
                <w:highlight w:val="none"/>
              </w:rPr>
              <w:fldChar w:fldCharType="end"/>
            </w:r>
            <w:r>
              <w:rPr>
                <w:rFonts w:hint="eastAsia" w:ascii="宋体" w:hAnsi="宋体" w:cs="宋体"/>
                <w:color w:val="auto"/>
                <w:spacing w:val="0"/>
                <w:sz w:val="21"/>
                <w:szCs w:val="21"/>
                <w:highlight w:val="none"/>
                <w:vertAlign w:val="baseline"/>
                <w:lang w:val="en-US" w:eastAsia="zh-CN"/>
              </w:rPr>
              <w:t>需要</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highlight w:val="none"/>
                <w:vertAlign w:val="baseline"/>
                <w:lang w:val="en-US" w:eastAsia="zh-CN"/>
              </w:rPr>
            </w:pPr>
            <w:r>
              <w:rPr>
                <w:rFonts w:hint="eastAsia" w:ascii="宋体" w:hAnsi="宋体" w:cs="宋体"/>
                <w:color w:val="auto"/>
                <w:spacing w:val="0"/>
                <w:sz w:val="21"/>
                <w:szCs w:val="21"/>
                <w:highlight w:val="none"/>
                <w:vertAlign w:val="baseline"/>
                <w:lang w:val="en-US" w:eastAsia="zh-CN"/>
              </w:rPr>
              <w:t>注：正副本分册装订，纸质投标文件采用死页胶装方式装订,装订应牢固、不易拆散和换页，不得采用活页装订；电子版投标文件单独密封。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29</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响应文件签字或盖章要求</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highlight w:val="none"/>
                <w:vertAlign w:val="baseline"/>
                <w:lang w:val="en-US" w:eastAsia="zh-CN"/>
              </w:rPr>
            </w:pPr>
            <w:r>
              <w:rPr>
                <w:rFonts w:hint="eastAsia" w:ascii="宋体" w:hAnsi="宋体" w:cs="宋体"/>
                <w:color w:val="auto"/>
                <w:spacing w:val="0"/>
                <w:sz w:val="21"/>
                <w:szCs w:val="21"/>
                <w:highlight w:val="none"/>
                <w:vertAlign w:val="baseline"/>
                <w:lang w:val="en-US" w:eastAsia="zh-CN"/>
              </w:rPr>
              <w:t>企业公章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highlight w:val="none"/>
                <w:vertAlign w:val="baseline"/>
                <w:lang w:val="en-US" w:eastAsia="zh-CN"/>
              </w:rPr>
            </w:pPr>
            <w:r>
              <w:rPr>
                <w:rFonts w:hint="eastAsia" w:ascii="宋体" w:hAnsi="宋体" w:cs="宋体"/>
                <w:color w:val="auto"/>
                <w:spacing w:val="0"/>
                <w:sz w:val="21"/>
                <w:szCs w:val="21"/>
                <w:highlight w:val="none"/>
                <w:vertAlign w:val="baseline"/>
                <w:lang w:val="en-US" w:eastAsia="zh-CN"/>
              </w:rPr>
              <w:t>企业法定代表人或授权委托人签字或盖章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color w:val="auto"/>
                <w:highlight w:val="none"/>
                <w:lang w:val="en-US" w:eastAsia="zh-CN"/>
              </w:rPr>
            </w:pPr>
            <w:r>
              <w:rPr>
                <w:rFonts w:hint="eastAsia" w:ascii="宋体" w:hAnsi="宋体" w:cs="宋体"/>
                <w:color w:val="auto"/>
                <w:spacing w:val="0"/>
                <w:sz w:val="21"/>
                <w:szCs w:val="21"/>
                <w:highlight w:val="none"/>
                <w:vertAlign w:val="baseline"/>
                <w:lang w:val="en-US" w:eastAsia="zh-CN"/>
              </w:rPr>
              <w:t>响应文件正副本须逐页加盖企业公章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30</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响应文件密封要求</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采用“封”字条完全密封，密封处加盖企业公章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封套上应载明的信息</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采购人名称：            采购人地址：</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响应供应商名称、地址、联系人及联系电话</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在    年    月    日下午      整（</w:t>
            </w:r>
            <w:r>
              <w:rPr>
                <w:rFonts w:hint="eastAsia" w:ascii="宋体" w:hAnsi="宋体" w:cs="宋体"/>
                <w:b w:val="0"/>
                <w:bCs w:val="0"/>
                <w:color w:val="auto"/>
                <w:spacing w:val="0"/>
                <w:sz w:val="21"/>
                <w:szCs w:val="21"/>
                <w:vertAlign w:val="baseline"/>
                <w:lang w:val="en-US" w:eastAsia="zh-CN"/>
              </w:rPr>
              <w:t>北京时间）前不得开启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bCs/>
                <w:color w:val="auto"/>
                <w:spacing w:val="0"/>
                <w:sz w:val="21"/>
                <w:szCs w:val="21"/>
                <w:highlight w:val="none"/>
                <w:vertAlign w:val="baseline"/>
                <w:lang w:val="en-US" w:eastAsia="zh-CN"/>
              </w:rPr>
            </w:pPr>
            <w:r>
              <w:rPr>
                <w:rFonts w:hint="eastAsia" w:ascii="宋体" w:hAnsi="宋体" w:cs="宋体"/>
                <w:b/>
                <w:bCs/>
                <w:color w:val="auto"/>
                <w:spacing w:val="0"/>
                <w:sz w:val="21"/>
                <w:szCs w:val="21"/>
                <w:highlight w:val="none"/>
                <w:vertAlign w:val="baseline"/>
                <w:lang w:val="en-US" w:eastAsia="zh-CN"/>
              </w:rPr>
              <w:t>响应截止时间</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bCs/>
                <w:color w:val="auto"/>
                <w:spacing w:val="0"/>
                <w:sz w:val="21"/>
                <w:szCs w:val="21"/>
                <w:highlight w:val="none"/>
                <w:vertAlign w:val="baseline"/>
                <w:lang w:val="en-US" w:eastAsia="zh-CN"/>
              </w:rPr>
            </w:pPr>
            <w:r>
              <w:rPr>
                <w:rFonts w:hint="eastAsia" w:ascii="宋体" w:hAnsi="宋体" w:cs="宋体"/>
                <w:b/>
                <w:bCs/>
                <w:color w:val="FF0000"/>
                <w:spacing w:val="0"/>
                <w:sz w:val="21"/>
                <w:szCs w:val="21"/>
                <w:highlight w:val="none"/>
                <w:vertAlign w:val="baseline"/>
                <w:lang w:val="en-US" w:eastAsia="zh-CN"/>
              </w:rPr>
              <w:t>详见新疆政府采购网本项目公开招标公告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递交响应文件地点</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新疆星建华汇工程项目管理有限公司二楼会议室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投标文件是否退还</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lang w:val="en-US"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color w:val="auto"/>
                <w:szCs w:val="21"/>
              </w:rPr>
              <w:fldChar w:fldCharType="end"/>
            </w:r>
            <w:r>
              <w:rPr>
                <w:rFonts w:hint="eastAsia" w:ascii="宋体" w:hAnsi="宋体" w:cs="宋体"/>
                <w:color w:val="auto"/>
                <w:spacing w:val="0"/>
                <w:sz w:val="21"/>
                <w:szCs w:val="21"/>
                <w:vertAlign w:val="baseline"/>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eastAsia="zh-CN"/>
              </w:rPr>
              <w:t>□</w:t>
            </w:r>
            <w:r>
              <w:rPr>
                <w:rFonts w:hint="eastAsia" w:ascii="宋体" w:hAnsi="宋体" w:cs="宋体"/>
                <w:color w:val="auto"/>
                <w:spacing w:val="0"/>
                <w:sz w:val="21"/>
                <w:szCs w:val="21"/>
                <w:vertAlign w:val="baseline"/>
                <w:lang w:val="en-US" w:eastAsia="zh-CN"/>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35</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磋商时间和地点</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w:t>
            </w:r>
            <w:r>
              <w:rPr>
                <w:rFonts w:hint="eastAsia" w:ascii="宋体" w:hAnsi="宋体" w:cs="宋体"/>
                <w:b w:val="0"/>
                <w:bCs w:val="0"/>
                <w:color w:val="auto"/>
                <w:spacing w:val="0"/>
                <w:sz w:val="21"/>
                <w:szCs w:val="21"/>
                <w:highlight w:val="none"/>
                <w:vertAlign w:val="baseline"/>
                <w:lang w:val="en-US" w:eastAsia="zh-CN"/>
              </w:rPr>
              <w:t>商时间：</w:t>
            </w:r>
            <w:r>
              <w:rPr>
                <w:rFonts w:hint="eastAsia" w:ascii="宋体" w:hAnsi="宋体" w:cs="宋体"/>
                <w:b/>
                <w:bCs/>
                <w:color w:val="FF0000"/>
                <w:spacing w:val="0"/>
                <w:sz w:val="21"/>
                <w:szCs w:val="21"/>
                <w:vertAlign w:val="baseline"/>
                <w:lang w:val="en-US" w:eastAsia="zh-CN"/>
              </w:rPr>
              <w:t>详见新疆政府采购网本项目公开招标公告</w:t>
            </w:r>
            <w:r>
              <w:rPr>
                <w:rFonts w:hint="eastAsia" w:ascii="宋体" w:hAnsi="宋体" w:cs="宋体"/>
                <w:b w:val="0"/>
                <w:bCs w:val="0"/>
                <w:color w:val="auto"/>
                <w:spacing w:val="0"/>
                <w:sz w:val="21"/>
                <w:szCs w:val="21"/>
                <w:vertAlign w:val="baseline"/>
                <w:lang w:val="en-US" w:eastAsia="zh-CN"/>
              </w:rPr>
              <w:t>（同投标截止时间）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磋商地点：新疆星建华汇工程项目管理有限公司会议室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36</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竞争性磋商小组的组建</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FF0000"/>
                <w:spacing w:val="0"/>
                <w:sz w:val="21"/>
                <w:szCs w:val="21"/>
                <w:u w:val="none"/>
                <w:vertAlign w:val="baseline"/>
                <w:lang w:val="en-US" w:eastAsia="zh-CN"/>
              </w:rPr>
            </w:pPr>
            <w:r>
              <w:rPr>
                <w:rFonts w:hint="eastAsia" w:ascii="宋体" w:hAnsi="宋体" w:cs="宋体"/>
                <w:b w:val="0"/>
                <w:bCs w:val="0"/>
                <w:color w:val="auto"/>
                <w:spacing w:val="0"/>
                <w:sz w:val="21"/>
                <w:szCs w:val="21"/>
                <w:vertAlign w:val="baseline"/>
                <w:lang w:val="en-US" w:eastAsia="zh-CN"/>
              </w:rPr>
              <w:t>竞争性磋商小组的构成：</w:t>
            </w:r>
            <w:r>
              <w:rPr>
                <w:rFonts w:hint="eastAsia" w:ascii="宋体" w:hAnsi="宋体" w:cs="宋体"/>
                <w:b w:val="0"/>
                <w:bCs w:val="0"/>
                <w:color w:val="auto"/>
                <w:spacing w:val="0"/>
                <w:sz w:val="21"/>
                <w:szCs w:val="21"/>
                <w:u w:val="single"/>
                <w:vertAlign w:val="baseline"/>
                <w:lang w:val="en-US" w:eastAsia="zh-CN"/>
              </w:rPr>
              <w:t xml:space="preserve"> </w:t>
            </w:r>
            <w:r>
              <w:rPr>
                <w:rFonts w:hint="eastAsia" w:ascii="宋体" w:hAnsi="宋体" w:cs="宋体"/>
                <w:b w:val="0"/>
                <w:bCs w:val="0"/>
                <w:color w:val="FF0000"/>
                <w:spacing w:val="0"/>
                <w:sz w:val="21"/>
                <w:szCs w:val="21"/>
                <w:u w:val="single"/>
                <w:vertAlign w:val="baseline"/>
                <w:lang w:val="en-US" w:eastAsia="zh-CN"/>
              </w:rPr>
              <w:t xml:space="preserve"> 3 </w:t>
            </w:r>
            <w:r>
              <w:rPr>
                <w:rFonts w:hint="eastAsia" w:ascii="宋体" w:hAnsi="宋体" w:cs="宋体"/>
                <w:b w:val="0"/>
                <w:bCs w:val="0"/>
                <w:color w:val="FF0000"/>
                <w:spacing w:val="0"/>
                <w:sz w:val="21"/>
                <w:szCs w:val="21"/>
                <w:u w:val="none"/>
                <w:vertAlign w:val="baseline"/>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FF0000"/>
                <w:spacing w:val="0"/>
                <w:sz w:val="21"/>
                <w:szCs w:val="21"/>
                <w:u w:val="none"/>
                <w:vertAlign w:val="baseline"/>
                <w:lang w:val="en-US" w:eastAsia="zh-CN"/>
              </w:rPr>
            </w:pPr>
            <w:r>
              <w:rPr>
                <w:rFonts w:hint="eastAsia" w:ascii="宋体" w:hAnsi="宋体" w:cs="宋体"/>
                <w:b w:val="0"/>
                <w:bCs w:val="0"/>
                <w:color w:val="FF0000"/>
                <w:spacing w:val="0"/>
                <w:sz w:val="21"/>
                <w:szCs w:val="21"/>
                <w:u w:val="none"/>
                <w:vertAlign w:val="baseline"/>
                <w:lang w:val="en-US" w:eastAsia="zh-CN"/>
              </w:rPr>
              <w:t>其中采购人代表</w:t>
            </w:r>
            <w:r>
              <w:rPr>
                <w:rFonts w:hint="eastAsia" w:ascii="宋体" w:hAnsi="宋体" w:cs="宋体"/>
                <w:b w:val="0"/>
                <w:bCs w:val="0"/>
                <w:color w:val="FF0000"/>
                <w:spacing w:val="0"/>
                <w:sz w:val="21"/>
                <w:szCs w:val="21"/>
                <w:u w:val="single"/>
                <w:vertAlign w:val="baseline"/>
                <w:lang w:val="en-US" w:eastAsia="zh-CN"/>
              </w:rPr>
              <w:t xml:space="preserve">   0   </w:t>
            </w:r>
            <w:r>
              <w:rPr>
                <w:rFonts w:hint="eastAsia" w:ascii="宋体" w:hAnsi="宋体" w:cs="宋体"/>
                <w:b w:val="0"/>
                <w:bCs w:val="0"/>
                <w:color w:val="FF0000"/>
                <w:spacing w:val="0"/>
                <w:sz w:val="21"/>
                <w:szCs w:val="21"/>
                <w:u w:val="none"/>
                <w:vertAlign w:val="baseline"/>
                <w:lang w:val="en-US" w:eastAsia="zh-CN"/>
              </w:rPr>
              <w:t>人，专家</w:t>
            </w:r>
            <w:r>
              <w:rPr>
                <w:rFonts w:hint="eastAsia" w:ascii="宋体" w:hAnsi="宋体" w:cs="宋体"/>
                <w:b w:val="0"/>
                <w:bCs w:val="0"/>
                <w:color w:val="FF0000"/>
                <w:spacing w:val="0"/>
                <w:sz w:val="21"/>
                <w:szCs w:val="21"/>
                <w:u w:val="single"/>
                <w:vertAlign w:val="baseline"/>
                <w:lang w:val="en-US" w:eastAsia="zh-CN"/>
              </w:rPr>
              <w:t xml:space="preserve">  3 </w:t>
            </w:r>
            <w:r>
              <w:rPr>
                <w:rFonts w:hint="eastAsia" w:ascii="宋体" w:hAnsi="宋体" w:cs="宋体"/>
                <w:b w:val="0"/>
                <w:bCs w:val="0"/>
                <w:color w:val="FF0000"/>
                <w:spacing w:val="0"/>
                <w:sz w:val="21"/>
                <w:szCs w:val="21"/>
                <w:u w:val="none"/>
                <w:vertAlign w:val="baseline"/>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u w:val="none"/>
                <w:vertAlign w:val="baseline"/>
                <w:lang w:val="en-US" w:eastAsia="zh-CN"/>
              </w:rPr>
            </w:pPr>
            <w:r>
              <w:rPr>
                <w:rFonts w:hint="eastAsia" w:ascii="宋体" w:hAnsi="宋体" w:cs="宋体"/>
                <w:b w:val="0"/>
                <w:bCs w:val="0"/>
                <w:color w:val="auto"/>
                <w:spacing w:val="0"/>
                <w:sz w:val="21"/>
                <w:szCs w:val="21"/>
                <w:u w:val="none"/>
                <w:vertAlign w:val="baseline"/>
                <w:lang w:val="en-US" w:eastAsia="zh-CN"/>
              </w:rPr>
              <w:t>竞争性磋商小组成员确定方式：政采云平台随机抽取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37</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竞争性磋商小组推荐成交候选人的人数</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u w:val="single"/>
                <w:vertAlign w:val="baseline"/>
                <w:lang w:val="en-US" w:eastAsia="zh-CN"/>
              </w:rPr>
              <w:t xml:space="preserve">  3  </w:t>
            </w:r>
            <w:r>
              <w:rPr>
                <w:rFonts w:hint="eastAsia" w:ascii="宋体" w:hAnsi="宋体" w:cs="宋体"/>
                <w:b w:val="0"/>
                <w:bCs w:val="0"/>
                <w:color w:val="auto"/>
                <w:spacing w:val="0"/>
                <w:sz w:val="21"/>
                <w:szCs w:val="21"/>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38</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中标候选人公示媒介及期限</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公示媒介：新疆政府采购网</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公示期限</w:t>
            </w:r>
            <w:r>
              <w:rPr>
                <w:rFonts w:hint="eastAsia" w:ascii="宋体" w:hAnsi="宋体" w:cs="宋体"/>
                <w:b w:val="0"/>
                <w:bCs w:val="0"/>
                <w:color w:val="auto"/>
                <w:spacing w:val="0"/>
                <w:sz w:val="21"/>
                <w:szCs w:val="21"/>
                <w:u w:val="none"/>
                <w:vertAlign w:val="baseline"/>
                <w:lang w:val="en-US" w:eastAsia="zh-CN"/>
              </w:rPr>
              <w:t>：</w:t>
            </w:r>
            <w:r>
              <w:rPr>
                <w:rFonts w:hint="eastAsia" w:ascii="宋体" w:hAnsi="宋体" w:cs="宋体"/>
                <w:b w:val="0"/>
                <w:bCs w:val="0"/>
                <w:color w:val="auto"/>
                <w:spacing w:val="0"/>
                <w:sz w:val="21"/>
                <w:szCs w:val="21"/>
                <w:u w:val="single"/>
                <w:vertAlign w:val="baseline"/>
                <w:lang w:val="en-US" w:eastAsia="zh-CN"/>
              </w:rPr>
              <w:t xml:space="preserve">  1  </w:t>
            </w:r>
            <w:r>
              <w:rPr>
                <w:rFonts w:hint="eastAsia" w:ascii="宋体" w:hAnsi="宋体" w:cs="宋体"/>
                <w:b w:val="0"/>
                <w:bCs w:val="0"/>
                <w:color w:val="auto"/>
                <w:spacing w:val="0"/>
                <w:sz w:val="21"/>
                <w:szCs w:val="21"/>
                <w:u w:val="none"/>
                <w:vertAlign w:val="baseline"/>
                <w:lang w:val="en-US" w:eastAsia="zh-CN"/>
              </w:rPr>
              <w:t>工作</w:t>
            </w:r>
            <w:r>
              <w:rPr>
                <w:rFonts w:hint="eastAsia" w:ascii="宋体" w:hAnsi="宋体" w:cs="宋体"/>
                <w:b w:val="0"/>
                <w:bCs w:val="0"/>
                <w:color w:val="auto"/>
                <w:spacing w:val="0"/>
                <w:sz w:val="21"/>
                <w:szCs w:val="21"/>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39</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是否授权竞争性磋商小组确定成交供应商</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lang w:val="en-US"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color w:val="auto"/>
                <w:szCs w:val="21"/>
              </w:rPr>
              <w:fldChar w:fldCharType="end"/>
            </w:r>
            <w:r>
              <w:rPr>
                <w:rFonts w:hint="eastAsia" w:ascii="宋体" w:hAnsi="宋体" w:cs="宋体"/>
                <w:color w:val="auto"/>
                <w:spacing w:val="0"/>
                <w:sz w:val="21"/>
                <w:szCs w:val="21"/>
                <w:vertAlign w:val="baseline"/>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rFonts w:hint="eastAsia"/>
                <w:color w:val="auto"/>
                <w:szCs w:val="21"/>
                <w:lang w:eastAsia="zh-CN"/>
              </w:rPr>
              <w:instrText xml:space="preserve">,</w:instrText>
            </w:r>
            <w:r>
              <w:rPr>
                <w:rFonts w:hint="eastAsia"/>
                <w:color w:val="auto"/>
                <w:position w:val="2"/>
                <w:sz w:val="13"/>
                <w:szCs w:val="21"/>
                <w:lang w:eastAsia="zh-CN"/>
              </w:rPr>
              <w:instrText xml:space="preserve">√</w:instrText>
            </w:r>
            <w:r>
              <w:rPr>
                <w:rFonts w:hint="eastAsia"/>
                <w:color w:val="auto"/>
                <w:szCs w:val="21"/>
              </w:rPr>
              <w:instrText xml:space="preserve">)</w:instrText>
            </w:r>
            <w:r>
              <w:rPr>
                <w:color w:val="auto"/>
                <w:szCs w:val="21"/>
              </w:rPr>
              <w:fldChar w:fldCharType="end"/>
            </w:r>
            <w:r>
              <w:rPr>
                <w:rFonts w:hint="eastAsia" w:ascii="宋体" w:hAnsi="宋体" w:cs="宋体"/>
                <w:color w:val="auto"/>
                <w:spacing w:val="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40</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履约保证金</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履约担保的形式：支票、汇票或银行保函</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履约担保的金额：中标价的</w:t>
            </w:r>
            <w:r>
              <w:rPr>
                <w:rFonts w:hint="eastAsia" w:ascii="宋体" w:hAnsi="宋体" w:cs="宋体"/>
                <w:b w:val="0"/>
                <w:bCs w:val="0"/>
                <w:color w:val="auto"/>
                <w:spacing w:val="0"/>
                <w:sz w:val="21"/>
                <w:szCs w:val="21"/>
                <w:u w:val="single"/>
                <w:vertAlign w:val="baseline"/>
                <w:lang w:val="en-US" w:eastAsia="zh-CN"/>
              </w:rPr>
              <w:t xml:space="preserve">   3%   </w:t>
            </w:r>
            <w:r>
              <w:rPr>
                <w:rFonts w:hint="eastAsia" w:ascii="宋体" w:hAnsi="宋体" w:cs="宋体"/>
                <w:b w:val="0"/>
                <w:bCs w:val="0"/>
                <w:color w:val="auto"/>
                <w:spacing w:val="0"/>
                <w:sz w:val="21"/>
                <w:szCs w:val="21"/>
                <w:vertAlign w:val="baseline"/>
                <w:lang w:val="en-US" w:eastAsia="zh-CN"/>
              </w:rPr>
              <w:t>，</w:t>
            </w:r>
            <w:r>
              <w:rPr>
                <w:rFonts w:hint="eastAsia" w:ascii="宋体" w:hAnsi="宋体" w:cs="宋体"/>
                <w:b/>
                <w:bCs/>
                <w:color w:val="auto"/>
                <w:spacing w:val="0"/>
                <w:sz w:val="21"/>
                <w:szCs w:val="21"/>
                <w:vertAlign w:val="baseline"/>
                <w:lang w:val="en-US" w:eastAsia="zh-CN"/>
              </w:rPr>
              <w:t>由中标人在中标后24小时内缴纳至采购人指定账户。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需要补充的其他内容</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竞争性磋商文件及补充文件要求的证明材料，响应供应商均需在开标现场持原件备查，如因响应供应商未提供原件导致的相关后果，响应供应商自行承担。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政策优惠说明</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中</w:t>
            </w:r>
            <w:bookmarkStart w:id="7" w:name="_Hlk27738727"/>
            <w:r>
              <w:rPr>
                <w:rFonts w:hint="eastAsia" w:ascii="宋体" w:hAnsi="宋体" w:cs="宋体"/>
                <w:b/>
                <w:bCs/>
                <w:color w:val="auto"/>
                <w:spacing w:val="0"/>
                <w:sz w:val="21"/>
                <w:szCs w:val="21"/>
                <w:vertAlign w:val="baseline"/>
                <w:lang w:val="en-US" w:eastAsia="zh-CN"/>
              </w:rPr>
              <w:t>型、小型、微型企业：</w:t>
            </w:r>
            <w:r>
              <w:rPr>
                <w:rFonts w:hint="eastAsia" w:ascii="宋体" w:hAnsi="宋体" w:cs="宋体"/>
                <w:b w:val="0"/>
                <w:bCs w:val="0"/>
                <w:color w:val="auto"/>
                <w:spacing w:val="0"/>
                <w:sz w:val="21"/>
                <w:szCs w:val="21"/>
                <w:vertAlign w:val="baseline"/>
                <w:lang w:val="en-US" w:eastAsia="zh-CN"/>
              </w:rPr>
              <w:t>根据《政府采购促进中小企业发展管理办法》（财库﹝2020﹞46 号）的规定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（1）中小企业（含中型、小型、微型企业，下同）单独参加本项目的投标：</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①提供中型企业生产的产品，给予6%的价格扣除，用扣除后的价格参与评审。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②提供小型企业生产的产品，给予8%的价格扣除，用扣除后的价格参与评审。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③提供微型企业生产的产品，给予10%的价格扣除，用扣除后的价格参与评审。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（2）参加本次采购活动的中小企业，应当在询价响应文件中提供有效的《中小企业声明函》，并对其真实性负责。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大中型企业和其他自然人、法人或者其他组织与小型、微型企业组成联合体共同参加本项目投标，凡联合协议中约定，小型、微型企业的协议合同金额占到联合体协议合同总金额30%以上的，给予联合体2%的价格扣除；联合体各方均为小型企业的，联合体视同为小型企业；联合体各方均为微型企业的，联合体视同为微型企业</w:t>
            </w:r>
            <w:bookmarkEnd w:id="7"/>
            <w:r>
              <w:rPr>
                <w:rFonts w:hint="eastAsia" w:ascii="宋体" w:hAnsi="宋体" w:cs="宋体"/>
                <w:b w:val="0"/>
                <w:bCs w:val="0"/>
                <w:color w:val="auto"/>
                <w:spacing w:val="0"/>
                <w:sz w:val="21"/>
                <w:szCs w:val="21"/>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监狱企业：</w:t>
            </w:r>
            <w:r>
              <w:rPr>
                <w:rFonts w:hint="eastAsia" w:ascii="宋体" w:hAnsi="宋体" w:cs="宋体"/>
                <w:b w:val="0"/>
                <w:bCs w:val="0"/>
                <w:color w:val="auto"/>
                <w:spacing w:val="0"/>
                <w:sz w:val="21"/>
                <w:szCs w:val="21"/>
                <w:vertAlign w:val="baseli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监狱企业视同微型企业。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（1）监狱企业参加本项目的投标，视同微型企业投标，提供本单位生产的产品享受8%价格扣除。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（2）参加本次采购活动的监狱企业，应当在响应文件中提供由省级以上监狱管理局、戒毒管理局（含新疆建设生产兵团）出具的属于监狱企业的证明文件，不再提供《中小企业声明函》，不重复享受政策。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残疾人福利性单位：</w:t>
            </w:r>
            <w:r>
              <w:rPr>
                <w:rFonts w:hint="eastAsia" w:ascii="宋体" w:hAnsi="宋体" w:cs="宋体"/>
                <w:b w:val="0"/>
                <w:bCs w:val="0"/>
                <w:color w:val="auto"/>
                <w:spacing w:val="0"/>
                <w:sz w:val="21"/>
                <w:szCs w:val="21"/>
                <w:vertAlign w:val="baseline"/>
                <w:lang w:val="en-US" w:eastAsia="zh-CN"/>
              </w:rPr>
              <w:t>根据财政部  民政部《中国残疾人联合会关于促进残疾人就业政府采购政策的通知》（财库【2017】141号）的规定。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（1）残疾人福利性单位参加本项目的投标，视同小型、微型企业投标，提供本单位生产的产品享受8%的价格扣除。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（2）参加本次采购活动的残疾人福利性单位，应当在询价响应文件中提供由141号文规定的《残疾人福利性单位声明函》，不再提供《中小企业声明函》，不重复享受政策。</w:t>
            </w:r>
          </w:p>
          <w:p>
            <w:pPr>
              <w:keepNext w:val="0"/>
              <w:keepLines w:val="0"/>
              <w:pageBreakBefore w:val="0"/>
              <w:widowControl/>
              <w:shd w:val="clear" w:color="auto" w:fill="FFFFFF"/>
              <w:kinsoku/>
              <w:wordWrap/>
              <w:overflowPunct/>
              <w:topLinePunct w:val="0"/>
              <w:autoSpaceDE/>
              <w:autoSpaceDN/>
              <w:bidi w:val="0"/>
              <w:adjustRightInd w:val="0"/>
              <w:snapToGrid w:val="0"/>
              <w:ind w:firstLine="422" w:firstLineChars="200"/>
              <w:jc w:val="left"/>
              <w:textAlignment w:val="auto"/>
              <w:rPr>
                <w:rFonts w:hint="eastAsia"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节能及环境标志产品：</w:t>
            </w:r>
            <w:r>
              <w:rPr>
                <w:rFonts w:hint="eastAsia" w:ascii="宋体" w:hAnsi="宋体" w:cs="宋体"/>
                <w:b w:val="0"/>
                <w:bCs w:val="0"/>
                <w:color w:val="auto"/>
                <w:spacing w:val="0"/>
                <w:sz w:val="21"/>
                <w:szCs w:val="21"/>
                <w:vertAlign w:val="baseline"/>
                <w:lang w:val="en-US" w:eastAsia="zh-CN"/>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r>
              <w:rPr>
                <w:rFonts w:hint="eastAsia" w:ascii="宋体" w:hAnsi="宋体" w:cs="宋体"/>
                <w:b w:val="0"/>
                <w:bCs w:val="0"/>
                <w:color w:val="auto"/>
                <w:spacing w:val="0"/>
                <w:sz w:val="21"/>
                <w:szCs w:val="21"/>
                <w:vertAlign w:val="baseline"/>
                <w:lang w:val="en-US" w:eastAsia="zh-CN"/>
              </w:rPr>
              <w:br w:type="textWrapping"/>
            </w:r>
            <w:r>
              <w:rPr>
                <w:rFonts w:hint="eastAsia" w:ascii="宋体" w:hAnsi="宋体" w:cs="宋体"/>
                <w:b w:val="0"/>
                <w:bCs w:val="0"/>
                <w:color w:val="auto"/>
                <w:spacing w:val="0"/>
                <w:sz w:val="21"/>
                <w:szCs w:val="21"/>
                <w:vertAlign w:val="baseline"/>
                <w:lang w:val="en-US" w:eastAsia="zh-CN"/>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价格扣除，强制类产品已作为投标时强制性要求不再给予价格扣除。若节能、环境标志清单内的产品仅是构成投标产品的部件、组件或零件的，则该投标产品不予价格扣除。</w:t>
            </w:r>
            <w:r>
              <w:rPr>
                <w:rFonts w:hint="eastAsia" w:ascii="宋体" w:hAnsi="宋体" w:cs="宋体"/>
                <w:b w:val="0"/>
                <w:bCs w:val="0"/>
                <w:color w:val="auto"/>
                <w:spacing w:val="0"/>
                <w:sz w:val="21"/>
                <w:szCs w:val="21"/>
                <w:vertAlign w:val="baseline"/>
                <w:lang w:val="en-US" w:eastAsia="zh-CN"/>
              </w:rPr>
              <w:br w:type="textWrapping"/>
            </w:r>
            <w:r>
              <w:rPr>
                <w:rFonts w:hint="eastAsia" w:ascii="宋体" w:hAnsi="宋体" w:cs="宋体"/>
                <w:b/>
                <w:bCs/>
                <w:color w:val="auto"/>
                <w:spacing w:val="0"/>
                <w:sz w:val="21"/>
                <w:szCs w:val="21"/>
                <w:vertAlign w:val="baseline"/>
                <w:lang w:val="en-US" w:eastAsia="zh-CN"/>
              </w:rPr>
              <w:t>价格项扣除：对于节能清单部分产品，环境清单部分产品的价格给予3%的扣除，用扣除后的价格参加评审。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招标代理服务收费标准</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根据国家发展和改革委员会办公室“发改办价格[2015]299号”文规定，本项目向中标人收取中标服务费。以上费用请各投标人考虑到成本费用中，由中标单位在领取中标通知书时一次性支付给代理公司。（若通过银行汇款交纳的，须由投标人的帐户汇入）。中标服务费按差额定率累进法计算收取。收费标准如下表所列：</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7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中标金额</w:t>
                  </w:r>
                </w:p>
              </w:tc>
              <w:tc>
                <w:tcPr>
                  <w:tcW w:w="2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100万以下</w:t>
                  </w:r>
                </w:p>
              </w:tc>
              <w:tc>
                <w:tcPr>
                  <w:tcW w:w="2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100-500万</w:t>
                  </w:r>
                </w:p>
              </w:tc>
              <w:tc>
                <w:tcPr>
                  <w:tcW w:w="2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500-1000万</w:t>
                  </w:r>
                </w:p>
              </w:tc>
              <w:tc>
                <w:tcPr>
                  <w:tcW w:w="2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0.45%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其他说明</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如本采购文件采购截止时间等与本项目新疆政府采购网采购公告截止时间不一致时，以本项目公告时间为准。</w:t>
            </w:r>
          </w:p>
        </w:tc>
      </w:tr>
    </w:tbl>
    <w:p>
      <w:pPr>
        <w:jc w:val="left"/>
        <w:rPr>
          <w:rFonts w:hint="eastAsia" w:ascii="宋体" w:hAnsi="宋体"/>
          <w:color w:val="auto"/>
          <w:sz w:val="24"/>
        </w:rPr>
      </w:pPr>
    </w:p>
    <w:p>
      <w:pPr>
        <w:jc w:val="left"/>
        <w:rPr>
          <w:rFonts w:hint="eastAsia" w:ascii="宋体" w:hAnsi="宋体"/>
          <w:color w:val="auto"/>
          <w:sz w:val="24"/>
        </w:rPr>
      </w:pPr>
    </w:p>
    <w:p>
      <w:pPr>
        <w:jc w:val="left"/>
        <w:rPr>
          <w:rFonts w:hint="eastAsia" w:ascii="宋体" w:hAnsi="宋体"/>
          <w:color w:val="auto"/>
          <w:sz w:val="24"/>
        </w:rPr>
      </w:pPr>
      <w:r>
        <w:rPr>
          <w:rFonts w:hint="eastAsia" w:ascii="宋体" w:hAnsi="宋体"/>
          <w:color w:val="auto"/>
          <w:sz w:val="24"/>
        </w:rPr>
        <w:t>一、总则</w:t>
      </w:r>
    </w:p>
    <w:p>
      <w:pPr>
        <w:jc w:val="left"/>
        <w:rPr>
          <w:rFonts w:hint="eastAsia" w:ascii="宋体" w:hAnsi="宋体"/>
          <w:color w:val="auto"/>
          <w:sz w:val="24"/>
        </w:rPr>
      </w:pPr>
      <w:bookmarkStart w:id="8" w:name="_Toc177825120"/>
      <w:bookmarkStart w:id="9" w:name="_Toc177870537"/>
      <w:bookmarkStart w:id="10" w:name="_Toc177824939"/>
      <w:bookmarkStart w:id="11" w:name="_Toc177824872"/>
      <w:r>
        <w:rPr>
          <w:rFonts w:hint="eastAsia" w:ascii="宋体" w:hAnsi="宋体"/>
          <w:color w:val="auto"/>
          <w:sz w:val="24"/>
        </w:rPr>
        <w:t>（一）适用范围</w:t>
      </w:r>
      <w:bookmarkEnd w:id="8"/>
      <w:bookmarkEnd w:id="9"/>
      <w:bookmarkEnd w:id="10"/>
      <w:bookmarkEnd w:id="11"/>
    </w:p>
    <w:p>
      <w:pPr>
        <w:jc w:val="left"/>
        <w:rPr>
          <w:rFonts w:hint="eastAsia" w:ascii="宋体" w:hAnsi="宋体"/>
          <w:color w:val="auto"/>
          <w:sz w:val="24"/>
        </w:rPr>
      </w:pPr>
      <w:r>
        <w:rPr>
          <w:rFonts w:hint="eastAsia" w:ascii="宋体" w:hAnsi="宋体"/>
          <w:color w:val="auto"/>
          <w:sz w:val="24"/>
        </w:rPr>
        <w:t>本次竞争性磋商文件适用于：</w:t>
      </w:r>
      <w:r>
        <w:rPr>
          <w:rFonts w:hint="eastAsia" w:ascii="宋体" w:hAnsi="宋体"/>
          <w:color w:val="auto"/>
          <w:sz w:val="24"/>
          <w:lang w:val="en-US" w:eastAsia="zh-CN"/>
        </w:rPr>
        <w:t>班班通设备采购</w:t>
      </w:r>
      <w:r>
        <w:rPr>
          <w:rFonts w:hint="eastAsia" w:ascii="宋体" w:hAnsi="宋体"/>
          <w:color w:val="auto"/>
          <w:sz w:val="24"/>
        </w:rPr>
        <w:t>的招标、评标、定标、验收、合同履约、付款等（法律、法规另有规定的，从其规定）。</w:t>
      </w:r>
    </w:p>
    <w:p>
      <w:pPr>
        <w:jc w:val="left"/>
        <w:rPr>
          <w:rFonts w:hint="eastAsia" w:ascii="宋体" w:hAnsi="宋体"/>
          <w:color w:val="auto"/>
          <w:sz w:val="24"/>
        </w:rPr>
      </w:pPr>
      <w:bookmarkStart w:id="12" w:name="_Toc177824940"/>
      <w:bookmarkStart w:id="13" w:name="_Toc177824873"/>
      <w:bookmarkStart w:id="14" w:name="_Toc177870538"/>
      <w:bookmarkStart w:id="15" w:name="_Toc177825121"/>
      <w:r>
        <w:rPr>
          <w:rFonts w:hint="eastAsia" w:ascii="宋体" w:hAnsi="宋体"/>
          <w:color w:val="auto"/>
          <w:sz w:val="24"/>
        </w:rPr>
        <w:t>（二）定义</w:t>
      </w:r>
      <w:bookmarkEnd w:id="12"/>
      <w:bookmarkEnd w:id="13"/>
      <w:bookmarkEnd w:id="14"/>
      <w:bookmarkEnd w:id="15"/>
    </w:p>
    <w:p>
      <w:pPr>
        <w:jc w:val="left"/>
        <w:rPr>
          <w:rFonts w:hint="eastAsia" w:ascii="宋体" w:hAnsi="宋体"/>
          <w:color w:val="auto"/>
          <w:sz w:val="24"/>
        </w:rPr>
      </w:pPr>
      <w:r>
        <w:rPr>
          <w:rFonts w:hint="eastAsia" w:ascii="宋体" w:hAnsi="宋体"/>
          <w:color w:val="auto"/>
          <w:sz w:val="24"/>
        </w:rPr>
        <w:t>1.“投标人”系指向</w:t>
      </w:r>
      <w:r>
        <w:rPr>
          <w:rFonts w:hint="eastAsia" w:ascii="宋体" w:hAnsi="宋体"/>
          <w:color w:val="auto"/>
          <w:sz w:val="24"/>
          <w:lang w:eastAsia="zh-CN"/>
        </w:rPr>
        <w:t>招标人</w:t>
      </w:r>
      <w:r>
        <w:rPr>
          <w:rFonts w:hint="eastAsia" w:ascii="宋体" w:hAnsi="宋体"/>
          <w:color w:val="auto"/>
          <w:sz w:val="24"/>
        </w:rPr>
        <w:t>提交响应文件的单位。</w:t>
      </w:r>
    </w:p>
    <w:p>
      <w:pPr>
        <w:jc w:val="left"/>
        <w:rPr>
          <w:rFonts w:hint="eastAsia" w:ascii="宋体" w:hAnsi="宋体"/>
          <w:color w:val="auto"/>
          <w:sz w:val="24"/>
        </w:rPr>
      </w:pPr>
      <w:r>
        <w:rPr>
          <w:rFonts w:hint="eastAsia" w:ascii="宋体" w:hAnsi="宋体"/>
          <w:color w:val="auto"/>
          <w:sz w:val="24"/>
        </w:rPr>
        <w:t>2.“投标货物”系指供应商方按竞争性磋商文件规定，须向采购人提供的一切设备、保险、税金、备品备件、工具、手册及其它有关技术资料和代理服务等标的物。</w:t>
      </w:r>
    </w:p>
    <w:p>
      <w:pPr>
        <w:jc w:val="left"/>
        <w:rPr>
          <w:rFonts w:hint="eastAsia" w:ascii="宋体" w:hAnsi="宋体"/>
          <w:color w:val="auto"/>
          <w:sz w:val="24"/>
        </w:rPr>
      </w:pPr>
      <w:r>
        <w:rPr>
          <w:rFonts w:hint="eastAsia" w:ascii="宋体" w:hAnsi="宋体"/>
          <w:color w:val="auto"/>
          <w:sz w:val="24"/>
        </w:rPr>
        <w:t>6.“★”系指实质性要求条款。</w:t>
      </w:r>
    </w:p>
    <w:p>
      <w:pPr>
        <w:jc w:val="left"/>
        <w:rPr>
          <w:rFonts w:hint="eastAsia" w:ascii="宋体" w:hAnsi="宋体"/>
          <w:color w:val="auto"/>
          <w:sz w:val="24"/>
        </w:rPr>
      </w:pPr>
      <w:bookmarkStart w:id="16" w:name="_Toc177870539"/>
      <w:r>
        <w:rPr>
          <w:rFonts w:hint="eastAsia" w:ascii="宋体" w:hAnsi="宋体"/>
          <w:color w:val="auto"/>
          <w:sz w:val="24"/>
        </w:rPr>
        <w:t>（三）采购方式</w:t>
      </w:r>
      <w:bookmarkEnd w:id="16"/>
    </w:p>
    <w:p>
      <w:pPr>
        <w:jc w:val="left"/>
        <w:rPr>
          <w:rFonts w:hint="eastAsia" w:ascii="宋体" w:hAnsi="宋体"/>
          <w:color w:val="auto"/>
          <w:sz w:val="24"/>
        </w:rPr>
      </w:pPr>
      <w:r>
        <w:rPr>
          <w:rFonts w:hint="eastAsia" w:ascii="宋体" w:hAnsi="宋体"/>
          <w:color w:val="auto"/>
          <w:sz w:val="24"/>
        </w:rPr>
        <w:t>本项目采用竞争性磋商的方式进行。</w:t>
      </w:r>
    </w:p>
    <w:p>
      <w:pPr>
        <w:jc w:val="left"/>
        <w:rPr>
          <w:rFonts w:hint="eastAsia" w:ascii="宋体" w:hAnsi="宋体"/>
          <w:color w:val="auto"/>
          <w:sz w:val="24"/>
        </w:rPr>
      </w:pPr>
      <w:bookmarkStart w:id="17" w:name="_Toc177824874"/>
      <w:bookmarkStart w:id="18" w:name="_Toc177824941"/>
      <w:bookmarkStart w:id="19" w:name="_Toc177870540"/>
      <w:bookmarkStart w:id="20" w:name="_Toc177825122"/>
      <w:r>
        <w:rPr>
          <w:rFonts w:hint="eastAsia" w:ascii="宋体" w:hAnsi="宋体"/>
          <w:color w:val="auto"/>
          <w:sz w:val="24"/>
        </w:rPr>
        <w:t>（四）投标委托</w:t>
      </w:r>
      <w:bookmarkEnd w:id="17"/>
      <w:bookmarkEnd w:id="18"/>
      <w:bookmarkEnd w:id="19"/>
      <w:bookmarkEnd w:id="20"/>
    </w:p>
    <w:p>
      <w:pPr>
        <w:jc w:val="left"/>
        <w:rPr>
          <w:rFonts w:hint="eastAsia" w:ascii="宋体" w:hAnsi="宋体"/>
          <w:color w:val="auto"/>
          <w:sz w:val="24"/>
        </w:rPr>
      </w:pPr>
      <w:r>
        <w:rPr>
          <w:rFonts w:hint="eastAsia" w:ascii="宋体" w:hAnsi="宋体"/>
          <w:color w:val="auto"/>
          <w:sz w:val="24"/>
        </w:rPr>
        <w:t>投标人代表须携带居民身份证、法人代表证明书（或法定代表人出具的授权委托书）参加投标。</w:t>
      </w:r>
    </w:p>
    <w:p>
      <w:pPr>
        <w:jc w:val="left"/>
        <w:rPr>
          <w:rFonts w:hint="eastAsia" w:ascii="宋体" w:hAnsi="宋体"/>
          <w:color w:val="auto"/>
          <w:sz w:val="24"/>
        </w:rPr>
      </w:pPr>
      <w:bookmarkStart w:id="21" w:name="_Toc177824875"/>
      <w:bookmarkStart w:id="22" w:name="_Toc177825123"/>
      <w:bookmarkStart w:id="23" w:name="_Toc177870541"/>
      <w:bookmarkStart w:id="24" w:name="_Toc177824942"/>
      <w:r>
        <w:rPr>
          <w:rFonts w:hint="eastAsia" w:ascii="宋体" w:hAnsi="宋体"/>
          <w:color w:val="auto"/>
          <w:sz w:val="24"/>
        </w:rPr>
        <w:t>（五）投标费用</w:t>
      </w:r>
      <w:bookmarkEnd w:id="21"/>
      <w:bookmarkEnd w:id="22"/>
      <w:bookmarkEnd w:id="23"/>
      <w:bookmarkEnd w:id="24"/>
    </w:p>
    <w:p>
      <w:pPr>
        <w:jc w:val="left"/>
        <w:rPr>
          <w:rFonts w:hint="eastAsia" w:ascii="宋体" w:hAnsi="宋体"/>
          <w:color w:val="auto"/>
          <w:sz w:val="24"/>
        </w:rPr>
      </w:pPr>
      <w:r>
        <w:rPr>
          <w:rFonts w:hint="eastAsia" w:ascii="宋体" w:hAnsi="宋体"/>
          <w:color w:val="auto"/>
          <w:sz w:val="24"/>
        </w:rPr>
        <w:t>不论投标结果如何，投标人均应自行承担所有与投标有关的全部费用。</w:t>
      </w:r>
    </w:p>
    <w:p>
      <w:pPr>
        <w:jc w:val="left"/>
        <w:rPr>
          <w:rFonts w:hint="eastAsia" w:ascii="宋体" w:hAnsi="宋体"/>
          <w:color w:val="auto"/>
          <w:sz w:val="24"/>
        </w:rPr>
      </w:pPr>
      <w:r>
        <w:rPr>
          <w:rFonts w:hint="eastAsia" w:ascii="宋体" w:hAnsi="宋体"/>
          <w:color w:val="auto"/>
          <w:sz w:val="24"/>
        </w:rPr>
        <w:t>（六）联合体投标、转包及分包</w:t>
      </w:r>
    </w:p>
    <w:p>
      <w:pPr>
        <w:jc w:val="left"/>
        <w:rPr>
          <w:rFonts w:hint="eastAsia" w:ascii="宋体" w:hAnsi="宋体"/>
          <w:color w:val="auto"/>
          <w:sz w:val="24"/>
        </w:rPr>
      </w:pPr>
      <w:r>
        <w:rPr>
          <w:rFonts w:hint="eastAsia" w:ascii="宋体" w:hAnsi="宋体"/>
          <w:color w:val="auto"/>
          <w:sz w:val="24"/>
        </w:rPr>
        <w:t>本项目不接受联合体投标。本项目不允许转包或分包。</w:t>
      </w:r>
    </w:p>
    <w:p>
      <w:pPr>
        <w:jc w:val="left"/>
        <w:rPr>
          <w:rFonts w:hint="eastAsia" w:ascii="宋体" w:hAnsi="宋体"/>
          <w:color w:val="auto"/>
          <w:sz w:val="24"/>
        </w:rPr>
      </w:pPr>
      <w:r>
        <w:rPr>
          <w:rFonts w:hint="eastAsia" w:ascii="宋体" w:hAnsi="宋体"/>
          <w:color w:val="auto"/>
          <w:sz w:val="24"/>
        </w:rPr>
        <w:t>（七）特别说明：</w:t>
      </w:r>
    </w:p>
    <w:p>
      <w:pPr>
        <w:jc w:val="left"/>
        <w:rPr>
          <w:rFonts w:hint="eastAsia" w:ascii="宋体" w:hAnsi="宋体"/>
          <w:color w:val="auto"/>
          <w:sz w:val="24"/>
        </w:rPr>
      </w:pPr>
      <w:r>
        <w:rPr>
          <w:rFonts w:hint="eastAsia" w:ascii="宋体" w:hAnsi="宋体"/>
          <w:color w:val="auto"/>
          <w:sz w:val="24"/>
        </w:rPr>
        <w:t>★1.投标人投标所使用的资格、信誉、荣誉、业绩与企业认证必须为本企业所拥有。投标人投标所使用的采购项目实施人员可以为其控股公司的工作人员。</w:t>
      </w:r>
    </w:p>
    <w:p>
      <w:pPr>
        <w:jc w:val="left"/>
        <w:rPr>
          <w:rFonts w:hint="eastAsia" w:ascii="宋体" w:hAnsi="宋体"/>
          <w:color w:val="auto"/>
          <w:sz w:val="24"/>
        </w:rPr>
      </w:pPr>
      <w:r>
        <w:rPr>
          <w:rFonts w:hint="eastAsia" w:ascii="宋体" w:hAnsi="宋体"/>
          <w:color w:val="auto"/>
          <w:sz w:val="24"/>
        </w:rPr>
        <w:t>★2.投标人在投标活动中提供任何虚假材料或从事其他违法活动的,其投标无效，并报监管部门查处、中标后发现的,中标人须依照《中华人民共和国消费者权益保护法》第49条之规定执行，且民事赔偿并不免除违法投标人的行政与刑事责任。</w:t>
      </w:r>
    </w:p>
    <w:p>
      <w:pPr>
        <w:jc w:val="left"/>
        <w:rPr>
          <w:rFonts w:hint="eastAsia" w:ascii="宋体" w:hAnsi="宋体"/>
          <w:color w:val="auto"/>
          <w:sz w:val="24"/>
        </w:rPr>
      </w:pPr>
      <w:r>
        <w:rPr>
          <w:rFonts w:hint="eastAsia" w:ascii="宋体" w:hAnsi="宋体"/>
          <w:color w:val="auto"/>
          <w:sz w:val="24"/>
        </w:rPr>
        <w:t>★3.投标人应仔细阅读竞争性磋商文件的所有内容，按照竞争性磋商文件的要求提交响应文件，响应文件应对竞争性磋商文件的要求作出实质性响应，并对所提供的全部资料的真实性承担法律责任。</w:t>
      </w:r>
    </w:p>
    <w:p>
      <w:pPr>
        <w:jc w:val="left"/>
        <w:rPr>
          <w:rFonts w:hint="eastAsia" w:ascii="宋体" w:hAnsi="宋体"/>
          <w:color w:val="auto"/>
          <w:sz w:val="24"/>
        </w:rPr>
      </w:pPr>
    </w:p>
    <w:bookmarkEnd w:id="5"/>
    <w:p>
      <w:pPr>
        <w:pStyle w:val="16"/>
        <w:spacing w:line="276" w:lineRule="auto"/>
        <w:jc w:val="center"/>
        <w:rPr>
          <w:rFonts w:hAnsi="宋体"/>
          <w:b/>
          <w:bCs/>
          <w:color w:val="auto"/>
          <w:sz w:val="30"/>
          <w:szCs w:val="30"/>
        </w:rPr>
      </w:pPr>
    </w:p>
    <w:p>
      <w:pPr>
        <w:pStyle w:val="16"/>
        <w:spacing w:line="276" w:lineRule="auto"/>
        <w:jc w:val="center"/>
        <w:outlineLvl w:val="0"/>
        <w:rPr>
          <w:rFonts w:hAnsi="宋体"/>
          <w:b/>
          <w:bCs/>
          <w:color w:val="auto"/>
          <w:sz w:val="48"/>
          <w:szCs w:val="48"/>
        </w:rPr>
      </w:pPr>
      <w:bookmarkStart w:id="25" w:name="_Toc4798"/>
      <w:r>
        <w:rPr>
          <w:rFonts w:hAnsi="宋体"/>
          <w:b/>
          <w:bCs/>
          <w:color w:val="auto"/>
          <w:sz w:val="48"/>
          <w:szCs w:val="48"/>
        </w:rPr>
        <w:t>第三章</w:t>
      </w:r>
      <w:r>
        <w:rPr>
          <w:rFonts w:hint="eastAsia" w:hAnsi="宋体"/>
          <w:b/>
          <w:bCs/>
          <w:color w:val="auto"/>
          <w:sz w:val="48"/>
          <w:szCs w:val="48"/>
        </w:rPr>
        <w:t xml:space="preserve">  政府采购合同</w:t>
      </w:r>
      <w:bookmarkEnd w:id="25"/>
    </w:p>
    <w:p>
      <w:pPr>
        <w:spacing w:line="480" w:lineRule="auto"/>
        <w:ind w:firstLine="562" w:firstLineChars="200"/>
        <w:jc w:val="left"/>
        <w:outlineLvl w:val="9"/>
        <w:rPr>
          <w:rFonts w:hint="eastAsia" w:ascii="宋体" w:hAnsi="宋体" w:eastAsia="宋体" w:cs="宋体"/>
          <w:color w:val="auto"/>
          <w:sz w:val="28"/>
          <w:szCs w:val="28"/>
        </w:rPr>
      </w:pPr>
      <w:bookmarkStart w:id="26" w:name="_Toc24004"/>
      <w:r>
        <w:rPr>
          <w:rFonts w:hint="eastAsia" w:ascii="宋体" w:hAnsi="宋体" w:eastAsia="宋体" w:cs="宋体"/>
          <w:b/>
          <w:color w:val="auto"/>
          <w:sz w:val="28"/>
          <w:szCs w:val="28"/>
        </w:rPr>
        <w:t>（一）签发中标通知书。</w:t>
      </w:r>
      <w:r>
        <w:rPr>
          <w:rFonts w:hint="eastAsia" w:ascii="宋体" w:hAnsi="宋体" w:eastAsia="宋体" w:cs="宋体"/>
          <w:color w:val="auto"/>
          <w:sz w:val="28"/>
          <w:szCs w:val="28"/>
        </w:rPr>
        <w:t>确定成交供应商后，采购业务代理机构在三日内向成交供应商发出成交通知书，经</w:t>
      </w:r>
      <w:r>
        <w:rPr>
          <w:rFonts w:hint="eastAsia" w:ascii="宋体" w:hAnsi="宋体" w:eastAsia="宋体" w:cs="宋体"/>
          <w:color w:val="auto"/>
          <w:sz w:val="28"/>
          <w:szCs w:val="28"/>
          <w:lang w:val="en-US" w:eastAsia="zh-CN"/>
        </w:rPr>
        <w:t>采购单位</w:t>
      </w:r>
      <w:r>
        <w:rPr>
          <w:rFonts w:hint="eastAsia" w:ascii="宋体" w:hAnsi="宋体" w:eastAsia="宋体" w:cs="宋体"/>
          <w:color w:val="auto"/>
          <w:sz w:val="28"/>
          <w:szCs w:val="28"/>
        </w:rPr>
        <w:t>盖章,对成交结果予以确认。</w:t>
      </w:r>
    </w:p>
    <w:p>
      <w:pPr>
        <w:wordWrap w:val="0"/>
        <w:spacing w:before="100" w:beforeAutospacing="1" w:after="100" w:afterAutospacing="1" w:line="360" w:lineRule="auto"/>
        <w:ind w:left="180" w:firstLine="281" w:firstLineChars="100"/>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（二）签订合同</w:t>
      </w:r>
      <w:r>
        <w:rPr>
          <w:rFonts w:hint="eastAsia" w:ascii="宋体" w:hAnsi="宋体" w:eastAsia="宋体" w:cs="宋体"/>
          <w:color w:val="auto"/>
          <w:sz w:val="28"/>
          <w:szCs w:val="28"/>
        </w:rPr>
        <w:t>。确定成交供应商后，采购人和成交供应商应当在中标通知书发出之后，及时书面签订政府采购合同。合同由采购人（甲方）、成交供应商（乙方）双方</w:t>
      </w:r>
      <w:r>
        <w:rPr>
          <w:rFonts w:hint="eastAsia" w:ascii="宋体" w:hAnsi="宋体" w:eastAsia="宋体" w:cs="宋体"/>
          <w:color w:val="auto"/>
          <w:sz w:val="28"/>
          <w:szCs w:val="28"/>
          <w:lang w:val="en-US" w:eastAsia="zh-CN"/>
        </w:rPr>
        <w:t>共同</w:t>
      </w:r>
      <w:r>
        <w:rPr>
          <w:rFonts w:hint="eastAsia" w:ascii="宋体" w:hAnsi="宋体" w:eastAsia="宋体" w:cs="宋体"/>
          <w:color w:val="auto"/>
          <w:sz w:val="28"/>
          <w:szCs w:val="28"/>
        </w:rPr>
        <w:t>签订。</w:t>
      </w:r>
    </w:p>
    <w:p>
      <w:pPr>
        <w:pStyle w:val="135"/>
        <w:widowControl/>
        <w:wordWrap w:val="0"/>
        <w:spacing w:before="100" w:beforeAutospacing="1" w:after="100" w:afterAutospacing="1"/>
        <w:ind w:left="420" w:firstLine="0" w:firstLineChars="0"/>
        <w:jc w:val="left"/>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（三）合同主要条款</w:t>
      </w:r>
    </w:p>
    <w:p>
      <w:pPr>
        <w:spacing w:line="360" w:lineRule="auto"/>
        <w:jc w:val="center"/>
        <w:outlineLvl w:val="1"/>
        <w:rPr>
          <w:rFonts w:hint="eastAsia"/>
          <w:b/>
          <w:color w:val="auto"/>
          <w:sz w:val="28"/>
          <w:szCs w:val="28"/>
        </w:rPr>
      </w:pPr>
      <w:bookmarkStart w:id="27" w:name="_Toc9902"/>
      <w:r>
        <w:rPr>
          <w:rFonts w:hint="eastAsia"/>
          <w:b/>
          <w:color w:val="auto"/>
          <w:sz w:val="28"/>
          <w:szCs w:val="28"/>
        </w:rPr>
        <w:t>采购合同协议书</w:t>
      </w:r>
      <w:bookmarkEnd w:id="27"/>
    </w:p>
    <w:p>
      <w:pPr>
        <w:spacing w:line="360" w:lineRule="auto"/>
        <w:ind w:firstLine="4800" w:firstLineChars="2000"/>
        <w:rPr>
          <w:rFonts w:hint="eastAsia"/>
          <w:color w:val="auto"/>
          <w:sz w:val="24"/>
          <w:szCs w:val="24"/>
        </w:rPr>
      </w:pPr>
    </w:p>
    <w:p>
      <w:pPr>
        <w:spacing w:line="360" w:lineRule="auto"/>
        <w:ind w:firstLine="4200" w:firstLineChars="2000"/>
        <w:outlineLvl w:val="9"/>
        <w:rPr>
          <w:rFonts w:hint="eastAsia"/>
          <w:color w:val="auto"/>
          <w:sz w:val="21"/>
          <w:szCs w:val="21"/>
          <w:u w:val="single"/>
        </w:rPr>
      </w:pPr>
      <w:r>
        <w:rPr>
          <w:rFonts w:hint="eastAsia"/>
          <w:color w:val="auto"/>
          <w:sz w:val="21"/>
          <w:szCs w:val="21"/>
        </w:rPr>
        <w:t>采购合同编号：</w:t>
      </w:r>
      <w:r>
        <w:rPr>
          <w:rFonts w:hint="eastAsia"/>
          <w:color w:val="auto"/>
          <w:sz w:val="21"/>
          <w:szCs w:val="21"/>
          <w:u w:val="single"/>
        </w:rPr>
        <w:t xml:space="preserve">                 </w:t>
      </w:r>
    </w:p>
    <w:p>
      <w:pPr>
        <w:spacing w:line="360" w:lineRule="auto"/>
        <w:ind w:firstLine="4216" w:firstLineChars="2000"/>
        <w:outlineLvl w:val="9"/>
        <w:rPr>
          <w:rFonts w:hint="eastAsia"/>
          <w:b/>
          <w:color w:val="auto"/>
          <w:sz w:val="21"/>
          <w:szCs w:val="21"/>
        </w:rPr>
      </w:pPr>
    </w:p>
    <w:p>
      <w:pPr>
        <w:adjustRightInd w:val="0"/>
        <w:snapToGrid w:val="0"/>
        <w:spacing w:line="360" w:lineRule="auto"/>
        <w:outlineLvl w:val="9"/>
        <w:rPr>
          <w:rFonts w:hint="eastAsia"/>
          <w:color w:val="auto"/>
          <w:sz w:val="21"/>
          <w:szCs w:val="21"/>
        </w:rPr>
      </w:pPr>
      <w:r>
        <w:rPr>
          <w:rFonts w:hint="eastAsia"/>
          <w:color w:val="auto"/>
          <w:sz w:val="21"/>
          <w:szCs w:val="21"/>
        </w:rPr>
        <w:t>采购人（全称）：</w:t>
      </w:r>
      <w:r>
        <w:rPr>
          <w:rFonts w:hint="eastAsia"/>
          <w:color w:val="auto"/>
          <w:sz w:val="21"/>
          <w:szCs w:val="21"/>
          <w:u w:val="single"/>
        </w:rPr>
        <w:t xml:space="preserve">                             </w:t>
      </w:r>
      <w:r>
        <w:rPr>
          <w:rFonts w:hint="eastAsia"/>
          <w:color w:val="auto"/>
          <w:sz w:val="21"/>
          <w:szCs w:val="21"/>
        </w:rPr>
        <w:t>（甲方）</w:t>
      </w:r>
    </w:p>
    <w:p>
      <w:pPr>
        <w:adjustRightInd w:val="0"/>
        <w:snapToGrid w:val="0"/>
        <w:spacing w:line="360" w:lineRule="auto"/>
        <w:outlineLvl w:val="9"/>
        <w:rPr>
          <w:rFonts w:hint="eastAsia"/>
          <w:color w:val="auto"/>
          <w:sz w:val="21"/>
          <w:szCs w:val="21"/>
        </w:rPr>
      </w:pPr>
      <w:r>
        <w:rPr>
          <w:rFonts w:hint="eastAsia"/>
          <w:color w:val="auto"/>
          <w:sz w:val="21"/>
          <w:szCs w:val="21"/>
        </w:rPr>
        <w:t>投标人（全称）：</w:t>
      </w:r>
      <w:r>
        <w:rPr>
          <w:rFonts w:hint="eastAsia"/>
          <w:color w:val="auto"/>
          <w:sz w:val="21"/>
          <w:szCs w:val="21"/>
          <w:u w:val="single"/>
        </w:rPr>
        <w:t xml:space="preserve">                             </w:t>
      </w:r>
      <w:r>
        <w:rPr>
          <w:rFonts w:hint="eastAsia"/>
          <w:color w:val="auto"/>
          <w:sz w:val="21"/>
          <w:szCs w:val="21"/>
        </w:rPr>
        <w:t>（乙方）</w:t>
      </w:r>
    </w:p>
    <w:p>
      <w:pPr>
        <w:adjustRightInd w:val="0"/>
        <w:snapToGrid w:val="0"/>
        <w:spacing w:line="360" w:lineRule="auto"/>
        <w:ind w:left="440"/>
        <w:outlineLvl w:val="9"/>
        <w:rPr>
          <w:rFonts w:hint="eastAsia"/>
          <w:color w:val="auto"/>
          <w:sz w:val="21"/>
          <w:szCs w:val="21"/>
        </w:rPr>
      </w:pP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为了保护甲、乙双方合法权益，根据《中华人民共和国合同法》、《中华人民共和国政府采购法》及其他有关法律、法规、规章，双方签订本合同协议书。</w:t>
      </w:r>
    </w:p>
    <w:p>
      <w:pPr>
        <w:ind w:left="0" w:firstLine="23"/>
        <w:outlineLvl w:val="9"/>
        <w:rPr>
          <w:rFonts w:hint="eastAsia" w:ascii="宋体" w:hAnsi="宋体" w:cs="宋体"/>
          <w:color w:val="auto"/>
          <w:sz w:val="21"/>
          <w:szCs w:val="21"/>
        </w:rPr>
      </w:pPr>
      <w:bookmarkStart w:id="28" w:name="_Toc26562"/>
      <w:bookmarkStart w:id="29" w:name="_Toc528670420"/>
      <w:r>
        <w:rPr>
          <w:rFonts w:hint="eastAsia" w:ascii="宋体" w:hAnsi="宋体" w:cs="宋体"/>
          <w:color w:val="auto"/>
          <w:sz w:val="21"/>
          <w:szCs w:val="21"/>
        </w:rPr>
        <w:t>1、项目信息</w:t>
      </w:r>
      <w:bookmarkEnd w:id="28"/>
      <w:bookmarkEnd w:id="29"/>
    </w:p>
    <w:p>
      <w:pPr>
        <w:adjustRightInd w:val="0"/>
        <w:snapToGrid w:val="0"/>
        <w:spacing w:line="360" w:lineRule="auto"/>
        <w:ind w:left="440"/>
        <w:outlineLvl w:val="9"/>
        <w:rPr>
          <w:rFonts w:hint="eastAsia"/>
          <w:color w:val="auto"/>
          <w:sz w:val="21"/>
          <w:szCs w:val="21"/>
        </w:rPr>
      </w:pPr>
      <w:r>
        <w:rPr>
          <w:rFonts w:hint="eastAsia"/>
          <w:color w:val="auto"/>
          <w:sz w:val="21"/>
          <w:szCs w:val="21"/>
        </w:rPr>
        <w:t>（1）采购项目名称：</w:t>
      </w:r>
      <w:r>
        <w:rPr>
          <w:rFonts w:hint="eastAsia"/>
          <w:color w:val="auto"/>
          <w:sz w:val="21"/>
          <w:szCs w:val="21"/>
          <w:u w:val="single"/>
        </w:rPr>
        <w:t xml:space="preserve">                                           </w:t>
      </w:r>
    </w:p>
    <w:p>
      <w:pPr>
        <w:adjustRightInd w:val="0"/>
        <w:snapToGrid w:val="0"/>
        <w:spacing w:line="360" w:lineRule="auto"/>
        <w:ind w:left="440"/>
        <w:outlineLvl w:val="9"/>
        <w:rPr>
          <w:rFonts w:hint="eastAsia"/>
          <w:color w:val="auto"/>
          <w:sz w:val="21"/>
          <w:szCs w:val="21"/>
        </w:rPr>
      </w:pPr>
      <w:r>
        <w:rPr>
          <w:rFonts w:hint="eastAsia"/>
          <w:color w:val="auto"/>
          <w:sz w:val="21"/>
          <w:szCs w:val="21"/>
        </w:rPr>
        <w:t>（2）采购计划编号：</w:t>
      </w:r>
      <w:r>
        <w:rPr>
          <w:rFonts w:hint="eastAsia"/>
          <w:color w:val="auto"/>
          <w:sz w:val="21"/>
          <w:szCs w:val="21"/>
          <w:u w:val="single"/>
        </w:rPr>
        <w:t xml:space="preserve">                                           </w:t>
      </w:r>
      <w:r>
        <w:rPr>
          <w:rFonts w:hint="eastAsia"/>
          <w:color w:val="auto"/>
          <w:sz w:val="21"/>
          <w:szCs w:val="21"/>
        </w:rPr>
        <w:t xml:space="preserve"> </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（3）项目内容：</w:t>
      </w:r>
      <w:r>
        <w:rPr>
          <w:rFonts w:hint="eastAsia"/>
          <w:color w:val="auto"/>
          <w:sz w:val="21"/>
          <w:szCs w:val="21"/>
          <w:u w:val="single"/>
        </w:rPr>
        <w:t xml:space="preserve">                                               </w:t>
      </w:r>
    </w:p>
    <w:p>
      <w:pPr>
        <w:ind w:left="0" w:firstLine="23"/>
        <w:outlineLvl w:val="9"/>
        <w:rPr>
          <w:rFonts w:hint="eastAsia" w:ascii="宋体" w:hAnsi="宋体" w:cs="宋体"/>
          <w:color w:val="auto"/>
          <w:sz w:val="21"/>
          <w:szCs w:val="21"/>
        </w:rPr>
      </w:pPr>
      <w:bookmarkStart w:id="30" w:name="_Toc86481557"/>
      <w:bookmarkStart w:id="31" w:name="_Toc6232"/>
      <w:bookmarkStart w:id="32" w:name="_Toc528670421"/>
      <w:r>
        <w:rPr>
          <w:rFonts w:hint="eastAsia" w:ascii="宋体" w:hAnsi="宋体" w:cs="宋体"/>
          <w:color w:val="auto"/>
          <w:sz w:val="21"/>
          <w:szCs w:val="21"/>
        </w:rPr>
        <w:t>2、</w:t>
      </w:r>
      <w:bookmarkEnd w:id="30"/>
      <w:r>
        <w:rPr>
          <w:rFonts w:hint="eastAsia" w:ascii="宋体" w:hAnsi="宋体" w:cs="宋体"/>
          <w:color w:val="auto"/>
          <w:sz w:val="21"/>
          <w:szCs w:val="21"/>
        </w:rPr>
        <w:t>产品名称、型号、数量、金额</w:t>
      </w:r>
      <w:bookmarkEnd w:id="31"/>
      <w:bookmarkEnd w:id="32"/>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512"/>
        <w:gridCol w:w="1260"/>
        <w:gridCol w:w="962"/>
        <w:gridCol w:w="720"/>
        <w:gridCol w:w="697"/>
        <w:gridCol w:w="697"/>
        <w:gridCol w:w="697"/>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center"/>
          </w:tcPr>
          <w:p>
            <w:pPr>
              <w:spacing w:line="400" w:lineRule="exact"/>
              <w:jc w:val="center"/>
              <w:outlineLvl w:val="9"/>
              <w:rPr>
                <w:rFonts w:hint="eastAsia"/>
                <w:color w:val="auto"/>
                <w:sz w:val="21"/>
                <w:szCs w:val="21"/>
              </w:rPr>
            </w:pPr>
            <w:r>
              <w:rPr>
                <w:rFonts w:hint="eastAsia"/>
                <w:color w:val="auto"/>
                <w:sz w:val="21"/>
                <w:szCs w:val="21"/>
              </w:rPr>
              <w:t>序号</w:t>
            </w:r>
          </w:p>
        </w:tc>
        <w:tc>
          <w:tcPr>
            <w:tcW w:w="1512" w:type="dxa"/>
            <w:noWrap w:val="0"/>
            <w:vAlign w:val="center"/>
          </w:tcPr>
          <w:p>
            <w:pPr>
              <w:spacing w:line="400" w:lineRule="exact"/>
              <w:jc w:val="center"/>
              <w:outlineLvl w:val="9"/>
              <w:rPr>
                <w:rFonts w:hint="eastAsia"/>
                <w:color w:val="auto"/>
                <w:sz w:val="21"/>
                <w:szCs w:val="21"/>
              </w:rPr>
            </w:pPr>
            <w:r>
              <w:rPr>
                <w:rFonts w:hint="eastAsia"/>
                <w:color w:val="auto"/>
                <w:sz w:val="21"/>
                <w:szCs w:val="21"/>
              </w:rPr>
              <w:t>货物名称</w:t>
            </w:r>
          </w:p>
        </w:tc>
        <w:tc>
          <w:tcPr>
            <w:tcW w:w="1260" w:type="dxa"/>
            <w:noWrap w:val="0"/>
            <w:vAlign w:val="center"/>
          </w:tcPr>
          <w:p>
            <w:pPr>
              <w:spacing w:line="400" w:lineRule="exact"/>
              <w:jc w:val="center"/>
              <w:outlineLvl w:val="9"/>
              <w:rPr>
                <w:rFonts w:hint="eastAsia"/>
                <w:color w:val="auto"/>
                <w:sz w:val="21"/>
                <w:szCs w:val="21"/>
              </w:rPr>
            </w:pPr>
            <w:r>
              <w:rPr>
                <w:rFonts w:hint="eastAsia"/>
                <w:color w:val="auto"/>
                <w:sz w:val="21"/>
                <w:szCs w:val="21"/>
              </w:rPr>
              <w:t>型号规格</w:t>
            </w:r>
          </w:p>
        </w:tc>
        <w:tc>
          <w:tcPr>
            <w:tcW w:w="962" w:type="dxa"/>
            <w:noWrap w:val="0"/>
            <w:vAlign w:val="center"/>
          </w:tcPr>
          <w:p>
            <w:pPr>
              <w:spacing w:line="400" w:lineRule="exact"/>
              <w:jc w:val="center"/>
              <w:outlineLvl w:val="9"/>
              <w:rPr>
                <w:rFonts w:hint="eastAsia"/>
                <w:color w:val="auto"/>
                <w:sz w:val="21"/>
                <w:szCs w:val="21"/>
              </w:rPr>
            </w:pPr>
            <w:r>
              <w:rPr>
                <w:rFonts w:hint="eastAsia"/>
                <w:color w:val="auto"/>
                <w:sz w:val="21"/>
                <w:szCs w:val="21"/>
              </w:rPr>
              <w:t>制造商</w:t>
            </w:r>
          </w:p>
        </w:tc>
        <w:tc>
          <w:tcPr>
            <w:tcW w:w="720" w:type="dxa"/>
            <w:noWrap w:val="0"/>
            <w:vAlign w:val="center"/>
          </w:tcPr>
          <w:p>
            <w:pPr>
              <w:spacing w:line="400" w:lineRule="exact"/>
              <w:jc w:val="center"/>
              <w:outlineLvl w:val="9"/>
              <w:rPr>
                <w:rFonts w:hint="eastAsia"/>
                <w:color w:val="auto"/>
                <w:sz w:val="21"/>
                <w:szCs w:val="21"/>
              </w:rPr>
            </w:pPr>
            <w:r>
              <w:rPr>
                <w:rFonts w:hint="eastAsia"/>
                <w:color w:val="auto"/>
                <w:sz w:val="21"/>
                <w:szCs w:val="21"/>
              </w:rPr>
              <w:t>单位</w:t>
            </w:r>
          </w:p>
        </w:tc>
        <w:tc>
          <w:tcPr>
            <w:tcW w:w="697" w:type="dxa"/>
            <w:noWrap w:val="0"/>
            <w:vAlign w:val="center"/>
          </w:tcPr>
          <w:p>
            <w:pPr>
              <w:spacing w:line="400" w:lineRule="exact"/>
              <w:jc w:val="center"/>
              <w:outlineLvl w:val="9"/>
              <w:rPr>
                <w:rFonts w:hint="eastAsia"/>
                <w:color w:val="auto"/>
                <w:sz w:val="21"/>
                <w:szCs w:val="21"/>
              </w:rPr>
            </w:pPr>
            <w:r>
              <w:rPr>
                <w:rFonts w:hint="eastAsia"/>
                <w:color w:val="auto"/>
                <w:sz w:val="21"/>
                <w:szCs w:val="21"/>
              </w:rPr>
              <w:t>数量</w:t>
            </w:r>
          </w:p>
        </w:tc>
        <w:tc>
          <w:tcPr>
            <w:tcW w:w="697" w:type="dxa"/>
            <w:noWrap w:val="0"/>
            <w:vAlign w:val="center"/>
          </w:tcPr>
          <w:p>
            <w:pPr>
              <w:spacing w:line="400" w:lineRule="exact"/>
              <w:jc w:val="center"/>
              <w:outlineLvl w:val="9"/>
              <w:rPr>
                <w:rFonts w:hint="eastAsia"/>
                <w:color w:val="auto"/>
                <w:sz w:val="21"/>
                <w:szCs w:val="21"/>
              </w:rPr>
            </w:pPr>
            <w:r>
              <w:rPr>
                <w:rFonts w:hint="eastAsia"/>
                <w:color w:val="auto"/>
                <w:sz w:val="21"/>
                <w:szCs w:val="21"/>
              </w:rPr>
              <w:t>单价</w:t>
            </w:r>
          </w:p>
        </w:tc>
        <w:tc>
          <w:tcPr>
            <w:tcW w:w="697" w:type="dxa"/>
            <w:noWrap w:val="0"/>
            <w:vAlign w:val="center"/>
          </w:tcPr>
          <w:p>
            <w:pPr>
              <w:spacing w:line="400" w:lineRule="exact"/>
              <w:jc w:val="center"/>
              <w:outlineLvl w:val="9"/>
              <w:rPr>
                <w:rFonts w:hint="eastAsia"/>
                <w:color w:val="auto"/>
                <w:sz w:val="21"/>
                <w:szCs w:val="21"/>
              </w:rPr>
            </w:pPr>
            <w:r>
              <w:rPr>
                <w:rFonts w:hint="eastAsia"/>
                <w:color w:val="auto"/>
                <w:sz w:val="21"/>
                <w:szCs w:val="21"/>
              </w:rPr>
              <w:t>金额</w:t>
            </w:r>
          </w:p>
        </w:tc>
        <w:tc>
          <w:tcPr>
            <w:tcW w:w="826" w:type="dxa"/>
            <w:noWrap w:val="0"/>
            <w:vAlign w:val="center"/>
          </w:tcPr>
          <w:p>
            <w:pPr>
              <w:spacing w:line="400" w:lineRule="exact"/>
              <w:jc w:val="center"/>
              <w:outlineLvl w:val="9"/>
              <w:rPr>
                <w:rFonts w:hint="eastAsia"/>
                <w:color w:val="auto"/>
                <w:sz w:val="21"/>
                <w:szCs w:val="21"/>
              </w:rPr>
            </w:pPr>
            <w:r>
              <w:rPr>
                <w:rFonts w:hint="eastAsia"/>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top"/>
          </w:tcPr>
          <w:p>
            <w:pPr>
              <w:spacing w:line="400" w:lineRule="exact"/>
              <w:outlineLvl w:val="9"/>
              <w:rPr>
                <w:rFonts w:hint="eastAsia"/>
                <w:color w:val="auto"/>
                <w:sz w:val="21"/>
                <w:szCs w:val="21"/>
              </w:rPr>
            </w:pPr>
          </w:p>
        </w:tc>
        <w:tc>
          <w:tcPr>
            <w:tcW w:w="1512" w:type="dxa"/>
            <w:noWrap w:val="0"/>
            <w:vAlign w:val="top"/>
          </w:tcPr>
          <w:p>
            <w:pPr>
              <w:spacing w:line="400" w:lineRule="exact"/>
              <w:outlineLvl w:val="9"/>
              <w:rPr>
                <w:rFonts w:hint="eastAsia"/>
                <w:color w:val="auto"/>
                <w:sz w:val="21"/>
                <w:szCs w:val="21"/>
              </w:rPr>
            </w:pPr>
          </w:p>
        </w:tc>
        <w:tc>
          <w:tcPr>
            <w:tcW w:w="1260" w:type="dxa"/>
            <w:noWrap w:val="0"/>
            <w:vAlign w:val="top"/>
          </w:tcPr>
          <w:p>
            <w:pPr>
              <w:spacing w:line="400" w:lineRule="exact"/>
              <w:ind w:left="-288" w:leftChars="-137" w:firstLine="287" w:firstLineChars="137"/>
              <w:outlineLvl w:val="9"/>
              <w:rPr>
                <w:rFonts w:hint="eastAsia"/>
                <w:color w:val="auto"/>
                <w:sz w:val="21"/>
                <w:szCs w:val="21"/>
              </w:rPr>
            </w:pPr>
          </w:p>
        </w:tc>
        <w:tc>
          <w:tcPr>
            <w:tcW w:w="962" w:type="dxa"/>
            <w:noWrap w:val="0"/>
            <w:vAlign w:val="top"/>
          </w:tcPr>
          <w:p>
            <w:pPr>
              <w:spacing w:line="400" w:lineRule="exact"/>
              <w:outlineLvl w:val="9"/>
              <w:rPr>
                <w:rFonts w:hint="eastAsia"/>
                <w:color w:val="auto"/>
                <w:sz w:val="21"/>
                <w:szCs w:val="21"/>
              </w:rPr>
            </w:pPr>
          </w:p>
        </w:tc>
        <w:tc>
          <w:tcPr>
            <w:tcW w:w="720"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826" w:type="dxa"/>
            <w:noWrap w:val="0"/>
            <w:vAlign w:val="top"/>
          </w:tcPr>
          <w:p>
            <w:pPr>
              <w:spacing w:line="400" w:lineRule="exact"/>
              <w:outlineLvl w:val="9"/>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top"/>
          </w:tcPr>
          <w:p>
            <w:pPr>
              <w:spacing w:line="400" w:lineRule="exact"/>
              <w:outlineLvl w:val="9"/>
              <w:rPr>
                <w:rFonts w:hint="eastAsia"/>
                <w:color w:val="auto"/>
                <w:sz w:val="21"/>
                <w:szCs w:val="21"/>
              </w:rPr>
            </w:pPr>
          </w:p>
        </w:tc>
        <w:tc>
          <w:tcPr>
            <w:tcW w:w="1512" w:type="dxa"/>
            <w:noWrap w:val="0"/>
            <w:vAlign w:val="top"/>
          </w:tcPr>
          <w:p>
            <w:pPr>
              <w:spacing w:line="400" w:lineRule="exact"/>
              <w:outlineLvl w:val="9"/>
              <w:rPr>
                <w:rFonts w:hint="eastAsia"/>
                <w:color w:val="auto"/>
                <w:sz w:val="21"/>
                <w:szCs w:val="21"/>
              </w:rPr>
            </w:pPr>
          </w:p>
        </w:tc>
        <w:tc>
          <w:tcPr>
            <w:tcW w:w="1260" w:type="dxa"/>
            <w:noWrap w:val="0"/>
            <w:vAlign w:val="top"/>
          </w:tcPr>
          <w:p>
            <w:pPr>
              <w:spacing w:line="400" w:lineRule="exact"/>
              <w:outlineLvl w:val="9"/>
              <w:rPr>
                <w:rFonts w:hint="eastAsia"/>
                <w:color w:val="auto"/>
                <w:sz w:val="21"/>
                <w:szCs w:val="21"/>
              </w:rPr>
            </w:pPr>
          </w:p>
        </w:tc>
        <w:tc>
          <w:tcPr>
            <w:tcW w:w="962" w:type="dxa"/>
            <w:noWrap w:val="0"/>
            <w:vAlign w:val="top"/>
          </w:tcPr>
          <w:p>
            <w:pPr>
              <w:spacing w:line="400" w:lineRule="exact"/>
              <w:outlineLvl w:val="9"/>
              <w:rPr>
                <w:rFonts w:hint="eastAsia"/>
                <w:color w:val="auto"/>
                <w:sz w:val="21"/>
                <w:szCs w:val="21"/>
              </w:rPr>
            </w:pPr>
          </w:p>
        </w:tc>
        <w:tc>
          <w:tcPr>
            <w:tcW w:w="720"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826" w:type="dxa"/>
            <w:noWrap w:val="0"/>
            <w:vAlign w:val="top"/>
          </w:tcPr>
          <w:p>
            <w:pPr>
              <w:spacing w:line="400" w:lineRule="exact"/>
              <w:outlineLvl w:val="9"/>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top"/>
          </w:tcPr>
          <w:p>
            <w:pPr>
              <w:spacing w:line="400" w:lineRule="exact"/>
              <w:outlineLvl w:val="9"/>
              <w:rPr>
                <w:rFonts w:hint="eastAsia"/>
                <w:color w:val="auto"/>
                <w:sz w:val="21"/>
                <w:szCs w:val="21"/>
              </w:rPr>
            </w:pPr>
          </w:p>
        </w:tc>
        <w:tc>
          <w:tcPr>
            <w:tcW w:w="1512" w:type="dxa"/>
            <w:noWrap w:val="0"/>
            <w:vAlign w:val="top"/>
          </w:tcPr>
          <w:p>
            <w:pPr>
              <w:spacing w:line="400" w:lineRule="exact"/>
              <w:outlineLvl w:val="9"/>
              <w:rPr>
                <w:rFonts w:hint="eastAsia"/>
                <w:color w:val="auto"/>
                <w:sz w:val="21"/>
                <w:szCs w:val="21"/>
              </w:rPr>
            </w:pPr>
          </w:p>
        </w:tc>
        <w:tc>
          <w:tcPr>
            <w:tcW w:w="1260" w:type="dxa"/>
            <w:noWrap w:val="0"/>
            <w:vAlign w:val="top"/>
          </w:tcPr>
          <w:p>
            <w:pPr>
              <w:spacing w:line="400" w:lineRule="exact"/>
              <w:outlineLvl w:val="9"/>
              <w:rPr>
                <w:rFonts w:hint="eastAsia"/>
                <w:color w:val="auto"/>
                <w:sz w:val="21"/>
                <w:szCs w:val="21"/>
              </w:rPr>
            </w:pPr>
          </w:p>
        </w:tc>
        <w:tc>
          <w:tcPr>
            <w:tcW w:w="962" w:type="dxa"/>
            <w:noWrap w:val="0"/>
            <w:vAlign w:val="top"/>
          </w:tcPr>
          <w:p>
            <w:pPr>
              <w:spacing w:line="400" w:lineRule="exact"/>
              <w:outlineLvl w:val="9"/>
              <w:rPr>
                <w:rFonts w:hint="eastAsia"/>
                <w:color w:val="auto"/>
                <w:sz w:val="21"/>
                <w:szCs w:val="21"/>
              </w:rPr>
            </w:pPr>
          </w:p>
        </w:tc>
        <w:tc>
          <w:tcPr>
            <w:tcW w:w="720"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826" w:type="dxa"/>
            <w:noWrap w:val="0"/>
            <w:vAlign w:val="top"/>
          </w:tcPr>
          <w:p>
            <w:pPr>
              <w:spacing w:line="400" w:lineRule="exact"/>
              <w:outlineLvl w:val="9"/>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top"/>
          </w:tcPr>
          <w:p>
            <w:pPr>
              <w:spacing w:line="400" w:lineRule="exact"/>
              <w:outlineLvl w:val="9"/>
              <w:rPr>
                <w:rFonts w:hint="eastAsia"/>
                <w:color w:val="auto"/>
                <w:sz w:val="21"/>
                <w:szCs w:val="21"/>
              </w:rPr>
            </w:pPr>
          </w:p>
        </w:tc>
        <w:tc>
          <w:tcPr>
            <w:tcW w:w="1512" w:type="dxa"/>
            <w:noWrap w:val="0"/>
            <w:vAlign w:val="top"/>
          </w:tcPr>
          <w:p>
            <w:pPr>
              <w:spacing w:line="400" w:lineRule="exact"/>
              <w:outlineLvl w:val="9"/>
              <w:rPr>
                <w:rFonts w:hint="eastAsia"/>
                <w:color w:val="auto"/>
                <w:sz w:val="21"/>
                <w:szCs w:val="21"/>
              </w:rPr>
            </w:pPr>
          </w:p>
        </w:tc>
        <w:tc>
          <w:tcPr>
            <w:tcW w:w="1260" w:type="dxa"/>
            <w:noWrap w:val="0"/>
            <w:vAlign w:val="top"/>
          </w:tcPr>
          <w:p>
            <w:pPr>
              <w:spacing w:line="400" w:lineRule="exact"/>
              <w:outlineLvl w:val="9"/>
              <w:rPr>
                <w:rFonts w:hint="eastAsia"/>
                <w:color w:val="auto"/>
                <w:sz w:val="21"/>
                <w:szCs w:val="21"/>
              </w:rPr>
            </w:pPr>
          </w:p>
        </w:tc>
        <w:tc>
          <w:tcPr>
            <w:tcW w:w="962" w:type="dxa"/>
            <w:noWrap w:val="0"/>
            <w:vAlign w:val="top"/>
          </w:tcPr>
          <w:p>
            <w:pPr>
              <w:spacing w:line="400" w:lineRule="exact"/>
              <w:outlineLvl w:val="9"/>
              <w:rPr>
                <w:rFonts w:hint="eastAsia"/>
                <w:color w:val="auto"/>
                <w:sz w:val="21"/>
                <w:szCs w:val="21"/>
              </w:rPr>
            </w:pPr>
          </w:p>
        </w:tc>
        <w:tc>
          <w:tcPr>
            <w:tcW w:w="720"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826" w:type="dxa"/>
            <w:noWrap w:val="0"/>
            <w:vAlign w:val="top"/>
          </w:tcPr>
          <w:p>
            <w:pPr>
              <w:spacing w:line="400" w:lineRule="exact"/>
              <w:outlineLvl w:val="9"/>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top"/>
          </w:tcPr>
          <w:p>
            <w:pPr>
              <w:spacing w:line="400" w:lineRule="exact"/>
              <w:outlineLvl w:val="9"/>
              <w:rPr>
                <w:rFonts w:hint="eastAsia"/>
                <w:color w:val="auto"/>
                <w:sz w:val="21"/>
                <w:szCs w:val="21"/>
              </w:rPr>
            </w:pPr>
          </w:p>
        </w:tc>
        <w:tc>
          <w:tcPr>
            <w:tcW w:w="5848" w:type="dxa"/>
            <w:gridSpan w:val="6"/>
            <w:noWrap w:val="0"/>
            <w:vAlign w:val="top"/>
          </w:tcPr>
          <w:p>
            <w:pPr>
              <w:spacing w:line="400" w:lineRule="exact"/>
              <w:outlineLvl w:val="9"/>
              <w:rPr>
                <w:rFonts w:hint="eastAsia"/>
                <w:color w:val="auto"/>
                <w:sz w:val="21"/>
                <w:szCs w:val="21"/>
              </w:rPr>
            </w:pPr>
            <w:r>
              <w:rPr>
                <w:rFonts w:hint="eastAsia"/>
                <w:color w:val="auto"/>
                <w:sz w:val="21"/>
                <w:szCs w:val="21"/>
              </w:rPr>
              <w:t>金额合计</w:t>
            </w:r>
          </w:p>
        </w:tc>
        <w:tc>
          <w:tcPr>
            <w:tcW w:w="697" w:type="dxa"/>
            <w:noWrap w:val="0"/>
            <w:vAlign w:val="top"/>
          </w:tcPr>
          <w:p>
            <w:pPr>
              <w:spacing w:line="400" w:lineRule="exact"/>
              <w:outlineLvl w:val="9"/>
              <w:rPr>
                <w:rFonts w:hint="eastAsia"/>
                <w:color w:val="auto"/>
                <w:sz w:val="21"/>
                <w:szCs w:val="21"/>
              </w:rPr>
            </w:pPr>
          </w:p>
        </w:tc>
        <w:tc>
          <w:tcPr>
            <w:tcW w:w="826" w:type="dxa"/>
            <w:noWrap w:val="0"/>
            <w:vAlign w:val="top"/>
          </w:tcPr>
          <w:p>
            <w:pPr>
              <w:spacing w:line="400" w:lineRule="exact"/>
              <w:outlineLvl w:val="9"/>
              <w:rPr>
                <w:rFonts w:hint="eastAsia"/>
                <w:color w:val="auto"/>
                <w:sz w:val="21"/>
                <w:szCs w:val="21"/>
              </w:rPr>
            </w:pPr>
          </w:p>
        </w:tc>
      </w:tr>
    </w:tbl>
    <w:p>
      <w:pPr>
        <w:ind w:left="0" w:firstLine="0"/>
        <w:outlineLvl w:val="9"/>
        <w:rPr>
          <w:rFonts w:hint="eastAsia" w:ascii="宋体" w:hAnsi="宋体" w:cs="宋体"/>
          <w:color w:val="auto"/>
          <w:kern w:val="2"/>
          <w:sz w:val="21"/>
          <w:szCs w:val="21"/>
          <w:lang w:val="en-US" w:bidi="ar-SA"/>
        </w:rPr>
      </w:pPr>
    </w:p>
    <w:p>
      <w:pPr>
        <w:ind w:left="0" w:firstLine="23"/>
        <w:outlineLvl w:val="9"/>
        <w:rPr>
          <w:rFonts w:hint="eastAsia" w:ascii="宋体" w:hAnsi="宋体" w:cs="宋体"/>
          <w:color w:val="auto"/>
          <w:sz w:val="21"/>
          <w:szCs w:val="21"/>
        </w:rPr>
      </w:pPr>
      <w:bookmarkStart w:id="33" w:name="_Toc10872"/>
      <w:bookmarkStart w:id="34" w:name="_Toc528670422"/>
      <w:r>
        <w:rPr>
          <w:rFonts w:hint="eastAsia" w:ascii="宋体" w:hAnsi="宋体" w:cs="宋体"/>
          <w:color w:val="auto"/>
          <w:sz w:val="21"/>
          <w:szCs w:val="21"/>
        </w:rPr>
        <w:t>3、合同金额</w:t>
      </w:r>
      <w:bookmarkEnd w:id="33"/>
      <w:bookmarkEnd w:id="34"/>
    </w:p>
    <w:p>
      <w:pPr>
        <w:adjustRightInd w:val="0"/>
        <w:snapToGrid w:val="0"/>
        <w:spacing w:line="360" w:lineRule="auto"/>
        <w:ind w:firstLine="840" w:firstLineChars="400"/>
        <w:outlineLvl w:val="9"/>
        <w:rPr>
          <w:rFonts w:hint="eastAsia"/>
          <w:color w:val="auto"/>
          <w:sz w:val="21"/>
          <w:szCs w:val="21"/>
          <w:u w:val="single"/>
        </w:rPr>
      </w:pPr>
      <w:r>
        <w:rPr>
          <w:rFonts w:hint="eastAsia"/>
          <w:color w:val="auto"/>
          <w:sz w:val="21"/>
          <w:szCs w:val="21"/>
        </w:rPr>
        <w:t>（1）合同总价：</w:t>
      </w:r>
      <w:r>
        <w:rPr>
          <w:rFonts w:hint="eastAsia"/>
          <w:color w:val="auto"/>
          <w:sz w:val="21"/>
          <w:szCs w:val="21"/>
          <w:u w:val="single"/>
        </w:rPr>
        <w:t xml:space="preserve">（人民币）大写                （¥        ）。        </w:t>
      </w:r>
    </w:p>
    <w:p>
      <w:pPr>
        <w:adjustRightInd w:val="0"/>
        <w:snapToGrid w:val="0"/>
        <w:spacing w:line="360" w:lineRule="auto"/>
        <w:ind w:firstLine="840" w:firstLineChars="400"/>
        <w:outlineLvl w:val="9"/>
        <w:rPr>
          <w:rFonts w:hint="eastAsia"/>
          <w:color w:val="auto"/>
          <w:sz w:val="21"/>
          <w:szCs w:val="21"/>
        </w:rPr>
      </w:pPr>
      <w:r>
        <w:rPr>
          <w:rFonts w:hint="eastAsia"/>
          <w:color w:val="auto"/>
          <w:sz w:val="21"/>
          <w:szCs w:val="21"/>
        </w:rPr>
        <w:t>（2）本合同价：</w:t>
      </w:r>
      <w:r>
        <w:rPr>
          <w:rFonts w:hint="eastAsia"/>
          <w:color w:val="auto"/>
          <w:sz w:val="21"/>
          <w:szCs w:val="21"/>
          <w:u w:val="single"/>
        </w:rPr>
        <w:t xml:space="preserve">  固定总价合同      </w:t>
      </w:r>
      <w:r>
        <w:rPr>
          <w:rFonts w:hint="eastAsia"/>
          <w:color w:val="auto"/>
          <w:sz w:val="21"/>
          <w:szCs w:val="21"/>
        </w:rPr>
        <w:t>。</w:t>
      </w:r>
    </w:p>
    <w:p>
      <w:pPr>
        <w:ind w:left="0" w:firstLine="23"/>
        <w:outlineLvl w:val="9"/>
        <w:rPr>
          <w:rFonts w:hint="eastAsia" w:ascii="宋体" w:hAnsi="宋体" w:cs="宋体"/>
          <w:color w:val="auto"/>
          <w:sz w:val="21"/>
          <w:szCs w:val="21"/>
        </w:rPr>
      </w:pPr>
      <w:bookmarkStart w:id="35" w:name="_Toc9569"/>
      <w:r>
        <w:rPr>
          <w:rFonts w:hint="eastAsia" w:ascii="宋体" w:hAnsi="宋体" w:cs="宋体"/>
          <w:color w:val="auto"/>
          <w:sz w:val="21"/>
          <w:szCs w:val="21"/>
        </w:rPr>
        <w:t>4、履行合同的时间、地点及方式</w:t>
      </w:r>
      <w:bookmarkEnd w:id="35"/>
      <w:r>
        <w:rPr>
          <w:rFonts w:hint="eastAsia" w:ascii="宋体" w:hAnsi="宋体" w:cs="宋体"/>
          <w:color w:val="auto"/>
          <w:sz w:val="21"/>
          <w:szCs w:val="21"/>
        </w:rPr>
        <w:t xml:space="preserve"> </w:t>
      </w:r>
    </w:p>
    <w:p>
      <w:pPr>
        <w:adjustRightInd w:val="0"/>
        <w:snapToGrid w:val="0"/>
        <w:spacing w:line="360" w:lineRule="auto"/>
        <w:ind w:firstLine="420" w:firstLineChars="200"/>
        <w:outlineLvl w:val="9"/>
        <w:rPr>
          <w:rFonts w:hint="eastAsia"/>
          <w:color w:val="auto"/>
          <w:sz w:val="21"/>
          <w:szCs w:val="21"/>
          <w:u w:val="single"/>
        </w:rPr>
      </w:pPr>
      <w:r>
        <w:rPr>
          <w:rFonts w:hint="eastAsia"/>
          <w:color w:val="auto"/>
          <w:sz w:val="21"/>
          <w:szCs w:val="21"/>
        </w:rPr>
        <w:t>交货时间：</w:t>
      </w:r>
      <w:r>
        <w:rPr>
          <w:rFonts w:hint="eastAsia"/>
          <w:color w:val="auto"/>
          <w:sz w:val="21"/>
          <w:szCs w:val="21"/>
          <w:u w:val="single"/>
        </w:rPr>
        <w:t xml:space="preserve">                                           </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交货地点：</w:t>
      </w:r>
      <w:r>
        <w:rPr>
          <w:rFonts w:hint="eastAsia"/>
          <w:color w:val="auto"/>
          <w:sz w:val="21"/>
          <w:szCs w:val="21"/>
          <w:u w:val="single"/>
        </w:rPr>
        <w:t xml:space="preserve">                                           </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交货方式：</w:t>
      </w:r>
      <w:r>
        <w:rPr>
          <w:rFonts w:hint="eastAsia"/>
          <w:color w:val="auto"/>
          <w:sz w:val="21"/>
          <w:szCs w:val="21"/>
          <w:u w:val="single"/>
        </w:rPr>
        <w:t xml:space="preserve">                                           </w:t>
      </w:r>
    </w:p>
    <w:p>
      <w:pPr>
        <w:ind w:left="0" w:firstLine="23"/>
        <w:outlineLvl w:val="9"/>
        <w:rPr>
          <w:rFonts w:hint="eastAsia" w:ascii="宋体" w:hAnsi="宋体" w:cs="宋体"/>
          <w:color w:val="auto"/>
          <w:sz w:val="21"/>
          <w:szCs w:val="21"/>
        </w:rPr>
      </w:pPr>
      <w:bookmarkStart w:id="36" w:name="_Toc2556"/>
      <w:r>
        <w:rPr>
          <w:rFonts w:hint="eastAsia" w:ascii="宋体" w:hAnsi="宋体" w:cs="宋体"/>
          <w:color w:val="auto"/>
          <w:sz w:val="21"/>
          <w:szCs w:val="21"/>
        </w:rPr>
        <w:t>5、付款方式</w:t>
      </w:r>
      <w:bookmarkEnd w:id="36"/>
    </w:p>
    <w:p>
      <w:pPr>
        <w:spacing w:line="360" w:lineRule="auto"/>
        <w:ind w:firstLine="720"/>
        <w:outlineLvl w:val="9"/>
        <w:rPr>
          <w:rFonts w:hint="eastAsia"/>
          <w:color w:val="auto"/>
          <w:sz w:val="21"/>
          <w:szCs w:val="21"/>
          <w:u w:val="single"/>
        </w:rPr>
      </w:pPr>
      <w:r>
        <w:rPr>
          <w:rFonts w:hint="eastAsia"/>
          <w:color w:val="auto"/>
          <w:sz w:val="21"/>
          <w:szCs w:val="21"/>
          <w:u w:val="single"/>
        </w:rPr>
        <w:t>甲乙双方协商约定。</w:t>
      </w:r>
    </w:p>
    <w:p>
      <w:pPr>
        <w:ind w:left="0" w:firstLine="23"/>
        <w:outlineLvl w:val="9"/>
        <w:rPr>
          <w:rFonts w:hint="eastAsia" w:ascii="宋体" w:hAnsi="宋体" w:cs="宋体"/>
          <w:color w:val="auto"/>
          <w:sz w:val="21"/>
          <w:szCs w:val="21"/>
        </w:rPr>
      </w:pPr>
      <w:bookmarkStart w:id="37" w:name="_Toc24729"/>
      <w:r>
        <w:rPr>
          <w:rFonts w:hint="eastAsia" w:ascii="宋体" w:hAnsi="宋体" w:cs="宋体"/>
          <w:color w:val="auto"/>
          <w:sz w:val="21"/>
          <w:szCs w:val="21"/>
        </w:rPr>
        <w:t>6、</w:t>
      </w:r>
      <w:bookmarkEnd w:id="37"/>
      <w:r>
        <w:rPr>
          <w:rFonts w:hint="eastAsia" w:ascii="宋体" w:hAnsi="宋体" w:cs="宋体"/>
          <w:color w:val="auto"/>
          <w:sz w:val="21"/>
          <w:szCs w:val="21"/>
          <w:lang w:eastAsia="zh-CN"/>
        </w:rPr>
        <w:t>服务</w:t>
      </w:r>
      <w:r>
        <w:rPr>
          <w:rFonts w:hint="eastAsia" w:ascii="宋体" w:hAnsi="宋体" w:cs="宋体"/>
          <w:color w:val="auto"/>
          <w:sz w:val="21"/>
          <w:szCs w:val="21"/>
        </w:rPr>
        <w:t>期限</w:t>
      </w:r>
    </w:p>
    <w:p>
      <w:pPr>
        <w:spacing w:line="360" w:lineRule="auto"/>
        <w:outlineLvl w:val="9"/>
        <w:rPr>
          <w:rFonts w:hint="eastAsia"/>
          <w:color w:val="auto"/>
          <w:sz w:val="21"/>
          <w:szCs w:val="21"/>
          <w:u w:val="single"/>
        </w:rPr>
      </w:pPr>
      <w:r>
        <w:rPr>
          <w:rFonts w:hint="eastAsia"/>
          <w:b/>
          <w:color w:val="auto"/>
          <w:sz w:val="21"/>
          <w:szCs w:val="21"/>
        </w:rPr>
        <w:t xml:space="preserve">   </w:t>
      </w:r>
      <w:r>
        <w:rPr>
          <w:rFonts w:hint="eastAsia"/>
          <w:b/>
          <w:color w:val="auto"/>
          <w:sz w:val="21"/>
          <w:szCs w:val="21"/>
          <w:lang w:val="en-US" w:eastAsia="zh-CN"/>
        </w:rPr>
        <w:t xml:space="preserve">  </w:t>
      </w:r>
      <w:r>
        <w:rPr>
          <w:rFonts w:hint="eastAsia"/>
          <w:b w:val="0"/>
          <w:bCs/>
          <w:color w:val="auto"/>
          <w:sz w:val="21"/>
          <w:szCs w:val="21"/>
          <w:lang w:val="en-US" w:eastAsia="zh-CN"/>
        </w:rPr>
        <w:t>服务期限：</w:t>
      </w:r>
      <w:r>
        <w:rPr>
          <w:rFonts w:hint="eastAsia"/>
          <w:b w:val="0"/>
          <w:bCs/>
          <w:color w:val="auto"/>
          <w:sz w:val="21"/>
          <w:szCs w:val="21"/>
        </w:rPr>
        <w:t xml:space="preserve"> </w:t>
      </w:r>
      <w:r>
        <w:rPr>
          <w:rFonts w:hint="eastAsia"/>
          <w:color w:val="auto"/>
          <w:sz w:val="21"/>
          <w:szCs w:val="21"/>
          <w:u w:val="single"/>
          <w:lang w:val="en-US" w:eastAsia="zh-CN"/>
        </w:rPr>
        <w:t xml:space="preserve">      </w:t>
      </w:r>
      <w:r>
        <w:rPr>
          <w:rFonts w:hint="eastAsia"/>
          <w:color w:val="auto"/>
          <w:sz w:val="21"/>
          <w:szCs w:val="21"/>
          <w:u w:val="single"/>
        </w:rPr>
        <w:t>。</w:t>
      </w:r>
    </w:p>
    <w:p>
      <w:pPr>
        <w:ind w:left="0" w:firstLine="23"/>
        <w:outlineLvl w:val="9"/>
        <w:rPr>
          <w:rFonts w:hint="eastAsia" w:ascii="宋体" w:hAnsi="宋体" w:cs="宋体"/>
          <w:color w:val="auto"/>
          <w:sz w:val="21"/>
          <w:szCs w:val="21"/>
        </w:rPr>
      </w:pPr>
      <w:bookmarkStart w:id="38" w:name="_Toc554"/>
      <w:r>
        <w:rPr>
          <w:rFonts w:hint="eastAsia" w:ascii="宋体" w:hAnsi="宋体" w:cs="宋体"/>
          <w:color w:val="auto"/>
          <w:sz w:val="21"/>
          <w:szCs w:val="21"/>
        </w:rPr>
        <w:t>7、解决合同纠纷方式</w:t>
      </w:r>
      <w:bookmarkEnd w:id="38"/>
    </w:p>
    <w:p>
      <w:pPr>
        <w:adjustRightInd w:val="0"/>
        <w:snapToGrid w:val="0"/>
        <w:spacing w:line="360" w:lineRule="auto"/>
        <w:ind w:left="105" w:leftChars="50" w:firstLine="315" w:firstLineChars="150"/>
        <w:outlineLvl w:val="9"/>
        <w:rPr>
          <w:rFonts w:hint="eastAsia"/>
          <w:color w:val="auto"/>
          <w:sz w:val="21"/>
          <w:szCs w:val="21"/>
        </w:rPr>
      </w:pPr>
      <w:r>
        <w:rPr>
          <w:rFonts w:hint="eastAsia"/>
          <w:color w:val="auto"/>
          <w:sz w:val="21"/>
          <w:szCs w:val="21"/>
        </w:rPr>
        <w:t>首先通过双方协商解决，协商解决不成，则通过向</w:t>
      </w:r>
      <w:r>
        <w:rPr>
          <w:rFonts w:hint="eastAsia"/>
          <w:color w:val="auto"/>
          <w:sz w:val="21"/>
          <w:szCs w:val="21"/>
          <w:u w:val="single"/>
        </w:rPr>
        <w:t xml:space="preserve"> 项目所在地人民法院提起诉讼的</w:t>
      </w:r>
      <w:r>
        <w:rPr>
          <w:rFonts w:hint="eastAsia"/>
          <w:color w:val="auto"/>
          <w:sz w:val="21"/>
          <w:szCs w:val="21"/>
        </w:rPr>
        <w:t>方式解决纠纷。</w:t>
      </w:r>
    </w:p>
    <w:p>
      <w:pPr>
        <w:ind w:left="0" w:firstLine="23"/>
        <w:outlineLvl w:val="9"/>
        <w:rPr>
          <w:rFonts w:hint="eastAsia" w:ascii="宋体" w:hAnsi="宋体" w:cs="宋体"/>
          <w:color w:val="auto"/>
          <w:sz w:val="21"/>
          <w:szCs w:val="21"/>
        </w:rPr>
      </w:pPr>
      <w:bookmarkStart w:id="39" w:name="_Toc21803"/>
      <w:r>
        <w:rPr>
          <w:rFonts w:hint="eastAsia" w:ascii="宋体" w:hAnsi="宋体" w:cs="宋体"/>
          <w:color w:val="auto"/>
          <w:sz w:val="21"/>
          <w:szCs w:val="21"/>
        </w:rPr>
        <w:t>8、组成合同的文件</w:t>
      </w:r>
      <w:bookmarkEnd w:id="39"/>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下列文件一起构成合同文件，如下述文件之间有任何抵触、矛盾或歧义，应按以下顺序解释：</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（1）采购合同协议书</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（2）中标通知书、招标文件</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（3）投标文件</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（4）合同条款</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（5）标准、规范及有关技术文件，图纸。</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（6）其他合同文件。</w:t>
      </w:r>
    </w:p>
    <w:p>
      <w:pPr>
        <w:ind w:left="0" w:firstLine="23"/>
        <w:outlineLvl w:val="9"/>
        <w:rPr>
          <w:rFonts w:hint="eastAsia" w:ascii="宋体" w:hAnsi="宋体" w:cs="宋体"/>
          <w:color w:val="auto"/>
          <w:sz w:val="21"/>
          <w:szCs w:val="21"/>
        </w:rPr>
      </w:pPr>
      <w:bookmarkStart w:id="40" w:name="_Toc32058"/>
      <w:r>
        <w:rPr>
          <w:rFonts w:hint="eastAsia" w:ascii="宋体" w:hAnsi="宋体" w:cs="宋体"/>
          <w:color w:val="auto"/>
          <w:sz w:val="21"/>
          <w:szCs w:val="21"/>
        </w:rPr>
        <w:t>9、合同生效</w:t>
      </w:r>
      <w:bookmarkEnd w:id="40"/>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本合同自</w:t>
      </w:r>
      <w:r>
        <w:rPr>
          <w:rFonts w:hint="eastAsia"/>
          <w:color w:val="auto"/>
          <w:sz w:val="21"/>
          <w:szCs w:val="21"/>
          <w:u w:val="single"/>
        </w:rPr>
        <w:t xml:space="preserve">                               </w:t>
      </w:r>
      <w:r>
        <w:rPr>
          <w:rFonts w:hint="eastAsia"/>
          <w:color w:val="auto"/>
          <w:sz w:val="21"/>
          <w:szCs w:val="21"/>
        </w:rPr>
        <w:t>生效。</w:t>
      </w:r>
    </w:p>
    <w:p>
      <w:pPr>
        <w:ind w:left="0" w:firstLine="23"/>
        <w:outlineLvl w:val="9"/>
        <w:rPr>
          <w:rFonts w:hint="eastAsia" w:ascii="宋体" w:hAnsi="宋体" w:cs="宋体"/>
          <w:color w:val="auto"/>
          <w:sz w:val="21"/>
          <w:szCs w:val="21"/>
        </w:rPr>
      </w:pPr>
      <w:bookmarkStart w:id="41" w:name="_Toc2373"/>
      <w:r>
        <w:rPr>
          <w:rFonts w:hint="eastAsia" w:ascii="宋体" w:hAnsi="宋体" w:cs="宋体"/>
          <w:color w:val="auto"/>
          <w:sz w:val="21"/>
          <w:szCs w:val="21"/>
        </w:rPr>
        <w:t>10、合同份数</w:t>
      </w:r>
      <w:bookmarkEnd w:id="41"/>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本合同一式</w:t>
      </w:r>
      <w:r>
        <w:rPr>
          <w:rFonts w:hint="eastAsia"/>
          <w:color w:val="auto"/>
          <w:sz w:val="21"/>
          <w:szCs w:val="21"/>
          <w:u w:val="single"/>
        </w:rPr>
        <w:t xml:space="preserve">    </w:t>
      </w:r>
      <w:r>
        <w:rPr>
          <w:rFonts w:hint="eastAsia"/>
          <w:color w:val="auto"/>
          <w:sz w:val="21"/>
          <w:szCs w:val="21"/>
        </w:rPr>
        <w:t>份，采购人执</w:t>
      </w:r>
      <w:r>
        <w:rPr>
          <w:rFonts w:hint="eastAsia"/>
          <w:color w:val="auto"/>
          <w:sz w:val="21"/>
          <w:szCs w:val="21"/>
          <w:u w:val="single"/>
        </w:rPr>
        <w:t xml:space="preserve">   </w:t>
      </w:r>
      <w:r>
        <w:rPr>
          <w:rFonts w:hint="eastAsia"/>
          <w:color w:val="auto"/>
          <w:sz w:val="21"/>
          <w:szCs w:val="21"/>
        </w:rPr>
        <w:t>份，中标人执</w:t>
      </w:r>
      <w:r>
        <w:rPr>
          <w:rFonts w:hint="eastAsia"/>
          <w:color w:val="auto"/>
          <w:sz w:val="21"/>
          <w:szCs w:val="21"/>
          <w:u w:val="single"/>
        </w:rPr>
        <w:t xml:space="preserve">   </w:t>
      </w:r>
      <w:r>
        <w:rPr>
          <w:rFonts w:hint="eastAsia"/>
          <w:color w:val="auto"/>
          <w:sz w:val="21"/>
          <w:szCs w:val="21"/>
        </w:rPr>
        <w:t>份，均具有同等法律效力。</w:t>
      </w:r>
    </w:p>
    <w:p>
      <w:pPr>
        <w:adjustRightInd w:val="0"/>
        <w:snapToGrid w:val="0"/>
        <w:spacing w:line="360" w:lineRule="auto"/>
        <w:outlineLvl w:val="9"/>
        <w:rPr>
          <w:rFonts w:hint="eastAsia"/>
          <w:color w:val="auto"/>
          <w:sz w:val="21"/>
          <w:szCs w:val="21"/>
        </w:rPr>
      </w:pPr>
    </w:p>
    <w:p>
      <w:pPr>
        <w:adjustRightInd w:val="0"/>
        <w:snapToGrid w:val="0"/>
        <w:spacing w:line="360" w:lineRule="auto"/>
        <w:outlineLvl w:val="9"/>
        <w:rPr>
          <w:rFonts w:hint="eastAsia"/>
          <w:color w:val="auto"/>
          <w:sz w:val="21"/>
          <w:szCs w:val="21"/>
        </w:rPr>
      </w:pPr>
      <w:r>
        <w:rPr>
          <w:rFonts w:hint="eastAsia"/>
          <w:color w:val="auto"/>
          <w:sz w:val="21"/>
          <w:szCs w:val="21"/>
        </w:rPr>
        <w:t>合同订立时间：</w:t>
      </w:r>
      <w:r>
        <w:rPr>
          <w:rFonts w:hint="eastAsia"/>
          <w:color w:val="auto"/>
          <w:sz w:val="21"/>
          <w:szCs w:val="21"/>
          <w:u w:val="single"/>
        </w:rPr>
        <w:t xml:space="preserve">         </w:t>
      </w:r>
      <w:r>
        <w:rPr>
          <w:rFonts w:hint="eastAsia"/>
          <w:color w:val="auto"/>
          <w:sz w:val="21"/>
          <w:szCs w:val="21"/>
        </w:rPr>
        <w:t>年</w:t>
      </w:r>
      <w:r>
        <w:rPr>
          <w:rFonts w:hint="eastAsia"/>
          <w:color w:val="auto"/>
          <w:sz w:val="21"/>
          <w:szCs w:val="21"/>
          <w:u w:val="single"/>
        </w:rPr>
        <w:t xml:space="preserve">      </w:t>
      </w:r>
      <w:r>
        <w:rPr>
          <w:rFonts w:hint="eastAsia"/>
          <w:color w:val="auto"/>
          <w:sz w:val="21"/>
          <w:szCs w:val="21"/>
        </w:rPr>
        <w:t>月</w:t>
      </w:r>
      <w:r>
        <w:rPr>
          <w:rFonts w:hint="eastAsia"/>
          <w:color w:val="auto"/>
          <w:sz w:val="21"/>
          <w:szCs w:val="21"/>
          <w:u w:val="single"/>
        </w:rPr>
        <w:t xml:space="preserve">      </w:t>
      </w:r>
      <w:r>
        <w:rPr>
          <w:rFonts w:hint="eastAsia"/>
          <w:color w:val="auto"/>
          <w:sz w:val="21"/>
          <w:szCs w:val="21"/>
        </w:rPr>
        <w:t>日</w:t>
      </w:r>
    </w:p>
    <w:p>
      <w:pPr>
        <w:adjustRightInd w:val="0"/>
        <w:snapToGrid w:val="0"/>
        <w:spacing w:line="360" w:lineRule="auto"/>
        <w:outlineLvl w:val="9"/>
        <w:rPr>
          <w:rFonts w:hint="eastAsia"/>
          <w:color w:val="auto"/>
          <w:sz w:val="21"/>
          <w:szCs w:val="21"/>
        </w:rPr>
      </w:pPr>
      <w:r>
        <w:rPr>
          <w:rFonts w:hint="eastAsia"/>
          <w:color w:val="auto"/>
          <w:sz w:val="21"/>
          <w:szCs w:val="21"/>
        </w:rPr>
        <w:t>合同订立地点：</w:t>
      </w:r>
      <w:r>
        <w:rPr>
          <w:rFonts w:hint="eastAsia"/>
          <w:color w:val="auto"/>
          <w:sz w:val="21"/>
          <w:szCs w:val="21"/>
          <w:u w:val="single"/>
        </w:rPr>
        <w:t xml:space="preserve">                           </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 xml:space="preserve">    </w:t>
      </w:r>
    </w:p>
    <w:p>
      <w:pPr>
        <w:adjustRightInd w:val="0"/>
        <w:snapToGrid w:val="0"/>
        <w:spacing w:line="360" w:lineRule="auto"/>
        <w:outlineLvl w:val="9"/>
        <w:rPr>
          <w:rFonts w:hint="eastAsia"/>
          <w:color w:val="auto"/>
          <w:sz w:val="21"/>
          <w:szCs w:val="21"/>
        </w:rPr>
      </w:pPr>
    </w:p>
    <w:p>
      <w:pPr>
        <w:adjustRightInd w:val="0"/>
        <w:snapToGrid w:val="0"/>
        <w:spacing w:line="360" w:lineRule="auto"/>
        <w:outlineLvl w:val="9"/>
        <w:rPr>
          <w:rFonts w:hint="eastAsia"/>
          <w:color w:val="auto"/>
          <w:sz w:val="21"/>
          <w:szCs w:val="21"/>
        </w:rPr>
      </w:pPr>
      <w:r>
        <w:rPr>
          <w:rFonts w:hint="eastAsia"/>
          <w:color w:val="auto"/>
          <w:sz w:val="21"/>
          <w:szCs w:val="21"/>
        </w:rPr>
        <w:t>甲      方：（公章）                     乙      方：（公章）</w:t>
      </w:r>
    </w:p>
    <w:p>
      <w:pPr>
        <w:adjustRightInd w:val="0"/>
        <w:snapToGrid w:val="0"/>
        <w:spacing w:line="360" w:lineRule="auto"/>
        <w:outlineLvl w:val="9"/>
        <w:rPr>
          <w:rFonts w:hint="eastAsia"/>
          <w:color w:val="auto"/>
          <w:sz w:val="21"/>
          <w:szCs w:val="21"/>
        </w:rPr>
      </w:pP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rPr>
        <w:t xml:space="preserve">          法定代表人：</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u w:val="single"/>
        </w:rPr>
        <w:t xml:space="preserve">    </w:t>
      </w:r>
    </w:p>
    <w:p>
      <w:pPr>
        <w:adjustRightInd w:val="0"/>
        <w:snapToGrid w:val="0"/>
        <w:spacing w:line="360" w:lineRule="auto"/>
        <w:outlineLvl w:val="9"/>
        <w:rPr>
          <w:rFonts w:hint="eastAsia"/>
          <w:color w:val="auto"/>
          <w:sz w:val="21"/>
          <w:szCs w:val="21"/>
        </w:rPr>
      </w:pPr>
      <w:r>
        <w:rPr>
          <w:rFonts w:hint="eastAsia"/>
          <w:color w:val="auto"/>
          <w:sz w:val="21"/>
          <w:szCs w:val="21"/>
        </w:rPr>
        <w:t>委托代理人：</w:t>
      </w:r>
      <w:r>
        <w:rPr>
          <w:rFonts w:hint="eastAsia"/>
          <w:color w:val="auto"/>
          <w:sz w:val="21"/>
          <w:szCs w:val="21"/>
          <w:u w:val="single"/>
        </w:rPr>
        <w:t xml:space="preserve">                   </w:t>
      </w:r>
      <w:r>
        <w:rPr>
          <w:rFonts w:hint="eastAsia"/>
          <w:color w:val="auto"/>
          <w:sz w:val="21"/>
          <w:szCs w:val="21"/>
        </w:rPr>
        <w:t xml:space="preserve">          委托代理人：</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u w:val="single"/>
        </w:rPr>
        <w:t xml:space="preserve">     </w:t>
      </w:r>
    </w:p>
    <w:p>
      <w:pPr>
        <w:adjustRightInd w:val="0"/>
        <w:snapToGrid w:val="0"/>
        <w:spacing w:line="360" w:lineRule="auto"/>
        <w:outlineLvl w:val="9"/>
        <w:rPr>
          <w:rFonts w:hint="eastAsia"/>
          <w:color w:val="auto"/>
          <w:sz w:val="21"/>
          <w:szCs w:val="21"/>
        </w:rPr>
      </w:pPr>
      <w:r>
        <w:rPr>
          <w:rFonts w:hint="eastAsia"/>
          <w:color w:val="auto"/>
          <w:sz w:val="21"/>
          <w:szCs w:val="21"/>
        </w:rPr>
        <w:t>电      话：</w:t>
      </w:r>
      <w:r>
        <w:rPr>
          <w:rFonts w:hint="eastAsia"/>
          <w:color w:val="auto"/>
          <w:sz w:val="21"/>
          <w:szCs w:val="21"/>
          <w:u w:val="single"/>
        </w:rPr>
        <w:t xml:space="preserve">                   </w:t>
      </w:r>
      <w:r>
        <w:rPr>
          <w:rFonts w:hint="eastAsia"/>
          <w:color w:val="auto"/>
          <w:sz w:val="21"/>
          <w:szCs w:val="21"/>
        </w:rPr>
        <w:t xml:space="preserve">         电      话：</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u w:val="single"/>
        </w:rPr>
        <w:t xml:space="preserve">      </w:t>
      </w:r>
    </w:p>
    <w:p>
      <w:pPr>
        <w:adjustRightInd w:val="0"/>
        <w:snapToGrid w:val="0"/>
        <w:spacing w:line="360" w:lineRule="auto"/>
        <w:outlineLvl w:val="9"/>
        <w:rPr>
          <w:rFonts w:hint="eastAsia"/>
          <w:color w:val="auto"/>
          <w:sz w:val="21"/>
          <w:szCs w:val="21"/>
        </w:rPr>
      </w:pPr>
      <w:r>
        <w:rPr>
          <w:rFonts w:hint="eastAsia"/>
          <w:color w:val="auto"/>
          <w:sz w:val="21"/>
          <w:szCs w:val="21"/>
        </w:rPr>
        <w:t>传      真：</w:t>
      </w:r>
      <w:r>
        <w:rPr>
          <w:rFonts w:hint="eastAsia"/>
          <w:color w:val="auto"/>
          <w:sz w:val="21"/>
          <w:szCs w:val="21"/>
          <w:u w:val="single"/>
        </w:rPr>
        <w:t xml:space="preserve">                   </w:t>
      </w:r>
      <w:r>
        <w:rPr>
          <w:rFonts w:hint="eastAsia"/>
          <w:color w:val="auto"/>
          <w:sz w:val="21"/>
          <w:szCs w:val="21"/>
        </w:rPr>
        <w:t xml:space="preserve">         传      真：</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u w:val="single"/>
        </w:rPr>
        <w:t xml:space="preserve">   </w:t>
      </w:r>
    </w:p>
    <w:p>
      <w:pPr>
        <w:pStyle w:val="16"/>
        <w:spacing w:line="276" w:lineRule="auto"/>
        <w:jc w:val="center"/>
        <w:outlineLvl w:val="0"/>
        <w:rPr>
          <w:rFonts w:hint="eastAsia" w:hAnsi="宋体"/>
          <w:b/>
          <w:bCs/>
          <w:color w:val="auto"/>
          <w:sz w:val="30"/>
          <w:szCs w:val="30"/>
        </w:rPr>
      </w:pPr>
      <w:r>
        <w:rPr>
          <w:rFonts w:hint="eastAsia"/>
          <w:color w:val="auto"/>
          <w:sz w:val="21"/>
          <w:szCs w:val="21"/>
        </w:rPr>
        <w:t xml:space="preserve">                             </w:t>
      </w:r>
    </w:p>
    <w:p>
      <w:pPr>
        <w:pStyle w:val="16"/>
        <w:spacing w:line="276" w:lineRule="auto"/>
        <w:jc w:val="center"/>
        <w:outlineLvl w:val="0"/>
        <w:rPr>
          <w:rFonts w:hint="eastAsia" w:hAnsi="宋体"/>
          <w:b/>
          <w:bCs/>
          <w:color w:val="auto"/>
          <w:sz w:val="48"/>
          <w:szCs w:val="48"/>
        </w:rPr>
        <w:sectPr>
          <w:footerReference r:id="rId6" w:type="default"/>
          <w:pgSz w:w="11906" w:h="16838"/>
          <w:pgMar w:top="1440" w:right="1800" w:bottom="1440" w:left="1800" w:header="851" w:footer="992" w:gutter="0"/>
          <w:pgNumType w:fmt="decimal"/>
          <w:cols w:space="720" w:num="1"/>
          <w:docGrid w:type="lines" w:linePitch="312" w:charSpace="0"/>
        </w:sectPr>
      </w:pPr>
    </w:p>
    <w:p>
      <w:pPr>
        <w:pStyle w:val="16"/>
        <w:spacing w:line="276" w:lineRule="auto"/>
        <w:jc w:val="center"/>
        <w:outlineLvl w:val="0"/>
        <w:rPr>
          <w:rFonts w:hint="default" w:hAnsi="宋体" w:eastAsia="宋体"/>
          <w:b/>
          <w:color w:val="auto"/>
          <w:sz w:val="48"/>
          <w:szCs w:val="48"/>
          <w:lang w:val="en-US" w:eastAsia="zh-CN"/>
        </w:rPr>
      </w:pPr>
      <w:r>
        <w:rPr>
          <w:rFonts w:hint="eastAsia" w:hAnsi="宋体"/>
          <w:b/>
          <w:bCs/>
          <w:color w:val="auto"/>
          <w:sz w:val="48"/>
          <w:szCs w:val="48"/>
        </w:rPr>
        <w:t xml:space="preserve">第四章  </w:t>
      </w:r>
      <w:bookmarkEnd w:id="26"/>
      <w:r>
        <w:rPr>
          <w:rFonts w:hint="eastAsia" w:hAnsi="宋体"/>
          <w:b/>
          <w:color w:val="auto"/>
          <w:sz w:val="48"/>
          <w:szCs w:val="48"/>
          <w:lang w:val="en-US" w:eastAsia="zh-CN"/>
        </w:rPr>
        <w:t>采购需求</w:t>
      </w:r>
    </w:p>
    <w:p>
      <w:pPr>
        <w:pStyle w:val="91"/>
        <w:ind w:firstLine="470" w:firstLineChars="196"/>
        <w:jc w:val="center"/>
        <w:rPr>
          <w:rFonts w:ascii="宋体" w:hAnsi="宋体"/>
          <w:color w:val="auto"/>
          <w:sz w:val="24"/>
          <w:szCs w:val="24"/>
        </w:rPr>
      </w:pPr>
    </w:p>
    <w:p>
      <w:pPr>
        <w:pStyle w:val="91"/>
        <w:ind w:firstLine="470" w:firstLineChars="196"/>
        <w:jc w:val="center"/>
        <w:rPr>
          <w:rFonts w:ascii="宋体" w:hAnsi="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ascii="宋体" w:hAnsi="宋体"/>
          <w:color w:val="auto"/>
          <w:sz w:val="24"/>
          <w:szCs w:val="24"/>
        </w:rPr>
      </w:pPr>
      <w:r>
        <w:rPr>
          <w:rFonts w:hint="eastAsia" w:ascii="宋体" w:hAnsi="宋体"/>
          <w:color w:val="auto"/>
          <w:sz w:val="24"/>
          <w:szCs w:val="24"/>
        </w:rPr>
        <w:t>注：1、</w:t>
      </w:r>
      <w:r>
        <w:rPr>
          <w:rFonts w:hint="eastAsia" w:ascii="宋体" w:hAnsi="宋体"/>
          <w:color w:val="auto"/>
          <w:sz w:val="24"/>
          <w:szCs w:val="24"/>
          <w:highlight w:val="white"/>
        </w:rPr>
        <w:t>以下《采购需求一览表》所列清单为招标人（采购人）所提招标（采购）需求，投标供应商（供应商）应认真仔细研究，投标时应慎重选择相应的产品及技术参数、规格型号等进行投标。</w:t>
      </w:r>
    </w:p>
    <w:p>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ascii="宋体" w:hAnsi="宋体"/>
          <w:color w:val="auto"/>
          <w:sz w:val="24"/>
          <w:szCs w:val="24"/>
          <w:highlight w:val="white"/>
        </w:rPr>
      </w:pPr>
      <w:r>
        <w:rPr>
          <w:rFonts w:hint="eastAsia" w:ascii="宋体" w:hAnsi="宋体"/>
          <w:color w:val="auto"/>
          <w:sz w:val="24"/>
          <w:szCs w:val="24"/>
          <w:highlight w:val="white"/>
        </w:rPr>
        <w:t>2、为有助于投标供应商选择投标产品，采购项目需求中所列品牌均为参考品牌，不作为指定品牌，投标供应商可以选择性能不低于所列参考品牌的其他品牌产品报价，但投标时应当提供有关技术证明资料，证明所投产品品质、档次、性能、技术参数不低于或相当于参考品牌，证明资料需经</w:t>
      </w:r>
      <w:r>
        <w:rPr>
          <w:rFonts w:hint="eastAsia" w:ascii="宋体" w:hAnsi="宋体"/>
          <w:color w:val="auto"/>
          <w:sz w:val="24"/>
          <w:szCs w:val="24"/>
          <w:highlight w:val="white"/>
          <w:lang w:eastAsia="zh-CN"/>
        </w:rPr>
        <w:t>竞争性磋商小组</w:t>
      </w:r>
      <w:r>
        <w:rPr>
          <w:rFonts w:hint="eastAsia" w:ascii="宋体" w:hAnsi="宋体"/>
          <w:color w:val="auto"/>
          <w:sz w:val="24"/>
          <w:szCs w:val="24"/>
          <w:highlight w:val="white"/>
        </w:rPr>
        <w:t>评审认可，未提供相关证明资料的可能导致投标无效。</w:t>
      </w:r>
    </w:p>
    <w:p>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ascii="宋体" w:hAnsi="宋体"/>
          <w:color w:val="auto"/>
          <w:sz w:val="24"/>
          <w:szCs w:val="24"/>
          <w:highlight w:val="white"/>
        </w:rPr>
      </w:pPr>
      <w:r>
        <w:rPr>
          <w:rFonts w:hint="eastAsia" w:ascii="宋体" w:hAnsi="宋体"/>
          <w:color w:val="auto"/>
          <w:sz w:val="24"/>
          <w:szCs w:val="24"/>
          <w:highlight w:val="white"/>
        </w:rPr>
        <w:t>3、为鼓励不同品牌的充分竞争，如某项产品的某技术参数或要求属于个别品牌专有，则该技术参数及要求不具有限制性，投标供应商可对该参数或要求进行适当调整，并应当说明调整的理由，且此调整须经</w:t>
      </w:r>
      <w:r>
        <w:rPr>
          <w:rFonts w:hint="eastAsia" w:ascii="宋体" w:hAnsi="宋体"/>
          <w:color w:val="auto"/>
          <w:sz w:val="24"/>
          <w:szCs w:val="24"/>
          <w:highlight w:val="white"/>
          <w:lang w:eastAsia="zh-CN"/>
        </w:rPr>
        <w:t>竞争性磋商小组</w:t>
      </w:r>
      <w:r>
        <w:rPr>
          <w:rFonts w:hint="eastAsia" w:ascii="宋体" w:hAnsi="宋体"/>
          <w:color w:val="auto"/>
          <w:sz w:val="24"/>
          <w:szCs w:val="24"/>
          <w:highlight w:val="white"/>
        </w:rPr>
        <w:t>评审认可。</w:t>
      </w:r>
    </w:p>
    <w:p>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ascii="宋体" w:hAnsi="宋体"/>
          <w:color w:val="auto"/>
          <w:sz w:val="24"/>
          <w:szCs w:val="24"/>
        </w:rPr>
      </w:pPr>
      <w:r>
        <w:rPr>
          <w:rFonts w:hint="eastAsia" w:ascii="宋体" w:hAnsi="宋体"/>
          <w:color w:val="auto"/>
          <w:sz w:val="24"/>
          <w:szCs w:val="24"/>
        </w:rPr>
        <w:t>4、采购文件中加注“*”“▲”“</w:t>
      </w:r>
      <w:r>
        <w:rPr>
          <w:rFonts w:hint="eastAsia"/>
        </w:rPr>
        <w:t>★</w:t>
      </w:r>
      <w:r>
        <w:rPr>
          <w:rFonts w:hint="eastAsia" w:ascii="宋体" w:hAnsi="宋体"/>
          <w:color w:val="auto"/>
          <w:sz w:val="24"/>
          <w:szCs w:val="24"/>
        </w:rPr>
        <w:t>”的任何一项主要技术参数</w:t>
      </w:r>
      <w:r>
        <w:rPr>
          <w:rFonts w:hint="eastAsia" w:ascii="宋体" w:hAnsi="宋体"/>
          <w:color w:val="auto"/>
          <w:sz w:val="24"/>
          <w:szCs w:val="24"/>
          <w:lang w:val="en-US" w:eastAsia="zh-CN"/>
        </w:rPr>
        <w:t>不得偏差</w:t>
      </w:r>
      <w:r>
        <w:rPr>
          <w:rFonts w:hint="eastAsia" w:ascii="宋体" w:hAnsi="宋体"/>
          <w:color w:val="auto"/>
          <w:sz w:val="24"/>
          <w:szCs w:val="24"/>
        </w:rPr>
        <w:t>，</w:t>
      </w:r>
      <w:r>
        <w:rPr>
          <w:rFonts w:hint="eastAsia" w:ascii="宋体" w:hAnsi="宋体"/>
          <w:color w:val="auto"/>
          <w:sz w:val="24"/>
          <w:szCs w:val="24"/>
          <w:lang w:val="en-US" w:eastAsia="zh-CN"/>
        </w:rPr>
        <w:t>否则</w:t>
      </w:r>
      <w:r>
        <w:rPr>
          <w:rFonts w:hint="eastAsia" w:ascii="宋体" w:hAnsi="宋体"/>
          <w:color w:val="auto"/>
          <w:sz w:val="24"/>
          <w:szCs w:val="24"/>
        </w:rPr>
        <w:t>投标无效。</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olor w:val="auto"/>
          <w:sz w:val="24"/>
          <w:szCs w:val="24"/>
        </w:rPr>
      </w:pPr>
      <w:r>
        <w:rPr>
          <w:rFonts w:hint="eastAsia" w:ascii="宋体" w:hAnsi="宋体"/>
          <w:color w:val="auto"/>
          <w:sz w:val="24"/>
          <w:szCs w:val="24"/>
        </w:rPr>
        <w:t>5、投标报价包括采购、运输、人工、安装、售后、验收、招标代理费、税费</w:t>
      </w:r>
      <w:bookmarkStart w:id="42" w:name="_Hlk11405861"/>
      <w:r>
        <w:rPr>
          <w:rFonts w:hint="eastAsia" w:ascii="宋体" w:hAnsi="宋体"/>
          <w:color w:val="auto"/>
          <w:sz w:val="24"/>
          <w:szCs w:val="24"/>
        </w:rPr>
        <w:t>等所有费用。</w:t>
      </w:r>
      <w:bookmarkEnd w:id="42"/>
    </w:p>
    <w:p>
      <w:pPr>
        <w:pStyle w:val="24"/>
        <w:bidi w:val="0"/>
        <w:rPr>
          <w:rFonts w:hint="eastAsia"/>
          <w:color w:val="auto"/>
        </w:rPr>
      </w:pPr>
    </w:p>
    <w:p>
      <w:pPr>
        <w:spacing w:line="360" w:lineRule="auto"/>
        <w:ind w:firstLine="472" w:firstLineChars="196"/>
        <w:jc w:val="center"/>
        <w:rPr>
          <w:rFonts w:ascii="宋体" w:hAnsi="宋体"/>
          <w:b/>
          <w:bCs/>
          <w:color w:val="000000"/>
          <w:sz w:val="24"/>
        </w:rPr>
      </w:pPr>
      <w:r>
        <w:rPr>
          <w:rFonts w:hint="eastAsia" w:ascii="宋体" w:hAnsi="宋体"/>
          <w:b/>
          <w:bCs/>
          <w:color w:val="auto"/>
          <w:sz w:val="24"/>
        </w:rPr>
        <w:t>采</w:t>
      </w:r>
      <w:bookmarkStart w:id="43" w:name="_Toc1167"/>
      <w:r>
        <w:rPr>
          <w:rFonts w:hint="eastAsia" w:ascii="宋体" w:hAnsi="宋体"/>
          <w:b/>
          <w:bCs/>
          <w:color w:val="000000"/>
          <w:sz w:val="24"/>
        </w:rPr>
        <w:t>购清单说明</w:t>
      </w:r>
    </w:p>
    <w:p>
      <w:pPr>
        <w:ind w:firstLine="411" w:firstLineChars="196"/>
        <w:outlineLvl w:val="9"/>
        <w:rPr>
          <w:rFonts w:hint="default" w:ascii="宋体" w:hAnsi="宋体" w:eastAsia="宋体" w:cs="Times New Roman"/>
          <w:color w:val="FF0000"/>
          <w:sz w:val="24"/>
          <w:szCs w:val="24"/>
          <w:lang w:val="en-US" w:eastAsia="zh-CN"/>
        </w:rPr>
      </w:pPr>
      <w:r>
        <w:rPr>
          <w:rFonts w:hint="eastAsia"/>
          <w:lang w:val="en-US" w:eastAsia="zh-CN"/>
        </w:rPr>
        <w:t>采购要求：本次采购货物为交互式触控一体机70寸（含安装）、</w:t>
      </w:r>
      <w:r>
        <w:rPr>
          <w:rFonts w:hint="eastAsia"/>
          <w:vertAlign w:val="baseline"/>
          <w:lang w:val="en-US" w:eastAsia="zh-CN"/>
        </w:rPr>
        <w:t>组合式推拉黑板</w:t>
      </w:r>
      <w:r>
        <w:rPr>
          <w:rFonts w:hint="eastAsia"/>
          <w:lang w:val="en-US" w:eastAsia="zh-CN"/>
        </w:rPr>
        <w:t>（含安装），</w:t>
      </w:r>
      <w:r>
        <w:rPr>
          <w:rFonts w:hint="eastAsia"/>
          <w:color w:val="0000FF"/>
          <w:lang w:val="en-US" w:eastAsia="zh-CN"/>
        </w:rPr>
        <w:t>质量保证期三年（</w:t>
      </w:r>
      <w:r>
        <w:rPr>
          <w:rFonts w:hint="eastAsia"/>
          <w:lang w:val="en-US" w:eastAsia="zh-CN"/>
        </w:rPr>
        <w:t>自交货验收合格之日起计算）；响应供应商须保证投标货物质量合格，因货物本身质量、数量问题造成的一切后果，由成交供应商自行承担；因项目需要应甲方要求，成交供应商在签订合同后需立即供货，保证项目进行；竞争性磋商报价为投标货物运输至采购人指定地点的现场交货价，包含货物的价格、运输、装卸、售后服务、税费等费用。培训要求：1. 触摸交互一体机设备厂家负责搭建教师交流及学习平台，平台包括网页及微信公众平台，保证使用者能随时通过平台学习触摸交互一体机设备使用技巧，增强老师多媒体教学水平。2．根据小学、初中、高中的不同需求，平台需提供小学、初中、高中等不同板块供老师发布需求及分享授课经验使用。3．根据内容，平台需提供微课制作、白板软件的使用、公开课分享及观看、教学研讨及制作技巧指导，并设有求助区域，可供厂家培训师对求助问题进行解答。4．触摸交互一体机设备厂家需在每周某一时段进行在线微课培训，培训时间不少于20分钟，老师可通过手机、电脑、pad-NZH等观看微课培训。采购需求一览表中标注须现场演示的投标人应准备资料进行现场演示。</w:t>
      </w:r>
    </w:p>
    <w:p>
      <w:pPr>
        <w:pStyle w:val="24"/>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lang w:val="en-US" w:eastAsia="zh-CN"/>
        </w:rPr>
      </w:pPr>
    </w:p>
    <w:p>
      <w:pPr>
        <w:pStyle w:val="24"/>
        <w:keepNext w:val="0"/>
        <w:keepLines w:val="0"/>
        <w:pageBreakBefore w:val="0"/>
        <w:widowControl w:val="0"/>
        <w:kinsoku/>
        <w:wordWrap/>
        <w:overflowPunct/>
        <w:topLinePunct w:val="0"/>
        <w:autoSpaceDE/>
        <w:autoSpaceDN/>
        <w:bidi w:val="0"/>
        <w:adjustRightInd/>
        <w:snapToGrid/>
        <w:spacing w:line="360" w:lineRule="auto"/>
        <w:ind w:firstLine="723" w:firstLineChars="300"/>
        <w:jc w:val="center"/>
        <w:textAlignment w:val="auto"/>
        <w:rPr>
          <w:rFonts w:hint="eastAsia" w:ascii="宋体" w:hAnsi="宋体"/>
          <w:b/>
          <w:bCs/>
          <w:color w:val="000000"/>
          <w:sz w:val="24"/>
        </w:rPr>
      </w:pPr>
      <w:r>
        <w:rPr>
          <w:rFonts w:hint="eastAsia" w:ascii="宋体" w:hAnsi="宋体"/>
          <w:b/>
          <w:bCs/>
          <w:color w:val="000000"/>
          <w:sz w:val="24"/>
        </w:rPr>
        <w:t>采购需求一览表</w:t>
      </w:r>
    </w:p>
    <w:tbl>
      <w:tblPr>
        <w:tblStyle w:val="33"/>
        <w:tblW w:w="10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538"/>
        <w:gridCol w:w="7525"/>
        <w:gridCol w:w="480"/>
        <w:gridCol w:w="51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vAlign w:val="center"/>
          </w:tcPr>
          <w:p>
            <w:pPr>
              <w:pStyle w:val="24"/>
              <w:bidi w:val="0"/>
              <w:ind w:left="0" w:leftChars="0" w:firstLine="0" w:firstLineChars="0"/>
              <w:jc w:val="both"/>
              <w:rPr>
                <w:rFonts w:hint="eastAsia" w:eastAsia="宋体"/>
                <w:vertAlign w:val="baseline"/>
                <w:lang w:val="en-US" w:eastAsia="zh-CN"/>
              </w:rPr>
            </w:pPr>
            <w:r>
              <w:rPr>
                <w:rFonts w:hint="eastAsia"/>
                <w:vertAlign w:val="baseline"/>
                <w:lang w:val="en-US" w:eastAsia="zh-CN"/>
              </w:rPr>
              <w:t>序号</w:t>
            </w:r>
          </w:p>
        </w:tc>
        <w:tc>
          <w:tcPr>
            <w:tcW w:w="538" w:type="dxa"/>
            <w:vAlign w:val="center"/>
          </w:tcPr>
          <w:p>
            <w:pPr>
              <w:pStyle w:val="24"/>
              <w:bidi w:val="0"/>
              <w:ind w:left="0" w:leftChars="0" w:firstLine="0" w:firstLineChars="0"/>
              <w:jc w:val="both"/>
              <w:rPr>
                <w:rFonts w:hint="default"/>
                <w:vertAlign w:val="baseline"/>
                <w:lang w:val="en-US" w:eastAsia="zh-CN"/>
              </w:rPr>
            </w:pPr>
            <w:r>
              <w:rPr>
                <w:rFonts w:hint="eastAsia"/>
                <w:vertAlign w:val="baseline"/>
                <w:lang w:val="en-US" w:eastAsia="zh-CN"/>
              </w:rPr>
              <w:t>名称</w:t>
            </w:r>
          </w:p>
        </w:tc>
        <w:tc>
          <w:tcPr>
            <w:tcW w:w="7525" w:type="dxa"/>
            <w:vAlign w:val="center"/>
          </w:tcPr>
          <w:p>
            <w:pPr>
              <w:pStyle w:val="24"/>
              <w:bidi w:val="0"/>
              <w:jc w:val="both"/>
              <w:rPr>
                <w:rFonts w:hint="default" w:eastAsia="宋体"/>
                <w:vertAlign w:val="baseline"/>
                <w:lang w:val="en-US" w:eastAsia="zh-CN"/>
              </w:rPr>
            </w:pPr>
            <w:r>
              <w:rPr>
                <w:rFonts w:hint="eastAsia"/>
                <w:vertAlign w:val="baseline"/>
                <w:lang w:val="en-US" w:eastAsia="zh-CN"/>
              </w:rPr>
              <w:t>规格、材质、参数</w:t>
            </w:r>
          </w:p>
        </w:tc>
        <w:tc>
          <w:tcPr>
            <w:tcW w:w="480" w:type="dxa"/>
            <w:vAlign w:val="center"/>
          </w:tcPr>
          <w:p>
            <w:pPr>
              <w:pStyle w:val="24"/>
              <w:bidi w:val="0"/>
              <w:ind w:left="0" w:leftChars="0" w:firstLine="0" w:firstLineChars="0"/>
              <w:jc w:val="both"/>
              <w:rPr>
                <w:rFonts w:hint="eastAsia" w:eastAsia="宋体"/>
                <w:vertAlign w:val="baseline"/>
                <w:lang w:val="en-US" w:eastAsia="zh-CN"/>
              </w:rPr>
            </w:pPr>
            <w:r>
              <w:rPr>
                <w:rFonts w:hint="eastAsia"/>
                <w:vertAlign w:val="baseline"/>
                <w:lang w:val="en-US" w:eastAsia="zh-CN"/>
              </w:rPr>
              <w:t>单位</w:t>
            </w:r>
          </w:p>
        </w:tc>
        <w:tc>
          <w:tcPr>
            <w:tcW w:w="510" w:type="dxa"/>
            <w:vAlign w:val="center"/>
          </w:tcPr>
          <w:p>
            <w:pPr>
              <w:pStyle w:val="24"/>
              <w:bidi w:val="0"/>
              <w:ind w:left="0" w:leftChars="0" w:firstLine="0" w:firstLineChars="0"/>
              <w:jc w:val="both"/>
              <w:rPr>
                <w:rFonts w:hint="eastAsia" w:eastAsia="宋体"/>
                <w:vertAlign w:val="baseline"/>
                <w:lang w:val="en-US" w:eastAsia="zh-CN"/>
              </w:rPr>
            </w:pPr>
            <w:r>
              <w:rPr>
                <w:rFonts w:hint="eastAsia"/>
                <w:vertAlign w:val="baseline"/>
                <w:lang w:val="en-US" w:eastAsia="zh-CN"/>
              </w:rPr>
              <w:t>数量</w:t>
            </w:r>
          </w:p>
        </w:tc>
        <w:tc>
          <w:tcPr>
            <w:tcW w:w="1157" w:type="dxa"/>
            <w:vAlign w:val="center"/>
          </w:tcPr>
          <w:p>
            <w:pPr>
              <w:pStyle w:val="24"/>
              <w:bidi w:val="0"/>
              <w:jc w:val="both"/>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50" w:type="dxa"/>
            <w:vAlign w:val="center"/>
          </w:tcPr>
          <w:p>
            <w:pPr>
              <w:pStyle w:val="24"/>
              <w:bidi w:val="0"/>
              <w:ind w:left="0" w:leftChars="0" w:firstLine="0" w:firstLineChars="0"/>
              <w:jc w:val="center"/>
              <w:rPr>
                <w:rFonts w:hint="eastAsia" w:eastAsia="宋体"/>
                <w:vertAlign w:val="baseline"/>
                <w:lang w:val="en-US" w:eastAsia="zh-CN"/>
              </w:rPr>
            </w:pPr>
            <w:r>
              <w:rPr>
                <w:rFonts w:hint="eastAsia"/>
                <w:vertAlign w:val="baseline"/>
                <w:lang w:val="en-US" w:eastAsia="zh-CN"/>
              </w:rPr>
              <w:t>1</w:t>
            </w:r>
          </w:p>
        </w:tc>
        <w:tc>
          <w:tcPr>
            <w:tcW w:w="538" w:type="dxa"/>
            <w:vAlign w:val="center"/>
          </w:tcPr>
          <w:p>
            <w:pPr>
              <w:pStyle w:val="24"/>
              <w:bidi w:val="0"/>
              <w:ind w:left="0" w:leftChars="0" w:firstLine="0" w:firstLineChars="0"/>
              <w:jc w:val="center"/>
              <w:rPr>
                <w:rFonts w:hint="eastAsia"/>
                <w:vertAlign w:val="baseline"/>
                <w:lang w:val="en-US" w:eastAsia="zh-CN"/>
              </w:rPr>
            </w:pPr>
            <w:r>
              <w:rPr>
                <w:rFonts w:hint="eastAsia"/>
                <w:vertAlign w:val="baseline"/>
                <w:lang w:val="en-US" w:eastAsia="zh-CN"/>
              </w:rPr>
              <w:t>交互式触控一体机70寸</w:t>
            </w:r>
          </w:p>
        </w:tc>
        <w:tc>
          <w:tcPr>
            <w:tcW w:w="7525" w:type="dxa"/>
            <w:vAlign w:val="center"/>
          </w:tcPr>
          <w:p>
            <w:pPr>
              <w:pStyle w:val="24"/>
              <w:bidi w:val="0"/>
              <w:jc w:val="both"/>
              <w:rPr>
                <w:rFonts w:hint="eastAsia"/>
              </w:rPr>
            </w:pPr>
            <w:r>
              <w:rPr>
                <w:rFonts w:hint="eastAsia"/>
              </w:rPr>
              <w:t>硬件要求：</w:t>
            </w:r>
          </w:p>
          <w:p>
            <w:pPr>
              <w:pStyle w:val="24"/>
              <w:bidi w:val="0"/>
              <w:jc w:val="both"/>
              <w:rPr>
                <w:rFonts w:hint="eastAsia"/>
              </w:rPr>
            </w:pPr>
            <w:r>
              <w:rPr>
                <w:rFonts w:hint="eastAsia"/>
              </w:rPr>
              <w:t>1、全金属外观，一体化设计，外部无任何可见内部功能模块连接线。</w:t>
            </w:r>
          </w:p>
          <w:p>
            <w:pPr>
              <w:pStyle w:val="24"/>
              <w:bidi w:val="0"/>
              <w:jc w:val="both"/>
              <w:rPr>
                <w:rFonts w:hint="eastAsia"/>
              </w:rPr>
            </w:pPr>
            <w:r>
              <w:rPr>
                <w:rFonts w:hint="eastAsia"/>
              </w:rPr>
              <w:t xml:space="preserve">2、★整机屏幕采用70英寸 LED 液晶屏，显示比例16:9，具备防眩光效果。采用LED A规屏（需提供液晶屏原厂证明）、可视角度≥178°,屏幕图像分辨率达1920*1080，显示性能满足UD高清点对点要求，整机屏幕采用钢化玻璃，使用1.04kg钢球，在2m处自由落体撞击整机液晶显示屏幕的钢化玻璃，产品无损伤破裂，功能无异常（提供国家广播电视产品质量监督检验中心所出具的权威检测报告）。 </w:t>
            </w:r>
          </w:p>
          <w:p>
            <w:pPr>
              <w:pStyle w:val="24"/>
              <w:bidi w:val="0"/>
              <w:jc w:val="both"/>
              <w:rPr>
                <w:rFonts w:hint="eastAsia"/>
              </w:rPr>
            </w:pPr>
            <w:r>
              <w:rPr>
                <w:rFonts w:hint="eastAsia"/>
              </w:rPr>
              <w:t>3、触摸结构：即便屏幕上存在正常书本大小的区域被遮挡或某一条触摸边框完全失灵，仍可正常书写、操作,需提供国家广播电视产品质量监督检验中心所出具的权威检验报告（加盖国家级检测机构测试专用章）。</w:t>
            </w:r>
          </w:p>
          <w:p>
            <w:pPr>
              <w:pStyle w:val="24"/>
              <w:bidi w:val="0"/>
              <w:jc w:val="both"/>
              <w:rPr>
                <w:rFonts w:hint="eastAsia"/>
              </w:rPr>
            </w:pPr>
            <w:r>
              <w:rPr>
                <w:rFonts w:hint="eastAsia"/>
              </w:rPr>
              <w:t>4、★整机经过产品可靠性检验，MTBF大于100000小时。（提供国家级权威检测报告）</w:t>
            </w:r>
          </w:p>
          <w:p>
            <w:pPr>
              <w:pStyle w:val="24"/>
              <w:bidi w:val="0"/>
              <w:jc w:val="both"/>
              <w:rPr>
                <w:rFonts w:hint="eastAsia"/>
              </w:rPr>
            </w:pPr>
            <w:r>
              <w:rPr>
                <w:rFonts w:hint="eastAsia"/>
              </w:rPr>
              <w:t>5、整机符合浪涌（冲击）抗扰度、静电放电抗扰度、射频电磁场辐射抗扰度、电快速瞬变脉冲群抗扰度、射频场感应的传导抗扰度等要求，机身具备防盐雾锈蚀特性，且满足GB4943.1-2011标准中的防火要求，确保整机使用安全。（提供国家广播电视产品质量监督检验中心所出具的权威检测报告）</w:t>
            </w:r>
          </w:p>
          <w:p>
            <w:pPr>
              <w:pStyle w:val="24"/>
              <w:bidi w:val="0"/>
              <w:jc w:val="both"/>
              <w:rPr>
                <w:rFonts w:hint="eastAsia"/>
              </w:rPr>
            </w:pPr>
            <w:r>
              <w:rPr>
                <w:rFonts w:hint="eastAsia"/>
              </w:rPr>
              <w:t>整机具备抗振动、防跌落特性，保证整机运输或使用过程中不易受损（提供国家广播电视产品质量监督检验中心所出具的权威检测报告）</w:t>
            </w:r>
          </w:p>
          <w:p>
            <w:pPr>
              <w:pStyle w:val="24"/>
              <w:bidi w:val="0"/>
              <w:jc w:val="both"/>
              <w:rPr>
                <w:rFonts w:hint="eastAsia"/>
              </w:rPr>
            </w:pPr>
            <w:r>
              <w:rPr>
                <w:rFonts w:hint="eastAsia"/>
              </w:rPr>
              <w:t>6、触摸部分参数：采用非接触式红外十点或以上触控技术，windows白板下支持十点或以上同时书写（需提供国家广播电视产品质量监督检验中心所出具的权威检验报告（加盖国家级检测机构测试专用章）。 触摸响应时间＜15毫秒、触摸有效识别≥6毫米、定位分辨率：32767*32767、红外触摸屏系统采用USB通讯端口。触摸框免驱：支持Windows XP、Windows 7、Windows 8、Windows 8.1、Linux、Mac Os系统外置电脑操作系统接入时，无需安装触摸框驱动（提供国家广播电视产品质量监督检验中心所出具的权威检测报告）</w:t>
            </w:r>
          </w:p>
          <w:p>
            <w:pPr>
              <w:pStyle w:val="24"/>
              <w:bidi w:val="0"/>
              <w:jc w:val="both"/>
              <w:rPr>
                <w:rFonts w:hint="eastAsia"/>
              </w:rPr>
            </w:pPr>
            <w:r>
              <w:rPr>
                <w:rFonts w:hint="eastAsia"/>
              </w:rPr>
              <w:t xml:space="preserve">7、输入端子：≥3路VGA；≥3路Audio；≥1路AV；≥3路HDMI；≥1路TV RF；≥2路TV 多媒体USB；≥1路RS232接口；≥1路RJ45。输出端子：≥1路耳机；≥1路VGA；≥1路同轴输出； </w:t>
            </w:r>
          </w:p>
          <w:p>
            <w:pPr>
              <w:pStyle w:val="24"/>
              <w:bidi w:val="0"/>
              <w:jc w:val="both"/>
              <w:rPr>
                <w:rFonts w:hint="eastAsia"/>
              </w:rPr>
            </w:pPr>
            <w:r>
              <w:rPr>
                <w:rFonts w:hint="eastAsia"/>
              </w:rPr>
              <w:t>8、前置接口：一体机前部至少3路前置双通道USB接口,同一个USB接口可支持同时在Windows及Android系统下被读取，无需区分。其中至少有1路为USB3.0，便于资料的读取。（提供国家广播电视产品质量监督检验中心所出具的权威检测报告）。机身侧面至少1路HDMI及1路VGA，确保数据传输,其余数据接口整机测试符合GB21520-2008NB16F的能源效率等级1级限值要求需提供国家广播电视产品质量监督检验中心所出具的权威检验报告（加盖国家级检测机构测试专用章）。</w:t>
            </w:r>
          </w:p>
          <w:p>
            <w:pPr>
              <w:pStyle w:val="24"/>
              <w:bidi w:val="0"/>
              <w:jc w:val="both"/>
              <w:rPr>
                <w:rFonts w:hint="eastAsia"/>
              </w:rPr>
            </w:pPr>
            <w:r>
              <w:rPr>
                <w:rFonts w:hint="eastAsia"/>
              </w:rPr>
              <w:t>9、★整机前置6个物理按键，其中一个物理按键具有电视开关、电脑开关和节能待机键三合一功能（现场演示），操作便捷;需提供国家广播电视产品质量监督检验中心所出具的权威检验报告（加盖国家级检测机构测试专用章）。</w:t>
            </w:r>
          </w:p>
          <w:p>
            <w:pPr>
              <w:pStyle w:val="24"/>
              <w:bidi w:val="0"/>
              <w:jc w:val="both"/>
              <w:rPr>
                <w:rFonts w:hint="eastAsia"/>
              </w:rPr>
            </w:pPr>
            <w:r>
              <w:rPr>
                <w:rFonts w:hint="eastAsia"/>
              </w:rPr>
              <w:t>10、★整机只需连接一根网线，即可实现Windows及Android系统同时联网（提供国家广播电视产品质量监督检验中心所出具的权威检测报告）。</w:t>
            </w:r>
          </w:p>
          <w:p>
            <w:pPr>
              <w:pStyle w:val="24"/>
              <w:bidi w:val="0"/>
              <w:jc w:val="both"/>
              <w:rPr>
                <w:rFonts w:hint="eastAsia"/>
              </w:rPr>
            </w:pPr>
            <w:r>
              <w:rPr>
                <w:rFonts w:hint="eastAsia"/>
              </w:rPr>
              <w:t>11、★黑板关闭自动节能：当整机安装到推拉黑板中时，关闭推拉黑板，整机将在短时间内自动进入黑屏节能模式需提供国家广播电视产品质量监督检验中心所出具的权威检验报告（加盖国家级检测机构测试专用章）。</w:t>
            </w:r>
          </w:p>
          <w:p>
            <w:pPr>
              <w:pStyle w:val="24"/>
              <w:bidi w:val="0"/>
              <w:jc w:val="both"/>
              <w:rPr>
                <w:rFonts w:hint="eastAsia"/>
              </w:rPr>
            </w:pPr>
            <w:r>
              <w:rPr>
                <w:rFonts w:hint="eastAsia"/>
              </w:rPr>
              <w:t>12、★无线智能遥控：具备电视遥控功能和电脑键盘常用的F1—F12功能键及Alt+F4、Alt+Tab、Space、Enter、windows.zhn等快捷按键，可实现一键开启交互白板软件、PPT上下翻页、一键锁定/解锁触摸及整机实体按键、一键冻结屏幕、一键查看整机温度、一键黑屏等功能</w:t>
            </w:r>
          </w:p>
          <w:p>
            <w:pPr>
              <w:pStyle w:val="24"/>
              <w:bidi w:val="0"/>
              <w:jc w:val="both"/>
              <w:rPr>
                <w:rFonts w:hint="eastAsia"/>
              </w:rPr>
            </w:pPr>
            <w:r>
              <w:rPr>
                <w:rFonts w:hint="eastAsia"/>
              </w:rPr>
              <w:t>13、★整机支持任意通道下十点同时书写，通过手势识别调出板擦工具进行擦除，且能够根据手与屏幕的接触面积自动调整板擦工具的大小。需提供国家广播电视产品质量监督检验中心所出具的权威检验报告（加盖国家级检测机构测试专用章）。</w:t>
            </w:r>
          </w:p>
          <w:p>
            <w:pPr>
              <w:pStyle w:val="24"/>
              <w:bidi w:val="0"/>
              <w:jc w:val="both"/>
              <w:rPr>
                <w:rFonts w:hint="eastAsia"/>
              </w:rPr>
            </w:pPr>
            <w:r>
              <w:rPr>
                <w:rFonts w:hint="eastAsia"/>
              </w:rPr>
              <w:t>14、★整机支持一键黑屏节能70%，且整机符合GB21520-2008nZH的能源效率等级1级限值要求（提供国家广播电视产品质量监督检验中心所出具的权威检测报告）。</w:t>
            </w:r>
          </w:p>
          <w:p>
            <w:pPr>
              <w:pStyle w:val="24"/>
              <w:bidi w:val="0"/>
              <w:jc w:val="both"/>
              <w:rPr>
                <w:rFonts w:hint="eastAsia"/>
              </w:rPr>
            </w:pPr>
            <w:r>
              <w:rPr>
                <w:rFonts w:hint="eastAsia"/>
              </w:rPr>
              <w:t>15、★自动节能功能：当设备在五分钟内处于无信号接收状态且无人操作时，将会自动关机，节省能耗（提供国家广播电视产品质量监督检验中心所出具的权威检测报告）。</w:t>
            </w:r>
          </w:p>
          <w:p>
            <w:pPr>
              <w:pStyle w:val="24"/>
              <w:bidi w:val="0"/>
              <w:jc w:val="both"/>
              <w:rPr>
                <w:rFonts w:hint="eastAsia"/>
              </w:rPr>
            </w:pPr>
            <w:r>
              <w:rPr>
                <w:rFonts w:hint="eastAsia"/>
              </w:rPr>
              <w:t>16、设备可通过遥控器一键锁定/解锁触摸、按键，也可通过前置组合按键的形式锁定/解锁触摸和按键，防止课间学生操作（提供国家广播电视产品质量监督检验中心所出具的权威检测报告）。</w:t>
            </w:r>
          </w:p>
          <w:p>
            <w:pPr>
              <w:pStyle w:val="24"/>
              <w:bidi w:val="0"/>
              <w:jc w:val="both"/>
              <w:rPr>
                <w:rFonts w:hint="eastAsia"/>
              </w:rPr>
            </w:pPr>
            <w:r>
              <w:rPr>
                <w:rFonts w:hint="eastAsia"/>
              </w:rPr>
              <w:t>17、★整机支持通道画面放大功能，可在整机通道下将画面冻结并双击画面任一部分进行放大，也可以通过按键将整个画面自由缩放，放大后的屏幕画面可进行任意拖拽（提供国家广播电视产品质量监督检验中心所出具的权威检测报告）。（现场演示）</w:t>
            </w:r>
          </w:p>
          <w:p>
            <w:pPr>
              <w:pStyle w:val="24"/>
              <w:bidi w:val="0"/>
              <w:jc w:val="both"/>
              <w:rPr>
                <w:rFonts w:hint="eastAsia"/>
              </w:rPr>
            </w:pPr>
            <w:r>
              <w:rPr>
                <w:rFonts w:hint="eastAsia"/>
              </w:rPr>
              <w:t>18、★整机支持任意通道下通过手势识别调出板擦工具进行擦除，且能够根据手与屏幕的接触面积自动调整板擦工具的大小，支持在任意通道下调取板中板、聚光灯、秒表、倒计时、倒计日等小工具（提供国家广播电视产品质量监督检验中心所出具的权威检测报告）</w:t>
            </w:r>
          </w:p>
          <w:p>
            <w:pPr>
              <w:pStyle w:val="24"/>
              <w:bidi w:val="0"/>
              <w:jc w:val="both"/>
              <w:rPr>
                <w:rFonts w:hint="eastAsia"/>
              </w:rPr>
            </w:pPr>
            <w:r>
              <w:rPr>
                <w:rFonts w:hint="eastAsia"/>
              </w:rPr>
              <w:t>18、★设备自带书写笔，采用笔型设计，外观使用防滑材料，带四个遥控按键，既可以用于触摸书写，也可用于远程操控。采用2.4G无线连接技术，无线接收距离最大可达15米。（提供国家级检测机构报告）无线接收器采用微型nano设计，并能收纳在笔上，整洁美观。使用单节7号电池驱动，并带自动休眠节电设计。（提供国家级检测机构报告）★单接收器设计，android、windows双系统同时响应。只需安装一个接收器，双系统都能响应智能笔的操作指令。（提供国家级检测机构报告）支持白板课件、PPT、PDF等多种格式的课件进行远程无线翻页。无需任何软件界面内点击操作，即可通过笔上按键实现白板软件选择、书写功能一键切换，提高课堂操作效率。（提供国家级检测机构报告）支持一键启动任意通道放大镜功能，通过双击屏幕放大对应画面内容，方便细节呈现。（提供国家级检测机构报告）支持扩展自定义按键功能，可选功能包括：一键启动任意通道批注、一键启动/退出PPT播放、一键启动PPT批注等功能。★支持手笔分离智能识别功能，使用智能笔进行书写操作时，整机系统将自动屏蔽人手触摸，确保书写过程中不会因为手掌误触屏幕造成误操作。（带样品现场演示）</w:t>
            </w:r>
          </w:p>
          <w:p>
            <w:pPr>
              <w:pStyle w:val="24"/>
              <w:bidi w:val="0"/>
              <w:jc w:val="both"/>
              <w:rPr>
                <w:rFonts w:hint="eastAsia"/>
              </w:rPr>
            </w:pPr>
            <w:r>
              <w:rPr>
                <w:rFonts w:hint="eastAsia"/>
              </w:rPr>
              <w:t>19、★一键调整分辨率：可通过实体按键以及触摸按键对内置电脑画面实现一键切换屏幕分辨率，调整画面显示比例（提供国家广播电视产品质量监督检验中心所出具的权威检测报告）</w:t>
            </w:r>
          </w:p>
          <w:p>
            <w:pPr>
              <w:pStyle w:val="24"/>
              <w:bidi w:val="0"/>
              <w:jc w:val="both"/>
              <w:rPr>
                <w:rFonts w:hint="eastAsia"/>
              </w:rPr>
            </w:pPr>
            <w:r>
              <w:rPr>
                <w:rFonts w:hint="eastAsia"/>
              </w:rPr>
              <w:t>20、★设备自带USB有线传屏器: 通过一根USB线可实现外部电脑与交互智能平板之间高清视频信号、音频信号以及触摸信号的实时传输。采用USB端口进行传输，可兼容市面上具备通用USB端子的各类电脑。采用单按键设计，只需按一下即可传屏，无需在智能平板上做任何操作。通过数字信号传输，信号更稳定，抗干扰性强,传输分辨率：支持1920*1080@60Hz,传屏器功耗：不超过2.5W,电脑免驱，无需额外安装驱动，连接上即可使用。电脑系统支持：Windows7/8/8.1/10，Mac OS X10.9及以上（带样品现场演示）</w:t>
            </w:r>
          </w:p>
          <w:p>
            <w:pPr>
              <w:pStyle w:val="24"/>
              <w:bidi w:val="0"/>
              <w:jc w:val="both"/>
              <w:rPr>
                <w:rFonts w:hint="eastAsia"/>
              </w:rPr>
            </w:pPr>
            <w:r>
              <w:rPr>
                <w:rFonts w:hint="eastAsia"/>
              </w:rPr>
              <w:t>21、★电脑模块配置要：采用模块化电脑方案，抽拉内置式，采用80pin或以上接口，实现无单独接线的插拔，低噪音热管传导散热设计。采用按压式开关，无需工具即可快速拆卸电脑模块（提供国家广播电视产品质量监督检验中心所出具的权威检测报告）。采用双WiFi天线，增强无线网络信号。处理器：Intel Core i3,主频为双核四线程3.2GHz，内存：4G DDR3笔记本内存或以上配置，硬盘： 128G SSD固态硬盘；内置WiFi：IEEE 802.11n标准，内置网卡：10M/100M/1000M，具有独立非外扩展的电脑USB接口：电脑上至少6个USB接口，其中至少4个为USB3.0接口（提供国家广播电视产品质量监督检验中心所出具的权威检测报告）。具有独立非外扩展的视频输出接口：≥1路VGA ；≥1路HDMI ；≥1路DP（提供国家广播电视产品质量监督检验中心所出具的权威检测报告）。具有标准PC防盗锁孔，确保电脑模块安全防盗。</w:t>
            </w:r>
          </w:p>
          <w:p>
            <w:pPr>
              <w:pStyle w:val="24"/>
              <w:bidi w:val="0"/>
              <w:jc w:val="both"/>
              <w:rPr>
                <w:rFonts w:hint="eastAsia"/>
              </w:rPr>
            </w:pPr>
            <w:r>
              <w:rPr>
                <w:rFonts w:hint="eastAsia"/>
              </w:rPr>
              <w:t>22、★交互智能平板设备智能安全密钥：1、支持即插即用功能，无需安装驱动程序。2、自带安全加密算法，可对触摸终端设备进行安全防护加密，避免设备被无关人士随意使用。3、★首次配置后设备将自动进入安全锁定状态，无论操作系统、鼠标、触摸屏或机身按键均会被锁定，无法正常使用。4、安全密钥拔出时，终端设备将一直保持锁定状态，无法操作（包括按键开关机）；安全密钥插入后，设备将无缝恢复成可正常操作的状态。5、同一安全密钥支持解锁多台设备，保证同一位老师可以使用不同班级设备。6、支持查看设备温度、分辨率、配置参数、核心部件使用率等信息，如设备出现故障可实时检测问题所在。（现场演示）</w:t>
            </w:r>
          </w:p>
          <w:p>
            <w:pPr>
              <w:pStyle w:val="24"/>
              <w:bidi w:val="0"/>
              <w:jc w:val="both"/>
              <w:rPr>
                <w:rFonts w:hint="eastAsia"/>
              </w:rPr>
            </w:pPr>
            <w:r>
              <w:rPr>
                <w:rFonts w:hint="eastAsia"/>
              </w:rPr>
              <w:t>23、★无线同屏系统：（现场演示）1、★多平台互通支持Android 及IOS 版本系统。2、★具备PPT专用演示模式，对PPT进行远程操作时，可将智能平板上的PPT加载到移动终端上进行同步显示，另外还可以实现远程翻页、任意页面预览、双向批注书写、激光笔重点提醒，一键黑屏等功能。3、★可使用终端拍照或视频上传至交互智能平板,支持4图片上传及比对，选择颁奖。5、★具备服务端生成热点功能，在没有路由器的情况下，可通过服务端生成局域网热点供外部终端进行无线连接，并支持二维码拍照自动连接服务器功能，无需手动设置网络。6、★可实现交互智能平板与手持终端屏幕同步显示，且支持双屏同步操作、大小屏双向批注、擦除、截图功能。支持多图（现场演示）提供软件著作权证书</w:t>
            </w:r>
          </w:p>
          <w:p>
            <w:pPr>
              <w:pStyle w:val="24"/>
              <w:bidi w:val="0"/>
              <w:jc w:val="both"/>
              <w:rPr>
                <w:rFonts w:hint="eastAsia"/>
              </w:rPr>
            </w:pPr>
            <w:r>
              <w:rPr>
                <w:rFonts w:hint="eastAsia"/>
              </w:rPr>
              <w:t>24、★课堂行为评价系统：1、★学生行为评价系统，集成三大功能模块：基础信息管理、课堂表现评价、家校互联互通，功能及操作均统一在同一软件平台同一账号体系实现。2、★支持PC客户端、PC网页端、安卓手机端、苹果手机端登陆使用，且各个端的数据是互通的，方便老师随时随地对学生进行管理与评价。3、支持多个老师管理同一个班级，从而满足一个班级有班主任和多个任课老师的实际情况。4、▲支持邀请家长入班，使家长可查看到自己的孩子在学校的各种表现。5、★为保证硬件与软件系统的兼容性，交互智能平板与学生行为评价系统需为同一制造商生产，具有同一品牌。</w:t>
            </w:r>
          </w:p>
          <w:p>
            <w:pPr>
              <w:pStyle w:val="24"/>
              <w:bidi w:val="0"/>
              <w:jc w:val="both"/>
              <w:rPr>
                <w:rFonts w:hint="eastAsia"/>
              </w:rPr>
            </w:pPr>
            <w:r>
              <w:rPr>
                <w:rFonts w:hint="eastAsia"/>
              </w:rPr>
              <w:t>25、基础信息管理：支持老师设置帐号信息，包括头像、昵称、密码、所教年级、学科。支持设置班级信息，包括学段、年级、班级名称。支持设置学生信息，包括学生姓名、学生所属分组。</w:t>
            </w:r>
          </w:p>
          <w:p>
            <w:pPr>
              <w:pStyle w:val="24"/>
              <w:bidi w:val="0"/>
              <w:jc w:val="both"/>
              <w:rPr>
                <w:rFonts w:hint="eastAsia"/>
              </w:rPr>
            </w:pPr>
            <w:r>
              <w:rPr>
                <w:rFonts w:hint="eastAsia"/>
              </w:rPr>
              <w:t>26、★课堂表现评价：★老师可通过移动端、PC端及网页端对学生、小组及班级进行行为评价，通过卡通游戏化的方式对学生进行表扬或提醒。支持查看所有班级、小组、学生的评价得分，界面及头像均采用卡通化方式，提供课堂趣味性。★预设的评价类型不少于9种，并支持用户自定义符合自身教学需求的评价类型，可设置对应的图标、名称和分数。★根据评价得分情况，对应小组或学生的头像会升级变化，以游戏化方式激励学生积极参与课堂互动。★为提高课堂趣味性，移动端支持随机抽选学生进行评价。★支持桌面光荣榜功能，可显示班级得分前五的学生信息，可设置隐藏。★支持查看课堂表现评价统计报表，按饼状图形式展现学生课堂表现情况，支持查看班级或学生个人的评价情况，并可具体查看到每一条评价的原因、对象、分值，便于老师做统计分析。报表数据支持导出成excel文件。</w:t>
            </w:r>
          </w:p>
          <w:p>
            <w:pPr>
              <w:pStyle w:val="24"/>
              <w:bidi w:val="0"/>
              <w:jc w:val="both"/>
              <w:rPr>
                <w:rFonts w:hint="eastAsia"/>
              </w:rPr>
            </w:pPr>
            <w:r>
              <w:rPr>
                <w:rFonts w:hint="eastAsia"/>
              </w:rPr>
              <w:t>软件功能： （现场逐条演示）</w:t>
            </w:r>
          </w:p>
          <w:p>
            <w:pPr>
              <w:pStyle w:val="24"/>
              <w:bidi w:val="0"/>
              <w:jc w:val="both"/>
              <w:rPr>
                <w:rFonts w:hint="eastAsia"/>
              </w:rPr>
            </w:pPr>
            <w:r>
              <w:rPr>
                <w:rFonts w:hint="eastAsia"/>
              </w:rPr>
              <w:t>1、★支持老师个人账号注册登录使用、支持课件云存储、云课件同步、U盘快联。</w:t>
            </w:r>
          </w:p>
          <w:p>
            <w:pPr>
              <w:pStyle w:val="24"/>
              <w:bidi w:val="0"/>
              <w:jc w:val="both"/>
              <w:rPr>
                <w:rFonts w:hint="eastAsia"/>
              </w:rPr>
            </w:pPr>
            <w:r>
              <w:rPr>
                <w:rFonts w:hint="eastAsia"/>
              </w:rPr>
              <w:t>2、★课件背景：提供不少于12种以上背景模板供老师选择，支持自定义背景。</w:t>
            </w:r>
          </w:p>
          <w:p>
            <w:pPr>
              <w:pStyle w:val="24"/>
              <w:bidi w:val="0"/>
              <w:jc w:val="both"/>
              <w:rPr>
                <w:rFonts w:hint="eastAsia"/>
              </w:rPr>
            </w:pPr>
            <w:r>
              <w:rPr>
                <w:rFonts w:hint="eastAsia"/>
              </w:rPr>
              <w:t>3、★几何图形编辑，可绘制各类线条线段，各种图形并显示角度，各类辅助线。</w:t>
            </w:r>
          </w:p>
          <w:p>
            <w:pPr>
              <w:pStyle w:val="24"/>
              <w:bidi w:val="0"/>
              <w:jc w:val="both"/>
              <w:rPr>
                <w:rFonts w:hint="eastAsia"/>
              </w:rPr>
            </w:pPr>
            <w:r>
              <w:rPr>
                <w:rFonts w:hint="eastAsia"/>
              </w:rPr>
              <w:t>4、★思维导图工具，支持在节点上插入图片、音频、视屏、网页、课件页面链接。</w:t>
            </w:r>
          </w:p>
          <w:p>
            <w:pPr>
              <w:pStyle w:val="24"/>
              <w:bidi w:val="0"/>
              <w:jc w:val="both"/>
              <w:rPr>
                <w:rFonts w:hint="eastAsia"/>
              </w:rPr>
            </w:pPr>
            <w:r>
              <w:rPr>
                <w:rFonts w:hint="eastAsia"/>
              </w:rPr>
              <w:t>5、★课堂活动-对象自动分类，为符合寓教于乐的教学理念，需提供不少于8种游戏化课堂活动模板，且模板中的对象素材可自定义修改。选择任意活动模板，输入相应内容即可轻松生成自动分类课堂互动游戏，提升课堂的趣味性和互动性。游戏化教学。</w:t>
            </w:r>
          </w:p>
          <w:p>
            <w:pPr>
              <w:pStyle w:val="24"/>
              <w:bidi w:val="0"/>
              <w:jc w:val="both"/>
              <w:rPr>
                <w:rFonts w:hint="eastAsia"/>
              </w:rPr>
            </w:pPr>
            <w:r>
              <w:rPr>
                <w:rFonts w:hint="eastAsia"/>
              </w:rPr>
              <w:t>6、★支持老师自定义设置授课模式工具白板按钮。</w:t>
            </w:r>
          </w:p>
          <w:p>
            <w:pPr>
              <w:pStyle w:val="24"/>
              <w:bidi w:val="0"/>
              <w:jc w:val="both"/>
              <w:rPr>
                <w:rFonts w:hint="eastAsia"/>
              </w:rPr>
            </w:pPr>
            <w:r>
              <w:rPr>
                <w:rFonts w:hint="eastAsia"/>
              </w:rPr>
              <w:t>7、★根据老师账号中设置的学科，备课模式工具栏会自动提供与学科相对应的教学工具。</w:t>
            </w:r>
          </w:p>
          <w:p>
            <w:pPr>
              <w:pStyle w:val="24"/>
              <w:bidi w:val="0"/>
              <w:jc w:val="both"/>
              <w:rPr>
                <w:rFonts w:hint="eastAsia"/>
              </w:rPr>
            </w:pPr>
            <w:r>
              <w:rPr>
                <w:rFonts w:hint="eastAsia"/>
              </w:rPr>
              <w:t>8、★支持快捷抠图，无需借助专业图片处理软件，即可在白板软件中对导入的图片进行快捷抠图、去背景，处理后的图片主体边缘没有明显毛边，可导出保存成PNG格式。方便老师制作课件。</w:t>
            </w:r>
          </w:p>
          <w:p>
            <w:pPr>
              <w:pStyle w:val="24"/>
              <w:bidi w:val="0"/>
              <w:jc w:val="both"/>
              <w:rPr>
                <w:rFonts w:hint="eastAsia"/>
              </w:rPr>
            </w:pPr>
            <w:r>
              <w:rPr>
                <w:rFonts w:hint="eastAsia"/>
              </w:rPr>
              <w:t>9、★路径动画：支持任意对象自定义路径动画设置，可绘制任意的移动轨迹并让对象沿着轨迹路径进行移动，可单独设置该动画通过翻页或单击对象本身进行触发。</w:t>
            </w:r>
          </w:p>
          <w:p>
            <w:pPr>
              <w:pStyle w:val="24"/>
              <w:bidi w:val="0"/>
              <w:jc w:val="both"/>
              <w:rPr>
                <w:rFonts w:hint="eastAsia"/>
              </w:rPr>
            </w:pPr>
            <w:r>
              <w:rPr>
                <w:rFonts w:hint="eastAsia"/>
              </w:rPr>
              <w:t>10、翻页动画：支持至少5种或以上课件页面翻页动画设置。</w:t>
            </w:r>
          </w:p>
          <w:p>
            <w:pPr>
              <w:pStyle w:val="24"/>
              <w:bidi w:val="0"/>
              <w:jc w:val="both"/>
              <w:rPr>
                <w:rFonts w:hint="eastAsia"/>
              </w:rPr>
            </w:pPr>
            <w:r>
              <w:rPr>
                <w:rFonts w:hint="eastAsia"/>
              </w:rPr>
              <w:t>11、★支持学生基础信息管理、课堂表现评价、家校互联互通，支持PC客户端、PC网页端、安卓、苹果手机端。可对学生或小组进行行为评价，以卡通游戏化的方式进行表扬或提醒，评价的类型可自定义。根据评价得分情况，学生的头像会升级变化，寓教于乐，正向激励。支持桌面光荣榜，支持课堂表现评价统计表，支持成绩报告，上传成绩后系统自动分析，可发送给家长。支持在线公开及匿名投票。</w:t>
            </w:r>
          </w:p>
          <w:p>
            <w:pPr>
              <w:pStyle w:val="24"/>
              <w:bidi w:val="0"/>
              <w:jc w:val="both"/>
              <w:rPr>
                <w:rFonts w:hint="eastAsia"/>
              </w:rPr>
            </w:pPr>
            <w:r>
              <w:rPr>
                <w:rFonts w:hint="eastAsia"/>
              </w:rPr>
              <w:t>12、★微课工具：支持全屏录制及任意区域截屏录制，且支持与双摄像头展台配合进行双路摄像画面录制，录制后的微课视频可进行自由裁剪、编辑、添加水印等操作，并可一键导出至教学白板软件或另存到本地，也可以上传到资源分享平台。</w:t>
            </w:r>
          </w:p>
          <w:p>
            <w:pPr>
              <w:pStyle w:val="24"/>
              <w:bidi w:val="0"/>
              <w:jc w:val="both"/>
              <w:rPr>
                <w:rFonts w:hint="eastAsia"/>
              </w:rPr>
            </w:pPr>
            <w:r>
              <w:rPr>
                <w:rFonts w:hint="eastAsia"/>
              </w:rPr>
              <w:t>13、★白板软件与触控一体机须为同一品牌，需提供软件登记证和软件著作权系列证书。</w:t>
            </w:r>
          </w:p>
          <w:p>
            <w:pPr>
              <w:pStyle w:val="24"/>
              <w:bidi w:val="0"/>
              <w:jc w:val="both"/>
              <w:rPr>
                <w:rFonts w:hint="eastAsia"/>
              </w:rPr>
            </w:pPr>
            <w:r>
              <w:rPr>
                <w:rFonts w:hint="eastAsia"/>
              </w:rPr>
              <w:t>注：带★标注的为必须满足项，不满足则为不响应。</w:t>
            </w:r>
          </w:p>
          <w:p>
            <w:pPr>
              <w:pStyle w:val="31"/>
              <w:ind w:left="0" w:leftChars="0" w:firstLine="0" w:firstLineChars="0"/>
              <w:outlineLvl w:val="9"/>
              <w:rPr>
                <w:rFonts w:hint="eastAsia" w:ascii="宋体" w:hAnsi="宋体"/>
                <w:color w:val="auto"/>
                <w:szCs w:val="21"/>
                <w:lang w:val="en-US" w:eastAsia="zh-CN"/>
              </w:rPr>
            </w:pPr>
            <w:r>
              <w:rPr>
                <w:rFonts w:hint="eastAsia" w:ascii="宋体" w:hAnsi="宋体"/>
                <w:color w:val="auto"/>
                <w:szCs w:val="21"/>
                <w:lang w:val="en-US" w:eastAsia="zh-CN"/>
              </w:rPr>
              <w:t>本产品资格条件：</w:t>
            </w:r>
          </w:p>
          <w:p>
            <w:pPr>
              <w:pStyle w:val="31"/>
              <w:ind w:left="0" w:leftChars="0" w:firstLine="0" w:firstLineChars="0"/>
              <w:outlineLvl w:val="9"/>
              <w:rPr>
                <w:rFonts w:hint="default" w:ascii="宋体" w:hAnsi="宋体" w:eastAsia="仿宋_GB2312"/>
                <w:color w:val="auto"/>
                <w:szCs w:val="21"/>
                <w:lang w:val="en-US" w:eastAsia="zh-CN"/>
              </w:rPr>
            </w:pPr>
            <w:r>
              <w:rPr>
                <w:rFonts w:hint="default" w:ascii="宋体" w:hAnsi="宋体" w:eastAsia="仿宋_GB2312"/>
                <w:color w:val="auto"/>
                <w:szCs w:val="21"/>
                <w:lang w:val="en-US" w:eastAsia="zh-CN"/>
              </w:rPr>
              <w:t>1、投标产品须为原厂商制造，不接受OEM产品。电脑模块及一体机的国家强制3C认证应为同一制造商。</w:t>
            </w:r>
          </w:p>
          <w:p>
            <w:pPr>
              <w:pStyle w:val="31"/>
              <w:ind w:firstLine="0"/>
              <w:outlineLvl w:val="9"/>
              <w:rPr>
                <w:rFonts w:hint="default" w:ascii="宋体" w:hAnsi="宋体" w:eastAsia="仿宋_GB2312"/>
                <w:color w:val="auto"/>
                <w:szCs w:val="21"/>
                <w:lang w:val="en-US" w:eastAsia="zh-CN"/>
              </w:rPr>
            </w:pPr>
            <w:r>
              <w:rPr>
                <w:rFonts w:hint="eastAsia" w:ascii="宋体" w:hAnsi="宋体"/>
                <w:color w:val="auto"/>
                <w:szCs w:val="21"/>
                <w:lang w:val="en-US" w:eastAsia="zh-CN"/>
              </w:rPr>
              <w:t>2</w:t>
            </w:r>
            <w:r>
              <w:rPr>
                <w:rFonts w:hint="default" w:ascii="宋体" w:hAnsi="宋体" w:eastAsia="仿宋_GB2312"/>
                <w:color w:val="auto"/>
                <w:szCs w:val="21"/>
                <w:lang w:val="en-US" w:eastAsia="zh-CN"/>
              </w:rPr>
              <w:t>、生产厂家需出具ISO9001认证、ISO14001认证、OHSAS18001认证。</w:t>
            </w:r>
          </w:p>
          <w:p>
            <w:pPr>
              <w:pStyle w:val="31"/>
              <w:ind w:firstLine="0"/>
              <w:outlineLvl w:val="9"/>
              <w:rPr>
                <w:rFonts w:hint="default" w:ascii="宋体" w:hAnsi="宋体" w:eastAsia="仿宋_GB2312"/>
                <w:color w:val="auto"/>
                <w:szCs w:val="21"/>
                <w:lang w:val="en-US" w:eastAsia="zh-CN"/>
              </w:rPr>
            </w:pPr>
            <w:r>
              <w:rPr>
                <w:rFonts w:hint="eastAsia" w:ascii="宋体" w:hAnsi="宋体"/>
                <w:color w:val="auto"/>
                <w:szCs w:val="21"/>
                <w:lang w:val="en-US" w:eastAsia="zh-CN"/>
              </w:rPr>
              <w:t>3</w:t>
            </w:r>
            <w:r>
              <w:rPr>
                <w:rFonts w:hint="default" w:ascii="宋体" w:hAnsi="宋体" w:eastAsia="仿宋_GB2312"/>
                <w:color w:val="auto"/>
                <w:szCs w:val="21"/>
                <w:lang w:val="en-US" w:eastAsia="zh-CN"/>
              </w:rPr>
              <w:t>、生产厂家需出具“中国环境标志产品认证证书（I型）”、国家强制性3C认证、节能认证证书、白板软件产品需提供软件登记证和软件著作权系列证书。</w:t>
            </w:r>
          </w:p>
          <w:p>
            <w:pPr>
              <w:pStyle w:val="31"/>
              <w:ind w:firstLine="0"/>
              <w:outlineLvl w:val="9"/>
              <w:rPr>
                <w:rFonts w:hint="default" w:ascii="宋体" w:hAnsi="宋体" w:eastAsia="仿宋_GB2312"/>
                <w:color w:val="auto"/>
                <w:szCs w:val="21"/>
                <w:lang w:val="en-US" w:eastAsia="zh-CN"/>
              </w:rPr>
            </w:pPr>
            <w:r>
              <w:rPr>
                <w:rFonts w:hint="default" w:ascii="宋体" w:hAnsi="宋体" w:eastAsia="仿宋_GB2312"/>
                <w:color w:val="auto"/>
                <w:szCs w:val="21"/>
                <w:lang w:val="en-US" w:eastAsia="zh-CN"/>
              </w:rPr>
              <w:t>5、产品入围环保、节能产品政府采购清单。</w:t>
            </w:r>
          </w:p>
          <w:p>
            <w:pPr>
              <w:pStyle w:val="31"/>
              <w:ind w:firstLine="0"/>
              <w:outlineLvl w:val="9"/>
              <w:rPr>
                <w:rFonts w:hint="default" w:ascii="宋体" w:hAnsi="宋体" w:eastAsia="仿宋_GB2312"/>
                <w:color w:val="auto"/>
                <w:szCs w:val="21"/>
                <w:lang w:val="en-US" w:eastAsia="zh-CN"/>
              </w:rPr>
            </w:pPr>
            <w:r>
              <w:rPr>
                <w:rFonts w:hint="default" w:ascii="宋体" w:hAnsi="宋体" w:eastAsia="仿宋_GB2312"/>
                <w:color w:val="auto"/>
                <w:szCs w:val="21"/>
                <w:lang w:val="en-US" w:eastAsia="zh-CN"/>
              </w:rPr>
              <w:t>6、所投产品（电脑模块）符合中华人民共和国无线电管理规定和技术标准，可提供无线电发射设备型号核准证。</w:t>
            </w:r>
          </w:p>
          <w:p>
            <w:pPr>
              <w:pStyle w:val="31"/>
              <w:ind w:firstLine="0"/>
              <w:outlineLvl w:val="9"/>
              <w:rPr>
                <w:rFonts w:hint="default" w:ascii="宋体" w:hAnsi="宋体" w:eastAsia="仿宋_GB2312"/>
                <w:color w:val="auto"/>
                <w:szCs w:val="21"/>
                <w:lang w:val="en-US" w:eastAsia="zh-CN"/>
              </w:rPr>
            </w:pPr>
            <w:r>
              <w:rPr>
                <w:rFonts w:hint="eastAsia" w:ascii="宋体" w:hAnsi="宋体"/>
                <w:color w:val="auto"/>
                <w:szCs w:val="21"/>
                <w:lang w:val="en-US" w:eastAsia="zh-CN"/>
              </w:rPr>
              <w:t>7</w:t>
            </w:r>
            <w:r>
              <w:rPr>
                <w:rFonts w:hint="default" w:ascii="宋体" w:hAnsi="宋体" w:eastAsia="仿宋_GB2312"/>
                <w:color w:val="auto"/>
                <w:szCs w:val="21"/>
                <w:lang w:val="en-US" w:eastAsia="zh-CN"/>
              </w:rPr>
              <w:t>、投标产品提供由国家广播电视产品质量监督检验中心出具依据国家标准GB/T17626.3-2006、GB/T 17626.4-2008、GB/T 17626.6-2008、GB/T 17626.11-2008 进行测试，需提供国家广播电视产品质量监督检验中心所出具的权威检验报告（加盖国家级检测机构测试专用章)。</w:t>
            </w:r>
          </w:p>
          <w:p>
            <w:pPr>
              <w:pStyle w:val="31"/>
              <w:ind w:firstLine="0"/>
              <w:outlineLvl w:val="9"/>
              <w:rPr>
                <w:rFonts w:hint="default" w:ascii="宋体" w:hAnsi="宋体" w:eastAsia="仿宋_GB2312"/>
                <w:color w:val="auto"/>
                <w:szCs w:val="21"/>
                <w:lang w:val="en-US" w:eastAsia="zh-CN"/>
              </w:rPr>
            </w:pPr>
            <w:r>
              <w:rPr>
                <w:rFonts w:hint="eastAsia" w:ascii="宋体" w:hAnsi="宋体"/>
                <w:color w:val="auto"/>
                <w:szCs w:val="21"/>
                <w:lang w:val="en-US" w:eastAsia="zh-CN"/>
              </w:rPr>
              <w:t>8</w:t>
            </w:r>
            <w:r>
              <w:rPr>
                <w:rFonts w:hint="default" w:ascii="宋体" w:hAnsi="宋体" w:eastAsia="仿宋_GB2312"/>
                <w:color w:val="auto"/>
                <w:szCs w:val="21"/>
                <w:lang w:val="en-US" w:eastAsia="zh-CN"/>
              </w:rPr>
              <w:t>、投标产品提供由中国质量认证中心根据IS014064-1:2006和ISO14064-3:2006进行的组织边界、运行边界等检测报告（加盖国家级检测机构测试专用章）。以上证书需提供原件或复印件加盖厂家</w:t>
            </w:r>
            <w:r>
              <w:rPr>
                <w:rFonts w:hint="eastAsia" w:ascii="宋体" w:hAnsi="宋体"/>
                <w:color w:val="auto"/>
                <w:szCs w:val="21"/>
                <w:lang w:val="en-US" w:eastAsia="zh-CN"/>
              </w:rPr>
              <w:t>公</w:t>
            </w:r>
            <w:r>
              <w:rPr>
                <w:rFonts w:hint="default" w:ascii="宋体" w:hAnsi="宋体" w:eastAsia="仿宋_GB2312"/>
                <w:color w:val="auto"/>
                <w:szCs w:val="21"/>
                <w:lang w:val="en-US" w:eastAsia="zh-CN"/>
              </w:rPr>
              <w:t>章。</w:t>
            </w:r>
          </w:p>
          <w:p/>
        </w:tc>
        <w:tc>
          <w:tcPr>
            <w:tcW w:w="480" w:type="dxa"/>
            <w:vAlign w:val="center"/>
          </w:tcPr>
          <w:p>
            <w:pPr>
              <w:pStyle w:val="24"/>
              <w:bidi w:val="0"/>
              <w:ind w:left="0" w:leftChars="0" w:firstLine="0" w:firstLineChars="0"/>
              <w:jc w:val="both"/>
              <w:rPr>
                <w:rFonts w:hint="eastAsia" w:eastAsia="宋体"/>
                <w:vertAlign w:val="baseline"/>
                <w:lang w:val="en-US" w:eastAsia="zh-CN"/>
              </w:rPr>
            </w:pPr>
            <w:r>
              <w:rPr>
                <w:rFonts w:hint="eastAsia"/>
                <w:vertAlign w:val="baseline"/>
                <w:lang w:val="en-US" w:eastAsia="zh-CN"/>
              </w:rPr>
              <w:t>台</w:t>
            </w:r>
          </w:p>
        </w:tc>
        <w:tc>
          <w:tcPr>
            <w:tcW w:w="510" w:type="dxa"/>
            <w:vAlign w:val="center"/>
          </w:tcPr>
          <w:p>
            <w:pPr>
              <w:pStyle w:val="24"/>
              <w:bidi w:val="0"/>
              <w:ind w:left="0" w:leftChars="0" w:firstLine="0" w:firstLineChars="0"/>
              <w:jc w:val="both"/>
              <w:rPr>
                <w:rFonts w:hint="default" w:eastAsia="宋体"/>
                <w:vertAlign w:val="baseline"/>
                <w:lang w:val="en-US" w:eastAsia="zh-CN"/>
              </w:rPr>
            </w:pPr>
            <w:r>
              <w:rPr>
                <w:rFonts w:hint="eastAsia"/>
                <w:vertAlign w:val="baseline"/>
                <w:lang w:val="en-US" w:eastAsia="zh-CN"/>
              </w:rPr>
              <w:t>35</w:t>
            </w:r>
          </w:p>
        </w:tc>
        <w:tc>
          <w:tcPr>
            <w:tcW w:w="1157" w:type="dxa"/>
            <w:vAlign w:val="center"/>
          </w:tcPr>
          <w:p>
            <w:pPr>
              <w:pStyle w:val="24"/>
              <w:bidi w:val="0"/>
              <w:ind w:left="0" w:leftChars="0" w:firstLine="0" w:firstLineChars="0"/>
              <w:jc w:val="both"/>
              <w:rPr>
                <w:rFonts w:hint="default" w:eastAsia="宋体"/>
                <w:vertAlign w:val="baseline"/>
                <w:lang w:val="en-US" w:eastAsia="zh-CN"/>
              </w:rPr>
            </w:pPr>
            <w:r>
              <w:rPr>
                <w:rFonts w:hint="eastAsia"/>
                <w:vertAlign w:val="baseline"/>
                <w:lang w:val="en-US" w:eastAsia="zh-CN"/>
              </w:rPr>
              <w:t>质保及售后服务：3年质保服务，软件终身免费在线升级。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450" w:type="dxa"/>
            <w:vAlign w:val="center"/>
          </w:tcPr>
          <w:p>
            <w:pPr>
              <w:pStyle w:val="24"/>
              <w:bidi w:val="0"/>
              <w:ind w:left="0" w:leftChars="0" w:firstLine="0" w:firstLineChars="0"/>
              <w:jc w:val="center"/>
              <w:rPr>
                <w:rFonts w:hint="default"/>
                <w:vertAlign w:val="baseline"/>
                <w:lang w:val="en-US" w:eastAsia="zh-CN"/>
              </w:rPr>
            </w:pPr>
            <w:r>
              <w:rPr>
                <w:rFonts w:hint="eastAsia"/>
                <w:vertAlign w:val="baseline"/>
                <w:lang w:val="en-US" w:eastAsia="zh-CN"/>
              </w:rPr>
              <w:t>2</w:t>
            </w:r>
          </w:p>
        </w:tc>
        <w:tc>
          <w:tcPr>
            <w:tcW w:w="538" w:type="dxa"/>
            <w:vAlign w:val="center"/>
          </w:tcPr>
          <w:p>
            <w:pPr>
              <w:pStyle w:val="24"/>
              <w:bidi w:val="0"/>
              <w:ind w:left="0" w:leftChars="0" w:firstLine="0" w:firstLineChars="0"/>
              <w:jc w:val="center"/>
              <w:rPr>
                <w:rFonts w:hint="eastAsia"/>
                <w:vertAlign w:val="baseline"/>
                <w:lang w:val="en-US" w:eastAsia="zh-CN"/>
              </w:rPr>
            </w:pPr>
            <w:r>
              <w:rPr>
                <w:rFonts w:hint="eastAsia"/>
                <w:vertAlign w:val="baseline"/>
                <w:lang w:val="en-US" w:eastAsia="zh-CN"/>
              </w:rPr>
              <w:t>组合式推拉黑板</w:t>
            </w:r>
          </w:p>
        </w:tc>
        <w:tc>
          <w:tcPr>
            <w:tcW w:w="7525" w:type="dxa"/>
            <w:vAlign w:val="center"/>
          </w:tcPr>
          <w:p>
            <w:pPr>
              <w:pStyle w:val="24"/>
              <w:bidi w:val="0"/>
              <w:ind w:left="0" w:leftChars="0" w:firstLine="0" w:firstLineChars="0"/>
              <w:jc w:val="both"/>
              <w:rPr>
                <w:rFonts w:hint="eastAsia"/>
              </w:rPr>
            </w:pPr>
            <w:r>
              <w:rPr>
                <w:rFonts w:hint="eastAsia"/>
              </w:rPr>
              <w:t>产品尺寸：4000mm*1200mm*(尺寸大小可订制),支持多媒体交互一体机偏左/居中/偏右安装方式，有活动的复合黑板可完全遮挡、活动黑板保护多媒体交互一体机后可锁定位置；面板：选用专用墨绿色黑板烤漆，0.4mm ，表面有保护膜；内芯：采用300 道林消音七层瓦楞纸板（面纸300g,底纸270g) 或高密度苯板.采用国际使用工艺，书写无吱咔声，改善书写手感；背板：优质电镀锌板，厚度0.3mm；结构：双层结构，由大框及四块1015 mm×1215mm的书写板组成。内层两端各装一块固定书写绿板与中间一块白板前端平行，外层为两块滑动书写板，滑动板配装刻印有黑板品牌LOGO标识的挂锁；内轨道装置：镶入绿板中,外滑轨装置；安装二块移动绿板，该绿板尺寸与内轨道绿板的尺寸一致，进行常规教学时，可将此绿板滑动到一体机两侧，不用时把移动板拉拢锁好保护白板，确保书写面积。移动板的上.下方安装四组滑轮，并设有滑动缓冲胶垫，缓解滑动可能发出的噪音以及强烈碰撞造成的损坏；外框滑轮：规格110*57壁厚1.5mm.内框规格28*26mm 壁厚1.2mm 高档仿不锈钢香槟铝型材。特制双轨道内轨道宽度为60 mm，外滑轨宽度为55mm，壁厚1.5mm，耐腐蚀、耐磨性达GB/T5237-2000标准。除尘装置：外下框两侧各开一个直径 25mm 的圆孔，配置100×80mm的抽拉式粉尘盒，书写板滑动的过程中可自动清扫粉尘至粉尘盒中，粉尘盒可拆卸清洁；胶粘剂：采用防腐、防锈、防潮、环保的专用胶漆，胶合牢固、经久耐用，永不脱壳，各项指标均达到国际环保要求。绿板四角与外框四角采用ABS工程防爆塑料，模具一次成型；抗冲击力强,包角上有LOGO标志,自锁装置，按照铝型材长.宽.厚专门设计十字锁。</w:t>
            </w:r>
          </w:p>
          <w:p>
            <w:pPr>
              <w:rPr>
                <w:rFonts w:hint="default" w:eastAsiaTheme="minorEastAsia"/>
                <w:lang w:val="en-US" w:eastAsia="zh-CN"/>
              </w:rPr>
            </w:pPr>
            <w:r>
              <w:rPr>
                <w:rFonts w:hint="eastAsia" w:ascii="宋体" w:hAnsi="宋体" w:eastAsia="仿宋_GB2312" w:cs="Times New Roman"/>
                <w:color w:val="auto"/>
                <w:kern w:val="2"/>
                <w:sz w:val="24"/>
                <w:szCs w:val="21"/>
                <w:lang w:val="en-US" w:eastAsia="zh-CN" w:bidi="ar-SA"/>
              </w:rPr>
              <w:t>本产品资格条件：必须提供生产厂家需出具ISO9001质量管理体系认证.ISO14001环保管理体系认证.ISO28001健康体系认证。</w:t>
            </w:r>
          </w:p>
        </w:tc>
        <w:tc>
          <w:tcPr>
            <w:tcW w:w="480" w:type="dxa"/>
            <w:vAlign w:val="center"/>
          </w:tcPr>
          <w:p>
            <w:pPr>
              <w:pStyle w:val="24"/>
              <w:bidi w:val="0"/>
              <w:ind w:left="0" w:leftChars="0" w:firstLine="0" w:firstLineChars="0"/>
              <w:jc w:val="both"/>
              <w:rPr>
                <w:rFonts w:hint="default"/>
                <w:vertAlign w:val="baseline"/>
                <w:lang w:val="en-US" w:eastAsia="zh-CN"/>
              </w:rPr>
            </w:pPr>
            <w:r>
              <w:rPr>
                <w:rFonts w:hint="eastAsia"/>
                <w:vertAlign w:val="baseline"/>
                <w:lang w:val="en-US" w:eastAsia="zh-CN"/>
              </w:rPr>
              <w:t>套</w:t>
            </w:r>
          </w:p>
        </w:tc>
        <w:tc>
          <w:tcPr>
            <w:tcW w:w="510" w:type="dxa"/>
            <w:vAlign w:val="center"/>
          </w:tcPr>
          <w:p>
            <w:pPr>
              <w:pStyle w:val="24"/>
              <w:bidi w:val="0"/>
              <w:ind w:left="0" w:leftChars="0" w:firstLine="0" w:firstLineChars="0"/>
              <w:jc w:val="both"/>
              <w:rPr>
                <w:rFonts w:hint="default"/>
                <w:vertAlign w:val="baseline"/>
                <w:lang w:val="en-US" w:eastAsia="zh-CN"/>
              </w:rPr>
            </w:pPr>
            <w:r>
              <w:rPr>
                <w:rFonts w:hint="eastAsia"/>
                <w:vertAlign w:val="baseline"/>
                <w:lang w:val="en-US" w:eastAsia="zh-CN"/>
              </w:rPr>
              <w:t>35</w:t>
            </w:r>
          </w:p>
        </w:tc>
        <w:tc>
          <w:tcPr>
            <w:tcW w:w="1157" w:type="dxa"/>
            <w:vAlign w:val="center"/>
          </w:tcPr>
          <w:p>
            <w:pPr>
              <w:pStyle w:val="24"/>
              <w:bidi w:val="0"/>
              <w:ind w:left="0" w:leftChars="0" w:firstLine="0" w:firstLineChars="0"/>
              <w:jc w:val="both"/>
              <w:rPr>
                <w:vertAlign w:val="baseline"/>
              </w:rPr>
            </w:pPr>
            <w:r>
              <w:rPr>
                <w:rFonts w:hint="eastAsia"/>
                <w:vertAlign w:val="baseline"/>
                <w:lang w:val="en-US" w:eastAsia="zh-CN"/>
              </w:rPr>
              <w:t>质保及售后服务：3年质保服务</w:t>
            </w:r>
          </w:p>
        </w:tc>
      </w:tr>
    </w:tbl>
    <w:p>
      <w:pPr>
        <w:rPr>
          <w:rFonts w:hint="eastAsia"/>
          <w:lang w:val="en-US" w:eastAsia="zh-CN"/>
        </w:rPr>
      </w:pPr>
    </w:p>
    <w:p>
      <w:pPr>
        <w:pStyle w:val="4"/>
        <w:numPr>
          <w:ilvl w:val="0"/>
          <w:numId w:val="0"/>
        </w:numPr>
        <w:spacing w:line="276" w:lineRule="auto"/>
        <w:jc w:val="center"/>
        <w:outlineLvl w:val="0"/>
        <w:rPr>
          <w:rFonts w:hint="eastAsia" w:ascii="宋体" w:hAnsi="宋体" w:eastAsia="宋体" w:cs="宋体"/>
          <w:color w:val="auto"/>
          <w:sz w:val="48"/>
          <w:szCs w:val="48"/>
          <w:lang w:eastAsia="zh-CN"/>
        </w:rPr>
      </w:pPr>
    </w:p>
    <w:p>
      <w:pPr>
        <w:pStyle w:val="4"/>
        <w:numPr>
          <w:ilvl w:val="0"/>
          <w:numId w:val="0"/>
        </w:numPr>
        <w:spacing w:line="276" w:lineRule="auto"/>
        <w:jc w:val="center"/>
        <w:outlineLvl w:val="0"/>
        <w:rPr>
          <w:rFonts w:ascii="宋体" w:hAnsi="宋体" w:eastAsia="宋体"/>
          <w:color w:val="auto"/>
          <w:sz w:val="48"/>
          <w:szCs w:val="48"/>
        </w:rPr>
      </w:pPr>
      <w:r>
        <w:rPr>
          <w:rFonts w:hint="eastAsia" w:ascii="宋体" w:hAnsi="宋体" w:eastAsia="宋体" w:cs="宋体"/>
          <w:color w:val="auto"/>
          <w:sz w:val="48"/>
          <w:szCs w:val="48"/>
          <w:lang w:eastAsia="zh-CN"/>
        </w:rPr>
        <w:t>第五章</w:t>
      </w:r>
      <w:r>
        <w:rPr>
          <w:rFonts w:hint="eastAsia" w:ascii="宋体" w:hAnsi="宋体" w:eastAsia="宋体" w:cs="宋体"/>
          <w:color w:val="auto"/>
          <w:sz w:val="48"/>
          <w:szCs w:val="48"/>
        </w:rPr>
        <w:t xml:space="preserve"> 评审程序、方法和标准</w:t>
      </w:r>
      <w:bookmarkEnd w:id="43"/>
    </w:p>
    <w:p>
      <w:pPr>
        <w:spacing w:line="276" w:lineRule="auto"/>
        <w:rPr>
          <w:rFonts w:ascii="宋体" w:hAnsi="宋体" w:cs="宋体"/>
          <w:b/>
          <w:color w:val="auto"/>
          <w:sz w:val="24"/>
        </w:rPr>
      </w:pPr>
      <w:bookmarkStart w:id="44" w:name="EB066763282e454600abc10582fb4919e1"/>
      <w:r>
        <w:rPr>
          <w:rFonts w:hint="eastAsia" w:ascii="宋体" w:hAnsi="宋体" w:cs="宋体"/>
          <w:b/>
          <w:color w:val="auto"/>
          <w:sz w:val="24"/>
        </w:rPr>
        <w:t>一、评审程序</w:t>
      </w:r>
    </w:p>
    <w:p>
      <w:pPr>
        <w:spacing w:line="276" w:lineRule="auto"/>
        <w:rPr>
          <w:rFonts w:ascii="宋体" w:hAnsi="宋体" w:cs="宋体"/>
          <w:b/>
          <w:color w:val="auto"/>
          <w:sz w:val="24"/>
        </w:rPr>
      </w:pPr>
      <w:r>
        <w:rPr>
          <w:rFonts w:hint="eastAsia" w:ascii="宋体" w:hAnsi="宋体" w:cs="宋体"/>
          <w:b/>
          <w:color w:val="auto"/>
          <w:sz w:val="24"/>
        </w:rPr>
        <w:t xml:space="preserve">（一）评审原则 </w:t>
      </w:r>
    </w:p>
    <w:p>
      <w:pPr>
        <w:spacing w:line="276" w:lineRule="auto"/>
        <w:ind w:firstLine="480" w:firstLineChars="200"/>
        <w:rPr>
          <w:rFonts w:ascii="宋体" w:hAnsi="宋体" w:cs="宋体"/>
          <w:color w:val="auto"/>
          <w:sz w:val="24"/>
        </w:rPr>
      </w:pPr>
      <w:r>
        <w:rPr>
          <w:rFonts w:hint="eastAsia" w:ascii="宋体" w:hAnsi="宋体" w:cs="宋体"/>
          <w:color w:val="auto"/>
          <w:sz w:val="24"/>
        </w:rPr>
        <w:t>1、合法、合规原则。</w:t>
      </w:r>
    </w:p>
    <w:p>
      <w:pPr>
        <w:spacing w:line="276" w:lineRule="auto"/>
        <w:ind w:firstLine="480" w:firstLineChars="200"/>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、公平、公正、科学、审慎、择优原则。</w:t>
      </w:r>
    </w:p>
    <w:p>
      <w:pPr>
        <w:spacing w:line="276" w:lineRule="auto"/>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、高分优先原则。衡量响应文件满足竞争性磋商文件规定的各项评审标准的程度，折算为综合得分分值，依据每个磋商供应商的综合得分由高到低，依次确定排名顺序。</w:t>
      </w:r>
    </w:p>
    <w:p>
      <w:pPr>
        <w:bidi w:val="0"/>
        <w:rPr>
          <w:rFonts w:hint="eastAsia"/>
          <w:color w:val="auto"/>
          <w:lang w:val="en-US" w:eastAsia="zh-CN"/>
        </w:rPr>
      </w:pPr>
      <w:bookmarkStart w:id="45" w:name="_Hlk35936807"/>
      <w:bookmarkStart w:id="46" w:name="_Hlk39906399"/>
      <w:r>
        <w:rPr>
          <w:rFonts w:hint="eastAsia"/>
          <w:color w:val="auto"/>
          <w:lang w:val="en-US" w:eastAsia="zh-CN"/>
        </w:rPr>
        <w:t xml:space="preserve"> </w:t>
      </w:r>
    </w:p>
    <w:p>
      <w:pPr>
        <w:spacing w:line="276" w:lineRule="auto"/>
        <w:rPr>
          <w:rFonts w:ascii="宋体" w:hAnsi="宋体" w:cs="宋体"/>
          <w:b/>
          <w:color w:val="auto"/>
          <w:sz w:val="24"/>
        </w:rPr>
      </w:pPr>
      <w:r>
        <w:rPr>
          <w:rFonts w:hint="eastAsia" w:ascii="宋体" w:hAnsi="宋体" w:cs="宋体"/>
          <w:b/>
          <w:color w:val="auto"/>
          <w:sz w:val="24"/>
        </w:rPr>
        <w:t>（</w:t>
      </w:r>
      <w:r>
        <w:rPr>
          <w:rFonts w:hint="eastAsia" w:ascii="宋体" w:hAnsi="宋体" w:cs="宋体"/>
          <w:b/>
          <w:color w:val="auto"/>
          <w:sz w:val="24"/>
          <w:lang w:eastAsia="zh-CN"/>
        </w:rPr>
        <w:t>二</w:t>
      </w:r>
      <w:r>
        <w:rPr>
          <w:rFonts w:hint="eastAsia" w:ascii="宋体" w:hAnsi="宋体" w:cs="宋体"/>
          <w:b/>
          <w:color w:val="auto"/>
          <w:sz w:val="24"/>
        </w:rPr>
        <w:t>）评审内容</w:t>
      </w:r>
    </w:p>
    <w:p>
      <w:pPr>
        <w:spacing w:line="276" w:lineRule="auto"/>
        <w:ind w:firstLine="480" w:firstLineChars="200"/>
        <w:rPr>
          <w:rFonts w:ascii="宋体" w:hAnsi="宋体" w:cs="宋体"/>
          <w:color w:val="auto"/>
          <w:sz w:val="24"/>
        </w:rPr>
      </w:pPr>
      <w:r>
        <w:rPr>
          <w:rFonts w:hint="eastAsia" w:ascii="宋体" w:hAnsi="宋体" w:cs="宋体"/>
          <w:color w:val="auto"/>
          <w:sz w:val="24"/>
        </w:rPr>
        <w:t>1、磋商响应文件评审内容及标准</w:t>
      </w:r>
    </w:p>
    <w:p>
      <w:pPr>
        <w:spacing w:line="276" w:lineRule="auto"/>
        <w:ind w:firstLine="480" w:firstLineChars="200"/>
        <w:rPr>
          <w:rFonts w:ascii="宋体" w:hAnsi="宋体" w:cs="宋体"/>
          <w:color w:val="auto"/>
          <w:sz w:val="24"/>
        </w:rPr>
      </w:pPr>
      <w:r>
        <w:rPr>
          <w:rFonts w:hint="eastAsia" w:ascii="宋体" w:hAnsi="宋体" w:cs="宋体"/>
          <w:color w:val="auto"/>
          <w:sz w:val="24"/>
        </w:rPr>
        <w:t>采购人或采购代理机构对响应文件的资格性审查作合格性评审, 评审结论分为“合格”与“不合格”。评审不合格的投标文件不再进行后续评审。</w:t>
      </w:r>
    </w:p>
    <w:p>
      <w:pPr>
        <w:spacing w:line="276" w:lineRule="auto"/>
        <w:ind w:firstLine="480" w:firstLineChars="200"/>
        <w:rPr>
          <w:rFonts w:ascii="宋体" w:hAnsi="宋体" w:cs="宋体"/>
          <w:color w:val="auto"/>
          <w:sz w:val="24"/>
        </w:rPr>
      </w:pPr>
      <w:r>
        <w:rPr>
          <w:rFonts w:hint="eastAsia" w:ascii="宋体" w:hAnsi="宋体" w:cs="宋体"/>
          <w:color w:val="auto"/>
          <w:sz w:val="24"/>
        </w:rPr>
        <w:t>有下列评审标准情形之一的，应做无效投标处理：</w:t>
      </w:r>
    </w:p>
    <w:tbl>
      <w:tblPr>
        <w:tblStyle w:val="32"/>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2369"/>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997" w:type="dxa"/>
            <w:gridSpan w:val="2"/>
            <w:vAlign w:val="center"/>
          </w:tcPr>
          <w:p>
            <w:pPr>
              <w:spacing w:line="440" w:lineRule="exact"/>
              <w:ind w:firstLine="630" w:firstLineChars="300"/>
              <w:rPr>
                <w:rFonts w:ascii="宋体" w:hAnsi="宋体"/>
                <w:color w:val="auto"/>
              </w:rPr>
            </w:pPr>
            <w:r>
              <w:rPr>
                <w:rFonts w:hint="eastAsia" w:ascii="宋体" w:hAnsi="宋体"/>
                <w:color w:val="auto"/>
              </w:rPr>
              <w:t>评审内容</w:t>
            </w:r>
          </w:p>
        </w:tc>
        <w:tc>
          <w:tcPr>
            <w:tcW w:w="5982" w:type="dxa"/>
            <w:vAlign w:val="center"/>
          </w:tcPr>
          <w:p>
            <w:pPr>
              <w:spacing w:line="440" w:lineRule="exact"/>
              <w:ind w:firstLine="630" w:firstLineChars="300"/>
              <w:rPr>
                <w:rFonts w:ascii="宋体" w:hAnsi="宋体"/>
                <w:color w:val="auto"/>
              </w:rPr>
            </w:pPr>
            <w:r>
              <w:rPr>
                <w:rFonts w:hint="eastAsia" w:ascii="宋体" w:hAnsi="宋体"/>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8" w:type="dxa"/>
            <w:vMerge w:val="restart"/>
            <w:vAlign w:val="center"/>
          </w:tcPr>
          <w:p>
            <w:pPr>
              <w:rPr>
                <w:rFonts w:ascii="宋体" w:hAnsi="宋体"/>
                <w:color w:val="auto"/>
              </w:rPr>
            </w:pPr>
            <w:r>
              <w:rPr>
                <w:color w:val="auto"/>
              </w:rPr>
              <w:t>资格</w:t>
            </w:r>
            <w:r>
              <w:rPr>
                <w:rFonts w:hint="eastAsia"/>
                <w:color w:val="auto"/>
              </w:rPr>
              <w:t>评审</w:t>
            </w:r>
          </w:p>
        </w:tc>
        <w:tc>
          <w:tcPr>
            <w:tcW w:w="2369" w:type="dxa"/>
            <w:vAlign w:val="center"/>
          </w:tcPr>
          <w:p>
            <w:pPr>
              <w:jc w:val="center"/>
              <w:rPr>
                <w:rFonts w:ascii="宋体" w:hAnsi="宋体"/>
                <w:color w:val="auto"/>
              </w:rPr>
            </w:pPr>
            <w:r>
              <w:rPr>
                <w:color w:val="auto"/>
              </w:rPr>
              <w:t>营业执照</w:t>
            </w:r>
          </w:p>
        </w:tc>
        <w:tc>
          <w:tcPr>
            <w:tcW w:w="5982" w:type="dxa"/>
            <w:vAlign w:val="center"/>
          </w:tcPr>
          <w:p>
            <w:pPr>
              <w:rPr>
                <w:rFonts w:hint="eastAsia" w:ascii="宋体" w:hAnsi="宋体" w:eastAsiaTheme="minorEastAsia"/>
                <w:color w:val="auto"/>
                <w:lang w:eastAsia="zh-CN"/>
              </w:rPr>
            </w:pPr>
            <w:r>
              <w:rPr>
                <w:rFonts w:hint="eastAsia"/>
                <w:color w:val="auto"/>
                <w:lang w:eastAsia="zh-CN"/>
              </w:rPr>
              <w:t>不</w:t>
            </w:r>
            <w:r>
              <w:rPr>
                <w:rFonts w:hint="eastAsia"/>
                <w:color w:val="auto"/>
              </w:rPr>
              <w:t>具备</w:t>
            </w:r>
            <w:r>
              <w:rPr>
                <w:color w:val="auto"/>
              </w:rPr>
              <w:t>合法有效营业执照</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28" w:type="dxa"/>
            <w:vMerge w:val="continue"/>
            <w:vAlign w:val="center"/>
          </w:tcPr>
          <w:p>
            <w:pPr>
              <w:rPr>
                <w:rFonts w:ascii="宋体" w:hAnsi="宋体"/>
                <w:color w:val="auto"/>
              </w:rPr>
            </w:pPr>
          </w:p>
        </w:tc>
        <w:tc>
          <w:tcPr>
            <w:tcW w:w="2369" w:type="dxa"/>
            <w:vAlign w:val="center"/>
          </w:tcPr>
          <w:p>
            <w:pPr>
              <w:jc w:val="center"/>
              <w:rPr>
                <w:rFonts w:hint="eastAsia" w:ascii="宋体" w:hAnsi="宋体" w:eastAsiaTheme="minorEastAsia"/>
                <w:color w:val="auto"/>
                <w:lang w:eastAsia="zh-CN"/>
              </w:rPr>
            </w:pPr>
            <w:r>
              <w:rPr>
                <w:rFonts w:hint="eastAsia" w:ascii="宋体" w:hAnsi="宋体"/>
                <w:color w:val="auto"/>
                <w:lang w:eastAsia="zh-CN"/>
              </w:rPr>
              <w:t>开户许可证</w:t>
            </w:r>
          </w:p>
        </w:tc>
        <w:tc>
          <w:tcPr>
            <w:tcW w:w="5982" w:type="dxa"/>
            <w:vAlign w:val="center"/>
          </w:tcPr>
          <w:p>
            <w:pPr>
              <w:rPr>
                <w:rFonts w:hint="eastAsia" w:ascii="宋体" w:hAnsi="宋体" w:eastAsiaTheme="minorEastAsia"/>
                <w:color w:val="auto"/>
                <w:lang w:eastAsia="zh-CN"/>
              </w:rPr>
            </w:pPr>
            <w:r>
              <w:rPr>
                <w:rFonts w:hint="eastAsia" w:ascii="宋体" w:hAnsi="宋体"/>
                <w:color w:val="auto"/>
                <w:lang w:eastAsia="zh-CN"/>
              </w:rPr>
              <w:t>不具备合法有效的开户许可证；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28" w:type="dxa"/>
            <w:vMerge w:val="continue"/>
            <w:vAlign w:val="center"/>
          </w:tcPr>
          <w:p>
            <w:pPr>
              <w:rPr>
                <w:rFonts w:ascii="宋体" w:hAnsi="宋体"/>
                <w:color w:val="auto"/>
              </w:rPr>
            </w:pPr>
          </w:p>
        </w:tc>
        <w:tc>
          <w:tcPr>
            <w:tcW w:w="2369" w:type="dxa"/>
            <w:vAlign w:val="center"/>
          </w:tcPr>
          <w:p>
            <w:pPr>
              <w:spacing w:line="440" w:lineRule="exact"/>
              <w:jc w:val="center"/>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rPr>
              <w:t>法定代表人或授权代表资格</w:t>
            </w:r>
          </w:p>
        </w:tc>
        <w:tc>
          <w:tcPr>
            <w:tcW w:w="5982" w:type="dxa"/>
            <w:vAlign w:val="center"/>
          </w:tcPr>
          <w:p>
            <w:pPr>
              <w:spacing w:line="440" w:lineRule="exact"/>
              <w:jc w:val="left"/>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rPr>
              <w:t>不符合</w:t>
            </w:r>
            <w:r>
              <w:rPr>
                <w:rFonts w:hint="eastAsia" w:ascii="宋体" w:hAnsi="宋体" w:eastAsia="宋体" w:cs="Times New Roman"/>
                <w:color w:val="auto"/>
                <w:szCs w:val="21"/>
                <w:lang w:val="en-US" w:eastAsia="zh-CN"/>
              </w:rPr>
              <w:t>竞争性磋商文件</w:t>
            </w:r>
            <w:r>
              <w:rPr>
                <w:rFonts w:hint="eastAsia" w:ascii="宋体" w:hAnsi="宋体" w:eastAsia="宋体" w:cs="Times New Roman"/>
                <w:color w:val="auto"/>
                <w:szCs w:val="21"/>
              </w:rPr>
              <w:t>要求</w:t>
            </w:r>
            <w:r>
              <w:rPr>
                <w:rFonts w:hint="eastAsia" w:ascii="宋体" w:hAnsi="宋体" w:eastAsia="宋体" w:cs="Times New Roman"/>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28" w:type="dxa"/>
            <w:vMerge w:val="continue"/>
            <w:vAlign w:val="center"/>
          </w:tcPr>
          <w:p>
            <w:pPr>
              <w:rPr>
                <w:rFonts w:ascii="宋体" w:hAnsi="宋体"/>
                <w:color w:val="auto"/>
              </w:rPr>
            </w:pPr>
          </w:p>
        </w:tc>
        <w:tc>
          <w:tcPr>
            <w:tcW w:w="2369" w:type="dxa"/>
            <w:vAlign w:val="center"/>
          </w:tcPr>
          <w:p>
            <w:pPr>
              <w:spacing w:line="440" w:lineRule="exact"/>
              <w:jc w:val="both"/>
              <w:outlineLvl w:val="9"/>
              <w:rPr>
                <w:rFonts w:ascii="宋体" w:hAnsi="宋体"/>
                <w:color w:val="auto"/>
              </w:rPr>
            </w:pPr>
            <w:r>
              <w:rPr>
                <w:rFonts w:hint="eastAsia" w:ascii="宋体" w:hAnsi="宋体" w:eastAsia="宋体" w:cs="Times New Roman"/>
                <w:color w:val="auto"/>
                <w:szCs w:val="21"/>
              </w:rPr>
              <w:t>不存在禁止投标的情形</w:t>
            </w:r>
          </w:p>
        </w:tc>
        <w:tc>
          <w:tcPr>
            <w:tcW w:w="5982" w:type="dxa"/>
            <w:vAlign w:val="center"/>
          </w:tcPr>
          <w:p>
            <w:pPr>
              <w:spacing w:line="440" w:lineRule="exact"/>
              <w:jc w:val="left"/>
              <w:outlineLvl w:val="9"/>
              <w:rPr>
                <w:rFonts w:ascii="宋体" w:hAnsi="宋体"/>
                <w:color w:val="auto"/>
              </w:rPr>
            </w:pPr>
            <w:r>
              <w:rPr>
                <w:rFonts w:hint="eastAsia" w:ascii="宋体" w:hAnsi="宋体" w:eastAsia="宋体" w:cs="Times New Roman"/>
                <w:color w:val="auto"/>
                <w:szCs w:val="21"/>
                <w:lang w:val="en-US" w:eastAsia="zh-CN"/>
              </w:rPr>
              <w:t>存在竞争性磋商文件禁止投标的其他情形；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28" w:type="dxa"/>
            <w:vMerge w:val="continue"/>
            <w:vAlign w:val="center"/>
          </w:tcPr>
          <w:p>
            <w:pPr>
              <w:rPr>
                <w:rFonts w:ascii="宋体" w:hAnsi="宋体"/>
                <w:color w:val="auto"/>
              </w:rPr>
            </w:pPr>
          </w:p>
        </w:tc>
        <w:tc>
          <w:tcPr>
            <w:tcW w:w="2369" w:type="dxa"/>
            <w:vAlign w:val="center"/>
          </w:tcPr>
          <w:p>
            <w:pPr>
              <w:jc w:val="both"/>
              <w:rPr>
                <w:rFonts w:ascii="宋体" w:hAnsi="宋体"/>
                <w:color w:val="auto"/>
              </w:rPr>
            </w:pPr>
            <w:r>
              <w:rPr>
                <w:color w:val="auto"/>
              </w:rPr>
              <w:t>投标联合体</w:t>
            </w:r>
          </w:p>
        </w:tc>
        <w:tc>
          <w:tcPr>
            <w:tcW w:w="5982" w:type="dxa"/>
            <w:vAlign w:val="center"/>
          </w:tcPr>
          <w:p>
            <w:pPr>
              <w:rPr>
                <w:rFonts w:ascii="宋体" w:hAnsi="宋体"/>
                <w:color w:val="auto"/>
              </w:rPr>
            </w:pPr>
            <w:r>
              <w:rPr>
                <w:rFonts w:hint="eastAsia"/>
                <w:color w:val="auto"/>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28" w:type="dxa"/>
            <w:vMerge w:val="continue"/>
            <w:vAlign w:val="center"/>
          </w:tcPr>
          <w:p>
            <w:pPr>
              <w:rPr>
                <w:rFonts w:ascii="宋体" w:hAnsi="宋体"/>
                <w:color w:val="auto"/>
              </w:rPr>
            </w:pPr>
          </w:p>
        </w:tc>
        <w:tc>
          <w:tcPr>
            <w:tcW w:w="2369" w:type="dxa"/>
            <w:vAlign w:val="center"/>
          </w:tcPr>
          <w:p>
            <w:pPr>
              <w:spacing w:line="440" w:lineRule="exact"/>
              <w:jc w:val="both"/>
              <w:outlineLvl w:val="9"/>
              <w:rPr>
                <w:rFonts w:hint="default" w:ascii="宋体" w:hAnsi="宋体" w:eastAsia="宋体" w:cs="Times New Roman"/>
                <w:color w:val="auto"/>
                <w:kern w:val="2"/>
                <w:sz w:val="21"/>
                <w:szCs w:val="21"/>
                <w:lang w:val="en-US" w:eastAsia="zh-CN" w:bidi="ar-SA"/>
              </w:rPr>
            </w:pPr>
            <w:r>
              <w:rPr>
                <w:rFonts w:hint="eastAsia" w:eastAsia="宋体"/>
                <w:color w:val="auto"/>
                <w:lang w:val="en-US" w:eastAsia="zh-CN"/>
              </w:rPr>
              <w:t>信誉要求</w:t>
            </w:r>
          </w:p>
        </w:tc>
        <w:tc>
          <w:tcPr>
            <w:tcW w:w="5982" w:type="dxa"/>
            <w:vAlign w:val="center"/>
          </w:tcPr>
          <w:p>
            <w:pPr>
              <w:spacing w:line="440" w:lineRule="exact"/>
              <w:jc w:val="left"/>
              <w:outlineLvl w:val="9"/>
              <w:rPr>
                <w:rFonts w:hint="eastAsia" w:ascii="宋体" w:hAnsi="宋体" w:cs="Times New Roman" w:eastAsiaTheme="minorEastAsia"/>
                <w:color w:val="auto"/>
                <w:kern w:val="2"/>
                <w:sz w:val="21"/>
                <w:szCs w:val="21"/>
                <w:lang w:val="en-US" w:eastAsia="zh-CN" w:bidi="ar-SA"/>
              </w:rPr>
            </w:pPr>
            <w:r>
              <w:rPr>
                <w:rFonts w:hint="eastAsia"/>
                <w:color w:val="auto"/>
                <w:lang w:val="en-US" w:eastAsia="zh-CN"/>
              </w:rPr>
              <w:t>不</w:t>
            </w:r>
            <w:r>
              <w:rPr>
                <w:rFonts w:hint="eastAsia"/>
                <w:color w:val="auto"/>
              </w:rPr>
              <w:t>符合</w:t>
            </w:r>
            <w:r>
              <w:rPr>
                <w:rFonts w:hint="eastAsia"/>
                <w:color w:val="auto"/>
                <w:lang w:val="en-US" w:eastAsia="zh-CN"/>
              </w:rPr>
              <w:t>竞争性磋商文件</w:t>
            </w:r>
            <w:r>
              <w:rPr>
                <w:rFonts w:hint="eastAsia"/>
                <w:color w:val="auto"/>
              </w:rPr>
              <w:t>要求</w:t>
            </w:r>
            <w:r>
              <w:rPr>
                <w:rFonts w:hint="eastAsia"/>
                <w:color w:val="auto"/>
                <w:lang w:eastAsia="zh-CN"/>
              </w:rPr>
              <w:t>，</w:t>
            </w:r>
            <w:r>
              <w:rPr>
                <w:rFonts w:hint="eastAsia"/>
                <w:color w:val="auto"/>
                <w:lang w:val="en-US" w:eastAsia="zh-CN"/>
              </w:rPr>
              <w:t>有不良行为记录；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28" w:type="dxa"/>
            <w:vMerge w:val="continue"/>
            <w:vAlign w:val="center"/>
          </w:tcPr>
          <w:p>
            <w:pPr>
              <w:rPr>
                <w:rFonts w:ascii="宋体" w:hAnsi="宋体"/>
                <w:color w:val="auto"/>
              </w:rPr>
            </w:pPr>
          </w:p>
        </w:tc>
        <w:tc>
          <w:tcPr>
            <w:tcW w:w="2369" w:type="dxa"/>
            <w:vAlign w:val="center"/>
          </w:tcPr>
          <w:p>
            <w:pPr>
              <w:spacing w:line="440" w:lineRule="exact"/>
              <w:jc w:val="both"/>
              <w:outlineLvl w:val="9"/>
              <w:rPr>
                <w:rFonts w:hint="default" w:eastAsia="宋体"/>
                <w:color w:val="auto"/>
                <w:lang w:val="en-US" w:eastAsia="zh-CN"/>
              </w:rPr>
            </w:pPr>
            <w:r>
              <w:rPr>
                <w:rFonts w:hint="eastAsia" w:eastAsia="宋体"/>
                <w:color w:val="auto"/>
                <w:lang w:val="en-US" w:eastAsia="zh-CN"/>
              </w:rPr>
              <w:t>其他要求</w:t>
            </w:r>
          </w:p>
        </w:tc>
        <w:tc>
          <w:tcPr>
            <w:tcW w:w="5982" w:type="dxa"/>
            <w:vAlign w:val="center"/>
          </w:tcPr>
          <w:p>
            <w:pPr>
              <w:spacing w:line="440" w:lineRule="exact"/>
              <w:jc w:val="left"/>
              <w:outlineLvl w:val="9"/>
              <w:rPr>
                <w:rFonts w:hint="eastAsia"/>
                <w:color w:val="auto"/>
                <w:lang w:val="en-US" w:eastAsia="zh-CN"/>
              </w:rPr>
            </w:pPr>
            <w:r>
              <w:rPr>
                <w:rFonts w:hint="eastAsia"/>
                <w:color w:val="auto"/>
                <w:lang w:val="en-US" w:eastAsia="zh-CN"/>
              </w:rPr>
              <w:t>不符合竞争性磋商文件要求</w:t>
            </w:r>
          </w:p>
        </w:tc>
      </w:tr>
    </w:tbl>
    <w:p>
      <w:pPr>
        <w:spacing w:line="276" w:lineRule="auto"/>
        <w:ind w:firstLine="480" w:firstLineChars="200"/>
        <w:rPr>
          <w:rFonts w:ascii="宋体" w:hAnsi="宋体" w:cs="宋体"/>
          <w:color w:val="auto"/>
          <w:sz w:val="24"/>
        </w:rPr>
      </w:pPr>
    </w:p>
    <w:p>
      <w:pPr>
        <w:spacing w:line="276" w:lineRule="auto"/>
        <w:ind w:firstLine="480" w:firstLineChars="200"/>
        <w:rPr>
          <w:rFonts w:ascii="宋体" w:hAnsi="宋体" w:cs="宋体"/>
          <w:color w:val="auto"/>
          <w:sz w:val="24"/>
        </w:rPr>
      </w:pPr>
      <w:r>
        <w:rPr>
          <w:rFonts w:hint="eastAsia" w:ascii="宋体" w:hAnsi="宋体" w:cs="宋体"/>
          <w:color w:val="auto"/>
          <w:sz w:val="24"/>
        </w:rPr>
        <w:t>评标委员会对评标委员会应对响应文件中</w:t>
      </w:r>
      <w:r>
        <w:rPr>
          <w:rFonts w:hint="eastAsia" w:ascii="宋体" w:hAnsi="宋体" w:cs="宋体"/>
          <w:color w:val="auto"/>
          <w:sz w:val="24"/>
          <w:lang w:eastAsia="zh-CN"/>
        </w:rPr>
        <w:t>服务</w:t>
      </w:r>
      <w:r>
        <w:rPr>
          <w:rFonts w:hint="eastAsia" w:ascii="宋体" w:hAnsi="宋体" w:cs="宋体"/>
          <w:color w:val="auto"/>
          <w:sz w:val="24"/>
        </w:rPr>
        <w:t>内容是否满足竞争性</w:t>
      </w:r>
      <w:r>
        <w:rPr>
          <w:rFonts w:hint="eastAsia" w:ascii="宋体" w:hAnsi="宋体" w:cs="宋体"/>
          <w:color w:val="auto"/>
          <w:sz w:val="24"/>
          <w:lang w:eastAsia="zh-CN"/>
        </w:rPr>
        <w:t>磋商</w:t>
      </w:r>
      <w:r>
        <w:rPr>
          <w:rFonts w:hint="eastAsia" w:ascii="宋体" w:hAnsi="宋体" w:cs="宋体"/>
          <w:color w:val="auto"/>
          <w:sz w:val="24"/>
        </w:rPr>
        <w:t>采购文件要求进行评审。评审不合格的</w:t>
      </w:r>
      <w:r>
        <w:rPr>
          <w:rFonts w:hint="eastAsia" w:ascii="宋体" w:hAnsi="宋体" w:cs="宋体"/>
          <w:color w:val="auto"/>
          <w:sz w:val="24"/>
          <w:lang w:eastAsia="zh-CN"/>
        </w:rPr>
        <w:t>磋商</w:t>
      </w:r>
      <w:r>
        <w:rPr>
          <w:rFonts w:hint="eastAsia" w:ascii="宋体" w:hAnsi="宋体" w:cs="宋体"/>
          <w:color w:val="auto"/>
          <w:sz w:val="24"/>
        </w:rPr>
        <w:t>响应文件不再进行后续一对一</w:t>
      </w:r>
      <w:r>
        <w:rPr>
          <w:rFonts w:hint="eastAsia" w:ascii="宋体" w:hAnsi="宋体" w:cs="宋体"/>
          <w:color w:val="auto"/>
          <w:sz w:val="24"/>
          <w:lang w:eastAsia="zh-CN"/>
        </w:rPr>
        <w:t>磋商</w:t>
      </w:r>
      <w:r>
        <w:rPr>
          <w:rFonts w:hint="eastAsia" w:ascii="宋体" w:hAnsi="宋体" w:cs="宋体"/>
          <w:color w:val="auto"/>
          <w:sz w:val="24"/>
        </w:rPr>
        <w:t>。</w:t>
      </w:r>
    </w:p>
    <w:p>
      <w:pPr>
        <w:spacing w:line="276" w:lineRule="auto"/>
        <w:ind w:firstLine="480" w:firstLineChars="200"/>
        <w:rPr>
          <w:rFonts w:ascii="宋体" w:hAnsi="宋体" w:cs="宋体"/>
          <w:color w:val="auto"/>
          <w:sz w:val="24"/>
        </w:rPr>
      </w:pPr>
      <w:r>
        <w:rPr>
          <w:rFonts w:hint="eastAsia" w:ascii="宋体" w:hAnsi="宋体" w:cs="宋体"/>
          <w:color w:val="auto"/>
          <w:sz w:val="24"/>
        </w:rPr>
        <w:t xml:space="preserve">有下列评审标准情形之一的，应做无效投标处理： </w:t>
      </w:r>
    </w:p>
    <w:tbl>
      <w:tblPr>
        <w:tblStyle w:val="32"/>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127"/>
        <w:gridCol w:w="6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2751" w:type="dxa"/>
            <w:gridSpan w:val="2"/>
            <w:vAlign w:val="center"/>
          </w:tcPr>
          <w:p>
            <w:pPr>
              <w:spacing w:line="440" w:lineRule="exact"/>
              <w:ind w:firstLine="630" w:firstLineChars="300"/>
              <w:rPr>
                <w:rFonts w:ascii="宋体" w:hAnsi="宋体"/>
                <w:color w:val="auto"/>
              </w:rPr>
            </w:pPr>
            <w:r>
              <w:rPr>
                <w:rFonts w:hint="eastAsia" w:ascii="宋体" w:hAnsi="宋体"/>
                <w:color w:val="auto"/>
              </w:rPr>
              <w:t>评审内容</w:t>
            </w:r>
          </w:p>
        </w:tc>
        <w:tc>
          <w:tcPr>
            <w:tcW w:w="6168" w:type="dxa"/>
            <w:vAlign w:val="center"/>
          </w:tcPr>
          <w:p>
            <w:pPr>
              <w:spacing w:line="440" w:lineRule="exact"/>
              <w:ind w:firstLine="630" w:firstLineChars="300"/>
              <w:rPr>
                <w:rFonts w:ascii="宋体" w:hAnsi="宋体"/>
                <w:color w:val="auto"/>
              </w:rPr>
            </w:pPr>
            <w:r>
              <w:rPr>
                <w:rFonts w:hint="eastAsia" w:ascii="宋体" w:hAnsi="宋体"/>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24" w:type="dxa"/>
            <w:vMerge w:val="restart"/>
            <w:vAlign w:val="center"/>
          </w:tcPr>
          <w:p>
            <w:pPr>
              <w:rPr>
                <w:rFonts w:ascii="宋体" w:hAnsi="宋体"/>
                <w:color w:val="auto"/>
              </w:rPr>
            </w:pPr>
            <w:r>
              <w:rPr>
                <w:color w:val="auto"/>
              </w:rPr>
              <w:t>符合性</w:t>
            </w:r>
            <w:r>
              <w:rPr>
                <w:rFonts w:hint="eastAsia"/>
                <w:color w:val="auto"/>
              </w:rPr>
              <w:t>评审</w:t>
            </w:r>
          </w:p>
        </w:tc>
        <w:tc>
          <w:tcPr>
            <w:tcW w:w="2127" w:type="dxa"/>
            <w:tcBorders>
              <w:bottom w:val="single" w:color="auto" w:sz="4" w:space="0"/>
            </w:tcBorders>
            <w:vAlign w:val="center"/>
          </w:tcPr>
          <w:p>
            <w:pPr>
              <w:jc w:val="center"/>
              <w:rPr>
                <w:rFonts w:ascii="宋体" w:hAnsi="宋体"/>
                <w:color w:val="auto"/>
              </w:rPr>
            </w:pPr>
            <w:r>
              <w:rPr>
                <w:color w:val="auto"/>
              </w:rPr>
              <w:t>投标人名称</w:t>
            </w:r>
          </w:p>
        </w:tc>
        <w:tc>
          <w:tcPr>
            <w:tcW w:w="6168" w:type="dxa"/>
            <w:tcBorders>
              <w:bottom w:val="single" w:color="auto" w:sz="4" w:space="0"/>
            </w:tcBorders>
            <w:vAlign w:val="center"/>
          </w:tcPr>
          <w:p>
            <w:pPr>
              <w:rPr>
                <w:rFonts w:hint="eastAsia" w:ascii="宋体" w:hAnsi="宋体" w:eastAsiaTheme="minorEastAsia"/>
                <w:color w:val="auto"/>
                <w:lang w:eastAsia="zh-CN"/>
              </w:rPr>
            </w:pPr>
            <w:r>
              <w:rPr>
                <w:color w:val="auto"/>
              </w:rPr>
              <w:t>与营业执照</w:t>
            </w:r>
            <w:r>
              <w:rPr>
                <w:rFonts w:hint="eastAsia"/>
                <w:color w:val="auto"/>
                <w:lang w:eastAsia="zh-CN"/>
              </w:rPr>
              <w:t>、</w:t>
            </w:r>
            <w:r>
              <w:rPr>
                <w:rFonts w:hint="eastAsia"/>
                <w:color w:val="auto"/>
                <w:lang w:val="en-US" w:eastAsia="zh-CN"/>
              </w:rPr>
              <w:t>开户许可证不</w:t>
            </w:r>
            <w:r>
              <w:rPr>
                <w:color w:val="auto"/>
              </w:rPr>
              <w:t>一致</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24" w:type="dxa"/>
            <w:vMerge w:val="continue"/>
            <w:vAlign w:val="center"/>
          </w:tcPr>
          <w:p>
            <w:pPr>
              <w:rPr>
                <w:color w:val="auto"/>
              </w:rPr>
            </w:pPr>
          </w:p>
        </w:tc>
        <w:tc>
          <w:tcPr>
            <w:tcW w:w="2127" w:type="dxa"/>
            <w:tcBorders>
              <w:bottom w:val="single" w:color="auto" w:sz="4" w:space="0"/>
            </w:tcBorders>
            <w:vAlign w:val="center"/>
          </w:tcPr>
          <w:p>
            <w:pPr>
              <w:jc w:val="center"/>
              <w:rPr>
                <w:color w:val="auto"/>
              </w:rPr>
            </w:pPr>
            <w:r>
              <w:rPr>
                <w:rFonts w:hint="eastAsia" w:asciiTheme="minorEastAsia" w:hAnsiTheme="minorEastAsia" w:cstheme="minorEastAsia"/>
                <w:b w:val="0"/>
                <w:bCs w:val="0"/>
                <w:color w:val="auto"/>
                <w:spacing w:val="0"/>
                <w:sz w:val="21"/>
                <w:szCs w:val="21"/>
                <w:vertAlign w:val="baseline"/>
                <w:lang w:val="en-US" w:eastAsia="zh-CN"/>
              </w:rPr>
              <w:t>投标保证金</w:t>
            </w:r>
          </w:p>
        </w:tc>
        <w:tc>
          <w:tcPr>
            <w:tcW w:w="6168" w:type="dxa"/>
            <w:tcBorders>
              <w:bottom w:val="single" w:color="auto" w:sz="4" w:space="0"/>
            </w:tcBorders>
            <w:vAlign w:val="center"/>
          </w:tcPr>
          <w:p>
            <w:pPr>
              <w:rPr>
                <w:color w:val="auto"/>
              </w:rPr>
            </w:pPr>
            <w:r>
              <w:rPr>
                <w:rFonts w:hint="eastAsia"/>
                <w:color w:val="auto"/>
                <w:lang w:val="en-US" w:eastAsia="zh-CN"/>
              </w:rPr>
              <w:t>不</w:t>
            </w:r>
            <w:r>
              <w:rPr>
                <w:rFonts w:hint="eastAsia"/>
                <w:color w:val="auto"/>
              </w:rPr>
              <w:t>符合竞争性</w:t>
            </w:r>
            <w:r>
              <w:rPr>
                <w:rFonts w:hint="eastAsia"/>
                <w:color w:val="auto"/>
                <w:lang w:eastAsia="zh-CN"/>
              </w:rPr>
              <w:t>磋商</w:t>
            </w:r>
            <w:r>
              <w:rPr>
                <w:rFonts w:hint="eastAsia"/>
                <w:color w:val="auto"/>
              </w:rPr>
              <w:t>文件要求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ascii="宋体" w:hAnsi="宋体"/>
                <w:color w:val="auto"/>
              </w:rPr>
            </w:pPr>
            <w:r>
              <w:rPr>
                <w:color w:val="auto"/>
              </w:rPr>
              <w:t>竞争性</w:t>
            </w:r>
            <w:r>
              <w:rPr>
                <w:rFonts w:hint="eastAsia"/>
                <w:color w:val="auto"/>
                <w:lang w:eastAsia="zh-CN"/>
              </w:rPr>
              <w:t>磋商</w:t>
            </w:r>
            <w:r>
              <w:rPr>
                <w:color w:val="auto"/>
              </w:rPr>
              <w:t>响应文件签署</w:t>
            </w:r>
          </w:p>
        </w:tc>
        <w:tc>
          <w:tcPr>
            <w:tcW w:w="6168" w:type="dxa"/>
            <w:vAlign w:val="center"/>
          </w:tcPr>
          <w:p>
            <w:pPr>
              <w:rPr>
                <w:rFonts w:hint="eastAsia" w:ascii="宋体" w:hAnsi="宋体" w:eastAsiaTheme="minorEastAsia"/>
                <w:color w:val="auto"/>
                <w:lang w:eastAsia="zh-CN"/>
              </w:rPr>
            </w:pPr>
            <w:r>
              <w:rPr>
                <w:rFonts w:hint="eastAsia"/>
                <w:color w:val="auto"/>
                <w:lang w:val="en-US" w:eastAsia="zh-CN"/>
              </w:rPr>
              <w:t>不</w:t>
            </w:r>
            <w:r>
              <w:rPr>
                <w:color w:val="auto"/>
              </w:rPr>
              <w:t>按竞争性</w:t>
            </w:r>
            <w:r>
              <w:rPr>
                <w:rFonts w:hint="eastAsia"/>
                <w:color w:val="auto"/>
                <w:lang w:eastAsia="zh-CN"/>
              </w:rPr>
              <w:t>磋商</w:t>
            </w:r>
            <w:r>
              <w:rPr>
                <w:color w:val="auto"/>
              </w:rPr>
              <w:t>文件要求加盖公章</w:t>
            </w:r>
            <w:r>
              <w:rPr>
                <w:rFonts w:hint="eastAsia"/>
                <w:color w:val="auto"/>
              </w:rPr>
              <w:t>，</w:t>
            </w:r>
            <w:r>
              <w:rPr>
                <w:color w:val="auto"/>
              </w:rPr>
              <w:t>且</w:t>
            </w:r>
            <w:r>
              <w:rPr>
                <w:rFonts w:hint="eastAsia"/>
                <w:color w:val="auto"/>
                <w:lang w:val="en-US" w:eastAsia="zh-CN"/>
              </w:rPr>
              <w:t>没</w:t>
            </w:r>
            <w:r>
              <w:rPr>
                <w:rFonts w:hint="eastAsia"/>
                <w:color w:val="auto"/>
              </w:rPr>
              <w:t>有</w:t>
            </w:r>
            <w:r>
              <w:rPr>
                <w:color w:val="auto"/>
              </w:rPr>
              <w:t>法定代表人或授权代表签字（</w:t>
            </w:r>
            <w:r>
              <w:rPr>
                <w:rFonts w:hint="eastAsia"/>
                <w:color w:val="auto"/>
              </w:rPr>
              <w:t>或</w:t>
            </w:r>
            <w:r>
              <w:rPr>
                <w:color w:val="auto"/>
              </w:rPr>
              <w:t>签章）</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ascii="宋体" w:hAnsi="宋体"/>
                <w:color w:val="auto"/>
              </w:rPr>
            </w:pPr>
            <w:r>
              <w:rPr>
                <w:color w:val="auto"/>
              </w:rPr>
              <w:t>竞争性</w:t>
            </w:r>
            <w:r>
              <w:rPr>
                <w:rFonts w:hint="eastAsia"/>
                <w:color w:val="auto"/>
                <w:lang w:eastAsia="zh-CN"/>
              </w:rPr>
              <w:t>磋商</w:t>
            </w:r>
            <w:r>
              <w:rPr>
                <w:color w:val="auto"/>
              </w:rPr>
              <w:t>响应文件格式</w:t>
            </w:r>
          </w:p>
        </w:tc>
        <w:tc>
          <w:tcPr>
            <w:tcW w:w="6168" w:type="dxa"/>
            <w:vAlign w:val="center"/>
          </w:tcPr>
          <w:p>
            <w:pPr>
              <w:rPr>
                <w:rFonts w:hint="eastAsia" w:ascii="宋体" w:hAnsi="宋体" w:eastAsiaTheme="minorEastAsia"/>
                <w:color w:val="auto"/>
                <w:lang w:eastAsia="zh-CN"/>
              </w:rPr>
            </w:pPr>
            <w:r>
              <w:rPr>
                <w:rFonts w:hint="eastAsia"/>
                <w:color w:val="auto"/>
                <w:lang w:val="en-US" w:eastAsia="zh-CN"/>
              </w:rPr>
              <w:t>不</w:t>
            </w:r>
            <w:r>
              <w:rPr>
                <w:rFonts w:hint="eastAsia"/>
                <w:color w:val="auto"/>
              </w:rPr>
              <w:t>符合竞争性</w:t>
            </w:r>
            <w:r>
              <w:rPr>
                <w:rFonts w:hint="eastAsia"/>
                <w:color w:val="auto"/>
                <w:lang w:eastAsia="zh-CN"/>
              </w:rPr>
              <w:t>磋商</w:t>
            </w:r>
            <w:r>
              <w:rPr>
                <w:rFonts w:hint="eastAsia"/>
                <w:color w:val="auto"/>
              </w:rPr>
              <w:t>文件</w:t>
            </w:r>
            <w:r>
              <w:rPr>
                <w:rFonts w:hint="eastAsia"/>
                <w:color w:val="auto"/>
                <w:lang w:eastAsia="zh-CN"/>
              </w:rPr>
              <w:t>格式</w:t>
            </w:r>
            <w:r>
              <w:rPr>
                <w:rFonts w:hint="eastAsia"/>
                <w:color w:val="auto"/>
              </w:rPr>
              <w:t>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ascii="宋体" w:hAnsi="宋体"/>
                <w:color w:val="auto"/>
              </w:rPr>
            </w:pPr>
            <w:r>
              <w:rPr>
                <w:rFonts w:hint="eastAsia"/>
                <w:color w:val="auto"/>
                <w:lang w:val="en-US" w:eastAsia="zh-CN"/>
              </w:rPr>
              <w:t>投标</w:t>
            </w:r>
            <w:r>
              <w:rPr>
                <w:rFonts w:hint="eastAsia"/>
                <w:color w:val="auto"/>
              </w:rPr>
              <w:t>报价</w:t>
            </w:r>
          </w:p>
        </w:tc>
        <w:tc>
          <w:tcPr>
            <w:tcW w:w="6168" w:type="dxa"/>
            <w:vAlign w:val="center"/>
          </w:tcPr>
          <w:p>
            <w:pPr>
              <w:rPr>
                <w:rFonts w:hint="eastAsia" w:ascii="宋体" w:hAnsi="宋体" w:eastAsiaTheme="minorEastAsia"/>
                <w:color w:val="auto"/>
                <w:lang w:eastAsia="zh-CN"/>
              </w:rPr>
            </w:pPr>
            <w:r>
              <w:rPr>
                <w:rFonts w:hint="eastAsia"/>
                <w:color w:val="auto"/>
                <w:lang w:val="en-US" w:eastAsia="zh-CN"/>
              </w:rPr>
              <w:t>不</w:t>
            </w:r>
            <w:r>
              <w:rPr>
                <w:rFonts w:hint="eastAsia"/>
                <w:color w:val="auto"/>
              </w:rPr>
              <w:t>符合竞争性</w:t>
            </w:r>
            <w:r>
              <w:rPr>
                <w:rFonts w:hint="eastAsia"/>
                <w:color w:val="auto"/>
                <w:lang w:eastAsia="zh-CN"/>
              </w:rPr>
              <w:t>磋商</w:t>
            </w:r>
            <w:r>
              <w:rPr>
                <w:rFonts w:hint="eastAsia"/>
                <w:color w:val="auto"/>
              </w:rPr>
              <w:t>文件要求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624" w:type="dxa"/>
            <w:vMerge w:val="continue"/>
            <w:vAlign w:val="center"/>
          </w:tcPr>
          <w:p>
            <w:pPr>
              <w:rPr>
                <w:rFonts w:ascii="宋体" w:hAnsi="宋体"/>
                <w:color w:val="auto"/>
              </w:rPr>
            </w:pPr>
          </w:p>
        </w:tc>
        <w:tc>
          <w:tcPr>
            <w:tcW w:w="2127" w:type="dxa"/>
            <w:vAlign w:val="center"/>
          </w:tcPr>
          <w:p>
            <w:pPr>
              <w:jc w:val="center"/>
              <w:rPr>
                <w:color w:val="auto"/>
              </w:rPr>
            </w:pPr>
            <w:r>
              <w:rPr>
                <w:color w:val="auto"/>
              </w:rPr>
              <w:t>投标有效期</w:t>
            </w:r>
          </w:p>
        </w:tc>
        <w:tc>
          <w:tcPr>
            <w:tcW w:w="6168" w:type="dxa"/>
            <w:vAlign w:val="center"/>
          </w:tcPr>
          <w:p>
            <w:pPr>
              <w:rPr>
                <w:rFonts w:hint="eastAsia" w:eastAsiaTheme="minorEastAsia"/>
                <w:color w:val="auto"/>
                <w:lang w:eastAsia="zh-CN"/>
              </w:rPr>
            </w:pPr>
            <w:r>
              <w:rPr>
                <w:rFonts w:hint="eastAsia"/>
                <w:color w:val="auto"/>
                <w:lang w:val="en-US" w:eastAsia="zh-CN"/>
              </w:rPr>
              <w:t>不</w:t>
            </w:r>
            <w:r>
              <w:rPr>
                <w:color w:val="auto"/>
              </w:rPr>
              <w:t>符合竞争性</w:t>
            </w:r>
            <w:r>
              <w:rPr>
                <w:rFonts w:hint="eastAsia"/>
                <w:color w:val="auto"/>
                <w:lang w:eastAsia="zh-CN"/>
              </w:rPr>
              <w:t>磋商</w:t>
            </w:r>
            <w:r>
              <w:rPr>
                <w:color w:val="auto"/>
              </w:rPr>
              <w:t>文件要求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24" w:type="dxa"/>
            <w:vMerge w:val="continue"/>
            <w:vAlign w:val="center"/>
          </w:tcPr>
          <w:p>
            <w:pPr>
              <w:rPr>
                <w:rFonts w:ascii="宋体" w:hAnsi="宋体"/>
                <w:color w:val="auto"/>
              </w:rPr>
            </w:pPr>
          </w:p>
        </w:tc>
        <w:tc>
          <w:tcPr>
            <w:tcW w:w="2127" w:type="dxa"/>
            <w:vAlign w:val="center"/>
          </w:tcPr>
          <w:p>
            <w:pPr>
              <w:spacing w:line="440" w:lineRule="exact"/>
              <w:jc w:val="center"/>
              <w:rPr>
                <w:rFonts w:hint="default" w:ascii="宋体" w:hAnsi="宋体" w:eastAsia="宋体" w:cstheme="minorBidi"/>
                <w:color w:val="auto"/>
                <w:kern w:val="2"/>
                <w:sz w:val="21"/>
                <w:szCs w:val="21"/>
                <w:lang w:val="en-US" w:eastAsia="zh-CN" w:bidi="ar-SA"/>
              </w:rPr>
            </w:pPr>
            <w:r>
              <w:rPr>
                <w:rFonts w:hint="eastAsia" w:ascii="宋体" w:hAnsi="宋体"/>
                <w:color w:val="auto"/>
                <w:szCs w:val="21"/>
                <w:lang w:val="en-US" w:eastAsia="zh-CN"/>
              </w:rPr>
              <w:t>技术参数</w:t>
            </w:r>
          </w:p>
        </w:tc>
        <w:tc>
          <w:tcPr>
            <w:tcW w:w="6168" w:type="dxa"/>
            <w:vAlign w:val="center"/>
          </w:tcPr>
          <w:p>
            <w:pPr>
              <w:spacing w:line="440" w:lineRule="exact"/>
              <w:jc w:val="lef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不符合竞争性</w:t>
            </w:r>
            <w:r>
              <w:rPr>
                <w:rFonts w:hint="eastAsia" w:ascii="宋体" w:hAnsi="宋体"/>
                <w:color w:val="auto"/>
                <w:szCs w:val="21"/>
                <w:lang w:val="en-US" w:eastAsia="zh-CN"/>
              </w:rPr>
              <w:t>磋商</w:t>
            </w:r>
            <w:r>
              <w:rPr>
                <w:rFonts w:hint="eastAsia" w:ascii="宋体" w:hAnsi="宋体"/>
                <w:color w:val="auto"/>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hint="eastAsia" w:ascii="宋体" w:hAnsi="宋体" w:eastAsiaTheme="minorEastAsia"/>
                <w:color w:val="auto"/>
                <w:lang w:eastAsia="zh-CN"/>
              </w:rPr>
            </w:pPr>
            <w:r>
              <w:rPr>
                <w:rFonts w:hint="eastAsia" w:ascii="宋体" w:hAnsi="宋体" w:cs="宋体"/>
                <w:b w:val="0"/>
                <w:bCs w:val="0"/>
                <w:color w:val="auto"/>
                <w:spacing w:val="0"/>
                <w:sz w:val="21"/>
                <w:szCs w:val="21"/>
                <w:vertAlign w:val="baseline"/>
                <w:lang w:val="en-US" w:eastAsia="zh-CN"/>
              </w:rPr>
              <w:t>交货期、质保期限</w:t>
            </w:r>
            <w:r>
              <w:rPr>
                <w:color w:val="auto"/>
              </w:rPr>
              <w:t>、</w:t>
            </w:r>
            <w:r>
              <w:rPr>
                <w:rFonts w:hint="eastAsia"/>
                <w:color w:val="auto"/>
                <w:lang w:val="en-US" w:eastAsia="zh-CN"/>
              </w:rPr>
              <w:t>培训计划</w:t>
            </w:r>
            <w:r>
              <w:rPr>
                <w:color w:val="auto"/>
              </w:rPr>
              <w:t>等</w:t>
            </w:r>
          </w:p>
        </w:tc>
        <w:tc>
          <w:tcPr>
            <w:tcW w:w="6168" w:type="dxa"/>
            <w:vAlign w:val="center"/>
          </w:tcPr>
          <w:p>
            <w:pPr>
              <w:rPr>
                <w:rFonts w:hint="eastAsia" w:ascii="宋体" w:hAnsi="宋体" w:eastAsiaTheme="minorEastAsia"/>
                <w:color w:val="auto"/>
                <w:lang w:eastAsia="zh-CN"/>
              </w:rPr>
            </w:pPr>
            <w:r>
              <w:rPr>
                <w:rFonts w:hint="eastAsia"/>
                <w:color w:val="auto"/>
                <w:lang w:val="en-US" w:eastAsia="zh-CN"/>
              </w:rPr>
              <w:t>不</w:t>
            </w:r>
            <w:r>
              <w:rPr>
                <w:color w:val="auto"/>
              </w:rPr>
              <w:t>符合竞争性</w:t>
            </w:r>
            <w:r>
              <w:rPr>
                <w:rFonts w:hint="eastAsia"/>
                <w:color w:val="auto"/>
                <w:lang w:eastAsia="zh-CN"/>
              </w:rPr>
              <w:t>磋商</w:t>
            </w:r>
            <w:r>
              <w:rPr>
                <w:color w:val="auto"/>
              </w:rPr>
              <w:t>文件要求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其他要求</w:t>
            </w:r>
          </w:p>
        </w:tc>
        <w:tc>
          <w:tcPr>
            <w:tcW w:w="6168" w:type="dxa"/>
            <w:vAlign w:val="center"/>
          </w:tcPr>
          <w:p>
            <w:pPr>
              <w:rPr>
                <w:rFonts w:hint="default"/>
                <w:color w:val="auto"/>
                <w:lang w:val="en-US" w:eastAsia="zh-CN"/>
              </w:rPr>
            </w:pPr>
            <w:r>
              <w:rPr>
                <w:rFonts w:hint="eastAsia"/>
                <w:color w:val="auto"/>
                <w:lang w:val="en-US" w:eastAsia="zh-CN"/>
              </w:rPr>
              <w:t>不符合竞争性磋商文件中其他相关要求；</w:t>
            </w:r>
          </w:p>
        </w:tc>
      </w:tr>
      <w:bookmarkEnd w:id="45"/>
    </w:tbl>
    <w:p>
      <w:pPr>
        <w:spacing w:line="276" w:lineRule="auto"/>
        <w:ind w:firstLine="470" w:firstLineChars="196"/>
        <w:rPr>
          <w:rFonts w:hint="eastAsia" w:ascii="宋体" w:hAnsi="宋体" w:cs="宋体" w:eastAsiaTheme="minorEastAsia"/>
          <w:color w:val="auto"/>
          <w:sz w:val="24"/>
          <w:lang w:eastAsia="zh-CN"/>
        </w:rPr>
      </w:pPr>
      <w:r>
        <w:rPr>
          <w:rFonts w:hint="eastAsia" w:ascii="宋体" w:hAnsi="宋体" w:cs="宋体"/>
          <w:color w:val="auto"/>
          <w:sz w:val="24"/>
        </w:rPr>
        <w:t>2、评标委员会对通过以上审查的响应文件进行评估，确定与各供应商磋商的具体内容</w:t>
      </w:r>
      <w:r>
        <w:rPr>
          <w:rFonts w:hint="eastAsia" w:ascii="宋体" w:hAnsi="宋体" w:cs="宋体"/>
          <w:color w:val="auto"/>
          <w:sz w:val="24"/>
          <w:lang w:eastAsia="zh-CN"/>
        </w:rPr>
        <w:t>。</w:t>
      </w:r>
    </w:p>
    <w:p>
      <w:pPr>
        <w:spacing w:line="276" w:lineRule="auto"/>
        <w:ind w:firstLine="480" w:firstLineChars="200"/>
        <w:rPr>
          <w:rFonts w:hint="eastAsia" w:ascii="宋体" w:hAnsi="宋体" w:cs="宋体" w:eastAsiaTheme="minorEastAsia"/>
          <w:color w:val="auto"/>
          <w:sz w:val="24"/>
          <w:lang w:eastAsia="zh-CN"/>
        </w:rPr>
      </w:pPr>
      <w:r>
        <w:rPr>
          <w:rFonts w:hint="eastAsia" w:ascii="宋体" w:hAnsi="宋体" w:cs="宋体"/>
          <w:color w:val="auto"/>
          <w:sz w:val="24"/>
        </w:rPr>
        <w:t>3、围绕磋商要点，评标委员会全体成员按照各供应商签到顺序集中与单一供应商分别进行磋商</w:t>
      </w:r>
      <w:r>
        <w:rPr>
          <w:rFonts w:hint="eastAsia" w:ascii="宋体" w:hAnsi="宋体" w:cs="宋体"/>
          <w:color w:val="auto"/>
          <w:sz w:val="24"/>
          <w:lang w:eastAsia="zh-CN"/>
        </w:rPr>
        <w:t>，原则上只进行两轮磋商，但评标委员会认为必要时可继续进行磋商。</w:t>
      </w:r>
    </w:p>
    <w:p>
      <w:pPr>
        <w:spacing w:line="276" w:lineRule="auto"/>
        <w:ind w:firstLine="480" w:firstLineChars="200"/>
        <w:rPr>
          <w:rFonts w:ascii="宋体" w:hAnsi="宋体" w:cs="宋体"/>
          <w:color w:val="auto"/>
          <w:sz w:val="24"/>
        </w:rPr>
      </w:pPr>
      <w:r>
        <w:rPr>
          <w:rFonts w:hint="eastAsia" w:ascii="宋体" w:hAnsi="宋体" w:cs="宋体"/>
          <w:color w:val="auto"/>
          <w:sz w:val="24"/>
        </w:rPr>
        <w:t>4、实质性变动</w:t>
      </w:r>
    </w:p>
    <w:p>
      <w:pPr>
        <w:spacing w:line="276" w:lineRule="auto"/>
        <w:ind w:firstLine="480" w:firstLineChars="200"/>
        <w:rPr>
          <w:rFonts w:ascii="宋体" w:hAnsi="宋体" w:cs="宋体"/>
          <w:color w:val="auto"/>
          <w:sz w:val="24"/>
        </w:rPr>
      </w:pPr>
      <w:r>
        <w:rPr>
          <w:rFonts w:hint="eastAsia" w:ascii="宋体" w:hAnsi="宋体" w:cs="宋体"/>
          <w:color w:val="auto"/>
          <w:sz w:val="24"/>
        </w:rPr>
        <w:t>磋商过程中，评标委员会可以根据竞争性磋商文件和磋商情况实质性变动采购需求中的技术、服务要求以及合同草案条款，但不得变动竞争性磋商文件中的其他内容。实质性变动的内容，须经采购人代表确认，并以书面形式同时通知所有参加磋商的供应商。该变动是竞争性磋商文件的有效组成部分。</w:t>
      </w:r>
    </w:p>
    <w:p>
      <w:pPr>
        <w:spacing w:line="276" w:lineRule="auto"/>
        <w:ind w:firstLine="480" w:firstLineChars="200"/>
        <w:rPr>
          <w:rFonts w:ascii="宋体" w:hAnsi="宋体" w:cs="宋体"/>
          <w:color w:val="auto"/>
          <w:sz w:val="24"/>
        </w:rPr>
      </w:pPr>
      <w:r>
        <w:rPr>
          <w:rFonts w:hint="eastAsia" w:ascii="宋体" w:hAnsi="宋体" w:cs="宋体"/>
          <w:color w:val="auto"/>
          <w:sz w:val="24"/>
        </w:rPr>
        <w:t>磋商供应商按照竞争性磋商文件的变动情况和评标委员会的要求，在规定的时间内以书面形式作出响应，并由其法定代表人或授权代表签字或者加盖公章。</w:t>
      </w:r>
    </w:p>
    <w:p>
      <w:pPr>
        <w:spacing w:line="276" w:lineRule="auto"/>
        <w:ind w:firstLine="480" w:firstLineChars="200"/>
        <w:rPr>
          <w:rFonts w:ascii="宋体" w:hAnsi="宋体" w:cs="宋体"/>
          <w:color w:val="auto"/>
          <w:sz w:val="24"/>
        </w:rPr>
      </w:pPr>
      <w:r>
        <w:rPr>
          <w:rFonts w:hint="eastAsia" w:ascii="宋体" w:hAnsi="宋体" w:cs="宋体"/>
          <w:color w:val="auto"/>
          <w:sz w:val="24"/>
        </w:rPr>
        <w:t>未按要求作出响应的响应文件，将视为无效投标。</w:t>
      </w:r>
    </w:p>
    <w:p>
      <w:pPr>
        <w:spacing w:line="276" w:lineRule="auto"/>
        <w:ind w:firstLine="480" w:firstLineChars="200"/>
        <w:rPr>
          <w:rFonts w:ascii="宋体" w:hAnsi="宋体" w:cs="宋体"/>
          <w:color w:val="auto"/>
          <w:sz w:val="24"/>
        </w:rPr>
      </w:pPr>
      <w:r>
        <w:rPr>
          <w:rFonts w:hint="eastAsia" w:ascii="宋体" w:hAnsi="宋体" w:cs="宋体"/>
          <w:color w:val="auto"/>
          <w:sz w:val="24"/>
        </w:rPr>
        <w:t>5、最后报价</w:t>
      </w:r>
    </w:p>
    <w:p>
      <w:pPr>
        <w:spacing w:line="276" w:lineRule="auto"/>
        <w:ind w:firstLine="480" w:firstLineChars="200"/>
        <w:rPr>
          <w:rFonts w:ascii="宋体" w:hAnsi="宋体" w:cs="宋体"/>
          <w:color w:val="auto"/>
          <w:sz w:val="24"/>
        </w:rPr>
      </w:pPr>
      <w:r>
        <w:rPr>
          <w:rFonts w:hint="eastAsia" w:ascii="宋体" w:hAnsi="宋体" w:cs="宋体"/>
          <w:color w:val="auto"/>
          <w:sz w:val="24"/>
        </w:rPr>
        <w:t>磋商结束后，评标委员会将要求实质性响应竞争性磋商文件的磋商供应商在规定时间内提交最后报价。在规定的时间内，没有提交最后报价的磋商供应商，视为退出磋商。未通过实质性响应的磋商供应商将不再进行最后报价。</w:t>
      </w:r>
    </w:p>
    <w:p>
      <w:pPr>
        <w:spacing w:line="276" w:lineRule="auto"/>
        <w:ind w:firstLine="480" w:firstLineChars="200"/>
        <w:rPr>
          <w:rFonts w:ascii="宋体" w:hAnsi="宋体" w:cs="宋体"/>
          <w:b/>
          <w:color w:val="auto"/>
          <w:sz w:val="24"/>
        </w:rPr>
      </w:pPr>
      <w:r>
        <w:rPr>
          <w:rFonts w:hint="eastAsia" w:ascii="宋体" w:hAnsi="宋体" w:cs="宋体"/>
          <w:color w:val="auto"/>
          <w:sz w:val="24"/>
        </w:rPr>
        <w:t>已提交响应文件的供应商，在提交最后报价之前，可以根据磋商情况退出磋商。其磋商保证金与未列为成交供应商的磋商保证金一同退还。</w:t>
      </w:r>
    </w:p>
    <w:p>
      <w:pPr>
        <w:spacing w:line="276" w:lineRule="auto"/>
        <w:ind w:firstLine="480" w:firstLineChars="200"/>
        <w:rPr>
          <w:rFonts w:ascii="宋体" w:hAnsi="宋体" w:cs="宋体"/>
          <w:color w:val="auto"/>
          <w:sz w:val="24"/>
        </w:rPr>
      </w:pPr>
      <w:r>
        <w:rPr>
          <w:rFonts w:hint="eastAsia" w:ascii="宋体" w:hAnsi="宋体" w:cs="宋体"/>
          <w:color w:val="0000FF"/>
          <w:sz w:val="24"/>
        </w:rPr>
        <w:t>经磋商确定最终采购需求和提交最后报价的供应商后，由评标委员会结合本竞争性磋商文件规定的政府采购政策进行的价格扣除及综合评分法对提交最后报价的供应商的响应文件和最后报价进行综合评分。</w:t>
      </w:r>
    </w:p>
    <w:bookmarkEnd w:id="46"/>
    <w:p>
      <w:pPr>
        <w:spacing w:line="276" w:lineRule="auto"/>
        <w:rPr>
          <w:rFonts w:ascii="宋体" w:hAnsi="宋体" w:cs="宋体"/>
          <w:b/>
          <w:color w:val="auto"/>
          <w:sz w:val="24"/>
        </w:rPr>
      </w:pPr>
      <w:r>
        <w:rPr>
          <w:rFonts w:hint="eastAsia" w:ascii="宋体" w:hAnsi="宋体" w:cs="宋体"/>
          <w:b/>
          <w:color w:val="auto"/>
          <w:sz w:val="24"/>
        </w:rPr>
        <w:t>二、评审方法和标准</w:t>
      </w:r>
    </w:p>
    <w:p>
      <w:pPr>
        <w:spacing w:line="276" w:lineRule="auto"/>
        <w:rPr>
          <w:rFonts w:ascii="宋体" w:hAnsi="宋体" w:cs="宋体"/>
          <w:b/>
          <w:color w:val="auto"/>
          <w:sz w:val="24"/>
        </w:rPr>
      </w:pPr>
      <w:r>
        <w:rPr>
          <w:rFonts w:hint="eastAsia" w:ascii="宋体" w:hAnsi="宋体" w:cs="宋体"/>
          <w:b/>
          <w:color w:val="auto"/>
          <w:sz w:val="24"/>
        </w:rPr>
        <w:t>（一）、评审方法</w:t>
      </w:r>
    </w:p>
    <w:p>
      <w:pPr>
        <w:spacing w:line="276" w:lineRule="auto"/>
        <w:ind w:firstLine="480" w:firstLineChars="200"/>
        <w:rPr>
          <w:rFonts w:ascii="宋体" w:hAnsi="宋体" w:cs="宋体"/>
          <w:color w:val="auto"/>
          <w:sz w:val="24"/>
        </w:rPr>
      </w:pPr>
      <w:bookmarkStart w:id="47" w:name="_Hlk39664001"/>
      <w:r>
        <w:rPr>
          <w:rFonts w:hint="eastAsia" w:ascii="宋体" w:hAnsi="宋体" w:cs="宋体"/>
          <w:color w:val="auto"/>
          <w:sz w:val="24"/>
        </w:rPr>
        <w:t>1、本项目采用综合评分法，总分100分。综合评分法是指响应文件满足竞争性磋商文件全部实质性要求且按评审因素的量化指标评审得分由高到底的顺序推荐</w:t>
      </w:r>
      <w:r>
        <w:rPr>
          <w:rFonts w:hint="eastAsia" w:ascii="宋体" w:hAnsi="宋体" w:cs="宋体"/>
          <w:color w:val="auto"/>
          <w:sz w:val="24"/>
          <w:lang w:val="en-US" w:eastAsia="zh-CN"/>
        </w:rPr>
        <w:t>3</w:t>
      </w:r>
      <w:r>
        <w:rPr>
          <w:rFonts w:hint="eastAsia" w:ascii="宋体" w:hAnsi="宋体" w:cs="宋体"/>
          <w:color w:val="auto"/>
          <w:sz w:val="24"/>
        </w:rPr>
        <w:t>名供应商为成交候选供应商。</w:t>
      </w:r>
    </w:p>
    <w:p>
      <w:pPr>
        <w:spacing w:line="276" w:lineRule="auto"/>
        <w:ind w:firstLine="360" w:firstLineChars="15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、评标委员会按照竞争性磋商文件的要求和条件，根据各磋商供应商的技术、商务、价格、对竞争性磋商文件的响应程度等进行综合评价、评分，将评审总得分按照从高到低的顺序排列，并依此顺序推荐</w:t>
      </w:r>
      <w:r>
        <w:rPr>
          <w:rFonts w:hint="eastAsia" w:ascii="宋体" w:hAnsi="宋体" w:cs="宋体"/>
          <w:color w:val="auto"/>
          <w:sz w:val="24"/>
          <w:lang w:val="en-US" w:eastAsia="zh-CN"/>
        </w:rPr>
        <w:t>3</w:t>
      </w:r>
      <w:r>
        <w:rPr>
          <w:rFonts w:hint="eastAsia" w:ascii="宋体" w:hAnsi="宋体" w:cs="宋体"/>
          <w:color w:val="auto"/>
          <w:sz w:val="24"/>
        </w:rPr>
        <w:t>名成交候选供应商。</w:t>
      </w:r>
    </w:p>
    <w:bookmarkEnd w:id="47"/>
    <w:p>
      <w:pPr>
        <w:spacing w:line="276" w:lineRule="auto"/>
        <w:ind w:firstLine="360" w:firstLineChars="150"/>
        <w:rPr>
          <w:rFonts w:ascii="宋体" w:hAnsi="宋体" w:cs="宋体"/>
          <w:color w:val="auto"/>
          <w:sz w:val="24"/>
        </w:rPr>
      </w:pPr>
      <w:r>
        <w:rPr>
          <w:rFonts w:hint="eastAsia" w:ascii="宋体" w:hAnsi="宋体" w:cs="宋体"/>
          <w:color w:val="auto"/>
          <w:sz w:val="24"/>
        </w:rPr>
        <w:t>3、例外情况</w:t>
      </w:r>
    </w:p>
    <w:p>
      <w:pPr>
        <w:spacing w:line="276" w:lineRule="auto"/>
        <w:ind w:firstLine="480" w:firstLineChars="200"/>
        <w:rPr>
          <w:rFonts w:hint="eastAsia" w:ascii="宋体" w:hAnsi="宋体" w:cs="宋体"/>
          <w:color w:val="auto"/>
          <w:sz w:val="24"/>
        </w:rPr>
      </w:pPr>
      <w:r>
        <w:rPr>
          <w:rFonts w:hint="eastAsia" w:ascii="宋体" w:hAnsi="宋体" w:cs="宋体"/>
          <w:color w:val="auto"/>
          <w:sz w:val="24"/>
        </w:rPr>
        <w:t>评审总得分相同的，按最后报价由低到高的顺序排序；评审总得分及最后报价均相同的，按技术部分得分由高到低排序；依然相同的，由</w:t>
      </w:r>
      <w:r>
        <w:rPr>
          <w:rFonts w:hint="eastAsia" w:ascii="宋体" w:hAnsi="宋体" w:cs="宋体"/>
          <w:color w:val="auto"/>
          <w:sz w:val="24"/>
          <w:lang w:eastAsia="zh-CN"/>
        </w:rPr>
        <w:t>采购人根据项目实际情况</w:t>
      </w:r>
      <w:r>
        <w:rPr>
          <w:rFonts w:hint="eastAsia" w:ascii="宋体" w:hAnsi="宋体" w:cs="宋体"/>
          <w:color w:val="auto"/>
          <w:sz w:val="24"/>
        </w:rPr>
        <w:t>确定顺序。</w:t>
      </w:r>
    </w:p>
    <w:p>
      <w:pPr>
        <w:spacing w:line="276" w:lineRule="auto"/>
        <w:ind w:firstLine="480" w:firstLineChars="200"/>
        <w:rPr>
          <w:rFonts w:hint="eastAsia" w:ascii="宋体" w:hAnsi="宋体" w:cs="宋体"/>
          <w:color w:val="auto"/>
          <w:sz w:val="24"/>
          <w:lang w:val="en-US" w:eastAsia="zh-CN"/>
        </w:rPr>
      </w:pP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评标委员会按本章（二）评审标准规定的量化因素和分值进行打分，并计算出综合评估得分。</w:t>
      </w:r>
    </w:p>
    <w:p>
      <w:pPr>
        <w:pStyle w:val="23"/>
        <w:bidi w:val="0"/>
        <w:rPr>
          <w:color w:val="auto"/>
        </w:rPr>
      </w:pPr>
    </w:p>
    <w:p>
      <w:pPr>
        <w:spacing w:line="540" w:lineRule="exact"/>
        <w:rPr>
          <w:rFonts w:ascii="宋体" w:hAnsi="宋体" w:cs="宋体"/>
          <w:b/>
          <w:color w:val="auto"/>
          <w:sz w:val="24"/>
        </w:rPr>
      </w:pPr>
      <w:r>
        <w:rPr>
          <w:rFonts w:hint="eastAsia" w:ascii="宋体" w:hAnsi="宋体" w:cs="宋体"/>
          <w:b/>
          <w:color w:val="auto"/>
          <w:sz w:val="24"/>
        </w:rPr>
        <w:t>（二）评审标准</w:t>
      </w:r>
      <w:r>
        <w:rPr>
          <w:rFonts w:hint="eastAsia" w:ascii="宋体" w:hAnsi="宋体" w:cs="宋体"/>
          <w:color w:val="auto"/>
          <w:sz w:val="24"/>
        </w:rPr>
        <w:t>（数值计算结果均保留两位小数，第三位四舍五入）</w:t>
      </w:r>
    </w:p>
    <w:p>
      <w:pPr>
        <w:spacing w:line="540" w:lineRule="exact"/>
        <w:ind w:firstLine="482" w:firstLineChars="200"/>
        <w:rPr>
          <w:rFonts w:ascii="宋体" w:hAnsi="宋体" w:cs="宋体"/>
          <w:b/>
          <w:color w:val="auto"/>
          <w:sz w:val="24"/>
        </w:rPr>
      </w:pPr>
      <w:r>
        <w:rPr>
          <w:rFonts w:hint="eastAsia" w:ascii="宋体" w:hAnsi="宋体" w:cs="宋体"/>
          <w:b/>
          <w:color w:val="auto"/>
          <w:sz w:val="24"/>
        </w:rPr>
        <w:t>1、评审分值分布(满分100分)</w:t>
      </w:r>
    </w:p>
    <w:p>
      <w:pPr>
        <w:spacing w:line="360" w:lineRule="auto"/>
        <w:ind w:firstLine="480" w:firstLineChars="200"/>
        <w:rPr>
          <w:rFonts w:ascii="宋体" w:hAnsi="宋体" w:cs="宋体"/>
          <w:color w:val="auto"/>
          <w:sz w:val="24"/>
        </w:rPr>
      </w:pPr>
      <w:r>
        <w:rPr>
          <w:rFonts w:hint="eastAsia" w:ascii="宋体" w:hAnsi="宋体" w:cs="宋体"/>
          <w:color w:val="auto"/>
          <w:sz w:val="24"/>
        </w:rPr>
        <w:t>1.1</w:t>
      </w:r>
      <w:r>
        <w:rPr>
          <w:rFonts w:hint="eastAsia" w:ascii="宋体" w:hAnsi="宋体" w:cs="宋体"/>
          <w:color w:val="auto"/>
          <w:sz w:val="24"/>
          <w:lang w:eastAsia="zh-CN"/>
        </w:rPr>
        <w:t>报价</w:t>
      </w:r>
      <w:r>
        <w:rPr>
          <w:rFonts w:hint="eastAsia" w:ascii="宋体" w:hAnsi="宋体" w:cs="宋体"/>
          <w:color w:val="auto"/>
          <w:sz w:val="24"/>
        </w:rPr>
        <w:t>部分（</w:t>
      </w:r>
      <w:r>
        <w:rPr>
          <w:rFonts w:hint="eastAsia" w:ascii="宋体" w:hAnsi="宋体" w:cs="宋体"/>
          <w:color w:val="auto"/>
          <w:sz w:val="24"/>
          <w:lang w:val="en-US" w:eastAsia="zh-CN"/>
        </w:rPr>
        <w:t>30</w:t>
      </w:r>
      <w:r>
        <w:rPr>
          <w:rFonts w:hint="eastAsia" w:ascii="宋体" w:hAnsi="宋体" w:cs="宋体"/>
          <w:color w:val="auto"/>
          <w:sz w:val="24"/>
        </w:rPr>
        <w:t>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1.2</w:t>
      </w:r>
      <w:r>
        <w:rPr>
          <w:rFonts w:hint="eastAsia" w:ascii="宋体" w:hAnsi="宋体" w:cs="宋体"/>
          <w:color w:val="auto"/>
          <w:sz w:val="24"/>
          <w:lang w:eastAsia="zh-CN"/>
        </w:rPr>
        <w:t>商务</w:t>
      </w:r>
      <w:r>
        <w:rPr>
          <w:rFonts w:hint="eastAsia" w:ascii="宋体" w:hAnsi="宋体" w:cs="宋体"/>
          <w:color w:val="auto"/>
          <w:sz w:val="24"/>
        </w:rPr>
        <w:t>技术部分（</w:t>
      </w:r>
      <w:r>
        <w:rPr>
          <w:rFonts w:hint="eastAsia" w:ascii="宋体" w:hAnsi="宋体" w:cs="宋体"/>
          <w:color w:val="auto"/>
          <w:sz w:val="24"/>
          <w:lang w:val="en-US" w:eastAsia="zh-CN"/>
        </w:rPr>
        <w:t>70</w:t>
      </w:r>
      <w:r>
        <w:rPr>
          <w:rFonts w:hint="eastAsia" w:ascii="宋体" w:hAnsi="宋体" w:cs="宋体"/>
          <w:color w:val="auto"/>
          <w:sz w:val="24"/>
        </w:rPr>
        <w:t>分）</w:t>
      </w:r>
    </w:p>
    <w:p>
      <w:pPr>
        <w:pStyle w:val="27"/>
        <w:bidi w:val="0"/>
        <w:rPr>
          <w:rFonts w:hint="eastAsia"/>
        </w:rPr>
      </w:pPr>
    </w:p>
    <w:p>
      <w:pPr>
        <w:pStyle w:val="27"/>
        <w:bidi w:val="0"/>
        <w:rPr>
          <w:rFonts w:hint="eastAsia"/>
        </w:rPr>
      </w:pPr>
    </w:p>
    <w:p>
      <w:pPr>
        <w:pStyle w:val="26"/>
        <w:bidi w:val="0"/>
        <w:rPr>
          <w:rFonts w:hint="eastAsia"/>
        </w:rPr>
      </w:pPr>
    </w:p>
    <w:p>
      <w:pPr>
        <w:spacing w:line="360" w:lineRule="auto"/>
        <w:ind w:firstLine="562" w:firstLineChars="200"/>
        <w:rPr>
          <w:rFonts w:ascii="宋体" w:hAnsi="宋体" w:cs="宋体"/>
          <w:b/>
          <w:color w:val="auto"/>
          <w:sz w:val="28"/>
          <w:szCs w:val="28"/>
        </w:rPr>
      </w:pPr>
      <w:r>
        <w:rPr>
          <w:rFonts w:hint="eastAsia" w:ascii="宋体" w:hAnsi="宋体" w:cs="宋体"/>
          <w:b/>
          <w:color w:val="auto"/>
          <w:sz w:val="28"/>
          <w:szCs w:val="28"/>
        </w:rPr>
        <w:t>2、评审标准</w:t>
      </w:r>
    </w:p>
    <w:p>
      <w:pPr>
        <w:spacing w:line="360" w:lineRule="auto"/>
        <w:ind w:firstLine="480" w:firstLineChars="200"/>
        <w:rPr>
          <w:rFonts w:ascii="宋体" w:hAnsi="宋体"/>
          <w:color w:val="auto"/>
          <w:sz w:val="24"/>
        </w:rPr>
      </w:pPr>
      <w:r>
        <w:rPr>
          <w:rFonts w:hint="eastAsia" w:ascii="宋体" w:hAnsi="宋体"/>
          <w:color w:val="auto"/>
          <w:sz w:val="24"/>
          <w:highlight w:val="white"/>
        </w:rPr>
        <w:t>2.1</w:t>
      </w:r>
      <w:r>
        <w:rPr>
          <w:rFonts w:hint="eastAsia" w:ascii="宋体" w:hAnsi="宋体"/>
          <w:color w:val="auto"/>
          <w:sz w:val="24"/>
          <w:highlight w:val="white"/>
          <w:lang w:eastAsia="zh-CN"/>
        </w:rPr>
        <w:t>报价</w:t>
      </w:r>
      <w:r>
        <w:rPr>
          <w:rFonts w:hint="eastAsia" w:ascii="宋体" w:hAnsi="宋体"/>
          <w:color w:val="auto"/>
          <w:sz w:val="24"/>
          <w:highlight w:val="white"/>
        </w:rPr>
        <w:t>内容及标准（</w:t>
      </w:r>
      <w:r>
        <w:rPr>
          <w:rFonts w:hint="eastAsia" w:ascii="宋体" w:hAnsi="宋体"/>
          <w:color w:val="auto"/>
          <w:sz w:val="24"/>
          <w:highlight w:val="white"/>
          <w:lang w:val="en-US" w:eastAsia="zh-CN"/>
        </w:rPr>
        <w:t>30</w:t>
      </w:r>
      <w:r>
        <w:rPr>
          <w:rFonts w:hint="eastAsia" w:ascii="宋体" w:hAnsi="宋体"/>
          <w:color w:val="auto"/>
          <w:sz w:val="24"/>
          <w:highlight w:val="white"/>
        </w:rPr>
        <w:t>分）</w:t>
      </w:r>
    </w:p>
    <w:tbl>
      <w:tblPr>
        <w:tblStyle w:val="32"/>
        <w:tblW w:w="954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735"/>
        <w:gridCol w:w="944"/>
        <w:gridCol w:w="6862"/>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735"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color w:val="auto"/>
              </w:rPr>
              <w:t>评审项目</w:t>
            </w:r>
          </w:p>
        </w:tc>
        <w:tc>
          <w:tcPr>
            <w:tcW w:w="944"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color w:val="auto"/>
              </w:rPr>
              <w:t>分值</w:t>
            </w:r>
          </w:p>
        </w:tc>
        <w:tc>
          <w:tcPr>
            <w:tcW w:w="6862"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color w:val="auto"/>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96" w:hRule="atLeast"/>
          <w:jc w:val="center"/>
        </w:trPr>
        <w:tc>
          <w:tcPr>
            <w:tcW w:w="1735"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color w:val="auto"/>
              </w:rPr>
              <w:t>报价</w:t>
            </w:r>
          </w:p>
        </w:tc>
        <w:tc>
          <w:tcPr>
            <w:tcW w:w="944"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rFonts w:hint="eastAsia" w:ascii="宋体" w:hAnsi="宋体" w:cs="宋体"/>
                <w:color w:val="auto"/>
                <w:sz w:val="24"/>
                <w:lang w:val="en-US" w:eastAsia="zh-CN"/>
              </w:rPr>
              <w:t>30</w:t>
            </w:r>
            <w:r>
              <w:rPr>
                <w:rFonts w:hint="eastAsia" w:ascii="宋体" w:hAnsi="宋体" w:cs="宋体"/>
                <w:color w:val="auto"/>
                <w:sz w:val="24"/>
              </w:rPr>
              <w:t>分</w:t>
            </w:r>
          </w:p>
        </w:tc>
        <w:tc>
          <w:tcPr>
            <w:tcW w:w="6862" w:type="dxa"/>
            <w:tcBorders>
              <w:top w:val="outset" w:color="auto" w:sz="6" w:space="0"/>
              <w:left w:val="outset" w:color="auto" w:sz="6" w:space="0"/>
              <w:bottom w:val="outset" w:color="auto" w:sz="6" w:space="0"/>
              <w:right w:val="outset" w:color="auto" w:sz="6" w:space="0"/>
            </w:tcBorders>
            <w:vAlign w:val="center"/>
          </w:tcPr>
          <w:p>
            <w:pPr>
              <w:pStyle w:val="8"/>
              <w:numPr>
                <w:ilvl w:val="0"/>
                <w:numId w:val="2"/>
              </w:numPr>
              <w:jc w:val="left"/>
              <w:rPr>
                <w:rFonts w:hint="eastAsia" w:ascii="宋体" w:hAnsi="宋体" w:cs="宋体"/>
                <w:b w:val="0"/>
                <w:bCs w:val="0"/>
                <w:color w:val="auto"/>
                <w:spacing w:val="0"/>
                <w:sz w:val="24"/>
                <w:szCs w:val="24"/>
                <w:vertAlign w:val="baseline"/>
                <w:lang w:val="en-US" w:eastAsia="zh-CN"/>
              </w:rPr>
            </w:pPr>
            <w:r>
              <w:rPr>
                <w:rFonts w:hint="eastAsia" w:ascii="宋体" w:hAnsi="宋体" w:cs="宋体"/>
                <w:b w:val="0"/>
                <w:bCs w:val="0"/>
                <w:color w:val="auto"/>
                <w:spacing w:val="0"/>
                <w:sz w:val="24"/>
                <w:szCs w:val="24"/>
                <w:vertAlign w:val="baseline"/>
                <w:lang w:val="en-US" w:eastAsia="zh-CN"/>
              </w:rPr>
              <w:t>价格分应当采用低价优先法计算，即满足招标文件要求且投标价格最低的投标报价为评标基准价，其价格分为满分。其他投标人的价格分统一按照下列公式计算：</w:t>
            </w:r>
            <w:r>
              <w:rPr>
                <w:rFonts w:hint="eastAsia" w:ascii="宋体" w:hAnsi="宋体" w:cs="宋体"/>
                <w:b w:val="0"/>
                <w:bCs w:val="0"/>
                <w:color w:val="auto"/>
                <w:spacing w:val="0"/>
                <w:sz w:val="24"/>
                <w:szCs w:val="24"/>
                <w:vertAlign w:val="baseline"/>
                <w:lang w:val="en-US" w:eastAsia="zh-CN"/>
              </w:rPr>
              <w:br w:type="textWrapping"/>
            </w:r>
            <w:r>
              <w:rPr>
                <w:rFonts w:hint="eastAsia" w:ascii="宋体" w:hAnsi="宋体" w:cs="宋体"/>
                <w:b w:val="0"/>
                <w:bCs w:val="0"/>
                <w:color w:val="auto"/>
                <w:spacing w:val="0"/>
                <w:sz w:val="24"/>
                <w:szCs w:val="24"/>
                <w:vertAlign w:val="baseline"/>
                <w:lang w:val="en-US" w:eastAsia="zh-CN"/>
              </w:rPr>
              <w:t>投标报价得分＝(评标基准价／投标报价）*100*30% </w:t>
            </w:r>
            <w:r>
              <w:rPr>
                <w:rFonts w:hint="eastAsia" w:ascii="宋体" w:hAnsi="宋体" w:cs="宋体"/>
                <w:b w:val="0"/>
                <w:bCs w:val="0"/>
                <w:color w:val="auto"/>
                <w:spacing w:val="0"/>
                <w:sz w:val="24"/>
                <w:szCs w:val="24"/>
                <w:vertAlign w:val="baseline"/>
                <w:lang w:val="en-US" w:eastAsia="zh-CN"/>
              </w:rPr>
              <w:br w:type="textWrapping"/>
            </w:r>
            <w:r>
              <w:rPr>
                <w:rFonts w:hint="eastAsia" w:ascii="宋体" w:hAnsi="宋体" w:cs="宋体"/>
                <w:b w:val="0"/>
                <w:bCs w:val="0"/>
                <w:color w:val="auto"/>
                <w:spacing w:val="0"/>
                <w:sz w:val="24"/>
                <w:szCs w:val="24"/>
                <w:vertAlign w:val="baseline"/>
                <w:lang w:val="en-US" w:eastAsia="zh-CN"/>
              </w:rPr>
              <w:t>评标过程中，不得去掉报价中的最高报价和最低报价。</w:t>
            </w:r>
          </w:p>
          <w:p>
            <w:pPr>
              <w:pStyle w:val="8"/>
              <w:numPr>
                <w:ilvl w:val="0"/>
                <w:numId w:val="0"/>
              </w:numPr>
              <w:jc w:val="left"/>
              <w:rPr>
                <w:rFonts w:hint="eastAsia" w:ascii="宋体" w:hAnsi="宋体" w:cs="宋体"/>
                <w:b w:val="0"/>
                <w:bCs w:val="0"/>
                <w:color w:val="auto"/>
                <w:spacing w:val="0"/>
                <w:sz w:val="24"/>
                <w:szCs w:val="24"/>
                <w:vertAlign w:val="baseline"/>
                <w:lang w:val="en-US" w:eastAsia="zh-CN"/>
              </w:rPr>
            </w:pPr>
            <w:r>
              <w:rPr>
                <w:rFonts w:hint="eastAsia" w:ascii="宋体" w:hAnsi="宋体" w:cs="宋体"/>
                <w:b w:val="0"/>
                <w:bCs w:val="0"/>
                <w:color w:val="auto"/>
                <w:spacing w:val="0"/>
                <w:sz w:val="24"/>
                <w:szCs w:val="24"/>
                <w:vertAlign w:val="baseline"/>
                <w:lang w:val="en-US" w:eastAsia="zh-CN"/>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8"/>
              <w:numPr>
                <w:ilvl w:val="0"/>
                <w:numId w:val="0"/>
              </w:numPr>
              <w:jc w:val="left"/>
              <w:rPr>
                <w:rFonts w:hint="eastAsia" w:ascii="宋体" w:hAnsi="宋体" w:cs="宋体"/>
                <w:b w:val="0"/>
                <w:bCs w:val="0"/>
                <w:color w:val="auto"/>
                <w:spacing w:val="0"/>
                <w:sz w:val="24"/>
                <w:szCs w:val="24"/>
                <w:vertAlign w:val="baseline"/>
                <w:lang w:val="en-US" w:eastAsia="zh-CN"/>
              </w:rPr>
            </w:pPr>
          </w:p>
        </w:tc>
      </w:tr>
    </w:tbl>
    <w:p>
      <w:pPr>
        <w:spacing w:line="360" w:lineRule="auto"/>
        <w:ind w:firstLine="480" w:firstLineChars="200"/>
        <w:rPr>
          <w:rFonts w:hint="eastAsia" w:ascii="宋体" w:hAnsi="宋体"/>
          <w:color w:val="auto"/>
          <w:sz w:val="24"/>
          <w:highlight w:val="white"/>
        </w:rPr>
      </w:pPr>
      <w:r>
        <w:rPr>
          <w:rFonts w:hint="eastAsia" w:ascii="宋体" w:hAnsi="宋体"/>
          <w:color w:val="auto"/>
          <w:sz w:val="24"/>
          <w:highlight w:val="white"/>
        </w:rPr>
        <w:t>2.2</w:t>
      </w:r>
      <w:r>
        <w:rPr>
          <w:rFonts w:hint="eastAsia" w:ascii="宋体" w:hAnsi="宋体"/>
          <w:color w:val="auto"/>
          <w:sz w:val="24"/>
          <w:highlight w:val="white"/>
          <w:lang w:eastAsia="zh-CN"/>
        </w:rPr>
        <w:t>商务</w:t>
      </w:r>
      <w:r>
        <w:rPr>
          <w:rFonts w:hint="eastAsia" w:ascii="宋体" w:hAnsi="宋体"/>
          <w:color w:val="auto"/>
          <w:sz w:val="24"/>
          <w:highlight w:val="white"/>
        </w:rPr>
        <w:t>技术评审内容及标准（</w:t>
      </w:r>
      <w:r>
        <w:rPr>
          <w:rFonts w:hint="eastAsia" w:ascii="宋体" w:hAnsi="宋体"/>
          <w:color w:val="auto"/>
          <w:sz w:val="24"/>
          <w:highlight w:val="white"/>
          <w:lang w:val="en-US" w:eastAsia="zh-CN"/>
        </w:rPr>
        <w:t>70</w:t>
      </w:r>
      <w:r>
        <w:rPr>
          <w:rFonts w:hint="eastAsia" w:ascii="宋体" w:hAnsi="宋体"/>
          <w:color w:val="auto"/>
          <w:sz w:val="24"/>
          <w:highlight w:val="white"/>
        </w:rPr>
        <w:t>分）</w:t>
      </w:r>
    </w:p>
    <w:tbl>
      <w:tblPr>
        <w:tblStyle w:val="33"/>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895"/>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jc w:val="center"/>
        </w:trPr>
        <w:tc>
          <w:tcPr>
            <w:tcW w:w="178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right="0" w:rightChars="0"/>
              <w:jc w:val="center"/>
              <w:textAlignment w:val="auto"/>
              <w:outlineLvl w:val="9"/>
              <w:rPr>
                <w:rFonts w:hint="eastAsia" w:asciiTheme="minorEastAsia" w:hAnsiTheme="minorEastAsia" w:cstheme="minorEastAsia"/>
                <w:b w:val="0"/>
                <w:bCs w:val="0"/>
                <w:color w:val="auto"/>
                <w:spacing w:val="0"/>
                <w:sz w:val="21"/>
                <w:szCs w:val="21"/>
                <w:vertAlign w:val="baseline"/>
                <w:lang w:val="en-US" w:eastAsia="zh-CN"/>
              </w:rPr>
            </w:pPr>
            <w:r>
              <w:rPr>
                <w:rFonts w:hint="eastAsia" w:asciiTheme="minorEastAsia" w:hAnsiTheme="minorEastAsia" w:cstheme="minorEastAsia"/>
                <w:b w:val="0"/>
                <w:bCs w:val="0"/>
                <w:color w:val="auto"/>
                <w:spacing w:val="0"/>
                <w:sz w:val="21"/>
                <w:szCs w:val="21"/>
                <w:vertAlign w:val="baseline"/>
                <w:lang w:val="en-US" w:eastAsia="zh-CN"/>
              </w:rPr>
              <w:t>商务技术评分标准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pacing w:val="0"/>
                <w:sz w:val="22"/>
                <w:szCs w:val="22"/>
                <w:vertAlign w:val="baseline"/>
                <w:lang w:val="en-US" w:eastAsia="zh-CN"/>
              </w:rPr>
            </w:pPr>
            <w:r>
              <w:rPr>
                <w:rFonts w:hint="eastAsia" w:asciiTheme="minorEastAsia" w:hAnsiTheme="minorEastAsia" w:cstheme="minorEastAsia"/>
                <w:b w:val="0"/>
                <w:bCs w:val="0"/>
                <w:color w:val="auto"/>
                <w:spacing w:val="0"/>
                <w:sz w:val="21"/>
                <w:szCs w:val="21"/>
                <w:vertAlign w:val="baseline"/>
                <w:lang w:val="en-US" w:eastAsia="zh-CN"/>
              </w:rPr>
              <w:t>70分</w:t>
            </w:r>
          </w:p>
        </w:tc>
        <w:tc>
          <w:tcPr>
            <w:tcW w:w="189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技术性能指标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vertAlign w:val="baseline"/>
                <w:lang w:val="en-US" w:eastAsia="zh-CN"/>
              </w:rPr>
              <w:t>（30分）</w:t>
            </w: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b w:val="0"/>
                <w:bCs w:val="0"/>
                <w:color w:val="auto"/>
                <w:spacing w:val="0"/>
                <w:sz w:val="24"/>
                <w:szCs w:val="24"/>
                <w:highlight w:val="none"/>
                <w:vertAlign w:val="baseline"/>
                <w:lang w:val="en-US" w:eastAsia="zh-CN"/>
              </w:rPr>
            </w:pPr>
            <w:r>
              <w:rPr>
                <w:rFonts w:hint="eastAsia" w:ascii="宋体" w:hAnsi="宋体" w:cs="宋体"/>
                <w:b w:val="0"/>
                <w:bCs w:val="0"/>
                <w:color w:val="auto"/>
                <w:spacing w:val="0"/>
                <w:sz w:val="24"/>
                <w:szCs w:val="24"/>
                <w:highlight w:val="none"/>
                <w:vertAlign w:val="baseline"/>
                <w:lang w:val="en-US" w:eastAsia="zh-CN"/>
              </w:rPr>
              <w:t>提供货物技术指标说明及证明材料等的完整性，投标人描述的货物技术指标说明完整（如材质、制作工艺、功能特性及使用注意事项等）、提供全部货物的检验（测）报告或产品合格证或制造商公开公布的技术说明等完整且能够显示关键指标信息最全者得满分 15 分，其余根据提供信息的关键程度由评标委员会根据情况每项扣 1-2 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pacing w:val="0"/>
                <w:sz w:val="22"/>
                <w:szCs w:val="22"/>
                <w:vertAlign w:val="baseline"/>
                <w:lang w:val="en-US" w:eastAsia="zh-CN"/>
              </w:rPr>
            </w:pPr>
          </w:p>
        </w:tc>
        <w:tc>
          <w:tcPr>
            <w:tcW w:w="189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highlight w:val="none"/>
                <w:vertAlign w:val="baseline"/>
                <w:lang w:val="en-US" w:eastAsia="zh-CN"/>
              </w:rPr>
            </w:pP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default" w:ascii="宋体" w:hAnsi="宋体" w:cs="宋体"/>
                <w:b w:val="0"/>
                <w:bCs w:val="0"/>
                <w:color w:val="auto"/>
                <w:spacing w:val="0"/>
                <w:sz w:val="24"/>
                <w:szCs w:val="24"/>
                <w:highlight w:val="none"/>
                <w:vertAlign w:val="baseline"/>
                <w:lang w:val="en-US" w:eastAsia="zh-CN"/>
              </w:rPr>
            </w:pPr>
            <w:r>
              <w:rPr>
                <w:rFonts w:hint="eastAsia" w:ascii="宋体" w:hAnsi="宋体" w:cs="宋体"/>
                <w:b w:val="0"/>
                <w:bCs w:val="0"/>
                <w:color w:val="auto"/>
                <w:spacing w:val="0"/>
                <w:sz w:val="24"/>
                <w:szCs w:val="24"/>
                <w:vertAlign w:val="baseline"/>
                <w:lang w:val="en-US" w:eastAsia="zh-CN"/>
              </w:rPr>
              <w:t>根据投标文件中的货物技术指标说明与招标文件要求的响应程度，所投货物技术指标（包括使用功能等）符合情况，投标设备质量稳定性、适用性、安全可靠性、使用寿命进行综合对比评价（0-15分）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pacing w:val="0"/>
                <w:sz w:val="22"/>
                <w:szCs w:val="22"/>
                <w:vertAlign w:val="baseline"/>
                <w:lang w:val="en-US" w:eastAsia="zh-CN"/>
              </w:rPr>
            </w:pPr>
          </w:p>
        </w:tc>
        <w:tc>
          <w:tcPr>
            <w:tcW w:w="18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供货及安装方案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（5分）</w:t>
            </w: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b w:val="0"/>
                <w:bCs w:val="0"/>
                <w:color w:val="auto"/>
                <w:spacing w:val="0"/>
                <w:sz w:val="24"/>
                <w:szCs w:val="24"/>
                <w:vertAlign w:val="baseline"/>
                <w:lang w:val="en-US" w:eastAsia="zh-CN"/>
              </w:rPr>
            </w:pPr>
            <w:r>
              <w:rPr>
                <w:rFonts w:hint="eastAsia" w:ascii="宋体" w:hAnsi="宋体" w:cs="宋体"/>
                <w:b w:val="0"/>
                <w:bCs w:val="0"/>
                <w:color w:val="auto"/>
                <w:spacing w:val="0"/>
                <w:sz w:val="24"/>
                <w:szCs w:val="24"/>
                <w:vertAlign w:val="baseline"/>
                <w:lang w:val="zh-CN" w:eastAsia="zh-CN"/>
              </w:rPr>
              <w:t>对投标人编制的供货</w:t>
            </w:r>
            <w:r>
              <w:rPr>
                <w:rFonts w:hint="eastAsia" w:ascii="宋体" w:hAnsi="宋体" w:cs="宋体"/>
                <w:b w:val="0"/>
                <w:bCs w:val="0"/>
                <w:color w:val="auto"/>
                <w:spacing w:val="0"/>
                <w:sz w:val="24"/>
                <w:szCs w:val="24"/>
                <w:vertAlign w:val="baseline"/>
                <w:lang w:val="en-US" w:eastAsia="zh-CN"/>
              </w:rPr>
              <w:t>及安装</w:t>
            </w:r>
            <w:r>
              <w:rPr>
                <w:rFonts w:hint="eastAsia" w:ascii="宋体" w:hAnsi="宋体" w:cs="宋体"/>
                <w:b w:val="0"/>
                <w:bCs w:val="0"/>
                <w:color w:val="auto"/>
                <w:spacing w:val="0"/>
                <w:sz w:val="24"/>
                <w:szCs w:val="24"/>
                <w:vertAlign w:val="baseline"/>
                <w:lang w:val="zh-CN" w:eastAsia="zh-CN"/>
              </w:rPr>
              <w:t>方案具有供货组织安排、财力调配、运输、派送措施，</w:t>
            </w:r>
            <w:r>
              <w:rPr>
                <w:rFonts w:hint="eastAsia" w:ascii="宋体" w:hAnsi="宋体" w:cs="宋体"/>
                <w:b w:val="0"/>
                <w:bCs w:val="0"/>
                <w:color w:val="auto"/>
                <w:spacing w:val="0"/>
                <w:sz w:val="24"/>
                <w:szCs w:val="24"/>
                <w:vertAlign w:val="baseline"/>
                <w:lang w:val="en-US" w:eastAsia="zh-CN"/>
              </w:rPr>
              <w:t>安装调试方案等情况进行综合对比评价（0-5分）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3"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pacing w:val="0"/>
                <w:sz w:val="22"/>
                <w:szCs w:val="22"/>
                <w:vertAlign w:val="baseline"/>
                <w:lang w:val="en-US" w:eastAsia="zh-CN"/>
              </w:rPr>
            </w:pPr>
          </w:p>
        </w:tc>
        <w:tc>
          <w:tcPr>
            <w:tcW w:w="189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highlight w:val="none"/>
                <w:vertAlign w:val="baseline"/>
                <w:lang w:val="en-US" w:eastAsia="zh-CN" w:bidi="ar-SA"/>
              </w:rPr>
            </w:pPr>
            <w:r>
              <w:rPr>
                <w:rFonts w:hint="eastAsia" w:ascii="宋体" w:hAnsi="宋体" w:cs="宋体"/>
                <w:b w:val="0"/>
                <w:bCs w:val="0"/>
                <w:color w:val="auto"/>
                <w:spacing w:val="0"/>
                <w:sz w:val="21"/>
                <w:szCs w:val="21"/>
                <w:vertAlign w:val="baseline"/>
                <w:lang w:val="en-US" w:eastAsia="zh-CN"/>
              </w:rPr>
              <w:t>售后服务方案及培训计划（20分）</w:t>
            </w: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eastAsiaTheme="minorEastAsia"/>
                <w:b w:val="0"/>
                <w:bCs w:val="0"/>
                <w:color w:val="auto"/>
                <w:spacing w:val="0"/>
                <w:kern w:val="2"/>
                <w:sz w:val="24"/>
                <w:szCs w:val="24"/>
                <w:highlight w:val="none"/>
                <w:vertAlign w:val="baseline"/>
                <w:lang w:val="en-US" w:eastAsia="zh-CN" w:bidi="ar-SA"/>
              </w:rPr>
            </w:pPr>
            <w:r>
              <w:rPr>
                <w:rFonts w:hint="eastAsia" w:ascii="宋体" w:hAnsi="宋体" w:cs="宋体"/>
                <w:b w:val="0"/>
                <w:bCs w:val="0"/>
                <w:color w:val="auto"/>
                <w:spacing w:val="0"/>
                <w:sz w:val="24"/>
                <w:szCs w:val="24"/>
                <w:vertAlign w:val="baseline"/>
                <w:lang w:val="en-US" w:eastAsia="zh-CN"/>
              </w:rPr>
              <w:t>售后服务承诺细致、突出、技术力量强，服务措施完善、明确、可行 性强的得8-10分，技术力量较好，服务措施良好、基本可行的得5-7分，技术力量一般，服务措施一般、可行性一般的得1-4分，其他或缺项不得分。（售后服务包括：售前服务、售中服务、售后服务、投标产品质量承诺、培训计划保证措施及售后人员配置）（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pacing w:val="0"/>
                <w:sz w:val="22"/>
                <w:szCs w:val="22"/>
                <w:vertAlign w:val="baseline"/>
                <w:lang w:val="en-US" w:eastAsia="zh-CN"/>
              </w:rPr>
            </w:pPr>
          </w:p>
        </w:tc>
        <w:tc>
          <w:tcPr>
            <w:tcW w:w="189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b w:val="0"/>
                <w:bCs w:val="0"/>
                <w:color w:val="auto"/>
                <w:spacing w:val="0"/>
                <w:sz w:val="24"/>
                <w:szCs w:val="24"/>
                <w:vertAlign w:val="baseline"/>
                <w:lang w:val="en-US" w:eastAsia="zh-CN"/>
              </w:rPr>
            </w:pPr>
            <w:r>
              <w:rPr>
                <w:rFonts w:hint="eastAsia" w:ascii="宋体" w:hAnsi="宋体" w:cs="宋体"/>
                <w:b w:val="0"/>
                <w:bCs w:val="0"/>
                <w:color w:val="auto"/>
                <w:spacing w:val="0"/>
                <w:sz w:val="24"/>
                <w:szCs w:val="24"/>
                <w:vertAlign w:val="baseline"/>
                <w:lang w:val="en-US" w:eastAsia="zh-CN"/>
              </w:rPr>
              <w:t>投标单位在本地区具有固定的长期稳定的售后服务机构，需提供办公地点房屋买卖合同或租赁合同及彩图证明。（0-5分）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default" w:asciiTheme="minorEastAsia" w:hAnsiTheme="minorEastAsia" w:eastAsiaTheme="minorEastAsia" w:cstheme="minorEastAsia"/>
                <w:b w:val="0"/>
                <w:bCs w:val="0"/>
                <w:color w:val="auto"/>
                <w:spacing w:val="0"/>
                <w:sz w:val="22"/>
                <w:szCs w:val="22"/>
                <w:vertAlign w:val="baseline"/>
                <w:lang w:val="en-US" w:eastAsia="zh-CN"/>
              </w:rPr>
            </w:pPr>
          </w:p>
        </w:tc>
        <w:tc>
          <w:tcPr>
            <w:tcW w:w="189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eastAsiaTheme="minorEastAsia"/>
                <w:b w:val="0"/>
                <w:bCs w:val="0"/>
                <w:color w:val="auto"/>
                <w:spacing w:val="0"/>
                <w:kern w:val="2"/>
                <w:sz w:val="24"/>
                <w:szCs w:val="24"/>
                <w:vertAlign w:val="baseline"/>
                <w:lang w:val="en-US" w:eastAsia="zh-CN" w:bidi="ar-SA"/>
              </w:rPr>
            </w:pPr>
            <w:r>
              <w:rPr>
                <w:rFonts w:hint="eastAsia" w:ascii="宋体" w:hAnsi="宋体" w:cs="宋体"/>
                <w:b w:val="0"/>
                <w:bCs w:val="0"/>
                <w:color w:val="auto"/>
                <w:spacing w:val="0"/>
                <w:sz w:val="24"/>
                <w:szCs w:val="24"/>
                <w:vertAlign w:val="baseline"/>
                <w:lang w:val="en-US" w:eastAsia="zh-CN"/>
              </w:rPr>
              <w:t>各响应供应商针对本项目进行书面承诺，有违约经济处罚且书面承诺措施可行（0-5分）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cstheme="minorEastAsia"/>
                <w:b w:val="0"/>
                <w:bCs w:val="0"/>
                <w:color w:val="auto"/>
                <w:spacing w:val="0"/>
                <w:sz w:val="22"/>
                <w:szCs w:val="22"/>
                <w:vertAlign w:val="baseline"/>
                <w:lang w:val="en-US" w:eastAsia="zh-CN"/>
              </w:rPr>
            </w:pPr>
          </w:p>
        </w:tc>
        <w:tc>
          <w:tcPr>
            <w:tcW w:w="18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r>
              <w:rPr>
                <w:rFonts w:hint="eastAsia" w:asciiTheme="minorEastAsia" w:hAnsiTheme="minorEastAsia" w:cstheme="minorEastAsia"/>
                <w:b w:val="0"/>
                <w:bCs w:val="0"/>
                <w:spacing w:val="0"/>
                <w:sz w:val="21"/>
                <w:szCs w:val="21"/>
                <w:vertAlign w:val="baseline"/>
                <w:lang w:val="en-US" w:eastAsia="zh-CN"/>
              </w:rPr>
              <w:t>业绩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pacing w:val="0"/>
                <w:kern w:val="2"/>
                <w:sz w:val="18"/>
                <w:szCs w:val="18"/>
                <w:vertAlign w:val="baseline"/>
                <w:lang w:val="en-US" w:eastAsia="zh-CN" w:bidi="ar-SA"/>
              </w:rPr>
            </w:pPr>
            <w:r>
              <w:rPr>
                <w:rFonts w:hint="eastAsia" w:asciiTheme="minorEastAsia" w:hAnsiTheme="minorEastAsia" w:cstheme="minorEastAsia"/>
                <w:b w:val="0"/>
                <w:bCs w:val="0"/>
                <w:spacing w:val="0"/>
                <w:sz w:val="21"/>
                <w:szCs w:val="21"/>
                <w:vertAlign w:val="baseline"/>
                <w:lang w:val="en-US" w:eastAsia="zh-CN"/>
              </w:rPr>
              <w:t>（10分）</w:t>
            </w: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b w:val="0"/>
                <w:bCs w:val="0"/>
                <w:color w:val="auto"/>
                <w:spacing w:val="0"/>
                <w:kern w:val="2"/>
                <w:sz w:val="21"/>
                <w:szCs w:val="21"/>
                <w:vertAlign w:val="baseline"/>
                <w:lang w:val="en-US" w:eastAsia="zh-CN" w:bidi="ar-SA"/>
              </w:rPr>
            </w:pPr>
            <w:r>
              <w:rPr>
                <w:rFonts w:hint="eastAsia" w:asciiTheme="minorEastAsia" w:hAnsiTheme="minorEastAsia" w:cstheme="minorEastAsia"/>
                <w:b w:val="0"/>
                <w:bCs w:val="0"/>
                <w:spacing w:val="0"/>
                <w:sz w:val="21"/>
                <w:szCs w:val="21"/>
                <w:vertAlign w:val="baseline"/>
                <w:lang w:val="en-US" w:eastAsia="zh-CN"/>
              </w:rPr>
              <w:t>投标产品近三年销售业绩计算，每份业绩合同金额在50万（含）以下得1分；50万-100万（含）得3分；100万以上得5分，最高不超过10分</w:t>
            </w:r>
            <w:r>
              <w:rPr>
                <w:rFonts w:hint="eastAsia" w:asciiTheme="minorEastAsia" w:hAnsiTheme="minorEastAsia" w:cstheme="minorEastAsia"/>
                <w:b/>
                <w:bCs/>
                <w:color w:val="FF0000"/>
                <w:spacing w:val="0"/>
                <w:sz w:val="21"/>
                <w:szCs w:val="21"/>
                <w:vertAlign w:val="baseline"/>
                <w:lang w:val="en-US" w:eastAsia="zh-CN"/>
              </w:rPr>
              <w:t>（开标时须提供中标通知书或合同原件、签约甲方联系电话，缺任何一项不计分，如被核实为提供虚假合同，将直接取消投标资格）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cstheme="minorEastAsia"/>
                <w:b w:val="0"/>
                <w:bCs w:val="0"/>
                <w:color w:val="auto"/>
                <w:spacing w:val="0"/>
                <w:sz w:val="22"/>
                <w:szCs w:val="22"/>
                <w:vertAlign w:val="baseline"/>
                <w:lang w:val="en-US" w:eastAsia="zh-CN"/>
              </w:rPr>
            </w:pPr>
          </w:p>
        </w:tc>
        <w:tc>
          <w:tcPr>
            <w:tcW w:w="18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响应文件制作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r>
              <w:rPr>
                <w:rFonts w:hint="eastAsia" w:ascii="宋体" w:hAnsi="宋体" w:cs="宋体"/>
                <w:b w:val="0"/>
                <w:bCs w:val="0"/>
                <w:color w:val="auto"/>
                <w:spacing w:val="0"/>
                <w:sz w:val="21"/>
                <w:szCs w:val="21"/>
                <w:vertAlign w:val="baseline"/>
                <w:lang w:val="en-US" w:eastAsia="zh-CN"/>
              </w:rPr>
              <w:t>（5分）</w:t>
            </w: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eastAsiaTheme="minorEastAsia"/>
                <w:b w:val="0"/>
                <w:bCs w:val="0"/>
                <w:color w:val="auto"/>
                <w:spacing w:val="0"/>
                <w:kern w:val="2"/>
                <w:sz w:val="24"/>
                <w:szCs w:val="24"/>
                <w:vertAlign w:val="baseline"/>
                <w:lang w:val="en-US" w:eastAsia="zh-CN" w:bidi="ar-SA"/>
              </w:rPr>
            </w:pPr>
            <w:r>
              <w:rPr>
                <w:rFonts w:hint="eastAsia" w:ascii="宋体" w:hAnsi="宋体" w:cs="宋体"/>
                <w:b w:val="0"/>
                <w:bCs w:val="0"/>
                <w:color w:val="auto"/>
                <w:spacing w:val="0"/>
                <w:sz w:val="24"/>
                <w:szCs w:val="24"/>
                <w:vertAlign w:val="baseline"/>
                <w:lang w:val="en-US" w:eastAsia="zh-CN"/>
              </w:rPr>
              <w:t>根据响应文件的逻辑性、规范性、完整性、标书是否存在涂改、错页、漏页现象等方面进行综合考评（0-5分）</w:t>
            </w:r>
          </w:p>
        </w:tc>
      </w:tr>
    </w:tbl>
    <w:p>
      <w:pPr>
        <w:pStyle w:val="23"/>
        <w:bidi w:val="0"/>
        <w:rPr>
          <w:color w:val="auto"/>
        </w:rPr>
      </w:pPr>
    </w:p>
    <w:bookmarkEnd w:id="44"/>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2.3评审得分计算标准</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评标委员会按本章（二）评审标准规定的量化因素和分值进行打分，并计算出综合评估得分。</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按本章规定的评审因素和分值对报价部分计算出得分A；</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按本章规定的评审因素和分值各评审专家独立对商务技术部分进行评分，根据评审专家评分的平均值计算出各响应供应商商务技术部分得分B；</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按本章规定的评审因素和分值对其他部分计算出得分C（如有）。</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3.2.2评分分值计算保留小数点后两位，小数点后第三位“四舍五入”。</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3.2.3投标人得分=A+B+C。</w:t>
      </w:r>
    </w:p>
    <w:p>
      <w:pPr>
        <w:spacing w:line="360" w:lineRule="auto"/>
        <w:ind w:left="360"/>
        <w:rPr>
          <w:rFonts w:ascii="宋体" w:hAnsi="宋体"/>
          <w:color w:val="auto"/>
          <w:sz w:val="24"/>
          <w:highlight w:val="white"/>
        </w:rPr>
      </w:pPr>
    </w:p>
    <w:p>
      <w:pPr>
        <w:spacing w:line="360" w:lineRule="auto"/>
        <w:rPr>
          <w:rFonts w:ascii="宋体" w:hAnsi="宋体"/>
          <w:color w:val="auto"/>
          <w:sz w:val="24"/>
        </w:rPr>
      </w:pPr>
      <w:r>
        <w:rPr>
          <w:rFonts w:hint="eastAsia" w:ascii="宋体" w:hAnsi="宋体" w:cs="宋体"/>
          <w:b/>
          <w:color w:val="auto"/>
          <w:sz w:val="24"/>
        </w:rPr>
        <w:t>（三）其他</w:t>
      </w:r>
    </w:p>
    <w:p>
      <w:pPr>
        <w:spacing w:line="360" w:lineRule="auto"/>
        <w:ind w:firstLine="480" w:firstLineChars="200"/>
        <w:rPr>
          <w:rFonts w:ascii="宋体" w:hAnsi="宋体"/>
          <w:color w:val="auto"/>
          <w:sz w:val="24"/>
        </w:rPr>
      </w:pPr>
      <w:r>
        <w:rPr>
          <w:rFonts w:hint="eastAsia" w:ascii="宋体" w:hAnsi="宋体"/>
          <w:color w:val="auto"/>
          <w:sz w:val="24"/>
        </w:rPr>
        <w:t>1、参与</w:t>
      </w:r>
      <w:r>
        <w:rPr>
          <w:rFonts w:hint="eastAsia" w:ascii="宋体" w:hAnsi="宋体"/>
          <w:color w:val="auto"/>
          <w:sz w:val="24"/>
          <w:lang w:eastAsia="zh-CN"/>
        </w:rPr>
        <w:t>本项目</w:t>
      </w:r>
      <w:r>
        <w:rPr>
          <w:rFonts w:hint="eastAsia" w:ascii="宋体" w:hAnsi="宋体"/>
          <w:color w:val="auto"/>
          <w:sz w:val="24"/>
        </w:rPr>
        <w:t>采购活动的供应商被列入以下失信名单的，不得被推荐为政府采购项目中标候选人。</w:t>
      </w:r>
    </w:p>
    <w:p>
      <w:pPr>
        <w:spacing w:line="360" w:lineRule="auto"/>
        <w:ind w:firstLine="480" w:firstLineChars="200"/>
        <w:rPr>
          <w:rFonts w:ascii="宋体" w:hAnsi="宋体"/>
          <w:color w:val="auto"/>
          <w:sz w:val="24"/>
        </w:rPr>
      </w:pPr>
      <w:r>
        <w:rPr>
          <w:rFonts w:hint="eastAsia" w:ascii="宋体" w:hAnsi="宋体"/>
          <w:color w:val="auto"/>
          <w:sz w:val="24"/>
        </w:rPr>
        <w:t>（1）供应商被列入失信被执行人的；</w:t>
      </w:r>
    </w:p>
    <w:p>
      <w:pPr>
        <w:spacing w:line="360" w:lineRule="auto"/>
        <w:ind w:firstLine="480" w:firstLineChars="200"/>
        <w:rPr>
          <w:rFonts w:ascii="宋体" w:hAnsi="宋体"/>
          <w:color w:val="auto"/>
          <w:sz w:val="24"/>
        </w:rPr>
      </w:pPr>
      <w:r>
        <w:rPr>
          <w:rFonts w:hint="eastAsia" w:ascii="宋体" w:hAnsi="宋体"/>
          <w:color w:val="auto"/>
          <w:sz w:val="24"/>
        </w:rPr>
        <w:t>（2）供应商被工列入企业经营异常名录的；</w:t>
      </w:r>
    </w:p>
    <w:p>
      <w:pPr>
        <w:spacing w:line="360" w:lineRule="auto"/>
        <w:ind w:firstLine="480" w:firstLineChars="200"/>
        <w:rPr>
          <w:rFonts w:ascii="宋体" w:hAnsi="宋体"/>
          <w:color w:val="auto"/>
          <w:sz w:val="24"/>
        </w:rPr>
      </w:pPr>
      <w:r>
        <w:rPr>
          <w:rFonts w:hint="eastAsia" w:ascii="宋体" w:hAnsi="宋体"/>
          <w:color w:val="auto"/>
          <w:sz w:val="24"/>
        </w:rPr>
        <w:t>（3）供应商被列入重大税收违法案件当事人名单的；</w:t>
      </w:r>
    </w:p>
    <w:p>
      <w:pPr>
        <w:spacing w:line="360" w:lineRule="auto"/>
        <w:ind w:firstLine="480" w:firstLineChars="200"/>
        <w:rPr>
          <w:rFonts w:ascii="宋体" w:hAnsi="宋体"/>
          <w:color w:val="auto"/>
          <w:sz w:val="24"/>
        </w:rPr>
      </w:pPr>
      <w:r>
        <w:rPr>
          <w:rFonts w:hint="eastAsia" w:ascii="宋体" w:hAnsi="宋体"/>
          <w:color w:val="auto"/>
          <w:sz w:val="24"/>
        </w:rPr>
        <w:t>（4）供应商被列入政府采购严重违法失信行为记录名单的；</w:t>
      </w:r>
    </w:p>
    <w:p>
      <w:pPr>
        <w:spacing w:line="360" w:lineRule="auto"/>
        <w:ind w:firstLine="480" w:firstLineChars="200"/>
        <w:rPr>
          <w:rFonts w:ascii="宋体" w:hAnsi="宋体"/>
          <w:color w:val="auto"/>
          <w:sz w:val="24"/>
        </w:rPr>
      </w:pPr>
      <w:r>
        <w:rPr>
          <w:rFonts w:hint="eastAsia" w:ascii="宋体" w:hAnsi="宋体"/>
          <w:color w:val="auto"/>
          <w:sz w:val="24"/>
        </w:rPr>
        <w:t>2、联合体供应商，联合体任何一方存在上述不良信用记录的，视同联合体存在不良信用记录。</w:t>
      </w:r>
    </w:p>
    <w:p>
      <w:pPr>
        <w:spacing w:line="360" w:lineRule="auto"/>
        <w:ind w:firstLine="480" w:firstLineChars="200"/>
        <w:rPr>
          <w:rFonts w:ascii="宋体" w:hAnsi="宋体"/>
          <w:color w:val="auto"/>
          <w:sz w:val="24"/>
        </w:rPr>
      </w:pPr>
      <w:r>
        <w:rPr>
          <w:rFonts w:hint="eastAsia" w:ascii="宋体" w:hAnsi="宋体"/>
          <w:color w:val="auto"/>
          <w:sz w:val="24"/>
        </w:rPr>
        <w:t>3、不良信用记录查询渠道如下：</w:t>
      </w:r>
    </w:p>
    <w:p>
      <w:pPr>
        <w:spacing w:line="360" w:lineRule="auto"/>
        <w:ind w:firstLine="480" w:firstLineChars="200"/>
        <w:rPr>
          <w:rFonts w:hint="eastAsia" w:ascii="宋体" w:hAnsi="宋体"/>
          <w:color w:val="auto"/>
          <w:sz w:val="24"/>
        </w:rPr>
      </w:pPr>
      <w:r>
        <w:rPr>
          <w:rFonts w:hint="eastAsia" w:ascii="宋体" w:hAnsi="宋体"/>
          <w:color w:val="auto"/>
          <w:sz w:val="24"/>
        </w:rPr>
        <w:t>（1）失信被执行人：信用中国官网（www.creditchina.gov.cn）</w:t>
      </w:r>
    </w:p>
    <w:p>
      <w:pPr>
        <w:spacing w:line="360" w:lineRule="auto"/>
        <w:ind w:firstLine="480" w:firstLineChars="200"/>
        <w:rPr>
          <w:rFonts w:hint="eastAsia" w:ascii="宋体" w:hAnsi="宋体"/>
          <w:color w:val="auto"/>
          <w:sz w:val="24"/>
        </w:rPr>
      </w:pPr>
      <w:r>
        <w:rPr>
          <w:rFonts w:hint="eastAsia" w:ascii="宋体" w:hAnsi="宋体"/>
          <w:color w:val="auto"/>
          <w:sz w:val="24"/>
        </w:rPr>
        <w:t>（2）企业经营异常名录：</w:t>
      </w:r>
      <w:r>
        <w:rPr>
          <w:rFonts w:hint="eastAsia" w:ascii="宋体" w:hAnsi="宋体"/>
          <w:color w:val="auto"/>
          <w:sz w:val="24"/>
          <w:lang w:val="en-US" w:eastAsia="zh-CN"/>
        </w:rPr>
        <w:t>国家企业信用信息公示系统</w:t>
      </w:r>
      <w:r>
        <w:rPr>
          <w:rFonts w:hint="eastAsia" w:ascii="宋体" w:hAnsi="宋体"/>
          <w:color w:val="auto"/>
          <w:sz w:val="24"/>
        </w:rPr>
        <w:t>（</w:t>
      </w:r>
      <w:r>
        <w:rPr>
          <w:rFonts w:hint="eastAsia" w:ascii="宋体" w:hAnsi="宋体"/>
          <w:color w:val="auto"/>
          <w:sz w:val="24"/>
        </w:rPr>
        <w:fldChar w:fldCharType="begin"/>
      </w:r>
      <w:r>
        <w:rPr>
          <w:rFonts w:hint="eastAsia" w:ascii="宋体" w:hAnsi="宋体"/>
          <w:color w:val="auto"/>
          <w:sz w:val="24"/>
        </w:rPr>
        <w:instrText xml:space="preserve"> HYPERLINK "http://www.gsxt.gov.cn/index.html" </w:instrText>
      </w:r>
      <w:r>
        <w:rPr>
          <w:rFonts w:hint="eastAsia" w:ascii="宋体" w:hAnsi="宋体"/>
          <w:color w:val="auto"/>
          <w:sz w:val="24"/>
        </w:rPr>
        <w:fldChar w:fldCharType="separate"/>
      </w:r>
      <w:r>
        <w:rPr>
          <w:rFonts w:hint="eastAsia" w:ascii="宋体" w:hAnsi="宋体"/>
          <w:color w:val="auto"/>
          <w:sz w:val="24"/>
        </w:rPr>
        <w:t>http://www.gsxt.gov.cn/index.html</w:t>
      </w:r>
      <w:r>
        <w:rPr>
          <w:rFonts w:hint="eastAsia" w:ascii="宋体" w:hAnsi="宋体"/>
          <w:color w:val="auto"/>
          <w:sz w:val="24"/>
        </w:rPr>
        <w:fldChar w:fldCharType="end"/>
      </w:r>
      <w:r>
        <w:rPr>
          <w:rFonts w:hint="eastAsia" w:ascii="宋体" w:hAnsi="宋体"/>
          <w:color w:val="auto"/>
          <w:sz w:val="24"/>
        </w:rPr>
        <w:t>）</w:t>
      </w:r>
    </w:p>
    <w:p>
      <w:pPr>
        <w:spacing w:line="360" w:lineRule="auto"/>
        <w:ind w:firstLine="480" w:firstLineChars="200"/>
        <w:rPr>
          <w:rFonts w:hint="eastAsia" w:ascii="宋体" w:hAnsi="宋体"/>
          <w:color w:val="auto"/>
          <w:sz w:val="24"/>
        </w:rPr>
      </w:pPr>
      <w:r>
        <w:rPr>
          <w:rFonts w:hint="eastAsia" w:ascii="宋体" w:hAnsi="宋体"/>
          <w:color w:val="auto"/>
          <w:sz w:val="24"/>
        </w:rPr>
        <w:t>（3）重大税收违法案件当事人名单：信用中国官网（www.creditchina.gov.cn）</w:t>
      </w:r>
    </w:p>
    <w:p>
      <w:pPr>
        <w:spacing w:line="360" w:lineRule="auto"/>
        <w:ind w:firstLine="480" w:firstLineChars="200"/>
        <w:rPr>
          <w:rFonts w:hint="eastAsia" w:ascii="宋体" w:hAnsi="宋体"/>
          <w:color w:val="auto"/>
          <w:sz w:val="24"/>
        </w:rPr>
      </w:pPr>
      <w:r>
        <w:rPr>
          <w:rFonts w:hint="eastAsia" w:ascii="宋体" w:hAnsi="宋体"/>
          <w:color w:val="auto"/>
          <w:sz w:val="24"/>
        </w:rPr>
        <w:t>（4）政府采购严重违法失信行为记录名单：中国政府采购官网（www.ccgp.gov.cn）</w:t>
      </w:r>
    </w:p>
    <w:p>
      <w:pPr>
        <w:spacing w:line="360" w:lineRule="auto"/>
        <w:ind w:left="360"/>
        <w:rPr>
          <w:rFonts w:ascii="宋体" w:hAnsi="宋体"/>
          <w:color w:val="auto"/>
          <w:sz w:val="24"/>
          <w:highlight w:val="white"/>
        </w:rPr>
      </w:pPr>
    </w:p>
    <w:p>
      <w:pPr>
        <w:widowControl/>
        <w:jc w:val="center"/>
        <w:outlineLvl w:val="0"/>
        <w:rPr>
          <w:rFonts w:hint="eastAsia"/>
          <w:b/>
          <w:bCs/>
          <w:color w:val="auto"/>
          <w:sz w:val="48"/>
          <w:szCs w:val="48"/>
          <w:highlight w:val="white"/>
          <w:lang w:eastAsia="zh-CN"/>
        </w:rPr>
        <w:sectPr>
          <w:pgSz w:w="11906" w:h="16838"/>
          <w:pgMar w:top="1440" w:right="1800" w:bottom="1440" w:left="1800" w:header="851" w:footer="992" w:gutter="0"/>
          <w:pgNumType w:fmt="decimal"/>
          <w:cols w:space="720" w:num="1"/>
          <w:docGrid w:type="lines" w:linePitch="312" w:charSpace="0"/>
        </w:sectPr>
      </w:pPr>
      <w:bookmarkStart w:id="48" w:name="_Toc8071"/>
      <w:bookmarkStart w:id="49" w:name="_Hlk38275412"/>
      <w:bookmarkStart w:id="50" w:name="_Hlk38271626"/>
    </w:p>
    <w:p>
      <w:pPr>
        <w:widowControl/>
        <w:jc w:val="center"/>
        <w:outlineLvl w:val="0"/>
        <w:rPr>
          <w:rFonts w:ascii="宋体" w:hAnsi="宋体"/>
          <w:b/>
          <w:bCs/>
          <w:color w:val="auto"/>
          <w:kern w:val="44"/>
          <w:sz w:val="30"/>
          <w:szCs w:val="30"/>
        </w:rPr>
      </w:pPr>
      <w:r>
        <w:rPr>
          <w:rFonts w:hint="eastAsia"/>
          <w:b/>
          <w:bCs/>
          <w:color w:val="auto"/>
          <w:sz w:val="48"/>
          <w:szCs w:val="48"/>
          <w:highlight w:val="white"/>
          <w:lang w:eastAsia="zh-CN"/>
        </w:rPr>
        <w:t>第六章</w:t>
      </w:r>
      <w:r>
        <w:rPr>
          <w:rFonts w:hint="eastAsia"/>
          <w:color w:val="auto"/>
          <w:sz w:val="48"/>
          <w:szCs w:val="48"/>
          <w:highlight w:val="white"/>
          <w:lang w:val="en-US" w:eastAsia="zh-CN"/>
        </w:rPr>
        <w:t xml:space="preserve"> </w:t>
      </w:r>
      <w:r>
        <w:rPr>
          <w:rFonts w:hint="eastAsia" w:ascii="宋体" w:hAnsi="宋体"/>
          <w:b/>
          <w:bCs/>
          <w:color w:val="auto"/>
          <w:kern w:val="44"/>
          <w:sz w:val="48"/>
          <w:szCs w:val="48"/>
        </w:rPr>
        <w:t>竞争性磋商须知</w:t>
      </w:r>
      <w:bookmarkEnd w:id="48"/>
      <w:bookmarkEnd w:id="49"/>
    </w:p>
    <w:p>
      <w:pPr>
        <w:adjustRightInd w:val="0"/>
        <w:snapToGrid w:val="0"/>
        <w:spacing w:line="360" w:lineRule="auto"/>
        <w:rPr>
          <w:rFonts w:ascii="宋体" w:hAnsi="宋体"/>
          <w:color w:val="auto"/>
        </w:rPr>
      </w:pPr>
      <w:r>
        <w:rPr>
          <w:rFonts w:hint="eastAsia" w:ascii="宋体" w:hAnsi="宋体"/>
          <w:b/>
          <w:color w:val="auto"/>
        </w:rPr>
        <w:t>一、说明</w:t>
      </w:r>
    </w:p>
    <w:p>
      <w:pPr>
        <w:adjustRightInd w:val="0"/>
        <w:snapToGrid w:val="0"/>
        <w:spacing w:beforeLines="50" w:line="360" w:lineRule="auto"/>
        <w:rPr>
          <w:rFonts w:ascii="宋体" w:hAnsi="宋体"/>
          <w:b/>
          <w:bCs/>
          <w:color w:val="auto"/>
        </w:rPr>
      </w:pPr>
      <w:r>
        <w:rPr>
          <w:rFonts w:hint="eastAsia" w:ascii="宋体" w:hAnsi="宋体"/>
          <w:b/>
          <w:bCs/>
          <w:color w:val="auto"/>
        </w:rPr>
        <w:t>1.定义</w:t>
      </w:r>
    </w:p>
    <w:p>
      <w:pPr>
        <w:adjustRightInd w:val="0"/>
        <w:snapToGrid w:val="0"/>
        <w:spacing w:beforeLines="50" w:line="360" w:lineRule="auto"/>
        <w:ind w:firstLine="420" w:firstLineChars="200"/>
        <w:rPr>
          <w:rFonts w:ascii="宋体" w:hAnsi="宋体"/>
          <w:b/>
          <w:color w:val="auto"/>
        </w:rPr>
      </w:pPr>
      <w:r>
        <w:rPr>
          <w:rFonts w:hint="eastAsia" w:ascii="宋体" w:hAnsi="宋体"/>
          <w:color w:val="auto"/>
        </w:rPr>
        <w:t>1.1 “采购人”系指依法进行政府采购的国家机关、事业单位、团体组织。本次采购的采购人名称、地址、电话、联系人见</w:t>
      </w:r>
      <w:r>
        <w:rPr>
          <w:rFonts w:hint="eastAsia" w:ascii="宋体" w:hAnsi="宋体"/>
          <w:b/>
          <w:color w:val="auto"/>
        </w:rPr>
        <w:t>供应商须知前附表</w:t>
      </w:r>
      <w:r>
        <w:rPr>
          <w:rFonts w:hint="eastAsia" w:ascii="宋体" w:hAnsi="宋体"/>
          <w:color w:val="auto"/>
        </w:rPr>
        <w:t>。</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1.2“供应商”系指响应竞争性磋商文件要求、参加</w:t>
      </w:r>
      <w:r>
        <w:rPr>
          <w:rFonts w:hint="eastAsia" w:ascii="宋体" w:hAnsi="宋体" w:cs="宋体"/>
          <w:color w:val="auto"/>
          <w:kern w:val="0"/>
        </w:rPr>
        <w:t>竞争性磋商</w:t>
      </w:r>
      <w:r>
        <w:rPr>
          <w:rFonts w:hint="eastAsia" w:ascii="宋体" w:hAnsi="宋体" w:cs="宋体"/>
          <w:color w:val="auto"/>
          <w:kern w:val="0"/>
          <w:lang w:val="zh-CN"/>
        </w:rPr>
        <w:t>采购活动</w:t>
      </w:r>
      <w:r>
        <w:rPr>
          <w:rFonts w:hint="eastAsia" w:ascii="宋体" w:hAnsi="宋体"/>
          <w:color w:val="auto"/>
        </w:rPr>
        <w:t>的法人、其他组织或自然人。</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1.3“货物” 系指供应商按竞争性磋商文件规定,向采购人提供的各种形态和种类的物品，包括原材料、设备、产品(包括软件)及相关的其备品备件、工具、手册及其它技术资料和材料。</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1.4“服务” 系指竞争性磋商文件规定供应商应承担的系统集成、安装、调试、技术协助、校准、培训以及其它类似的义务。</w:t>
      </w:r>
    </w:p>
    <w:p>
      <w:pPr>
        <w:adjustRightInd w:val="0"/>
        <w:snapToGrid w:val="0"/>
        <w:spacing w:beforeLines="50" w:line="360" w:lineRule="auto"/>
        <w:rPr>
          <w:rFonts w:ascii="宋体" w:hAnsi="宋体"/>
          <w:b/>
          <w:bCs/>
          <w:color w:val="auto"/>
          <w:u w:val="single"/>
        </w:rPr>
      </w:pPr>
      <w:r>
        <w:rPr>
          <w:rFonts w:hint="eastAsia" w:ascii="宋体" w:hAnsi="宋体"/>
          <w:b/>
          <w:bCs/>
          <w:color w:val="auto"/>
          <w:u w:val="single"/>
        </w:rPr>
        <w:t xml:space="preserve">2.参与竞争性磋商的费用 </w:t>
      </w:r>
    </w:p>
    <w:p>
      <w:pPr>
        <w:adjustRightInd w:val="0"/>
        <w:snapToGrid w:val="0"/>
        <w:spacing w:beforeLines="50" w:line="360" w:lineRule="auto"/>
        <w:ind w:firstLine="420" w:firstLineChars="200"/>
        <w:rPr>
          <w:rFonts w:ascii="宋体" w:hAnsi="宋体"/>
          <w:color w:val="auto"/>
          <w:u w:val="single"/>
        </w:rPr>
      </w:pPr>
      <w:r>
        <w:rPr>
          <w:rFonts w:hint="eastAsia" w:ascii="宋体" w:hAnsi="宋体"/>
          <w:color w:val="auto"/>
          <w:u w:val="single"/>
        </w:rPr>
        <w:t>2.1无论竞争性磋商的结果如何，供应商应自行承担所有与</w:t>
      </w:r>
      <w:r>
        <w:rPr>
          <w:rFonts w:hint="eastAsia" w:ascii="宋体" w:hAnsi="宋体" w:cs="宋体"/>
          <w:color w:val="auto"/>
          <w:kern w:val="0"/>
          <w:u w:val="single"/>
        </w:rPr>
        <w:t>竞争性磋商</w:t>
      </w:r>
      <w:r>
        <w:rPr>
          <w:rFonts w:hint="eastAsia" w:ascii="宋体" w:hAnsi="宋体" w:cs="宋体"/>
          <w:color w:val="auto"/>
          <w:kern w:val="0"/>
          <w:u w:val="single"/>
          <w:lang w:val="zh-CN"/>
        </w:rPr>
        <w:t>采购活动</w:t>
      </w:r>
      <w:r>
        <w:rPr>
          <w:rFonts w:hint="eastAsia" w:ascii="宋体" w:hAnsi="宋体"/>
          <w:color w:val="auto"/>
          <w:u w:val="single"/>
        </w:rPr>
        <w:t>有关的全部费用。</w:t>
      </w:r>
    </w:p>
    <w:p>
      <w:pPr>
        <w:adjustRightInd w:val="0"/>
        <w:snapToGrid w:val="0"/>
        <w:spacing w:beforeLines="50" w:line="360" w:lineRule="auto"/>
        <w:rPr>
          <w:rFonts w:ascii="宋体" w:hAnsi="宋体"/>
          <w:b/>
          <w:bCs/>
          <w:color w:val="auto"/>
        </w:rPr>
      </w:pPr>
      <w:r>
        <w:rPr>
          <w:rFonts w:hint="eastAsia" w:ascii="宋体" w:hAnsi="宋体"/>
          <w:b/>
          <w:color w:val="auto"/>
        </w:rPr>
        <w:t>3．</w:t>
      </w:r>
      <w:r>
        <w:rPr>
          <w:rFonts w:hint="eastAsia" w:ascii="宋体" w:hAnsi="宋体"/>
          <w:b/>
          <w:bCs/>
          <w:color w:val="auto"/>
        </w:rPr>
        <w:t>竞争性磋商委托</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3.1 如供应商代表不是供应商的法定代表人，须持有《授权委托书》。</w:t>
      </w:r>
    </w:p>
    <w:p>
      <w:pPr>
        <w:adjustRightInd w:val="0"/>
        <w:snapToGrid w:val="0"/>
        <w:spacing w:beforeLines="50" w:line="360" w:lineRule="auto"/>
        <w:ind w:left="793" w:hanging="793" w:hangingChars="376"/>
        <w:rPr>
          <w:rFonts w:ascii="宋体" w:hAnsi="宋体"/>
          <w:b/>
          <w:color w:val="auto"/>
        </w:rPr>
      </w:pPr>
      <w:r>
        <w:rPr>
          <w:rFonts w:hint="eastAsia" w:ascii="宋体" w:hAnsi="宋体"/>
          <w:b/>
          <w:color w:val="auto"/>
        </w:rPr>
        <w:t>二、竞争性磋商文件</w:t>
      </w:r>
    </w:p>
    <w:p>
      <w:pPr>
        <w:adjustRightInd w:val="0"/>
        <w:snapToGrid w:val="0"/>
        <w:spacing w:beforeLines="50" w:line="360" w:lineRule="auto"/>
        <w:rPr>
          <w:rFonts w:ascii="宋体" w:hAnsi="宋体"/>
          <w:b/>
          <w:bCs/>
          <w:color w:val="auto"/>
        </w:rPr>
      </w:pPr>
      <w:r>
        <w:rPr>
          <w:rFonts w:hint="eastAsia" w:ascii="宋体" w:hAnsi="宋体"/>
          <w:b/>
          <w:bCs/>
          <w:color w:val="auto"/>
        </w:rPr>
        <w:t>4．竞争性磋商文件的组成</w:t>
      </w:r>
    </w:p>
    <w:p>
      <w:pPr>
        <w:adjustRightInd w:val="0"/>
        <w:snapToGrid w:val="0"/>
        <w:spacing w:beforeLines="50" w:line="360" w:lineRule="auto"/>
        <w:ind w:firstLine="315" w:firstLineChars="150"/>
        <w:rPr>
          <w:rFonts w:ascii="宋体" w:hAnsi="宋体"/>
          <w:color w:val="auto"/>
        </w:rPr>
      </w:pPr>
      <w:r>
        <w:rPr>
          <w:rFonts w:hint="eastAsia" w:ascii="宋体" w:hAnsi="宋体"/>
          <w:color w:val="auto"/>
        </w:rPr>
        <w:t xml:space="preserve"> 3.1 竞争性磋商文件由竞争性磋商文件及在竞争性磋商过程中发出的</w:t>
      </w:r>
      <w:r>
        <w:rPr>
          <w:rFonts w:hint="eastAsia" w:ascii="宋体" w:hAnsi="宋体"/>
          <w:color w:val="auto"/>
          <w:kern w:val="0"/>
          <w:lang w:val="zh-CN"/>
        </w:rPr>
        <w:t>澄清或者</w:t>
      </w:r>
      <w:r>
        <w:rPr>
          <w:rFonts w:hint="eastAsia" w:ascii="宋体" w:hAnsi="宋体"/>
          <w:color w:val="auto"/>
        </w:rPr>
        <w:t>修改文件组成。</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3.2供应商应仔细阅读</w:t>
      </w:r>
      <w:r>
        <w:rPr>
          <w:rFonts w:hint="eastAsia" w:ascii="宋体" w:hAnsi="宋体"/>
          <w:bCs/>
          <w:color w:val="auto"/>
        </w:rPr>
        <w:t>竞争性磋商文件</w:t>
      </w:r>
      <w:r>
        <w:rPr>
          <w:rFonts w:hint="eastAsia" w:ascii="宋体" w:hAnsi="宋体"/>
          <w:color w:val="auto"/>
        </w:rPr>
        <w:t>的全部内容，按照</w:t>
      </w:r>
      <w:r>
        <w:rPr>
          <w:rFonts w:hint="eastAsia" w:ascii="宋体" w:hAnsi="宋体"/>
          <w:bCs/>
          <w:color w:val="auto"/>
        </w:rPr>
        <w:t>竞争性磋商文件</w:t>
      </w:r>
      <w:r>
        <w:rPr>
          <w:rFonts w:hint="eastAsia" w:ascii="宋体" w:hAnsi="宋体"/>
          <w:color w:val="auto"/>
        </w:rPr>
        <w:t>要求编制竞争性磋商响应文件。任何对</w:t>
      </w:r>
      <w:r>
        <w:rPr>
          <w:rFonts w:hint="eastAsia" w:ascii="宋体" w:hAnsi="宋体"/>
          <w:bCs/>
          <w:color w:val="auto"/>
        </w:rPr>
        <w:t>竞争性磋商文件</w:t>
      </w:r>
      <w:r>
        <w:rPr>
          <w:rFonts w:hint="eastAsia" w:ascii="宋体" w:hAnsi="宋体"/>
          <w:color w:val="auto"/>
        </w:rPr>
        <w:t>的忽略或误解不能作为竞争性磋商响应文件存在缺陷或瑕疵的理由，其风险由供应商承担。</w:t>
      </w:r>
    </w:p>
    <w:p>
      <w:pPr>
        <w:adjustRightInd w:val="0"/>
        <w:snapToGrid w:val="0"/>
        <w:spacing w:beforeLines="50" w:line="360" w:lineRule="auto"/>
        <w:rPr>
          <w:rFonts w:ascii="宋体" w:hAnsi="宋体"/>
          <w:b/>
          <w:color w:val="auto"/>
          <w:u w:val="single"/>
        </w:rPr>
      </w:pPr>
      <w:r>
        <w:rPr>
          <w:rFonts w:hint="eastAsia" w:ascii="宋体" w:hAnsi="宋体"/>
          <w:b/>
          <w:color w:val="auto"/>
          <w:u w:val="single"/>
        </w:rPr>
        <w:t>5. 偏离</w:t>
      </w:r>
    </w:p>
    <w:p>
      <w:pPr>
        <w:widowControl/>
        <w:adjustRightInd w:val="0"/>
        <w:snapToGrid w:val="0"/>
        <w:spacing w:before="50" w:line="360" w:lineRule="auto"/>
        <w:ind w:right="97" w:rightChars="46" w:firstLine="420" w:firstLineChars="200"/>
        <w:rPr>
          <w:rFonts w:ascii="宋体" w:hAnsi="宋体"/>
          <w:color w:val="auto"/>
          <w:kern w:val="0"/>
          <w:u w:val="single"/>
        </w:rPr>
      </w:pPr>
      <w:r>
        <w:rPr>
          <w:rFonts w:hint="eastAsia" w:ascii="宋体" w:hAnsi="宋体"/>
          <w:bCs/>
          <w:color w:val="auto"/>
          <w:kern w:val="0"/>
          <w:u w:val="single"/>
        </w:rPr>
        <w:t>5.1本条所称</w:t>
      </w:r>
      <w:r>
        <w:rPr>
          <w:rFonts w:hint="eastAsia" w:ascii="宋体" w:hAnsi="宋体"/>
          <w:color w:val="auto"/>
          <w:kern w:val="0"/>
          <w:u w:val="single"/>
        </w:rPr>
        <w:t>偏离为竞争性磋商响应</w:t>
      </w:r>
      <w:r>
        <w:rPr>
          <w:rFonts w:hint="eastAsia" w:ascii="宋体" w:hAnsi="宋体"/>
          <w:bCs/>
          <w:color w:val="auto"/>
          <w:kern w:val="0"/>
          <w:u w:val="single"/>
        </w:rPr>
        <w:t>文件</w:t>
      </w:r>
      <w:r>
        <w:rPr>
          <w:rFonts w:hint="eastAsia" w:ascii="宋体" w:hAnsi="宋体"/>
          <w:color w:val="auto"/>
          <w:kern w:val="0"/>
          <w:u w:val="single"/>
        </w:rPr>
        <w:t>对</w:t>
      </w:r>
      <w:r>
        <w:rPr>
          <w:rFonts w:hint="eastAsia" w:ascii="宋体" w:hAnsi="宋体"/>
          <w:bCs/>
          <w:color w:val="auto"/>
          <w:kern w:val="0"/>
          <w:u w:val="single"/>
        </w:rPr>
        <w:t>竞争性磋商文件</w:t>
      </w:r>
      <w:r>
        <w:rPr>
          <w:rFonts w:hint="eastAsia" w:ascii="宋体" w:hAnsi="宋体"/>
          <w:color w:val="auto"/>
          <w:kern w:val="0"/>
          <w:u w:val="single"/>
        </w:rPr>
        <w:t>的偏离，即不满足、或不响应</w:t>
      </w:r>
      <w:r>
        <w:rPr>
          <w:rFonts w:hint="eastAsia" w:ascii="宋体" w:hAnsi="宋体"/>
          <w:bCs/>
          <w:color w:val="auto"/>
          <w:kern w:val="0"/>
          <w:u w:val="single"/>
        </w:rPr>
        <w:t>竞争性磋商文件</w:t>
      </w:r>
      <w:r>
        <w:rPr>
          <w:rFonts w:hint="eastAsia" w:ascii="宋体" w:hAnsi="宋体"/>
          <w:color w:val="auto"/>
          <w:kern w:val="0"/>
          <w:u w:val="single"/>
        </w:rPr>
        <w:t>的要求。偏离分为对</w:t>
      </w:r>
      <w:r>
        <w:rPr>
          <w:rFonts w:hint="eastAsia" w:ascii="宋体" w:hAnsi="宋体"/>
          <w:bCs/>
          <w:color w:val="auto"/>
          <w:kern w:val="0"/>
          <w:u w:val="single"/>
        </w:rPr>
        <w:t>竞争性磋商文件</w:t>
      </w:r>
      <w:r>
        <w:rPr>
          <w:rFonts w:hint="eastAsia" w:ascii="宋体" w:hAnsi="宋体"/>
          <w:color w:val="auto"/>
          <w:kern w:val="0"/>
          <w:u w:val="single"/>
        </w:rPr>
        <w:t>的实质性要求条款偏离和对</w:t>
      </w:r>
      <w:r>
        <w:rPr>
          <w:rFonts w:hint="eastAsia" w:ascii="宋体" w:hAnsi="宋体"/>
          <w:bCs/>
          <w:color w:val="auto"/>
          <w:kern w:val="0"/>
          <w:u w:val="single"/>
        </w:rPr>
        <w:t>竞争性磋商文件</w:t>
      </w:r>
      <w:r>
        <w:rPr>
          <w:rFonts w:hint="eastAsia" w:ascii="宋体" w:hAnsi="宋体"/>
          <w:color w:val="auto"/>
          <w:kern w:val="0"/>
          <w:u w:val="single"/>
        </w:rPr>
        <w:t>的一般商务和技术条款（参数）偏离。</w:t>
      </w:r>
    </w:p>
    <w:p>
      <w:pPr>
        <w:tabs>
          <w:tab w:val="left" w:pos="0"/>
        </w:tabs>
        <w:adjustRightInd w:val="0"/>
        <w:snapToGrid w:val="0"/>
        <w:spacing w:beforeLines="50" w:line="360" w:lineRule="auto"/>
        <w:ind w:firstLine="420" w:firstLineChars="200"/>
        <w:rPr>
          <w:rFonts w:ascii="宋体" w:hAnsi="宋体"/>
          <w:color w:val="auto"/>
        </w:rPr>
      </w:pPr>
      <w:r>
        <w:rPr>
          <w:rFonts w:hint="eastAsia" w:ascii="宋体" w:hAnsi="宋体"/>
          <w:color w:val="auto"/>
        </w:rPr>
        <w:t>5.2</w:t>
      </w:r>
      <w:r>
        <w:rPr>
          <w:rFonts w:hint="eastAsia" w:ascii="宋体" w:hAnsi="宋体"/>
          <w:bCs/>
          <w:color w:val="auto"/>
        </w:rPr>
        <w:t>竞争性磋商文件</w:t>
      </w:r>
      <w:r>
        <w:rPr>
          <w:rFonts w:hint="eastAsia" w:ascii="宋体" w:hAnsi="宋体"/>
          <w:color w:val="auto"/>
        </w:rPr>
        <w:t>中标注“*”符号的条款为实质性要求条款（即重要条款），对其中任何一条的偏离(即不满足、或不响应)，在评审时将其视为无效响应。</w:t>
      </w:r>
    </w:p>
    <w:p>
      <w:pPr>
        <w:adjustRightInd w:val="0"/>
        <w:snapToGrid w:val="0"/>
        <w:spacing w:beforeLines="50" w:line="360" w:lineRule="auto"/>
        <w:rPr>
          <w:rFonts w:ascii="宋体" w:hAnsi="宋体"/>
          <w:b/>
          <w:bCs/>
          <w:color w:val="auto"/>
        </w:rPr>
      </w:pPr>
      <w:r>
        <w:rPr>
          <w:rFonts w:hint="eastAsia" w:ascii="宋体" w:hAnsi="宋体"/>
          <w:b/>
          <w:bCs/>
          <w:color w:val="auto"/>
        </w:rPr>
        <w:t>6. 竞争性磋商文件的澄清、修改</w:t>
      </w:r>
    </w:p>
    <w:p>
      <w:pPr>
        <w:adjustRightInd w:val="0"/>
        <w:snapToGrid w:val="0"/>
        <w:spacing w:before="50" w:line="360" w:lineRule="auto"/>
        <w:ind w:right="-105" w:rightChars="-50" w:firstLine="420" w:firstLineChars="200"/>
        <w:rPr>
          <w:rFonts w:ascii="宋体" w:hAnsi="宋体"/>
          <w:color w:val="auto"/>
        </w:rPr>
      </w:pPr>
      <w:r>
        <w:rPr>
          <w:rFonts w:hint="eastAsia" w:ascii="宋体" w:hAnsi="宋体"/>
          <w:color w:val="auto"/>
        </w:rPr>
        <w:t>6.1采购代理机构或采购人</w:t>
      </w:r>
      <w:r>
        <w:rPr>
          <w:rFonts w:hint="eastAsia" w:ascii="宋体" w:hAnsi="宋体"/>
          <w:color w:val="auto"/>
          <w:kern w:val="0"/>
          <w:lang w:val="zh-CN"/>
        </w:rPr>
        <w:t>对已发出的</w:t>
      </w:r>
      <w:r>
        <w:rPr>
          <w:rFonts w:hint="eastAsia" w:ascii="宋体" w:hAnsi="宋体"/>
          <w:color w:val="auto"/>
        </w:rPr>
        <w:t>竞争性磋商文件进行必要澄清或者修改的，应在规定</w:t>
      </w:r>
      <w:r>
        <w:rPr>
          <w:rFonts w:hint="eastAsia" w:ascii="宋体" w:hAnsi="宋体"/>
          <w:color w:val="auto"/>
          <w:kern w:val="0"/>
          <w:lang w:val="zh-CN"/>
        </w:rPr>
        <w:t>递交竞争性磋商</w:t>
      </w:r>
      <w:r>
        <w:rPr>
          <w:rFonts w:hint="eastAsia" w:ascii="宋体" w:hAnsi="宋体"/>
          <w:color w:val="auto"/>
        </w:rPr>
        <w:t>响应</w:t>
      </w:r>
      <w:r>
        <w:rPr>
          <w:rFonts w:hint="eastAsia" w:ascii="宋体" w:hAnsi="宋体"/>
          <w:color w:val="auto"/>
          <w:kern w:val="0"/>
          <w:lang w:val="zh-CN"/>
        </w:rPr>
        <w:t>文件截止时间</w:t>
      </w:r>
      <w:r>
        <w:rPr>
          <w:rFonts w:hint="eastAsia" w:ascii="宋体" w:hAnsi="宋体"/>
          <w:color w:val="auto"/>
        </w:rPr>
        <w:t>前通知被邀请参加竞争性磋商的供应商，采购人或代理机构不承担未及时关注的责任情形。澄清或修改的内容为竞争性磋商文件的组成部分。</w:t>
      </w:r>
    </w:p>
    <w:p>
      <w:pPr>
        <w:autoSpaceDE w:val="0"/>
        <w:autoSpaceDN w:val="0"/>
        <w:adjustRightInd w:val="0"/>
        <w:snapToGrid w:val="0"/>
        <w:spacing w:beforeLines="50" w:line="360" w:lineRule="auto"/>
        <w:ind w:firstLine="420" w:firstLineChars="200"/>
        <w:jc w:val="left"/>
        <w:rPr>
          <w:rFonts w:ascii="宋体" w:hAnsi="宋体"/>
          <w:color w:val="auto"/>
          <w:kern w:val="0"/>
          <w:lang w:val="zh-CN"/>
        </w:rPr>
      </w:pPr>
      <w:r>
        <w:rPr>
          <w:rFonts w:hint="eastAsia" w:ascii="宋体" w:hAnsi="宋体"/>
          <w:color w:val="auto"/>
        </w:rPr>
        <w:t>6.2 发出澄清或修改文件的日期距规定的</w:t>
      </w:r>
      <w:r>
        <w:rPr>
          <w:rFonts w:hint="eastAsia" w:ascii="宋体" w:hAnsi="宋体"/>
          <w:color w:val="auto"/>
          <w:kern w:val="0"/>
          <w:lang w:val="zh-CN"/>
        </w:rPr>
        <w:t>递交竞争性磋商</w:t>
      </w:r>
      <w:r>
        <w:rPr>
          <w:rFonts w:hint="eastAsia" w:ascii="宋体" w:hAnsi="宋体"/>
          <w:color w:val="auto"/>
        </w:rPr>
        <w:t>响应</w:t>
      </w:r>
      <w:r>
        <w:rPr>
          <w:rFonts w:hint="eastAsia" w:ascii="宋体" w:hAnsi="宋体"/>
          <w:color w:val="auto"/>
          <w:kern w:val="0"/>
          <w:lang w:val="zh-CN"/>
        </w:rPr>
        <w:t>文件截止时间</w:t>
      </w:r>
      <w:r>
        <w:rPr>
          <w:rFonts w:hint="eastAsia" w:ascii="宋体" w:hAnsi="宋体"/>
          <w:color w:val="auto"/>
        </w:rPr>
        <w:t>不足</w:t>
      </w:r>
      <w:r>
        <w:rPr>
          <w:rFonts w:hint="eastAsia" w:ascii="宋体" w:hAnsi="宋体"/>
          <w:bCs/>
          <w:color w:val="auto"/>
        </w:rPr>
        <w:t>三个工作</w:t>
      </w:r>
      <w:r>
        <w:rPr>
          <w:rFonts w:hint="eastAsia" w:ascii="宋体" w:hAnsi="宋体"/>
          <w:color w:val="auto"/>
        </w:rPr>
        <w:t>日的，应当顺延</w:t>
      </w:r>
      <w:r>
        <w:rPr>
          <w:rFonts w:hint="eastAsia" w:ascii="宋体" w:hAnsi="宋体"/>
          <w:color w:val="auto"/>
          <w:kern w:val="0"/>
          <w:lang w:val="zh-CN"/>
        </w:rPr>
        <w:t>递交竞争性磋商</w:t>
      </w:r>
      <w:r>
        <w:rPr>
          <w:rFonts w:hint="eastAsia" w:ascii="宋体" w:hAnsi="宋体"/>
          <w:color w:val="auto"/>
        </w:rPr>
        <w:t>响应</w:t>
      </w:r>
      <w:r>
        <w:rPr>
          <w:rFonts w:hint="eastAsia" w:ascii="宋体" w:hAnsi="宋体"/>
          <w:color w:val="auto"/>
          <w:kern w:val="0"/>
          <w:lang w:val="zh-CN"/>
        </w:rPr>
        <w:t>文件截止时间</w:t>
      </w:r>
      <w:r>
        <w:rPr>
          <w:rFonts w:hint="eastAsia" w:ascii="宋体" w:hAnsi="宋体"/>
          <w:color w:val="auto"/>
        </w:rPr>
        <w:t>。</w:t>
      </w:r>
    </w:p>
    <w:p>
      <w:pPr>
        <w:adjustRightInd w:val="0"/>
        <w:snapToGrid w:val="0"/>
        <w:spacing w:beforeLines="50" w:line="360" w:lineRule="auto"/>
        <w:rPr>
          <w:rFonts w:ascii="宋体" w:hAnsi="宋体"/>
          <w:b/>
          <w:color w:val="auto"/>
        </w:rPr>
      </w:pPr>
      <w:r>
        <w:rPr>
          <w:rFonts w:hint="eastAsia" w:ascii="宋体" w:hAnsi="宋体"/>
          <w:b/>
          <w:color w:val="auto"/>
        </w:rPr>
        <w:t>三、竞争性磋商响应文件</w:t>
      </w:r>
    </w:p>
    <w:p>
      <w:pPr>
        <w:adjustRightInd w:val="0"/>
        <w:snapToGrid w:val="0"/>
        <w:spacing w:beforeLines="50" w:line="360" w:lineRule="auto"/>
        <w:rPr>
          <w:rFonts w:ascii="宋体" w:hAnsi="宋体"/>
          <w:b/>
          <w:bCs/>
          <w:color w:val="auto"/>
        </w:rPr>
      </w:pPr>
      <w:r>
        <w:rPr>
          <w:rFonts w:hint="eastAsia" w:ascii="宋体" w:hAnsi="宋体"/>
          <w:b/>
          <w:bCs/>
          <w:color w:val="auto"/>
        </w:rPr>
        <w:t>7.一般要求</w:t>
      </w:r>
    </w:p>
    <w:p>
      <w:pPr>
        <w:autoSpaceDE w:val="0"/>
        <w:autoSpaceDN w:val="0"/>
        <w:adjustRightInd w:val="0"/>
        <w:snapToGrid w:val="0"/>
        <w:spacing w:beforeLines="50" w:line="360" w:lineRule="auto"/>
        <w:ind w:firstLine="420" w:firstLineChars="200"/>
        <w:rPr>
          <w:rFonts w:ascii="宋体" w:hAnsi="宋体" w:cs="宋体"/>
          <w:color w:val="auto"/>
          <w:kern w:val="0"/>
          <w:lang w:val="zh-CN"/>
        </w:rPr>
      </w:pPr>
      <w:r>
        <w:rPr>
          <w:rFonts w:hint="eastAsia" w:ascii="宋体" w:hAnsi="宋体"/>
          <w:bCs/>
          <w:color w:val="auto"/>
        </w:rPr>
        <w:t>7.1 供应商应仔细阅读竞争性磋商文件的所有内容，按竞争性磋商文件的要求</w:t>
      </w:r>
      <w:r>
        <w:rPr>
          <w:rFonts w:hint="eastAsia" w:ascii="宋体" w:hAnsi="宋体" w:cs="宋体"/>
          <w:color w:val="auto"/>
          <w:kern w:val="0"/>
          <w:lang w:val="zh-CN"/>
        </w:rPr>
        <w:t>依法真实</w:t>
      </w:r>
      <w:r>
        <w:rPr>
          <w:rFonts w:hint="eastAsia" w:ascii="宋体" w:hAnsi="宋体"/>
          <w:bCs/>
          <w:color w:val="auto"/>
        </w:rPr>
        <w:t>编制竞争性磋商</w:t>
      </w:r>
      <w:r>
        <w:rPr>
          <w:rFonts w:hint="eastAsia" w:ascii="宋体" w:hAnsi="宋体"/>
          <w:color w:val="auto"/>
        </w:rPr>
        <w:t>响应</w:t>
      </w:r>
      <w:r>
        <w:rPr>
          <w:rFonts w:hint="eastAsia" w:ascii="宋体" w:hAnsi="宋体"/>
          <w:bCs/>
          <w:color w:val="auto"/>
        </w:rPr>
        <w:t>文件，</w:t>
      </w:r>
      <w:r>
        <w:rPr>
          <w:rFonts w:hint="eastAsia" w:ascii="宋体" w:hAnsi="宋体" w:cs="宋体"/>
          <w:color w:val="auto"/>
          <w:kern w:val="0"/>
          <w:lang w:val="zh-CN"/>
        </w:rPr>
        <w:t>并对其递交的竞争性磋商</w:t>
      </w:r>
      <w:r>
        <w:rPr>
          <w:rFonts w:hint="eastAsia" w:ascii="宋体" w:hAnsi="宋体"/>
          <w:color w:val="auto"/>
        </w:rPr>
        <w:t>响应</w:t>
      </w:r>
      <w:r>
        <w:rPr>
          <w:rFonts w:hint="eastAsia" w:ascii="宋体" w:hAnsi="宋体" w:cs="宋体"/>
          <w:color w:val="auto"/>
          <w:kern w:val="0"/>
          <w:lang w:val="zh-CN"/>
        </w:rPr>
        <w:t>文件承担法律责任。</w:t>
      </w:r>
    </w:p>
    <w:p>
      <w:pPr>
        <w:autoSpaceDE w:val="0"/>
        <w:autoSpaceDN w:val="0"/>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 xml:space="preserve">7.2 </w:t>
      </w:r>
      <w:r>
        <w:rPr>
          <w:rFonts w:hint="eastAsia" w:ascii="宋体" w:hAnsi="宋体"/>
          <w:color w:val="auto"/>
        </w:rPr>
        <w:t>供应商提交的竞争性磋商响应文件及供应商与采购代理机构、评标委员会就有关竞争性磋商的所有来往函电均使用中文。供应商可以提交其它语言的资料，但有关响应内容应附中文注释，在有差异时以中文为准。</w:t>
      </w:r>
    </w:p>
    <w:p>
      <w:pPr>
        <w:adjustRightInd w:val="0"/>
        <w:snapToGrid w:val="0"/>
        <w:spacing w:beforeLines="50" w:line="360" w:lineRule="auto"/>
        <w:ind w:firstLine="420" w:firstLineChars="200"/>
        <w:rPr>
          <w:rFonts w:ascii="宋体" w:hAnsi="宋体"/>
          <w:color w:val="auto"/>
        </w:rPr>
      </w:pPr>
      <w:r>
        <w:rPr>
          <w:rFonts w:hint="eastAsia" w:ascii="宋体" w:hAnsi="宋体"/>
          <w:bCs/>
          <w:color w:val="auto"/>
        </w:rPr>
        <w:t xml:space="preserve">7.3 </w:t>
      </w:r>
      <w:r>
        <w:rPr>
          <w:rFonts w:hint="eastAsia" w:ascii="宋体" w:hAnsi="宋体"/>
          <w:color w:val="auto"/>
        </w:rPr>
        <w:t>计量单位应使用我国法定计量单位。</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7.4 竞争性磋商响应文件应采用书面形式，电报、传真形式的竞争性磋商响应文件概不接受。</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7.5 供应商应按竞争性磋商文件中提供的竞争性磋商响应文件格式填写。</w:t>
      </w:r>
    </w:p>
    <w:p>
      <w:pPr>
        <w:adjustRightInd w:val="0"/>
        <w:snapToGrid w:val="0"/>
        <w:spacing w:beforeLines="50" w:line="360" w:lineRule="auto"/>
        <w:rPr>
          <w:rFonts w:ascii="宋体" w:hAnsi="宋体"/>
          <w:b/>
          <w:bCs/>
          <w:color w:val="auto"/>
        </w:rPr>
      </w:pPr>
      <w:r>
        <w:rPr>
          <w:rFonts w:hint="eastAsia" w:ascii="宋体" w:hAnsi="宋体"/>
          <w:b/>
          <w:bCs/>
          <w:color w:val="auto"/>
        </w:rPr>
        <w:t>8.</w:t>
      </w:r>
      <w:r>
        <w:rPr>
          <w:rFonts w:hint="eastAsia" w:ascii="宋体" w:hAnsi="宋体"/>
          <w:b/>
          <w:color w:val="auto"/>
        </w:rPr>
        <w:t>竞争性磋商响应文件</w:t>
      </w:r>
      <w:r>
        <w:rPr>
          <w:rFonts w:hint="eastAsia" w:ascii="宋体" w:hAnsi="宋体"/>
          <w:b/>
          <w:bCs/>
          <w:color w:val="auto"/>
        </w:rPr>
        <w:t>的组成</w:t>
      </w:r>
    </w:p>
    <w:p>
      <w:pPr>
        <w:adjustRightInd w:val="0"/>
        <w:snapToGrid w:val="0"/>
        <w:spacing w:beforeLines="50" w:line="360" w:lineRule="auto"/>
        <w:ind w:firstLine="420" w:firstLineChars="200"/>
        <w:rPr>
          <w:rFonts w:hAnsi="宋体"/>
          <w:color w:val="auto"/>
        </w:rPr>
      </w:pPr>
      <w:r>
        <w:rPr>
          <w:rFonts w:hint="eastAsia" w:ascii="宋体" w:hAnsi="宋体"/>
          <w:color w:val="auto"/>
        </w:rPr>
        <w:t>8.1 竞争性磋商响应文件</w:t>
      </w:r>
      <w:r>
        <w:rPr>
          <w:rFonts w:hint="eastAsia" w:hAnsi="宋体"/>
          <w:color w:val="auto"/>
        </w:rPr>
        <w:t>包括下列内容：</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（1）竞争性磋商响应函</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（2）磋商报价表</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（3）法定代表人身份证明书、法定代表人授权书</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（4）磋商保证金交纳凭证</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（5）反商业贿赂承诺书</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（6）商务和技术偏差表</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（7）响应供应商概况</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（8）企业信誉情况</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（9）供应商响应货物技术性能指标的详细描述</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default" w:ascii="宋体" w:hAnsi="宋体"/>
          <w:color w:val="auto"/>
          <w:lang w:val="en-US" w:eastAsia="zh-CN"/>
        </w:rPr>
      </w:pPr>
      <w:r>
        <w:rPr>
          <w:rFonts w:hint="eastAsia" w:ascii="宋体" w:hAnsi="宋体"/>
          <w:color w:val="auto"/>
          <w:lang w:val="en-US" w:eastAsia="zh-CN"/>
        </w:rPr>
        <w:t>（10）供货及安装方案</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（11）售后服务方案及培训计划</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（12）其他资料</w:t>
      </w:r>
    </w:p>
    <w:p>
      <w:pPr>
        <w:adjustRightInd w:val="0"/>
        <w:snapToGrid w:val="0"/>
        <w:spacing w:beforeLines="50" w:line="360" w:lineRule="auto"/>
        <w:ind w:firstLine="420" w:firstLineChars="200"/>
        <w:rPr>
          <w:rFonts w:hint="default" w:ascii="宋体" w:hAnsi="宋体"/>
          <w:color w:val="auto"/>
          <w:lang w:val="en-US" w:eastAsia="zh-CN"/>
        </w:rPr>
      </w:pPr>
      <w:r>
        <w:rPr>
          <w:rFonts w:hint="eastAsia" w:ascii="宋体" w:hAnsi="宋体"/>
          <w:color w:val="auto"/>
          <w:lang w:val="en-US" w:eastAsia="zh-CN"/>
        </w:rPr>
        <w:t>8.2 投标人应按8.1条及“第七章响应文件格式”目录及表格编制投标响应文件。</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8.</w:t>
      </w:r>
      <w:r>
        <w:rPr>
          <w:rFonts w:hint="eastAsia" w:ascii="宋体" w:hAnsi="宋体"/>
          <w:color w:val="auto"/>
          <w:lang w:val="en-US" w:eastAsia="zh-CN"/>
        </w:rPr>
        <w:t>3</w:t>
      </w:r>
      <w:r>
        <w:rPr>
          <w:rFonts w:hint="eastAsia" w:ascii="宋体" w:hAnsi="宋体"/>
          <w:color w:val="auto"/>
        </w:rPr>
        <w:t xml:space="preserve"> 根据《中华人民共和国政府采购法》第四十二条的规定，供应商无论成交与否，其竞争性磋商响应文件不予退还。</w:t>
      </w:r>
    </w:p>
    <w:p>
      <w:pPr>
        <w:adjustRightInd w:val="0"/>
        <w:snapToGrid w:val="0"/>
        <w:spacing w:beforeLines="50" w:line="360" w:lineRule="auto"/>
        <w:rPr>
          <w:rFonts w:ascii="宋体" w:hAnsi="宋体"/>
          <w:b/>
          <w:bCs/>
          <w:color w:val="auto"/>
        </w:rPr>
      </w:pPr>
      <w:r>
        <w:rPr>
          <w:rFonts w:hint="eastAsia" w:ascii="宋体" w:hAnsi="宋体"/>
          <w:b/>
          <w:bCs/>
          <w:color w:val="auto"/>
        </w:rPr>
        <w:t>9.报价</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9.1供应商应当根据竞争性磋商文件要求和范围，以</w:t>
      </w:r>
      <w:r>
        <w:rPr>
          <w:rFonts w:hint="eastAsia" w:ascii="宋体" w:hAnsi="宋体"/>
          <w:bCs/>
          <w:color w:val="auto"/>
        </w:rPr>
        <w:t>人民币</w:t>
      </w:r>
      <w:r>
        <w:rPr>
          <w:rFonts w:hint="eastAsia" w:ascii="宋体" w:hAnsi="宋体"/>
          <w:color w:val="auto"/>
        </w:rPr>
        <w:t>报价。</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9.2竞争性磋商响应文件中标明的价格在合同执行过程中是固定不变的，不得以任何理由予以变更。以可变动价格提交的报价将被认为是非实质响应采购要求而被拒绝。</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9.3除</w:t>
      </w:r>
      <w:r>
        <w:rPr>
          <w:rFonts w:hint="eastAsia" w:ascii="宋体" w:hAnsi="宋体"/>
          <w:b/>
          <w:color w:val="auto"/>
        </w:rPr>
        <w:t>供应商须知前附表</w:t>
      </w:r>
      <w:r>
        <w:rPr>
          <w:rFonts w:hint="eastAsia" w:ascii="宋体" w:hAnsi="宋体"/>
          <w:color w:val="auto"/>
        </w:rPr>
        <w:t>中另有规定外，本次采购不接受备选方案报价。</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9.4采购项目预算见</w:t>
      </w:r>
      <w:r>
        <w:rPr>
          <w:rFonts w:hint="eastAsia" w:ascii="宋体" w:hAnsi="宋体"/>
          <w:b/>
          <w:color w:val="auto"/>
        </w:rPr>
        <w:t>供应商须知前附表</w:t>
      </w:r>
      <w:r>
        <w:rPr>
          <w:rFonts w:hint="eastAsia" w:ascii="宋体" w:hAnsi="宋体"/>
          <w:color w:val="auto"/>
        </w:rPr>
        <w:t>，</w:t>
      </w:r>
      <w:r>
        <w:rPr>
          <w:rFonts w:hint="eastAsia" w:ascii="宋体" w:hAnsi="宋体" w:cs="宋体"/>
          <w:color w:val="auto"/>
          <w:kern w:val="0"/>
          <w:lang w:val="zh-CN"/>
        </w:rPr>
        <w:t>供应商</w:t>
      </w:r>
      <w:r>
        <w:rPr>
          <w:rFonts w:hint="eastAsia" w:ascii="宋体" w:hAnsi="宋体"/>
          <w:color w:val="auto"/>
        </w:rPr>
        <w:t>的报价不得超过</w:t>
      </w:r>
      <w:r>
        <w:rPr>
          <w:rFonts w:hint="eastAsia" w:ascii="宋体" w:hAnsi="宋体"/>
          <w:color w:val="auto"/>
          <w:lang w:eastAsia="zh-CN"/>
        </w:rPr>
        <w:t>或等于</w:t>
      </w:r>
      <w:r>
        <w:rPr>
          <w:rFonts w:hint="eastAsia" w:ascii="宋体" w:hAnsi="宋体"/>
          <w:color w:val="auto"/>
        </w:rPr>
        <w:t>采购项目预算。</w:t>
      </w:r>
    </w:p>
    <w:p>
      <w:pPr>
        <w:adjustRightInd w:val="0"/>
        <w:snapToGrid w:val="0"/>
        <w:spacing w:beforeLines="50" w:line="360" w:lineRule="auto"/>
        <w:rPr>
          <w:rFonts w:ascii="宋体" w:hAnsi="宋体"/>
          <w:b/>
          <w:bCs/>
          <w:color w:val="auto"/>
        </w:rPr>
      </w:pPr>
      <w:r>
        <w:rPr>
          <w:rFonts w:hint="eastAsia" w:ascii="宋体" w:hAnsi="宋体"/>
          <w:b/>
          <w:bCs/>
          <w:color w:val="auto"/>
        </w:rPr>
        <w:t>10.供应商符合竞争性磋商文件规定的证明文件</w:t>
      </w:r>
    </w:p>
    <w:p>
      <w:pPr>
        <w:adjustRightInd w:val="0"/>
        <w:snapToGrid w:val="0"/>
        <w:spacing w:beforeLines="50" w:line="360" w:lineRule="auto"/>
        <w:ind w:firstLine="420" w:firstLineChars="200"/>
        <w:rPr>
          <w:rFonts w:ascii="宋体" w:hAnsi="宋体" w:cs="宋体"/>
          <w:color w:val="auto"/>
          <w:kern w:val="0"/>
          <w:lang w:val="zh-CN"/>
        </w:rPr>
      </w:pPr>
      <w:r>
        <w:rPr>
          <w:rFonts w:hint="eastAsia" w:ascii="宋体" w:hAnsi="宋体" w:cs="宋体"/>
          <w:color w:val="auto"/>
          <w:kern w:val="0"/>
          <w:lang w:val="zh-CN"/>
        </w:rPr>
        <w:t>10.1供应商应</w:t>
      </w:r>
      <w:r>
        <w:rPr>
          <w:rFonts w:hint="eastAsia" w:ascii="宋体" w:hAnsi="宋体"/>
          <w:color w:val="auto"/>
        </w:rPr>
        <w:t>提供</w:t>
      </w:r>
      <w:r>
        <w:rPr>
          <w:rFonts w:hint="eastAsia" w:ascii="宋体" w:hAnsi="宋体" w:cs="宋体"/>
          <w:color w:val="auto"/>
          <w:kern w:val="0"/>
          <w:lang w:val="zh-CN"/>
        </w:rPr>
        <w:t>符合竞争性磋商文件</w:t>
      </w:r>
      <w:r>
        <w:rPr>
          <w:rFonts w:hint="eastAsia" w:ascii="宋体" w:hAnsi="宋体"/>
          <w:color w:val="auto"/>
        </w:rPr>
        <w:t>规定的资格条件要求</w:t>
      </w:r>
      <w:r>
        <w:rPr>
          <w:rFonts w:hint="eastAsia" w:ascii="宋体" w:hAnsi="宋体" w:cs="宋体"/>
          <w:color w:val="auto"/>
          <w:kern w:val="0"/>
          <w:lang w:val="zh-CN"/>
        </w:rPr>
        <w:t>的证明材料。</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10.2除</w:t>
      </w:r>
      <w:r>
        <w:rPr>
          <w:rFonts w:hint="eastAsia" w:ascii="宋体" w:hAnsi="宋体"/>
          <w:b/>
          <w:color w:val="auto"/>
        </w:rPr>
        <w:t>供应商须知前附表</w:t>
      </w:r>
      <w:r>
        <w:rPr>
          <w:rFonts w:hint="eastAsia" w:ascii="宋体" w:hAnsi="宋体"/>
          <w:color w:val="auto"/>
        </w:rPr>
        <w:t>另有规定外，</w:t>
      </w:r>
      <w:r>
        <w:rPr>
          <w:rFonts w:hint="eastAsia" w:ascii="宋体" w:hAnsi="宋体" w:cs="宋体"/>
          <w:color w:val="auto"/>
          <w:kern w:val="0"/>
          <w:lang w:val="zh-CN"/>
        </w:rPr>
        <w:t>供应商</w:t>
      </w:r>
      <w:r>
        <w:rPr>
          <w:rFonts w:hint="eastAsia" w:ascii="宋体" w:hAnsi="宋体"/>
          <w:color w:val="auto"/>
        </w:rPr>
        <w:t>提供的货物及服务不是</w:t>
      </w:r>
      <w:r>
        <w:rPr>
          <w:rFonts w:hint="eastAsia" w:ascii="宋体" w:hAnsi="宋体" w:cs="宋体"/>
          <w:color w:val="auto"/>
          <w:kern w:val="0"/>
          <w:lang w:val="zh-CN"/>
        </w:rPr>
        <w:t>供应商</w:t>
      </w:r>
      <w:r>
        <w:rPr>
          <w:rFonts w:hint="eastAsia" w:ascii="宋体" w:hAnsi="宋体"/>
          <w:color w:val="auto"/>
        </w:rPr>
        <w:t>制造或拥有的</w:t>
      </w:r>
      <w:r>
        <w:rPr>
          <w:rFonts w:ascii="宋体" w:hAnsi="宋体"/>
          <w:color w:val="auto"/>
        </w:rPr>
        <w:t>,</w:t>
      </w:r>
      <w:r>
        <w:rPr>
          <w:rFonts w:hint="eastAsia" w:ascii="宋体" w:hAnsi="宋体"/>
          <w:color w:val="auto"/>
        </w:rPr>
        <w:t>则应当提供经销、或代理采购货物、或为采购货物提供售后服务的证明文件。否则将视为非实质响应而被拒绝。</w:t>
      </w:r>
    </w:p>
    <w:p>
      <w:pPr>
        <w:adjustRightInd w:val="0"/>
        <w:snapToGrid w:val="0"/>
        <w:spacing w:beforeLines="50" w:line="360" w:lineRule="auto"/>
        <w:rPr>
          <w:rFonts w:ascii="宋体" w:hAnsi="宋体"/>
          <w:b/>
          <w:bCs/>
          <w:color w:val="auto"/>
        </w:rPr>
      </w:pPr>
      <w:r>
        <w:rPr>
          <w:rFonts w:hint="eastAsia" w:ascii="宋体" w:hAnsi="宋体"/>
          <w:b/>
          <w:bCs/>
          <w:color w:val="auto"/>
        </w:rPr>
        <w:t>11.货物符合竞争性磋商文件规定的证明文件</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11.1 供应商须提交证明其拟供货物及其服务符合竞争性磋商文件规定的响应性文件，作为竞争性磋商竞争性磋商的一部分。</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11.2 证明货物及其服务与竞争性磋商文件要求一致的文件，可以是文字资料、图纸和数据，并须提供：</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（1）货物主要性能和参数的详细说明；</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（2）对照竞争性磋商文件技术规格，逐条说明所提供货物和服务对技术规格响应与偏离表，并申明技术规格条文的响应或偏离。对有具体参数要求的指标，</w:t>
      </w:r>
      <w:r>
        <w:rPr>
          <w:rFonts w:hint="eastAsia" w:ascii="宋体" w:hAnsi="宋体"/>
          <w:bCs/>
          <w:color w:val="auto"/>
        </w:rPr>
        <w:t>供应商</w:t>
      </w:r>
      <w:r>
        <w:rPr>
          <w:rFonts w:hint="eastAsia" w:ascii="宋体" w:hAnsi="宋体"/>
          <w:color w:val="auto"/>
        </w:rPr>
        <w:t>应提供具体参数值。</w:t>
      </w:r>
    </w:p>
    <w:p>
      <w:pPr>
        <w:adjustRightInd w:val="0"/>
        <w:snapToGrid w:val="0"/>
        <w:spacing w:beforeLines="50" w:line="360" w:lineRule="auto"/>
        <w:rPr>
          <w:rFonts w:ascii="宋体" w:hAnsi="宋体"/>
          <w:b/>
          <w:bCs/>
          <w:color w:val="auto"/>
        </w:rPr>
      </w:pPr>
      <w:r>
        <w:rPr>
          <w:rFonts w:hint="eastAsia" w:ascii="宋体" w:hAnsi="宋体"/>
          <w:b/>
          <w:bCs/>
          <w:color w:val="auto"/>
        </w:rPr>
        <w:t>12.保证金</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12.1</w:t>
      </w:r>
      <w:r>
        <w:rPr>
          <w:rFonts w:hint="eastAsia" w:ascii="宋体" w:hAnsi="宋体"/>
          <w:b/>
          <w:color w:val="auto"/>
        </w:rPr>
        <w:t>供应商须知前附表</w:t>
      </w:r>
      <w:r>
        <w:rPr>
          <w:rFonts w:hint="eastAsia" w:ascii="宋体" w:hAnsi="宋体"/>
          <w:color w:val="auto"/>
        </w:rPr>
        <w:t>规定交纳</w:t>
      </w:r>
      <w:r>
        <w:rPr>
          <w:rFonts w:hint="eastAsia" w:ascii="宋体" w:hAnsi="宋体"/>
          <w:bCs/>
          <w:color w:val="auto"/>
        </w:rPr>
        <w:t>保证金的</w:t>
      </w:r>
      <w:r>
        <w:rPr>
          <w:rFonts w:hint="eastAsia" w:ascii="宋体" w:hAnsi="宋体"/>
          <w:color w:val="auto"/>
        </w:rPr>
        <w:t>，</w:t>
      </w:r>
      <w:r>
        <w:rPr>
          <w:rFonts w:hint="eastAsia" w:ascii="宋体" w:hAnsi="宋体"/>
          <w:bCs/>
          <w:color w:val="auto"/>
        </w:rPr>
        <w:t>供应商应</w:t>
      </w:r>
      <w:r>
        <w:rPr>
          <w:rFonts w:hint="eastAsia" w:ascii="宋体" w:hAnsi="宋体"/>
          <w:color w:val="auto"/>
        </w:rPr>
        <w:t>按</w:t>
      </w:r>
      <w:r>
        <w:rPr>
          <w:rFonts w:hint="eastAsia" w:ascii="宋体" w:hAnsi="宋体"/>
          <w:b/>
          <w:color w:val="auto"/>
        </w:rPr>
        <w:t>供应商须知前附表</w:t>
      </w:r>
      <w:r>
        <w:rPr>
          <w:rFonts w:hint="eastAsia" w:ascii="宋体" w:hAnsi="宋体"/>
          <w:color w:val="auto"/>
        </w:rPr>
        <w:t>规定的要求提交保证金，</w:t>
      </w:r>
      <w:r>
        <w:rPr>
          <w:rFonts w:hint="eastAsia" w:ascii="宋体" w:hAnsi="宋体"/>
          <w:bCs/>
          <w:color w:val="auto"/>
        </w:rPr>
        <w:t>保证金有效期应当与</w:t>
      </w:r>
      <w:r>
        <w:rPr>
          <w:rFonts w:hint="eastAsia" w:ascii="宋体" w:hAnsi="宋体"/>
          <w:color w:val="auto"/>
        </w:rPr>
        <w:t>规定</w:t>
      </w:r>
      <w:r>
        <w:rPr>
          <w:rFonts w:hint="eastAsia" w:ascii="宋体" w:hAnsi="宋体" w:cs="宋体"/>
          <w:color w:val="auto"/>
          <w:kern w:val="0"/>
          <w:lang w:val="zh-CN"/>
        </w:rPr>
        <w:t>的竞争性磋商</w:t>
      </w:r>
      <w:r>
        <w:rPr>
          <w:rFonts w:hint="eastAsia" w:ascii="宋体" w:hAnsi="宋体"/>
          <w:color w:val="auto"/>
        </w:rPr>
        <w:t>响应</w:t>
      </w:r>
      <w:r>
        <w:rPr>
          <w:rFonts w:hint="eastAsia" w:ascii="宋体" w:hAnsi="宋体"/>
          <w:bCs/>
          <w:color w:val="auto"/>
        </w:rPr>
        <w:t>文件有效期一致。</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12.2 未按规定提交保证金的竞争性磋商响应文件，将被视为非实质响应而被拒绝。</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12.3 采购代理机构在成交通知书发出后1个工作日内退还未成交供应商的保证金。</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12.4发生以下情况保证金将不予退还：</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（1）供应商在本章规定的递交竞争性磋商响应文件截止时间后撤回竞争性磋商响应文件的；</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（2）供应商在竞争性磋商响应文件中提供虚假材料或虚假承诺的；</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（3）成交供应商无正当理由不与采购人签定合同或转让、分包项目以及拒绝履行合同义务的；</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（4）中标公告前和中标公示期间，成交候选人无正当理由放弃中标资格的；</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（5）竞争性磋商文件规定的其他情形。</w:t>
      </w:r>
    </w:p>
    <w:p>
      <w:pPr>
        <w:adjustRightInd w:val="0"/>
        <w:snapToGrid w:val="0"/>
        <w:spacing w:beforeLines="50" w:line="360" w:lineRule="auto"/>
        <w:rPr>
          <w:rFonts w:ascii="宋体" w:hAnsi="宋体"/>
          <w:b/>
          <w:bCs/>
          <w:color w:val="auto"/>
        </w:rPr>
      </w:pPr>
      <w:r>
        <w:rPr>
          <w:rFonts w:hint="eastAsia" w:ascii="宋体" w:hAnsi="宋体"/>
          <w:b/>
          <w:bCs/>
          <w:color w:val="auto"/>
        </w:rPr>
        <w:t>13.竞争性磋商</w:t>
      </w:r>
      <w:r>
        <w:rPr>
          <w:rFonts w:hint="eastAsia" w:ascii="宋体" w:hAnsi="宋体"/>
          <w:b/>
          <w:color w:val="auto"/>
        </w:rPr>
        <w:t>响应文件有效期</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13.1竞争性磋商响应文件有效期见</w:t>
      </w:r>
      <w:r>
        <w:rPr>
          <w:rFonts w:hint="eastAsia" w:ascii="宋体" w:hAnsi="宋体"/>
          <w:b/>
          <w:color w:val="auto"/>
        </w:rPr>
        <w:t>供应商须知前附表</w:t>
      </w:r>
      <w:r>
        <w:rPr>
          <w:rFonts w:hint="eastAsia" w:ascii="宋体" w:hAnsi="宋体"/>
          <w:color w:val="auto"/>
        </w:rPr>
        <w:t>，在此期间竞争性磋商响应文件对供应商具有法律约束力，竞争性磋商响应文件有效期</w:t>
      </w:r>
      <w:r>
        <w:rPr>
          <w:rFonts w:hint="eastAsia" w:ascii="宋体" w:hAnsi="宋体" w:cs="Arial"/>
          <w:color w:val="auto"/>
        </w:rPr>
        <w:t>从</w:t>
      </w:r>
      <w:r>
        <w:rPr>
          <w:rFonts w:hint="eastAsia" w:ascii="宋体" w:hAnsi="宋体"/>
          <w:color w:val="auto"/>
        </w:rPr>
        <w:t>规定的</w:t>
      </w:r>
      <w:r>
        <w:rPr>
          <w:rFonts w:hint="eastAsia" w:ascii="宋体" w:hAnsi="宋体" w:cs="Arial"/>
          <w:color w:val="auto"/>
        </w:rPr>
        <w:t>递交竞争性磋商</w:t>
      </w:r>
      <w:r>
        <w:rPr>
          <w:rFonts w:hint="eastAsia" w:ascii="宋体" w:hAnsi="宋体"/>
          <w:color w:val="auto"/>
        </w:rPr>
        <w:t>响应文件</w:t>
      </w:r>
      <w:r>
        <w:rPr>
          <w:rFonts w:hint="eastAsia" w:ascii="宋体" w:hAnsi="宋体" w:cs="Arial"/>
          <w:color w:val="auto"/>
        </w:rPr>
        <w:t>截止时间之日起计算。竞争性磋商</w:t>
      </w:r>
      <w:r>
        <w:rPr>
          <w:rFonts w:hint="eastAsia" w:ascii="宋体" w:hAnsi="宋体"/>
          <w:color w:val="auto"/>
        </w:rPr>
        <w:t>响应文件有效期不足的将被视为无效响应，并予以拒绝。</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13.2特殊情况下，采购代理机构可于竞争性磋商响应文件有效期满之前要求供应商同意延长有效期，要求与答复均应为书面形式。供应商可以拒绝上述要求而其保证金不被没收。对于同意该要求的供应商，既不要求也不允许其修改竞争性磋商响应文件，但将要求其相应延长保证金的有效期。有关退还和没收保证金的规定在竞争性磋商响应文件有效期的延长期内继续有效。</w:t>
      </w:r>
    </w:p>
    <w:p>
      <w:pPr>
        <w:widowControl/>
        <w:adjustRightInd w:val="0"/>
        <w:snapToGrid w:val="0"/>
        <w:spacing w:beforeLines="50" w:line="360" w:lineRule="auto"/>
        <w:jc w:val="left"/>
        <w:rPr>
          <w:rFonts w:ascii="宋体" w:hAnsi="宋体"/>
          <w:b/>
          <w:color w:val="auto"/>
        </w:rPr>
      </w:pPr>
      <w:bookmarkStart w:id="51" w:name="_Hlk39664050"/>
      <w:bookmarkStart w:id="52" w:name="_Hlk38276022"/>
      <w:r>
        <w:rPr>
          <w:rFonts w:hint="eastAsia" w:ascii="宋体" w:hAnsi="宋体" w:cs="Arial"/>
          <w:b/>
          <w:bCs/>
          <w:color w:val="auto"/>
          <w:kern w:val="0"/>
        </w:rPr>
        <w:t>14</w:t>
      </w:r>
      <w:r>
        <w:rPr>
          <w:rFonts w:ascii="宋体" w:hAnsi="宋体" w:cs="Arial"/>
          <w:b/>
          <w:bCs/>
          <w:color w:val="auto"/>
          <w:kern w:val="0"/>
        </w:rPr>
        <w:t>.</w:t>
      </w:r>
      <w:r>
        <w:rPr>
          <w:rFonts w:hint="eastAsia" w:ascii="宋体" w:hAnsi="宋体"/>
          <w:b/>
          <w:color w:val="auto"/>
        </w:rPr>
        <w:t>有下列情形之一的，视为投标人串通投标，其投标无效：</w:t>
      </w:r>
    </w:p>
    <w:p>
      <w:pPr>
        <w:widowControl/>
        <w:adjustRightInd w:val="0"/>
        <w:snapToGrid w:val="0"/>
        <w:spacing w:beforeLines="50" w:line="360" w:lineRule="auto"/>
        <w:jc w:val="left"/>
        <w:rPr>
          <w:rFonts w:ascii="宋体" w:hAnsi="宋体"/>
          <w:color w:val="auto"/>
        </w:rPr>
      </w:pPr>
      <w:r>
        <w:rPr>
          <w:rFonts w:hint="eastAsia" w:ascii="宋体" w:hAnsi="宋体"/>
          <w:color w:val="auto"/>
        </w:rPr>
        <w:t>　　14.1不同投标人的投标文件由同一单位或者个人编制；</w:t>
      </w:r>
    </w:p>
    <w:p>
      <w:pPr>
        <w:widowControl/>
        <w:adjustRightInd w:val="0"/>
        <w:snapToGrid w:val="0"/>
        <w:spacing w:beforeLines="50" w:line="360" w:lineRule="auto"/>
        <w:ind w:firstLine="210" w:firstLineChars="100"/>
        <w:jc w:val="left"/>
        <w:rPr>
          <w:rFonts w:ascii="宋体" w:hAnsi="宋体"/>
          <w:color w:val="auto"/>
        </w:rPr>
      </w:pPr>
      <w:r>
        <w:rPr>
          <w:rFonts w:hint="eastAsia" w:ascii="宋体" w:hAnsi="宋体"/>
          <w:color w:val="auto"/>
        </w:rPr>
        <w:t>　14.2不同投标人委托同一单位或者个人办理投标事宜；</w:t>
      </w:r>
    </w:p>
    <w:p>
      <w:pPr>
        <w:widowControl/>
        <w:adjustRightInd w:val="0"/>
        <w:snapToGrid w:val="0"/>
        <w:spacing w:beforeLines="50" w:line="360" w:lineRule="auto"/>
        <w:jc w:val="left"/>
        <w:rPr>
          <w:rFonts w:ascii="宋体" w:hAnsi="宋体"/>
          <w:color w:val="auto"/>
        </w:rPr>
      </w:pPr>
      <w:r>
        <w:rPr>
          <w:rFonts w:hint="eastAsia" w:ascii="宋体" w:hAnsi="宋体"/>
          <w:color w:val="auto"/>
        </w:rPr>
        <w:t>　　14.3不同投标人的投标文件载明的项目管理成员或者联系人员为同一人；</w:t>
      </w:r>
    </w:p>
    <w:p>
      <w:pPr>
        <w:widowControl/>
        <w:adjustRightInd w:val="0"/>
        <w:snapToGrid w:val="0"/>
        <w:spacing w:beforeLines="50" w:line="360" w:lineRule="auto"/>
        <w:jc w:val="left"/>
        <w:rPr>
          <w:rFonts w:ascii="宋体" w:hAnsi="宋体"/>
          <w:color w:val="auto"/>
        </w:rPr>
      </w:pP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14.4不同投标人的投标文件异常一致或者投标报价呈规律性差异；</w:t>
      </w:r>
    </w:p>
    <w:p>
      <w:pPr>
        <w:widowControl/>
        <w:adjustRightInd w:val="0"/>
        <w:snapToGrid w:val="0"/>
        <w:spacing w:beforeLines="50" w:line="360" w:lineRule="auto"/>
        <w:jc w:val="left"/>
        <w:rPr>
          <w:rFonts w:ascii="宋体" w:hAnsi="宋体"/>
          <w:color w:val="auto"/>
        </w:rPr>
      </w:pPr>
      <w:r>
        <w:rPr>
          <w:rFonts w:hint="eastAsia" w:ascii="宋体" w:hAnsi="宋体"/>
          <w:color w:val="auto"/>
        </w:rPr>
        <w:t>　　14.5不同投标人的投标文件相互混装；</w:t>
      </w:r>
    </w:p>
    <w:p>
      <w:pPr>
        <w:widowControl/>
        <w:adjustRightInd w:val="0"/>
        <w:snapToGrid w:val="0"/>
        <w:spacing w:beforeLines="50" w:line="360" w:lineRule="auto"/>
        <w:jc w:val="left"/>
        <w:rPr>
          <w:rFonts w:ascii="宋体" w:hAnsi="宋体"/>
          <w:color w:val="auto"/>
        </w:rPr>
      </w:pPr>
      <w:r>
        <w:rPr>
          <w:rFonts w:hint="eastAsia" w:ascii="宋体" w:hAnsi="宋体"/>
          <w:color w:val="auto"/>
        </w:rPr>
        <w:t>　　14.6不同投标人的投标保证金从同一单位或者个人的账户转出。</w:t>
      </w:r>
    </w:p>
    <w:bookmarkEnd w:id="51"/>
    <w:p>
      <w:pPr>
        <w:adjustRightInd w:val="0"/>
        <w:snapToGrid w:val="0"/>
        <w:spacing w:beforeLines="50" w:line="360" w:lineRule="auto"/>
        <w:rPr>
          <w:rFonts w:ascii="宋体" w:hAnsi="宋体"/>
          <w:b/>
          <w:color w:val="auto"/>
        </w:rPr>
      </w:pPr>
      <w:r>
        <w:rPr>
          <w:rFonts w:hint="eastAsia" w:ascii="宋体" w:hAnsi="宋体"/>
          <w:b/>
          <w:color w:val="auto"/>
        </w:rPr>
        <w:t>四、竞争性磋商响应文件的递交</w:t>
      </w:r>
    </w:p>
    <w:p>
      <w:pPr>
        <w:adjustRightInd w:val="0"/>
        <w:snapToGrid w:val="0"/>
        <w:spacing w:beforeLines="50" w:line="360" w:lineRule="auto"/>
        <w:rPr>
          <w:rFonts w:ascii="宋体" w:hAnsi="宋体"/>
          <w:b/>
          <w:bCs/>
          <w:color w:val="auto"/>
        </w:rPr>
      </w:pPr>
      <w:r>
        <w:rPr>
          <w:rFonts w:hint="eastAsia" w:ascii="宋体" w:hAnsi="宋体"/>
          <w:b/>
          <w:bCs/>
          <w:color w:val="auto"/>
        </w:rPr>
        <w:t>15.</w:t>
      </w:r>
      <w:r>
        <w:rPr>
          <w:rFonts w:hint="eastAsia" w:ascii="宋体" w:hAnsi="宋体"/>
          <w:b/>
          <w:color w:val="auto"/>
        </w:rPr>
        <w:t>竞争性磋商响应文件</w:t>
      </w:r>
      <w:r>
        <w:rPr>
          <w:rFonts w:hint="eastAsia" w:ascii="宋体" w:hAnsi="宋体"/>
          <w:b/>
          <w:bCs/>
          <w:color w:val="auto"/>
        </w:rPr>
        <w:t>的修改和撤回</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15.1在开标时间前，潜在</w:t>
      </w:r>
      <w:r>
        <w:rPr>
          <w:rFonts w:hint="eastAsia" w:ascii="宋体" w:hAnsi="宋体" w:cs="宋体"/>
          <w:color w:val="auto"/>
          <w:kern w:val="0"/>
          <w:lang w:val="zh-CN"/>
        </w:rPr>
        <w:t>供应商</w:t>
      </w:r>
      <w:r>
        <w:rPr>
          <w:rFonts w:hint="eastAsia" w:ascii="宋体" w:hAnsi="宋体"/>
          <w:color w:val="auto"/>
        </w:rPr>
        <w:t>对竞争性磋商文件有疑问且要求招标人澄清的，应于本投标须知前附表规定的时间前以书面形式告知招标人，招标人对竞争性磋商文件的修改或答疑回复将于本投标须知前附表规定的时间以书面形式发出,</w:t>
      </w:r>
      <w:r>
        <w:rPr>
          <w:rFonts w:hint="eastAsia" w:ascii="宋体" w:hAnsi="宋体" w:cs="宋体"/>
          <w:color w:val="auto"/>
          <w:kern w:val="0"/>
          <w:lang w:val="zh-CN"/>
        </w:rPr>
        <w:t>供应商</w:t>
      </w:r>
      <w:r>
        <w:rPr>
          <w:rFonts w:hint="eastAsia" w:ascii="宋体" w:hAnsi="宋体"/>
          <w:color w:val="auto"/>
        </w:rPr>
        <w:t>自行上网查阅，并须填写本竞争性磋商文件规定格式之回执，附在供应商竞争性磋商响应文件内。如无答疑回复，则不需填写回执。</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15.2为使供应商有合理的时间按补充文件准备竞争性磋商响应文件，招标人可能根据具体情况酌情延长投标截止日期。</w:t>
      </w:r>
    </w:p>
    <w:p>
      <w:pPr>
        <w:adjustRightInd w:val="0"/>
        <w:snapToGrid w:val="0"/>
        <w:spacing w:beforeLines="50" w:line="360" w:lineRule="auto"/>
        <w:rPr>
          <w:rFonts w:ascii="宋体" w:hAnsi="宋体"/>
          <w:b/>
          <w:bCs/>
          <w:color w:val="auto"/>
        </w:rPr>
      </w:pPr>
      <w:r>
        <w:rPr>
          <w:rFonts w:hint="eastAsia" w:ascii="宋体" w:hAnsi="宋体"/>
          <w:b/>
          <w:bCs/>
          <w:color w:val="auto"/>
        </w:rPr>
        <w:t>16.</w:t>
      </w:r>
      <w:r>
        <w:rPr>
          <w:rFonts w:hint="eastAsia" w:ascii="宋体" w:hAnsi="宋体"/>
          <w:b/>
          <w:color w:val="auto"/>
        </w:rPr>
        <w:t>竞争性磋商响应文件</w:t>
      </w:r>
      <w:r>
        <w:rPr>
          <w:rFonts w:hint="eastAsia" w:ascii="宋体" w:hAnsi="宋体"/>
          <w:b/>
          <w:bCs/>
          <w:color w:val="auto"/>
        </w:rPr>
        <w:t>的递交与接收</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17.1竞争性磋商响应文件应按竞争性磋商文件的要求与格式编写。</w:t>
      </w:r>
    </w:p>
    <w:p>
      <w:pPr>
        <w:adjustRightInd w:val="0"/>
        <w:snapToGrid w:val="0"/>
        <w:spacing w:beforeLines="50" w:line="360" w:lineRule="auto"/>
        <w:ind w:left="630" w:leftChars="200" w:hanging="210" w:hangingChars="100"/>
        <w:rPr>
          <w:rFonts w:ascii="宋体" w:hAnsi="宋体"/>
          <w:color w:val="auto"/>
        </w:rPr>
      </w:pPr>
      <w:r>
        <w:rPr>
          <w:rFonts w:hint="eastAsia" w:ascii="宋体" w:hAnsi="宋体"/>
          <w:color w:val="auto"/>
        </w:rPr>
        <w:t>17.2竞争性磋商响应文件因表达不清所引起的后果由供应商负责。</w:t>
      </w:r>
    </w:p>
    <w:p>
      <w:pPr>
        <w:adjustRightInd w:val="0"/>
        <w:snapToGrid w:val="0"/>
        <w:spacing w:beforeLines="50" w:line="360" w:lineRule="auto"/>
        <w:ind w:left="630" w:leftChars="200" w:hanging="210" w:hangingChars="100"/>
        <w:rPr>
          <w:rFonts w:ascii="宋体" w:hAnsi="宋体"/>
          <w:color w:val="auto"/>
        </w:rPr>
      </w:pPr>
      <w:r>
        <w:rPr>
          <w:rFonts w:hint="eastAsia" w:ascii="宋体" w:hAnsi="宋体"/>
          <w:color w:val="auto"/>
        </w:rPr>
        <w:t>17.3供应商编制和提交竞争性磋商响应文件所需费用自理。</w:t>
      </w:r>
    </w:p>
    <w:p>
      <w:pPr>
        <w:adjustRightInd w:val="0"/>
        <w:snapToGrid w:val="0"/>
        <w:spacing w:beforeLines="50" w:line="360" w:lineRule="auto"/>
        <w:ind w:left="632" w:hanging="632" w:hangingChars="300"/>
        <w:rPr>
          <w:rFonts w:ascii="宋体" w:hAnsi="宋体"/>
          <w:b/>
          <w:bCs/>
          <w:color w:val="auto"/>
        </w:rPr>
      </w:pPr>
      <w:r>
        <w:rPr>
          <w:rFonts w:hint="eastAsia" w:ascii="宋体" w:hAnsi="宋体"/>
          <w:b/>
          <w:bCs/>
          <w:color w:val="auto"/>
        </w:rPr>
        <w:t>五、</w:t>
      </w:r>
      <w:r>
        <w:rPr>
          <w:rFonts w:hint="eastAsia" w:ascii="宋体" w:hAnsi="宋体"/>
          <w:b/>
          <w:color w:val="auto"/>
        </w:rPr>
        <w:t>评标委员会和评审</w:t>
      </w:r>
    </w:p>
    <w:p>
      <w:pPr>
        <w:adjustRightInd w:val="0"/>
        <w:snapToGrid w:val="0"/>
        <w:spacing w:beforeLines="50" w:line="360" w:lineRule="auto"/>
        <w:rPr>
          <w:rFonts w:ascii="宋体" w:hAnsi="宋体"/>
          <w:b/>
          <w:bCs/>
          <w:color w:val="auto"/>
        </w:rPr>
      </w:pPr>
      <w:r>
        <w:rPr>
          <w:rFonts w:hint="eastAsia" w:ascii="宋体" w:hAnsi="宋体"/>
          <w:b/>
          <w:bCs/>
          <w:color w:val="auto"/>
        </w:rPr>
        <w:t>17.</w:t>
      </w:r>
      <w:r>
        <w:rPr>
          <w:rFonts w:hint="eastAsia" w:ascii="宋体" w:hAnsi="宋体"/>
          <w:b/>
          <w:color w:val="auto"/>
        </w:rPr>
        <w:t>评标委员会</w:t>
      </w:r>
    </w:p>
    <w:p>
      <w:pPr>
        <w:adjustRightInd w:val="0"/>
        <w:snapToGrid w:val="0"/>
        <w:spacing w:beforeLines="50" w:line="360" w:lineRule="auto"/>
        <w:ind w:firstLine="420" w:firstLineChars="200"/>
        <w:jc w:val="left"/>
        <w:rPr>
          <w:rFonts w:ascii="宋体" w:hAnsi="宋体"/>
          <w:color w:val="auto"/>
        </w:rPr>
      </w:pPr>
      <w:r>
        <w:rPr>
          <w:rFonts w:hint="eastAsia" w:ascii="宋体" w:hAnsi="宋体"/>
          <w:bCs/>
          <w:color w:val="auto"/>
        </w:rPr>
        <w:t>17.1 招标人与采购代理机构将根据采购项目的特点依法组建</w:t>
      </w:r>
      <w:r>
        <w:rPr>
          <w:rFonts w:hint="eastAsia" w:ascii="宋体" w:hAnsi="宋体"/>
          <w:b/>
          <w:color w:val="auto"/>
        </w:rPr>
        <w:t>评标委员会</w:t>
      </w:r>
      <w:r>
        <w:rPr>
          <w:rFonts w:hint="eastAsia" w:ascii="宋体" w:hAnsi="宋体"/>
          <w:bCs/>
          <w:color w:val="auto"/>
        </w:rPr>
        <w:t>，其成员由</w:t>
      </w:r>
      <w:r>
        <w:rPr>
          <w:rFonts w:hint="eastAsia" w:ascii="宋体" w:hAnsi="宋体"/>
          <w:color w:val="auto"/>
        </w:rPr>
        <w:t>评审专家和招标人的代表组成。</w:t>
      </w:r>
      <w:r>
        <w:rPr>
          <w:rFonts w:hint="eastAsia" w:ascii="宋体" w:hAnsi="宋体"/>
          <w:b/>
          <w:color w:val="auto"/>
        </w:rPr>
        <w:t>评标委员会</w:t>
      </w:r>
      <w:r>
        <w:rPr>
          <w:rFonts w:hint="eastAsia" w:ascii="宋体" w:hAnsi="宋体"/>
          <w:color w:val="auto"/>
        </w:rPr>
        <w:t>负责对竞争性磋商响应文件进行审查、竞争性磋商、评价以及推荐成交</w:t>
      </w:r>
      <w:r>
        <w:rPr>
          <w:rFonts w:hint="eastAsia" w:ascii="宋体" w:hAnsi="宋体" w:cs="宋体"/>
          <w:color w:val="auto"/>
          <w:kern w:val="0"/>
          <w:lang w:val="zh-CN"/>
        </w:rPr>
        <w:t>供应商</w:t>
      </w:r>
      <w:r>
        <w:rPr>
          <w:rFonts w:hint="eastAsia" w:ascii="宋体" w:hAnsi="宋体"/>
          <w:color w:val="auto"/>
        </w:rPr>
        <w:t>。</w:t>
      </w:r>
    </w:p>
    <w:p>
      <w:pPr>
        <w:adjustRightInd w:val="0"/>
        <w:snapToGrid w:val="0"/>
        <w:spacing w:beforeLines="50" w:line="360" w:lineRule="auto"/>
        <w:ind w:left="628" w:leftChars="1" w:hanging="626" w:hangingChars="297"/>
        <w:rPr>
          <w:rFonts w:ascii="宋体" w:hAnsi="宋体"/>
          <w:b/>
          <w:bCs/>
          <w:color w:val="auto"/>
        </w:rPr>
      </w:pPr>
      <w:r>
        <w:rPr>
          <w:rFonts w:hint="eastAsia" w:ascii="宋体" w:hAnsi="宋体"/>
          <w:b/>
          <w:bCs/>
          <w:color w:val="auto"/>
        </w:rPr>
        <w:t>18. 资格</w:t>
      </w:r>
      <w:r>
        <w:rPr>
          <w:rFonts w:hint="eastAsia" w:ascii="宋体" w:hAnsi="宋体"/>
          <w:b/>
          <w:color w:val="auto"/>
        </w:rPr>
        <w:t>核</w:t>
      </w:r>
      <w:r>
        <w:rPr>
          <w:rFonts w:hint="eastAsia" w:ascii="宋体" w:hAnsi="宋体"/>
          <w:b/>
          <w:bCs/>
          <w:color w:val="auto"/>
        </w:rPr>
        <w:t>查</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 xml:space="preserve">18.1 </w:t>
      </w:r>
      <w:r>
        <w:rPr>
          <w:rFonts w:hint="eastAsia" w:ascii="宋体" w:hAnsi="宋体"/>
          <w:b/>
          <w:color w:val="auto"/>
        </w:rPr>
        <w:t>评标委员会</w:t>
      </w:r>
      <w:r>
        <w:rPr>
          <w:rFonts w:hint="eastAsia" w:ascii="宋体" w:hAnsi="宋体"/>
          <w:color w:val="auto"/>
        </w:rPr>
        <w:t>根据规定的</w:t>
      </w:r>
      <w:r>
        <w:rPr>
          <w:rFonts w:hint="eastAsia" w:ascii="宋体" w:hAnsi="宋体" w:cs="宋体"/>
          <w:color w:val="auto"/>
          <w:kern w:val="0"/>
          <w:lang w:val="zh-CN"/>
        </w:rPr>
        <w:t>供应商</w:t>
      </w:r>
      <w:r>
        <w:rPr>
          <w:rFonts w:hint="eastAsia" w:ascii="宋体" w:hAnsi="宋体"/>
          <w:color w:val="auto"/>
        </w:rPr>
        <w:t>资格条件要求，对竞争性磋商响应文件进行资格核</w:t>
      </w:r>
      <w:r>
        <w:rPr>
          <w:rFonts w:hint="eastAsia" w:ascii="宋体" w:hAnsi="宋体"/>
          <w:bCs/>
          <w:color w:val="auto"/>
        </w:rPr>
        <w:t>查</w:t>
      </w:r>
      <w:r>
        <w:rPr>
          <w:rFonts w:hint="eastAsia" w:ascii="宋体" w:hAnsi="宋体"/>
          <w:color w:val="auto"/>
        </w:rPr>
        <w:t>。</w:t>
      </w:r>
      <w:r>
        <w:rPr>
          <w:rFonts w:hint="eastAsia" w:ascii="宋体" w:hAnsi="宋体" w:cs="宋体"/>
          <w:color w:val="auto"/>
          <w:kern w:val="0"/>
          <w:lang w:val="zh-CN"/>
        </w:rPr>
        <w:t>供应商</w:t>
      </w:r>
      <w:r>
        <w:rPr>
          <w:rFonts w:hint="eastAsia" w:ascii="宋体" w:hAnsi="宋体"/>
          <w:color w:val="auto"/>
        </w:rPr>
        <w:t>不满足资格条件的，在评审时将其视为无效响应。</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18.2</w:t>
      </w:r>
      <w:r>
        <w:rPr>
          <w:rFonts w:hint="eastAsia" w:ascii="宋体" w:hAnsi="宋体"/>
          <w:b/>
          <w:color w:val="auto"/>
        </w:rPr>
        <w:t>评标委员会</w:t>
      </w:r>
      <w:r>
        <w:rPr>
          <w:rFonts w:hint="eastAsia" w:ascii="宋体" w:hAnsi="宋体"/>
          <w:color w:val="auto"/>
        </w:rPr>
        <w:t>可以要求</w:t>
      </w:r>
      <w:r>
        <w:rPr>
          <w:rFonts w:hint="eastAsia" w:ascii="宋体" w:hAnsi="宋体" w:cs="宋体"/>
          <w:color w:val="auto"/>
          <w:kern w:val="0"/>
          <w:lang w:val="zh-CN"/>
        </w:rPr>
        <w:t>供应商</w:t>
      </w:r>
      <w:r>
        <w:rPr>
          <w:rFonts w:hint="eastAsia" w:ascii="宋体" w:hAnsi="宋体"/>
          <w:color w:val="auto"/>
        </w:rPr>
        <w:t>提交有关证明和证件的原件以便核验。</w:t>
      </w:r>
    </w:p>
    <w:p>
      <w:pPr>
        <w:tabs>
          <w:tab w:val="left" w:pos="0"/>
        </w:tabs>
        <w:adjustRightInd w:val="0"/>
        <w:snapToGrid w:val="0"/>
        <w:spacing w:beforeLines="50" w:line="360" w:lineRule="auto"/>
        <w:rPr>
          <w:rFonts w:ascii="宋体" w:hAnsi="宋体"/>
          <w:b/>
          <w:bCs/>
          <w:color w:val="auto"/>
        </w:rPr>
      </w:pPr>
      <w:r>
        <w:rPr>
          <w:rFonts w:hint="eastAsia" w:ascii="宋体" w:hAnsi="宋体"/>
          <w:b/>
          <w:color w:val="auto"/>
        </w:rPr>
        <w:t>19.竞争性磋商响应文件</w:t>
      </w:r>
      <w:r>
        <w:rPr>
          <w:rFonts w:hint="eastAsia" w:ascii="宋体" w:hAnsi="宋体"/>
          <w:b/>
          <w:bCs/>
          <w:color w:val="auto"/>
        </w:rPr>
        <w:t>的符合性审查</w:t>
      </w:r>
    </w:p>
    <w:p>
      <w:pPr>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19.1</w:t>
      </w:r>
      <w:r>
        <w:rPr>
          <w:rFonts w:hint="eastAsia" w:ascii="宋体" w:hAnsi="宋体"/>
          <w:b/>
          <w:color w:val="auto"/>
        </w:rPr>
        <w:t>评标委员会</w:t>
      </w:r>
      <w:r>
        <w:rPr>
          <w:rFonts w:hint="eastAsia" w:ascii="宋体" w:hAnsi="宋体"/>
          <w:bCs/>
          <w:color w:val="auto"/>
        </w:rPr>
        <w:t>对</w:t>
      </w:r>
      <w:r>
        <w:rPr>
          <w:rFonts w:hint="eastAsia" w:ascii="宋体" w:hAnsi="宋体"/>
          <w:color w:val="auto"/>
        </w:rPr>
        <w:t>竞争性磋商响应文件</w:t>
      </w:r>
      <w:r>
        <w:rPr>
          <w:rFonts w:hint="eastAsia" w:ascii="宋体" w:hAnsi="宋体"/>
          <w:bCs/>
          <w:color w:val="auto"/>
        </w:rPr>
        <w:t>进行符合性审查，</w:t>
      </w:r>
      <w:r>
        <w:rPr>
          <w:rFonts w:hint="eastAsia" w:ascii="宋体" w:hAnsi="宋体"/>
          <w:color w:val="auto"/>
        </w:rPr>
        <w:t>竞争性磋商响应文件</w:t>
      </w:r>
      <w:r>
        <w:rPr>
          <w:rFonts w:hint="eastAsia" w:ascii="宋体" w:hAnsi="宋体"/>
          <w:bCs/>
          <w:color w:val="auto"/>
        </w:rPr>
        <w:t>有下列情况之一的视为无效响应：</w:t>
      </w:r>
    </w:p>
    <w:p>
      <w:pPr>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（1）</w:t>
      </w:r>
      <w:r>
        <w:rPr>
          <w:rFonts w:hint="eastAsia" w:ascii="宋体" w:hAnsi="宋体"/>
          <w:color w:val="auto"/>
        </w:rPr>
        <w:t>应交未交保证金或金额不足、保证金缴纳形式不符合</w:t>
      </w:r>
      <w:r>
        <w:rPr>
          <w:rFonts w:hint="eastAsia" w:ascii="宋体" w:hAnsi="宋体"/>
          <w:bCs/>
          <w:color w:val="auto"/>
        </w:rPr>
        <w:t>竞争性磋商文件</w:t>
      </w:r>
      <w:r>
        <w:rPr>
          <w:rFonts w:hint="eastAsia" w:ascii="宋体" w:hAnsi="宋体"/>
          <w:color w:val="auto"/>
        </w:rPr>
        <w:t>要求的；</w:t>
      </w:r>
    </w:p>
    <w:p>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color w:val="auto"/>
        </w:rPr>
      </w:pPr>
      <w:r>
        <w:rPr>
          <w:rFonts w:hint="eastAsia" w:ascii="宋体" w:hAnsi="宋体"/>
          <w:color w:val="auto"/>
        </w:rPr>
        <w:t>（2）未按照</w:t>
      </w:r>
      <w:r>
        <w:rPr>
          <w:rFonts w:hint="eastAsia" w:ascii="宋体" w:hAnsi="宋体"/>
          <w:bCs/>
          <w:color w:val="auto"/>
        </w:rPr>
        <w:t>竞争性磋商文件</w:t>
      </w:r>
      <w:r>
        <w:rPr>
          <w:rFonts w:hint="eastAsia" w:ascii="宋体" w:hAnsi="宋体"/>
          <w:color w:val="auto"/>
        </w:rPr>
        <w:t>规定要求签署、盖章的；</w:t>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（3）不满足</w:t>
      </w:r>
      <w:r>
        <w:rPr>
          <w:rFonts w:hint="eastAsia" w:ascii="宋体" w:hAnsi="宋体"/>
          <w:bCs/>
          <w:color w:val="auto"/>
        </w:rPr>
        <w:t>磋商</w:t>
      </w:r>
      <w:r>
        <w:rPr>
          <w:rFonts w:hint="eastAsia" w:ascii="宋体" w:hAnsi="宋体"/>
          <w:color w:val="auto"/>
        </w:rPr>
        <w:t>须知</w:t>
      </w:r>
      <w:r>
        <w:rPr>
          <w:rFonts w:hint="eastAsia" w:ascii="宋体" w:hAnsi="宋体"/>
          <w:bCs/>
          <w:color w:val="auto"/>
        </w:rPr>
        <w:t>规定的</w:t>
      </w:r>
      <w:r>
        <w:rPr>
          <w:rFonts w:hint="eastAsia" w:ascii="宋体" w:hAnsi="宋体"/>
          <w:color w:val="auto"/>
        </w:rPr>
        <w:t>实质性要求的；</w:t>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（4）报价超过采购项目预算的；</w:t>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（5）同一</w:t>
      </w:r>
      <w:r>
        <w:rPr>
          <w:rFonts w:hint="eastAsia" w:ascii="宋体" w:hAnsi="宋体" w:cs="宋体"/>
          <w:color w:val="auto"/>
          <w:kern w:val="0"/>
          <w:lang w:val="zh-CN"/>
        </w:rPr>
        <w:t>供应商</w:t>
      </w:r>
      <w:r>
        <w:rPr>
          <w:rFonts w:hint="eastAsia" w:ascii="宋体" w:hAnsi="宋体"/>
          <w:color w:val="auto"/>
        </w:rPr>
        <w:t>提交两个以上不同的竞争性磋商响应文件或者报价的，但</w:t>
      </w:r>
      <w:r>
        <w:rPr>
          <w:rFonts w:hint="eastAsia" w:ascii="宋体" w:hAnsi="宋体"/>
          <w:bCs/>
          <w:color w:val="auto"/>
        </w:rPr>
        <w:t>竞争性磋商</w:t>
      </w:r>
      <w:r>
        <w:rPr>
          <w:rFonts w:hint="eastAsia" w:ascii="宋体" w:hAnsi="宋体"/>
          <w:color w:val="auto"/>
        </w:rPr>
        <w:t>须知允许提交备选方案的除外；</w:t>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（6）竞争性磋商响应文件有效期不足的；</w:t>
      </w:r>
      <w:r>
        <w:rPr>
          <w:rFonts w:ascii="宋体" w:hAnsi="宋体"/>
          <w:color w:val="auto"/>
        </w:rPr>
        <w:tab/>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（7）不符合法律、法规和</w:t>
      </w:r>
      <w:r>
        <w:rPr>
          <w:rFonts w:hint="eastAsia" w:ascii="宋体" w:hAnsi="宋体"/>
          <w:bCs/>
          <w:color w:val="auto"/>
        </w:rPr>
        <w:t>竞争性磋商文件</w:t>
      </w:r>
      <w:r>
        <w:rPr>
          <w:rFonts w:hint="eastAsia" w:ascii="宋体" w:hAnsi="宋体"/>
          <w:color w:val="auto"/>
        </w:rPr>
        <w:t>规定的。</w:t>
      </w:r>
    </w:p>
    <w:p>
      <w:pPr>
        <w:adjustRightInd w:val="0"/>
        <w:snapToGrid w:val="0"/>
        <w:spacing w:beforeLines="50" w:line="360" w:lineRule="auto"/>
        <w:ind w:firstLine="411" w:firstLineChars="196"/>
        <w:rPr>
          <w:rFonts w:ascii="宋体" w:hAnsi="宋体"/>
          <w:bCs/>
          <w:color w:val="auto"/>
        </w:rPr>
      </w:pPr>
      <w:r>
        <w:rPr>
          <w:rFonts w:hint="eastAsia" w:ascii="宋体" w:hAnsi="宋体"/>
          <w:color w:val="auto"/>
        </w:rPr>
        <w:t>（8）</w:t>
      </w:r>
      <w:r>
        <w:rPr>
          <w:rFonts w:hint="eastAsia" w:ascii="宋体" w:hAnsi="宋体"/>
          <w:bCs/>
          <w:color w:val="auto"/>
        </w:rPr>
        <w:t>未按竞争性磋商文件要求提交资格证明文件；</w:t>
      </w:r>
    </w:p>
    <w:p>
      <w:pPr>
        <w:adjustRightInd w:val="0"/>
        <w:snapToGrid w:val="0"/>
        <w:spacing w:beforeLines="50" w:line="360" w:lineRule="auto"/>
        <w:ind w:firstLine="516" w:firstLineChars="246"/>
        <w:rPr>
          <w:rFonts w:ascii="宋体" w:hAnsi="宋体"/>
          <w:bCs/>
          <w:color w:val="auto"/>
        </w:rPr>
      </w:pPr>
      <w:r>
        <w:rPr>
          <w:rFonts w:hint="eastAsia" w:ascii="宋体" w:hAnsi="宋体"/>
          <w:color w:val="auto"/>
        </w:rPr>
        <w:t>(9)</w:t>
      </w:r>
      <w:r>
        <w:rPr>
          <w:rFonts w:hint="eastAsia" w:ascii="宋体" w:hAnsi="宋体"/>
          <w:bCs/>
          <w:color w:val="auto"/>
        </w:rPr>
        <w:t>提供的资格证明文件不符合竞争性磋商文件要求或提供虚假资格证明文件的；</w:t>
      </w:r>
    </w:p>
    <w:p>
      <w:pPr>
        <w:adjustRightInd w:val="0"/>
        <w:snapToGrid w:val="0"/>
        <w:spacing w:beforeLines="50" w:line="360" w:lineRule="auto"/>
        <w:ind w:firstLine="411" w:firstLineChars="196"/>
        <w:rPr>
          <w:rFonts w:ascii="宋体" w:hAnsi="宋体"/>
          <w:bCs/>
          <w:color w:val="auto"/>
        </w:rPr>
      </w:pPr>
      <w:r>
        <w:rPr>
          <w:rFonts w:hint="eastAsia" w:ascii="宋体" w:hAnsi="宋体"/>
          <w:color w:val="auto"/>
        </w:rPr>
        <w:t>(10)</w:t>
      </w:r>
      <w:r>
        <w:rPr>
          <w:rFonts w:hint="eastAsia" w:ascii="宋体" w:hAnsi="宋体"/>
          <w:bCs/>
          <w:color w:val="auto"/>
        </w:rPr>
        <w:t>资格证明文件未按竞争性磋商文件要求加盖供应商单位章、</w:t>
      </w:r>
      <w:r>
        <w:rPr>
          <w:rFonts w:hint="eastAsia" w:ascii="宋体" w:hAnsi="宋体"/>
          <w:color w:val="auto"/>
        </w:rPr>
        <w:t>签字</w:t>
      </w:r>
      <w:r>
        <w:rPr>
          <w:rFonts w:hint="eastAsia" w:ascii="宋体" w:hAnsi="宋体"/>
          <w:bCs/>
          <w:color w:val="auto"/>
        </w:rPr>
        <w:t>的；</w:t>
      </w:r>
    </w:p>
    <w:p>
      <w:pPr>
        <w:adjustRightInd w:val="0"/>
        <w:snapToGrid w:val="0"/>
        <w:spacing w:beforeLines="50" w:line="360" w:lineRule="auto"/>
        <w:ind w:firstLine="411" w:firstLineChars="196"/>
        <w:rPr>
          <w:rFonts w:ascii="宋体" w:hAnsi="宋体"/>
          <w:bCs/>
          <w:color w:val="auto"/>
        </w:rPr>
      </w:pPr>
      <w:r>
        <w:rPr>
          <w:rFonts w:hint="eastAsia" w:ascii="宋体" w:hAnsi="宋体"/>
          <w:color w:val="auto"/>
        </w:rPr>
        <w:t>(11)</w:t>
      </w:r>
      <w:r>
        <w:rPr>
          <w:rFonts w:hint="eastAsia" w:ascii="宋体" w:hAnsi="宋体"/>
          <w:bCs/>
          <w:color w:val="auto"/>
        </w:rPr>
        <w:t>资格证明文件过了有效期的或未按有关规定年审合格的。</w:t>
      </w:r>
    </w:p>
    <w:p>
      <w:pPr>
        <w:adjustRightInd w:val="0"/>
        <w:snapToGrid w:val="0"/>
        <w:spacing w:beforeLines="50" w:line="360" w:lineRule="auto"/>
        <w:rPr>
          <w:rFonts w:ascii="宋体" w:hAnsi="宋体"/>
          <w:b/>
          <w:bCs/>
          <w:color w:val="auto"/>
        </w:rPr>
      </w:pPr>
      <w:r>
        <w:rPr>
          <w:rFonts w:hint="eastAsia" w:ascii="宋体" w:hAnsi="宋体"/>
          <w:b/>
          <w:bCs/>
          <w:color w:val="auto"/>
        </w:rPr>
        <w:t>20.</w:t>
      </w:r>
      <w:r>
        <w:rPr>
          <w:rFonts w:hint="eastAsia" w:ascii="宋体" w:hAnsi="宋体"/>
          <w:b/>
          <w:color w:val="auto"/>
        </w:rPr>
        <w:t>竞争性磋商响应文件</w:t>
      </w:r>
      <w:r>
        <w:rPr>
          <w:rFonts w:hint="eastAsia" w:ascii="宋体" w:hAnsi="宋体"/>
          <w:b/>
          <w:bCs/>
          <w:color w:val="auto"/>
        </w:rPr>
        <w:t>的澄清</w:t>
      </w:r>
    </w:p>
    <w:p>
      <w:pPr>
        <w:autoSpaceDE w:val="0"/>
        <w:autoSpaceDN w:val="0"/>
        <w:adjustRightInd w:val="0"/>
        <w:snapToGrid w:val="0"/>
        <w:spacing w:beforeLines="50" w:line="360" w:lineRule="auto"/>
        <w:ind w:firstLine="420" w:firstLineChars="200"/>
        <w:rPr>
          <w:rFonts w:ascii="宋体" w:hAnsi="宋体" w:cs="宋体"/>
          <w:color w:val="auto"/>
          <w:kern w:val="0"/>
          <w:lang w:val="zh-CN"/>
        </w:rPr>
      </w:pPr>
      <w:r>
        <w:rPr>
          <w:rFonts w:hint="eastAsia" w:ascii="宋体" w:hAnsi="宋体"/>
          <w:bCs/>
          <w:color w:val="auto"/>
        </w:rPr>
        <w:t>20.1</w:t>
      </w:r>
      <w:r>
        <w:rPr>
          <w:rFonts w:hint="eastAsia" w:ascii="宋体" w:hAnsi="宋体"/>
          <w:b/>
          <w:color w:val="auto"/>
        </w:rPr>
        <w:t>评标委员会</w:t>
      </w:r>
      <w:r>
        <w:rPr>
          <w:rFonts w:hint="eastAsia" w:ascii="宋体" w:hAnsi="宋体" w:cs="宋体"/>
          <w:color w:val="auto"/>
          <w:kern w:val="0"/>
          <w:lang w:val="zh-CN"/>
        </w:rPr>
        <w:t>在对竞争性磋商响应文件的有效性、完整性和对</w:t>
      </w:r>
      <w:r>
        <w:rPr>
          <w:rFonts w:hint="eastAsia" w:ascii="宋体" w:hAnsi="宋体"/>
          <w:bCs/>
          <w:color w:val="auto"/>
        </w:rPr>
        <w:t>竞争性磋商文件</w:t>
      </w:r>
      <w:r>
        <w:rPr>
          <w:rFonts w:hint="eastAsia" w:ascii="宋体" w:hAnsi="宋体" w:cs="宋体"/>
          <w:color w:val="auto"/>
          <w:kern w:val="0"/>
          <w:lang w:val="zh-CN"/>
        </w:rPr>
        <w:t>的响应程度进行审查时，可以要求供应商对竞争性磋商响应文件中含义不明</w:t>
      </w:r>
      <w:r>
        <w:rPr>
          <w:rFonts w:hint="eastAsia" w:ascii="宋体" w:hAnsi="宋体"/>
          <w:bCs/>
          <w:color w:val="auto"/>
        </w:rPr>
        <w:t>确</w:t>
      </w:r>
      <w:r>
        <w:rPr>
          <w:rFonts w:hint="eastAsia" w:ascii="宋体" w:hAnsi="宋体" w:cs="宋体"/>
          <w:color w:val="auto"/>
          <w:kern w:val="0"/>
          <w:lang w:val="zh-CN"/>
        </w:rPr>
        <w:t>、同类问题表述不一致或者有明显文字和计算错误的内容等作出必要的澄清、说明或者纠正。该要求</w:t>
      </w:r>
      <w:r>
        <w:rPr>
          <w:rFonts w:hint="eastAsia" w:ascii="宋体" w:hAnsi="宋体" w:cs="Arial"/>
          <w:color w:val="auto"/>
        </w:rPr>
        <w:t>应当以</w:t>
      </w:r>
      <w:r>
        <w:rPr>
          <w:rFonts w:hint="eastAsia" w:ascii="宋体" w:hAnsi="宋体" w:cs="宋体"/>
          <w:color w:val="auto"/>
          <w:kern w:val="0"/>
          <w:lang w:val="zh-CN"/>
        </w:rPr>
        <w:t>书面形式作出。供应商的澄清、说明或者补正应当采用书面形式，由其</w:t>
      </w:r>
      <w:r>
        <w:rPr>
          <w:rFonts w:hint="eastAsia" w:ascii="宋体" w:hAnsi="宋体"/>
          <w:color w:val="auto"/>
        </w:rPr>
        <w:t>法定代表人或其委托代理人</w:t>
      </w:r>
      <w:r>
        <w:rPr>
          <w:rFonts w:hint="eastAsia" w:ascii="宋体" w:hAnsi="宋体"/>
          <w:bCs/>
          <w:color w:val="auto"/>
        </w:rPr>
        <w:t>签字</w:t>
      </w:r>
      <w:r>
        <w:rPr>
          <w:rFonts w:hint="eastAsia" w:ascii="宋体" w:hAnsi="宋体" w:cs="宋体"/>
          <w:color w:val="auto"/>
          <w:kern w:val="0"/>
          <w:lang w:val="zh-CN"/>
        </w:rPr>
        <w:t>。供应商的澄清、说明或者更正不得超出</w:t>
      </w:r>
      <w:r>
        <w:rPr>
          <w:rFonts w:hint="eastAsia" w:ascii="宋体" w:hAnsi="宋体"/>
          <w:bCs/>
          <w:color w:val="auto"/>
        </w:rPr>
        <w:t>竞争性磋商文件</w:t>
      </w:r>
      <w:r>
        <w:rPr>
          <w:rFonts w:hint="eastAsia" w:ascii="宋体" w:hAnsi="宋体" w:cs="宋体"/>
          <w:color w:val="auto"/>
          <w:kern w:val="0"/>
          <w:lang w:val="zh-CN"/>
        </w:rPr>
        <w:t>的范围或者改变竞争性磋商响应文件的实质性内容。</w:t>
      </w:r>
    </w:p>
    <w:p>
      <w:pPr>
        <w:adjustRightInd w:val="0"/>
        <w:snapToGrid w:val="0"/>
        <w:spacing w:beforeLines="50" w:line="360" w:lineRule="auto"/>
        <w:ind w:firstLine="420" w:firstLineChars="200"/>
        <w:rPr>
          <w:rFonts w:ascii="宋体" w:hAnsi="宋体"/>
          <w:color w:val="auto"/>
        </w:rPr>
      </w:pPr>
      <w:r>
        <w:rPr>
          <w:rFonts w:hint="eastAsia" w:ascii="宋体" w:hAnsi="宋体"/>
          <w:bCs/>
          <w:color w:val="auto"/>
        </w:rPr>
        <w:t>20.2</w:t>
      </w:r>
      <w:r>
        <w:rPr>
          <w:rFonts w:hint="eastAsia" w:ascii="宋体" w:hAnsi="宋体" w:cs="宋体"/>
          <w:color w:val="auto"/>
          <w:kern w:val="0"/>
          <w:lang w:val="zh-CN"/>
        </w:rPr>
        <w:t>计算</w:t>
      </w:r>
      <w:r>
        <w:rPr>
          <w:rFonts w:hint="eastAsia" w:ascii="宋体" w:hAnsi="宋体"/>
          <w:color w:val="auto"/>
        </w:rPr>
        <w:t>错误修正的原则：单价与总价有出入,以单价为准；大、小写有出入，以大写为准；竞争性磋商响应文件正本与副本有出入，以正本为准。按上述原则修正的竞争性磋商响应文件，对供应商起约束作用，供应商不接受修正的，其竞争性磋商响应文件将被拒绝。</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color w:val="auto"/>
        </w:rPr>
        <w:t>20.3供应商应按</w:t>
      </w:r>
      <w:r>
        <w:rPr>
          <w:rFonts w:hint="eastAsia" w:ascii="宋体" w:hAnsi="宋体"/>
          <w:bCs/>
          <w:color w:val="auto"/>
        </w:rPr>
        <w:t>评标委员会</w:t>
      </w:r>
      <w:r>
        <w:rPr>
          <w:rFonts w:hint="eastAsia" w:ascii="宋体" w:hAnsi="宋体"/>
          <w:color w:val="auto"/>
        </w:rPr>
        <w:t>通知的时间、地点，指派专人进行</w:t>
      </w:r>
      <w:r>
        <w:rPr>
          <w:rFonts w:hint="eastAsia" w:ascii="宋体" w:hAnsi="宋体" w:cs="宋体"/>
          <w:color w:val="auto"/>
          <w:kern w:val="0"/>
          <w:lang w:val="zh-CN"/>
        </w:rPr>
        <w:t>澄清、说明或者补正</w:t>
      </w:r>
      <w:r>
        <w:rPr>
          <w:rFonts w:hint="eastAsia" w:ascii="宋体" w:hAnsi="宋体"/>
          <w:color w:val="auto"/>
        </w:rPr>
        <w:t>。</w:t>
      </w:r>
    </w:p>
    <w:p>
      <w:pPr>
        <w:tabs>
          <w:tab w:val="left" w:pos="0"/>
        </w:tabs>
        <w:adjustRightInd w:val="0"/>
        <w:snapToGrid w:val="0"/>
        <w:spacing w:beforeLines="50" w:line="360" w:lineRule="auto"/>
        <w:rPr>
          <w:rFonts w:ascii="宋体" w:hAnsi="宋体" w:cs="宋体"/>
          <w:b/>
          <w:bCs/>
          <w:color w:val="auto"/>
          <w:kern w:val="0"/>
        </w:rPr>
      </w:pPr>
      <w:r>
        <w:rPr>
          <w:rFonts w:hint="eastAsia" w:ascii="宋体" w:hAnsi="宋体"/>
          <w:b/>
          <w:bCs/>
          <w:color w:val="auto"/>
        </w:rPr>
        <w:t>21、</w:t>
      </w:r>
      <w:r>
        <w:rPr>
          <w:rFonts w:hint="eastAsia" w:ascii="宋体" w:hAnsi="宋体" w:cs="宋体"/>
          <w:b/>
          <w:bCs/>
          <w:color w:val="auto"/>
          <w:kern w:val="0"/>
        </w:rPr>
        <w:t>供应商有下列情形之一的,不得成为成交供应商:</w:t>
      </w:r>
    </w:p>
    <w:p>
      <w:pPr>
        <w:tabs>
          <w:tab w:val="left" w:pos="0"/>
        </w:tabs>
        <w:adjustRightInd w:val="0"/>
        <w:snapToGrid w:val="0"/>
        <w:spacing w:beforeLines="50" w:line="360" w:lineRule="auto"/>
        <w:ind w:firstLine="420" w:firstLineChars="200"/>
        <w:rPr>
          <w:rFonts w:ascii="宋体" w:hAnsi="宋体" w:cs="宋体"/>
          <w:color w:val="auto"/>
          <w:kern w:val="0"/>
        </w:rPr>
      </w:pPr>
      <w:r>
        <w:rPr>
          <w:rFonts w:hint="eastAsia" w:ascii="宋体" w:hAnsi="宋体" w:cs="宋体"/>
          <w:color w:val="auto"/>
          <w:kern w:val="0"/>
        </w:rPr>
        <w:t>（1）竞争性磋商响应文件中提供虚假材料或虚假承诺的；</w:t>
      </w:r>
    </w:p>
    <w:p>
      <w:pPr>
        <w:tabs>
          <w:tab w:val="left" w:pos="0"/>
        </w:tabs>
        <w:adjustRightInd w:val="0"/>
        <w:snapToGrid w:val="0"/>
        <w:spacing w:beforeLines="50" w:line="360" w:lineRule="auto"/>
        <w:ind w:firstLine="420" w:firstLineChars="200"/>
        <w:rPr>
          <w:rFonts w:ascii="宋体" w:hAnsi="宋体" w:cs="宋体"/>
          <w:color w:val="auto"/>
          <w:kern w:val="0"/>
        </w:rPr>
      </w:pPr>
      <w:r>
        <w:rPr>
          <w:rFonts w:hint="eastAsia" w:ascii="宋体" w:hAnsi="宋体" w:cs="宋体"/>
          <w:color w:val="auto"/>
          <w:kern w:val="0"/>
        </w:rPr>
        <w:t>（2）法律法规和竞争性磋商文件规定的其他情形的。</w:t>
      </w:r>
    </w:p>
    <w:p>
      <w:pPr>
        <w:adjustRightInd w:val="0"/>
        <w:snapToGrid w:val="0"/>
        <w:spacing w:beforeLines="50" w:line="360" w:lineRule="auto"/>
        <w:ind w:left="632" w:hanging="632" w:hangingChars="300"/>
        <w:rPr>
          <w:rFonts w:ascii="宋体" w:hAnsi="宋体"/>
          <w:b/>
          <w:color w:val="auto"/>
        </w:rPr>
      </w:pPr>
      <w:r>
        <w:rPr>
          <w:rFonts w:hint="eastAsia" w:ascii="宋体" w:hAnsi="宋体"/>
          <w:b/>
          <w:color w:val="auto"/>
        </w:rPr>
        <w:t>22.竞争性磋商终止</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22.1 竞争性磋商</w:t>
      </w:r>
      <w:r>
        <w:rPr>
          <w:rFonts w:hint="eastAsia" w:ascii="宋体" w:hAnsi="宋体"/>
          <w:bCs/>
          <w:color w:val="auto"/>
          <w:lang w:eastAsia="zh-CN"/>
        </w:rPr>
        <w:t>磋商</w:t>
      </w:r>
      <w:r>
        <w:rPr>
          <w:rFonts w:hint="eastAsia" w:ascii="宋体" w:hAnsi="宋体"/>
          <w:bCs/>
          <w:color w:val="auto"/>
        </w:rPr>
        <w:t>时，出现下列情况之一，本次竞争性磋商终止：</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（1）出现影响采购公正的违法、违规行为的；</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cs="宋体"/>
          <w:color w:val="auto"/>
          <w:kern w:val="0"/>
          <w:lang w:val="zh-CN"/>
        </w:rPr>
        <w:t>（2）投标供应商的报价均超过了招标控制价，招标人不能支付的；</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（3）因重大变故，采购任务取消的。</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 xml:space="preserve">22.2 </w:t>
      </w:r>
      <w:r>
        <w:rPr>
          <w:rFonts w:hint="eastAsia" w:ascii="宋体" w:hAnsi="宋体"/>
          <w:b/>
          <w:color w:val="auto"/>
        </w:rPr>
        <w:t>评标委员会</w:t>
      </w:r>
      <w:r>
        <w:rPr>
          <w:rFonts w:hint="eastAsia" w:ascii="宋体" w:hAnsi="宋体"/>
          <w:bCs/>
          <w:color w:val="auto"/>
        </w:rPr>
        <w:t>应将竞争性磋商终止理由通知所有参与竞争性磋商的供应商。</w:t>
      </w:r>
    </w:p>
    <w:p>
      <w:pPr>
        <w:spacing w:line="400" w:lineRule="exact"/>
        <w:rPr>
          <w:rFonts w:ascii="宋体" w:hAnsi="宋体" w:cs="宋体"/>
          <w:color w:val="auto"/>
          <w:kern w:val="0"/>
          <w:lang w:val="zh-CN"/>
        </w:rPr>
      </w:pPr>
      <w:r>
        <w:rPr>
          <w:rFonts w:hint="eastAsia" w:ascii="宋体" w:hAnsi="宋体"/>
          <w:b/>
          <w:bCs/>
          <w:color w:val="auto"/>
        </w:rPr>
        <w:t>23. 保密要求</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23.1评标委员会以及与评审工作有关的人员对评审情况以及评审过程中获悉的国家秘密、商业秘密应当保密。</w:t>
      </w:r>
    </w:p>
    <w:p>
      <w:pPr>
        <w:adjustRightInd w:val="0"/>
        <w:snapToGrid w:val="0"/>
        <w:spacing w:beforeLines="50" w:line="360" w:lineRule="auto"/>
        <w:rPr>
          <w:rFonts w:ascii="宋体" w:hAnsi="宋体"/>
          <w:b/>
          <w:color w:val="auto"/>
        </w:rPr>
      </w:pPr>
      <w:r>
        <w:rPr>
          <w:rFonts w:hint="eastAsia" w:ascii="宋体" w:hAnsi="宋体"/>
          <w:b/>
          <w:color w:val="auto"/>
        </w:rPr>
        <w:t>六、成交结果信息公布与供应商质疑</w:t>
      </w:r>
    </w:p>
    <w:p>
      <w:pPr>
        <w:adjustRightInd w:val="0"/>
        <w:snapToGrid w:val="0"/>
        <w:spacing w:beforeLines="50" w:line="360" w:lineRule="auto"/>
        <w:rPr>
          <w:rFonts w:ascii="宋体" w:hAnsi="宋体"/>
          <w:b/>
          <w:bCs/>
          <w:color w:val="auto"/>
        </w:rPr>
      </w:pPr>
      <w:r>
        <w:rPr>
          <w:rFonts w:hint="eastAsia" w:ascii="宋体" w:hAnsi="宋体"/>
          <w:b/>
          <w:bCs/>
          <w:color w:val="auto"/>
        </w:rPr>
        <w:t>24.成交信息的公布</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24.1 竞争性磋商结束后，成交结果信息将在</w:t>
      </w:r>
      <w:r>
        <w:rPr>
          <w:rFonts w:hint="eastAsia" w:ascii="宋体" w:hAnsi="宋体"/>
          <w:b/>
          <w:bCs/>
          <w:color w:val="auto"/>
          <w:lang w:eastAsia="zh-CN"/>
        </w:rPr>
        <w:t>新疆政府采购网</w:t>
      </w:r>
      <w:r>
        <w:rPr>
          <w:rFonts w:hint="eastAsia" w:ascii="宋体" w:hAnsi="宋体"/>
          <w:color w:val="auto"/>
        </w:rPr>
        <w:t>上公布。</w:t>
      </w:r>
    </w:p>
    <w:p>
      <w:pPr>
        <w:adjustRightInd w:val="0"/>
        <w:snapToGrid w:val="0"/>
        <w:spacing w:beforeLines="50" w:line="360" w:lineRule="auto"/>
        <w:rPr>
          <w:rFonts w:ascii="宋体" w:hAnsi="宋体"/>
          <w:b/>
          <w:bCs/>
          <w:color w:val="auto"/>
        </w:rPr>
      </w:pPr>
      <w:r>
        <w:rPr>
          <w:rFonts w:hint="eastAsia" w:ascii="宋体" w:hAnsi="宋体"/>
          <w:b/>
          <w:bCs/>
          <w:color w:val="auto"/>
        </w:rPr>
        <w:t>25.询问及质疑</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25.1供应商对政府采购活动事项有疑问的，可以向招标人或采购代理机构提出询问。招标人或采购代理机构将在三个工作日内作出答复。</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25.2供应商若认为竞争性磋商文件、采购过程和成交结果使自己的权益受到损害，应当在下列时间内以书面形式向招标人或采购代理机构提出：</w:t>
      </w:r>
    </w:p>
    <w:p>
      <w:pPr>
        <w:adjustRightInd w:val="0"/>
        <w:snapToGrid w:val="0"/>
        <w:spacing w:beforeLines="50" w:line="360" w:lineRule="auto"/>
        <w:ind w:firstLine="420" w:firstLineChars="200"/>
        <w:jc w:val="left"/>
        <w:rPr>
          <w:rFonts w:ascii="宋体" w:hAnsi="宋体" w:cs="宋体"/>
          <w:color w:val="auto"/>
          <w:kern w:val="0"/>
          <w:lang w:val="zh-CN"/>
        </w:rPr>
      </w:pPr>
      <w:r>
        <w:rPr>
          <w:rFonts w:hint="eastAsia" w:ascii="宋体" w:hAnsi="宋体"/>
          <w:color w:val="auto"/>
        </w:rPr>
        <w:t>（1）关于竞争性磋商文件的质疑，应在</w:t>
      </w:r>
      <w:r>
        <w:rPr>
          <w:rFonts w:hint="eastAsia" w:ascii="宋体" w:hAnsi="宋体" w:cs="宋体"/>
          <w:color w:val="auto"/>
          <w:kern w:val="0"/>
          <w:lang w:val="zh-CN"/>
        </w:rPr>
        <w:t>递交竞争性磋商响应文件截止时间前</w:t>
      </w:r>
      <w:r>
        <w:rPr>
          <w:rFonts w:hint="eastAsia" w:ascii="宋体" w:hAnsi="宋体"/>
          <w:color w:val="auto"/>
        </w:rPr>
        <w:t>提出。</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（2）关于采购过程的质疑，应在采购程序环节结束之日起七个工作日内提出。</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（3）关于成交结果的质疑，应在成交结果信息发布后七个工作日内提出。</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25.3 供应商提出质疑的，应当提供质疑书原件。招标人向质疑供应商签收回执。</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25.4 质疑书应当包括下列内容：</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（1）质疑供应商的名称、地址及有效联系方式；</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（2）质疑事项；</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（3）事实依据及相关证明材料；</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（4）相关请求及主张。</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jc w:val="left"/>
        <w:textAlignment w:val="auto"/>
        <w:rPr>
          <w:rFonts w:ascii="宋体" w:hAnsi="宋体"/>
          <w:color w:val="auto"/>
        </w:rPr>
      </w:pPr>
      <w:r>
        <w:rPr>
          <w:rFonts w:hint="eastAsia" w:ascii="宋体" w:hAnsi="宋体"/>
          <w:color w:val="auto"/>
        </w:rPr>
        <w:t>25.5 质疑书应当由质疑供应商法定代表人或授权代表人签字并加盖公章，质疑书由授权代表人签字的应附法定代表人授权书。</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jc w:val="left"/>
        <w:textAlignment w:val="auto"/>
        <w:rPr>
          <w:rFonts w:ascii="宋体" w:hAnsi="宋体"/>
          <w:color w:val="auto"/>
        </w:rPr>
      </w:pPr>
      <w:r>
        <w:rPr>
          <w:rFonts w:hint="eastAsia" w:ascii="宋体" w:hAnsi="宋体"/>
          <w:color w:val="auto"/>
        </w:rPr>
        <w:t>25.6 招标人或采购代理机构将在签收回执之日起七个工作日内作出书面答复，并以书面形式通知与质疑处理结果有关的供应商。</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jc w:val="left"/>
        <w:textAlignment w:val="auto"/>
        <w:rPr>
          <w:rFonts w:ascii="宋体" w:hAnsi="宋体"/>
          <w:color w:val="auto"/>
        </w:rPr>
      </w:pPr>
      <w:r>
        <w:rPr>
          <w:rFonts w:hint="eastAsia" w:ascii="宋体" w:hAnsi="宋体"/>
          <w:color w:val="auto"/>
        </w:rPr>
        <w:t>25.7供应商对招标人或采购代理机构无正当理由拒绝受理质疑的，可书面向政府采购监管部门反映情况；供应商对招标人或采购代理机构的答复不满意，或招标人或采购代理机构未在规定的期限作出答复的，可在答复期满后十五个工作日内，按政府采购相关法律法规规章的规定及程序提出投诉。</w:t>
      </w:r>
    </w:p>
    <w:p>
      <w:pPr>
        <w:keepNext w:val="0"/>
        <w:keepLines w:val="0"/>
        <w:pageBreakBefore w:val="0"/>
        <w:widowControl w:val="0"/>
        <w:kinsoku/>
        <w:wordWrap/>
        <w:overflowPunct/>
        <w:topLinePunct w:val="0"/>
        <w:autoSpaceDE/>
        <w:autoSpaceDN/>
        <w:bidi w:val="0"/>
        <w:adjustRightInd w:val="0"/>
        <w:snapToGrid w:val="0"/>
        <w:spacing w:beforeLines="50" w:line="400" w:lineRule="exact"/>
        <w:textAlignment w:val="auto"/>
        <w:rPr>
          <w:rFonts w:ascii="宋体" w:hAnsi="宋体"/>
          <w:b/>
          <w:bCs/>
          <w:color w:val="auto"/>
        </w:rPr>
      </w:pPr>
      <w:r>
        <w:rPr>
          <w:rFonts w:hint="eastAsia" w:ascii="宋体" w:hAnsi="宋体"/>
          <w:b/>
          <w:bCs/>
          <w:color w:val="auto"/>
        </w:rPr>
        <w:t>26.成交通知</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26.1 成交供应商确定后，采购代理机构将以书面形式向成交供应商发出成交通知书。成交通知书对招标人和成交供应商具有同等法律效力。</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26.2 成交通知书是合同文件的组成部分。</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0000FF"/>
        </w:rPr>
      </w:pPr>
      <w:r>
        <w:rPr>
          <w:rFonts w:hint="eastAsia" w:ascii="宋体" w:hAnsi="宋体" w:cs="宋体"/>
          <w:color w:val="auto"/>
          <w:kern w:val="0"/>
        </w:rPr>
        <w:t>26.3</w:t>
      </w:r>
      <w:r>
        <w:rPr>
          <w:rFonts w:hint="eastAsia" w:ascii="宋体" w:hAnsi="宋体"/>
          <w:color w:val="0000FF"/>
        </w:rPr>
        <w:t>成交供应商在收到采购代理机构的成交通知书后十日内，应按照</w:t>
      </w:r>
      <w:r>
        <w:rPr>
          <w:rFonts w:hint="eastAsia" w:ascii="宋体" w:hAnsi="宋体"/>
          <w:b/>
          <w:color w:val="0000FF"/>
        </w:rPr>
        <w:t>供应商须知前附表</w:t>
      </w:r>
      <w:r>
        <w:rPr>
          <w:rFonts w:hint="eastAsia" w:ascii="宋体" w:hAnsi="宋体"/>
          <w:color w:val="0000FF"/>
        </w:rPr>
        <w:t>的规定，向招标人提交履约保证金，没有提交履约保证金的，</w:t>
      </w:r>
      <w:r>
        <w:rPr>
          <w:rFonts w:hint="eastAsia" w:ascii="宋体" w:hAnsi="宋体"/>
          <w:color w:val="0000FF"/>
          <w:spacing w:val="4"/>
        </w:rPr>
        <w:t>视为放弃</w:t>
      </w:r>
      <w:r>
        <w:rPr>
          <w:rFonts w:hint="eastAsia" w:ascii="宋体" w:hAnsi="宋体"/>
          <w:color w:val="0000FF"/>
        </w:rPr>
        <w:t>成交</w:t>
      </w:r>
      <w:r>
        <w:rPr>
          <w:rFonts w:hint="eastAsia" w:ascii="宋体" w:hAnsi="宋体"/>
          <w:color w:val="0000FF"/>
          <w:spacing w:val="4"/>
        </w:rPr>
        <w:t>，</w:t>
      </w:r>
      <w:r>
        <w:rPr>
          <w:rFonts w:hint="eastAsia" w:ascii="宋体" w:hAnsi="宋体"/>
          <w:color w:val="0000FF"/>
          <w:spacing w:val="2"/>
        </w:rPr>
        <w:t>其保证金不予退还。</w:t>
      </w:r>
    </w:p>
    <w:p>
      <w:pPr>
        <w:keepNext w:val="0"/>
        <w:keepLines w:val="0"/>
        <w:pageBreakBefore w:val="0"/>
        <w:widowControl w:val="0"/>
        <w:kinsoku/>
        <w:wordWrap/>
        <w:overflowPunct/>
        <w:topLinePunct w:val="0"/>
        <w:autoSpaceDE/>
        <w:autoSpaceDN/>
        <w:bidi w:val="0"/>
        <w:adjustRightInd w:val="0"/>
        <w:snapToGrid w:val="0"/>
        <w:spacing w:beforeLines="50" w:line="400" w:lineRule="exact"/>
        <w:textAlignment w:val="auto"/>
        <w:rPr>
          <w:rFonts w:ascii="宋体" w:hAnsi="宋体"/>
          <w:b/>
          <w:bCs/>
          <w:color w:val="auto"/>
        </w:rPr>
      </w:pPr>
      <w:r>
        <w:rPr>
          <w:rFonts w:hint="eastAsia" w:ascii="宋体" w:hAnsi="宋体"/>
          <w:b/>
          <w:bCs/>
          <w:color w:val="auto"/>
        </w:rPr>
        <w:t>27.签订</w:t>
      </w:r>
      <w:r>
        <w:rPr>
          <w:rFonts w:hint="eastAsia" w:ascii="宋体" w:hAnsi="宋体"/>
          <w:b/>
          <w:color w:val="auto"/>
        </w:rPr>
        <w:t>政府采购</w:t>
      </w:r>
      <w:r>
        <w:rPr>
          <w:rFonts w:hint="eastAsia" w:ascii="宋体" w:hAnsi="宋体"/>
          <w:b/>
          <w:bCs/>
          <w:color w:val="auto"/>
        </w:rPr>
        <w:t>合同</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27.1 竞争性磋商文件、成交供应商的竞争性磋商响应文件等均为签订政府采购合同的依据。</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s="宋体"/>
          <w:b/>
          <w:color w:val="auto"/>
          <w:kern w:val="0"/>
        </w:rPr>
      </w:pPr>
      <w:r>
        <w:rPr>
          <w:rFonts w:hint="eastAsia" w:ascii="宋体" w:hAnsi="宋体"/>
          <w:color w:val="auto"/>
        </w:rPr>
        <w:t>27.2 成交供应商应当在成交通知书发出之日起三十日内与招标人签定政府采购合同。</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27.3 成交供应商应当按照政府采购合同约定履行义务。成交供应商不得向他人转让成交项目，也不得将成交项目分包后分别向他人转让。</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27.4政府采购合同履行中，招标人需追加与合同标的相同的货物服务的，在不改变合同其他条款的前提下，可以与成交供应商协商签订补充合同，但所有补充合同的采购金额不得超过原合同采购金额的百分之十。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val="0"/>
        <w:snapToGrid w:val="0"/>
        <w:spacing w:beforeLines="50" w:line="400" w:lineRule="exact"/>
        <w:textAlignment w:val="auto"/>
        <w:rPr>
          <w:rFonts w:ascii="宋体" w:hAnsi="宋体"/>
          <w:b/>
          <w:color w:val="auto"/>
        </w:rPr>
      </w:pPr>
      <w:r>
        <w:rPr>
          <w:rFonts w:hint="eastAsia" w:ascii="宋体" w:hAnsi="宋体"/>
          <w:b/>
          <w:color w:val="auto"/>
        </w:rPr>
        <w:t>七、责任承担</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11" w:firstLineChars="196"/>
        <w:textAlignment w:val="auto"/>
        <w:rPr>
          <w:rFonts w:ascii="宋体" w:hAnsi="宋体"/>
          <w:color w:val="auto"/>
        </w:rPr>
      </w:pPr>
      <w:r>
        <w:rPr>
          <w:rFonts w:hint="eastAsia" w:ascii="宋体" w:hAnsi="宋体"/>
          <w:color w:val="auto"/>
        </w:rPr>
        <w:t>28.1在政府采购活动中，供应商需承担的相应责任及违规处理，按照《政府采购法》、《采购法实施条例》、《政府采购非招标采购方式管理办法》（财政部第74号令）的规定执行。</w:t>
      </w:r>
    </w:p>
    <w:p>
      <w:pPr>
        <w:keepNext w:val="0"/>
        <w:keepLines w:val="0"/>
        <w:pageBreakBefore w:val="0"/>
        <w:widowControl w:val="0"/>
        <w:kinsoku/>
        <w:wordWrap/>
        <w:overflowPunct/>
        <w:topLinePunct w:val="0"/>
        <w:autoSpaceDE/>
        <w:autoSpaceDN/>
        <w:bidi w:val="0"/>
        <w:adjustRightInd w:val="0"/>
        <w:snapToGrid w:val="0"/>
        <w:spacing w:beforeLines="50" w:line="400" w:lineRule="exact"/>
        <w:jc w:val="left"/>
        <w:textAlignment w:val="auto"/>
        <w:rPr>
          <w:rFonts w:ascii="宋体" w:hAnsi="宋体"/>
          <w:b/>
          <w:color w:val="auto"/>
        </w:rPr>
      </w:pPr>
      <w:r>
        <w:rPr>
          <w:rFonts w:hint="eastAsia" w:ascii="宋体" w:hAnsi="宋体"/>
          <w:b/>
          <w:color w:val="auto"/>
        </w:rPr>
        <w:t>八、其他规定</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29.1竞争性磋商文件的其他规定见</w:t>
      </w:r>
      <w:r>
        <w:rPr>
          <w:rFonts w:hint="eastAsia" w:ascii="宋体" w:hAnsi="宋体"/>
          <w:b/>
          <w:color w:val="auto"/>
        </w:rPr>
        <w:t>投标供应商须知前附表</w:t>
      </w:r>
      <w:r>
        <w:rPr>
          <w:rFonts w:hint="eastAsia" w:ascii="宋体" w:hAnsi="宋体"/>
          <w:color w:val="auto"/>
        </w:rPr>
        <w:t>。</w:t>
      </w:r>
      <w:bookmarkEnd w:id="52"/>
    </w:p>
    <w:bookmarkEnd w:id="50"/>
    <w:p>
      <w:pPr>
        <w:spacing w:line="276" w:lineRule="auto"/>
        <w:jc w:val="center"/>
        <w:rPr>
          <w:rFonts w:hint="eastAsia" w:ascii="宋体" w:hAnsi="宋体"/>
          <w:b/>
          <w:color w:val="auto"/>
          <w:sz w:val="30"/>
          <w:szCs w:val="30"/>
        </w:rPr>
      </w:pPr>
    </w:p>
    <w:p>
      <w:pPr>
        <w:spacing w:line="276" w:lineRule="auto"/>
        <w:jc w:val="center"/>
        <w:outlineLvl w:val="0"/>
        <w:rPr>
          <w:rFonts w:hint="eastAsia" w:ascii="宋体" w:hAnsi="宋体"/>
          <w:b/>
          <w:color w:val="auto"/>
          <w:sz w:val="48"/>
          <w:szCs w:val="48"/>
        </w:rPr>
      </w:pPr>
      <w:bookmarkStart w:id="53" w:name="_Toc27588"/>
    </w:p>
    <w:p>
      <w:pPr>
        <w:spacing w:line="276" w:lineRule="auto"/>
        <w:jc w:val="center"/>
        <w:outlineLvl w:val="0"/>
        <w:rPr>
          <w:rFonts w:hint="eastAsia" w:ascii="宋体" w:hAnsi="宋体"/>
          <w:b/>
          <w:color w:val="auto"/>
          <w:sz w:val="48"/>
          <w:szCs w:val="48"/>
        </w:rPr>
      </w:pPr>
    </w:p>
    <w:p>
      <w:pPr>
        <w:spacing w:line="276" w:lineRule="auto"/>
        <w:jc w:val="center"/>
        <w:outlineLvl w:val="0"/>
        <w:rPr>
          <w:rFonts w:hint="eastAsia" w:ascii="宋体" w:hAnsi="宋体"/>
          <w:b/>
          <w:color w:val="auto"/>
          <w:sz w:val="48"/>
          <w:szCs w:val="48"/>
        </w:rPr>
      </w:pPr>
    </w:p>
    <w:p>
      <w:pPr>
        <w:spacing w:line="276" w:lineRule="auto"/>
        <w:jc w:val="center"/>
        <w:outlineLvl w:val="0"/>
        <w:rPr>
          <w:rFonts w:hint="eastAsia" w:ascii="宋体" w:hAnsi="宋体"/>
          <w:b/>
          <w:color w:val="auto"/>
          <w:sz w:val="48"/>
          <w:szCs w:val="48"/>
        </w:rPr>
      </w:pPr>
    </w:p>
    <w:p>
      <w:pPr>
        <w:spacing w:line="276" w:lineRule="auto"/>
        <w:jc w:val="center"/>
        <w:outlineLvl w:val="0"/>
        <w:rPr>
          <w:rFonts w:hint="eastAsia" w:ascii="宋体" w:hAnsi="宋体"/>
          <w:b/>
          <w:color w:val="auto"/>
          <w:sz w:val="48"/>
          <w:szCs w:val="48"/>
        </w:rPr>
      </w:pPr>
    </w:p>
    <w:p>
      <w:pPr>
        <w:spacing w:line="276" w:lineRule="auto"/>
        <w:jc w:val="center"/>
        <w:outlineLvl w:val="0"/>
        <w:rPr>
          <w:rFonts w:hint="eastAsia" w:ascii="宋体" w:hAnsi="宋体"/>
          <w:b/>
          <w:color w:val="auto"/>
          <w:sz w:val="48"/>
          <w:szCs w:val="48"/>
        </w:rPr>
      </w:pPr>
    </w:p>
    <w:p>
      <w:pPr>
        <w:pStyle w:val="26"/>
        <w:bidi w:val="0"/>
        <w:rPr>
          <w:rFonts w:hint="eastAsia"/>
        </w:rPr>
      </w:pPr>
    </w:p>
    <w:p>
      <w:pPr>
        <w:spacing w:line="276" w:lineRule="auto"/>
        <w:jc w:val="center"/>
        <w:outlineLvl w:val="0"/>
        <w:rPr>
          <w:rFonts w:hint="eastAsia" w:ascii="宋体" w:hAnsi="宋体"/>
          <w:b/>
          <w:color w:val="auto"/>
          <w:sz w:val="48"/>
          <w:szCs w:val="48"/>
        </w:rPr>
      </w:pPr>
    </w:p>
    <w:p>
      <w:pPr>
        <w:spacing w:line="276" w:lineRule="auto"/>
        <w:jc w:val="center"/>
        <w:outlineLvl w:val="0"/>
        <w:rPr>
          <w:rFonts w:ascii="宋体" w:hAnsi="宋体"/>
          <w:b/>
          <w:color w:val="auto"/>
          <w:sz w:val="48"/>
          <w:szCs w:val="48"/>
        </w:rPr>
      </w:pPr>
      <w:r>
        <w:rPr>
          <w:rFonts w:hint="eastAsia" w:ascii="宋体" w:hAnsi="宋体"/>
          <w:b/>
          <w:color w:val="auto"/>
          <w:sz w:val="48"/>
          <w:szCs w:val="48"/>
        </w:rPr>
        <w:t>第七章  响应文件格式</w:t>
      </w:r>
      <w:bookmarkEnd w:id="53"/>
    </w:p>
    <w:p>
      <w:pPr>
        <w:jc w:val="left"/>
        <w:outlineLvl w:val="9"/>
        <w:rPr>
          <w:rFonts w:hint="eastAsia" w:ascii="仿宋_GB2312" w:hAnsi="宋体" w:eastAsia="仿宋_GB2312"/>
          <w:b/>
          <w:bCs/>
          <w:color w:val="auto"/>
          <w:sz w:val="28"/>
          <w:szCs w:val="28"/>
          <w:lang w:val="en-US" w:eastAsia="zh-CN"/>
        </w:rPr>
      </w:pPr>
      <w:bookmarkStart w:id="54" w:name="_Toc11240"/>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0"/>
        <w:rPr>
          <w:rFonts w:hint="eastAsia" w:ascii="仿宋_GB2312" w:hAnsi="宋体" w:eastAsia="仿宋_GB2312"/>
          <w:b/>
          <w:bCs/>
          <w:color w:val="auto"/>
          <w:sz w:val="28"/>
          <w:szCs w:val="28"/>
          <w:lang w:val="en-US" w:eastAsia="zh-CN"/>
        </w:rPr>
      </w:pPr>
      <w:bookmarkStart w:id="55" w:name="_Toc3598"/>
    </w:p>
    <w:p>
      <w:pPr>
        <w:jc w:val="left"/>
        <w:outlineLvl w:val="0"/>
        <w:rPr>
          <w:rFonts w:hint="eastAsia" w:ascii="仿宋_GB2312" w:hAnsi="宋体" w:eastAsia="仿宋_GB2312"/>
          <w:b/>
          <w:bCs/>
          <w:color w:val="auto"/>
          <w:sz w:val="28"/>
          <w:szCs w:val="28"/>
          <w:lang w:val="en-US" w:eastAsia="zh-CN"/>
        </w:rPr>
      </w:pPr>
    </w:p>
    <w:p>
      <w:pPr>
        <w:jc w:val="left"/>
        <w:outlineLvl w:val="0"/>
        <w:rPr>
          <w:rFonts w:hint="eastAsia" w:ascii="仿宋_GB2312" w:hAnsi="宋体" w:eastAsia="仿宋_GB2312"/>
          <w:b/>
          <w:bCs/>
          <w:color w:val="auto"/>
          <w:sz w:val="28"/>
          <w:szCs w:val="28"/>
          <w:lang w:val="en-US" w:eastAsia="zh-CN"/>
        </w:rPr>
      </w:pPr>
    </w:p>
    <w:p>
      <w:pPr>
        <w:jc w:val="left"/>
        <w:outlineLvl w:val="0"/>
        <w:rPr>
          <w:rFonts w:hint="eastAsia" w:ascii="仿宋_GB2312" w:hAnsi="宋体" w:eastAsia="仿宋_GB2312"/>
          <w:b/>
          <w:bCs/>
          <w:color w:val="auto"/>
          <w:sz w:val="28"/>
          <w:szCs w:val="28"/>
          <w:lang w:val="en-US" w:eastAsia="zh-CN"/>
        </w:rPr>
      </w:pPr>
    </w:p>
    <w:p>
      <w:pPr>
        <w:jc w:val="left"/>
        <w:outlineLvl w:val="0"/>
        <w:rPr>
          <w:rFonts w:hint="eastAsia" w:ascii="仿宋_GB2312" w:hAnsi="宋体" w:eastAsia="仿宋_GB2312"/>
          <w:b/>
          <w:bCs/>
          <w:color w:val="auto"/>
          <w:sz w:val="28"/>
          <w:szCs w:val="28"/>
          <w:lang w:val="en-US" w:eastAsia="zh-CN"/>
        </w:rPr>
      </w:pPr>
    </w:p>
    <w:p>
      <w:pPr>
        <w:jc w:val="left"/>
        <w:outlineLvl w:val="0"/>
        <w:rPr>
          <w:rFonts w:hint="eastAsia" w:ascii="仿宋_GB2312" w:hAnsi="宋体" w:eastAsia="仿宋_GB2312"/>
          <w:b/>
          <w:bCs/>
          <w:color w:val="auto"/>
          <w:sz w:val="28"/>
          <w:szCs w:val="28"/>
          <w:lang w:val="en-US" w:eastAsia="zh-CN"/>
        </w:rPr>
      </w:pPr>
      <w:r>
        <w:rPr>
          <w:rFonts w:hint="eastAsia" w:ascii="仿宋_GB2312" w:hAnsi="宋体" w:eastAsia="仿宋_GB2312"/>
          <w:b/>
          <w:bCs/>
          <w:color w:val="auto"/>
          <w:sz w:val="28"/>
          <w:szCs w:val="28"/>
          <w:lang w:val="en-US" w:eastAsia="zh-CN"/>
        </w:rPr>
        <w:t>正本/副本</w:t>
      </w:r>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cs="宋体"/>
          <w:b w:val="0"/>
          <w:bCs w:val="0"/>
          <w:color w:val="auto"/>
          <w:spacing w:val="0"/>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宋体" w:hAnsi="宋体" w:cs="宋体"/>
          <w:b w:val="0"/>
          <w:bCs w:val="0"/>
          <w:color w:val="auto"/>
          <w:spacing w:val="0"/>
          <w:sz w:val="28"/>
          <w:szCs w:val="28"/>
          <w:u w:val="none"/>
          <w:lang w:val="en-US" w:eastAsia="zh-CN"/>
        </w:rPr>
      </w:pPr>
      <w:r>
        <w:rPr>
          <w:rFonts w:hint="eastAsia" w:ascii="宋体" w:hAnsi="宋体" w:cs="宋体"/>
          <w:b w:val="0"/>
          <w:bCs w:val="0"/>
          <w:color w:val="auto"/>
          <w:spacing w:val="0"/>
          <w:sz w:val="28"/>
          <w:szCs w:val="28"/>
          <w:u w:val="single"/>
          <w:lang w:val="en-US" w:eastAsia="zh-CN"/>
        </w:rPr>
        <w:t xml:space="preserve">           </w:t>
      </w:r>
      <w:bookmarkStart w:id="56" w:name="_Toc14044"/>
      <w:bookmarkStart w:id="57" w:name="_Toc3932"/>
      <w:r>
        <w:rPr>
          <w:rFonts w:hint="eastAsia" w:ascii="宋体" w:hAnsi="宋体" w:cs="宋体"/>
          <w:b w:val="0"/>
          <w:bCs w:val="0"/>
          <w:color w:val="auto"/>
          <w:spacing w:val="0"/>
          <w:sz w:val="28"/>
          <w:szCs w:val="28"/>
          <w:u w:val="single"/>
          <w:lang w:val="en-US" w:eastAsia="zh-CN"/>
        </w:rPr>
        <w:t>（</w:t>
      </w:r>
      <w:r>
        <w:rPr>
          <w:rFonts w:hint="eastAsia" w:ascii="宋体" w:hAnsi="宋体" w:cs="宋体"/>
          <w:b w:val="0"/>
          <w:bCs w:val="0"/>
          <w:color w:val="auto"/>
          <w:spacing w:val="0"/>
          <w:sz w:val="28"/>
          <w:szCs w:val="28"/>
          <w:u w:val="none"/>
          <w:lang w:val="en-US" w:eastAsia="zh-CN"/>
        </w:rPr>
        <w:t>项目名称）</w:t>
      </w:r>
      <w:bookmarkEnd w:id="56"/>
      <w:bookmarkEnd w:id="57"/>
    </w:p>
    <w:p>
      <w:pPr>
        <w:jc w:val="center"/>
        <w:outlineLvl w:val="0"/>
        <w:rPr>
          <w:rFonts w:hint="eastAsia" w:ascii="宋体" w:hAnsi="宋体" w:cs="宋体"/>
          <w:b w:val="0"/>
          <w:bCs w:val="0"/>
          <w:color w:val="auto"/>
          <w:spacing w:val="0"/>
          <w:sz w:val="21"/>
          <w:szCs w:val="21"/>
          <w:u w:val="none"/>
          <w:lang w:val="en-US" w:eastAsia="zh-CN"/>
        </w:rPr>
      </w:pPr>
      <w:bookmarkStart w:id="58" w:name="_Toc24416"/>
      <w:bookmarkStart w:id="59" w:name="_Toc17914"/>
      <w:r>
        <w:rPr>
          <w:rFonts w:ascii="仿宋_GB2312" w:hAnsi="宋体" w:eastAsia="仿宋_GB2312"/>
          <w:b/>
          <w:bCs/>
          <w:color w:val="auto"/>
          <w:sz w:val="32"/>
          <w:szCs w:val="32"/>
        </w:rPr>
        <w:t>封面格式</w:t>
      </w:r>
      <w:bookmarkEnd w:id="58"/>
      <w:bookmarkEnd w:id="5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宋体" w:hAnsi="宋体" w:cs="宋体"/>
          <w:b/>
          <w:bCs/>
          <w:color w:val="auto"/>
          <w:spacing w:val="0"/>
          <w:sz w:val="32"/>
          <w:szCs w:val="32"/>
          <w:lang w:val="en-US" w:eastAsia="zh-CN"/>
        </w:rPr>
      </w:pPr>
      <w:bookmarkStart w:id="60" w:name="_Toc12383"/>
      <w:bookmarkStart w:id="61" w:name="_Toc18236"/>
      <w:r>
        <w:rPr>
          <w:rFonts w:hint="eastAsia" w:ascii="宋体" w:hAnsi="宋体" w:cs="宋体"/>
          <w:b/>
          <w:bCs/>
          <w:color w:val="auto"/>
          <w:spacing w:val="0"/>
          <w:sz w:val="32"/>
          <w:szCs w:val="32"/>
          <w:lang w:val="en-US" w:eastAsia="zh-CN"/>
        </w:rPr>
        <w:t>竞争性磋商响应文件</w:t>
      </w:r>
      <w:bookmarkEnd w:id="60"/>
      <w:bookmarkEnd w:id="6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96"/>
          <w:szCs w:val="9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4"/>
          <w:szCs w:val="24"/>
          <w:u w:val="none"/>
          <w:lang w:val="en-US" w:eastAsia="zh-CN"/>
        </w:rPr>
      </w:pPr>
      <w:r>
        <w:rPr>
          <w:rFonts w:hint="eastAsia" w:ascii="宋体" w:hAnsi="宋体" w:cs="宋体"/>
          <w:b w:val="0"/>
          <w:bCs w:val="0"/>
          <w:color w:val="auto"/>
          <w:spacing w:val="0"/>
          <w:sz w:val="24"/>
          <w:szCs w:val="24"/>
          <w:u w:val="none"/>
          <w:lang w:val="en-US" w:eastAsia="zh-CN"/>
        </w:rPr>
        <w:t>投标人：</w:t>
      </w: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4"/>
          <w:szCs w:val="24"/>
          <w:u w:val="none"/>
          <w:lang w:val="en-US" w:eastAsia="zh-CN"/>
        </w:rPr>
      </w:pPr>
      <w:r>
        <w:rPr>
          <w:rFonts w:hint="eastAsia" w:ascii="宋体" w:hAnsi="宋体" w:cs="宋体"/>
          <w:b w:val="0"/>
          <w:bCs w:val="0"/>
          <w:color w:val="auto"/>
          <w:spacing w:val="0"/>
          <w:sz w:val="24"/>
          <w:szCs w:val="24"/>
          <w:u w:val="none"/>
          <w:lang w:val="en-US" w:eastAsia="zh-CN"/>
        </w:rPr>
        <w:t>法定代表人（单位负责人）或其委托代理人：</w:t>
      </w: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签字）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4"/>
          <w:szCs w:val="24"/>
          <w:u w:val="none"/>
          <w:lang w:val="en-US" w:eastAsia="zh-CN"/>
        </w:rPr>
      </w:pP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年</w:t>
      </w: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月</w:t>
      </w: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日</w:t>
      </w:r>
    </w:p>
    <w:p>
      <w:pPr>
        <w:ind w:left="0" w:leftChars="0" w:firstLine="0" w:firstLineChars="0"/>
        <w:jc w:val="center"/>
        <w:outlineLvl w:val="9"/>
        <w:rPr>
          <w:rFonts w:hint="eastAsia"/>
          <w:b/>
          <w:bCs/>
          <w:color w:val="auto"/>
          <w:sz w:val="36"/>
          <w:szCs w:val="44"/>
          <w:lang w:val="en-US" w:eastAsia="zh-CN"/>
        </w:rPr>
      </w:pPr>
    </w:p>
    <w:p>
      <w:pPr>
        <w:ind w:left="0" w:leftChars="0" w:firstLine="0" w:firstLineChars="0"/>
        <w:jc w:val="both"/>
        <w:outlineLvl w:val="9"/>
        <w:rPr>
          <w:rFonts w:hint="eastAsia"/>
          <w:b/>
          <w:bCs/>
          <w:color w:val="auto"/>
          <w:sz w:val="36"/>
          <w:szCs w:val="44"/>
          <w:lang w:val="en-US" w:eastAsia="zh-CN"/>
        </w:rPr>
      </w:pPr>
    </w:p>
    <w:p>
      <w:pPr>
        <w:pStyle w:val="49"/>
        <w:rPr>
          <w:rFonts w:hint="eastAsia"/>
          <w:color w:val="auto"/>
          <w:lang w:val="en-US" w:eastAsia="zh-CN"/>
        </w:rPr>
      </w:pPr>
    </w:p>
    <w:p>
      <w:pPr>
        <w:ind w:left="0" w:leftChars="0" w:firstLine="0" w:firstLineChars="0"/>
        <w:jc w:val="center"/>
        <w:outlineLvl w:val="0"/>
        <w:rPr>
          <w:rFonts w:hint="eastAsia"/>
          <w:b/>
          <w:bCs/>
          <w:color w:val="auto"/>
          <w:sz w:val="48"/>
          <w:szCs w:val="48"/>
          <w:lang w:val="en-US" w:eastAsia="zh-CN"/>
        </w:rPr>
      </w:pPr>
      <w:bookmarkStart w:id="62" w:name="_Toc19677"/>
      <w:r>
        <w:rPr>
          <w:rFonts w:hint="eastAsia"/>
          <w:b/>
          <w:bCs/>
          <w:color w:val="auto"/>
          <w:sz w:val="48"/>
          <w:szCs w:val="48"/>
          <w:lang w:val="en-US" w:eastAsia="zh-CN"/>
        </w:rPr>
        <w:t>目  录</w:t>
      </w:r>
      <w:bookmarkEnd w:id="62"/>
    </w:p>
    <w:p>
      <w:pPr>
        <w:pStyle w:val="23"/>
        <w:bidi w:val="0"/>
        <w:rPr>
          <w:rFonts w:hint="eastAsia"/>
          <w:color w:val="auto"/>
          <w:lang w:val="en-US" w:eastAsia="zh-CN"/>
        </w:rPr>
      </w:pP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val="en-US" w:eastAsia="zh-CN"/>
        </w:rPr>
        <w:t>（1）竞争性磋商</w:t>
      </w:r>
      <w:r>
        <w:rPr>
          <w:rFonts w:hint="eastAsia" w:ascii="宋体" w:hAnsi="宋体"/>
          <w:b/>
          <w:bCs/>
          <w:color w:val="auto"/>
          <w:sz w:val="28"/>
          <w:szCs w:val="28"/>
        </w:rPr>
        <w:t>响应函</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2</w:t>
      </w:r>
      <w:r>
        <w:rPr>
          <w:rFonts w:hint="eastAsia" w:ascii="宋体" w:hAnsi="宋体"/>
          <w:b/>
          <w:bCs/>
          <w:color w:val="auto"/>
          <w:sz w:val="28"/>
          <w:szCs w:val="28"/>
          <w:lang w:eastAsia="zh-CN"/>
        </w:rPr>
        <w:t>）磋商报价表</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3</w:t>
      </w:r>
      <w:r>
        <w:rPr>
          <w:rFonts w:hint="eastAsia" w:ascii="宋体" w:hAnsi="宋体"/>
          <w:b/>
          <w:bCs/>
          <w:color w:val="auto"/>
          <w:sz w:val="28"/>
          <w:szCs w:val="28"/>
          <w:lang w:eastAsia="zh-CN"/>
        </w:rPr>
        <w:t>）法定代表人身份证明书、法定代表人授权书</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4</w:t>
      </w:r>
      <w:r>
        <w:rPr>
          <w:rFonts w:hint="eastAsia" w:ascii="宋体" w:hAnsi="宋体"/>
          <w:b/>
          <w:bCs/>
          <w:color w:val="auto"/>
          <w:sz w:val="28"/>
          <w:szCs w:val="28"/>
          <w:lang w:eastAsia="zh-CN"/>
        </w:rPr>
        <w:t>）磋商保证金交纳凭证</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5</w:t>
      </w:r>
      <w:r>
        <w:rPr>
          <w:rFonts w:hint="eastAsia" w:ascii="宋体" w:hAnsi="宋体"/>
          <w:b/>
          <w:bCs/>
          <w:color w:val="auto"/>
          <w:sz w:val="28"/>
          <w:szCs w:val="28"/>
          <w:lang w:eastAsia="zh-CN"/>
        </w:rPr>
        <w:t>）反商业贿赂承诺书</w:t>
      </w:r>
    </w:p>
    <w:p>
      <w:pPr>
        <w:adjustRightInd w:val="0"/>
        <w:snapToGrid w:val="0"/>
        <w:spacing w:beforeLines="50" w:line="360" w:lineRule="auto"/>
        <w:ind w:firstLine="562" w:firstLineChars="200"/>
        <w:jc w:val="left"/>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（6）商务和技术偏差表</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val="en-US" w:eastAsia="zh-CN"/>
        </w:rPr>
        <w:t>（7）响应供应商</w:t>
      </w:r>
      <w:r>
        <w:rPr>
          <w:rFonts w:hint="eastAsia" w:ascii="宋体" w:hAnsi="宋体"/>
          <w:b/>
          <w:bCs/>
          <w:color w:val="auto"/>
          <w:sz w:val="28"/>
          <w:szCs w:val="28"/>
          <w:lang w:eastAsia="zh-CN"/>
        </w:rPr>
        <w:t>概况</w:t>
      </w:r>
    </w:p>
    <w:p>
      <w:pPr>
        <w:adjustRightInd w:val="0"/>
        <w:snapToGrid w:val="0"/>
        <w:spacing w:beforeLines="50" w:line="360" w:lineRule="auto"/>
        <w:ind w:firstLine="562" w:firstLineChars="200"/>
        <w:jc w:val="left"/>
        <w:rPr>
          <w:rFonts w:hint="eastAsia" w:ascii="宋体" w:hAnsi="宋体"/>
          <w:b/>
          <w:bCs/>
          <w:color w:val="auto"/>
          <w:sz w:val="28"/>
          <w:szCs w:val="28"/>
          <w:lang w:val="en-US"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8</w:t>
      </w:r>
      <w:r>
        <w:rPr>
          <w:rFonts w:hint="eastAsia" w:ascii="宋体" w:hAnsi="宋体"/>
          <w:b/>
          <w:bCs/>
          <w:color w:val="auto"/>
          <w:sz w:val="28"/>
          <w:szCs w:val="28"/>
          <w:lang w:eastAsia="zh-CN"/>
        </w:rPr>
        <w:t>）</w:t>
      </w:r>
      <w:r>
        <w:rPr>
          <w:rFonts w:hint="eastAsia" w:ascii="宋体" w:hAnsi="宋体"/>
          <w:b/>
          <w:bCs/>
          <w:color w:val="auto"/>
          <w:sz w:val="28"/>
          <w:szCs w:val="28"/>
          <w:lang w:val="en-US" w:eastAsia="zh-CN"/>
        </w:rPr>
        <w:t>企业信誉情况</w:t>
      </w:r>
    </w:p>
    <w:p>
      <w:pPr>
        <w:adjustRightInd w:val="0"/>
        <w:snapToGrid w:val="0"/>
        <w:spacing w:beforeLines="50" w:line="360" w:lineRule="auto"/>
        <w:ind w:firstLine="562" w:firstLineChars="200"/>
        <w:jc w:val="left"/>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（9）供应商响应货物技术性能指标的详细描述</w:t>
      </w:r>
    </w:p>
    <w:p>
      <w:pPr>
        <w:pStyle w:val="49"/>
        <w:rPr>
          <w:rFonts w:hint="default"/>
          <w:color w:val="auto"/>
          <w:lang w:val="en-US" w:eastAsia="zh-CN"/>
        </w:rPr>
      </w:pPr>
      <w:r>
        <w:rPr>
          <w:rFonts w:hint="eastAsia" w:ascii="宋体" w:hAnsi="宋体"/>
          <w:b/>
          <w:bCs/>
          <w:color w:val="auto"/>
          <w:sz w:val="28"/>
          <w:szCs w:val="28"/>
          <w:lang w:val="en-US" w:eastAsia="zh-CN"/>
        </w:rPr>
        <w:t xml:space="preserve">    （10）供货及安装方案</w:t>
      </w:r>
    </w:p>
    <w:p>
      <w:pPr>
        <w:adjustRightInd w:val="0"/>
        <w:snapToGrid w:val="0"/>
        <w:spacing w:beforeLines="50" w:line="360" w:lineRule="auto"/>
        <w:ind w:firstLine="562" w:firstLineChars="200"/>
        <w:jc w:val="left"/>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（11）</w:t>
      </w:r>
      <w:r>
        <w:rPr>
          <w:rFonts w:hint="eastAsia" w:asciiTheme="minorEastAsia" w:hAnsiTheme="minorEastAsia" w:cstheme="minorEastAsia"/>
          <w:b/>
          <w:bCs/>
          <w:color w:val="auto"/>
          <w:spacing w:val="0"/>
          <w:sz w:val="28"/>
          <w:szCs w:val="28"/>
          <w:lang w:val="en-US" w:eastAsia="zh-CN"/>
        </w:rPr>
        <w:t>售后服务方案及培训计划</w:t>
      </w:r>
    </w:p>
    <w:p>
      <w:pPr>
        <w:adjustRightInd w:val="0"/>
        <w:snapToGrid w:val="0"/>
        <w:spacing w:beforeLines="50" w:line="360" w:lineRule="auto"/>
        <w:ind w:firstLine="562" w:firstLineChars="200"/>
        <w:jc w:val="left"/>
        <w:rPr>
          <w:rFonts w:hint="eastAsia" w:ascii="宋体" w:hAnsi="宋体"/>
          <w:color w:val="auto"/>
          <w:sz w:val="28"/>
          <w:szCs w:val="28"/>
          <w:lang w:eastAsia="zh-CN"/>
        </w:rPr>
      </w:pPr>
      <w:r>
        <w:rPr>
          <w:rFonts w:hint="eastAsia" w:ascii="宋体" w:hAnsi="宋体"/>
          <w:b/>
          <w:bCs/>
          <w:color w:val="auto"/>
          <w:sz w:val="28"/>
          <w:szCs w:val="28"/>
          <w:lang w:val="en-US" w:eastAsia="zh-CN"/>
        </w:rPr>
        <w:t>（12）其他资料</w:t>
      </w:r>
    </w:p>
    <w:p>
      <w:pPr>
        <w:pStyle w:val="24"/>
        <w:bidi w:val="0"/>
        <w:rPr>
          <w:rFonts w:hint="eastAsia"/>
          <w:color w:val="auto"/>
          <w:lang w:eastAsia="zh-CN"/>
        </w:rPr>
      </w:pPr>
    </w:p>
    <w:p>
      <w:pPr>
        <w:pStyle w:val="24"/>
        <w:bidi w:val="0"/>
        <w:rPr>
          <w:rFonts w:hint="eastAsia"/>
          <w:color w:val="auto"/>
          <w:lang w:eastAsia="zh-CN"/>
        </w:rPr>
      </w:pPr>
    </w:p>
    <w:p>
      <w:pPr>
        <w:ind w:left="0" w:leftChars="0" w:firstLine="0" w:firstLineChars="0"/>
        <w:jc w:val="center"/>
        <w:outlineLvl w:val="9"/>
        <w:rPr>
          <w:rFonts w:hint="eastAsia" w:ascii="宋体" w:hAnsi="宋体" w:eastAsia="宋体" w:cs="宋体"/>
          <w:b/>
          <w:color w:val="auto"/>
          <w:sz w:val="36"/>
          <w:szCs w:val="36"/>
        </w:rPr>
      </w:pPr>
      <w:r>
        <w:rPr>
          <w:rFonts w:hint="eastAsia"/>
          <w:b w:val="0"/>
          <w:bCs/>
          <w:color w:val="auto"/>
          <w:sz w:val="20"/>
          <w:szCs w:val="22"/>
          <w:lang w:eastAsia="zh-CN"/>
        </w:rPr>
        <w:t>（</w:t>
      </w:r>
      <w:r>
        <w:rPr>
          <w:rFonts w:hint="eastAsia"/>
          <w:b w:val="0"/>
          <w:bCs/>
          <w:color w:val="auto"/>
          <w:sz w:val="20"/>
          <w:szCs w:val="22"/>
          <w:lang w:val="en-US" w:eastAsia="zh-CN"/>
        </w:rPr>
        <w:t>注：响应供应商编制响应文件目录时应编制页码，可做详细目录；但目录顺序应与本表一致。</w:t>
      </w:r>
      <w:r>
        <w:rPr>
          <w:rFonts w:hint="eastAsia"/>
          <w:b w:val="0"/>
          <w:bCs/>
          <w:color w:val="auto"/>
          <w:sz w:val="20"/>
          <w:szCs w:val="22"/>
          <w:lang w:eastAsia="zh-CN"/>
        </w:rPr>
        <w:t>）</w:t>
      </w:r>
      <w:r>
        <w:rPr>
          <w:b w:val="0"/>
          <w:bCs/>
          <w:color w:val="auto"/>
          <w:sz w:val="20"/>
          <w:szCs w:val="22"/>
        </w:rPr>
        <w:br w:type="page"/>
      </w:r>
      <w:r>
        <w:rPr>
          <w:rFonts w:hint="eastAsia" w:asciiTheme="minorEastAsia" w:hAnsiTheme="minorEastAsia" w:cstheme="minorEastAsia"/>
          <w:b/>
          <w:bCs/>
          <w:color w:val="auto"/>
          <w:spacing w:val="0"/>
          <w:sz w:val="28"/>
          <w:szCs w:val="28"/>
          <w:lang w:val="en-US" w:eastAsia="zh-CN"/>
        </w:rPr>
        <w:t>一、竞争性磋商响应函</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库车市教育和教学技术局</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根据贵单位对</w:t>
      </w:r>
      <w:r>
        <w:rPr>
          <w:rFonts w:hint="eastAsia" w:ascii="宋体" w:hAnsi="宋体" w:eastAsia="宋体" w:cs="宋体"/>
          <w:color w:val="auto"/>
          <w:sz w:val="24"/>
          <w:szCs w:val="24"/>
          <w:u w:val="single"/>
          <w:lang w:val="en-US" w:eastAsia="zh-CN"/>
        </w:rPr>
        <w:t xml:space="preserve"> 班班通设备采购 </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rPr>
        <w:t>邀请，我公司经研究，决定参与本次</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，并提交本项目响应文件正本壹份和副本贰份。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据此函，我公司承诺如下：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 我公司将按</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文件的规定履行合同责任和义务。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 我公司已详细审查全部</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 xml:space="preserve">文件，包括修改文件（如有的话）以及全部参考资料和有关附件。我公司完全理解并同意放弃对这方面有不明及误解的权利。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 我公司同意提供按照贵单位可能 要求的与其</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有关的一切数据或资料。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4. 我公司愿意遵守</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文件中对供应商的所有规定。</w:t>
      </w:r>
      <w:r>
        <w:rPr>
          <w:rFonts w:hint="eastAsia" w:ascii="宋体" w:hAnsi="宋体" w:eastAsia="宋体" w:cs="宋体"/>
          <w:color w:val="auto"/>
          <w:sz w:val="24"/>
          <w:szCs w:val="24"/>
          <w:lang w:val="en-US" w:eastAsia="zh-CN"/>
        </w:rPr>
        <w:t>投标有效</w:t>
      </w:r>
      <w:r>
        <w:rPr>
          <w:rFonts w:hint="eastAsia" w:ascii="宋体" w:hAnsi="宋体" w:eastAsia="宋体" w:cs="宋体"/>
          <w:color w:val="auto"/>
          <w:sz w:val="24"/>
          <w:szCs w:val="24"/>
          <w:u w:val="none"/>
          <w:lang w:val="en-US" w:eastAsia="zh-CN"/>
        </w:rPr>
        <w:t>期为</w:t>
      </w:r>
      <w:r>
        <w:rPr>
          <w:rFonts w:hint="eastAsia" w:ascii="宋体" w:hAnsi="宋体" w:eastAsia="宋体" w:cs="宋体"/>
          <w:b/>
          <w:bCs/>
          <w:color w:val="auto"/>
          <w:sz w:val="24"/>
          <w:szCs w:val="24"/>
          <w:u w:val="single"/>
          <w:lang w:val="en-US" w:eastAsia="zh-CN"/>
        </w:rPr>
        <w:t>60</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天</w:t>
      </w:r>
      <w:r>
        <w:rPr>
          <w:rFonts w:hint="eastAsia" w:ascii="宋体" w:hAnsi="宋体" w:eastAsia="宋体" w:cs="宋体"/>
          <w:color w:val="auto"/>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 一旦我公司成交，我公司愿意履行自己在响应文件中的全部承诺和责任。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 我公司知道如用虚假材料或恶意方式向贵单位提出质疑，将承担相应的法律责任。同时承诺：我公司如果有上述行为，将无条件承担贵单位相关的调查论证费用。我公司同意提供按贵单位可能要求的与其</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有关的一切数据或资料。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 不一定要接受最低报价的</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或收到的任何</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 本次</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有关的一切正式往来通讯请寄：</w:t>
      </w:r>
    </w:p>
    <w:p>
      <w:pPr>
        <w:outlineLvl w:val="9"/>
        <w:rPr>
          <w:rFonts w:hint="eastAsia" w:ascii="宋体" w:hAnsi="宋体" w:eastAsia="宋体" w:cs="宋体"/>
          <w:color w:val="auto"/>
          <w:sz w:val="24"/>
          <w:szCs w:val="24"/>
        </w:rPr>
      </w:pPr>
    </w:p>
    <w:p>
      <w:pPr>
        <w:ind w:firstLine="480" w:firstLineChars="200"/>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地址：                           邮编：</w:t>
      </w:r>
    </w:p>
    <w:p>
      <w:pPr>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电话：                           传真：</w:t>
      </w:r>
    </w:p>
    <w:p>
      <w:pPr>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供应商名称（加盖公章）：</w:t>
      </w:r>
    </w:p>
    <w:p>
      <w:pPr>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pPr>
        <w:outlineLvl w:val="9"/>
        <w:rPr>
          <w:rFonts w:hint="eastAsia" w:ascii="宋体" w:hAnsi="宋体" w:eastAsia="宋体" w:cs="宋体"/>
          <w:color w:val="auto"/>
          <w:sz w:val="24"/>
          <w:szCs w:val="24"/>
        </w:rPr>
      </w:pPr>
    </w:p>
    <w:p>
      <w:pPr>
        <w:outlineLvl w:val="9"/>
        <w:rPr>
          <w:rFonts w:hint="eastAsia" w:ascii="宋体" w:hAnsi="宋体" w:eastAsia="宋体" w:cs="宋体"/>
          <w:b/>
          <w:color w:val="auto"/>
          <w:spacing w:val="20"/>
          <w:sz w:val="28"/>
          <w:szCs w:val="28"/>
        </w:rPr>
      </w:pPr>
      <w:r>
        <w:rPr>
          <w:rFonts w:hint="eastAsia" w:ascii="宋体" w:hAnsi="宋体" w:eastAsia="宋体" w:cs="宋体"/>
          <w:color w:val="auto"/>
          <w:sz w:val="24"/>
          <w:szCs w:val="24"/>
        </w:rPr>
        <w:t>日    期：   年  月  日</w:t>
      </w:r>
      <w:bookmarkStart w:id="63" w:name="_Toc460703986"/>
      <w:bookmarkStart w:id="64" w:name="_Toc424212008"/>
    </w:p>
    <w:p>
      <w:pPr>
        <w:jc w:val="center"/>
        <w:outlineLvl w:val="0"/>
        <w:rPr>
          <w:rFonts w:hint="eastAsia" w:asciiTheme="minorEastAsia" w:hAnsiTheme="minorEastAsia" w:cstheme="minorEastAsia"/>
          <w:b/>
          <w:bCs/>
          <w:color w:val="auto"/>
          <w:spacing w:val="0"/>
          <w:sz w:val="28"/>
          <w:szCs w:val="28"/>
          <w:lang w:val="en-US" w:eastAsia="zh-CN"/>
        </w:rPr>
      </w:pPr>
      <w:bookmarkStart w:id="65" w:name="_Toc4006_WPSOffice_Level1"/>
      <w:bookmarkStart w:id="66" w:name="_Toc6834_WPSOffice_Level1"/>
      <w:bookmarkStart w:id="67" w:name="_Toc8623"/>
      <w:bookmarkStart w:id="68" w:name="_Toc2545_WPSOffice_Level1"/>
      <w:bookmarkStart w:id="69" w:name="_Toc7382_WPSOffice_Level1"/>
      <w:bookmarkStart w:id="70" w:name="_Toc18009_WPSOffice_Level1"/>
      <w:bookmarkStart w:id="71" w:name="_Toc13204_WPSOffice_Level1"/>
      <w:bookmarkStart w:id="72" w:name="_Toc20503_WPSOffice_Level1"/>
      <w:bookmarkStart w:id="73" w:name="_Toc24737_WPSOffice_Level1"/>
    </w:p>
    <w:p>
      <w:pPr>
        <w:jc w:val="center"/>
        <w:outlineLvl w:val="0"/>
        <w:rPr>
          <w:rFonts w:hint="eastAsia" w:asciiTheme="minorEastAsia" w:hAnsiTheme="minorEastAsia" w:cstheme="minorEastAsia"/>
          <w:b/>
          <w:bCs/>
          <w:color w:val="auto"/>
          <w:spacing w:val="0"/>
          <w:sz w:val="28"/>
          <w:szCs w:val="28"/>
          <w:lang w:val="en-US" w:eastAsia="zh-CN"/>
        </w:rPr>
      </w:pPr>
    </w:p>
    <w:p>
      <w:pPr>
        <w:jc w:val="center"/>
        <w:outlineLvl w:val="0"/>
        <w:rPr>
          <w:rFonts w:hint="eastAsia" w:ascii="宋体" w:hAnsi="宋体" w:eastAsia="宋体" w:cs="宋体"/>
          <w:b/>
          <w:color w:val="auto"/>
          <w:spacing w:val="20"/>
          <w:sz w:val="48"/>
          <w:szCs w:val="48"/>
        </w:rPr>
      </w:pPr>
      <w:r>
        <w:rPr>
          <w:rFonts w:hint="eastAsia" w:asciiTheme="minorEastAsia" w:hAnsiTheme="minorEastAsia" w:cstheme="minorEastAsia"/>
          <w:b/>
          <w:bCs/>
          <w:color w:val="auto"/>
          <w:spacing w:val="0"/>
          <w:sz w:val="28"/>
          <w:szCs w:val="28"/>
          <w:lang w:val="en-US" w:eastAsia="zh-CN"/>
        </w:rPr>
        <w:t>二、磋商报价表（首轮）</w:t>
      </w:r>
      <w:bookmarkEnd w:id="65"/>
      <w:bookmarkEnd w:id="66"/>
      <w:bookmarkEnd w:id="67"/>
      <w:bookmarkEnd w:id="68"/>
      <w:bookmarkEnd w:id="69"/>
      <w:bookmarkEnd w:id="70"/>
      <w:bookmarkEnd w:id="71"/>
      <w:bookmarkEnd w:id="72"/>
      <w:bookmarkEnd w:id="73"/>
    </w:p>
    <w:p>
      <w:pPr>
        <w:spacing w:line="450" w:lineRule="atLeast"/>
        <w:outlineLvl w:val="9"/>
        <w:rPr>
          <w:rFonts w:hint="eastAsia" w:ascii="宋体" w:hAnsi="宋体" w:eastAsia="宋体" w:cs="宋体"/>
          <w:color w:val="auto"/>
          <w:sz w:val="28"/>
          <w:szCs w:val="28"/>
        </w:rPr>
      </w:pPr>
    </w:p>
    <w:p>
      <w:pPr>
        <w:adjustRightInd w:val="0"/>
        <w:snapToGrid w:val="0"/>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响应方名称：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货币单位：</w:t>
      </w:r>
      <w:r>
        <w:rPr>
          <w:rFonts w:hint="eastAsia" w:ascii="宋体" w:hAnsi="宋体" w:eastAsia="宋体" w:cs="宋体"/>
          <w:color w:val="auto"/>
          <w:sz w:val="28"/>
          <w:szCs w:val="28"/>
          <w:u w:val="single"/>
        </w:rPr>
        <w:t xml:space="preserve">   人民币/元 </w:t>
      </w:r>
      <w:r>
        <w:rPr>
          <w:rFonts w:hint="eastAsia" w:ascii="宋体" w:hAnsi="宋体" w:eastAsia="宋体" w:cs="宋体"/>
          <w:color w:val="auto"/>
          <w:sz w:val="28"/>
          <w:szCs w:val="28"/>
        </w:rPr>
        <w:tab/>
      </w:r>
    </w:p>
    <w:tbl>
      <w:tblPr>
        <w:tblStyle w:val="32"/>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637"/>
        <w:gridCol w:w="1526"/>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99" w:type="dxa"/>
            <w:noWrap w:val="0"/>
            <w:vAlign w:val="center"/>
          </w:tcPr>
          <w:p>
            <w:pPr>
              <w:pStyle w:val="6"/>
              <w:tabs>
                <w:tab w:val="left" w:pos="3050"/>
                <w:tab w:val="left" w:pos="5540"/>
                <w:tab w:val="left" w:pos="8840"/>
              </w:tabs>
              <w:spacing w:after="120" w:afterLines="50"/>
              <w:ind w:firstLine="0"/>
              <w:jc w:val="center"/>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 目 名 称</w:t>
            </w:r>
          </w:p>
        </w:tc>
        <w:tc>
          <w:tcPr>
            <w:tcW w:w="7016" w:type="dxa"/>
            <w:gridSpan w:val="3"/>
            <w:noWrap w:val="0"/>
            <w:vAlign w:val="center"/>
          </w:tcPr>
          <w:p>
            <w:pPr>
              <w:jc w:val="center"/>
              <w:outlineLvl w:val="9"/>
              <w:rPr>
                <w:rFonts w:hint="default"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eastAsia="zh-CN"/>
              </w:rPr>
              <w:t>班班通设备采购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99" w:type="dxa"/>
            <w:vMerge w:val="restart"/>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响应内容</w:t>
            </w:r>
          </w:p>
        </w:tc>
        <w:tc>
          <w:tcPr>
            <w:tcW w:w="216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响应货物技术参数</w:t>
            </w:r>
          </w:p>
        </w:tc>
        <w:tc>
          <w:tcPr>
            <w:tcW w:w="4853"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p>
        </w:tc>
        <w:tc>
          <w:tcPr>
            <w:tcW w:w="216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交货期</w:t>
            </w:r>
          </w:p>
        </w:tc>
        <w:tc>
          <w:tcPr>
            <w:tcW w:w="4853"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p>
        </w:tc>
        <w:tc>
          <w:tcPr>
            <w:tcW w:w="216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交货地点</w:t>
            </w:r>
          </w:p>
        </w:tc>
        <w:tc>
          <w:tcPr>
            <w:tcW w:w="4853"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24"/>
                <w:szCs w:val="24"/>
                <w:lang w:eastAsia="zh-CN"/>
              </w:rPr>
            </w:pPr>
          </w:p>
        </w:tc>
        <w:tc>
          <w:tcPr>
            <w:tcW w:w="216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质量标准</w:t>
            </w:r>
          </w:p>
        </w:tc>
        <w:tc>
          <w:tcPr>
            <w:tcW w:w="4853" w:type="dxa"/>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default" w:ascii="宋体" w:hAnsi="宋体" w:eastAsia="宋体" w:cs="宋体"/>
                <w:color w:val="auto"/>
                <w:kern w:val="2"/>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24"/>
                <w:szCs w:val="24"/>
                <w:lang w:eastAsia="zh-CN"/>
              </w:rPr>
            </w:pPr>
          </w:p>
        </w:tc>
        <w:tc>
          <w:tcPr>
            <w:tcW w:w="216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质保期限</w:t>
            </w:r>
          </w:p>
        </w:tc>
        <w:tc>
          <w:tcPr>
            <w:tcW w:w="4853"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eastAsia" w:ascii="宋体" w:hAnsi="宋体" w:cs="宋体"/>
                <w:color w:val="auto"/>
                <w:kern w:val="2"/>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362" w:type="dxa"/>
            <w:gridSpan w:val="3"/>
            <w:vMerge w:val="restart"/>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cs="宋体"/>
                <w:color w:val="auto"/>
                <w:sz w:val="24"/>
                <w:szCs w:val="24"/>
                <w:lang w:val="en-US" w:eastAsia="zh-CN"/>
              </w:rPr>
            </w:pPr>
            <w:r>
              <w:rPr>
                <w:rFonts w:hint="eastAsia" w:ascii="宋体" w:hAnsi="宋体" w:cs="宋体"/>
                <w:color w:val="auto"/>
                <w:kern w:val="2"/>
                <w:sz w:val="24"/>
                <w:szCs w:val="24"/>
                <w:lang w:val="en-US" w:eastAsia="zh-CN" w:bidi="ar-SA"/>
              </w:rPr>
              <w:t>竞争性磋商</w:t>
            </w:r>
            <w:r>
              <w:rPr>
                <w:rFonts w:hint="eastAsia" w:ascii="宋体" w:hAnsi="宋体" w:eastAsia="宋体" w:cs="宋体"/>
                <w:color w:val="auto"/>
                <w:kern w:val="2"/>
                <w:sz w:val="24"/>
                <w:szCs w:val="24"/>
                <w:lang w:val="en-US" w:eastAsia="zh-CN" w:bidi="ar-SA"/>
              </w:rPr>
              <w:t>响应报价</w:t>
            </w:r>
          </w:p>
        </w:tc>
        <w:tc>
          <w:tcPr>
            <w:tcW w:w="4853" w:type="dxa"/>
            <w:noWrap w:val="0"/>
            <w:vAlign w:val="center"/>
          </w:tcPr>
          <w:p>
            <w:pPr>
              <w:pStyle w:val="6"/>
              <w:keepNext w:val="0"/>
              <w:keepLines w:val="0"/>
              <w:pageBreakBefore w:val="0"/>
              <w:widowControl w:val="0"/>
              <w:tabs>
                <w:tab w:val="left" w:pos="3050"/>
                <w:tab w:val="left" w:pos="5540"/>
                <w:tab w:val="left" w:pos="8840"/>
              </w:tabs>
              <w:kinsoku/>
              <w:wordWrap/>
              <w:overflowPunct/>
              <w:topLinePunct w:val="0"/>
              <w:autoSpaceDE/>
              <w:autoSpaceDN/>
              <w:bidi w:val="0"/>
              <w:adjustRightInd w:val="0"/>
              <w:snapToGrid w:val="0"/>
              <w:spacing w:before="120" w:beforeLines="50" w:line="360" w:lineRule="auto"/>
              <w:ind w:left="0" w:leftChars="0" w:firstLine="0" w:firstLineChars="0"/>
              <w:jc w:val="both"/>
              <w:textAlignment w:val="baseline"/>
              <w:outlineLvl w:val="9"/>
              <w:rPr>
                <w:rFonts w:hint="default" w:ascii="宋体" w:hAnsi="宋体" w:cs="宋体"/>
                <w:color w:val="auto"/>
                <w:kern w:val="2"/>
                <w:sz w:val="24"/>
                <w:szCs w:val="24"/>
                <w:u w:val="single"/>
                <w:lang w:val="en-US" w:eastAsia="zh-CN"/>
              </w:rPr>
            </w:pPr>
            <w:r>
              <w:rPr>
                <w:rFonts w:hint="eastAsia" w:ascii="宋体" w:hAnsi="宋体" w:cs="宋体"/>
                <w:color w:val="auto"/>
                <w:kern w:val="2"/>
                <w:sz w:val="24"/>
                <w:szCs w:val="24"/>
                <w:u w:val="no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362" w:type="dxa"/>
            <w:gridSpan w:val="3"/>
            <w:vMerge w:val="continue"/>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eastAsia" w:ascii="宋体" w:hAnsi="宋体" w:cs="宋体"/>
                <w:color w:val="auto"/>
                <w:sz w:val="24"/>
                <w:szCs w:val="24"/>
                <w:lang w:val="en-US" w:eastAsia="zh-CN"/>
              </w:rPr>
            </w:pPr>
          </w:p>
        </w:tc>
        <w:tc>
          <w:tcPr>
            <w:tcW w:w="4853" w:type="dxa"/>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default" w:ascii="宋体" w:hAnsi="宋体" w:cs="宋体"/>
                <w:color w:val="auto"/>
                <w:kern w:val="2"/>
                <w:sz w:val="24"/>
                <w:szCs w:val="24"/>
                <w:u w:val="single"/>
                <w:lang w:val="en-US" w:eastAsia="zh-CN"/>
              </w:rPr>
            </w:pPr>
            <w:r>
              <w:rPr>
                <w:rFonts w:hint="eastAsia" w:ascii="宋体" w:hAnsi="宋体" w:cs="宋体"/>
                <w:color w:val="auto"/>
                <w:kern w:val="2"/>
                <w:sz w:val="24"/>
                <w:szCs w:val="24"/>
                <w:u w:val="none"/>
                <w:lang w:val="en-US" w:eastAsia="zh-CN"/>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836" w:type="dxa"/>
            <w:gridSpan w:val="2"/>
            <w:noWrap w:val="0"/>
            <w:vAlign w:val="center"/>
          </w:tcPr>
          <w:p>
            <w:pPr>
              <w:pStyle w:val="6"/>
              <w:tabs>
                <w:tab w:val="left" w:pos="3050"/>
                <w:tab w:val="left" w:pos="5540"/>
                <w:tab w:val="left" w:pos="8840"/>
              </w:tabs>
              <w:spacing w:before="120" w:beforeLines="50" w:line="360" w:lineRule="auto"/>
              <w:ind w:firstLine="0"/>
              <w:jc w:val="center"/>
              <w:outlineLvl w:val="9"/>
              <w:rPr>
                <w:rFonts w:hint="eastAsia" w:ascii="宋体" w:hAnsi="宋体" w:eastAsia="宋体" w:cs="宋体"/>
                <w:color w:val="auto"/>
                <w:sz w:val="32"/>
                <w:szCs w:val="32"/>
              </w:rPr>
            </w:pPr>
            <w:r>
              <w:rPr>
                <w:rFonts w:hint="eastAsia" w:ascii="宋体" w:hAnsi="宋体" w:eastAsia="宋体" w:cs="宋体"/>
                <w:b w:val="0"/>
                <w:bCs/>
                <w:color w:val="auto"/>
                <w:kern w:val="2"/>
                <w:sz w:val="21"/>
                <w:szCs w:val="21"/>
                <w:lang w:val="en-US" w:eastAsia="zh-CN" w:bidi="ar-SA"/>
              </w:rPr>
              <w:t>备注</w:t>
            </w:r>
          </w:p>
        </w:tc>
        <w:tc>
          <w:tcPr>
            <w:tcW w:w="6379" w:type="dxa"/>
            <w:gridSpan w:val="2"/>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32"/>
                <w:szCs w:val="32"/>
                <w:lang w:val="en-US" w:eastAsia="zh-CN"/>
              </w:rPr>
            </w:pPr>
          </w:p>
        </w:tc>
      </w:tr>
    </w:tbl>
    <w:p>
      <w:pPr>
        <w:spacing w:line="450" w:lineRule="atLeast"/>
        <w:outlineLvl w:val="9"/>
        <w:rPr>
          <w:rFonts w:hint="eastAsia" w:ascii="宋体" w:hAnsi="宋体" w:eastAsia="宋体" w:cs="宋体"/>
          <w:color w:val="auto"/>
          <w:sz w:val="28"/>
          <w:szCs w:val="28"/>
        </w:rPr>
      </w:pPr>
    </w:p>
    <w:p>
      <w:pPr>
        <w:adjustRightInd w:val="0"/>
        <w:snapToGrid w:val="0"/>
        <w:spacing w:line="372" w:lineRule="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响应方授权代表签字：</w:t>
      </w:r>
      <w:r>
        <w:rPr>
          <w:rFonts w:hint="eastAsia" w:ascii="宋体" w:hAnsi="宋体" w:eastAsia="宋体" w:cs="宋体"/>
          <w:color w:val="auto"/>
          <w:sz w:val="28"/>
          <w:szCs w:val="28"/>
          <w:u w:val="single"/>
        </w:rPr>
        <w:t xml:space="preserve">                   </w:t>
      </w:r>
    </w:p>
    <w:p>
      <w:pPr>
        <w:spacing w:line="450" w:lineRule="atLeast"/>
        <w:outlineLvl w:val="9"/>
        <w:rPr>
          <w:rFonts w:hint="eastAsia" w:ascii="宋体" w:hAnsi="宋体" w:eastAsia="宋体" w:cs="宋体"/>
          <w:color w:val="auto"/>
          <w:sz w:val="28"/>
          <w:szCs w:val="28"/>
        </w:rPr>
      </w:pPr>
      <w:r>
        <w:rPr>
          <w:rFonts w:hint="eastAsia" w:ascii="宋体" w:hAnsi="宋体" w:eastAsia="宋体" w:cs="宋体"/>
          <w:color w:val="auto"/>
          <w:sz w:val="28"/>
          <w:szCs w:val="28"/>
        </w:rPr>
        <w:t>（加盖企业公章）</w:t>
      </w:r>
    </w:p>
    <w:p>
      <w:pPr>
        <w:spacing w:line="450" w:lineRule="atLeast"/>
        <w:outlineLvl w:val="9"/>
        <w:rPr>
          <w:rFonts w:hint="eastAsia" w:ascii="宋体" w:hAnsi="宋体" w:eastAsia="宋体" w:cs="宋体"/>
          <w:color w:val="auto"/>
          <w:sz w:val="28"/>
          <w:szCs w:val="28"/>
        </w:rPr>
      </w:pP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450" w:lineRule="atLeast"/>
        <w:outlineLvl w:val="9"/>
        <w:rPr>
          <w:rFonts w:hint="eastAsia" w:ascii="宋体" w:hAnsi="宋体" w:eastAsia="宋体" w:cs="宋体"/>
          <w:color w:val="auto"/>
          <w:sz w:val="28"/>
          <w:szCs w:val="28"/>
        </w:rPr>
      </w:pPr>
    </w:p>
    <w:p>
      <w:pPr>
        <w:spacing w:line="450" w:lineRule="atLeast"/>
        <w:outlineLvl w:val="9"/>
        <w:rPr>
          <w:rFonts w:hint="eastAsia"/>
          <w:color w:val="auto"/>
        </w:rPr>
      </w:pPr>
      <w:r>
        <w:rPr>
          <w:rFonts w:hint="eastAsia" w:ascii="宋体" w:hAnsi="宋体" w:eastAsia="宋体" w:cs="宋体"/>
          <w:color w:val="auto"/>
          <w:sz w:val="28"/>
          <w:szCs w:val="28"/>
        </w:rPr>
        <w:t>日期：</w:t>
      </w:r>
      <w:r>
        <w:rPr>
          <w:rFonts w:hint="eastAsia" w:ascii="宋体" w:hAnsi="宋体" w:eastAsia="宋体" w:cs="宋体"/>
          <w:color w:val="auto"/>
          <w:sz w:val="28"/>
          <w:szCs w:val="28"/>
          <w:u w:val="single"/>
        </w:rPr>
        <w:t xml:space="preserve">             </w:t>
      </w:r>
      <w:bookmarkStart w:id="74" w:name="_Toc16787"/>
    </w:p>
    <w:bookmarkEnd w:id="74"/>
    <w:p>
      <w:pPr>
        <w:outlineLvl w:val="9"/>
        <w:rPr>
          <w:rFonts w:hint="eastAsia" w:eastAsia="宋体"/>
          <w:color w:val="auto"/>
          <w:lang w:val="en-US" w:eastAsia="zh-CN"/>
        </w:rPr>
        <w:sectPr>
          <w:pgSz w:w="11906" w:h="16838"/>
          <w:pgMar w:top="1440" w:right="1800" w:bottom="1440" w:left="1800" w:header="851" w:footer="992" w:gutter="0"/>
          <w:pgNumType w:fmt="decimal"/>
          <w:cols w:space="720" w:num="1"/>
          <w:docGrid w:type="lines" w:linePitch="312" w:charSpace="0"/>
        </w:sectPr>
      </w:pPr>
    </w:p>
    <w:p>
      <w:pPr>
        <w:spacing w:line="450" w:lineRule="atLeast"/>
        <w:jc w:val="center"/>
        <w:outlineLvl w:val="9"/>
        <w:rPr>
          <w:rFonts w:hint="eastAsia" w:ascii="宋体" w:hAnsi="宋体" w:eastAsia="宋体" w:cs="宋体"/>
          <w:b/>
          <w:color w:val="auto"/>
          <w:spacing w:val="20"/>
          <w:sz w:val="48"/>
          <w:szCs w:val="48"/>
        </w:rPr>
      </w:pPr>
      <w:bookmarkStart w:id="75" w:name="_Toc25969_WPSOffice_Level1"/>
      <w:bookmarkStart w:id="76" w:name="_Toc19968_WPSOffice_Level1"/>
      <w:bookmarkStart w:id="77" w:name="_Toc4960_WPSOffice_Level1"/>
      <w:bookmarkStart w:id="78" w:name="_Toc5658_WPSOffice_Level1"/>
      <w:bookmarkStart w:id="79" w:name="_Toc31638_WPSOffice_Level1"/>
      <w:bookmarkStart w:id="80" w:name="_Toc16313_WPSOffice_Level1"/>
      <w:bookmarkStart w:id="81" w:name="_Toc7109_WPSOffice_Level1"/>
      <w:bookmarkStart w:id="82" w:name="_Toc17823_WPSOffice_Level1"/>
      <w:r>
        <w:rPr>
          <w:rFonts w:hint="eastAsia" w:ascii="宋体" w:hAnsi="宋体" w:eastAsia="宋体" w:cs="宋体"/>
          <w:b/>
          <w:color w:val="auto"/>
          <w:spacing w:val="20"/>
          <w:sz w:val="48"/>
          <w:szCs w:val="48"/>
          <w:lang w:eastAsia="zh-CN"/>
        </w:rPr>
        <w:t>磋商</w:t>
      </w:r>
      <w:r>
        <w:rPr>
          <w:rFonts w:hint="eastAsia" w:ascii="宋体" w:hAnsi="宋体" w:eastAsia="宋体" w:cs="宋体"/>
          <w:b/>
          <w:color w:val="auto"/>
          <w:spacing w:val="20"/>
          <w:sz w:val="48"/>
          <w:szCs w:val="48"/>
        </w:rPr>
        <w:t>报价表</w:t>
      </w:r>
      <w:r>
        <w:rPr>
          <w:rFonts w:hint="eastAsia" w:ascii="宋体" w:hAnsi="宋体" w:eastAsia="宋体" w:cs="宋体"/>
          <w:b/>
          <w:color w:val="auto"/>
          <w:sz w:val="48"/>
          <w:szCs w:val="48"/>
        </w:rPr>
        <w:t>（最终）</w:t>
      </w:r>
      <w:bookmarkEnd w:id="75"/>
      <w:bookmarkEnd w:id="76"/>
      <w:bookmarkEnd w:id="77"/>
      <w:bookmarkEnd w:id="78"/>
      <w:bookmarkEnd w:id="79"/>
      <w:bookmarkEnd w:id="80"/>
      <w:bookmarkEnd w:id="81"/>
      <w:bookmarkEnd w:id="82"/>
    </w:p>
    <w:p>
      <w:pPr>
        <w:spacing w:line="450" w:lineRule="atLeast"/>
        <w:outlineLvl w:val="9"/>
        <w:rPr>
          <w:rFonts w:hint="eastAsia" w:ascii="宋体" w:hAnsi="宋体" w:eastAsia="宋体" w:cs="宋体"/>
          <w:color w:val="auto"/>
          <w:sz w:val="28"/>
          <w:szCs w:val="28"/>
        </w:rPr>
      </w:pPr>
    </w:p>
    <w:p>
      <w:pPr>
        <w:adjustRightInd w:val="0"/>
        <w:snapToGrid w:val="0"/>
        <w:spacing w:line="360" w:lineRule="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响应方名称：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货币单位：</w:t>
      </w:r>
      <w:r>
        <w:rPr>
          <w:rFonts w:hint="eastAsia" w:ascii="宋体" w:hAnsi="宋体" w:eastAsia="宋体" w:cs="宋体"/>
          <w:color w:val="auto"/>
          <w:sz w:val="28"/>
          <w:szCs w:val="28"/>
          <w:u w:val="single"/>
        </w:rPr>
        <w:t xml:space="preserve">  人民币/元    </w:t>
      </w:r>
    </w:p>
    <w:tbl>
      <w:tblPr>
        <w:tblStyle w:val="32"/>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637"/>
        <w:gridCol w:w="1526"/>
        <w:gridCol w:w="5"/>
        <w:gridCol w:w="4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99" w:type="dxa"/>
            <w:noWrap w:val="0"/>
            <w:vAlign w:val="center"/>
          </w:tcPr>
          <w:p>
            <w:pPr>
              <w:pStyle w:val="6"/>
              <w:tabs>
                <w:tab w:val="left" w:pos="3050"/>
                <w:tab w:val="left" w:pos="5540"/>
                <w:tab w:val="left" w:pos="8840"/>
              </w:tabs>
              <w:spacing w:after="120" w:afterLines="50"/>
              <w:ind w:firstLine="0"/>
              <w:jc w:val="center"/>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 目 名 称</w:t>
            </w:r>
          </w:p>
        </w:tc>
        <w:tc>
          <w:tcPr>
            <w:tcW w:w="7016" w:type="dxa"/>
            <w:gridSpan w:val="4"/>
            <w:noWrap w:val="0"/>
            <w:vAlign w:val="center"/>
          </w:tcPr>
          <w:p>
            <w:pPr>
              <w:jc w:val="center"/>
              <w:outlineLvl w:val="9"/>
              <w:rPr>
                <w:rFonts w:hint="default"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eastAsia="zh-CN"/>
              </w:rPr>
              <w:t>班班通设备采购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99" w:type="dxa"/>
            <w:vMerge w:val="restart"/>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响应内容</w:t>
            </w:r>
          </w:p>
        </w:tc>
        <w:tc>
          <w:tcPr>
            <w:tcW w:w="2168" w:type="dxa"/>
            <w:gridSpan w:val="3"/>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响应货物技术参数</w:t>
            </w:r>
          </w:p>
        </w:tc>
        <w:tc>
          <w:tcPr>
            <w:tcW w:w="4848"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p>
        </w:tc>
        <w:tc>
          <w:tcPr>
            <w:tcW w:w="2168" w:type="dxa"/>
            <w:gridSpan w:val="3"/>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交货期</w:t>
            </w:r>
          </w:p>
        </w:tc>
        <w:tc>
          <w:tcPr>
            <w:tcW w:w="4848"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p>
        </w:tc>
        <w:tc>
          <w:tcPr>
            <w:tcW w:w="2168" w:type="dxa"/>
            <w:gridSpan w:val="3"/>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交货地点</w:t>
            </w:r>
          </w:p>
        </w:tc>
        <w:tc>
          <w:tcPr>
            <w:tcW w:w="4848"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24"/>
                <w:szCs w:val="24"/>
                <w:lang w:eastAsia="zh-CN"/>
              </w:rPr>
            </w:pPr>
          </w:p>
        </w:tc>
        <w:tc>
          <w:tcPr>
            <w:tcW w:w="2168" w:type="dxa"/>
            <w:gridSpan w:val="3"/>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FF0000"/>
                <w:kern w:val="2"/>
                <w:sz w:val="24"/>
                <w:szCs w:val="24"/>
                <w:lang w:val="en-US" w:eastAsia="zh-CN" w:bidi="ar-SA"/>
              </w:rPr>
            </w:pPr>
            <w:r>
              <w:rPr>
                <w:rFonts w:hint="eastAsia" w:ascii="宋体" w:hAnsi="宋体" w:eastAsia="宋体" w:cs="宋体"/>
                <w:color w:val="auto"/>
                <w:kern w:val="2"/>
                <w:sz w:val="24"/>
                <w:szCs w:val="24"/>
                <w:lang w:val="en-US" w:eastAsia="zh-CN" w:bidi="ar-SA"/>
              </w:rPr>
              <w:t>质量标准</w:t>
            </w:r>
          </w:p>
        </w:tc>
        <w:tc>
          <w:tcPr>
            <w:tcW w:w="4848" w:type="dxa"/>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eastAsia" w:ascii="宋体" w:hAnsi="宋体" w:eastAsia="宋体" w:cs="宋体"/>
                <w:color w:val="auto"/>
                <w:kern w:val="2"/>
                <w:sz w:val="24"/>
                <w:szCs w:val="24"/>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24"/>
                <w:szCs w:val="24"/>
                <w:lang w:eastAsia="zh-CN"/>
              </w:rPr>
            </w:pPr>
          </w:p>
        </w:tc>
        <w:tc>
          <w:tcPr>
            <w:tcW w:w="2168" w:type="dxa"/>
            <w:gridSpan w:val="3"/>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FF0000"/>
                <w:kern w:val="2"/>
                <w:sz w:val="24"/>
                <w:szCs w:val="24"/>
                <w:lang w:val="en-US" w:eastAsia="zh-CN" w:bidi="ar-SA"/>
              </w:rPr>
            </w:pPr>
            <w:r>
              <w:rPr>
                <w:rFonts w:hint="eastAsia" w:ascii="宋体" w:hAnsi="宋体" w:cs="宋体"/>
                <w:color w:val="auto"/>
                <w:kern w:val="2"/>
                <w:sz w:val="24"/>
                <w:szCs w:val="24"/>
                <w:lang w:val="en-US" w:eastAsia="zh-CN" w:bidi="ar-SA"/>
              </w:rPr>
              <w:t>质保期限</w:t>
            </w:r>
          </w:p>
        </w:tc>
        <w:tc>
          <w:tcPr>
            <w:tcW w:w="4848"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eastAsia" w:ascii="宋体" w:hAnsi="宋体" w:cs="宋体"/>
                <w:color w:val="auto"/>
                <w:kern w:val="2"/>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362" w:type="dxa"/>
            <w:gridSpan w:val="3"/>
            <w:vMerge w:val="restart"/>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cs="宋体"/>
                <w:color w:val="auto"/>
                <w:sz w:val="24"/>
                <w:szCs w:val="24"/>
                <w:lang w:val="en-US" w:eastAsia="zh-CN"/>
              </w:rPr>
            </w:pPr>
            <w:r>
              <w:rPr>
                <w:rFonts w:hint="eastAsia" w:ascii="宋体" w:hAnsi="宋体" w:cs="宋体"/>
                <w:color w:val="auto"/>
                <w:kern w:val="2"/>
                <w:sz w:val="24"/>
                <w:szCs w:val="24"/>
                <w:lang w:val="en-US" w:eastAsia="zh-CN" w:bidi="ar-SA"/>
              </w:rPr>
              <w:t>竞争性磋商</w:t>
            </w:r>
            <w:r>
              <w:rPr>
                <w:rFonts w:hint="eastAsia" w:ascii="宋体" w:hAnsi="宋体" w:eastAsia="宋体" w:cs="宋体"/>
                <w:color w:val="auto"/>
                <w:kern w:val="2"/>
                <w:sz w:val="24"/>
                <w:szCs w:val="24"/>
                <w:lang w:val="en-US" w:eastAsia="zh-CN" w:bidi="ar-SA"/>
              </w:rPr>
              <w:t>响应报价</w:t>
            </w:r>
          </w:p>
        </w:tc>
        <w:tc>
          <w:tcPr>
            <w:tcW w:w="4853" w:type="dxa"/>
            <w:gridSpan w:val="2"/>
            <w:noWrap w:val="0"/>
            <w:vAlign w:val="center"/>
          </w:tcPr>
          <w:p>
            <w:pPr>
              <w:pStyle w:val="6"/>
              <w:keepNext w:val="0"/>
              <w:keepLines w:val="0"/>
              <w:pageBreakBefore w:val="0"/>
              <w:widowControl w:val="0"/>
              <w:tabs>
                <w:tab w:val="left" w:pos="3050"/>
                <w:tab w:val="left" w:pos="5540"/>
                <w:tab w:val="left" w:pos="8840"/>
              </w:tabs>
              <w:kinsoku/>
              <w:wordWrap/>
              <w:overflowPunct/>
              <w:topLinePunct w:val="0"/>
              <w:autoSpaceDE/>
              <w:autoSpaceDN/>
              <w:bidi w:val="0"/>
              <w:adjustRightInd w:val="0"/>
              <w:snapToGrid w:val="0"/>
              <w:spacing w:before="120" w:beforeLines="50" w:line="360" w:lineRule="auto"/>
              <w:ind w:left="0" w:leftChars="0" w:firstLine="0" w:firstLineChars="0"/>
              <w:jc w:val="both"/>
              <w:textAlignment w:val="baseline"/>
              <w:outlineLvl w:val="9"/>
              <w:rPr>
                <w:rFonts w:hint="default" w:ascii="宋体" w:hAnsi="宋体" w:cs="宋体"/>
                <w:color w:val="auto"/>
                <w:kern w:val="2"/>
                <w:sz w:val="24"/>
                <w:szCs w:val="24"/>
                <w:u w:val="single"/>
                <w:lang w:val="en-US" w:eastAsia="zh-CN"/>
              </w:rPr>
            </w:pPr>
            <w:r>
              <w:rPr>
                <w:rFonts w:hint="eastAsia" w:ascii="宋体" w:hAnsi="宋体" w:cs="宋体"/>
                <w:color w:val="auto"/>
                <w:kern w:val="2"/>
                <w:sz w:val="24"/>
                <w:szCs w:val="24"/>
                <w:u w:val="no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362" w:type="dxa"/>
            <w:gridSpan w:val="3"/>
            <w:vMerge w:val="continue"/>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eastAsia" w:ascii="宋体" w:hAnsi="宋体" w:cs="宋体"/>
                <w:color w:val="auto"/>
                <w:sz w:val="24"/>
                <w:szCs w:val="24"/>
                <w:lang w:val="en-US" w:eastAsia="zh-CN"/>
              </w:rPr>
            </w:pPr>
          </w:p>
        </w:tc>
        <w:tc>
          <w:tcPr>
            <w:tcW w:w="485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default" w:ascii="宋体" w:hAnsi="宋体" w:cs="宋体"/>
                <w:color w:val="auto"/>
                <w:kern w:val="2"/>
                <w:sz w:val="24"/>
                <w:szCs w:val="24"/>
                <w:u w:val="single"/>
                <w:lang w:val="en-US" w:eastAsia="zh-CN"/>
              </w:rPr>
            </w:pPr>
            <w:r>
              <w:rPr>
                <w:rFonts w:hint="eastAsia" w:ascii="宋体" w:hAnsi="宋体" w:cs="宋体"/>
                <w:color w:val="auto"/>
                <w:kern w:val="2"/>
                <w:sz w:val="24"/>
                <w:szCs w:val="24"/>
                <w:u w:val="none"/>
                <w:lang w:val="en-US" w:eastAsia="zh-CN"/>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215" w:type="dxa"/>
            <w:gridSpan w:val="5"/>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eastAsia" w:ascii="宋体" w:hAnsi="宋体" w:cs="宋体"/>
                <w:color w:val="auto"/>
                <w:kern w:val="2"/>
                <w:sz w:val="24"/>
                <w:szCs w:val="24"/>
                <w:u w:val="none"/>
                <w:lang w:val="en-US" w:eastAsia="zh-CN"/>
              </w:rPr>
            </w:pPr>
            <w:r>
              <w:rPr>
                <w:rFonts w:hint="eastAsia" w:ascii="宋体" w:hAnsi="宋体" w:cs="宋体"/>
                <w:color w:val="auto"/>
                <w:kern w:val="2"/>
                <w:sz w:val="24"/>
                <w:szCs w:val="24"/>
                <w:u w:val="none"/>
                <w:lang w:val="en-US" w:eastAsia="zh-CN"/>
              </w:rPr>
              <w:t>响应方授权代表签字：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836" w:type="dxa"/>
            <w:gridSpan w:val="2"/>
            <w:noWrap w:val="0"/>
            <w:vAlign w:val="center"/>
          </w:tcPr>
          <w:p>
            <w:pPr>
              <w:pStyle w:val="6"/>
              <w:tabs>
                <w:tab w:val="left" w:pos="3050"/>
                <w:tab w:val="left" w:pos="5540"/>
                <w:tab w:val="left" w:pos="8840"/>
              </w:tabs>
              <w:spacing w:before="120" w:beforeLines="50" w:line="360" w:lineRule="auto"/>
              <w:ind w:firstLine="0"/>
              <w:jc w:val="center"/>
              <w:outlineLvl w:val="9"/>
              <w:rPr>
                <w:rFonts w:hint="eastAsia" w:ascii="宋体" w:hAnsi="宋体" w:eastAsia="宋体" w:cs="宋体"/>
                <w:color w:val="auto"/>
                <w:sz w:val="32"/>
                <w:szCs w:val="32"/>
              </w:rPr>
            </w:pPr>
            <w:r>
              <w:rPr>
                <w:rFonts w:hint="eastAsia" w:ascii="宋体" w:hAnsi="宋体" w:eastAsia="宋体" w:cs="宋体"/>
                <w:b w:val="0"/>
                <w:bCs/>
                <w:color w:val="auto"/>
                <w:kern w:val="2"/>
                <w:sz w:val="21"/>
                <w:szCs w:val="21"/>
                <w:lang w:val="en-US" w:eastAsia="zh-CN" w:bidi="ar-SA"/>
              </w:rPr>
              <w:t>备注</w:t>
            </w:r>
          </w:p>
        </w:tc>
        <w:tc>
          <w:tcPr>
            <w:tcW w:w="6379" w:type="dxa"/>
            <w:gridSpan w:val="3"/>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32"/>
                <w:szCs w:val="32"/>
                <w:lang w:val="en-US" w:eastAsia="zh-CN"/>
              </w:rPr>
            </w:pPr>
          </w:p>
        </w:tc>
      </w:tr>
    </w:tbl>
    <w:p>
      <w:pPr>
        <w:adjustRightInd w:val="0"/>
        <w:snapToGrid w:val="0"/>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磋商小组成员</w:t>
      </w:r>
      <w:r>
        <w:rPr>
          <w:rFonts w:hint="eastAsia" w:ascii="宋体" w:hAnsi="宋体" w:eastAsia="宋体" w:cs="宋体"/>
          <w:color w:val="auto"/>
          <w:sz w:val="28"/>
          <w:szCs w:val="28"/>
        </w:rPr>
        <w:t>签字:</w:t>
      </w:r>
    </w:p>
    <w:p>
      <w:pPr>
        <w:adjustRightInd w:val="0"/>
        <w:snapToGrid w:val="0"/>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ab/>
      </w:r>
    </w:p>
    <w:p>
      <w:pPr>
        <w:pStyle w:val="26"/>
        <w:tabs>
          <w:tab w:val="left" w:pos="6825"/>
          <w:tab w:val="clear" w:pos="6412"/>
        </w:tabs>
        <w:jc w:val="right"/>
        <w:outlineLvl w:val="9"/>
        <w:rPr>
          <w:rFonts w:hint="eastAsia" w:ascii="宋体" w:hAnsi="宋体" w:eastAsia="宋体" w:cs="宋体"/>
          <w:color w:val="auto"/>
          <w:sz w:val="28"/>
          <w:szCs w:val="28"/>
        </w:rPr>
      </w:pPr>
    </w:p>
    <w:p>
      <w:pPr>
        <w:adjustRightInd w:val="0"/>
        <w:snapToGrid w:val="0"/>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备注： 1、响应方必须据实填写此表，应与响应文件的有关内容一致；</w:t>
      </w:r>
    </w:p>
    <w:p>
      <w:pPr>
        <w:adjustRightInd w:val="0"/>
        <w:snapToGrid w:val="0"/>
        <w:spacing w:line="360" w:lineRule="auto"/>
        <w:ind w:left="1260" w:leftChars="400" w:hanging="420" w:hangingChars="150"/>
        <w:outlineLvl w:val="9"/>
        <w:rPr>
          <w:rFonts w:hint="eastAsia" w:ascii="宋体" w:hAnsi="宋体" w:eastAsia="宋体" w:cs="宋体"/>
          <w:color w:val="auto"/>
          <w:sz w:val="28"/>
          <w:szCs w:val="28"/>
        </w:rPr>
      </w:pPr>
      <w:r>
        <w:rPr>
          <w:rFonts w:hint="eastAsia" w:ascii="宋体" w:hAnsi="宋体" w:eastAsia="宋体" w:cs="宋体"/>
          <w:color w:val="auto"/>
          <w:sz w:val="28"/>
          <w:szCs w:val="28"/>
        </w:rPr>
        <w:t>2、拟做最终报价，要随身携带此报价表一式两份并加盖公章以备</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时填写，作为最终报价；</w:t>
      </w:r>
    </w:p>
    <w:p>
      <w:pPr>
        <w:adjustRightInd w:val="0"/>
        <w:snapToGrid w:val="0"/>
        <w:spacing w:line="360" w:lineRule="auto"/>
        <w:ind w:firstLine="980" w:firstLineChars="350"/>
        <w:outlineLvl w:val="9"/>
        <w:rPr>
          <w:rFonts w:hint="eastAsia" w:ascii="宋体" w:hAnsi="宋体" w:eastAsia="宋体" w:cs="宋体"/>
          <w:color w:val="auto"/>
          <w:sz w:val="28"/>
          <w:szCs w:val="28"/>
        </w:rPr>
      </w:pPr>
      <w:r>
        <w:rPr>
          <w:rFonts w:hint="eastAsia" w:ascii="宋体" w:hAnsi="宋体" w:eastAsia="宋体" w:cs="宋体"/>
          <w:color w:val="auto"/>
          <w:sz w:val="28"/>
          <w:szCs w:val="28"/>
        </w:rPr>
        <w:t>3、该表无需放入响应文件内，只需在最终报价时提交。</w:t>
      </w:r>
    </w:p>
    <w:p>
      <w:pPr>
        <w:pStyle w:val="24"/>
        <w:bidi w:val="0"/>
        <w:ind w:left="0" w:leftChars="0" w:firstLine="0" w:firstLineChars="0"/>
        <w:outlineLvl w:val="9"/>
        <w:rPr>
          <w:rFonts w:hint="eastAsia"/>
          <w:color w:val="auto"/>
        </w:rPr>
      </w:pPr>
    </w:p>
    <w:p>
      <w:pPr>
        <w:jc w:val="center"/>
        <w:outlineLvl w:val="9"/>
        <w:rPr>
          <w:b/>
          <w:bCs/>
          <w:color w:val="auto"/>
          <w:sz w:val="32"/>
          <w:szCs w:val="40"/>
        </w:rPr>
      </w:pPr>
      <w:r>
        <w:rPr>
          <w:rFonts w:hint="eastAsia"/>
          <w:b/>
          <w:bCs/>
          <w:color w:val="auto"/>
          <w:sz w:val="32"/>
          <w:szCs w:val="40"/>
          <w:lang w:val="en-US" w:eastAsia="zh-CN"/>
        </w:rPr>
        <w:t>采购清单</w:t>
      </w:r>
      <w:r>
        <w:rPr>
          <w:rFonts w:hint="eastAsia"/>
          <w:b/>
          <w:bCs/>
          <w:color w:val="auto"/>
          <w:sz w:val="32"/>
          <w:szCs w:val="40"/>
        </w:rPr>
        <w:t>及技术响应表</w:t>
      </w:r>
    </w:p>
    <w:p>
      <w:pPr>
        <w:spacing w:line="360" w:lineRule="exact"/>
        <w:ind w:right="-10"/>
        <w:jc w:val="center"/>
        <w:outlineLvl w:val="9"/>
        <w:rPr>
          <w:rFonts w:ascii="黑体" w:hAnsi="Arial" w:eastAsia="黑体" w:cs="Arial"/>
          <w:b/>
          <w:bCs/>
          <w:color w:val="auto"/>
          <w:sz w:val="30"/>
          <w:szCs w:val="30"/>
        </w:rPr>
      </w:pPr>
      <w:r>
        <w:rPr>
          <w:rFonts w:hint="eastAsia" w:ascii="黑体" w:hAnsi="Arial" w:eastAsia="黑体" w:cs="Arial"/>
          <w:b/>
          <w:bCs/>
          <w:color w:val="auto"/>
          <w:sz w:val="30"/>
          <w:szCs w:val="30"/>
        </w:rPr>
        <w:t>（不含价格）</w:t>
      </w:r>
    </w:p>
    <w:p>
      <w:pPr>
        <w:pStyle w:val="143"/>
        <w:jc w:val="left"/>
        <w:outlineLvl w:val="9"/>
        <w:rPr>
          <w:color w:val="auto"/>
        </w:rPr>
      </w:pPr>
      <w:bookmarkStart w:id="83" w:name="_Toc27037"/>
      <w:bookmarkStart w:id="84" w:name="_Toc17083"/>
      <w:bookmarkStart w:id="85" w:name="_Toc9665"/>
      <w:r>
        <w:rPr>
          <w:rFonts w:hint="eastAsia"/>
          <w:b w:val="0"/>
          <w:bCs w:val="0"/>
          <w:color w:val="auto"/>
          <w:sz w:val="24"/>
          <w:szCs w:val="24"/>
        </w:rPr>
        <w:t>项目名称：</w:t>
      </w:r>
      <w:bookmarkEnd w:id="83"/>
      <w:bookmarkEnd w:id="84"/>
      <w:bookmarkEnd w:id="85"/>
    </w:p>
    <w:tbl>
      <w:tblPr>
        <w:tblStyle w:val="32"/>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544"/>
        <w:gridCol w:w="876"/>
        <w:gridCol w:w="876"/>
        <w:gridCol w:w="948"/>
        <w:gridCol w:w="2345"/>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96" w:type="dxa"/>
            <w:vAlign w:val="center"/>
          </w:tcPr>
          <w:p>
            <w:pPr>
              <w:widowControl/>
              <w:jc w:val="center"/>
              <w:outlineLvl w:val="9"/>
              <w:rPr>
                <w:rFonts w:ascii="宋体" w:cs="宋体"/>
                <w:color w:val="auto"/>
                <w:kern w:val="0"/>
                <w:szCs w:val="21"/>
              </w:rPr>
            </w:pPr>
            <w:r>
              <w:rPr>
                <w:rFonts w:hint="eastAsia" w:ascii="宋体" w:cs="宋体"/>
                <w:color w:val="auto"/>
                <w:kern w:val="0"/>
                <w:szCs w:val="21"/>
              </w:rPr>
              <w:t>序号</w:t>
            </w:r>
          </w:p>
        </w:tc>
        <w:tc>
          <w:tcPr>
            <w:tcW w:w="2544" w:type="dxa"/>
            <w:vAlign w:val="center"/>
          </w:tcPr>
          <w:p>
            <w:pPr>
              <w:widowControl/>
              <w:jc w:val="center"/>
              <w:outlineLvl w:val="9"/>
              <w:rPr>
                <w:rFonts w:ascii="宋体" w:cs="宋体"/>
                <w:color w:val="auto"/>
                <w:kern w:val="0"/>
                <w:szCs w:val="21"/>
              </w:rPr>
            </w:pPr>
            <w:r>
              <w:rPr>
                <w:rFonts w:hint="eastAsia" w:ascii="宋体" w:cs="宋体"/>
                <w:color w:val="auto"/>
                <w:kern w:val="0"/>
                <w:szCs w:val="21"/>
              </w:rPr>
              <w:t>名称</w:t>
            </w:r>
          </w:p>
        </w:tc>
        <w:tc>
          <w:tcPr>
            <w:tcW w:w="876" w:type="dxa"/>
            <w:vAlign w:val="center"/>
          </w:tcPr>
          <w:p>
            <w:pPr>
              <w:widowControl/>
              <w:jc w:val="center"/>
              <w:outlineLvl w:val="9"/>
              <w:rPr>
                <w:rFonts w:ascii="宋体" w:cs="宋体"/>
                <w:color w:val="auto"/>
                <w:kern w:val="0"/>
                <w:szCs w:val="21"/>
              </w:rPr>
            </w:pPr>
            <w:r>
              <w:rPr>
                <w:rFonts w:hint="eastAsia" w:ascii="宋体" w:cs="宋体"/>
                <w:color w:val="auto"/>
                <w:kern w:val="0"/>
                <w:szCs w:val="21"/>
              </w:rPr>
              <w:t>单位</w:t>
            </w:r>
          </w:p>
        </w:tc>
        <w:tc>
          <w:tcPr>
            <w:tcW w:w="876" w:type="dxa"/>
            <w:vAlign w:val="center"/>
          </w:tcPr>
          <w:p>
            <w:pPr>
              <w:widowControl/>
              <w:jc w:val="center"/>
              <w:outlineLvl w:val="9"/>
              <w:rPr>
                <w:rFonts w:ascii="宋体" w:cs="宋体"/>
                <w:color w:val="auto"/>
                <w:kern w:val="0"/>
                <w:szCs w:val="21"/>
              </w:rPr>
            </w:pPr>
            <w:r>
              <w:rPr>
                <w:rFonts w:hint="eastAsia" w:ascii="宋体" w:cs="宋体"/>
                <w:color w:val="auto"/>
                <w:kern w:val="0"/>
                <w:szCs w:val="21"/>
              </w:rPr>
              <w:t>数量</w:t>
            </w:r>
          </w:p>
        </w:tc>
        <w:tc>
          <w:tcPr>
            <w:tcW w:w="948" w:type="dxa"/>
            <w:vAlign w:val="center"/>
          </w:tcPr>
          <w:p>
            <w:pPr>
              <w:widowControl/>
              <w:jc w:val="center"/>
              <w:outlineLvl w:val="9"/>
              <w:rPr>
                <w:rFonts w:ascii="宋体" w:cs="宋体"/>
                <w:color w:val="auto"/>
                <w:kern w:val="0"/>
                <w:szCs w:val="21"/>
              </w:rPr>
            </w:pPr>
            <w:r>
              <w:rPr>
                <w:rFonts w:hint="eastAsia" w:ascii="宋体" w:cs="宋体"/>
                <w:color w:val="auto"/>
                <w:kern w:val="0"/>
                <w:szCs w:val="21"/>
              </w:rPr>
              <w:t>品牌及型号</w:t>
            </w:r>
          </w:p>
        </w:tc>
        <w:tc>
          <w:tcPr>
            <w:tcW w:w="2345" w:type="dxa"/>
            <w:vAlign w:val="center"/>
          </w:tcPr>
          <w:p>
            <w:pPr>
              <w:widowControl/>
              <w:jc w:val="center"/>
              <w:outlineLvl w:val="9"/>
              <w:rPr>
                <w:rFonts w:ascii="宋体" w:cs="宋体"/>
                <w:color w:val="auto"/>
                <w:kern w:val="0"/>
                <w:szCs w:val="21"/>
              </w:rPr>
            </w:pPr>
            <w:r>
              <w:rPr>
                <w:rFonts w:hint="eastAsia" w:ascii="宋体" w:cs="宋体"/>
                <w:color w:val="auto"/>
                <w:kern w:val="0"/>
                <w:szCs w:val="21"/>
              </w:rPr>
              <w:t>技术参数</w:t>
            </w:r>
          </w:p>
        </w:tc>
        <w:tc>
          <w:tcPr>
            <w:tcW w:w="1255" w:type="dxa"/>
            <w:vAlign w:val="center"/>
          </w:tcPr>
          <w:p>
            <w:pPr>
              <w:widowControl/>
              <w:jc w:val="center"/>
              <w:outlineLvl w:val="9"/>
              <w:rPr>
                <w:rFonts w:ascii="宋体" w:cs="宋体"/>
                <w:color w:val="auto"/>
                <w:kern w:val="0"/>
                <w:szCs w:val="21"/>
              </w:rPr>
            </w:pPr>
            <w:r>
              <w:rPr>
                <w:rFonts w:hint="eastAsia" w:ascii="宋体" w:hAnsi="宋体" w:cs="宋体"/>
                <w:color w:val="auto"/>
                <w:kern w:val="0"/>
                <w:szCs w:val="21"/>
              </w:rPr>
              <w:t>售后服务（含免费保修期）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color w:val="0000FF"/>
                <w:kern w:val="0"/>
                <w:szCs w:val="21"/>
              </w:rPr>
            </w:pPr>
            <w:r>
              <w:rPr>
                <w:rFonts w:ascii="宋体" w:cs="宋体"/>
                <w:color w:val="0000FF"/>
                <w:kern w:val="0"/>
                <w:szCs w:val="21"/>
              </w:rPr>
              <w:t>1</w:t>
            </w:r>
          </w:p>
        </w:tc>
        <w:tc>
          <w:tcPr>
            <w:tcW w:w="2544" w:type="dxa"/>
            <w:vAlign w:val="center"/>
          </w:tcPr>
          <w:p>
            <w:pPr>
              <w:widowControl/>
              <w:jc w:val="left"/>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948" w:type="dxa"/>
            <w:vAlign w:val="center"/>
          </w:tcPr>
          <w:p>
            <w:pPr>
              <w:widowControl/>
              <w:jc w:val="center"/>
              <w:outlineLvl w:val="9"/>
              <w:rPr>
                <w:rFonts w:ascii="宋体" w:cs="宋体"/>
                <w:color w:val="0000FF"/>
                <w:kern w:val="0"/>
                <w:szCs w:val="21"/>
              </w:rPr>
            </w:pPr>
          </w:p>
        </w:tc>
        <w:tc>
          <w:tcPr>
            <w:tcW w:w="2345" w:type="dxa"/>
            <w:vAlign w:val="center"/>
          </w:tcPr>
          <w:p>
            <w:pPr>
              <w:widowControl/>
              <w:jc w:val="center"/>
              <w:outlineLvl w:val="9"/>
              <w:rPr>
                <w:rFonts w:ascii="宋体" w:cs="宋体"/>
                <w:color w:val="0000FF"/>
                <w:kern w:val="0"/>
                <w:szCs w:val="21"/>
              </w:rPr>
            </w:pPr>
          </w:p>
        </w:tc>
        <w:tc>
          <w:tcPr>
            <w:tcW w:w="1255" w:type="dxa"/>
            <w:vAlign w:val="center"/>
          </w:tcPr>
          <w:p>
            <w:pPr>
              <w:widowControl/>
              <w:jc w:val="center"/>
              <w:outlineLvl w:val="9"/>
              <w:rPr>
                <w:rFonts w:ascii="宋体" w:cs="宋体"/>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color w:val="0000FF"/>
                <w:kern w:val="0"/>
                <w:szCs w:val="21"/>
              </w:rPr>
            </w:pPr>
            <w:r>
              <w:rPr>
                <w:rFonts w:ascii="宋体" w:cs="宋体"/>
                <w:color w:val="0000FF"/>
                <w:kern w:val="0"/>
                <w:szCs w:val="21"/>
              </w:rPr>
              <w:t>2</w:t>
            </w:r>
          </w:p>
        </w:tc>
        <w:tc>
          <w:tcPr>
            <w:tcW w:w="2544" w:type="dxa"/>
            <w:vAlign w:val="center"/>
          </w:tcPr>
          <w:p>
            <w:pPr>
              <w:widowControl/>
              <w:jc w:val="left"/>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948" w:type="dxa"/>
          </w:tcPr>
          <w:p>
            <w:pPr>
              <w:widowControl/>
              <w:jc w:val="center"/>
              <w:outlineLvl w:val="9"/>
              <w:rPr>
                <w:rFonts w:ascii="宋体" w:cs="宋体"/>
                <w:color w:val="0000FF"/>
                <w:kern w:val="0"/>
                <w:szCs w:val="21"/>
              </w:rPr>
            </w:pPr>
          </w:p>
        </w:tc>
        <w:tc>
          <w:tcPr>
            <w:tcW w:w="2345" w:type="dxa"/>
          </w:tcPr>
          <w:p>
            <w:pPr>
              <w:widowControl/>
              <w:jc w:val="center"/>
              <w:outlineLvl w:val="9"/>
              <w:rPr>
                <w:rFonts w:ascii="宋体" w:cs="宋体"/>
                <w:color w:val="0000FF"/>
                <w:kern w:val="0"/>
                <w:szCs w:val="21"/>
              </w:rPr>
            </w:pPr>
          </w:p>
        </w:tc>
        <w:tc>
          <w:tcPr>
            <w:tcW w:w="1255" w:type="dxa"/>
          </w:tcPr>
          <w:p>
            <w:pPr>
              <w:widowControl/>
              <w:jc w:val="center"/>
              <w:outlineLvl w:val="9"/>
              <w:rPr>
                <w:rFonts w:ascii="宋体" w:cs="宋体"/>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color w:val="0000FF"/>
                <w:kern w:val="0"/>
                <w:szCs w:val="21"/>
              </w:rPr>
            </w:pPr>
            <w:r>
              <w:rPr>
                <w:rFonts w:ascii="宋体" w:cs="宋体"/>
                <w:color w:val="0000FF"/>
                <w:kern w:val="0"/>
                <w:szCs w:val="21"/>
              </w:rPr>
              <w:t>3</w:t>
            </w:r>
          </w:p>
        </w:tc>
        <w:tc>
          <w:tcPr>
            <w:tcW w:w="2544" w:type="dxa"/>
            <w:vAlign w:val="center"/>
          </w:tcPr>
          <w:p>
            <w:pPr>
              <w:widowControl/>
              <w:jc w:val="left"/>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948" w:type="dxa"/>
          </w:tcPr>
          <w:p>
            <w:pPr>
              <w:widowControl/>
              <w:jc w:val="center"/>
              <w:outlineLvl w:val="9"/>
              <w:rPr>
                <w:rFonts w:ascii="宋体" w:cs="宋体"/>
                <w:color w:val="0000FF"/>
                <w:kern w:val="0"/>
                <w:szCs w:val="21"/>
              </w:rPr>
            </w:pPr>
          </w:p>
        </w:tc>
        <w:tc>
          <w:tcPr>
            <w:tcW w:w="2345" w:type="dxa"/>
          </w:tcPr>
          <w:p>
            <w:pPr>
              <w:widowControl/>
              <w:jc w:val="center"/>
              <w:outlineLvl w:val="9"/>
              <w:rPr>
                <w:rFonts w:ascii="宋体" w:cs="宋体"/>
                <w:color w:val="0000FF"/>
                <w:kern w:val="0"/>
                <w:szCs w:val="21"/>
              </w:rPr>
            </w:pPr>
          </w:p>
        </w:tc>
        <w:tc>
          <w:tcPr>
            <w:tcW w:w="1255" w:type="dxa"/>
          </w:tcPr>
          <w:p>
            <w:pPr>
              <w:widowControl/>
              <w:jc w:val="center"/>
              <w:outlineLvl w:val="9"/>
              <w:rPr>
                <w:rFonts w:ascii="宋体" w:cs="宋体"/>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color w:val="0000FF"/>
                <w:kern w:val="0"/>
                <w:szCs w:val="21"/>
              </w:rPr>
            </w:pPr>
            <w:r>
              <w:rPr>
                <w:rFonts w:ascii="宋体" w:cs="宋体"/>
                <w:color w:val="0000FF"/>
                <w:kern w:val="0"/>
                <w:szCs w:val="21"/>
              </w:rPr>
              <w:t>4</w:t>
            </w:r>
          </w:p>
        </w:tc>
        <w:tc>
          <w:tcPr>
            <w:tcW w:w="2544" w:type="dxa"/>
            <w:vAlign w:val="center"/>
          </w:tcPr>
          <w:p>
            <w:pPr>
              <w:widowControl/>
              <w:jc w:val="left"/>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948" w:type="dxa"/>
          </w:tcPr>
          <w:p>
            <w:pPr>
              <w:widowControl/>
              <w:jc w:val="center"/>
              <w:outlineLvl w:val="9"/>
              <w:rPr>
                <w:rFonts w:ascii="宋体" w:cs="宋体"/>
                <w:color w:val="0000FF"/>
                <w:kern w:val="0"/>
                <w:szCs w:val="21"/>
              </w:rPr>
            </w:pPr>
          </w:p>
        </w:tc>
        <w:tc>
          <w:tcPr>
            <w:tcW w:w="2345" w:type="dxa"/>
          </w:tcPr>
          <w:p>
            <w:pPr>
              <w:widowControl/>
              <w:jc w:val="center"/>
              <w:outlineLvl w:val="9"/>
              <w:rPr>
                <w:rFonts w:ascii="宋体" w:cs="宋体"/>
                <w:color w:val="0000FF"/>
                <w:kern w:val="0"/>
                <w:szCs w:val="21"/>
              </w:rPr>
            </w:pPr>
          </w:p>
        </w:tc>
        <w:tc>
          <w:tcPr>
            <w:tcW w:w="1255" w:type="dxa"/>
          </w:tcPr>
          <w:p>
            <w:pPr>
              <w:widowControl/>
              <w:jc w:val="center"/>
              <w:outlineLvl w:val="9"/>
              <w:rPr>
                <w:rFonts w:ascii="宋体" w:cs="宋体"/>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color w:val="0000FF"/>
                <w:kern w:val="0"/>
                <w:szCs w:val="21"/>
              </w:rPr>
            </w:pPr>
            <w:r>
              <w:rPr>
                <w:rFonts w:ascii="宋体" w:cs="宋体"/>
                <w:color w:val="0000FF"/>
                <w:kern w:val="0"/>
                <w:szCs w:val="21"/>
              </w:rPr>
              <w:t>5</w:t>
            </w:r>
          </w:p>
        </w:tc>
        <w:tc>
          <w:tcPr>
            <w:tcW w:w="2544" w:type="dxa"/>
            <w:vAlign w:val="center"/>
          </w:tcPr>
          <w:p>
            <w:pPr>
              <w:widowControl/>
              <w:jc w:val="left"/>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948" w:type="dxa"/>
          </w:tcPr>
          <w:p>
            <w:pPr>
              <w:widowControl/>
              <w:jc w:val="center"/>
              <w:outlineLvl w:val="9"/>
              <w:rPr>
                <w:rFonts w:ascii="宋体" w:cs="宋体"/>
                <w:color w:val="0000FF"/>
                <w:kern w:val="0"/>
                <w:szCs w:val="21"/>
              </w:rPr>
            </w:pPr>
          </w:p>
        </w:tc>
        <w:tc>
          <w:tcPr>
            <w:tcW w:w="2345" w:type="dxa"/>
          </w:tcPr>
          <w:p>
            <w:pPr>
              <w:widowControl/>
              <w:jc w:val="center"/>
              <w:outlineLvl w:val="9"/>
              <w:rPr>
                <w:rFonts w:ascii="宋体" w:cs="宋体"/>
                <w:color w:val="0000FF"/>
                <w:kern w:val="0"/>
                <w:szCs w:val="21"/>
              </w:rPr>
            </w:pPr>
          </w:p>
        </w:tc>
        <w:tc>
          <w:tcPr>
            <w:tcW w:w="1255" w:type="dxa"/>
          </w:tcPr>
          <w:p>
            <w:pPr>
              <w:widowControl/>
              <w:jc w:val="center"/>
              <w:outlineLvl w:val="9"/>
              <w:rPr>
                <w:rFonts w:ascii="宋体" w:cs="宋体"/>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6</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vAlign w:val="center"/>
          </w:tcPr>
          <w:p>
            <w:pPr>
              <w:widowControl/>
              <w:jc w:val="center"/>
              <w:outlineLvl w:val="9"/>
              <w:rPr>
                <w:rFonts w:ascii="宋体" w:cs="宋体"/>
                <w:kern w:val="0"/>
                <w:szCs w:val="21"/>
              </w:rPr>
            </w:pPr>
          </w:p>
        </w:tc>
        <w:tc>
          <w:tcPr>
            <w:tcW w:w="2345" w:type="dxa"/>
            <w:vAlign w:val="center"/>
          </w:tcPr>
          <w:p>
            <w:pPr>
              <w:widowControl/>
              <w:jc w:val="center"/>
              <w:outlineLvl w:val="9"/>
              <w:rPr>
                <w:rFonts w:ascii="宋体" w:cs="宋体"/>
                <w:kern w:val="0"/>
                <w:szCs w:val="21"/>
              </w:rPr>
            </w:pPr>
          </w:p>
        </w:tc>
        <w:tc>
          <w:tcPr>
            <w:tcW w:w="1255" w:type="dxa"/>
            <w:vAlign w:val="center"/>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7</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8</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9</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10</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11</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12</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vAlign w:val="center"/>
          </w:tcPr>
          <w:p>
            <w:pPr>
              <w:widowControl/>
              <w:jc w:val="center"/>
              <w:outlineLvl w:val="9"/>
              <w:rPr>
                <w:rFonts w:ascii="宋体" w:cs="宋体"/>
                <w:kern w:val="0"/>
                <w:szCs w:val="21"/>
              </w:rPr>
            </w:pPr>
            <w:r>
              <w:rPr>
                <w:rFonts w:ascii="宋体" w:cs="宋体"/>
                <w:kern w:val="0"/>
                <w:szCs w:val="21"/>
              </w:rPr>
              <w:t>13</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bl>
    <w:p>
      <w:pPr>
        <w:tabs>
          <w:tab w:val="left" w:pos="1905"/>
        </w:tabs>
        <w:spacing w:line="360" w:lineRule="auto"/>
        <w:ind w:right="-11"/>
        <w:jc w:val="left"/>
        <w:outlineLvl w:val="9"/>
        <w:rPr>
          <w:rFonts w:ascii="Arial" w:hAnsi="宋体" w:cs="Arial"/>
          <w:sz w:val="24"/>
        </w:rPr>
      </w:pPr>
    </w:p>
    <w:p>
      <w:pPr>
        <w:pStyle w:val="26"/>
        <w:bidi w:val="0"/>
      </w:pPr>
    </w:p>
    <w:p>
      <w:pPr>
        <w:pStyle w:val="26"/>
        <w:bidi w:val="0"/>
      </w:pPr>
    </w:p>
    <w:p>
      <w:pPr>
        <w:tabs>
          <w:tab w:val="left" w:pos="1905"/>
        </w:tabs>
        <w:spacing w:line="360" w:lineRule="auto"/>
        <w:ind w:right="-11"/>
        <w:jc w:val="left"/>
        <w:outlineLvl w:val="9"/>
        <w:rPr>
          <w:rFonts w:ascii="宋体"/>
          <w:sz w:val="24"/>
        </w:rPr>
      </w:pPr>
      <w:r>
        <w:rPr>
          <w:rFonts w:hint="eastAsia" w:ascii="宋体" w:hAnsi="宋体"/>
          <w:sz w:val="24"/>
        </w:rPr>
        <w:t>供应商名称（加盖公章）：</w:t>
      </w:r>
    </w:p>
    <w:p>
      <w:pPr>
        <w:spacing w:line="360" w:lineRule="auto"/>
        <w:ind w:right="-10"/>
        <w:jc w:val="left"/>
        <w:outlineLvl w:val="9"/>
        <w:rPr>
          <w:rFonts w:ascii="宋体"/>
          <w:sz w:val="24"/>
        </w:rPr>
      </w:pPr>
      <w:r>
        <w:rPr>
          <w:rFonts w:hint="eastAsia" w:ascii="宋体" w:hAnsi="宋体"/>
          <w:sz w:val="24"/>
        </w:rPr>
        <w:t>法定代表人或授权代表（签字或盖章）：</w:t>
      </w:r>
    </w:p>
    <w:p>
      <w:pPr>
        <w:spacing w:before="156" w:beforeLines="50"/>
        <w:outlineLvl w:val="9"/>
        <w:rPr>
          <w:rFonts w:asci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143"/>
        <w:jc w:val="both"/>
        <w:outlineLvl w:val="9"/>
        <w:sectPr>
          <w:pgSz w:w="11906" w:h="16838"/>
          <w:pgMar w:top="1440" w:right="1800" w:bottom="1440" w:left="1800" w:header="851" w:footer="992" w:gutter="0"/>
          <w:pgNumType w:fmt="decimal"/>
          <w:cols w:space="425" w:num="1"/>
          <w:docGrid w:type="lines" w:linePitch="312" w:charSpace="0"/>
        </w:sectPr>
      </w:pPr>
    </w:p>
    <w:p>
      <w:pPr>
        <w:pStyle w:val="135"/>
        <w:widowControl/>
        <w:wordWrap w:val="0"/>
        <w:spacing w:before="100" w:beforeAutospacing="1" w:after="100" w:afterAutospacing="1" w:line="315" w:lineRule="atLeast"/>
        <w:ind w:firstLine="0" w:firstLineChars="0"/>
        <w:jc w:val="left"/>
        <w:outlineLvl w:val="9"/>
        <w:rPr>
          <w:rFonts w:hint="eastAsia" w:ascii="宋体" w:hAnsi="宋体" w:eastAsia="宋体" w:cs="宋体"/>
          <w:b/>
          <w:bCs/>
          <w:color w:val="auto"/>
          <w:kern w:val="0"/>
          <w:sz w:val="28"/>
          <w:szCs w:val="28"/>
        </w:rPr>
      </w:pPr>
    </w:p>
    <w:p>
      <w:pPr>
        <w:pStyle w:val="135"/>
        <w:widowControl/>
        <w:wordWrap w:val="0"/>
        <w:spacing w:before="100" w:beforeAutospacing="1" w:after="100" w:afterAutospacing="1" w:line="315" w:lineRule="atLeast"/>
        <w:ind w:firstLine="0" w:firstLineChars="0"/>
        <w:jc w:val="left"/>
        <w:outlineLvl w:val="9"/>
        <w:rPr>
          <w:rFonts w:hint="eastAsia" w:ascii="宋体" w:hAnsi="宋体" w:eastAsia="宋体" w:cs="宋体"/>
          <w:b/>
          <w:bCs/>
          <w:color w:val="auto"/>
          <w:kern w:val="0"/>
          <w:sz w:val="28"/>
          <w:szCs w:val="28"/>
        </w:rPr>
      </w:pPr>
    </w:p>
    <w:p>
      <w:pPr>
        <w:spacing w:line="360" w:lineRule="auto"/>
        <w:jc w:val="center"/>
        <w:outlineLvl w:val="0"/>
        <w:rPr>
          <w:rFonts w:hint="eastAsia" w:ascii="宋体" w:hAnsi="宋体" w:eastAsia="宋体" w:cs="宋体"/>
          <w:b/>
          <w:bCs/>
          <w:color w:val="auto"/>
          <w:sz w:val="28"/>
          <w:szCs w:val="28"/>
        </w:rPr>
      </w:pPr>
      <w:bookmarkStart w:id="86" w:name="_Toc9631_WPSOffice_Level2"/>
      <w:bookmarkStart w:id="87" w:name="_Toc2668_WPSOffice_Level2"/>
      <w:bookmarkStart w:id="88" w:name="_Toc24080_WPSOffice_Level2"/>
      <w:bookmarkStart w:id="89" w:name="_Toc25232_WPSOffice_Level2"/>
      <w:bookmarkStart w:id="90" w:name="_Toc24535"/>
      <w:r>
        <w:rPr>
          <w:rFonts w:hint="eastAsia" w:asciiTheme="minorEastAsia" w:hAnsiTheme="minorEastAsia" w:cstheme="minorEastAsia"/>
          <w:b/>
          <w:bCs/>
          <w:color w:val="auto"/>
          <w:spacing w:val="0"/>
          <w:sz w:val="28"/>
          <w:szCs w:val="28"/>
          <w:lang w:val="en-US" w:eastAsia="zh-CN"/>
        </w:rPr>
        <w:t>三、法定代表人身份证明书</w:t>
      </w:r>
      <w:bookmarkEnd w:id="86"/>
      <w:bookmarkEnd w:id="87"/>
      <w:bookmarkEnd w:id="88"/>
      <w:bookmarkEnd w:id="89"/>
      <w:bookmarkEnd w:id="90"/>
      <w:r>
        <w:rPr>
          <w:rFonts w:hint="eastAsia" w:ascii="宋体" w:hAnsi="宋体" w:eastAsia="宋体" w:cs="宋体"/>
          <w:b/>
          <w:bCs/>
          <w:color w:val="auto"/>
          <w:sz w:val="28"/>
          <w:szCs w:val="28"/>
        </w:rPr>
        <w:t xml:space="preserve"> </w:t>
      </w:r>
    </w:p>
    <w:p>
      <w:pPr>
        <w:spacing w:line="360" w:lineRule="auto"/>
        <w:jc w:val="center"/>
        <w:outlineLvl w:val="9"/>
        <w:rPr>
          <w:rFonts w:hint="eastAsia" w:ascii="宋体" w:hAnsi="宋体" w:eastAsia="宋体" w:cs="宋体"/>
          <w:bCs/>
          <w:color w:val="auto"/>
          <w:sz w:val="28"/>
          <w:szCs w:val="28"/>
        </w:rPr>
      </w:pPr>
    </w:p>
    <w:p>
      <w:pPr>
        <w:spacing w:line="360" w:lineRule="auto"/>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是</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（投标单位名称）的法定代表人。</w:t>
      </w:r>
    </w:p>
    <w:p>
      <w:pPr>
        <w:spacing w:line="360" w:lineRule="auto"/>
        <w:ind w:firstLine="720"/>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其身份证号码为：</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 xml:space="preserve"> 。</w:t>
      </w:r>
    </w:p>
    <w:p>
      <w:pPr>
        <w:spacing w:line="360" w:lineRule="auto"/>
        <w:ind w:firstLine="720"/>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特此证明。</w:t>
      </w:r>
    </w:p>
    <w:p>
      <w:pPr>
        <w:spacing w:line="360" w:lineRule="auto"/>
        <w:ind w:firstLine="720"/>
        <w:outlineLvl w:val="9"/>
        <w:rPr>
          <w:rFonts w:hint="eastAsia" w:ascii="宋体" w:hAnsi="宋体" w:eastAsia="宋体" w:cs="宋体"/>
          <w:bCs/>
          <w:color w:val="auto"/>
          <w:sz w:val="28"/>
          <w:szCs w:val="28"/>
        </w:rPr>
      </w:pPr>
    </w:p>
    <w:p>
      <w:pPr>
        <w:spacing w:line="360" w:lineRule="auto"/>
        <w:ind w:firstLine="720"/>
        <w:outlineLvl w:val="9"/>
        <w:rPr>
          <w:rFonts w:hint="eastAsia" w:ascii="宋体" w:hAnsi="宋体" w:eastAsia="宋体" w:cs="宋体"/>
          <w:bCs/>
          <w:color w:val="auto"/>
          <w:sz w:val="28"/>
          <w:szCs w:val="28"/>
        </w:rPr>
      </w:pPr>
    </w:p>
    <w:p>
      <w:pPr>
        <w:spacing w:line="360" w:lineRule="auto"/>
        <w:ind w:firstLine="720"/>
        <w:outlineLvl w:val="9"/>
        <w:rPr>
          <w:rFonts w:hint="eastAsia" w:ascii="宋体" w:hAnsi="宋体" w:eastAsia="宋体" w:cs="宋体"/>
          <w:bCs/>
          <w:color w:val="auto"/>
          <w:sz w:val="28"/>
          <w:szCs w:val="28"/>
        </w:rPr>
      </w:pPr>
    </w:p>
    <w:p>
      <w:pPr>
        <w:spacing w:line="360" w:lineRule="auto"/>
        <w:ind w:firstLine="720"/>
        <w:outlineLvl w:val="9"/>
        <w:rPr>
          <w:rFonts w:hint="eastAsia" w:ascii="宋体" w:hAnsi="宋体" w:eastAsia="宋体" w:cs="宋体"/>
          <w:bCs/>
          <w:color w:val="auto"/>
          <w:sz w:val="28"/>
          <w:szCs w:val="28"/>
        </w:rPr>
      </w:pPr>
    </w:p>
    <w:p>
      <w:pPr>
        <w:spacing w:line="360" w:lineRule="auto"/>
        <w:ind w:firstLine="720"/>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   供 应 商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（公章）</w:t>
      </w:r>
    </w:p>
    <w:p>
      <w:pPr>
        <w:spacing w:line="360" w:lineRule="auto"/>
        <w:ind w:firstLine="720"/>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   法定代表人：</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（盖章）</w:t>
      </w:r>
    </w:p>
    <w:p>
      <w:pPr>
        <w:spacing w:line="360" w:lineRule="auto"/>
        <w:jc w:val="center"/>
        <w:outlineLvl w:val="9"/>
        <w:rPr>
          <w:rFonts w:hint="eastAsia" w:ascii="宋体" w:hAnsi="宋体" w:eastAsia="宋体" w:cs="宋体"/>
          <w:b/>
          <w:bCs/>
          <w:color w:val="auto"/>
          <w:sz w:val="28"/>
          <w:szCs w:val="28"/>
        </w:rPr>
      </w:pPr>
    </w:p>
    <w:p>
      <w:pPr>
        <w:spacing w:line="360" w:lineRule="auto"/>
        <w:jc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pPr>
        <w:spacing w:line="360" w:lineRule="auto"/>
        <w:jc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年    月    日</w:t>
      </w:r>
    </w:p>
    <w:p>
      <w:pPr>
        <w:spacing w:line="360" w:lineRule="auto"/>
        <w:jc w:val="center"/>
        <w:outlineLvl w:val="9"/>
        <w:rPr>
          <w:rFonts w:hint="eastAsia" w:ascii="宋体" w:hAnsi="宋体" w:eastAsia="宋体" w:cs="宋体"/>
          <w:b/>
          <w:bCs/>
          <w:color w:val="auto"/>
          <w:sz w:val="28"/>
          <w:szCs w:val="28"/>
        </w:rPr>
      </w:pPr>
    </w:p>
    <w:p>
      <w:pPr>
        <w:spacing w:line="360" w:lineRule="auto"/>
        <w:outlineLvl w:val="9"/>
        <w:rPr>
          <w:rFonts w:hint="eastAsia" w:ascii="宋体" w:hAnsi="宋体" w:eastAsia="宋体" w:cs="宋体"/>
          <w:b/>
          <w:bCs/>
          <w:color w:val="auto"/>
          <w:sz w:val="28"/>
          <w:szCs w:val="28"/>
        </w:rPr>
      </w:pPr>
    </w:p>
    <w:p>
      <w:pPr>
        <w:spacing w:line="360" w:lineRule="auto"/>
        <w:textAlignment w:val="baseline"/>
        <w:outlineLvl w:val="9"/>
        <w:rPr>
          <w:rFonts w:hint="eastAsia" w:ascii="宋体" w:hAnsi="宋体" w:eastAsia="宋体" w:cs="宋体"/>
          <w:color w:val="auto"/>
          <w:sz w:val="28"/>
          <w:szCs w:val="28"/>
        </w:rPr>
      </w:pPr>
      <w:r>
        <w:rPr>
          <w:rFonts w:hint="eastAsia" w:ascii="宋体" w:hAnsi="宋体" w:eastAsia="宋体" w:cs="宋体"/>
          <w:color w:val="auto"/>
          <w:sz w:val="28"/>
          <w:szCs w:val="28"/>
        </w:rPr>
        <w:t>（附法人身份证正反面加盖公章）</w:t>
      </w:r>
    </w:p>
    <w:p>
      <w:pPr>
        <w:spacing w:line="360" w:lineRule="auto"/>
        <w:textAlignment w:val="baseline"/>
        <w:outlineLvl w:val="9"/>
        <w:rPr>
          <w:rFonts w:hint="eastAsia" w:ascii="宋体" w:hAnsi="宋体" w:eastAsia="宋体" w:cs="宋体"/>
          <w:color w:val="auto"/>
          <w:sz w:val="28"/>
          <w:szCs w:val="28"/>
        </w:rPr>
      </w:pPr>
    </w:p>
    <w:p>
      <w:pPr>
        <w:spacing w:line="360" w:lineRule="auto"/>
        <w:textAlignment w:val="baseline"/>
        <w:outlineLvl w:val="9"/>
        <w:rPr>
          <w:rFonts w:hint="eastAsia" w:ascii="宋体" w:hAnsi="宋体" w:eastAsia="宋体" w:cs="宋体"/>
          <w:color w:val="auto"/>
          <w:sz w:val="28"/>
          <w:szCs w:val="28"/>
        </w:rPr>
      </w:pPr>
    </w:p>
    <w:p>
      <w:pPr>
        <w:spacing w:line="360" w:lineRule="auto"/>
        <w:textAlignment w:val="baseline"/>
        <w:outlineLvl w:val="9"/>
        <w:rPr>
          <w:rFonts w:hint="eastAsia" w:ascii="宋体" w:hAnsi="宋体" w:eastAsia="宋体" w:cs="宋体"/>
          <w:color w:val="auto"/>
          <w:sz w:val="28"/>
          <w:szCs w:val="28"/>
        </w:rPr>
      </w:pPr>
    </w:p>
    <w:p>
      <w:pPr>
        <w:spacing w:line="360" w:lineRule="auto"/>
        <w:textAlignment w:val="baseline"/>
        <w:outlineLvl w:val="9"/>
        <w:rPr>
          <w:rFonts w:hint="eastAsia" w:ascii="宋体" w:hAnsi="宋体" w:eastAsia="宋体" w:cs="宋体"/>
          <w:color w:val="auto"/>
          <w:sz w:val="28"/>
          <w:szCs w:val="28"/>
        </w:rPr>
      </w:pPr>
    </w:p>
    <w:p>
      <w:pPr>
        <w:pStyle w:val="16"/>
        <w:spacing w:line="450" w:lineRule="atLeast"/>
        <w:jc w:val="both"/>
        <w:outlineLvl w:val="9"/>
        <w:rPr>
          <w:rFonts w:hint="eastAsia" w:ascii="宋体" w:hAnsi="宋体" w:eastAsia="宋体" w:cs="宋体"/>
          <w:b/>
          <w:color w:val="auto"/>
          <w:spacing w:val="20"/>
          <w:sz w:val="28"/>
          <w:szCs w:val="28"/>
        </w:rPr>
      </w:pPr>
    </w:p>
    <w:p>
      <w:pPr>
        <w:pStyle w:val="16"/>
        <w:spacing w:line="450" w:lineRule="atLeast"/>
        <w:jc w:val="both"/>
        <w:outlineLvl w:val="9"/>
        <w:rPr>
          <w:rFonts w:hint="eastAsia" w:ascii="宋体" w:hAnsi="宋体" w:eastAsia="宋体" w:cs="宋体"/>
          <w:b/>
          <w:color w:val="auto"/>
          <w:spacing w:val="20"/>
          <w:sz w:val="28"/>
          <w:szCs w:val="28"/>
        </w:rPr>
      </w:pPr>
    </w:p>
    <w:p>
      <w:pPr>
        <w:pStyle w:val="16"/>
        <w:spacing w:line="450" w:lineRule="atLeast"/>
        <w:jc w:val="center"/>
        <w:outlineLvl w:val="9"/>
        <w:rPr>
          <w:rFonts w:hint="eastAsia" w:ascii="宋体" w:hAnsi="宋体" w:eastAsia="宋体" w:cs="宋体"/>
          <w:b/>
          <w:color w:val="auto"/>
          <w:spacing w:val="20"/>
          <w:sz w:val="28"/>
          <w:szCs w:val="28"/>
        </w:rPr>
      </w:pPr>
      <w:bookmarkStart w:id="91" w:name="_Toc20394_WPSOffice_Level1"/>
      <w:bookmarkStart w:id="92" w:name="_Toc3476_WPSOffice_Level1"/>
      <w:bookmarkStart w:id="93" w:name="_Toc22428_WPSOffice_Level1"/>
      <w:bookmarkStart w:id="94" w:name="_Toc19487_WPSOffice_Level1"/>
      <w:bookmarkStart w:id="95" w:name="_Toc2827_WPSOffice_Level1"/>
      <w:bookmarkStart w:id="96" w:name="_Toc10350_WPSOffice_Level1"/>
      <w:bookmarkStart w:id="97" w:name="_Toc30163_WPSOffice_Level1"/>
      <w:bookmarkStart w:id="98" w:name="_Toc18903_WPSOffice_Level1"/>
      <w:r>
        <w:rPr>
          <w:rFonts w:hint="eastAsia" w:ascii="宋体" w:hAnsi="宋体" w:eastAsia="宋体" w:cs="宋体"/>
          <w:b/>
          <w:color w:val="auto"/>
          <w:spacing w:val="20"/>
          <w:sz w:val="28"/>
          <w:szCs w:val="28"/>
        </w:rPr>
        <w:t>法定代表人授权书</w:t>
      </w:r>
      <w:bookmarkEnd w:id="91"/>
      <w:bookmarkEnd w:id="92"/>
      <w:bookmarkEnd w:id="93"/>
      <w:bookmarkEnd w:id="94"/>
      <w:bookmarkEnd w:id="95"/>
      <w:bookmarkEnd w:id="96"/>
      <w:bookmarkEnd w:id="97"/>
      <w:bookmarkEnd w:id="98"/>
    </w:p>
    <w:p>
      <w:pPr>
        <w:pStyle w:val="16"/>
        <w:spacing w:line="450" w:lineRule="atLeast"/>
        <w:jc w:val="left"/>
        <w:outlineLvl w:val="9"/>
        <w:rPr>
          <w:rFonts w:hint="eastAsia" w:ascii="宋体" w:hAnsi="宋体" w:eastAsia="宋体" w:cs="宋体"/>
          <w:color w:val="auto"/>
          <w:sz w:val="28"/>
          <w:szCs w:val="28"/>
        </w:rPr>
      </w:pPr>
    </w:p>
    <w:p>
      <w:pPr>
        <w:spacing w:line="360" w:lineRule="auto"/>
        <w:ind w:firstLine="630"/>
        <w:jc w:val="left"/>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本授权委托书声明：我  </w:t>
      </w:r>
      <w:r>
        <w:rPr>
          <w:rFonts w:hint="eastAsia" w:ascii="宋体" w:hAnsi="宋体" w:eastAsia="宋体" w:cs="宋体"/>
          <w:bCs/>
          <w:color w:val="auto"/>
          <w:kern w:val="0"/>
          <w:sz w:val="28"/>
          <w:szCs w:val="28"/>
          <w:u w:val="single"/>
        </w:rPr>
        <w:t xml:space="preserve"> </w:t>
      </w:r>
      <w:r>
        <w:rPr>
          <w:rFonts w:hint="eastAsia" w:ascii="宋体" w:hAnsi="宋体" w:eastAsia="宋体" w:cs="宋体"/>
          <w:bCs/>
          <w:color w:val="auto"/>
          <w:sz w:val="28"/>
          <w:szCs w:val="28"/>
          <w:u w:val="single"/>
          <w:lang w:val="zh-CN"/>
        </w:rPr>
        <w:t xml:space="preserve">      </w:t>
      </w:r>
      <w:r>
        <w:rPr>
          <w:rFonts w:hint="eastAsia" w:ascii="宋体" w:hAnsi="宋体" w:eastAsia="宋体" w:cs="宋体"/>
          <w:bCs/>
          <w:color w:val="auto"/>
          <w:kern w:val="0"/>
          <w:sz w:val="28"/>
          <w:szCs w:val="28"/>
          <w:u w:val="single"/>
        </w:rPr>
        <w:t xml:space="preserve"> </w:t>
      </w:r>
      <w:r>
        <w:rPr>
          <w:rFonts w:hint="eastAsia" w:ascii="宋体" w:hAnsi="宋体" w:eastAsia="宋体" w:cs="宋体"/>
          <w:color w:val="auto"/>
          <w:sz w:val="28"/>
          <w:szCs w:val="28"/>
        </w:rPr>
        <w:t>系</w:t>
      </w:r>
      <w:r>
        <w:rPr>
          <w:rFonts w:hint="eastAsia" w:ascii="宋体" w:hAnsi="宋体" w:eastAsia="宋体" w:cs="宋体"/>
          <w:bCs/>
          <w:color w:val="auto"/>
          <w:sz w:val="28"/>
          <w:szCs w:val="28"/>
          <w:u w:val="single"/>
        </w:rPr>
        <w:t xml:space="preserve">         </w:t>
      </w:r>
      <w:r>
        <w:rPr>
          <w:rFonts w:hint="eastAsia" w:ascii="宋体" w:hAnsi="宋体" w:eastAsia="宋体" w:cs="宋体"/>
          <w:color w:val="auto"/>
          <w:sz w:val="28"/>
          <w:szCs w:val="28"/>
        </w:rPr>
        <w:t>的法定代表人，现授权委托</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为我单位的代理人，以本单位的名义参加</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kern w:val="0"/>
          <w:sz w:val="28"/>
          <w:szCs w:val="28"/>
        </w:rPr>
        <w:t>招投标工</w:t>
      </w:r>
      <w:r>
        <w:rPr>
          <w:rFonts w:hint="eastAsia" w:ascii="宋体" w:hAnsi="宋体" w:eastAsia="宋体" w:cs="宋体"/>
          <w:color w:val="auto"/>
          <w:sz w:val="28"/>
          <w:szCs w:val="28"/>
        </w:rPr>
        <w:t>作。代理人签署的文件和参加整个招标中所签署的一切文件和处理与之有关的一切事务，我均予以承认。</w:t>
      </w:r>
    </w:p>
    <w:p>
      <w:pPr>
        <w:pStyle w:val="16"/>
        <w:spacing w:line="450" w:lineRule="atLeast"/>
        <w:outlineLvl w:val="9"/>
        <w:rPr>
          <w:rFonts w:hint="eastAsia" w:ascii="宋体" w:hAnsi="宋体" w:eastAsia="宋体" w:cs="宋体"/>
          <w:color w:val="auto"/>
          <w:spacing w:val="20"/>
          <w:sz w:val="28"/>
          <w:szCs w:val="28"/>
        </w:rPr>
      </w:pPr>
    </w:p>
    <w:p>
      <w:pPr>
        <w:pStyle w:val="16"/>
        <w:spacing w:line="450" w:lineRule="atLeast"/>
        <w:outlineLvl w:val="9"/>
        <w:rPr>
          <w:rFonts w:hint="eastAsia" w:ascii="宋体" w:hAnsi="宋体" w:eastAsia="宋体" w:cs="宋体"/>
          <w:color w:val="auto"/>
          <w:spacing w:val="20"/>
          <w:sz w:val="28"/>
          <w:szCs w:val="28"/>
        </w:rPr>
      </w:pPr>
    </w:p>
    <w:p>
      <w:pPr>
        <w:pStyle w:val="16"/>
        <w:spacing w:line="450" w:lineRule="atLeast"/>
        <w:outlineLvl w:val="9"/>
        <w:rPr>
          <w:rFonts w:hint="eastAsia" w:ascii="宋体" w:hAnsi="宋体" w:eastAsia="宋体" w:cs="宋体"/>
          <w:color w:val="auto"/>
          <w:spacing w:val="20"/>
          <w:sz w:val="28"/>
          <w:szCs w:val="28"/>
          <w:u w:val="single"/>
        </w:rPr>
      </w:pPr>
      <w:r>
        <w:rPr>
          <w:rFonts w:hint="eastAsia" w:ascii="宋体" w:hAnsi="宋体" w:eastAsia="宋体" w:cs="宋体"/>
          <w:color w:val="auto"/>
          <w:spacing w:val="20"/>
          <w:sz w:val="28"/>
          <w:szCs w:val="28"/>
          <w:lang w:eastAsia="zh-CN"/>
        </w:rPr>
        <w:t>供应商（公章）</w:t>
      </w:r>
      <w:r>
        <w:rPr>
          <w:rFonts w:hint="eastAsia" w:ascii="宋体" w:hAnsi="宋体" w:eastAsia="宋体" w:cs="宋体"/>
          <w:color w:val="auto"/>
          <w:spacing w:val="20"/>
          <w:sz w:val="28"/>
          <w:szCs w:val="28"/>
        </w:rPr>
        <w:t>：</w:t>
      </w:r>
      <w:r>
        <w:rPr>
          <w:rFonts w:hint="eastAsia" w:ascii="宋体" w:hAnsi="宋体" w:eastAsia="宋体" w:cs="宋体"/>
          <w:color w:val="auto"/>
          <w:spacing w:val="20"/>
          <w:sz w:val="28"/>
          <w:szCs w:val="28"/>
          <w:u w:val="single"/>
        </w:rPr>
        <w:t xml:space="preserve">                           </w:t>
      </w:r>
    </w:p>
    <w:p>
      <w:pPr>
        <w:pStyle w:val="16"/>
        <w:spacing w:line="450" w:lineRule="atLeas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lang w:eastAsia="zh-CN"/>
        </w:rPr>
        <w:t>法</w:t>
      </w:r>
      <w:r>
        <w:rPr>
          <w:rFonts w:hint="eastAsia" w:ascii="宋体" w:hAnsi="宋体" w:eastAsia="宋体" w:cs="宋体"/>
          <w:color w:val="auto"/>
          <w:spacing w:val="20"/>
          <w:sz w:val="28"/>
          <w:szCs w:val="28"/>
        </w:rPr>
        <w:t>定代表人（公章</w:t>
      </w:r>
      <w:r>
        <w:rPr>
          <w:rFonts w:hint="eastAsia" w:ascii="宋体" w:hAnsi="宋体" w:eastAsia="宋体" w:cs="宋体"/>
          <w:color w:val="auto"/>
          <w:spacing w:val="20"/>
          <w:sz w:val="28"/>
          <w:szCs w:val="28"/>
          <w:lang w:eastAsia="zh-CN"/>
        </w:rPr>
        <w:t>）</w:t>
      </w:r>
      <w:r>
        <w:rPr>
          <w:rFonts w:hint="eastAsia" w:ascii="宋体" w:hAnsi="宋体" w:eastAsia="宋体" w:cs="宋体"/>
          <w:color w:val="auto"/>
          <w:spacing w:val="20"/>
          <w:sz w:val="28"/>
          <w:szCs w:val="28"/>
        </w:rPr>
        <w:t>：　</w:t>
      </w:r>
      <w:r>
        <w:rPr>
          <w:rFonts w:hint="eastAsia" w:ascii="宋体" w:hAnsi="宋体" w:eastAsia="宋体" w:cs="宋体"/>
          <w:color w:val="auto"/>
          <w:spacing w:val="20"/>
          <w:sz w:val="28"/>
          <w:szCs w:val="28"/>
          <w:u w:val="single"/>
        </w:rPr>
        <w:t xml:space="preserve">                        </w:t>
      </w:r>
      <w:r>
        <w:rPr>
          <w:rFonts w:hint="eastAsia" w:ascii="宋体" w:hAnsi="宋体" w:eastAsia="宋体" w:cs="宋体"/>
          <w:color w:val="auto"/>
          <w:spacing w:val="20"/>
          <w:sz w:val="28"/>
          <w:szCs w:val="28"/>
        </w:rPr>
        <w:t xml:space="preserve"> </w:t>
      </w:r>
    </w:p>
    <w:p>
      <w:pPr>
        <w:pStyle w:val="16"/>
        <w:spacing w:line="450" w:lineRule="atLeas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地     点：  　</w:t>
      </w:r>
      <w:r>
        <w:rPr>
          <w:rFonts w:hint="eastAsia" w:ascii="宋体" w:hAnsi="宋体" w:eastAsia="宋体" w:cs="宋体"/>
          <w:color w:val="auto"/>
          <w:spacing w:val="20"/>
          <w:sz w:val="28"/>
          <w:szCs w:val="28"/>
          <w:u w:val="single"/>
        </w:rPr>
        <w:t xml:space="preserve">　　　　　　　　　           </w:t>
      </w:r>
      <w:r>
        <w:rPr>
          <w:rFonts w:hint="eastAsia" w:ascii="宋体" w:hAnsi="宋体" w:eastAsia="宋体" w:cs="宋体"/>
          <w:color w:val="auto"/>
          <w:spacing w:val="20"/>
          <w:sz w:val="28"/>
          <w:szCs w:val="28"/>
        </w:rPr>
        <w:t xml:space="preserve"> </w:t>
      </w:r>
    </w:p>
    <w:p>
      <w:pPr>
        <w:spacing w:line="450" w:lineRule="atLeas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时     间：  　</w:t>
      </w:r>
      <w:r>
        <w:rPr>
          <w:rFonts w:hint="eastAsia" w:ascii="宋体" w:hAnsi="宋体" w:eastAsia="宋体" w:cs="宋体"/>
          <w:color w:val="auto"/>
          <w:spacing w:val="20"/>
          <w:sz w:val="28"/>
          <w:szCs w:val="28"/>
          <w:u w:val="single"/>
        </w:rPr>
        <w:t xml:space="preserve">            　　　　　　　　 </w:t>
      </w:r>
      <w:r>
        <w:rPr>
          <w:rFonts w:hint="eastAsia" w:ascii="宋体" w:hAnsi="宋体" w:eastAsia="宋体" w:cs="宋体"/>
          <w:color w:val="auto"/>
          <w:spacing w:val="20"/>
          <w:sz w:val="28"/>
          <w:szCs w:val="28"/>
        </w:rPr>
        <w:t xml:space="preserve">   </w:t>
      </w:r>
    </w:p>
    <w:p>
      <w:pPr>
        <w:spacing w:line="450" w:lineRule="atLeast"/>
        <w:outlineLvl w:val="9"/>
        <w:rPr>
          <w:rFonts w:hint="eastAsia" w:ascii="宋体" w:hAnsi="宋体" w:eastAsia="宋体" w:cs="宋体"/>
          <w:color w:val="auto"/>
          <w:spacing w:val="20"/>
          <w:sz w:val="28"/>
          <w:szCs w:val="28"/>
        </w:rPr>
      </w:pPr>
    </w:p>
    <w:p>
      <w:pPr>
        <w:tabs>
          <w:tab w:val="left" w:pos="5805"/>
        </w:tabs>
        <w:spacing w:line="450" w:lineRule="atLeast"/>
        <w:ind w:left="640" w:hanging="640" w:hangingChars="200"/>
        <w:outlineLvl w:val="9"/>
        <w:rPr>
          <w:rFonts w:hint="eastAsia" w:ascii="宋体" w:hAnsi="宋体" w:eastAsia="宋体" w:cs="宋体"/>
          <w:color w:val="auto"/>
          <w:sz w:val="28"/>
          <w:szCs w:val="28"/>
        </w:rPr>
      </w:pPr>
      <w:r>
        <w:rPr>
          <w:rFonts w:hint="eastAsia" w:ascii="宋体" w:hAnsi="宋体" w:eastAsia="宋体" w:cs="宋体"/>
          <w:color w:val="auto"/>
          <w:spacing w:val="20"/>
          <w:sz w:val="28"/>
          <w:szCs w:val="28"/>
        </w:rPr>
        <w:t>注：</w:t>
      </w:r>
      <w:r>
        <w:rPr>
          <w:rFonts w:hint="eastAsia" w:ascii="宋体" w:hAnsi="宋体" w:eastAsia="宋体" w:cs="宋体"/>
          <w:color w:val="auto"/>
          <w:spacing w:val="20"/>
          <w:sz w:val="28"/>
          <w:szCs w:val="28"/>
          <w:u w:val="single"/>
        </w:rPr>
        <w:t>请在投标文件中附上法人以及委托人身份证复印件正反两面（加盖公章和法人印章），除标书里放法人授权书外开标现场需单独提供，并带好有效身份证件</w:t>
      </w:r>
      <w:r>
        <w:rPr>
          <w:rFonts w:hint="eastAsia" w:ascii="宋体" w:hAnsi="宋体" w:eastAsia="宋体" w:cs="宋体"/>
          <w:color w:val="auto"/>
          <w:spacing w:val="20"/>
          <w:sz w:val="28"/>
          <w:szCs w:val="28"/>
        </w:rPr>
        <w:t>。</w:t>
      </w:r>
    </w:p>
    <w:p>
      <w:pPr>
        <w:pStyle w:val="16"/>
        <w:adjustRightInd w:val="0"/>
        <w:snapToGrid w:val="0"/>
        <w:outlineLvl w:val="9"/>
        <w:rPr>
          <w:rFonts w:hint="eastAsia" w:ascii="宋体" w:hAnsi="宋体" w:eastAsia="宋体" w:cs="宋体"/>
          <w:color w:val="auto"/>
          <w:sz w:val="28"/>
          <w:szCs w:val="28"/>
          <w:lang w:val="en-US"/>
        </w:rPr>
      </w:pPr>
    </w:p>
    <w:p>
      <w:pPr>
        <w:pStyle w:val="16"/>
        <w:adjustRightInd w:val="0"/>
        <w:snapToGrid w:val="0"/>
        <w:outlineLvl w:val="9"/>
        <w:rPr>
          <w:rFonts w:hint="eastAsia" w:ascii="宋体" w:hAnsi="宋体" w:eastAsia="宋体" w:cs="宋体"/>
          <w:color w:val="auto"/>
          <w:sz w:val="28"/>
          <w:szCs w:val="28"/>
        </w:rPr>
      </w:pPr>
    </w:p>
    <w:p>
      <w:pPr>
        <w:ind w:firstLine="3080" w:firstLineChars="1100"/>
        <w:outlineLvl w:val="9"/>
        <w:rPr>
          <w:rFonts w:hint="eastAsia" w:ascii="宋体" w:hAnsi="宋体" w:eastAsia="宋体" w:cs="宋体"/>
          <w:color w:val="auto"/>
          <w:sz w:val="28"/>
          <w:szCs w:val="28"/>
        </w:rPr>
      </w:pPr>
    </w:p>
    <w:p>
      <w:pPr>
        <w:ind w:firstLine="3080" w:firstLineChars="1100"/>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ind w:firstLine="3080" w:firstLineChars="1100"/>
        <w:outlineLvl w:val="9"/>
        <w:rPr>
          <w:rFonts w:hint="eastAsia" w:ascii="宋体" w:hAnsi="宋体" w:eastAsia="宋体" w:cs="宋体"/>
          <w:color w:val="auto"/>
          <w:sz w:val="28"/>
          <w:szCs w:val="28"/>
        </w:rPr>
      </w:pPr>
    </w:p>
    <w:p>
      <w:pPr>
        <w:numPr>
          <w:ilvl w:val="0"/>
          <w:numId w:val="0"/>
        </w:numPr>
        <w:tabs>
          <w:tab w:val="left" w:pos="576"/>
        </w:tabs>
        <w:outlineLvl w:val="9"/>
        <w:rPr>
          <w:rFonts w:hint="eastAsia" w:ascii="宋体" w:hAnsi="宋体" w:eastAsia="宋体" w:cs="宋体"/>
          <w:color w:val="auto"/>
          <w:sz w:val="28"/>
          <w:szCs w:val="28"/>
        </w:rPr>
      </w:pPr>
      <w:bookmarkStart w:id="99" w:name="_Toc424212009"/>
      <w:bookmarkStart w:id="100" w:name="_Toc460703987"/>
    </w:p>
    <w:p>
      <w:pPr>
        <w:spacing w:line="450" w:lineRule="atLeast"/>
        <w:jc w:val="center"/>
        <w:outlineLvl w:val="0"/>
        <w:rPr>
          <w:rFonts w:hint="eastAsia" w:ascii="宋体" w:hAnsi="宋体" w:eastAsia="宋体" w:cs="宋体"/>
          <w:b/>
          <w:color w:val="auto"/>
          <w:spacing w:val="20"/>
          <w:sz w:val="48"/>
          <w:szCs w:val="48"/>
        </w:rPr>
      </w:pPr>
      <w:bookmarkStart w:id="101" w:name="_Toc467"/>
      <w:r>
        <w:rPr>
          <w:rFonts w:hint="eastAsia" w:asciiTheme="minorEastAsia" w:hAnsiTheme="minorEastAsia" w:cstheme="minorEastAsia"/>
          <w:b/>
          <w:bCs/>
          <w:color w:val="auto"/>
          <w:spacing w:val="0"/>
          <w:sz w:val="28"/>
          <w:szCs w:val="28"/>
          <w:lang w:val="en-US" w:eastAsia="zh-CN"/>
        </w:rPr>
        <w:t>四、磋商保证金交纳凭证</w:t>
      </w:r>
      <w:bookmarkEnd w:id="99"/>
      <w:bookmarkEnd w:id="100"/>
      <w:bookmarkEnd w:id="101"/>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2" w:hRule="atLeast"/>
        </w:trPr>
        <w:tc>
          <w:tcPr>
            <w:tcW w:w="8840" w:type="dxa"/>
            <w:noWrap w:val="0"/>
            <w:vAlign w:val="center"/>
          </w:tcPr>
          <w:p>
            <w:pPr>
              <w:spacing w:after="124" w:afterLines="40"/>
              <w:jc w:val="center"/>
              <w:outlineLvl w:val="9"/>
              <w:rPr>
                <w:rFonts w:ascii="宋体" w:hAnsi="宋体" w:cs="宋体"/>
                <w:color w:val="auto"/>
                <w:szCs w:val="21"/>
              </w:rPr>
            </w:pPr>
            <w:r>
              <w:rPr>
                <w:rFonts w:hint="eastAsia" w:ascii="宋体" w:hAnsi="宋体" w:cs="宋体"/>
                <w:b/>
                <w:bCs/>
                <w:color w:val="auto"/>
                <w:sz w:val="28"/>
                <w:szCs w:val="28"/>
              </w:rPr>
              <w:t>投标保证金复印件</w:t>
            </w:r>
          </w:p>
        </w:tc>
      </w:tr>
    </w:tbl>
    <w:p>
      <w:pPr>
        <w:numPr>
          <w:ilvl w:val="0"/>
          <w:numId w:val="0"/>
        </w:numPr>
        <w:tabs>
          <w:tab w:val="left" w:pos="576"/>
        </w:tabs>
        <w:outlineLvl w:val="9"/>
        <w:rPr>
          <w:rFonts w:hint="eastAsia" w:ascii="宋体" w:hAnsi="宋体" w:eastAsia="宋体" w:cs="宋体"/>
          <w:i w:val="0"/>
          <w:iCs/>
          <w:color w:val="auto"/>
          <w:sz w:val="28"/>
          <w:szCs w:val="28"/>
        </w:rPr>
      </w:pPr>
      <w:r>
        <w:rPr>
          <w:rFonts w:hint="eastAsia" w:ascii="宋体" w:hAnsi="宋体" w:eastAsia="宋体" w:cs="宋体"/>
          <w:color w:val="auto"/>
          <w:sz w:val="28"/>
          <w:szCs w:val="28"/>
        </w:rPr>
        <w:br w:type="page"/>
      </w:r>
    </w:p>
    <w:p>
      <w:pPr>
        <w:spacing w:line="450" w:lineRule="atLeast"/>
        <w:jc w:val="center"/>
        <w:outlineLvl w:val="0"/>
        <w:rPr>
          <w:rFonts w:hint="eastAsia" w:ascii="宋体" w:hAnsi="宋体" w:eastAsia="宋体" w:cs="宋体"/>
          <w:b/>
          <w:color w:val="auto"/>
          <w:spacing w:val="20"/>
          <w:sz w:val="48"/>
          <w:szCs w:val="48"/>
        </w:rPr>
      </w:pPr>
      <w:bookmarkStart w:id="102" w:name="_Toc11445"/>
      <w:r>
        <w:rPr>
          <w:rFonts w:hint="eastAsia" w:asciiTheme="minorEastAsia" w:hAnsiTheme="minorEastAsia" w:cstheme="minorEastAsia"/>
          <w:b/>
          <w:bCs/>
          <w:color w:val="auto"/>
          <w:spacing w:val="0"/>
          <w:sz w:val="28"/>
          <w:szCs w:val="28"/>
          <w:lang w:val="en-US" w:eastAsia="zh-CN"/>
        </w:rPr>
        <w:t>五、反商业贿赂承诺书</w:t>
      </w:r>
      <w:bookmarkEnd w:id="102"/>
    </w:p>
    <w:p>
      <w:pPr>
        <w:spacing w:line="360" w:lineRule="auto"/>
        <w:outlineLvl w:val="9"/>
        <w:rPr>
          <w:rFonts w:hint="eastAsia" w:ascii="宋体" w:hAnsi="宋体" w:eastAsia="宋体" w:cs="宋体"/>
          <w:color w:val="auto"/>
          <w:sz w:val="28"/>
          <w:szCs w:val="28"/>
        </w:rPr>
      </w:pP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我公司承诺：</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在本次</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活动中，我公司保证做到：</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一、公平竞争参加本次采购活动。</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杜绝任何形式的商业贿赂行为。不向国家工作人员、政府采购工作人员、评审专家及其亲属提供礼品礼金、有价证券、购物券、回扣、佣金、咨询费、劳务费、赞助费、宣传费、宴请；不为其报销各种消费凭证，不支付其旅游、娱乐等费用。</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三、若出现上述行为，我公司及参与</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的工作人员愿意接受按照国家法律法规等有关规定给予的处罚。</w:t>
      </w:r>
    </w:p>
    <w:p>
      <w:pPr>
        <w:spacing w:line="360" w:lineRule="auto"/>
        <w:outlineLvl w:val="9"/>
        <w:rPr>
          <w:rFonts w:hint="eastAsia" w:ascii="宋体" w:hAnsi="宋体" w:eastAsia="宋体" w:cs="宋体"/>
          <w:color w:val="auto"/>
          <w:sz w:val="28"/>
          <w:szCs w:val="28"/>
        </w:rPr>
      </w:pPr>
    </w:p>
    <w:p>
      <w:pPr>
        <w:spacing w:line="360" w:lineRule="auto"/>
        <w:outlineLvl w:val="9"/>
        <w:rPr>
          <w:rFonts w:hint="eastAsia" w:ascii="宋体" w:hAnsi="宋体" w:eastAsia="宋体" w:cs="宋体"/>
          <w:color w:val="auto"/>
          <w:sz w:val="28"/>
          <w:szCs w:val="28"/>
        </w:rPr>
      </w:pP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供应商名称（加盖公章）：</w:t>
      </w: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法定代表人（盖章）：</w:t>
      </w: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授权代表（签字）：</w:t>
      </w: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pPr>
        <w:outlineLvl w:val="9"/>
        <w:rPr>
          <w:rFonts w:hint="eastAsia" w:ascii="宋体" w:hAnsi="宋体" w:eastAsia="宋体" w:cs="宋体"/>
          <w:color w:val="auto"/>
          <w:sz w:val="28"/>
          <w:szCs w:val="28"/>
        </w:rPr>
        <w:sectPr>
          <w:pgSz w:w="11907" w:h="16840"/>
          <w:pgMar w:top="1440" w:right="1474" w:bottom="1440" w:left="1474" w:header="851" w:footer="992" w:gutter="0"/>
          <w:pgNumType w:fmt="decimal"/>
          <w:cols w:space="720" w:num="1"/>
          <w:docGrid w:linePitch="312" w:charSpace="0"/>
        </w:sectPr>
      </w:pPr>
    </w:p>
    <w:bookmarkEnd w:id="63"/>
    <w:bookmarkEnd w:id="64"/>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48"/>
          <w:szCs w:val="48"/>
          <w:lang w:val="en-US" w:eastAsia="zh-CN"/>
        </w:rPr>
      </w:pPr>
      <w:bookmarkStart w:id="103" w:name="_Toc1577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bookmarkStart w:id="104" w:name="_Toc18177"/>
      <w:r>
        <w:rPr>
          <w:rFonts w:hint="eastAsia" w:asciiTheme="minorEastAsia" w:hAnsiTheme="minorEastAsia" w:cstheme="minorEastAsia"/>
          <w:b/>
          <w:bCs/>
          <w:color w:val="auto"/>
          <w:spacing w:val="0"/>
          <w:sz w:val="28"/>
          <w:szCs w:val="28"/>
          <w:lang w:val="en-US" w:eastAsia="zh-CN"/>
        </w:rPr>
        <w:t>六、商务和技术偏差表</w:t>
      </w:r>
      <w:bookmarkEnd w:id="103"/>
      <w:bookmarkEnd w:id="104"/>
    </w:p>
    <w:tbl>
      <w:tblPr>
        <w:tblStyle w:val="33"/>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938"/>
        <w:gridCol w:w="3120"/>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序号</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磋商文件章节及条款号</w:t>
            </w: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响应文件章节及条款号</w:t>
            </w: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1</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2</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3</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4</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5</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default" w:ascii="Arial" w:hAnsi="Arial" w:cs="Arial"/>
                <w:b/>
                <w:bCs/>
                <w:color w:val="auto"/>
                <w:spacing w:val="0"/>
                <w:sz w:val="21"/>
                <w:szCs w:val="21"/>
                <w:vertAlign w:val="baseline"/>
                <w:lang w:val="en-US" w:eastAsia="zh-CN"/>
              </w:rPr>
              <w:t>……</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投标人保证：除商务和技术偏差表列出的偏差外，投标人响应磋商文件的全部要求。</w:t>
      </w:r>
    </w:p>
    <w:p>
      <w:pPr>
        <w:pStyle w:val="24"/>
        <w:bidi w:val="0"/>
        <w:outlineLvl w:val="9"/>
        <w:rPr>
          <w:rFonts w:hint="eastAsia"/>
          <w:color w:val="auto"/>
          <w:lang w:val="en-US" w:eastAsia="zh-CN"/>
        </w:rPr>
      </w:pPr>
    </w:p>
    <w:p>
      <w:pPr>
        <w:spacing w:line="450" w:lineRule="atLeast"/>
        <w:outlineLvl w:val="9"/>
        <w:rPr>
          <w:rFonts w:hint="eastAsia" w:ascii="宋体" w:hAnsi="宋体" w:eastAsia="宋体" w:cs="宋体"/>
          <w:b/>
          <w:color w:val="auto"/>
          <w:sz w:val="28"/>
          <w:szCs w:val="28"/>
        </w:rPr>
        <w:sectPr>
          <w:headerReference r:id="rId7" w:type="default"/>
          <w:footerReference r:id="rId8" w:type="default"/>
          <w:type w:val="continuous"/>
          <w:pgSz w:w="11906" w:h="16838"/>
          <w:pgMar w:top="1440" w:right="1800" w:bottom="1440" w:left="1800" w:header="851" w:footer="992" w:gutter="0"/>
          <w:pgNumType w:fmt="decimal"/>
          <w:cols w:space="720" w:num="1"/>
          <w:docGrid w:linePitch="315"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bookmarkStart w:id="105" w:name="_Toc763_WPSOffice_Level1"/>
      <w:bookmarkStart w:id="106" w:name="_Toc10416_WPSOffice_Level1"/>
      <w:bookmarkStart w:id="107" w:name="_Toc5095_WPSOffice_Level1"/>
      <w:bookmarkStart w:id="108" w:name="_Toc32501"/>
      <w:bookmarkStart w:id="109" w:name="_Toc3812_WPSOffice_Level1"/>
      <w:bookmarkStart w:id="110" w:name="_Toc7948_WPSOffice_Level1"/>
      <w:bookmarkStart w:id="111" w:name="_Toc13993_WPSOffice_Level1"/>
      <w:bookmarkStart w:id="112" w:name="_Toc32531_WPSOffice_Level1"/>
      <w:bookmarkStart w:id="113" w:name="_Toc21836_WPSOffice_Level1"/>
      <w:r>
        <w:rPr>
          <w:rFonts w:hint="eastAsia" w:asciiTheme="minorEastAsia" w:hAnsiTheme="minorEastAsia" w:cstheme="minorEastAsia"/>
          <w:b/>
          <w:bCs/>
          <w:color w:val="auto"/>
          <w:spacing w:val="0"/>
          <w:sz w:val="28"/>
          <w:szCs w:val="28"/>
          <w:lang w:val="en-US" w:eastAsia="zh-CN"/>
        </w:rPr>
        <w:t>七、响应供应商概况</w:t>
      </w:r>
      <w:bookmarkEnd w:id="105"/>
      <w:bookmarkEnd w:id="106"/>
      <w:bookmarkEnd w:id="107"/>
      <w:bookmarkEnd w:id="108"/>
      <w:bookmarkEnd w:id="109"/>
      <w:bookmarkEnd w:id="110"/>
      <w:bookmarkEnd w:id="111"/>
      <w:bookmarkEnd w:id="112"/>
      <w:bookmarkEnd w:id="113"/>
    </w:p>
    <w:p>
      <w:pPr>
        <w:keepNext w:val="0"/>
        <w:keepLines w:val="0"/>
        <w:pageBreakBefore w:val="0"/>
        <w:widowControl w:val="0"/>
        <w:numPr>
          <w:ilvl w:val="0"/>
          <w:numId w:val="3"/>
        </w:numPr>
        <w:kinsoku/>
        <w:wordWrap/>
        <w:overflowPunct/>
        <w:topLinePunct w:val="0"/>
        <w:autoSpaceDE/>
        <w:autoSpaceDN/>
        <w:bidi w:val="0"/>
        <w:adjustRightInd/>
        <w:snapToGrid/>
        <w:spacing w:after="63" w:afterLines="20" w:line="240" w:lineRule="auto"/>
        <w:ind w:right="0" w:rightChars="0"/>
        <w:jc w:val="both"/>
        <w:textAlignment w:val="auto"/>
        <w:outlineLvl w:val="2"/>
        <w:rPr>
          <w:rFonts w:hint="eastAsia" w:ascii="宋体" w:hAnsi="宋体" w:eastAsia="宋体" w:cs="宋体"/>
          <w:b/>
          <w:color w:val="auto"/>
          <w:spacing w:val="20"/>
          <w:sz w:val="28"/>
          <w:szCs w:val="28"/>
          <w:lang w:eastAsia="zh-CN"/>
        </w:rPr>
      </w:pPr>
      <w:bookmarkStart w:id="114" w:name="_Toc11095"/>
      <w:r>
        <w:rPr>
          <w:rFonts w:hint="eastAsia" w:asciiTheme="minorEastAsia" w:hAnsiTheme="minorEastAsia" w:cstheme="minorEastAsia"/>
          <w:b/>
          <w:bCs/>
          <w:color w:val="auto"/>
          <w:spacing w:val="0"/>
          <w:sz w:val="24"/>
          <w:szCs w:val="24"/>
          <w:lang w:val="en-US" w:eastAsia="zh-CN"/>
        </w:rPr>
        <w:t>基本情况表</w:t>
      </w:r>
      <w:bookmarkEnd w:id="114"/>
    </w:p>
    <w:tbl>
      <w:tblPr>
        <w:tblStyle w:val="33"/>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893"/>
        <w:gridCol w:w="2128"/>
        <w:gridCol w:w="115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供应商名称</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注册资金</w:t>
            </w:r>
          </w:p>
        </w:tc>
        <w:tc>
          <w:tcPr>
            <w:tcW w:w="3021"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成立时间</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注册地址</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邮政编码</w:t>
            </w:r>
          </w:p>
        </w:tc>
        <w:tc>
          <w:tcPr>
            <w:tcW w:w="3021"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员工总数</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联系方式</w:t>
            </w:r>
          </w:p>
        </w:tc>
        <w:tc>
          <w:tcPr>
            <w:tcW w:w="8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联系人</w:t>
            </w:r>
          </w:p>
        </w:tc>
        <w:tc>
          <w:tcPr>
            <w:tcW w:w="21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电话</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9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8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21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传真</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法定代表人</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（单位负责人）</w:t>
            </w:r>
          </w:p>
        </w:tc>
        <w:tc>
          <w:tcPr>
            <w:tcW w:w="8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姓名</w:t>
            </w:r>
          </w:p>
        </w:tc>
        <w:tc>
          <w:tcPr>
            <w:tcW w:w="21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电话</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基本账户开户银行</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基本账户银行帐号</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近三年营业额</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投标人关联企业情况（包括但不限于与投标人法定代表人（单位负责人）为同一人或者存在控股、管理关系的不同单位）</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备注</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bl>
    <w:p>
      <w:pPr>
        <w:spacing w:line="450" w:lineRule="atLeast"/>
        <w:jc w:val="left"/>
        <w:outlineLvl w:val="9"/>
        <w:rPr>
          <w:rFonts w:hint="default" w:ascii="宋体" w:hAnsi="宋体" w:eastAsia="宋体" w:cs="宋体"/>
          <w:b w:val="0"/>
          <w:bCs/>
          <w:color w:val="auto"/>
          <w:spacing w:val="20"/>
          <w:sz w:val="20"/>
          <w:szCs w:val="20"/>
          <w:lang w:val="en-US" w:eastAsia="zh-CN"/>
        </w:rPr>
      </w:pPr>
      <w:r>
        <w:rPr>
          <w:rFonts w:hint="eastAsia" w:ascii="宋体" w:hAnsi="宋体" w:eastAsia="宋体" w:cs="宋体"/>
          <w:b w:val="0"/>
          <w:bCs/>
          <w:color w:val="auto"/>
          <w:spacing w:val="20"/>
          <w:sz w:val="20"/>
          <w:szCs w:val="20"/>
          <w:lang w:val="en-US" w:eastAsia="zh-CN"/>
        </w:rPr>
        <w:t>注：1、响应供应商应根据第二章供应商须知11项要求在本表后附相关证明材料。2、后附财务审计报告（财务报表）、完税证明等资格材料。</w:t>
      </w:r>
    </w:p>
    <w:p>
      <w:pPr>
        <w:spacing w:line="450" w:lineRule="atLeast"/>
        <w:jc w:val="lef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 xml:space="preserve">投标单位（公章）： </w:t>
      </w:r>
    </w:p>
    <w:p>
      <w:pPr>
        <w:spacing w:line="450" w:lineRule="atLeast"/>
        <w:jc w:val="lef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投标人代表(盖章)：</w:t>
      </w:r>
    </w:p>
    <w:p>
      <w:pPr>
        <w:spacing w:line="450" w:lineRule="atLeast"/>
        <w:jc w:val="lef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填写日期：     年   月   日</w:t>
      </w:r>
    </w:p>
    <w:p>
      <w:pPr>
        <w:spacing w:line="450" w:lineRule="atLeast"/>
        <w:jc w:val="center"/>
        <w:outlineLvl w:val="9"/>
        <w:rPr>
          <w:rFonts w:hint="eastAsia" w:ascii="宋体" w:hAnsi="宋体" w:eastAsia="宋体" w:cs="宋体"/>
          <w:b/>
          <w:color w:val="auto"/>
          <w:spacing w:val="20"/>
          <w:sz w:val="28"/>
          <w:szCs w:val="28"/>
        </w:rPr>
      </w:pPr>
    </w:p>
    <w:p>
      <w:pPr>
        <w:spacing w:line="450" w:lineRule="atLeast"/>
        <w:outlineLvl w:val="9"/>
        <w:rPr>
          <w:rFonts w:hint="eastAsia" w:ascii="宋体" w:hAnsi="宋体" w:eastAsia="宋体" w:cs="宋体"/>
          <w:b/>
          <w:color w:val="auto"/>
          <w:sz w:val="28"/>
          <w:szCs w:val="28"/>
          <w:lang w:val="en-US" w:eastAsia="zh-CN"/>
        </w:rPr>
      </w:pPr>
    </w:p>
    <w:p>
      <w:pPr>
        <w:pStyle w:val="25"/>
        <w:bidi w:val="0"/>
        <w:outlineLvl w:val="9"/>
        <w:rPr>
          <w:rFonts w:hint="eastAsia"/>
          <w:color w:val="auto"/>
          <w:lang w:val="en-US" w:eastAsia="zh-CN"/>
        </w:rPr>
      </w:pPr>
    </w:p>
    <w:p>
      <w:pPr>
        <w:spacing w:line="450" w:lineRule="atLeast"/>
        <w:outlineLvl w:val="9"/>
        <w:rPr>
          <w:rFonts w:hint="eastAsia" w:ascii="宋体" w:hAnsi="宋体" w:eastAsia="宋体" w:cs="宋体"/>
          <w:b/>
          <w:color w:val="auto"/>
          <w:sz w:val="28"/>
          <w:szCs w:val="28"/>
          <w:lang w:val="en-US" w:eastAsia="zh-CN"/>
        </w:rPr>
      </w:pPr>
    </w:p>
    <w:p>
      <w:pPr>
        <w:spacing w:line="450" w:lineRule="atLeast"/>
        <w:outlineLvl w:val="9"/>
        <w:rPr>
          <w:rFonts w:hint="eastAsia" w:ascii="宋体" w:hAnsi="宋体" w:eastAsia="宋体" w:cs="宋体"/>
          <w:b/>
          <w:color w:val="auto"/>
          <w:sz w:val="28"/>
          <w:szCs w:val="28"/>
          <w:lang w:val="en-US" w:eastAsia="zh-CN"/>
        </w:rPr>
      </w:pPr>
    </w:p>
    <w:p>
      <w:pPr>
        <w:numPr>
          <w:ilvl w:val="0"/>
          <w:numId w:val="0"/>
        </w:numPr>
        <w:jc w:val="center"/>
        <w:outlineLvl w:val="9"/>
        <w:rPr>
          <w:rFonts w:hint="eastAsia" w:ascii="宋体" w:hAnsi="宋体" w:eastAsia="宋体" w:cs="宋体"/>
          <w:b/>
          <w:color w:val="auto"/>
          <w:spacing w:val="20"/>
          <w:sz w:val="28"/>
          <w:szCs w:val="28"/>
          <w:lang w:val="en-US" w:eastAsia="zh-CN"/>
        </w:rPr>
      </w:pPr>
      <w:bookmarkStart w:id="115" w:name="_Toc15909_WPSOffice_Level1"/>
      <w:bookmarkStart w:id="116" w:name="_Toc22272_WPSOffice_Level1"/>
      <w:bookmarkStart w:id="117" w:name="_Toc17147_WPSOffice_Level1"/>
      <w:bookmarkStart w:id="118" w:name="_Toc17925_WPSOffice_Level1"/>
      <w:bookmarkStart w:id="119" w:name="_Toc16014_WPSOffice_Level1"/>
      <w:bookmarkStart w:id="120" w:name="_Toc26386_WPSOffice_Level1"/>
      <w:bookmarkStart w:id="121" w:name="_Toc324_WPSOffice_Level1"/>
      <w:bookmarkStart w:id="122" w:name="_Toc20159_WPSOffice_Level1"/>
    </w:p>
    <w:p>
      <w:pPr>
        <w:pStyle w:val="25"/>
        <w:bidi w:val="0"/>
        <w:outlineLvl w:val="9"/>
        <w:rPr>
          <w:rFonts w:hint="eastAsia"/>
          <w:color w:val="auto"/>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after="63" w:afterLines="20" w:line="240" w:lineRule="auto"/>
        <w:ind w:right="0" w:rightChars="0"/>
        <w:jc w:val="both"/>
        <w:textAlignment w:val="auto"/>
        <w:outlineLvl w:val="2"/>
        <w:rPr>
          <w:rFonts w:hint="default" w:asciiTheme="minorEastAsia" w:hAnsiTheme="minorEastAsia" w:cstheme="minorEastAsia"/>
          <w:b/>
          <w:bCs/>
          <w:color w:val="auto"/>
          <w:spacing w:val="0"/>
          <w:sz w:val="24"/>
          <w:szCs w:val="24"/>
          <w:lang w:val="en-US" w:eastAsia="zh-CN"/>
        </w:rPr>
      </w:pPr>
      <w:bookmarkStart w:id="123" w:name="_Toc31613"/>
      <w:bookmarkStart w:id="124" w:name="_Toc8502"/>
      <w:r>
        <w:rPr>
          <w:rFonts w:hint="eastAsia" w:asciiTheme="minorEastAsia" w:hAnsiTheme="minorEastAsia" w:cstheme="minorEastAsia"/>
          <w:b/>
          <w:bCs/>
          <w:color w:val="auto"/>
          <w:spacing w:val="0"/>
          <w:sz w:val="24"/>
          <w:szCs w:val="24"/>
          <w:lang w:val="en-US" w:eastAsia="zh-CN"/>
        </w:rPr>
        <w:t>投标企业近三年业绩</w:t>
      </w:r>
    </w:p>
    <w:p>
      <w:pPr>
        <w:pStyle w:val="23"/>
        <w:bidi w:val="0"/>
        <w:rPr>
          <w:rFonts w:hint="eastAsia"/>
          <w:lang w:val="en-US" w:eastAsia="zh-CN"/>
        </w:rPr>
      </w:pPr>
    </w:p>
    <w:tbl>
      <w:tblPr>
        <w:tblStyle w:val="3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3"/>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r>
              <w:rPr>
                <w:rFonts w:hint="eastAsia" w:asciiTheme="minorEastAsia" w:hAnsiTheme="minorEastAsia" w:cstheme="minorEastAsia"/>
                <w:b w:val="0"/>
                <w:bCs w:val="0"/>
                <w:spacing w:val="0"/>
                <w:sz w:val="21"/>
                <w:szCs w:val="21"/>
                <w:vertAlign w:val="baseline"/>
                <w:lang w:val="en-US" w:eastAsia="zh-CN"/>
              </w:rPr>
              <w:t>设备名称</w:t>
            </w:r>
          </w:p>
        </w:tc>
        <w:tc>
          <w:tcPr>
            <w:tcW w:w="61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r>
              <w:rPr>
                <w:rFonts w:hint="eastAsia" w:asciiTheme="minorEastAsia" w:hAnsiTheme="minorEastAsia" w:cstheme="minorEastAsia"/>
                <w:b w:val="0"/>
                <w:bCs w:val="0"/>
                <w:spacing w:val="0"/>
                <w:sz w:val="21"/>
                <w:szCs w:val="21"/>
                <w:vertAlign w:val="baseline"/>
                <w:lang w:val="en-US" w:eastAsia="zh-CN"/>
              </w:rPr>
              <w:t>规格和型号</w:t>
            </w:r>
          </w:p>
        </w:tc>
        <w:tc>
          <w:tcPr>
            <w:tcW w:w="61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r>
              <w:rPr>
                <w:rFonts w:hint="eastAsia" w:asciiTheme="minorEastAsia" w:hAnsiTheme="minorEastAsia" w:cstheme="minorEastAsia"/>
                <w:b w:val="0"/>
                <w:bCs w:val="0"/>
                <w:spacing w:val="0"/>
                <w:sz w:val="21"/>
                <w:szCs w:val="21"/>
                <w:vertAlign w:val="baseline"/>
                <w:lang w:val="en-US" w:eastAsia="zh-CN"/>
              </w:rPr>
              <w:t>项目名称</w:t>
            </w:r>
          </w:p>
        </w:tc>
        <w:tc>
          <w:tcPr>
            <w:tcW w:w="61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r>
              <w:rPr>
                <w:rFonts w:hint="eastAsia" w:asciiTheme="minorEastAsia" w:hAnsiTheme="minorEastAsia" w:cstheme="minorEastAsia"/>
                <w:b w:val="0"/>
                <w:bCs w:val="0"/>
                <w:spacing w:val="0"/>
                <w:sz w:val="21"/>
                <w:szCs w:val="21"/>
                <w:vertAlign w:val="baseline"/>
                <w:lang w:val="en-US" w:eastAsia="zh-CN"/>
              </w:rPr>
              <w:t>买方名称</w:t>
            </w:r>
          </w:p>
        </w:tc>
        <w:tc>
          <w:tcPr>
            <w:tcW w:w="61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r>
              <w:rPr>
                <w:rFonts w:hint="eastAsia" w:asciiTheme="minorEastAsia" w:hAnsiTheme="minorEastAsia" w:cstheme="minorEastAsia"/>
                <w:b w:val="0"/>
                <w:bCs w:val="0"/>
                <w:spacing w:val="0"/>
                <w:sz w:val="21"/>
                <w:szCs w:val="21"/>
                <w:vertAlign w:val="baseline"/>
                <w:lang w:val="en-US" w:eastAsia="zh-CN"/>
              </w:rPr>
              <w:t>买方联系人及电话</w:t>
            </w:r>
          </w:p>
        </w:tc>
        <w:tc>
          <w:tcPr>
            <w:tcW w:w="61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r>
              <w:rPr>
                <w:rFonts w:hint="eastAsia" w:asciiTheme="minorEastAsia" w:hAnsiTheme="minorEastAsia" w:cstheme="minorEastAsia"/>
                <w:b w:val="0"/>
                <w:bCs w:val="0"/>
                <w:spacing w:val="0"/>
                <w:sz w:val="21"/>
                <w:szCs w:val="21"/>
                <w:vertAlign w:val="baseline"/>
                <w:lang w:val="en-US" w:eastAsia="zh-CN"/>
              </w:rPr>
              <w:t>合同价格</w:t>
            </w:r>
          </w:p>
        </w:tc>
        <w:tc>
          <w:tcPr>
            <w:tcW w:w="61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2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r>
              <w:rPr>
                <w:rFonts w:hint="eastAsia" w:asciiTheme="minorEastAsia" w:hAnsiTheme="minorEastAsia" w:cstheme="minorEastAsia"/>
                <w:b w:val="0"/>
                <w:bCs w:val="0"/>
                <w:spacing w:val="0"/>
                <w:sz w:val="21"/>
                <w:szCs w:val="21"/>
                <w:vertAlign w:val="baseline"/>
                <w:lang w:val="en-US" w:eastAsia="zh-CN"/>
              </w:rPr>
              <w:t>项目概况及投标人履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r>
              <w:rPr>
                <w:rFonts w:hint="eastAsia" w:asciiTheme="minorEastAsia" w:hAnsiTheme="minorEastAsia" w:cstheme="minorEastAsia"/>
                <w:b w:val="0"/>
                <w:bCs w:val="0"/>
                <w:spacing w:val="0"/>
                <w:sz w:val="21"/>
                <w:szCs w:val="21"/>
                <w:vertAlign w:val="baseline"/>
                <w:lang w:val="en-US" w:eastAsia="zh-CN"/>
              </w:rPr>
              <w:t>约情况</w:t>
            </w:r>
          </w:p>
        </w:tc>
        <w:tc>
          <w:tcPr>
            <w:tcW w:w="61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4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r>
              <w:rPr>
                <w:rFonts w:hint="eastAsia" w:asciiTheme="minorEastAsia" w:hAnsiTheme="minorEastAsia" w:cstheme="minorEastAsia"/>
                <w:b w:val="0"/>
                <w:bCs w:val="0"/>
                <w:spacing w:val="0"/>
                <w:sz w:val="21"/>
                <w:szCs w:val="21"/>
                <w:vertAlign w:val="baseline"/>
                <w:lang w:val="en-US" w:eastAsia="zh-CN"/>
              </w:rPr>
              <w:t>备注</w:t>
            </w:r>
          </w:p>
        </w:tc>
        <w:tc>
          <w:tcPr>
            <w:tcW w:w="61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Theme="minorEastAsia" w:hAnsiTheme="minorEastAsia" w:cstheme="minorEastAsia"/>
                <w:b w:val="0"/>
                <w:bCs w:val="0"/>
                <w:spacing w:val="0"/>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Theme="minorEastAsia" w:hAnsiTheme="minorEastAsia" w:cstheme="minorEastAsia"/>
          <w:b w:val="0"/>
          <w:bCs w:val="0"/>
          <w:spacing w:val="0"/>
          <w:sz w:val="21"/>
          <w:szCs w:val="21"/>
          <w:vertAlign w:val="baseline"/>
          <w:lang w:val="en-US" w:eastAsia="zh-CN"/>
        </w:rPr>
      </w:pPr>
      <w:r>
        <w:rPr>
          <w:rFonts w:hint="eastAsia" w:asciiTheme="minorEastAsia" w:hAnsiTheme="minorEastAsia" w:cstheme="minorEastAsia"/>
          <w:b w:val="0"/>
          <w:bCs w:val="0"/>
          <w:spacing w:val="0"/>
          <w:sz w:val="21"/>
          <w:szCs w:val="21"/>
          <w:vertAlign w:val="baseline"/>
          <w:lang w:val="en-US" w:eastAsia="zh-CN"/>
        </w:rPr>
        <w:t>注：1．投标人应根据竞争性磋商文件要求在本表后附采购合同等证明材料。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default"/>
          <w:lang w:val="en-US" w:eastAsia="zh-CN"/>
        </w:rPr>
        <w:sectPr>
          <w:pgSz w:w="11906" w:h="16838"/>
          <w:pgMar w:top="1440" w:right="1800" w:bottom="1440" w:left="1800" w:header="851" w:footer="992" w:gutter="0"/>
          <w:pgNumType w:fmt="decimal"/>
          <w:cols w:space="720" w:num="1"/>
          <w:docGrid w:linePitch="315"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r>
        <w:rPr>
          <w:rFonts w:hint="eastAsia" w:asciiTheme="minorEastAsia" w:hAnsiTheme="minorEastAsia" w:cstheme="minorEastAsia"/>
          <w:b/>
          <w:bCs/>
          <w:color w:val="auto"/>
          <w:spacing w:val="0"/>
          <w:sz w:val="28"/>
          <w:szCs w:val="28"/>
          <w:lang w:val="en-US" w:eastAsia="zh-CN"/>
        </w:rPr>
        <w:t>八、</w:t>
      </w:r>
      <w:bookmarkEnd w:id="123"/>
      <w:bookmarkEnd w:id="124"/>
      <w:r>
        <w:rPr>
          <w:rFonts w:hint="eastAsia" w:asciiTheme="minorEastAsia" w:hAnsiTheme="minorEastAsia" w:cstheme="minorEastAsia"/>
          <w:b/>
          <w:bCs/>
          <w:color w:val="auto"/>
          <w:spacing w:val="0"/>
          <w:sz w:val="28"/>
          <w:szCs w:val="28"/>
          <w:lang w:val="en-US" w:eastAsia="zh-CN"/>
        </w:rPr>
        <w:t>企业信誉情况</w:t>
      </w:r>
    </w:p>
    <w:p>
      <w:pPr>
        <w:pStyle w:val="25"/>
        <w:bidi w:val="0"/>
        <w:jc w:val="left"/>
        <w:outlineLvl w:val="9"/>
        <w:rPr>
          <w:rFonts w:hint="eastAsia"/>
          <w:b w:val="0"/>
          <w:bCs/>
          <w:color w:val="auto"/>
          <w:sz w:val="21"/>
          <w:szCs w:val="21"/>
          <w:lang w:val="en-US" w:eastAsia="zh-CN"/>
        </w:rPr>
      </w:pPr>
      <w:r>
        <w:rPr>
          <w:rFonts w:hint="eastAsia" w:ascii="宋体" w:hAnsi="宋体"/>
          <w:b w:val="0"/>
          <w:bCs/>
          <w:color w:val="auto"/>
          <w:sz w:val="21"/>
          <w:szCs w:val="21"/>
          <w:lang w:val="en-US" w:eastAsia="zh-CN"/>
        </w:rPr>
        <w:t>注：投标人应根据供应商须知要求</w:t>
      </w:r>
      <w:r>
        <w:rPr>
          <w:rFonts w:hint="eastAsia"/>
          <w:b w:val="0"/>
          <w:bCs/>
          <w:color w:val="auto"/>
          <w:sz w:val="21"/>
          <w:szCs w:val="21"/>
          <w:lang w:val="en-US" w:eastAsia="zh-CN"/>
        </w:rPr>
        <w:t>提供</w:t>
      </w:r>
    </w:p>
    <w:p>
      <w:pPr>
        <w:pStyle w:val="25"/>
        <w:bidi w:val="0"/>
        <w:jc w:val="left"/>
        <w:outlineLvl w:val="9"/>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（1）失信被执行人：信用中国官（www.creditchina.gov.cn）</w:t>
      </w:r>
    </w:p>
    <w:p>
      <w:pPr>
        <w:pStyle w:val="25"/>
        <w:bidi w:val="0"/>
        <w:jc w:val="left"/>
        <w:outlineLvl w:val="9"/>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（2）企业经营异常名录：国家企业信用信息公示系（</w:t>
      </w:r>
      <w:r>
        <w:rPr>
          <w:rFonts w:hint="eastAsia" w:ascii="宋体" w:hAnsi="宋体"/>
          <w:b w:val="0"/>
          <w:bCs/>
          <w:color w:val="auto"/>
          <w:sz w:val="21"/>
          <w:szCs w:val="21"/>
          <w:lang w:val="en-US" w:eastAsia="zh-CN"/>
        </w:rPr>
        <w:fldChar w:fldCharType="begin"/>
      </w:r>
      <w:r>
        <w:rPr>
          <w:rFonts w:hint="eastAsia" w:ascii="宋体" w:hAnsi="宋体"/>
          <w:b w:val="0"/>
          <w:bCs/>
          <w:color w:val="auto"/>
          <w:sz w:val="21"/>
          <w:szCs w:val="21"/>
          <w:lang w:val="en-US" w:eastAsia="zh-CN"/>
        </w:rPr>
        <w:instrText xml:space="preserve"> HYPERLINK "http://www.gsxt.gov.cn/index.html" </w:instrText>
      </w:r>
      <w:r>
        <w:rPr>
          <w:rFonts w:hint="eastAsia" w:ascii="宋体" w:hAnsi="宋体"/>
          <w:b w:val="0"/>
          <w:bCs/>
          <w:color w:val="auto"/>
          <w:sz w:val="21"/>
          <w:szCs w:val="21"/>
          <w:lang w:val="en-US" w:eastAsia="zh-CN"/>
        </w:rPr>
        <w:fldChar w:fldCharType="separate"/>
      </w:r>
      <w:r>
        <w:rPr>
          <w:rFonts w:hint="eastAsia" w:ascii="宋体" w:hAnsi="宋体"/>
          <w:b w:val="0"/>
          <w:bCs/>
          <w:color w:val="auto"/>
          <w:sz w:val="21"/>
          <w:szCs w:val="21"/>
          <w:lang w:val="en-US" w:eastAsia="zh-CN"/>
        </w:rPr>
        <w:t>http://www.gsxt.gov.cn/index.html</w:t>
      </w:r>
      <w:r>
        <w:rPr>
          <w:rFonts w:hint="eastAsia" w:ascii="宋体" w:hAnsi="宋体"/>
          <w:b w:val="0"/>
          <w:bCs/>
          <w:color w:val="auto"/>
          <w:sz w:val="21"/>
          <w:szCs w:val="21"/>
          <w:lang w:val="en-US" w:eastAsia="zh-CN"/>
        </w:rPr>
        <w:fldChar w:fldCharType="end"/>
      </w:r>
      <w:r>
        <w:rPr>
          <w:rFonts w:hint="eastAsia" w:ascii="宋体" w:hAnsi="宋体"/>
          <w:b w:val="0"/>
          <w:bCs/>
          <w:color w:val="auto"/>
          <w:sz w:val="21"/>
          <w:szCs w:val="21"/>
          <w:lang w:val="en-US" w:eastAsia="zh-CN"/>
        </w:rPr>
        <w:t>）</w:t>
      </w:r>
    </w:p>
    <w:p>
      <w:pPr>
        <w:pStyle w:val="25"/>
        <w:bidi w:val="0"/>
        <w:jc w:val="left"/>
        <w:outlineLvl w:val="9"/>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（3）重大税收违法案件当事人名单：信用中国官网（www.creditchina.gov.cn）</w:t>
      </w:r>
    </w:p>
    <w:p>
      <w:pPr>
        <w:pStyle w:val="25"/>
        <w:bidi w:val="0"/>
        <w:jc w:val="left"/>
        <w:outlineLvl w:val="9"/>
        <w:rPr>
          <w:rFonts w:hint="eastAsia"/>
          <w:color w:val="auto"/>
          <w:lang w:val="en-US" w:eastAsia="zh-CN"/>
        </w:rPr>
      </w:pPr>
      <w:r>
        <w:rPr>
          <w:rFonts w:hint="eastAsia" w:ascii="宋体" w:hAnsi="宋体"/>
          <w:b w:val="0"/>
          <w:bCs/>
          <w:color w:val="auto"/>
          <w:sz w:val="21"/>
          <w:szCs w:val="21"/>
          <w:lang w:val="en-US" w:eastAsia="zh-CN"/>
        </w:rPr>
        <w:t>（4）政府采购严重违法失信行为记录名单：中国政府采购官网（www.ccgp.gov.cn）查询记录</w:t>
      </w: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default"/>
          <w:color w:val="auto"/>
          <w:lang w:val="en-US" w:eastAsia="zh-CN"/>
        </w:rPr>
      </w:pPr>
    </w:p>
    <w:p>
      <w:pPr>
        <w:pStyle w:val="136"/>
        <w:jc w:val="center"/>
        <w:outlineLvl w:val="9"/>
        <w:rPr>
          <w:rFonts w:hint="eastAsia"/>
          <w:color w:val="auto"/>
          <w:sz w:val="30"/>
          <w:szCs w:val="30"/>
        </w:rPr>
      </w:pPr>
      <w:bookmarkStart w:id="125" w:name="_Toc12876"/>
    </w:p>
    <w:bookmarkEnd w:id="125"/>
    <w:p>
      <w:pPr>
        <w:spacing w:line="460" w:lineRule="exact"/>
        <w:ind w:right="-153" w:rightChars="-73"/>
        <w:jc w:val="center"/>
        <w:outlineLvl w:val="9"/>
        <w:rPr>
          <w:rFonts w:hint="eastAsia" w:ascii="宋体" w:hAnsi="宋体" w:eastAsia="宋体" w:cs="宋体"/>
          <w:b/>
          <w:bCs w:val="0"/>
          <w:color w:val="auto"/>
          <w:sz w:val="48"/>
          <w:szCs w:val="48"/>
          <w:lang w:eastAsia="zh-CN"/>
        </w:rPr>
      </w:pPr>
      <w:r>
        <w:rPr>
          <w:rFonts w:hint="eastAsia" w:ascii="宋体" w:hAnsi="宋体" w:eastAsia="宋体" w:cs="宋体"/>
          <w:b/>
          <w:bCs w:val="0"/>
          <w:color w:val="auto"/>
          <w:sz w:val="28"/>
          <w:szCs w:val="28"/>
          <w:lang w:eastAsia="zh-CN"/>
        </w:rPr>
        <w:t>无重大违法记录说明书</w:t>
      </w:r>
    </w:p>
    <w:p>
      <w:pPr>
        <w:spacing w:line="360" w:lineRule="auto"/>
        <w:ind w:right="-153" w:rightChars="-73"/>
        <w:outlineLvl w:val="9"/>
        <w:rPr>
          <w:rFonts w:hint="eastAsia" w:ascii="楷体_GB2312" w:hAnsi="宋体" w:eastAsia="楷体_GB2312"/>
          <w:bCs/>
          <w:color w:val="auto"/>
          <w:sz w:val="28"/>
          <w:szCs w:val="28"/>
          <w:lang w:eastAsia="zh-CN"/>
        </w:rPr>
      </w:pPr>
    </w:p>
    <w:p>
      <w:pPr>
        <w:spacing w:line="360" w:lineRule="auto"/>
        <w:ind w:right="-153" w:rightChars="-73"/>
        <w:outlineLvl w:val="9"/>
        <w:rPr>
          <w:rFonts w:ascii="楷体_GB2312" w:hAnsi="宋体" w:eastAsia="楷体_GB2312"/>
          <w:bCs/>
          <w:color w:val="auto"/>
          <w:sz w:val="28"/>
          <w:szCs w:val="28"/>
        </w:rPr>
      </w:pPr>
      <w:r>
        <w:rPr>
          <w:rFonts w:hint="eastAsia" w:ascii="楷体_GB2312" w:hAnsi="宋体" w:eastAsia="楷体_GB2312"/>
          <w:bCs/>
          <w:color w:val="auto"/>
          <w:sz w:val="28"/>
          <w:szCs w:val="28"/>
          <w:lang w:eastAsia="zh-CN"/>
        </w:rPr>
        <w:t>库车市教育和教学技术局</w:t>
      </w:r>
      <w:r>
        <w:rPr>
          <w:rFonts w:hint="eastAsia" w:ascii="楷体_GB2312" w:hAnsi="宋体" w:eastAsia="楷体_GB2312"/>
          <w:bCs/>
          <w:color w:val="auto"/>
          <w:sz w:val="28"/>
          <w:szCs w:val="28"/>
        </w:rPr>
        <w:t>：</w:t>
      </w:r>
    </w:p>
    <w:p>
      <w:pPr>
        <w:spacing w:line="360" w:lineRule="auto"/>
        <w:ind w:firstLine="560" w:firstLineChars="200"/>
        <w:outlineLvl w:val="9"/>
        <w:rPr>
          <w:rFonts w:ascii="楷体_GB2312" w:hAnsi="宋体" w:eastAsia="楷体_GB2312"/>
          <w:bCs/>
          <w:color w:val="auto"/>
          <w:sz w:val="28"/>
          <w:szCs w:val="28"/>
        </w:rPr>
      </w:pPr>
    </w:p>
    <w:p>
      <w:pPr>
        <w:spacing w:line="360" w:lineRule="auto"/>
        <w:ind w:firstLine="560" w:firstLineChars="200"/>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我公司参与</w:t>
      </w:r>
      <w:r>
        <w:rPr>
          <w:rFonts w:ascii="楷体_GB2312" w:hAnsi="宋体" w:eastAsia="楷体_GB2312"/>
          <w:bCs/>
          <w:color w:val="auto"/>
          <w:sz w:val="28"/>
          <w:szCs w:val="28"/>
          <w:u w:val="single"/>
        </w:rPr>
        <w:t xml:space="preserve">                          </w:t>
      </w:r>
      <w:r>
        <w:rPr>
          <w:rFonts w:hint="eastAsia" w:ascii="楷体_GB2312" w:hAnsi="宋体" w:eastAsia="楷体_GB2312"/>
          <w:bCs/>
          <w:color w:val="auto"/>
          <w:sz w:val="28"/>
          <w:szCs w:val="28"/>
        </w:rPr>
        <w:t>（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360" w:lineRule="auto"/>
        <w:ind w:firstLine="560" w:firstLineChars="200"/>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特此声明</w:t>
      </w:r>
      <w:r>
        <w:rPr>
          <w:rFonts w:ascii="楷体_GB2312" w:hAnsi="宋体" w:eastAsia="楷体_GB2312"/>
          <w:bCs/>
          <w:color w:val="auto"/>
          <w:sz w:val="28"/>
          <w:szCs w:val="28"/>
        </w:rPr>
        <w:t xml:space="preserve">  </w:t>
      </w:r>
    </w:p>
    <w:p>
      <w:pPr>
        <w:spacing w:line="360" w:lineRule="auto"/>
        <w:ind w:firstLine="560" w:firstLineChars="200"/>
        <w:outlineLvl w:val="9"/>
        <w:rPr>
          <w:rFonts w:ascii="楷体_GB2312" w:hAnsi="宋体" w:eastAsia="楷体_GB2312"/>
          <w:bCs/>
          <w:color w:val="auto"/>
          <w:sz w:val="28"/>
          <w:szCs w:val="28"/>
        </w:rPr>
      </w:pPr>
    </w:p>
    <w:p>
      <w:pPr>
        <w:spacing w:line="360" w:lineRule="auto"/>
        <w:ind w:firstLine="560" w:firstLineChars="200"/>
        <w:outlineLvl w:val="9"/>
        <w:rPr>
          <w:rFonts w:ascii="楷体_GB2312" w:hAnsi="宋体" w:eastAsia="楷体_GB2312"/>
          <w:bCs/>
          <w:color w:val="auto"/>
          <w:sz w:val="28"/>
          <w:szCs w:val="28"/>
        </w:rPr>
      </w:pPr>
    </w:p>
    <w:p>
      <w:pPr>
        <w:spacing w:line="360" w:lineRule="auto"/>
        <w:jc w:val="left"/>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声明</w:t>
      </w:r>
      <w:r>
        <w:rPr>
          <w:rFonts w:hint="eastAsia" w:ascii="楷体_GB2312" w:hAnsi="宋体" w:eastAsia="楷体_GB2312"/>
          <w:bCs/>
          <w:color w:val="auto"/>
          <w:sz w:val="28"/>
          <w:szCs w:val="28"/>
          <w:lang w:val="en-US" w:eastAsia="zh-CN"/>
        </w:rPr>
        <w:t>投标人</w:t>
      </w:r>
      <w:r>
        <w:rPr>
          <w:rFonts w:hint="eastAsia" w:ascii="楷体_GB2312" w:hAnsi="宋体" w:eastAsia="楷体_GB2312"/>
          <w:bCs/>
          <w:color w:val="auto"/>
          <w:sz w:val="28"/>
          <w:szCs w:val="28"/>
        </w:rPr>
        <w:t>全称（公章）：</w:t>
      </w:r>
    </w:p>
    <w:p>
      <w:pPr>
        <w:spacing w:line="360" w:lineRule="auto"/>
        <w:jc w:val="left"/>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法定代表人或授权代表（签字）：</w:t>
      </w:r>
    </w:p>
    <w:p>
      <w:pPr>
        <w:spacing w:line="360" w:lineRule="auto"/>
        <w:jc w:val="left"/>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日期：</w:t>
      </w:r>
      <w:r>
        <w:rPr>
          <w:rFonts w:ascii="楷体_GB2312" w:hAnsi="宋体" w:eastAsia="楷体_GB2312"/>
          <w:bCs/>
          <w:color w:val="auto"/>
          <w:sz w:val="28"/>
          <w:szCs w:val="28"/>
        </w:rPr>
        <w:t xml:space="preserve">  </w:t>
      </w:r>
      <w:r>
        <w:rPr>
          <w:rFonts w:hint="eastAsia" w:ascii="楷体_GB2312" w:hAnsi="宋体" w:eastAsia="楷体_GB2312"/>
          <w:bCs/>
          <w:color w:val="auto"/>
          <w:sz w:val="28"/>
          <w:szCs w:val="28"/>
        </w:rPr>
        <w:t>年</w:t>
      </w:r>
      <w:r>
        <w:rPr>
          <w:rFonts w:ascii="楷体_GB2312" w:hAnsi="宋体" w:eastAsia="楷体_GB2312"/>
          <w:bCs/>
          <w:color w:val="auto"/>
          <w:sz w:val="28"/>
          <w:szCs w:val="28"/>
        </w:rPr>
        <w:t xml:space="preserve">   </w:t>
      </w:r>
      <w:r>
        <w:rPr>
          <w:rFonts w:hint="eastAsia" w:ascii="楷体_GB2312" w:hAnsi="宋体" w:eastAsia="楷体_GB2312"/>
          <w:bCs/>
          <w:color w:val="auto"/>
          <w:sz w:val="28"/>
          <w:szCs w:val="28"/>
        </w:rPr>
        <w:t>月</w:t>
      </w:r>
      <w:r>
        <w:rPr>
          <w:rFonts w:ascii="楷体_GB2312" w:hAnsi="宋体" w:eastAsia="楷体_GB2312"/>
          <w:bCs/>
          <w:color w:val="auto"/>
          <w:sz w:val="28"/>
          <w:szCs w:val="28"/>
        </w:rPr>
        <w:t xml:space="preserve">  </w:t>
      </w:r>
      <w:r>
        <w:rPr>
          <w:rFonts w:hint="eastAsia" w:ascii="楷体_GB2312" w:hAnsi="宋体" w:eastAsia="楷体_GB2312"/>
          <w:bCs/>
          <w:color w:val="auto"/>
          <w:sz w:val="28"/>
          <w:szCs w:val="28"/>
        </w:rPr>
        <w:t>日</w:t>
      </w:r>
      <w:r>
        <w:rPr>
          <w:rFonts w:ascii="楷体_GB2312" w:hAnsi="宋体" w:eastAsia="楷体_GB2312"/>
          <w:bCs/>
          <w:color w:val="auto"/>
          <w:sz w:val="28"/>
          <w:szCs w:val="28"/>
        </w:rPr>
        <w:t xml:space="preserve">  </w:t>
      </w:r>
    </w:p>
    <w:p>
      <w:pPr>
        <w:spacing w:line="460" w:lineRule="exact"/>
        <w:outlineLvl w:val="9"/>
        <w:rPr>
          <w:rFonts w:ascii="楷体_GB2312" w:hAnsi="宋体" w:eastAsia="楷体_GB2312"/>
          <w:bCs/>
          <w:color w:val="auto"/>
          <w:szCs w:val="21"/>
        </w:rPr>
      </w:pPr>
    </w:p>
    <w:p>
      <w:pPr>
        <w:spacing w:line="460" w:lineRule="exact"/>
        <w:outlineLvl w:val="9"/>
        <w:rPr>
          <w:rFonts w:hint="eastAsia" w:ascii="宋体" w:hAnsi="宋体" w:cs="宋体"/>
          <w:b w:val="0"/>
          <w:bCs w:val="0"/>
          <w:color w:val="auto"/>
          <w:spacing w:val="0"/>
          <w:sz w:val="21"/>
          <w:szCs w:val="21"/>
          <w:vertAlign w:val="baseline"/>
          <w:lang w:val="en-US" w:eastAsia="zh-CN"/>
        </w:rPr>
        <w:sectPr>
          <w:pgSz w:w="11906" w:h="16838"/>
          <w:pgMar w:top="1440" w:right="1800" w:bottom="1440" w:left="1800" w:header="851" w:footer="992" w:gutter="0"/>
          <w:pgNumType w:fmt="decimal"/>
          <w:cols w:space="720" w:num="1"/>
          <w:docGrid w:linePitch="315" w:charSpace="0"/>
        </w:sectPr>
      </w:pPr>
      <w:r>
        <w:rPr>
          <w:rFonts w:hint="eastAsia" w:ascii="楷体_GB2312" w:hAnsi="宋体" w:eastAsia="楷体_GB2312"/>
          <w:bCs/>
          <w:color w:val="auto"/>
          <w:sz w:val="24"/>
        </w:rPr>
        <w:t>附注</w:t>
      </w:r>
      <w:r>
        <w:rPr>
          <w:rFonts w:hint="eastAsia" w:ascii="楷体_GB2312" w:hAnsi="宋体" w:eastAsia="楷体_GB2312"/>
          <w:color w:val="auto"/>
          <w:sz w:val="24"/>
        </w:rPr>
        <w:t>：</w:t>
      </w:r>
      <w:r>
        <w:rPr>
          <w:rFonts w:hint="eastAsia" w:ascii="楷体_GB2312" w:hAnsi="宋体" w:eastAsia="楷体_GB2312"/>
          <w:color w:val="auto"/>
          <w:sz w:val="24"/>
          <w:u w:val="single"/>
        </w:rPr>
        <w:t>▲本声明书格式不得修改</w:t>
      </w:r>
    </w:p>
    <w:p>
      <w:pPr>
        <w:pStyle w:val="136"/>
        <w:jc w:val="center"/>
        <w:outlineLvl w:val="9"/>
        <w:rPr>
          <w:color w:val="auto"/>
          <w:sz w:val="48"/>
          <w:szCs w:val="48"/>
        </w:rPr>
      </w:pPr>
      <w:bookmarkStart w:id="126" w:name="_Toc17841"/>
      <w:r>
        <w:rPr>
          <w:rFonts w:hint="eastAsia" w:asciiTheme="minorEastAsia" w:hAnsiTheme="minorEastAsia" w:eastAsiaTheme="minorEastAsia" w:cstheme="minorEastAsia"/>
          <w:b/>
          <w:bCs/>
          <w:color w:val="auto"/>
          <w:spacing w:val="0"/>
          <w:kern w:val="2"/>
          <w:sz w:val="28"/>
          <w:szCs w:val="28"/>
          <w:lang w:val="en-US" w:eastAsia="zh-CN" w:bidi="ar-SA"/>
        </w:rPr>
        <w:t>诚信投标承诺书</w:t>
      </w:r>
      <w:bookmarkEnd w:id="126"/>
    </w:p>
    <w:p>
      <w:pPr>
        <w:spacing w:line="360" w:lineRule="auto"/>
        <w:ind w:right="-153" w:rightChars="-73"/>
        <w:outlineLvl w:val="9"/>
        <w:rPr>
          <w:rFonts w:ascii="宋体"/>
          <w:color w:val="auto"/>
          <w:sz w:val="28"/>
          <w:szCs w:val="28"/>
        </w:rPr>
      </w:pPr>
    </w:p>
    <w:p>
      <w:pPr>
        <w:spacing w:line="360" w:lineRule="auto"/>
        <w:ind w:right="-153" w:rightChars="-73"/>
        <w:outlineLvl w:val="9"/>
        <w:rPr>
          <w:rFonts w:ascii="宋体"/>
          <w:color w:val="auto"/>
          <w:sz w:val="28"/>
          <w:szCs w:val="28"/>
        </w:rPr>
      </w:pPr>
      <w:r>
        <w:rPr>
          <w:rFonts w:hint="eastAsia" w:ascii="宋体" w:hAnsi="宋体"/>
          <w:color w:val="auto"/>
          <w:sz w:val="28"/>
          <w:szCs w:val="28"/>
          <w:lang w:eastAsia="zh-CN"/>
        </w:rPr>
        <w:t>库车市教育和教学技术局</w:t>
      </w:r>
      <w:r>
        <w:rPr>
          <w:rFonts w:hint="eastAsia" w:ascii="宋体" w:hAnsi="宋体"/>
          <w:color w:val="auto"/>
          <w:sz w:val="28"/>
          <w:szCs w:val="28"/>
        </w:rPr>
        <w:t>：</w:t>
      </w:r>
    </w:p>
    <w:p>
      <w:pPr>
        <w:spacing w:line="360" w:lineRule="auto"/>
        <w:ind w:right="-153" w:rightChars="-73" w:firstLine="560" w:firstLineChars="200"/>
        <w:outlineLvl w:val="9"/>
        <w:rPr>
          <w:rFonts w:ascii="宋体"/>
          <w:color w:val="auto"/>
          <w:sz w:val="28"/>
          <w:szCs w:val="28"/>
        </w:rPr>
      </w:pPr>
      <w:r>
        <w:rPr>
          <w:rFonts w:hint="eastAsia" w:ascii="宋体" w:hAnsi="宋体"/>
          <w:color w:val="auto"/>
          <w:sz w:val="28"/>
          <w:szCs w:val="28"/>
        </w:rPr>
        <w:t>我公司参与</w:t>
      </w:r>
      <w:r>
        <w:rPr>
          <w:rFonts w:ascii="宋体" w:hAnsi="宋体"/>
          <w:color w:val="auto"/>
          <w:sz w:val="28"/>
          <w:szCs w:val="28"/>
          <w:u w:val="single"/>
        </w:rPr>
        <w:t xml:space="preserve">                          </w:t>
      </w:r>
      <w:r>
        <w:rPr>
          <w:rFonts w:hint="eastAsia" w:ascii="宋体" w:hAnsi="宋体"/>
          <w:color w:val="auto"/>
          <w:sz w:val="28"/>
          <w:szCs w:val="28"/>
        </w:rPr>
        <w:t>（项目名称、编号）投标，本公司郑重承诺：</w:t>
      </w:r>
    </w:p>
    <w:p>
      <w:pPr>
        <w:spacing w:line="360" w:lineRule="auto"/>
        <w:ind w:firstLine="560" w:firstLineChars="200"/>
        <w:outlineLvl w:val="9"/>
        <w:rPr>
          <w:rFonts w:ascii="宋体"/>
          <w:color w:val="auto"/>
          <w:sz w:val="28"/>
          <w:szCs w:val="28"/>
        </w:rPr>
      </w:pPr>
      <w:bookmarkStart w:id="127" w:name="_Toc3487"/>
      <w:r>
        <w:rPr>
          <w:rFonts w:ascii="宋体" w:hAnsi="宋体"/>
          <w:color w:val="auto"/>
          <w:sz w:val="28"/>
          <w:szCs w:val="28"/>
        </w:rPr>
        <w:t>1</w:t>
      </w:r>
      <w:r>
        <w:rPr>
          <w:rFonts w:hint="eastAsia" w:ascii="宋体" w:hAnsi="宋体"/>
          <w:color w:val="auto"/>
          <w:sz w:val="28"/>
          <w:szCs w:val="28"/>
        </w:rPr>
        <w:t>、自觉遵守</w:t>
      </w:r>
      <w:r>
        <w:rPr>
          <w:rFonts w:hint="eastAsia" w:ascii="宋体" w:hAnsi="宋体" w:cs="Univers LT Std 47 Cn Lt"/>
          <w:color w:val="auto"/>
          <w:sz w:val="28"/>
          <w:szCs w:val="28"/>
        </w:rPr>
        <w:t>《中华人民共和国政府采购法》等法律法规</w:t>
      </w:r>
      <w:r>
        <w:rPr>
          <w:rFonts w:hint="eastAsia" w:ascii="宋体" w:hAnsi="宋体"/>
          <w:color w:val="auto"/>
          <w:sz w:val="28"/>
          <w:szCs w:val="28"/>
        </w:rPr>
        <w:t>的规定；</w:t>
      </w:r>
      <w:bookmarkEnd w:id="127"/>
    </w:p>
    <w:p>
      <w:pPr>
        <w:snapToGrid w:val="0"/>
        <w:spacing w:line="360" w:lineRule="auto"/>
        <w:ind w:firstLine="560" w:firstLineChars="200"/>
        <w:outlineLvl w:val="9"/>
        <w:rPr>
          <w:rFonts w:ascii="宋体"/>
          <w:color w:val="auto"/>
          <w:sz w:val="28"/>
          <w:szCs w:val="28"/>
        </w:rPr>
      </w:pPr>
      <w:bookmarkStart w:id="128" w:name="_Toc5410"/>
      <w:r>
        <w:rPr>
          <w:rFonts w:ascii="宋体" w:hAnsi="宋体"/>
          <w:color w:val="auto"/>
          <w:sz w:val="28"/>
          <w:szCs w:val="28"/>
        </w:rPr>
        <w:t>2</w:t>
      </w:r>
      <w:r>
        <w:rPr>
          <w:rFonts w:hint="eastAsia" w:ascii="宋体" w:hAnsi="宋体"/>
          <w:color w:val="auto"/>
          <w:sz w:val="28"/>
          <w:szCs w:val="28"/>
        </w:rPr>
        <w:t>、报价文件中所提供的材料及技术参数真实有效，不存在虚假应标；</w:t>
      </w:r>
      <w:bookmarkEnd w:id="128"/>
    </w:p>
    <w:p>
      <w:pPr>
        <w:snapToGrid w:val="0"/>
        <w:spacing w:line="360" w:lineRule="auto"/>
        <w:ind w:firstLine="560" w:firstLineChars="200"/>
        <w:outlineLvl w:val="9"/>
        <w:rPr>
          <w:rFonts w:ascii="宋体"/>
          <w:color w:val="auto"/>
          <w:sz w:val="28"/>
          <w:szCs w:val="28"/>
        </w:rPr>
      </w:pPr>
      <w:bookmarkStart w:id="129" w:name="_Toc14224"/>
      <w:r>
        <w:rPr>
          <w:rFonts w:ascii="宋体" w:hAnsi="宋体"/>
          <w:color w:val="auto"/>
          <w:sz w:val="28"/>
          <w:szCs w:val="28"/>
        </w:rPr>
        <w:t>3</w:t>
      </w:r>
      <w:r>
        <w:rPr>
          <w:rFonts w:hint="eastAsia" w:ascii="宋体" w:hAnsi="宋体"/>
          <w:color w:val="auto"/>
          <w:sz w:val="28"/>
          <w:szCs w:val="28"/>
        </w:rPr>
        <w:t>、我司提供的所有产品均为原厂生产的正规渠道产品。</w:t>
      </w:r>
      <w:bookmarkEnd w:id="129"/>
    </w:p>
    <w:p>
      <w:pPr>
        <w:snapToGrid w:val="0"/>
        <w:spacing w:line="360" w:lineRule="auto"/>
        <w:ind w:firstLine="560" w:firstLineChars="200"/>
        <w:outlineLvl w:val="9"/>
        <w:rPr>
          <w:rFonts w:ascii="宋体"/>
          <w:color w:val="auto"/>
          <w:sz w:val="28"/>
          <w:szCs w:val="28"/>
        </w:rPr>
      </w:pPr>
      <w:r>
        <w:rPr>
          <w:rFonts w:hint="eastAsia" w:ascii="宋体" w:hAnsi="宋体"/>
          <w:color w:val="auto"/>
          <w:sz w:val="28"/>
          <w:szCs w:val="28"/>
        </w:rPr>
        <w:t>我公司若违反上述承诺，愿接受取消报价（成交）资格及其他任何形式的处理。</w:t>
      </w:r>
    </w:p>
    <w:p>
      <w:pPr>
        <w:snapToGrid w:val="0"/>
        <w:spacing w:line="360" w:lineRule="auto"/>
        <w:ind w:firstLine="490" w:firstLineChars="175"/>
        <w:outlineLvl w:val="9"/>
        <w:rPr>
          <w:rFonts w:ascii="宋体"/>
          <w:color w:val="auto"/>
          <w:sz w:val="28"/>
          <w:szCs w:val="28"/>
        </w:rPr>
      </w:pPr>
    </w:p>
    <w:p>
      <w:pPr>
        <w:spacing w:line="360" w:lineRule="auto"/>
        <w:jc w:val="left"/>
        <w:outlineLvl w:val="9"/>
        <w:rPr>
          <w:rFonts w:ascii="宋体"/>
          <w:color w:val="auto"/>
          <w:sz w:val="28"/>
          <w:szCs w:val="28"/>
        </w:rPr>
      </w:pPr>
      <w:r>
        <w:rPr>
          <w:rFonts w:hint="eastAsia" w:ascii="宋体" w:hAnsi="宋体"/>
          <w:color w:val="auto"/>
          <w:sz w:val="28"/>
          <w:szCs w:val="28"/>
          <w:lang w:val="en-US" w:eastAsia="zh-CN"/>
        </w:rPr>
        <w:t>投标人</w:t>
      </w:r>
      <w:r>
        <w:rPr>
          <w:rFonts w:hint="eastAsia" w:ascii="宋体" w:hAnsi="宋体"/>
          <w:color w:val="auto"/>
          <w:sz w:val="28"/>
          <w:szCs w:val="28"/>
        </w:rPr>
        <w:t>全称（公章）：</w:t>
      </w:r>
    </w:p>
    <w:p>
      <w:pPr>
        <w:spacing w:line="360" w:lineRule="auto"/>
        <w:jc w:val="left"/>
        <w:outlineLvl w:val="9"/>
        <w:rPr>
          <w:rFonts w:ascii="宋体"/>
          <w:color w:val="auto"/>
          <w:sz w:val="28"/>
          <w:szCs w:val="28"/>
        </w:rPr>
      </w:pPr>
      <w:r>
        <w:rPr>
          <w:rFonts w:hint="eastAsia" w:ascii="宋体" w:hAnsi="宋体"/>
          <w:color w:val="auto"/>
          <w:sz w:val="28"/>
          <w:szCs w:val="28"/>
        </w:rPr>
        <w:t>法定代表人或授权代表（签名）：</w:t>
      </w:r>
    </w:p>
    <w:p>
      <w:pPr>
        <w:spacing w:line="360" w:lineRule="auto"/>
        <w:jc w:val="left"/>
        <w:outlineLvl w:val="9"/>
        <w:rPr>
          <w:rFonts w:ascii="宋体"/>
          <w:color w:val="auto"/>
          <w:sz w:val="28"/>
          <w:szCs w:val="28"/>
        </w:rPr>
      </w:pPr>
      <w:r>
        <w:rPr>
          <w:rFonts w:hint="eastAsia" w:ascii="宋体" w:hAnsi="宋体"/>
          <w:color w:val="auto"/>
          <w:sz w:val="28"/>
          <w:szCs w:val="28"/>
        </w:rPr>
        <w:t>日</w:t>
      </w:r>
      <w:r>
        <w:rPr>
          <w:rFonts w:ascii="宋体" w:hAnsi="宋体"/>
          <w:color w:val="auto"/>
          <w:sz w:val="28"/>
          <w:szCs w:val="28"/>
        </w:rPr>
        <w:t xml:space="preserve"> </w:t>
      </w:r>
      <w:r>
        <w:rPr>
          <w:rFonts w:hint="eastAsia" w:ascii="宋体" w:hAnsi="宋体"/>
          <w:color w:val="auto"/>
          <w:sz w:val="28"/>
          <w:szCs w:val="28"/>
        </w:rPr>
        <w:t>期：</w:t>
      </w:r>
      <w:r>
        <w:rPr>
          <w:rFonts w:ascii="宋体" w:hAnsi="宋体"/>
          <w:color w:val="auto"/>
          <w:sz w:val="28"/>
          <w:szCs w:val="28"/>
        </w:rPr>
        <w:t xml:space="preserve">  </w:t>
      </w:r>
      <w:r>
        <w:rPr>
          <w:rFonts w:hint="eastAsia" w:ascii="宋体" w:hAnsi="宋体"/>
          <w:color w:val="auto"/>
          <w:sz w:val="28"/>
          <w:szCs w:val="28"/>
        </w:rPr>
        <w:t>年</w:t>
      </w:r>
      <w:r>
        <w:rPr>
          <w:rFonts w:ascii="宋体" w:hAnsi="宋体"/>
          <w:color w:val="auto"/>
          <w:sz w:val="28"/>
          <w:szCs w:val="28"/>
        </w:rPr>
        <w:t xml:space="preserve">  </w:t>
      </w:r>
      <w:r>
        <w:rPr>
          <w:rFonts w:hint="eastAsia" w:ascii="宋体" w:hAnsi="宋体"/>
          <w:color w:val="auto"/>
          <w:sz w:val="28"/>
          <w:szCs w:val="28"/>
        </w:rPr>
        <w:t>月</w:t>
      </w:r>
      <w:r>
        <w:rPr>
          <w:rFonts w:ascii="宋体" w:hAnsi="宋体"/>
          <w:color w:val="auto"/>
          <w:sz w:val="28"/>
          <w:szCs w:val="28"/>
        </w:rPr>
        <w:t xml:space="preserve">  </w:t>
      </w:r>
      <w:r>
        <w:rPr>
          <w:rFonts w:hint="eastAsia" w:ascii="宋体" w:hAnsi="宋体"/>
          <w:color w:val="auto"/>
          <w:sz w:val="28"/>
          <w:szCs w:val="28"/>
        </w:rPr>
        <w:t>日</w:t>
      </w:r>
    </w:p>
    <w:p>
      <w:pPr>
        <w:spacing w:line="360" w:lineRule="auto"/>
        <w:outlineLvl w:val="9"/>
        <w:rPr>
          <w:rFonts w:ascii="楷体_GB2312" w:hAnsi="宋体" w:eastAsia="楷体_GB2312"/>
          <w:b/>
          <w:bCs/>
          <w:color w:val="auto"/>
          <w:sz w:val="28"/>
          <w:szCs w:val="28"/>
        </w:rPr>
      </w:pPr>
    </w:p>
    <w:p>
      <w:pPr>
        <w:spacing w:line="460" w:lineRule="exact"/>
        <w:outlineLvl w:val="9"/>
        <w:rPr>
          <w:rFonts w:ascii="楷体_GB2312" w:hAnsi="宋体" w:eastAsia="楷体_GB2312"/>
          <w:bCs/>
          <w:color w:val="auto"/>
          <w:szCs w:val="21"/>
        </w:rPr>
      </w:pPr>
    </w:p>
    <w:p>
      <w:pPr>
        <w:spacing w:line="460" w:lineRule="exact"/>
        <w:outlineLvl w:val="9"/>
        <w:rPr>
          <w:rFonts w:ascii="楷体_GB2312" w:hAnsi="宋体" w:eastAsia="楷体_GB2312"/>
          <w:bCs/>
          <w:color w:val="auto"/>
          <w:szCs w:val="21"/>
        </w:rPr>
      </w:pPr>
    </w:p>
    <w:p>
      <w:pPr>
        <w:spacing w:line="460" w:lineRule="exact"/>
        <w:outlineLvl w:val="9"/>
        <w:rPr>
          <w:rFonts w:ascii="楷体_GB2312" w:hAnsi="宋体" w:eastAsia="楷体_GB2312"/>
          <w:bCs/>
          <w:color w:val="auto"/>
          <w:szCs w:val="21"/>
        </w:rPr>
      </w:pPr>
    </w:p>
    <w:p>
      <w:pPr>
        <w:spacing w:line="460" w:lineRule="exact"/>
        <w:outlineLvl w:val="9"/>
        <w:rPr>
          <w:rFonts w:ascii="楷体_GB2312" w:hAnsi="宋体" w:eastAsia="楷体_GB2312"/>
          <w:color w:val="auto"/>
          <w:szCs w:val="21"/>
          <w:u w:val="single"/>
        </w:rPr>
      </w:pPr>
      <w:r>
        <w:rPr>
          <w:rFonts w:hint="eastAsia" w:ascii="楷体_GB2312" w:hAnsi="宋体" w:eastAsia="楷体_GB2312"/>
          <w:bCs/>
          <w:color w:val="auto"/>
          <w:szCs w:val="21"/>
        </w:rPr>
        <w:t>附注</w:t>
      </w:r>
      <w:r>
        <w:rPr>
          <w:rFonts w:hint="eastAsia" w:ascii="楷体_GB2312" w:hAnsi="宋体" w:eastAsia="楷体_GB2312"/>
          <w:color w:val="auto"/>
          <w:szCs w:val="21"/>
        </w:rPr>
        <w:t>：</w:t>
      </w:r>
      <w:r>
        <w:rPr>
          <w:rFonts w:hint="eastAsia" w:ascii="楷体_GB2312" w:hAnsi="宋体" w:eastAsia="楷体_GB2312"/>
          <w:color w:val="auto"/>
          <w:szCs w:val="21"/>
          <w:u w:val="single"/>
        </w:rPr>
        <w:t>▲本承诺书格式不得修改。</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p>
    <w:p>
      <w:pPr>
        <w:pStyle w:val="24"/>
        <w:bidi w:val="0"/>
        <w:outlineLvl w:val="9"/>
        <w:rPr>
          <w:rFonts w:hint="eastAsia"/>
          <w:color w:val="auto"/>
          <w:lang w:val="en-US" w:eastAsia="zh-CN"/>
        </w:rPr>
      </w:pPr>
    </w:p>
    <w:p>
      <w:pPr>
        <w:pStyle w:val="49"/>
        <w:widowControl w:val="0"/>
        <w:numPr>
          <w:ilvl w:val="0"/>
          <w:numId w:val="0"/>
        </w:numPr>
        <w:jc w:val="both"/>
        <w:rPr>
          <w:rStyle w:val="133"/>
          <w:rFonts w:hint="eastAsia"/>
          <w:color w:val="auto"/>
          <w:sz w:val="40"/>
          <w:szCs w:val="40"/>
          <w:lang w:val="en-US" w:eastAsia="zh-CN"/>
        </w:rPr>
        <w:sectPr>
          <w:pgSz w:w="11906" w:h="16838"/>
          <w:pgMar w:top="1440" w:right="1800" w:bottom="1440" w:left="1800" w:header="851" w:footer="992" w:gutter="0"/>
          <w:pgNumType w:fmt="decimal"/>
          <w:cols w:space="720" w:num="1"/>
          <w:docGrid w:linePitch="315"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bookmarkStart w:id="130" w:name="_Toc29000"/>
      <w:bookmarkStart w:id="131" w:name="_Toc20246"/>
      <w:r>
        <w:rPr>
          <w:rFonts w:hint="eastAsia" w:asciiTheme="minorEastAsia" w:hAnsiTheme="minorEastAsia" w:cstheme="minorEastAsia"/>
          <w:b/>
          <w:bCs/>
          <w:color w:val="auto"/>
          <w:spacing w:val="0"/>
          <w:sz w:val="28"/>
          <w:szCs w:val="28"/>
          <w:lang w:val="en-US" w:eastAsia="zh-CN"/>
        </w:rPr>
        <w:t>九、供应商响应货物技术性能指标的详细描述</w:t>
      </w:r>
    </w:p>
    <w:p>
      <w:pPr>
        <w:pStyle w:val="25"/>
        <w:bidi w:val="0"/>
        <w:jc w:val="both"/>
        <w:outlineLvl w:val="9"/>
        <w:rPr>
          <w:rFonts w:hint="default"/>
          <w:color w:val="auto"/>
          <w:lang w:val="en-US" w:eastAsia="zh-CN"/>
        </w:rPr>
      </w:pPr>
    </w:p>
    <w:p>
      <w:pPr>
        <w:pStyle w:val="25"/>
        <w:bidi w:val="0"/>
        <w:jc w:val="both"/>
        <w:outlineLvl w:val="9"/>
        <w:rPr>
          <w:rFonts w:hint="default"/>
          <w:color w:val="auto"/>
          <w:lang w:val="en-US" w:eastAsia="zh-CN"/>
        </w:rPr>
        <w:sectPr>
          <w:pgSz w:w="11906" w:h="16838"/>
          <w:pgMar w:top="1440" w:right="1800" w:bottom="1440" w:left="1800" w:header="851" w:footer="992" w:gutter="0"/>
          <w:pgNumType w:fmt="decimal"/>
          <w:cols w:space="720" w:num="1"/>
          <w:docGrid w:linePitch="315" w:charSpace="0"/>
        </w:sectPr>
      </w:pPr>
      <w:r>
        <w:rPr>
          <w:rFonts w:hint="eastAsia"/>
          <w:color w:val="auto"/>
          <w:lang w:val="en-US" w:eastAsia="zh-CN"/>
        </w:rPr>
        <w:t>注：本章须详细描述供应商拟供货物相关技术性能、数量等说明。拟供货物技术性能指标必须符合竞争性磋商文件要求（格式自定）。</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0000FF"/>
          <w:spacing w:val="0"/>
          <w:sz w:val="28"/>
          <w:szCs w:val="28"/>
          <w:lang w:val="en-US" w:eastAsia="zh-CN"/>
        </w:rPr>
      </w:pPr>
      <w:bookmarkStart w:id="132" w:name="_Toc29145"/>
      <w:r>
        <w:rPr>
          <w:rFonts w:hint="eastAsia" w:asciiTheme="minorEastAsia" w:hAnsiTheme="minorEastAsia" w:cstheme="minorEastAsia"/>
          <w:b/>
          <w:bCs/>
          <w:color w:val="auto"/>
          <w:spacing w:val="0"/>
          <w:sz w:val="28"/>
          <w:szCs w:val="28"/>
          <w:lang w:val="en-US" w:eastAsia="zh-CN"/>
        </w:rPr>
        <w:t>十、供货及安装方案</w:t>
      </w:r>
    </w:p>
    <w:p>
      <w:pPr>
        <w:pStyle w:val="49"/>
        <w:widowControl w:val="0"/>
        <w:numPr>
          <w:ilvl w:val="0"/>
          <w:numId w:val="0"/>
        </w:numPr>
        <w:jc w:val="both"/>
        <w:rPr>
          <w:rFonts w:hint="eastAsia"/>
          <w:color w:val="auto"/>
          <w:lang w:val="en-US" w:eastAsia="zh-CN"/>
        </w:rPr>
      </w:pPr>
    </w:p>
    <w:p>
      <w:pPr>
        <w:pStyle w:val="49"/>
        <w:widowControl w:val="0"/>
        <w:numPr>
          <w:ilvl w:val="0"/>
          <w:numId w:val="0"/>
        </w:numPr>
        <w:jc w:val="both"/>
        <w:rPr>
          <w:rFonts w:hint="eastAsia" w:eastAsia="宋体"/>
          <w:color w:val="auto"/>
          <w:lang w:val="en-US" w:eastAsia="zh-CN"/>
        </w:rPr>
        <w:sectPr>
          <w:headerReference r:id="rId9" w:type="default"/>
          <w:footerReference r:id="rId10" w:type="default"/>
          <w:pgSz w:w="11907" w:h="16840"/>
          <w:pgMar w:top="1418" w:right="1134" w:bottom="1418" w:left="1134" w:header="720" w:footer="720" w:gutter="0"/>
          <w:pgNumType w:fmt="decimal"/>
          <w:cols w:space="720" w:num="1"/>
          <w:docGrid w:type="lines" w:linePitch="312" w:charSpace="0"/>
        </w:sectPr>
      </w:pPr>
      <w:r>
        <w:rPr>
          <w:rFonts w:hint="eastAsia"/>
          <w:color w:val="auto"/>
          <w:lang w:val="en-US" w:eastAsia="zh-CN"/>
        </w:rPr>
        <w:t>注：</w:t>
      </w:r>
      <w:r>
        <w:rPr>
          <w:rFonts w:hint="eastAsia" w:ascii="宋体" w:hAnsi="宋体" w:cs="宋体"/>
          <w:color w:val="auto"/>
          <w:sz w:val="21"/>
          <w:szCs w:val="21"/>
          <w:lang w:val="zh-CN"/>
        </w:rPr>
        <w:t>投标人针对本项目有具体的供货组织安排、财力调配、运输、派送措施、</w:t>
      </w:r>
      <w:r>
        <w:rPr>
          <w:rFonts w:hint="eastAsia" w:ascii="宋体" w:hAnsi="宋体" w:cs="宋体"/>
          <w:color w:val="auto"/>
          <w:sz w:val="21"/>
          <w:szCs w:val="21"/>
        </w:rPr>
        <w:t>安装</w:t>
      </w:r>
      <w:r>
        <w:rPr>
          <w:rFonts w:hint="eastAsia" w:ascii="宋体" w:hAnsi="宋体" w:eastAsia="宋体" w:cs="宋体"/>
          <w:color w:val="auto"/>
          <w:sz w:val="21"/>
          <w:szCs w:val="21"/>
          <w:lang w:eastAsia="zh-CN"/>
        </w:rPr>
        <w:t>调试</w:t>
      </w:r>
      <w:r>
        <w:rPr>
          <w:rFonts w:hint="eastAsia" w:ascii="宋体" w:hAnsi="宋体" w:cs="宋体"/>
          <w:color w:val="auto"/>
          <w:sz w:val="21"/>
          <w:szCs w:val="21"/>
        </w:rPr>
        <w:t>方案</w:t>
      </w:r>
      <w:r>
        <w:rPr>
          <w:rFonts w:hint="eastAsia" w:ascii="宋体" w:hAnsi="宋体" w:eastAsia="宋体" w:cs="宋体"/>
          <w:color w:val="auto"/>
          <w:sz w:val="21"/>
          <w:szCs w:val="21"/>
          <w:lang w:eastAsia="zh-CN"/>
        </w:rPr>
        <w:t>，格式自定。</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default" w:asciiTheme="minorEastAsia" w:hAnsiTheme="minorEastAsia" w:cstheme="minorEastAsia"/>
          <w:b/>
          <w:bCs/>
          <w:color w:val="auto"/>
          <w:spacing w:val="0"/>
          <w:sz w:val="28"/>
          <w:szCs w:val="28"/>
          <w:lang w:val="en-US" w:eastAsia="zh-CN"/>
        </w:rPr>
      </w:pPr>
      <w:r>
        <w:rPr>
          <w:rFonts w:hint="eastAsia" w:asciiTheme="minorEastAsia" w:hAnsiTheme="minorEastAsia" w:cstheme="minorEastAsia"/>
          <w:b/>
          <w:bCs/>
          <w:color w:val="auto"/>
          <w:spacing w:val="0"/>
          <w:sz w:val="28"/>
          <w:szCs w:val="28"/>
          <w:lang w:val="en-US" w:eastAsia="zh-CN"/>
        </w:rPr>
        <w:t>十一、售后服务方案及</w:t>
      </w:r>
      <w:bookmarkEnd w:id="132"/>
      <w:r>
        <w:rPr>
          <w:rFonts w:hint="eastAsia" w:asciiTheme="minorEastAsia" w:hAnsiTheme="minorEastAsia" w:cstheme="minorEastAsia"/>
          <w:b/>
          <w:bCs/>
          <w:color w:val="auto"/>
          <w:spacing w:val="0"/>
          <w:sz w:val="28"/>
          <w:szCs w:val="28"/>
          <w:lang w:val="en-US" w:eastAsia="zh-CN"/>
        </w:rPr>
        <w:t>培训计划</w:t>
      </w:r>
    </w:p>
    <w:p>
      <w:pPr>
        <w:spacing w:line="360" w:lineRule="auto"/>
        <w:ind w:firstLine="480" w:firstLineChars="200"/>
        <w:rPr>
          <w:rFonts w:hint="eastAsia" w:asciiTheme="minorEastAsia" w:hAnsiTheme="minorEastAsia" w:cstheme="minorEastAsia"/>
          <w:b w:val="0"/>
          <w:bCs w:val="0"/>
          <w:color w:val="auto"/>
          <w:spacing w:val="0"/>
          <w:sz w:val="22"/>
          <w:szCs w:val="22"/>
          <w:vertAlign w:val="baseline"/>
          <w:lang w:val="en-GB" w:eastAsia="zh-CN"/>
        </w:rPr>
      </w:pPr>
      <w:r>
        <w:rPr>
          <w:rFonts w:hint="eastAsia"/>
          <w:color w:val="auto"/>
          <w:sz w:val="24"/>
          <w:szCs w:val="24"/>
          <w:lang w:eastAsia="zh-CN"/>
        </w:rPr>
        <w:t>注：</w:t>
      </w:r>
      <w:r>
        <w:rPr>
          <w:rFonts w:hint="eastAsia"/>
          <w:color w:val="auto"/>
          <w:sz w:val="24"/>
          <w:szCs w:val="24"/>
        </w:rPr>
        <w:t>包括但不限于</w:t>
      </w:r>
      <w:r>
        <w:rPr>
          <w:rFonts w:hint="eastAsia" w:ascii="宋体" w:hAnsi="宋体" w:cs="宋体"/>
          <w:b w:val="0"/>
          <w:bCs w:val="0"/>
          <w:color w:val="auto"/>
          <w:spacing w:val="0"/>
          <w:sz w:val="24"/>
          <w:szCs w:val="24"/>
          <w:vertAlign w:val="baseline"/>
          <w:lang w:val="en-US" w:eastAsia="zh-CN"/>
        </w:rPr>
        <w:t>投标人对投标货物及时供货、供货产品质量合格、无残次品、提供产品使用说明书、对使用产品过程中产生的问题</w:t>
      </w:r>
      <w:r>
        <w:rPr>
          <w:rFonts w:hint="eastAsia" w:asciiTheme="minorEastAsia" w:hAnsiTheme="minorEastAsia" w:cstheme="minorEastAsia"/>
          <w:b w:val="0"/>
          <w:bCs w:val="0"/>
          <w:color w:val="auto"/>
          <w:spacing w:val="0"/>
          <w:sz w:val="22"/>
          <w:szCs w:val="22"/>
          <w:vertAlign w:val="baseline"/>
          <w:lang w:val="en-US" w:eastAsia="zh-CN"/>
        </w:rPr>
        <w:t>等方面进行详细承诺并编制方案</w:t>
      </w:r>
      <w:r>
        <w:rPr>
          <w:rFonts w:hint="eastAsia" w:asciiTheme="minorEastAsia" w:hAnsiTheme="minorEastAsia" w:cstheme="minorEastAsia"/>
          <w:b w:val="0"/>
          <w:bCs w:val="0"/>
          <w:color w:val="auto"/>
          <w:spacing w:val="0"/>
          <w:sz w:val="22"/>
          <w:szCs w:val="22"/>
          <w:vertAlign w:val="baseline"/>
          <w:lang w:val="en-GB" w:eastAsia="zh-CN"/>
        </w:rPr>
        <w:t>（格式自定）</w:t>
      </w:r>
    </w:p>
    <w:p>
      <w:pPr>
        <w:rPr>
          <w:rFonts w:hint="eastAsia" w:ascii="宋体" w:hAnsi="宋体" w:cs="宋体"/>
          <w:b w:val="0"/>
          <w:bCs w:val="0"/>
          <w:color w:val="auto"/>
          <w:spacing w:val="0"/>
          <w:sz w:val="24"/>
          <w:szCs w:val="24"/>
          <w:vertAlign w:val="baseline"/>
          <w:lang w:val="en-US" w:eastAsia="zh-CN"/>
        </w:rPr>
      </w:pPr>
    </w:p>
    <w:p>
      <w:pPr>
        <w:spacing w:line="460" w:lineRule="exact"/>
        <w:jc w:val="center"/>
        <w:rPr>
          <w:rFonts w:hint="eastAsia"/>
          <w:b/>
          <w:color w:val="auto"/>
          <w:szCs w:val="21"/>
        </w:rPr>
      </w:pPr>
      <w:r>
        <w:rPr>
          <w:rFonts w:hint="eastAsia" w:asciiTheme="minorEastAsia" w:hAnsiTheme="minorEastAsia" w:cstheme="minorEastAsia"/>
          <w:b/>
          <w:bCs/>
          <w:color w:val="auto"/>
          <w:spacing w:val="0"/>
          <w:sz w:val="28"/>
          <w:szCs w:val="28"/>
          <w:lang w:val="en-US" w:eastAsia="zh-CN"/>
        </w:rPr>
        <w:t>售后服务附表</w:t>
      </w:r>
    </w:p>
    <w:p>
      <w:pPr>
        <w:topLinePunct/>
        <w:spacing w:line="440" w:lineRule="exact"/>
        <w:rPr>
          <w:rFonts w:hint="eastAsia"/>
          <w:b/>
          <w:color w:val="auto"/>
          <w:szCs w:val="21"/>
        </w:rPr>
      </w:pPr>
      <w:r>
        <w:rPr>
          <w:rFonts w:hint="eastAsia"/>
          <w:b/>
          <w:color w:val="auto"/>
          <w:szCs w:val="21"/>
        </w:rPr>
        <w:t xml:space="preserve">       </w:t>
      </w:r>
    </w:p>
    <w:tbl>
      <w:tblPr>
        <w:tblStyle w:val="32"/>
        <w:tblW w:w="96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1"/>
        <w:gridCol w:w="1247"/>
        <w:gridCol w:w="191"/>
        <w:gridCol w:w="1440"/>
        <w:gridCol w:w="1350"/>
        <w:gridCol w:w="1189"/>
        <w:gridCol w:w="23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服务网点名称</w:t>
            </w:r>
          </w:p>
        </w:tc>
        <w:tc>
          <w:tcPr>
            <w:tcW w:w="541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地址</w:t>
            </w:r>
          </w:p>
        </w:tc>
        <w:tc>
          <w:tcPr>
            <w:tcW w:w="541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注册资本金</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98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其中：投标人出资比例</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vMerge w:val="restart"/>
            <w:tcBorders>
              <w:top w:val="single" w:color="auto" w:sz="4" w:space="0"/>
              <w:left w:val="single" w:color="auto" w:sz="4" w:space="0"/>
              <w:right w:val="single" w:color="auto" w:sz="4" w:space="0"/>
            </w:tcBorders>
            <w:noWrap w:val="0"/>
            <w:vAlign w:val="center"/>
          </w:tcPr>
          <w:p>
            <w:pPr>
              <w:snapToGrid w:val="0"/>
              <w:spacing w:line="400" w:lineRule="exact"/>
              <w:jc w:val="lef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员工总人数</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98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其中：技术人员数</w:t>
            </w:r>
          </w:p>
        </w:tc>
        <w:tc>
          <w:tcPr>
            <w:tcW w:w="118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vMerge w:val="continue"/>
            <w:tcBorders>
              <w:left w:val="single" w:color="auto" w:sz="4" w:space="0"/>
              <w:right w:val="single" w:color="auto" w:sz="4" w:space="0"/>
            </w:tcBorders>
            <w:noWrap w:val="0"/>
            <w:vAlign w:val="center"/>
          </w:tcPr>
          <w:p>
            <w:pPr>
              <w:snapToGrid w:val="0"/>
              <w:spacing w:line="400" w:lineRule="exact"/>
              <w:jc w:val="left"/>
              <w:rPr>
                <w:rFonts w:hint="eastAsia" w:ascii="宋体" w:hAnsi="宋体" w:eastAsia="宋体" w:cs="宋体"/>
                <w:color w:val="auto"/>
                <w:sz w:val="21"/>
                <w:szCs w:val="21"/>
                <w:lang w:bidi="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经营期限</w:t>
            </w:r>
          </w:p>
        </w:tc>
        <w:tc>
          <w:tcPr>
            <w:tcW w:w="541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vMerge w:val="continue"/>
            <w:tcBorders>
              <w:left w:val="single" w:color="auto" w:sz="4" w:space="0"/>
              <w:bottom w:val="single" w:color="auto" w:sz="4" w:space="0"/>
              <w:right w:val="single" w:color="auto" w:sz="4" w:space="0"/>
            </w:tcBorders>
            <w:noWrap w:val="0"/>
            <w:vAlign w:val="center"/>
          </w:tcPr>
          <w:p>
            <w:pPr>
              <w:snapToGrid w:val="0"/>
              <w:spacing w:line="400" w:lineRule="exact"/>
              <w:jc w:val="left"/>
              <w:rPr>
                <w:rFonts w:hint="eastAsia" w:ascii="宋体" w:hAnsi="宋体" w:eastAsia="宋体" w:cs="宋体"/>
                <w:color w:val="auto"/>
                <w:sz w:val="21"/>
                <w:szCs w:val="21"/>
                <w:lang w:bidi="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售后服务协议</w:t>
            </w:r>
          </w:p>
        </w:tc>
        <w:tc>
          <w:tcPr>
            <w:tcW w:w="541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921"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售后服务内容</w:t>
            </w:r>
          </w:p>
        </w:tc>
        <w:tc>
          <w:tcPr>
            <w:tcW w:w="541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vMerge w:val="restart"/>
            <w:tcBorders>
              <w:top w:val="single" w:color="auto" w:sz="4" w:space="0"/>
              <w:left w:val="single" w:color="auto" w:sz="4" w:space="0"/>
              <w:right w:val="single" w:color="auto" w:sz="4" w:space="0"/>
            </w:tcBorders>
            <w:noWrap w:val="0"/>
            <w:vAlign w:val="center"/>
          </w:tcPr>
          <w:p>
            <w:pPr>
              <w:snapToGrid w:val="0"/>
              <w:spacing w:line="400" w:lineRule="exact"/>
              <w:jc w:val="lef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业务咨询电话</w:t>
            </w:r>
          </w:p>
        </w:tc>
        <w:tc>
          <w:tcPr>
            <w:tcW w:w="1438" w:type="dxa"/>
            <w:gridSpan w:val="2"/>
            <w:tcBorders>
              <w:top w:val="single" w:color="auto" w:sz="4" w:space="0"/>
              <w:left w:val="single" w:color="auto" w:sz="4" w:space="0"/>
              <w:bottom w:val="single" w:color="auto" w:sz="4" w:space="0"/>
              <w:right w:val="single" w:color="auto" w:sz="2"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1440" w:type="dxa"/>
            <w:tcBorders>
              <w:top w:val="single" w:color="auto" w:sz="4" w:space="0"/>
              <w:left w:val="single" w:color="auto" w:sz="2" w:space="0"/>
              <w:bottom w:val="single" w:color="auto" w:sz="4" w:space="0"/>
              <w:right w:val="single" w:color="auto" w:sz="2"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传 真</w:t>
            </w:r>
          </w:p>
        </w:tc>
        <w:tc>
          <w:tcPr>
            <w:tcW w:w="2539" w:type="dxa"/>
            <w:gridSpan w:val="2"/>
            <w:tcBorders>
              <w:top w:val="single" w:color="auto" w:sz="4" w:space="0"/>
              <w:left w:val="single" w:color="auto" w:sz="2" w:space="0"/>
              <w:bottom w:val="single" w:color="auto" w:sz="4" w:space="0"/>
              <w:right w:val="single" w:color="auto" w:sz="2"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vMerge w:val="restart"/>
            <w:tcBorders>
              <w:top w:val="single" w:color="auto" w:sz="4" w:space="0"/>
              <w:left w:val="single" w:color="auto" w:sz="2" w:space="0"/>
              <w:right w:val="single" w:color="auto" w:sz="4" w:space="0"/>
            </w:tcBorders>
            <w:noWrap w:val="0"/>
            <w:vAlign w:val="center"/>
          </w:tcPr>
          <w:p>
            <w:pPr>
              <w:snapToGrid w:val="0"/>
              <w:spacing w:line="400" w:lineRule="exact"/>
              <w:jc w:val="left"/>
              <w:rPr>
                <w:rFonts w:hint="eastAsia" w:ascii="宋体" w:hAnsi="宋体" w:eastAsia="宋体" w:cs="宋体"/>
                <w:color w:val="auto"/>
                <w:sz w:val="21"/>
                <w:szCs w:val="21"/>
                <w:lang w:bidi="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21"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负责人</w:t>
            </w:r>
          </w:p>
        </w:tc>
        <w:tc>
          <w:tcPr>
            <w:tcW w:w="1438" w:type="dxa"/>
            <w:gridSpan w:val="2"/>
            <w:tcBorders>
              <w:top w:val="single" w:color="auto" w:sz="4" w:space="0"/>
              <w:left w:val="single" w:color="auto" w:sz="4" w:space="0"/>
              <w:bottom w:val="single" w:color="auto" w:sz="4" w:space="0"/>
              <w:right w:val="single" w:color="auto" w:sz="2"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1440" w:type="dxa"/>
            <w:tcBorders>
              <w:top w:val="single" w:color="auto" w:sz="4" w:space="0"/>
              <w:left w:val="single" w:color="auto" w:sz="2" w:space="0"/>
              <w:bottom w:val="single" w:color="auto" w:sz="4" w:space="0"/>
              <w:right w:val="single" w:color="auto" w:sz="2" w:space="0"/>
            </w:tcBorders>
            <w:noWrap w:val="0"/>
            <w:vAlign w:val="center"/>
          </w:tcPr>
          <w:p>
            <w:pPr>
              <w:snapToGrid w:val="0"/>
              <w:spacing w:line="400" w:lineRule="exact"/>
              <w:rPr>
                <w:rFonts w:hint="eastAsia" w:ascii="宋体" w:hAnsi="宋体" w:eastAsia="宋体" w:cs="宋体"/>
                <w:color w:val="auto"/>
                <w:sz w:val="21"/>
                <w:szCs w:val="21"/>
                <w:lang w:bidi="en-US"/>
              </w:rPr>
            </w:pPr>
            <w:r>
              <w:rPr>
                <w:rFonts w:hint="eastAsia" w:ascii="宋体" w:hAnsi="宋体" w:eastAsia="宋体" w:cs="宋体"/>
                <w:color w:val="auto"/>
                <w:sz w:val="21"/>
                <w:szCs w:val="21"/>
                <w:lang w:bidi="en-US"/>
              </w:rPr>
              <w:t>联系电话</w:t>
            </w:r>
          </w:p>
        </w:tc>
        <w:tc>
          <w:tcPr>
            <w:tcW w:w="2539" w:type="dxa"/>
            <w:gridSpan w:val="2"/>
            <w:tcBorders>
              <w:top w:val="single" w:color="auto" w:sz="4" w:space="0"/>
              <w:left w:val="single" w:color="auto" w:sz="2" w:space="0"/>
              <w:bottom w:val="single" w:color="auto" w:sz="4" w:space="0"/>
              <w:right w:val="single" w:color="auto" w:sz="2" w:space="0"/>
            </w:tcBorders>
            <w:noWrap w:val="0"/>
            <w:vAlign w:val="center"/>
          </w:tcPr>
          <w:p>
            <w:pPr>
              <w:snapToGrid w:val="0"/>
              <w:spacing w:line="400" w:lineRule="exact"/>
              <w:rPr>
                <w:rFonts w:hint="eastAsia" w:ascii="宋体" w:hAnsi="宋体" w:eastAsia="宋体" w:cs="宋体"/>
                <w:color w:val="auto"/>
                <w:sz w:val="21"/>
                <w:szCs w:val="21"/>
                <w:lang w:bidi="en-US"/>
              </w:rPr>
            </w:pPr>
          </w:p>
        </w:tc>
        <w:tc>
          <w:tcPr>
            <w:tcW w:w="2330" w:type="dxa"/>
            <w:vMerge w:val="continue"/>
            <w:tcBorders>
              <w:left w:val="single" w:color="auto" w:sz="2" w:space="0"/>
              <w:bottom w:val="single" w:color="auto" w:sz="4" w:space="0"/>
              <w:right w:val="single" w:color="auto" w:sz="4" w:space="0"/>
            </w:tcBorders>
            <w:noWrap w:val="0"/>
            <w:vAlign w:val="center"/>
          </w:tcPr>
          <w:p>
            <w:pPr>
              <w:snapToGrid w:val="0"/>
              <w:spacing w:before="50" w:after="120" w:afterLines="50" w:line="400" w:lineRule="exact"/>
              <w:jc w:val="both"/>
              <w:rPr>
                <w:rFonts w:hint="eastAsia" w:ascii="宋体" w:hAnsi="宋体" w:eastAsia="宋体" w:cs="宋体"/>
                <w:color w:val="auto"/>
                <w:sz w:val="21"/>
                <w:szCs w:val="21"/>
              </w:rPr>
            </w:pPr>
          </w:p>
        </w:tc>
      </w:tr>
    </w:tbl>
    <w:p>
      <w:pPr>
        <w:spacing w:line="440" w:lineRule="exact"/>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注：在项目所在地设立分公司或售后服务网点的须填写本表，并附相关证明材料。</w:t>
      </w:r>
    </w:p>
    <w:p>
      <w:pPr>
        <w:pStyle w:val="24"/>
        <w:tabs>
          <w:tab w:val="left" w:pos="7776"/>
        </w:tabs>
        <w:spacing w:before="78" w:line="360" w:lineRule="auto"/>
        <w:ind w:left="2921"/>
        <w:jc w:val="left"/>
        <w:rPr>
          <w:rFonts w:hint="eastAsia" w:ascii="宋体" w:hAnsi="宋体" w:eastAsia="宋体" w:cs="宋体"/>
          <w:color w:val="auto"/>
          <w:sz w:val="21"/>
          <w:szCs w:val="21"/>
        </w:rPr>
      </w:pPr>
    </w:p>
    <w:p>
      <w:pPr>
        <w:pStyle w:val="24"/>
        <w:tabs>
          <w:tab w:val="left" w:pos="7776"/>
        </w:tabs>
        <w:spacing w:before="78" w:line="360" w:lineRule="auto"/>
        <w:ind w:left="2921"/>
        <w:jc w:val="left"/>
        <w:rPr>
          <w:rFonts w:hint="eastAsia" w:ascii="宋体" w:hAnsi="宋体" w:eastAsia="宋体" w:cs="宋体"/>
          <w:color w:val="auto"/>
          <w:sz w:val="21"/>
          <w:szCs w:val="21"/>
        </w:rPr>
      </w:pPr>
      <w:r>
        <w:rPr>
          <w:rFonts w:hint="eastAsia" w:ascii="宋体" w:hAnsi="宋体" w:eastAsia="宋体" w:cs="宋体"/>
          <w:color w:val="auto"/>
          <w:sz w:val="21"/>
          <w:szCs w:val="21"/>
        </w:rPr>
        <w:t>投 标 人</w:t>
      </w:r>
      <w:r>
        <w:rPr>
          <w:rFonts w:hint="eastAsia" w:ascii="宋体" w:hAnsi="宋体" w:eastAsia="宋体" w:cs="宋体"/>
          <w:color w:val="auto"/>
          <w:spacing w:val="-3"/>
          <w:sz w:val="21"/>
          <w:szCs w:val="21"/>
        </w:rPr>
        <w:t>：</w:t>
      </w:r>
      <w:r>
        <w:rPr>
          <w:rFonts w:hint="eastAsia" w:ascii="宋体" w:hAnsi="宋体" w:eastAsia="宋体" w:cs="宋体"/>
          <w:color w:val="auto"/>
          <w:sz w:val="21"/>
          <w:szCs w:val="21"/>
        </w:rPr>
        <w:t>（盖</w:t>
      </w:r>
      <w:r>
        <w:rPr>
          <w:rFonts w:hint="eastAsia" w:ascii="宋体" w:hAnsi="宋体" w:eastAsia="宋体" w:cs="宋体"/>
          <w:color w:val="auto"/>
          <w:spacing w:val="-3"/>
          <w:sz w:val="21"/>
          <w:szCs w:val="21"/>
        </w:rPr>
        <w:t>单</w:t>
      </w:r>
      <w:r>
        <w:rPr>
          <w:rFonts w:hint="eastAsia" w:ascii="宋体" w:hAnsi="宋体" w:eastAsia="宋体" w:cs="宋体"/>
          <w:color w:val="auto"/>
          <w:sz w:val="21"/>
          <w:szCs w:val="21"/>
        </w:rPr>
        <w:t>位</w:t>
      </w:r>
      <w:r>
        <w:rPr>
          <w:rFonts w:hint="eastAsia" w:ascii="宋体" w:hAnsi="宋体" w:eastAsia="宋体" w:cs="宋体"/>
          <w:color w:val="auto"/>
          <w:spacing w:val="-3"/>
          <w:sz w:val="21"/>
          <w:szCs w:val="21"/>
        </w:rPr>
        <w:t>章</w:t>
      </w:r>
      <w:r>
        <w:rPr>
          <w:rFonts w:hint="eastAsia" w:ascii="宋体" w:hAnsi="宋体" w:eastAsia="宋体" w:cs="宋体"/>
          <w:color w:val="auto"/>
          <w:sz w:val="21"/>
          <w:szCs w:val="21"/>
        </w:rPr>
        <w:t>）</w:t>
      </w:r>
    </w:p>
    <w:p>
      <w:pPr>
        <w:pStyle w:val="24"/>
        <w:tabs>
          <w:tab w:val="left" w:pos="7541"/>
        </w:tabs>
        <w:spacing w:before="78" w:line="360" w:lineRule="auto"/>
        <w:ind w:left="2921"/>
        <w:jc w:val="left"/>
        <w:rPr>
          <w:rFonts w:hint="eastAsia" w:ascii="宋体" w:hAnsi="宋体" w:eastAsia="宋体" w:cs="宋体"/>
          <w:color w:val="auto"/>
          <w:sz w:val="21"/>
          <w:szCs w:val="21"/>
        </w:rPr>
      </w:pPr>
      <w:r>
        <w:rPr>
          <w:rFonts w:hint="eastAsia" w:ascii="宋体" w:hAnsi="宋体" w:eastAsia="宋体" w:cs="宋体"/>
          <w:color w:val="auto"/>
          <w:sz w:val="21"/>
          <w:szCs w:val="21"/>
        </w:rPr>
        <w:t>法</w:t>
      </w:r>
      <w:r>
        <w:rPr>
          <w:rFonts w:hint="eastAsia" w:ascii="宋体" w:hAnsi="宋体" w:eastAsia="宋体" w:cs="宋体"/>
          <w:color w:val="auto"/>
          <w:spacing w:val="-3"/>
          <w:sz w:val="21"/>
          <w:szCs w:val="21"/>
        </w:rPr>
        <w:t>定</w:t>
      </w:r>
      <w:r>
        <w:rPr>
          <w:rFonts w:hint="eastAsia" w:ascii="宋体" w:hAnsi="宋体" w:eastAsia="宋体" w:cs="宋体"/>
          <w:color w:val="auto"/>
          <w:sz w:val="21"/>
          <w:szCs w:val="21"/>
        </w:rPr>
        <w:t>代</w:t>
      </w:r>
      <w:r>
        <w:rPr>
          <w:rFonts w:hint="eastAsia" w:ascii="宋体" w:hAnsi="宋体" w:eastAsia="宋体" w:cs="宋体"/>
          <w:color w:val="auto"/>
          <w:spacing w:val="-3"/>
          <w:sz w:val="21"/>
          <w:szCs w:val="21"/>
        </w:rPr>
        <w:t>表</w:t>
      </w:r>
      <w:r>
        <w:rPr>
          <w:rFonts w:hint="eastAsia" w:ascii="宋体" w:hAnsi="宋体" w:eastAsia="宋体" w:cs="宋体"/>
          <w:color w:val="auto"/>
          <w:sz w:val="21"/>
          <w:szCs w:val="21"/>
        </w:rPr>
        <w:t>人</w:t>
      </w:r>
      <w:r>
        <w:rPr>
          <w:rFonts w:hint="eastAsia" w:ascii="宋体" w:hAnsi="宋体" w:eastAsia="宋体" w:cs="宋体"/>
          <w:color w:val="auto"/>
          <w:spacing w:val="-3"/>
          <w:sz w:val="21"/>
          <w:szCs w:val="21"/>
        </w:rPr>
        <w:t>（</w:t>
      </w:r>
      <w:r>
        <w:rPr>
          <w:rFonts w:hint="eastAsia" w:ascii="宋体" w:hAnsi="宋体" w:eastAsia="宋体" w:cs="宋体"/>
          <w:color w:val="auto"/>
          <w:sz w:val="21"/>
          <w:szCs w:val="21"/>
        </w:rPr>
        <w:t>单</w:t>
      </w:r>
      <w:r>
        <w:rPr>
          <w:rFonts w:hint="eastAsia" w:ascii="宋体" w:hAnsi="宋体" w:eastAsia="宋体" w:cs="宋体"/>
          <w:color w:val="auto"/>
          <w:spacing w:val="-3"/>
          <w:sz w:val="21"/>
          <w:szCs w:val="21"/>
        </w:rPr>
        <w:t>位</w:t>
      </w:r>
      <w:r>
        <w:rPr>
          <w:rFonts w:hint="eastAsia" w:ascii="宋体" w:hAnsi="宋体" w:eastAsia="宋体" w:cs="宋体"/>
          <w:color w:val="auto"/>
          <w:sz w:val="21"/>
          <w:szCs w:val="21"/>
        </w:rPr>
        <w:t>负</w:t>
      </w:r>
      <w:r>
        <w:rPr>
          <w:rFonts w:hint="eastAsia" w:ascii="宋体" w:hAnsi="宋体" w:eastAsia="宋体" w:cs="宋体"/>
          <w:color w:val="auto"/>
          <w:spacing w:val="-3"/>
          <w:sz w:val="21"/>
          <w:szCs w:val="21"/>
        </w:rPr>
        <w:t>责人</w:t>
      </w:r>
      <w:r>
        <w:rPr>
          <w:rFonts w:hint="eastAsia" w:ascii="宋体" w:hAnsi="宋体" w:eastAsia="宋体" w:cs="宋体"/>
          <w:color w:val="auto"/>
          <w:sz w:val="21"/>
          <w:szCs w:val="21"/>
        </w:rPr>
        <w:t>）或</w:t>
      </w:r>
      <w:r>
        <w:rPr>
          <w:rFonts w:hint="eastAsia" w:ascii="宋体" w:hAnsi="宋体" w:eastAsia="宋体" w:cs="宋体"/>
          <w:color w:val="auto"/>
          <w:spacing w:val="-3"/>
          <w:sz w:val="21"/>
          <w:szCs w:val="21"/>
        </w:rPr>
        <w:t>其</w:t>
      </w:r>
      <w:r>
        <w:rPr>
          <w:rFonts w:hint="eastAsia" w:ascii="宋体" w:hAnsi="宋体" w:eastAsia="宋体" w:cs="宋体"/>
          <w:color w:val="auto"/>
          <w:sz w:val="21"/>
          <w:szCs w:val="21"/>
        </w:rPr>
        <w:t>委</w:t>
      </w:r>
      <w:r>
        <w:rPr>
          <w:rFonts w:hint="eastAsia" w:ascii="宋体" w:hAnsi="宋体" w:eastAsia="宋体" w:cs="宋体"/>
          <w:color w:val="auto"/>
          <w:spacing w:val="-3"/>
          <w:sz w:val="21"/>
          <w:szCs w:val="21"/>
        </w:rPr>
        <w:t>托</w:t>
      </w:r>
      <w:r>
        <w:rPr>
          <w:rFonts w:hint="eastAsia" w:ascii="宋体" w:hAnsi="宋体" w:eastAsia="宋体" w:cs="宋体"/>
          <w:color w:val="auto"/>
          <w:sz w:val="21"/>
          <w:szCs w:val="21"/>
        </w:rPr>
        <w:t>代</w:t>
      </w:r>
      <w:r>
        <w:rPr>
          <w:rFonts w:hint="eastAsia" w:ascii="宋体" w:hAnsi="宋体" w:eastAsia="宋体" w:cs="宋体"/>
          <w:color w:val="auto"/>
          <w:spacing w:val="-3"/>
          <w:sz w:val="21"/>
          <w:szCs w:val="21"/>
        </w:rPr>
        <w:t>理</w:t>
      </w:r>
      <w:r>
        <w:rPr>
          <w:rFonts w:hint="eastAsia" w:ascii="宋体" w:hAnsi="宋体" w:eastAsia="宋体" w:cs="宋体"/>
          <w:color w:val="auto"/>
          <w:sz w:val="21"/>
          <w:szCs w:val="21"/>
        </w:rPr>
        <w:t>人</w:t>
      </w:r>
      <w:r>
        <w:rPr>
          <w:rFonts w:hint="eastAsia" w:ascii="宋体" w:hAnsi="宋体" w:eastAsia="宋体" w:cs="宋体"/>
          <w:color w:val="auto"/>
          <w:spacing w:val="-3"/>
          <w:sz w:val="21"/>
          <w:szCs w:val="21"/>
        </w:rPr>
        <w:t>：</w:t>
      </w:r>
      <w:r>
        <w:rPr>
          <w:rFonts w:hint="eastAsia" w:ascii="宋体" w:hAnsi="宋体" w:eastAsia="宋体" w:cs="宋体"/>
          <w:color w:val="auto"/>
          <w:spacing w:val="-3"/>
          <w:sz w:val="21"/>
          <w:szCs w:val="21"/>
          <w:u w:val="single"/>
        </w:rPr>
        <w:t xml:space="preserve">  </w:t>
      </w:r>
      <w:r>
        <w:rPr>
          <w:rFonts w:hint="eastAsia" w:ascii="宋体" w:hAnsi="宋体" w:eastAsia="宋体" w:cs="宋体"/>
          <w:color w:val="auto"/>
          <w:spacing w:val="-3"/>
          <w:sz w:val="21"/>
          <w:szCs w:val="21"/>
          <w:u w:val="single"/>
          <w:lang w:val="en-US" w:eastAsia="zh-CN"/>
        </w:rPr>
        <w:t xml:space="preserve">        </w:t>
      </w:r>
      <w:r>
        <w:rPr>
          <w:rFonts w:hint="eastAsia" w:ascii="宋体" w:hAnsi="宋体" w:eastAsia="宋体" w:cs="宋体"/>
          <w:color w:val="auto"/>
          <w:spacing w:val="-3"/>
          <w:sz w:val="21"/>
          <w:szCs w:val="21"/>
          <w:u w:val="single"/>
        </w:rPr>
        <w:t xml:space="preserve"> </w:t>
      </w:r>
      <w:r>
        <w:rPr>
          <w:rFonts w:hint="eastAsia" w:ascii="宋体" w:hAnsi="宋体" w:eastAsia="宋体" w:cs="宋体"/>
          <w:color w:val="auto"/>
          <w:sz w:val="21"/>
          <w:szCs w:val="21"/>
        </w:rPr>
        <w:t>（签</w:t>
      </w:r>
      <w:r>
        <w:rPr>
          <w:rFonts w:hint="eastAsia" w:ascii="宋体" w:hAnsi="宋体" w:eastAsia="宋体" w:cs="宋体"/>
          <w:color w:val="auto"/>
          <w:spacing w:val="-3"/>
          <w:sz w:val="21"/>
          <w:szCs w:val="21"/>
        </w:rPr>
        <w:t>字</w:t>
      </w:r>
      <w:r>
        <w:rPr>
          <w:rFonts w:hint="eastAsia" w:ascii="宋体" w:hAnsi="宋体" w:eastAsia="宋体" w:cs="宋体"/>
          <w:color w:val="auto"/>
          <w:sz w:val="21"/>
          <w:szCs w:val="21"/>
        </w:rPr>
        <w:t>）</w:t>
      </w:r>
    </w:p>
    <w:p>
      <w:pPr>
        <w:pStyle w:val="24"/>
        <w:tabs>
          <w:tab w:val="left" w:pos="7776"/>
        </w:tabs>
        <w:spacing w:before="78" w:line="360" w:lineRule="auto"/>
        <w:ind w:left="2921"/>
        <w:jc w:val="left"/>
        <w:rPr>
          <w:rFonts w:hint="eastAsia" w:ascii="宋体" w:hAnsi="宋体" w:eastAsia="宋体" w:cs="宋体"/>
          <w:color w:val="auto"/>
          <w:sz w:val="21"/>
          <w:szCs w:val="21"/>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
      <w:pPr>
        <w:pStyle w:val="24"/>
        <w:bidi w:val="0"/>
        <w:rPr>
          <w:rFonts w:hint="eastAsia"/>
          <w:color w:val="auto"/>
          <w:lang w:val="en-US"/>
        </w:rPr>
      </w:pPr>
    </w:p>
    <w:p>
      <w:pPr>
        <w:pStyle w:val="136"/>
        <w:jc w:val="center"/>
        <w:outlineLvl w:val="0"/>
        <w:rPr>
          <w:rFonts w:hint="eastAsia"/>
          <w:color w:val="auto"/>
          <w:sz w:val="48"/>
          <w:szCs w:val="48"/>
          <w:lang w:val="en-US" w:eastAsia="zh-CN"/>
        </w:rPr>
      </w:pPr>
      <w:r>
        <w:rPr>
          <w:rFonts w:hint="eastAsia" w:asciiTheme="minorEastAsia" w:hAnsiTheme="minorEastAsia" w:eastAsiaTheme="minorEastAsia" w:cstheme="minorEastAsia"/>
          <w:b/>
          <w:bCs/>
          <w:color w:val="auto"/>
          <w:spacing w:val="0"/>
          <w:kern w:val="2"/>
          <w:sz w:val="28"/>
          <w:szCs w:val="28"/>
          <w:lang w:val="en-US" w:eastAsia="zh-CN" w:bidi="ar-SA"/>
        </w:rPr>
        <w:t>十</w:t>
      </w:r>
      <w:r>
        <w:rPr>
          <w:rFonts w:hint="eastAsia" w:asciiTheme="minorEastAsia" w:hAnsiTheme="minorEastAsia" w:cstheme="minorEastAsia"/>
          <w:b/>
          <w:bCs/>
          <w:color w:val="auto"/>
          <w:spacing w:val="0"/>
          <w:kern w:val="2"/>
          <w:sz w:val="28"/>
          <w:szCs w:val="28"/>
          <w:lang w:val="en-US" w:eastAsia="zh-CN" w:bidi="ar-SA"/>
        </w:rPr>
        <w:t>二</w:t>
      </w:r>
      <w:r>
        <w:rPr>
          <w:rFonts w:hint="eastAsia" w:asciiTheme="minorEastAsia" w:hAnsiTheme="minorEastAsia" w:eastAsiaTheme="minorEastAsia" w:cstheme="minorEastAsia"/>
          <w:b/>
          <w:bCs/>
          <w:color w:val="auto"/>
          <w:spacing w:val="0"/>
          <w:kern w:val="2"/>
          <w:sz w:val="28"/>
          <w:szCs w:val="28"/>
          <w:lang w:val="en-US" w:eastAsia="zh-CN" w:bidi="ar-SA"/>
        </w:rPr>
        <w:t>、其他资料</w:t>
      </w:r>
      <w:bookmarkEnd w:id="130"/>
      <w:bookmarkEnd w:id="131"/>
    </w:p>
    <w:p>
      <w:pPr>
        <w:pStyle w:val="25"/>
        <w:bidi w:val="0"/>
        <w:jc w:val="left"/>
        <w:outlineLvl w:val="9"/>
        <w:rPr>
          <w:rFonts w:hint="eastAsia"/>
          <w:color w:val="auto"/>
          <w:lang w:val="en-US" w:eastAsia="zh-CN"/>
        </w:rPr>
        <w:sectPr>
          <w:pgSz w:w="11907" w:h="16840"/>
          <w:pgMar w:top="1418" w:right="1134" w:bottom="1418" w:left="1134" w:header="720" w:footer="720" w:gutter="0"/>
          <w:pgNumType w:fmt="decimal"/>
          <w:cols w:space="720" w:num="1"/>
          <w:docGrid w:type="lines" w:linePitch="312" w:charSpace="0"/>
        </w:sectPr>
      </w:pPr>
      <w:r>
        <w:rPr>
          <w:rFonts w:hint="eastAsia"/>
          <w:color w:val="auto"/>
          <w:lang w:val="en-US" w:eastAsia="zh-CN"/>
        </w:rPr>
        <w:t>注：供应商认为需要提供的其他证明资料</w:t>
      </w:r>
      <w:bookmarkEnd w:id="115"/>
      <w:bookmarkEnd w:id="116"/>
      <w:bookmarkEnd w:id="117"/>
      <w:bookmarkEnd w:id="118"/>
      <w:bookmarkEnd w:id="119"/>
      <w:bookmarkEnd w:id="120"/>
      <w:bookmarkEnd w:id="121"/>
      <w:bookmarkEnd w:id="122"/>
    </w:p>
    <w:p>
      <w:pPr>
        <w:pStyle w:val="6"/>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附件：</w:t>
      </w:r>
    </w:p>
    <w:p>
      <w:pPr>
        <w:pStyle w:val="5"/>
        <w:jc w:val="left"/>
        <w:rPr>
          <w:rFonts w:ascii="宋体" w:hAnsi="宋体" w:cs="宋体"/>
          <w:bCs w:val="0"/>
          <w:color w:val="auto"/>
          <w:highlight w:val="white"/>
        </w:rPr>
      </w:pPr>
      <w:r>
        <w:rPr>
          <w:rFonts w:hint="eastAsia" w:ascii="宋体" w:hAnsi="宋体" w:cs="宋体"/>
          <w:bCs w:val="0"/>
        </w:rPr>
        <w:t>享受政府采购优惠政策证明材料（如有）</w:t>
      </w:r>
    </w:p>
    <w:p>
      <w:pPr>
        <w:pStyle w:val="3"/>
        <w:bidi w:val="0"/>
        <w:jc w:val="center"/>
        <w:rPr>
          <w:rFonts w:hint="eastAsia"/>
          <w:lang w:eastAsia="zh-CN"/>
        </w:rPr>
      </w:pPr>
      <w:r>
        <w:rPr>
          <w:rFonts w:hint="eastAsia"/>
          <w:lang w:eastAsia="zh-CN"/>
        </w:rPr>
        <w:t>中小企业声明函（货物）</w:t>
      </w:r>
    </w:p>
    <w:p>
      <w:pPr>
        <w:spacing w:line="360" w:lineRule="auto"/>
        <w:ind w:firstLine="480" w:firstLineChars="200"/>
        <w:rPr>
          <w:rFonts w:hint="eastAsia"/>
          <w:sz w:val="24"/>
          <w:szCs w:val="24"/>
          <w:u w:val="none"/>
          <w:lang w:val="en-US" w:eastAsia="zh-CN"/>
        </w:rPr>
      </w:pPr>
      <w:r>
        <w:rPr>
          <w:rFonts w:hint="eastAsia"/>
          <w:sz w:val="24"/>
          <w:szCs w:val="24"/>
          <w:lang w:val="en-US" w:eastAsia="zh-CN"/>
        </w:rPr>
        <w:t>本公司（联合体）郑重声明，根据《政府采购促进中小企业发展管理办法》（财库（2020）46号）的规定，本公司（联合体）参加</w:t>
      </w:r>
      <w:r>
        <w:rPr>
          <w:rFonts w:hint="eastAsia"/>
          <w:sz w:val="24"/>
          <w:szCs w:val="24"/>
          <w:u w:val="single"/>
          <w:lang w:val="en-US" w:eastAsia="zh-CN"/>
        </w:rPr>
        <w:t xml:space="preserve">                    （单位名称）</w:t>
      </w:r>
      <w:r>
        <w:rPr>
          <w:rFonts w:hint="eastAsia"/>
          <w:sz w:val="24"/>
          <w:szCs w:val="24"/>
          <w:u w:val="none"/>
          <w:lang w:val="en-US" w:eastAsia="zh-CN"/>
        </w:rPr>
        <w:t>的</w:t>
      </w:r>
      <w:r>
        <w:rPr>
          <w:rFonts w:hint="eastAsia"/>
          <w:sz w:val="24"/>
          <w:szCs w:val="24"/>
          <w:u w:val="single"/>
          <w:lang w:val="en-US" w:eastAsia="zh-CN"/>
        </w:rPr>
        <w:t xml:space="preserve">                  （项目名称）</w:t>
      </w:r>
      <w:r>
        <w:rPr>
          <w:rFonts w:hint="eastAsia"/>
          <w:sz w:val="24"/>
          <w:szCs w:val="24"/>
          <w:u w:val="none"/>
          <w:lang w:val="en-US" w:eastAsia="zh-CN"/>
        </w:rPr>
        <w:t>采购活动，提供的货物全部由符合政策要求的中小企业制造。相关企业（含联合体中的中小企业、签订分包意向协议的中小企业）的具体情况如下：</w:t>
      </w:r>
    </w:p>
    <w:p>
      <w:pPr>
        <w:numPr>
          <w:ilvl w:val="0"/>
          <w:numId w:val="4"/>
        </w:numPr>
        <w:spacing w:line="360" w:lineRule="auto"/>
        <w:ind w:firstLine="480" w:firstLineChars="200"/>
        <w:rPr>
          <w:rFonts w:hint="default"/>
          <w:sz w:val="24"/>
          <w:szCs w:val="24"/>
          <w:u w:val="none"/>
          <w:lang w:val="en-US" w:eastAsia="zh-CN"/>
        </w:rPr>
      </w:pPr>
      <w:r>
        <w:rPr>
          <w:rFonts w:hint="eastAsia"/>
          <w:sz w:val="24"/>
          <w:szCs w:val="24"/>
          <w:u w:val="single"/>
          <w:lang w:val="en-US" w:eastAsia="zh-CN"/>
        </w:rPr>
        <w:t xml:space="preserve">                 （标的名称）</w:t>
      </w:r>
      <w:r>
        <w:rPr>
          <w:rFonts w:hint="eastAsia"/>
          <w:sz w:val="24"/>
          <w:szCs w:val="24"/>
          <w:u w:val="none"/>
          <w:lang w:val="en-US" w:eastAsia="zh-CN"/>
        </w:rPr>
        <w:t>，属于</w:t>
      </w:r>
      <w:r>
        <w:rPr>
          <w:rFonts w:hint="eastAsia"/>
          <w:sz w:val="24"/>
          <w:szCs w:val="24"/>
          <w:u w:val="single"/>
          <w:lang w:val="en-US" w:eastAsia="zh-CN"/>
        </w:rPr>
        <w:t xml:space="preserve">                 （采购文件中明确的所属行业）行业；</w:t>
      </w:r>
      <w:r>
        <w:rPr>
          <w:rFonts w:hint="eastAsia"/>
          <w:sz w:val="24"/>
          <w:szCs w:val="24"/>
          <w:u w:val="none"/>
          <w:lang w:val="en-US" w:eastAsia="zh-CN"/>
        </w:rPr>
        <w:t>制造商为</w:t>
      </w:r>
      <w:r>
        <w:rPr>
          <w:rFonts w:hint="eastAsia"/>
          <w:sz w:val="24"/>
          <w:szCs w:val="24"/>
          <w:u w:val="single"/>
          <w:lang w:val="en-US" w:eastAsia="zh-CN"/>
        </w:rPr>
        <w:t xml:space="preserve">                    （企业名称）</w:t>
      </w:r>
      <w:r>
        <w:rPr>
          <w:rFonts w:hint="eastAsia"/>
          <w:sz w:val="24"/>
          <w:szCs w:val="24"/>
          <w:u w:val="none"/>
          <w:lang w:val="en-US" w:eastAsia="zh-CN"/>
        </w:rPr>
        <w:t>，从业人员</w:t>
      </w:r>
      <w:r>
        <w:rPr>
          <w:rFonts w:hint="eastAsia"/>
          <w:sz w:val="24"/>
          <w:szCs w:val="24"/>
          <w:u w:val="single"/>
          <w:lang w:val="en-US" w:eastAsia="zh-CN"/>
        </w:rPr>
        <w:t xml:space="preserve">       </w:t>
      </w:r>
      <w:r>
        <w:rPr>
          <w:rFonts w:hint="eastAsia"/>
          <w:sz w:val="24"/>
          <w:szCs w:val="24"/>
          <w:u w:val="none"/>
          <w:lang w:val="en-US" w:eastAsia="zh-CN"/>
        </w:rPr>
        <w:t>人，营业收入为</w:t>
      </w:r>
      <w:r>
        <w:rPr>
          <w:rFonts w:hint="eastAsia"/>
          <w:sz w:val="24"/>
          <w:szCs w:val="24"/>
          <w:u w:val="single"/>
          <w:lang w:val="en-US" w:eastAsia="zh-CN"/>
        </w:rPr>
        <w:t xml:space="preserve">         </w:t>
      </w:r>
      <w:r>
        <w:rPr>
          <w:rFonts w:hint="eastAsia"/>
          <w:sz w:val="24"/>
          <w:szCs w:val="24"/>
          <w:u w:val="none"/>
          <w:lang w:val="en-US" w:eastAsia="zh-CN"/>
        </w:rPr>
        <w:t>万元，资产总额为</w:t>
      </w:r>
      <w:r>
        <w:rPr>
          <w:rFonts w:hint="eastAsia"/>
          <w:sz w:val="24"/>
          <w:szCs w:val="24"/>
          <w:u w:val="single"/>
          <w:lang w:val="en-US" w:eastAsia="zh-CN"/>
        </w:rPr>
        <w:t xml:space="preserve">             </w:t>
      </w:r>
      <w:r>
        <w:rPr>
          <w:rFonts w:hint="eastAsia"/>
          <w:sz w:val="24"/>
          <w:szCs w:val="24"/>
          <w:u w:val="none"/>
          <w:lang w:val="en-US" w:eastAsia="zh-CN"/>
        </w:rPr>
        <w:t>万元，属于</w:t>
      </w:r>
      <w:r>
        <w:rPr>
          <w:rFonts w:hint="eastAsia"/>
          <w:sz w:val="24"/>
          <w:szCs w:val="24"/>
          <w:u w:val="single"/>
          <w:lang w:val="en-US" w:eastAsia="zh-CN"/>
        </w:rPr>
        <w:t>（中型企业、小型企业、微型企业）</w:t>
      </w:r>
      <w:r>
        <w:rPr>
          <w:rFonts w:hint="eastAsia"/>
          <w:sz w:val="24"/>
          <w:szCs w:val="24"/>
          <w:u w:val="none"/>
          <w:lang w:val="en-US" w:eastAsia="zh-CN"/>
        </w:rPr>
        <w:t>；</w:t>
      </w:r>
    </w:p>
    <w:p>
      <w:pPr>
        <w:numPr>
          <w:ilvl w:val="0"/>
          <w:numId w:val="4"/>
        </w:numPr>
        <w:spacing w:line="360" w:lineRule="auto"/>
        <w:ind w:firstLine="480" w:firstLineChars="200"/>
        <w:rPr>
          <w:rFonts w:hint="default"/>
          <w:sz w:val="24"/>
          <w:szCs w:val="24"/>
          <w:u w:val="none"/>
          <w:lang w:val="en-US" w:eastAsia="zh-CN"/>
        </w:rPr>
      </w:pPr>
      <w:r>
        <w:rPr>
          <w:rFonts w:hint="eastAsia"/>
          <w:sz w:val="24"/>
          <w:szCs w:val="24"/>
          <w:u w:val="single"/>
          <w:lang w:val="en-US" w:eastAsia="zh-CN"/>
        </w:rPr>
        <w:t xml:space="preserve">                 （标的名称）</w:t>
      </w:r>
      <w:r>
        <w:rPr>
          <w:rFonts w:hint="eastAsia"/>
          <w:sz w:val="24"/>
          <w:szCs w:val="24"/>
          <w:u w:val="none"/>
          <w:lang w:val="en-US" w:eastAsia="zh-CN"/>
        </w:rPr>
        <w:t>，属于</w:t>
      </w:r>
      <w:r>
        <w:rPr>
          <w:rFonts w:hint="eastAsia"/>
          <w:sz w:val="24"/>
          <w:szCs w:val="24"/>
          <w:u w:val="single"/>
          <w:lang w:val="en-US" w:eastAsia="zh-CN"/>
        </w:rPr>
        <w:t xml:space="preserve">                 （采购文件中明确的所属行业）行业；</w:t>
      </w:r>
      <w:r>
        <w:rPr>
          <w:rFonts w:hint="eastAsia"/>
          <w:sz w:val="24"/>
          <w:szCs w:val="24"/>
          <w:u w:val="none"/>
          <w:lang w:val="en-US" w:eastAsia="zh-CN"/>
        </w:rPr>
        <w:t>制造商为</w:t>
      </w:r>
      <w:r>
        <w:rPr>
          <w:rFonts w:hint="eastAsia"/>
          <w:sz w:val="24"/>
          <w:szCs w:val="24"/>
          <w:u w:val="single"/>
          <w:lang w:val="en-US" w:eastAsia="zh-CN"/>
        </w:rPr>
        <w:t xml:space="preserve">                    （企业名称）</w:t>
      </w:r>
      <w:r>
        <w:rPr>
          <w:rFonts w:hint="eastAsia"/>
          <w:sz w:val="24"/>
          <w:szCs w:val="24"/>
          <w:u w:val="none"/>
          <w:lang w:val="en-US" w:eastAsia="zh-CN"/>
        </w:rPr>
        <w:t>，从业人员</w:t>
      </w:r>
      <w:r>
        <w:rPr>
          <w:rFonts w:hint="eastAsia"/>
          <w:sz w:val="24"/>
          <w:szCs w:val="24"/>
          <w:u w:val="single"/>
          <w:lang w:val="en-US" w:eastAsia="zh-CN"/>
        </w:rPr>
        <w:t xml:space="preserve">       </w:t>
      </w:r>
      <w:r>
        <w:rPr>
          <w:rFonts w:hint="eastAsia"/>
          <w:sz w:val="24"/>
          <w:szCs w:val="24"/>
          <w:u w:val="none"/>
          <w:lang w:val="en-US" w:eastAsia="zh-CN"/>
        </w:rPr>
        <w:t>人，营业收入为</w:t>
      </w:r>
      <w:r>
        <w:rPr>
          <w:rFonts w:hint="eastAsia"/>
          <w:sz w:val="24"/>
          <w:szCs w:val="24"/>
          <w:u w:val="single"/>
          <w:lang w:val="en-US" w:eastAsia="zh-CN"/>
        </w:rPr>
        <w:t xml:space="preserve">         </w:t>
      </w:r>
      <w:r>
        <w:rPr>
          <w:rFonts w:hint="eastAsia"/>
          <w:sz w:val="24"/>
          <w:szCs w:val="24"/>
          <w:u w:val="none"/>
          <w:lang w:val="en-US" w:eastAsia="zh-CN"/>
        </w:rPr>
        <w:t>万元，资产总额为</w:t>
      </w:r>
      <w:r>
        <w:rPr>
          <w:rFonts w:hint="eastAsia"/>
          <w:sz w:val="24"/>
          <w:szCs w:val="24"/>
          <w:u w:val="single"/>
          <w:lang w:val="en-US" w:eastAsia="zh-CN"/>
        </w:rPr>
        <w:t xml:space="preserve">             </w:t>
      </w:r>
      <w:r>
        <w:rPr>
          <w:rFonts w:hint="eastAsia"/>
          <w:sz w:val="24"/>
          <w:szCs w:val="24"/>
          <w:u w:val="none"/>
          <w:lang w:val="en-US" w:eastAsia="zh-CN"/>
        </w:rPr>
        <w:t>万元，属于</w:t>
      </w:r>
      <w:r>
        <w:rPr>
          <w:rFonts w:hint="eastAsia"/>
          <w:sz w:val="24"/>
          <w:szCs w:val="24"/>
          <w:u w:val="single"/>
          <w:lang w:val="en-US" w:eastAsia="zh-CN"/>
        </w:rPr>
        <w:t>（中型企业、小型企业、微型企业）</w:t>
      </w:r>
      <w:r>
        <w:rPr>
          <w:rFonts w:hint="eastAsia"/>
          <w:sz w:val="24"/>
          <w:szCs w:val="24"/>
          <w:u w:val="none"/>
          <w:lang w:val="en-US" w:eastAsia="zh-CN"/>
        </w:rPr>
        <w:t>；</w:t>
      </w:r>
    </w:p>
    <w:p>
      <w:pPr>
        <w:numPr>
          <w:ilvl w:val="0"/>
          <w:numId w:val="0"/>
        </w:numPr>
        <w:spacing w:line="360" w:lineRule="auto"/>
        <w:ind w:firstLine="480" w:firstLineChars="200"/>
        <w:rPr>
          <w:rFonts w:hint="eastAsia"/>
          <w:sz w:val="24"/>
          <w:szCs w:val="24"/>
          <w:u w:val="none"/>
          <w:lang w:val="en-US" w:eastAsia="zh-CN"/>
        </w:rPr>
      </w:pPr>
      <w:r>
        <w:rPr>
          <w:rFonts w:hint="eastAsia"/>
          <w:sz w:val="24"/>
          <w:szCs w:val="24"/>
          <w:u w:val="none"/>
          <w:lang w:val="en-US" w:eastAsia="zh-CN"/>
        </w:rPr>
        <w:t>........</w:t>
      </w:r>
    </w:p>
    <w:p>
      <w:pPr>
        <w:numPr>
          <w:ilvl w:val="0"/>
          <w:numId w:val="0"/>
        </w:numPr>
        <w:spacing w:line="360" w:lineRule="auto"/>
        <w:ind w:firstLine="480" w:firstLineChars="200"/>
        <w:rPr>
          <w:rFonts w:hint="eastAsia"/>
          <w:sz w:val="24"/>
          <w:szCs w:val="24"/>
          <w:u w:val="none"/>
          <w:lang w:val="en-US" w:eastAsia="zh-CN"/>
        </w:rPr>
      </w:pPr>
      <w:r>
        <w:rPr>
          <w:rFonts w:hint="eastAsia"/>
          <w:sz w:val="24"/>
          <w:szCs w:val="24"/>
          <w:u w:val="none"/>
          <w:lang w:val="en-US" w:eastAsia="zh-CN"/>
        </w:rPr>
        <w:t>以上企业，不属于大企业的分支机构，不存在控股股东为大企业的情形，也不存在于大企业的负责人为同一人的情况。</w:t>
      </w:r>
    </w:p>
    <w:p>
      <w:pPr>
        <w:numPr>
          <w:ilvl w:val="0"/>
          <w:numId w:val="0"/>
        </w:numPr>
        <w:spacing w:line="360" w:lineRule="auto"/>
        <w:ind w:firstLine="480" w:firstLineChars="200"/>
        <w:rPr>
          <w:rFonts w:hint="eastAsia"/>
          <w:sz w:val="24"/>
          <w:szCs w:val="24"/>
          <w:u w:val="none"/>
          <w:lang w:val="en-US" w:eastAsia="zh-CN"/>
        </w:rPr>
      </w:pPr>
      <w:r>
        <w:rPr>
          <w:rFonts w:hint="eastAsia"/>
          <w:sz w:val="24"/>
          <w:szCs w:val="24"/>
          <w:u w:val="none"/>
          <w:lang w:val="en-US" w:eastAsia="zh-CN"/>
        </w:rPr>
        <w:t>本企业对上述声明内容的真实性负责。如有虚假，将依法承担相应责任。</w:t>
      </w: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rPr>
          <w:rFonts w:hint="eastAsia"/>
          <w:sz w:val="24"/>
          <w:szCs w:val="24"/>
          <w:u w:val="none"/>
          <w:lang w:val="en-US" w:eastAsia="zh-CN"/>
        </w:rPr>
      </w:pP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ind w:firstLine="480" w:firstLineChars="200"/>
        <w:jc w:val="center"/>
        <w:rPr>
          <w:rFonts w:hint="eastAsia"/>
          <w:sz w:val="24"/>
          <w:szCs w:val="24"/>
          <w:u w:val="none"/>
          <w:lang w:val="en-US" w:eastAsia="zh-CN"/>
        </w:rPr>
      </w:pPr>
      <w:r>
        <w:rPr>
          <w:rFonts w:hint="eastAsia"/>
          <w:sz w:val="24"/>
          <w:szCs w:val="24"/>
          <w:u w:val="none"/>
          <w:lang w:val="en-US" w:eastAsia="zh-CN"/>
        </w:rPr>
        <w:t xml:space="preserve">                企业名称（盖章）：</w:t>
      </w:r>
    </w:p>
    <w:p>
      <w:pPr>
        <w:numPr>
          <w:ilvl w:val="0"/>
          <w:numId w:val="0"/>
        </w:numPr>
        <w:spacing w:line="360" w:lineRule="auto"/>
        <w:ind w:firstLine="4320" w:firstLineChars="1800"/>
        <w:jc w:val="both"/>
        <w:rPr>
          <w:rFonts w:hint="default" w:asciiTheme="minorEastAsia" w:hAnsiTheme="minorEastAsia" w:cstheme="minorEastAsia"/>
          <w:b/>
          <w:bCs/>
          <w:color w:val="auto"/>
          <w:spacing w:val="0"/>
          <w:sz w:val="28"/>
          <w:szCs w:val="28"/>
          <w:lang w:val="en-US" w:eastAsia="zh-CN"/>
        </w:rPr>
      </w:pPr>
      <w:r>
        <w:rPr>
          <w:rFonts w:hint="eastAsia"/>
          <w:sz w:val="24"/>
          <w:szCs w:val="24"/>
          <w:u w:val="none"/>
          <w:lang w:val="en-US" w:eastAsia="zh-CN"/>
        </w:rPr>
        <w:t>日期：</w:t>
      </w:r>
    </w:p>
    <w:p>
      <w:pPr>
        <w:jc w:val="center"/>
        <w:rPr>
          <w:rFonts w:hint="eastAsia" w:ascii="宋体" w:hAnsi="宋体"/>
          <w:b/>
          <w:color w:val="auto"/>
          <w:sz w:val="24"/>
          <w:szCs w:val="24"/>
        </w:rPr>
      </w:pPr>
    </w:p>
    <w:sectPr>
      <w:pgSz w:w="11907" w:h="16840"/>
      <w:pgMar w:top="1418" w:right="1134" w:bottom="1418" w:left="113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icrosoft YaHei UI">
    <w:altName w:val="宋体"/>
    <w:panose1 w:val="020B0503020204020204"/>
    <w:charset w:val="86"/>
    <w:family w:val="swiss"/>
    <w:pitch w:val="default"/>
    <w:sig w:usb0="00000000" w:usb1="0000000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Univers LT Std 47 Cn Lt">
    <w:altName w:val="宋体"/>
    <w:panose1 w:val="00000000000000000000"/>
    <w:charset w:val="86"/>
    <w:family w:val="swiss"/>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49225" cy="157480"/>
              <wp:effectExtent l="0" t="0" r="0" b="0"/>
              <wp:wrapNone/>
              <wp:docPr id="5" name="文本框 1041"/>
              <wp:cNvGraphicFramePr/>
              <a:graphic xmlns:a="http://schemas.openxmlformats.org/drawingml/2006/main">
                <a:graphicData uri="http://schemas.microsoft.com/office/word/2010/wordprocessingShape">
                  <wps:wsp>
                    <wps:cNvSpPr txBox="1"/>
                    <wps:spPr>
                      <a:xfrm>
                        <a:off x="0" y="0"/>
                        <a:ext cx="149225" cy="157480"/>
                      </a:xfrm>
                      <a:prstGeom prst="rect">
                        <a:avLst/>
                      </a:prstGeom>
                      <a:noFill/>
                      <a:ln>
                        <a:noFill/>
                      </a:ln>
                    </wps:spPr>
                    <wps:txbx>
                      <w:txbxContent>
                        <w:p>
                          <w:pPr>
                            <w:pStyle w:val="20"/>
                            <w:rPr>
                              <w:rFonts w:hint="eastAsia" w:eastAsiaTheme="minorEastAsia"/>
                              <w:lang w:eastAsia="zh-CN"/>
                            </w:rPr>
                          </w:pPr>
                        </w:p>
                      </w:txbxContent>
                    </wps:txbx>
                    <wps:bodyPr lIns="0" tIns="0" rIns="0" bIns="0" upright="0"/>
                  </wps:wsp>
                </a:graphicData>
              </a:graphic>
            </wp:anchor>
          </w:drawing>
        </mc:Choice>
        <mc:Fallback>
          <w:pict>
            <v:shape id="文本框 1041" o:spid="_x0000_s1026" o:spt="202" type="#_x0000_t202" style="position:absolute;left:0pt;margin-top:0pt;height:12.4pt;width:11.75pt;mso-position-horizontal:center;mso-position-horizontal-relative:margin;z-index:251662336;mso-width-relative:page;mso-height-relative:page;" filled="f" stroked="f" coordsize="21600,21600" o:gfxdata="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B2GXtQAAAADAQAADwAAAAAAAAABACAAAAAiAAAAZHJzL2Rvd25yZXYueG1sUEsBAhQA&#10;FAAAAAgAh07iQIDpLZm9AQAAdAMAAA4AAAAAAAAAAQAgAAAAIwEAAGRycy9lMm9Eb2MueG1sUEsF&#10;BgAAAAAGAAYAWQEAAFIFAAAAAA==&#10;">
              <v:fill on="f" focussize="0,0"/>
              <v:stroke on="f"/>
              <v:imagedata o:title=""/>
              <o:lock v:ext="edit" aspectratio="f"/>
              <v:textbox inset="0mm,0mm,0mm,0mm">
                <w:txbxContent>
                  <w:p>
                    <w:pPr>
                      <w:pStyle w:val="20"/>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posOffset>2552700</wp:posOffset>
              </wp:positionH>
              <wp:positionV relativeFrom="paragraph">
                <wp:posOffset>-27305</wp:posOffset>
              </wp:positionV>
              <wp:extent cx="167005" cy="147955"/>
              <wp:effectExtent l="0" t="0" r="0" b="0"/>
              <wp:wrapNone/>
              <wp:docPr id="4" name="文本框 1034"/>
              <wp:cNvGraphicFramePr/>
              <a:graphic xmlns:a="http://schemas.openxmlformats.org/drawingml/2006/main">
                <a:graphicData uri="http://schemas.microsoft.com/office/word/2010/wordprocessingShape">
                  <wps:wsp>
                    <wps:cNvSpPr txBox="1"/>
                    <wps:spPr>
                      <a:xfrm>
                        <a:off x="0" y="0"/>
                        <a:ext cx="167005" cy="147955"/>
                      </a:xfrm>
                      <a:prstGeom prst="rect">
                        <a:avLst/>
                      </a:prstGeom>
                      <a:noFill/>
                      <a:ln>
                        <a:noFill/>
                      </a:ln>
                    </wps:spPr>
                    <wps:txbx>
                      <w:txbxContent>
                        <w:p>
                          <w:pPr>
                            <w:pStyle w:val="20"/>
                          </w:pPr>
                        </w:p>
                      </w:txbxContent>
                    </wps:txbx>
                    <wps:bodyPr lIns="0" tIns="0" rIns="0" bIns="0" upright="0"/>
                  </wps:wsp>
                </a:graphicData>
              </a:graphic>
            </wp:anchor>
          </w:drawing>
        </mc:Choice>
        <mc:Fallback>
          <w:pict>
            <v:shape id="文本框 1034" o:spid="_x0000_s1026" o:spt="202" type="#_x0000_t202" style="position:absolute;left:0pt;margin-left:201pt;margin-top:-2.15pt;height:11.65pt;width:13.15pt;mso-position-horizontal-relative:margin;z-index:251661312;mso-width-relative:page;mso-height-relative:page;" filled="f" stroked="f" coordsize="21600,21600" o:gfxdata="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N6NoLYAAAACQEAAA8AAAAAAAAAAQAgAAAAIgAAAGRycy9kb3ducmV2LnhtbFBL&#10;AQIUABQAAAAIAIdO4kAWmAjSvQEAAHQDAAAOAAAAAAAAAAEAIAAAACcBAABkcnMvZTJvRG9jLnht&#10;bFBLBQYAAAAABgAGAFkBAABWBQAAAAA=&#10;">
              <v:fill on="f" focussize="0,0"/>
              <v:stroke on="f"/>
              <v:imagedata o:title=""/>
              <o:lock v:ext="edit" aspectratio="f"/>
              <v:textbox inset="0mm,0mm,0mm,0mm">
                <w:txbxContent>
                  <w:p>
                    <w:pPr>
                      <w:pStyle w:val="2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CIaW8sBAACcAwAADgAAAGRycy9lMm9Eb2MueG1srVPNjtMwEL4j8Q6W&#10;79RptYIq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fUWJ4xYHfvn+7fLj1+XnV7Ks&#10;bm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giGlvLAQAAnAMAAA4AAAAAAAAAAQAgAAAAHgEAAGRycy9lMm9E&#10;b2MueG1sUEsFBgAAAAAGAAYAWQEAAFs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-9922510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p>
                      </w:txbxContent>
                    </wps:txbx>
                    <wps:bodyPr wrap="none" lIns="0" tIns="0" rIns="0" bIns="0" upright="0">
                      <a:spAutoFit/>
                    </wps:bodyPr>
                  </wps:wsp>
                </a:graphicData>
              </a:graphic>
            </wp:anchor>
          </w:drawing>
        </mc:Choice>
        <mc:Fallback>
          <w:pict>
            <v:shape id="文本框 1030" o:spid="_x0000_s1026" o:spt="202" type="#_x0000_t202" style="position:absolute;left:0pt;margin-top:-781.3pt;height:144pt;width:144pt;mso-position-horizontal:center;mso-position-horizontal-relative:margin;mso-wrap-style:none;z-index:251660288;mso-width-relative:page;mso-height-relative:page;" filled="f" stroked="f" coordsize="21600,21600" o:gfxdata="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GDMGdcAAAAMAQAADwAAAAAAAAABACAAAAAiAAAAZHJzL2Rv&#10;d25yZXYueG1sUEsBAhQAFAAAAAgAh07iQIB6Cd/JAQAAnAMAAA4AAAAAAAAAAQAgAAAAJgEAAGRy&#10;cy9lMm9Eb2MueG1sUEsFBgAAAAAGAAYAWQEAAGEFAAAAAA==&#10;">
              <v:fill on="f" focussize="0,0"/>
              <v:stroke on="f"/>
              <v:imagedata o:title=""/>
              <o:lock v:ext="edit" aspectratio="f"/>
              <v:textbox inset="0mm,0mm,0mm,0mm" style="mso-fit-shape-to-text:t;">
                <w:txbxContent>
                  <w:p>
                    <w:pPr>
                      <w:pStyle w:val="20"/>
                    </w:pP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4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TH2co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4tgdtzjwy/dvlx+/Lj+/kmX1&#10;8lVWqA9QY+JdwNQ0vPUD7s3sB3Rm4oOKNn+REsE46nu+6iuHRER+tF6t1xWGBMbmC+Kzh+chQnon&#10;vSXZaGjEARZd+ekDpDF1TsnVnL/VxpQhGveXAzGzh+Xexx6zlYb9MBHa+/aMfHqcfUMdrjol5r1D&#10;afOazEacjf1sHEPUh67sUa4H4c0xYROlt1xhhJ0K49AKu2nB8lb8eS9ZD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cTH2coBAACcAwAADgAAAAAAAAABACAAAAAeAQAAZHJzL2Uyb0Rv&#10;Yy54bWxQSwUGAAAAAAYABgBZAQAAWg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-9922510</wp:posOffset>
              </wp:positionV>
              <wp:extent cx="1828800" cy="1828800"/>
              <wp:effectExtent l="0" t="0" r="0" b="0"/>
              <wp:wrapNone/>
              <wp:docPr id="6"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p>
                      </w:txbxContent>
                    </wps:txbx>
                    <wps:bodyPr wrap="none" lIns="0" tIns="0" rIns="0" bIns="0" upright="0">
                      <a:spAutoFit/>
                    </wps:bodyPr>
                  </wps:wsp>
                </a:graphicData>
              </a:graphic>
            </wp:anchor>
          </w:drawing>
        </mc:Choice>
        <mc:Fallback>
          <w:pict>
            <v:shape id="文本框 1043" o:spid="_x0000_s1026" o:spt="202" type="#_x0000_t202" style="position:absolute;left:0pt;margin-top:-781.3pt;height:144pt;width:144pt;mso-position-horizontal:center;mso-position-horizontal-relative:margin;mso-wrap-style:none;z-index:251663360;mso-width-relative:page;mso-height-relative:page;" filled="f" stroked="f" coordsize="21600,21600" o:gfxdata="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wYMwZ1wAAAAwBAAAPAAAAAAAAAAEAIAAAACIAAABkcnMv&#10;ZG93bnJldi54bWxQSwECFAAUAAAACACHTuJAFLFqtssBAACcAwAADgAAAAAAAAABACAAAAAmAQAA&#10;ZHJzL2Uyb0RvYy54bWxQSwUGAAAAAAYABgBZAQAAYwUAAAAA&#10;">
              <v:fill on="f" focussize="0,0"/>
              <v:stroke on="f"/>
              <v:imagedata o:title=""/>
              <o:lock v:ext="edit" aspectratio="f"/>
              <v:textbox inset="0mm,0mm,0mm,0mm" style="mso-fit-shape-to-text:t;">
                <w:txbxContent>
                  <w:p>
                    <w:pPr>
                      <w:pStyle w:val="20"/>
                    </w:pP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Style w:val="36"/>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文本框 104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UP6WcsBAACcAwAADgAAAGRycy9lMm9Eb2MueG1srVPNjtMwEL4j8Q6W&#10;79RphVYl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L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1D+lnLAQAAnAMAAA4AAAAAAAAAAQAgAAAAHgEAAGRycy9lMm9E&#10;b2MueG1sUEsFBgAAAAAGAAYAWQEAAFs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36</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rPr>
                              <w:rFonts w:hint="eastAsia" w:eastAsia="宋体"/>
                              <w:lang w:eastAsia="zh-CN"/>
                            </w:rPr>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&#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AJUn0TTAQAApgMAAA4AAAAAAAAAAQAgAAAA&#10;IgEAAGRycy9lMm9Eb2MueG1sUEsFBgAAAAAGAAYAWQEAAGcFAAAAAA==&#10;">
              <v:fill on="f" focussize="0,0"/>
              <v:stroke on="f" weight="1.25pt"/>
              <v:imagedata o:title=""/>
              <o:lock v:ext="edit" aspectratio="f"/>
              <v:textbox inset="0mm,0mm,0mm,0mm" style="mso-fit-shape-to-text:t;">
                <w:txbxContent>
                  <w:p>
                    <w:pPr>
                      <w:pStyle w:val="20"/>
                      <w:rPr>
                        <w:rFonts w:hint="eastAsia" w:eastAsia="宋体"/>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文本框 1047"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rke38oBAACd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BJTEcYsTv3z/dvnx6/LzK1lW&#10;L19nifoANWbeBcxNw1s/YPrsB3Rm5oOKNn+RE8E4op2vAsshEZEfrVfrdYUhgbH5gvjs4XmIkN5J&#10;b0k2GhpxgkVYfvoAaUydU3I152+1MWWKxv3lQMzsYbn3scdspWE/TIT2vj0jnx6H31CHu06Jee9Q&#10;W+wvzUacjf1sHEPUh64sUq4H4c0xYROlt1xhhJ0K49QKu2nD8lr8eS9ZD3/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Xrke38oBAACdAwAADgAAAAAAAAABACAAAAAeAQAAZHJzL2Uyb0Rv&#10;Yy54bWxQSwUGAAAAAAYABgBZAQAAWg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ascii="隶书" w:eastAsia="隶书"/>
        <w:spacing w:val="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7A637"/>
    <w:multiLevelType w:val="singleLevel"/>
    <w:tmpl w:val="B037A637"/>
    <w:lvl w:ilvl="0" w:tentative="0">
      <w:start w:val="1"/>
      <w:numFmt w:val="decimal"/>
      <w:suff w:val="nothing"/>
      <w:lvlText w:val="（%1）"/>
      <w:lvlJc w:val="left"/>
    </w:lvl>
  </w:abstractNum>
  <w:abstractNum w:abstractNumId="1">
    <w:nsid w:val="55CFFBAC"/>
    <w:multiLevelType w:val="singleLevel"/>
    <w:tmpl w:val="55CFFBAC"/>
    <w:lvl w:ilvl="0" w:tentative="0">
      <w:start w:val="1"/>
      <w:numFmt w:val="chineseCounting"/>
      <w:pStyle w:val="90"/>
      <w:suff w:val="nothing"/>
      <w:lvlText w:val="%1、"/>
      <w:lvlJc w:val="left"/>
    </w:lvl>
  </w:abstractNum>
  <w:abstractNum w:abstractNumId="2">
    <w:nsid w:val="59E9724D"/>
    <w:multiLevelType w:val="singleLevel"/>
    <w:tmpl w:val="59E9724D"/>
    <w:lvl w:ilvl="0" w:tentative="0">
      <w:start w:val="1"/>
      <w:numFmt w:val="chineseCounting"/>
      <w:suff w:val="nothing"/>
      <w:lvlText w:val="（%1）"/>
      <w:lvlJc w:val="left"/>
    </w:lvl>
  </w:abstractNum>
  <w:abstractNum w:abstractNumId="3">
    <w:nsid w:val="5AA41CC7"/>
    <w:multiLevelType w:val="singleLevel"/>
    <w:tmpl w:val="5AA41CC7"/>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CD7"/>
    <w:rsid w:val="000945C3"/>
    <w:rsid w:val="001206FA"/>
    <w:rsid w:val="00192225"/>
    <w:rsid w:val="001D078A"/>
    <w:rsid w:val="00216E9C"/>
    <w:rsid w:val="0036614A"/>
    <w:rsid w:val="0039459E"/>
    <w:rsid w:val="004C41AF"/>
    <w:rsid w:val="004E3E45"/>
    <w:rsid w:val="00610950"/>
    <w:rsid w:val="006338BE"/>
    <w:rsid w:val="00673A5F"/>
    <w:rsid w:val="00747555"/>
    <w:rsid w:val="008751AB"/>
    <w:rsid w:val="00921CD7"/>
    <w:rsid w:val="00A122CC"/>
    <w:rsid w:val="00B06113"/>
    <w:rsid w:val="00B97423"/>
    <w:rsid w:val="00CC7A28"/>
    <w:rsid w:val="00CD3A88"/>
    <w:rsid w:val="00D85EE2"/>
    <w:rsid w:val="00DA7FF2"/>
    <w:rsid w:val="00DF7B52"/>
    <w:rsid w:val="01AF161E"/>
    <w:rsid w:val="0201735E"/>
    <w:rsid w:val="020E3E20"/>
    <w:rsid w:val="02153159"/>
    <w:rsid w:val="0252249D"/>
    <w:rsid w:val="02903BE4"/>
    <w:rsid w:val="02D760FC"/>
    <w:rsid w:val="02DE436B"/>
    <w:rsid w:val="02DF7EE5"/>
    <w:rsid w:val="030D5741"/>
    <w:rsid w:val="0329013B"/>
    <w:rsid w:val="034D31EF"/>
    <w:rsid w:val="03745576"/>
    <w:rsid w:val="039E69C8"/>
    <w:rsid w:val="03BD0069"/>
    <w:rsid w:val="048E0971"/>
    <w:rsid w:val="04AF49D6"/>
    <w:rsid w:val="064353BC"/>
    <w:rsid w:val="066B7D8E"/>
    <w:rsid w:val="068E0F81"/>
    <w:rsid w:val="07253423"/>
    <w:rsid w:val="073541E7"/>
    <w:rsid w:val="075C114A"/>
    <w:rsid w:val="07AB1C0E"/>
    <w:rsid w:val="07E37D9A"/>
    <w:rsid w:val="081C404E"/>
    <w:rsid w:val="08395A9D"/>
    <w:rsid w:val="088B388B"/>
    <w:rsid w:val="08E3082D"/>
    <w:rsid w:val="097768EA"/>
    <w:rsid w:val="09E70F6F"/>
    <w:rsid w:val="0A11035C"/>
    <w:rsid w:val="0A4340C7"/>
    <w:rsid w:val="0A4C0379"/>
    <w:rsid w:val="0A5F04D2"/>
    <w:rsid w:val="0A736B1F"/>
    <w:rsid w:val="0B4C0A68"/>
    <w:rsid w:val="0B6E6E17"/>
    <w:rsid w:val="0D093F6D"/>
    <w:rsid w:val="0D3C46EF"/>
    <w:rsid w:val="0D95026F"/>
    <w:rsid w:val="0DCF1999"/>
    <w:rsid w:val="0E391CB9"/>
    <w:rsid w:val="0FF71CD5"/>
    <w:rsid w:val="10123C50"/>
    <w:rsid w:val="10632C1E"/>
    <w:rsid w:val="11480820"/>
    <w:rsid w:val="11BC6736"/>
    <w:rsid w:val="11D9731E"/>
    <w:rsid w:val="1230106A"/>
    <w:rsid w:val="12B169D2"/>
    <w:rsid w:val="12BD2313"/>
    <w:rsid w:val="134F3061"/>
    <w:rsid w:val="14905650"/>
    <w:rsid w:val="149F305C"/>
    <w:rsid w:val="14C32F3D"/>
    <w:rsid w:val="1501595F"/>
    <w:rsid w:val="15164395"/>
    <w:rsid w:val="15562BB2"/>
    <w:rsid w:val="15785DD1"/>
    <w:rsid w:val="158B39FF"/>
    <w:rsid w:val="16231C6D"/>
    <w:rsid w:val="16674D4D"/>
    <w:rsid w:val="16877E1D"/>
    <w:rsid w:val="1689096D"/>
    <w:rsid w:val="16CE7486"/>
    <w:rsid w:val="170548AF"/>
    <w:rsid w:val="17373345"/>
    <w:rsid w:val="17F2759D"/>
    <w:rsid w:val="185575B7"/>
    <w:rsid w:val="19262C77"/>
    <w:rsid w:val="19301650"/>
    <w:rsid w:val="19721122"/>
    <w:rsid w:val="1A5D6FC6"/>
    <w:rsid w:val="1A826FA3"/>
    <w:rsid w:val="1AA41559"/>
    <w:rsid w:val="1BD42832"/>
    <w:rsid w:val="1C100DF7"/>
    <w:rsid w:val="1C3C3E8E"/>
    <w:rsid w:val="1CD56CF1"/>
    <w:rsid w:val="1CE07154"/>
    <w:rsid w:val="1EA971C9"/>
    <w:rsid w:val="1EDB662C"/>
    <w:rsid w:val="1EDC3A10"/>
    <w:rsid w:val="1EFE3BDC"/>
    <w:rsid w:val="20154307"/>
    <w:rsid w:val="2071344C"/>
    <w:rsid w:val="20747B4D"/>
    <w:rsid w:val="20B608E8"/>
    <w:rsid w:val="21194E10"/>
    <w:rsid w:val="21D5232E"/>
    <w:rsid w:val="22634F54"/>
    <w:rsid w:val="237372D3"/>
    <w:rsid w:val="23E07733"/>
    <w:rsid w:val="24784188"/>
    <w:rsid w:val="250E38DE"/>
    <w:rsid w:val="253F604F"/>
    <w:rsid w:val="255B711D"/>
    <w:rsid w:val="25B568B7"/>
    <w:rsid w:val="261C0940"/>
    <w:rsid w:val="269D0B6E"/>
    <w:rsid w:val="269E6B35"/>
    <w:rsid w:val="270F1F26"/>
    <w:rsid w:val="271708CB"/>
    <w:rsid w:val="27CC6DA0"/>
    <w:rsid w:val="288D00A8"/>
    <w:rsid w:val="28A736DD"/>
    <w:rsid w:val="28E258CA"/>
    <w:rsid w:val="29445D83"/>
    <w:rsid w:val="2A473D75"/>
    <w:rsid w:val="2A68553E"/>
    <w:rsid w:val="2C433803"/>
    <w:rsid w:val="2E6B37C5"/>
    <w:rsid w:val="2ECA0341"/>
    <w:rsid w:val="2ED73B31"/>
    <w:rsid w:val="2EDE37C1"/>
    <w:rsid w:val="2EF50845"/>
    <w:rsid w:val="2F942728"/>
    <w:rsid w:val="30146FE3"/>
    <w:rsid w:val="308A2D54"/>
    <w:rsid w:val="31873192"/>
    <w:rsid w:val="31901955"/>
    <w:rsid w:val="319D0BD2"/>
    <w:rsid w:val="327A1FB1"/>
    <w:rsid w:val="32DB3E3E"/>
    <w:rsid w:val="331C3EA0"/>
    <w:rsid w:val="33766B6D"/>
    <w:rsid w:val="33F23A3C"/>
    <w:rsid w:val="35121A53"/>
    <w:rsid w:val="35537B13"/>
    <w:rsid w:val="359F00D9"/>
    <w:rsid w:val="35AF7BFD"/>
    <w:rsid w:val="35B51BB9"/>
    <w:rsid w:val="36C25076"/>
    <w:rsid w:val="36D34C93"/>
    <w:rsid w:val="36EF0C24"/>
    <w:rsid w:val="37D8447F"/>
    <w:rsid w:val="38160F77"/>
    <w:rsid w:val="382B7AA1"/>
    <w:rsid w:val="38465505"/>
    <w:rsid w:val="38D637AC"/>
    <w:rsid w:val="394D1BF9"/>
    <w:rsid w:val="39C62B5F"/>
    <w:rsid w:val="3A5178B2"/>
    <w:rsid w:val="3A570123"/>
    <w:rsid w:val="3B3137EE"/>
    <w:rsid w:val="3B4A4D6D"/>
    <w:rsid w:val="3B630ADC"/>
    <w:rsid w:val="3BDD35C8"/>
    <w:rsid w:val="3C133BE8"/>
    <w:rsid w:val="3C2C658B"/>
    <w:rsid w:val="3CBA2358"/>
    <w:rsid w:val="3CDB1955"/>
    <w:rsid w:val="3F010A95"/>
    <w:rsid w:val="3F1F2B36"/>
    <w:rsid w:val="3F3217C5"/>
    <w:rsid w:val="3F343F8B"/>
    <w:rsid w:val="3F6C40C7"/>
    <w:rsid w:val="3FEB76E8"/>
    <w:rsid w:val="402B1CBF"/>
    <w:rsid w:val="402C2DD4"/>
    <w:rsid w:val="413C1FD5"/>
    <w:rsid w:val="42203414"/>
    <w:rsid w:val="42553F22"/>
    <w:rsid w:val="42A43A7E"/>
    <w:rsid w:val="42BC78A3"/>
    <w:rsid w:val="42E5412D"/>
    <w:rsid w:val="441D4560"/>
    <w:rsid w:val="44F46F2A"/>
    <w:rsid w:val="450F2E81"/>
    <w:rsid w:val="45582B8D"/>
    <w:rsid w:val="45813803"/>
    <w:rsid w:val="45A31698"/>
    <w:rsid w:val="45F65779"/>
    <w:rsid w:val="45F81B71"/>
    <w:rsid w:val="46511AD3"/>
    <w:rsid w:val="47097FE1"/>
    <w:rsid w:val="47225584"/>
    <w:rsid w:val="47533C08"/>
    <w:rsid w:val="489B1E77"/>
    <w:rsid w:val="48AB4F19"/>
    <w:rsid w:val="48E70FE5"/>
    <w:rsid w:val="49A5315F"/>
    <w:rsid w:val="49B56A23"/>
    <w:rsid w:val="4A28497D"/>
    <w:rsid w:val="4AC43EE5"/>
    <w:rsid w:val="4B266C8B"/>
    <w:rsid w:val="4B2F2F7F"/>
    <w:rsid w:val="4B8135A2"/>
    <w:rsid w:val="4C050DBC"/>
    <w:rsid w:val="4C092578"/>
    <w:rsid w:val="4C4C4513"/>
    <w:rsid w:val="4C5B5523"/>
    <w:rsid w:val="4CC85D4A"/>
    <w:rsid w:val="4DDB460E"/>
    <w:rsid w:val="4E1F797E"/>
    <w:rsid w:val="4E9B1D9D"/>
    <w:rsid w:val="4F1D5A56"/>
    <w:rsid w:val="4F8B0424"/>
    <w:rsid w:val="4FC92043"/>
    <w:rsid w:val="502560C3"/>
    <w:rsid w:val="50655C98"/>
    <w:rsid w:val="507A4C0D"/>
    <w:rsid w:val="50F40046"/>
    <w:rsid w:val="51142EED"/>
    <w:rsid w:val="518E3324"/>
    <w:rsid w:val="520B4247"/>
    <w:rsid w:val="52382054"/>
    <w:rsid w:val="530D4421"/>
    <w:rsid w:val="53856280"/>
    <w:rsid w:val="53AF0120"/>
    <w:rsid w:val="53C6386B"/>
    <w:rsid w:val="540F340F"/>
    <w:rsid w:val="54395898"/>
    <w:rsid w:val="54D64395"/>
    <w:rsid w:val="54E3543B"/>
    <w:rsid w:val="55472291"/>
    <w:rsid w:val="555D5F21"/>
    <w:rsid w:val="556E40A6"/>
    <w:rsid w:val="5690511C"/>
    <w:rsid w:val="573D040A"/>
    <w:rsid w:val="578B64E0"/>
    <w:rsid w:val="57BA3BCC"/>
    <w:rsid w:val="57FB0C5B"/>
    <w:rsid w:val="592D4348"/>
    <w:rsid w:val="59460B7C"/>
    <w:rsid w:val="59E27861"/>
    <w:rsid w:val="5A2B02E9"/>
    <w:rsid w:val="5A2C2762"/>
    <w:rsid w:val="5AA01D3B"/>
    <w:rsid w:val="5AAA3B6F"/>
    <w:rsid w:val="5B734128"/>
    <w:rsid w:val="5C4606EF"/>
    <w:rsid w:val="5CA47CF7"/>
    <w:rsid w:val="5D0B6EE2"/>
    <w:rsid w:val="5DB0626B"/>
    <w:rsid w:val="5DE76824"/>
    <w:rsid w:val="5E613174"/>
    <w:rsid w:val="5EFB232F"/>
    <w:rsid w:val="5F157DA4"/>
    <w:rsid w:val="5F4D37A8"/>
    <w:rsid w:val="5F621A53"/>
    <w:rsid w:val="603A6BA7"/>
    <w:rsid w:val="605D6791"/>
    <w:rsid w:val="609F16B0"/>
    <w:rsid w:val="60D37F9B"/>
    <w:rsid w:val="60DB3D08"/>
    <w:rsid w:val="612D6F23"/>
    <w:rsid w:val="61327E5D"/>
    <w:rsid w:val="61333D55"/>
    <w:rsid w:val="61B2015A"/>
    <w:rsid w:val="61E70949"/>
    <w:rsid w:val="62127632"/>
    <w:rsid w:val="625E09B8"/>
    <w:rsid w:val="628E28A0"/>
    <w:rsid w:val="63654A1A"/>
    <w:rsid w:val="63822A47"/>
    <w:rsid w:val="64500750"/>
    <w:rsid w:val="645A0D75"/>
    <w:rsid w:val="649E1E6F"/>
    <w:rsid w:val="64BF62B1"/>
    <w:rsid w:val="65A15BD1"/>
    <w:rsid w:val="65BD7C69"/>
    <w:rsid w:val="65D83AC0"/>
    <w:rsid w:val="65E82CA3"/>
    <w:rsid w:val="66094C27"/>
    <w:rsid w:val="66D72233"/>
    <w:rsid w:val="67075B84"/>
    <w:rsid w:val="67E521C5"/>
    <w:rsid w:val="680967DB"/>
    <w:rsid w:val="682C06EF"/>
    <w:rsid w:val="68762B34"/>
    <w:rsid w:val="68F955F3"/>
    <w:rsid w:val="69671717"/>
    <w:rsid w:val="69C21DDB"/>
    <w:rsid w:val="6A460C6D"/>
    <w:rsid w:val="6ABB262D"/>
    <w:rsid w:val="6AFD40FF"/>
    <w:rsid w:val="6C1B7F0F"/>
    <w:rsid w:val="6C3B7F92"/>
    <w:rsid w:val="6C646318"/>
    <w:rsid w:val="6CA1499B"/>
    <w:rsid w:val="6CE30EF7"/>
    <w:rsid w:val="6D106AE8"/>
    <w:rsid w:val="6DDD27A1"/>
    <w:rsid w:val="6FB44F1D"/>
    <w:rsid w:val="6FC2141D"/>
    <w:rsid w:val="701E7B76"/>
    <w:rsid w:val="7081336C"/>
    <w:rsid w:val="70835B61"/>
    <w:rsid w:val="70BE5602"/>
    <w:rsid w:val="710934E0"/>
    <w:rsid w:val="711E3C38"/>
    <w:rsid w:val="716B64C8"/>
    <w:rsid w:val="71951830"/>
    <w:rsid w:val="71E34826"/>
    <w:rsid w:val="72766203"/>
    <w:rsid w:val="730F7EA5"/>
    <w:rsid w:val="73215E95"/>
    <w:rsid w:val="73633E0E"/>
    <w:rsid w:val="739C759D"/>
    <w:rsid w:val="73CB7173"/>
    <w:rsid w:val="73CF22B2"/>
    <w:rsid w:val="74350B1C"/>
    <w:rsid w:val="7499726D"/>
    <w:rsid w:val="75270788"/>
    <w:rsid w:val="756E42C9"/>
    <w:rsid w:val="75BB7964"/>
    <w:rsid w:val="75C277EA"/>
    <w:rsid w:val="76646CC1"/>
    <w:rsid w:val="76741665"/>
    <w:rsid w:val="769116F6"/>
    <w:rsid w:val="76A00A57"/>
    <w:rsid w:val="774E4E5E"/>
    <w:rsid w:val="775B283E"/>
    <w:rsid w:val="777041AD"/>
    <w:rsid w:val="77C27BE8"/>
    <w:rsid w:val="78244466"/>
    <w:rsid w:val="785E564D"/>
    <w:rsid w:val="78895C1C"/>
    <w:rsid w:val="78A66B61"/>
    <w:rsid w:val="79EF4F3C"/>
    <w:rsid w:val="7A0F78DD"/>
    <w:rsid w:val="7A3A4097"/>
    <w:rsid w:val="7A731C3B"/>
    <w:rsid w:val="7B466425"/>
    <w:rsid w:val="7B885580"/>
    <w:rsid w:val="7BFE70BB"/>
    <w:rsid w:val="7C3D0E5E"/>
    <w:rsid w:val="7C7B197C"/>
    <w:rsid w:val="7CF55F23"/>
    <w:rsid w:val="7DD7650B"/>
    <w:rsid w:val="7EA20784"/>
    <w:rsid w:val="7EE53256"/>
    <w:rsid w:val="7F6059C2"/>
    <w:rsid w:val="7FB41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2"/>
    <w:qFormat/>
    <w:uiPriority w:val="0"/>
    <w:pPr>
      <w:keepNext/>
      <w:keepLines/>
      <w:spacing w:before="340" w:after="330" w:line="578" w:lineRule="auto"/>
      <w:outlineLvl w:val="0"/>
    </w:pPr>
    <w:rPr>
      <w:rFonts w:ascii="Times New Roman" w:hAnsi="Times New Roman" w:eastAsia="宋体" w:cs="Times New Roman"/>
      <w:kern w:val="44"/>
      <w:sz w:val="44"/>
      <w:szCs w:val="44"/>
    </w:rPr>
  </w:style>
  <w:style w:type="paragraph" w:styleId="4">
    <w:name w:val="heading 2"/>
    <w:basedOn w:val="1"/>
    <w:next w:val="1"/>
    <w:link w:val="53"/>
    <w:qFormat/>
    <w:uiPriority w:val="0"/>
    <w:pPr>
      <w:keepNext/>
      <w:keepLines/>
      <w:spacing w:before="260" w:after="260" w:line="416" w:lineRule="auto"/>
      <w:ind w:firstLine="628"/>
      <w:jc w:val="center"/>
      <w:outlineLvl w:val="1"/>
    </w:pPr>
    <w:rPr>
      <w:rFonts w:ascii="Arial" w:hAnsi="Arial" w:eastAsia="黑体" w:cs="Times New Roman"/>
      <w:b/>
      <w:bCs/>
      <w:kern w:val="0"/>
      <w:sz w:val="32"/>
      <w:szCs w:val="32"/>
    </w:rPr>
  </w:style>
  <w:style w:type="paragraph" w:styleId="5">
    <w:name w:val="heading 3"/>
    <w:basedOn w:val="1"/>
    <w:next w:val="1"/>
    <w:link w:val="54"/>
    <w:qFormat/>
    <w:uiPriority w:val="0"/>
    <w:pPr>
      <w:keepNext/>
      <w:keepLines/>
      <w:spacing w:before="260" w:after="260" w:line="416" w:lineRule="auto"/>
      <w:outlineLvl w:val="2"/>
    </w:pPr>
    <w:rPr>
      <w:rFonts w:ascii="Times New Roman" w:hAnsi="Times New Roman" w:eastAsia="宋体" w:cs="Times New Roman"/>
      <w:b/>
      <w:bCs/>
      <w:kern w:val="0"/>
      <w:sz w:val="32"/>
      <w:szCs w:val="32"/>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6">
    <w:name w:val="Normal Indent"/>
    <w:basedOn w:val="1"/>
    <w:qFormat/>
    <w:uiPriority w:val="99"/>
    <w:pPr>
      <w:ind w:firstLine="420"/>
    </w:pPr>
    <w:rPr>
      <w:rFonts w:ascii="Times New Roman" w:hAnsi="Times New Roman" w:eastAsia="宋体" w:cs="Times New Roman"/>
      <w:szCs w:val="21"/>
    </w:rPr>
  </w:style>
  <w:style w:type="paragraph" w:styleId="7">
    <w:name w:val="Document Map"/>
    <w:basedOn w:val="1"/>
    <w:link w:val="55"/>
    <w:semiHidden/>
    <w:qFormat/>
    <w:uiPriority w:val="0"/>
    <w:rPr>
      <w:rFonts w:ascii="宋体" w:hAnsi="Times New Roman" w:eastAsia="宋体" w:cs="Times New Roman"/>
      <w:kern w:val="0"/>
      <w:sz w:val="18"/>
      <w:szCs w:val="18"/>
    </w:rPr>
  </w:style>
  <w:style w:type="paragraph" w:styleId="8">
    <w:name w:val="annotation text"/>
    <w:basedOn w:val="1"/>
    <w:link w:val="63"/>
    <w:qFormat/>
    <w:uiPriority w:val="0"/>
    <w:pPr>
      <w:jc w:val="left"/>
    </w:pPr>
    <w:rPr>
      <w:rFonts w:ascii="Times New Roman" w:hAnsi="Times New Roman" w:eastAsia="宋体" w:cs="Times New Roman"/>
      <w:kern w:val="0"/>
      <w:szCs w:val="21"/>
    </w:rPr>
  </w:style>
  <w:style w:type="paragraph" w:styleId="9">
    <w:name w:val="Body Text 3"/>
    <w:basedOn w:val="1"/>
    <w:link w:val="57"/>
    <w:qFormat/>
    <w:uiPriority w:val="99"/>
    <w:pPr>
      <w:spacing w:beforeLines="50" w:afterLines="50" w:line="460" w:lineRule="exact"/>
      <w:jc w:val="center"/>
    </w:pPr>
    <w:rPr>
      <w:rFonts w:ascii="仿宋_GB2312" w:hAnsi="Arial" w:eastAsia="仿宋_GB2312" w:cs="Times New Roman"/>
      <w:kern w:val="0"/>
      <w:sz w:val="28"/>
      <w:szCs w:val="28"/>
    </w:rPr>
  </w:style>
  <w:style w:type="paragraph" w:styleId="10">
    <w:name w:val="Closing"/>
    <w:basedOn w:val="1"/>
    <w:next w:val="1"/>
    <w:link w:val="82"/>
    <w:qFormat/>
    <w:uiPriority w:val="0"/>
    <w:pPr>
      <w:widowControl/>
      <w:ind w:left="4320"/>
      <w:jc w:val="left"/>
    </w:pPr>
    <w:rPr>
      <w:rFonts w:ascii="Calibri" w:hAnsi="Calibri" w:eastAsia="等线" w:cs="Times New Roman"/>
    </w:rPr>
  </w:style>
  <w:style w:type="paragraph" w:styleId="11">
    <w:name w:val="Body Text"/>
    <w:basedOn w:val="1"/>
    <w:next w:val="12"/>
    <w:link w:val="84"/>
    <w:unhideWhenUsed/>
    <w:qFormat/>
    <w:uiPriority w:val="0"/>
    <w:pPr>
      <w:spacing w:after="120"/>
    </w:pPr>
    <w:rPr>
      <w:rFonts w:ascii="等线" w:hAnsi="等线" w:eastAsia="等线" w:cs="Times New Roman"/>
      <w:szCs w:val="24"/>
    </w:rPr>
  </w:style>
  <w:style w:type="paragraph" w:customStyle="1" w:styleId="12">
    <w:name w:val="Quote"/>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13">
    <w:name w:val="Body Text Indent"/>
    <w:basedOn w:val="1"/>
    <w:link w:val="58"/>
    <w:qFormat/>
    <w:uiPriority w:val="0"/>
    <w:pPr>
      <w:ind w:firstLine="660"/>
    </w:pPr>
    <w:rPr>
      <w:rFonts w:ascii="宋体" w:hAnsi="宋体" w:eastAsia="宋体" w:cs="Times New Roman"/>
      <w:color w:val="000000"/>
      <w:kern w:val="0"/>
      <w:sz w:val="24"/>
      <w:szCs w:val="24"/>
    </w:rPr>
  </w:style>
  <w:style w:type="paragraph" w:styleId="14">
    <w:name w:val="List 2"/>
    <w:basedOn w:val="1"/>
    <w:qFormat/>
    <w:uiPriority w:val="0"/>
    <w:pPr>
      <w:ind w:left="100" w:leftChars="200" w:hanging="200" w:hangingChars="200"/>
      <w:contextualSpacing/>
    </w:pPr>
  </w:style>
  <w:style w:type="paragraph" w:styleId="15">
    <w:name w:val="toc 3"/>
    <w:basedOn w:val="1"/>
    <w:next w:val="1"/>
    <w:qFormat/>
    <w:uiPriority w:val="0"/>
    <w:pPr>
      <w:ind w:left="840" w:leftChars="400"/>
    </w:pPr>
    <w:rPr>
      <w:rFonts w:ascii="Times New Roman" w:hAnsi="Times New Roman" w:eastAsia="宋体" w:cs="Times New Roman"/>
      <w:szCs w:val="24"/>
    </w:rPr>
  </w:style>
  <w:style w:type="paragraph" w:styleId="16">
    <w:name w:val="Plain Text"/>
    <w:basedOn w:val="1"/>
    <w:link w:val="59"/>
    <w:qFormat/>
    <w:uiPriority w:val="0"/>
    <w:rPr>
      <w:rFonts w:ascii="宋体" w:hAnsi="Courier New" w:eastAsia="宋体" w:cs="Times New Roman"/>
      <w:kern w:val="0"/>
      <w:szCs w:val="20"/>
    </w:rPr>
  </w:style>
  <w:style w:type="paragraph" w:styleId="17">
    <w:name w:val="Date"/>
    <w:basedOn w:val="1"/>
    <w:next w:val="1"/>
    <w:link w:val="60"/>
    <w:qFormat/>
    <w:uiPriority w:val="0"/>
    <w:rPr>
      <w:rFonts w:ascii="Times New Roman" w:hAnsi="Times New Roman" w:eastAsia="宋体" w:cs="Times New Roman"/>
      <w:b/>
      <w:bCs/>
      <w:kern w:val="0"/>
      <w:sz w:val="28"/>
      <w:szCs w:val="28"/>
    </w:rPr>
  </w:style>
  <w:style w:type="paragraph" w:styleId="18">
    <w:name w:val="Body Text Indent 2"/>
    <w:basedOn w:val="1"/>
    <w:link w:val="86"/>
    <w:qFormat/>
    <w:uiPriority w:val="0"/>
    <w:pPr>
      <w:spacing w:after="120" w:line="480" w:lineRule="auto"/>
      <w:ind w:left="420" w:leftChars="200"/>
    </w:pPr>
    <w:rPr>
      <w:rFonts w:ascii="等线" w:hAnsi="等线" w:eastAsia="等线" w:cs="Times New Roman"/>
      <w:szCs w:val="24"/>
    </w:rPr>
  </w:style>
  <w:style w:type="paragraph" w:styleId="19">
    <w:name w:val="Balloon Text"/>
    <w:basedOn w:val="1"/>
    <w:link w:val="61"/>
    <w:semiHidden/>
    <w:qFormat/>
    <w:uiPriority w:val="0"/>
    <w:rPr>
      <w:rFonts w:ascii="Times New Roman" w:hAnsi="Times New Roman" w:eastAsia="宋体" w:cs="Times New Roman"/>
      <w:kern w:val="0"/>
      <w:sz w:val="18"/>
      <w:szCs w:val="18"/>
    </w:rPr>
  </w:style>
  <w:style w:type="paragraph" w:styleId="20">
    <w:name w:val="footer"/>
    <w:basedOn w:val="1"/>
    <w:link w:val="51"/>
    <w:unhideWhenUsed/>
    <w:qFormat/>
    <w:uiPriority w:val="0"/>
    <w:pPr>
      <w:tabs>
        <w:tab w:val="center" w:pos="4153"/>
        <w:tab w:val="right" w:pos="8306"/>
      </w:tabs>
      <w:snapToGrid w:val="0"/>
      <w:jc w:val="left"/>
    </w:pPr>
    <w:rPr>
      <w:sz w:val="18"/>
      <w:szCs w:val="18"/>
    </w:rPr>
  </w:style>
  <w:style w:type="paragraph" w:styleId="21">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rPr>
      <w:rFonts w:ascii="Times New Roman" w:hAnsi="Times New Roman" w:eastAsia="宋体" w:cs="Times New Roman"/>
      <w:sz w:val="24"/>
      <w:szCs w:val="24"/>
    </w:rPr>
  </w:style>
  <w:style w:type="paragraph" w:styleId="23">
    <w:name w:val="Body Text Indent 3"/>
    <w:basedOn w:val="1"/>
    <w:link w:val="88"/>
    <w:qFormat/>
    <w:uiPriority w:val="0"/>
    <w:pPr>
      <w:spacing w:after="120"/>
      <w:ind w:left="420" w:leftChars="200"/>
    </w:pPr>
    <w:rPr>
      <w:rFonts w:ascii="Calibri" w:hAnsi="Calibri" w:eastAsia="宋体" w:cs="Times New Roman"/>
      <w:sz w:val="16"/>
      <w:szCs w:val="24"/>
    </w:rPr>
  </w:style>
  <w:style w:type="paragraph" w:styleId="24">
    <w:name w:val="toc 2"/>
    <w:basedOn w:val="1"/>
    <w:next w:val="1"/>
    <w:qFormat/>
    <w:uiPriority w:val="0"/>
    <w:pPr>
      <w:spacing w:before="100" w:beforeAutospacing="1" w:after="100" w:afterAutospacing="1"/>
      <w:ind w:left="420" w:leftChars="200"/>
    </w:pPr>
    <w:rPr>
      <w:rFonts w:ascii="Times New Roman" w:hAnsi="Times New Roman" w:eastAsia="宋体" w:cs="Times New Roman"/>
      <w:sz w:val="24"/>
      <w:szCs w:val="24"/>
    </w:rPr>
  </w:style>
  <w:style w:type="paragraph" w:styleId="25">
    <w:name w:val="Body Text 2"/>
    <w:basedOn w:val="1"/>
    <w:qFormat/>
    <w:uiPriority w:val="99"/>
    <w:pPr>
      <w:autoSpaceDE w:val="0"/>
      <w:autoSpaceDN w:val="0"/>
      <w:spacing w:afterLines="50" w:line="480" w:lineRule="auto"/>
      <w:jc w:val="center"/>
      <w:textAlignment w:val="baseline"/>
    </w:pPr>
    <w:rPr>
      <w:rFonts w:ascii="宋体" w:hAnsi="宋体"/>
      <w:kern w:val="0"/>
      <w:sz w:val="20"/>
      <w:szCs w:val="21"/>
    </w:rPr>
  </w:style>
  <w:style w:type="paragraph" w:styleId="2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27">
    <w:name w:val="Normal (Web)"/>
    <w:basedOn w:val="1"/>
    <w:qFormat/>
    <w:uiPriority w:val="0"/>
    <w:pPr>
      <w:widowControl/>
      <w:jc w:val="left"/>
    </w:pPr>
    <w:rPr>
      <w:rFonts w:ascii="宋体" w:hAnsi="宋体" w:eastAsia="宋体" w:cs="宋体"/>
      <w:kern w:val="0"/>
      <w:sz w:val="24"/>
      <w:szCs w:val="24"/>
    </w:rPr>
  </w:style>
  <w:style w:type="paragraph" w:styleId="28">
    <w:name w:val="Title"/>
    <w:basedOn w:val="14"/>
    <w:next w:val="1"/>
    <w:qFormat/>
    <w:uiPriority w:val="0"/>
    <w:pPr>
      <w:spacing w:before="240" w:after="60" w:line="360" w:lineRule="auto"/>
      <w:jc w:val="center"/>
      <w:outlineLvl w:val="0"/>
    </w:pPr>
    <w:rPr>
      <w:rFonts w:ascii="Cambria" w:hAnsi="Cambria" w:eastAsia="宋体" w:cs="Times New Roman"/>
      <w:b/>
      <w:bCs/>
      <w:sz w:val="36"/>
      <w:szCs w:val="32"/>
    </w:rPr>
  </w:style>
  <w:style w:type="paragraph" w:styleId="29">
    <w:name w:val="annotation subject"/>
    <w:basedOn w:val="8"/>
    <w:next w:val="8"/>
    <w:link w:val="62"/>
    <w:semiHidden/>
    <w:qFormat/>
    <w:uiPriority w:val="0"/>
    <w:rPr>
      <w:b/>
      <w:bCs/>
    </w:rPr>
  </w:style>
  <w:style w:type="paragraph" w:styleId="30">
    <w:name w:val="Body Text First Indent"/>
    <w:basedOn w:val="11"/>
    <w:next w:val="1"/>
    <w:link w:val="89"/>
    <w:qFormat/>
    <w:uiPriority w:val="0"/>
    <w:pPr>
      <w:ind w:firstLine="420" w:firstLineChars="100"/>
    </w:pPr>
    <w:rPr>
      <w:szCs w:val="22"/>
    </w:rPr>
  </w:style>
  <w:style w:type="paragraph" w:styleId="31">
    <w:name w:val="Body Text First Indent 2"/>
    <w:basedOn w:val="13"/>
    <w:qFormat/>
    <w:uiPriority w:val="0"/>
    <w:pPr>
      <w:ind w:left="0" w:leftChars="0" w:firstLine="210"/>
    </w:pPr>
    <w:rPr>
      <w:szCs w:val="20"/>
    </w:rPr>
  </w:style>
  <w:style w:type="table" w:styleId="33">
    <w:name w:val="Table Grid"/>
    <w:basedOn w:val="32"/>
    <w:qFormat/>
    <w:uiPriority w:val="0"/>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rFonts w:cs="Times New Roman"/>
    </w:rPr>
  </w:style>
  <w:style w:type="character" w:styleId="36">
    <w:name w:val="page number"/>
    <w:basedOn w:val="34"/>
    <w:unhideWhenUsed/>
    <w:qFormat/>
    <w:uiPriority w:val="0"/>
  </w:style>
  <w:style w:type="character" w:styleId="37">
    <w:name w:val="FollowedHyperlink"/>
    <w:qFormat/>
    <w:uiPriority w:val="99"/>
    <w:rPr>
      <w:rFonts w:cs="Times New Roman"/>
      <w:color w:val="800080"/>
      <w:u w:val="none"/>
    </w:rPr>
  </w:style>
  <w:style w:type="character" w:styleId="38">
    <w:name w:val="Emphasis"/>
    <w:qFormat/>
    <w:uiPriority w:val="20"/>
    <w:rPr>
      <w:rFonts w:cs="Times New Roman"/>
    </w:rPr>
  </w:style>
  <w:style w:type="character" w:styleId="39">
    <w:name w:val="HTML Definition"/>
    <w:qFormat/>
    <w:uiPriority w:val="99"/>
    <w:rPr>
      <w:rFonts w:cs="Times New Roman"/>
    </w:rPr>
  </w:style>
  <w:style w:type="character" w:styleId="40">
    <w:name w:val="HTML Typewriter"/>
    <w:qFormat/>
    <w:uiPriority w:val="99"/>
    <w:rPr>
      <w:rFonts w:ascii="monospace" w:hAnsi="monospace" w:cs="Times New Roman"/>
      <w:sz w:val="20"/>
    </w:rPr>
  </w:style>
  <w:style w:type="character" w:styleId="41">
    <w:name w:val="HTML Acronym"/>
    <w:qFormat/>
    <w:uiPriority w:val="99"/>
    <w:rPr>
      <w:rFonts w:cs="Times New Roman"/>
    </w:rPr>
  </w:style>
  <w:style w:type="character" w:styleId="42">
    <w:name w:val="HTML Variable"/>
    <w:qFormat/>
    <w:uiPriority w:val="99"/>
    <w:rPr>
      <w:rFonts w:cs="Times New Roman"/>
    </w:rPr>
  </w:style>
  <w:style w:type="character" w:styleId="43">
    <w:name w:val="Hyperlink"/>
    <w:qFormat/>
    <w:uiPriority w:val="0"/>
    <w:rPr>
      <w:rFonts w:cs="Times New Roman"/>
      <w:color w:val="0000FF"/>
      <w:u w:val="none"/>
    </w:rPr>
  </w:style>
  <w:style w:type="character" w:styleId="44">
    <w:name w:val="HTML Code"/>
    <w:qFormat/>
    <w:uiPriority w:val="99"/>
    <w:rPr>
      <w:rFonts w:ascii="monospace" w:hAnsi="monospace" w:cs="Times New Roman"/>
      <w:sz w:val="20"/>
    </w:rPr>
  </w:style>
  <w:style w:type="character" w:styleId="45">
    <w:name w:val="annotation reference"/>
    <w:semiHidden/>
    <w:qFormat/>
    <w:uiPriority w:val="0"/>
    <w:rPr>
      <w:rFonts w:cs="Times New Roman"/>
      <w:sz w:val="21"/>
    </w:rPr>
  </w:style>
  <w:style w:type="character" w:styleId="46">
    <w:name w:val="HTML Cite"/>
    <w:qFormat/>
    <w:uiPriority w:val="99"/>
    <w:rPr>
      <w:rFonts w:cs="Times New Roman"/>
    </w:rPr>
  </w:style>
  <w:style w:type="character" w:styleId="47">
    <w:name w:val="HTML Keyboard"/>
    <w:qFormat/>
    <w:uiPriority w:val="99"/>
    <w:rPr>
      <w:rFonts w:ascii="monospace" w:hAnsi="monospace" w:cs="Times New Roman"/>
      <w:sz w:val="20"/>
    </w:rPr>
  </w:style>
  <w:style w:type="character" w:styleId="48">
    <w:name w:val="HTML Sample"/>
    <w:qFormat/>
    <w:uiPriority w:val="99"/>
    <w:rPr>
      <w:rFonts w:ascii="monospace" w:hAnsi="monospace" w:cs="Times New Roman"/>
    </w:rPr>
  </w:style>
  <w:style w:type="paragraph" w:styleId="49">
    <w:name w:val="No Spacing"/>
    <w:qFormat/>
    <w:uiPriority w:val="0"/>
    <w:pPr>
      <w:widowControl w:val="0"/>
      <w:jc w:val="both"/>
    </w:pPr>
    <w:rPr>
      <w:rFonts w:ascii="Times New Roman" w:hAnsi="Times New Roman" w:eastAsia="Times New Roman" w:cs="Times New Roman"/>
      <w:kern w:val="2"/>
      <w:sz w:val="21"/>
      <w:lang w:val="en-US" w:eastAsia="zh-CN" w:bidi="ar-SA"/>
    </w:rPr>
  </w:style>
  <w:style w:type="character" w:customStyle="1" w:styleId="50">
    <w:name w:val="页眉 Char"/>
    <w:basedOn w:val="34"/>
    <w:link w:val="21"/>
    <w:semiHidden/>
    <w:qFormat/>
    <w:uiPriority w:val="99"/>
    <w:rPr>
      <w:sz w:val="18"/>
      <w:szCs w:val="18"/>
    </w:rPr>
  </w:style>
  <w:style w:type="character" w:customStyle="1" w:styleId="51">
    <w:name w:val="页脚 Char"/>
    <w:basedOn w:val="34"/>
    <w:link w:val="20"/>
    <w:qFormat/>
    <w:uiPriority w:val="99"/>
    <w:rPr>
      <w:sz w:val="18"/>
      <w:szCs w:val="18"/>
    </w:rPr>
  </w:style>
  <w:style w:type="character" w:customStyle="1" w:styleId="52">
    <w:name w:val="标题 1 Char"/>
    <w:basedOn w:val="34"/>
    <w:link w:val="3"/>
    <w:qFormat/>
    <w:uiPriority w:val="0"/>
    <w:rPr>
      <w:rFonts w:ascii="Times New Roman" w:hAnsi="Times New Roman" w:eastAsia="宋体" w:cs="Times New Roman"/>
      <w:b/>
      <w:bCs/>
      <w:kern w:val="44"/>
      <w:sz w:val="44"/>
      <w:szCs w:val="44"/>
    </w:rPr>
  </w:style>
  <w:style w:type="character" w:customStyle="1" w:styleId="53">
    <w:name w:val="标题 2 Char"/>
    <w:basedOn w:val="34"/>
    <w:link w:val="4"/>
    <w:qFormat/>
    <w:uiPriority w:val="0"/>
    <w:rPr>
      <w:rFonts w:ascii="Arial" w:hAnsi="Arial" w:eastAsia="黑体" w:cs="Times New Roman"/>
      <w:b/>
      <w:bCs/>
      <w:kern w:val="0"/>
      <w:sz w:val="32"/>
      <w:szCs w:val="32"/>
    </w:rPr>
  </w:style>
  <w:style w:type="character" w:customStyle="1" w:styleId="54">
    <w:name w:val="标题 3 Char"/>
    <w:basedOn w:val="34"/>
    <w:link w:val="5"/>
    <w:qFormat/>
    <w:uiPriority w:val="0"/>
    <w:rPr>
      <w:rFonts w:ascii="Times New Roman" w:hAnsi="Times New Roman" w:eastAsia="宋体" w:cs="Times New Roman"/>
      <w:b/>
      <w:bCs/>
      <w:kern w:val="0"/>
      <w:sz w:val="32"/>
      <w:szCs w:val="32"/>
    </w:rPr>
  </w:style>
  <w:style w:type="character" w:customStyle="1" w:styleId="55">
    <w:name w:val="文档结构图 Char"/>
    <w:basedOn w:val="34"/>
    <w:link w:val="7"/>
    <w:semiHidden/>
    <w:qFormat/>
    <w:uiPriority w:val="0"/>
    <w:rPr>
      <w:rFonts w:ascii="宋体" w:hAnsi="Times New Roman" w:eastAsia="宋体" w:cs="Times New Roman"/>
      <w:kern w:val="0"/>
      <w:sz w:val="18"/>
      <w:szCs w:val="18"/>
    </w:rPr>
  </w:style>
  <w:style w:type="character" w:customStyle="1" w:styleId="56">
    <w:name w:val="批注文字 Char"/>
    <w:basedOn w:val="34"/>
    <w:link w:val="8"/>
    <w:qFormat/>
    <w:uiPriority w:val="0"/>
  </w:style>
  <w:style w:type="character" w:customStyle="1" w:styleId="57">
    <w:name w:val="正文文本 3 Char"/>
    <w:basedOn w:val="34"/>
    <w:link w:val="9"/>
    <w:qFormat/>
    <w:uiPriority w:val="99"/>
    <w:rPr>
      <w:rFonts w:ascii="仿宋_GB2312" w:hAnsi="Arial" w:eastAsia="仿宋_GB2312" w:cs="Times New Roman"/>
      <w:kern w:val="0"/>
      <w:sz w:val="28"/>
      <w:szCs w:val="28"/>
    </w:rPr>
  </w:style>
  <w:style w:type="character" w:customStyle="1" w:styleId="58">
    <w:name w:val="正文文本缩进 Char"/>
    <w:basedOn w:val="34"/>
    <w:link w:val="13"/>
    <w:qFormat/>
    <w:uiPriority w:val="0"/>
    <w:rPr>
      <w:rFonts w:ascii="宋体" w:hAnsi="宋体" w:eastAsia="宋体" w:cs="Times New Roman"/>
      <w:color w:val="000000"/>
      <w:kern w:val="0"/>
      <w:sz w:val="24"/>
      <w:szCs w:val="24"/>
    </w:rPr>
  </w:style>
  <w:style w:type="character" w:customStyle="1" w:styleId="59">
    <w:name w:val="纯文本 Char"/>
    <w:basedOn w:val="34"/>
    <w:link w:val="16"/>
    <w:qFormat/>
    <w:uiPriority w:val="0"/>
    <w:rPr>
      <w:rFonts w:ascii="宋体" w:hAnsi="Courier New" w:eastAsia="宋体" w:cs="Times New Roman"/>
      <w:kern w:val="0"/>
      <w:szCs w:val="20"/>
    </w:rPr>
  </w:style>
  <w:style w:type="character" w:customStyle="1" w:styleId="60">
    <w:name w:val="日期 Char"/>
    <w:basedOn w:val="34"/>
    <w:link w:val="17"/>
    <w:qFormat/>
    <w:uiPriority w:val="0"/>
    <w:rPr>
      <w:rFonts w:ascii="Times New Roman" w:hAnsi="Times New Roman" w:eastAsia="宋体" w:cs="Times New Roman"/>
      <w:b/>
      <w:bCs/>
      <w:kern w:val="0"/>
      <w:sz w:val="28"/>
      <w:szCs w:val="28"/>
    </w:rPr>
  </w:style>
  <w:style w:type="character" w:customStyle="1" w:styleId="61">
    <w:name w:val="批注框文本 Char"/>
    <w:basedOn w:val="34"/>
    <w:link w:val="19"/>
    <w:semiHidden/>
    <w:qFormat/>
    <w:uiPriority w:val="0"/>
    <w:rPr>
      <w:rFonts w:ascii="Times New Roman" w:hAnsi="Times New Roman" w:eastAsia="宋体" w:cs="Times New Roman"/>
      <w:kern w:val="0"/>
      <w:sz w:val="18"/>
      <w:szCs w:val="18"/>
    </w:rPr>
  </w:style>
  <w:style w:type="character" w:customStyle="1" w:styleId="62">
    <w:name w:val="批注主题 Char"/>
    <w:basedOn w:val="56"/>
    <w:link w:val="29"/>
    <w:semiHidden/>
    <w:qFormat/>
    <w:uiPriority w:val="0"/>
    <w:rPr>
      <w:rFonts w:ascii="Times New Roman" w:hAnsi="Times New Roman" w:eastAsia="宋体" w:cs="Times New Roman"/>
      <w:b/>
      <w:bCs/>
      <w:kern w:val="0"/>
      <w:szCs w:val="21"/>
    </w:rPr>
  </w:style>
  <w:style w:type="character" w:customStyle="1" w:styleId="63">
    <w:name w:val="批注文字 Char1"/>
    <w:link w:val="8"/>
    <w:qFormat/>
    <w:locked/>
    <w:uiPriority w:val="0"/>
    <w:rPr>
      <w:rFonts w:ascii="Times New Roman" w:hAnsi="Times New Roman" w:eastAsia="宋体" w:cs="Times New Roman"/>
      <w:kern w:val="0"/>
      <w:szCs w:val="21"/>
    </w:rPr>
  </w:style>
  <w:style w:type="character" w:customStyle="1" w:styleId="64">
    <w:name w:val="Plain Text Char"/>
    <w:qFormat/>
    <w:locked/>
    <w:uiPriority w:val="99"/>
    <w:rPr>
      <w:rFonts w:ascii="宋体" w:hAnsi="Courier New" w:eastAsia="宋体" w:cs="Times New Roman"/>
      <w:kern w:val="2"/>
      <w:sz w:val="21"/>
    </w:rPr>
  </w:style>
  <w:style w:type="character" w:customStyle="1" w:styleId="65">
    <w:name w:val="Footer Char"/>
    <w:qFormat/>
    <w:locked/>
    <w:uiPriority w:val="99"/>
    <w:rPr>
      <w:rFonts w:eastAsia="宋体" w:cs="Times New Roman"/>
      <w:sz w:val="18"/>
    </w:rPr>
  </w:style>
  <w:style w:type="character" w:customStyle="1" w:styleId="66">
    <w:name w:val="Header Char"/>
    <w:qFormat/>
    <w:locked/>
    <w:uiPriority w:val="99"/>
    <w:rPr>
      <w:rFonts w:eastAsia="宋体" w:cs="Times New Roman"/>
      <w:sz w:val="18"/>
    </w:rPr>
  </w:style>
  <w:style w:type="paragraph" w:customStyle="1" w:styleId="67">
    <w:name w:val="样式1"/>
    <w:basedOn w:val="1"/>
    <w:qFormat/>
    <w:uiPriority w:val="99"/>
    <w:pPr>
      <w:adjustRightInd w:val="0"/>
      <w:textAlignment w:val="baseline"/>
    </w:pPr>
    <w:rPr>
      <w:rFonts w:ascii="宋体" w:hAnsi="宋体" w:eastAsia="宋体" w:cs="宋体"/>
      <w:kern w:val="0"/>
      <w:szCs w:val="21"/>
    </w:rPr>
  </w:style>
  <w:style w:type="character" w:customStyle="1" w:styleId="68">
    <w:name w:val="apple-converted-space"/>
    <w:qFormat/>
    <w:uiPriority w:val="99"/>
    <w:rPr>
      <w:rFonts w:cs="Times New Roman"/>
    </w:rPr>
  </w:style>
  <w:style w:type="paragraph" w:customStyle="1" w:styleId="69">
    <w:name w:val="Char1 Char Char Char Char Char Char"/>
    <w:basedOn w:val="1"/>
    <w:qFormat/>
    <w:uiPriority w:val="99"/>
    <w:rPr>
      <w:rFonts w:ascii="Tahoma" w:hAnsi="Tahoma" w:eastAsia="宋体" w:cs="Tahoma"/>
      <w:sz w:val="24"/>
      <w:szCs w:val="24"/>
    </w:rPr>
  </w:style>
  <w:style w:type="paragraph" w:customStyle="1" w:styleId="70">
    <w:name w:val="默认段落字体 Para Char Char Char1 Char Char Char Char Char Char Char"/>
    <w:basedOn w:val="1"/>
    <w:qFormat/>
    <w:uiPriority w:val="99"/>
    <w:pPr>
      <w:adjustRightInd w:val="0"/>
      <w:spacing w:line="360" w:lineRule="auto"/>
    </w:pPr>
    <w:rPr>
      <w:rFonts w:ascii="Times New Roman" w:hAnsi="Times New Roman" w:eastAsia="宋体" w:cs="Times New Roman"/>
      <w:szCs w:val="21"/>
    </w:rPr>
  </w:style>
  <w:style w:type="character" w:customStyle="1" w:styleId="71">
    <w:name w:val="15"/>
    <w:qFormat/>
    <w:uiPriority w:val="99"/>
    <w:rPr>
      <w:rFonts w:ascii="Times New Roman" w:hAnsi="Times New Roman"/>
      <w:color w:val="0000FF"/>
      <w:u w:val="single"/>
    </w:rPr>
  </w:style>
  <w:style w:type="paragraph" w:customStyle="1" w:styleId="72">
    <w:name w:val="Char"/>
    <w:basedOn w:val="1"/>
    <w:qFormat/>
    <w:uiPriority w:val="0"/>
    <w:rPr>
      <w:rFonts w:ascii="Tahoma" w:hAnsi="Tahoma" w:eastAsia="宋体" w:cs="Tahoma"/>
      <w:sz w:val="24"/>
      <w:szCs w:val="24"/>
    </w:rPr>
  </w:style>
  <w:style w:type="paragraph" w:customStyle="1" w:styleId="73">
    <w:name w:val="D&amp;L"/>
    <w:basedOn w:val="21"/>
    <w:qFormat/>
    <w:uiPriority w:val="99"/>
    <w:pPr>
      <w:pBdr>
        <w:bottom w:val="thinThickSmallGap" w:color="auto" w:sz="12" w:space="1"/>
      </w:pBdr>
      <w:tabs>
        <w:tab w:val="clear" w:pos="4153"/>
        <w:tab w:val="clear" w:pos="8306"/>
      </w:tabs>
      <w:adjustRightInd w:val="0"/>
      <w:snapToGrid/>
      <w:spacing w:line="240" w:lineRule="atLeast"/>
      <w:textAlignment w:val="baseline"/>
    </w:pPr>
    <w:rPr>
      <w:rFonts w:ascii="Times New Roman" w:hAnsi="Times New Roman" w:eastAsia="宋体" w:cs="Times New Roman"/>
      <w:kern w:val="0"/>
      <w:sz w:val="24"/>
      <w:szCs w:val="24"/>
    </w:rPr>
  </w:style>
  <w:style w:type="paragraph" w:customStyle="1" w:styleId="74">
    <w:name w:val="Char Char Char Char Char Char Char1 Char"/>
    <w:basedOn w:val="1"/>
    <w:qFormat/>
    <w:uiPriority w:val="99"/>
    <w:rPr>
      <w:rFonts w:ascii="Tahoma" w:hAnsi="Tahoma" w:eastAsia="宋体" w:cs="Tahoma"/>
      <w:sz w:val="24"/>
      <w:szCs w:val="24"/>
    </w:rPr>
  </w:style>
  <w:style w:type="paragraph" w:customStyle="1" w:styleId="75">
    <w:name w:val="xl31"/>
    <w:basedOn w:val="1"/>
    <w:qFormat/>
    <w:uiPriority w:val="99"/>
    <w:pPr>
      <w:widowControl/>
      <w:spacing w:before="100" w:beforeAutospacing="1" w:after="100" w:afterAutospacing="1"/>
      <w:jc w:val="center"/>
    </w:pPr>
    <w:rPr>
      <w:rFonts w:ascii="宋体" w:hAnsi="宋体" w:eastAsia="宋体" w:cs="宋体"/>
      <w:b/>
      <w:bCs/>
      <w:kern w:val="0"/>
      <w:sz w:val="28"/>
      <w:szCs w:val="28"/>
    </w:rPr>
  </w:style>
  <w:style w:type="character" w:customStyle="1" w:styleId="76">
    <w:name w:val="10"/>
    <w:qFormat/>
    <w:uiPriority w:val="99"/>
    <w:rPr>
      <w:rFonts w:ascii="Times New Roman" w:hAnsi="Times New Roman"/>
    </w:rPr>
  </w:style>
  <w:style w:type="character" w:customStyle="1" w:styleId="77">
    <w:name w:val="16"/>
    <w:qFormat/>
    <w:uiPriority w:val="99"/>
    <w:rPr>
      <w:rFonts w:ascii="Times New Roman" w:hAnsi="Times New Roman"/>
    </w:rPr>
  </w:style>
  <w:style w:type="paragraph" w:customStyle="1" w:styleId="78">
    <w:name w:val="列出段落1"/>
    <w:basedOn w:val="1"/>
    <w:qFormat/>
    <w:uiPriority w:val="99"/>
    <w:pPr>
      <w:ind w:firstLine="420" w:firstLineChars="200"/>
    </w:pPr>
    <w:rPr>
      <w:rFonts w:ascii="Times New Roman" w:hAnsi="Times New Roman" w:eastAsia="宋体" w:cs="Times New Roman"/>
      <w:szCs w:val="21"/>
    </w:rPr>
  </w:style>
  <w:style w:type="character" w:customStyle="1" w:styleId="79">
    <w:name w:val="tpc_content1"/>
    <w:qFormat/>
    <w:uiPriority w:val="99"/>
    <w:rPr>
      <w:sz w:val="13"/>
    </w:rPr>
  </w:style>
  <w:style w:type="paragraph" w:styleId="80">
    <w:name w:val="List Paragraph"/>
    <w:basedOn w:val="1"/>
    <w:qFormat/>
    <w:uiPriority w:val="99"/>
    <w:pPr>
      <w:ind w:firstLine="420" w:firstLineChars="200"/>
    </w:pPr>
    <w:rPr>
      <w:rFonts w:ascii="Times New Roman" w:hAnsi="Times New Roman" w:eastAsia="宋体" w:cs="Times New Roman"/>
      <w:szCs w:val="21"/>
    </w:rPr>
  </w:style>
  <w:style w:type="paragraph" w:customStyle="1" w:styleId="81">
    <w:name w:val="Table Paragraph"/>
    <w:basedOn w:val="1"/>
    <w:qFormat/>
    <w:uiPriority w:val="0"/>
    <w:pPr>
      <w:jc w:val="left"/>
    </w:pPr>
    <w:rPr>
      <w:rFonts w:ascii="Calibri" w:hAnsi="Calibri" w:eastAsia="宋体" w:cs="Times New Roman"/>
      <w:kern w:val="0"/>
      <w:sz w:val="22"/>
    </w:rPr>
  </w:style>
  <w:style w:type="character" w:customStyle="1" w:styleId="82">
    <w:name w:val="结束语 Char"/>
    <w:basedOn w:val="34"/>
    <w:link w:val="10"/>
    <w:qFormat/>
    <w:uiPriority w:val="0"/>
    <w:rPr>
      <w:rFonts w:ascii="Calibri" w:hAnsi="Calibri" w:eastAsia="等线" w:cs="Times New Roman"/>
    </w:rPr>
  </w:style>
  <w:style w:type="character" w:customStyle="1" w:styleId="83">
    <w:name w:val="结束语 字符"/>
    <w:semiHidden/>
    <w:qFormat/>
    <w:uiPriority w:val="99"/>
    <w:rPr>
      <w:kern w:val="2"/>
      <w:sz w:val="21"/>
      <w:szCs w:val="21"/>
    </w:rPr>
  </w:style>
  <w:style w:type="character" w:customStyle="1" w:styleId="84">
    <w:name w:val="正文文本 Char"/>
    <w:basedOn w:val="34"/>
    <w:link w:val="11"/>
    <w:qFormat/>
    <w:uiPriority w:val="0"/>
    <w:rPr>
      <w:rFonts w:ascii="等线" w:hAnsi="等线" w:eastAsia="等线" w:cs="Times New Roman"/>
      <w:szCs w:val="24"/>
    </w:rPr>
  </w:style>
  <w:style w:type="character" w:customStyle="1" w:styleId="85">
    <w:name w:val="正文文本 字符"/>
    <w:semiHidden/>
    <w:qFormat/>
    <w:uiPriority w:val="99"/>
    <w:rPr>
      <w:kern w:val="2"/>
      <w:sz w:val="21"/>
      <w:szCs w:val="21"/>
    </w:rPr>
  </w:style>
  <w:style w:type="character" w:customStyle="1" w:styleId="86">
    <w:name w:val="正文文本缩进 2 Char"/>
    <w:basedOn w:val="34"/>
    <w:link w:val="18"/>
    <w:qFormat/>
    <w:uiPriority w:val="0"/>
    <w:rPr>
      <w:rFonts w:ascii="等线" w:hAnsi="等线" w:eastAsia="等线" w:cs="Times New Roman"/>
      <w:szCs w:val="24"/>
    </w:rPr>
  </w:style>
  <w:style w:type="character" w:customStyle="1" w:styleId="87">
    <w:name w:val="正文文本缩进 2 字符"/>
    <w:semiHidden/>
    <w:qFormat/>
    <w:uiPriority w:val="99"/>
    <w:rPr>
      <w:kern w:val="2"/>
      <w:sz w:val="21"/>
      <w:szCs w:val="21"/>
    </w:rPr>
  </w:style>
  <w:style w:type="character" w:customStyle="1" w:styleId="88">
    <w:name w:val="正文文本缩进 3 Char"/>
    <w:basedOn w:val="34"/>
    <w:link w:val="23"/>
    <w:qFormat/>
    <w:uiPriority w:val="0"/>
    <w:rPr>
      <w:rFonts w:ascii="Calibri" w:hAnsi="Calibri" w:eastAsia="宋体" w:cs="Times New Roman"/>
      <w:sz w:val="16"/>
      <w:szCs w:val="24"/>
    </w:rPr>
  </w:style>
  <w:style w:type="character" w:customStyle="1" w:styleId="89">
    <w:name w:val="正文首行缩进 Char"/>
    <w:basedOn w:val="84"/>
    <w:link w:val="30"/>
    <w:qFormat/>
    <w:uiPriority w:val="0"/>
  </w:style>
  <w:style w:type="paragraph" w:customStyle="1" w:styleId="90">
    <w:name w:val="正文 1.1.1"/>
    <w:basedOn w:val="1"/>
    <w:next w:val="1"/>
    <w:qFormat/>
    <w:uiPriority w:val="0"/>
    <w:pPr>
      <w:numPr>
        <w:ilvl w:val="0"/>
        <w:numId w:val="1"/>
      </w:numPr>
      <w:tabs>
        <w:tab w:val="left" w:pos="851"/>
      </w:tabs>
      <w:outlineLvl w:val="2"/>
    </w:pPr>
    <w:rPr>
      <w:rFonts w:ascii="Times New Roman" w:hAnsi="宋体" w:eastAsia="宋体" w:cs="Times New Roman"/>
      <w:color w:val="FF0000"/>
      <w:szCs w:val="24"/>
    </w:rPr>
  </w:style>
  <w:style w:type="paragraph" w:customStyle="1" w:styleId="91">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92">
    <w:name w:val="Char Char Char Char"/>
    <w:basedOn w:val="1"/>
    <w:qFormat/>
    <w:uiPriority w:val="0"/>
    <w:pPr>
      <w:tabs>
        <w:tab w:val="left" w:pos="360"/>
      </w:tabs>
      <w:ind w:firstLine="420" w:firstLineChars="150"/>
    </w:pPr>
    <w:rPr>
      <w:rFonts w:ascii="Arial" w:hAnsi="Arial" w:eastAsia="宋体" w:cs="Arial"/>
      <w:sz w:val="20"/>
      <w:szCs w:val="20"/>
    </w:rPr>
  </w:style>
  <w:style w:type="paragraph" w:customStyle="1" w:styleId="93">
    <w:name w:val="_Style 4"/>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1 Char"/>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95">
    <w:name w:val="正文1"/>
    <w:qFormat/>
    <w:uiPriority w:val="0"/>
    <w:rPr>
      <w:rFonts w:ascii="Times New Roman" w:hAnsi="Times New Roman" w:eastAsia="Times New Roman" w:cs="Times New Roman"/>
      <w:kern w:val="0"/>
      <w:sz w:val="24"/>
      <w:szCs w:val="24"/>
      <w:lang w:val="en-US" w:eastAsia="zh-CN" w:bidi="ar-SA"/>
    </w:rPr>
  </w:style>
  <w:style w:type="paragraph" w:customStyle="1" w:styleId="96">
    <w:name w:val="默认段落字体 Para Char Char Char Char Char Char Char Char Char1 Char Char Char Char Char Char Char Char"/>
    <w:basedOn w:val="7"/>
    <w:qFormat/>
    <w:uiPriority w:val="0"/>
    <w:pPr>
      <w:shd w:val="clear" w:color="auto" w:fill="000080"/>
    </w:pPr>
    <w:rPr>
      <w:rFonts w:ascii="等线" w:hAnsi="等线" w:eastAsia="等线"/>
      <w:kern w:val="2"/>
      <w:sz w:val="21"/>
      <w:szCs w:val="24"/>
    </w:rPr>
  </w:style>
  <w:style w:type="paragraph" w:customStyle="1" w:styleId="97">
    <w:name w:val="Normal_0"/>
    <w:qFormat/>
    <w:uiPriority w:val="0"/>
    <w:rPr>
      <w:rFonts w:ascii="Times New Roman" w:hAnsi="Times New Roman" w:eastAsia="Times New Roman" w:cs="Times New Roman"/>
      <w:kern w:val="0"/>
      <w:sz w:val="24"/>
      <w:szCs w:val="24"/>
      <w:lang w:val="en-US" w:eastAsia="zh-CN" w:bidi="ar-SA"/>
    </w:rPr>
  </w:style>
  <w:style w:type="paragraph" w:customStyle="1" w:styleId="98">
    <w:name w:val="Char Char Char Char Char Char Char1 Char Char Char Char Char Char Char"/>
    <w:basedOn w:val="1"/>
    <w:qFormat/>
    <w:uiPriority w:val="0"/>
    <w:rPr>
      <w:rFonts w:ascii="Tahoma" w:hAnsi="Tahoma" w:eastAsia="宋体" w:cs="Times New Roman"/>
      <w:sz w:val="24"/>
      <w:szCs w:val="20"/>
    </w:rPr>
  </w:style>
  <w:style w:type="paragraph" w:customStyle="1" w:styleId="99">
    <w:name w:val="Char Char Char"/>
    <w:basedOn w:val="1"/>
    <w:qFormat/>
    <w:uiPriority w:val="0"/>
    <w:rPr>
      <w:rFonts w:ascii="Tahoma" w:hAnsi="Tahoma" w:eastAsia="宋体" w:cs="Times New Roman"/>
      <w:sz w:val="24"/>
      <w:szCs w:val="20"/>
    </w:rPr>
  </w:style>
  <w:style w:type="paragraph" w:customStyle="1" w:styleId="100">
    <w:name w:val="目录"/>
    <w:basedOn w:val="1"/>
    <w:qFormat/>
    <w:uiPriority w:val="0"/>
    <w:pPr>
      <w:widowControl/>
      <w:jc w:val="center"/>
    </w:pPr>
    <w:rPr>
      <w:rFonts w:ascii="宋体" w:hAnsi="Times New Roman" w:eastAsia="宋体" w:cs="Times New Roman"/>
      <w:b/>
      <w:kern w:val="0"/>
      <w:sz w:val="36"/>
      <w:szCs w:val="24"/>
    </w:rPr>
  </w:style>
  <w:style w:type="paragraph" w:customStyle="1" w:styleId="101">
    <w:name w:val="正文_3_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2">
    <w:name w:val="正文空2格  1."/>
    <w:basedOn w:val="1"/>
    <w:qFormat/>
    <w:uiPriority w:val="0"/>
    <w:pPr>
      <w:ind w:firstLine="480" w:firstLineChars="200"/>
    </w:pPr>
    <w:rPr>
      <w:rFonts w:ascii="Times New Roman" w:hAnsi="Times New Roman" w:eastAsia="宋体" w:cs="宋体"/>
      <w:sz w:val="28"/>
      <w:szCs w:val="20"/>
    </w:rPr>
  </w:style>
  <w:style w:type="paragraph" w:customStyle="1" w:styleId="10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04">
    <w:name w:val="样式2"/>
    <w:basedOn w:val="1"/>
    <w:link w:val="110"/>
    <w:qFormat/>
    <w:uiPriority w:val="0"/>
    <w:pPr>
      <w:spacing w:line="600" w:lineRule="exact"/>
    </w:pPr>
    <w:rPr>
      <w:rFonts w:ascii="仿宋_GB2312" w:hAnsi="宋体" w:eastAsia="仿宋_GB2312" w:cs="Times New Roman"/>
      <w:b/>
      <w:sz w:val="32"/>
      <w:szCs w:val="32"/>
    </w:rPr>
  </w:style>
  <w:style w:type="paragraph" w:customStyle="1" w:styleId="105">
    <w:name w:val="_Style 55"/>
    <w:hidden/>
    <w:unhideWhenUsed/>
    <w:qFormat/>
    <w:uiPriority w:val="99"/>
    <w:rPr>
      <w:rFonts w:ascii="Times New Roman" w:hAnsi="Times New Roman" w:eastAsia="宋体" w:cs="Times New Roman"/>
      <w:kern w:val="2"/>
      <w:sz w:val="21"/>
      <w:szCs w:val="24"/>
      <w:lang w:val="en-US" w:eastAsia="zh-CN" w:bidi="ar-SA"/>
    </w:rPr>
  </w:style>
  <w:style w:type="character" w:customStyle="1" w:styleId="106">
    <w:name w:val="日期 字符1"/>
    <w:qFormat/>
    <w:uiPriority w:val="0"/>
    <w:rPr>
      <w:rFonts w:ascii="黑体" w:hAnsi="宋体" w:eastAsia="黑体"/>
      <w:b/>
      <w:bCs/>
      <w:color w:val="000000"/>
      <w:sz w:val="44"/>
      <w:szCs w:val="36"/>
    </w:rPr>
  </w:style>
  <w:style w:type="character" w:customStyle="1" w:styleId="107">
    <w:name w:val="正文文本缩进 字符1"/>
    <w:qFormat/>
    <w:uiPriority w:val="0"/>
    <w:rPr>
      <w:rFonts w:ascii="仿宋_GB2312" w:eastAsia="仿宋_GB2312"/>
      <w:sz w:val="24"/>
      <w:szCs w:val="21"/>
    </w:rPr>
  </w:style>
  <w:style w:type="character" w:customStyle="1" w:styleId="108">
    <w:name w:val="纯文本字符"/>
    <w:qFormat/>
    <w:uiPriority w:val="0"/>
    <w:rPr>
      <w:rFonts w:ascii="宋体" w:hAnsi="Courier New" w:eastAsia="仿宋_GB2312" w:cs="Courier New"/>
      <w:kern w:val="2"/>
      <w:sz w:val="32"/>
      <w:szCs w:val="21"/>
    </w:rPr>
  </w:style>
  <w:style w:type="character" w:customStyle="1" w:styleId="109">
    <w:name w:val="页脚 字符1"/>
    <w:qFormat/>
    <w:uiPriority w:val="0"/>
    <w:rPr>
      <w:sz w:val="18"/>
      <w:szCs w:val="24"/>
    </w:rPr>
  </w:style>
  <w:style w:type="character" w:customStyle="1" w:styleId="110">
    <w:name w:val="样式2 Char Char"/>
    <w:link w:val="104"/>
    <w:qFormat/>
    <w:uiPriority w:val="0"/>
    <w:rPr>
      <w:rFonts w:ascii="仿宋_GB2312" w:hAnsi="宋体" w:eastAsia="仿宋_GB2312" w:cs="Times New Roman"/>
      <w:b/>
      <w:sz w:val="32"/>
      <w:szCs w:val="32"/>
    </w:rPr>
  </w:style>
  <w:style w:type="character" w:customStyle="1" w:styleId="111">
    <w:name w:val="标题 1 字符1"/>
    <w:qFormat/>
    <w:uiPriority w:val="0"/>
    <w:rPr>
      <w:rFonts w:ascii="Times New Roman" w:hAnsi="Times New Roman" w:eastAsia="宋体" w:cs="Times New Roman"/>
      <w:b/>
      <w:bCs/>
      <w:kern w:val="44"/>
      <w:sz w:val="44"/>
      <w:szCs w:val="44"/>
    </w:rPr>
  </w:style>
  <w:style w:type="character" w:customStyle="1" w:styleId="112">
    <w:name w:val="页眉 字符1"/>
    <w:qFormat/>
    <w:uiPriority w:val="99"/>
    <w:rPr>
      <w:sz w:val="18"/>
      <w:szCs w:val="24"/>
    </w:rPr>
  </w:style>
  <w:style w:type="character" w:customStyle="1" w:styleId="113">
    <w:name w:val="页眉 Char1"/>
    <w:semiHidden/>
    <w:qFormat/>
    <w:uiPriority w:val="99"/>
    <w:rPr>
      <w:kern w:val="2"/>
      <w:sz w:val="18"/>
      <w:szCs w:val="18"/>
    </w:rPr>
  </w:style>
  <w:style w:type="character" w:customStyle="1" w:styleId="114">
    <w:name w:val="标题 3 字符1"/>
    <w:qFormat/>
    <w:uiPriority w:val="0"/>
    <w:rPr>
      <w:rFonts w:ascii="Times New Roman" w:hAnsi="Times New Roman" w:eastAsia="宋体" w:cs="Times New Roman"/>
      <w:b/>
      <w:bCs/>
      <w:sz w:val="32"/>
      <w:szCs w:val="32"/>
    </w:rPr>
  </w:style>
  <w:style w:type="character" w:customStyle="1" w:styleId="115">
    <w:name w:val="文档结构图 字符1"/>
    <w:semiHidden/>
    <w:qFormat/>
    <w:uiPriority w:val="0"/>
    <w:rPr>
      <w:szCs w:val="24"/>
      <w:shd w:val="clear" w:color="auto" w:fill="000080"/>
    </w:rPr>
  </w:style>
  <w:style w:type="character" w:customStyle="1" w:styleId="116">
    <w:name w:val="标题 2 字符1"/>
    <w:qFormat/>
    <w:uiPriority w:val="0"/>
    <w:rPr>
      <w:rFonts w:ascii="Arial" w:hAnsi="Arial" w:eastAsia="黑体" w:cs="Times New Roman"/>
      <w:b/>
      <w:bCs/>
      <w:sz w:val="32"/>
      <w:szCs w:val="32"/>
    </w:rPr>
  </w:style>
  <w:style w:type="character" w:customStyle="1" w:styleId="117">
    <w:name w:val="批注框文本 字符1"/>
    <w:semiHidden/>
    <w:qFormat/>
    <w:uiPriority w:val="0"/>
    <w:rPr>
      <w:sz w:val="18"/>
      <w:szCs w:val="18"/>
    </w:rPr>
  </w:style>
  <w:style w:type="character" w:customStyle="1" w:styleId="118">
    <w:name w:val="纯文本 字符1"/>
    <w:qFormat/>
    <w:uiPriority w:val="0"/>
    <w:rPr>
      <w:rFonts w:ascii="宋体" w:hAnsi="Courier New"/>
    </w:rPr>
  </w:style>
  <w:style w:type="character" w:customStyle="1" w:styleId="119">
    <w:name w:val="正文首行缩进 字符"/>
    <w:semiHidden/>
    <w:qFormat/>
    <w:uiPriority w:val="99"/>
  </w:style>
  <w:style w:type="character" w:customStyle="1" w:styleId="120">
    <w:name w:val="正文文本缩进 字符2"/>
    <w:semiHidden/>
    <w:qFormat/>
    <w:uiPriority w:val="99"/>
    <w:rPr>
      <w:rFonts w:ascii="Times New Roman" w:hAnsi="Times New Roman" w:eastAsia="宋体" w:cs="Times New Roman"/>
      <w:szCs w:val="24"/>
    </w:rPr>
  </w:style>
  <w:style w:type="character" w:customStyle="1" w:styleId="121">
    <w:name w:val="批注文字 字符1"/>
    <w:semiHidden/>
    <w:qFormat/>
    <w:uiPriority w:val="99"/>
    <w:rPr>
      <w:rFonts w:ascii="Times New Roman" w:hAnsi="Times New Roman" w:eastAsia="宋体" w:cs="Times New Roman"/>
      <w:szCs w:val="24"/>
    </w:rPr>
  </w:style>
  <w:style w:type="character" w:customStyle="1" w:styleId="122">
    <w:name w:val="正文文本 字符2"/>
    <w:semiHidden/>
    <w:qFormat/>
    <w:uiPriority w:val="99"/>
    <w:rPr>
      <w:rFonts w:ascii="Times New Roman" w:hAnsi="Times New Roman" w:eastAsia="宋体" w:cs="Times New Roman"/>
      <w:szCs w:val="24"/>
    </w:rPr>
  </w:style>
  <w:style w:type="character" w:customStyle="1" w:styleId="123">
    <w:name w:val="批注主题 字符1"/>
    <w:semiHidden/>
    <w:qFormat/>
    <w:uiPriority w:val="99"/>
    <w:rPr>
      <w:rFonts w:ascii="Times New Roman" w:hAnsi="Times New Roman" w:eastAsia="宋体" w:cs="Times New Roman"/>
      <w:b/>
      <w:bCs/>
      <w:szCs w:val="24"/>
    </w:rPr>
  </w:style>
  <w:style w:type="character" w:customStyle="1" w:styleId="124">
    <w:name w:val="结束语 字符2"/>
    <w:semiHidden/>
    <w:qFormat/>
    <w:uiPriority w:val="99"/>
    <w:rPr>
      <w:rFonts w:ascii="Times New Roman" w:hAnsi="Times New Roman" w:eastAsia="宋体" w:cs="Times New Roman"/>
      <w:szCs w:val="24"/>
    </w:rPr>
  </w:style>
  <w:style w:type="character" w:customStyle="1" w:styleId="125">
    <w:name w:val="页眉 字符2"/>
    <w:semiHidden/>
    <w:qFormat/>
    <w:uiPriority w:val="99"/>
    <w:rPr>
      <w:rFonts w:ascii="Times New Roman" w:hAnsi="Times New Roman" w:eastAsia="宋体" w:cs="Times New Roman"/>
      <w:sz w:val="18"/>
      <w:szCs w:val="18"/>
    </w:rPr>
  </w:style>
  <w:style w:type="character" w:customStyle="1" w:styleId="126">
    <w:name w:val="批注框文本 字符2"/>
    <w:semiHidden/>
    <w:qFormat/>
    <w:uiPriority w:val="99"/>
    <w:rPr>
      <w:rFonts w:ascii="Times New Roman" w:hAnsi="Times New Roman" w:eastAsia="宋体" w:cs="Times New Roman"/>
      <w:sz w:val="18"/>
      <w:szCs w:val="18"/>
    </w:rPr>
  </w:style>
  <w:style w:type="character" w:customStyle="1" w:styleId="127">
    <w:name w:val="日期 字符2"/>
    <w:semiHidden/>
    <w:qFormat/>
    <w:uiPriority w:val="99"/>
    <w:rPr>
      <w:rFonts w:ascii="Times New Roman" w:hAnsi="Times New Roman" w:eastAsia="宋体" w:cs="Times New Roman"/>
      <w:szCs w:val="24"/>
    </w:rPr>
  </w:style>
  <w:style w:type="character" w:customStyle="1" w:styleId="128">
    <w:name w:val="纯文本 字符2"/>
    <w:semiHidden/>
    <w:qFormat/>
    <w:uiPriority w:val="99"/>
    <w:rPr>
      <w:rFonts w:ascii="等线" w:hAnsi="Courier New" w:cs="Courier New"/>
      <w:szCs w:val="24"/>
    </w:rPr>
  </w:style>
  <w:style w:type="character" w:customStyle="1" w:styleId="129">
    <w:name w:val="文档结构图 字符2"/>
    <w:semiHidden/>
    <w:qFormat/>
    <w:uiPriority w:val="99"/>
    <w:rPr>
      <w:rFonts w:ascii="Microsoft YaHei UI" w:hAnsi="Times New Roman" w:eastAsia="Microsoft YaHei UI" w:cs="Times New Roman"/>
      <w:sz w:val="18"/>
      <w:szCs w:val="18"/>
    </w:rPr>
  </w:style>
  <w:style w:type="character" w:customStyle="1" w:styleId="130">
    <w:name w:val="正文文本缩进 2 字符2"/>
    <w:semiHidden/>
    <w:qFormat/>
    <w:uiPriority w:val="99"/>
    <w:rPr>
      <w:rFonts w:ascii="Times New Roman" w:hAnsi="Times New Roman" w:eastAsia="宋体" w:cs="Times New Roman"/>
      <w:szCs w:val="24"/>
    </w:rPr>
  </w:style>
  <w:style w:type="character" w:customStyle="1" w:styleId="131">
    <w:name w:val="正文首行缩进 字符2"/>
    <w:semiHidden/>
    <w:qFormat/>
    <w:uiPriority w:val="99"/>
  </w:style>
  <w:style w:type="character" w:customStyle="1" w:styleId="132">
    <w:name w:val="页脚 字符2"/>
    <w:semiHidden/>
    <w:qFormat/>
    <w:uiPriority w:val="99"/>
    <w:rPr>
      <w:rFonts w:ascii="Times New Roman" w:hAnsi="Times New Roman" w:eastAsia="宋体" w:cs="Times New Roman"/>
      <w:sz w:val="18"/>
      <w:szCs w:val="18"/>
    </w:rPr>
  </w:style>
  <w:style w:type="character" w:customStyle="1" w:styleId="133">
    <w:name w:val="正文文本缩进 3 字符1"/>
    <w:semiHidden/>
    <w:qFormat/>
    <w:uiPriority w:val="99"/>
    <w:rPr>
      <w:rFonts w:ascii="Times New Roman" w:hAnsi="Times New Roman" w:eastAsia="宋体" w:cs="Times New Roman"/>
      <w:sz w:val="16"/>
      <w:szCs w:val="16"/>
    </w:rPr>
  </w:style>
  <w:style w:type="table" w:customStyle="1" w:styleId="134">
    <w:name w:val="网格型1"/>
    <w:basedOn w:val="3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5">
    <w:name w:val="List Paragraph1"/>
    <w:basedOn w:val="1"/>
    <w:qFormat/>
    <w:uiPriority w:val="34"/>
    <w:pPr>
      <w:ind w:firstLine="420" w:firstLineChars="200"/>
    </w:pPr>
    <w:rPr>
      <w:rFonts w:ascii="Calibri" w:hAnsi="Calibri"/>
      <w:szCs w:val="22"/>
    </w:rPr>
  </w:style>
  <w:style w:type="paragraph" w:customStyle="1" w:styleId="136">
    <w:name w:val="标题3 附件1"/>
    <w:basedOn w:val="1"/>
    <w:qFormat/>
    <w:uiPriority w:val="99"/>
    <w:pPr>
      <w:keepNext/>
      <w:keepLines/>
      <w:spacing w:before="340" w:after="330" w:line="360" w:lineRule="exact"/>
      <w:jc w:val="left"/>
      <w:outlineLvl w:val="2"/>
    </w:pPr>
    <w:rPr>
      <w:b/>
      <w:bCs/>
      <w:kern w:val="44"/>
      <w:szCs w:val="21"/>
    </w:rPr>
  </w:style>
  <w:style w:type="paragraph" w:customStyle="1" w:styleId="137">
    <w:name w:val="样式 标题 3 + (中文) 黑体 小四 非加粗 段前: 7.8 磅 段后: 0 磅 行距: 固定值 20 磅"/>
    <w:basedOn w:val="5"/>
    <w:qFormat/>
    <w:uiPriority w:val="0"/>
    <w:pPr>
      <w:spacing w:before="0" w:beforeLines="0" w:after="0" w:afterLines="0" w:line="400" w:lineRule="exact"/>
    </w:pPr>
    <w:rPr>
      <w:rFonts w:eastAsia="黑体"/>
      <w:b w:val="0"/>
      <w:bCs w:val="0"/>
      <w:sz w:val="24"/>
      <w:szCs w:val="20"/>
    </w:rPr>
  </w:style>
  <w:style w:type="paragraph" w:customStyle="1" w:styleId="138">
    <w:name w:val="WPSOffice手动目录 1"/>
    <w:qFormat/>
    <w:uiPriority w:val="0"/>
    <w:pPr>
      <w:ind w:leftChars="0"/>
    </w:pPr>
    <w:rPr>
      <w:rFonts w:asciiTheme="minorHAnsi" w:hAnsiTheme="minorHAnsi" w:eastAsiaTheme="minorEastAsia" w:cstheme="minorBidi"/>
      <w:sz w:val="20"/>
      <w:szCs w:val="20"/>
    </w:rPr>
  </w:style>
  <w:style w:type="character" w:customStyle="1" w:styleId="139">
    <w:name w:val="unit"/>
    <w:qFormat/>
    <w:uiPriority w:val="0"/>
  </w:style>
  <w:style w:type="paragraph" w:customStyle="1" w:styleId="14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1">
    <w:name w:val="样式 样式 样式 左侧:  2 字符1 + 首行缩进:  2 字符1 + 首行缩进:  2 字符"/>
    <w:basedOn w:val="1"/>
    <w:qFormat/>
    <w:uiPriority w:val="0"/>
    <w:pPr>
      <w:widowControl/>
      <w:spacing w:before="60" w:after="120" w:line="440" w:lineRule="atLeast"/>
      <w:ind w:firstLine="480"/>
    </w:pPr>
    <w:rPr>
      <w:sz w:val="24"/>
      <w:szCs w:val="20"/>
    </w:rPr>
  </w:style>
  <w:style w:type="paragraph" w:customStyle="1" w:styleId="14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43">
    <w:name w:val="标题1"/>
    <w:basedOn w:val="3"/>
    <w:qFormat/>
    <w:uiPriority w:val="99"/>
    <w:pPr>
      <w:spacing w:line="360" w:lineRule="exact"/>
    </w:pPr>
    <w:rPr>
      <w:spacing w:val="0"/>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4240</Words>
  <Characters>24174</Characters>
  <Lines>201</Lines>
  <Paragraphs>56</Paragraphs>
  <TotalTime>11</TotalTime>
  <ScaleCrop>false</ScaleCrop>
  <LinksUpToDate>false</LinksUpToDate>
  <CharactersWithSpaces>28358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2020-05-27T06:52:00Z</dcterms:created>
  <dc:creator>刘峰</dc:creator>
  <cp:lastModifiedBy>Administrator</cp:lastModifiedBy>
  <cp:lastPrinted>2021-09-13T02:39:00Z</cp:lastPrinted>
  <dcterms:modified xsi:type="dcterms:W3CDTF">2021-10-18T09:42:46Z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6DD097B64B3643B78D8032A3A5DF5C18</vt:lpwstr>
  </property>
</Properties>
</file>